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712950200"/>
        <w:docPartObj>
          <w:docPartGallery w:val="Cover Pages"/>
          <w:docPartUnique/>
        </w:docPartObj>
      </w:sdtPr>
      <w:sdtEndPr>
        <w:rPr>
          <w:b/>
          <w:bCs/>
        </w:rPr>
      </w:sdtEndPr>
      <w:sdtContent>
        <w:p w14:paraId="0F1A8E25" w14:textId="7438683A" w:rsidR="005F51F2" w:rsidRDefault="005F51F2"/>
        <w:p w14:paraId="0B0E16BF" w14:textId="06CDCB95" w:rsidR="005F51F2" w:rsidRDefault="00000000">
          <w:pPr>
            <w:rPr>
              <w:b/>
              <w:bCs/>
            </w:rPr>
          </w:pPr>
        </w:p>
      </w:sdtContent>
    </w:sdt>
    <w:p w14:paraId="14051637" w14:textId="2007D059" w:rsidR="005F51F2" w:rsidRDefault="005F51F2" w:rsidP="00937C6A">
      <w:pPr>
        <w:jc w:val="center"/>
        <w:rPr>
          <w:rFonts w:cstheme="minorHAnsi"/>
          <w:b/>
          <w:bCs/>
          <w:sz w:val="40"/>
          <w:szCs w:val="40"/>
        </w:rPr>
      </w:pPr>
    </w:p>
    <w:p w14:paraId="66D0A92B" w14:textId="6E232E5C" w:rsidR="005F51F2" w:rsidRDefault="005F51F2" w:rsidP="00937C6A">
      <w:pPr>
        <w:jc w:val="center"/>
        <w:rPr>
          <w:rFonts w:cstheme="minorHAnsi"/>
          <w:b/>
          <w:bCs/>
          <w:sz w:val="40"/>
          <w:szCs w:val="40"/>
        </w:rPr>
      </w:pPr>
    </w:p>
    <w:p w14:paraId="56B66014" w14:textId="2D90C565" w:rsidR="005F51F2" w:rsidRDefault="005F51F2" w:rsidP="00937C6A">
      <w:pPr>
        <w:jc w:val="center"/>
        <w:rPr>
          <w:rFonts w:cstheme="minorHAnsi"/>
          <w:b/>
          <w:bCs/>
          <w:sz w:val="40"/>
          <w:szCs w:val="40"/>
        </w:rPr>
      </w:pPr>
    </w:p>
    <w:p w14:paraId="25F17D46" w14:textId="77777777" w:rsidR="005F51F2" w:rsidRDefault="005F51F2" w:rsidP="00937C6A">
      <w:pPr>
        <w:jc w:val="center"/>
        <w:rPr>
          <w:rFonts w:cstheme="minorHAnsi"/>
          <w:b/>
          <w:bCs/>
          <w:sz w:val="40"/>
          <w:szCs w:val="40"/>
        </w:rPr>
      </w:pPr>
    </w:p>
    <w:p w14:paraId="72F83370" w14:textId="77777777" w:rsidR="005F51F2" w:rsidRDefault="005F51F2" w:rsidP="00937C6A">
      <w:pPr>
        <w:jc w:val="center"/>
        <w:rPr>
          <w:rFonts w:cstheme="minorHAnsi"/>
          <w:b/>
          <w:bCs/>
          <w:sz w:val="40"/>
          <w:szCs w:val="40"/>
        </w:rPr>
      </w:pPr>
    </w:p>
    <w:p w14:paraId="02193D99" w14:textId="6BF6BE45" w:rsidR="002D3219" w:rsidRPr="00A24939" w:rsidRDefault="00A24939" w:rsidP="00937C6A">
      <w:pPr>
        <w:jc w:val="center"/>
        <w:rPr>
          <w:rFonts w:cstheme="minorHAnsi"/>
          <w:b/>
          <w:bCs/>
          <w:sz w:val="40"/>
          <w:szCs w:val="40"/>
        </w:rPr>
      </w:pPr>
      <w:r w:rsidRPr="00A24939">
        <w:rPr>
          <w:rFonts w:cstheme="minorHAnsi"/>
          <w:b/>
          <w:bCs/>
          <w:sz w:val="40"/>
          <w:szCs w:val="40"/>
        </w:rPr>
        <w:t xml:space="preserve">SUBMISSION TO THE </w:t>
      </w:r>
      <w:r w:rsidR="00BB01AB">
        <w:rPr>
          <w:rFonts w:cstheme="minorHAnsi"/>
          <w:b/>
          <w:bCs/>
          <w:sz w:val="40"/>
          <w:szCs w:val="40"/>
        </w:rPr>
        <w:t xml:space="preserve">INTERIM REPORT OF THE </w:t>
      </w:r>
      <w:r w:rsidRPr="00A24939">
        <w:rPr>
          <w:rFonts w:cstheme="minorHAnsi"/>
          <w:b/>
          <w:bCs/>
          <w:sz w:val="40"/>
          <w:szCs w:val="40"/>
        </w:rPr>
        <w:t xml:space="preserve">PRODUCTIVITY COMMISSION INQUIRY INTO </w:t>
      </w:r>
      <w:r w:rsidR="00BB01AB">
        <w:rPr>
          <w:rFonts w:cstheme="minorHAnsi"/>
          <w:b/>
          <w:bCs/>
          <w:sz w:val="40"/>
          <w:szCs w:val="40"/>
        </w:rPr>
        <w:t>GST DISTRIBUTION REFORMS</w:t>
      </w:r>
    </w:p>
    <w:p w14:paraId="44FA3DEC" w14:textId="36DA40FB" w:rsidR="00A24939" w:rsidRDefault="00A24939" w:rsidP="00937C6A">
      <w:pPr>
        <w:jc w:val="center"/>
        <w:rPr>
          <w:b/>
          <w:bCs/>
        </w:rPr>
      </w:pPr>
    </w:p>
    <w:p w14:paraId="6DFBA93C" w14:textId="6A984AA5" w:rsidR="005F51F2" w:rsidRDefault="005F51F2" w:rsidP="00937C6A">
      <w:pPr>
        <w:jc w:val="center"/>
        <w:rPr>
          <w:b/>
          <w:bCs/>
        </w:rPr>
      </w:pPr>
    </w:p>
    <w:p w14:paraId="6F7492DA" w14:textId="77777777" w:rsidR="005F51F2" w:rsidRDefault="005F51F2" w:rsidP="00937C6A">
      <w:pPr>
        <w:jc w:val="center"/>
        <w:rPr>
          <w:b/>
          <w:bCs/>
        </w:rPr>
      </w:pPr>
    </w:p>
    <w:p w14:paraId="63980A9E" w14:textId="138EE255" w:rsidR="005F51F2" w:rsidRDefault="005F51F2" w:rsidP="00937C6A">
      <w:pPr>
        <w:jc w:val="center"/>
        <w:rPr>
          <w:b/>
          <w:bCs/>
        </w:rPr>
      </w:pPr>
      <w:r>
        <w:rPr>
          <w:b/>
          <w:bCs/>
        </w:rPr>
        <w:t>Submitted by</w:t>
      </w:r>
    </w:p>
    <w:p w14:paraId="6B8D9345" w14:textId="29F1CF26" w:rsidR="005F51F2" w:rsidRDefault="005F51F2" w:rsidP="00937C6A">
      <w:pPr>
        <w:jc w:val="center"/>
        <w:rPr>
          <w:b/>
          <w:bCs/>
        </w:rPr>
      </w:pPr>
      <w:r>
        <w:rPr>
          <w:b/>
          <w:bCs/>
        </w:rPr>
        <w:t>Clive Brooks</w:t>
      </w:r>
    </w:p>
    <w:p w14:paraId="16094208" w14:textId="77777777" w:rsidR="009C0566" w:rsidRDefault="009C0566">
      <w:pPr>
        <w:rPr>
          <w:b/>
          <w:bCs/>
        </w:rPr>
      </w:pPr>
    </w:p>
    <w:p w14:paraId="60AF93C0" w14:textId="77777777" w:rsidR="009C0566" w:rsidRDefault="009C0566">
      <w:pPr>
        <w:rPr>
          <w:b/>
          <w:bCs/>
        </w:rPr>
      </w:pPr>
    </w:p>
    <w:p w14:paraId="5D32210B" w14:textId="77777777" w:rsidR="009C0566" w:rsidRDefault="009C0566">
      <w:pPr>
        <w:rPr>
          <w:b/>
          <w:bCs/>
        </w:rPr>
      </w:pPr>
    </w:p>
    <w:p w14:paraId="666B13BC" w14:textId="77777777" w:rsidR="009C0566" w:rsidRDefault="009C0566">
      <w:pPr>
        <w:rPr>
          <w:b/>
          <w:bCs/>
        </w:rPr>
      </w:pPr>
    </w:p>
    <w:p w14:paraId="39B5E72C" w14:textId="77777777" w:rsidR="009C0566" w:rsidRDefault="009C0566">
      <w:pPr>
        <w:rPr>
          <w:b/>
          <w:bCs/>
        </w:rPr>
      </w:pPr>
    </w:p>
    <w:p w14:paraId="484E9D1A" w14:textId="77777777" w:rsidR="009C0566" w:rsidRDefault="009C0566">
      <w:pPr>
        <w:rPr>
          <w:b/>
          <w:bCs/>
        </w:rPr>
      </w:pPr>
    </w:p>
    <w:p w14:paraId="5D0D0281" w14:textId="77777777" w:rsidR="009C0566" w:rsidRDefault="009C0566">
      <w:pPr>
        <w:rPr>
          <w:b/>
          <w:bCs/>
        </w:rPr>
      </w:pPr>
    </w:p>
    <w:p w14:paraId="656B46E7" w14:textId="77777777" w:rsidR="009C0566" w:rsidRDefault="009C0566">
      <w:pPr>
        <w:rPr>
          <w:b/>
          <w:bCs/>
        </w:rPr>
      </w:pPr>
    </w:p>
    <w:p w14:paraId="1A18DA2E" w14:textId="77777777" w:rsidR="009C0566" w:rsidRDefault="009C0566">
      <w:pPr>
        <w:rPr>
          <w:b/>
          <w:bCs/>
        </w:rPr>
      </w:pPr>
    </w:p>
    <w:p w14:paraId="563D24DA" w14:textId="77777777" w:rsidR="009C0566" w:rsidRDefault="009C0566">
      <w:pPr>
        <w:rPr>
          <w:b/>
          <w:bCs/>
        </w:rPr>
      </w:pPr>
    </w:p>
    <w:p w14:paraId="709D4EF1" w14:textId="4FBAF9E1" w:rsidR="009C0566" w:rsidRDefault="009C0566">
      <w:pPr>
        <w:rPr>
          <w:b/>
          <w:bCs/>
        </w:rPr>
      </w:pPr>
      <w:r>
        <w:rPr>
          <w:b/>
          <w:bCs/>
        </w:rPr>
        <w:t>September 2026</w:t>
      </w:r>
    </w:p>
    <w:p w14:paraId="461C2999" w14:textId="02BB9059" w:rsidR="00A24939" w:rsidRDefault="00A24939">
      <w:pPr>
        <w:rPr>
          <w:b/>
          <w:bCs/>
        </w:rPr>
      </w:pPr>
      <w:r>
        <w:rPr>
          <w:b/>
          <w:bCs/>
        </w:rPr>
        <w:br w:type="page"/>
      </w:r>
    </w:p>
    <w:sdt>
      <w:sdtPr>
        <w:rPr>
          <w:rFonts w:asciiTheme="minorHAnsi" w:eastAsiaTheme="minorHAnsi" w:hAnsiTheme="minorHAnsi" w:cstheme="minorBidi"/>
          <w:color w:val="auto"/>
          <w:sz w:val="22"/>
          <w:szCs w:val="22"/>
          <w:lang w:val="en-AU"/>
        </w:rPr>
        <w:id w:val="344458338"/>
        <w:docPartObj>
          <w:docPartGallery w:val="Table of Contents"/>
          <w:docPartUnique/>
        </w:docPartObj>
      </w:sdtPr>
      <w:sdtEndPr>
        <w:rPr>
          <w:b/>
          <w:bCs/>
          <w:noProof/>
        </w:rPr>
      </w:sdtEndPr>
      <w:sdtContent>
        <w:p w14:paraId="3F73094D" w14:textId="1A5B5867" w:rsidR="00057F74" w:rsidRDefault="00D5323E" w:rsidP="00057F74">
          <w:pPr>
            <w:pStyle w:val="TOCHeading"/>
            <w:jc w:val="center"/>
          </w:pPr>
          <w:r>
            <w:t>CONTENTS</w:t>
          </w:r>
        </w:p>
        <w:p w14:paraId="026B0D0B" w14:textId="42E085F2" w:rsidR="009C0566" w:rsidRDefault="00057F74">
          <w:pPr>
            <w:pStyle w:val="TOC1"/>
            <w:tabs>
              <w:tab w:val="left" w:pos="480"/>
              <w:tab w:val="right" w:leader="dot" w:pos="9016"/>
            </w:tabs>
            <w:rPr>
              <w:rFonts w:eastAsiaTheme="minorEastAsia"/>
              <w:noProof/>
              <w:kern w:val="2"/>
              <w:sz w:val="24"/>
              <w:szCs w:val="24"/>
              <w:lang w:eastAsia="en-AU"/>
              <w14:ligatures w14:val="standardContextual"/>
            </w:rPr>
          </w:pPr>
          <w:r>
            <w:fldChar w:fldCharType="begin"/>
          </w:r>
          <w:r>
            <w:instrText xml:space="preserve"> TOC \o "1-3" \h \z \u </w:instrText>
          </w:r>
          <w:r>
            <w:fldChar w:fldCharType="separate"/>
          </w:r>
          <w:hyperlink w:anchor="_Toc240898778" w:history="1">
            <w:r w:rsidR="009C0566" w:rsidRPr="001101BB">
              <w:rPr>
                <w:rStyle w:val="Hyperlink"/>
                <w:noProof/>
              </w:rPr>
              <w:t>1.</w:t>
            </w:r>
            <w:r w:rsidR="009C0566">
              <w:rPr>
                <w:rFonts w:eastAsiaTheme="minorEastAsia"/>
                <w:noProof/>
                <w:kern w:val="2"/>
                <w:sz w:val="24"/>
                <w:szCs w:val="24"/>
                <w:lang w:eastAsia="en-AU"/>
                <w14:ligatures w14:val="standardContextual"/>
              </w:rPr>
              <w:tab/>
            </w:r>
            <w:r w:rsidR="009C0566" w:rsidRPr="001101BB">
              <w:rPr>
                <w:rStyle w:val="Hyperlink"/>
                <w:noProof/>
              </w:rPr>
              <w:t>OVERVIEW</w:t>
            </w:r>
            <w:r w:rsidR="009C0566">
              <w:rPr>
                <w:noProof/>
                <w:webHidden/>
              </w:rPr>
              <w:tab/>
            </w:r>
            <w:r w:rsidR="009C0566">
              <w:rPr>
                <w:noProof/>
                <w:webHidden/>
              </w:rPr>
              <w:fldChar w:fldCharType="begin"/>
            </w:r>
            <w:r w:rsidR="009C0566">
              <w:rPr>
                <w:noProof/>
                <w:webHidden/>
              </w:rPr>
              <w:instrText xml:space="preserve"> PAGEREF _Toc240898778 \h </w:instrText>
            </w:r>
            <w:r w:rsidR="009C0566">
              <w:rPr>
                <w:noProof/>
                <w:webHidden/>
              </w:rPr>
            </w:r>
            <w:r w:rsidR="009C0566">
              <w:rPr>
                <w:noProof/>
                <w:webHidden/>
              </w:rPr>
              <w:fldChar w:fldCharType="separate"/>
            </w:r>
            <w:r w:rsidR="00D0629C">
              <w:rPr>
                <w:noProof/>
                <w:webHidden/>
              </w:rPr>
              <w:t>1</w:t>
            </w:r>
            <w:r w:rsidR="009C0566">
              <w:rPr>
                <w:noProof/>
                <w:webHidden/>
              </w:rPr>
              <w:fldChar w:fldCharType="end"/>
            </w:r>
          </w:hyperlink>
        </w:p>
        <w:p w14:paraId="5FDFFE8A" w14:textId="46B8FCB5" w:rsidR="009C0566" w:rsidRDefault="009C0566">
          <w:pPr>
            <w:pStyle w:val="TOC1"/>
            <w:tabs>
              <w:tab w:val="left" w:pos="480"/>
              <w:tab w:val="right" w:leader="dot" w:pos="9016"/>
            </w:tabs>
            <w:rPr>
              <w:rFonts w:eastAsiaTheme="minorEastAsia"/>
              <w:noProof/>
              <w:kern w:val="2"/>
              <w:sz w:val="24"/>
              <w:szCs w:val="24"/>
              <w:lang w:eastAsia="en-AU"/>
              <w14:ligatures w14:val="standardContextual"/>
            </w:rPr>
          </w:pPr>
          <w:hyperlink w:anchor="_Toc240898779" w:history="1">
            <w:r w:rsidRPr="001101BB">
              <w:rPr>
                <w:rStyle w:val="Hyperlink"/>
                <w:noProof/>
              </w:rPr>
              <w:t>2.</w:t>
            </w:r>
            <w:r>
              <w:rPr>
                <w:rFonts w:eastAsiaTheme="minorEastAsia"/>
                <w:noProof/>
                <w:kern w:val="2"/>
                <w:sz w:val="24"/>
                <w:szCs w:val="24"/>
                <w:lang w:eastAsia="en-AU"/>
                <w14:ligatures w14:val="standardContextual"/>
              </w:rPr>
              <w:tab/>
            </w:r>
            <w:r w:rsidRPr="001101BB">
              <w:rPr>
                <w:rStyle w:val="Hyperlink"/>
                <w:noProof/>
              </w:rPr>
              <w:t>HFE IN AUSTRALIA</w:t>
            </w:r>
            <w:r>
              <w:rPr>
                <w:noProof/>
                <w:webHidden/>
              </w:rPr>
              <w:tab/>
            </w:r>
            <w:r>
              <w:rPr>
                <w:noProof/>
                <w:webHidden/>
              </w:rPr>
              <w:fldChar w:fldCharType="begin"/>
            </w:r>
            <w:r>
              <w:rPr>
                <w:noProof/>
                <w:webHidden/>
              </w:rPr>
              <w:instrText xml:space="preserve"> PAGEREF _Toc240898779 \h </w:instrText>
            </w:r>
            <w:r>
              <w:rPr>
                <w:noProof/>
                <w:webHidden/>
              </w:rPr>
            </w:r>
            <w:r>
              <w:rPr>
                <w:noProof/>
                <w:webHidden/>
              </w:rPr>
              <w:fldChar w:fldCharType="separate"/>
            </w:r>
            <w:r w:rsidR="00D0629C">
              <w:rPr>
                <w:noProof/>
                <w:webHidden/>
              </w:rPr>
              <w:t>1</w:t>
            </w:r>
            <w:r>
              <w:rPr>
                <w:noProof/>
                <w:webHidden/>
              </w:rPr>
              <w:fldChar w:fldCharType="end"/>
            </w:r>
          </w:hyperlink>
        </w:p>
        <w:p w14:paraId="2F34E009" w14:textId="645FB4B2" w:rsidR="009C0566" w:rsidRDefault="009C0566">
          <w:pPr>
            <w:pStyle w:val="TOC2"/>
            <w:tabs>
              <w:tab w:val="left" w:pos="960"/>
              <w:tab w:val="right" w:leader="dot" w:pos="9016"/>
            </w:tabs>
            <w:rPr>
              <w:rFonts w:eastAsiaTheme="minorEastAsia"/>
              <w:noProof/>
              <w:kern w:val="2"/>
              <w:sz w:val="24"/>
              <w:szCs w:val="24"/>
              <w:lang w:eastAsia="en-AU"/>
              <w14:ligatures w14:val="standardContextual"/>
            </w:rPr>
          </w:pPr>
          <w:hyperlink w:anchor="_Toc240898780" w:history="1">
            <w:r w:rsidRPr="001101BB">
              <w:rPr>
                <w:rStyle w:val="Hyperlink"/>
                <w:noProof/>
              </w:rPr>
              <w:t>2.1</w:t>
            </w:r>
            <w:r>
              <w:rPr>
                <w:rFonts w:eastAsiaTheme="minorEastAsia"/>
                <w:noProof/>
                <w:kern w:val="2"/>
                <w:sz w:val="24"/>
                <w:szCs w:val="24"/>
                <w:lang w:eastAsia="en-AU"/>
                <w14:ligatures w14:val="standardContextual"/>
              </w:rPr>
              <w:tab/>
            </w:r>
            <w:r w:rsidRPr="001101BB">
              <w:rPr>
                <w:rStyle w:val="Hyperlink"/>
                <w:noProof/>
              </w:rPr>
              <w:t>Dispelling Some Misconceptions About the HFE System</w:t>
            </w:r>
            <w:r>
              <w:rPr>
                <w:noProof/>
                <w:webHidden/>
              </w:rPr>
              <w:tab/>
            </w:r>
            <w:r>
              <w:rPr>
                <w:noProof/>
                <w:webHidden/>
              </w:rPr>
              <w:fldChar w:fldCharType="begin"/>
            </w:r>
            <w:r>
              <w:rPr>
                <w:noProof/>
                <w:webHidden/>
              </w:rPr>
              <w:instrText xml:space="preserve"> PAGEREF _Toc240898780 \h </w:instrText>
            </w:r>
            <w:r>
              <w:rPr>
                <w:noProof/>
                <w:webHidden/>
              </w:rPr>
            </w:r>
            <w:r>
              <w:rPr>
                <w:noProof/>
                <w:webHidden/>
              </w:rPr>
              <w:fldChar w:fldCharType="separate"/>
            </w:r>
            <w:r w:rsidR="00D0629C">
              <w:rPr>
                <w:noProof/>
                <w:webHidden/>
              </w:rPr>
              <w:t>1</w:t>
            </w:r>
            <w:r>
              <w:rPr>
                <w:noProof/>
                <w:webHidden/>
              </w:rPr>
              <w:fldChar w:fldCharType="end"/>
            </w:r>
          </w:hyperlink>
        </w:p>
        <w:p w14:paraId="1A8372F8" w14:textId="3F300A5A" w:rsidR="009C0566" w:rsidRDefault="009C0566">
          <w:pPr>
            <w:pStyle w:val="TOC2"/>
            <w:tabs>
              <w:tab w:val="left" w:pos="960"/>
              <w:tab w:val="right" w:leader="dot" w:pos="9016"/>
            </w:tabs>
            <w:rPr>
              <w:rFonts w:eastAsiaTheme="minorEastAsia"/>
              <w:noProof/>
              <w:kern w:val="2"/>
              <w:sz w:val="24"/>
              <w:szCs w:val="24"/>
              <w:lang w:eastAsia="en-AU"/>
              <w14:ligatures w14:val="standardContextual"/>
            </w:rPr>
          </w:pPr>
          <w:hyperlink w:anchor="_Toc240898781" w:history="1">
            <w:r w:rsidRPr="001101BB">
              <w:rPr>
                <w:rStyle w:val="Hyperlink"/>
                <w:noProof/>
              </w:rPr>
              <w:t>2.2</w:t>
            </w:r>
            <w:r>
              <w:rPr>
                <w:rFonts w:eastAsiaTheme="minorEastAsia"/>
                <w:noProof/>
                <w:kern w:val="2"/>
                <w:sz w:val="24"/>
                <w:szCs w:val="24"/>
                <w:lang w:eastAsia="en-AU"/>
                <w14:ligatures w14:val="standardContextual"/>
              </w:rPr>
              <w:tab/>
            </w:r>
            <w:r w:rsidRPr="001101BB">
              <w:rPr>
                <w:rStyle w:val="Hyperlink"/>
                <w:noProof/>
              </w:rPr>
              <w:t>The HFE System was under Pressure Prior to the 2018 Reforms</w:t>
            </w:r>
            <w:r>
              <w:rPr>
                <w:noProof/>
                <w:webHidden/>
              </w:rPr>
              <w:tab/>
            </w:r>
            <w:r>
              <w:rPr>
                <w:noProof/>
                <w:webHidden/>
              </w:rPr>
              <w:fldChar w:fldCharType="begin"/>
            </w:r>
            <w:r>
              <w:rPr>
                <w:noProof/>
                <w:webHidden/>
              </w:rPr>
              <w:instrText xml:space="preserve"> PAGEREF _Toc240898781 \h </w:instrText>
            </w:r>
            <w:r>
              <w:rPr>
                <w:noProof/>
                <w:webHidden/>
              </w:rPr>
            </w:r>
            <w:r>
              <w:rPr>
                <w:noProof/>
                <w:webHidden/>
              </w:rPr>
              <w:fldChar w:fldCharType="separate"/>
            </w:r>
            <w:r w:rsidR="00D0629C">
              <w:rPr>
                <w:noProof/>
                <w:webHidden/>
              </w:rPr>
              <w:t>2</w:t>
            </w:r>
            <w:r>
              <w:rPr>
                <w:noProof/>
                <w:webHidden/>
              </w:rPr>
              <w:fldChar w:fldCharType="end"/>
            </w:r>
          </w:hyperlink>
        </w:p>
        <w:p w14:paraId="3FDE4253" w14:textId="5DECA724" w:rsidR="009C0566" w:rsidRDefault="009C0566">
          <w:pPr>
            <w:pStyle w:val="TOC1"/>
            <w:tabs>
              <w:tab w:val="left" w:pos="480"/>
              <w:tab w:val="right" w:leader="dot" w:pos="9016"/>
            </w:tabs>
            <w:rPr>
              <w:rFonts w:eastAsiaTheme="minorEastAsia"/>
              <w:noProof/>
              <w:kern w:val="2"/>
              <w:sz w:val="24"/>
              <w:szCs w:val="24"/>
              <w:lang w:eastAsia="en-AU"/>
              <w14:ligatures w14:val="standardContextual"/>
            </w:rPr>
          </w:pPr>
          <w:hyperlink w:anchor="_Toc240898782" w:history="1">
            <w:r w:rsidRPr="001101BB">
              <w:rPr>
                <w:rStyle w:val="Hyperlink"/>
                <w:noProof/>
              </w:rPr>
              <w:t>3.</w:t>
            </w:r>
            <w:r>
              <w:rPr>
                <w:rFonts w:eastAsiaTheme="minorEastAsia"/>
                <w:noProof/>
                <w:kern w:val="2"/>
                <w:sz w:val="24"/>
                <w:szCs w:val="24"/>
                <w:lang w:eastAsia="en-AU"/>
                <w14:ligatures w14:val="standardContextual"/>
              </w:rPr>
              <w:tab/>
            </w:r>
            <w:r w:rsidRPr="001101BB">
              <w:rPr>
                <w:rStyle w:val="Hyperlink"/>
                <w:noProof/>
              </w:rPr>
              <w:t>IMPACTS OF THE 2018 REFORMS</w:t>
            </w:r>
            <w:r>
              <w:rPr>
                <w:noProof/>
                <w:webHidden/>
              </w:rPr>
              <w:tab/>
            </w:r>
            <w:r>
              <w:rPr>
                <w:noProof/>
                <w:webHidden/>
              </w:rPr>
              <w:fldChar w:fldCharType="begin"/>
            </w:r>
            <w:r>
              <w:rPr>
                <w:noProof/>
                <w:webHidden/>
              </w:rPr>
              <w:instrText xml:space="preserve"> PAGEREF _Toc240898782 \h </w:instrText>
            </w:r>
            <w:r>
              <w:rPr>
                <w:noProof/>
                <w:webHidden/>
              </w:rPr>
            </w:r>
            <w:r>
              <w:rPr>
                <w:noProof/>
                <w:webHidden/>
              </w:rPr>
              <w:fldChar w:fldCharType="separate"/>
            </w:r>
            <w:r w:rsidR="00D0629C">
              <w:rPr>
                <w:noProof/>
                <w:webHidden/>
              </w:rPr>
              <w:t>2</w:t>
            </w:r>
            <w:r>
              <w:rPr>
                <w:noProof/>
                <w:webHidden/>
              </w:rPr>
              <w:fldChar w:fldCharType="end"/>
            </w:r>
          </w:hyperlink>
        </w:p>
        <w:p w14:paraId="4CA346C3" w14:textId="1222797D" w:rsidR="009C0566" w:rsidRDefault="009C0566">
          <w:pPr>
            <w:pStyle w:val="TOC2"/>
            <w:tabs>
              <w:tab w:val="left" w:pos="960"/>
              <w:tab w:val="right" w:leader="dot" w:pos="9016"/>
            </w:tabs>
            <w:rPr>
              <w:rFonts w:eastAsiaTheme="minorEastAsia"/>
              <w:noProof/>
              <w:kern w:val="2"/>
              <w:sz w:val="24"/>
              <w:szCs w:val="24"/>
              <w:lang w:eastAsia="en-AU"/>
              <w14:ligatures w14:val="standardContextual"/>
            </w:rPr>
          </w:pPr>
          <w:hyperlink w:anchor="_Toc240898783" w:history="1">
            <w:r w:rsidRPr="001101BB">
              <w:rPr>
                <w:rStyle w:val="Hyperlink"/>
                <w:noProof/>
              </w:rPr>
              <w:t>3.1</w:t>
            </w:r>
            <w:r>
              <w:rPr>
                <w:rFonts w:eastAsiaTheme="minorEastAsia"/>
                <w:noProof/>
                <w:kern w:val="2"/>
                <w:sz w:val="24"/>
                <w:szCs w:val="24"/>
                <w:lang w:eastAsia="en-AU"/>
                <w14:ligatures w14:val="standardContextual"/>
              </w:rPr>
              <w:tab/>
            </w:r>
            <w:r w:rsidRPr="001101BB">
              <w:rPr>
                <w:rStyle w:val="Hyperlink"/>
                <w:noProof/>
              </w:rPr>
              <w:t>The Reform Package</w:t>
            </w:r>
            <w:r>
              <w:rPr>
                <w:noProof/>
                <w:webHidden/>
              </w:rPr>
              <w:tab/>
            </w:r>
            <w:r>
              <w:rPr>
                <w:noProof/>
                <w:webHidden/>
              </w:rPr>
              <w:fldChar w:fldCharType="begin"/>
            </w:r>
            <w:r>
              <w:rPr>
                <w:noProof/>
                <w:webHidden/>
              </w:rPr>
              <w:instrText xml:space="preserve"> PAGEREF _Toc240898783 \h </w:instrText>
            </w:r>
            <w:r>
              <w:rPr>
                <w:noProof/>
                <w:webHidden/>
              </w:rPr>
            </w:r>
            <w:r>
              <w:rPr>
                <w:noProof/>
                <w:webHidden/>
              </w:rPr>
              <w:fldChar w:fldCharType="separate"/>
            </w:r>
            <w:r w:rsidR="00D0629C">
              <w:rPr>
                <w:noProof/>
                <w:webHidden/>
              </w:rPr>
              <w:t>2</w:t>
            </w:r>
            <w:r>
              <w:rPr>
                <w:noProof/>
                <w:webHidden/>
              </w:rPr>
              <w:fldChar w:fldCharType="end"/>
            </w:r>
          </w:hyperlink>
        </w:p>
        <w:p w14:paraId="2EDE9429" w14:textId="160CCBEC" w:rsidR="009C0566" w:rsidRDefault="009C0566">
          <w:pPr>
            <w:pStyle w:val="TOC2"/>
            <w:tabs>
              <w:tab w:val="left" w:pos="960"/>
              <w:tab w:val="right" w:leader="dot" w:pos="9016"/>
            </w:tabs>
            <w:rPr>
              <w:rFonts w:eastAsiaTheme="minorEastAsia"/>
              <w:noProof/>
              <w:kern w:val="2"/>
              <w:sz w:val="24"/>
              <w:szCs w:val="24"/>
              <w:lang w:eastAsia="en-AU"/>
              <w14:ligatures w14:val="standardContextual"/>
            </w:rPr>
          </w:pPr>
          <w:hyperlink w:anchor="_Toc240898784" w:history="1">
            <w:r w:rsidRPr="001101BB">
              <w:rPr>
                <w:rStyle w:val="Hyperlink"/>
                <w:noProof/>
              </w:rPr>
              <w:t>3.2</w:t>
            </w:r>
            <w:r>
              <w:rPr>
                <w:rFonts w:eastAsiaTheme="minorEastAsia"/>
                <w:noProof/>
                <w:kern w:val="2"/>
                <w:sz w:val="24"/>
                <w:szCs w:val="24"/>
                <w:lang w:eastAsia="en-AU"/>
                <w14:ligatures w14:val="standardContextual"/>
              </w:rPr>
              <w:tab/>
            </w:r>
            <w:r w:rsidRPr="001101BB">
              <w:rPr>
                <w:rStyle w:val="Hyperlink"/>
                <w:noProof/>
              </w:rPr>
              <w:t>The 2018 Reforms Deliver a Lower Degree of HFE</w:t>
            </w:r>
            <w:r>
              <w:rPr>
                <w:noProof/>
                <w:webHidden/>
              </w:rPr>
              <w:tab/>
            </w:r>
            <w:r>
              <w:rPr>
                <w:noProof/>
                <w:webHidden/>
              </w:rPr>
              <w:fldChar w:fldCharType="begin"/>
            </w:r>
            <w:r>
              <w:rPr>
                <w:noProof/>
                <w:webHidden/>
              </w:rPr>
              <w:instrText xml:space="preserve"> PAGEREF _Toc240898784 \h </w:instrText>
            </w:r>
            <w:r>
              <w:rPr>
                <w:noProof/>
                <w:webHidden/>
              </w:rPr>
            </w:r>
            <w:r>
              <w:rPr>
                <w:noProof/>
                <w:webHidden/>
              </w:rPr>
              <w:fldChar w:fldCharType="separate"/>
            </w:r>
            <w:r w:rsidR="00D0629C">
              <w:rPr>
                <w:noProof/>
                <w:webHidden/>
              </w:rPr>
              <w:t>3</w:t>
            </w:r>
            <w:r>
              <w:rPr>
                <w:noProof/>
                <w:webHidden/>
              </w:rPr>
              <w:fldChar w:fldCharType="end"/>
            </w:r>
          </w:hyperlink>
        </w:p>
        <w:p w14:paraId="2BE6C342" w14:textId="5550FF1B" w:rsidR="009C0566" w:rsidRDefault="009C0566">
          <w:pPr>
            <w:pStyle w:val="TOC2"/>
            <w:tabs>
              <w:tab w:val="left" w:pos="960"/>
              <w:tab w:val="right" w:leader="dot" w:pos="9016"/>
            </w:tabs>
            <w:rPr>
              <w:rFonts w:eastAsiaTheme="minorEastAsia"/>
              <w:noProof/>
              <w:kern w:val="2"/>
              <w:sz w:val="24"/>
              <w:szCs w:val="24"/>
              <w:lang w:eastAsia="en-AU"/>
              <w14:ligatures w14:val="standardContextual"/>
            </w:rPr>
          </w:pPr>
          <w:hyperlink w:anchor="_Toc240898785" w:history="1">
            <w:r w:rsidRPr="001101BB">
              <w:rPr>
                <w:rStyle w:val="Hyperlink"/>
                <w:noProof/>
              </w:rPr>
              <w:t>3.3</w:t>
            </w:r>
            <w:r>
              <w:rPr>
                <w:rFonts w:eastAsiaTheme="minorEastAsia"/>
                <w:noProof/>
                <w:kern w:val="2"/>
                <w:sz w:val="24"/>
                <w:szCs w:val="24"/>
                <w:lang w:eastAsia="en-AU"/>
                <w14:ligatures w14:val="standardContextual"/>
              </w:rPr>
              <w:tab/>
            </w:r>
            <w:r w:rsidRPr="001101BB">
              <w:rPr>
                <w:rStyle w:val="Hyperlink"/>
                <w:noProof/>
              </w:rPr>
              <w:t>Impacts on the GST Distribution System</w:t>
            </w:r>
            <w:r>
              <w:rPr>
                <w:noProof/>
                <w:webHidden/>
              </w:rPr>
              <w:tab/>
            </w:r>
            <w:r>
              <w:rPr>
                <w:noProof/>
                <w:webHidden/>
              </w:rPr>
              <w:fldChar w:fldCharType="begin"/>
            </w:r>
            <w:r>
              <w:rPr>
                <w:noProof/>
                <w:webHidden/>
              </w:rPr>
              <w:instrText xml:space="preserve"> PAGEREF _Toc240898785 \h </w:instrText>
            </w:r>
            <w:r>
              <w:rPr>
                <w:noProof/>
                <w:webHidden/>
              </w:rPr>
            </w:r>
            <w:r>
              <w:rPr>
                <w:noProof/>
                <w:webHidden/>
              </w:rPr>
              <w:fldChar w:fldCharType="separate"/>
            </w:r>
            <w:r w:rsidR="00D0629C">
              <w:rPr>
                <w:noProof/>
                <w:webHidden/>
              </w:rPr>
              <w:t>3</w:t>
            </w:r>
            <w:r>
              <w:rPr>
                <w:noProof/>
                <w:webHidden/>
              </w:rPr>
              <w:fldChar w:fldCharType="end"/>
            </w:r>
          </w:hyperlink>
        </w:p>
        <w:p w14:paraId="4EDD9710" w14:textId="7E2CAD2E" w:rsidR="009C0566" w:rsidRDefault="009C0566">
          <w:pPr>
            <w:pStyle w:val="TOC2"/>
            <w:tabs>
              <w:tab w:val="left" w:pos="960"/>
              <w:tab w:val="right" w:leader="dot" w:pos="9016"/>
            </w:tabs>
            <w:rPr>
              <w:rFonts w:eastAsiaTheme="minorEastAsia"/>
              <w:noProof/>
              <w:kern w:val="2"/>
              <w:sz w:val="24"/>
              <w:szCs w:val="24"/>
              <w:lang w:eastAsia="en-AU"/>
              <w14:ligatures w14:val="standardContextual"/>
            </w:rPr>
          </w:pPr>
          <w:hyperlink w:anchor="_Toc240898786" w:history="1">
            <w:r w:rsidRPr="001101BB">
              <w:rPr>
                <w:rStyle w:val="Hyperlink"/>
                <w:noProof/>
              </w:rPr>
              <w:t>3.4</w:t>
            </w:r>
            <w:r>
              <w:rPr>
                <w:rFonts w:eastAsiaTheme="minorEastAsia"/>
                <w:noProof/>
                <w:kern w:val="2"/>
                <w:sz w:val="24"/>
                <w:szCs w:val="24"/>
                <w:lang w:eastAsia="en-AU"/>
                <w14:ligatures w14:val="standardContextual"/>
              </w:rPr>
              <w:tab/>
            </w:r>
            <w:r w:rsidRPr="001101BB">
              <w:rPr>
                <w:rStyle w:val="Hyperlink"/>
                <w:noProof/>
              </w:rPr>
              <w:t>The 2018 Reforms are Generally not Operating as Intended</w:t>
            </w:r>
            <w:r>
              <w:rPr>
                <w:noProof/>
                <w:webHidden/>
              </w:rPr>
              <w:tab/>
            </w:r>
            <w:r>
              <w:rPr>
                <w:noProof/>
                <w:webHidden/>
              </w:rPr>
              <w:fldChar w:fldCharType="begin"/>
            </w:r>
            <w:r>
              <w:rPr>
                <w:noProof/>
                <w:webHidden/>
              </w:rPr>
              <w:instrText xml:space="preserve"> PAGEREF _Toc240898786 \h </w:instrText>
            </w:r>
            <w:r>
              <w:rPr>
                <w:noProof/>
                <w:webHidden/>
              </w:rPr>
            </w:r>
            <w:r>
              <w:rPr>
                <w:noProof/>
                <w:webHidden/>
              </w:rPr>
              <w:fldChar w:fldCharType="separate"/>
            </w:r>
            <w:r w:rsidR="00D0629C">
              <w:rPr>
                <w:noProof/>
                <w:webHidden/>
              </w:rPr>
              <w:t>4</w:t>
            </w:r>
            <w:r>
              <w:rPr>
                <w:noProof/>
                <w:webHidden/>
              </w:rPr>
              <w:fldChar w:fldCharType="end"/>
            </w:r>
          </w:hyperlink>
        </w:p>
        <w:p w14:paraId="25F923B8" w14:textId="5C12E407" w:rsidR="009C0566" w:rsidRDefault="009C0566">
          <w:pPr>
            <w:pStyle w:val="TOC1"/>
            <w:tabs>
              <w:tab w:val="left" w:pos="480"/>
              <w:tab w:val="right" w:leader="dot" w:pos="9016"/>
            </w:tabs>
            <w:rPr>
              <w:rFonts w:eastAsiaTheme="minorEastAsia"/>
              <w:noProof/>
              <w:kern w:val="2"/>
              <w:sz w:val="24"/>
              <w:szCs w:val="24"/>
              <w:lang w:eastAsia="en-AU"/>
              <w14:ligatures w14:val="standardContextual"/>
            </w:rPr>
          </w:pPr>
          <w:hyperlink w:anchor="_Toc240898787" w:history="1">
            <w:r w:rsidRPr="001101BB">
              <w:rPr>
                <w:rStyle w:val="Hyperlink"/>
                <w:noProof/>
              </w:rPr>
              <w:t>4.</w:t>
            </w:r>
            <w:r>
              <w:rPr>
                <w:rFonts w:eastAsiaTheme="minorEastAsia"/>
                <w:noProof/>
                <w:kern w:val="2"/>
                <w:sz w:val="24"/>
                <w:szCs w:val="24"/>
                <w:lang w:eastAsia="en-AU"/>
                <w14:ligatures w14:val="standardContextual"/>
              </w:rPr>
              <w:tab/>
            </w:r>
            <w:r w:rsidRPr="001101BB">
              <w:rPr>
                <w:rStyle w:val="Hyperlink"/>
                <w:noProof/>
              </w:rPr>
              <w:t>THE PC’S ASSESSMENT OF THE CURRENT SYSTEM</w:t>
            </w:r>
            <w:r>
              <w:rPr>
                <w:noProof/>
                <w:webHidden/>
              </w:rPr>
              <w:tab/>
            </w:r>
            <w:r>
              <w:rPr>
                <w:noProof/>
                <w:webHidden/>
              </w:rPr>
              <w:fldChar w:fldCharType="begin"/>
            </w:r>
            <w:r>
              <w:rPr>
                <w:noProof/>
                <w:webHidden/>
              </w:rPr>
              <w:instrText xml:space="preserve"> PAGEREF _Toc240898787 \h </w:instrText>
            </w:r>
            <w:r>
              <w:rPr>
                <w:noProof/>
                <w:webHidden/>
              </w:rPr>
            </w:r>
            <w:r>
              <w:rPr>
                <w:noProof/>
                <w:webHidden/>
              </w:rPr>
              <w:fldChar w:fldCharType="separate"/>
            </w:r>
            <w:r w:rsidR="00D0629C">
              <w:rPr>
                <w:noProof/>
                <w:webHidden/>
              </w:rPr>
              <w:t>4</w:t>
            </w:r>
            <w:r>
              <w:rPr>
                <w:noProof/>
                <w:webHidden/>
              </w:rPr>
              <w:fldChar w:fldCharType="end"/>
            </w:r>
          </w:hyperlink>
        </w:p>
        <w:p w14:paraId="61DC1AB1" w14:textId="1AF8C974" w:rsidR="009C0566" w:rsidRDefault="009C0566">
          <w:pPr>
            <w:pStyle w:val="TOC2"/>
            <w:tabs>
              <w:tab w:val="left" w:pos="960"/>
              <w:tab w:val="right" w:leader="dot" w:pos="9016"/>
            </w:tabs>
            <w:rPr>
              <w:rFonts w:eastAsiaTheme="minorEastAsia"/>
              <w:noProof/>
              <w:kern w:val="2"/>
              <w:sz w:val="24"/>
              <w:szCs w:val="24"/>
              <w:lang w:eastAsia="en-AU"/>
              <w14:ligatures w14:val="standardContextual"/>
            </w:rPr>
          </w:pPr>
          <w:hyperlink w:anchor="_Toc240898788" w:history="1">
            <w:r w:rsidRPr="001101BB">
              <w:rPr>
                <w:rStyle w:val="Hyperlink"/>
                <w:noProof/>
              </w:rPr>
              <w:t>4.1</w:t>
            </w:r>
            <w:r>
              <w:rPr>
                <w:rFonts w:eastAsiaTheme="minorEastAsia"/>
                <w:noProof/>
                <w:kern w:val="2"/>
                <w:sz w:val="24"/>
                <w:szCs w:val="24"/>
                <w:lang w:eastAsia="en-AU"/>
                <w14:ligatures w14:val="standardContextual"/>
              </w:rPr>
              <w:tab/>
            </w:r>
            <w:r w:rsidRPr="001101BB">
              <w:rPr>
                <w:rStyle w:val="Hyperlink"/>
                <w:noProof/>
              </w:rPr>
              <w:t>HFE is Broadly Policy Neutral</w:t>
            </w:r>
            <w:r>
              <w:rPr>
                <w:noProof/>
                <w:webHidden/>
              </w:rPr>
              <w:tab/>
            </w:r>
            <w:r>
              <w:rPr>
                <w:noProof/>
                <w:webHidden/>
              </w:rPr>
              <w:fldChar w:fldCharType="begin"/>
            </w:r>
            <w:r>
              <w:rPr>
                <w:noProof/>
                <w:webHidden/>
              </w:rPr>
              <w:instrText xml:space="preserve"> PAGEREF _Toc240898788 \h </w:instrText>
            </w:r>
            <w:r>
              <w:rPr>
                <w:noProof/>
                <w:webHidden/>
              </w:rPr>
            </w:r>
            <w:r>
              <w:rPr>
                <w:noProof/>
                <w:webHidden/>
              </w:rPr>
              <w:fldChar w:fldCharType="separate"/>
            </w:r>
            <w:r w:rsidR="00D0629C">
              <w:rPr>
                <w:noProof/>
                <w:webHidden/>
              </w:rPr>
              <w:t>4</w:t>
            </w:r>
            <w:r>
              <w:rPr>
                <w:noProof/>
                <w:webHidden/>
              </w:rPr>
              <w:fldChar w:fldCharType="end"/>
            </w:r>
          </w:hyperlink>
        </w:p>
        <w:p w14:paraId="53F8D1C4" w14:textId="396DCEAD" w:rsidR="009C0566" w:rsidRDefault="009C0566">
          <w:pPr>
            <w:pStyle w:val="TOC2"/>
            <w:tabs>
              <w:tab w:val="left" w:pos="960"/>
              <w:tab w:val="right" w:leader="dot" w:pos="9016"/>
            </w:tabs>
            <w:rPr>
              <w:rFonts w:eastAsiaTheme="minorEastAsia"/>
              <w:noProof/>
              <w:kern w:val="2"/>
              <w:sz w:val="24"/>
              <w:szCs w:val="24"/>
              <w:lang w:eastAsia="en-AU"/>
              <w14:ligatures w14:val="standardContextual"/>
            </w:rPr>
          </w:pPr>
          <w:hyperlink w:anchor="_Toc240898789" w:history="1">
            <w:r w:rsidRPr="001101BB">
              <w:rPr>
                <w:rStyle w:val="Hyperlink"/>
                <w:noProof/>
              </w:rPr>
              <w:t>4.2</w:t>
            </w:r>
            <w:r>
              <w:rPr>
                <w:rFonts w:eastAsiaTheme="minorEastAsia"/>
                <w:noProof/>
                <w:kern w:val="2"/>
                <w:sz w:val="24"/>
                <w:szCs w:val="24"/>
                <w:lang w:eastAsia="en-AU"/>
                <w14:ligatures w14:val="standardContextual"/>
              </w:rPr>
              <w:tab/>
            </w:r>
            <w:r w:rsidRPr="001101BB">
              <w:rPr>
                <w:rStyle w:val="Hyperlink"/>
                <w:noProof/>
              </w:rPr>
              <w:t>Mining and Policy Neutrality</w:t>
            </w:r>
            <w:r>
              <w:rPr>
                <w:noProof/>
                <w:webHidden/>
              </w:rPr>
              <w:tab/>
            </w:r>
            <w:r>
              <w:rPr>
                <w:noProof/>
                <w:webHidden/>
              </w:rPr>
              <w:fldChar w:fldCharType="begin"/>
            </w:r>
            <w:r>
              <w:rPr>
                <w:noProof/>
                <w:webHidden/>
              </w:rPr>
              <w:instrText xml:space="preserve"> PAGEREF _Toc240898789 \h </w:instrText>
            </w:r>
            <w:r>
              <w:rPr>
                <w:noProof/>
                <w:webHidden/>
              </w:rPr>
            </w:r>
            <w:r>
              <w:rPr>
                <w:noProof/>
                <w:webHidden/>
              </w:rPr>
              <w:fldChar w:fldCharType="separate"/>
            </w:r>
            <w:r w:rsidR="00D0629C">
              <w:rPr>
                <w:noProof/>
                <w:webHidden/>
              </w:rPr>
              <w:t>5</w:t>
            </w:r>
            <w:r>
              <w:rPr>
                <w:noProof/>
                <w:webHidden/>
              </w:rPr>
              <w:fldChar w:fldCharType="end"/>
            </w:r>
          </w:hyperlink>
        </w:p>
        <w:p w14:paraId="0B942166" w14:textId="755BBA0F" w:rsidR="009C0566" w:rsidRDefault="009C0566">
          <w:pPr>
            <w:pStyle w:val="TOC2"/>
            <w:tabs>
              <w:tab w:val="left" w:pos="960"/>
              <w:tab w:val="right" w:leader="dot" w:pos="9016"/>
            </w:tabs>
            <w:rPr>
              <w:rFonts w:eastAsiaTheme="minorEastAsia"/>
              <w:noProof/>
              <w:kern w:val="2"/>
              <w:sz w:val="24"/>
              <w:szCs w:val="24"/>
              <w:lang w:eastAsia="en-AU"/>
              <w14:ligatures w14:val="standardContextual"/>
            </w:rPr>
          </w:pPr>
          <w:hyperlink w:anchor="_Toc240898790" w:history="1">
            <w:r w:rsidRPr="001101BB">
              <w:rPr>
                <w:rStyle w:val="Hyperlink"/>
                <w:noProof/>
              </w:rPr>
              <w:t>4.3</w:t>
            </w:r>
            <w:r>
              <w:rPr>
                <w:rFonts w:eastAsiaTheme="minorEastAsia"/>
                <w:noProof/>
                <w:kern w:val="2"/>
                <w:sz w:val="24"/>
                <w:szCs w:val="24"/>
                <w:lang w:eastAsia="en-AU"/>
                <w14:ligatures w14:val="standardContextual"/>
              </w:rPr>
              <w:tab/>
            </w:r>
            <w:r w:rsidRPr="001101BB">
              <w:rPr>
                <w:rStyle w:val="Hyperlink"/>
                <w:noProof/>
              </w:rPr>
              <w:t>The NoWO Guarantee Fiscal Impacts on the Commonwealth</w:t>
            </w:r>
            <w:r>
              <w:rPr>
                <w:noProof/>
                <w:webHidden/>
              </w:rPr>
              <w:tab/>
            </w:r>
            <w:r>
              <w:rPr>
                <w:noProof/>
                <w:webHidden/>
              </w:rPr>
              <w:fldChar w:fldCharType="begin"/>
            </w:r>
            <w:r>
              <w:rPr>
                <w:noProof/>
                <w:webHidden/>
              </w:rPr>
              <w:instrText xml:space="preserve"> PAGEREF _Toc240898790 \h </w:instrText>
            </w:r>
            <w:r>
              <w:rPr>
                <w:noProof/>
                <w:webHidden/>
              </w:rPr>
            </w:r>
            <w:r>
              <w:rPr>
                <w:noProof/>
                <w:webHidden/>
              </w:rPr>
              <w:fldChar w:fldCharType="separate"/>
            </w:r>
            <w:r w:rsidR="00D0629C">
              <w:rPr>
                <w:noProof/>
                <w:webHidden/>
              </w:rPr>
              <w:t>5</w:t>
            </w:r>
            <w:r>
              <w:rPr>
                <w:noProof/>
                <w:webHidden/>
              </w:rPr>
              <w:fldChar w:fldCharType="end"/>
            </w:r>
          </w:hyperlink>
        </w:p>
        <w:p w14:paraId="4CD20DB0" w14:textId="51ABB114" w:rsidR="009C0566" w:rsidRDefault="009C0566">
          <w:pPr>
            <w:pStyle w:val="TOC1"/>
            <w:tabs>
              <w:tab w:val="left" w:pos="480"/>
              <w:tab w:val="right" w:leader="dot" w:pos="9016"/>
            </w:tabs>
            <w:rPr>
              <w:rFonts w:eastAsiaTheme="minorEastAsia"/>
              <w:noProof/>
              <w:kern w:val="2"/>
              <w:sz w:val="24"/>
              <w:szCs w:val="24"/>
              <w:lang w:eastAsia="en-AU"/>
              <w14:ligatures w14:val="standardContextual"/>
            </w:rPr>
          </w:pPr>
          <w:hyperlink w:anchor="_Toc240898791" w:history="1">
            <w:r w:rsidRPr="001101BB">
              <w:rPr>
                <w:rStyle w:val="Hyperlink"/>
                <w:noProof/>
              </w:rPr>
              <w:t>5.</w:t>
            </w:r>
            <w:r>
              <w:rPr>
                <w:rFonts w:eastAsiaTheme="minorEastAsia"/>
                <w:noProof/>
                <w:kern w:val="2"/>
                <w:sz w:val="24"/>
                <w:szCs w:val="24"/>
                <w:lang w:eastAsia="en-AU"/>
                <w14:ligatures w14:val="standardContextual"/>
              </w:rPr>
              <w:tab/>
            </w:r>
            <w:r w:rsidRPr="001101BB">
              <w:rPr>
                <w:rStyle w:val="Hyperlink"/>
                <w:noProof/>
              </w:rPr>
              <w:t>ALTERNATIVE GST DISTRIBUTION ARRANGEMENTS</w:t>
            </w:r>
            <w:r>
              <w:rPr>
                <w:noProof/>
                <w:webHidden/>
              </w:rPr>
              <w:tab/>
            </w:r>
            <w:r>
              <w:rPr>
                <w:noProof/>
                <w:webHidden/>
              </w:rPr>
              <w:fldChar w:fldCharType="begin"/>
            </w:r>
            <w:r>
              <w:rPr>
                <w:noProof/>
                <w:webHidden/>
              </w:rPr>
              <w:instrText xml:space="preserve"> PAGEREF _Toc240898791 \h </w:instrText>
            </w:r>
            <w:r>
              <w:rPr>
                <w:noProof/>
                <w:webHidden/>
              </w:rPr>
            </w:r>
            <w:r>
              <w:rPr>
                <w:noProof/>
                <w:webHidden/>
              </w:rPr>
              <w:fldChar w:fldCharType="separate"/>
            </w:r>
            <w:r w:rsidR="00D0629C">
              <w:rPr>
                <w:noProof/>
                <w:webHidden/>
              </w:rPr>
              <w:t>6</w:t>
            </w:r>
            <w:r>
              <w:rPr>
                <w:noProof/>
                <w:webHidden/>
              </w:rPr>
              <w:fldChar w:fldCharType="end"/>
            </w:r>
          </w:hyperlink>
        </w:p>
        <w:p w14:paraId="3163E54A" w14:textId="5C55B288" w:rsidR="009C0566" w:rsidRDefault="009C0566">
          <w:pPr>
            <w:pStyle w:val="TOC1"/>
            <w:tabs>
              <w:tab w:val="left" w:pos="480"/>
              <w:tab w:val="right" w:leader="dot" w:pos="9016"/>
            </w:tabs>
            <w:rPr>
              <w:rFonts w:eastAsiaTheme="minorEastAsia"/>
              <w:noProof/>
              <w:kern w:val="2"/>
              <w:sz w:val="24"/>
              <w:szCs w:val="24"/>
              <w:lang w:eastAsia="en-AU"/>
              <w14:ligatures w14:val="standardContextual"/>
            </w:rPr>
          </w:pPr>
          <w:hyperlink w:anchor="_Toc240898792" w:history="1">
            <w:r w:rsidRPr="001101BB">
              <w:rPr>
                <w:rStyle w:val="Hyperlink"/>
                <w:noProof/>
              </w:rPr>
              <w:t>6.</w:t>
            </w:r>
            <w:r>
              <w:rPr>
                <w:rFonts w:eastAsiaTheme="minorEastAsia"/>
                <w:noProof/>
                <w:kern w:val="2"/>
                <w:sz w:val="24"/>
                <w:szCs w:val="24"/>
                <w:lang w:eastAsia="en-AU"/>
                <w14:ligatures w14:val="standardContextual"/>
              </w:rPr>
              <w:tab/>
            </w:r>
            <w:r w:rsidRPr="001101BB">
              <w:rPr>
                <w:rStyle w:val="Hyperlink"/>
                <w:noProof/>
              </w:rPr>
              <w:t>AN EFFECTIVE FFR SYSTEM</w:t>
            </w:r>
            <w:r>
              <w:rPr>
                <w:noProof/>
                <w:webHidden/>
              </w:rPr>
              <w:tab/>
            </w:r>
            <w:r>
              <w:rPr>
                <w:noProof/>
                <w:webHidden/>
              </w:rPr>
              <w:fldChar w:fldCharType="begin"/>
            </w:r>
            <w:r>
              <w:rPr>
                <w:noProof/>
                <w:webHidden/>
              </w:rPr>
              <w:instrText xml:space="preserve"> PAGEREF _Toc240898792 \h </w:instrText>
            </w:r>
            <w:r>
              <w:rPr>
                <w:noProof/>
                <w:webHidden/>
              </w:rPr>
            </w:r>
            <w:r>
              <w:rPr>
                <w:noProof/>
                <w:webHidden/>
              </w:rPr>
              <w:fldChar w:fldCharType="separate"/>
            </w:r>
            <w:r w:rsidR="00D0629C">
              <w:rPr>
                <w:noProof/>
                <w:webHidden/>
              </w:rPr>
              <w:t>7</w:t>
            </w:r>
            <w:r>
              <w:rPr>
                <w:noProof/>
                <w:webHidden/>
              </w:rPr>
              <w:fldChar w:fldCharType="end"/>
            </w:r>
          </w:hyperlink>
        </w:p>
        <w:p w14:paraId="6060253E" w14:textId="302DFC8B" w:rsidR="009C0566" w:rsidRDefault="009C0566">
          <w:pPr>
            <w:pStyle w:val="TOC1"/>
            <w:tabs>
              <w:tab w:val="left" w:pos="480"/>
              <w:tab w:val="right" w:leader="dot" w:pos="9016"/>
            </w:tabs>
            <w:rPr>
              <w:rFonts w:eastAsiaTheme="minorEastAsia"/>
              <w:noProof/>
              <w:kern w:val="2"/>
              <w:sz w:val="24"/>
              <w:szCs w:val="24"/>
              <w:lang w:eastAsia="en-AU"/>
              <w14:ligatures w14:val="standardContextual"/>
            </w:rPr>
          </w:pPr>
          <w:hyperlink w:anchor="_Toc240898793" w:history="1">
            <w:r w:rsidRPr="001101BB">
              <w:rPr>
                <w:rStyle w:val="Hyperlink"/>
                <w:noProof/>
              </w:rPr>
              <w:t>7.</w:t>
            </w:r>
            <w:r>
              <w:rPr>
                <w:rFonts w:eastAsiaTheme="minorEastAsia"/>
                <w:noProof/>
                <w:kern w:val="2"/>
                <w:sz w:val="24"/>
                <w:szCs w:val="24"/>
                <w:lang w:eastAsia="en-AU"/>
                <w14:ligatures w14:val="standardContextual"/>
              </w:rPr>
              <w:tab/>
            </w:r>
            <w:r w:rsidRPr="001101BB">
              <w:rPr>
                <w:rStyle w:val="Hyperlink"/>
                <w:noProof/>
              </w:rPr>
              <w:t>CONCLUDING COMMENTS</w:t>
            </w:r>
            <w:r>
              <w:rPr>
                <w:noProof/>
                <w:webHidden/>
              </w:rPr>
              <w:tab/>
            </w:r>
            <w:r>
              <w:rPr>
                <w:noProof/>
                <w:webHidden/>
              </w:rPr>
              <w:fldChar w:fldCharType="begin"/>
            </w:r>
            <w:r>
              <w:rPr>
                <w:noProof/>
                <w:webHidden/>
              </w:rPr>
              <w:instrText xml:space="preserve"> PAGEREF _Toc240898793 \h </w:instrText>
            </w:r>
            <w:r>
              <w:rPr>
                <w:noProof/>
                <w:webHidden/>
              </w:rPr>
            </w:r>
            <w:r>
              <w:rPr>
                <w:noProof/>
                <w:webHidden/>
              </w:rPr>
              <w:fldChar w:fldCharType="separate"/>
            </w:r>
            <w:r w:rsidR="00D0629C">
              <w:rPr>
                <w:noProof/>
                <w:webHidden/>
              </w:rPr>
              <w:t>7</w:t>
            </w:r>
            <w:r>
              <w:rPr>
                <w:noProof/>
                <w:webHidden/>
              </w:rPr>
              <w:fldChar w:fldCharType="end"/>
            </w:r>
          </w:hyperlink>
        </w:p>
        <w:p w14:paraId="6381A1CC" w14:textId="44408021" w:rsidR="009C0566" w:rsidRPr="009C0566" w:rsidRDefault="009C0566">
          <w:pPr>
            <w:pStyle w:val="TOC2"/>
            <w:tabs>
              <w:tab w:val="right" w:leader="dot" w:pos="9016"/>
            </w:tabs>
            <w:rPr>
              <w:rFonts w:eastAsiaTheme="minorEastAsia"/>
              <w:noProof/>
              <w:kern w:val="2"/>
              <w:sz w:val="24"/>
              <w:szCs w:val="24"/>
              <w:lang w:eastAsia="en-AU"/>
              <w14:ligatures w14:val="standardContextual"/>
            </w:rPr>
          </w:pPr>
          <w:hyperlink w:anchor="_Toc240898794" w:history="1">
            <w:r w:rsidRPr="009C0566">
              <w:rPr>
                <w:rStyle w:val="Hyperlink"/>
                <w:noProof/>
              </w:rPr>
              <w:t>APPENDIX: CGC ASSESSMENT METHODS</w:t>
            </w:r>
            <w:r w:rsidRPr="009C0566">
              <w:rPr>
                <w:noProof/>
                <w:webHidden/>
              </w:rPr>
              <w:tab/>
            </w:r>
            <w:r w:rsidRPr="009C0566">
              <w:rPr>
                <w:noProof/>
                <w:webHidden/>
              </w:rPr>
              <w:fldChar w:fldCharType="begin"/>
            </w:r>
            <w:r w:rsidRPr="009C0566">
              <w:rPr>
                <w:noProof/>
                <w:webHidden/>
              </w:rPr>
              <w:instrText xml:space="preserve"> PAGEREF _Toc240898794 \h </w:instrText>
            </w:r>
            <w:r w:rsidRPr="009C0566">
              <w:rPr>
                <w:noProof/>
                <w:webHidden/>
              </w:rPr>
            </w:r>
            <w:r w:rsidRPr="009C0566">
              <w:rPr>
                <w:noProof/>
                <w:webHidden/>
              </w:rPr>
              <w:fldChar w:fldCharType="separate"/>
            </w:r>
            <w:r w:rsidR="00D0629C">
              <w:rPr>
                <w:noProof/>
                <w:webHidden/>
              </w:rPr>
              <w:t>9</w:t>
            </w:r>
            <w:r w:rsidRPr="009C0566">
              <w:rPr>
                <w:noProof/>
                <w:webHidden/>
              </w:rPr>
              <w:fldChar w:fldCharType="end"/>
            </w:r>
          </w:hyperlink>
        </w:p>
        <w:p w14:paraId="7F290CFC" w14:textId="0B1929E1" w:rsidR="009C0566" w:rsidRPr="00922AF6" w:rsidRDefault="009C0566">
          <w:pPr>
            <w:pStyle w:val="TOC2"/>
            <w:tabs>
              <w:tab w:val="right" w:leader="dot" w:pos="9016"/>
            </w:tabs>
            <w:rPr>
              <w:rFonts w:eastAsiaTheme="minorEastAsia"/>
              <w:b/>
              <w:bCs/>
              <w:noProof/>
              <w:kern w:val="2"/>
              <w:sz w:val="24"/>
              <w:szCs w:val="24"/>
              <w:lang w:eastAsia="en-AU"/>
              <w14:ligatures w14:val="standardContextual"/>
            </w:rPr>
          </w:pPr>
          <w:hyperlink w:anchor="_Toc240898795" w:history="1">
            <w:r w:rsidRPr="00922AF6">
              <w:rPr>
                <w:rStyle w:val="Hyperlink"/>
                <w:noProof/>
              </w:rPr>
              <w:t>REFERENCES</w:t>
            </w:r>
            <w:r w:rsidRPr="00922AF6">
              <w:rPr>
                <w:b/>
                <w:bCs/>
                <w:noProof/>
                <w:webHidden/>
              </w:rPr>
              <w:tab/>
            </w:r>
            <w:r w:rsidRPr="00922AF6">
              <w:rPr>
                <w:noProof/>
                <w:webHidden/>
              </w:rPr>
              <w:fldChar w:fldCharType="begin"/>
            </w:r>
            <w:r w:rsidRPr="00922AF6">
              <w:rPr>
                <w:noProof/>
                <w:webHidden/>
              </w:rPr>
              <w:instrText xml:space="preserve"> PAGEREF _Toc240898795 \h </w:instrText>
            </w:r>
            <w:r w:rsidRPr="00922AF6">
              <w:rPr>
                <w:noProof/>
                <w:webHidden/>
              </w:rPr>
            </w:r>
            <w:r w:rsidRPr="00922AF6">
              <w:rPr>
                <w:noProof/>
                <w:webHidden/>
              </w:rPr>
              <w:fldChar w:fldCharType="separate"/>
            </w:r>
            <w:r w:rsidR="00D0629C">
              <w:rPr>
                <w:noProof/>
                <w:webHidden/>
              </w:rPr>
              <w:t>10</w:t>
            </w:r>
            <w:r w:rsidRPr="00922AF6">
              <w:rPr>
                <w:noProof/>
                <w:webHidden/>
              </w:rPr>
              <w:fldChar w:fldCharType="end"/>
            </w:r>
          </w:hyperlink>
        </w:p>
        <w:p w14:paraId="3B38A165" w14:textId="64E425BE" w:rsidR="00057F74" w:rsidRDefault="00057F74">
          <w:r>
            <w:rPr>
              <w:b/>
              <w:bCs/>
              <w:noProof/>
            </w:rPr>
            <w:fldChar w:fldCharType="end"/>
          </w:r>
        </w:p>
      </w:sdtContent>
    </w:sdt>
    <w:p w14:paraId="46710AE0" w14:textId="05DF4343" w:rsidR="00A24939" w:rsidRDefault="00A24939" w:rsidP="00057F74">
      <w:pPr>
        <w:rPr>
          <w:b/>
          <w:bCs/>
        </w:rPr>
      </w:pPr>
    </w:p>
    <w:p w14:paraId="612403A8" w14:textId="3DAD2537" w:rsidR="005F51F2" w:rsidRDefault="005F51F2" w:rsidP="00937C6A">
      <w:pPr>
        <w:jc w:val="center"/>
        <w:rPr>
          <w:b/>
          <w:bCs/>
        </w:rPr>
      </w:pPr>
    </w:p>
    <w:p w14:paraId="36797903" w14:textId="6D242D3F" w:rsidR="005F51F2" w:rsidRDefault="005F51F2" w:rsidP="00937C6A">
      <w:pPr>
        <w:jc w:val="center"/>
        <w:rPr>
          <w:b/>
          <w:bCs/>
        </w:rPr>
      </w:pPr>
    </w:p>
    <w:p w14:paraId="1FE8BCD4" w14:textId="3EA0DD11" w:rsidR="005F51F2" w:rsidRDefault="005F51F2">
      <w:pPr>
        <w:rPr>
          <w:b/>
          <w:bCs/>
        </w:rPr>
      </w:pPr>
      <w:r>
        <w:rPr>
          <w:b/>
          <w:bCs/>
        </w:rPr>
        <w:br w:type="page"/>
      </w:r>
    </w:p>
    <w:p w14:paraId="3BDDA374" w14:textId="77777777" w:rsidR="0076468D" w:rsidRDefault="0076468D">
      <w:pPr>
        <w:rPr>
          <w:b/>
          <w:bCs/>
        </w:rPr>
        <w:sectPr w:rsidR="0076468D" w:rsidSect="00840FEB">
          <w:headerReference w:type="even" r:id="rId11"/>
          <w:headerReference w:type="default" r:id="rId12"/>
          <w:footerReference w:type="default" r:id="rId13"/>
          <w:headerReference w:type="first" r:id="rId14"/>
          <w:footerReference w:type="first" r:id="rId15"/>
          <w:pgSz w:w="11906" w:h="16838"/>
          <w:pgMar w:top="1440" w:right="1440" w:bottom="1440" w:left="1440" w:header="708" w:footer="708" w:gutter="0"/>
          <w:pgNumType w:start="0"/>
          <w:cols w:space="708"/>
          <w:titlePg/>
          <w:docGrid w:linePitch="360"/>
        </w:sectPr>
      </w:pPr>
    </w:p>
    <w:p w14:paraId="77DE55F3" w14:textId="003A8F2B" w:rsidR="00937C6A" w:rsidRPr="00C204FF" w:rsidRDefault="00937C6A" w:rsidP="001C5CCE">
      <w:pPr>
        <w:pStyle w:val="Heading1numbered"/>
      </w:pPr>
      <w:bookmarkStart w:id="0" w:name="_Toc240898778"/>
      <w:r w:rsidRPr="00C204FF">
        <w:lastRenderedPageBreak/>
        <w:t>OVERVIEW</w:t>
      </w:r>
      <w:bookmarkEnd w:id="0"/>
    </w:p>
    <w:p w14:paraId="2A2717FF" w14:textId="21C24D6E" w:rsidR="00937C6A" w:rsidRDefault="00BB01AB" w:rsidP="00244A75">
      <w:pPr>
        <w:spacing w:line="240" w:lineRule="auto"/>
      </w:pPr>
      <w:r>
        <w:t>T</w:t>
      </w:r>
      <w:r w:rsidR="00937C6A" w:rsidRPr="00C204FF">
        <w:t>he Productivity Commission (the Commission)</w:t>
      </w:r>
      <w:r w:rsidR="00987EA4">
        <w:t xml:space="preserve"> </w:t>
      </w:r>
      <w:r>
        <w:t xml:space="preserve">has released the interim report of its inquiry into the </w:t>
      </w:r>
      <w:r w:rsidR="00C87914">
        <w:t xml:space="preserve">2018 </w:t>
      </w:r>
      <w:r>
        <w:t>GST distribution reforms</w:t>
      </w:r>
      <w:r w:rsidR="00937C6A" w:rsidRPr="00C204FF">
        <w:t>.</w:t>
      </w:r>
      <w:r>
        <w:t xml:space="preserve"> This submission provides commentary on </w:t>
      </w:r>
      <w:r w:rsidR="00FC0F07">
        <w:t xml:space="preserve">some of </w:t>
      </w:r>
      <w:r>
        <w:t>the issues raised and analyses undertaken in th</w:t>
      </w:r>
      <w:r w:rsidR="005B295A">
        <w:t>e</w:t>
      </w:r>
      <w:r>
        <w:t xml:space="preserve"> interim report</w:t>
      </w:r>
      <w:r w:rsidR="00FB3DAA">
        <w:t>.</w:t>
      </w:r>
    </w:p>
    <w:p w14:paraId="62D5DC1A" w14:textId="048FE1F0" w:rsidR="00D55B5F" w:rsidRDefault="00D55B5F" w:rsidP="00244A75">
      <w:pPr>
        <w:spacing w:line="240" w:lineRule="auto"/>
      </w:pPr>
      <w:r>
        <w:t>The Commission expresses the changes to the HFE system in 2018 as ‘</w:t>
      </w:r>
      <w:proofErr w:type="gramStart"/>
      <w:r>
        <w:t>reforms’</w:t>
      </w:r>
      <w:proofErr w:type="gramEnd"/>
      <w:r>
        <w:t>. A pedantic view would be that reform is the incorrect term to use as the changes introduced in 2018 did not result in an improvement in the HFE system</w:t>
      </w:r>
      <w:r>
        <w:rPr>
          <w:rStyle w:val="FootnoteReference"/>
        </w:rPr>
        <w:footnoteReference w:id="1"/>
      </w:r>
      <w:r>
        <w:t>.</w:t>
      </w:r>
      <w:r w:rsidR="00C87914">
        <w:t xml:space="preserve"> </w:t>
      </w:r>
      <w:proofErr w:type="gramStart"/>
      <w:r w:rsidR="00C87914">
        <w:t>It is clear that the</w:t>
      </w:r>
      <w:proofErr w:type="gramEnd"/>
      <w:r w:rsidR="00C87914">
        <w:t xml:space="preserve"> 2018 changes were introduced to serve </w:t>
      </w:r>
      <w:r w:rsidR="00464868">
        <w:t xml:space="preserve">a </w:t>
      </w:r>
      <w:r w:rsidR="00C87914">
        <w:t xml:space="preserve">political purpose rather than to achieve good public policy. The only state to have benefited is Western Australia and the improvement to its fiscal capacity has been </w:t>
      </w:r>
      <w:r w:rsidR="00464868">
        <w:t xml:space="preserve">effectively </w:t>
      </w:r>
      <w:r w:rsidR="00C87914">
        <w:t>funded by the Commonwealth.</w:t>
      </w:r>
    </w:p>
    <w:p w14:paraId="008F9622" w14:textId="14115D96" w:rsidR="00FB3DAA" w:rsidRDefault="00FB3DAA" w:rsidP="00244A75">
      <w:pPr>
        <w:spacing w:line="240" w:lineRule="auto"/>
      </w:pPr>
      <w:r>
        <w:t>Overall, the Commission’s findings and recommendations are broadly supported. However, there are some concepts, particularly ‘</w:t>
      </w:r>
      <w:r w:rsidRPr="00FB3DAA">
        <w:t>dominant-state effects</w:t>
      </w:r>
      <w:r>
        <w:t>’ which should be the subject of rigorous examination.</w:t>
      </w:r>
    </w:p>
    <w:p w14:paraId="51CCF810" w14:textId="4513F4D9" w:rsidR="00FB3DAA" w:rsidRDefault="00FB3DAA" w:rsidP="00244A75">
      <w:pPr>
        <w:spacing w:line="240" w:lineRule="auto"/>
      </w:pPr>
      <w:r>
        <w:t>This submission works through the sections of the interim report providing comments and analyses where they are considered to add value.</w:t>
      </w:r>
      <w:r w:rsidR="00154707">
        <w:t xml:space="preserve"> Unfortunately, any attempt to improve the findings and conclusions of the interim report </w:t>
      </w:r>
      <w:r w:rsidR="00464868">
        <w:t>is</w:t>
      </w:r>
      <w:r w:rsidR="00154707">
        <w:t xml:space="preserve"> likely to be futile, given the Prime Minister’s comments. This makes it even more important that the Commission highlights the opportunity costs of the no worse off (</w:t>
      </w:r>
      <w:proofErr w:type="spellStart"/>
      <w:r w:rsidR="00154707">
        <w:t>NoWO</w:t>
      </w:r>
      <w:proofErr w:type="spellEnd"/>
      <w:r w:rsidR="00154707">
        <w:t>) guarantee and the GST pool boost.</w:t>
      </w:r>
    </w:p>
    <w:p w14:paraId="362CBFB5" w14:textId="4E1080FD" w:rsidR="00473E6C" w:rsidRPr="00C204FF" w:rsidRDefault="007B54CE" w:rsidP="001C5CCE">
      <w:pPr>
        <w:pStyle w:val="Heading1numbered"/>
      </w:pPr>
      <w:bookmarkStart w:id="1" w:name="_Toc240898779"/>
      <w:r w:rsidRPr="00C204FF">
        <w:t xml:space="preserve">HFE </w:t>
      </w:r>
      <w:r w:rsidR="004E25DD">
        <w:t>IN AUSTRALIA</w:t>
      </w:r>
      <w:bookmarkEnd w:id="1"/>
    </w:p>
    <w:p w14:paraId="16F0833C" w14:textId="6015E46A" w:rsidR="00B83367" w:rsidRPr="00C204FF" w:rsidRDefault="004E25DD" w:rsidP="001C5CCE">
      <w:pPr>
        <w:pStyle w:val="Heading2numbered"/>
      </w:pPr>
      <w:bookmarkStart w:id="2" w:name="_Toc240898780"/>
      <w:r w:rsidRPr="004E25DD">
        <w:t xml:space="preserve">Dispelling </w:t>
      </w:r>
      <w:r>
        <w:t>S</w:t>
      </w:r>
      <w:r w:rsidRPr="004E25DD">
        <w:t xml:space="preserve">ome </w:t>
      </w:r>
      <w:r>
        <w:t>M</w:t>
      </w:r>
      <w:r w:rsidRPr="004E25DD">
        <w:t xml:space="preserve">isconceptions </w:t>
      </w:r>
      <w:r>
        <w:t>A</w:t>
      </w:r>
      <w:r w:rsidRPr="004E25DD">
        <w:t xml:space="preserve">bout the HFE </w:t>
      </w:r>
      <w:r>
        <w:t>S</w:t>
      </w:r>
      <w:r w:rsidRPr="004E25DD">
        <w:t>ystem</w:t>
      </w:r>
      <w:bookmarkEnd w:id="2"/>
    </w:p>
    <w:p w14:paraId="2343CB4E" w14:textId="604882AD" w:rsidR="008606A5" w:rsidRDefault="004E25DD" w:rsidP="00244A75">
      <w:pPr>
        <w:spacing w:line="240" w:lineRule="auto"/>
      </w:pPr>
      <w:r>
        <w:t>This is a quite valuable section of the interim report. It is quite important that the misconception that GST r</w:t>
      </w:r>
      <w:r w:rsidRPr="004E25DD">
        <w:t>elativities represent ‘cents in the dollar’ of GST raised in a state</w:t>
      </w:r>
      <w:r>
        <w:t xml:space="preserve"> is well and truly quashed. This characterisation of GST relativities has been frequently presented in the media. For those with a </w:t>
      </w:r>
      <w:r w:rsidR="00665B53">
        <w:t xml:space="preserve">knowledge of the HFE system such a characterisation indicates a degree of ignorance within the media and a lack of an inclination to properly understand HFE. It is hoped that this mischaracterisation no longer appears in the media. If it does, those who are presenting it should </w:t>
      </w:r>
      <w:r w:rsidR="00AE5BF3">
        <w:t>be regarded as having no</w:t>
      </w:r>
      <w:r w:rsidR="00665B53">
        <w:t xml:space="preserve"> </w:t>
      </w:r>
      <w:r w:rsidR="00464868">
        <w:t>credibility</w:t>
      </w:r>
      <w:r w:rsidR="00665B53">
        <w:t>.</w:t>
      </w:r>
    </w:p>
    <w:p w14:paraId="622D26C7" w14:textId="2905ACEA" w:rsidR="00665B53" w:rsidRDefault="00665B53" w:rsidP="004C4E71">
      <w:pPr>
        <w:spacing w:line="240" w:lineRule="auto"/>
      </w:pPr>
      <w:r>
        <w:t xml:space="preserve">There is one further misconception of the HFE system that the Commission could have addressed. This misconception is that the pre-2018 HFE method equalised states to the fiscal capacity of the fiscally strongest state. </w:t>
      </w:r>
      <w:r w:rsidR="004C4E71">
        <w:t>The Commonwealth’s response to the Commission’s 2018 inquiry into HFE stated ‘</w:t>
      </w:r>
      <w:r w:rsidR="00FB5E67">
        <w:t>…</w:t>
      </w:r>
      <w:r w:rsidR="004C4E71">
        <w:t>HFE seeks to ‘</w:t>
      </w:r>
      <w:r w:rsidR="004C4E71" w:rsidRPr="004C4E71">
        <w:rPr>
          <w:b/>
          <w:bCs/>
        </w:rPr>
        <w:t>fully equalise</w:t>
      </w:r>
      <w:r w:rsidR="004C4E71">
        <w:t>’ the fiscal capacity of all the States by bringing each of their fiscal capacities up to the standard that has been adopted by the CGC, which is to equalise to the fiscal capacity of the strongest State</w:t>
      </w:r>
      <w:r w:rsidR="00FB5E67">
        <w:t>..</w:t>
      </w:r>
      <w:r w:rsidR="004C4E71">
        <w:t>.’</w:t>
      </w:r>
      <w:r w:rsidR="004C4E71">
        <w:rPr>
          <w:rStyle w:val="FootnoteReference"/>
        </w:rPr>
        <w:footnoteReference w:id="2"/>
      </w:r>
      <w:r w:rsidR="004C4E71">
        <w:t>.</w:t>
      </w:r>
    </w:p>
    <w:p w14:paraId="50AEADFE" w14:textId="7F872857" w:rsidR="007B6587" w:rsidRDefault="004C4E71" w:rsidP="004C4E71">
      <w:pPr>
        <w:spacing w:line="240" w:lineRule="auto"/>
      </w:pPr>
      <w:r>
        <w:t xml:space="preserve">This statement is patently incorrect but was never challenged. </w:t>
      </w:r>
      <w:r w:rsidR="007B6587">
        <w:t>The Explanatory Memorandum to the Bill that brought in the 2018 changes stated ‘</w:t>
      </w:r>
      <w:r w:rsidR="007F4175" w:rsidRPr="007F4175">
        <w:t xml:space="preserve">transitioning the horizontal fiscal equalisation system from full equalisation (equalised to the strongest State or Territory) to reasonable equalisation (equalised to the stronger of New South Wales and </w:t>
      </w:r>
      <w:proofErr w:type="gramStart"/>
      <w:r w:rsidR="007F4175" w:rsidRPr="007F4175">
        <w:t>Victoria)</w:t>
      </w:r>
      <w:r w:rsidR="007B6587">
        <w:t>‘</w:t>
      </w:r>
      <w:proofErr w:type="gramEnd"/>
      <w:r w:rsidR="007B6587">
        <w:rPr>
          <w:rStyle w:val="FootnoteReference"/>
        </w:rPr>
        <w:footnoteReference w:id="3"/>
      </w:r>
      <w:r w:rsidR="00910856">
        <w:t>.</w:t>
      </w:r>
    </w:p>
    <w:p w14:paraId="74896D4B" w14:textId="00F76216" w:rsidR="004C4E71" w:rsidRDefault="004C4E71" w:rsidP="004C4E71">
      <w:pPr>
        <w:spacing w:line="240" w:lineRule="auto"/>
      </w:pPr>
      <w:r>
        <w:lastRenderedPageBreak/>
        <w:t xml:space="preserve">This misconception was also raised in </w:t>
      </w:r>
      <w:proofErr w:type="gramStart"/>
      <w:r>
        <w:t>a number of</w:t>
      </w:r>
      <w:proofErr w:type="gramEnd"/>
      <w:r>
        <w:t xml:space="preserve"> submissions</w:t>
      </w:r>
      <w:r w:rsidR="00FB5E67">
        <w:t xml:space="preserve"> to the current inquiry</w:t>
      </w:r>
      <w:r>
        <w:t xml:space="preserve"> (</w:t>
      </w:r>
      <w:r w:rsidR="0052081D">
        <w:t>for instance,</w:t>
      </w:r>
      <w:r>
        <w:t xml:space="preserve"> submission</w:t>
      </w:r>
      <w:r w:rsidR="0052081D">
        <w:t>s 14, 15, 18,</w:t>
      </w:r>
      <w:r>
        <w:t xml:space="preserve"> </w:t>
      </w:r>
      <w:r w:rsidR="0052081D">
        <w:t xml:space="preserve">19, </w:t>
      </w:r>
      <w:r>
        <w:t>22</w:t>
      </w:r>
      <w:r w:rsidR="00DC206E">
        <w:t>, 49 and 56</w:t>
      </w:r>
      <w:r>
        <w:t>).</w:t>
      </w:r>
      <w:r w:rsidR="007B6587">
        <w:t xml:space="preserve"> It is hoped that the </w:t>
      </w:r>
      <w:r w:rsidR="00464868">
        <w:t xml:space="preserve">reason the </w:t>
      </w:r>
      <w:r w:rsidR="007B6587">
        <w:t xml:space="preserve">Commission </w:t>
      </w:r>
      <w:r w:rsidR="00502D2F">
        <w:t>did not</w:t>
      </w:r>
      <w:r w:rsidR="007B6587">
        <w:t xml:space="preserve"> mention this misconception </w:t>
      </w:r>
      <w:r w:rsidR="00464868">
        <w:t xml:space="preserve">was not </w:t>
      </w:r>
      <w:r w:rsidR="007B6587">
        <w:t xml:space="preserve">due to </w:t>
      </w:r>
      <w:r w:rsidR="00DC206E">
        <w:t xml:space="preserve">its embarrassment </w:t>
      </w:r>
      <w:r w:rsidR="007730B0">
        <w:t>about</w:t>
      </w:r>
      <w:r w:rsidR="00DC206E">
        <w:t xml:space="preserve"> making this claim throughout</w:t>
      </w:r>
      <w:r w:rsidR="007B6587">
        <w:t xml:space="preserve"> its HFE inquiry</w:t>
      </w:r>
      <w:r w:rsidR="00DC206E">
        <w:t xml:space="preserve"> report</w:t>
      </w:r>
      <w:r w:rsidR="007B6587">
        <w:rPr>
          <w:rStyle w:val="FootnoteReference"/>
        </w:rPr>
        <w:footnoteReference w:id="4"/>
      </w:r>
      <w:r w:rsidR="007B6587">
        <w:t>.</w:t>
      </w:r>
    </w:p>
    <w:p w14:paraId="50EA6B03" w14:textId="25601EF8" w:rsidR="00910856" w:rsidRDefault="00910856" w:rsidP="00910856">
      <w:pPr>
        <w:spacing w:line="240" w:lineRule="auto"/>
      </w:pPr>
      <w:r>
        <w:t xml:space="preserve">The Commission’s Interim finding 1.1 that a lack of understanding of the HFE system has undermined the quality of public debate on the topic is supported. </w:t>
      </w:r>
      <w:r w:rsidR="00FC45C6">
        <w:t xml:space="preserve">This finding is consistent with a finding of the 2012 </w:t>
      </w:r>
      <w:r w:rsidR="00FC45C6" w:rsidRPr="00FC45C6">
        <w:t>GST Distribution Review</w:t>
      </w:r>
      <w:r w:rsidR="00FC45C6">
        <w:rPr>
          <w:rStyle w:val="FootnoteReference"/>
        </w:rPr>
        <w:footnoteReference w:id="5"/>
      </w:r>
      <w:r w:rsidR="00FC45C6">
        <w:t xml:space="preserve">. </w:t>
      </w:r>
      <w:r>
        <w:t>The pertinent question is how to overcome this lack of understanding given some appears to be highly political.</w:t>
      </w:r>
    </w:p>
    <w:p w14:paraId="6DA7BE87" w14:textId="31E60335" w:rsidR="00D91926" w:rsidRPr="00C204FF" w:rsidRDefault="00374C98" w:rsidP="00D91926">
      <w:pPr>
        <w:pStyle w:val="Heading2numbered"/>
      </w:pPr>
      <w:bookmarkStart w:id="3" w:name="_Toc240898781"/>
      <w:r w:rsidRPr="00374C98">
        <w:t xml:space="preserve">The HFE </w:t>
      </w:r>
      <w:r>
        <w:t>S</w:t>
      </w:r>
      <w:r w:rsidRPr="00374C98">
        <w:t xml:space="preserve">ystem was under </w:t>
      </w:r>
      <w:r>
        <w:t>P</w:t>
      </w:r>
      <w:r w:rsidRPr="00374C98">
        <w:t xml:space="preserve">ressure </w:t>
      </w:r>
      <w:r>
        <w:t>P</w:t>
      </w:r>
      <w:r w:rsidRPr="00374C98">
        <w:t xml:space="preserve">rior to the 2018 </w:t>
      </w:r>
      <w:r>
        <w:t>R</w:t>
      </w:r>
      <w:r w:rsidRPr="00374C98">
        <w:t>eforms</w:t>
      </w:r>
      <w:bookmarkEnd w:id="3"/>
    </w:p>
    <w:p w14:paraId="17AF6A7B" w14:textId="2FD53464" w:rsidR="007C3312" w:rsidRDefault="007C3312" w:rsidP="003C1266">
      <w:pPr>
        <w:spacing w:line="240" w:lineRule="auto"/>
      </w:pPr>
      <w:r>
        <w:t xml:space="preserve">The Commission noted that the mining boom which commenced around 2010 had a noticeable impact on the HFE system, with Western Australia’s GST relativities falling to levels that were not anticipated when the GST was introduced. It also noted that concerns were being raised </w:t>
      </w:r>
      <w:r w:rsidR="00E104DE">
        <w:t xml:space="preserve">about the possibility that </w:t>
      </w:r>
      <w:r w:rsidR="00E104DE" w:rsidRPr="00E104DE">
        <w:t xml:space="preserve">HFE system </w:t>
      </w:r>
      <w:r w:rsidR="00E104DE">
        <w:t>provided a disincentive for</w:t>
      </w:r>
      <w:r w:rsidR="00E104DE" w:rsidRPr="00E104DE">
        <w:t xml:space="preserve"> states </w:t>
      </w:r>
      <w:r w:rsidR="00E104DE">
        <w:t>to</w:t>
      </w:r>
      <w:r w:rsidR="00E104DE" w:rsidRPr="00E104DE">
        <w:t xml:space="preserve"> undertak</w:t>
      </w:r>
      <w:r w:rsidR="00E104DE">
        <w:t>e</w:t>
      </w:r>
      <w:r w:rsidR="00E104DE" w:rsidRPr="00E104DE">
        <w:t xml:space="preserve"> reform</w:t>
      </w:r>
      <w:r w:rsidR="00E104DE">
        <w:t>.</w:t>
      </w:r>
    </w:p>
    <w:p w14:paraId="56D7DFA3" w14:textId="53428D1E" w:rsidR="00E104DE" w:rsidRDefault="00E104DE" w:rsidP="003C1266">
      <w:pPr>
        <w:spacing w:line="240" w:lineRule="auto"/>
      </w:pPr>
      <w:r>
        <w:t xml:space="preserve">These issues and concerns were considered by the </w:t>
      </w:r>
      <w:r w:rsidRPr="007730B0">
        <w:t>GST Distribution Review</w:t>
      </w:r>
      <w:r>
        <w:t xml:space="preserve"> established in 2011. This review, while recommending some </w:t>
      </w:r>
      <w:r w:rsidR="00FB5E67">
        <w:t xml:space="preserve">minor </w:t>
      </w:r>
      <w:r>
        <w:t>changes to the operation of the HFE system, did not recommend any change to the methodology used to determine HFE.</w:t>
      </w:r>
    </w:p>
    <w:p w14:paraId="745097A9" w14:textId="5A7BA86A" w:rsidR="00374C98" w:rsidRDefault="00E104DE" w:rsidP="003C1266">
      <w:pPr>
        <w:spacing w:line="240" w:lineRule="auto"/>
      </w:pPr>
      <w:r>
        <w:t>It could be argued that the Commission’s 2018 HFE inquiry was the result of Western Australia’s continual advocacy regarding its low GST relativity</w:t>
      </w:r>
      <w:r w:rsidR="003C1266">
        <w:t>.</w:t>
      </w:r>
      <w:r w:rsidR="008634ED">
        <w:t xml:space="preserve"> What is being dealt with now is the fallout from that inquiry.</w:t>
      </w:r>
    </w:p>
    <w:p w14:paraId="2AB2A85A" w14:textId="7747A3BB" w:rsidR="00406556" w:rsidRDefault="005D0C05" w:rsidP="001C5CCE">
      <w:pPr>
        <w:pStyle w:val="Heading1numbered"/>
      </w:pPr>
      <w:bookmarkStart w:id="4" w:name="_Toc240898782"/>
      <w:r w:rsidRPr="00AF7EA6">
        <w:t xml:space="preserve">IMPACTS OF THE 2018 </w:t>
      </w:r>
      <w:r>
        <w:t>R</w:t>
      </w:r>
      <w:r w:rsidRPr="00AF7EA6">
        <w:t>EFORMS</w:t>
      </w:r>
      <w:bookmarkEnd w:id="4"/>
    </w:p>
    <w:p w14:paraId="0C5FE45B" w14:textId="3D6D7ABD" w:rsidR="00D55B5F" w:rsidRDefault="00E439BE" w:rsidP="00D55B5F">
      <w:pPr>
        <w:pStyle w:val="Heading2numbered"/>
        <w:tabs>
          <w:tab w:val="clear" w:pos="792"/>
          <w:tab w:val="num" w:pos="360"/>
        </w:tabs>
        <w:ind w:left="0" w:firstLine="0"/>
      </w:pPr>
      <w:r>
        <w:t xml:space="preserve"> </w:t>
      </w:r>
      <w:r>
        <w:tab/>
      </w:r>
      <w:bookmarkStart w:id="5" w:name="_Toc240898783"/>
      <w:r>
        <w:t>The Reform Package</w:t>
      </w:r>
      <w:bookmarkEnd w:id="5"/>
    </w:p>
    <w:p w14:paraId="7B84B665" w14:textId="29D8F3E4" w:rsidR="00D55B5F" w:rsidRDefault="00E439BE" w:rsidP="00E439BE">
      <w:pPr>
        <w:spacing w:line="240" w:lineRule="auto"/>
      </w:pPr>
      <w:r>
        <w:t>The Commission noted that the reform package has four components:</w:t>
      </w:r>
    </w:p>
    <w:p w14:paraId="40EC7B4E" w14:textId="3A6EF48D" w:rsidR="00E439BE" w:rsidRDefault="00E439BE" w:rsidP="00E439BE">
      <w:pPr>
        <w:pStyle w:val="ListParagraph"/>
        <w:numPr>
          <w:ilvl w:val="0"/>
          <w:numId w:val="15"/>
        </w:numPr>
        <w:spacing w:line="240" w:lineRule="auto"/>
      </w:pPr>
      <w:r>
        <w:t>a new fiscal equalisation standard;</w:t>
      </w:r>
    </w:p>
    <w:p w14:paraId="74B443C5" w14:textId="55BC4776" w:rsidR="00E439BE" w:rsidRDefault="00E439BE" w:rsidP="00E439BE">
      <w:pPr>
        <w:pStyle w:val="ListParagraph"/>
        <w:numPr>
          <w:ilvl w:val="0"/>
          <w:numId w:val="15"/>
        </w:numPr>
        <w:spacing w:line="240" w:lineRule="auto"/>
      </w:pPr>
      <w:r>
        <w:t>a GST relativity;</w:t>
      </w:r>
    </w:p>
    <w:p w14:paraId="7D490416" w14:textId="67099BE1" w:rsidR="00E439BE" w:rsidRDefault="00E439BE" w:rsidP="00E439BE">
      <w:pPr>
        <w:pStyle w:val="ListParagraph"/>
        <w:numPr>
          <w:ilvl w:val="0"/>
          <w:numId w:val="15"/>
        </w:numPr>
        <w:spacing w:line="240" w:lineRule="auto"/>
      </w:pPr>
      <w:r>
        <w:t>a GST pool boost; and</w:t>
      </w:r>
    </w:p>
    <w:p w14:paraId="0BDC9F53" w14:textId="474671EF" w:rsidR="00E439BE" w:rsidRDefault="00E439BE" w:rsidP="00E439BE">
      <w:pPr>
        <w:pStyle w:val="ListParagraph"/>
        <w:numPr>
          <w:ilvl w:val="0"/>
          <w:numId w:val="15"/>
        </w:numPr>
        <w:spacing w:line="240" w:lineRule="auto"/>
      </w:pPr>
      <w:r>
        <w:t xml:space="preserve">a </w:t>
      </w:r>
      <w:proofErr w:type="spellStart"/>
      <w:r>
        <w:t>NoWO</w:t>
      </w:r>
      <w:proofErr w:type="spellEnd"/>
      <w:r>
        <w:t xml:space="preserve"> guarantee.</w:t>
      </w:r>
    </w:p>
    <w:p w14:paraId="16B1DD57" w14:textId="53420930" w:rsidR="00502D2F" w:rsidRDefault="00CB443F" w:rsidP="00E439BE">
      <w:pPr>
        <w:spacing w:line="240" w:lineRule="auto"/>
      </w:pPr>
      <w:r>
        <w:t xml:space="preserve">Although the intention of the 2018 legislation may have been to impose a new equalisation standard, this has </w:t>
      </w:r>
      <w:r w:rsidR="00C1181F">
        <w:t xml:space="preserve">not </w:t>
      </w:r>
      <w:r>
        <w:t xml:space="preserve">actually occurred. The </w:t>
      </w:r>
      <w:r w:rsidR="005B295A">
        <w:t xml:space="preserve">method applied by the Commonwealth Grants Commission (CGC) uses the </w:t>
      </w:r>
      <w:r>
        <w:t xml:space="preserve">per capita relativity of either New South Wales </w:t>
      </w:r>
      <w:r w:rsidR="00FB5E67">
        <w:t>or</w:t>
      </w:r>
      <w:r>
        <w:t xml:space="preserve"> Victoria, whichever is the lower, as a relativity floor. The </w:t>
      </w:r>
      <w:r w:rsidR="005B295A">
        <w:t xml:space="preserve">state </w:t>
      </w:r>
      <w:r>
        <w:t xml:space="preserve">per capita relativities are then rescaled so that the population weighted sum is unity. </w:t>
      </w:r>
      <w:r w:rsidR="005241B5">
        <w:t xml:space="preserve">If necessary, the legislated relativity floor is then imposed. </w:t>
      </w:r>
      <w:r>
        <w:t xml:space="preserve">This </w:t>
      </w:r>
      <w:r w:rsidR="005B295A">
        <w:t xml:space="preserve">method </w:t>
      </w:r>
      <w:r>
        <w:t xml:space="preserve">has resulted in the fiscally strongest state receiving </w:t>
      </w:r>
      <w:r w:rsidR="005241B5">
        <w:t xml:space="preserve">a fiscal capacity </w:t>
      </w:r>
      <w:proofErr w:type="gramStart"/>
      <w:r w:rsidR="005241B5">
        <w:t>in excess of</w:t>
      </w:r>
      <w:proofErr w:type="gramEnd"/>
      <w:r w:rsidR="005241B5">
        <w:t xml:space="preserve"> that need</w:t>
      </w:r>
      <w:r w:rsidR="00C1181F">
        <w:t>ed</w:t>
      </w:r>
      <w:r w:rsidR="005241B5">
        <w:t xml:space="preserve"> to provide services and infrastructure at the average level of what states collectively do, while the other states receive a lower fiscal capacity, to varying degrees. Such as outcome could not be regarded as achieving fiscal equalisation.</w:t>
      </w:r>
    </w:p>
    <w:p w14:paraId="2A82AF29" w14:textId="1BE97680" w:rsidR="00C1181F" w:rsidRDefault="00C1181F" w:rsidP="00C1181F">
      <w:pPr>
        <w:spacing w:line="240" w:lineRule="auto"/>
      </w:pPr>
      <w:r>
        <w:t xml:space="preserve">The intention of the 2018 legislation is set out in </w:t>
      </w:r>
      <w:r w:rsidRPr="009720B9">
        <w:t>16</w:t>
      </w:r>
      <w:proofErr w:type="gramStart"/>
      <w:r w:rsidRPr="009720B9">
        <w:t>AB</w:t>
      </w:r>
      <w:r>
        <w:t>(</w:t>
      </w:r>
      <w:proofErr w:type="gramEnd"/>
      <w:r>
        <w:t xml:space="preserve">2) the </w:t>
      </w:r>
      <w:r w:rsidRPr="009720B9">
        <w:rPr>
          <w:i/>
          <w:iCs/>
        </w:rPr>
        <w:t>Commonwealth Grants Commission Act 1973</w:t>
      </w:r>
      <w:r>
        <w:t xml:space="preserve"> (CGC Act) which states:</w:t>
      </w:r>
    </w:p>
    <w:p w14:paraId="7286734F" w14:textId="77777777" w:rsidR="00C1181F" w:rsidRDefault="00C1181F" w:rsidP="00C1181F">
      <w:pPr>
        <w:spacing w:line="240" w:lineRule="auto"/>
      </w:pPr>
      <w:r>
        <w:lastRenderedPageBreak/>
        <w:t>‘…</w:t>
      </w:r>
      <w:r w:rsidRPr="009720B9">
        <w:t>the States, the Australian Capital Territory and the Northern Territory each have the fiscal capacity to provide services (including associated infrastructure) at a standard that is at least as high as the standard for whichever of New South Wales and Victoria has the higher standard</w:t>
      </w:r>
      <w:r>
        <w:t>’.</w:t>
      </w:r>
    </w:p>
    <w:p w14:paraId="2B029F7A" w14:textId="7767D9F7" w:rsidR="00C1181F" w:rsidRDefault="005B295A" w:rsidP="00C1181F">
      <w:pPr>
        <w:spacing w:line="240" w:lineRule="auto"/>
      </w:pPr>
      <w:r>
        <w:t>What might be the standard is not defined, so</w:t>
      </w:r>
      <w:r w:rsidR="00C1181F">
        <w:t xml:space="preserve"> is not clear that the standard referred to in the CGC Act relates to the per capita relativity</w:t>
      </w:r>
      <w:r>
        <w:t xml:space="preserve"> or some other measure</w:t>
      </w:r>
      <w:r w:rsidR="00C1181F">
        <w:t>. It is noted that t</w:t>
      </w:r>
      <w:r w:rsidR="00C1181F" w:rsidRPr="00D46696">
        <w:t>he wording in the CGC Act has strong similarities to the CGC’s interpretation of HFE</w:t>
      </w:r>
      <w:r w:rsidR="00C1181F">
        <w:t>:</w:t>
      </w:r>
    </w:p>
    <w:p w14:paraId="1EACD5E0" w14:textId="77777777" w:rsidR="00C1181F" w:rsidRDefault="00C1181F" w:rsidP="00C1181F">
      <w:pPr>
        <w:spacing w:line="240" w:lineRule="auto"/>
      </w:pPr>
      <w:r w:rsidRPr="00C204FF">
        <w:t>‘State governments should receive funding from the pool of GST such that, after allowing for material factors affecting revenues and expenditures, each would have the fiscal capacity to provide services and the associated infrastructure at the same standard, if each made the same effort to raise revenue from its own sources and operated at the same level of efficiency’.</w:t>
      </w:r>
      <w:r w:rsidRPr="00C204FF">
        <w:rPr>
          <w:rStyle w:val="FootnoteReference"/>
        </w:rPr>
        <w:footnoteReference w:id="6"/>
      </w:r>
    </w:p>
    <w:p w14:paraId="6795C1F2" w14:textId="7DF379B4" w:rsidR="00C1181F" w:rsidRDefault="00C1181F" w:rsidP="00C1181F">
      <w:pPr>
        <w:spacing w:line="240" w:lineRule="auto"/>
      </w:pPr>
      <w:r>
        <w:t xml:space="preserve">One interpretation of the CGC Act is that the assessment of expenses should be based on the per capita expenditure of either New South Wales or Victoria, depending on which is the highest, and the assessment of revenue be based on the tax rates of either New South Wales or Victoria, depending on which is the highest. This lack of clarity in the wording of the CGC Act </w:t>
      </w:r>
      <w:r w:rsidR="00FA2F69">
        <w:t>indicates poor legislative drafting</w:t>
      </w:r>
      <w:r>
        <w:t>.</w:t>
      </w:r>
    </w:p>
    <w:p w14:paraId="62994D3B" w14:textId="42D784A3" w:rsidR="00E439BE" w:rsidRDefault="00F73730" w:rsidP="00E439BE">
      <w:pPr>
        <w:spacing w:line="240" w:lineRule="auto"/>
        <w:rPr>
          <w:rFonts w:cstheme="minorHAnsi"/>
        </w:rPr>
      </w:pPr>
      <w:r>
        <w:t xml:space="preserve">It is interesting to note that the </w:t>
      </w:r>
      <w:proofErr w:type="spellStart"/>
      <w:r>
        <w:t>NoW</w:t>
      </w:r>
      <w:r w:rsidR="00BC70A7">
        <w:t>O</w:t>
      </w:r>
      <w:proofErr w:type="spellEnd"/>
      <w:r>
        <w:t xml:space="preserve"> </w:t>
      </w:r>
      <w:r w:rsidR="00FC0F07">
        <w:t xml:space="preserve">guarantee </w:t>
      </w:r>
      <w:r>
        <w:t>was not originally part of the Commonwealth’s proposed changes to the HFE system. It was claimed (naively</w:t>
      </w:r>
      <w:r w:rsidR="00FC0F07">
        <w:t xml:space="preserve"> as it turned out</w:t>
      </w:r>
      <w:r>
        <w:t xml:space="preserve">) that the GST pool boost would be sufficient to ensure that no state would be fiscally worse off. It was only after intense advocacy by the </w:t>
      </w:r>
      <w:r w:rsidR="00F56E30">
        <w:t xml:space="preserve">(non-Western Australian) </w:t>
      </w:r>
      <w:r>
        <w:t xml:space="preserve">states that the </w:t>
      </w:r>
      <w:proofErr w:type="spellStart"/>
      <w:r>
        <w:t>NoW</w:t>
      </w:r>
      <w:r w:rsidR="00BC70A7">
        <w:t>O</w:t>
      </w:r>
      <w:proofErr w:type="spellEnd"/>
      <w:r>
        <w:t xml:space="preserve"> </w:t>
      </w:r>
      <w:r w:rsidR="00FC0F07">
        <w:t xml:space="preserve">guarantee </w:t>
      </w:r>
      <w:r>
        <w:t xml:space="preserve">was part of the legislative package. The amendment to the </w:t>
      </w:r>
      <w:r w:rsidRPr="00F73730">
        <w:t xml:space="preserve">Federal </w:t>
      </w:r>
      <w:r w:rsidRPr="00F73730">
        <w:rPr>
          <w:i/>
          <w:iCs/>
        </w:rPr>
        <w:t>Financial Relations Act 2009</w:t>
      </w:r>
      <w:r>
        <w:t xml:space="preserve"> specified the </w:t>
      </w:r>
      <w:proofErr w:type="spellStart"/>
      <w:r>
        <w:t>NoW</w:t>
      </w:r>
      <w:r w:rsidR="00BC70A7">
        <w:t>O</w:t>
      </w:r>
      <w:proofErr w:type="spellEnd"/>
      <w:r>
        <w:t xml:space="preserve"> </w:t>
      </w:r>
      <w:r w:rsidR="00FC0F07">
        <w:t xml:space="preserve">guarantee </w:t>
      </w:r>
      <w:r>
        <w:t>would operate until 2026</w:t>
      </w:r>
      <w:r>
        <w:rPr>
          <w:rFonts w:cstheme="minorHAnsi"/>
        </w:rPr>
        <w:t xml:space="preserve">–27. The Commonwealth Treasurer has extended </w:t>
      </w:r>
      <w:r w:rsidR="00FC0F07">
        <w:rPr>
          <w:rFonts w:cstheme="minorHAnsi"/>
        </w:rPr>
        <w:t>it</w:t>
      </w:r>
      <w:r>
        <w:rPr>
          <w:rFonts w:cstheme="minorHAnsi"/>
        </w:rPr>
        <w:t xml:space="preserve"> until </w:t>
      </w:r>
      <w:r w:rsidRPr="00F6627F">
        <w:rPr>
          <w:rFonts w:cstheme="minorHAnsi"/>
        </w:rPr>
        <w:t>2029–30</w:t>
      </w:r>
      <w:r>
        <w:rPr>
          <w:rFonts w:cstheme="minorHAnsi"/>
        </w:rPr>
        <w:t>, but its future after then is uncertain</w:t>
      </w:r>
      <w:r w:rsidR="00502D2F">
        <w:rPr>
          <w:rFonts w:cstheme="minorHAnsi"/>
        </w:rPr>
        <w:t xml:space="preserve"> (although the Prime Minister has implied that it will continue)</w:t>
      </w:r>
      <w:r w:rsidR="00544699">
        <w:rPr>
          <w:rStyle w:val="FootnoteReference"/>
          <w:rFonts w:cstheme="minorHAnsi"/>
        </w:rPr>
        <w:footnoteReference w:id="7"/>
      </w:r>
      <w:r w:rsidRPr="00F6627F">
        <w:rPr>
          <w:rFonts w:cstheme="minorHAnsi"/>
        </w:rPr>
        <w:t>.</w:t>
      </w:r>
    </w:p>
    <w:p w14:paraId="537B1F60" w14:textId="5946FD67" w:rsidR="00A60081" w:rsidRDefault="00A60081" w:rsidP="00E439BE">
      <w:pPr>
        <w:spacing w:line="240" w:lineRule="auto"/>
        <w:rPr>
          <w:rFonts w:cstheme="minorHAnsi"/>
        </w:rPr>
      </w:pPr>
      <w:r>
        <w:rPr>
          <w:rFonts w:cstheme="minorHAnsi"/>
        </w:rPr>
        <w:t xml:space="preserve">As noted by the Commission, the cost of the </w:t>
      </w:r>
      <w:proofErr w:type="spellStart"/>
      <w:r>
        <w:rPr>
          <w:rFonts w:cstheme="minorHAnsi"/>
        </w:rPr>
        <w:t>NoWO</w:t>
      </w:r>
      <w:proofErr w:type="spellEnd"/>
      <w:r>
        <w:rPr>
          <w:rFonts w:cstheme="minorHAnsi"/>
        </w:rPr>
        <w:t xml:space="preserve"> guarantee to the Commonwealth has been </w:t>
      </w:r>
      <w:r w:rsidRPr="00A60081">
        <w:rPr>
          <w:rFonts w:cstheme="minorHAnsi"/>
        </w:rPr>
        <w:t xml:space="preserve">largely driven by </w:t>
      </w:r>
      <w:r>
        <w:rPr>
          <w:rFonts w:cstheme="minorHAnsi"/>
        </w:rPr>
        <w:t xml:space="preserve">high </w:t>
      </w:r>
      <w:r w:rsidRPr="00A60081">
        <w:rPr>
          <w:rFonts w:cstheme="minorHAnsi"/>
        </w:rPr>
        <w:t>iron ore prices and volumes</w:t>
      </w:r>
      <w:r>
        <w:rPr>
          <w:rFonts w:cstheme="minorHAnsi"/>
        </w:rPr>
        <w:t xml:space="preserve">. While the Commonwealth has received higher taxation receipts as a result, it is false analysis to state that this </w:t>
      </w:r>
      <w:r w:rsidR="00641EC9">
        <w:rPr>
          <w:rFonts w:cstheme="minorHAnsi"/>
        </w:rPr>
        <w:t>additional revenue justifies the expenditure</w:t>
      </w:r>
      <w:r>
        <w:rPr>
          <w:rFonts w:cstheme="minorHAnsi"/>
        </w:rPr>
        <w:t xml:space="preserve"> o</w:t>
      </w:r>
      <w:r w:rsidR="00641EC9">
        <w:rPr>
          <w:rFonts w:cstheme="minorHAnsi"/>
        </w:rPr>
        <w:t xml:space="preserve">n </w:t>
      </w:r>
      <w:r>
        <w:rPr>
          <w:rFonts w:cstheme="minorHAnsi"/>
        </w:rPr>
        <w:t xml:space="preserve">the </w:t>
      </w:r>
      <w:proofErr w:type="spellStart"/>
      <w:r>
        <w:rPr>
          <w:rFonts w:cstheme="minorHAnsi"/>
        </w:rPr>
        <w:t>NoWO</w:t>
      </w:r>
      <w:proofErr w:type="spellEnd"/>
      <w:r>
        <w:rPr>
          <w:rFonts w:cstheme="minorHAnsi"/>
        </w:rPr>
        <w:t xml:space="preserve"> guarantee. There is an opportunity cost associated with using the additional tax revenue to fund the </w:t>
      </w:r>
      <w:proofErr w:type="spellStart"/>
      <w:r>
        <w:rPr>
          <w:rFonts w:cstheme="minorHAnsi"/>
        </w:rPr>
        <w:t>NoWO</w:t>
      </w:r>
      <w:proofErr w:type="spellEnd"/>
      <w:r>
        <w:rPr>
          <w:rFonts w:cstheme="minorHAnsi"/>
        </w:rPr>
        <w:t xml:space="preserve"> guarantee rather than some other Commonwealth expenditure, particularly in an environment of budgetary restraint.</w:t>
      </w:r>
    </w:p>
    <w:p w14:paraId="13E33364" w14:textId="64FD4246" w:rsidR="00F56E30" w:rsidRPr="00F56E30" w:rsidRDefault="00F56E30" w:rsidP="00F56E30">
      <w:pPr>
        <w:pStyle w:val="Heading2numbered"/>
      </w:pPr>
      <w:bookmarkStart w:id="6" w:name="_Toc240898784"/>
      <w:r w:rsidRPr="00F56E30">
        <w:t xml:space="preserve">The 2018 </w:t>
      </w:r>
      <w:r w:rsidR="005D0C05" w:rsidRPr="00F56E30">
        <w:t xml:space="preserve">Reforms Deliver </w:t>
      </w:r>
      <w:r w:rsidRPr="00F56E30">
        <w:t xml:space="preserve">a </w:t>
      </w:r>
      <w:r w:rsidR="005D0C05" w:rsidRPr="00F56E30">
        <w:t xml:space="preserve">Lower Degree </w:t>
      </w:r>
      <w:r w:rsidRPr="00F56E30">
        <w:t>of HFE</w:t>
      </w:r>
      <w:bookmarkEnd w:id="6"/>
    </w:p>
    <w:p w14:paraId="7815E4CE" w14:textId="5FF0B75B" w:rsidR="00F56E30" w:rsidRDefault="00F56E30" w:rsidP="00F56E30">
      <w:pPr>
        <w:spacing w:line="240" w:lineRule="auto"/>
      </w:pPr>
      <w:r>
        <w:t xml:space="preserve">It would have been interesting for the Commission to indicate the implication for the lower degree of HFE for the requirement of the </w:t>
      </w:r>
      <w:r w:rsidRPr="00F56E30">
        <w:t>Intergovernmental Agreement on Federal Financial Relations (IGAFFR)</w:t>
      </w:r>
      <w:r>
        <w:t xml:space="preserve"> that GST payments be distributed among the states in accordance with the principle of HFE</w:t>
      </w:r>
      <w:r w:rsidR="00205096">
        <w:rPr>
          <w:rStyle w:val="FootnoteReference"/>
        </w:rPr>
        <w:footnoteReference w:id="8"/>
      </w:r>
      <w:r>
        <w:t>.</w:t>
      </w:r>
    </w:p>
    <w:p w14:paraId="47FA20D0" w14:textId="4204E708" w:rsidR="00205096" w:rsidRPr="00D55B5F" w:rsidRDefault="00205096" w:rsidP="00F56E30">
      <w:pPr>
        <w:spacing w:line="240" w:lineRule="auto"/>
      </w:pPr>
      <w:r>
        <w:t>For instance, does a lower degree of HFE go against the intent of the IGAFFR? The Commission discuss</w:t>
      </w:r>
      <w:r w:rsidR="00CB443F">
        <w:t>es</w:t>
      </w:r>
      <w:r>
        <w:t xml:space="preserve"> the IGAFFR later in its interim report and this submission will make some commentary at that stage.</w:t>
      </w:r>
    </w:p>
    <w:p w14:paraId="73918F3C" w14:textId="2C0A8881" w:rsidR="009F681D" w:rsidRPr="00C204FF" w:rsidRDefault="00AF7EA6" w:rsidP="001C5CCE">
      <w:pPr>
        <w:pStyle w:val="Heading2numbered"/>
      </w:pPr>
      <w:bookmarkStart w:id="7" w:name="_Toc240898785"/>
      <w:r>
        <w:t>Impacts on the GST Distribution System</w:t>
      </w:r>
      <w:bookmarkEnd w:id="7"/>
    </w:p>
    <w:p w14:paraId="01EEA008" w14:textId="27F514EC" w:rsidR="00994101" w:rsidRDefault="0059452C" w:rsidP="00544699">
      <w:pPr>
        <w:spacing w:line="240" w:lineRule="auto"/>
      </w:pPr>
      <w:r>
        <w:t xml:space="preserve">The Commission </w:t>
      </w:r>
      <w:r w:rsidR="00205096">
        <w:t>noted</w:t>
      </w:r>
      <w:r>
        <w:t xml:space="preserve"> that the new fiscal equalisation standard creates perverse outcomes that invert the logic of HFE.</w:t>
      </w:r>
      <w:r w:rsidR="00205096">
        <w:t xml:space="preserve"> Such a</w:t>
      </w:r>
      <w:r w:rsidR="00CB443F">
        <w:t>n</w:t>
      </w:r>
      <w:r w:rsidR="00205096">
        <w:t xml:space="preserve"> outcome is not unexpected </w:t>
      </w:r>
      <w:r w:rsidR="00544699">
        <w:t>as the</w:t>
      </w:r>
      <w:r w:rsidR="00E5441F">
        <w:t xml:space="preserve"> current HFE system has not </w:t>
      </w:r>
      <w:r w:rsidR="00E5441F">
        <w:lastRenderedPageBreak/>
        <w:t>change</w:t>
      </w:r>
      <w:r w:rsidR="00544699">
        <w:t>d</w:t>
      </w:r>
      <w:r w:rsidR="00E5441F">
        <w:t xml:space="preserve"> how fiscal capacity is assessed. That is, the basis of assessment has not been changed to what New South Wales or Victoria does. It </w:t>
      </w:r>
      <w:proofErr w:type="gramStart"/>
      <w:r w:rsidR="00E5441F">
        <w:t>actually cannot</w:t>
      </w:r>
      <w:proofErr w:type="gramEnd"/>
      <w:r w:rsidR="00E5441F">
        <w:t xml:space="preserve"> do that because the measure of fiscal strength is based on the amount of GST required to deliver state government services at the same standard.</w:t>
      </w:r>
    </w:p>
    <w:p w14:paraId="7958A2A3" w14:textId="1C8CA714" w:rsidR="00994101" w:rsidRPr="00C204FF" w:rsidRDefault="00C167BD" w:rsidP="0059452C">
      <w:pPr>
        <w:spacing w:line="240" w:lineRule="auto"/>
      </w:pPr>
      <w:r>
        <w:t>What</w:t>
      </w:r>
      <w:r w:rsidR="00E5441F">
        <w:t xml:space="preserve"> the current system </w:t>
      </w:r>
      <w:r>
        <w:t xml:space="preserve">does is </w:t>
      </w:r>
      <w:r w:rsidR="00E5441F">
        <w:t>modifies the distribution of the GST pool</w:t>
      </w:r>
      <w:r>
        <w:t>,</w:t>
      </w:r>
      <w:r w:rsidR="00E5441F">
        <w:t xml:space="preserve"> not by changing how fiscal needs are assessed, but by applying a floor (either the legislated floor or a float</w:t>
      </w:r>
      <w:r w:rsidR="005D0C05">
        <w:t>ing</w:t>
      </w:r>
      <w:r w:rsidR="00E5441F">
        <w:t xml:space="preserve"> floor based on the </w:t>
      </w:r>
      <w:r w:rsidR="00641EC9">
        <w:t>lower per capita</w:t>
      </w:r>
      <w:r w:rsidR="00E5441F">
        <w:t xml:space="preserve"> relativit</w:t>
      </w:r>
      <w:r w:rsidR="00FA2F69">
        <w:t>y</w:t>
      </w:r>
      <w:r w:rsidR="00E5441F">
        <w:t xml:space="preserve"> </w:t>
      </w:r>
      <w:r w:rsidR="00641EC9">
        <w:t xml:space="preserve">out </w:t>
      </w:r>
      <w:r w:rsidR="00E5441F">
        <w:t xml:space="preserve">of New South Wales or Victoria). Given this determination of the distribution of the GST </w:t>
      </w:r>
      <w:proofErr w:type="gramStart"/>
      <w:r w:rsidR="00E5441F">
        <w:t>pool</w:t>
      </w:r>
      <w:proofErr w:type="gramEnd"/>
      <w:r w:rsidR="00E5441F">
        <w:t xml:space="preserve"> it is not surprising that perverse outcomes can arise.</w:t>
      </w:r>
    </w:p>
    <w:p w14:paraId="42C622D1" w14:textId="3F789E11" w:rsidR="00610040" w:rsidRPr="00C204FF" w:rsidRDefault="0059452C" w:rsidP="00244A75">
      <w:pPr>
        <w:spacing w:line="240" w:lineRule="auto"/>
      </w:pPr>
      <w:r>
        <w:t>It is unfortunate that those who developed the new HFE system did not apply more intellectual rigour to addressing the perceived shortcomings of the pre-2018 HFE system</w:t>
      </w:r>
      <w:r w:rsidR="00601DCB">
        <w:t xml:space="preserve"> as the solutions would lie in the assessment methodology </w:t>
      </w:r>
      <w:r w:rsidR="00FA2F69">
        <w:t xml:space="preserve">and </w:t>
      </w:r>
      <w:r w:rsidR="00601DCB">
        <w:t xml:space="preserve">not in how the GST </w:t>
      </w:r>
      <w:r w:rsidR="00C167BD">
        <w:t xml:space="preserve">pool </w:t>
      </w:r>
      <w:r w:rsidR="00601DCB">
        <w:t>is distributed</w:t>
      </w:r>
      <w:r>
        <w:t>.</w:t>
      </w:r>
    </w:p>
    <w:p w14:paraId="4AF325D5" w14:textId="2B2384F2" w:rsidR="00A56CAC" w:rsidRPr="00C204FF" w:rsidRDefault="0059452C" w:rsidP="008D6CDE">
      <w:pPr>
        <w:pStyle w:val="Heading2numbered"/>
      </w:pPr>
      <w:bookmarkStart w:id="8" w:name="_Toc240898786"/>
      <w:r>
        <w:t xml:space="preserve">The 2018 Reforms are </w:t>
      </w:r>
      <w:r w:rsidR="00EE0949">
        <w:t xml:space="preserve">Generally </w:t>
      </w:r>
      <w:r>
        <w:t>not Operating as Intended</w:t>
      </w:r>
      <w:bookmarkEnd w:id="8"/>
    </w:p>
    <w:p w14:paraId="3439DDFE" w14:textId="1209A0FB" w:rsidR="00EE507A" w:rsidRDefault="00EE0949" w:rsidP="00EE0949">
      <w:pPr>
        <w:spacing w:line="240" w:lineRule="auto"/>
      </w:pPr>
      <w:r>
        <w:t>The Commission’s interim finding 2.2 that the 2018 reforms are not operating efficiently, effectively or as intended</w:t>
      </w:r>
      <w:r w:rsidR="00EE04EF">
        <w:t xml:space="preserve"> is not surprising.</w:t>
      </w:r>
      <w:r w:rsidR="008F502B">
        <w:t xml:space="preserve"> This would have been foreseen if the Commonwealth’s response to the Commission’s HFE inquiry had applied </w:t>
      </w:r>
      <w:r w:rsidR="00270359">
        <w:t>an</w:t>
      </w:r>
      <w:r w:rsidR="008F502B">
        <w:t xml:space="preserve"> intellectual</w:t>
      </w:r>
      <w:r w:rsidR="005D0C05">
        <w:t>ly</w:t>
      </w:r>
      <w:r w:rsidR="008F502B">
        <w:t xml:space="preserve"> rigorous examination to that inquiry’s recommendations. The conclusion might be reached that</w:t>
      </w:r>
      <w:r w:rsidR="008F502B" w:rsidRPr="008F502B">
        <w:t xml:space="preserve"> </w:t>
      </w:r>
      <w:r w:rsidR="008F502B">
        <w:t>Commonwealth’s response was directed to a politically expedient outcome rather than to good public policy. The 2018 changes certainly quietened Western Australia’s complaints about the HFE system.</w:t>
      </w:r>
    </w:p>
    <w:p w14:paraId="5CEC0173" w14:textId="79D277DC" w:rsidR="00DD3A80" w:rsidRDefault="008F502B" w:rsidP="001C5CCE">
      <w:pPr>
        <w:pStyle w:val="Heading1numbered"/>
      </w:pPr>
      <w:bookmarkStart w:id="9" w:name="_Toc240898787"/>
      <w:r w:rsidRPr="008F502B">
        <w:t>THE PC’S ASSESSMENT OF THE CURRENT SYSTEM</w:t>
      </w:r>
      <w:bookmarkEnd w:id="9"/>
    </w:p>
    <w:p w14:paraId="16F2D418" w14:textId="64E1FB22" w:rsidR="00770C60" w:rsidRDefault="00770C60" w:rsidP="00770C60">
      <w:pPr>
        <w:pStyle w:val="Heading2numbered"/>
      </w:pPr>
      <w:bookmarkStart w:id="10" w:name="_Toc240898788"/>
      <w:r w:rsidRPr="00770C60">
        <w:t>HFE is Broadly Policy Neutral</w:t>
      </w:r>
      <w:bookmarkEnd w:id="10"/>
    </w:p>
    <w:p w14:paraId="10E69C7E" w14:textId="0A1D39F8" w:rsidR="00C9585F" w:rsidRDefault="00C9585F" w:rsidP="00C9585F">
      <w:pPr>
        <w:spacing w:line="240" w:lineRule="auto"/>
      </w:pPr>
      <w:r>
        <w:t>The Commission’s interim finding 3.2 was that the GST distribution system was and is broadly policy neutral, with some exceptions that are best managed through targeted responses.</w:t>
      </w:r>
    </w:p>
    <w:p w14:paraId="254D95F8" w14:textId="7182897D" w:rsidR="00E47BCA" w:rsidRDefault="00E47BCA" w:rsidP="00C16A4A">
      <w:pPr>
        <w:spacing w:line="240" w:lineRule="auto"/>
      </w:pPr>
      <w:r w:rsidRPr="00E47BCA">
        <w:t xml:space="preserve">Table 3.1 </w:t>
      </w:r>
      <w:r w:rsidR="00B756E7">
        <w:t xml:space="preserve">of the interim report </w:t>
      </w:r>
      <w:r>
        <w:t>indicates that t</w:t>
      </w:r>
      <w:r w:rsidRPr="00E47BCA">
        <w:t>he impact</w:t>
      </w:r>
      <w:r>
        <w:t>s</w:t>
      </w:r>
      <w:r w:rsidRPr="00E47BCA">
        <w:t xml:space="preserve"> on GST payments are small for tax-rate changes</w:t>
      </w:r>
      <w:r>
        <w:t>, apart from mining revenue. A closer examination of this analysis is warranted. It is difficult to tie in directly GST impacts to changes in revenue as it will take a minimum of two years before the increase in revenue will impact GST payments and the GST impact will depend on the size of the future GST pool, which is likely to be higher than the GST pool in the year of the tax rate change.</w:t>
      </w:r>
    </w:p>
    <w:p w14:paraId="0E48AE0A" w14:textId="214C6DEE" w:rsidR="00E47BCA" w:rsidRDefault="00E47BCA" w:rsidP="00C16A4A">
      <w:pPr>
        <w:spacing w:line="240" w:lineRule="auto"/>
      </w:pPr>
      <w:r>
        <w:t xml:space="preserve">The main issue is the redistribution of </w:t>
      </w:r>
      <w:r w:rsidR="00F37AEA">
        <w:t>fiscal capacity</w:t>
      </w:r>
      <w:r>
        <w:t xml:space="preserve"> resulting from an increase in a tax rate</w:t>
      </w:r>
      <w:r w:rsidR="0012734F">
        <w:t>. A way of presenting this would be to focus on what the CGC terms the ‘GST requirement’ for the assessment year in which the tax rate change occurs</w:t>
      </w:r>
      <w:r w:rsidR="0012734F">
        <w:rPr>
          <w:rStyle w:val="FootnoteReference"/>
        </w:rPr>
        <w:footnoteReference w:id="9"/>
      </w:r>
      <w:r w:rsidR="0012734F">
        <w:t>. This measure would provide an indication of the extent the tax rate change affect</w:t>
      </w:r>
      <w:r w:rsidR="008A443A">
        <w:t>s</w:t>
      </w:r>
      <w:r w:rsidR="0012734F">
        <w:t xml:space="preserve"> the assessment of fiscal capacity, which </w:t>
      </w:r>
      <w:r w:rsidR="00270359">
        <w:t>should be</w:t>
      </w:r>
      <w:r w:rsidR="0012734F">
        <w:t xml:space="preserve"> the focus of the policy neutrality</w:t>
      </w:r>
      <w:r w:rsidR="00270359">
        <w:t xml:space="preserve"> considerations</w:t>
      </w:r>
      <w:r w:rsidR="0012734F">
        <w:t>.</w:t>
      </w:r>
    </w:p>
    <w:p w14:paraId="7D4194E4" w14:textId="710DA417" w:rsidR="002B404E" w:rsidRDefault="00770C60" w:rsidP="00C16A4A">
      <w:pPr>
        <w:spacing w:line="240" w:lineRule="auto"/>
      </w:pPr>
      <w:r>
        <w:t xml:space="preserve">The Commission notes that if the </w:t>
      </w:r>
      <w:r w:rsidRPr="00770C60">
        <w:t>HFE system influences state government policy the</w:t>
      </w:r>
      <w:r>
        <w:t>n</w:t>
      </w:r>
      <w:r w:rsidRPr="00770C60">
        <w:t xml:space="preserve"> </w:t>
      </w:r>
      <w:r>
        <w:t>it can have</w:t>
      </w:r>
      <w:r w:rsidRPr="00770C60">
        <w:t xml:space="preserve"> efficiency </w:t>
      </w:r>
      <w:r>
        <w:t>costs</w:t>
      </w:r>
      <w:r w:rsidRPr="00770C60">
        <w:t xml:space="preserve">. </w:t>
      </w:r>
      <w:r>
        <w:t xml:space="preserve">However, as the Commission </w:t>
      </w:r>
      <w:r w:rsidR="00270359">
        <w:t>concedes</w:t>
      </w:r>
      <w:r>
        <w:t>, any</w:t>
      </w:r>
      <w:r w:rsidRPr="00770C60">
        <w:t xml:space="preserve"> potential effects are likely to be margin</w:t>
      </w:r>
      <w:r>
        <w:t>al</w:t>
      </w:r>
      <w:r w:rsidRPr="00770C60">
        <w:t xml:space="preserve">, </w:t>
      </w:r>
      <w:r>
        <w:t>and that there can</w:t>
      </w:r>
      <w:r w:rsidRPr="00770C60">
        <w:t xml:space="preserve"> </w:t>
      </w:r>
      <w:r>
        <w:t>many factors influencing</w:t>
      </w:r>
      <w:r w:rsidRPr="00770C60">
        <w:t xml:space="preserve"> policy choices</w:t>
      </w:r>
      <w:r w:rsidR="002B404E">
        <w:t>.</w:t>
      </w:r>
    </w:p>
    <w:p w14:paraId="67BB9601" w14:textId="7F6B39B3" w:rsidR="00C9585F" w:rsidRDefault="00C9585F" w:rsidP="00C9585F">
      <w:pPr>
        <w:spacing w:line="240" w:lineRule="auto"/>
      </w:pPr>
      <w:r>
        <w:t xml:space="preserve">The Commission has changed its view since the 2018 HFE inquiry where some of the criticism made of the then current HFE system included the scope to discourage state policy for major tax reform and not allowing states to retain the dividends of their policy efforts. It is open to speculation as to </w:t>
      </w:r>
      <w:r>
        <w:lastRenderedPageBreak/>
        <w:t xml:space="preserve">whether the Commission had the same views then as it does </w:t>
      </w:r>
      <w:proofErr w:type="gramStart"/>
      <w:r>
        <w:t>now</w:t>
      </w:r>
      <w:proofErr w:type="gramEnd"/>
      <w:r>
        <w:t xml:space="preserve"> we would find us in the situation of needing to wind back the changes made to the HFE system.</w:t>
      </w:r>
    </w:p>
    <w:p w14:paraId="433B5640" w14:textId="4E272500" w:rsidR="005059C5" w:rsidRDefault="005059C5" w:rsidP="005059C5">
      <w:pPr>
        <w:pStyle w:val="Heading2numbered"/>
      </w:pPr>
      <w:bookmarkStart w:id="11" w:name="_Toc240898789"/>
      <w:r>
        <w:t>Mining and Policy Neutrality</w:t>
      </w:r>
      <w:bookmarkEnd w:id="11"/>
    </w:p>
    <w:p w14:paraId="063A97C0" w14:textId="0112071F" w:rsidR="005059C5" w:rsidRDefault="00A616BC" w:rsidP="00C9585F">
      <w:pPr>
        <w:spacing w:line="240" w:lineRule="auto"/>
      </w:pPr>
      <w:r>
        <w:t xml:space="preserve">The Commission noted that the assessment of mining revenue provides challenges to the achievement of policy neutrality </w:t>
      </w:r>
      <w:r w:rsidRPr="00A616BC">
        <w:t xml:space="preserve">because mining </w:t>
      </w:r>
      <w:r>
        <w:t>activity</w:t>
      </w:r>
      <w:r w:rsidRPr="00A616BC">
        <w:t xml:space="preserve"> is highly concentrated in a small number of states</w:t>
      </w:r>
      <w:r>
        <w:t>. This issue is couched in terms of a ‘</w:t>
      </w:r>
      <w:r w:rsidRPr="00A616BC">
        <w:t>dominant-state effect</w:t>
      </w:r>
      <w:r>
        <w:t>’.</w:t>
      </w:r>
    </w:p>
    <w:p w14:paraId="708C5BBF" w14:textId="6D054B04" w:rsidR="005059C5" w:rsidRDefault="00A616BC" w:rsidP="00C9585F">
      <w:pPr>
        <w:spacing w:line="240" w:lineRule="auto"/>
      </w:pPr>
      <w:r>
        <w:t xml:space="preserve">Australia is quite geologically diverse with </w:t>
      </w:r>
      <w:proofErr w:type="gramStart"/>
      <w:r>
        <w:t>particular types</w:t>
      </w:r>
      <w:proofErr w:type="gramEnd"/>
      <w:r>
        <w:t xml:space="preserve"> of mineral resources tending to </w:t>
      </w:r>
      <w:proofErr w:type="gramStart"/>
      <w:r>
        <w:t>be located in</w:t>
      </w:r>
      <w:proofErr w:type="gramEnd"/>
      <w:r>
        <w:t xml:space="preserve"> distinct parts of the nation. The assessment of mining revenue requires careful consideration. The starting point </w:t>
      </w:r>
      <w:r w:rsidR="00FA2F69">
        <w:t>should be</w:t>
      </w:r>
      <w:r>
        <w:t xml:space="preserve"> whether the nation’s mineral resources belong to all Australian citizens or to the states that are fortunate to have mineral deposits within their borders. The answer to this will have implications for the assessment methodology.</w:t>
      </w:r>
    </w:p>
    <w:p w14:paraId="08674399" w14:textId="63E10997" w:rsidR="00A616BC" w:rsidRDefault="00AB5724" w:rsidP="00C9585F">
      <w:pPr>
        <w:spacing w:line="240" w:lineRule="auto"/>
      </w:pPr>
      <w:r>
        <w:t xml:space="preserve">If it is considered that nation’s mineral resources belong to all Australian </w:t>
      </w:r>
      <w:proofErr w:type="gramStart"/>
      <w:r>
        <w:t>citizens</w:t>
      </w:r>
      <w:proofErr w:type="gramEnd"/>
      <w:r>
        <w:t xml:space="preserve"> then the current assessment of mining revenue is appropriate. The revenue</w:t>
      </w:r>
      <w:r w:rsidR="00F37AEA">
        <w:t>s</w:t>
      </w:r>
      <w:r>
        <w:t xml:space="preserve"> generated by the states that have a particular mineral resource are distributed, via the HFE system, to the other states. This way all Australian citizens benefit from the exploitation of the nation’s mineral resources.</w:t>
      </w:r>
    </w:p>
    <w:p w14:paraId="21243223" w14:textId="4F918E73" w:rsidR="00A616BC" w:rsidRDefault="00AB5724" w:rsidP="00C9585F">
      <w:pPr>
        <w:spacing w:line="240" w:lineRule="auto"/>
      </w:pPr>
      <w:r>
        <w:t>Any modification to this assessment to enable a state</w:t>
      </w:r>
      <w:r w:rsidR="000F7E62">
        <w:t xml:space="preserve"> to retain a greater proportion of its mining revenue will lessen HFE. It will enable resource rich states to increase their fiscal capacit</w:t>
      </w:r>
      <w:r w:rsidR="00270359">
        <w:t>ies</w:t>
      </w:r>
      <w:r w:rsidR="000F7E62">
        <w:t>. Over time this could result in the resource rich states being in a fiscal position to delivery higher quality services or lower taxes, creating a divide between these states and other states.</w:t>
      </w:r>
      <w:r w:rsidR="00450AC7">
        <w:t xml:space="preserve"> A state having valuable mineral resources could be regarded as</w:t>
      </w:r>
      <w:r w:rsidR="005D0C05">
        <w:t xml:space="preserve"> having</w:t>
      </w:r>
      <w:r w:rsidR="00450AC7">
        <w:t xml:space="preserve"> ‘an </w:t>
      </w:r>
      <w:r w:rsidR="00450AC7" w:rsidRPr="00450AC7">
        <w:t>outcome attributable to luck’</w:t>
      </w:r>
      <w:r w:rsidR="00450AC7">
        <w:t xml:space="preserve"> and so falling outside of equity considerations.</w:t>
      </w:r>
    </w:p>
    <w:p w14:paraId="612F776F" w14:textId="1E12A686" w:rsidR="00B756E7" w:rsidRDefault="00B756E7" w:rsidP="00C9585F">
      <w:pPr>
        <w:spacing w:line="240" w:lineRule="auto"/>
      </w:pPr>
      <w:r>
        <w:t xml:space="preserve">The Commission notes that if a state that is dominant in the production of a particular type of mineral were to increase its royalty </w:t>
      </w:r>
      <w:proofErr w:type="gramStart"/>
      <w:r>
        <w:t>rate</w:t>
      </w:r>
      <w:proofErr w:type="gramEnd"/>
      <w:r>
        <w:t xml:space="preserve"> then the state may incur a future reduction in GST revenue. This outcome is not necessarily undesirable as it means that the other states also benefit from the further exploitation of the nation’s mineral resource</w:t>
      </w:r>
      <w:r w:rsidR="00754EC4">
        <w:t>s</w:t>
      </w:r>
      <w:r>
        <w:t>.</w:t>
      </w:r>
    </w:p>
    <w:p w14:paraId="30C854D3" w14:textId="46900BEE" w:rsidR="000F7E62" w:rsidRDefault="000F7E62" w:rsidP="00C9585F">
      <w:pPr>
        <w:spacing w:line="240" w:lineRule="auto"/>
      </w:pPr>
      <w:r>
        <w:t xml:space="preserve">The Commission needs to consider carefully whether the </w:t>
      </w:r>
      <w:r w:rsidRPr="00A616BC">
        <w:t>dominant-state effect</w:t>
      </w:r>
      <w:r>
        <w:t xml:space="preserve"> is the appropriate</w:t>
      </w:r>
      <w:r w:rsidR="00F41BE2">
        <w:t xml:space="preserve"> means of treating the assessment of min</w:t>
      </w:r>
      <w:r w:rsidR="005D0C05">
        <w:t>ing</w:t>
      </w:r>
      <w:r w:rsidR="00F41BE2">
        <w:t xml:space="preserve"> revenue. While the current </w:t>
      </w:r>
      <w:r w:rsidR="00A05F18">
        <w:t xml:space="preserve">mining </w:t>
      </w:r>
      <w:r w:rsidR="00F41BE2">
        <w:t xml:space="preserve">assessment methodology may </w:t>
      </w:r>
      <w:r w:rsidR="00A05F18">
        <w:t xml:space="preserve">not </w:t>
      </w:r>
      <w:r w:rsidR="00F41BE2">
        <w:t>satisfy the policy neutrality supporting principle, it better achieves HFE</w:t>
      </w:r>
      <w:r w:rsidR="00B756E7">
        <w:t xml:space="preserve"> which is the primary objective</w:t>
      </w:r>
      <w:r w:rsidR="00F41BE2">
        <w:t xml:space="preserve">. Introducing an adjustment for the </w:t>
      </w:r>
      <w:r w:rsidR="00F41BE2" w:rsidRPr="00A616BC">
        <w:t>dominant-state effect</w:t>
      </w:r>
      <w:r w:rsidR="00F41BE2">
        <w:t xml:space="preserve"> may incorporate policy neutrality, but this will be at the expense of HFE</w:t>
      </w:r>
      <w:r w:rsidR="008A443A">
        <w:rPr>
          <w:rStyle w:val="FootnoteReference"/>
        </w:rPr>
        <w:footnoteReference w:id="10"/>
      </w:r>
      <w:r w:rsidR="00F41BE2">
        <w:t>.</w:t>
      </w:r>
    </w:p>
    <w:p w14:paraId="514F2445" w14:textId="7C356A4A" w:rsidR="00B756E7" w:rsidRDefault="00B756E7" w:rsidP="00C9585F">
      <w:pPr>
        <w:spacing w:line="240" w:lineRule="auto"/>
      </w:pPr>
      <w:r>
        <w:t>The current HFE system will only lessen the impact of a state increasing its mining revenue if that state has a lower per capita relativity than the lower of New South Wales or Victoria. The extent of this lessen</w:t>
      </w:r>
      <w:r w:rsidR="00270359">
        <w:t>ing</w:t>
      </w:r>
      <w:r>
        <w:t xml:space="preserve"> of the impact has no direct relationship to what that state does. The adjustment depends on the impact the increased mining revenue has on the per capita relativities of New South Wales </w:t>
      </w:r>
      <w:r w:rsidR="00270359">
        <w:t>and Victoria. This is hardly a policy neutrality outcome.</w:t>
      </w:r>
    </w:p>
    <w:p w14:paraId="6EB2D598" w14:textId="75D04DEF" w:rsidR="00C9585F" w:rsidRDefault="00BC70A7" w:rsidP="00BC70A7">
      <w:pPr>
        <w:pStyle w:val="Heading2numbered"/>
      </w:pPr>
      <w:bookmarkStart w:id="12" w:name="_Toc240898790"/>
      <w:r w:rsidRPr="00BC70A7">
        <w:t xml:space="preserve">The </w:t>
      </w:r>
      <w:proofErr w:type="spellStart"/>
      <w:r w:rsidRPr="00BC70A7">
        <w:t>NoWO</w:t>
      </w:r>
      <w:proofErr w:type="spellEnd"/>
      <w:r w:rsidRPr="00BC70A7">
        <w:t xml:space="preserve"> Guarantee Fiscal Impacts on the </w:t>
      </w:r>
      <w:r>
        <w:t>Commonwealth</w:t>
      </w:r>
      <w:bookmarkEnd w:id="12"/>
    </w:p>
    <w:p w14:paraId="6536CC4B" w14:textId="6103C59E" w:rsidR="00BC70A7" w:rsidRDefault="00BC70A7" w:rsidP="00C9585F">
      <w:pPr>
        <w:spacing w:line="240" w:lineRule="auto"/>
      </w:pPr>
      <w:r>
        <w:t xml:space="preserve">The </w:t>
      </w:r>
      <w:proofErr w:type="spellStart"/>
      <w:r w:rsidRPr="00BC70A7">
        <w:t>NoWO</w:t>
      </w:r>
      <w:proofErr w:type="spellEnd"/>
      <w:r w:rsidRPr="00BC70A7">
        <w:t xml:space="preserve"> </w:t>
      </w:r>
      <w:r w:rsidR="00F37AEA">
        <w:t xml:space="preserve">guarantee </w:t>
      </w:r>
      <w:r w:rsidRPr="00BC70A7">
        <w:t xml:space="preserve">payments are now a growing cost </w:t>
      </w:r>
      <w:r>
        <w:t xml:space="preserve">to the Commonwealth </w:t>
      </w:r>
      <w:r w:rsidRPr="00BC70A7">
        <w:t>budget</w:t>
      </w:r>
      <w:r>
        <w:t xml:space="preserve">. It is unfortunate that the Commonwealth did not provide </w:t>
      </w:r>
      <w:r w:rsidR="005059C5">
        <w:t>a submission to the Commission as it would have been interesting to know</w:t>
      </w:r>
      <w:r>
        <w:t xml:space="preserve"> the impact of the</w:t>
      </w:r>
      <w:r w:rsidR="005059C5">
        <w:t xml:space="preserve"> </w:t>
      </w:r>
      <w:proofErr w:type="spellStart"/>
      <w:r w:rsidR="005059C5">
        <w:t>NoWO</w:t>
      </w:r>
      <w:proofErr w:type="spellEnd"/>
      <w:r w:rsidR="00F37AEA" w:rsidRPr="00F37AEA">
        <w:t xml:space="preserve"> </w:t>
      </w:r>
      <w:r w:rsidR="00F37AEA">
        <w:t>guarantee</w:t>
      </w:r>
      <w:r>
        <w:t xml:space="preserve"> payments on the Commonwealth’s ability to make other payments to the states. As a </w:t>
      </w:r>
      <w:proofErr w:type="gramStart"/>
      <w:r>
        <w:t>result</w:t>
      </w:r>
      <w:proofErr w:type="gramEnd"/>
      <w:r>
        <w:t xml:space="preserve"> it is not clear the full extent</w:t>
      </w:r>
      <w:r w:rsidR="00A05F18">
        <w:t xml:space="preserve"> that</w:t>
      </w:r>
      <w:r>
        <w:t xml:space="preserve"> the 2018 changes have distorted HFE.</w:t>
      </w:r>
    </w:p>
    <w:p w14:paraId="2B2C7301" w14:textId="3033BDE7" w:rsidR="00BC70A7" w:rsidRDefault="00BC70A7" w:rsidP="00BC70A7">
      <w:pPr>
        <w:spacing w:line="240" w:lineRule="auto"/>
      </w:pPr>
      <w:r>
        <w:lastRenderedPageBreak/>
        <w:t xml:space="preserve">As the Commission noted, there are opportunity costs associated with the </w:t>
      </w:r>
      <w:proofErr w:type="spellStart"/>
      <w:r>
        <w:t>NoWO</w:t>
      </w:r>
      <w:proofErr w:type="spellEnd"/>
      <w:r>
        <w:t xml:space="preserve"> </w:t>
      </w:r>
      <w:r w:rsidR="00F37AEA">
        <w:t xml:space="preserve">guarantee </w:t>
      </w:r>
      <w:r>
        <w:t xml:space="preserve">payments. It gave the examples that </w:t>
      </w:r>
      <w:r w:rsidRPr="00BC70A7">
        <w:t xml:space="preserve">the $6.4 billion spent on the 2018 reforms in 2024–25 could deliver a more than $450 tax cut for each Australian </w:t>
      </w:r>
      <w:proofErr w:type="gramStart"/>
      <w:r w:rsidRPr="00BC70A7">
        <w:t>taxpayer, or</w:t>
      </w:r>
      <w:proofErr w:type="gramEnd"/>
      <w:r w:rsidRPr="00BC70A7">
        <w:t xml:space="preserve"> fund an increase in </w:t>
      </w:r>
      <w:proofErr w:type="spellStart"/>
      <w:r w:rsidRPr="00BC70A7">
        <w:t>JobSeeker</w:t>
      </w:r>
      <w:proofErr w:type="spellEnd"/>
      <w:r w:rsidRPr="00BC70A7">
        <w:t xml:space="preserve"> payments to 90</w:t>
      </w:r>
      <w:r w:rsidR="00790ADC">
        <w:t xml:space="preserve"> per cent </w:t>
      </w:r>
      <w:r w:rsidRPr="00BC70A7">
        <w:t>of the Age Pension</w:t>
      </w:r>
      <w:r w:rsidR="00790ADC">
        <w:t>.</w:t>
      </w:r>
      <w:r w:rsidRPr="00BC70A7">
        <w:t xml:space="preserve"> </w:t>
      </w:r>
      <w:r w:rsidR="00790ADC">
        <w:t xml:space="preserve">Perhaps the Western Australian Premier could explain to the nation why giving his state a fiscal capacity to deliver services to a greater extent than the rest of Australia </w:t>
      </w:r>
      <w:r w:rsidR="00601DCB">
        <w:t>serves the nation better</w:t>
      </w:r>
      <w:r w:rsidR="00790ADC">
        <w:t xml:space="preserve"> than other potential uses of these funds.</w:t>
      </w:r>
    </w:p>
    <w:p w14:paraId="5F19CFE5" w14:textId="5AF38F5E" w:rsidR="00BC70A7" w:rsidRDefault="00F41BE2" w:rsidP="00F41BE2">
      <w:pPr>
        <w:pStyle w:val="Heading1numbered"/>
        <w:tabs>
          <w:tab w:val="clear" w:pos="792"/>
          <w:tab w:val="num" w:pos="360"/>
        </w:tabs>
        <w:ind w:left="0" w:firstLine="0"/>
      </w:pPr>
      <w:bookmarkStart w:id="13" w:name="_Toc240898791"/>
      <w:r w:rsidRPr="00F41BE2">
        <w:t>ALTERNATIVE GST DISTRIBUTION ARRANGEMENTS</w:t>
      </w:r>
      <w:bookmarkEnd w:id="13"/>
    </w:p>
    <w:p w14:paraId="61D22332" w14:textId="3DAEF700" w:rsidR="001A6153" w:rsidRDefault="001A6153" w:rsidP="001A6153">
      <w:pPr>
        <w:spacing w:line="240" w:lineRule="auto"/>
      </w:pPr>
      <w:proofErr w:type="gramStart"/>
      <w:r>
        <w:t>A number of</w:t>
      </w:r>
      <w:proofErr w:type="gramEnd"/>
      <w:r>
        <w:t xml:space="preserve"> alternative arrangements for HFE were presented to the Commission. Some of these were not dissimilar to proposals put to the 2012 </w:t>
      </w:r>
      <w:r w:rsidRPr="00FC45C6">
        <w:t>GST Distribution Review</w:t>
      </w:r>
      <w:r>
        <w:t>.</w:t>
      </w:r>
      <w:r w:rsidRPr="001A6153">
        <w:t xml:space="preserve"> </w:t>
      </w:r>
      <w:r>
        <w:t>Finding 3.4 of that review was:</w:t>
      </w:r>
    </w:p>
    <w:p w14:paraId="283B2122" w14:textId="37B4F52A" w:rsidR="00D46696" w:rsidRDefault="001A6153" w:rsidP="001A6153">
      <w:pPr>
        <w:spacing w:line="240" w:lineRule="auto"/>
      </w:pPr>
      <w:r>
        <w:t xml:space="preserve">‘Whether any of the approaches examined … would improve the HFE system is ultimately a matter of judgement…. On balance, the Panel has </w:t>
      </w:r>
      <w:proofErr w:type="gramStart"/>
      <w:r>
        <w:t>come to the conclusion</w:t>
      </w:r>
      <w:proofErr w:type="gramEnd"/>
      <w:r>
        <w:t xml:space="preserve"> that we can neither recommend very small changes that would deliver only symbolic benefits to the large States …, nor are we prepared to recommend larger changes that would have major negative impacts on small States’</w:t>
      </w:r>
      <w:r>
        <w:rPr>
          <w:rStyle w:val="FootnoteReference"/>
        </w:rPr>
        <w:footnoteReference w:id="11"/>
      </w:r>
      <w:r>
        <w:t>.</w:t>
      </w:r>
    </w:p>
    <w:p w14:paraId="75A86F7B" w14:textId="4B6A88E5" w:rsidR="00D46696" w:rsidRDefault="00513084" w:rsidP="00513084">
      <w:pPr>
        <w:spacing w:line="240" w:lineRule="auto"/>
      </w:pPr>
      <w:r>
        <w:t xml:space="preserve">After considering </w:t>
      </w:r>
      <w:proofErr w:type="gramStart"/>
      <w:r>
        <w:t>a number of</w:t>
      </w:r>
      <w:proofErr w:type="gramEnd"/>
      <w:r>
        <w:t xml:space="preserve"> alternative arrangements the Commission’s conclusion was that </w:t>
      </w:r>
      <w:r w:rsidRPr="00513084">
        <w:t xml:space="preserve">first-best response would be to return to the pre-2018 </w:t>
      </w:r>
      <w:r>
        <w:t xml:space="preserve">HFE </w:t>
      </w:r>
      <w:r w:rsidRPr="00513084">
        <w:t>system</w:t>
      </w:r>
      <w:r>
        <w:t xml:space="preserve"> and address issues associated with </w:t>
      </w:r>
      <w:r w:rsidRPr="00513084">
        <w:t>the mining assessment and dominant-state effects</w:t>
      </w:r>
      <w:r>
        <w:t xml:space="preserve">. It is obvious that the Commission’s views about the </w:t>
      </w:r>
      <w:r w:rsidRPr="00513084">
        <w:t xml:space="preserve">pre-2018 </w:t>
      </w:r>
      <w:r>
        <w:t xml:space="preserve">HFE </w:t>
      </w:r>
      <w:r w:rsidRPr="00513084">
        <w:t>system</w:t>
      </w:r>
      <w:r>
        <w:t xml:space="preserve"> have changed between the 2018 inquir</w:t>
      </w:r>
      <w:r w:rsidR="00500B30">
        <w:t>y and the current inquiry. Perhaps the Commission now has a better understanding of the issues associated with HFE.</w:t>
      </w:r>
    </w:p>
    <w:p w14:paraId="2ADE01B3" w14:textId="3A081A3B" w:rsidR="00D46696" w:rsidRDefault="00500B30" w:rsidP="00C9585F">
      <w:pPr>
        <w:spacing w:line="240" w:lineRule="auto"/>
      </w:pPr>
      <w:r>
        <w:t xml:space="preserve">The Commission has made a </w:t>
      </w:r>
      <w:r w:rsidRPr="00500B30">
        <w:t>hierarchy</w:t>
      </w:r>
      <w:r>
        <w:t xml:space="preserve"> of three recommendations:</w:t>
      </w:r>
    </w:p>
    <w:p w14:paraId="1A1819C3" w14:textId="1ACAF434" w:rsidR="00500B30" w:rsidRPr="00500B30" w:rsidRDefault="00500B30" w:rsidP="00C9585F">
      <w:pPr>
        <w:spacing w:line="240" w:lineRule="auto"/>
        <w:rPr>
          <w:b/>
          <w:bCs/>
        </w:rPr>
      </w:pPr>
      <w:r w:rsidRPr="00500B30">
        <w:rPr>
          <w:b/>
          <w:bCs/>
        </w:rPr>
        <w:t>Interim recommendation 4.1: Australia should return towards the pre-2018 system but the Australian Treasurer should direct the CGC to address dominant-state effects</w:t>
      </w:r>
      <w:r w:rsidR="005F08F2">
        <w:rPr>
          <w:b/>
          <w:bCs/>
        </w:rPr>
        <w:t>.</w:t>
      </w:r>
    </w:p>
    <w:p w14:paraId="2593B037" w14:textId="008BC420" w:rsidR="00D46696" w:rsidRDefault="00500B30" w:rsidP="00C9585F">
      <w:pPr>
        <w:spacing w:line="240" w:lineRule="auto"/>
      </w:pPr>
      <w:r>
        <w:t xml:space="preserve">The first part of this recommendation is strongly supported. The current HFE system </w:t>
      </w:r>
      <w:r w:rsidR="00FF7C36">
        <w:t>represents poor public policy</w:t>
      </w:r>
      <w:r>
        <w:t xml:space="preserve">. Both this inquiry and the 2012 GST </w:t>
      </w:r>
      <w:r w:rsidR="00754EC4">
        <w:t>D</w:t>
      </w:r>
      <w:r>
        <w:t xml:space="preserve">istribution </w:t>
      </w:r>
      <w:r w:rsidR="00754EC4">
        <w:t xml:space="preserve">Review </w:t>
      </w:r>
      <w:r>
        <w:t xml:space="preserve">found that the </w:t>
      </w:r>
      <w:r w:rsidRPr="00513084">
        <w:t xml:space="preserve">pre-2018 </w:t>
      </w:r>
      <w:r>
        <w:t xml:space="preserve">HFE </w:t>
      </w:r>
      <w:r w:rsidRPr="00513084">
        <w:t>system</w:t>
      </w:r>
      <w:r>
        <w:t xml:space="preserve"> was the best way to achieve HFE.</w:t>
      </w:r>
    </w:p>
    <w:p w14:paraId="5CA2E58A" w14:textId="752EF5AF" w:rsidR="00500B30" w:rsidRDefault="00500B30" w:rsidP="00C9585F">
      <w:pPr>
        <w:spacing w:line="240" w:lineRule="auto"/>
      </w:pPr>
      <w:r>
        <w:t xml:space="preserve">The second part regarding addressing the dominant state effects is not supported. As argued above the assessment of mining revenue, while not being policy neutral, does </w:t>
      </w:r>
      <w:r w:rsidR="00754EC4">
        <w:t xml:space="preserve">achieve HFE by </w:t>
      </w:r>
      <w:r>
        <w:t>ensur</w:t>
      </w:r>
      <w:r w:rsidR="00754EC4">
        <w:t>ing</w:t>
      </w:r>
      <w:r>
        <w:t xml:space="preserve"> that the benefits of exploiting the nation’s resources are</w:t>
      </w:r>
      <w:r w:rsidR="005F08F2">
        <w:t xml:space="preserve"> distributed to all Australian citizens.</w:t>
      </w:r>
    </w:p>
    <w:p w14:paraId="4DF8D0BE" w14:textId="18DA809D" w:rsidR="00500B30" w:rsidRDefault="005F08F2" w:rsidP="00C9585F">
      <w:pPr>
        <w:spacing w:line="240" w:lineRule="auto"/>
      </w:pPr>
      <w:r>
        <w:t xml:space="preserve">Perhaps the Commission has included the second part in recognition of the push back that will be received from Western Australia against a return to the </w:t>
      </w:r>
      <w:r w:rsidRPr="00513084">
        <w:t xml:space="preserve">pre-2018 </w:t>
      </w:r>
      <w:r>
        <w:t xml:space="preserve">HFE </w:t>
      </w:r>
      <w:r w:rsidRPr="00513084">
        <w:t>system</w:t>
      </w:r>
      <w:r>
        <w:t>.</w:t>
      </w:r>
    </w:p>
    <w:p w14:paraId="2C10C3F8" w14:textId="77073EB0" w:rsidR="005F08F2" w:rsidRPr="005F08F2" w:rsidRDefault="005F08F2" w:rsidP="00C9585F">
      <w:pPr>
        <w:spacing w:line="240" w:lineRule="auto"/>
        <w:rPr>
          <w:b/>
          <w:bCs/>
        </w:rPr>
      </w:pPr>
      <w:r w:rsidRPr="005F08F2">
        <w:rPr>
          <w:b/>
          <w:bCs/>
        </w:rPr>
        <w:t xml:space="preserve">Interim recommendation 4.2: If the Australian Government is not minded </w:t>
      </w:r>
      <w:proofErr w:type="gramStart"/>
      <w:r w:rsidRPr="005F08F2">
        <w:rPr>
          <w:b/>
          <w:bCs/>
        </w:rPr>
        <w:t>to pursue</w:t>
      </w:r>
      <w:proofErr w:type="gramEnd"/>
      <w:r w:rsidRPr="005F08F2">
        <w:rPr>
          <w:b/>
          <w:bCs/>
        </w:rPr>
        <w:t xml:space="preserve"> interim recommendation 4.1, Australia should return to a pre-2018 system and the Australian Government should make direct payments to states it considers are affected by dominant-state issues</w:t>
      </w:r>
      <w:r>
        <w:rPr>
          <w:b/>
          <w:bCs/>
        </w:rPr>
        <w:t>.</w:t>
      </w:r>
    </w:p>
    <w:p w14:paraId="5E6F5A2F" w14:textId="553B71C4" w:rsidR="005F08F2" w:rsidRDefault="005F08F2" w:rsidP="00C9585F">
      <w:pPr>
        <w:spacing w:line="240" w:lineRule="auto"/>
      </w:pPr>
      <w:r>
        <w:t xml:space="preserve">This recommendation could be viewed as the </w:t>
      </w:r>
      <w:r w:rsidRPr="00513084">
        <w:t xml:space="preserve">pre-2018 </w:t>
      </w:r>
      <w:r>
        <w:t xml:space="preserve">HFE </w:t>
      </w:r>
      <w:r w:rsidRPr="00513084">
        <w:t>system</w:t>
      </w:r>
      <w:r>
        <w:t xml:space="preserve"> with the current pool boost and </w:t>
      </w:r>
      <w:proofErr w:type="spellStart"/>
      <w:r>
        <w:t>NoWO</w:t>
      </w:r>
      <w:proofErr w:type="spellEnd"/>
      <w:r>
        <w:t xml:space="preserve"> </w:t>
      </w:r>
      <w:r w:rsidR="00F37AEA">
        <w:t xml:space="preserve">guarantee </w:t>
      </w:r>
      <w:r>
        <w:t xml:space="preserve">payments being made under a different guise to the mineral rich states. This recommendation is not supported. Unless there are clear criteria established for the direct </w:t>
      </w:r>
      <w:proofErr w:type="gramStart"/>
      <w:r>
        <w:t>payments</w:t>
      </w:r>
      <w:proofErr w:type="gramEnd"/>
      <w:r>
        <w:t xml:space="preserve"> they will lack transparency and accountability. Th</w:t>
      </w:r>
      <w:r w:rsidR="00195CA5">
        <w:t>e</w:t>
      </w:r>
      <w:r>
        <w:t xml:space="preserve"> view might be gained that the Commonwealth is using these payments to ‘buy off’ the states that might resist a return to the </w:t>
      </w:r>
      <w:r w:rsidRPr="00513084">
        <w:t xml:space="preserve">pre-2018 </w:t>
      </w:r>
      <w:r>
        <w:t xml:space="preserve">HFE </w:t>
      </w:r>
      <w:r w:rsidRPr="00513084">
        <w:t>system</w:t>
      </w:r>
      <w:r>
        <w:t>.</w:t>
      </w:r>
    </w:p>
    <w:p w14:paraId="198CAD2C" w14:textId="637E9AEA" w:rsidR="005F08F2" w:rsidRPr="002F2CE5" w:rsidRDefault="002F2CE5" w:rsidP="00C9585F">
      <w:pPr>
        <w:spacing w:line="240" w:lineRule="auto"/>
        <w:rPr>
          <w:b/>
          <w:bCs/>
        </w:rPr>
      </w:pPr>
      <w:r w:rsidRPr="002F2CE5">
        <w:rPr>
          <w:b/>
          <w:bCs/>
        </w:rPr>
        <w:lastRenderedPageBreak/>
        <w:t>Interim recommendation 4.3: If the Australian Government does not pursue interim recommendation 4.1 or 4.2, it should make the minimum changes to address the critical issues in the current system</w:t>
      </w:r>
      <w:r>
        <w:rPr>
          <w:b/>
          <w:bCs/>
        </w:rPr>
        <w:t>.</w:t>
      </w:r>
    </w:p>
    <w:p w14:paraId="6A3D7158" w14:textId="0DCA6396" w:rsidR="005F08F2" w:rsidRDefault="002F2CE5" w:rsidP="002F2CE5">
      <w:pPr>
        <w:spacing w:line="240" w:lineRule="auto"/>
      </w:pPr>
      <w:r>
        <w:t xml:space="preserve">The changes identified by the Commission are the removal of the standard state benchmark, the removal of the pool boost and making the </w:t>
      </w:r>
      <w:proofErr w:type="spellStart"/>
      <w:r>
        <w:t>NoWO</w:t>
      </w:r>
      <w:proofErr w:type="spellEnd"/>
      <w:r>
        <w:t xml:space="preserve"> guarantee permanent. Effectively this would be the </w:t>
      </w:r>
      <w:r w:rsidRPr="00513084">
        <w:t xml:space="preserve">pre-2018 </w:t>
      </w:r>
      <w:r>
        <w:t xml:space="preserve">HFE </w:t>
      </w:r>
      <w:r w:rsidRPr="00513084">
        <w:t>system</w:t>
      </w:r>
      <w:r>
        <w:t xml:space="preserve"> with a GST relativity floor of 0.75 and </w:t>
      </w:r>
      <w:proofErr w:type="spellStart"/>
      <w:r>
        <w:t>NoWO</w:t>
      </w:r>
      <w:proofErr w:type="spellEnd"/>
      <w:r>
        <w:t xml:space="preserve"> </w:t>
      </w:r>
      <w:r w:rsidR="00F37AEA">
        <w:t xml:space="preserve">guarantee </w:t>
      </w:r>
      <w:r>
        <w:t xml:space="preserve">payments to ensure that no state would receive less GST than they would under the </w:t>
      </w:r>
      <w:r w:rsidRPr="00513084">
        <w:t xml:space="preserve">pre-2018 </w:t>
      </w:r>
      <w:r>
        <w:t xml:space="preserve">HFE </w:t>
      </w:r>
      <w:r w:rsidRPr="00513084">
        <w:t>system</w:t>
      </w:r>
      <w:r>
        <w:t xml:space="preserve">. As this would result in the fiscally strongest state receiving a higher fiscal capacity than the other states, HFE would not be achieved and the requirement of the IGAFFR </w:t>
      </w:r>
      <w:r w:rsidR="0093171E">
        <w:t xml:space="preserve">would </w:t>
      </w:r>
      <w:r>
        <w:t>not be met. As such, this recommendation is not supported.</w:t>
      </w:r>
    </w:p>
    <w:p w14:paraId="4FC4EB84" w14:textId="3BF40C30" w:rsidR="002F2CE5" w:rsidRDefault="00195CA5" w:rsidP="00195CA5">
      <w:pPr>
        <w:pStyle w:val="Heading1numbered"/>
        <w:tabs>
          <w:tab w:val="clear" w:pos="792"/>
          <w:tab w:val="num" w:pos="360"/>
        </w:tabs>
        <w:ind w:left="0" w:firstLine="0"/>
      </w:pPr>
      <w:bookmarkStart w:id="14" w:name="_Toc240898792"/>
      <w:r w:rsidRPr="00195CA5">
        <w:t>AN EFFECTIVE FFR SYSTEM</w:t>
      </w:r>
      <w:bookmarkEnd w:id="14"/>
    </w:p>
    <w:p w14:paraId="28FB3B68" w14:textId="3A08F5E2" w:rsidR="002F2CE5" w:rsidRDefault="00195CA5" w:rsidP="007E0CC2">
      <w:pPr>
        <w:spacing w:line="240" w:lineRule="auto"/>
      </w:pPr>
      <w:r>
        <w:t xml:space="preserve">One issue that the Commission could explore further is the codification of the principles of HFE, either in the CGC Act or the IGAFFR. The IGAFFR states that GST revenue should be distributed </w:t>
      </w:r>
      <w:r w:rsidR="00681B52">
        <w:t>in accordance with the principle of HFE. However, the IGAFFR is silent on what are these principles. It had been left to the CGC to determine how HFE was to be implemented, both in terms of how fiscal capacity was to be assessed and how the GST pool was to be distributed.</w:t>
      </w:r>
    </w:p>
    <w:p w14:paraId="583F3CE4" w14:textId="5A9FEC54" w:rsidR="002F2CE5" w:rsidRDefault="00681B52" w:rsidP="007E0CC2">
      <w:pPr>
        <w:spacing w:line="240" w:lineRule="auto"/>
      </w:pPr>
      <w:r>
        <w:t xml:space="preserve">Neither the 2012 GST Distribution Review </w:t>
      </w:r>
      <w:r w:rsidR="00FF7C36">
        <w:t>n</w:t>
      </w:r>
      <w:r>
        <w:t>or the Commission’s 2018 HFE inquiry recommended that the methodology for the assessment of fiscal capacity be changed. The 2018 legislative changes explicitly incorporated in the CGC Act how fiscal capacity was to be determined. However, as noted above, there was not necessarily any gain in clarity as it refers to a standard which is not defined.</w:t>
      </w:r>
    </w:p>
    <w:p w14:paraId="5E167BB2" w14:textId="24940B72" w:rsidR="00681B52" w:rsidRDefault="00681B52" w:rsidP="007E0CC2">
      <w:pPr>
        <w:spacing w:line="240" w:lineRule="auto"/>
      </w:pPr>
      <w:r>
        <w:t>In winding back the 2018 changes</w:t>
      </w:r>
      <w:r w:rsidR="00D62E38">
        <w:t>, 16</w:t>
      </w:r>
      <w:proofErr w:type="gramStart"/>
      <w:r w:rsidR="00D62E38">
        <w:t>AB(</w:t>
      </w:r>
      <w:proofErr w:type="gramEnd"/>
      <w:r w:rsidR="00D62E38">
        <w:t xml:space="preserve">2) of the CGC Act could be amended to explicitly state the methodology that the CGC </w:t>
      </w:r>
      <w:r w:rsidR="00A05F18">
        <w:t xml:space="preserve">should </w:t>
      </w:r>
      <w:r w:rsidR="00D62E38">
        <w:t xml:space="preserve">use to assess the fiscal capacity of states. Alternatively, 16AB of the CGC Act could be completely abolished and the CGC methodology for the assessment of fiscal capacity be explicitly stated in the IGAFFR. Either of these measures would provide explicit confirmation of the CGC’s assessment methodology. Currently the confirmation is </w:t>
      </w:r>
      <w:r w:rsidR="00A05F18">
        <w:t xml:space="preserve">only </w:t>
      </w:r>
      <w:r w:rsidR="00D62E38">
        <w:t>implicit.</w:t>
      </w:r>
    </w:p>
    <w:p w14:paraId="177D5B78" w14:textId="6C7343DF" w:rsidR="00D62E38" w:rsidRDefault="00D62E38" w:rsidP="007E0CC2">
      <w:pPr>
        <w:spacing w:line="240" w:lineRule="auto"/>
      </w:pPr>
      <w:r>
        <w:t>The IGAFFR need</w:t>
      </w:r>
      <w:r w:rsidR="00865FE0">
        <w:t>s</w:t>
      </w:r>
      <w:r>
        <w:t xml:space="preserve"> strengthening. </w:t>
      </w:r>
      <w:r w:rsidR="00B70176">
        <w:t>The Commonwealth’s initial response to the Commission’s 2018 HFE inquiry proposed a GST distribution system that clearly did not distribute the GST pool according to the principles of HFE. The requirement of the IGAFFR w</w:t>
      </w:r>
      <w:r w:rsidR="0093171E">
        <w:t>as</w:t>
      </w:r>
      <w:r w:rsidR="00B70176">
        <w:t xml:space="preserve"> apparently irrelevant to the Commonwealth. While the </w:t>
      </w:r>
      <w:proofErr w:type="spellStart"/>
      <w:r w:rsidR="00B70176">
        <w:t>NoWO</w:t>
      </w:r>
      <w:proofErr w:type="spellEnd"/>
      <w:r w:rsidR="00B70176">
        <w:t xml:space="preserve"> guarantee made the current HFE system closer to meeting the principles of HFE, it still enabled one state to have a greater fiscal capacity than the other states.</w:t>
      </w:r>
    </w:p>
    <w:p w14:paraId="35968155" w14:textId="67935BEA" w:rsidR="002F2CE5" w:rsidRDefault="00A51F45" w:rsidP="00A51F45">
      <w:pPr>
        <w:pStyle w:val="Heading1numbered"/>
        <w:tabs>
          <w:tab w:val="clear" w:pos="792"/>
          <w:tab w:val="num" w:pos="360"/>
        </w:tabs>
        <w:ind w:left="0" w:firstLine="0"/>
      </w:pPr>
      <w:bookmarkStart w:id="15" w:name="_Toc240898793"/>
      <w:r>
        <w:t>CONCLUDING COMMENTS</w:t>
      </w:r>
      <w:bookmarkEnd w:id="15"/>
    </w:p>
    <w:p w14:paraId="2D9923D4" w14:textId="6295A37C" w:rsidR="00B01820" w:rsidRDefault="007767CC" w:rsidP="007E0CC2">
      <w:pPr>
        <w:spacing w:line="240" w:lineRule="auto"/>
      </w:pPr>
      <w:r>
        <w:t xml:space="preserve">The Commission has undertaken a thorough review of the post-2018 changes to the GST distribution system, assisted by a number of </w:t>
      </w:r>
      <w:proofErr w:type="gramStart"/>
      <w:r>
        <w:t>high quality</w:t>
      </w:r>
      <w:proofErr w:type="gramEnd"/>
      <w:r>
        <w:t xml:space="preserve"> submissions</w:t>
      </w:r>
      <w:r w:rsidR="00B01820">
        <w:t>.</w:t>
      </w:r>
      <w:r>
        <w:t xml:space="preserve"> There is no doubt that these changes have achieved virtually none of their objectives. This reinforces the perception that the changes were made purely to meet political objectives, rather than because they represented good public policy.</w:t>
      </w:r>
    </w:p>
    <w:p w14:paraId="086CE72F" w14:textId="0F72A6D7" w:rsidR="007767CC" w:rsidRDefault="007767CC" w:rsidP="007E0CC2">
      <w:pPr>
        <w:spacing w:line="240" w:lineRule="auto"/>
      </w:pPr>
      <w:r>
        <w:t xml:space="preserve">As the post-2018 changes were a failure that came at a high cost to the Commonwealth, the obvious solution is to repeal them. The pre-2018 HFE system met the requirements of the IGAFFR, an instrument that the Commonwealth and states appear </w:t>
      </w:r>
      <w:r w:rsidR="00D0629C">
        <w:t xml:space="preserve">not </w:t>
      </w:r>
      <w:r>
        <w:t>to treat as seriously as they should.</w:t>
      </w:r>
    </w:p>
    <w:p w14:paraId="0EC17081" w14:textId="4164BCCD" w:rsidR="007767CC" w:rsidRDefault="007767CC" w:rsidP="007E0CC2">
      <w:pPr>
        <w:spacing w:line="240" w:lineRule="auto"/>
      </w:pPr>
      <w:r>
        <w:t xml:space="preserve">The outstanding issue to be resolved is </w:t>
      </w:r>
      <w:proofErr w:type="gramStart"/>
      <w:r>
        <w:t>the means by which</w:t>
      </w:r>
      <w:proofErr w:type="gramEnd"/>
      <w:r>
        <w:t xml:space="preserve"> state revenue from mining royalties is assessed. The Commission favours applying a dominant state consideration to their assessment. Such an approach requires careful consideration as it will enable resource rich states to have </w:t>
      </w:r>
      <w:r w:rsidR="00876567">
        <w:t xml:space="preserve">higher fiscal capacities that the other states. The appropriate way to view mineral resources is that they </w:t>
      </w:r>
      <w:r w:rsidR="00876567">
        <w:lastRenderedPageBreak/>
        <w:t>belong to the nation as a whole and the returns from their exploitation should be shared with all citizens, not just those fortunate to live in a resource rich state.</w:t>
      </w:r>
    </w:p>
    <w:p w14:paraId="48456017" w14:textId="302E1917" w:rsidR="00A75C3E" w:rsidRDefault="00876567" w:rsidP="007E0CC2">
      <w:pPr>
        <w:spacing w:line="240" w:lineRule="auto"/>
      </w:pPr>
      <w:r>
        <w:t xml:space="preserve">It is worrying that comments made by the Prime Minister indicate that the Commonwealth will make a political response to the Commission’s inquiry rather than one based on good public policy. </w:t>
      </w:r>
      <w:r w:rsidR="008A443A">
        <w:t xml:space="preserve">These comments indicate that the Commonwealth will continue with the current HFE system, including the </w:t>
      </w:r>
      <w:proofErr w:type="spellStart"/>
      <w:r w:rsidR="008A443A">
        <w:t>NoWO</w:t>
      </w:r>
      <w:proofErr w:type="spellEnd"/>
      <w:r w:rsidR="008A443A">
        <w:t xml:space="preserve"> guarantee. The Prime Minister has indicated that the non-Western Australian states have nothing to complain about as the additional revenue received by Western Australia is funded by the Commonwealth</w:t>
      </w:r>
      <w:r w:rsidR="00A65F61">
        <w:rPr>
          <w:rStyle w:val="FootnoteReference"/>
        </w:rPr>
        <w:footnoteReference w:id="12"/>
      </w:r>
      <w:r w:rsidR="008A443A">
        <w:t xml:space="preserve">. This comment ignores the opportunity cost of providing the funding to Western Australia. </w:t>
      </w:r>
      <w:r w:rsidR="00A75C3E">
        <w:t>The Commission is encouraged to highlight the opportunity costs involved.</w:t>
      </w:r>
    </w:p>
    <w:p w14:paraId="2E7A16E4" w14:textId="100E3E5F" w:rsidR="008A443A" w:rsidRDefault="00A75C3E" w:rsidP="007E0CC2">
      <w:pPr>
        <w:spacing w:line="240" w:lineRule="auto"/>
      </w:pPr>
      <w:r>
        <w:t xml:space="preserve">The </w:t>
      </w:r>
      <w:r w:rsidR="00865FE0">
        <w:t xml:space="preserve">Prime Minister’s </w:t>
      </w:r>
      <w:r>
        <w:t>comment</w:t>
      </w:r>
      <w:r w:rsidR="008A443A">
        <w:t xml:space="preserve"> also ignores th</w:t>
      </w:r>
      <w:r w:rsidR="00865FE0">
        <w:t>e</w:t>
      </w:r>
      <w:r w:rsidR="008A443A">
        <w:t xml:space="preserve"> Commonwealth funding is placing Western Australia in a </w:t>
      </w:r>
      <w:r w:rsidR="006469E8">
        <w:t>stronger</w:t>
      </w:r>
      <w:r w:rsidR="008A443A">
        <w:t xml:space="preserve"> fiscal position than the other states. As the Commission has noted</w:t>
      </w:r>
      <w:r w:rsidR="006469E8">
        <w:t>,</w:t>
      </w:r>
      <w:r w:rsidR="008A443A">
        <w:t xml:space="preserve"> Western Australia has reduced its debt and the associated interest expense. This will provide Western Australia with the ability to provide services at a higher standard than the </w:t>
      </w:r>
      <w:r>
        <w:t>rest of the nation or to charge lower taxes. If this outcome continues for an extended period it will result in a nation divided in opportunity.</w:t>
      </w:r>
    </w:p>
    <w:p w14:paraId="3B30A07C" w14:textId="54EDA648" w:rsidR="00A75C3E" w:rsidRDefault="00A75C3E" w:rsidP="007E0CC2">
      <w:pPr>
        <w:spacing w:line="240" w:lineRule="auto"/>
      </w:pPr>
      <w:r>
        <w:t xml:space="preserve">It is extremely disappointing that the </w:t>
      </w:r>
      <w:r w:rsidR="0093171E">
        <w:t xml:space="preserve">Prime Minister </w:t>
      </w:r>
      <w:r>
        <w:t xml:space="preserve">has responded before the Commission </w:t>
      </w:r>
      <w:proofErr w:type="gramStart"/>
      <w:r>
        <w:t>has the opportunity to</w:t>
      </w:r>
      <w:proofErr w:type="gramEnd"/>
      <w:r>
        <w:t xml:space="preserve"> deliver its final report. Good public policy is the ultimate victim.</w:t>
      </w:r>
    </w:p>
    <w:p w14:paraId="3F355A96" w14:textId="77777777" w:rsidR="00AE5BF3" w:rsidRDefault="00AE5BF3">
      <w:r>
        <w:br w:type="page"/>
      </w:r>
    </w:p>
    <w:p w14:paraId="76DAA825" w14:textId="58ABBAEB" w:rsidR="00BB5C31" w:rsidRPr="00BB5C31" w:rsidRDefault="00BB5C31" w:rsidP="00BB5C31">
      <w:pPr>
        <w:pStyle w:val="Heading2"/>
        <w:rPr>
          <w:b/>
          <w:bCs/>
          <w:sz w:val="32"/>
          <w:szCs w:val="32"/>
        </w:rPr>
      </w:pPr>
      <w:bookmarkStart w:id="16" w:name="_Toc240898794"/>
      <w:r>
        <w:rPr>
          <w:b/>
          <w:bCs/>
          <w:sz w:val="32"/>
          <w:szCs w:val="32"/>
        </w:rPr>
        <w:lastRenderedPageBreak/>
        <w:t xml:space="preserve">APPENDIX: </w:t>
      </w:r>
      <w:r w:rsidR="00E47BCA" w:rsidRPr="00E47BCA">
        <w:rPr>
          <w:b/>
          <w:bCs/>
          <w:sz w:val="32"/>
          <w:szCs w:val="32"/>
        </w:rPr>
        <w:t>CGC ASSESSMENT METHODS</w:t>
      </w:r>
      <w:bookmarkEnd w:id="16"/>
    </w:p>
    <w:p w14:paraId="4690B16A" w14:textId="32A5D1D3" w:rsidR="00BB5C31" w:rsidRPr="00BB5C31" w:rsidRDefault="00BB5C31" w:rsidP="00FB0F99">
      <w:r w:rsidRPr="00BB5C31">
        <w:t>The CGC has three methods for assessing revenue (and expenses). These are:</w:t>
      </w:r>
    </w:p>
    <w:p w14:paraId="1439A2B6" w14:textId="7464C734" w:rsidR="00BB5C31" w:rsidRPr="00BB5C31" w:rsidRDefault="00BB5C31" w:rsidP="00FB0F99">
      <w:r>
        <w:rPr>
          <w:b/>
          <w:bCs/>
        </w:rPr>
        <w:t>Differential assessment—</w:t>
      </w:r>
      <w:r w:rsidRPr="00BB5C31">
        <w:t>for the</w:t>
      </w:r>
      <w:r>
        <w:rPr>
          <w:b/>
          <w:bCs/>
        </w:rPr>
        <w:t xml:space="preserve"> </w:t>
      </w:r>
      <w:r w:rsidRPr="00BB5C31">
        <w:t xml:space="preserve">revenue assessment </w:t>
      </w:r>
      <w:r>
        <w:t xml:space="preserve">this is done by applying the national average tax rate for a particular state revenue to each state’s revenue base, adjusted by the CGC to make them compatible. This method is used when there are differences in state policy </w:t>
      </w:r>
      <w:proofErr w:type="gramStart"/>
      <w:r>
        <w:t>in regard to</w:t>
      </w:r>
      <w:proofErr w:type="gramEnd"/>
      <w:r>
        <w:t xml:space="preserve"> the tax rate and/or the extent of the tax base to be subject to taxation.</w:t>
      </w:r>
    </w:p>
    <w:p w14:paraId="66B9F08A" w14:textId="0BE9E384" w:rsidR="00FB0F99" w:rsidRDefault="00BB5C31" w:rsidP="00FB0F99">
      <w:r w:rsidRPr="00FB0F99">
        <w:rPr>
          <w:b/>
          <w:bCs/>
        </w:rPr>
        <w:t xml:space="preserve">Equal </w:t>
      </w:r>
      <w:r w:rsidR="00FB0F99" w:rsidRPr="00FB0F99">
        <w:rPr>
          <w:b/>
          <w:bCs/>
        </w:rPr>
        <w:t>per capita (EPC) assessment</w:t>
      </w:r>
      <w:r>
        <w:rPr>
          <w:b/>
          <w:bCs/>
        </w:rPr>
        <w:t>—</w:t>
      </w:r>
      <w:r>
        <w:t>the</w:t>
      </w:r>
      <w:r w:rsidR="00FB0F99">
        <w:t xml:space="preserve"> assessed revenue </w:t>
      </w:r>
      <w:r>
        <w:t>for a particular state revenue</w:t>
      </w:r>
      <w:r w:rsidR="00FB0F99">
        <w:t xml:space="preserve"> is set equal to the Australian average per capita amount</w:t>
      </w:r>
      <w:r>
        <w:t xml:space="preserve"> for each state</w:t>
      </w:r>
      <w:r w:rsidR="00FB0F99">
        <w:t xml:space="preserve">. </w:t>
      </w:r>
      <w:r w:rsidR="008266F9">
        <w:t>The method</w:t>
      </w:r>
      <w:r w:rsidR="00FB0F99">
        <w:t xml:space="preserve"> is used when </w:t>
      </w:r>
      <w:r w:rsidR="008266F9">
        <w:t>s</w:t>
      </w:r>
      <w:r w:rsidR="008266F9" w:rsidRPr="008266F9">
        <w:t xml:space="preserve">tates are assessed to have equal </w:t>
      </w:r>
      <w:r w:rsidR="008266F9">
        <w:t xml:space="preserve">revenue raising </w:t>
      </w:r>
      <w:r w:rsidR="008266F9" w:rsidRPr="008266F9">
        <w:t>capacities</w:t>
      </w:r>
      <w:r w:rsidR="008266F9">
        <w:t>,</w:t>
      </w:r>
      <w:r w:rsidR="008266F9" w:rsidRPr="008266F9">
        <w:t xml:space="preserve"> reliable data could not be found to make an assessment</w:t>
      </w:r>
      <w:r w:rsidR="008266F9">
        <w:t>,</w:t>
      </w:r>
      <w:r w:rsidR="008266F9" w:rsidRPr="008266F9">
        <w:t xml:space="preserve"> an assessment method could not be </w:t>
      </w:r>
      <w:proofErr w:type="gramStart"/>
      <w:r w:rsidR="008266F9" w:rsidRPr="008266F9">
        <w:t>developed</w:t>
      </w:r>
      <w:proofErr w:type="gramEnd"/>
      <w:r w:rsidR="008266F9" w:rsidRPr="008266F9">
        <w:t xml:space="preserve"> </w:t>
      </w:r>
      <w:r w:rsidR="008266F9">
        <w:t>or</w:t>
      </w:r>
      <w:r w:rsidR="008266F9" w:rsidRPr="008266F9">
        <w:t xml:space="preserve"> a differential assessment would not be material</w:t>
      </w:r>
      <w:r w:rsidR="00FB0F99">
        <w:t xml:space="preserve">. </w:t>
      </w:r>
      <w:r w:rsidR="008266F9">
        <w:t xml:space="preserve">An EPC assessment </w:t>
      </w:r>
      <w:r w:rsidR="008266F9" w:rsidRPr="008266F9">
        <w:t xml:space="preserve">means </w:t>
      </w:r>
      <w:r w:rsidR="008266F9">
        <w:t xml:space="preserve">that this </w:t>
      </w:r>
      <w:proofErr w:type="gramStart"/>
      <w:r w:rsidR="008266F9">
        <w:t>particular state</w:t>
      </w:r>
      <w:proofErr w:type="gramEnd"/>
      <w:r w:rsidR="008266F9" w:rsidRPr="008266F9">
        <w:t xml:space="preserve"> revenue </w:t>
      </w:r>
      <w:r w:rsidR="008266F9">
        <w:t>has no impact on</w:t>
      </w:r>
      <w:r w:rsidR="008266F9" w:rsidRPr="008266F9">
        <w:t xml:space="preserve"> </w:t>
      </w:r>
      <w:r w:rsidR="008266F9">
        <w:t>s</w:t>
      </w:r>
      <w:r w:rsidR="008266F9" w:rsidRPr="008266F9">
        <w:t>tates’ relative fiscal capacities</w:t>
      </w:r>
      <w:r w:rsidR="00FB0F99">
        <w:t>.</w:t>
      </w:r>
    </w:p>
    <w:p w14:paraId="7437BC55" w14:textId="138481C5" w:rsidR="00FB0F99" w:rsidRDefault="008266F9" w:rsidP="00FB0F99">
      <w:r>
        <w:rPr>
          <w:b/>
          <w:bCs/>
        </w:rPr>
        <w:t>A</w:t>
      </w:r>
      <w:r w:rsidR="00FB0F99" w:rsidRPr="00FB0F99">
        <w:rPr>
          <w:b/>
          <w:bCs/>
        </w:rPr>
        <w:t>ctual per capita (APC) assessment method</w:t>
      </w:r>
      <w:r>
        <w:rPr>
          <w:b/>
          <w:bCs/>
        </w:rPr>
        <w:t>—</w:t>
      </w:r>
      <w:r w:rsidRPr="008266F9">
        <w:t xml:space="preserve"> </w:t>
      </w:r>
      <w:r>
        <w:t xml:space="preserve">the assessed revenue for a particular state revenue </w:t>
      </w:r>
      <w:r w:rsidR="00FB0F99">
        <w:t>is set equal to its actual revenue</w:t>
      </w:r>
      <w:r>
        <w:t xml:space="preserve"> for each state</w:t>
      </w:r>
      <w:r w:rsidR="00FB0F99">
        <w:t xml:space="preserve">. It is used when, in the </w:t>
      </w:r>
      <w:r>
        <w:t>CGC</w:t>
      </w:r>
      <w:r w:rsidR="00FB0F99">
        <w:t xml:space="preserve">’s judgment, the policies of all States are the same and any differences in revenue per capita are due to differences in </w:t>
      </w:r>
      <w:r w:rsidR="00D427F8">
        <w:t>s</w:t>
      </w:r>
      <w:r w:rsidR="00FB0F99">
        <w:t>tate circumstances</w:t>
      </w:r>
      <w:r>
        <w:t>.</w:t>
      </w:r>
    </w:p>
    <w:p w14:paraId="70005132" w14:textId="2FA550A0" w:rsidR="00FB0F99" w:rsidRDefault="008266F9" w:rsidP="00FB0F99">
      <w:r>
        <w:t>Mining revenue is subject to a d</w:t>
      </w:r>
      <w:r w:rsidR="00B431FB">
        <w:t>ifferential assessment.</w:t>
      </w:r>
      <w:r w:rsidR="00614969">
        <w:t xml:space="preserve"> However, the distribution of mineral resources is quite uneven acr</w:t>
      </w:r>
      <w:r w:rsidR="00D427F8">
        <w:t>oss the nation. For example, iron ore and gold are concentrated in Western Australia, coking coal, silver and zinc in Queensland, thermal coal in New South Wales and copper in South Australia. Other states have low concentration of minerals, with the Australian Capital Territory having no minerals.</w:t>
      </w:r>
    </w:p>
    <w:p w14:paraId="244418BD" w14:textId="5B73F19D" w:rsidR="008266F9" w:rsidRDefault="00D427F8" w:rsidP="00FB0F99">
      <w:r>
        <w:t>It could be argued that these differences in the distribution of minerals would make an APC assessment appropriate as the ability to raise revenue from mining is due to differences in state circumstances.</w:t>
      </w:r>
      <w:r w:rsidR="00B76197">
        <w:t xml:space="preserve"> Table A1 indicates that the assessment of mining revenue for </w:t>
      </w:r>
      <w:r w:rsidR="00154707">
        <w:t>the assessment years of the CGC’s 2026 Update</w:t>
      </w:r>
      <w:r w:rsidR="00B76197">
        <w:t xml:space="preserve"> did not differ greatly from an APC assessment for the main mining states.</w:t>
      </w:r>
    </w:p>
    <w:p w14:paraId="58254712" w14:textId="396D0A22" w:rsidR="00154707" w:rsidRDefault="00154707" w:rsidP="00943260">
      <w:pPr>
        <w:spacing w:after="0"/>
      </w:pPr>
      <w:r w:rsidRPr="005D2554">
        <w:rPr>
          <w:b/>
          <w:bCs/>
        </w:rPr>
        <w:t>Table A</w:t>
      </w:r>
      <w:r>
        <w:rPr>
          <w:b/>
          <w:bCs/>
        </w:rPr>
        <w:t>1</w:t>
      </w:r>
      <w:r w:rsidRPr="005D2554">
        <w:rPr>
          <w:b/>
          <w:bCs/>
        </w:rPr>
        <w:t xml:space="preserve">: </w:t>
      </w:r>
      <w:r w:rsidRPr="00154707">
        <w:rPr>
          <w:b/>
          <w:bCs/>
        </w:rPr>
        <w:t xml:space="preserve">Ratio of actual to assessed </w:t>
      </w:r>
      <w:r>
        <w:rPr>
          <w:b/>
          <w:bCs/>
        </w:rPr>
        <w:t>m</w:t>
      </w:r>
      <w:r w:rsidRPr="00947E8B">
        <w:rPr>
          <w:b/>
          <w:bCs/>
        </w:rPr>
        <w:t xml:space="preserve">ining </w:t>
      </w:r>
      <w:r>
        <w:rPr>
          <w:b/>
          <w:bCs/>
        </w:rPr>
        <w:t>r</w:t>
      </w:r>
      <w:r w:rsidRPr="00947E8B">
        <w:rPr>
          <w:b/>
          <w:bCs/>
        </w:rPr>
        <w:t xml:space="preserve">evenue, </w:t>
      </w:r>
      <w:r w:rsidR="00943260">
        <w:rPr>
          <w:b/>
          <w:bCs/>
        </w:rPr>
        <w:t>2022</w:t>
      </w:r>
      <w:r w:rsidR="00943260" w:rsidRPr="005D2554">
        <w:rPr>
          <w:rFonts w:cstheme="minorHAnsi"/>
          <w:b/>
          <w:bCs/>
        </w:rPr>
        <w:t>–</w:t>
      </w:r>
      <w:r w:rsidR="00943260">
        <w:rPr>
          <w:rFonts w:cstheme="minorHAnsi"/>
          <w:b/>
          <w:bCs/>
        </w:rPr>
        <w:t xml:space="preserve">23 to </w:t>
      </w:r>
      <w:r w:rsidRPr="00947E8B">
        <w:rPr>
          <w:b/>
          <w:bCs/>
        </w:rPr>
        <w:t>2024</w:t>
      </w:r>
      <w:r w:rsidRPr="005D2554">
        <w:rPr>
          <w:rFonts w:cstheme="minorHAnsi"/>
          <w:b/>
          <w:bCs/>
        </w:rPr>
        <w:t>–</w:t>
      </w:r>
      <w:r w:rsidRPr="00947E8B">
        <w:rPr>
          <w:b/>
          <w:bCs/>
        </w:rPr>
        <w:t>25</w:t>
      </w:r>
      <w:r w:rsidR="00943260">
        <w:rPr>
          <w:b/>
          <w:bCs/>
        </w:rPr>
        <w:t xml:space="preserve"> (per cent)</w:t>
      </w:r>
    </w:p>
    <w:tbl>
      <w:tblPr>
        <w:tblW w:w="9411" w:type="dxa"/>
        <w:tblLayout w:type="fixed"/>
        <w:tblLook w:val="04A0" w:firstRow="1" w:lastRow="0" w:firstColumn="1" w:lastColumn="0" w:noHBand="0" w:noVBand="1"/>
      </w:tblPr>
      <w:tblGrid>
        <w:gridCol w:w="1134"/>
        <w:gridCol w:w="907"/>
        <w:gridCol w:w="907"/>
        <w:gridCol w:w="907"/>
        <w:gridCol w:w="907"/>
        <w:gridCol w:w="907"/>
        <w:gridCol w:w="907"/>
        <w:gridCol w:w="907"/>
        <w:gridCol w:w="907"/>
        <w:gridCol w:w="1021"/>
      </w:tblGrid>
      <w:tr w:rsidR="00154707" w:rsidRPr="00044700" w14:paraId="29B1F364" w14:textId="77777777" w:rsidTr="008D6CDE">
        <w:tc>
          <w:tcPr>
            <w:tcW w:w="1134" w:type="dxa"/>
            <w:tcBorders>
              <w:top w:val="single" w:sz="12" w:space="0" w:color="auto"/>
              <w:left w:val="nil"/>
              <w:bottom w:val="single" w:sz="6" w:space="0" w:color="auto"/>
              <w:right w:val="nil"/>
            </w:tcBorders>
            <w:noWrap/>
            <w:vAlign w:val="bottom"/>
            <w:hideMark/>
          </w:tcPr>
          <w:p w14:paraId="1AFD1D98" w14:textId="77777777" w:rsidR="00154707" w:rsidRPr="00044700" w:rsidRDefault="00154707" w:rsidP="008D6CDE">
            <w:pPr>
              <w:keepNext/>
              <w:keepLines/>
              <w:spacing w:before="60" w:after="60" w:line="240" w:lineRule="auto"/>
              <w:rPr>
                <w:rFonts w:ascii="Calibri" w:eastAsia="Times New Roman" w:hAnsi="Calibri" w:cs="Calibri"/>
                <w:i/>
                <w:iCs/>
                <w:lang w:eastAsia="en-AU"/>
              </w:rPr>
            </w:pPr>
            <w:r w:rsidRPr="00044700">
              <w:rPr>
                <w:rFonts w:ascii="Calibri" w:eastAsia="Times New Roman" w:hAnsi="Calibri" w:cs="Calibri"/>
                <w:i/>
                <w:iCs/>
                <w:lang w:eastAsia="en-AU"/>
              </w:rPr>
              <w:t>Year</w:t>
            </w:r>
          </w:p>
        </w:tc>
        <w:tc>
          <w:tcPr>
            <w:tcW w:w="907" w:type="dxa"/>
            <w:tcBorders>
              <w:top w:val="single" w:sz="12" w:space="0" w:color="auto"/>
              <w:left w:val="nil"/>
              <w:bottom w:val="single" w:sz="6" w:space="0" w:color="auto"/>
              <w:right w:val="nil"/>
            </w:tcBorders>
            <w:noWrap/>
            <w:vAlign w:val="center"/>
            <w:hideMark/>
          </w:tcPr>
          <w:p w14:paraId="7B65154D" w14:textId="77777777" w:rsidR="00154707" w:rsidRPr="00044700" w:rsidRDefault="00154707" w:rsidP="008D6CDE">
            <w:pPr>
              <w:keepNext/>
              <w:keepLines/>
              <w:spacing w:before="60" w:after="60" w:line="240" w:lineRule="auto"/>
              <w:jc w:val="center"/>
              <w:rPr>
                <w:rFonts w:ascii="Calibri" w:eastAsia="Times New Roman" w:hAnsi="Calibri" w:cs="Calibri"/>
                <w:i/>
                <w:iCs/>
                <w:lang w:eastAsia="en-AU"/>
              </w:rPr>
            </w:pPr>
            <w:r w:rsidRPr="00044700">
              <w:rPr>
                <w:rFonts w:ascii="Calibri" w:eastAsia="Times New Roman" w:hAnsi="Calibri" w:cs="Calibri"/>
                <w:i/>
                <w:iCs/>
                <w:lang w:eastAsia="en-AU"/>
              </w:rPr>
              <w:t>NSW</w:t>
            </w:r>
          </w:p>
        </w:tc>
        <w:tc>
          <w:tcPr>
            <w:tcW w:w="907" w:type="dxa"/>
            <w:tcBorders>
              <w:top w:val="single" w:sz="12" w:space="0" w:color="auto"/>
              <w:left w:val="nil"/>
              <w:bottom w:val="single" w:sz="6" w:space="0" w:color="auto"/>
              <w:right w:val="nil"/>
            </w:tcBorders>
            <w:noWrap/>
            <w:vAlign w:val="center"/>
            <w:hideMark/>
          </w:tcPr>
          <w:p w14:paraId="6FEF16F1" w14:textId="77777777" w:rsidR="00154707" w:rsidRPr="00044700" w:rsidRDefault="00154707" w:rsidP="008D6CDE">
            <w:pPr>
              <w:keepNext/>
              <w:keepLines/>
              <w:spacing w:before="60" w:after="60" w:line="240" w:lineRule="auto"/>
              <w:jc w:val="center"/>
              <w:rPr>
                <w:rFonts w:ascii="Calibri" w:eastAsia="Times New Roman" w:hAnsi="Calibri" w:cs="Calibri"/>
                <w:i/>
                <w:iCs/>
                <w:lang w:eastAsia="en-AU"/>
              </w:rPr>
            </w:pPr>
            <w:r w:rsidRPr="00044700">
              <w:rPr>
                <w:rFonts w:ascii="Calibri" w:eastAsia="Times New Roman" w:hAnsi="Calibri" w:cs="Calibri"/>
                <w:i/>
                <w:iCs/>
                <w:lang w:eastAsia="en-AU"/>
              </w:rPr>
              <w:t>Vic</w:t>
            </w:r>
          </w:p>
        </w:tc>
        <w:tc>
          <w:tcPr>
            <w:tcW w:w="907" w:type="dxa"/>
            <w:tcBorders>
              <w:top w:val="single" w:sz="12" w:space="0" w:color="auto"/>
              <w:left w:val="nil"/>
              <w:bottom w:val="single" w:sz="6" w:space="0" w:color="auto"/>
              <w:right w:val="nil"/>
            </w:tcBorders>
            <w:noWrap/>
            <w:vAlign w:val="center"/>
            <w:hideMark/>
          </w:tcPr>
          <w:p w14:paraId="42501203" w14:textId="77777777" w:rsidR="00154707" w:rsidRPr="00044700" w:rsidRDefault="00154707" w:rsidP="008D6CDE">
            <w:pPr>
              <w:keepNext/>
              <w:keepLines/>
              <w:spacing w:before="60" w:after="60" w:line="240" w:lineRule="auto"/>
              <w:jc w:val="center"/>
              <w:rPr>
                <w:rFonts w:ascii="Calibri" w:eastAsia="Times New Roman" w:hAnsi="Calibri" w:cs="Calibri"/>
                <w:i/>
                <w:iCs/>
                <w:lang w:eastAsia="en-AU"/>
              </w:rPr>
            </w:pPr>
            <w:r w:rsidRPr="00044700">
              <w:rPr>
                <w:rFonts w:ascii="Calibri" w:eastAsia="Times New Roman" w:hAnsi="Calibri" w:cs="Calibri"/>
                <w:i/>
                <w:iCs/>
                <w:lang w:eastAsia="en-AU"/>
              </w:rPr>
              <w:t>Qld</w:t>
            </w:r>
          </w:p>
        </w:tc>
        <w:tc>
          <w:tcPr>
            <w:tcW w:w="907" w:type="dxa"/>
            <w:tcBorders>
              <w:top w:val="single" w:sz="12" w:space="0" w:color="auto"/>
              <w:left w:val="nil"/>
              <w:bottom w:val="single" w:sz="6" w:space="0" w:color="auto"/>
              <w:right w:val="nil"/>
            </w:tcBorders>
            <w:noWrap/>
            <w:vAlign w:val="center"/>
            <w:hideMark/>
          </w:tcPr>
          <w:p w14:paraId="14CFDDAD" w14:textId="77777777" w:rsidR="00154707" w:rsidRPr="00044700" w:rsidRDefault="00154707" w:rsidP="008D6CDE">
            <w:pPr>
              <w:keepNext/>
              <w:keepLines/>
              <w:spacing w:before="60" w:after="60" w:line="240" w:lineRule="auto"/>
              <w:jc w:val="center"/>
              <w:rPr>
                <w:rFonts w:ascii="Calibri" w:eastAsia="Times New Roman" w:hAnsi="Calibri" w:cs="Calibri"/>
                <w:i/>
                <w:iCs/>
                <w:lang w:eastAsia="en-AU"/>
              </w:rPr>
            </w:pPr>
            <w:r w:rsidRPr="00044700">
              <w:rPr>
                <w:rFonts w:ascii="Calibri" w:eastAsia="Times New Roman" w:hAnsi="Calibri" w:cs="Calibri"/>
                <w:i/>
                <w:iCs/>
                <w:lang w:eastAsia="en-AU"/>
              </w:rPr>
              <w:t>WA</w:t>
            </w:r>
          </w:p>
        </w:tc>
        <w:tc>
          <w:tcPr>
            <w:tcW w:w="907" w:type="dxa"/>
            <w:tcBorders>
              <w:top w:val="single" w:sz="12" w:space="0" w:color="auto"/>
              <w:left w:val="nil"/>
              <w:bottom w:val="single" w:sz="6" w:space="0" w:color="auto"/>
              <w:right w:val="nil"/>
            </w:tcBorders>
            <w:noWrap/>
            <w:vAlign w:val="center"/>
            <w:hideMark/>
          </w:tcPr>
          <w:p w14:paraId="0577EE7F" w14:textId="77777777" w:rsidR="00154707" w:rsidRPr="00044700" w:rsidRDefault="00154707" w:rsidP="008D6CDE">
            <w:pPr>
              <w:keepNext/>
              <w:keepLines/>
              <w:spacing w:before="60" w:after="60" w:line="240" w:lineRule="auto"/>
              <w:jc w:val="center"/>
              <w:rPr>
                <w:rFonts w:ascii="Calibri" w:eastAsia="Times New Roman" w:hAnsi="Calibri" w:cs="Calibri"/>
                <w:i/>
                <w:iCs/>
                <w:lang w:eastAsia="en-AU"/>
              </w:rPr>
            </w:pPr>
            <w:r w:rsidRPr="00044700">
              <w:rPr>
                <w:rFonts w:ascii="Calibri" w:eastAsia="Times New Roman" w:hAnsi="Calibri" w:cs="Calibri"/>
                <w:i/>
                <w:iCs/>
                <w:lang w:eastAsia="en-AU"/>
              </w:rPr>
              <w:t>SA</w:t>
            </w:r>
          </w:p>
        </w:tc>
        <w:tc>
          <w:tcPr>
            <w:tcW w:w="907" w:type="dxa"/>
            <w:tcBorders>
              <w:top w:val="single" w:sz="12" w:space="0" w:color="auto"/>
              <w:left w:val="nil"/>
              <w:bottom w:val="single" w:sz="6" w:space="0" w:color="auto"/>
              <w:right w:val="nil"/>
            </w:tcBorders>
            <w:noWrap/>
            <w:vAlign w:val="center"/>
            <w:hideMark/>
          </w:tcPr>
          <w:p w14:paraId="65053DE6" w14:textId="77777777" w:rsidR="00154707" w:rsidRPr="00044700" w:rsidRDefault="00154707" w:rsidP="008D6CDE">
            <w:pPr>
              <w:keepNext/>
              <w:keepLines/>
              <w:spacing w:before="60" w:after="60" w:line="240" w:lineRule="auto"/>
              <w:jc w:val="center"/>
              <w:rPr>
                <w:rFonts w:ascii="Calibri" w:eastAsia="Times New Roman" w:hAnsi="Calibri" w:cs="Calibri"/>
                <w:i/>
                <w:iCs/>
                <w:lang w:eastAsia="en-AU"/>
              </w:rPr>
            </w:pPr>
            <w:r w:rsidRPr="00044700">
              <w:rPr>
                <w:rFonts w:ascii="Calibri" w:eastAsia="Times New Roman" w:hAnsi="Calibri" w:cs="Calibri"/>
                <w:i/>
                <w:iCs/>
                <w:lang w:eastAsia="en-AU"/>
              </w:rPr>
              <w:t>Tas</w:t>
            </w:r>
          </w:p>
        </w:tc>
        <w:tc>
          <w:tcPr>
            <w:tcW w:w="907" w:type="dxa"/>
            <w:tcBorders>
              <w:top w:val="single" w:sz="12" w:space="0" w:color="auto"/>
              <w:left w:val="nil"/>
              <w:bottom w:val="single" w:sz="6" w:space="0" w:color="auto"/>
              <w:right w:val="nil"/>
            </w:tcBorders>
            <w:noWrap/>
            <w:vAlign w:val="center"/>
            <w:hideMark/>
          </w:tcPr>
          <w:p w14:paraId="15249080" w14:textId="77777777" w:rsidR="00154707" w:rsidRPr="00044700" w:rsidRDefault="00154707" w:rsidP="008D6CDE">
            <w:pPr>
              <w:keepNext/>
              <w:keepLines/>
              <w:spacing w:before="60" w:after="60" w:line="240" w:lineRule="auto"/>
              <w:jc w:val="center"/>
              <w:rPr>
                <w:rFonts w:ascii="Calibri" w:eastAsia="Times New Roman" w:hAnsi="Calibri" w:cs="Calibri"/>
                <w:i/>
                <w:iCs/>
                <w:lang w:eastAsia="en-AU"/>
              </w:rPr>
            </w:pPr>
            <w:r w:rsidRPr="00044700">
              <w:rPr>
                <w:rFonts w:ascii="Calibri" w:eastAsia="Times New Roman" w:hAnsi="Calibri" w:cs="Calibri"/>
                <w:i/>
                <w:iCs/>
                <w:lang w:eastAsia="en-AU"/>
              </w:rPr>
              <w:t>ACT</w:t>
            </w:r>
          </w:p>
        </w:tc>
        <w:tc>
          <w:tcPr>
            <w:tcW w:w="907" w:type="dxa"/>
            <w:tcBorders>
              <w:top w:val="single" w:sz="12" w:space="0" w:color="auto"/>
              <w:left w:val="nil"/>
              <w:bottom w:val="single" w:sz="6" w:space="0" w:color="auto"/>
              <w:right w:val="nil"/>
            </w:tcBorders>
            <w:noWrap/>
            <w:vAlign w:val="center"/>
            <w:hideMark/>
          </w:tcPr>
          <w:p w14:paraId="36C84037" w14:textId="77777777" w:rsidR="00154707" w:rsidRPr="00044700" w:rsidRDefault="00154707" w:rsidP="008D6CDE">
            <w:pPr>
              <w:keepNext/>
              <w:keepLines/>
              <w:spacing w:before="60" w:after="60" w:line="240" w:lineRule="auto"/>
              <w:jc w:val="center"/>
              <w:rPr>
                <w:rFonts w:ascii="Calibri" w:eastAsia="Times New Roman" w:hAnsi="Calibri" w:cs="Calibri"/>
                <w:i/>
                <w:iCs/>
                <w:lang w:eastAsia="en-AU"/>
              </w:rPr>
            </w:pPr>
            <w:r w:rsidRPr="00044700">
              <w:rPr>
                <w:rFonts w:ascii="Calibri" w:eastAsia="Times New Roman" w:hAnsi="Calibri" w:cs="Calibri"/>
                <w:i/>
                <w:iCs/>
                <w:lang w:eastAsia="en-AU"/>
              </w:rPr>
              <w:t>NT</w:t>
            </w:r>
          </w:p>
        </w:tc>
        <w:tc>
          <w:tcPr>
            <w:tcW w:w="1021" w:type="dxa"/>
            <w:tcBorders>
              <w:top w:val="single" w:sz="12" w:space="0" w:color="auto"/>
              <w:left w:val="nil"/>
              <w:bottom w:val="single" w:sz="6" w:space="0" w:color="auto"/>
              <w:right w:val="nil"/>
            </w:tcBorders>
            <w:noWrap/>
            <w:vAlign w:val="center"/>
            <w:hideMark/>
          </w:tcPr>
          <w:p w14:paraId="3B543CEC" w14:textId="1EC4E210" w:rsidR="00154707" w:rsidRPr="00044700" w:rsidRDefault="00943260" w:rsidP="008D6CDE">
            <w:pPr>
              <w:keepNext/>
              <w:keepLines/>
              <w:spacing w:before="60" w:after="60" w:line="240" w:lineRule="auto"/>
              <w:jc w:val="center"/>
              <w:rPr>
                <w:rFonts w:ascii="Calibri" w:eastAsia="Times New Roman" w:hAnsi="Calibri" w:cs="Calibri"/>
                <w:i/>
                <w:iCs/>
                <w:lang w:eastAsia="en-AU"/>
              </w:rPr>
            </w:pPr>
            <w:r>
              <w:rPr>
                <w:rFonts w:ascii="Calibri" w:eastAsia="Times New Roman" w:hAnsi="Calibri" w:cs="Calibri"/>
                <w:i/>
                <w:iCs/>
                <w:lang w:eastAsia="en-AU"/>
              </w:rPr>
              <w:t>Average</w:t>
            </w:r>
          </w:p>
        </w:tc>
      </w:tr>
      <w:tr w:rsidR="00943260" w:rsidRPr="00467DE6" w14:paraId="4F837411" w14:textId="77777777" w:rsidTr="008D6CDE">
        <w:tc>
          <w:tcPr>
            <w:tcW w:w="1134" w:type="dxa"/>
            <w:tcBorders>
              <w:top w:val="single" w:sz="12" w:space="0" w:color="auto"/>
              <w:left w:val="nil"/>
              <w:right w:val="nil"/>
            </w:tcBorders>
            <w:noWrap/>
            <w:hideMark/>
          </w:tcPr>
          <w:p w14:paraId="2AD30C03" w14:textId="54668B13" w:rsidR="00943260" w:rsidRPr="00801215" w:rsidRDefault="00943260" w:rsidP="00943260">
            <w:pPr>
              <w:keepNext/>
              <w:keepLines/>
              <w:spacing w:before="60" w:after="0" w:line="240" w:lineRule="auto"/>
              <w:rPr>
                <w:rFonts w:ascii="Calibri" w:eastAsia="Times New Roman" w:hAnsi="Calibri" w:cs="Calibri"/>
                <w:lang w:eastAsia="en-AU"/>
              </w:rPr>
            </w:pPr>
            <w:r w:rsidRPr="006A0509">
              <w:t>2022</w:t>
            </w:r>
            <w:r w:rsidR="00011B11" w:rsidRPr="00011B11">
              <w:t>–</w:t>
            </w:r>
            <w:r w:rsidRPr="006A0509">
              <w:t>23</w:t>
            </w:r>
          </w:p>
        </w:tc>
        <w:tc>
          <w:tcPr>
            <w:tcW w:w="907" w:type="dxa"/>
            <w:tcBorders>
              <w:top w:val="single" w:sz="12" w:space="0" w:color="auto"/>
              <w:left w:val="nil"/>
              <w:right w:val="nil"/>
            </w:tcBorders>
            <w:noWrap/>
            <w:hideMark/>
          </w:tcPr>
          <w:p w14:paraId="7D8089E8" w14:textId="48A1F288" w:rsidR="00943260" w:rsidRPr="00801215" w:rsidRDefault="00943260" w:rsidP="00943260">
            <w:pPr>
              <w:keepNext/>
              <w:keepLines/>
              <w:spacing w:before="60" w:after="0" w:line="240" w:lineRule="auto"/>
              <w:jc w:val="center"/>
              <w:rPr>
                <w:rFonts w:ascii="Calibri" w:eastAsia="Times New Roman" w:hAnsi="Calibri" w:cs="Calibri"/>
                <w:lang w:eastAsia="en-AU"/>
              </w:rPr>
            </w:pPr>
            <w:r w:rsidRPr="006A0509">
              <w:t>53.2</w:t>
            </w:r>
          </w:p>
        </w:tc>
        <w:tc>
          <w:tcPr>
            <w:tcW w:w="907" w:type="dxa"/>
            <w:tcBorders>
              <w:top w:val="single" w:sz="12" w:space="0" w:color="auto"/>
              <w:left w:val="nil"/>
              <w:right w:val="nil"/>
            </w:tcBorders>
            <w:noWrap/>
            <w:hideMark/>
          </w:tcPr>
          <w:p w14:paraId="473779AC" w14:textId="0C34171C" w:rsidR="00943260" w:rsidRPr="00801215" w:rsidRDefault="00943260" w:rsidP="00943260">
            <w:pPr>
              <w:keepNext/>
              <w:keepLines/>
              <w:spacing w:before="60" w:after="0" w:line="240" w:lineRule="auto"/>
              <w:jc w:val="center"/>
              <w:rPr>
                <w:rFonts w:ascii="Calibri" w:eastAsia="Times New Roman" w:hAnsi="Calibri" w:cs="Calibri"/>
                <w:lang w:eastAsia="en-AU"/>
              </w:rPr>
            </w:pPr>
            <w:r w:rsidRPr="006A0509">
              <w:t>67.5</w:t>
            </w:r>
          </w:p>
        </w:tc>
        <w:tc>
          <w:tcPr>
            <w:tcW w:w="907" w:type="dxa"/>
            <w:tcBorders>
              <w:top w:val="single" w:sz="12" w:space="0" w:color="auto"/>
              <w:left w:val="nil"/>
              <w:right w:val="nil"/>
            </w:tcBorders>
            <w:noWrap/>
            <w:hideMark/>
          </w:tcPr>
          <w:p w14:paraId="3643A702" w14:textId="27331A71" w:rsidR="00943260" w:rsidRPr="00801215" w:rsidRDefault="00943260" w:rsidP="00943260">
            <w:pPr>
              <w:keepNext/>
              <w:keepLines/>
              <w:spacing w:before="60" w:after="0" w:line="240" w:lineRule="auto"/>
              <w:jc w:val="center"/>
              <w:rPr>
                <w:rFonts w:ascii="Calibri" w:eastAsia="Times New Roman" w:hAnsi="Calibri" w:cs="Calibri"/>
                <w:lang w:eastAsia="en-AU"/>
              </w:rPr>
            </w:pPr>
            <w:r w:rsidRPr="006A0509">
              <w:t>130.8</w:t>
            </w:r>
          </w:p>
        </w:tc>
        <w:tc>
          <w:tcPr>
            <w:tcW w:w="907" w:type="dxa"/>
            <w:tcBorders>
              <w:top w:val="single" w:sz="12" w:space="0" w:color="auto"/>
              <w:left w:val="nil"/>
              <w:right w:val="nil"/>
            </w:tcBorders>
            <w:noWrap/>
            <w:hideMark/>
          </w:tcPr>
          <w:p w14:paraId="5C6AC44D" w14:textId="44C633BF" w:rsidR="00943260" w:rsidRPr="0039410C" w:rsidRDefault="00943260" w:rsidP="00943260">
            <w:pPr>
              <w:keepNext/>
              <w:keepLines/>
              <w:spacing w:before="60" w:after="0" w:line="240" w:lineRule="auto"/>
              <w:jc w:val="center"/>
              <w:rPr>
                <w:rFonts w:ascii="Calibri" w:eastAsia="Times New Roman" w:hAnsi="Calibri" w:cs="Calibri"/>
                <w:lang w:eastAsia="en-AU"/>
              </w:rPr>
            </w:pPr>
            <w:r w:rsidRPr="0039410C">
              <w:t>98.5</w:t>
            </w:r>
          </w:p>
        </w:tc>
        <w:tc>
          <w:tcPr>
            <w:tcW w:w="907" w:type="dxa"/>
            <w:tcBorders>
              <w:top w:val="single" w:sz="12" w:space="0" w:color="auto"/>
              <w:left w:val="nil"/>
              <w:right w:val="nil"/>
            </w:tcBorders>
            <w:noWrap/>
            <w:hideMark/>
          </w:tcPr>
          <w:p w14:paraId="06F9B03E" w14:textId="00FA0767" w:rsidR="00943260" w:rsidRPr="00801215" w:rsidRDefault="00943260" w:rsidP="00943260">
            <w:pPr>
              <w:keepNext/>
              <w:keepLines/>
              <w:spacing w:before="60" w:after="0" w:line="240" w:lineRule="auto"/>
              <w:jc w:val="center"/>
              <w:rPr>
                <w:rFonts w:ascii="Calibri" w:eastAsia="Times New Roman" w:hAnsi="Calibri" w:cs="Calibri"/>
                <w:lang w:eastAsia="en-AU"/>
              </w:rPr>
            </w:pPr>
            <w:r w:rsidRPr="006A0509">
              <w:t>76.5</w:t>
            </w:r>
          </w:p>
        </w:tc>
        <w:tc>
          <w:tcPr>
            <w:tcW w:w="907" w:type="dxa"/>
            <w:tcBorders>
              <w:top w:val="single" w:sz="12" w:space="0" w:color="auto"/>
              <w:left w:val="nil"/>
              <w:right w:val="nil"/>
            </w:tcBorders>
            <w:noWrap/>
            <w:hideMark/>
          </w:tcPr>
          <w:p w14:paraId="33EAEE13" w14:textId="35195C6E" w:rsidR="00943260" w:rsidRPr="00801215" w:rsidRDefault="00943260" w:rsidP="00943260">
            <w:pPr>
              <w:keepNext/>
              <w:keepLines/>
              <w:spacing w:before="60" w:after="0" w:line="240" w:lineRule="auto"/>
              <w:jc w:val="center"/>
              <w:rPr>
                <w:rFonts w:ascii="Calibri" w:eastAsia="Times New Roman" w:hAnsi="Calibri" w:cs="Calibri"/>
                <w:lang w:eastAsia="en-AU"/>
              </w:rPr>
            </w:pPr>
            <w:r w:rsidRPr="006A0509">
              <w:t>65.2</w:t>
            </w:r>
          </w:p>
        </w:tc>
        <w:tc>
          <w:tcPr>
            <w:tcW w:w="907" w:type="dxa"/>
            <w:tcBorders>
              <w:top w:val="single" w:sz="12" w:space="0" w:color="auto"/>
              <w:left w:val="nil"/>
              <w:right w:val="nil"/>
            </w:tcBorders>
            <w:noWrap/>
            <w:hideMark/>
          </w:tcPr>
          <w:p w14:paraId="56BC278B" w14:textId="5E70E1BE" w:rsidR="00943260" w:rsidRPr="00801215" w:rsidRDefault="00943260" w:rsidP="00943260">
            <w:pPr>
              <w:keepNext/>
              <w:keepLines/>
              <w:spacing w:before="60" w:after="0" w:line="240" w:lineRule="auto"/>
              <w:jc w:val="center"/>
              <w:rPr>
                <w:rFonts w:ascii="Calibri" w:eastAsia="Times New Roman" w:hAnsi="Calibri" w:cs="Calibri"/>
                <w:lang w:eastAsia="en-AU"/>
              </w:rPr>
            </w:pPr>
            <w:proofErr w:type="spellStart"/>
            <w:r w:rsidRPr="006A0509">
              <w:t>na</w:t>
            </w:r>
            <w:proofErr w:type="spellEnd"/>
          </w:p>
        </w:tc>
        <w:tc>
          <w:tcPr>
            <w:tcW w:w="907" w:type="dxa"/>
            <w:tcBorders>
              <w:top w:val="single" w:sz="12" w:space="0" w:color="auto"/>
              <w:left w:val="nil"/>
              <w:right w:val="nil"/>
            </w:tcBorders>
            <w:noWrap/>
            <w:hideMark/>
          </w:tcPr>
          <w:p w14:paraId="0B45D4C5" w14:textId="7C36481C" w:rsidR="00943260" w:rsidRPr="00801215" w:rsidRDefault="00943260" w:rsidP="00943260">
            <w:pPr>
              <w:keepNext/>
              <w:keepLines/>
              <w:spacing w:before="60" w:after="0" w:line="240" w:lineRule="auto"/>
              <w:jc w:val="center"/>
              <w:rPr>
                <w:rFonts w:ascii="Calibri" w:eastAsia="Times New Roman" w:hAnsi="Calibri" w:cs="Calibri"/>
                <w:lang w:eastAsia="en-AU"/>
              </w:rPr>
            </w:pPr>
            <w:r w:rsidRPr="006A0509">
              <w:t>195.4</w:t>
            </w:r>
          </w:p>
        </w:tc>
        <w:tc>
          <w:tcPr>
            <w:tcW w:w="1021" w:type="dxa"/>
            <w:tcBorders>
              <w:top w:val="single" w:sz="12" w:space="0" w:color="auto"/>
              <w:left w:val="nil"/>
              <w:right w:val="nil"/>
            </w:tcBorders>
            <w:noWrap/>
            <w:hideMark/>
          </w:tcPr>
          <w:p w14:paraId="110031CE" w14:textId="5030BF2D" w:rsidR="00943260" w:rsidRPr="00801215" w:rsidRDefault="00943260" w:rsidP="00943260">
            <w:pPr>
              <w:keepNext/>
              <w:keepLines/>
              <w:spacing w:before="60" w:after="0" w:line="240" w:lineRule="auto"/>
              <w:jc w:val="center"/>
              <w:rPr>
                <w:rFonts w:ascii="Calibri" w:eastAsia="Times New Roman" w:hAnsi="Calibri" w:cs="Calibri"/>
                <w:lang w:eastAsia="en-AU"/>
              </w:rPr>
            </w:pPr>
            <w:r w:rsidRPr="006A0509">
              <w:t>100.0</w:t>
            </w:r>
          </w:p>
        </w:tc>
      </w:tr>
      <w:tr w:rsidR="00943260" w:rsidRPr="00467DE6" w14:paraId="4391D9AA" w14:textId="77777777" w:rsidTr="008D6CDE">
        <w:tc>
          <w:tcPr>
            <w:tcW w:w="1134" w:type="dxa"/>
            <w:tcBorders>
              <w:left w:val="nil"/>
              <w:right w:val="nil"/>
            </w:tcBorders>
            <w:noWrap/>
            <w:hideMark/>
          </w:tcPr>
          <w:p w14:paraId="26D2893B" w14:textId="292C7B6E" w:rsidR="00943260" w:rsidRPr="00801215" w:rsidRDefault="00943260" w:rsidP="00943260">
            <w:pPr>
              <w:keepNext/>
              <w:keepLines/>
              <w:spacing w:after="0" w:line="240" w:lineRule="auto"/>
              <w:rPr>
                <w:rFonts w:ascii="Calibri" w:eastAsia="Times New Roman" w:hAnsi="Calibri" w:cs="Calibri"/>
                <w:lang w:eastAsia="en-AU"/>
              </w:rPr>
            </w:pPr>
            <w:r w:rsidRPr="006A0509">
              <w:t>2023</w:t>
            </w:r>
            <w:r w:rsidR="00011B11" w:rsidRPr="00011B11">
              <w:t>–</w:t>
            </w:r>
            <w:r w:rsidRPr="006A0509">
              <w:t>24</w:t>
            </w:r>
          </w:p>
        </w:tc>
        <w:tc>
          <w:tcPr>
            <w:tcW w:w="907" w:type="dxa"/>
            <w:tcBorders>
              <w:left w:val="nil"/>
              <w:right w:val="nil"/>
            </w:tcBorders>
            <w:noWrap/>
            <w:hideMark/>
          </w:tcPr>
          <w:p w14:paraId="75E76C3B" w14:textId="6D1AE56A" w:rsidR="00943260" w:rsidRPr="00801215" w:rsidRDefault="00943260" w:rsidP="00943260">
            <w:pPr>
              <w:keepNext/>
              <w:keepLines/>
              <w:spacing w:after="0" w:line="240" w:lineRule="auto"/>
              <w:jc w:val="center"/>
              <w:rPr>
                <w:rFonts w:ascii="Calibri" w:eastAsia="Times New Roman" w:hAnsi="Calibri" w:cs="Calibri"/>
                <w:lang w:eastAsia="en-AU"/>
              </w:rPr>
            </w:pPr>
            <w:r w:rsidRPr="006A0509">
              <w:t>65.2</w:t>
            </w:r>
          </w:p>
        </w:tc>
        <w:tc>
          <w:tcPr>
            <w:tcW w:w="907" w:type="dxa"/>
            <w:tcBorders>
              <w:left w:val="nil"/>
              <w:right w:val="nil"/>
            </w:tcBorders>
            <w:noWrap/>
            <w:hideMark/>
          </w:tcPr>
          <w:p w14:paraId="4A2FFE6E" w14:textId="1D92082E" w:rsidR="00943260" w:rsidRPr="00801215" w:rsidRDefault="00943260" w:rsidP="00943260">
            <w:pPr>
              <w:keepNext/>
              <w:keepLines/>
              <w:spacing w:after="0" w:line="240" w:lineRule="auto"/>
              <w:jc w:val="center"/>
              <w:rPr>
                <w:rFonts w:ascii="Calibri" w:eastAsia="Times New Roman" w:hAnsi="Calibri" w:cs="Calibri"/>
                <w:lang w:eastAsia="en-AU"/>
              </w:rPr>
            </w:pPr>
            <w:r w:rsidRPr="006A0509">
              <w:t>73.5</w:t>
            </w:r>
          </w:p>
        </w:tc>
        <w:tc>
          <w:tcPr>
            <w:tcW w:w="907" w:type="dxa"/>
            <w:tcBorders>
              <w:left w:val="nil"/>
              <w:right w:val="nil"/>
            </w:tcBorders>
            <w:noWrap/>
            <w:hideMark/>
          </w:tcPr>
          <w:p w14:paraId="2E40AA7D" w14:textId="58C5A972" w:rsidR="00943260" w:rsidRPr="00801215" w:rsidRDefault="00943260" w:rsidP="00943260">
            <w:pPr>
              <w:keepNext/>
              <w:keepLines/>
              <w:spacing w:after="0" w:line="240" w:lineRule="auto"/>
              <w:jc w:val="center"/>
              <w:rPr>
                <w:rFonts w:ascii="Calibri" w:eastAsia="Times New Roman" w:hAnsi="Calibri" w:cs="Calibri"/>
                <w:lang w:eastAsia="en-AU"/>
              </w:rPr>
            </w:pPr>
            <w:r w:rsidRPr="006A0509">
              <w:t>117.1</w:t>
            </w:r>
          </w:p>
        </w:tc>
        <w:tc>
          <w:tcPr>
            <w:tcW w:w="907" w:type="dxa"/>
            <w:tcBorders>
              <w:left w:val="nil"/>
              <w:right w:val="nil"/>
            </w:tcBorders>
            <w:noWrap/>
            <w:hideMark/>
          </w:tcPr>
          <w:p w14:paraId="01D93FCD" w14:textId="1FD9E29B" w:rsidR="00943260" w:rsidRPr="00801215" w:rsidRDefault="00943260" w:rsidP="00943260">
            <w:pPr>
              <w:keepNext/>
              <w:keepLines/>
              <w:spacing w:after="0" w:line="240" w:lineRule="auto"/>
              <w:jc w:val="center"/>
              <w:rPr>
                <w:rFonts w:ascii="Calibri" w:eastAsia="Times New Roman" w:hAnsi="Calibri" w:cs="Calibri"/>
                <w:lang w:eastAsia="en-AU"/>
              </w:rPr>
            </w:pPr>
            <w:r w:rsidRPr="006A0509">
              <w:t>99.1</w:t>
            </w:r>
          </w:p>
        </w:tc>
        <w:tc>
          <w:tcPr>
            <w:tcW w:w="907" w:type="dxa"/>
            <w:tcBorders>
              <w:left w:val="nil"/>
              <w:right w:val="nil"/>
            </w:tcBorders>
            <w:noWrap/>
            <w:hideMark/>
          </w:tcPr>
          <w:p w14:paraId="06714C68" w14:textId="49131307" w:rsidR="00943260" w:rsidRPr="00801215" w:rsidRDefault="00943260" w:rsidP="00943260">
            <w:pPr>
              <w:keepNext/>
              <w:keepLines/>
              <w:spacing w:after="0" w:line="240" w:lineRule="auto"/>
              <w:jc w:val="center"/>
              <w:rPr>
                <w:rFonts w:ascii="Calibri" w:eastAsia="Times New Roman" w:hAnsi="Calibri" w:cs="Calibri"/>
                <w:lang w:eastAsia="en-AU"/>
              </w:rPr>
            </w:pPr>
            <w:r w:rsidRPr="006A0509">
              <w:t>87.5</w:t>
            </w:r>
          </w:p>
        </w:tc>
        <w:tc>
          <w:tcPr>
            <w:tcW w:w="907" w:type="dxa"/>
            <w:tcBorders>
              <w:left w:val="nil"/>
              <w:right w:val="nil"/>
            </w:tcBorders>
            <w:noWrap/>
            <w:hideMark/>
          </w:tcPr>
          <w:p w14:paraId="438CD659" w14:textId="2019681D" w:rsidR="00943260" w:rsidRPr="00801215" w:rsidRDefault="00943260" w:rsidP="00943260">
            <w:pPr>
              <w:keepNext/>
              <w:keepLines/>
              <w:spacing w:after="0" w:line="240" w:lineRule="auto"/>
              <w:jc w:val="center"/>
              <w:rPr>
                <w:rFonts w:ascii="Calibri" w:eastAsia="Times New Roman" w:hAnsi="Calibri" w:cs="Calibri"/>
                <w:lang w:eastAsia="en-AU"/>
              </w:rPr>
            </w:pPr>
            <w:r w:rsidRPr="006A0509">
              <w:t>43.2</w:t>
            </w:r>
          </w:p>
        </w:tc>
        <w:tc>
          <w:tcPr>
            <w:tcW w:w="907" w:type="dxa"/>
            <w:tcBorders>
              <w:left w:val="nil"/>
              <w:right w:val="nil"/>
            </w:tcBorders>
            <w:noWrap/>
            <w:hideMark/>
          </w:tcPr>
          <w:p w14:paraId="0D07F762" w14:textId="088A28B1" w:rsidR="00943260" w:rsidRPr="00801215" w:rsidRDefault="00943260" w:rsidP="00943260">
            <w:pPr>
              <w:keepNext/>
              <w:keepLines/>
              <w:spacing w:after="0" w:line="240" w:lineRule="auto"/>
              <w:jc w:val="center"/>
              <w:rPr>
                <w:rFonts w:ascii="Calibri" w:eastAsia="Times New Roman" w:hAnsi="Calibri" w:cs="Calibri"/>
                <w:lang w:eastAsia="en-AU"/>
              </w:rPr>
            </w:pPr>
            <w:proofErr w:type="spellStart"/>
            <w:r w:rsidRPr="006A0509">
              <w:t>na</w:t>
            </w:r>
            <w:proofErr w:type="spellEnd"/>
          </w:p>
        </w:tc>
        <w:tc>
          <w:tcPr>
            <w:tcW w:w="907" w:type="dxa"/>
            <w:tcBorders>
              <w:left w:val="nil"/>
              <w:right w:val="nil"/>
            </w:tcBorders>
            <w:noWrap/>
            <w:hideMark/>
          </w:tcPr>
          <w:p w14:paraId="05AA13BE" w14:textId="58E169F2" w:rsidR="00943260" w:rsidRPr="00801215" w:rsidRDefault="00943260" w:rsidP="00943260">
            <w:pPr>
              <w:keepNext/>
              <w:keepLines/>
              <w:spacing w:after="0" w:line="240" w:lineRule="auto"/>
              <w:jc w:val="center"/>
              <w:rPr>
                <w:rFonts w:ascii="Calibri" w:eastAsia="Times New Roman" w:hAnsi="Calibri" w:cs="Calibri"/>
                <w:lang w:eastAsia="en-AU"/>
              </w:rPr>
            </w:pPr>
            <w:r w:rsidRPr="006A0509">
              <w:t>128.1</w:t>
            </w:r>
          </w:p>
        </w:tc>
        <w:tc>
          <w:tcPr>
            <w:tcW w:w="1021" w:type="dxa"/>
            <w:tcBorders>
              <w:left w:val="nil"/>
              <w:right w:val="nil"/>
            </w:tcBorders>
            <w:noWrap/>
            <w:hideMark/>
          </w:tcPr>
          <w:p w14:paraId="68C408C8" w14:textId="500C4094" w:rsidR="00943260" w:rsidRPr="00801215" w:rsidRDefault="00943260" w:rsidP="00943260">
            <w:pPr>
              <w:keepNext/>
              <w:keepLines/>
              <w:spacing w:after="0" w:line="240" w:lineRule="auto"/>
              <w:jc w:val="center"/>
              <w:rPr>
                <w:rFonts w:ascii="Calibri" w:eastAsia="Times New Roman" w:hAnsi="Calibri" w:cs="Calibri"/>
                <w:lang w:eastAsia="en-AU"/>
              </w:rPr>
            </w:pPr>
            <w:r w:rsidRPr="006A0509">
              <w:t>100.0</w:t>
            </w:r>
          </w:p>
        </w:tc>
      </w:tr>
      <w:tr w:rsidR="00943260" w:rsidRPr="00467DE6" w14:paraId="155AD295" w14:textId="77777777" w:rsidTr="008D6CDE">
        <w:tc>
          <w:tcPr>
            <w:tcW w:w="1134" w:type="dxa"/>
            <w:tcBorders>
              <w:left w:val="nil"/>
              <w:bottom w:val="single" w:sz="12" w:space="0" w:color="auto"/>
              <w:right w:val="nil"/>
            </w:tcBorders>
            <w:noWrap/>
            <w:hideMark/>
          </w:tcPr>
          <w:p w14:paraId="4D583602" w14:textId="3B41CB48" w:rsidR="00943260" w:rsidRPr="00801215" w:rsidRDefault="00943260" w:rsidP="00943260">
            <w:pPr>
              <w:keepNext/>
              <w:keepLines/>
              <w:spacing w:after="60" w:line="240" w:lineRule="auto"/>
              <w:rPr>
                <w:rFonts w:ascii="Calibri" w:eastAsia="Times New Roman" w:hAnsi="Calibri" w:cs="Calibri"/>
                <w:vertAlign w:val="superscript"/>
                <w:lang w:eastAsia="en-AU"/>
              </w:rPr>
            </w:pPr>
            <w:r w:rsidRPr="006A0509">
              <w:t>2024</w:t>
            </w:r>
            <w:r w:rsidR="00011B11" w:rsidRPr="00011B11">
              <w:t>–</w:t>
            </w:r>
            <w:r w:rsidRPr="006A0509">
              <w:t>25</w:t>
            </w:r>
          </w:p>
        </w:tc>
        <w:tc>
          <w:tcPr>
            <w:tcW w:w="907" w:type="dxa"/>
            <w:tcBorders>
              <w:left w:val="nil"/>
              <w:bottom w:val="single" w:sz="12" w:space="0" w:color="auto"/>
              <w:right w:val="nil"/>
            </w:tcBorders>
            <w:noWrap/>
            <w:hideMark/>
          </w:tcPr>
          <w:p w14:paraId="4C1CD01B" w14:textId="7B05C381" w:rsidR="00943260" w:rsidRPr="00801215" w:rsidRDefault="00943260" w:rsidP="00943260">
            <w:pPr>
              <w:keepNext/>
              <w:keepLines/>
              <w:spacing w:after="60" w:line="240" w:lineRule="auto"/>
              <w:jc w:val="center"/>
              <w:rPr>
                <w:rFonts w:ascii="Calibri" w:eastAsia="Times New Roman" w:hAnsi="Calibri" w:cs="Calibri"/>
                <w:lang w:eastAsia="en-AU"/>
              </w:rPr>
            </w:pPr>
            <w:r w:rsidRPr="006A0509">
              <w:t>98.3</w:t>
            </w:r>
          </w:p>
        </w:tc>
        <w:tc>
          <w:tcPr>
            <w:tcW w:w="907" w:type="dxa"/>
            <w:tcBorders>
              <w:left w:val="nil"/>
              <w:bottom w:val="single" w:sz="12" w:space="0" w:color="auto"/>
              <w:right w:val="nil"/>
            </w:tcBorders>
            <w:noWrap/>
            <w:hideMark/>
          </w:tcPr>
          <w:p w14:paraId="08686C6F" w14:textId="15EC90E4" w:rsidR="00943260" w:rsidRPr="00801215" w:rsidRDefault="00943260" w:rsidP="00943260">
            <w:pPr>
              <w:keepNext/>
              <w:keepLines/>
              <w:spacing w:after="60" w:line="240" w:lineRule="auto"/>
              <w:jc w:val="center"/>
              <w:rPr>
                <w:rFonts w:ascii="Calibri" w:eastAsia="Times New Roman" w:hAnsi="Calibri" w:cs="Calibri"/>
                <w:lang w:eastAsia="en-AU"/>
              </w:rPr>
            </w:pPr>
            <w:r w:rsidRPr="006A0509">
              <w:t>87.7</w:t>
            </w:r>
          </w:p>
        </w:tc>
        <w:tc>
          <w:tcPr>
            <w:tcW w:w="907" w:type="dxa"/>
            <w:tcBorders>
              <w:left w:val="nil"/>
              <w:bottom w:val="single" w:sz="12" w:space="0" w:color="auto"/>
              <w:right w:val="nil"/>
            </w:tcBorders>
            <w:noWrap/>
            <w:hideMark/>
          </w:tcPr>
          <w:p w14:paraId="2914A2E3" w14:textId="3F39BFD3" w:rsidR="00943260" w:rsidRPr="00801215" w:rsidRDefault="00943260" w:rsidP="00943260">
            <w:pPr>
              <w:keepNext/>
              <w:keepLines/>
              <w:spacing w:after="60" w:line="240" w:lineRule="auto"/>
              <w:jc w:val="center"/>
              <w:rPr>
                <w:rFonts w:ascii="Calibri" w:eastAsia="Times New Roman" w:hAnsi="Calibri" w:cs="Calibri"/>
                <w:lang w:eastAsia="en-AU"/>
              </w:rPr>
            </w:pPr>
            <w:r w:rsidRPr="006A0509">
              <w:t>104.6</w:t>
            </w:r>
          </w:p>
        </w:tc>
        <w:tc>
          <w:tcPr>
            <w:tcW w:w="907" w:type="dxa"/>
            <w:tcBorders>
              <w:left w:val="nil"/>
              <w:bottom w:val="single" w:sz="12" w:space="0" w:color="auto"/>
              <w:right w:val="nil"/>
            </w:tcBorders>
            <w:noWrap/>
            <w:hideMark/>
          </w:tcPr>
          <w:p w14:paraId="17B999A9" w14:textId="5ADEA90A" w:rsidR="00943260" w:rsidRPr="00801215" w:rsidRDefault="00943260" w:rsidP="00943260">
            <w:pPr>
              <w:keepNext/>
              <w:keepLines/>
              <w:spacing w:after="60" w:line="240" w:lineRule="auto"/>
              <w:jc w:val="center"/>
              <w:rPr>
                <w:rFonts w:ascii="Calibri" w:eastAsia="Times New Roman" w:hAnsi="Calibri" w:cs="Calibri"/>
                <w:lang w:eastAsia="en-AU"/>
              </w:rPr>
            </w:pPr>
            <w:r w:rsidRPr="006A0509">
              <w:t>97.8</w:t>
            </w:r>
          </w:p>
        </w:tc>
        <w:tc>
          <w:tcPr>
            <w:tcW w:w="907" w:type="dxa"/>
            <w:tcBorders>
              <w:left w:val="nil"/>
              <w:bottom w:val="single" w:sz="12" w:space="0" w:color="auto"/>
              <w:right w:val="nil"/>
            </w:tcBorders>
            <w:noWrap/>
            <w:hideMark/>
          </w:tcPr>
          <w:p w14:paraId="4648AEE7" w14:textId="65D1FAB8" w:rsidR="00943260" w:rsidRPr="00801215" w:rsidRDefault="00943260" w:rsidP="00943260">
            <w:pPr>
              <w:keepNext/>
              <w:keepLines/>
              <w:spacing w:after="60" w:line="240" w:lineRule="auto"/>
              <w:jc w:val="center"/>
              <w:rPr>
                <w:rFonts w:ascii="Calibri" w:eastAsia="Times New Roman" w:hAnsi="Calibri" w:cs="Calibri"/>
                <w:lang w:eastAsia="en-AU"/>
              </w:rPr>
            </w:pPr>
            <w:r w:rsidRPr="006A0509">
              <w:t>85.4</w:t>
            </w:r>
          </w:p>
        </w:tc>
        <w:tc>
          <w:tcPr>
            <w:tcW w:w="907" w:type="dxa"/>
            <w:tcBorders>
              <w:left w:val="nil"/>
              <w:bottom w:val="single" w:sz="12" w:space="0" w:color="auto"/>
              <w:right w:val="nil"/>
            </w:tcBorders>
            <w:noWrap/>
            <w:hideMark/>
          </w:tcPr>
          <w:p w14:paraId="6D6AAAD5" w14:textId="781C5C6C" w:rsidR="00943260" w:rsidRPr="00801215" w:rsidRDefault="00943260" w:rsidP="00943260">
            <w:pPr>
              <w:keepNext/>
              <w:keepLines/>
              <w:spacing w:after="60" w:line="240" w:lineRule="auto"/>
              <w:jc w:val="center"/>
              <w:rPr>
                <w:rFonts w:ascii="Calibri" w:eastAsia="Times New Roman" w:hAnsi="Calibri" w:cs="Calibri"/>
                <w:lang w:eastAsia="en-AU"/>
              </w:rPr>
            </w:pPr>
            <w:r w:rsidRPr="006A0509">
              <w:t>61.6</w:t>
            </w:r>
          </w:p>
        </w:tc>
        <w:tc>
          <w:tcPr>
            <w:tcW w:w="907" w:type="dxa"/>
            <w:tcBorders>
              <w:left w:val="nil"/>
              <w:bottom w:val="single" w:sz="12" w:space="0" w:color="auto"/>
              <w:right w:val="nil"/>
            </w:tcBorders>
            <w:noWrap/>
            <w:hideMark/>
          </w:tcPr>
          <w:p w14:paraId="3028A232" w14:textId="2A1E9DD1" w:rsidR="00943260" w:rsidRPr="00801215" w:rsidRDefault="00943260" w:rsidP="00943260">
            <w:pPr>
              <w:keepNext/>
              <w:keepLines/>
              <w:spacing w:after="60" w:line="240" w:lineRule="auto"/>
              <w:jc w:val="center"/>
              <w:rPr>
                <w:rFonts w:ascii="Calibri" w:eastAsia="Times New Roman" w:hAnsi="Calibri" w:cs="Calibri"/>
                <w:lang w:eastAsia="en-AU"/>
              </w:rPr>
            </w:pPr>
            <w:proofErr w:type="spellStart"/>
            <w:r w:rsidRPr="006A0509">
              <w:t>na</w:t>
            </w:r>
            <w:proofErr w:type="spellEnd"/>
          </w:p>
        </w:tc>
        <w:tc>
          <w:tcPr>
            <w:tcW w:w="907" w:type="dxa"/>
            <w:tcBorders>
              <w:left w:val="nil"/>
              <w:bottom w:val="single" w:sz="12" w:space="0" w:color="auto"/>
              <w:right w:val="nil"/>
            </w:tcBorders>
            <w:noWrap/>
            <w:hideMark/>
          </w:tcPr>
          <w:p w14:paraId="21E31289" w14:textId="530C489B" w:rsidR="00943260" w:rsidRPr="00801215" w:rsidRDefault="00943260" w:rsidP="00943260">
            <w:pPr>
              <w:keepNext/>
              <w:keepLines/>
              <w:spacing w:after="60" w:line="240" w:lineRule="auto"/>
              <w:jc w:val="center"/>
              <w:rPr>
                <w:rFonts w:ascii="Calibri" w:eastAsia="Times New Roman" w:hAnsi="Calibri" w:cs="Calibri"/>
                <w:lang w:eastAsia="en-AU"/>
              </w:rPr>
            </w:pPr>
            <w:r w:rsidRPr="006A0509">
              <w:t>134.5</w:t>
            </w:r>
          </w:p>
        </w:tc>
        <w:tc>
          <w:tcPr>
            <w:tcW w:w="1021" w:type="dxa"/>
            <w:tcBorders>
              <w:left w:val="nil"/>
              <w:bottom w:val="single" w:sz="12" w:space="0" w:color="auto"/>
              <w:right w:val="nil"/>
            </w:tcBorders>
            <w:noWrap/>
            <w:hideMark/>
          </w:tcPr>
          <w:p w14:paraId="1F4AD85B" w14:textId="4FB8D210" w:rsidR="00943260" w:rsidRPr="00801215" w:rsidRDefault="00943260" w:rsidP="00943260">
            <w:pPr>
              <w:keepNext/>
              <w:keepLines/>
              <w:spacing w:after="60" w:line="240" w:lineRule="auto"/>
              <w:jc w:val="center"/>
              <w:rPr>
                <w:rFonts w:ascii="Calibri" w:eastAsia="Times New Roman" w:hAnsi="Calibri" w:cs="Calibri"/>
                <w:lang w:eastAsia="en-AU"/>
              </w:rPr>
            </w:pPr>
            <w:r w:rsidRPr="006A0509">
              <w:t>100.0</w:t>
            </w:r>
          </w:p>
        </w:tc>
      </w:tr>
    </w:tbl>
    <w:p w14:paraId="19B328E5" w14:textId="00950551" w:rsidR="00947E8B" w:rsidRDefault="00947E8B" w:rsidP="00947E8B">
      <w:pPr>
        <w:keepNext/>
        <w:spacing w:line="240" w:lineRule="auto"/>
        <w:ind w:left="1440" w:hanging="1440"/>
      </w:pPr>
      <w:r>
        <w:t>Source:</w:t>
      </w:r>
      <w:r>
        <w:tab/>
      </w:r>
      <w:r w:rsidRPr="00C204FF">
        <w:t xml:space="preserve">Commonwealth Grants Commission, </w:t>
      </w:r>
      <w:r w:rsidR="00B76197" w:rsidRPr="00B76197">
        <w:rPr>
          <w:i/>
          <w:iCs/>
        </w:rPr>
        <w:t>2026 Update GST Relativities 2026–27</w:t>
      </w:r>
      <w:r>
        <w:t>,</w:t>
      </w:r>
      <w:r w:rsidRPr="00D47D6A">
        <w:t xml:space="preserve"> </w:t>
      </w:r>
      <w:r>
        <w:t xml:space="preserve">Supporting Information, Table </w:t>
      </w:r>
      <w:r w:rsidRPr="00FE1E52">
        <w:t>S</w:t>
      </w:r>
      <w:r w:rsidR="00B76197">
        <w:t>6</w:t>
      </w:r>
      <w:r w:rsidRPr="00FE1E52">
        <w:t>-</w:t>
      </w:r>
      <w:r>
        <w:t>2.</w:t>
      </w:r>
    </w:p>
    <w:p w14:paraId="5CFD1E5E" w14:textId="19410F9A" w:rsidR="00FB0F99" w:rsidRDefault="00FB0F99" w:rsidP="00FB0F99">
      <w:r>
        <w:br w:type="page"/>
      </w:r>
    </w:p>
    <w:p w14:paraId="123F98DF" w14:textId="77777777" w:rsidR="00AE5BF3" w:rsidRPr="006A3369" w:rsidRDefault="00AE5BF3" w:rsidP="00AE5BF3">
      <w:pPr>
        <w:pStyle w:val="Heading2"/>
        <w:rPr>
          <w:b/>
          <w:bCs/>
          <w:sz w:val="32"/>
          <w:szCs w:val="32"/>
        </w:rPr>
      </w:pPr>
      <w:bookmarkStart w:id="17" w:name="_Toc220426420"/>
      <w:bookmarkStart w:id="18" w:name="_Toc240898795"/>
      <w:r>
        <w:rPr>
          <w:b/>
          <w:bCs/>
          <w:sz w:val="32"/>
          <w:szCs w:val="32"/>
        </w:rPr>
        <w:lastRenderedPageBreak/>
        <w:t>REFERENCES</w:t>
      </w:r>
      <w:bookmarkEnd w:id="17"/>
      <w:bookmarkEnd w:id="18"/>
    </w:p>
    <w:p w14:paraId="2CD85F1B" w14:textId="77777777" w:rsidR="00AE5BF3" w:rsidRPr="001F7F35" w:rsidRDefault="00AE5BF3" w:rsidP="00AE5BF3">
      <w:pPr>
        <w:spacing w:line="240" w:lineRule="auto"/>
      </w:pPr>
      <w:r w:rsidRPr="00A06093">
        <w:t>The Australian Government</w:t>
      </w:r>
      <w:r>
        <w:t xml:space="preserve"> (2012)</w:t>
      </w:r>
      <w:r w:rsidRPr="00A06093">
        <w:t xml:space="preserve">, </w:t>
      </w:r>
      <w:r w:rsidRPr="00A06093">
        <w:rPr>
          <w:i/>
          <w:iCs/>
        </w:rPr>
        <w:t>GST Distribution Review</w:t>
      </w:r>
      <w:r>
        <w:t>.</w:t>
      </w:r>
    </w:p>
    <w:p w14:paraId="45EA86D1" w14:textId="77777777" w:rsidR="00AE5BF3" w:rsidRDefault="00AE5BF3" w:rsidP="00AE5BF3">
      <w:pPr>
        <w:spacing w:line="240" w:lineRule="auto"/>
      </w:pPr>
      <w:r w:rsidRPr="00EA79C7">
        <w:t>The Commonwealth of Australia</w:t>
      </w:r>
      <w:r>
        <w:t xml:space="preserve"> (2018)</w:t>
      </w:r>
      <w:r w:rsidRPr="00377BA8">
        <w:rPr>
          <w:i/>
          <w:iCs/>
        </w:rPr>
        <w:t xml:space="preserve">, </w:t>
      </w:r>
      <w:r w:rsidRPr="00252B99">
        <w:rPr>
          <w:i/>
          <w:iCs/>
        </w:rPr>
        <w:t>Productivity Commission Inquiry into Horizontal Fiscal Equalisation:</w:t>
      </w:r>
      <w:r>
        <w:rPr>
          <w:i/>
          <w:iCs/>
        </w:rPr>
        <w:t xml:space="preserve"> </w:t>
      </w:r>
      <w:r w:rsidRPr="00252B99">
        <w:rPr>
          <w:i/>
          <w:iCs/>
        </w:rPr>
        <w:t>Government Interim Response</w:t>
      </w:r>
      <w:r>
        <w:t>.</w:t>
      </w:r>
    </w:p>
    <w:p w14:paraId="41BCF468" w14:textId="6ABF307E" w:rsidR="00AE5BF3" w:rsidRPr="005D0C05" w:rsidRDefault="00AE5BF3" w:rsidP="00AE5BF3">
      <w:pPr>
        <w:spacing w:line="240" w:lineRule="auto"/>
      </w:pPr>
      <w:r w:rsidRPr="008F4EFA">
        <w:rPr>
          <w:lang w:val="en-US"/>
        </w:rPr>
        <w:t>Commonwealth Grants Commission</w:t>
      </w:r>
      <w:r w:rsidR="005D0C05">
        <w:rPr>
          <w:lang w:val="en-US"/>
        </w:rPr>
        <w:t xml:space="preserve"> (2020)</w:t>
      </w:r>
      <w:r w:rsidRPr="008F4EFA">
        <w:rPr>
          <w:lang w:val="en-US"/>
        </w:rPr>
        <w:t xml:space="preserve">, </w:t>
      </w:r>
      <w:r w:rsidRPr="008F4EFA">
        <w:rPr>
          <w:i/>
          <w:iCs/>
          <w:lang w:val="en-US"/>
        </w:rPr>
        <w:t>Report on GST Revenue Sharing Relativities 2020 Review—Volume 2 (Part A)</w:t>
      </w:r>
      <w:r w:rsidR="005D0C05">
        <w:rPr>
          <w:lang w:val="en-US"/>
        </w:rPr>
        <w:t>.</w:t>
      </w:r>
    </w:p>
    <w:p w14:paraId="6BF0CFAA" w14:textId="098CB021" w:rsidR="0012734F" w:rsidRDefault="0012734F" w:rsidP="00AE5BF3">
      <w:pPr>
        <w:spacing w:line="240" w:lineRule="auto"/>
      </w:pPr>
      <w:r w:rsidRPr="00C204FF">
        <w:t>Commonwealth Grants Commission</w:t>
      </w:r>
      <w:r w:rsidR="006469E8">
        <w:t xml:space="preserve"> (2026)</w:t>
      </w:r>
      <w:r w:rsidRPr="00C204FF">
        <w:t xml:space="preserve">, </w:t>
      </w:r>
      <w:r w:rsidRPr="00B76197">
        <w:rPr>
          <w:i/>
          <w:iCs/>
        </w:rPr>
        <w:t>2026 Update GST Relativities 2026–27</w:t>
      </w:r>
      <w:r>
        <w:t>.</w:t>
      </w:r>
    </w:p>
    <w:p w14:paraId="5142DBCA" w14:textId="3E8ABFE7" w:rsidR="00AE5BF3" w:rsidRDefault="00AE5BF3" w:rsidP="00AE5BF3">
      <w:pPr>
        <w:spacing w:line="240" w:lineRule="auto"/>
      </w:pPr>
      <w:r>
        <w:t xml:space="preserve">Council of Australian Governments (2011), </w:t>
      </w:r>
      <w:r w:rsidRPr="001F7F35">
        <w:rPr>
          <w:i/>
          <w:iCs/>
        </w:rPr>
        <w:t>Intergovernmental Agreement on Federal Financial Relations</w:t>
      </w:r>
      <w:r>
        <w:t>.</w:t>
      </w:r>
    </w:p>
    <w:p w14:paraId="0CF6A263" w14:textId="77777777" w:rsidR="00AE5BF3" w:rsidRDefault="00AE5BF3" w:rsidP="00AE5BF3">
      <w:pPr>
        <w:pStyle w:val="FootnoteText"/>
        <w:spacing w:after="160"/>
        <w:rPr>
          <w:sz w:val="22"/>
          <w:szCs w:val="22"/>
        </w:rPr>
      </w:pPr>
      <w:r w:rsidRPr="00AE5BF3">
        <w:rPr>
          <w:sz w:val="22"/>
          <w:szCs w:val="22"/>
        </w:rPr>
        <w:t xml:space="preserve">The Parliament of the Commonwealth of Australia (2018), </w:t>
      </w:r>
      <w:r w:rsidRPr="00AE5BF3">
        <w:rPr>
          <w:i/>
          <w:iCs/>
          <w:sz w:val="22"/>
          <w:szCs w:val="22"/>
        </w:rPr>
        <w:t>House of Representatives</w:t>
      </w:r>
      <w:r w:rsidRPr="00AE5BF3">
        <w:rPr>
          <w:sz w:val="22"/>
          <w:szCs w:val="22"/>
        </w:rPr>
        <w:t xml:space="preserve">, </w:t>
      </w:r>
      <w:r w:rsidRPr="00AE5BF3">
        <w:rPr>
          <w:i/>
          <w:iCs/>
          <w:sz w:val="22"/>
          <w:szCs w:val="22"/>
        </w:rPr>
        <w:t>Treasury Laws Amendment (Making Sure Every State and Territory Gets Their Fair Share of GST) Bill 2018, Explanatory Memorandum</w:t>
      </w:r>
      <w:r w:rsidRPr="00AE5BF3">
        <w:rPr>
          <w:sz w:val="22"/>
          <w:szCs w:val="22"/>
        </w:rPr>
        <w:t>.</w:t>
      </w:r>
    </w:p>
    <w:p w14:paraId="03BDDDD7" w14:textId="06DF141D" w:rsidR="009C0566" w:rsidRDefault="009C0566" w:rsidP="00AE5BF3">
      <w:pPr>
        <w:pStyle w:val="FootnoteText"/>
        <w:spacing w:after="160"/>
        <w:rPr>
          <w:sz w:val="22"/>
          <w:szCs w:val="22"/>
        </w:rPr>
      </w:pPr>
      <w:r>
        <w:rPr>
          <w:sz w:val="22"/>
          <w:szCs w:val="22"/>
        </w:rPr>
        <w:t xml:space="preserve">Prime Minister of Australia (2026a), </w:t>
      </w:r>
      <w:r w:rsidRPr="009C0566">
        <w:rPr>
          <w:sz w:val="22"/>
          <w:szCs w:val="22"/>
        </w:rPr>
        <w:t>Press conference - Henderson, WA</w:t>
      </w:r>
      <w:r>
        <w:rPr>
          <w:sz w:val="22"/>
          <w:szCs w:val="22"/>
        </w:rPr>
        <w:t xml:space="preserve">, </w:t>
      </w:r>
      <w:r w:rsidRPr="009C0566">
        <w:rPr>
          <w:sz w:val="22"/>
          <w:szCs w:val="22"/>
        </w:rPr>
        <w:t>Monday 24 August 2026</w:t>
      </w:r>
      <w:r>
        <w:rPr>
          <w:sz w:val="22"/>
          <w:szCs w:val="22"/>
        </w:rPr>
        <w:t xml:space="preserve"> (</w:t>
      </w:r>
      <w:hyperlink r:id="rId16" w:history="1">
        <w:r w:rsidRPr="00E6749A">
          <w:rPr>
            <w:rStyle w:val="Hyperlink"/>
            <w:sz w:val="22"/>
            <w:szCs w:val="22"/>
          </w:rPr>
          <w:t>https://www.pm.gov.au/media/press-conference-henderson-wa</w:t>
        </w:r>
      </w:hyperlink>
      <w:r>
        <w:rPr>
          <w:sz w:val="22"/>
          <w:szCs w:val="22"/>
        </w:rPr>
        <w:t>).</w:t>
      </w:r>
    </w:p>
    <w:p w14:paraId="1C67B353" w14:textId="69F036DE" w:rsidR="009C0566" w:rsidRPr="00AE5BF3" w:rsidRDefault="009C0566" w:rsidP="00AE5BF3">
      <w:pPr>
        <w:pStyle w:val="FootnoteText"/>
        <w:spacing w:after="160"/>
        <w:rPr>
          <w:sz w:val="22"/>
          <w:szCs w:val="22"/>
          <w:lang w:val="en-US"/>
        </w:rPr>
      </w:pPr>
      <w:r>
        <w:rPr>
          <w:sz w:val="22"/>
          <w:szCs w:val="22"/>
        </w:rPr>
        <w:t xml:space="preserve">Prime Minister of Australia (2026b), </w:t>
      </w:r>
      <w:r w:rsidRPr="009C0566">
        <w:rPr>
          <w:sz w:val="22"/>
          <w:szCs w:val="22"/>
        </w:rPr>
        <w:t>Press conference - Parliament House, Canberra</w:t>
      </w:r>
      <w:r>
        <w:rPr>
          <w:sz w:val="22"/>
          <w:szCs w:val="22"/>
        </w:rPr>
        <w:t xml:space="preserve">, </w:t>
      </w:r>
      <w:r w:rsidRPr="009C0566">
        <w:rPr>
          <w:sz w:val="22"/>
          <w:szCs w:val="22"/>
        </w:rPr>
        <w:t>Friday 14 August 2026</w:t>
      </w:r>
      <w:r>
        <w:rPr>
          <w:sz w:val="22"/>
          <w:szCs w:val="22"/>
        </w:rPr>
        <w:t xml:space="preserve"> (</w:t>
      </w:r>
      <w:r w:rsidRPr="009C0566">
        <w:rPr>
          <w:sz w:val="22"/>
          <w:szCs w:val="22"/>
        </w:rPr>
        <w:t>https://www.pm.gov.au/media/press-conference-parliament-house-canberra-54</w:t>
      </w:r>
      <w:r>
        <w:rPr>
          <w:sz w:val="22"/>
          <w:szCs w:val="22"/>
        </w:rPr>
        <w:t>).</w:t>
      </w:r>
    </w:p>
    <w:p w14:paraId="6CC066CF" w14:textId="77777777" w:rsidR="00AE5BF3" w:rsidRDefault="00AE5BF3" w:rsidP="00AE5BF3">
      <w:pPr>
        <w:spacing w:line="240" w:lineRule="auto"/>
      </w:pPr>
      <w:r w:rsidRPr="00436B64">
        <w:t xml:space="preserve">Productivity Commission </w:t>
      </w:r>
      <w:r>
        <w:t>(</w:t>
      </w:r>
      <w:r w:rsidRPr="00436B64">
        <w:t>2018</w:t>
      </w:r>
      <w:r>
        <w:t>)</w:t>
      </w:r>
      <w:r w:rsidRPr="00377BA8">
        <w:rPr>
          <w:i/>
          <w:iCs/>
        </w:rPr>
        <w:t>, Horizontal Fiscal Equalisation</w:t>
      </w:r>
      <w:r w:rsidRPr="00436B64">
        <w:t>, Report no. 88</w:t>
      </w:r>
      <w:r>
        <w:t>.</w:t>
      </w:r>
    </w:p>
    <w:p w14:paraId="2D076E18" w14:textId="56FFCFFE" w:rsidR="00DD3A80" w:rsidRPr="00C204FF" w:rsidRDefault="00DD3A80" w:rsidP="003272BE">
      <w:pPr>
        <w:spacing w:line="240" w:lineRule="auto"/>
      </w:pPr>
    </w:p>
    <w:sectPr w:rsidR="00DD3A80" w:rsidRPr="00C204FF" w:rsidSect="00840FEB">
      <w:pgSz w:w="11906" w:h="16838" w:code="9"/>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CBB1F" w14:textId="77777777" w:rsidR="0080090A" w:rsidRDefault="0080090A" w:rsidP="002E7DA5">
      <w:pPr>
        <w:spacing w:after="0" w:line="240" w:lineRule="auto"/>
      </w:pPr>
      <w:r>
        <w:separator/>
      </w:r>
    </w:p>
  </w:endnote>
  <w:endnote w:type="continuationSeparator" w:id="0">
    <w:p w14:paraId="3F50C719" w14:textId="77777777" w:rsidR="0080090A" w:rsidRDefault="0080090A" w:rsidP="002E7D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745607"/>
      <w:docPartObj>
        <w:docPartGallery w:val="Page Numbers (Bottom of Page)"/>
        <w:docPartUnique/>
      </w:docPartObj>
    </w:sdtPr>
    <w:sdtEndPr>
      <w:rPr>
        <w:noProof/>
      </w:rPr>
    </w:sdtEndPr>
    <w:sdtContent>
      <w:p w14:paraId="4C5E11BC" w14:textId="49950095" w:rsidR="00057F74" w:rsidRDefault="00057F7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A394A3" w14:textId="77777777" w:rsidR="009010BA" w:rsidRDefault="009010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5585723"/>
      <w:docPartObj>
        <w:docPartGallery w:val="Page Numbers (Bottom of Page)"/>
        <w:docPartUnique/>
      </w:docPartObj>
    </w:sdtPr>
    <w:sdtEndPr>
      <w:rPr>
        <w:noProof/>
      </w:rPr>
    </w:sdtEndPr>
    <w:sdtContent>
      <w:p w14:paraId="6BBAD14E" w14:textId="470FF124" w:rsidR="0076468D" w:rsidRDefault="00000000">
        <w:pPr>
          <w:pStyle w:val="Footer"/>
          <w:jc w:val="center"/>
        </w:pPr>
      </w:p>
    </w:sdtContent>
  </w:sdt>
  <w:p w14:paraId="69CCAAA1" w14:textId="77777777" w:rsidR="0076468D" w:rsidRDefault="007646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DF9AA" w14:textId="77777777" w:rsidR="0080090A" w:rsidRDefault="0080090A" w:rsidP="002E7DA5">
      <w:pPr>
        <w:spacing w:after="0" w:line="240" w:lineRule="auto"/>
      </w:pPr>
      <w:r>
        <w:separator/>
      </w:r>
    </w:p>
  </w:footnote>
  <w:footnote w:type="continuationSeparator" w:id="0">
    <w:p w14:paraId="2FE10C27" w14:textId="77777777" w:rsidR="0080090A" w:rsidRDefault="0080090A" w:rsidP="002E7DA5">
      <w:pPr>
        <w:spacing w:after="0" w:line="240" w:lineRule="auto"/>
      </w:pPr>
      <w:r>
        <w:continuationSeparator/>
      </w:r>
    </w:p>
  </w:footnote>
  <w:footnote w:id="1">
    <w:p w14:paraId="39537390" w14:textId="4082C73B" w:rsidR="00D55B5F" w:rsidRPr="00D55B5F" w:rsidRDefault="00D55B5F" w:rsidP="00D55B5F">
      <w:pPr>
        <w:pStyle w:val="FootnoteText"/>
        <w:ind w:left="720" w:hanging="720"/>
        <w:rPr>
          <w:lang w:val="en-US"/>
        </w:rPr>
      </w:pPr>
      <w:r w:rsidRPr="00D55B5F">
        <w:rPr>
          <w:rStyle w:val="FootnoteReference"/>
          <w:vertAlign w:val="baseline"/>
        </w:rPr>
        <w:footnoteRef/>
      </w:r>
      <w:r w:rsidRPr="00D55B5F">
        <w:t xml:space="preserve"> </w:t>
      </w:r>
      <w:r>
        <w:tab/>
        <w:t>For instance</w:t>
      </w:r>
      <w:r w:rsidR="00FC0F07">
        <w:t>,</w:t>
      </w:r>
      <w:r>
        <w:t xml:space="preserve"> the Cambridge Dictionary give the meaning of reform as ‘</w:t>
      </w:r>
      <w:r w:rsidRPr="00D55B5F">
        <w:t xml:space="preserve">to make an improvement, especially by changing </w:t>
      </w:r>
      <w:r>
        <w:t>…</w:t>
      </w:r>
      <w:r w:rsidRPr="00D55B5F">
        <w:t xml:space="preserve"> the structure of something</w:t>
      </w:r>
      <w:r>
        <w:t>’.</w:t>
      </w:r>
    </w:p>
  </w:footnote>
  <w:footnote w:id="2">
    <w:p w14:paraId="59A52923" w14:textId="75E777AA" w:rsidR="004C4E71" w:rsidRPr="004C4E71" w:rsidRDefault="004C4E71">
      <w:pPr>
        <w:pStyle w:val="FootnoteText"/>
        <w:rPr>
          <w:lang w:val="en-US"/>
        </w:rPr>
      </w:pPr>
      <w:r w:rsidRPr="004C4E71">
        <w:rPr>
          <w:rStyle w:val="FootnoteReference"/>
          <w:vertAlign w:val="baseline"/>
        </w:rPr>
        <w:footnoteRef/>
      </w:r>
      <w:r w:rsidRPr="004C4E71">
        <w:t xml:space="preserve"> </w:t>
      </w:r>
      <w:r>
        <w:tab/>
        <w:t xml:space="preserve">Australian Government </w:t>
      </w:r>
      <w:r w:rsidR="00FA2F69">
        <w:t>(</w:t>
      </w:r>
      <w:r>
        <w:t>2018</w:t>
      </w:r>
      <w:r w:rsidR="00FA2F69">
        <w:t>)</w:t>
      </w:r>
      <w:r>
        <w:t>, p.</w:t>
      </w:r>
      <w:r w:rsidR="00FC45C6">
        <w:t xml:space="preserve"> </w:t>
      </w:r>
      <w:r>
        <w:t>6.</w:t>
      </w:r>
    </w:p>
  </w:footnote>
  <w:footnote w:id="3">
    <w:p w14:paraId="04DFCC1A" w14:textId="6B0426C5" w:rsidR="007B6587" w:rsidRPr="007F4175" w:rsidRDefault="007B6587">
      <w:pPr>
        <w:pStyle w:val="FootnoteText"/>
        <w:rPr>
          <w:lang w:val="en-US"/>
        </w:rPr>
      </w:pPr>
      <w:r w:rsidRPr="007F4175">
        <w:rPr>
          <w:rStyle w:val="FootnoteReference"/>
          <w:vertAlign w:val="baseline"/>
        </w:rPr>
        <w:footnoteRef/>
      </w:r>
      <w:r w:rsidRPr="007F4175">
        <w:t xml:space="preserve"> </w:t>
      </w:r>
      <w:r w:rsidR="007F4175">
        <w:tab/>
      </w:r>
      <w:r w:rsidR="007F4175" w:rsidRPr="007018DD">
        <w:t>The Parliament of the Commonwealth of Australia, House of Representatives</w:t>
      </w:r>
      <w:r w:rsidR="007F4175">
        <w:t xml:space="preserve"> </w:t>
      </w:r>
      <w:r w:rsidR="00FA2F69">
        <w:t>(</w:t>
      </w:r>
      <w:r w:rsidR="007F4175">
        <w:t>2018</w:t>
      </w:r>
      <w:r w:rsidR="00FA2F69">
        <w:t>)</w:t>
      </w:r>
      <w:r w:rsidR="007F4175">
        <w:t>, p.</w:t>
      </w:r>
      <w:r w:rsidR="00FC45C6">
        <w:t xml:space="preserve"> </w:t>
      </w:r>
      <w:r w:rsidR="007F4175">
        <w:t>3</w:t>
      </w:r>
    </w:p>
  </w:footnote>
  <w:footnote w:id="4">
    <w:p w14:paraId="5F53E363" w14:textId="36C7BFA0" w:rsidR="007B6587" w:rsidRPr="007B6587" w:rsidRDefault="007B6587">
      <w:pPr>
        <w:pStyle w:val="FootnoteText"/>
        <w:rPr>
          <w:lang w:val="en-US"/>
        </w:rPr>
      </w:pPr>
      <w:r w:rsidRPr="007B6587">
        <w:rPr>
          <w:rStyle w:val="FootnoteReference"/>
          <w:vertAlign w:val="baseline"/>
        </w:rPr>
        <w:footnoteRef/>
      </w:r>
      <w:r w:rsidRPr="007B6587">
        <w:t xml:space="preserve"> </w:t>
      </w:r>
      <w:r>
        <w:tab/>
      </w:r>
      <w:r w:rsidR="007730B0">
        <w:t xml:space="preserve">For instance, refer to </w:t>
      </w:r>
      <w:r w:rsidRPr="00436B64">
        <w:t xml:space="preserve">Productivity Commission </w:t>
      </w:r>
      <w:r w:rsidR="00FA2F69">
        <w:t>(</w:t>
      </w:r>
      <w:r w:rsidRPr="00436B64">
        <w:t>2018</w:t>
      </w:r>
      <w:r w:rsidR="00FA2F69">
        <w:t>)</w:t>
      </w:r>
      <w:r w:rsidRPr="00377BA8">
        <w:rPr>
          <w:i/>
          <w:iCs/>
        </w:rPr>
        <w:t xml:space="preserve">, </w:t>
      </w:r>
      <w:r>
        <w:t>p. 2.</w:t>
      </w:r>
    </w:p>
  </w:footnote>
  <w:footnote w:id="5">
    <w:p w14:paraId="7390DB3E" w14:textId="6A80161E" w:rsidR="00FC45C6" w:rsidRPr="00FC45C6" w:rsidRDefault="00FC45C6">
      <w:pPr>
        <w:pStyle w:val="FootnoteText"/>
      </w:pPr>
      <w:r w:rsidRPr="00FC45C6">
        <w:rPr>
          <w:rStyle w:val="FootnoteReference"/>
          <w:vertAlign w:val="baseline"/>
        </w:rPr>
        <w:footnoteRef/>
      </w:r>
      <w:r w:rsidRPr="00FC45C6">
        <w:t xml:space="preserve"> </w:t>
      </w:r>
      <w:r>
        <w:tab/>
        <w:t xml:space="preserve">Finding 2.4 of </w:t>
      </w:r>
      <w:r w:rsidRPr="00FC45C6">
        <w:t>Australian Government</w:t>
      </w:r>
      <w:r>
        <w:t xml:space="preserve"> </w:t>
      </w:r>
      <w:r w:rsidR="00FA2F69">
        <w:t>(</w:t>
      </w:r>
      <w:r>
        <w:t>2012</w:t>
      </w:r>
      <w:r w:rsidR="00FA2F69">
        <w:t>)</w:t>
      </w:r>
      <w:r w:rsidRPr="00FC45C6">
        <w:t xml:space="preserve">, </w:t>
      </w:r>
      <w:r>
        <w:t>p. 9.</w:t>
      </w:r>
    </w:p>
  </w:footnote>
  <w:footnote w:id="6">
    <w:p w14:paraId="773E5D5E" w14:textId="1DBCB22B" w:rsidR="00C1181F" w:rsidRPr="008F4EFA" w:rsidRDefault="00C1181F" w:rsidP="00C1181F">
      <w:pPr>
        <w:pStyle w:val="FootnoteText"/>
        <w:ind w:left="720" w:hanging="720"/>
        <w:rPr>
          <w:lang w:val="en-US"/>
        </w:rPr>
      </w:pPr>
      <w:r w:rsidRPr="008F4EFA">
        <w:rPr>
          <w:rStyle w:val="FootnoteReference"/>
          <w:vertAlign w:val="baseline"/>
        </w:rPr>
        <w:footnoteRef/>
      </w:r>
      <w:r>
        <w:t xml:space="preserve"> </w:t>
      </w:r>
      <w:r>
        <w:rPr>
          <w:lang w:val="en-US"/>
        </w:rPr>
        <w:tab/>
      </w:r>
      <w:r w:rsidRPr="008F4EFA">
        <w:rPr>
          <w:lang w:val="en-US"/>
        </w:rPr>
        <w:t xml:space="preserve">Commonwealth Grants </w:t>
      </w:r>
      <w:r w:rsidRPr="00FA2F69">
        <w:rPr>
          <w:lang w:val="en-US"/>
        </w:rPr>
        <w:t xml:space="preserve">Commission </w:t>
      </w:r>
      <w:r w:rsidR="00FA2F69" w:rsidRPr="00FA2F69">
        <w:rPr>
          <w:lang w:val="en-US"/>
        </w:rPr>
        <w:t>(</w:t>
      </w:r>
      <w:r w:rsidRPr="005D0C05">
        <w:rPr>
          <w:lang w:val="en-US"/>
        </w:rPr>
        <w:t>2020</w:t>
      </w:r>
      <w:r w:rsidR="00FA2F69">
        <w:rPr>
          <w:lang w:val="en-US"/>
        </w:rPr>
        <w:t>)</w:t>
      </w:r>
      <w:r w:rsidRPr="005D0C05">
        <w:rPr>
          <w:lang w:val="en-US"/>
        </w:rPr>
        <w:t>,</w:t>
      </w:r>
      <w:r>
        <w:rPr>
          <w:lang w:val="en-US"/>
        </w:rPr>
        <w:t xml:space="preserve"> p. 36</w:t>
      </w:r>
      <w:r w:rsidRPr="008F4EFA">
        <w:rPr>
          <w:lang w:val="en-US"/>
        </w:rPr>
        <w:t>.</w:t>
      </w:r>
    </w:p>
  </w:footnote>
  <w:footnote w:id="7">
    <w:p w14:paraId="61084997" w14:textId="424DBEA3" w:rsidR="00544699" w:rsidRPr="00544699" w:rsidRDefault="00544699">
      <w:pPr>
        <w:pStyle w:val="FootnoteText"/>
        <w:rPr>
          <w:lang w:val="en-US"/>
        </w:rPr>
      </w:pPr>
      <w:r w:rsidRPr="00544699">
        <w:rPr>
          <w:rStyle w:val="FootnoteReference"/>
          <w:vertAlign w:val="baseline"/>
        </w:rPr>
        <w:footnoteRef/>
      </w:r>
      <w:r w:rsidRPr="00544699">
        <w:t xml:space="preserve"> </w:t>
      </w:r>
      <w:r>
        <w:tab/>
      </w:r>
      <w:r w:rsidR="009C0566">
        <w:t xml:space="preserve">Prime Minister of Australia </w:t>
      </w:r>
      <w:r w:rsidR="00FA2F69">
        <w:t>(</w:t>
      </w:r>
      <w:r w:rsidR="009C0566">
        <w:t>2026a</w:t>
      </w:r>
      <w:r w:rsidR="00FA2F69">
        <w:t>)</w:t>
      </w:r>
      <w:r>
        <w:t>.</w:t>
      </w:r>
    </w:p>
  </w:footnote>
  <w:footnote w:id="8">
    <w:p w14:paraId="30B71904" w14:textId="375F9927" w:rsidR="00205096" w:rsidRPr="00205096" w:rsidRDefault="00205096" w:rsidP="00205096">
      <w:pPr>
        <w:pStyle w:val="FootnoteText"/>
        <w:rPr>
          <w:lang w:val="en-US"/>
        </w:rPr>
      </w:pPr>
      <w:r w:rsidRPr="00205096">
        <w:rPr>
          <w:rStyle w:val="FootnoteReference"/>
          <w:vertAlign w:val="baseline"/>
        </w:rPr>
        <w:footnoteRef/>
      </w:r>
      <w:r w:rsidRPr="00205096">
        <w:t xml:space="preserve"> </w:t>
      </w:r>
      <w:r>
        <w:tab/>
        <w:t xml:space="preserve">Council of Australian Governments </w:t>
      </w:r>
      <w:r w:rsidR="00FA2F69">
        <w:t>(</w:t>
      </w:r>
      <w:r>
        <w:t>2011</w:t>
      </w:r>
      <w:r w:rsidR="00FA2F69">
        <w:t>)</w:t>
      </w:r>
      <w:r>
        <w:t>, Pa</w:t>
      </w:r>
      <w:r w:rsidR="005D0C05">
        <w:t>r</w:t>
      </w:r>
      <w:r>
        <w:t>t 4.</w:t>
      </w:r>
    </w:p>
  </w:footnote>
  <w:footnote w:id="9">
    <w:p w14:paraId="7CEFDCBE" w14:textId="57E19ADD" w:rsidR="0012734F" w:rsidRPr="0012734F" w:rsidRDefault="0012734F">
      <w:pPr>
        <w:pStyle w:val="FootnoteText"/>
        <w:rPr>
          <w:lang w:val="en-US"/>
        </w:rPr>
      </w:pPr>
      <w:r w:rsidRPr="0012734F">
        <w:rPr>
          <w:rStyle w:val="FootnoteReference"/>
          <w:vertAlign w:val="baseline"/>
        </w:rPr>
        <w:footnoteRef/>
      </w:r>
      <w:r w:rsidRPr="0012734F">
        <w:t xml:space="preserve"> </w:t>
      </w:r>
      <w:r>
        <w:tab/>
        <w:t xml:space="preserve">Refer, for example to </w:t>
      </w:r>
      <w:r w:rsidRPr="00C204FF">
        <w:t>Commonwealth Grants Commission</w:t>
      </w:r>
      <w:r>
        <w:t xml:space="preserve"> </w:t>
      </w:r>
      <w:r w:rsidR="00FA2F69">
        <w:t>(</w:t>
      </w:r>
      <w:r>
        <w:t>2026</w:t>
      </w:r>
      <w:r w:rsidR="00FA2F69">
        <w:t>)</w:t>
      </w:r>
      <w:r w:rsidRPr="00C204FF">
        <w:t xml:space="preserve">, </w:t>
      </w:r>
      <w:r>
        <w:t xml:space="preserve">Supporting Information, Table </w:t>
      </w:r>
      <w:r w:rsidRPr="00FE1E52">
        <w:t>S</w:t>
      </w:r>
      <w:r>
        <w:t>7</w:t>
      </w:r>
      <w:r w:rsidRPr="00FE1E52">
        <w:t>-</w:t>
      </w:r>
      <w:r>
        <w:t>1</w:t>
      </w:r>
    </w:p>
  </w:footnote>
  <w:footnote w:id="10">
    <w:p w14:paraId="20F6641E" w14:textId="57B7A34F" w:rsidR="008A443A" w:rsidRPr="008A443A" w:rsidRDefault="008A443A">
      <w:pPr>
        <w:pStyle w:val="FootnoteText"/>
        <w:rPr>
          <w:lang w:val="en-US"/>
        </w:rPr>
      </w:pPr>
      <w:r w:rsidRPr="008A443A">
        <w:rPr>
          <w:rStyle w:val="FootnoteReference"/>
          <w:vertAlign w:val="baseline"/>
        </w:rPr>
        <w:footnoteRef/>
      </w:r>
      <w:r w:rsidRPr="008A443A">
        <w:t xml:space="preserve"> </w:t>
      </w:r>
      <w:r>
        <w:tab/>
        <w:t>The Appendix discusses further the assessment methods used by the CGC.</w:t>
      </w:r>
    </w:p>
  </w:footnote>
  <w:footnote w:id="11">
    <w:p w14:paraId="342E1025" w14:textId="3C32E6B3" w:rsidR="001A6153" w:rsidRPr="001A6153" w:rsidRDefault="001A6153">
      <w:pPr>
        <w:pStyle w:val="FootnoteText"/>
        <w:rPr>
          <w:lang w:val="en-US"/>
        </w:rPr>
      </w:pPr>
      <w:r w:rsidRPr="001A6153">
        <w:rPr>
          <w:rStyle w:val="FootnoteReference"/>
          <w:vertAlign w:val="baseline"/>
        </w:rPr>
        <w:footnoteRef/>
      </w:r>
      <w:r w:rsidRPr="001A6153">
        <w:t xml:space="preserve"> </w:t>
      </w:r>
      <w:r>
        <w:tab/>
        <w:t xml:space="preserve">Australian Government </w:t>
      </w:r>
      <w:r w:rsidR="00FF7C36">
        <w:t>(</w:t>
      </w:r>
      <w:r>
        <w:t>2012</w:t>
      </w:r>
      <w:r w:rsidR="00FF7C36">
        <w:t>)</w:t>
      </w:r>
      <w:r>
        <w:t>, p. 56.</w:t>
      </w:r>
    </w:p>
  </w:footnote>
  <w:footnote w:id="12">
    <w:p w14:paraId="73855C9F" w14:textId="5C37A6ED" w:rsidR="00A65F61" w:rsidRPr="00A65F61" w:rsidRDefault="00A65F61" w:rsidP="00A65F61">
      <w:pPr>
        <w:pStyle w:val="FootnoteText"/>
        <w:ind w:left="720" w:hanging="720"/>
        <w:rPr>
          <w:lang w:val="en-US"/>
        </w:rPr>
      </w:pPr>
      <w:r w:rsidRPr="00A65F61">
        <w:rPr>
          <w:rStyle w:val="FootnoteReference"/>
          <w:vertAlign w:val="baseline"/>
        </w:rPr>
        <w:footnoteRef/>
      </w:r>
      <w:r w:rsidRPr="00A65F61">
        <w:t xml:space="preserve"> </w:t>
      </w:r>
      <w:r>
        <w:tab/>
      </w:r>
      <w:r w:rsidR="009C0566">
        <w:t xml:space="preserve">Prime Minister of Australia </w:t>
      </w:r>
      <w:r w:rsidR="00FF7C36">
        <w:t>(</w:t>
      </w:r>
      <w:r w:rsidR="009C0566">
        <w:t>2026a</w:t>
      </w:r>
      <w:r w:rsidR="00FF7C36">
        <w:t>)</w:t>
      </w:r>
      <w:r>
        <w:t xml:space="preserve"> and </w:t>
      </w:r>
      <w:r w:rsidR="009C0566">
        <w:t xml:space="preserve">Prime Minister of Australia </w:t>
      </w:r>
      <w:r w:rsidR="00FF7C36">
        <w:t>(</w:t>
      </w:r>
      <w:r w:rsidR="009C0566">
        <w:t>2026b</w:t>
      </w:r>
      <w:r w:rsidR="00FF7C36">
        <w:t>)</w:t>
      </w:r>
      <w:r w:rsidR="009C056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B2C27" w14:textId="7094AC71" w:rsidR="00FD0FC1" w:rsidRDefault="00FD0FC1">
    <w:pPr>
      <w:pStyle w:val="Header"/>
    </w:pPr>
    <w:r>
      <w:rPr>
        <w:noProof/>
      </w:rPr>
      <mc:AlternateContent>
        <mc:Choice Requires="wps">
          <w:drawing>
            <wp:anchor distT="0" distB="0" distL="0" distR="0" simplePos="0" relativeHeight="251658240" behindDoc="0" locked="0" layoutInCell="1" allowOverlap="1" wp14:anchorId="12A85F7E" wp14:editId="3F6CBEA3">
              <wp:simplePos x="635" y="635"/>
              <wp:positionH relativeFrom="page">
                <wp:align>center</wp:align>
              </wp:positionH>
              <wp:positionV relativeFrom="page">
                <wp:align>top</wp:align>
              </wp:positionV>
              <wp:extent cx="653415" cy="391160"/>
              <wp:effectExtent l="0" t="0" r="13335" b="8890"/>
              <wp:wrapNone/>
              <wp:docPr id="643648288" name="Text Box 2" descr="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3415" cy="391160"/>
                      </a:xfrm>
                      <a:prstGeom prst="rect">
                        <a:avLst/>
                      </a:prstGeom>
                      <a:noFill/>
                      <a:ln>
                        <a:noFill/>
                      </a:ln>
                    </wps:spPr>
                    <wps:txbx>
                      <w:txbxContent>
                        <w:p w14:paraId="1094BFD2" w14:textId="358F9150" w:rsidR="00FD0FC1" w:rsidRPr="00FD0FC1" w:rsidRDefault="00FD0FC1" w:rsidP="00FD0FC1">
                          <w:pPr>
                            <w:spacing w:after="0"/>
                            <w:rPr>
                              <w:rFonts w:ascii="Aptos" w:eastAsia="Aptos" w:hAnsi="Aptos" w:cs="Aptos"/>
                              <w:noProof/>
                              <w:color w:val="000000"/>
                              <w:sz w:val="24"/>
                              <w:szCs w:val="24"/>
                            </w:rPr>
                          </w:pPr>
                          <w:r w:rsidRPr="00FD0FC1">
                            <w:rPr>
                              <w:rFonts w:ascii="Aptos" w:eastAsia="Aptos" w:hAnsi="Aptos" w:cs="Aptos"/>
                              <w:noProof/>
                              <w:color w:val="000000"/>
                              <w:sz w:val="24"/>
                              <w:szCs w:val="24"/>
                            </w:rPr>
                            <w:t xml:space="preserve"> 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A85F7E" id="_x0000_t202" coordsize="21600,21600" o:spt="202" path="m,l,21600r21600,l21600,xe">
              <v:stroke joinstyle="miter"/>
              <v:path gradientshapeok="t" o:connecttype="rect"/>
            </v:shapetype>
            <v:shape id="Text Box 2" o:spid="_x0000_s1026" type="#_x0000_t202" alt=" OFFICIAL" style="position:absolute;margin-left:0;margin-top:0;width:51.45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" filled="f" stroked="f">
              <v:textbox style="mso-fit-shape-to-text:t" inset="0,15pt,0,0">
                <w:txbxContent>
                  <w:p w14:paraId="1094BFD2" w14:textId="358F9150" w:rsidR="00FD0FC1" w:rsidRPr="00FD0FC1" w:rsidRDefault="00FD0FC1" w:rsidP="00FD0FC1">
                    <w:pPr>
                      <w:spacing w:after="0"/>
                      <w:rPr>
                        <w:rFonts w:ascii="Aptos" w:eastAsia="Aptos" w:hAnsi="Aptos" w:cs="Aptos"/>
                        <w:noProof/>
                        <w:color w:val="000000"/>
                        <w:sz w:val="24"/>
                        <w:szCs w:val="24"/>
                      </w:rPr>
                    </w:pPr>
                    <w:r w:rsidRPr="00FD0FC1">
                      <w:rPr>
                        <w:rFonts w:ascii="Aptos" w:eastAsia="Aptos" w:hAnsi="Aptos" w:cs="Aptos"/>
                        <w:noProof/>
                        <w:color w:val="000000"/>
                        <w:sz w:val="24"/>
                        <w:szCs w:val="24"/>
                      </w:rPr>
                      <w:t xml:space="preserve">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9DF51" w14:textId="584372D1" w:rsidR="00FD0FC1" w:rsidRDefault="00FD0FC1">
    <w:pPr>
      <w:pStyle w:val="Header"/>
    </w:pPr>
    <w:r>
      <w:rPr>
        <w:noProof/>
      </w:rPr>
      <mc:AlternateContent>
        <mc:Choice Requires="wps">
          <w:drawing>
            <wp:anchor distT="0" distB="0" distL="0" distR="0" simplePos="0" relativeHeight="251658241" behindDoc="0" locked="0" layoutInCell="1" allowOverlap="1" wp14:anchorId="2E98928B" wp14:editId="4C14B847">
              <wp:simplePos x="635" y="635"/>
              <wp:positionH relativeFrom="page">
                <wp:align>center</wp:align>
              </wp:positionH>
              <wp:positionV relativeFrom="page">
                <wp:align>top</wp:align>
              </wp:positionV>
              <wp:extent cx="653415" cy="391160"/>
              <wp:effectExtent l="0" t="0" r="13335" b="8890"/>
              <wp:wrapNone/>
              <wp:docPr id="1614802174" name="Text Box 3" descr="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3415" cy="391160"/>
                      </a:xfrm>
                      <a:prstGeom prst="rect">
                        <a:avLst/>
                      </a:prstGeom>
                      <a:noFill/>
                      <a:ln>
                        <a:noFill/>
                      </a:ln>
                    </wps:spPr>
                    <wps:txbx>
                      <w:txbxContent>
                        <w:p w14:paraId="06E3CFB7" w14:textId="6CA442D8" w:rsidR="00FD0FC1" w:rsidRPr="00FD0FC1" w:rsidRDefault="00FD0FC1" w:rsidP="00FD0FC1">
                          <w:pPr>
                            <w:spacing w:after="0"/>
                            <w:rPr>
                              <w:rFonts w:ascii="Aptos" w:eastAsia="Aptos" w:hAnsi="Aptos" w:cs="Aptos"/>
                              <w:noProof/>
                              <w:color w:val="000000"/>
                              <w:sz w:val="24"/>
                              <w:szCs w:val="24"/>
                            </w:rPr>
                          </w:pPr>
                          <w:r w:rsidRPr="00FD0FC1">
                            <w:rPr>
                              <w:rFonts w:ascii="Aptos" w:eastAsia="Aptos" w:hAnsi="Aptos" w:cs="Aptos"/>
                              <w:noProof/>
                              <w:color w:val="000000"/>
                              <w:sz w:val="24"/>
                              <w:szCs w:val="24"/>
                            </w:rPr>
                            <w:t xml:space="preserve"> 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98928B" id="_x0000_t202" coordsize="21600,21600" o:spt="202" path="m,l,21600r21600,l21600,xe">
              <v:stroke joinstyle="miter"/>
              <v:path gradientshapeok="t" o:connecttype="rect"/>
            </v:shapetype>
            <v:shape id="Text Box 3" o:spid="_x0000_s1027" type="#_x0000_t202" alt=" OFFICIAL" style="position:absolute;margin-left:0;margin-top:0;width:51.45pt;height:30.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" filled="f" stroked="f">
              <v:textbox style="mso-fit-shape-to-text:t" inset="0,15pt,0,0">
                <w:txbxContent>
                  <w:p w14:paraId="06E3CFB7" w14:textId="6CA442D8" w:rsidR="00FD0FC1" w:rsidRPr="00FD0FC1" w:rsidRDefault="00FD0FC1" w:rsidP="00FD0FC1">
                    <w:pPr>
                      <w:spacing w:after="0"/>
                      <w:rPr>
                        <w:rFonts w:ascii="Aptos" w:eastAsia="Aptos" w:hAnsi="Aptos" w:cs="Aptos"/>
                        <w:noProof/>
                        <w:color w:val="000000"/>
                        <w:sz w:val="24"/>
                        <w:szCs w:val="24"/>
                      </w:rPr>
                    </w:pPr>
                    <w:r w:rsidRPr="00FD0FC1">
                      <w:rPr>
                        <w:rFonts w:ascii="Aptos" w:eastAsia="Aptos" w:hAnsi="Aptos" w:cs="Aptos"/>
                        <w:noProof/>
                        <w:color w:val="000000"/>
                        <w:sz w:val="24"/>
                        <w:szCs w:val="24"/>
                      </w:rPr>
                      <w:t xml:space="preserve">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6756D" w14:textId="41ADB75E" w:rsidR="00FD0FC1" w:rsidRDefault="00FD0FC1">
    <w:pPr>
      <w:pStyle w:val="Header"/>
    </w:pPr>
    <w:r>
      <w:rPr>
        <w:noProof/>
      </w:rPr>
      <mc:AlternateContent>
        <mc:Choice Requires="wps">
          <w:drawing>
            <wp:anchor distT="0" distB="0" distL="0" distR="0" simplePos="0" relativeHeight="251658242" behindDoc="0" locked="0" layoutInCell="1" allowOverlap="1" wp14:anchorId="40606ECF" wp14:editId="7DA28736">
              <wp:simplePos x="915035" y="450215"/>
              <wp:positionH relativeFrom="page">
                <wp:align>center</wp:align>
              </wp:positionH>
              <wp:positionV relativeFrom="page">
                <wp:align>top</wp:align>
              </wp:positionV>
              <wp:extent cx="653415" cy="391160"/>
              <wp:effectExtent l="0" t="0" r="13335" b="8890"/>
              <wp:wrapNone/>
              <wp:docPr id="1725238646" name="Text Box 1" descr="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3415" cy="391160"/>
                      </a:xfrm>
                      <a:prstGeom prst="rect">
                        <a:avLst/>
                      </a:prstGeom>
                      <a:noFill/>
                      <a:ln>
                        <a:noFill/>
                      </a:ln>
                    </wps:spPr>
                    <wps:txbx>
                      <w:txbxContent>
                        <w:p w14:paraId="1E5FF4E3" w14:textId="62425A11" w:rsidR="00FD0FC1" w:rsidRPr="00FD0FC1" w:rsidRDefault="00FD0FC1" w:rsidP="00FD0FC1">
                          <w:pPr>
                            <w:spacing w:after="0"/>
                            <w:rPr>
                              <w:rFonts w:ascii="Aptos" w:eastAsia="Aptos" w:hAnsi="Aptos" w:cs="Aptos"/>
                              <w:noProof/>
                              <w:color w:val="000000"/>
                              <w:sz w:val="24"/>
                              <w:szCs w:val="24"/>
                            </w:rPr>
                          </w:pPr>
                          <w:r w:rsidRPr="00FD0FC1">
                            <w:rPr>
                              <w:rFonts w:ascii="Aptos" w:eastAsia="Aptos" w:hAnsi="Aptos" w:cs="Aptos"/>
                              <w:noProof/>
                              <w:color w:val="000000"/>
                              <w:sz w:val="24"/>
                              <w:szCs w:val="24"/>
                            </w:rPr>
                            <w:t xml:space="preserve"> 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606ECF" id="_x0000_t202" coordsize="21600,21600" o:spt="202" path="m,l,21600r21600,l21600,xe">
              <v:stroke joinstyle="miter"/>
              <v:path gradientshapeok="t" o:connecttype="rect"/>
            </v:shapetype>
            <v:shape id="Text Box 1" o:spid="_x0000_s1028" type="#_x0000_t202" alt=" OFFICIAL" style="position:absolute;margin-left:0;margin-top:0;width:51.45pt;height:30.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" filled="f" stroked="f">
              <v:textbox style="mso-fit-shape-to-text:t" inset="0,15pt,0,0">
                <w:txbxContent>
                  <w:p w14:paraId="1E5FF4E3" w14:textId="62425A11" w:rsidR="00FD0FC1" w:rsidRPr="00FD0FC1" w:rsidRDefault="00FD0FC1" w:rsidP="00FD0FC1">
                    <w:pPr>
                      <w:spacing w:after="0"/>
                      <w:rPr>
                        <w:rFonts w:ascii="Aptos" w:eastAsia="Aptos" w:hAnsi="Aptos" w:cs="Aptos"/>
                        <w:noProof/>
                        <w:color w:val="000000"/>
                        <w:sz w:val="24"/>
                        <w:szCs w:val="24"/>
                      </w:rPr>
                    </w:pPr>
                    <w:r w:rsidRPr="00FD0FC1">
                      <w:rPr>
                        <w:rFonts w:ascii="Aptos" w:eastAsia="Aptos" w:hAnsi="Aptos" w:cs="Aptos"/>
                        <w:noProof/>
                        <w:color w:val="000000"/>
                        <w:sz w:val="24"/>
                        <w:szCs w:val="24"/>
                      </w:rPr>
                      <w:t xml:space="preserve">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37296"/>
    <w:multiLevelType w:val="hybridMultilevel"/>
    <w:tmpl w:val="8C62F7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11BE612B"/>
    <w:multiLevelType w:val="hybridMultilevel"/>
    <w:tmpl w:val="84F295EC"/>
    <w:lvl w:ilvl="0" w:tplc="0C090001">
      <w:start w:val="1"/>
      <w:numFmt w:val="bullet"/>
      <w:lvlText w:val=""/>
      <w:lvlJc w:val="left"/>
      <w:pPr>
        <w:ind w:left="360" w:hanging="360"/>
      </w:pPr>
      <w:rPr>
        <w:rFonts w:ascii="Symbol" w:hAnsi="Symbol" w:hint="default"/>
      </w:rPr>
    </w:lvl>
    <w:lvl w:ilvl="1" w:tplc="FA041846">
      <w:numFmt w:val="bullet"/>
      <w:lvlText w:val="•"/>
      <w:lvlJc w:val="left"/>
      <w:pPr>
        <w:ind w:left="1080" w:hanging="360"/>
      </w:pPr>
      <w:rPr>
        <w:rFonts w:ascii="Calibri" w:eastAsiaTheme="minorHAnsi" w:hAnsi="Calibri" w:cs="Calibri"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E4B48E9"/>
    <w:multiLevelType w:val="hybridMultilevel"/>
    <w:tmpl w:val="238E7D0C"/>
    <w:lvl w:ilvl="0" w:tplc="3920DB5E">
      <w:numFmt w:val="bullet"/>
      <w:lvlText w:val="•"/>
      <w:lvlJc w:val="left"/>
      <w:pPr>
        <w:ind w:left="720" w:hanging="720"/>
      </w:pPr>
      <w:rPr>
        <w:rFonts w:ascii="Arial" w:eastAsiaTheme="minorEastAsia"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274300A8"/>
    <w:multiLevelType w:val="hybridMultilevel"/>
    <w:tmpl w:val="A93CF12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2EBA5D9A"/>
    <w:multiLevelType w:val="hybridMultilevel"/>
    <w:tmpl w:val="3FD662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3CBE17D9"/>
    <w:multiLevelType w:val="hybridMultilevel"/>
    <w:tmpl w:val="17DA4C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40A13339"/>
    <w:multiLevelType w:val="hybridMultilevel"/>
    <w:tmpl w:val="F28A629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1CA2497"/>
    <w:multiLevelType w:val="hybridMultilevel"/>
    <w:tmpl w:val="BB16B40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52D14FE9"/>
    <w:multiLevelType w:val="hybridMultilevel"/>
    <w:tmpl w:val="CCE63018"/>
    <w:lvl w:ilvl="0" w:tplc="2378FFFA">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80A1C1C"/>
    <w:multiLevelType w:val="hybridMultilevel"/>
    <w:tmpl w:val="1CE850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A6C77D6"/>
    <w:multiLevelType w:val="hybridMultilevel"/>
    <w:tmpl w:val="B868175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6EE10686"/>
    <w:multiLevelType w:val="hybridMultilevel"/>
    <w:tmpl w:val="CFAEDE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C8C504A"/>
    <w:multiLevelType w:val="hybridMultilevel"/>
    <w:tmpl w:val="C6483B2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7FD44514"/>
    <w:multiLevelType w:val="multilevel"/>
    <w:tmpl w:val="DC207730"/>
    <w:lvl w:ilvl="0">
      <w:start w:val="1"/>
      <w:numFmt w:val="lowerLetter"/>
      <w:pStyle w:val="Listnum"/>
      <w:lvlText w:val="(%1)"/>
      <w:lvlJc w:val="left"/>
      <w:pPr>
        <w:tabs>
          <w:tab w:val="num" w:pos="360"/>
        </w:tabs>
        <w:ind w:left="360" w:hanging="360"/>
      </w:pPr>
      <w:rPr>
        <w:rFonts w:hint="default"/>
      </w:rPr>
    </w:lvl>
    <w:lvl w:ilvl="1">
      <w:start w:val="1"/>
      <w:numFmt w:val="lowerRoman"/>
      <w:pStyle w:val="Listnum2"/>
      <w:lvlText w:val="(%2)"/>
      <w:lvlJc w:val="left"/>
      <w:pPr>
        <w:tabs>
          <w:tab w:val="num" w:pos="864"/>
        </w:tabs>
        <w:ind w:left="720" w:hanging="360"/>
      </w:pPr>
      <w:rPr>
        <w:rFonts w:hint="default"/>
      </w:rPr>
    </w:lvl>
    <w:lvl w:ilvl="2">
      <w:start w:val="1"/>
      <w:numFmt w:val="decimal"/>
      <w:pStyle w:val="Heading1numbered"/>
      <w:lvlText w:val="%3."/>
      <w:lvlJc w:val="left"/>
      <w:pPr>
        <w:tabs>
          <w:tab w:val="num" w:pos="792"/>
        </w:tabs>
        <w:ind w:left="792" w:hanging="792"/>
      </w:pPr>
      <w:rPr>
        <w:rFonts w:hint="default"/>
      </w:rPr>
    </w:lvl>
    <w:lvl w:ilvl="3">
      <w:start w:val="1"/>
      <w:numFmt w:val="decimal"/>
      <w:pStyle w:val="Heading2numbered"/>
      <w:lvlText w:val="%3.%4"/>
      <w:lvlJc w:val="left"/>
      <w:pPr>
        <w:tabs>
          <w:tab w:val="num" w:pos="792"/>
        </w:tabs>
        <w:ind w:left="792" w:hanging="792"/>
      </w:pPr>
      <w:rPr>
        <w:rFonts w:hint="default"/>
      </w:rPr>
    </w:lvl>
    <w:lvl w:ilvl="4">
      <w:start w:val="1"/>
      <w:numFmt w:val="decimal"/>
      <w:pStyle w:val="Heading3numbered"/>
      <w:lvlText w:val="%3.%4.%5"/>
      <w:lvlJc w:val="left"/>
      <w:pPr>
        <w:tabs>
          <w:tab w:val="num" w:pos="792"/>
        </w:tabs>
        <w:ind w:left="792" w:hanging="792"/>
      </w:pPr>
      <w:rPr>
        <w:rFonts w:hint="default"/>
      </w:rPr>
    </w:lvl>
    <w:lvl w:ilvl="5">
      <w:start w:val="1"/>
      <w:numFmt w:val="decimal"/>
      <w:pStyle w:val="Heading4numbered"/>
      <w:lvlText w:val="%3.%4.%5.%6"/>
      <w:lvlJc w:val="left"/>
      <w:pPr>
        <w:tabs>
          <w:tab w:val="num" w:pos="792"/>
        </w:tabs>
        <w:ind w:left="792" w:hanging="792"/>
      </w:pPr>
      <w:rPr>
        <w:rFonts w:hint="default"/>
      </w:rPr>
    </w:lvl>
    <w:lvl w:ilvl="6">
      <w:start w:val="1"/>
      <w:numFmt w:val="lowerLetter"/>
      <w:pStyle w:val="Listnumindent"/>
      <w:lvlText w:val="(%7)"/>
      <w:lvlJc w:val="left"/>
      <w:pPr>
        <w:tabs>
          <w:tab w:val="num" w:pos="1296"/>
        </w:tabs>
        <w:ind w:left="1296" w:hanging="504"/>
      </w:pPr>
      <w:rPr>
        <w:rFonts w:hint="default"/>
        <w:i/>
        <w:iCs/>
      </w:rPr>
    </w:lvl>
    <w:lvl w:ilvl="7">
      <w:start w:val="1"/>
      <w:numFmt w:val="lowerRoman"/>
      <w:pStyle w:val="Listnumindent2"/>
      <w:lvlText w:val="(%8)"/>
      <w:lvlJc w:val="left"/>
      <w:pPr>
        <w:tabs>
          <w:tab w:val="num" w:pos="1800"/>
        </w:tabs>
        <w:ind w:left="1800" w:hanging="504"/>
      </w:pPr>
      <w:rPr>
        <w:rFonts w:hint="default"/>
      </w:rPr>
    </w:lvl>
    <w:lvl w:ilvl="8">
      <w:start w:val="1"/>
      <w:numFmt w:val="decimal"/>
      <w:pStyle w:val="Numparaindent"/>
      <w:lvlText w:val="%9."/>
      <w:lvlJc w:val="left"/>
      <w:pPr>
        <w:tabs>
          <w:tab w:val="num" w:pos="1296"/>
        </w:tabs>
        <w:ind w:left="1296" w:hanging="504"/>
      </w:pPr>
      <w:rPr>
        <w:rFonts w:hint="default"/>
      </w:rPr>
    </w:lvl>
  </w:abstractNum>
  <w:num w:numId="1" w16cid:durableId="630866322">
    <w:abstractNumId w:val="5"/>
  </w:num>
  <w:num w:numId="2" w16cid:durableId="1356274880">
    <w:abstractNumId w:val="13"/>
  </w:num>
  <w:num w:numId="3" w16cid:durableId="1934849396">
    <w:abstractNumId w:val="3"/>
  </w:num>
  <w:num w:numId="4" w16cid:durableId="597058021">
    <w:abstractNumId w:val="9"/>
  </w:num>
  <w:num w:numId="5" w16cid:durableId="71396351">
    <w:abstractNumId w:val="2"/>
  </w:num>
  <w:num w:numId="6" w16cid:durableId="2064788683">
    <w:abstractNumId w:val="0"/>
  </w:num>
  <w:num w:numId="7" w16cid:durableId="1132484">
    <w:abstractNumId w:val="12"/>
  </w:num>
  <w:num w:numId="8" w16cid:durableId="1117408225">
    <w:abstractNumId w:val="4"/>
  </w:num>
  <w:num w:numId="9" w16cid:durableId="573129541">
    <w:abstractNumId w:val="11"/>
  </w:num>
  <w:num w:numId="10" w16cid:durableId="1895266342">
    <w:abstractNumId w:val="8"/>
  </w:num>
  <w:num w:numId="11" w16cid:durableId="1119488550">
    <w:abstractNumId w:val="6"/>
  </w:num>
  <w:num w:numId="12" w16cid:durableId="227496564">
    <w:abstractNumId w:val="10"/>
  </w:num>
  <w:num w:numId="13" w16cid:durableId="1774938919">
    <w:abstractNumId w:val="1"/>
  </w:num>
  <w:num w:numId="14" w16cid:durableId="1067261233">
    <w:abstractNumId w:val="13"/>
  </w:num>
  <w:num w:numId="15" w16cid:durableId="254753443">
    <w:abstractNumId w:val="7"/>
  </w:num>
  <w:num w:numId="16" w16cid:durableId="1127506897">
    <w:abstractNumId w:val="13"/>
  </w:num>
  <w:num w:numId="17" w16cid:durableId="616717379">
    <w:abstractNumId w:val="13"/>
  </w:num>
  <w:num w:numId="18" w16cid:durableId="1475953827">
    <w:abstractNumId w:val="13"/>
  </w:num>
  <w:num w:numId="19" w16cid:durableId="585768118">
    <w:abstractNumId w:val="13"/>
  </w:num>
  <w:num w:numId="20" w16cid:durableId="1926955164">
    <w:abstractNumId w:val="13"/>
  </w:num>
  <w:num w:numId="21" w16cid:durableId="1291786585">
    <w:abstractNumId w:val="13"/>
  </w:num>
  <w:num w:numId="22" w16cid:durableId="1795169672">
    <w:abstractNumId w:val="13"/>
  </w:num>
  <w:num w:numId="23" w16cid:durableId="1439522366">
    <w:abstractNumId w:val="13"/>
  </w:num>
  <w:num w:numId="24" w16cid:durableId="62450547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C6A"/>
    <w:rsid w:val="000077BA"/>
    <w:rsid w:val="00007A39"/>
    <w:rsid w:val="00007C67"/>
    <w:rsid w:val="000108DC"/>
    <w:rsid w:val="00011B11"/>
    <w:rsid w:val="00012CF6"/>
    <w:rsid w:val="00015927"/>
    <w:rsid w:val="00017C18"/>
    <w:rsid w:val="000204D8"/>
    <w:rsid w:val="000217F9"/>
    <w:rsid w:val="00024873"/>
    <w:rsid w:val="00026DE7"/>
    <w:rsid w:val="000305C0"/>
    <w:rsid w:val="00034647"/>
    <w:rsid w:val="000352DB"/>
    <w:rsid w:val="000363F5"/>
    <w:rsid w:val="00036814"/>
    <w:rsid w:val="0003747E"/>
    <w:rsid w:val="00037AE3"/>
    <w:rsid w:val="00040826"/>
    <w:rsid w:val="00042765"/>
    <w:rsid w:val="00045625"/>
    <w:rsid w:val="000462DB"/>
    <w:rsid w:val="00046327"/>
    <w:rsid w:val="000466A4"/>
    <w:rsid w:val="00047A30"/>
    <w:rsid w:val="000501B1"/>
    <w:rsid w:val="00057F74"/>
    <w:rsid w:val="00062B71"/>
    <w:rsid w:val="00063688"/>
    <w:rsid w:val="00064756"/>
    <w:rsid w:val="00074571"/>
    <w:rsid w:val="00074B24"/>
    <w:rsid w:val="00075F62"/>
    <w:rsid w:val="0007681E"/>
    <w:rsid w:val="00080185"/>
    <w:rsid w:val="0008115C"/>
    <w:rsid w:val="0008299D"/>
    <w:rsid w:val="00082E6C"/>
    <w:rsid w:val="00084FDC"/>
    <w:rsid w:val="0009179F"/>
    <w:rsid w:val="00092006"/>
    <w:rsid w:val="00092768"/>
    <w:rsid w:val="00094148"/>
    <w:rsid w:val="0009435D"/>
    <w:rsid w:val="00095C0C"/>
    <w:rsid w:val="000963D5"/>
    <w:rsid w:val="000977B9"/>
    <w:rsid w:val="000A0B19"/>
    <w:rsid w:val="000A370B"/>
    <w:rsid w:val="000A6161"/>
    <w:rsid w:val="000B7D6A"/>
    <w:rsid w:val="000C125E"/>
    <w:rsid w:val="000C29CD"/>
    <w:rsid w:val="000C66B5"/>
    <w:rsid w:val="000D1151"/>
    <w:rsid w:val="000D117F"/>
    <w:rsid w:val="000D1DD2"/>
    <w:rsid w:val="000D4594"/>
    <w:rsid w:val="000D4E82"/>
    <w:rsid w:val="000D7346"/>
    <w:rsid w:val="000E07F4"/>
    <w:rsid w:val="000E10FE"/>
    <w:rsid w:val="000E39FD"/>
    <w:rsid w:val="000E4D3E"/>
    <w:rsid w:val="000E5E78"/>
    <w:rsid w:val="000E7954"/>
    <w:rsid w:val="000F1ECD"/>
    <w:rsid w:val="000F2200"/>
    <w:rsid w:val="000F49A3"/>
    <w:rsid w:val="000F61D8"/>
    <w:rsid w:val="000F6619"/>
    <w:rsid w:val="000F7E62"/>
    <w:rsid w:val="00105576"/>
    <w:rsid w:val="0010717E"/>
    <w:rsid w:val="00107EA4"/>
    <w:rsid w:val="0011053D"/>
    <w:rsid w:val="00111126"/>
    <w:rsid w:val="00112C10"/>
    <w:rsid w:val="00112E77"/>
    <w:rsid w:val="0012271C"/>
    <w:rsid w:val="00122C28"/>
    <w:rsid w:val="0012734F"/>
    <w:rsid w:val="00127C56"/>
    <w:rsid w:val="00130F0B"/>
    <w:rsid w:val="00131305"/>
    <w:rsid w:val="0013168A"/>
    <w:rsid w:val="001415F6"/>
    <w:rsid w:val="001456E4"/>
    <w:rsid w:val="0015099F"/>
    <w:rsid w:val="00154707"/>
    <w:rsid w:val="00157651"/>
    <w:rsid w:val="001607E2"/>
    <w:rsid w:val="001619CF"/>
    <w:rsid w:val="001763B0"/>
    <w:rsid w:val="00176D47"/>
    <w:rsid w:val="00177759"/>
    <w:rsid w:val="00180B18"/>
    <w:rsid w:val="00182375"/>
    <w:rsid w:val="001829BC"/>
    <w:rsid w:val="00187544"/>
    <w:rsid w:val="00187A2D"/>
    <w:rsid w:val="00192948"/>
    <w:rsid w:val="00195738"/>
    <w:rsid w:val="00195CA5"/>
    <w:rsid w:val="001A017B"/>
    <w:rsid w:val="001A602A"/>
    <w:rsid w:val="001A6153"/>
    <w:rsid w:val="001B0C34"/>
    <w:rsid w:val="001B33A1"/>
    <w:rsid w:val="001C26E7"/>
    <w:rsid w:val="001C396B"/>
    <w:rsid w:val="001C490C"/>
    <w:rsid w:val="001C5152"/>
    <w:rsid w:val="001C5CCE"/>
    <w:rsid w:val="001C5DC4"/>
    <w:rsid w:val="001C6238"/>
    <w:rsid w:val="001D73DD"/>
    <w:rsid w:val="001D7F85"/>
    <w:rsid w:val="001E00FC"/>
    <w:rsid w:val="001E201C"/>
    <w:rsid w:val="001E44F9"/>
    <w:rsid w:val="001E5684"/>
    <w:rsid w:val="001F4E1E"/>
    <w:rsid w:val="001F4FBA"/>
    <w:rsid w:val="001F51CA"/>
    <w:rsid w:val="001F5564"/>
    <w:rsid w:val="00200B6B"/>
    <w:rsid w:val="00200D49"/>
    <w:rsid w:val="0020201C"/>
    <w:rsid w:val="002020CD"/>
    <w:rsid w:val="00202F06"/>
    <w:rsid w:val="0020347F"/>
    <w:rsid w:val="00204C40"/>
    <w:rsid w:val="00204C9F"/>
    <w:rsid w:val="00205096"/>
    <w:rsid w:val="002116C4"/>
    <w:rsid w:val="002124EC"/>
    <w:rsid w:val="0021471E"/>
    <w:rsid w:val="00216646"/>
    <w:rsid w:val="00216E7B"/>
    <w:rsid w:val="002213F1"/>
    <w:rsid w:val="00221B1B"/>
    <w:rsid w:val="002249CB"/>
    <w:rsid w:val="00226C48"/>
    <w:rsid w:val="0023113D"/>
    <w:rsid w:val="002373BC"/>
    <w:rsid w:val="00240B78"/>
    <w:rsid w:val="00244A75"/>
    <w:rsid w:val="00251535"/>
    <w:rsid w:val="00253420"/>
    <w:rsid w:val="00256F81"/>
    <w:rsid w:val="0026592D"/>
    <w:rsid w:val="00270131"/>
    <w:rsid w:val="00270359"/>
    <w:rsid w:val="00271D7E"/>
    <w:rsid w:val="002750E9"/>
    <w:rsid w:val="002769D7"/>
    <w:rsid w:val="0028335A"/>
    <w:rsid w:val="00291C12"/>
    <w:rsid w:val="00297896"/>
    <w:rsid w:val="002A3C30"/>
    <w:rsid w:val="002A7F65"/>
    <w:rsid w:val="002B07A4"/>
    <w:rsid w:val="002B404E"/>
    <w:rsid w:val="002B7934"/>
    <w:rsid w:val="002B7BE9"/>
    <w:rsid w:val="002C0CA2"/>
    <w:rsid w:val="002C24CC"/>
    <w:rsid w:val="002C5B1D"/>
    <w:rsid w:val="002D05B6"/>
    <w:rsid w:val="002D182D"/>
    <w:rsid w:val="002D25D7"/>
    <w:rsid w:val="002D3219"/>
    <w:rsid w:val="002E1274"/>
    <w:rsid w:val="002E1DAF"/>
    <w:rsid w:val="002E5BDB"/>
    <w:rsid w:val="002E7DA5"/>
    <w:rsid w:val="002F2CE5"/>
    <w:rsid w:val="002F575C"/>
    <w:rsid w:val="002F5D26"/>
    <w:rsid w:val="002F7293"/>
    <w:rsid w:val="002F799E"/>
    <w:rsid w:val="00303CF7"/>
    <w:rsid w:val="00305ABC"/>
    <w:rsid w:val="00306CC7"/>
    <w:rsid w:val="003111ED"/>
    <w:rsid w:val="00311B83"/>
    <w:rsid w:val="00313148"/>
    <w:rsid w:val="00316AFD"/>
    <w:rsid w:val="00316E91"/>
    <w:rsid w:val="00317645"/>
    <w:rsid w:val="00317AF6"/>
    <w:rsid w:val="003232D3"/>
    <w:rsid w:val="00324015"/>
    <w:rsid w:val="003246C8"/>
    <w:rsid w:val="003249E0"/>
    <w:rsid w:val="003272BE"/>
    <w:rsid w:val="00330231"/>
    <w:rsid w:val="00330605"/>
    <w:rsid w:val="0033230C"/>
    <w:rsid w:val="0033439A"/>
    <w:rsid w:val="00336483"/>
    <w:rsid w:val="00336FF3"/>
    <w:rsid w:val="00342CDA"/>
    <w:rsid w:val="00343067"/>
    <w:rsid w:val="003529AA"/>
    <w:rsid w:val="00353203"/>
    <w:rsid w:val="00353B12"/>
    <w:rsid w:val="00356924"/>
    <w:rsid w:val="00356BD5"/>
    <w:rsid w:val="00360193"/>
    <w:rsid w:val="0036625E"/>
    <w:rsid w:val="00366FC9"/>
    <w:rsid w:val="00371FCD"/>
    <w:rsid w:val="00373EBF"/>
    <w:rsid w:val="00374419"/>
    <w:rsid w:val="00374C98"/>
    <w:rsid w:val="00374ED0"/>
    <w:rsid w:val="003765F6"/>
    <w:rsid w:val="0037724F"/>
    <w:rsid w:val="003809EA"/>
    <w:rsid w:val="00380A9D"/>
    <w:rsid w:val="00383301"/>
    <w:rsid w:val="0038480B"/>
    <w:rsid w:val="00385C84"/>
    <w:rsid w:val="0038601F"/>
    <w:rsid w:val="0038613D"/>
    <w:rsid w:val="00391DE4"/>
    <w:rsid w:val="00392478"/>
    <w:rsid w:val="00393851"/>
    <w:rsid w:val="0039410C"/>
    <w:rsid w:val="00395470"/>
    <w:rsid w:val="00395C77"/>
    <w:rsid w:val="00396FBB"/>
    <w:rsid w:val="0039716F"/>
    <w:rsid w:val="003A3913"/>
    <w:rsid w:val="003A4493"/>
    <w:rsid w:val="003A690A"/>
    <w:rsid w:val="003A693A"/>
    <w:rsid w:val="003B223B"/>
    <w:rsid w:val="003B252F"/>
    <w:rsid w:val="003B2EE4"/>
    <w:rsid w:val="003B3193"/>
    <w:rsid w:val="003B4053"/>
    <w:rsid w:val="003B495B"/>
    <w:rsid w:val="003B5E05"/>
    <w:rsid w:val="003C1266"/>
    <w:rsid w:val="003C1F9F"/>
    <w:rsid w:val="003C3F12"/>
    <w:rsid w:val="003C43C8"/>
    <w:rsid w:val="003D60F2"/>
    <w:rsid w:val="003E3F7F"/>
    <w:rsid w:val="003E474A"/>
    <w:rsid w:val="003E5AF0"/>
    <w:rsid w:val="003E6B7B"/>
    <w:rsid w:val="003F2747"/>
    <w:rsid w:val="003F416B"/>
    <w:rsid w:val="003F53DC"/>
    <w:rsid w:val="003F571E"/>
    <w:rsid w:val="00402A2C"/>
    <w:rsid w:val="00402C37"/>
    <w:rsid w:val="00406556"/>
    <w:rsid w:val="004079EA"/>
    <w:rsid w:val="00412250"/>
    <w:rsid w:val="004129E3"/>
    <w:rsid w:val="00426065"/>
    <w:rsid w:val="004261E5"/>
    <w:rsid w:val="00431EC3"/>
    <w:rsid w:val="00431F26"/>
    <w:rsid w:val="0044090E"/>
    <w:rsid w:val="00444158"/>
    <w:rsid w:val="00450AC7"/>
    <w:rsid w:val="004518C2"/>
    <w:rsid w:val="0045354B"/>
    <w:rsid w:val="00453933"/>
    <w:rsid w:val="00455D43"/>
    <w:rsid w:val="00463EA1"/>
    <w:rsid w:val="00464868"/>
    <w:rsid w:val="00470110"/>
    <w:rsid w:val="00470E1D"/>
    <w:rsid w:val="00471D91"/>
    <w:rsid w:val="004737F3"/>
    <w:rsid w:val="00473AEC"/>
    <w:rsid w:val="00473E6C"/>
    <w:rsid w:val="0047501B"/>
    <w:rsid w:val="00483E71"/>
    <w:rsid w:val="0048490F"/>
    <w:rsid w:val="00487B50"/>
    <w:rsid w:val="004929FB"/>
    <w:rsid w:val="00495283"/>
    <w:rsid w:val="00496A37"/>
    <w:rsid w:val="0049713E"/>
    <w:rsid w:val="004A2A8D"/>
    <w:rsid w:val="004A2BAB"/>
    <w:rsid w:val="004B027C"/>
    <w:rsid w:val="004B1914"/>
    <w:rsid w:val="004B194B"/>
    <w:rsid w:val="004B1D60"/>
    <w:rsid w:val="004B2061"/>
    <w:rsid w:val="004B310B"/>
    <w:rsid w:val="004B4919"/>
    <w:rsid w:val="004B5798"/>
    <w:rsid w:val="004B5E9F"/>
    <w:rsid w:val="004B6880"/>
    <w:rsid w:val="004C1EF3"/>
    <w:rsid w:val="004C4767"/>
    <w:rsid w:val="004C4E71"/>
    <w:rsid w:val="004C5F91"/>
    <w:rsid w:val="004D0F49"/>
    <w:rsid w:val="004D3794"/>
    <w:rsid w:val="004D4B50"/>
    <w:rsid w:val="004D74D3"/>
    <w:rsid w:val="004D7FAB"/>
    <w:rsid w:val="004E25DD"/>
    <w:rsid w:val="004E34E7"/>
    <w:rsid w:val="004E6512"/>
    <w:rsid w:val="004F046B"/>
    <w:rsid w:val="004F1118"/>
    <w:rsid w:val="004F3D5B"/>
    <w:rsid w:val="004F47D2"/>
    <w:rsid w:val="004F7A66"/>
    <w:rsid w:val="00500B30"/>
    <w:rsid w:val="00502D2F"/>
    <w:rsid w:val="00503565"/>
    <w:rsid w:val="005059C5"/>
    <w:rsid w:val="00506CF4"/>
    <w:rsid w:val="00507D52"/>
    <w:rsid w:val="00513084"/>
    <w:rsid w:val="005136D0"/>
    <w:rsid w:val="00514008"/>
    <w:rsid w:val="00517B50"/>
    <w:rsid w:val="0052081D"/>
    <w:rsid w:val="005241B5"/>
    <w:rsid w:val="00530197"/>
    <w:rsid w:val="00532F52"/>
    <w:rsid w:val="005346B7"/>
    <w:rsid w:val="00541734"/>
    <w:rsid w:val="00541DAB"/>
    <w:rsid w:val="0054200D"/>
    <w:rsid w:val="005443A8"/>
    <w:rsid w:val="00544699"/>
    <w:rsid w:val="00544EB4"/>
    <w:rsid w:val="00545C37"/>
    <w:rsid w:val="005471AA"/>
    <w:rsid w:val="005554C5"/>
    <w:rsid w:val="00555D43"/>
    <w:rsid w:val="00561A3F"/>
    <w:rsid w:val="00562E85"/>
    <w:rsid w:val="0056478A"/>
    <w:rsid w:val="00566ECF"/>
    <w:rsid w:val="00570329"/>
    <w:rsid w:val="0057055C"/>
    <w:rsid w:val="005709D6"/>
    <w:rsid w:val="00575835"/>
    <w:rsid w:val="005765DC"/>
    <w:rsid w:val="00576794"/>
    <w:rsid w:val="005806AF"/>
    <w:rsid w:val="00590877"/>
    <w:rsid w:val="00592A7A"/>
    <w:rsid w:val="0059452C"/>
    <w:rsid w:val="005953B3"/>
    <w:rsid w:val="005A4F83"/>
    <w:rsid w:val="005A66D2"/>
    <w:rsid w:val="005A7EA0"/>
    <w:rsid w:val="005B0C71"/>
    <w:rsid w:val="005B15A1"/>
    <w:rsid w:val="005B1943"/>
    <w:rsid w:val="005B295A"/>
    <w:rsid w:val="005B3AB7"/>
    <w:rsid w:val="005B3DC0"/>
    <w:rsid w:val="005B4097"/>
    <w:rsid w:val="005B54C5"/>
    <w:rsid w:val="005B787E"/>
    <w:rsid w:val="005C18FC"/>
    <w:rsid w:val="005C3D84"/>
    <w:rsid w:val="005C564B"/>
    <w:rsid w:val="005C6F38"/>
    <w:rsid w:val="005D0B41"/>
    <w:rsid w:val="005D0C05"/>
    <w:rsid w:val="005D2554"/>
    <w:rsid w:val="005D269C"/>
    <w:rsid w:val="005D322A"/>
    <w:rsid w:val="005D33ED"/>
    <w:rsid w:val="005D484B"/>
    <w:rsid w:val="005E3C36"/>
    <w:rsid w:val="005E4FBF"/>
    <w:rsid w:val="005E509C"/>
    <w:rsid w:val="005E7283"/>
    <w:rsid w:val="005F08F2"/>
    <w:rsid w:val="005F3588"/>
    <w:rsid w:val="005F361E"/>
    <w:rsid w:val="005F40F6"/>
    <w:rsid w:val="005F517B"/>
    <w:rsid w:val="005F51F2"/>
    <w:rsid w:val="005F7835"/>
    <w:rsid w:val="0060188E"/>
    <w:rsid w:val="00601DCB"/>
    <w:rsid w:val="00602BE3"/>
    <w:rsid w:val="00607959"/>
    <w:rsid w:val="00610040"/>
    <w:rsid w:val="0061237D"/>
    <w:rsid w:val="00614969"/>
    <w:rsid w:val="00614D6D"/>
    <w:rsid w:val="0062215A"/>
    <w:rsid w:val="006226E4"/>
    <w:rsid w:val="00622744"/>
    <w:rsid w:val="0063042D"/>
    <w:rsid w:val="00636375"/>
    <w:rsid w:val="00637F34"/>
    <w:rsid w:val="00640B0F"/>
    <w:rsid w:val="00641540"/>
    <w:rsid w:val="00641EC9"/>
    <w:rsid w:val="006469E8"/>
    <w:rsid w:val="006474C1"/>
    <w:rsid w:val="00647D91"/>
    <w:rsid w:val="00651373"/>
    <w:rsid w:val="0065315E"/>
    <w:rsid w:val="0065335F"/>
    <w:rsid w:val="00655BCF"/>
    <w:rsid w:val="006573BD"/>
    <w:rsid w:val="0066342C"/>
    <w:rsid w:val="00665202"/>
    <w:rsid w:val="00665B53"/>
    <w:rsid w:val="00666BA2"/>
    <w:rsid w:val="00671796"/>
    <w:rsid w:val="00672290"/>
    <w:rsid w:val="00672697"/>
    <w:rsid w:val="0067398E"/>
    <w:rsid w:val="00674CEF"/>
    <w:rsid w:val="00676303"/>
    <w:rsid w:val="00676F6A"/>
    <w:rsid w:val="00677BF5"/>
    <w:rsid w:val="006805BA"/>
    <w:rsid w:val="00681B52"/>
    <w:rsid w:val="00681CFB"/>
    <w:rsid w:val="006851F2"/>
    <w:rsid w:val="0068567E"/>
    <w:rsid w:val="00685E5A"/>
    <w:rsid w:val="006A1344"/>
    <w:rsid w:val="006A369E"/>
    <w:rsid w:val="006A5A2E"/>
    <w:rsid w:val="006A5CA1"/>
    <w:rsid w:val="006B0CD8"/>
    <w:rsid w:val="006B0E64"/>
    <w:rsid w:val="006B1721"/>
    <w:rsid w:val="006B321E"/>
    <w:rsid w:val="006B34A7"/>
    <w:rsid w:val="006B536B"/>
    <w:rsid w:val="006B75DC"/>
    <w:rsid w:val="006B7E42"/>
    <w:rsid w:val="006C2FB5"/>
    <w:rsid w:val="006C3674"/>
    <w:rsid w:val="006C4137"/>
    <w:rsid w:val="006D1150"/>
    <w:rsid w:val="006D24EC"/>
    <w:rsid w:val="006D2C1F"/>
    <w:rsid w:val="006D3C8C"/>
    <w:rsid w:val="006D49A6"/>
    <w:rsid w:val="006D66D8"/>
    <w:rsid w:val="006E1ACD"/>
    <w:rsid w:val="006E23D2"/>
    <w:rsid w:val="006E4D7A"/>
    <w:rsid w:val="006E6F40"/>
    <w:rsid w:val="006F0DDE"/>
    <w:rsid w:val="006F117F"/>
    <w:rsid w:val="006F13AE"/>
    <w:rsid w:val="006F15DE"/>
    <w:rsid w:val="006F28C5"/>
    <w:rsid w:val="006F4EB7"/>
    <w:rsid w:val="006F74AE"/>
    <w:rsid w:val="007065CB"/>
    <w:rsid w:val="007075B2"/>
    <w:rsid w:val="00711BBC"/>
    <w:rsid w:val="00717AC2"/>
    <w:rsid w:val="0072505B"/>
    <w:rsid w:val="007268F0"/>
    <w:rsid w:val="00727C00"/>
    <w:rsid w:val="00732216"/>
    <w:rsid w:val="00732E27"/>
    <w:rsid w:val="007347DE"/>
    <w:rsid w:val="007406C7"/>
    <w:rsid w:val="00741B39"/>
    <w:rsid w:val="00744AED"/>
    <w:rsid w:val="007474F3"/>
    <w:rsid w:val="00747E5A"/>
    <w:rsid w:val="00747EFC"/>
    <w:rsid w:val="00750B52"/>
    <w:rsid w:val="0075245E"/>
    <w:rsid w:val="00752701"/>
    <w:rsid w:val="00752974"/>
    <w:rsid w:val="00753776"/>
    <w:rsid w:val="007549FC"/>
    <w:rsid w:val="00754A70"/>
    <w:rsid w:val="00754EC4"/>
    <w:rsid w:val="00755096"/>
    <w:rsid w:val="00756A53"/>
    <w:rsid w:val="00757989"/>
    <w:rsid w:val="0076468D"/>
    <w:rsid w:val="00766046"/>
    <w:rsid w:val="00770C60"/>
    <w:rsid w:val="00770D9B"/>
    <w:rsid w:val="007730B0"/>
    <w:rsid w:val="00774AD3"/>
    <w:rsid w:val="00775A6E"/>
    <w:rsid w:val="007767CC"/>
    <w:rsid w:val="00781D5B"/>
    <w:rsid w:val="007854F3"/>
    <w:rsid w:val="00786C8B"/>
    <w:rsid w:val="00786D00"/>
    <w:rsid w:val="00790ADC"/>
    <w:rsid w:val="007910F8"/>
    <w:rsid w:val="007911FE"/>
    <w:rsid w:val="00794958"/>
    <w:rsid w:val="00794CE1"/>
    <w:rsid w:val="007A0284"/>
    <w:rsid w:val="007A33EF"/>
    <w:rsid w:val="007A459D"/>
    <w:rsid w:val="007A48C4"/>
    <w:rsid w:val="007A540E"/>
    <w:rsid w:val="007A686A"/>
    <w:rsid w:val="007A765C"/>
    <w:rsid w:val="007A77EC"/>
    <w:rsid w:val="007B4898"/>
    <w:rsid w:val="007B54CE"/>
    <w:rsid w:val="007B6587"/>
    <w:rsid w:val="007B6D15"/>
    <w:rsid w:val="007B7542"/>
    <w:rsid w:val="007B7AB7"/>
    <w:rsid w:val="007C3312"/>
    <w:rsid w:val="007C6156"/>
    <w:rsid w:val="007D1514"/>
    <w:rsid w:val="007D4D9F"/>
    <w:rsid w:val="007D67DA"/>
    <w:rsid w:val="007E0CC2"/>
    <w:rsid w:val="007E31E6"/>
    <w:rsid w:val="007E3DF2"/>
    <w:rsid w:val="007F2108"/>
    <w:rsid w:val="007F33B2"/>
    <w:rsid w:val="007F3412"/>
    <w:rsid w:val="007F4175"/>
    <w:rsid w:val="007F7F94"/>
    <w:rsid w:val="0080012A"/>
    <w:rsid w:val="0080090A"/>
    <w:rsid w:val="00801E61"/>
    <w:rsid w:val="008070DB"/>
    <w:rsid w:val="00811517"/>
    <w:rsid w:val="008126CA"/>
    <w:rsid w:val="0081470D"/>
    <w:rsid w:val="008216AE"/>
    <w:rsid w:val="008226D0"/>
    <w:rsid w:val="008266F9"/>
    <w:rsid w:val="008267DD"/>
    <w:rsid w:val="008273FE"/>
    <w:rsid w:val="00827968"/>
    <w:rsid w:val="00830405"/>
    <w:rsid w:val="008332DE"/>
    <w:rsid w:val="008360FB"/>
    <w:rsid w:val="008402AD"/>
    <w:rsid w:val="00840ABB"/>
    <w:rsid w:val="00840FEB"/>
    <w:rsid w:val="0084350D"/>
    <w:rsid w:val="00845718"/>
    <w:rsid w:val="00850971"/>
    <w:rsid w:val="00851C81"/>
    <w:rsid w:val="0085409E"/>
    <w:rsid w:val="00857792"/>
    <w:rsid w:val="008606A5"/>
    <w:rsid w:val="00860A1F"/>
    <w:rsid w:val="00861FDC"/>
    <w:rsid w:val="00862613"/>
    <w:rsid w:val="008634ED"/>
    <w:rsid w:val="00864FA7"/>
    <w:rsid w:val="00865FE0"/>
    <w:rsid w:val="00866EC1"/>
    <w:rsid w:val="0087127D"/>
    <w:rsid w:val="00871FE8"/>
    <w:rsid w:val="00872DBD"/>
    <w:rsid w:val="00876567"/>
    <w:rsid w:val="00877DB8"/>
    <w:rsid w:val="00886DF6"/>
    <w:rsid w:val="00886F50"/>
    <w:rsid w:val="00896FFE"/>
    <w:rsid w:val="008A443A"/>
    <w:rsid w:val="008A5B23"/>
    <w:rsid w:val="008A607B"/>
    <w:rsid w:val="008A6FD4"/>
    <w:rsid w:val="008B298A"/>
    <w:rsid w:val="008B30A7"/>
    <w:rsid w:val="008B79BA"/>
    <w:rsid w:val="008C074E"/>
    <w:rsid w:val="008C3228"/>
    <w:rsid w:val="008C72BA"/>
    <w:rsid w:val="008C7929"/>
    <w:rsid w:val="008D2A98"/>
    <w:rsid w:val="008D3FD3"/>
    <w:rsid w:val="008D61BD"/>
    <w:rsid w:val="008D6CDE"/>
    <w:rsid w:val="008E13F5"/>
    <w:rsid w:val="008E1690"/>
    <w:rsid w:val="008E5783"/>
    <w:rsid w:val="008E6AA6"/>
    <w:rsid w:val="008F41D2"/>
    <w:rsid w:val="008F4EFA"/>
    <w:rsid w:val="008F502B"/>
    <w:rsid w:val="008F79A0"/>
    <w:rsid w:val="009010BA"/>
    <w:rsid w:val="009032B2"/>
    <w:rsid w:val="00906081"/>
    <w:rsid w:val="00907920"/>
    <w:rsid w:val="00910856"/>
    <w:rsid w:val="009126B9"/>
    <w:rsid w:val="00912D84"/>
    <w:rsid w:val="00915984"/>
    <w:rsid w:val="00917452"/>
    <w:rsid w:val="009177A4"/>
    <w:rsid w:val="00920983"/>
    <w:rsid w:val="00920A52"/>
    <w:rsid w:val="00922AF6"/>
    <w:rsid w:val="00925291"/>
    <w:rsid w:val="0093031B"/>
    <w:rsid w:val="00930B9B"/>
    <w:rsid w:val="0093171E"/>
    <w:rsid w:val="00933ED5"/>
    <w:rsid w:val="00934363"/>
    <w:rsid w:val="0093553A"/>
    <w:rsid w:val="00937C6A"/>
    <w:rsid w:val="00943260"/>
    <w:rsid w:val="0094359E"/>
    <w:rsid w:val="009443DB"/>
    <w:rsid w:val="00947AF0"/>
    <w:rsid w:val="00947E8B"/>
    <w:rsid w:val="00950343"/>
    <w:rsid w:val="0095101E"/>
    <w:rsid w:val="00952C9E"/>
    <w:rsid w:val="00952D09"/>
    <w:rsid w:val="00952E32"/>
    <w:rsid w:val="00960888"/>
    <w:rsid w:val="00961E4B"/>
    <w:rsid w:val="009633C9"/>
    <w:rsid w:val="00963AEA"/>
    <w:rsid w:val="00965BA4"/>
    <w:rsid w:val="009660F8"/>
    <w:rsid w:val="0097092F"/>
    <w:rsid w:val="009720B9"/>
    <w:rsid w:val="00972604"/>
    <w:rsid w:val="00972769"/>
    <w:rsid w:val="00977664"/>
    <w:rsid w:val="00977BDA"/>
    <w:rsid w:val="009805E1"/>
    <w:rsid w:val="00982C76"/>
    <w:rsid w:val="0098485B"/>
    <w:rsid w:val="00984FA1"/>
    <w:rsid w:val="009857CA"/>
    <w:rsid w:val="00987EA4"/>
    <w:rsid w:val="00992BC2"/>
    <w:rsid w:val="00994101"/>
    <w:rsid w:val="00996F42"/>
    <w:rsid w:val="00997BB7"/>
    <w:rsid w:val="009A19CB"/>
    <w:rsid w:val="009A26B4"/>
    <w:rsid w:val="009A646D"/>
    <w:rsid w:val="009A71D8"/>
    <w:rsid w:val="009A7385"/>
    <w:rsid w:val="009B1A28"/>
    <w:rsid w:val="009B54A5"/>
    <w:rsid w:val="009B60E4"/>
    <w:rsid w:val="009C0566"/>
    <w:rsid w:val="009C086F"/>
    <w:rsid w:val="009C16CD"/>
    <w:rsid w:val="009C41C1"/>
    <w:rsid w:val="009C4CF7"/>
    <w:rsid w:val="009C5A41"/>
    <w:rsid w:val="009C5E65"/>
    <w:rsid w:val="009D0C61"/>
    <w:rsid w:val="009D4065"/>
    <w:rsid w:val="009D5054"/>
    <w:rsid w:val="009D66C4"/>
    <w:rsid w:val="009D6E76"/>
    <w:rsid w:val="009E5342"/>
    <w:rsid w:val="009F01E3"/>
    <w:rsid w:val="009F0780"/>
    <w:rsid w:val="009F195F"/>
    <w:rsid w:val="009F3588"/>
    <w:rsid w:val="009F681D"/>
    <w:rsid w:val="00A0051E"/>
    <w:rsid w:val="00A008F2"/>
    <w:rsid w:val="00A00A71"/>
    <w:rsid w:val="00A0189A"/>
    <w:rsid w:val="00A0237B"/>
    <w:rsid w:val="00A05F18"/>
    <w:rsid w:val="00A119F4"/>
    <w:rsid w:val="00A129B3"/>
    <w:rsid w:val="00A131CC"/>
    <w:rsid w:val="00A136A2"/>
    <w:rsid w:val="00A13EDF"/>
    <w:rsid w:val="00A142F2"/>
    <w:rsid w:val="00A170E9"/>
    <w:rsid w:val="00A2301C"/>
    <w:rsid w:val="00A24939"/>
    <w:rsid w:val="00A24D16"/>
    <w:rsid w:val="00A26AB1"/>
    <w:rsid w:val="00A26FE2"/>
    <w:rsid w:val="00A30782"/>
    <w:rsid w:val="00A33971"/>
    <w:rsid w:val="00A37A58"/>
    <w:rsid w:val="00A40D7D"/>
    <w:rsid w:val="00A421FE"/>
    <w:rsid w:val="00A42C28"/>
    <w:rsid w:val="00A44E95"/>
    <w:rsid w:val="00A51526"/>
    <w:rsid w:val="00A51F45"/>
    <w:rsid w:val="00A56CAC"/>
    <w:rsid w:val="00A60081"/>
    <w:rsid w:val="00A615B3"/>
    <w:rsid w:val="00A616BC"/>
    <w:rsid w:val="00A644B3"/>
    <w:rsid w:val="00A65614"/>
    <w:rsid w:val="00A65F61"/>
    <w:rsid w:val="00A661DD"/>
    <w:rsid w:val="00A66F8A"/>
    <w:rsid w:val="00A70EDE"/>
    <w:rsid w:val="00A723D9"/>
    <w:rsid w:val="00A75C3E"/>
    <w:rsid w:val="00A829C6"/>
    <w:rsid w:val="00A84B5A"/>
    <w:rsid w:val="00A855AE"/>
    <w:rsid w:val="00A85B8F"/>
    <w:rsid w:val="00A8682E"/>
    <w:rsid w:val="00A904C9"/>
    <w:rsid w:val="00A92AFD"/>
    <w:rsid w:val="00A95CBD"/>
    <w:rsid w:val="00A95EEC"/>
    <w:rsid w:val="00A962C0"/>
    <w:rsid w:val="00A9721D"/>
    <w:rsid w:val="00AA37B6"/>
    <w:rsid w:val="00AA5AF4"/>
    <w:rsid w:val="00AA615A"/>
    <w:rsid w:val="00AB02C4"/>
    <w:rsid w:val="00AB23D3"/>
    <w:rsid w:val="00AB2888"/>
    <w:rsid w:val="00AB4F9A"/>
    <w:rsid w:val="00AB50A6"/>
    <w:rsid w:val="00AB5724"/>
    <w:rsid w:val="00AB6BCC"/>
    <w:rsid w:val="00AC1834"/>
    <w:rsid w:val="00AC1DDD"/>
    <w:rsid w:val="00AC24F2"/>
    <w:rsid w:val="00AD0069"/>
    <w:rsid w:val="00AD5DFD"/>
    <w:rsid w:val="00AD6C87"/>
    <w:rsid w:val="00AD6E32"/>
    <w:rsid w:val="00AE4AA1"/>
    <w:rsid w:val="00AE4FE0"/>
    <w:rsid w:val="00AE5BF3"/>
    <w:rsid w:val="00AE6102"/>
    <w:rsid w:val="00AF12B0"/>
    <w:rsid w:val="00AF5424"/>
    <w:rsid w:val="00AF77F9"/>
    <w:rsid w:val="00AF7C8F"/>
    <w:rsid w:val="00AF7EA6"/>
    <w:rsid w:val="00B01820"/>
    <w:rsid w:val="00B02103"/>
    <w:rsid w:val="00B049A6"/>
    <w:rsid w:val="00B06D75"/>
    <w:rsid w:val="00B07EDB"/>
    <w:rsid w:val="00B104FA"/>
    <w:rsid w:val="00B12098"/>
    <w:rsid w:val="00B210B9"/>
    <w:rsid w:val="00B212E6"/>
    <w:rsid w:val="00B216D4"/>
    <w:rsid w:val="00B2430F"/>
    <w:rsid w:val="00B27BB9"/>
    <w:rsid w:val="00B30C22"/>
    <w:rsid w:val="00B3103B"/>
    <w:rsid w:val="00B3674B"/>
    <w:rsid w:val="00B37D47"/>
    <w:rsid w:val="00B431FB"/>
    <w:rsid w:val="00B44E88"/>
    <w:rsid w:val="00B458BE"/>
    <w:rsid w:val="00B50214"/>
    <w:rsid w:val="00B5182D"/>
    <w:rsid w:val="00B567C1"/>
    <w:rsid w:val="00B568AC"/>
    <w:rsid w:val="00B616E8"/>
    <w:rsid w:val="00B64E3B"/>
    <w:rsid w:val="00B6527F"/>
    <w:rsid w:val="00B656C4"/>
    <w:rsid w:val="00B66A10"/>
    <w:rsid w:val="00B66F21"/>
    <w:rsid w:val="00B67766"/>
    <w:rsid w:val="00B70176"/>
    <w:rsid w:val="00B71F2A"/>
    <w:rsid w:val="00B745BC"/>
    <w:rsid w:val="00B7554C"/>
    <w:rsid w:val="00B756E7"/>
    <w:rsid w:val="00B75962"/>
    <w:rsid w:val="00B76197"/>
    <w:rsid w:val="00B776ED"/>
    <w:rsid w:val="00B777F4"/>
    <w:rsid w:val="00B82870"/>
    <w:rsid w:val="00B83367"/>
    <w:rsid w:val="00B8428B"/>
    <w:rsid w:val="00B84DE1"/>
    <w:rsid w:val="00B87F1E"/>
    <w:rsid w:val="00B90FE7"/>
    <w:rsid w:val="00B91D2D"/>
    <w:rsid w:val="00B97138"/>
    <w:rsid w:val="00B97283"/>
    <w:rsid w:val="00BA1D76"/>
    <w:rsid w:val="00BA4C2E"/>
    <w:rsid w:val="00BA6DAE"/>
    <w:rsid w:val="00BA708A"/>
    <w:rsid w:val="00BB01AB"/>
    <w:rsid w:val="00BB1DD8"/>
    <w:rsid w:val="00BB5B1E"/>
    <w:rsid w:val="00BB5C31"/>
    <w:rsid w:val="00BB6432"/>
    <w:rsid w:val="00BB740A"/>
    <w:rsid w:val="00BB7BF3"/>
    <w:rsid w:val="00BC1C23"/>
    <w:rsid w:val="00BC2A3D"/>
    <w:rsid w:val="00BC4092"/>
    <w:rsid w:val="00BC4A4B"/>
    <w:rsid w:val="00BC70A7"/>
    <w:rsid w:val="00BD060C"/>
    <w:rsid w:val="00BD3BA7"/>
    <w:rsid w:val="00BD714C"/>
    <w:rsid w:val="00BE0F8F"/>
    <w:rsid w:val="00BE24CC"/>
    <w:rsid w:val="00BE5BC9"/>
    <w:rsid w:val="00BE5C6B"/>
    <w:rsid w:val="00BF2DCD"/>
    <w:rsid w:val="00BF3DBD"/>
    <w:rsid w:val="00BF3FF5"/>
    <w:rsid w:val="00C050B6"/>
    <w:rsid w:val="00C070A5"/>
    <w:rsid w:val="00C1181F"/>
    <w:rsid w:val="00C167BD"/>
    <w:rsid w:val="00C16A4A"/>
    <w:rsid w:val="00C17908"/>
    <w:rsid w:val="00C204FF"/>
    <w:rsid w:val="00C2167F"/>
    <w:rsid w:val="00C31498"/>
    <w:rsid w:val="00C3220C"/>
    <w:rsid w:val="00C32CE9"/>
    <w:rsid w:val="00C36D65"/>
    <w:rsid w:val="00C373DE"/>
    <w:rsid w:val="00C37CA2"/>
    <w:rsid w:val="00C41A72"/>
    <w:rsid w:val="00C44E91"/>
    <w:rsid w:val="00C459C1"/>
    <w:rsid w:val="00C50007"/>
    <w:rsid w:val="00C533A2"/>
    <w:rsid w:val="00C5427A"/>
    <w:rsid w:val="00C5622B"/>
    <w:rsid w:val="00C571B8"/>
    <w:rsid w:val="00C63DCC"/>
    <w:rsid w:val="00C73CD6"/>
    <w:rsid w:val="00C752A8"/>
    <w:rsid w:val="00C75AC4"/>
    <w:rsid w:val="00C82303"/>
    <w:rsid w:val="00C87914"/>
    <w:rsid w:val="00C87FCB"/>
    <w:rsid w:val="00C937BF"/>
    <w:rsid w:val="00C93846"/>
    <w:rsid w:val="00C9585F"/>
    <w:rsid w:val="00C9738C"/>
    <w:rsid w:val="00C97DFF"/>
    <w:rsid w:val="00CA106E"/>
    <w:rsid w:val="00CA3EF6"/>
    <w:rsid w:val="00CA51A6"/>
    <w:rsid w:val="00CA6905"/>
    <w:rsid w:val="00CA6D23"/>
    <w:rsid w:val="00CA797F"/>
    <w:rsid w:val="00CA7AE8"/>
    <w:rsid w:val="00CA7F33"/>
    <w:rsid w:val="00CB0869"/>
    <w:rsid w:val="00CB443F"/>
    <w:rsid w:val="00CB6A6D"/>
    <w:rsid w:val="00CC025D"/>
    <w:rsid w:val="00CC618F"/>
    <w:rsid w:val="00CD1376"/>
    <w:rsid w:val="00CD34AB"/>
    <w:rsid w:val="00CD4C5C"/>
    <w:rsid w:val="00CD5D09"/>
    <w:rsid w:val="00CE148D"/>
    <w:rsid w:val="00CE23DE"/>
    <w:rsid w:val="00CE56E3"/>
    <w:rsid w:val="00CE5B33"/>
    <w:rsid w:val="00CE7239"/>
    <w:rsid w:val="00CF77A5"/>
    <w:rsid w:val="00D00ABA"/>
    <w:rsid w:val="00D01971"/>
    <w:rsid w:val="00D02648"/>
    <w:rsid w:val="00D04C82"/>
    <w:rsid w:val="00D0629C"/>
    <w:rsid w:val="00D06CDB"/>
    <w:rsid w:val="00D06F17"/>
    <w:rsid w:val="00D07095"/>
    <w:rsid w:val="00D10EFE"/>
    <w:rsid w:val="00D12DC4"/>
    <w:rsid w:val="00D13419"/>
    <w:rsid w:val="00D21944"/>
    <w:rsid w:val="00D21C47"/>
    <w:rsid w:val="00D22EFA"/>
    <w:rsid w:val="00D25C91"/>
    <w:rsid w:val="00D272A6"/>
    <w:rsid w:val="00D329D3"/>
    <w:rsid w:val="00D36AAE"/>
    <w:rsid w:val="00D36DAD"/>
    <w:rsid w:val="00D36E05"/>
    <w:rsid w:val="00D37F75"/>
    <w:rsid w:val="00D40AB3"/>
    <w:rsid w:val="00D41A9F"/>
    <w:rsid w:val="00D41F86"/>
    <w:rsid w:val="00D427F8"/>
    <w:rsid w:val="00D42C35"/>
    <w:rsid w:val="00D43E7D"/>
    <w:rsid w:val="00D44CF5"/>
    <w:rsid w:val="00D4588F"/>
    <w:rsid w:val="00D464BB"/>
    <w:rsid w:val="00D46696"/>
    <w:rsid w:val="00D46999"/>
    <w:rsid w:val="00D47D6A"/>
    <w:rsid w:val="00D518B9"/>
    <w:rsid w:val="00D52E75"/>
    <w:rsid w:val="00D5323E"/>
    <w:rsid w:val="00D54862"/>
    <w:rsid w:val="00D55B5F"/>
    <w:rsid w:val="00D56A79"/>
    <w:rsid w:val="00D61B50"/>
    <w:rsid w:val="00D62E38"/>
    <w:rsid w:val="00D6599F"/>
    <w:rsid w:val="00D71120"/>
    <w:rsid w:val="00D757C9"/>
    <w:rsid w:val="00D75D24"/>
    <w:rsid w:val="00D77123"/>
    <w:rsid w:val="00D80DE3"/>
    <w:rsid w:val="00D81436"/>
    <w:rsid w:val="00D81539"/>
    <w:rsid w:val="00D81769"/>
    <w:rsid w:val="00D81AD2"/>
    <w:rsid w:val="00D81D81"/>
    <w:rsid w:val="00D82D71"/>
    <w:rsid w:val="00D835E0"/>
    <w:rsid w:val="00D86210"/>
    <w:rsid w:val="00D86E66"/>
    <w:rsid w:val="00D906B2"/>
    <w:rsid w:val="00D91926"/>
    <w:rsid w:val="00DA08E3"/>
    <w:rsid w:val="00DA3234"/>
    <w:rsid w:val="00DA3FBA"/>
    <w:rsid w:val="00DA40D3"/>
    <w:rsid w:val="00DA4628"/>
    <w:rsid w:val="00DA4683"/>
    <w:rsid w:val="00DA737E"/>
    <w:rsid w:val="00DB0655"/>
    <w:rsid w:val="00DC1546"/>
    <w:rsid w:val="00DC206E"/>
    <w:rsid w:val="00DC28AD"/>
    <w:rsid w:val="00DC5C75"/>
    <w:rsid w:val="00DC70FA"/>
    <w:rsid w:val="00DD3A80"/>
    <w:rsid w:val="00DD522B"/>
    <w:rsid w:val="00DD551A"/>
    <w:rsid w:val="00DD72FE"/>
    <w:rsid w:val="00DE0C26"/>
    <w:rsid w:val="00DE5A78"/>
    <w:rsid w:val="00DF0B9E"/>
    <w:rsid w:val="00DF242D"/>
    <w:rsid w:val="00DF63B1"/>
    <w:rsid w:val="00DF6ECD"/>
    <w:rsid w:val="00E00F27"/>
    <w:rsid w:val="00E013C9"/>
    <w:rsid w:val="00E0518C"/>
    <w:rsid w:val="00E05A3D"/>
    <w:rsid w:val="00E063F5"/>
    <w:rsid w:val="00E104DE"/>
    <w:rsid w:val="00E11AB0"/>
    <w:rsid w:val="00E147D2"/>
    <w:rsid w:val="00E20E89"/>
    <w:rsid w:val="00E21795"/>
    <w:rsid w:val="00E26E99"/>
    <w:rsid w:val="00E30CD6"/>
    <w:rsid w:val="00E31FCF"/>
    <w:rsid w:val="00E360B0"/>
    <w:rsid w:val="00E368B6"/>
    <w:rsid w:val="00E37119"/>
    <w:rsid w:val="00E43675"/>
    <w:rsid w:val="00E439BE"/>
    <w:rsid w:val="00E47BCA"/>
    <w:rsid w:val="00E47FAE"/>
    <w:rsid w:val="00E5216C"/>
    <w:rsid w:val="00E5441F"/>
    <w:rsid w:val="00E545E1"/>
    <w:rsid w:val="00E57F31"/>
    <w:rsid w:val="00E6034E"/>
    <w:rsid w:val="00E632C0"/>
    <w:rsid w:val="00E643E9"/>
    <w:rsid w:val="00E65947"/>
    <w:rsid w:val="00E65F7A"/>
    <w:rsid w:val="00E706EC"/>
    <w:rsid w:val="00E72148"/>
    <w:rsid w:val="00E749DF"/>
    <w:rsid w:val="00E76923"/>
    <w:rsid w:val="00E820C6"/>
    <w:rsid w:val="00E824D2"/>
    <w:rsid w:val="00E8450B"/>
    <w:rsid w:val="00E84733"/>
    <w:rsid w:val="00E84903"/>
    <w:rsid w:val="00E849D5"/>
    <w:rsid w:val="00E85A55"/>
    <w:rsid w:val="00E90868"/>
    <w:rsid w:val="00E9096D"/>
    <w:rsid w:val="00E93E23"/>
    <w:rsid w:val="00E94793"/>
    <w:rsid w:val="00E9593F"/>
    <w:rsid w:val="00EA2314"/>
    <w:rsid w:val="00EA4A9F"/>
    <w:rsid w:val="00EA69A0"/>
    <w:rsid w:val="00EA78EA"/>
    <w:rsid w:val="00EA79C7"/>
    <w:rsid w:val="00EA7DD7"/>
    <w:rsid w:val="00EB0F72"/>
    <w:rsid w:val="00EB1079"/>
    <w:rsid w:val="00EB2132"/>
    <w:rsid w:val="00EB2573"/>
    <w:rsid w:val="00EB267A"/>
    <w:rsid w:val="00EB4DE9"/>
    <w:rsid w:val="00EB6DA6"/>
    <w:rsid w:val="00EC164A"/>
    <w:rsid w:val="00EC5D49"/>
    <w:rsid w:val="00EC63E6"/>
    <w:rsid w:val="00ED20C9"/>
    <w:rsid w:val="00ED3B0F"/>
    <w:rsid w:val="00EE04EF"/>
    <w:rsid w:val="00EE0949"/>
    <w:rsid w:val="00EE0EFD"/>
    <w:rsid w:val="00EE4DC6"/>
    <w:rsid w:val="00EE507A"/>
    <w:rsid w:val="00EF2E3C"/>
    <w:rsid w:val="00EF388A"/>
    <w:rsid w:val="00EF5A1D"/>
    <w:rsid w:val="00EF6842"/>
    <w:rsid w:val="00EF6983"/>
    <w:rsid w:val="00F0095B"/>
    <w:rsid w:val="00F00E5F"/>
    <w:rsid w:val="00F036BC"/>
    <w:rsid w:val="00F11052"/>
    <w:rsid w:val="00F11FB5"/>
    <w:rsid w:val="00F20213"/>
    <w:rsid w:val="00F21ADA"/>
    <w:rsid w:val="00F244C4"/>
    <w:rsid w:val="00F26D13"/>
    <w:rsid w:val="00F308B5"/>
    <w:rsid w:val="00F31296"/>
    <w:rsid w:val="00F31FA6"/>
    <w:rsid w:val="00F32DF9"/>
    <w:rsid w:val="00F33129"/>
    <w:rsid w:val="00F36504"/>
    <w:rsid w:val="00F37AEA"/>
    <w:rsid w:val="00F41BE2"/>
    <w:rsid w:val="00F4423E"/>
    <w:rsid w:val="00F45469"/>
    <w:rsid w:val="00F457E6"/>
    <w:rsid w:val="00F45CCD"/>
    <w:rsid w:val="00F519FF"/>
    <w:rsid w:val="00F56E30"/>
    <w:rsid w:val="00F60546"/>
    <w:rsid w:val="00F6308A"/>
    <w:rsid w:val="00F63C1F"/>
    <w:rsid w:val="00F6627F"/>
    <w:rsid w:val="00F70AC0"/>
    <w:rsid w:val="00F72080"/>
    <w:rsid w:val="00F73730"/>
    <w:rsid w:val="00F7583C"/>
    <w:rsid w:val="00F7655E"/>
    <w:rsid w:val="00F76C8E"/>
    <w:rsid w:val="00F81AF9"/>
    <w:rsid w:val="00F85C68"/>
    <w:rsid w:val="00F92604"/>
    <w:rsid w:val="00F97BA3"/>
    <w:rsid w:val="00F97C37"/>
    <w:rsid w:val="00FA15C4"/>
    <w:rsid w:val="00FA2F69"/>
    <w:rsid w:val="00FB0F99"/>
    <w:rsid w:val="00FB1FBA"/>
    <w:rsid w:val="00FB2B88"/>
    <w:rsid w:val="00FB3D39"/>
    <w:rsid w:val="00FB3DAA"/>
    <w:rsid w:val="00FB5E67"/>
    <w:rsid w:val="00FB60BF"/>
    <w:rsid w:val="00FB67AF"/>
    <w:rsid w:val="00FC0F07"/>
    <w:rsid w:val="00FC45C6"/>
    <w:rsid w:val="00FC64F4"/>
    <w:rsid w:val="00FD0FC1"/>
    <w:rsid w:val="00FD344A"/>
    <w:rsid w:val="00FD3B3D"/>
    <w:rsid w:val="00FD6409"/>
    <w:rsid w:val="00FD76FE"/>
    <w:rsid w:val="00FE0823"/>
    <w:rsid w:val="00FE130C"/>
    <w:rsid w:val="00FE1E52"/>
    <w:rsid w:val="00FE2E0E"/>
    <w:rsid w:val="00FE3120"/>
    <w:rsid w:val="00FE45CA"/>
    <w:rsid w:val="00FE568D"/>
    <w:rsid w:val="00FF42ED"/>
    <w:rsid w:val="00FF7C36"/>
    <w:rsid w:val="00FF7EC1"/>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DCF52"/>
  <w15:chartTrackingRefBased/>
  <w15:docId w15:val="{3F281D23-3669-430C-811D-CF0E4C0E9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B83"/>
  </w:style>
  <w:style w:type="paragraph" w:styleId="Heading1">
    <w:name w:val="heading 1"/>
    <w:basedOn w:val="Normal"/>
    <w:next w:val="Normal"/>
    <w:link w:val="Heading1Char"/>
    <w:uiPriority w:val="9"/>
    <w:qFormat/>
    <w:rsid w:val="0040655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0655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0655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40655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E7D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7DA5"/>
    <w:rPr>
      <w:sz w:val="20"/>
      <w:szCs w:val="20"/>
    </w:rPr>
  </w:style>
  <w:style w:type="character" w:styleId="FootnoteReference">
    <w:name w:val="footnote reference"/>
    <w:basedOn w:val="DefaultParagraphFont"/>
    <w:uiPriority w:val="99"/>
    <w:semiHidden/>
    <w:unhideWhenUsed/>
    <w:rsid w:val="002E7DA5"/>
    <w:rPr>
      <w:vertAlign w:val="superscript"/>
    </w:rPr>
  </w:style>
  <w:style w:type="paragraph" w:styleId="ListParagraph">
    <w:name w:val="List Paragraph"/>
    <w:basedOn w:val="Normal"/>
    <w:uiPriority w:val="34"/>
    <w:qFormat/>
    <w:rsid w:val="00195738"/>
    <w:pPr>
      <w:ind w:left="720"/>
      <w:contextualSpacing/>
    </w:pPr>
  </w:style>
  <w:style w:type="table" w:styleId="TableGrid">
    <w:name w:val="Table Grid"/>
    <w:basedOn w:val="TableNormal"/>
    <w:uiPriority w:val="39"/>
    <w:rsid w:val="00E847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8115C"/>
    <w:rPr>
      <w:sz w:val="16"/>
      <w:szCs w:val="16"/>
    </w:rPr>
  </w:style>
  <w:style w:type="paragraph" w:styleId="CommentText">
    <w:name w:val="annotation text"/>
    <w:basedOn w:val="Normal"/>
    <w:link w:val="CommentTextChar"/>
    <w:uiPriority w:val="99"/>
    <w:semiHidden/>
    <w:unhideWhenUsed/>
    <w:rsid w:val="0008115C"/>
    <w:pPr>
      <w:spacing w:line="240" w:lineRule="auto"/>
    </w:pPr>
    <w:rPr>
      <w:sz w:val="20"/>
      <w:szCs w:val="20"/>
    </w:rPr>
  </w:style>
  <w:style w:type="character" w:customStyle="1" w:styleId="CommentTextChar">
    <w:name w:val="Comment Text Char"/>
    <w:basedOn w:val="DefaultParagraphFont"/>
    <w:link w:val="CommentText"/>
    <w:uiPriority w:val="99"/>
    <w:semiHidden/>
    <w:rsid w:val="0008115C"/>
    <w:rPr>
      <w:sz w:val="20"/>
      <w:szCs w:val="20"/>
    </w:rPr>
  </w:style>
  <w:style w:type="paragraph" w:styleId="CommentSubject">
    <w:name w:val="annotation subject"/>
    <w:basedOn w:val="CommentText"/>
    <w:next w:val="CommentText"/>
    <w:link w:val="CommentSubjectChar"/>
    <w:uiPriority w:val="99"/>
    <w:semiHidden/>
    <w:unhideWhenUsed/>
    <w:rsid w:val="0008115C"/>
    <w:rPr>
      <w:b/>
      <w:bCs/>
    </w:rPr>
  </w:style>
  <w:style w:type="character" w:customStyle="1" w:styleId="CommentSubjectChar">
    <w:name w:val="Comment Subject Char"/>
    <w:basedOn w:val="CommentTextChar"/>
    <w:link w:val="CommentSubject"/>
    <w:uiPriority w:val="99"/>
    <w:semiHidden/>
    <w:rsid w:val="0008115C"/>
    <w:rPr>
      <w:b/>
      <w:bCs/>
      <w:sz w:val="20"/>
      <w:szCs w:val="20"/>
    </w:rPr>
  </w:style>
  <w:style w:type="paragraph" w:styleId="Header">
    <w:name w:val="header"/>
    <w:basedOn w:val="Normal"/>
    <w:link w:val="HeaderChar"/>
    <w:uiPriority w:val="99"/>
    <w:unhideWhenUsed/>
    <w:rsid w:val="00F97C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7C37"/>
  </w:style>
  <w:style w:type="paragraph" w:styleId="Footer">
    <w:name w:val="footer"/>
    <w:basedOn w:val="Normal"/>
    <w:link w:val="FooterChar"/>
    <w:uiPriority w:val="99"/>
    <w:unhideWhenUsed/>
    <w:rsid w:val="00F97C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7C37"/>
  </w:style>
  <w:style w:type="paragraph" w:customStyle="1" w:styleId="Heading1numbered">
    <w:name w:val="Heading 1 numbered"/>
    <w:basedOn w:val="Heading1"/>
    <w:next w:val="NormalIndent"/>
    <w:uiPriority w:val="8"/>
    <w:qFormat/>
    <w:rsid w:val="00406556"/>
    <w:pPr>
      <w:numPr>
        <w:ilvl w:val="2"/>
        <w:numId w:val="2"/>
      </w:numPr>
      <w:spacing w:before="360" w:after="120" w:line="276" w:lineRule="auto"/>
    </w:pPr>
    <w:rPr>
      <w:b/>
      <w:bCs/>
      <w:color w:val="44546A" w:themeColor="text2"/>
      <w:sz w:val="36"/>
      <w:szCs w:val="28"/>
      <w:lang w:eastAsia="en-AU"/>
    </w:rPr>
  </w:style>
  <w:style w:type="paragraph" w:customStyle="1" w:styleId="Heading2numbered">
    <w:name w:val="Heading 2 numbered"/>
    <w:basedOn w:val="Heading2"/>
    <w:next w:val="NormalIndent"/>
    <w:uiPriority w:val="8"/>
    <w:qFormat/>
    <w:rsid w:val="00406556"/>
    <w:pPr>
      <w:numPr>
        <w:ilvl w:val="3"/>
        <w:numId w:val="2"/>
      </w:numPr>
      <w:spacing w:before="280" w:after="120" w:line="264" w:lineRule="auto"/>
    </w:pPr>
    <w:rPr>
      <w:b/>
      <w:bCs/>
      <w:color w:val="44546A" w:themeColor="text2"/>
      <w:sz w:val="28"/>
      <w:lang w:eastAsia="en-AU"/>
    </w:rPr>
  </w:style>
  <w:style w:type="paragraph" w:customStyle="1" w:styleId="Heading3numbered">
    <w:name w:val="Heading 3 numbered"/>
    <w:basedOn w:val="Heading3"/>
    <w:next w:val="NormalIndent"/>
    <w:uiPriority w:val="8"/>
    <w:qFormat/>
    <w:rsid w:val="00406556"/>
    <w:pPr>
      <w:numPr>
        <w:ilvl w:val="4"/>
        <w:numId w:val="2"/>
      </w:numPr>
      <w:tabs>
        <w:tab w:val="clear" w:pos="792"/>
        <w:tab w:val="num" w:pos="360"/>
      </w:tabs>
      <w:spacing w:before="240" w:after="120" w:line="264" w:lineRule="auto"/>
      <w:ind w:left="0" w:firstLine="0"/>
    </w:pPr>
    <w:rPr>
      <w:b/>
      <w:bCs/>
      <w:color w:val="44546A" w:themeColor="text2"/>
      <w:lang w:eastAsia="en-AU"/>
    </w:rPr>
  </w:style>
  <w:style w:type="paragraph" w:customStyle="1" w:styleId="Heading4numbered">
    <w:name w:val="Heading 4 numbered"/>
    <w:basedOn w:val="Heading4"/>
    <w:next w:val="NormalIndent"/>
    <w:uiPriority w:val="8"/>
    <w:qFormat/>
    <w:rsid w:val="00406556"/>
    <w:pPr>
      <w:numPr>
        <w:ilvl w:val="5"/>
        <w:numId w:val="2"/>
      </w:numPr>
      <w:tabs>
        <w:tab w:val="clear" w:pos="792"/>
        <w:tab w:val="num" w:pos="360"/>
      </w:tabs>
      <w:spacing w:before="200" w:after="120" w:line="264" w:lineRule="auto"/>
      <w:ind w:left="0" w:firstLine="0"/>
    </w:pPr>
    <w:rPr>
      <w:b/>
      <w:bCs/>
      <w:i w:val="0"/>
      <w:color w:val="44546A" w:themeColor="text2"/>
      <w:sz w:val="21"/>
      <w:szCs w:val="21"/>
      <w:lang w:eastAsia="en-AU"/>
    </w:rPr>
  </w:style>
  <w:style w:type="paragraph" w:customStyle="1" w:styleId="Listnumindent2">
    <w:name w:val="List num indent 2"/>
    <w:basedOn w:val="Normal"/>
    <w:uiPriority w:val="9"/>
    <w:qFormat/>
    <w:rsid w:val="00406556"/>
    <w:pPr>
      <w:numPr>
        <w:ilvl w:val="7"/>
        <w:numId w:val="2"/>
      </w:numPr>
      <w:spacing w:before="100" w:after="120" w:line="264" w:lineRule="auto"/>
      <w:contextualSpacing/>
    </w:pPr>
    <w:rPr>
      <w:rFonts w:eastAsiaTheme="minorEastAsia"/>
      <w:color w:val="000000" w:themeColor="text1"/>
      <w:sz w:val="20"/>
      <w:szCs w:val="20"/>
      <w:lang w:eastAsia="en-AU"/>
    </w:rPr>
  </w:style>
  <w:style w:type="paragraph" w:customStyle="1" w:styleId="Listnumindent">
    <w:name w:val="List num indent"/>
    <w:basedOn w:val="Normal"/>
    <w:uiPriority w:val="9"/>
    <w:qFormat/>
    <w:rsid w:val="00406556"/>
    <w:pPr>
      <w:numPr>
        <w:ilvl w:val="6"/>
        <w:numId w:val="2"/>
      </w:numPr>
      <w:spacing w:before="100" w:after="120" w:line="264" w:lineRule="auto"/>
    </w:pPr>
    <w:rPr>
      <w:rFonts w:eastAsiaTheme="minorEastAsia"/>
      <w:color w:val="000000" w:themeColor="text1"/>
      <w:sz w:val="20"/>
      <w:szCs w:val="20"/>
      <w:lang w:eastAsia="en-AU"/>
    </w:rPr>
  </w:style>
  <w:style w:type="paragraph" w:customStyle="1" w:styleId="Listnum">
    <w:name w:val="List num"/>
    <w:basedOn w:val="Normal"/>
    <w:uiPriority w:val="2"/>
    <w:qFormat/>
    <w:rsid w:val="00406556"/>
    <w:pPr>
      <w:numPr>
        <w:numId w:val="2"/>
      </w:numPr>
      <w:spacing w:before="120" w:after="120" w:line="264" w:lineRule="auto"/>
    </w:pPr>
    <w:rPr>
      <w:rFonts w:eastAsiaTheme="minorEastAsia"/>
      <w:color w:val="000000" w:themeColor="text1"/>
      <w:sz w:val="20"/>
      <w:szCs w:val="20"/>
      <w:lang w:eastAsia="en-AU"/>
    </w:rPr>
  </w:style>
  <w:style w:type="paragraph" w:customStyle="1" w:styleId="Listnum2">
    <w:name w:val="List num 2"/>
    <w:basedOn w:val="Normal"/>
    <w:uiPriority w:val="2"/>
    <w:qFormat/>
    <w:rsid w:val="00406556"/>
    <w:pPr>
      <w:numPr>
        <w:ilvl w:val="1"/>
        <w:numId w:val="2"/>
      </w:numPr>
      <w:spacing w:before="120" w:after="120" w:line="264" w:lineRule="auto"/>
    </w:pPr>
    <w:rPr>
      <w:rFonts w:eastAsiaTheme="minorEastAsia"/>
      <w:color w:val="000000" w:themeColor="text1"/>
      <w:sz w:val="20"/>
      <w:szCs w:val="20"/>
      <w:lang w:eastAsia="en-AU"/>
    </w:rPr>
  </w:style>
  <w:style w:type="paragraph" w:customStyle="1" w:styleId="Numparaindent">
    <w:name w:val="Num para indent"/>
    <w:basedOn w:val="Normal"/>
    <w:uiPriority w:val="9"/>
    <w:qFormat/>
    <w:rsid w:val="00406556"/>
    <w:pPr>
      <w:numPr>
        <w:ilvl w:val="8"/>
        <w:numId w:val="2"/>
      </w:numPr>
      <w:spacing w:before="120" w:after="120" w:line="264" w:lineRule="auto"/>
      <w:contextualSpacing/>
    </w:pPr>
    <w:rPr>
      <w:rFonts w:eastAsiaTheme="minorEastAsia"/>
      <w:color w:val="000000" w:themeColor="text1"/>
      <w:sz w:val="20"/>
      <w:szCs w:val="20"/>
      <w:lang w:eastAsia="en-AU"/>
    </w:rPr>
  </w:style>
  <w:style w:type="character" w:customStyle="1" w:styleId="Heading1Char">
    <w:name w:val="Heading 1 Char"/>
    <w:basedOn w:val="DefaultParagraphFont"/>
    <w:link w:val="Heading1"/>
    <w:uiPriority w:val="9"/>
    <w:rsid w:val="00406556"/>
    <w:rPr>
      <w:rFonts w:asciiTheme="majorHAnsi" w:eastAsiaTheme="majorEastAsia" w:hAnsiTheme="majorHAnsi" w:cstheme="majorBidi"/>
      <w:color w:val="2F5496" w:themeColor="accent1" w:themeShade="BF"/>
      <w:sz w:val="32"/>
      <w:szCs w:val="32"/>
    </w:rPr>
  </w:style>
  <w:style w:type="paragraph" w:styleId="NormalIndent">
    <w:name w:val="Normal Indent"/>
    <w:basedOn w:val="Normal"/>
    <w:uiPriority w:val="99"/>
    <w:semiHidden/>
    <w:unhideWhenUsed/>
    <w:rsid w:val="00406556"/>
    <w:pPr>
      <w:ind w:left="720"/>
    </w:pPr>
  </w:style>
  <w:style w:type="character" w:customStyle="1" w:styleId="Heading2Char">
    <w:name w:val="Heading 2 Char"/>
    <w:basedOn w:val="DefaultParagraphFont"/>
    <w:link w:val="Heading2"/>
    <w:uiPriority w:val="9"/>
    <w:rsid w:val="0040655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40655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406556"/>
    <w:rPr>
      <w:rFonts w:asciiTheme="majorHAnsi" w:eastAsiaTheme="majorEastAsia" w:hAnsiTheme="majorHAnsi" w:cstheme="majorBidi"/>
      <w:i/>
      <w:iCs/>
      <w:color w:val="2F5496" w:themeColor="accent1" w:themeShade="BF"/>
    </w:rPr>
  </w:style>
  <w:style w:type="paragraph" w:styleId="NoSpacing">
    <w:name w:val="No Spacing"/>
    <w:link w:val="NoSpacingChar"/>
    <w:uiPriority w:val="1"/>
    <w:qFormat/>
    <w:rsid w:val="005F51F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F51F2"/>
    <w:rPr>
      <w:rFonts w:eastAsiaTheme="minorEastAsia"/>
      <w:lang w:val="en-US"/>
    </w:rPr>
  </w:style>
  <w:style w:type="paragraph" w:styleId="TOCHeading">
    <w:name w:val="TOC Heading"/>
    <w:basedOn w:val="Heading1"/>
    <w:next w:val="Normal"/>
    <w:uiPriority w:val="39"/>
    <w:unhideWhenUsed/>
    <w:qFormat/>
    <w:rsid w:val="00057F74"/>
    <w:pPr>
      <w:outlineLvl w:val="9"/>
    </w:pPr>
    <w:rPr>
      <w:lang w:val="en-US"/>
    </w:rPr>
  </w:style>
  <w:style w:type="paragraph" w:styleId="TOC1">
    <w:name w:val="toc 1"/>
    <w:basedOn w:val="Normal"/>
    <w:next w:val="Normal"/>
    <w:autoRedefine/>
    <w:uiPriority w:val="39"/>
    <w:unhideWhenUsed/>
    <w:rsid w:val="00057F74"/>
    <w:pPr>
      <w:spacing w:after="100"/>
    </w:pPr>
  </w:style>
  <w:style w:type="paragraph" w:styleId="TOC2">
    <w:name w:val="toc 2"/>
    <w:basedOn w:val="Normal"/>
    <w:next w:val="Normal"/>
    <w:autoRedefine/>
    <w:uiPriority w:val="39"/>
    <w:unhideWhenUsed/>
    <w:rsid w:val="00057F74"/>
    <w:pPr>
      <w:spacing w:after="100"/>
      <w:ind w:left="220"/>
    </w:pPr>
  </w:style>
  <w:style w:type="character" w:styleId="Hyperlink">
    <w:name w:val="Hyperlink"/>
    <w:basedOn w:val="DefaultParagraphFont"/>
    <w:uiPriority w:val="99"/>
    <w:unhideWhenUsed/>
    <w:rsid w:val="00057F74"/>
    <w:rPr>
      <w:color w:val="0563C1" w:themeColor="hyperlink"/>
      <w:u w:val="single"/>
    </w:rPr>
  </w:style>
  <w:style w:type="character" w:styleId="UnresolvedMention">
    <w:name w:val="Unresolved Mention"/>
    <w:basedOn w:val="DefaultParagraphFont"/>
    <w:uiPriority w:val="99"/>
    <w:semiHidden/>
    <w:unhideWhenUsed/>
    <w:rsid w:val="00A65F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38258">
      <w:bodyDiv w:val="1"/>
      <w:marLeft w:val="0"/>
      <w:marRight w:val="0"/>
      <w:marTop w:val="0"/>
      <w:marBottom w:val="0"/>
      <w:divBdr>
        <w:top w:val="none" w:sz="0" w:space="0" w:color="auto"/>
        <w:left w:val="none" w:sz="0" w:space="0" w:color="auto"/>
        <w:bottom w:val="none" w:sz="0" w:space="0" w:color="auto"/>
        <w:right w:val="none" w:sz="0" w:space="0" w:color="auto"/>
      </w:divBdr>
    </w:div>
    <w:div w:id="110395064">
      <w:bodyDiv w:val="1"/>
      <w:marLeft w:val="0"/>
      <w:marRight w:val="0"/>
      <w:marTop w:val="0"/>
      <w:marBottom w:val="0"/>
      <w:divBdr>
        <w:top w:val="none" w:sz="0" w:space="0" w:color="auto"/>
        <w:left w:val="none" w:sz="0" w:space="0" w:color="auto"/>
        <w:bottom w:val="none" w:sz="0" w:space="0" w:color="auto"/>
        <w:right w:val="none" w:sz="0" w:space="0" w:color="auto"/>
      </w:divBdr>
    </w:div>
    <w:div w:id="172692765">
      <w:bodyDiv w:val="1"/>
      <w:marLeft w:val="0"/>
      <w:marRight w:val="0"/>
      <w:marTop w:val="0"/>
      <w:marBottom w:val="0"/>
      <w:divBdr>
        <w:top w:val="none" w:sz="0" w:space="0" w:color="auto"/>
        <w:left w:val="none" w:sz="0" w:space="0" w:color="auto"/>
        <w:bottom w:val="none" w:sz="0" w:space="0" w:color="auto"/>
        <w:right w:val="none" w:sz="0" w:space="0" w:color="auto"/>
      </w:divBdr>
    </w:div>
    <w:div w:id="192307540">
      <w:bodyDiv w:val="1"/>
      <w:marLeft w:val="0"/>
      <w:marRight w:val="0"/>
      <w:marTop w:val="0"/>
      <w:marBottom w:val="0"/>
      <w:divBdr>
        <w:top w:val="none" w:sz="0" w:space="0" w:color="auto"/>
        <w:left w:val="none" w:sz="0" w:space="0" w:color="auto"/>
        <w:bottom w:val="none" w:sz="0" w:space="0" w:color="auto"/>
        <w:right w:val="none" w:sz="0" w:space="0" w:color="auto"/>
      </w:divBdr>
    </w:div>
    <w:div w:id="295726195">
      <w:bodyDiv w:val="1"/>
      <w:marLeft w:val="0"/>
      <w:marRight w:val="0"/>
      <w:marTop w:val="0"/>
      <w:marBottom w:val="0"/>
      <w:divBdr>
        <w:top w:val="none" w:sz="0" w:space="0" w:color="auto"/>
        <w:left w:val="none" w:sz="0" w:space="0" w:color="auto"/>
        <w:bottom w:val="none" w:sz="0" w:space="0" w:color="auto"/>
        <w:right w:val="none" w:sz="0" w:space="0" w:color="auto"/>
      </w:divBdr>
    </w:div>
    <w:div w:id="334380268">
      <w:bodyDiv w:val="1"/>
      <w:marLeft w:val="0"/>
      <w:marRight w:val="0"/>
      <w:marTop w:val="0"/>
      <w:marBottom w:val="0"/>
      <w:divBdr>
        <w:top w:val="none" w:sz="0" w:space="0" w:color="auto"/>
        <w:left w:val="none" w:sz="0" w:space="0" w:color="auto"/>
        <w:bottom w:val="none" w:sz="0" w:space="0" w:color="auto"/>
        <w:right w:val="none" w:sz="0" w:space="0" w:color="auto"/>
      </w:divBdr>
    </w:div>
    <w:div w:id="398557034">
      <w:bodyDiv w:val="1"/>
      <w:marLeft w:val="0"/>
      <w:marRight w:val="0"/>
      <w:marTop w:val="0"/>
      <w:marBottom w:val="0"/>
      <w:divBdr>
        <w:top w:val="none" w:sz="0" w:space="0" w:color="auto"/>
        <w:left w:val="none" w:sz="0" w:space="0" w:color="auto"/>
        <w:bottom w:val="none" w:sz="0" w:space="0" w:color="auto"/>
        <w:right w:val="none" w:sz="0" w:space="0" w:color="auto"/>
      </w:divBdr>
    </w:div>
    <w:div w:id="399595424">
      <w:bodyDiv w:val="1"/>
      <w:marLeft w:val="0"/>
      <w:marRight w:val="0"/>
      <w:marTop w:val="0"/>
      <w:marBottom w:val="0"/>
      <w:divBdr>
        <w:top w:val="none" w:sz="0" w:space="0" w:color="auto"/>
        <w:left w:val="none" w:sz="0" w:space="0" w:color="auto"/>
        <w:bottom w:val="none" w:sz="0" w:space="0" w:color="auto"/>
        <w:right w:val="none" w:sz="0" w:space="0" w:color="auto"/>
      </w:divBdr>
    </w:div>
    <w:div w:id="432093224">
      <w:bodyDiv w:val="1"/>
      <w:marLeft w:val="0"/>
      <w:marRight w:val="0"/>
      <w:marTop w:val="0"/>
      <w:marBottom w:val="0"/>
      <w:divBdr>
        <w:top w:val="none" w:sz="0" w:space="0" w:color="auto"/>
        <w:left w:val="none" w:sz="0" w:space="0" w:color="auto"/>
        <w:bottom w:val="none" w:sz="0" w:space="0" w:color="auto"/>
        <w:right w:val="none" w:sz="0" w:space="0" w:color="auto"/>
      </w:divBdr>
    </w:div>
    <w:div w:id="445659038">
      <w:bodyDiv w:val="1"/>
      <w:marLeft w:val="0"/>
      <w:marRight w:val="0"/>
      <w:marTop w:val="0"/>
      <w:marBottom w:val="0"/>
      <w:divBdr>
        <w:top w:val="none" w:sz="0" w:space="0" w:color="auto"/>
        <w:left w:val="none" w:sz="0" w:space="0" w:color="auto"/>
        <w:bottom w:val="none" w:sz="0" w:space="0" w:color="auto"/>
        <w:right w:val="none" w:sz="0" w:space="0" w:color="auto"/>
      </w:divBdr>
    </w:div>
    <w:div w:id="483819425">
      <w:bodyDiv w:val="1"/>
      <w:marLeft w:val="0"/>
      <w:marRight w:val="0"/>
      <w:marTop w:val="0"/>
      <w:marBottom w:val="0"/>
      <w:divBdr>
        <w:top w:val="none" w:sz="0" w:space="0" w:color="auto"/>
        <w:left w:val="none" w:sz="0" w:space="0" w:color="auto"/>
        <w:bottom w:val="none" w:sz="0" w:space="0" w:color="auto"/>
        <w:right w:val="none" w:sz="0" w:space="0" w:color="auto"/>
      </w:divBdr>
    </w:div>
    <w:div w:id="508567736">
      <w:bodyDiv w:val="1"/>
      <w:marLeft w:val="0"/>
      <w:marRight w:val="0"/>
      <w:marTop w:val="0"/>
      <w:marBottom w:val="0"/>
      <w:divBdr>
        <w:top w:val="none" w:sz="0" w:space="0" w:color="auto"/>
        <w:left w:val="none" w:sz="0" w:space="0" w:color="auto"/>
        <w:bottom w:val="none" w:sz="0" w:space="0" w:color="auto"/>
        <w:right w:val="none" w:sz="0" w:space="0" w:color="auto"/>
      </w:divBdr>
    </w:div>
    <w:div w:id="533078612">
      <w:bodyDiv w:val="1"/>
      <w:marLeft w:val="0"/>
      <w:marRight w:val="0"/>
      <w:marTop w:val="0"/>
      <w:marBottom w:val="0"/>
      <w:divBdr>
        <w:top w:val="none" w:sz="0" w:space="0" w:color="auto"/>
        <w:left w:val="none" w:sz="0" w:space="0" w:color="auto"/>
        <w:bottom w:val="none" w:sz="0" w:space="0" w:color="auto"/>
        <w:right w:val="none" w:sz="0" w:space="0" w:color="auto"/>
      </w:divBdr>
    </w:div>
    <w:div w:id="535318004">
      <w:bodyDiv w:val="1"/>
      <w:marLeft w:val="0"/>
      <w:marRight w:val="0"/>
      <w:marTop w:val="0"/>
      <w:marBottom w:val="0"/>
      <w:divBdr>
        <w:top w:val="none" w:sz="0" w:space="0" w:color="auto"/>
        <w:left w:val="none" w:sz="0" w:space="0" w:color="auto"/>
        <w:bottom w:val="none" w:sz="0" w:space="0" w:color="auto"/>
        <w:right w:val="none" w:sz="0" w:space="0" w:color="auto"/>
      </w:divBdr>
    </w:div>
    <w:div w:id="556282661">
      <w:bodyDiv w:val="1"/>
      <w:marLeft w:val="0"/>
      <w:marRight w:val="0"/>
      <w:marTop w:val="0"/>
      <w:marBottom w:val="0"/>
      <w:divBdr>
        <w:top w:val="none" w:sz="0" w:space="0" w:color="auto"/>
        <w:left w:val="none" w:sz="0" w:space="0" w:color="auto"/>
        <w:bottom w:val="none" w:sz="0" w:space="0" w:color="auto"/>
        <w:right w:val="none" w:sz="0" w:space="0" w:color="auto"/>
      </w:divBdr>
    </w:div>
    <w:div w:id="559636890">
      <w:bodyDiv w:val="1"/>
      <w:marLeft w:val="0"/>
      <w:marRight w:val="0"/>
      <w:marTop w:val="0"/>
      <w:marBottom w:val="0"/>
      <w:divBdr>
        <w:top w:val="none" w:sz="0" w:space="0" w:color="auto"/>
        <w:left w:val="none" w:sz="0" w:space="0" w:color="auto"/>
        <w:bottom w:val="none" w:sz="0" w:space="0" w:color="auto"/>
        <w:right w:val="none" w:sz="0" w:space="0" w:color="auto"/>
      </w:divBdr>
    </w:div>
    <w:div w:id="563298049">
      <w:bodyDiv w:val="1"/>
      <w:marLeft w:val="0"/>
      <w:marRight w:val="0"/>
      <w:marTop w:val="0"/>
      <w:marBottom w:val="0"/>
      <w:divBdr>
        <w:top w:val="none" w:sz="0" w:space="0" w:color="auto"/>
        <w:left w:val="none" w:sz="0" w:space="0" w:color="auto"/>
        <w:bottom w:val="none" w:sz="0" w:space="0" w:color="auto"/>
        <w:right w:val="none" w:sz="0" w:space="0" w:color="auto"/>
      </w:divBdr>
    </w:div>
    <w:div w:id="612783675">
      <w:bodyDiv w:val="1"/>
      <w:marLeft w:val="0"/>
      <w:marRight w:val="0"/>
      <w:marTop w:val="0"/>
      <w:marBottom w:val="0"/>
      <w:divBdr>
        <w:top w:val="none" w:sz="0" w:space="0" w:color="auto"/>
        <w:left w:val="none" w:sz="0" w:space="0" w:color="auto"/>
        <w:bottom w:val="none" w:sz="0" w:space="0" w:color="auto"/>
        <w:right w:val="none" w:sz="0" w:space="0" w:color="auto"/>
      </w:divBdr>
    </w:div>
    <w:div w:id="623656084">
      <w:bodyDiv w:val="1"/>
      <w:marLeft w:val="0"/>
      <w:marRight w:val="0"/>
      <w:marTop w:val="0"/>
      <w:marBottom w:val="0"/>
      <w:divBdr>
        <w:top w:val="none" w:sz="0" w:space="0" w:color="auto"/>
        <w:left w:val="none" w:sz="0" w:space="0" w:color="auto"/>
        <w:bottom w:val="none" w:sz="0" w:space="0" w:color="auto"/>
        <w:right w:val="none" w:sz="0" w:space="0" w:color="auto"/>
      </w:divBdr>
    </w:div>
    <w:div w:id="626081801">
      <w:bodyDiv w:val="1"/>
      <w:marLeft w:val="0"/>
      <w:marRight w:val="0"/>
      <w:marTop w:val="0"/>
      <w:marBottom w:val="0"/>
      <w:divBdr>
        <w:top w:val="none" w:sz="0" w:space="0" w:color="auto"/>
        <w:left w:val="none" w:sz="0" w:space="0" w:color="auto"/>
        <w:bottom w:val="none" w:sz="0" w:space="0" w:color="auto"/>
        <w:right w:val="none" w:sz="0" w:space="0" w:color="auto"/>
      </w:divBdr>
    </w:div>
    <w:div w:id="673655290">
      <w:bodyDiv w:val="1"/>
      <w:marLeft w:val="0"/>
      <w:marRight w:val="0"/>
      <w:marTop w:val="0"/>
      <w:marBottom w:val="0"/>
      <w:divBdr>
        <w:top w:val="none" w:sz="0" w:space="0" w:color="auto"/>
        <w:left w:val="none" w:sz="0" w:space="0" w:color="auto"/>
        <w:bottom w:val="none" w:sz="0" w:space="0" w:color="auto"/>
        <w:right w:val="none" w:sz="0" w:space="0" w:color="auto"/>
      </w:divBdr>
    </w:div>
    <w:div w:id="715011205">
      <w:bodyDiv w:val="1"/>
      <w:marLeft w:val="0"/>
      <w:marRight w:val="0"/>
      <w:marTop w:val="0"/>
      <w:marBottom w:val="0"/>
      <w:divBdr>
        <w:top w:val="none" w:sz="0" w:space="0" w:color="auto"/>
        <w:left w:val="none" w:sz="0" w:space="0" w:color="auto"/>
        <w:bottom w:val="none" w:sz="0" w:space="0" w:color="auto"/>
        <w:right w:val="none" w:sz="0" w:space="0" w:color="auto"/>
      </w:divBdr>
    </w:div>
    <w:div w:id="717516387">
      <w:bodyDiv w:val="1"/>
      <w:marLeft w:val="0"/>
      <w:marRight w:val="0"/>
      <w:marTop w:val="0"/>
      <w:marBottom w:val="0"/>
      <w:divBdr>
        <w:top w:val="none" w:sz="0" w:space="0" w:color="auto"/>
        <w:left w:val="none" w:sz="0" w:space="0" w:color="auto"/>
        <w:bottom w:val="none" w:sz="0" w:space="0" w:color="auto"/>
        <w:right w:val="none" w:sz="0" w:space="0" w:color="auto"/>
      </w:divBdr>
    </w:div>
    <w:div w:id="773401875">
      <w:bodyDiv w:val="1"/>
      <w:marLeft w:val="0"/>
      <w:marRight w:val="0"/>
      <w:marTop w:val="0"/>
      <w:marBottom w:val="0"/>
      <w:divBdr>
        <w:top w:val="none" w:sz="0" w:space="0" w:color="auto"/>
        <w:left w:val="none" w:sz="0" w:space="0" w:color="auto"/>
        <w:bottom w:val="none" w:sz="0" w:space="0" w:color="auto"/>
        <w:right w:val="none" w:sz="0" w:space="0" w:color="auto"/>
      </w:divBdr>
    </w:div>
    <w:div w:id="781916730">
      <w:bodyDiv w:val="1"/>
      <w:marLeft w:val="0"/>
      <w:marRight w:val="0"/>
      <w:marTop w:val="0"/>
      <w:marBottom w:val="0"/>
      <w:divBdr>
        <w:top w:val="none" w:sz="0" w:space="0" w:color="auto"/>
        <w:left w:val="none" w:sz="0" w:space="0" w:color="auto"/>
        <w:bottom w:val="none" w:sz="0" w:space="0" w:color="auto"/>
        <w:right w:val="none" w:sz="0" w:space="0" w:color="auto"/>
      </w:divBdr>
    </w:div>
    <w:div w:id="894044219">
      <w:bodyDiv w:val="1"/>
      <w:marLeft w:val="0"/>
      <w:marRight w:val="0"/>
      <w:marTop w:val="0"/>
      <w:marBottom w:val="0"/>
      <w:divBdr>
        <w:top w:val="none" w:sz="0" w:space="0" w:color="auto"/>
        <w:left w:val="none" w:sz="0" w:space="0" w:color="auto"/>
        <w:bottom w:val="none" w:sz="0" w:space="0" w:color="auto"/>
        <w:right w:val="none" w:sz="0" w:space="0" w:color="auto"/>
      </w:divBdr>
    </w:div>
    <w:div w:id="902332298">
      <w:bodyDiv w:val="1"/>
      <w:marLeft w:val="0"/>
      <w:marRight w:val="0"/>
      <w:marTop w:val="0"/>
      <w:marBottom w:val="0"/>
      <w:divBdr>
        <w:top w:val="none" w:sz="0" w:space="0" w:color="auto"/>
        <w:left w:val="none" w:sz="0" w:space="0" w:color="auto"/>
        <w:bottom w:val="none" w:sz="0" w:space="0" w:color="auto"/>
        <w:right w:val="none" w:sz="0" w:space="0" w:color="auto"/>
      </w:divBdr>
    </w:div>
    <w:div w:id="904533955">
      <w:bodyDiv w:val="1"/>
      <w:marLeft w:val="0"/>
      <w:marRight w:val="0"/>
      <w:marTop w:val="0"/>
      <w:marBottom w:val="0"/>
      <w:divBdr>
        <w:top w:val="none" w:sz="0" w:space="0" w:color="auto"/>
        <w:left w:val="none" w:sz="0" w:space="0" w:color="auto"/>
        <w:bottom w:val="none" w:sz="0" w:space="0" w:color="auto"/>
        <w:right w:val="none" w:sz="0" w:space="0" w:color="auto"/>
      </w:divBdr>
    </w:div>
    <w:div w:id="1010453859">
      <w:bodyDiv w:val="1"/>
      <w:marLeft w:val="0"/>
      <w:marRight w:val="0"/>
      <w:marTop w:val="0"/>
      <w:marBottom w:val="0"/>
      <w:divBdr>
        <w:top w:val="none" w:sz="0" w:space="0" w:color="auto"/>
        <w:left w:val="none" w:sz="0" w:space="0" w:color="auto"/>
        <w:bottom w:val="none" w:sz="0" w:space="0" w:color="auto"/>
        <w:right w:val="none" w:sz="0" w:space="0" w:color="auto"/>
      </w:divBdr>
    </w:div>
    <w:div w:id="1019821518">
      <w:bodyDiv w:val="1"/>
      <w:marLeft w:val="0"/>
      <w:marRight w:val="0"/>
      <w:marTop w:val="0"/>
      <w:marBottom w:val="0"/>
      <w:divBdr>
        <w:top w:val="none" w:sz="0" w:space="0" w:color="auto"/>
        <w:left w:val="none" w:sz="0" w:space="0" w:color="auto"/>
        <w:bottom w:val="none" w:sz="0" w:space="0" w:color="auto"/>
        <w:right w:val="none" w:sz="0" w:space="0" w:color="auto"/>
      </w:divBdr>
    </w:div>
    <w:div w:id="1028677696">
      <w:bodyDiv w:val="1"/>
      <w:marLeft w:val="0"/>
      <w:marRight w:val="0"/>
      <w:marTop w:val="0"/>
      <w:marBottom w:val="0"/>
      <w:divBdr>
        <w:top w:val="none" w:sz="0" w:space="0" w:color="auto"/>
        <w:left w:val="none" w:sz="0" w:space="0" w:color="auto"/>
        <w:bottom w:val="none" w:sz="0" w:space="0" w:color="auto"/>
        <w:right w:val="none" w:sz="0" w:space="0" w:color="auto"/>
      </w:divBdr>
    </w:div>
    <w:div w:id="1043404855">
      <w:bodyDiv w:val="1"/>
      <w:marLeft w:val="0"/>
      <w:marRight w:val="0"/>
      <w:marTop w:val="0"/>
      <w:marBottom w:val="0"/>
      <w:divBdr>
        <w:top w:val="none" w:sz="0" w:space="0" w:color="auto"/>
        <w:left w:val="none" w:sz="0" w:space="0" w:color="auto"/>
        <w:bottom w:val="none" w:sz="0" w:space="0" w:color="auto"/>
        <w:right w:val="none" w:sz="0" w:space="0" w:color="auto"/>
      </w:divBdr>
    </w:div>
    <w:div w:id="1060711809">
      <w:bodyDiv w:val="1"/>
      <w:marLeft w:val="0"/>
      <w:marRight w:val="0"/>
      <w:marTop w:val="0"/>
      <w:marBottom w:val="0"/>
      <w:divBdr>
        <w:top w:val="none" w:sz="0" w:space="0" w:color="auto"/>
        <w:left w:val="none" w:sz="0" w:space="0" w:color="auto"/>
        <w:bottom w:val="none" w:sz="0" w:space="0" w:color="auto"/>
        <w:right w:val="none" w:sz="0" w:space="0" w:color="auto"/>
      </w:divBdr>
    </w:div>
    <w:div w:id="1069111895">
      <w:bodyDiv w:val="1"/>
      <w:marLeft w:val="0"/>
      <w:marRight w:val="0"/>
      <w:marTop w:val="0"/>
      <w:marBottom w:val="0"/>
      <w:divBdr>
        <w:top w:val="none" w:sz="0" w:space="0" w:color="auto"/>
        <w:left w:val="none" w:sz="0" w:space="0" w:color="auto"/>
        <w:bottom w:val="none" w:sz="0" w:space="0" w:color="auto"/>
        <w:right w:val="none" w:sz="0" w:space="0" w:color="auto"/>
      </w:divBdr>
    </w:div>
    <w:div w:id="1143695141">
      <w:bodyDiv w:val="1"/>
      <w:marLeft w:val="0"/>
      <w:marRight w:val="0"/>
      <w:marTop w:val="0"/>
      <w:marBottom w:val="0"/>
      <w:divBdr>
        <w:top w:val="none" w:sz="0" w:space="0" w:color="auto"/>
        <w:left w:val="none" w:sz="0" w:space="0" w:color="auto"/>
        <w:bottom w:val="none" w:sz="0" w:space="0" w:color="auto"/>
        <w:right w:val="none" w:sz="0" w:space="0" w:color="auto"/>
      </w:divBdr>
    </w:div>
    <w:div w:id="1238905474">
      <w:bodyDiv w:val="1"/>
      <w:marLeft w:val="0"/>
      <w:marRight w:val="0"/>
      <w:marTop w:val="0"/>
      <w:marBottom w:val="0"/>
      <w:divBdr>
        <w:top w:val="none" w:sz="0" w:space="0" w:color="auto"/>
        <w:left w:val="none" w:sz="0" w:space="0" w:color="auto"/>
        <w:bottom w:val="none" w:sz="0" w:space="0" w:color="auto"/>
        <w:right w:val="none" w:sz="0" w:space="0" w:color="auto"/>
      </w:divBdr>
    </w:div>
    <w:div w:id="1323120766">
      <w:bodyDiv w:val="1"/>
      <w:marLeft w:val="0"/>
      <w:marRight w:val="0"/>
      <w:marTop w:val="0"/>
      <w:marBottom w:val="0"/>
      <w:divBdr>
        <w:top w:val="none" w:sz="0" w:space="0" w:color="auto"/>
        <w:left w:val="none" w:sz="0" w:space="0" w:color="auto"/>
        <w:bottom w:val="none" w:sz="0" w:space="0" w:color="auto"/>
        <w:right w:val="none" w:sz="0" w:space="0" w:color="auto"/>
      </w:divBdr>
    </w:div>
    <w:div w:id="1400708797">
      <w:bodyDiv w:val="1"/>
      <w:marLeft w:val="0"/>
      <w:marRight w:val="0"/>
      <w:marTop w:val="0"/>
      <w:marBottom w:val="0"/>
      <w:divBdr>
        <w:top w:val="none" w:sz="0" w:space="0" w:color="auto"/>
        <w:left w:val="none" w:sz="0" w:space="0" w:color="auto"/>
        <w:bottom w:val="none" w:sz="0" w:space="0" w:color="auto"/>
        <w:right w:val="none" w:sz="0" w:space="0" w:color="auto"/>
      </w:divBdr>
    </w:div>
    <w:div w:id="1425032859">
      <w:bodyDiv w:val="1"/>
      <w:marLeft w:val="0"/>
      <w:marRight w:val="0"/>
      <w:marTop w:val="0"/>
      <w:marBottom w:val="0"/>
      <w:divBdr>
        <w:top w:val="none" w:sz="0" w:space="0" w:color="auto"/>
        <w:left w:val="none" w:sz="0" w:space="0" w:color="auto"/>
        <w:bottom w:val="none" w:sz="0" w:space="0" w:color="auto"/>
        <w:right w:val="none" w:sz="0" w:space="0" w:color="auto"/>
      </w:divBdr>
    </w:div>
    <w:div w:id="1443724287">
      <w:bodyDiv w:val="1"/>
      <w:marLeft w:val="0"/>
      <w:marRight w:val="0"/>
      <w:marTop w:val="0"/>
      <w:marBottom w:val="0"/>
      <w:divBdr>
        <w:top w:val="none" w:sz="0" w:space="0" w:color="auto"/>
        <w:left w:val="none" w:sz="0" w:space="0" w:color="auto"/>
        <w:bottom w:val="none" w:sz="0" w:space="0" w:color="auto"/>
        <w:right w:val="none" w:sz="0" w:space="0" w:color="auto"/>
      </w:divBdr>
    </w:div>
    <w:div w:id="1468083604">
      <w:bodyDiv w:val="1"/>
      <w:marLeft w:val="0"/>
      <w:marRight w:val="0"/>
      <w:marTop w:val="0"/>
      <w:marBottom w:val="0"/>
      <w:divBdr>
        <w:top w:val="none" w:sz="0" w:space="0" w:color="auto"/>
        <w:left w:val="none" w:sz="0" w:space="0" w:color="auto"/>
        <w:bottom w:val="none" w:sz="0" w:space="0" w:color="auto"/>
        <w:right w:val="none" w:sz="0" w:space="0" w:color="auto"/>
      </w:divBdr>
    </w:div>
    <w:div w:id="1517308543">
      <w:bodyDiv w:val="1"/>
      <w:marLeft w:val="0"/>
      <w:marRight w:val="0"/>
      <w:marTop w:val="0"/>
      <w:marBottom w:val="0"/>
      <w:divBdr>
        <w:top w:val="none" w:sz="0" w:space="0" w:color="auto"/>
        <w:left w:val="none" w:sz="0" w:space="0" w:color="auto"/>
        <w:bottom w:val="none" w:sz="0" w:space="0" w:color="auto"/>
        <w:right w:val="none" w:sz="0" w:space="0" w:color="auto"/>
      </w:divBdr>
    </w:div>
    <w:div w:id="1536191602">
      <w:bodyDiv w:val="1"/>
      <w:marLeft w:val="0"/>
      <w:marRight w:val="0"/>
      <w:marTop w:val="0"/>
      <w:marBottom w:val="0"/>
      <w:divBdr>
        <w:top w:val="none" w:sz="0" w:space="0" w:color="auto"/>
        <w:left w:val="none" w:sz="0" w:space="0" w:color="auto"/>
        <w:bottom w:val="none" w:sz="0" w:space="0" w:color="auto"/>
        <w:right w:val="none" w:sz="0" w:space="0" w:color="auto"/>
      </w:divBdr>
    </w:div>
    <w:div w:id="1599560938">
      <w:bodyDiv w:val="1"/>
      <w:marLeft w:val="0"/>
      <w:marRight w:val="0"/>
      <w:marTop w:val="0"/>
      <w:marBottom w:val="0"/>
      <w:divBdr>
        <w:top w:val="none" w:sz="0" w:space="0" w:color="auto"/>
        <w:left w:val="none" w:sz="0" w:space="0" w:color="auto"/>
        <w:bottom w:val="none" w:sz="0" w:space="0" w:color="auto"/>
        <w:right w:val="none" w:sz="0" w:space="0" w:color="auto"/>
      </w:divBdr>
    </w:div>
    <w:div w:id="1602374334">
      <w:bodyDiv w:val="1"/>
      <w:marLeft w:val="0"/>
      <w:marRight w:val="0"/>
      <w:marTop w:val="0"/>
      <w:marBottom w:val="0"/>
      <w:divBdr>
        <w:top w:val="none" w:sz="0" w:space="0" w:color="auto"/>
        <w:left w:val="none" w:sz="0" w:space="0" w:color="auto"/>
        <w:bottom w:val="none" w:sz="0" w:space="0" w:color="auto"/>
        <w:right w:val="none" w:sz="0" w:space="0" w:color="auto"/>
      </w:divBdr>
    </w:div>
    <w:div w:id="1612933681">
      <w:bodyDiv w:val="1"/>
      <w:marLeft w:val="0"/>
      <w:marRight w:val="0"/>
      <w:marTop w:val="0"/>
      <w:marBottom w:val="0"/>
      <w:divBdr>
        <w:top w:val="none" w:sz="0" w:space="0" w:color="auto"/>
        <w:left w:val="none" w:sz="0" w:space="0" w:color="auto"/>
        <w:bottom w:val="none" w:sz="0" w:space="0" w:color="auto"/>
        <w:right w:val="none" w:sz="0" w:space="0" w:color="auto"/>
      </w:divBdr>
    </w:div>
    <w:div w:id="1632860856">
      <w:bodyDiv w:val="1"/>
      <w:marLeft w:val="0"/>
      <w:marRight w:val="0"/>
      <w:marTop w:val="0"/>
      <w:marBottom w:val="0"/>
      <w:divBdr>
        <w:top w:val="none" w:sz="0" w:space="0" w:color="auto"/>
        <w:left w:val="none" w:sz="0" w:space="0" w:color="auto"/>
        <w:bottom w:val="none" w:sz="0" w:space="0" w:color="auto"/>
        <w:right w:val="none" w:sz="0" w:space="0" w:color="auto"/>
      </w:divBdr>
    </w:div>
    <w:div w:id="1696465367">
      <w:bodyDiv w:val="1"/>
      <w:marLeft w:val="0"/>
      <w:marRight w:val="0"/>
      <w:marTop w:val="0"/>
      <w:marBottom w:val="0"/>
      <w:divBdr>
        <w:top w:val="none" w:sz="0" w:space="0" w:color="auto"/>
        <w:left w:val="none" w:sz="0" w:space="0" w:color="auto"/>
        <w:bottom w:val="none" w:sz="0" w:space="0" w:color="auto"/>
        <w:right w:val="none" w:sz="0" w:space="0" w:color="auto"/>
      </w:divBdr>
    </w:div>
    <w:div w:id="1712459486">
      <w:bodyDiv w:val="1"/>
      <w:marLeft w:val="0"/>
      <w:marRight w:val="0"/>
      <w:marTop w:val="0"/>
      <w:marBottom w:val="0"/>
      <w:divBdr>
        <w:top w:val="none" w:sz="0" w:space="0" w:color="auto"/>
        <w:left w:val="none" w:sz="0" w:space="0" w:color="auto"/>
        <w:bottom w:val="none" w:sz="0" w:space="0" w:color="auto"/>
        <w:right w:val="none" w:sz="0" w:space="0" w:color="auto"/>
      </w:divBdr>
    </w:div>
    <w:div w:id="1757895111">
      <w:bodyDiv w:val="1"/>
      <w:marLeft w:val="0"/>
      <w:marRight w:val="0"/>
      <w:marTop w:val="0"/>
      <w:marBottom w:val="0"/>
      <w:divBdr>
        <w:top w:val="none" w:sz="0" w:space="0" w:color="auto"/>
        <w:left w:val="none" w:sz="0" w:space="0" w:color="auto"/>
        <w:bottom w:val="none" w:sz="0" w:space="0" w:color="auto"/>
        <w:right w:val="none" w:sz="0" w:space="0" w:color="auto"/>
      </w:divBdr>
    </w:div>
    <w:div w:id="1825119505">
      <w:bodyDiv w:val="1"/>
      <w:marLeft w:val="0"/>
      <w:marRight w:val="0"/>
      <w:marTop w:val="0"/>
      <w:marBottom w:val="0"/>
      <w:divBdr>
        <w:top w:val="none" w:sz="0" w:space="0" w:color="auto"/>
        <w:left w:val="none" w:sz="0" w:space="0" w:color="auto"/>
        <w:bottom w:val="none" w:sz="0" w:space="0" w:color="auto"/>
        <w:right w:val="none" w:sz="0" w:space="0" w:color="auto"/>
      </w:divBdr>
    </w:div>
    <w:div w:id="1860125273">
      <w:bodyDiv w:val="1"/>
      <w:marLeft w:val="0"/>
      <w:marRight w:val="0"/>
      <w:marTop w:val="0"/>
      <w:marBottom w:val="0"/>
      <w:divBdr>
        <w:top w:val="none" w:sz="0" w:space="0" w:color="auto"/>
        <w:left w:val="none" w:sz="0" w:space="0" w:color="auto"/>
        <w:bottom w:val="none" w:sz="0" w:space="0" w:color="auto"/>
        <w:right w:val="none" w:sz="0" w:space="0" w:color="auto"/>
      </w:divBdr>
    </w:div>
    <w:div w:id="1967079429">
      <w:bodyDiv w:val="1"/>
      <w:marLeft w:val="0"/>
      <w:marRight w:val="0"/>
      <w:marTop w:val="0"/>
      <w:marBottom w:val="0"/>
      <w:divBdr>
        <w:top w:val="none" w:sz="0" w:space="0" w:color="auto"/>
        <w:left w:val="none" w:sz="0" w:space="0" w:color="auto"/>
        <w:bottom w:val="none" w:sz="0" w:space="0" w:color="auto"/>
        <w:right w:val="none" w:sz="0" w:space="0" w:color="auto"/>
      </w:divBdr>
    </w:div>
    <w:div w:id="1992713384">
      <w:bodyDiv w:val="1"/>
      <w:marLeft w:val="0"/>
      <w:marRight w:val="0"/>
      <w:marTop w:val="0"/>
      <w:marBottom w:val="0"/>
      <w:divBdr>
        <w:top w:val="none" w:sz="0" w:space="0" w:color="auto"/>
        <w:left w:val="none" w:sz="0" w:space="0" w:color="auto"/>
        <w:bottom w:val="none" w:sz="0" w:space="0" w:color="auto"/>
        <w:right w:val="none" w:sz="0" w:space="0" w:color="auto"/>
      </w:divBdr>
    </w:div>
    <w:div w:id="2022588136">
      <w:bodyDiv w:val="1"/>
      <w:marLeft w:val="0"/>
      <w:marRight w:val="0"/>
      <w:marTop w:val="0"/>
      <w:marBottom w:val="0"/>
      <w:divBdr>
        <w:top w:val="none" w:sz="0" w:space="0" w:color="auto"/>
        <w:left w:val="none" w:sz="0" w:space="0" w:color="auto"/>
        <w:bottom w:val="none" w:sz="0" w:space="0" w:color="auto"/>
        <w:right w:val="none" w:sz="0" w:space="0" w:color="auto"/>
      </w:divBdr>
    </w:div>
    <w:div w:id="2043357369">
      <w:bodyDiv w:val="1"/>
      <w:marLeft w:val="0"/>
      <w:marRight w:val="0"/>
      <w:marTop w:val="0"/>
      <w:marBottom w:val="0"/>
      <w:divBdr>
        <w:top w:val="none" w:sz="0" w:space="0" w:color="auto"/>
        <w:left w:val="none" w:sz="0" w:space="0" w:color="auto"/>
        <w:bottom w:val="none" w:sz="0" w:space="0" w:color="auto"/>
        <w:right w:val="none" w:sz="0" w:space="0" w:color="auto"/>
      </w:divBdr>
    </w:div>
    <w:div w:id="2043821681">
      <w:bodyDiv w:val="1"/>
      <w:marLeft w:val="0"/>
      <w:marRight w:val="0"/>
      <w:marTop w:val="0"/>
      <w:marBottom w:val="0"/>
      <w:divBdr>
        <w:top w:val="none" w:sz="0" w:space="0" w:color="auto"/>
        <w:left w:val="none" w:sz="0" w:space="0" w:color="auto"/>
        <w:bottom w:val="none" w:sz="0" w:space="0" w:color="auto"/>
        <w:right w:val="none" w:sz="0" w:space="0" w:color="auto"/>
      </w:divBdr>
    </w:div>
    <w:div w:id="2090734642">
      <w:bodyDiv w:val="1"/>
      <w:marLeft w:val="0"/>
      <w:marRight w:val="0"/>
      <w:marTop w:val="0"/>
      <w:marBottom w:val="0"/>
      <w:divBdr>
        <w:top w:val="none" w:sz="0" w:space="0" w:color="auto"/>
        <w:left w:val="none" w:sz="0" w:space="0" w:color="auto"/>
        <w:bottom w:val="none" w:sz="0" w:space="0" w:color="auto"/>
        <w:right w:val="none" w:sz="0" w:space="0" w:color="auto"/>
      </w:divBdr>
    </w:div>
    <w:div w:id="2117017918">
      <w:bodyDiv w:val="1"/>
      <w:marLeft w:val="0"/>
      <w:marRight w:val="0"/>
      <w:marTop w:val="0"/>
      <w:marBottom w:val="0"/>
      <w:divBdr>
        <w:top w:val="none" w:sz="0" w:space="0" w:color="auto"/>
        <w:left w:val="none" w:sz="0" w:space="0" w:color="auto"/>
        <w:bottom w:val="none" w:sz="0" w:space="0" w:color="auto"/>
        <w:right w:val="none" w:sz="0" w:space="0" w:color="auto"/>
      </w:divBdr>
    </w:div>
    <w:div w:id="2139755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pm.gov.au/media/press-conference-henderson-w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73A09F24D3C7D42BC4F0D225D56A002" ma:contentTypeVersion="13" ma:contentTypeDescription="Create a new document." ma:contentTypeScope="" ma:versionID="8cd7147e5429b20052a5785fc1181735">
  <xsd:schema xmlns:xsd="http://www.w3.org/2001/XMLSchema" xmlns:xs="http://www.w3.org/2001/XMLSchema" xmlns:p="http://schemas.microsoft.com/office/2006/metadata/properties" xmlns:ns2="6c345048-4f48-4f33-acaa-aa726ed2b624" xmlns:ns3="a45654d2-7e13-41e4-899b-c3fb30ebea62" targetNamespace="http://schemas.microsoft.com/office/2006/metadata/properties" ma:root="true" ma:fieldsID="7069874c9a8571386219106947dc529d" ns2:_="" ns3:_="">
    <xsd:import namespace="6c345048-4f48-4f33-acaa-aa726ed2b624"/>
    <xsd:import namespace="a45654d2-7e13-41e4-899b-c3fb30ebea62"/>
    <xsd:element name="properties">
      <xsd:complexType>
        <xsd:sequence>
          <xsd:element name="documentManagement">
            <xsd:complexType>
              <xsd:all>
                <xsd:element ref="ns2:i0f84bba906045b4af568ee102a52dcb"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45048-4f48-4f33-acaa-aa726ed2b624" elementFormDefault="qualified">
    <xsd:import namespace="http://schemas.microsoft.com/office/2006/documentManagement/types"/>
    <xsd:import namespace="http://schemas.microsoft.com/office/infopath/2007/PartnerControls"/>
    <xsd:element name="i0f84bba906045b4af568ee102a52dcb" ma:index="9"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c3716eeb-8bdb-4c0c-a0af-4229fea71498}" ma:internalName="TaxCatchAll" ma:showField="CatchAllData" ma:web="6c345048-4f48-4f33-acaa-aa726ed2b6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45654d2-7e13-41e4-899b-c3fb30ebea6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45654d2-7e13-41e4-899b-c3fb30ebea62">
      <Terms xmlns="http://schemas.microsoft.com/office/infopath/2007/PartnerControls"/>
    </lcf76f155ced4ddcb4097134ff3c332f>
    <i0f84bba906045b4af568ee102a52dcb xmlns="6c345048-4f48-4f33-acaa-aa726ed2b62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TaxCatchAll xmlns="6c345048-4f48-4f33-acaa-aa726ed2b624">
      <Value>1</Value>
    </TaxCatchAll>
  </documentManagement>
</p:properties>
</file>

<file path=customXml/itemProps1.xml><?xml version="1.0" encoding="utf-8"?>
<ds:datastoreItem xmlns:ds="http://schemas.openxmlformats.org/officeDocument/2006/customXml" ds:itemID="{F266DBB6-C55C-4C06-A204-921C0812C677}">
  <ds:schemaRefs>
    <ds:schemaRef ds:uri="http://schemas.microsoft.com/sharepoint/v3/contenttype/forms"/>
  </ds:schemaRefs>
</ds:datastoreItem>
</file>

<file path=customXml/itemProps2.xml><?xml version="1.0" encoding="utf-8"?>
<ds:datastoreItem xmlns:ds="http://schemas.openxmlformats.org/officeDocument/2006/customXml" ds:itemID="{A7C4452C-18A7-450D-9BFE-522D178A3B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45048-4f48-4f33-acaa-aa726ed2b624"/>
    <ds:schemaRef ds:uri="a45654d2-7e13-41e4-899b-c3fb30ebea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941321-C1DE-4826-ABD0-E71B3136A6E8}">
  <ds:schemaRefs>
    <ds:schemaRef ds:uri="http://schemas.openxmlformats.org/officeDocument/2006/bibliography"/>
  </ds:schemaRefs>
</ds:datastoreItem>
</file>

<file path=customXml/itemProps4.xml><?xml version="1.0" encoding="utf-8"?>
<ds:datastoreItem xmlns:ds="http://schemas.openxmlformats.org/officeDocument/2006/customXml" ds:itemID="{6FE17FDB-36BC-4655-A9C1-4C10395FF281}">
  <ds:schemaRefs>
    <ds:schemaRef ds:uri="http://schemas.microsoft.com/office/2006/metadata/properties"/>
    <ds:schemaRef ds:uri="http://schemas.microsoft.com/office/infopath/2007/PartnerControls"/>
    <ds:schemaRef ds:uri="a45654d2-7e13-41e4-899b-c3fb30ebea62"/>
    <ds:schemaRef ds:uri="6c345048-4f48-4f33-acaa-aa726ed2b624"/>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12</Pages>
  <Words>4862</Words>
  <Characters>25337</Characters>
  <Application>Microsoft Office Word</Application>
  <DocSecurity>0</DocSecurity>
  <Lines>452</Lines>
  <Paragraphs>204</Paragraphs>
  <ScaleCrop>false</ScaleCrop>
  <HeadingPairs>
    <vt:vector size="2" baseType="variant">
      <vt:variant>
        <vt:lpstr>Title</vt:lpstr>
      </vt:variant>
      <vt:variant>
        <vt:i4>1</vt:i4>
      </vt:variant>
    </vt:vector>
  </HeadingPairs>
  <TitlesOfParts>
    <vt:vector size="1" baseType="lpstr">
      <vt:lpstr>Submission 73 - Clive Brooks - GST distribution reforms - Public inquiry</vt:lpstr>
    </vt:vector>
  </TitlesOfParts>
  <Company>Clive Brooks</Company>
  <LinksUpToDate>false</LinksUpToDate>
  <CharactersWithSpaces>29995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73 - Clive Brooks - GST distribution reforms - Public inquiry</dc:title>
  <dc:subject/>
  <dc:creator>Clive Brooks</dc:creator>
  <cp:keywords/>
  <dc:description/>
  <cp:lastModifiedBy>Shayl Prisk</cp:lastModifiedBy>
  <cp:revision>18</cp:revision>
  <dcterms:created xsi:type="dcterms:W3CDTF">2026-09-09T22:56:00Z</dcterms:created>
  <dcterms:modified xsi:type="dcterms:W3CDTF">2026-09-29T02:02:00Z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0x010100E73A09F24D3C7D42BC4F0D225D56A002</vt:lpwstr>
  </property>
  <property fmtid="{D5CDD505-2E9C-101B-9397-08002B2CF9AE}" pid="3" name="MediaServiceImageTags">
    <vt:lpwstr/>
  </property>
  <property fmtid="{D5CDD505-2E9C-101B-9397-08002B2CF9AE}" pid="4" name="RevIMBCS">
    <vt:lpwstr>1;#Unclassified|3955eeb1-2d18-4582-aeb2-00144ec3aaf5</vt:lpwstr>
  </property>
  <property fmtid="{D5CDD505-2E9C-101B-9397-08002B2CF9AE}" pid="5" name="docLang">
    <vt:lpwstr>en</vt:lpwstr>
  </property>
  <property fmtid="{D5CDD505-2E9C-101B-9397-08002B2CF9AE}" pid="6" name="ClassificationContentMarkingHeaderShapeIds">
    <vt:lpwstr>66d50d76,265d4b20,603fecfe</vt:lpwstr>
  </property>
  <property fmtid="{D5CDD505-2E9C-101B-9397-08002B2CF9AE}" pid="7" name="ClassificationContentMarkingHeaderFontProps">
    <vt:lpwstr>#000000,12,Aptos</vt:lpwstr>
  </property>
  <property fmtid="{D5CDD505-2E9C-101B-9397-08002B2CF9AE}" pid="8" name="ClassificationContentMarkingHeaderText">
    <vt:lpwstr> OFFICIAL</vt:lpwstr>
  </property>
  <property fmtid="{D5CDD505-2E9C-101B-9397-08002B2CF9AE}" pid="9" name="MSIP_Label_f7467c1a-e0ed-413c-a72b-aac8e8e94f41_Enabled">
    <vt:lpwstr>true</vt:lpwstr>
  </property>
  <property fmtid="{D5CDD505-2E9C-101B-9397-08002B2CF9AE}" pid="10" name="MSIP_Label_f7467c1a-e0ed-413c-a72b-aac8e8e94f41_SetDate">
    <vt:lpwstr>2026-09-29T01:53:29Z</vt:lpwstr>
  </property>
  <property fmtid="{D5CDD505-2E9C-101B-9397-08002B2CF9AE}" pid="11" name="MSIP_Label_f7467c1a-e0ed-413c-a72b-aac8e8e94f41_Method">
    <vt:lpwstr>Privileged</vt:lpwstr>
  </property>
  <property fmtid="{D5CDD505-2E9C-101B-9397-08002B2CF9AE}" pid="12" name="MSIP_Label_f7467c1a-e0ed-413c-a72b-aac8e8e94f41_Name">
    <vt:lpwstr>OFFICIAL</vt:lpwstr>
  </property>
  <property fmtid="{D5CDD505-2E9C-101B-9397-08002B2CF9AE}" pid="13" name="MSIP_Label_f7467c1a-e0ed-413c-a72b-aac8e8e94f41_SiteId">
    <vt:lpwstr>29f9330b-c0fe-4244-830e-ba9f275d6c34</vt:lpwstr>
  </property>
  <property fmtid="{D5CDD505-2E9C-101B-9397-08002B2CF9AE}" pid="14" name="MSIP_Label_f7467c1a-e0ed-413c-a72b-aac8e8e94f41_ActionId">
    <vt:lpwstr>c5bc7de3-2948-4042-826f-428612c0318d</vt:lpwstr>
  </property>
  <property fmtid="{D5CDD505-2E9C-101B-9397-08002B2CF9AE}" pid="15" name="MSIP_Label_f7467c1a-e0ed-413c-a72b-aac8e8e94f41_ContentBits">
    <vt:lpwstr>1</vt:lpwstr>
  </property>
  <property fmtid="{D5CDD505-2E9C-101B-9397-08002B2CF9AE}" pid="16" name="MSIP_Label_f7467c1a-e0ed-413c-a72b-aac8e8e94f41_Tag">
    <vt:lpwstr>10, 0, 1, 1</vt:lpwstr>
  </property>
</Properties>
</file>