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EFC5D5" w14:textId="77777777" w:rsidR="00080339" w:rsidRDefault="00080339">
      <w:pPr>
        <w:spacing w:before="100" w:beforeAutospacing="1" w:after="100" w:afterAutospacing="1"/>
        <w:rPr>
          <w:rFonts w:eastAsia="Times New Roman"/>
          <w:lang w:eastAsia="en-GB"/>
        </w:rPr>
      </w:pPr>
    </w:p>
    <w:p w14:paraId="52855552" w14:textId="62F12CD5" w:rsidR="00080339" w:rsidRDefault="00000000">
      <w:pPr>
        <w:pStyle w:val="Heading4"/>
      </w:pPr>
      <w:r>
        <w:t>Housing Supply Regulation Interim Report</w:t>
      </w:r>
      <w:r w:rsidR="00DD3627">
        <w:t xml:space="preserve"> submission</w:t>
      </w:r>
    </w:p>
    <w:p w14:paraId="60270334" w14:textId="77777777" w:rsidR="00080339" w:rsidRDefault="00000000">
      <w:pPr>
        <w:pStyle w:val="NormalWeb"/>
      </w:pPr>
      <w:r>
        <w:rPr>
          <w:rStyle w:val="Strong"/>
        </w:rPr>
        <w:t>Endangered Heritage Pty Ltd</w:t>
      </w:r>
      <w:r>
        <w:br/>
        <w:t>September 2026</w:t>
      </w:r>
    </w:p>
    <w:p w14:paraId="53B2C89E" w14:textId="77777777" w:rsidR="00080339" w:rsidRDefault="00000000">
      <w:pPr>
        <w:pStyle w:val="NormalWeb"/>
      </w:pPr>
      <w:r>
        <w:t>Endangered Heritage submits that the Commission's consideration of heritage regulation would benefit from a broader economic framework.</w:t>
      </w:r>
    </w:p>
    <w:p w14:paraId="0CC7305D" w14:textId="77777777" w:rsidR="00080339" w:rsidRDefault="00000000">
      <w:pPr>
        <w:pStyle w:val="NormalWeb"/>
      </w:pPr>
      <w:r>
        <w:t>The principal issue is not whether heritage regulation imposes costs</w:t>
      </w:r>
      <w:r>
        <w:rPr>
          <w:lang w:val="en-US"/>
        </w:rPr>
        <w:t xml:space="preserve">, </w:t>
      </w:r>
      <w:proofErr w:type="spellStart"/>
      <w:r>
        <w:rPr>
          <w:lang w:val="en-US"/>
        </w:rPr>
        <w:t>i</w:t>
      </w:r>
      <w:proofErr w:type="spellEnd"/>
      <w:r>
        <w:t>t does. The issue is whether those costs are being assessed against the full economic value of the asset protected, and whether costs attributed to heritage regulation are in fact being generated by under</w:t>
      </w:r>
      <w:r>
        <w:rPr>
          <w:lang w:val="en-US"/>
        </w:rPr>
        <w:t xml:space="preserve"> </w:t>
      </w:r>
      <w:r>
        <w:t>investment in the infrastructure required to administer it.</w:t>
      </w:r>
    </w:p>
    <w:p w14:paraId="509726E4" w14:textId="77777777" w:rsidR="00080339" w:rsidRDefault="00000000">
      <w:pPr>
        <w:pStyle w:val="NormalWeb"/>
      </w:pPr>
      <w:r>
        <w:t>We identify five areas requiring consideration.</w:t>
      </w:r>
    </w:p>
    <w:p w14:paraId="51BBE121" w14:textId="77777777" w:rsidR="00080339" w:rsidRDefault="00000000">
      <w:pPr>
        <w:pStyle w:val="Heading4"/>
      </w:pPr>
      <w:r>
        <w:t>1. Heritage value is being attributed to other sectors</w:t>
      </w:r>
    </w:p>
    <w:p w14:paraId="2FB882D6" w14:textId="77777777" w:rsidR="00080339" w:rsidRDefault="00000000">
      <w:pPr>
        <w:pStyle w:val="NormalWeb"/>
      </w:pPr>
      <w:r>
        <w:t>Heritage is simultaneously a regulated asset and an input into tourism, hospitality, retail, regional development, education and the creative economy.</w:t>
      </w:r>
    </w:p>
    <w:p w14:paraId="54800908" w14:textId="72D7C27F" w:rsidR="00080339" w:rsidRDefault="00000000">
      <w:pPr>
        <w:pStyle w:val="NormalWeb"/>
      </w:pPr>
      <w:r>
        <w:t>Its regulatory costs remain visible within planning and development. Much of its economic return is recorded elsewhere.</w:t>
      </w:r>
      <w:r w:rsidR="006260EB">
        <w:t xml:space="preserve"> </w:t>
      </w:r>
      <w:r>
        <w:t>This creates an attribution problem.</w:t>
      </w:r>
      <w:r w:rsidR="006260EB">
        <w:t xml:space="preserve"> </w:t>
      </w:r>
      <w:r>
        <w:t>The Commission should test whether its assessment captures the economic activity generated by heritage assets before treating forgone development value as their principal opportunity cost.</w:t>
      </w:r>
    </w:p>
    <w:p w14:paraId="4EE76813" w14:textId="77777777" w:rsidR="00080339" w:rsidRDefault="00000000">
      <w:pPr>
        <w:pStyle w:val="NormalWeb"/>
      </w:pPr>
      <w:r>
        <w:t xml:space="preserve">This is particularly material in regional Australia, where heritage may form part of the economic proposition of the town or destination rather than simply occupying </w:t>
      </w:r>
      <w:r>
        <w:rPr>
          <w:lang w:val="en-US"/>
        </w:rPr>
        <w:t>develop-able</w:t>
      </w:r>
      <w:r>
        <w:t xml:space="preserve"> land.</w:t>
      </w:r>
    </w:p>
    <w:p w14:paraId="1E907786" w14:textId="77777777" w:rsidR="00080339" w:rsidRDefault="00000000">
      <w:pPr>
        <w:pStyle w:val="Heading4"/>
      </w:pPr>
      <w:r>
        <w:t>2. Compliance cost and infrastructure failure are being conflated</w:t>
      </w:r>
    </w:p>
    <w:p w14:paraId="27460242" w14:textId="77777777" w:rsidR="00080339" w:rsidRDefault="00000000">
      <w:pPr>
        <w:pStyle w:val="NormalWeb"/>
      </w:pPr>
      <w:r>
        <w:t>Heritage compliance operates through registers, inventories, databases, statutory processes, professional assessment and specialist expertise.</w:t>
      </w:r>
    </w:p>
    <w:p w14:paraId="43D168C1" w14:textId="77777777" w:rsidR="00080339" w:rsidRDefault="00000000">
      <w:pPr>
        <w:pStyle w:val="NormalWeb"/>
      </w:pPr>
      <w:r>
        <w:t>Government has imposed and retained these requirements without equivalent investment in the infrastructure necessary to make them efficient.</w:t>
      </w:r>
    </w:p>
    <w:p w14:paraId="4537E1ED" w14:textId="5C270BB5" w:rsidR="00080339" w:rsidRDefault="00000000">
      <w:pPr>
        <w:pStyle w:val="NormalWeb"/>
      </w:pPr>
      <w:r>
        <w:t>Outdated inventories, fragmented registers, incompatible digital systems, incomplete digitisation, inadequate early identification and shortages of specialist practitioners shift costs downstream into individual development applications.</w:t>
      </w:r>
      <w:r w:rsidR="009A2690">
        <w:t xml:space="preserve"> </w:t>
      </w:r>
      <w:r>
        <w:t xml:space="preserve">Those costs subsequently appear as </w:t>
      </w:r>
      <w:r w:rsidRPr="004D272A">
        <w:rPr>
          <w:rStyle w:val="Strong"/>
          <w:b w:val="0"/>
          <w:bCs w:val="0"/>
        </w:rPr>
        <w:t>heritage compliance costs</w:t>
      </w:r>
      <w:r w:rsidRPr="004D272A">
        <w:rPr>
          <w:b/>
          <w:bCs/>
        </w:rPr>
        <w:t>.</w:t>
      </w:r>
      <w:r w:rsidR="009A2690">
        <w:rPr>
          <w:b/>
          <w:bCs/>
        </w:rPr>
        <w:t xml:space="preserve"> </w:t>
      </w:r>
      <w:r>
        <w:t>The Commission should separate</w:t>
      </w:r>
      <w:r>
        <w:rPr>
          <w:lang w:val="en-US"/>
        </w:rPr>
        <w:t xml:space="preserve"> the </w:t>
      </w:r>
      <w:r>
        <w:rPr>
          <w:rStyle w:val="Strong"/>
          <w:b w:val="0"/>
          <w:bCs w:val="0"/>
        </w:rPr>
        <w:t>cost inherent in protecting the heritage asset</w:t>
      </w:r>
      <w:r>
        <w:rPr>
          <w:rStyle w:val="Strong"/>
          <w:b w:val="0"/>
          <w:bCs w:val="0"/>
          <w:lang w:val="en-US"/>
        </w:rPr>
        <w:t xml:space="preserve"> </w:t>
      </w:r>
      <w:r>
        <w:t>from</w:t>
      </w:r>
      <w:r>
        <w:rPr>
          <w:lang w:val="en-US"/>
        </w:rPr>
        <w:t xml:space="preserve"> </w:t>
      </w:r>
      <w:r>
        <w:rPr>
          <w:rStyle w:val="Strong"/>
          <w:b w:val="0"/>
          <w:bCs w:val="0"/>
          <w:lang w:val="en-US"/>
        </w:rPr>
        <w:t xml:space="preserve">the </w:t>
      </w:r>
      <w:r>
        <w:rPr>
          <w:rStyle w:val="Strong"/>
          <w:b w:val="0"/>
          <w:bCs w:val="0"/>
        </w:rPr>
        <w:t>cost generated by inadequate investment in administering that protection.</w:t>
      </w:r>
    </w:p>
    <w:p w14:paraId="0BE31E29" w14:textId="77777777" w:rsidR="00080339" w:rsidRDefault="00000000">
      <w:pPr>
        <w:pStyle w:val="NormalWeb"/>
      </w:pPr>
      <w:r>
        <w:lastRenderedPageBreak/>
        <w:t xml:space="preserve">Without that separation, reducing regulation risks recording an apparent productivity improvement which is </w:t>
      </w:r>
      <w:proofErr w:type="gramStart"/>
      <w:r>
        <w:t>actually the</w:t>
      </w:r>
      <w:proofErr w:type="gramEnd"/>
      <w:r>
        <w:t xml:space="preserve"> consequence of abandoning an under-resourced system.</w:t>
      </w:r>
    </w:p>
    <w:p w14:paraId="2308D54D" w14:textId="77777777" w:rsidR="00080339" w:rsidRDefault="00000000">
      <w:pPr>
        <w:pStyle w:val="Heading4"/>
      </w:pPr>
      <w:r>
        <w:t>3. The heritage labour input is materially undercounted</w:t>
      </w:r>
    </w:p>
    <w:p w14:paraId="24EBAC9D" w14:textId="77777777" w:rsidR="00080339" w:rsidRDefault="00000000">
      <w:pPr>
        <w:pStyle w:val="NormalWeb"/>
      </w:pPr>
      <w:r>
        <w:t xml:space="preserve">ACNC data for Culture charities recorded </w:t>
      </w:r>
      <w:r>
        <w:rPr>
          <w:rStyle w:val="Strong"/>
        </w:rPr>
        <w:t>52,506 volunteers against 16,926 paid employees</w:t>
      </w:r>
      <w:r>
        <w:t xml:space="preserve"> in 2022.¹</w:t>
      </w:r>
      <w:r>
        <w:rPr>
          <w:lang w:val="en-US"/>
        </w:rPr>
        <w:t xml:space="preserve"> Many not covered by any labour protection financial security, award or visibility. </w:t>
      </w:r>
      <w:r>
        <w:t>This is an unusual infrastructure model.</w:t>
      </w:r>
      <w:r>
        <w:rPr>
          <w:lang w:val="en-US"/>
        </w:rPr>
        <w:t xml:space="preserve">  </w:t>
      </w:r>
      <w:r>
        <w:t>A substantial labour input required to maintain cultural assets does not appear as employment expenditure. At the same time, economic activity generated by those assets appears predominantly within other sectors.</w:t>
      </w:r>
    </w:p>
    <w:p w14:paraId="0049BB03" w14:textId="77777777" w:rsidR="00080339" w:rsidRDefault="00000000">
      <w:pPr>
        <w:pStyle w:val="NormalWeb"/>
      </w:pPr>
      <w:r>
        <w:t xml:space="preserve">Heritage can consequently appear both </w:t>
      </w:r>
      <w:r>
        <w:rPr>
          <w:rStyle w:val="Strong"/>
          <w:b w:val="0"/>
          <w:bCs w:val="0"/>
        </w:rPr>
        <w:t>economically marginal because its return is attributed elsewhere and inexpensive to maintain because much of its labour is unpriced</w:t>
      </w:r>
      <w:r>
        <w:t>.</w:t>
      </w:r>
    </w:p>
    <w:p w14:paraId="27980981" w14:textId="60F91823" w:rsidR="00080339" w:rsidRDefault="00000000">
      <w:pPr>
        <w:pStyle w:val="NormalWeb"/>
      </w:pPr>
      <w:r>
        <w:t xml:space="preserve">The gender composition is relevant to that distortion. ABS cultural participation data show substantially greater participation by women than men, while volunteering remains a significant component of cultural </w:t>
      </w:r>
      <w:proofErr w:type="gramStart"/>
      <w:r>
        <w:t>activity.²</w:t>
      </w:r>
      <w:proofErr w:type="gramEnd"/>
      <w:r>
        <w:rPr>
          <w:lang w:val="en-US"/>
        </w:rPr>
        <w:t xml:space="preserve"> </w:t>
      </w:r>
      <w:r w:rsidR="009A2690">
        <w:rPr>
          <w:lang w:val="en-US"/>
        </w:rPr>
        <w:t xml:space="preserve"> </w:t>
      </w:r>
      <w:proofErr w:type="gramStart"/>
      <w:r>
        <w:rPr>
          <w:lang w:val="en-US"/>
        </w:rPr>
        <w:t>The</w:t>
      </w:r>
      <w:proofErr w:type="gramEnd"/>
      <w:r>
        <w:rPr>
          <w:lang w:val="en-US"/>
        </w:rPr>
        <w:t xml:space="preserve"> impact of decisions are born disproportionately in minority groups and women.  </w:t>
      </w:r>
      <w:r>
        <w:t>This warrants closer examination before conclusions are drawn about the productivity of the existing heritage system.</w:t>
      </w:r>
    </w:p>
    <w:p w14:paraId="0EB1622D" w14:textId="77777777" w:rsidR="00080339" w:rsidRDefault="00000000">
      <w:pPr>
        <w:pStyle w:val="Heading4"/>
        <w:numPr>
          <w:ilvl w:val="0"/>
          <w:numId w:val="1"/>
        </w:numPr>
      </w:pPr>
      <w:r>
        <w:t>Human capability is depreciating infrastructure</w:t>
      </w:r>
    </w:p>
    <w:p w14:paraId="57C8E8BE" w14:textId="77777777" w:rsidR="00F2779E" w:rsidRPr="00F2779E" w:rsidRDefault="00F2779E" w:rsidP="00F2779E"/>
    <w:p w14:paraId="2A8ECF92" w14:textId="6E33783E" w:rsidR="00F2779E" w:rsidRDefault="00F2779E" w:rsidP="00F2779E">
      <w:pPr>
        <w:pStyle w:val="isselectedend"/>
      </w:pPr>
      <w:r>
        <w:t>Australia protects heritage assets without systematically measuring the condition of the workforce required to maintain them.  There is no comprehensive national dataset identifying practitioner numbers, geographic distribution, traditional trades, specialist suppliers, workforce age, succession risk or endangered skills. This creates an unrecorded infrastructure liability.  Loss of specialist capability increases conservation costs, dependence upon scarce practitioners or imported expertise, and the potential for development delay. Those consequences can again appear as costs created by heritage regulation when they are partly consequences of declining capability.</w:t>
      </w:r>
    </w:p>
    <w:p w14:paraId="43BDEBB5" w14:textId="77777777" w:rsidR="00F2779E" w:rsidRDefault="00F2779E" w:rsidP="00F2779E">
      <w:pPr>
        <w:pStyle w:val="isselectedend"/>
      </w:pPr>
      <w:r>
        <w:t>Failure to collect this data creates a further distortion: it effectively assumes that the capability required to maintain the heritage asset is future-proofed, despite declining volunteerism and known succession risks in specialist skills and trades.</w:t>
      </w:r>
    </w:p>
    <w:p w14:paraId="68084629" w14:textId="77777777" w:rsidR="00F2779E" w:rsidRDefault="00F2779E" w:rsidP="00F2779E">
      <w:pPr>
        <w:pStyle w:val="isselectedend"/>
      </w:pPr>
      <w:r>
        <w:t xml:space="preserve">The Commission should consider </w:t>
      </w:r>
      <w:r w:rsidRPr="00F2779E">
        <w:rPr>
          <w:rStyle w:val="Strong"/>
          <w:b w:val="0"/>
          <w:bCs w:val="0"/>
        </w:rPr>
        <w:t>heritage workforce capability as infrastructure</w:t>
      </w:r>
      <w:r w:rsidRPr="00F2779E">
        <w:rPr>
          <w:b/>
          <w:bCs/>
        </w:rPr>
        <w:t>,</w:t>
      </w:r>
      <w:r>
        <w:t xml:space="preserve"> including mechanisms for preserving endangered skills and transmitting specialist knowledge.</w:t>
      </w:r>
    </w:p>
    <w:p w14:paraId="207870B5" w14:textId="77777777" w:rsidR="00F2779E" w:rsidRDefault="00F2779E" w:rsidP="00F2779E">
      <w:pPr>
        <w:pStyle w:val="isselectedend"/>
      </w:pPr>
      <w:r>
        <w:t>Rare trades and specialist professional skills are necessary to achieve compliance. Underinvestment in those capabilities transfers increasing costs to owners of heritage stock while making compliance progressively less efficient. Removing compliance may reduce that cost, but at the price of losing the heritage asset itself.</w:t>
      </w:r>
    </w:p>
    <w:p w14:paraId="4788931D" w14:textId="77777777" w:rsidR="00F2779E" w:rsidRDefault="00F2779E" w:rsidP="00F2779E">
      <w:pPr>
        <w:pStyle w:val="NormalWeb"/>
      </w:pPr>
      <w:r>
        <w:lastRenderedPageBreak/>
        <w:t>Investment in skills is therefore not separate from regulatory efficiency; it is one of its prerequisites.</w:t>
      </w:r>
    </w:p>
    <w:p w14:paraId="407339AD" w14:textId="77777777" w:rsidR="00080339" w:rsidRDefault="00000000" w:rsidP="00235360">
      <w:pPr>
        <w:pStyle w:val="Heading4"/>
      </w:pPr>
      <w:r>
        <w:t>5. The policy architecture does not reflect the economic architecture</w:t>
      </w:r>
    </w:p>
    <w:p w14:paraId="71B2ED0A" w14:textId="0A6252CD" w:rsidR="00080339" w:rsidRDefault="00000000">
      <w:pPr>
        <w:pStyle w:val="NormalWeb"/>
      </w:pPr>
      <w:r>
        <w:t>Heritage decisions are principally situated within planning, environment and cultural portfolios.</w:t>
      </w:r>
      <w:r w:rsidR="00235360">
        <w:t xml:space="preserve">  </w:t>
      </w:r>
      <w:r>
        <w:t>The economic activity associated with heritage is distributed across tourism, regional development, hospitality, construction, education and other sectors.</w:t>
      </w:r>
      <w:r w:rsidR="005310CF">
        <w:t xml:space="preserve">  </w:t>
      </w:r>
      <w:r>
        <w:t>The workforce</w:t>
      </w:r>
      <w:r w:rsidR="005310CF">
        <w:t xml:space="preserve"> </w:t>
      </w:r>
      <w:r>
        <w:t>maintaining the asset is itself fragmented across professions, small businesses, institutions, not-for-profits and volunteers and is substantially female.</w:t>
      </w:r>
      <w:r w:rsidR="005310CF">
        <w:t xml:space="preserve"> </w:t>
      </w:r>
      <w:r>
        <w:t>The people maintaining the asset and the sectors monetising it are therefore not necessarily at the table when policy affecting the asset is designed.</w:t>
      </w:r>
      <w:r w:rsidR="005310CF">
        <w:t xml:space="preserve">  </w:t>
      </w:r>
      <w:r>
        <w:t xml:space="preserve">This creates a governance problem as well as a representation problem: </w:t>
      </w:r>
      <w:r w:rsidRPr="005310CF">
        <w:rPr>
          <w:rStyle w:val="Strong"/>
          <w:b w:val="0"/>
          <w:bCs w:val="0"/>
        </w:rPr>
        <w:t>the administrative structure through which heritage is assessed does not correspond to the economic system through which heritage creates value.</w:t>
      </w:r>
    </w:p>
    <w:p w14:paraId="783C8F64" w14:textId="77777777" w:rsidR="00080339" w:rsidRDefault="00000000" w:rsidP="005310CF">
      <w:pPr>
        <w:pStyle w:val="Heading4"/>
      </w:pPr>
      <w:r>
        <w:t>Proposed analytical overlay</w:t>
      </w:r>
    </w:p>
    <w:p w14:paraId="4655EBC9" w14:textId="77777777" w:rsidR="00080339" w:rsidRDefault="00000000">
      <w:pPr>
        <w:pStyle w:val="NormalWeb"/>
      </w:pPr>
      <w:r>
        <w:t>Before recommending significant changes to heritage regulation, we suggest that the Commission test its analysis against five questions: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455"/>
        <w:gridCol w:w="5595"/>
      </w:tblGrid>
      <w:tr w:rsidR="00080339" w14:paraId="6F73E902" w14:textId="77777777">
        <w:trPr>
          <w:tblHeader/>
          <w:tblCellSpacing w:w="15" w:type="dxa"/>
        </w:trPr>
        <w:tc>
          <w:tcPr>
            <w:tcW w:w="0" w:type="auto"/>
            <w:vAlign w:val="center"/>
          </w:tcPr>
          <w:p w14:paraId="69434C9E" w14:textId="77777777" w:rsidR="00080339" w:rsidRPr="005310CF" w:rsidRDefault="00000000">
            <w:pPr>
              <w:jc w:val="center"/>
              <w:rPr>
                <w:b/>
                <w:bCs/>
              </w:rPr>
            </w:pPr>
            <w:r w:rsidRPr="005310CF">
              <w:rPr>
                <w:rFonts w:eastAsia="SimSun"/>
                <w:b/>
                <w:bCs/>
                <w:lang w:eastAsia="zh-CN" w:bidi="ar"/>
              </w:rPr>
              <w:t>Commission analysis</w:t>
            </w:r>
          </w:p>
        </w:tc>
        <w:tc>
          <w:tcPr>
            <w:tcW w:w="0" w:type="auto"/>
            <w:vAlign w:val="center"/>
          </w:tcPr>
          <w:p w14:paraId="55DF37FE" w14:textId="77777777" w:rsidR="00080339" w:rsidRPr="005310CF" w:rsidRDefault="00000000">
            <w:pPr>
              <w:jc w:val="center"/>
              <w:rPr>
                <w:b/>
                <w:bCs/>
              </w:rPr>
            </w:pPr>
            <w:r w:rsidRPr="005310CF">
              <w:rPr>
                <w:rFonts w:eastAsia="SimSun"/>
                <w:b/>
                <w:bCs/>
                <w:lang w:eastAsia="zh-CN" w:bidi="ar"/>
              </w:rPr>
              <w:t>Additional variable requiring assessment</w:t>
            </w:r>
          </w:p>
        </w:tc>
      </w:tr>
      <w:tr w:rsidR="00080339" w14:paraId="6CD6A7B5" w14:textId="77777777">
        <w:trPr>
          <w:tblCellSpacing w:w="15" w:type="dxa"/>
        </w:trPr>
        <w:tc>
          <w:tcPr>
            <w:tcW w:w="0" w:type="auto"/>
            <w:vAlign w:val="center"/>
          </w:tcPr>
          <w:p w14:paraId="4CBED47B" w14:textId="77777777" w:rsidR="00080339" w:rsidRPr="005310CF" w:rsidRDefault="00000000">
            <w:r w:rsidRPr="005310CF">
              <w:rPr>
                <w:rFonts w:eastAsia="SimSun"/>
                <w:lang w:eastAsia="zh-CN" w:bidi="ar"/>
              </w:rPr>
              <w:t>Opportunity cost of heritage protection</w:t>
            </w:r>
          </w:p>
        </w:tc>
        <w:tc>
          <w:tcPr>
            <w:tcW w:w="0" w:type="auto"/>
            <w:vAlign w:val="center"/>
          </w:tcPr>
          <w:p w14:paraId="4FEA5BF5" w14:textId="77777777" w:rsidR="00080339" w:rsidRPr="005310CF" w:rsidRDefault="00000000">
            <w:r w:rsidRPr="005310CF">
              <w:rPr>
                <w:rFonts w:eastAsia="SimSun"/>
                <w:lang w:eastAsia="zh-CN" w:bidi="ar"/>
              </w:rPr>
              <w:t>Opportunity cost of heritage loss</w:t>
            </w:r>
          </w:p>
        </w:tc>
      </w:tr>
      <w:tr w:rsidR="00080339" w14:paraId="5C96DFFB" w14:textId="77777777">
        <w:trPr>
          <w:tblCellSpacing w:w="15" w:type="dxa"/>
        </w:trPr>
        <w:tc>
          <w:tcPr>
            <w:tcW w:w="0" w:type="auto"/>
            <w:vAlign w:val="center"/>
          </w:tcPr>
          <w:p w14:paraId="01ECC591" w14:textId="77777777" w:rsidR="00080339" w:rsidRPr="005310CF" w:rsidRDefault="00000000">
            <w:r w:rsidRPr="005310CF">
              <w:rPr>
                <w:rFonts w:eastAsia="SimSun"/>
                <w:lang w:eastAsia="zh-CN" w:bidi="ar"/>
              </w:rPr>
              <w:t>Heritage compliance cost</w:t>
            </w:r>
          </w:p>
        </w:tc>
        <w:tc>
          <w:tcPr>
            <w:tcW w:w="0" w:type="auto"/>
            <w:vAlign w:val="center"/>
          </w:tcPr>
          <w:p w14:paraId="7363F40F" w14:textId="77777777" w:rsidR="00080339" w:rsidRPr="005310CF" w:rsidRDefault="00000000">
            <w:r w:rsidRPr="005310CF">
              <w:rPr>
                <w:rFonts w:eastAsia="SimSun"/>
                <w:lang w:eastAsia="zh-CN" w:bidi="ar"/>
              </w:rPr>
              <w:t>Cost attributable to infrastructure underinvestment</w:t>
            </w:r>
          </w:p>
        </w:tc>
      </w:tr>
      <w:tr w:rsidR="00080339" w14:paraId="2C2E5E79" w14:textId="77777777">
        <w:trPr>
          <w:tblCellSpacing w:w="15" w:type="dxa"/>
        </w:trPr>
        <w:tc>
          <w:tcPr>
            <w:tcW w:w="0" w:type="auto"/>
            <w:vAlign w:val="center"/>
          </w:tcPr>
          <w:p w14:paraId="231B8C9B" w14:textId="77777777" w:rsidR="00080339" w:rsidRPr="005310CF" w:rsidRDefault="00000000">
            <w:r w:rsidRPr="005310CF">
              <w:rPr>
                <w:rFonts w:eastAsia="SimSun"/>
                <w:lang w:eastAsia="zh-CN" w:bidi="ar"/>
              </w:rPr>
              <w:t>Development capacity released</w:t>
            </w:r>
          </w:p>
        </w:tc>
        <w:tc>
          <w:tcPr>
            <w:tcW w:w="0" w:type="auto"/>
            <w:vAlign w:val="center"/>
          </w:tcPr>
          <w:p w14:paraId="72EDE9C7" w14:textId="77777777" w:rsidR="00080339" w:rsidRPr="005310CF" w:rsidRDefault="00000000">
            <w:r w:rsidRPr="005310CF">
              <w:rPr>
                <w:rFonts w:eastAsia="SimSun"/>
                <w:lang w:eastAsia="zh-CN" w:bidi="ar"/>
              </w:rPr>
              <w:t xml:space="preserve">Probability and timeframe of housing </w:t>
            </w:r>
            <w:proofErr w:type="gramStart"/>
            <w:r w:rsidRPr="005310CF">
              <w:rPr>
                <w:rFonts w:eastAsia="SimSun"/>
                <w:lang w:eastAsia="zh-CN" w:bidi="ar"/>
              </w:rPr>
              <w:t>actually delivered</w:t>
            </w:r>
            <w:proofErr w:type="gramEnd"/>
          </w:p>
        </w:tc>
      </w:tr>
      <w:tr w:rsidR="00080339" w14:paraId="12D38F40" w14:textId="77777777">
        <w:trPr>
          <w:tblCellSpacing w:w="15" w:type="dxa"/>
        </w:trPr>
        <w:tc>
          <w:tcPr>
            <w:tcW w:w="0" w:type="auto"/>
            <w:vAlign w:val="center"/>
          </w:tcPr>
          <w:p w14:paraId="09EB0015" w14:textId="77777777" w:rsidR="00080339" w:rsidRPr="005310CF" w:rsidRDefault="00000000">
            <w:r w:rsidRPr="005310CF">
              <w:rPr>
                <w:rFonts w:eastAsia="SimSun"/>
                <w:lang w:eastAsia="zh-CN" w:bidi="ar"/>
              </w:rPr>
              <w:t>Direct heritage expenditure/employment</w:t>
            </w:r>
          </w:p>
        </w:tc>
        <w:tc>
          <w:tcPr>
            <w:tcW w:w="0" w:type="auto"/>
            <w:vAlign w:val="center"/>
          </w:tcPr>
          <w:p w14:paraId="176EDAFB" w14:textId="77777777" w:rsidR="00080339" w:rsidRPr="005310CF" w:rsidRDefault="00000000">
            <w:r w:rsidRPr="005310CF">
              <w:rPr>
                <w:rFonts w:eastAsia="SimSun"/>
                <w:lang w:eastAsia="zh-CN" w:bidi="ar"/>
              </w:rPr>
              <w:t>Tourism, regional economy and unpaid labour attributable to the heritage asset</w:t>
            </w:r>
          </w:p>
        </w:tc>
      </w:tr>
      <w:tr w:rsidR="00080339" w14:paraId="39C272F7" w14:textId="77777777">
        <w:trPr>
          <w:tblCellSpacing w:w="15" w:type="dxa"/>
        </w:trPr>
        <w:tc>
          <w:tcPr>
            <w:tcW w:w="0" w:type="auto"/>
            <w:vAlign w:val="center"/>
          </w:tcPr>
          <w:p w14:paraId="592B4957" w14:textId="77777777" w:rsidR="00080339" w:rsidRPr="005310CF" w:rsidRDefault="00000000">
            <w:r w:rsidRPr="005310CF">
              <w:rPr>
                <w:rFonts w:eastAsia="SimSun"/>
                <w:lang w:eastAsia="zh-CN" w:bidi="ar"/>
              </w:rPr>
              <w:t>Regulatory capability</w:t>
            </w:r>
          </w:p>
        </w:tc>
        <w:tc>
          <w:tcPr>
            <w:tcW w:w="0" w:type="auto"/>
            <w:vAlign w:val="center"/>
          </w:tcPr>
          <w:p w14:paraId="6CA96632" w14:textId="77777777" w:rsidR="00080339" w:rsidRPr="005310CF" w:rsidRDefault="00000000">
            <w:r w:rsidRPr="005310CF">
              <w:rPr>
                <w:rFonts w:eastAsia="SimSun"/>
                <w:lang w:eastAsia="zh-CN" w:bidi="ar"/>
              </w:rPr>
              <w:t>Workforce, skills, digital infrastructure and succession capacity</w:t>
            </w:r>
          </w:p>
        </w:tc>
      </w:tr>
    </w:tbl>
    <w:p w14:paraId="5A19EFBE" w14:textId="77777777" w:rsidR="00080339" w:rsidRDefault="00000000" w:rsidP="003B1876">
      <w:pPr>
        <w:pStyle w:val="Heading4"/>
      </w:pPr>
      <w:r>
        <w:t>Recommendation</w:t>
      </w:r>
    </w:p>
    <w:p w14:paraId="300F34B3" w14:textId="2E37B0FB" w:rsidR="00080339" w:rsidRDefault="00000000">
      <w:pPr>
        <w:pStyle w:val="NormalWeb"/>
      </w:pPr>
      <w:r>
        <w:t>The Commission should undertake, or recommend, a targeted assessment of the economic infrastructure supporting Australia's heritage system before determining that reduction of heritage controls represents a net productivity gain.</w:t>
      </w:r>
      <w:r w:rsidR="008A6A40">
        <w:t xml:space="preserve"> </w:t>
      </w:r>
      <w:r w:rsidR="00D37563">
        <w:t>Particularly</w:t>
      </w:r>
      <w:r w:rsidR="008A6A40">
        <w:t xml:space="preserve"> as loss of heritage is </w:t>
      </w:r>
      <w:r w:rsidR="00D37563">
        <w:t xml:space="preserve">irreplaceable, it is a </w:t>
      </w:r>
      <w:proofErr w:type="gramStart"/>
      <w:r w:rsidR="00D37563">
        <w:t>one way</w:t>
      </w:r>
      <w:proofErr w:type="gramEnd"/>
      <w:r w:rsidR="00D37563">
        <w:t xml:space="preserve"> ticket. Getting it wrong is therefore a bigger opportunity cost than other sectors as unforeseen consequences in policy cannot be reversed. </w:t>
      </w:r>
    </w:p>
    <w:p w14:paraId="5265875A" w14:textId="77777777" w:rsidR="00080339" w:rsidRDefault="00000000">
      <w:pPr>
        <w:pStyle w:val="NormalWeb"/>
      </w:pPr>
      <w:r>
        <w:t>That assessment should examine:</w:t>
      </w:r>
    </w:p>
    <w:p w14:paraId="1C0656BF" w14:textId="77777777" w:rsidR="00080339" w:rsidRDefault="00000000">
      <w:pPr>
        <w:pStyle w:val="NormalWeb"/>
        <w:numPr>
          <w:ilvl w:val="0"/>
          <w:numId w:val="2"/>
        </w:numPr>
        <w:tabs>
          <w:tab w:val="clear" w:pos="425"/>
        </w:tabs>
      </w:pPr>
      <w:r>
        <w:t>heritage-tourism and regional economic attribution;</w:t>
      </w:r>
    </w:p>
    <w:p w14:paraId="3A3AA911" w14:textId="77777777" w:rsidR="00080339" w:rsidRDefault="00000000">
      <w:pPr>
        <w:pStyle w:val="NormalWeb"/>
        <w:numPr>
          <w:ilvl w:val="0"/>
          <w:numId w:val="2"/>
        </w:numPr>
        <w:tabs>
          <w:tab w:val="clear" w:pos="425"/>
        </w:tabs>
      </w:pPr>
      <w:r>
        <w:t>compliance costs attributable to inadequate digital and information infrastructure;</w:t>
      </w:r>
    </w:p>
    <w:p w14:paraId="7774B62F" w14:textId="77777777" w:rsidR="00080339" w:rsidRDefault="00000000">
      <w:pPr>
        <w:pStyle w:val="NormalWeb"/>
        <w:numPr>
          <w:ilvl w:val="0"/>
          <w:numId w:val="2"/>
        </w:numPr>
        <w:tabs>
          <w:tab w:val="clear" w:pos="425"/>
        </w:tabs>
      </w:pPr>
      <w:r>
        <w:t>paid and unpaid heritage labour;</w:t>
      </w:r>
    </w:p>
    <w:p w14:paraId="537E0E14" w14:textId="77777777" w:rsidR="00080339" w:rsidRDefault="00000000">
      <w:pPr>
        <w:pStyle w:val="NormalWeb"/>
        <w:numPr>
          <w:ilvl w:val="0"/>
          <w:numId w:val="2"/>
        </w:numPr>
        <w:tabs>
          <w:tab w:val="clear" w:pos="425"/>
        </w:tabs>
      </w:pPr>
      <w:r>
        <w:t>gender distribution of that labour;</w:t>
      </w:r>
    </w:p>
    <w:p w14:paraId="25EEE969" w14:textId="77777777" w:rsidR="00080339" w:rsidRDefault="00000000">
      <w:pPr>
        <w:pStyle w:val="NormalWeb"/>
        <w:numPr>
          <w:ilvl w:val="0"/>
          <w:numId w:val="2"/>
        </w:numPr>
        <w:tabs>
          <w:tab w:val="clear" w:pos="425"/>
        </w:tabs>
      </w:pPr>
      <w:r>
        <w:t>professional and traditional-skills capacity and succession risk; and</w:t>
      </w:r>
    </w:p>
    <w:p w14:paraId="597D3A4F" w14:textId="77777777" w:rsidR="00080339" w:rsidRDefault="00000000">
      <w:pPr>
        <w:pStyle w:val="NormalWeb"/>
        <w:numPr>
          <w:ilvl w:val="0"/>
          <w:numId w:val="2"/>
        </w:numPr>
        <w:tabs>
          <w:tab w:val="clear" w:pos="425"/>
        </w:tabs>
      </w:pPr>
      <w:r>
        <w:lastRenderedPageBreak/>
        <w:t>whether current governance arrangements include the sectors responsible for maintaining and economically utilising heritage assets.</w:t>
      </w:r>
    </w:p>
    <w:p w14:paraId="3432C862" w14:textId="77777777" w:rsidR="00080339" w:rsidRDefault="00000000">
      <w:pPr>
        <w:pStyle w:val="NormalWeb"/>
      </w:pPr>
      <w:r>
        <w:t>There is presently insufficient integrated data to determine these matters reliably.</w:t>
      </w:r>
    </w:p>
    <w:p w14:paraId="1B3E2FB8" w14:textId="77777777" w:rsidR="00080339" w:rsidRDefault="00000000">
      <w:pPr>
        <w:pStyle w:val="NormalWeb"/>
      </w:pPr>
      <w:r>
        <w:t xml:space="preserve">Endangered Heritage would welcome the opportunity to assist the Commission in developing this analysis from the perspective of heritage practice, regulatory implementation, </w:t>
      </w:r>
      <w:r>
        <w:rPr>
          <w:lang w:val="en-US"/>
        </w:rPr>
        <w:t xml:space="preserve">infrastructure investment needs for efficiency, </w:t>
      </w:r>
      <w:r>
        <w:t xml:space="preserve">conservation </w:t>
      </w:r>
      <w:r>
        <w:rPr>
          <w:lang w:val="en-US"/>
        </w:rPr>
        <w:t>risk,</w:t>
      </w:r>
      <w:r>
        <w:t xml:space="preserve"> and cultural asset management.</w:t>
      </w:r>
    </w:p>
    <w:p w14:paraId="3BB970B3" w14:textId="77777777" w:rsidR="00080339" w:rsidRDefault="00000000">
      <w:pPr>
        <w:pStyle w:val="NormalWeb"/>
      </w:pPr>
      <w:r>
        <w:rPr>
          <w:rStyle w:val="Strong"/>
          <w:sz w:val="18"/>
          <w:szCs w:val="18"/>
        </w:rPr>
        <w:t>1.</w:t>
      </w:r>
      <w:r>
        <w:rPr>
          <w:sz w:val="18"/>
          <w:szCs w:val="18"/>
        </w:rPr>
        <w:t xml:space="preserve"> Australian Charities and Not-for-profits Commission, </w:t>
      </w:r>
      <w:r>
        <w:rPr>
          <w:rStyle w:val="Emphasis"/>
          <w:sz w:val="18"/>
          <w:szCs w:val="18"/>
        </w:rPr>
        <w:t>Australian Charities Report, 10th edition</w:t>
      </w:r>
      <w:r>
        <w:rPr>
          <w:sz w:val="18"/>
          <w:szCs w:val="18"/>
        </w:rPr>
        <w:t xml:space="preserve"> (2024), Culture subtype: 16,926 employees; 52,506 volunteers.</w:t>
      </w:r>
      <w:r>
        <w:rPr>
          <w:sz w:val="18"/>
          <w:szCs w:val="18"/>
        </w:rPr>
        <w:br/>
      </w:r>
      <w:r>
        <w:rPr>
          <w:rStyle w:val="Strong"/>
          <w:sz w:val="18"/>
          <w:szCs w:val="18"/>
        </w:rPr>
        <w:t>2.</w:t>
      </w:r>
      <w:r>
        <w:rPr>
          <w:sz w:val="18"/>
          <w:szCs w:val="18"/>
        </w:rPr>
        <w:t xml:space="preserve"> Australian Bureau of Statistics, </w:t>
      </w:r>
      <w:r>
        <w:rPr>
          <w:rStyle w:val="Emphasis"/>
          <w:sz w:val="18"/>
          <w:szCs w:val="18"/>
        </w:rPr>
        <w:t>Cultural and Creative Activities, 2021–22</w:t>
      </w:r>
      <w:r>
        <w:rPr>
          <w:sz w:val="18"/>
          <w:szCs w:val="18"/>
        </w:rPr>
        <w:t>.</w:t>
      </w:r>
    </w:p>
    <w:p w14:paraId="5425481C" w14:textId="77777777" w:rsidR="00080339" w:rsidRDefault="00000000">
      <w:r>
        <w:t xml:space="preserve">Sincerely yours </w:t>
      </w:r>
    </w:p>
    <w:p w14:paraId="354C4625" w14:textId="77777777" w:rsidR="00080339" w:rsidRDefault="00080339"/>
    <w:p w14:paraId="4A2BC977" w14:textId="77777777" w:rsidR="00080339" w:rsidRDefault="00080339"/>
    <w:p w14:paraId="0CDCB3C6" w14:textId="3CBB5CB3" w:rsidR="00080339" w:rsidRDefault="00080339"/>
    <w:p w14:paraId="09E968BB" w14:textId="77777777" w:rsidR="00080339" w:rsidRDefault="00080339"/>
    <w:p w14:paraId="5A639171" w14:textId="77777777" w:rsidR="00080339" w:rsidRDefault="00080339"/>
    <w:p w14:paraId="38CF8F24" w14:textId="77777777" w:rsidR="00080339" w:rsidRDefault="00000000">
      <w:proofErr w:type="spellStart"/>
      <w:r>
        <w:t>V.Pearce</w:t>
      </w:r>
      <w:proofErr w:type="spellEnd"/>
      <w:r>
        <w:t xml:space="preserve"> </w:t>
      </w:r>
    </w:p>
    <w:p w14:paraId="0DB331EC" w14:textId="17F9397D" w:rsidR="00080339" w:rsidRDefault="008F1676">
      <w:r>
        <w:rPr>
          <w:noProof/>
        </w:rPr>
        <mc:AlternateContent>
          <mc:Choice Requires="wpi">
            <w:drawing>
              <wp:anchor distT="0" distB="0" distL="114300" distR="114300" simplePos="0" relativeHeight="251660288" behindDoc="0" locked="0" layoutInCell="1" allowOverlap="1" wp14:anchorId="4F1F1EB7" wp14:editId="2CB6E3A3">
                <wp:simplePos x="0" y="0"/>
                <wp:positionH relativeFrom="column">
                  <wp:posOffset>4477381</wp:posOffset>
                </wp:positionH>
                <wp:positionV relativeFrom="paragraph">
                  <wp:posOffset>1510043</wp:posOffset>
                </wp:positionV>
                <wp:extent cx="33120" cy="21960"/>
                <wp:effectExtent l="25400" t="38100" r="30480" b="41910"/>
                <wp:wrapNone/>
                <wp:docPr id="727081897" name="Ink 12"/>
                <wp:cNvGraphicFramePr/>
                <a:graphic xmlns:a="http://schemas.openxmlformats.org/drawingml/2006/main">
                  <a:graphicData uri="http://schemas.microsoft.com/office/word/2010/wordprocessingInk">
                    <w14:contentPart bwMode="auto" r:id="rId12">
                      <w14:nvContentPartPr>
                        <w14:cNvContentPartPr/>
                      </w14:nvContentPartPr>
                      <w14:xfrm>
                        <a:off x="0" y="0"/>
                        <a:ext cx="33120" cy="21960"/>
                      </w14:xfrm>
                    </w14:contentPart>
                  </a:graphicData>
                </a:graphic>
              </wp:anchor>
            </w:drawing>
          </mc:Choice>
          <mc:Fallback>
            <w:pict>
              <v:shapetype w14:anchorId="20B20D2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2" o:spid="_x0000_s1026" type="#_x0000_t75" style="position:absolute;margin-left:351.7pt;margin-top:118.05pt;width:4.3pt;height:3.4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">
                <v:imagedata r:id="rId13" o:title=""/>
              </v:shape>
            </w:pict>
          </mc:Fallback>
        </mc:AlternateContent>
      </w:r>
      <w:r w:rsidR="00BD0179">
        <w:rPr>
          <w:noProof/>
        </w:rPr>
        <mc:AlternateContent>
          <mc:Choice Requires="wpi">
            <w:drawing>
              <wp:anchor distT="0" distB="0" distL="114300" distR="114300" simplePos="0" relativeHeight="251659264" behindDoc="0" locked="0" layoutInCell="1" allowOverlap="1" wp14:anchorId="38F12FB4" wp14:editId="4DDD8361">
                <wp:simplePos x="0" y="0"/>
                <wp:positionH relativeFrom="column">
                  <wp:posOffset>4542901</wp:posOffset>
                </wp:positionH>
                <wp:positionV relativeFrom="paragraph">
                  <wp:posOffset>1320323</wp:posOffset>
                </wp:positionV>
                <wp:extent cx="11160" cy="73800"/>
                <wp:effectExtent l="38100" t="38100" r="27305" b="40640"/>
                <wp:wrapNone/>
                <wp:docPr id="1233014632" name="Ink 7"/>
                <wp:cNvGraphicFramePr/>
                <a:graphic xmlns:a="http://schemas.openxmlformats.org/drawingml/2006/main">
                  <a:graphicData uri="http://schemas.microsoft.com/office/word/2010/wordprocessingInk">
                    <w14:contentPart bwMode="auto" r:id="rId14">
                      <w14:nvContentPartPr>
                        <w14:cNvContentPartPr/>
                      </w14:nvContentPartPr>
                      <w14:xfrm>
                        <a:off x="0" y="0"/>
                        <a:ext cx="11160" cy="73800"/>
                      </w14:xfrm>
                    </w14:contentPart>
                  </a:graphicData>
                </a:graphic>
              </wp:anchor>
            </w:drawing>
          </mc:Choice>
          <mc:Fallback>
            <w:pict>
              <v:shape w14:anchorId="7AE67A5F" id="Ink 7" o:spid="_x0000_s1026" type="#_x0000_t75" style="position:absolute;margin-left:356.9pt;margin-top:103.1pt;width:2.55pt;height:7.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">
                <v:imagedata r:id="rId15" o:title=""/>
              </v:shape>
            </w:pict>
          </mc:Fallback>
        </mc:AlternateContent>
      </w:r>
      <w:r>
        <w:t xml:space="preserve">Director </w:t>
      </w:r>
    </w:p>
    <w:sectPr w:rsidR="00080339">
      <w:headerReference w:type="default" r:id="rId16"/>
      <w:footerReference w:type="default" r:id="rId17"/>
      <w:pgSz w:w="11900" w:h="16840"/>
      <w:pgMar w:top="1981" w:right="1410" w:bottom="2126" w:left="1440" w:header="709"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662431" w14:textId="77777777" w:rsidR="00871B03" w:rsidRDefault="00871B03">
      <w:r>
        <w:separator/>
      </w:r>
    </w:p>
  </w:endnote>
  <w:endnote w:type="continuationSeparator" w:id="0">
    <w:p w14:paraId="6595D59A" w14:textId="77777777" w:rsidR="00871B03" w:rsidRDefault="00871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altName w:val="Yu Gothic"/>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Lucida Grande">
    <w:charset w:val="00"/>
    <w:family w:val="swiss"/>
    <w:pitch w:val="default"/>
    <w:sig w:usb0="E1000AEF" w:usb1="5000A1FF" w:usb2="00000000" w:usb3="00000000" w:csb0="200001BF" w:csb1="4F01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00"/>
    <w:family w:val="swiss"/>
    <w:pitch w:val="variable"/>
    <w:sig w:usb0="81000003" w:usb1="00000000" w:usb2="00000000" w:usb3="00000000" w:csb0="00010001" w:csb1="00000000"/>
  </w:font>
  <w:font w:name="Monotype Corsiva">
    <w:altName w:val="苹方-简"/>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8179C" w14:textId="06836E77" w:rsidR="00080339" w:rsidRDefault="00000000">
    <w:pPr>
      <w:pStyle w:val="Footer"/>
      <w:ind w:right="-5267" w:hanging="6"/>
      <w:jc w:val="both"/>
      <w:rPr>
        <w:rFonts w:eastAsiaTheme="minorHAnsi" w:cstheme="minorHAnsi"/>
        <w:sz w:val="20"/>
        <w:szCs w:val="20"/>
      </w:rPr>
    </w:pPr>
    <w:r>
      <w:rPr>
        <w:noProof/>
        <w:sz w:val="20"/>
      </w:rPr>
      <mc:AlternateContent>
        <mc:Choice Requires="wps">
          <w:drawing>
            <wp:anchor distT="0" distB="0" distL="114300" distR="114300" simplePos="0" relativeHeight="251659264" behindDoc="0" locked="0" layoutInCell="1" allowOverlap="1" wp14:anchorId="68C942B7" wp14:editId="0C1159B9">
              <wp:simplePos x="0" y="0"/>
              <wp:positionH relativeFrom="margin">
                <wp:posOffset>2607310</wp:posOffset>
              </wp:positionH>
              <wp:positionV relativeFrom="paragraph">
                <wp:posOffset>156845</wp:posOffset>
              </wp:positionV>
              <wp:extent cx="314960" cy="615950"/>
              <wp:effectExtent l="0" t="0" r="0" b="0"/>
              <wp:wrapNone/>
              <wp:docPr id="2" name="Text Box 2"/>
              <wp:cNvGraphicFramePr/>
              <a:graphic xmlns:a="http://schemas.openxmlformats.org/drawingml/2006/main">
                <a:graphicData uri="http://schemas.microsoft.com/office/word/2010/wordprocessingShape">
                  <wps:wsp>
                    <wps:cNvSpPr txBox="1"/>
                    <wps:spPr>
                      <a:xfrm>
                        <a:off x="0" y="0"/>
                        <a:ext cx="314960" cy="6159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67C1F0" w14:textId="77777777" w:rsidR="00080339" w:rsidRDefault="00000000">
                          <w:pPr>
                            <w:pStyle w:val="Foote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type w14:anchorId="68C942B7" id="_x0000_t202" coordsize="21600,21600" o:spt="202" path="m,l,21600r21600,l21600,xe">
              <v:stroke joinstyle="miter"/>
              <v:path gradientshapeok="t" o:connecttype="rect"/>
            </v:shapetype>
            <v:shape id="Text Box 2" o:spid="_x0000_s1026" type="#_x0000_t202" style="position:absolute;left:0;text-align:left;margin-left:205.3pt;margin-top:12.35pt;width:24.8pt;height:48.5pt;z-index:25165926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" filled="f" stroked="f" strokeweight=".5pt">
              <v:textbox inset="0,0,0,0">
                <w:txbxContent>
                  <w:p w14:paraId="4667C1F0" w14:textId="77777777" w:rsidR="00080339" w:rsidRDefault="00000000">
                    <w:pPr>
                      <w:pStyle w:val="Footer"/>
                    </w:pPr>
                    <w:r>
                      <w:fldChar w:fldCharType="begin"/>
                    </w:r>
                    <w:r>
                      <w:instrText xml:space="preserve"> PAGE  \* MERGEFORMAT </w:instrText>
                    </w:r>
                    <w:r>
                      <w:fldChar w:fldCharType="separate"/>
                    </w:r>
                    <w:r>
                      <w:t>1</w:t>
                    </w:r>
                    <w:r>
                      <w:fldChar w:fldCharType="end"/>
                    </w:r>
                  </w:p>
                </w:txbxContent>
              </v:textbox>
              <w10:wrap anchorx="margin"/>
            </v:shape>
          </w:pict>
        </mc:Fallback>
      </mc:AlternateContent>
    </w:r>
    <w:hyperlink r:id="rId1" w:history="1">
      <w:r w:rsidR="00080339">
        <w:rPr>
          <w:rStyle w:val="Hyperlink"/>
          <w:rFonts w:eastAsiaTheme="minorHAnsi" w:cstheme="minorHAnsi"/>
          <w:sz w:val="20"/>
          <w:szCs w:val="20"/>
        </w:rPr>
        <w:t>https://www.endangeredheritage.com</w:t>
      </w:r>
    </w:hyperlink>
  </w:p>
  <w:p w14:paraId="45FEB62E" w14:textId="77777777" w:rsidR="00080339" w:rsidRDefault="00080339">
    <w:pPr>
      <w:pStyle w:val="Footer"/>
      <w:ind w:left="6946" w:right="-5267"/>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D0F63E" w14:textId="77777777" w:rsidR="00871B03" w:rsidRDefault="00871B03">
      <w:r>
        <w:separator/>
      </w:r>
    </w:p>
  </w:footnote>
  <w:footnote w:type="continuationSeparator" w:id="0">
    <w:p w14:paraId="49C19B2F" w14:textId="77777777" w:rsidR="00871B03" w:rsidRDefault="00871B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0B392" w14:textId="77777777" w:rsidR="00080339" w:rsidRDefault="00000000">
    <w:pPr>
      <w:pStyle w:val="Header"/>
      <w:ind w:right="-873"/>
    </w:pPr>
    <w:r>
      <w:rPr>
        <w:noProof/>
      </w:rPr>
      <w:drawing>
        <wp:inline distT="0" distB="0" distL="0" distR="0" wp14:anchorId="363D20C8" wp14:editId="621F6096">
          <wp:extent cx="1178560" cy="68770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198525" cy="699463"/>
                  </a:xfrm>
                  <a:prstGeom prst="rect">
                    <a:avLst/>
                  </a:prstGeom>
                </pic:spPr>
              </pic:pic>
            </a:graphicData>
          </a:graphic>
        </wp:inline>
      </w:drawing>
    </w:r>
    <w:r>
      <w:tab/>
    </w:r>
    <w:r>
      <w:tab/>
    </w:r>
    <w:r>
      <w:rPr>
        <w:rFonts w:ascii="Monotype Corsiva" w:hAnsi="Monotype Corsiva"/>
        <w:sz w:val="28"/>
        <w:szCs w:val="28"/>
      </w:rPr>
      <w:t xml:space="preserve">Value is not inherent, value is maintained.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3EA916A"/>
    <w:multiLevelType w:val="singleLevel"/>
    <w:tmpl w:val="D3EA916A"/>
    <w:lvl w:ilvl="0">
      <w:start w:val="4"/>
      <w:numFmt w:val="decimal"/>
      <w:suff w:val="space"/>
      <w:lvlText w:val="%1."/>
      <w:lvlJc w:val="left"/>
    </w:lvl>
  </w:abstractNum>
  <w:abstractNum w:abstractNumId="1" w15:restartNumberingAfterBreak="0">
    <w:nsid w:val="7DBE201D"/>
    <w:multiLevelType w:val="singleLevel"/>
    <w:tmpl w:val="7DBE201D"/>
    <w:lvl w:ilvl="0">
      <w:start w:val="1"/>
      <w:numFmt w:val="decimal"/>
      <w:lvlText w:val="%1."/>
      <w:lvlJc w:val="left"/>
      <w:pPr>
        <w:tabs>
          <w:tab w:val="left" w:pos="425"/>
        </w:tabs>
        <w:ind w:left="425" w:hanging="425"/>
      </w:pPr>
      <w:rPr>
        <w:rFonts w:hint="default"/>
      </w:rPr>
    </w:lvl>
  </w:abstractNum>
  <w:num w:numId="1" w16cid:durableId="2141223627">
    <w:abstractNumId w:val="0"/>
  </w:num>
  <w:num w:numId="2" w16cid:durableId="9448488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49C5"/>
    <w:rsid w:val="000028EA"/>
    <w:rsid w:val="000125E7"/>
    <w:rsid w:val="00025979"/>
    <w:rsid w:val="00030460"/>
    <w:rsid w:val="00035164"/>
    <w:rsid w:val="000730DD"/>
    <w:rsid w:val="00080339"/>
    <w:rsid w:val="000A4141"/>
    <w:rsid w:val="000B5D9E"/>
    <w:rsid w:val="000C7198"/>
    <w:rsid w:val="000D4657"/>
    <w:rsid w:val="0013333B"/>
    <w:rsid w:val="001857E7"/>
    <w:rsid w:val="00191D26"/>
    <w:rsid w:val="00193407"/>
    <w:rsid w:val="00235360"/>
    <w:rsid w:val="00235644"/>
    <w:rsid w:val="00240E7D"/>
    <w:rsid w:val="00250F78"/>
    <w:rsid w:val="002717E4"/>
    <w:rsid w:val="0028662B"/>
    <w:rsid w:val="002921C6"/>
    <w:rsid w:val="002952B4"/>
    <w:rsid w:val="002B397C"/>
    <w:rsid w:val="002F3261"/>
    <w:rsid w:val="003120E7"/>
    <w:rsid w:val="0032252D"/>
    <w:rsid w:val="00330B84"/>
    <w:rsid w:val="00336D21"/>
    <w:rsid w:val="00343808"/>
    <w:rsid w:val="00347BBF"/>
    <w:rsid w:val="00371EDB"/>
    <w:rsid w:val="00393C2F"/>
    <w:rsid w:val="003976D4"/>
    <w:rsid w:val="003B1876"/>
    <w:rsid w:val="003C5BC7"/>
    <w:rsid w:val="003C6E85"/>
    <w:rsid w:val="003D455D"/>
    <w:rsid w:val="003F67B8"/>
    <w:rsid w:val="0040510A"/>
    <w:rsid w:val="0042684E"/>
    <w:rsid w:val="00437688"/>
    <w:rsid w:val="00446F88"/>
    <w:rsid w:val="004D1B6D"/>
    <w:rsid w:val="004D272A"/>
    <w:rsid w:val="00501663"/>
    <w:rsid w:val="00503E43"/>
    <w:rsid w:val="005310CF"/>
    <w:rsid w:val="00532474"/>
    <w:rsid w:val="00535E47"/>
    <w:rsid w:val="00541932"/>
    <w:rsid w:val="00541F01"/>
    <w:rsid w:val="0057361E"/>
    <w:rsid w:val="005A4911"/>
    <w:rsid w:val="005E3FF6"/>
    <w:rsid w:val="00600DD8"/>
    <w:rsid w:val="00602931"/>
    <w:rsid w:val="006260EB"/>
    <w:rsid w:val="00635914"/>
    <w:rsid w:val="00635D3B"/>
    <w:rsid w:val="006938D4"/>
    <w:rsid w:val="006B49C5"/>
    <w:rsid w:val="006E27B4"/>
    <w:rsid w:val="006E3A4A"/>
    <w:rsid w:val="0072274B"/>
    <w:rsid w:val="00734B80"/>
    <w:rsid w:val="007372E7"/>
    <w:rsid w:val="0076075F"/>
    <w:rsid w:val="00780F9D"/>
    <w:rsid w:val="007A480A"/>
    <w:rsid w:val="007F7C07"/>
    <w:rsid w:val="0080120F"/>
    <w:rsid w:val="008425C8"/>
    <w:rsid w:val="00867F7D"/>
    <w:rsid w:val="00871B03"/>
    <w:rsid w:val="00883CF8"/>
    <w:rsid w:val="008A46BD"/>
    <w:rsid w:val="008A470D"/>
    <w:rsid w:val="008A6A40"/>
    <w:rsid w:val="008E1DEB"/>
    <w:rsid w:val="008F1676"/>
    <w:rsid w:val="008F6D79"/>
    <w:rsid w:val="00911FC8"/>
    <w:rsid w:val="00912298"/>
    <w:rsid w:val="009137D1"/>
    <w:rsid w:val="00925DF5"/>
    <w:rsid w:val="009421C7"/>
    <w:rsid w:val="00970DC8"/>
    <w:rsid w:val="0097657A"/>
    <w:rsid w:val="00983C47"/>
    <w:rsid w:val="00992CB8"/>
    <w:rsid w:val="0099372A"/>
    <w:rsid w:val="009A2690"/>
    <w:rsid w:val="009B23B1"/>
    <w:rsid w:val="009D3F3D"/>
    <w:rsid w:val="009D47D0"/>
    <w:rsid w:val="009E4931"/>
    <w:rsid w:val="00A17297"/>
    <w:rsid w:val="00A475A1"/>
    <w:rsid w:val="00A51BF5"/>
    <w:rsid w:val="00A975A1"/>
    <w:rsid w:val="00AE157D"/>
    <w:rsid w:val="00AF300F"/>
    <w:rsid w:val="00B06266"/>
    <w:rsid w:val="00B30726"/>
    <w:rsid w:val="00B70FEB"/>
    <w:rsid w:val="00B8558A"/>
    <w:rsid w:val="00B9493F"/>
    <w:rsid w:val="00BA341B"/>
    <w:rsid w:val="00BA4F74"/>
    <w:rsid w:val="00BA7198"/>
    <w:rsid w:val="00BC6721"/>
    <w:rsid w:val="00BD0179"/>
    <w:rsid w:val="00BD3523"/>
    <w:rsid w:val="00C06592"/>
    <w:rsid w:val="00C238BF"/>
    <w:rsid w:val="00C42FE2"/>
    <w:rsid w:val="00C46747"/>
    <w:rsid w:val="00C80C3A"/>
    <w:rsid w:val="00C822C7"/>
    <w:rsid w:val="00C8662F"/>
    <w:rsid w:val="00C9255F"/>
    <w:rsid w:val="00CB019B"/>
    <w:rsid w:val="00CB75E8"/>
    <w:rsid w:val="00CC018F"/>
    <w:rsid w:val="00CC74DD"/>
    <w:rsid w:val="00CD3B30"/>
    <w:rsid w:val="00CF1F1B"/>
    <w:rsid w:val="00D23957"/>
    <w:rsid w:val="00D35468"/>
    <w:rsid w:val="00D37563"/>
    <w:rsid w:val="00D405C5"/>
    <w:rsid w:val="00D634DC"/>
    <w:rsid w:val="00D9241D"/>
    <w:rsid w:val="00DA5306"/>
    <w:rsid w:val="00DB2AC6"/>
    <w:rsid w:val="00DD3627"/>
    <w:rsid w:val="00E2085B"/>
    <w:rsid w:val="00E55CCB"/>
    <w:rsid w:val="00E9099B"/>
    <w:rsid w:val="00F2779E"/>
    <w:rsid w:val="00F472F4"/>
    <w:rsid w:val="00FE5B73"/>
    <w:rsid w:val="00FF5137"/>
    <w:rsid w:val="2B415DC2"/>
    <w:rsid w:val="3D5C0A02"/>
    <w:rsid w:val="73FDCF27"/>
    <w:rsid w:val="773FA1F7"/>
    <w:rsid w:val="77FF0571"/>
    <w:rsid w:val="7AB1D1BB"/>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AF5BF10"/>
  <w14:defaultImageDpi w14:val="300"/>
  <w15:docId w15:val="{BC81D573-7F1A-C244-8B02-AF92F007D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AU" w:eastAsia="en-GB"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9" w:qFormat="1"/>
    <w:lsdException w:name="heading 3" w:uiPriority="9"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uiPriority="0"/>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rFonts w:eastAsia="Arial Unicode MS"/>
      <w:sz w:val="24"/>
      <w:szCs w:val="24"/>
      <w:lang w:val="en-US" w:eastAsia="en-US"/>
    </w:rPr>
  </w:style>
  <w:style w:type="paragraph" w:styleId="Heading1">
    <w:name w:val="heading 1"/>
    <w:basedOn w:val="Normal"/>
    <w:link w:val="Heading1Char"/>
    <w:uiPriority w:val="9"/>
    <w:qFormat/>
    <w:pPr>
      <w:spacing w:before="100" w:beforeAutospacing="1" w:after="100" w:afterAutospacing="1"/>
      <w:outlineLvl w:val="0"/>
    </w:pPr>
    <w:rPr>
      <w:rFonts w:eastAsia="Times New Roman"/>
      <w:b/>
      <w:bCs/>
      <w:kern w:val="36"/>
      <w:sz w:val="48"/>
      <w:szCs w:val="48"/>
      <w:lang w:val="en-AU" w:eastAsia="en-GB"/>
    </w:rPr>
  </w:style>
  <w:style w:type="paragraph" w:styleId="Heading2">
    <w:name w:val="heading 2"/>
    <w:basedOn w:val="Normal"/>
    <w:link w:val="Heading2Char"/>
    <w:uiPriority w:val="9"/>
    <w:qFormat/>
    <w:pPr>
      <w:spacing w:before="100" w:beforeAutospacing="1" w:after="100" w:afterAutospacing="1"/>
      <w:outlineLvl w:val="1"/>
    </w:pPr>
    <w:rPr>
      <w:rFonts w:eastAsia="Times New Roman"/>
      <w:b/>
      <w:bCs/>
      <w:sz w:val="36"/>
      <w:szCs w:val="36"/>
      <w:lang w:val="en-AU" w:eastAsia="en-GB"/>
    </w:rPr>
  </w:style>
  <w:style w:type="paragraph" w:styleId="Heading3">
    <w:name w:val="heading 3"/>
    <w:basedOn w:val="Normal"/>
    <w:link w:val="Heading3Char"/>
    <w:uiPriority w:val="9"/>
    <w:qFormat/>
    <w:pPr>
      <w:spacing w:before="100" w:beforeAutospacing="1" w:after="100" w:afterAutospacing="1"/>
      <w:outlineLvl w:val="2"/>
    </w:pPr>
    <w:rPr>
      <w:rFonts w:eastAsia="Times New Roman"/>
      <w:b/>
      <w:bCs/>
      <w:sz w:val="27"/>
      <w:szCs w:val="27"/>
      <w:lang w:val="en-AU" w:eastAsia="en-GB"/>
    </w:rPr>
  </w:style>
  <w:style w:type="paragraph" w:styleId="Heading4">
    <w:name w:val="heading 4"/>
    <w:basedOn w:val="Normal"/>
    <w:next w:val="Normal"/>
    <w:link w:val="Heading4Char"/>
    <w:uiPriority w:val="9"/>
    <w:unhideWhenUsed/>
    <w:qFormat/>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Lucida Grande" w:eastAsiaTheme="minorEastAsia" w:hAnsi="Lucida Grande" w:cstheme="minorBidi"/>
      <w:sz w:val="18"/>
      <w:szCs w:val="18"/>
    </w:rPr>
  </w:style>
  <w:style w:type="paragraph" w:styleId="BodyText">
    <w:name w:val="Body Text"/>
    <w:link w:val="BodyTextChar"/>
    <w:pPr>
      <w:jc w:val="center"/>
    </w:pPr>
    <w:rPr>
      <w:rFonts w:ascii="Monotype Corsiva" w:eastAsia="Monotype Corsiva" w:hAnsi="Monotype Corsiva" w:cs="Monotype Corsiva"/>
      <w:color w:val="000000"/>
      <w:sz w:val="36"/>
      <w:szCs w:val="36"/>
      <w:u w:color="000000"/>
      <w:lang w:val="en-US" w:eastAsia="en-US"/>
    </w:rPr>
  </w:style>
  <w:style w:type="paragraph" w:styleId="Caption">
    <w:name w:val="caption"/>
    <w:next w:val="BodyA"/>
    <w:rPr>
      <w:rFonts w:ascii="Monotype Corsiva" w:eastAsia="Monotype Corsiva" w:hAnsi="Monotype Corsiva" w:cs="Monotype Corsiva"/>
      <w:color w:val="000000"/>
      <w:sz w:val="28"/>
      <w:szCs w:val="28"/>
      <w:u w:color="000000"/>
      <w:lang w:val="en-US" w:eastAsia="en-US"/>
    </w:rPr>
  </w:style>
  <w:style w:type="paragraph" w:customStyle="1" w:styleId="BodyA">
    <w:name w:val="Body A"/>
    <w:rPr>
      <w:rFonts w:eastAsia="Arial Unicode MS" w:cs="Arial Unicode MS"/>
      <w:color w:val="000000"/>
      <w:sz w:val="24"/>
      <w:szCs w:val="24"/>
      <w:u w:color="000000"/>
      <w:lang w:val="en-US" w:eastAsia="en-US"/>
    </w:rPr>
  </w:style>
  <w:style w:type="character" w:styleId="Emphasis">
    <w:name w:val="Emphasis"/>
    <w:basedOn w:val="DefaultParagraphFont"/>
    <w:uiPriority w:val="20"/>
    <w:qFormat/>
    <w:rPr>
      <w:i/>
      <w:iCs/>
    </w:rPr>
  </w:style>
  <w:style w:type="character" w:styleId="FollowedHyperlink">
    <w:name w:val="FollowedHyperlink"/>
    <w:basedOn w:val="DefaultParagraphFont"/>
    <w:uiPriority w:val="99"/>
    <w:semiHidden/>
    <w:unhideWhenUsed/>
    <w:rPr>
      <w:color w:val="800080" w:themeColor="followedHyperlink"/>
      <w:u w:val="single"/>
    </w:rPr>
  </w:style>
  <w:style w:type="paragraph" w:styleId="Footer">
    <w:name w:val="footer"/>
    <w:basedOn w:val="Normal"/>
    <w:link w:val="FooterChar"/>
    <w:uiPriority w:val="99"/>
    <w:unhideWhenUsed/>
    <w:pPr>
      <w:tabs>
        <w:tab w:val="center" w:pos="4320"/>
        <w:tab w:val="right" w:pos="8640"/>
      </w:tabs>
    </w:pPr>
    <w:rPr>
      <w:rFonts w:asciiTheme="minorHAnsi" w:eastAsiaTheme="minorEastAsia" w:hAnsiTheme="minorHAnsi" w:cstheme="minorBidi"/>
    </w:rPr>
  </w:style>
  <w:style w:type="paragraph" w:styleId="Header">
    <w:name w:val="header"/>
    <w:basedOn w:val="Normal"/>
    <w:link w:val="HeaderChar"/>
    <w:uiPriority w:val="99"/>
    <w:unhideWhenUsed/>
    <w:pPr>
      <w:tabs>
        <w:tab w:val="center" w:pos="4320"/>
        <w:tab w:val="right" w:pos="8640"/>
      </w:tabs>
    </w:pPr>
    <w:rPr>
      <w:rFonts w:asciiTheme="minorHAnsi" w:eastAsiaTheme="minorEastAsia" w:hAnsiTheme="minorHAnsi" w:cstheme="minorBidi"/>
    </w:rPr>
  </w:style>
  <w:style w:type="character" w:styleId="Hyperlink">
    <w:name w:val="Hyperlink"/>
    <w:basedOn w:val="DefaultParagraphFont"/>
    <w:uiPriority w:val="99"/>
    <w:unhideWhenUsed/>
    <w:rPr>
      <w:color w:val="0000FF" w:themeColor="hyperlink"/>
      <w:u w:val="single"/>
    </w:rPr>
  </w:style>
  <w:style w:type="paragraph" w:styleId="NormalWeb">
    <w:name w:val="Normal (Web)"/>
    <w:basedOn w:val="Normal"/>
    <w:uiPriority w:val="99"/>
    <w:semiHidden/>
    <w:unhideWhenUsed/>
    <w:pPr>
      <w:spacing w:before="100" w:beforeAutospacing="1" w:after="100" w:afterAutospacing="1"/>
    </w:pPr>
    <w:rPr>
      <w:rFonts w:eastAsia="Times New Roman"/>
      <w:lang w:val="en-AU" w:eastAsia="en-GB"/>
    </w:rPr>
  </w:style>
  <w:style w:type="character" w:styleId="Strong">
    <w:name w:val="Strong"/>
    <w:basedOn w:val="DefaultParagraphFont"/>
    <w:uiPriority w:val="22"/>
    <w:qFormat/>
    <w:rPr>
      <w:b/>
      <w:bCs/>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character" w:customStyle="1" w:styleId="BalloonTextChar">
    <w:name w:val="Balloon Text Char"/>
    <w:basedOn w:val="DefaultParagraphFont"/>
    <w:link w:val="BalloonText"/>
    <w:uiPriority w:val="99"/>
    <w:semiHidden/>
    <w:rPr>
      <w:rFonts w:ascii="Lucida Grande" w:hAnsi="Lucida Grande"/>
      <w:sz w:val="18"/>
      <w:szCs w:val="18"/>
    </w:rPr>
  </w:style>
  <w:style w:type="paragraph" w:customStyle="1" w:styleId="Body">
    <w:name w:val="Body"/>
    <w:rPr>
      <w:rFonts w:eastAsia="Arial Unicode MS" w:cs="Arial Unicode MS"/>
      <w:color w:val="000000"/>
      <w:sz w:val="24"/>
      <w:szCs w:val="24"/>
      <w:u w:color="000000"/>
      <w:lang w:eastAsia="en-US"/>
    </w:rPr>
  </w:style>
  <w:style w:type="character" w:customStyle="1" w:styleId="BodyTextChar">
    <w:name w:val="Body Text Char"/>
    <w:basedOn w:val="DefaultParagraphFont"/>
    <w:link w:val="BodyText"/>
    <w:rPr>
      <w:rFonts w:ascii="Monotype Corsiva" w:eastAsia="Monotype Corsiva" w:hAnsi="Monotype Corsiva" w:cs="Monotype Corsiva"/>
      <w:color w:val="000000"/>
      <w:sz w:val="36"/>
      <w:szCs w:val="36"/>
      <w:u w:color="000000"/>
    </w:rPr>
  </w:style>
  <w:style w:type="paragraph" w:customStyle="1" w:styleId="BodyB">
    <w:name w:val="Body B"/>
    <w:rPr>
      <w:rFonts w:eastAsia="Arial Unicode MS" w:cs="Arial Unicode MS"/>
      <w:color w:val="000000"/>
      <w:sz w:val="24"/>
      <w:szCs w:val="24"/>
      <w:u w:color="000000"/>
      <w:lang w:val="en-US" w:eastAsia="en-US"/>
    </w:rPr>
  </w:style>
  <w:style w:type="paragraph" w:styleId="ListParagraph">
    <w:name w:val="List Paragraph"/>
    <w:basedOn w:val="Normal"/>
    <w:link w:val="ListParagraphChar"/>
    <w:uiPriority w:val="34"/>
    <w:qFormat/>
    <w:pPr>
      <w:ind w:left="720"/>
      <w:contextualSpacing/>
    </w:pPr>
    <w:rPr>
      <w:rFonts w:asciiTheme="minorHAnsi" w:eastAsiaTheme="minorEastAsia" w:hAnsiTheme="minorHAnsi" w:cstheme="minorBidi"/>
      <w:lang w:val="en-AU"/>
    </w:rPr>
  </w:style>
  <w:style w:type="character" w:customStyle="1" w:styleId="ListParagraphChar">
    <w:name w:val="List Paragraph Char"/>
    <w:link w:val="ListParagraph"/>
    <w:uiPriority w:val="34"/>
    <w:qFormat/>
    <w:locked/>
    <w:rPr>
      <w:lang w:val="en-AU"/>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lang w:val="en-AU" w:eastAsia="en-GB"/>
    </w:rPr>
  </w:style>
  <w:style w:type="character" w:customStyle="1" w:styleId="Heading2Char">
    <w:name w:val="Heading 2 Char"/>
    <w:basedOn w:val="DefaultParagraphFont"/>
    <w:link w:val="Heading2"/>
    <w:uiPriority w:val="9"/>
    <w:rPr>
      <w:rFonts w:ascii="Times New Roman" w:eastAsia="Times New Roman" w:hAnsi="Times New Roman" w:cs="Times New Roman"/>
      <w:b/>
      <w:bCs/>
      <w:sz w:val="36"/>
      <w:szCs w:val="36"/>
      <w:lang w:val="en-AU" w:eastAsia="en-GB"/>
    </w:rPr>
  </w:style>
  <w:style w:type="character" w:customStyle="1" w:styleId="Heading3Char">
    <w:name w:val="Heading 3 Char"/>
    <w:basedOn w:val="DefaultParagraphFont"/>
    <w:link w:val="Heading3"/>
    <w:uiPriority w:val="9"/>
    <w:rPr>
      <w:rFonts w:ascii="Times New Roman" w:eastAsia="Times New Roman" w:hAnsi="Times New Roman" w:cs="Times New Roman"/>
      <w:b/>
      <w:bCs/>
      <w:sz w:val="27"/>
      <w:szCs w:val="27"/>
      <w:lang w:val="en-AU" w:eastAsia="en-GB"/>
    </w:r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365F91" w:themeColor="accent1" w:themeShade="BF"/>
    </w:rPr>
  </w:style>
  <w:style w:type="paragraph" w:customStyle="1" w:styleId="isselectedend">
    <w:name w:val="isselectedend"/>
    <w:basedOn w:val="Normal"/>
    <w:rsid w:val="00F2779E"/>
    <w:pPr>
      <w:spacing w:before="100" w:beforeAutospacing="1" w:after="100" w:afterAutospacing="1"/>
    </w:pPr>
    <w:rPr>
      <w:rFonts w:eastAsia="Times New Roman"/>
      <w:lang w:val="en-AU"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customXml" Target="ink/ink1.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2.png"/><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customXml" Target="ink/ink2.xml"/></Relationships>
</file>

<file path=word/_rels/footer1.xml.rels><?xml version="1.0" encoding="UTF-8" standalone="yes"?>
<Relationships xmlns="http://schemas.openxmlformats.org/package/2006/relationships"><Relationship Id="rId1" Type="http://schemas.openxmlformats.org/officeDocument/2006/relationships/hyperlink" Target="https://www.endangeredheritage.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18T02:01:33.470"/>
    </inkml:context>
    <inkml:brush xml:id="br0">
      <inkml:brushProperty name="width" value="0.06" units="cm"/>
      <inkml:brushProperty name="height" value="0.06" units="cm"/>
    </inkml:brush>
  </inkml:definitions>
  <inkml:trace contextRef="#ctx0" brushRef="#br0">91 61 8027,'-40'-25'0,"15"8"0,15 11 0,7 1 0,-4 2 0,2-2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18T02:01:09.054"/>
    </inkml:context>
    <inkml:brush xml:id="br0">
      <inkml:brushProperty name="width" value="0.06" units="cm"/>
      <inkml:brushProperty name="height" value="0.06" units="cm"/>
    </inkml:brush>
  </inkml:definitions>
  <inkml:trace contextRef="#ctx0" brushRef="#br0">16 205 8027,'-9'-51'0,"4"16"0,3 16 0,2 10 0,0 2 0,0 2 0,0 0 0,0-1 0,0-1 0,0 1 0,0-2 0,0 1 0,0-1 0,0 2 0,0-1 0,0 0 0,0 0 0,3 2 0,0 11 0,2 5 0,1 6 0,1 3 0,-3-9 0,-1-2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t:contentTypeSchema xmlns:ct="http://schemas.microsoft.com/office/2006/metadata/contentType" xmlns:ma="http://schemas.microsoft.com/office/2006/metadata/properties/metaAttributes" ct:_="" ma:_="" ma:contentTypeName="Document" ma:contentTypeID="0x010100ABBFA252848DF74891DCCA3FEC5FB110" ma:contentTypeVersion="13" ma:contentTypeDescription="Create a new document." ma:contentTypeScope="" ma:versionID="6ae99335a46d140185086d85d1d4bfa2">
  <xsd:schema xmlns:xsd="http://www.w3.org/2001/XMLSchema" xmlns:xs="http://www.w3.org/2001/XMLSchema" xmlns:p="http://schemas.microsoft.com/office/2006/metadata/properties" xmlns:ns2="7b599973-69e8-4ad2-959d-f8c2140b2ffc" xmlns:ns3="525413a7-c6dd-413c-8747-dd3127a98452" targetNamespace="http://schemas.microsoft.com/office/2006/metadata/properties" ma:root="true" ma:fieldsID="1c85210e8c13fa78fce25d0fff3b7500" ns2:_="" ns3:_="">
    <xsd:import namespace="7b599973-69e8-4ad2-959d-f8c2140b2ffc"/>
    <xsd:import namespace="525413a7-c6dd-413c-8747-dd3127a98452"/>
    <xsd:element name="properties">
      <xsd:complexType>
        <xsd:sequence>
          <xsd:element name="documentManagement">
            <xsd:complexType>
              <xsd:all>
                <xsd:element ref="ns2:SubmissionsSharePointListIdentifier" minOccurs="0"/>
                <xsd:element ref="ns2:ParticipantsRequestedConfidentiality"/>
                <xsd:element ref="ns2:ClearanceOutcome" minOccurs="0"/>
                <xsd:element ref="ns2:Redactions" minOccurs="0"/>
                <xsd:element ref="ns2:FileType" minOccurs="0"/>
                <xsd:element ref="ns3:i0f84bba906045b4af568ee102a52dcb" minOccurs="0"/>
                <xsd:element ref="ns3:TaxCatchAll" minOccurs="0"/>
                <xsd:element ref="ns2:Additionalinformat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599973-69e8-4ad2-959d-f8c2140b2ffc" elementFormDefault="qualified">
    <xsd:import namespace="http://schemas.microsoft.com/office/2006/documentManagement/types"/>
    <xsd:import namespace="http://schemas.microsoft.com/office/infopath/2007/PartnerControls"/>
    <xsd:element name="SubmissionsSharePointListIdentifier" ma:index="8" nillable="true" ma:displayName="SharePoint List Identifier" ma:decimals="0" ma:format="Dropdown" ma:internalName="SubmissionsSharePointListIdentifier" ma:percentage="FALSE">
      <xsd:simpleType>
        <xsd:restriction base="dms:Number">
          <xsd:minInclusive value="1"/>
        </xsd:restriction>
      </xsd:simpleType>
    </xsd:element>
    <xsd:element name="ParticipantsRequestedConfidentiality" ma:index="9" ma:displayName="Participant's Requested Confidentiality" ma:format="Dropdown" ma:internalName="ParticipantsRequestedConfidentiality">
      <xsd:simpleType>
        <xsd:restriction base="dms:Choice">
          <xsd:enumeration value="Public with attribution"/>
          <xsd:enumeration value="Public without attribution (anonymous)"/>
          <xsd:enumeration value="Confidential"/>
        </xsd:restriction>
      </xsd:simpleType>
    </xsd:element>
    <xsd:element name="ClearanceOutcome" ma:index="10" nillable="true" ma:displayName="Clearance Outcome (subject to any redactions)" ma:format="Dropdown" ma:internalName="ClearanceOutcome">
      <xsd:simpleType>
        <xsd:restriction base="dms:Choice">
          <xsd:enumeration value="Publish with attribution"/>
          <xsd:enumeration value="Publish without attribution"/>
          <xsd:enumeration value="Confidential"/>
          <xsd:enumeration value="Do not publish"/>
          <xsd:enumeration value="Withdrawn"/>
        </xsd:restriction>
      </xsd:simpleType>
    </xsd:element>
    <xsd:element name="Redactions" ma:index="11" nillable="true" ma:displayName="Redactions" ma:format="Dropdown" ma:internalName="Redactions">
      <xsd:simpleType>
        <xsd:restriction base="dms:Text">
          <xsd:maxLength value="255"/>
        </xsd:restriction>
      </xsd:simpleType>
    </xsd:element>
    <xsd:element name="FileType" ma:index="12" nillable="true" ma:displayName="File Type" ma:format="Dropdown" ma:internalName="FileType">
      <xsd:simpleType>
        <xsd:restriction base="dms:Choice">
          <xsd:enumeration value="Submission"/>
          <xsd:enumeration value="Attachment"/>
        </xsd:restriction>
      </xsd:simpleType>
    </xsd:element>
    <xsd:element name="Additionalinformation" ma:index="16" nillable="true" ma:displayName="Additional information" ma:format="Dropdown" ma:internalName="Additionalinformation">
      <xsd:simpleType>
        <xsd:restriction base="dms:Note">
          <xsd:maxLength value="255"/>
        </xsd:restriction>
      </xsd:simple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25413a7-c6dd-413c-8747-dd3127a98452" elementFormDefault="qualified">
    <xsd:import namespace="http://schemas.microsoft.com/office/2006/documentManagement/types"/>
    <xsd:import namespace="http://schemas.microsoft.com/office/infopath/2007/PartnerControls"/>
    <xsd:element name="i0f84bba906045b4af568ee102a52dcb" ma:index="14" nillable="true" ma:taxonomy="true" ma:internalName="i0f84bba906045b4af568ee102a52dcb" ma:taxonomyFieldName="RevIMBCS" ma:displayName="Record" ma:indexed="true" ma:default="" ma:fieldId="{20f84bba-9060-45b4-af56-8ee102a52dcb}" ma:sspId="9e7832e3-0c1d-4697-8be2-0d137dca2da6" ma:termSetId="3c672b5e-1100-4960-a8a3-535520ee1155" ma:anchorId="00000000-0000-0000-0000-000000000000" ma:open="false" ma:isKeyword="false">
      <xsd:complexType>
        <xsd:sequence>
          <xsd:element ref="pc:Terms" minOccurs="0" maxOccurs="1"/>
        </xsd:sequence>
      </xsd:complexType>
    </xsd:element>
    <xsd:element name="TaxCatchAll" ma:index="15" nillable="true" ma:displayName="Taxonomy Catch All Column" ma:hidden="true" ma:list="{6c222014-4dd5-4a70-8282-0fadd7f31196}" ma:internalName="TaxCatchAll" ma:showField="CatchAllData" ma:web="525413a7-c6dd-413c-8747-dd3127a984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dditionalinformation xmlns="7b599973-69e8-4ad2-959d-f8c2140b2ffc" xsi:nil="true"/>
    <TaxCatchAll xmlns="525413a7-c6dd-413c-8747-dd3127a98452">
      <Value>1</Value>
    </TaxCatchAll>
    <ParticipantsRequestedConfidentiality xmlns="7b599973-69e8-4ad2-959d-f8c2140b2ffc">Public with attribution</ParticipantsRequestedConfidentiality>
    <i0f84bba906045b4af568ee102a52dcb xmlns="525413a7-c6dd-413c-8747-dd3127a98452">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3955eeb1-2d18-4582-aeb2-00144ec3aaf5</TermId>
        </TermInfo>
      </Terms>
    </i0f84bba906045b4af568ee102a52dcb>
    <SubmissionsSharePointListIdentifier xmlns="7b599973-69e8-4ad2-959d-f8c2140b2ffc">158</SubmissionsSharePointListIdentifier>
    <Redactions xmlns="7b599973-69e8-4ad2-959d-f8c2140b2ffc" xsi:nil="true"/>
    <ClearanceOutcome xmlns="7b599973-69e8-4ad2-959d-f8c2140b2ffc" xsi:nil="true"/>
    <FileType xmlns="7b599973-69e8-4ad2-959d-f8c2140b2ffc">Submission</FileType>
  </documentManagement>
</p:properties>
</file>

<file path=customXml/item5.xml><?xml version="1.0" encoding="utf-8"?>
<b:Sources xmlns="http://schemas.openxmlformats.org/officeDocument/2006/bibliography" xmlns:b="http://schemas.openxmlformats.org/officeDocument/2006/bibliography" StyleName="APA" SelectedStyle="/APA.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56EAD35-FD56-4C37-971F-CB4DF9A2BA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599973-69e8-4ad2-959d-f8c2140b2ffc"/>
    <ds:schemaRef ds:uri="525413a7-c6dd-413c-8747-dd3127a984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E1547D-D89B-4EC7-8E1A-6E9CA7EE9F1E}">
  <ds:schemaRefs>
    <ds:schemaRef ds:uri="http://schemas.microsoft.com/sharepoint/v3/contenttype/forms"/>
  </ds:schemaRefs>
</ds:datastoreItem>
</file>

<file path=customXml/itemProps4.xml><?xml version="1.0" encoding="utf-8"?>
<ds:datastoreItem xmlns:ds="http://schemas.openxmlformats.org/officeDocument/2006/customXml" ds:itemID="{176CB73E-3F5F-4FCA-AB88-B07C3E386261}">
  <ds:schemaRefs>
    <ds:schemaRef ds:uri="http://schemas.microsoft.com/office/2006/metadata/properties"/>
    <ds:schemaRef ds:uri="http://schemas.microsoft.com/office/infopath/2007/PartnerControls"/>
    <ds:schemaRef ds:uri="7b599973-69e8-4ad2-959d-f8c2140b2ffc"/>
    <ds:schemaRef ds:uri="525413a7-c6dd-413c-8747-dd3127a98452"/>
  </ds:schemaRefs>
</ds:datastoreItem>
</file>

<file path=customXml/itemProps5.xml><?xml version="1.0" encoding="utf-8"?>
<ds:datastoreItem xmlns:ds="http://schemas.openxmlformats.org/officeDocument/2006/customXml" ds:itemID="{FBC0D236-1C15-D140-802B-02A55E4C6A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1205</Words>
  <Characters>6874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Submission 145 - Endangered Heritage - Housing supply regulation - Public inquiry</vt:lpstr>
    </vt:vector>
  </TitlesOfParts>
  <Company>Endangered Heritage</Company>
  <LinksUpToDate>false</LinksUpToDate>
  <CharactersWithSpaces>8063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145 - Endangered Heritage - Housing supply regulation - Public inquiry</dc:title>
  <dc:creator>Endangered Heritage</dc:creator>
  <cp:lastModifiedBy>Chris Alston</cp:lastModifiedBy>
  <cp:revision>5</cp:revision>
  <cp:lastPrinted>2026-09-18T01:55:00Z</cp:lastPrinted>
  <dcterms:created xsi:type="dcterms:W3CDTF">2026-09-24T05:32:00Z</dcterms:created>
  <dcterms:modified xsi:type="dcterms:W3CDTF">2026-09-24T05:39:00Z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1033-12.1.26050.26050</vt:lpwstr>
  </property>
  <property fmtid="{D5CDD505-2E9C-101B-9397-08002B2CF9AE}" pid="3" name="ICV">
    <vt:lpwstr>A43298C5A9C88F43E696AC6A97A605D9_43</vt:lpwstr>
  </property>
  <property fmtid="{D5CDD505-2E9C-101B-9397-08002B2CF9AE}" pid="4" name="ContentTypeId">
    <vt:lpwstr>0x010100ABBFA252848DF74891DCCA3FEC5FB110</vt:lpwstr>
  </property>
  <property fmtid="{D5CDD505-2E9C-101B-9397-08002B2CF9AE}" pid="5" name="RevIMBCS">
    <vt:lpwstr>1;#Unclassified|3955eeb1-2d18-4582-aeb2-00144ec3aaf5</vt:lpwstr>
  </property>
  <property fmtid="{D5CDD505-2E9C-101B-9397-08002B2CF9AE}" pid="6" name="docLang">
    <vt:lpwstr>en</vt:lpwstr>
  </property>
  <property fmtid="{D5CDD505-2E9C-101B-9397-08002B2CF9AE}" pid="7" name="MSIP_Label_c1f2b1ce-4212-46db-a901-dd8453f57141_Enabled">
    <vt:lpwstr>true</vt:lpwstr>
  </property>
  <property fmtid="{D5CDD505-2E9C-101B-9397-08002B2CF9AE}" pid="8" name="MSIP_Label_c1f2b1ce-4212-46db-a901-dd8453f57141_SetDate">
    <vt:lpwstr>2026-09-24T05:32:44Z</vt:lpwstr>
  </property>
  <property fmtid="{D5CDD505-2E9C-101B-9397-08002B2CF9AE}" pid="9" name="MSIP_Label_c1f2b1ce-4212-46db-a901-dd8453f57141_Method">
    <vt:lpwstr>Privileged</vt:lpwstr>
  </property>
  <property fmtid="{D5CDD505-2E9C-101B-9397-08002B2CF9AE}" pid="10" name="MSIP_Label_c1f2b1ce-4212-46db-a901-dd8453f57141_Name">
    <vt:lpwstr>Publish</vt:lpwstr>
  </property>
  <property fmtid="{D5CDD505-2E9C-101B-9397-08002B2CF9AE}" pid="11" name="MSIP_Label_c1f2b1ce-4212-46db-a901-dd8453f57141_SiteId">
    <vt:lpwstr>29f9330b-c0fe-4244-830e-ba9f275d6c34</vt:lpwstr>
  </property>
  <property fmtid="{D5CDD505-2E9C-101B-9397-08002B2CF9AE}" pid="12" name="MSIP_Label_c1f2b1ce-4212-46db-a901-dd8453f57141_ActionId">
    <vt:lpwstr>e5627dd6-bde6-462c-8392-ff385b78ce23</vt:lpwstr>
  </property>
  <property fmtid="{D5CDD505-2E9C-101B-9397-08002B2CF9AE}" pid="13" name="MSIP_Label_c1f2b1ce-4212-46db-a901-dd8453f57141_ContentBits">
    <vt:lpwstr>0</vt:lpwstr>
  </property>
  <property fmtid="{D5CDD505-2E9C-101B-9397-08002B2CF9AE}" pid="14" name="MSIP_Label_c1f2b1ce-4212-46db-a901-dd8453f57141_Tag">
    <vt:lpwstr>10, 0, 1, 1</vt:lpwstr>
  </property>
</Properties>
</file>