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CBE4D" w14:textId="77777777" w:rsidR="00943D3D" w:rsidRPr="00943D3D" w:rsidRDefault="00943D3D" w:rsidP="00943D3D">
      <w:pPr>
        <w:spacing w:before="100" w:beforeAutospacing="1" w:after="100" w:afterAutospacing="1" w:line="240" w:lineRule="auto"/>
        <w:outlineLvl w:val="0"/>
        <w:rPr>
          <w:rFonts w:eastAsia="Times New Roman" w:cs="Times New Roman"/>
          <w:b/>
          <w:bCs/>
          <w:kern w:val="36"/>
          <w:sz w:val="28"/>
          <w:szCs w:val="28"/>
          <w:lang w:eastAsia="en-AU"/>
          <w14:ligatures w14:val="none"/>
        </w:rPr>
      </w:pPr>
      <w:r w:rsidRPr="00943D3D">
        <w:rPr>
          <w:rFonts w:eastAsia="Times New Roman" w:cs="Times New Roman"/>
          <w:b/>
          <w:bCs/>
          <w:kern w:val="36"/>
          <w:sz w:val="28"/>
          <w:szCs w:val="28"/>
          <w:lang w:eastAsia="en-AU"/>
          <w14:ligatures w14:val="none"/>
        </w:rPr>
        <w:t>Submission to the Productivity Commission</w:t>
      </w:r>
    </w:p>
    <w:p w14:paraId="6752B87A" w14:textId="3EC8EF8E" w:rsidR="00943D3D" w:rsidRPr="00561C74" w:rsidRDefault="00943D3D" w:rsidP="00943D3D">
      <w:pPr>
        <w:spacing w:before="100" w:beforeAutospacing="1" w:after="100" w:afterAutospacing="1" w:line="240" w:lineRule="auto"/>
        <w:outlineLvl w:val="1"/>
        <w:rPr>
          <w:rFonts w:eastAsia="Times New Roman" w:cs="Times New Roman"/>
          <w:b/>
          <w:bCs/>
          <w:kern w:val="0"/>
          <w:sz w:val="24"/>
          <w:szCs w:val="24"/>
          <w:lang w:eastAsia="en-AU"/>
          <w14:ligatures w14:val="none"/>
        </w:rPr>
      </w:pPr>
      <w:r w:rsidRPr="00561C74">
        <w:rPr>
          <w:rFonts w:eastAsia="Times New Roman" w:cs="Times New Roman"/>
          <w:b/>
          <w:bCs/>
          <w:kern w:val="0"/>
          <w:sz w:val="24"/>
          <w:szCs w:val="24"/>
          <w:lang w:eastAsia="en-AU"/>
          <w14:ligatures w14:val="none"/>
        </w:rPr>
        <w:t>Housing Supply Regulation Inquiry - Response to the Interim Report</w:t>
      </w:r>
    </w:p>
    <w:p w14:paraId="6B7C0BFE" w14:textId="03A97251" w:rsidR="00943D3D" w:rsidRPr="00561C74" w:rsidRDefault="00943D3D" w:rsidP="538485C9">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b/>
          <w:bCs/>
          <w:kern w:val="0"/>
          <w:sz w:val="24"/>
          <w:szCs w:val="24"/>
          <w:lang w:eastAsia="en-AU"/>
          <w14:ligatures w14:val="none"/>
        </w:rPr>
        <w:t>Submitted by:</w:t>
      </w:r>
      <w:r w:rsidRPr="00561C74">
        <w:rPr>
          <w:rFonts w:eastAsia="Times New Roman" w:cs="Times New Roman"/>
          <w:kern w:val="0"/>
          <w:sz w:val="24"/>
          <w:szCs w:val="24"/>
          <w:lang w:eastAsia="en-AU"/>
          <w14:ligatures w14:val="none"/>
        </w:rPr>
        <w:t xml:space="preserve"> National Association of Women in Construction</w:t>
      </w:r>
      <w:r w:rsidRPr="00561C74">
        <w:rPr>
          <w:rFonts w:eastAsia="Times New Roman" w:cs="Times New Roman"/>
          <w:kern w:val="0"/>
          <w:sz w:val="24"/>
          <w:szCs w:val="24"/>
          <w:lang w:eastAsia="en-AU"/>
          <w14:ligatures w14:val="none"/>
        </w:rPr>
        <w:br/>
      </w:r>
      <w:r w:rsidRPr="00561C74">
        <w:rPr>
          <w:rFonts w:eastAsia="Times New Roman" w:cs="Times New Roman"/>
          <w:b/>
          <w:bCs/>
          <w:kern w:val="0"/>
          <w:sz w:val="24"/>
          <w:szCs w:val="24"/>
          <w:lang w:eastAsia="en-AU"/>
          <w14:ligatures w14:val="none"/>
        </w:rPr>
        <w:t>Date:</w:t>
      </w:r>
      <w:r w:rsidRPr="00561C74">
        <w:rPr>
          <w:rFonts w:eastAsia="Times New Roman" w:cs="Times New Roman"/>
          <w:kern w:val="0"/>
          <w:sz w:val="24"/>
          <w:szCs w:val="24"/>
          <w:lang w:eastAsia="en-AU"/>
          <w14:ligatures w14:val="none"/>
        </w:rPr>
        <w:t xml:space="preserve"> 17 September 2026</w:t>
      </w:r>
      <w:r w:rsidRPr="00561C74">
        <w:rPr>
          <w:rFonts w:eastAsia="Times New Roman" w:cs="Times New Roman"/>
          <w:kern w:val="0"/>
          <w:sz w:val="24"/>
          <w:szCs w:val="24"/>
          <w:lang w:eastAsia="en-AU"/>
          <w14:ligatures w14:val="none"/>
        </w:rPr>
        <w:br/>
      </w:r>
      <w:r w:rsidRPr="00561C74">
        <w:rPr>
          <w:rFonts w:eastAsia="Times New Roman" w:cs="Times New Roman"/>
          <w:b/>
          <w:bCs/>
          <w:kern w:val="0"/>
          <w:sz w:val="24"/>
          <w:szCs w:val="24"/>
          <w:lang w:eastAsia="en-AU"/>
          <w14:ligatures w14:val="none"/>
        </w:rPr>
        <w:t>Contact:</w:t>
      </w:r>
      <w:r w:rsidRPr="00561C74">
        <w:rPr>
          <w:rFonts w:eastAsia="Times New Roman" w:cs="Times New Roman"/>
          <w:kern w:val="0"/>
          <w:sz w:val="24"/>
          <w:szCs w:val="24"/>
          <w:lang w:eastAsia="en-AU"/>
          <w14:ligatures w14:val="none"/>
        </w:rPr>
        <w:t xml:space="preserve"> Cathryn Greville, C</w:t>
      </w:r>
      <w:r w:rsidR="000D04F2">
        <w:rPr>
          <w:rFonts w:eastAsia="Times New Roman" w:cs="Times New Roman"/>
          <w:kern w:val="0"/>
          <w:sz w:val="24"/>
          <w:szCs w:val="24"/>
          <w:lang w:eastAsia="en-AU"/>
          <w14:ligatures w14:val="none"/>
        </w:rPr>
        <w:t xml:space="preserve">EO </w:t>
      </w:r>
      <w:r w:rsidRPr="00561C74">
        <w:rPr>
          <w:rFonts w:eastAsia="Times New Roman" w:cs="Times New Roman"/>
          <w:kern w:val="0"/>
          <w:sz w:val="24"/>
          <w:szCs w:val="24"/>
          <w:lang w:eastAsia="en-AU"/>
          <w14:ligatures w14:val="none"/>
        </w:rPr>
        <w:br/>
      </w:r>
      <w:r w:rsidRPr="00561C74">
        <w:rPr>
          <w:rFonts w:eastAsia="Times New Roman" w:cs="Times New Roman"/>
          <w:b/>
          <w:bCs/>
          <w:kern w:val="0"/>
          <w:sz w:val="24"/>
          <w:szCs w:val="24"/>
          <w:lang w:eastAsia="en-AU"/>
          <w14:ligatures w14:val="none"/>
        </w:rPr>
        <w:t>Email:</w:t>
      </w:r>
      <w:r w:rsidRPr="00561C74">
        <w:rPr>
          <w:rFonts w:eastAsia="Times New Roman" w:cs="Times New Roman"/>
          <w:kern w:val="0"/>
          <w:sz w:val="24"/>
          <w:szCs w:val="24"/>
          <w:lang w:eastAsia="en-AU"/>
          <w14:ligatures w14:val="none"/>
        </w:rPr>
        <w:t xml:space="preserve"> </w:t>
      </w:r>
      <w:r w:rsidR="468FC9F3" w:rsidRPr="538485C9">
        <w:rPr>
          <w:rFonts w:eastAsia="Times New Roman" w:cs="Times New Roman"/>
          <w:sz w:val="24"/>
          <w:szCs w:val="24"/>
          <w:lang w:eastAsia="en-AU"/>
        </w:rPr>
        <w:t>[Redacted]</w:t>
      </w:r>
    </w:p>
    <w:p w14:paraId="3B119537" w14:textId="77777777" w:rsidR="00943D3D" w:rsidRPr="00561C74" w:rsidRDefault="00943D3D" w:rsidP="00943D3D">
      <w:pPr>
        <w:spacing w:before="100" w:beforeAutospacing="1" w:after="100" w:afterAutospacing="1" w:line="240" w:lineRule="auto"/>
        <w:outlineLvl w:val="1"/>
        <w:rPr>
          <w:rFonts w:eastAsia="Times New Roman" w:cs="Times New Roman"/>
          <w:b/>
          <w:bCs/>
          <w:kern w:val="0"/>
          <w:sz w:val="24"/>
          <w:szCs w:val="24"/>
          <w:lang w:eastAsia="en-AU"/>
          <w14:ligatures w14:val="none"/>
        </w:rPr>
      </w:pPr>
      <w:r w:rsidRPr="00561C74">
        <w:rPr>
          <w:rFonts w:eastAsia="Times New Roman" w:cs="Times New Roman"/>
          <w:b/>
          <w:bCs/>
          <w:kern w:val="0"/>
          <w:sz w:val="24"/>
          <w:szCs w:val="24"/>
          <w:lang w:eastAsia="en-AU"/>
          <w14:ligatures w14:val="none"/>
        </w:rPr>
        <w:t>Executive summary</w:t>
      </w:r>
    </w:p>
    <w:p w14:paraId="2C9621AB"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The National Association of Women in Construction (NAWIC) welcomes the opportunity to respond to the Productivity Commission’s interim report on housing supply regulation.</w:t>
      </w:r>
    </w:p>
    <w:p w14:paraId="169669ED"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Australia will not meet its housing ambitions without expanding and diversifying the construction workforce. Women remain significantly underrepresented across the industry, particularly in trade and site-based occupations, despite representing one of the largest opportunities to increase workforce capacity.</w:t>
      </w:r>
    </w:p>
    <w:p w14:paraId="236A638B" w14:textId="5F1F276B"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proofErr w:type="spellStart"/>
      <w:r w:rsidRPr="00561C74">
        <w:rPr>
          <w:rFonts w:eastAsia="Times New Roman" w:cs="Times New Roman"/>
          <w:kern w:val="0"/>
          <w:sz w:val="24"/>
          <w:szCs w:val="24"/>
          <w:lang w:eastAsia="en-AU"/>
          <w14:ligatures w14:val="none"/>
        </w:rPr>
        <w:t>BuildSkills</w:t>
      </w:r>
      <w:proofErr w:type="spellEnd"/>
      <w:r w:rsidRPr="00561C74">
        <w:rPr>
          <w:rFonts w:eastAsia="Times New Roman" w:cs="Times New Roman"/>
          <w:kern w:val="0"/>
          <w:sz w:val="24"/>
          <w:szCs w:val="24"/>
          <w:lang w:eastAsia="en-AU"/>
          <w14:ligatures w14:val="none"/>
        </w:rPr>
        <w:t xml:space="preserve"> Australia estimates that meeting Australia’s housing ambitions will require approximately 116,700 additional workers beyond business-as-usual workforce growth by 2029. Its </w:t>
      </w:r>
      <w:r w:rsidRPr="00561C74">
        <w:rPr>
          <w:rFonts w:eastAsia="Times New Roman" w:cs="Times New Roman"/>
          <w:i/>
          <w:iCs/>
          <w:kern w:val="0"/>
          <w:sz w:val="24"/>
          <w:szCs w:val="24"/>
          <w:lang w:eastAsia="en-AU"/>
          <w14:ligatures w14:val="none"/>
        </w:rPr>
        <w:t>Housing Workforce Capacity Study</w:t>
      </w:r>
      <w:r w:rsidRPr="00561C74">
        <w:rPr>
          <w:rFonts w:eastAsia="Times New Roman" w:cs="Times New Roman"/>
          <w:kern w:val="0"/>
          <w:sz w:val="24"/>
          <w:szCs w:val="24"/>
          <w:lang w:eastAsia="en-AU"/>
          <w14:ligatures w14:val="none"/>
        </w:rPr>
        <w:t xml:space="preserve"> identifies greater participation by women as the largest individual workforce opportunity, estimating that lifting women’s participation to a level comparable with manufacturing could add up to 51,000 workers.</w:t>
      </w:r>
    </w:p>
    <w:p w14:paraId="4379990C"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Increasing women’s participation is therefore not peripheral to the housing supply challenge. It is an important part of building the workforce required to convert regulatory reform into completed homes.</w:t>
      </w:r>
    </w:p>
    <w:p w14:paraId="2AF13B20"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NAWIC supports the Commission’s objective of enabling more homes to be built, more quickly, in the places Australians want and need to live. We broadly support its proposed principles for a best-practice housing regulatory system:</w:t>
      </w:r>
    </w:p>
    <w:p w14:paraId="03760555" w14:textId="77777777" w:rsidR="00943D3D" w:rsidRPr="00561C74" w:rsidRDefault="00943D3D" w:rsidP="00943D3D">
      <w:pPr>
        <w:numPr>
          <w:ilvl w:val="0"/>
          <w:numId w:val="29"/>
        </w:num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Adopt a build mindset.</w:t>
      </w:r>
    </w:p>
    <w:p w14:paraId="61B74506" w14:textId="77777777" w:rsidR="00943D3D" w:rsidRPr="00561C74" w:rsidRDefault="00943D3D" w:rsidP="00943D3D">
      <w:pPr>
        <w:numPr>
          <w:ilvl w:val="0"/>
          <w:numId w:val="29"/>
        </w:num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Only regulate when necessary.</w:t>
      </w:r>
    </w:p>
    <w:p w14:paraId="4EDFEB65" w14:textId="77777777" w:rsidR="00943D3D" w:rsidRPr="00561C74" w:rsidRDefault="00943D3D" w:rsidP="00943D3D">
      <w:pPr>
        <w:numPr>
          <w:ilvl w:val="0"/>
          <w:numId w:val="29"/>
        </w:num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Coordinate with infrastructure.</w:t>
      </w:r>
    </w:p>
    <w:p w14:paraId="7F5650F6" w14:textId="77777777" w:rsidR="00943D3D" w:rsidRPr="00561C74" w:rsidRDefault="00943D3D" w:rsidP="00943D3D">
      <w:pPr>
        <w:numPr>
          <w:ilvl w:val="0"/>
          <w:numId w:val="29"/>
        </w:num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Keep the process simple.</w:t>
      </w:r>
    </w:p>
    <w:p w14:paraId="2D6CF451"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Reform should make planning and approvals more efficient, predictable and proportionate; improve coordination between housing and enabling infrastructure; and remove regulatory barriers that do not produce a clear public benefit.</w:t>
      </w:r>
    </w:p>
    <w:p w14:paraId="47E58025" w14:textId="125D83FF"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However, the success of reform must be measured by additional completed homes</w:t>
      </w:r>
      <w:r w:rsidR="006817C1" w:rsidRPr="00561C74">
        <w:rPr>
          <w:rFonts w:eastAsia="Times New Roman" w:cs="Times New Roman"/>
          <w:kern w:val="0"/>
          <w:sz w:val="24"/>
          <w:szCs w:val="24"/>
          <w:lang w:eastAsia="en-AU"/>
          <w14:ligatures w14:val="none"/>
        </w:rPr>
        <w:t xml:space="preserve"> </w:t>
      </w:r>
      <w:r w:rsidRPr="00561C74">
        <w:rPr>
          <w:rFonts w:eastAsia="Times New Roman" w:cs="Times New Roman"/>
          <w:kern w:val="0"/>
          <w:sz w:val="24"/>
          <w:szCs w:val="24"/>
          <w:lang w:eastAsia="en-AU"/>
          <w14:ligatures w14:val="none"/>
        </w:rPr>
        <w:t>not simply rezoning, development applications or approvals. Governments must also consider whether the construction industry has the capacity to deliver the resulting pipeline.</w:t>
      </w:r>
    </w:p>
    <w:p w14:paraId="4A71F889"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lastRenderedPageBreak/>
        <w:t>Recruitment alone will not deliver the sustained workforce growth required. The industry must provide conditions that enable women to enter construction, remain in the industry and progress into skilled, supervisory, technical and leadership roles. These include safe and respectful workplaces, appropriate amenities and equipment, sustainable working arrangements, accessible entry pathways and clear opportunities for career progression.</w:t>
      </w:r>
    </w:p>
    <w:p w14:paraId="11588B98"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NAWIC recognises that the inquiry is focused on housing regulation rather than labour supply policy. We are not proposing that the Commission extend its scope. We ask the Commission to recognise workforce capacity and diversity as important implementation considerations and to ensure that reform reinforces, rather than undermines, the conditions required to attract and retain women.</w:t>
      </w:r>
    </w:p>
    <w:p w14:paraId="0CF0084F"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NAWIC’s core position is:</w:t>
      </w:r>
    </w:p>
    <w:p w14:paraId="6F7B7A1D"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b/>
          <w:bCs/>
          <w:kern w:val="0"/>
          <w:sz w:val="24"/>
          <w:szCs w:val="24"/>
          <w:lang w:eastAsia="en-AU"/>
          <w14:ligatures w14:val="none"/>
        </w:rPr>
        <w:t>Australia will not meet its housing ambitions without expanding and diversifying the construction workforce. Housing supply reform must therefore be implemented alongside workforce settings that enable construction to attract, retain and progress women, while maintaining safe, productive and professionally accountable workplaces.</w:t>
      </w:r>
    </w:p>
    <w:p w14:paraId="6F08AC4F" w14:textId="50DC3144"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 xml:space="preserve">NAWIC makes </w:t>
      </w:r>
      <w:r w:rsidR="004F5F63">
        <w:rPr>
          <w:rFonts w:eastAsia="Times New Roman" w:cs="Times New Roman"/>
          <w:kern w:val="0"/>
          <w:sz w:val="24"/>
          <w:szCs w:val="24"/>
          <w:lang w:eastAsia="en-AU"/>
          <w14:ligatures w14:val="none"/>
        </w:rPr>
        <w:t>five</w:t>
      </w:r>
      <w:r w:rsidRPr="00561C74">
        <w:rPr>
          <w:rFonts w:eastAsia="Times New Roman" w:cs="Times New Roman"/>
          <w:kern w:val="0"/>
          <w:sz w:val="24"/>
          <w:szCs w:val="24"/>
          <w:lang w:eastAsia="en-AU"/>
          <w14:ligatures w14:val="none"/>
        </w:rPr>
        <w:t xml:space="preserve"> recommendations aligned with the themes of the interim report. Together, they seek to ensure that regulatory reform translates into completed homes and supports a construction industry capable of drawing on the full available workforce.</w:t>
      </w:r>
    </w:p>
    <w:p w14:paraId="0979D40D" w14:textId="77777777" w:rsidR="00943D3D" w:rsidRPr="00561C74" w:rsidRDefault="00943D3D" w:rsidP="00943D3D">
      <w:pPr>
        <w:spacing w:before="100" w:beforeAutospacing="1" w:after="100" w:afterAutospacing="1" w:line="240" w:lineRule="auto"/>
        <w:outlineLvl w:val="1"/>
        <w:rPr>
          <w:rFonts w:eastAsia="Times New Roman" w:cs="Times New Roman"/>
          <w:b/>
          <w:bCs/>
          <w:kern w:val="0"/>
          <w:sz w:val="24"/>
          <w:szCs w:val="24"/>
          <w:lang w:eastAsia="en-AU"/>
          <w14:ligatures w14:val="none"/>
        </w:rPr>
      </w:pPr>
      <w:r w:rsidRPr="00561C74">
        <w:rPr>
          <w:rFonts w:eastAsia="Times New Roman" w:cs="Times New Roman"/>
          <w:b/>
          <w:bCs/>
          <w:kern w:val="0"/>
          <w:sz w:val="24"/>
          <w:szCs w:val="24"/>
          <w:lang w:eastAsia="en-AU"/>
          <w14:ligatures w14:val="none"/>
        </w:rPr>
        <w:t>About NAWIC</w:t>
      </w:r>
    </w:p>
    <w:p w14:paraId="21C8AD6C"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The National Association of Women in Construction is a national organisation representing and supporting women across construction and the built environment.</w:t>
      </w:r>
    </w:p>
    <w:p w14:paraId="2AB1D2A4"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NAWIC works with governments, employers, industry bodies, education and training providers, and construction professionals to improve the attraction, retention and progression of women. Its members work across residential and commercial construction, infrastructure, engineering, architecture, planning, project management, professional services, procurement, trades, education and government.</w:t>
      </w:r>
    </w:p>
    <w:p w14:paraId="02EA9F38"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 xml:space="preserve">NAWIC therefore has a direct interest in both the effectiveness of Australia’s housing supply system and the capacity of the construction workforce to deliver the </w:t>
      </w:r>
      <w:proofErr w:type="gramStart"/>
      <w:r w:rsidRPr="00561C74">
        <w:rPr>
          <w:rFonts w:eastAsia="Times New Roman" w:cs="Times New Roman"/>
          <w:kern w:val="0"/>
          <w:sz w:val="24"/>
          <w:szCs w:val="24"/>
          <w:lang w:eastAsia="en-AU"/>
          <w14:ligatures w14:val="none"/>
        </w:rPr>
        <w:t>homes</w:t>
      </w:r>
      <w:proofErr w:type="gramEnd"/>
      <w:r w:rsidRPr="00561C74">
        <w:rPr>
          <w:rFonts w:eastAsia="Times New Roman" w:cs="Times New Roman"/>
          <w:kern w:val="0"/>
          <w:sz w:val="24"/>
          <w:szCs w:val="24"/>
          <w:lang w:eastAsia="en-AU"/>
          <w14:ligatures w14:val="none"/>
        </w:rPr>
        <w:t xml:space="preserve"> and infrastructure Australia needs.</w:t>
      </w:r>
    </w:p>
    <w:p w14:paraId="3685F434" w14:textId="77777777" w:rsidR="00943D3D" w:rsidRPr="00561C74" w:rsidRDefault="00943D3D" w:rsidP="00943D3D">
      <w:pPr>
        <w:spacing w:before="100" w:beforeAutospacing="1" w:after="100" w:afterAutospacing="1" w:line="240" w:lineRule="auto"/>
        <w:outlineLvl w:val="1"/>
        <w:rPr>
          <w:rFonts w:eastAsia="Times New Roman" w:cs="Times New Roman"/>
          <w:b/>
          <w:bCs/>
          <w:kern w:val="0"/>
          <w:sz w:val="24"/>
          <w:szCs w:val="24"/>
          <w:lang w:eastAsia="en-AU"/>
          <w14:ligatures w14:val="none"/>
        </w:rPr>
      </w:pPr>
      <w:r w:rsidRPr="00561C74">
        <w:rPr>
          <w:rFonts w:eastAsia="Times New Roman" w:cs="Times New Roman"/>
          <w:b/>
          <w:bCs/>
          <w:kern w:val="0"/>
          <w:sz w:val="24"/>
          <w:szCs w:val="24"/>
          <w:lang w:eastAsia="en-AU"/>
          <w14:ligatures w14:val="none"/>
        </w:rPr>
        <w:t>1. Best practice for housing regulatory systems</w:t>
      </w:r>
    </w:p>
    <w:p w14:paraId="4BF64E46"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NAWIC supports the Commission’s proposed principles for a best-practice housing regulatory system. Regulation should be proportionate, clear, consistently administered and focused on enabling appropriate housing development.</w:t>
      </w:r>
    </w:p>
    <w:p w14:paraId="4325B609"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lastRenderedPageBreak/>
        <w:t>NAWIC supports removing requirements and processes that create unnecessary duplication, delay, uncertainty or cost. However, a build mindset must not become a “build at any cost” approach.</w:t>
      </w:r>
    </w:p>
    <w:p w14:paraId="18C5529C"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Safety, building quality, professional competency and clear accountability are necessary features of a productive construction industry. Streamlining regulation should not weaken these protections or make responsibility for design, construction, certification and workplace safety less clear.</w:t>
      </w:r>
    </w:p>
    <w:p w14:paraId="64FEEE41"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These protections also matter to women’s participation. Women are more likely to enter and remain in construction when workplaces are safe, respectful and professionally managed, and where standards and avenues for accountability are clear.</w:t>
      </w:r>
    </w:p>
    <w:p w14:paraId="23072DAC"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Women’s participation should therefore be recognised not only as an equity objective, but as a housing delivery consideration. Australia cannot continue drawing its construction workforce from only part of the available population while seeking to deliver a substantially larger housing pipeline.</w:t>
      </w:r>
    </w:p>
    <w:p w14:paraId="656FF533"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The Commission should acknowledge workforce capacity as an important consideration in the implementation and sequencing of regulatory reform. This does not require detailed recommendations on labour supply. It recognises that regulatory reform will not produce additional completed homes unless the construction industry has the people and capability to deliver them.</w:t>
      </w:r>
    </w:p>
    <w:p w14:paraId="09F6D792" w14:textId="77777777" w:rsidR="00C05F44" w:rsidRPr="00561C74" w:rsidRDefault="00C05F44" w:rsidP="00C05F44">
      <w:pPr>
        <w:spacing w:after="0" w:line="240" w:lineRule="auto"/>
        <w:rPr>
          <w:rFonts w:eastAsia="Times New Roman" w:cs="Times New Roman"/>
          <w:b/>
          <w:bCs/>
          <w:kern w:val="0"/>
          <w:sz w:val="24"/>
          <w:szCs w:val="24"/>
          <w:lang w:eastAsia="en-AU"/>
          <w14:ligatures w14:val="none"/>
        </w:rPr>
      </w:pPr>
      <w:r w:rsidRPr="00561C74">
        <w:rPr>
          <w:noProof/>
          <w:sz w:val="24"/>
          <w:szCs w:val="24"/>
        </w:rPr>
        <mc:AlternateContent>
          <mc:Choice Requires="wps">
            <w:drawing>
              <wp:anchor distT="0" distB="0" distL="114300" distR="114300" simplePos="0" relativeHeight="251659264" behindDoc="0" locked="0" layoutInCell="1" allowOverlap="1" wp14:anchorId="48D6058C" wp14:editId="559FA912">
                <wp:simplePos x="0" y="0"/>
                <wp:positionH relativeFrom="column">
                  <wp:posOffset>0</wp:posOffset>
                </wp:positionH>
                <wp:positionV relativeFrom="paragraph">
                  <wp:posOffset>0</wp:posOffset>
                </wp:positionV>
                <wp:extent cx="1828800" cy="1828800"/>
                <wp:effectExtent l="0" t="0" r="0" b="0"/>
                <wp:wrapSquare wrapText="bothSides"/>
                <wp:docPr id="2082455446"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7E5A4423" w14:textId="77777777" w:rsidR="00C05F44" w:rsidRPr="00561C74" w:rsidRDefault="00C05F44"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b/>
                                <w:bCs/>
                                <w:kern w:val="0"/>
                                <w:sz w:val="24"/>
                                <w:szCs w:val="24"/>
                                <w:lang w:eastAsia="en-AU"/>
                                <w14:ligatures w14:val="none"/>
                              </w:rPr>
                              <w:t>RECOMMENDATION 1 — RECOGNISE WOMEN’S PARTICIPATION IN HOUSING DELIVERY</w:t>
                            </w:r>
                          </w:p>
                          <w:p w14:paraId="67F4ECD9" w14:textId="77777777" w:rsidR="00C05F44" w:rsidRPr="00561C74" w:rsidRDefault="00C05F44"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The Productivity Commission should recognise that increasing women’s participation, retention and progression is an important part of expanding the construction workforce needed to deliver additional housing.</w:t>
                            </w:r>
                          </w:p>
                          <w:p w14:paraId="3A2F1DAB" w14:textId="77777777" w:rsidR="00C05F44" w:rsidRPr="00561C74" w:rsidRDefault="00C05F44" w:rsidP="007428FA">
                            <w:pPr>
                              <w:spacing w:before="100" w:beforeAutospacing="1" w:after="100" w:afterAutospacing="1" w:line="240" w:lineRule="auto"/>
                              <w:rPr>
                                <w:rFonts w:eastAsia="Times New Roman" w:cs="Times New Roman"/>
                                <w:kern w:val="0"/>
                                <w:sz w:val="24"/>
                                <w:szCs w:val="24"/>
                                <w14:ligatures w14:val="none"/>
                              </w:rPr>
                            </w:pPr>
                            <w:r w:rsidRPr="00561C74">
                              <w:rPr>
                                <w:rFonts w:eastAsia="Times New Roman" w:cs="Times New Roman"/>
                                <w:kern w:val="0"/>
                                <w:sz w:val="24"/>
                                <w:szCs w:val="24"/>
                                <w:lang w:eastAsia="en-AU"/>
                                <w14:ligatures w14:val="none"/>
                              </w:rPr>
                              <w:t>The final report should also make clear that removing unnecessary regulation must not weaken the safety, building quality, professional competency and accountability requirements that support women’s participation and a productive construction industry.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8D6058C"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" filled="f" strokeweight=".5pt">
                <v:textbox style="mso-fit-shape-to-text:t">
                  <w:txbxContent>
                    <w:p w14:paraId="7E5A4423" w14:textId="77777777" w:rsidR="00C05F44" w:rsidRPr="00561C74" w:rsidRDefault="00C05F44"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b/>
                          <w:bCs/>
                          <w:kern w:val="0"/>
                          <w:sz w:val="24"/>
                          <w:szCs w:val="24"/>
                          <w:lang w:eastAsia="en-AU"/>
                          <w14:ligatures w14:val="none"/>
                        </w:rPr>
                        <w:t>RECOMMENDATION 1 — RECOGNISE WOMEN’S PARTICIPATION IN HOUSING DELIVERY</w:t>
                      </w:r>
                    </w:p>
                    <w:p w14:paraId="67F4ECD9" w14:textId="77777777" w:rsidR="00C05F44" w:rsidRPr="00561C74" w:rsidRDefault="00C05F44"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The Productivity Commission should recognise that increasing women’s participation, retention and progression is an important part of expanding the construction workforce needed to deliver additional housing.</w:t>
                      </w:r>
                    </w:p>
                    <w:p w14:paraId="3A2F1DAB" w14:textId="77777777" w:rsidR="00C05F44" w:rsidRPr="00561C74" w:rsidRDefault="00C05F44" w:rsidP="007428FA">
                      <w:pPr>
                        <w:spacing w:before="100" w:beforeAutospacing="1" w:after="100" w:afterAutospacing="1" w:line="240" w:lineRule="auto"/>
                        <w:rPr>
                          <w:rFonts w:eastAsia="Times New Roman" w:cs="Times New Roman"/>
                          <w:kern w:val="0"/>
                          <w:sz w:val="24"/>
                          <w:szCs w:val="24"/>
                          <w14:ligatures w14:val="none"/>
                        </w:rPr>
                      </w:pPr>
                      <w:r w:rsidRPr="00561C74">
                        <w:rPr>
                          <w:rFonts w:eastAsia="Times New Roman" w:cs="Times New Roman"/>
                          <w:kern w:val="0"/>
                          <w:sz w:val="24"/>
                          <w:szCs w:val="24"/>
                          <w:lang w:eastAsia="en-AU"/>
                          <w14:ligatures w14:val="none"/>
                        </w:rPr>
                        <w:t>The final report should also make clear that removing unnecessary regulation must not weaken the safety, building quality, professional competency and accountability requirements that support women’s participation and a productive construction industry.</w:t>
                      </w:r>
                    </w:p>
                  </w:txbxContent>
                </v:textbox>
                <w10:wrap type="square"/>
              </v:shape>
            </w:pict>
          </mc:Fallback>
        </mc:AlternateContent>
      </w:r>
    </w:p>
    <w:p w14:paraId="7C905AFD" w14:textId="2C7E7262" w:rsidR="00943D3D" w:rsidRDefault="00943D3D" w:rsidP="00C05F44">
      <w:pPr>
        <w:spacing w:after="0" w:line="240" w:lineRule="auto"/>
        <w:rPr>
          <w:rFonts w:eastAsia="Times New Roman" w:cs="Times New Roman"/>
          <w:b/>
          <w:bCs/>
          <w:kern w:val="0"/>
          <w:sz w:val="24"/>
          <w:szCs w:val="24"/>
          <w:lang w:eastAsia="en-AU"/>
          <w14:ligatures w14:val="none"/>
        </w:rPr>
      </w:pPr>
      <w:r w:rsidRPr="00561C74">
        <w:rPr>
          <w:rFonts w:eastAsia="Times New Roman" w:cs="Times New Roman"/>
          <w:b/>
          <w:bCs/>
          <w:kern w:val="0"/>
          <w:sz w:val="24"/>
          <w:szCs w:val="24"/>
          <w:lang w:eastAsia="en-AU"/>
          <w14:ligatures w14:val="none"/>
        </w:rPr>
        <w:t>2. Unlocking more homes through better land-use regulation</w:t>
      </w:r>
    </w:p>
    <w:p w14:paraId="2AA9E37E" w14:textId="45C884F4" w:rsidR="00AA37BE" w:rsidRPr="00AA37BE" w:rsidRDefault="00AA37BE" w:rsidP="00AA37BE">
      <w:pPr>
        <w:spacing w:before="100" w:beforeAutospacing="1" w:after="100" w:afterAutospacing="1" w:line="240" w:lineRule="auto"/>
        <w:rPr>
          <w:rFonts w:eastAsia="Times New Roman" w:cs="Times New Roman"/>
          <w:kern w:val="0"/>
          <w:sz w:val="24"/>
          <w:szCs w:val="24"/>
          <w:lang w:eastAsia="en-AU"/>
          <w14:ligatures w14:val="none"/>
        </w:rPr>
      </w:pPr>
      <w:r w:rsidRPr="00AA37BE">
        <w:rPr>
          <w:rFonts w:eastAsia="Times New Roman" w:cs="Times New Roman"/>
          <w:kern w:val="0"/>
          <w:sz w:val="24"/>
          <w:szCs w:val="24"/>
          <w:lang w:eastAsia="en-AU"/>
          <w14:ligatures w14:val="none"/>
        </w:rPr>
        <w:t>NAWIC supports land</w:t>
      </w:r>
      <w:r w:rsidR="00687CD1">
        <w:rPr>
          <w:rFonts w:eastAsia="Times New Roman" w:cs="Times New Roman"/>
          <w:kern w:val="0"/>
          <w:sz w:val="24"/>
          <w:szCs w:val="24"/>
          <w:lang w:eastAsia="en-AU"/>
          <w14:ligatures w14:val="none"/>
        </w:rPr>
        <w:t xml:space="preserve"> </w:t>
      </w:r>
      <w:r w:rsidRPr="00AA37BE">
        <w:rPr>
          <w:rFonts w:eastAsia="Times New Roman" w:cs="Times New Roman"/>
          <w:kern w:val="0"/>
          <w:sz w:val="24"/>
          <w:szCs w:val="24"/>
          <w:lang w:eastAsia="en-AU"/>
          <w14:ligatures w14:val="none"/>
        </w:rPr>
        <w:t>use reforms that enable greater housing density and a broader range of housing types in locations with access to employment, transport, services and infrastructure.</w:t>
      </w:r>
    </w:p>
    <w:p w14:paraId="52890FEB" w14:textId="3E5171A1" w:rsidR="00AA37BE" w:rsidRPr="00AA37BE" w:rsidRDefault="00AA37BE" w:rsidP="00AA37BE">
      <w:pPr>
        <w:spacing w:before="100" w:beforeAutospacing="1" w:after="100" w:afterAutospacing="1" w:line="240" w:lineRule="auto"/>
        <w:rPr>
          <w:rFonts w:eastAsia="Times New Roman" w:cs="Times New Roman"/>
          <w:kern w:val="0"/>
          <w:sz w:val="24"/>
          <w:szCs w:val="24"/>
          <w:lang w:eastAsia="en-AU"/>
          <w14:ligatures w14:val="none"/>
        </w:rPr>
      </w:pPr>
      <w:r w:rsidRPr="00AA37BE">
        <w:rPr>
          <w:rFonts w:eastAsia="Times New Roman" w:cs="Times New Roman"/>
          <w:kern w:val="0"/>
          <w:sz w:val="24"/>
          <w:szCs w:val="24"/>
          <w:lang w:eastAsia="en-AU"/>
          <w14:ligatures w14:val="none"/>
        </w:rPr>
        <w:t>Clear and consistent planning controls can reduce uncertainty and provide a more predictable pipeline of work. NAWIC supports appropriate reforms to enable low and mid-</w:t>
      </w:r>
      <w:r w:rsidRPr="00AA37BE">
        <w:rPr>
          <w:rFonts w:eastAsia="Times New Roman" w:cs="Times New Roman"/>
          <w:kern w:val="0"/>
          <w:sz w:val="24"/>
          <w:szCs w:val="24"/>
          <w:lang w:eastAsia="en-AU"/>
          <w14:ligatures w14:val="none"/>
        </w:rPr>
        <w:lastRenderedPageBreak/>
        <w:t>rise housing, greater density in high-demand locations, mixed-use and infill development, and the removal of land</w:t>
      </w:r>
      <w:r w:rsidR="002E7FD6">
        <w:rPr>
          <w:rFonts w:eastAsia="Times New Roman" w:cs="Times New Roman"/>
          <w:kern w:val="0"/>
          <w:sz w:val="24"/>
          <w:szCs w:val="24"/>
          <w:lang w:eastAsia="en-AU"/>
          <w14:ligatures w14:val="none"/>
        </w:rPr>
        <w:t xml:space="preserve"> </w:t>
      </w:r>
      <w:r w:rsidRPr="00AA37BE">
        <w:rPr>
          <w:rFonts w:eastAsia="Times New Roman" w:cs="Times New Roman"/>
          <w:kern w:val="0"/>
          <w:sz w:val="24"/>
          <w:szCs w:val="24"/>
          <w:lang w:eastAsia="en-AU"/>
          <w14:ligatures w14:val="none"/>
        </w:rPr>
        <w:t>use and built</w:t>
      </w:r>
      <w:r w:rsidR="002E7FD6">
        <w:rPr>
          <w:rFonts w:eastAsia="Times New Roman" w:cs="Times New Roman"/>
          <w:kern w:val="0"/>
          <w:sz w:val="24"/>
          <w:szCs w:val="24"/>
          <w:lang w:eastAsia="en-AU"/>
          <w14:ligatures w14:val="none"/>
        </w:rPr>
        <w:t xml:space="preserve"> </w:t>
      </w:r>
      <w:r w:rsidRPr="00AA37BE">
        <w:rPr>
          <w:rFonts w:eastAsia="Times New Roman" w:cs="Times New Roman"/>
          <w:kern w:val="0"/>
          <w:sz w:val="24"/>
          <w:szCs w:val="24"/>
          <w:lang w:eastAsia="en-AU"/>
          <w14:ligatures w14:val="none"/>
        </w:rPr>
        <w:t>form controls where their costs exceed their public benefits.</w:t>
      </w:r>
    </w:p>
    <w:p w14:paraId="6F349E95" w14:textId="77777777" w:rsidR="00AA37BE" w:rsidRPr="00AA37BE" w:rsidRDefault="00AA37BE" w:rsidP="00AA37BE">
      <w:pPr>
        <w:spacing w:before="100" w:beforeAutospacing="1" w:after="100" w:afterAutospacing="1" w:line="240" w:lineRule="auto"/>
        <w:rPr>
          <w:rFonts w:eastAsia="Times New Roman" w:cs="Times New Roman"/>
          <w:kern w:val="0"/>
          <w:sz w:val="24"/>
          <w:szCs w:val="24"/>
          <w:lang w:eastAsia="en-AU"/>
          <w14:ligatures w14:val="none"/>
        </w:rPr>
      </w:pPr>
      <w:r w:rsidRPr="00AA37BE">
        <w:rPr>
          <w:rFonts w:eastAsia="Times New Roman" w:cs="Times New Roman"/>
          <w:kern w:val="0"/>
          <w:sz w:val="24"/>
          <w:szCs w:val="24"/>
          <w:lang w:eastAsia="en-AU"/>
          <w14:ligatures w14:val="none"/>
        </w:rPr>
        <w:t>Where restrictions are retained for environmental, heritage, hazard or other legitimate reasons, they should be transparent, evidence-based and proportionate.</w:t>
      </w:r>
    </w:p>
    <w:p w14:paraId="50B4AFC4" w14:textId="05796120" w:rsidR="00AA37BE" w:rsidRPr="00AA37BE" w:rsidRDefault="00AA37BE" w:rsidP="00AA37BE">
      <w:pPr>
        <w:spacing w:before="100" w:beforeAutospacing="1" w:after="100" w:afterAutospacing="1" w:line="240" w:lineRule="auto"/>
        <w:rPr>
          <w:rFonts w:eastAsia="Times New Roman" w:cs="Times New Roman"/>
          <w:kern w:val="0"/>
          <w:sz w:val="24"/>
          <w:szCs w:val="24"/>
          <w:lang w:eastAsia="en-AU"/>
          <w14:ligatures w14:val="none"/>
        </w:rPr>
      </w:pPr>
      <w:r w:rsidRPr="00AA37BE">
        <w:rPr>
          <w:rFonts w:eastAsia="Times New Roman" w:cs="Times New Roman"/>
          <w:kern w:val="0"/>
          <w:sz w:val="24"/>
          <w:szCs w:val="24"/>
          <w:lang w:eastAsia="en-AU"/>
          <w14:ligatures w14:val="none"/>
        </w:rPr>
        <w:t>A clear and stable housing pipeline is also important for workforce planning. Greater certainty gives construction businesses</w:t>
      </w:r>
      <w:r w:rsidR="007B2885">
        <w:rPr>
          <w:rFonts w:eastAsia="Times New Roman" w:cs="Times New Roman"/>
          <w:kern w:val="0"/>
          <w:sz w:val="24"/>
          <w:szCs w:val="24"/>
          <w:lang w:eastAsia="en-AU"/>
          <w14:ligatures w14:val="none"/>
        </w:rPr>
        <w:t xml:space="preserve"> </w:t>
      </w:r>
      <w:r w:rsidRPr="00AA37BE">
        <w:rPr>
          <w:rFonts w:eastAsia="Times New Roman" w:cs="Times New Roman"/>
          <w:kern w:val="0"/>
          <w:sz w:val="24"/>
          <w:szCs w:val="24"/>
          <w:lang w:eastAsia="en-AU"/>
          <w14:ligatures w14:val="none"/>
        </w:rPr>
        <w:t>particularly small and medium-sized businesses</w:t>
      </w:r>
      <w:r w:rsidR="007B2885">
        <w:rPr>
          <w:rFonts w:eastAsia="Times New Roman" w:cs="Times New Roman"/>
          <w:kern w:val="0"/>
          <w:sz w:val="24"/>
          <w:szCs w:val="24"/>
          <w:lang w:eastAsia="en-AU"/>
          <w14:ligatures w14:val="none"/>
        </w:rPr>
        <w:t xml:space="preserve"> </w:t>
      </w:r>
      <w:r w:rsidRPr="00AA37BE">
        <w:rPr>
          <w:rFonts w:eastAsia="Times New Roman" w:cs="Times New Roman"/>
          <w:kern w:val="0"/>
          <w:sz w:val="24"/>
          <w:szCs w:val="24"/>
          <w:lang w:eastAsia="en-AU"/>
          <w14:ligatures w14:val="none"/>
        </w:rPr>
        <w:t>more confidence to recruit workers, engage apprentices and invest in skills and training.</w:t>
      </w:r>
    </w:p>
    <w:p w14:paraId="3EC7D2F0" w14:textId="77777777" w:rsidR="00AA37BE" w:rsidRPr="00AA37BE" w:rsidRDefault="00AA37BE" w:rsidP="00AA37BE">
      <w:pPr>
        <w:spacing w:before="100" w:beforeAutospacing="1" w:after="100" w:afterAutospacing="1" w:line="240" w:lineRule="auto"/>
        <w:rPr>
          <w:rFonts w:eastAsia="Times New Roman" w:cs="Times New Roman"/>
          <w:kern w:val="0"/>
          <w:sz w:val="24"/>
          <w:szCs w:val="24"/>
          <w:lang w:eastAsia="en-AU"/>
          <w14:ligatures w14:val="none"/>
        </w:rPr>
      </w:pPr>
      <w:r w:rsidRPr="00AA37BE">
        <w:rPr>
          <w:rFonts w:eastAsia="Times New Roman" w:cs="Times New Roman"/>
          <w:kern w:val="0"/>
          <w:sz w:val="24"/>
          <w:szCs w:val="24"/>
          <w:lang w:eastAsia="en-AU"/>
          <w14:ligatures w14:val="none"/>
        </w:rPr>
        <w:t>A broader pipeline can create opportunities across trades, design, engineering, planning, project management, procurement, manufacturing, logistics and site delivery. However, these opportunities will not automatically increase women’s participation. Governments and industry should connect planned housing activity with practical entry, training and progression pathways for women.</w:t>
      </w:r>
    </w:p>
    <w:p w14:paraId="53C12729" w14:textId="77777777" w:rsidR="007F30CC" w:rsidRPr="00561C74" w:rsidRDefault="007F30CC" w:rsidP="007F30CC">
      <w:pPr>
        <w:spacing w:after="0" w:line="240" w:lineRule="auto"/>
        <w:rPr>
          <w:rFonts w:eastAsia="Times New Roman" w:cs="Times New Roman"/>
          <w:b/>
          <w:bCs/>
          <w:kern w:val="0"/>
          <w:sz w:val="24"/>
          <w:szCs w:val="24"/>
          <w:lang w:eastAsia="en-AU"/>
          <w14:ligatures w14:val="none"/>
        </w:rPr>
      </w:pPr>
      <w:r w:rsidRPr="00561C74">
        <w:rPr>
          <w:noProof/>
          <w:sz w:val="24"/>
          <w:szCs w:val="24"/>
        </w:rPr>
        <mc:AlternateContent>
          <mc:Choice Requires="wps">
            <w:drawing>
              <wp:anchor distT="0" distB="0" distL="114300" distR="114300" simplePos="0" relativeHeight="251661312" behindDoc="0" locked="0" layoutInCell="1" allowOverlap="1" wp14:anchorId="73CB6B47" wp14:editId="5DDF7402">
                <wp:simplePos x="0" y="0"/>
                <wp:positionH relativeFrom="column">
                  <wp:posOffset>0</wp:posOffset>
                </wp:positionH>
                <wp:positionV relativeFrom="paragraph">
                  <wp:posOffset>0</wp:posOffset>
                </wp:positionV>
                <wp:extent cx="1828800" cy="1828800"/>
                <wp:effectExtent l="0" t="0" r="0" b="0"/>
                <wp:wrapSquare wrapText="bothSides"/>
                <wp:docPr id="53197815"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7D81863E" w14:textId="77777777" w:rsidR="007F30CC" w:rsidRPr="00561C74" w:rsidRDefault="007F30CC"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b/>
                                <w:bCs/>
                                <w:kern w:val="0"/>
                                <w:sz w:val="24"/>
                                <w:szCs w:val="24"/>
                                <w:lang w:eastAsia="en-AU"/>
                                <w14:ligatures w14:val="none"/>
                              </w:rPr>
                              <w:t>RECOMMENDATION 2 — USE PIPELINE CERTAINTY TO SUPPORT WORKFORCE GROWTH</w:t>
                            </w:r>
                          </w:p>
                          <w:p w14:paraId="6D07EAC9" w14:textId="3E69F5D5" w:rsidR="007F30CC" w:rsidRPr="00561C74" w:rsidRDefault="007F30CC"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The Productivity Commission should support the removal of unnecessary land</w:t>
                            </w:r>
                            <w:r w:rsidR="00E34230">
                              <w:rPr>
                                <w:rFonts w:eastAsia="Times New Roman" w:cs="Times New Roman"/>
                                <w:kern w:val="0"/>
                                <w:sz w:val="24"/>
                                <w:szCs w:val="24"/>
                                <w:lang w:eastAsia="en-AU"/>
                                <w14:ligatures w14:val="none"/>
                              </w:rPr>
                              <w:t xml:space="preserve"> </w:t>
                            </w:r>
                            <w:r w:rsidRPr="00561C74">
                              <w:rPr>
                                <w:rFonts w:eastAsia="Times New Roman" w:cs="Times New Roman"/>
                                <w:kern w:val="0"/>
                                <w:sz w:val="24"/>
                                <w:szCs w:val="24"/>
                                <w:lang w:eastAsia="en-AU"/>
                                <w14:ligatures w14:val="none"/>
                              </w:rPr>
                              <w:t>use and built</w:t>
                            </w:r>
                            <w:r w:rsidR="00E34230">
                              <w:rPr>
                                <w:rFonts w:eastAsia="Times New Roman" w:cs="Times New Roman"/>
                                <w:kern w:val="0"/>
                                <w:sz w:val="24"/>
                                <w:szCs w:val="24"/>
                                <w:lang w:eastAsia="en-AU"/>
                                <w14:ligatures w14:val="none"/>
                              </w:rPr>
                              <w:t xml:space="preserve"> </w:t>
                            </w:r>
                            <w:r w:rsidRPr="00561C74">
                              <w:rPr>
                                <w:rFonts w:eastAsia="Times New Roman" w:cs="Times New Roman"/>
                                <w:kern w:val="0"/>
                                <w:sz w:val="24"/>
                                <w:szCs w:val="24"/>
                                <w:lang w:eastAsia="en-AU"/>
                                <w14:ligatures w14:val="none"/>
                              </w:rPr>
                              <w:t>form controls that restrict appropriate housing supply.</w:t>
                            </w:r>
                          </w:p>
                          <w:p w14:paraId="63C7215F" w14:textId="43056FFD" w:rsidR="007F30CC" w:rsidRPr="00561C74" w:rsidRDefault="00872E91" w:rsidP="005E3CC3">
                            <w:pPr>
                              <w:spacing w:before="100" w:beforeAutospacing="1" w:after="100" w:afterAutospacing="1" w:line="240" w:lineRule="auto"/>
                              <w:rPr>
                                <w:rFonts w:eastAsia="Times New Roman" w:cs="Times New Roman"/>
                                <w:kern w:val="0"/>
                                <w:sz w:val="24"/>
                                <w:szCs w:val="24"/>
                                <w14:ligatures w14:val="none"/>
                              </w:rPr>
                            </w:pPr>
                            <w:r>
                              <w:rPr>
                                <w:rFonts w:eastAsia="Times New Roman" w:cs="Times New Roman"/>
                                <w:kern w:val="0"/>
                                <w:sz w:val="24"/>
                                <w:szCs w:val="24"/>
                                <w:lang w:eastAsia="en-AU"/>
                                <w14:ligatures w14:val="none"/>
                              </w:rPr>
                              <w:t xml:space="preserve">Land use reforms should provide a clear and predictable </w:t>
                            </w:r>
                            <w:r w:rsidR="007F30CC" w:rsidRPr="00561C74">
                              <w:rPr>
                                <w:rFonts w:eastAsia="Times New Roman" w:cs="Times New Roman"/>
                                <w:kern w:val="0"/>
                                <w:sz w:val="24"/>
                                <w:szCs w:val="24"/>
                                <w:lang w:eastAsia="en-AU"/>
                                <w14:ligatures w14:val="none"/>
                              </w:rPr>
                              <w:t>development pipeline so construction businesses can invest with greater confidence in apprenticeships, training, workforce growth and pathways for women into skilled, supervisory and leadership roles.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3CB6B47" id="_x0000_s1027" type="#_x0000_t202" style="position:absolute;margin-left:0;margin-top:0;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U+jKQIAAFo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" filled="f" strokeweight=".5pt">
                <v:textbox style="mso-fit-shape-to-text:t">
                  <w:txbxContent>
                    <w:p w14:paraId="7D81863E" w14:textId="77777777" w:rsidR="007F30CC" w:rsidRPr="00561C74" w:rsidRDefault="007F30CC"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b/>
                          <w:bCs/>
                          <w:kern w:val="0"/>
                          <w:sz w:val="24"/>
                          <w:szCs w:val="24"/>
                          <w:lang w:eastAsia="en-AU"/>
                          <w14:ligatures w14:val="none"/>
                        </w:rPr>
                        <w:t>RECOMMENDATION 2 — USE PIPELINE CERTAINTY TO SUPPORT WORKFORCE GROWTH</w:t>
                      </w:r>
                    </w:p>
                    <w:p w14:paraId="6D07EAC9" w14:textId="3E69F5D5" w:rsidR="007F30CC" w:rsidRPr="00561C74" w:rsidRDefault="007F30CC"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The Productivity Commission should support the removal of unnecessary land</w:t>
                      </w:r>
                      <w:r w:rsidR="00E34230">
                        <w:rPr>
                          <w:rFonts w:eastAsia="Times New Roman" w:cs="Times New Roman"/>
                          <w:kern w:val="0"/>
                          <w:sz w:val="24"/>
                          <w:szCs w:val="24"/>
                          <w:lang w:eastAsia="en-AU"/>
                          <w14:ligatures w14:val="none"/>
                        </w:rPr>
                        <w:t xml:space="preserve"> </w:t>
                      </w:r>
                      <w:r w:rsidRPr="00561C74">
                        <w:rPr>
                          <w:rFonts w:eastAsia="Times New Roman" w:cs="Times New Roman"/>
                          <w:kern w:val="0"/>
                          <w:sz w:val="24"/>
                          <w:szCs w:val="24"/>
                          <w:lang w:eastAsia="en-AU"/>
                          <w14:ligatures w14:val="none"/>
                        </w:rPr>
                        <w:t>use and built</w:t>
                      </w:r>
                      <w:r w:rsidR="00E34230">
                        <w:rPr>
                          <w:rFonts w:eastAsia="Times New Roman" w:cs="Times New Roman"/>
                          <w:kern w:val="0"/>
                          <w:sz w:val="24"/>
                          <w:szCs w:val="24"/>
                          <w:lang w:eastAsia="en-AU"/>
                          <w14:ligatures w14:val="none"/>
                        </w:rPr>
                        <w:t xml:space="preserve"> </w:t>
                      </w:r>
                      <w:r w:rsidRPr="00561C74">
                        <w:rPr>
                          <w:rFonts w:eastAsia="Times New Roman" w:cs="Times New Roman"/>
                          <w:kern w:val="0"/>
                          <w:sz w:val="24"/>
                          <w:szCs w:val="24"/>
                          <w:lang w:eastAsia="en-AU"/>
                          <w14:ligatures w14:val="none"/>
                        </w:rPr>
                        <w:t>form controls that restrict appropriate housing supply.</w:t>
                      </w:r>
                    </w:p>
                    <w:p w14:paraId="63C7215F" w14:textId="43056FFD" w:rsidR="007F30CC" w:rsidRPr="00561C74" w:rsidRDefault="00872E91" w:rsidP="005E3CC3">
                      <w:pPr>
                        <w:spacing w:before="100" w:beforeAutospacing="1" w:after="100" w:afterAutospacing="1" w:line="240" w:lineRule="auto"/>
                        <w:rPr>
                          <w:rFonts w:eastAsia="Times New Roman" w:cs="Times New Roman"/>
                          <w:kern w:val="0"/>
                          <w:sz w:val="24"/>
                          <w:szCs w:val="24"/>
                          <w14:ligatures w14:val="none"/>
                        </w:rPr>
                      </w:pPr>
                      <w:r>
                        <w:rPr>
                          <w:rFonts w:eastAsia="Times New Roman" w:cs="Times New Roman"/>
                          <w:kern w:val="0"/>
                          <w:sz w:val="24"/>
                          <w:szCs w:val="24"/>
                          <w:lang w:eastAsia="en-AU"/>
                          <w14:ligatures w14:val="none"/>
                        </w:rPr>
                        <w:t xml:space="preserve">Land use reforms should provide a clear and predictable </w:t>
                      </w:r>
                      <w:r w:rsidR="007F30CC" w:rsidRPr="00561C74">
                        <w:rPr>
                          <w:rFonts w:eastAsia="Times New Roman" w:cs="Times New Roman"/>
                          <w:kern w:val="0"/>
                          <w:sz w:val="24"/>
                          <w:szCs w:val="24"/>
                          <w:lang w:eastAsia="en-AU"/>
                          <w14:ligatures w14:val="none"/>
                        </w:rPr>
                        <w:t>development pipeline so construction businesses can invest with greater confidence in apprenticeships, training, workforce growth and pathways for women into skilled, supervisory and leadership roles.</w:t>
                      </w:r>
                    </w:p>
                  </w:txbxContent>
                </v:textbox>
                <w10:wrap type="square"/>
              </v:shape>
            </w:pict>
          </mc:Fallback>
        </mc:AlternateContent>
      </w:r>
    </w:p>
    <w:p w14:paraId="46A718A0" w14:textId="288A1129" w:rsidR="00943D3D" w:rsidRPr="00561C74" w:rsidRDefault="00943D3D" w:rsidP="007F30CC">
      <w:pPr>
        <w:spacing w:after="0" w:line="240" w:lineRule="auto"/>
        <w:rPr>
          <w:rFonts w:eastAsia="Times New Roman" w:cs="Times New Roman"/>
          <w:b/>
          <w:bCs/>
          <w:kern w:val="0"/>
          <w:sz w:val="24"/>
          <w:szCs w:val="24"/>
          <w:lang w:eastAsia="en-AU"/>
          <w14:ligatures w14:val="none"/>
        </w:rPr>
      </w:pPr>
      <w:r w:rsidRPr="00561C74">
        <w:rPr>
          <w:rFonts w:eastAsia="Times New Roman" w:cs="Times New Roman"/>
          <w:b/>
          <w:bCs/>
          <w:kern w:val="0"/>
          <w:sz w:val="24"/>
          <w:szCs w:val="24"/>
          <w:lang w:eastAsia="en-AU"/>
          <w14:ligatures w14:val="none"/>
        </w:rPr>
        <w:t>3. Reducing the burden of approvals</w:t>
      </w:r>
    </w:p>
    <w:p w14:paraId="13688C91"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NAWIC supports approval systems that are timely, transparent and proportionate to the risk and complexity of a development.</w:t>
      </w:r>
    </w:p>
    <w:p w14:paraId="2CE5535F"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Slow or uncertain approvals increase project costs, delay construction and make it more difficult for businesses to plan future workloads. This uncertainty can discourage employers from recruiting workers, engaging apprentices and investing in training.</w:t>
      </w:r>
    </w:p>
    <w:p w14:paraId="74BC1BEE"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It can also undermine initiatives intended to increase women’s participation. Apprenticeships, traineeships, mid-career entry and return-to-work programs are difficult to sustain when employers cannot confidently anticipate when projects will commence.</w:t>
      </w:r>
    </w:p>
    <w:p w14:paraId="6F88710B"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 xml:space="preserve">NAWIC supports risk-based assessment, clearer pathways for straightforward developments, earlier consideration of infrastructure requirements and development </w:t>
      </w:r>
      <w:r w:rsidRPr="00561C74">
        <w:rPr>
          <w:rFonts w:eastAsia="Times New Roman" w:cs="Times New Roman"/>
          <w:kern w:val="0"/>
          <w:sz w:val="24"/>
          <w:szCs w:val="24"/>
          <w:lang w:eastAsia="en-AU"/>
          <w14:ligatures w14:val="none"/>
        </w:rPr>
        <w:lastRenderedPageBreak/>
        <w:t>trade-offs, better coordination between decision-makers and transparent assessment timeframes.</w:t>
      </w:r>
    </w:p>
    <w:p w14:paraId="6065AF4D"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These reforms should be supported by adequate capability and resourcing within approval authorities. Digital systems can help reduce duplication, but they cannot compensate for unclear requirements, fragmented responsibilities or insufficient assessment capacity.</w:t>
      </w:r>
    </w:p>
    <w:p w14:paraId="38030400"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Approval systems should also support modular, prefabricated and other modern construction methods where these can demonstrate appropriate safety and quality outcomes. These methods may create new roles in technical, manufacturing and off-site environments and broaden the pathways available to women.</w:t>
      </w:r>
    </w:p>
    <w:p w14:paraId="66BD4479" w14:textId="77777777" w:rsidR="00943D3D" w:rsidRPr="00561C74" w:rsidRDefault="00943D3D"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However, innovation must be accompanied by appropriate training, competency, certification and quality assurance. Faster approvals and new construction methods should not weaken professional judgement or obscure responsibility for safety, design quality and construction compliance.</w:t>
      </w:r>
    </w:p>
    <w:p w14:paraId="6FE256CD" w14:textId="77777777" w:rsidR="00DE1C4A" w:rsidRPr="00561C74" w:rsidRDefault="00DE1C4A" w:rsidP="00DE1C4A">
      <w:pPr>
        <w:spacing w:after="0" w:line="240" w:lineRule="auto"/>
        <w:rPr>
          <w:rFonts w:eastAsia="Times New Roman" w:cs="Times New Roman"/>
          <w:b/>
          <w:bCs/>
          <w:kern w:val="0"/>
          <w:sz w:val="24"/>
          <w:szCs w:val="24"/>
          <w:lang w:eastAsia="en-AU"/>
          <w14:ligatures w14:val="none"/>
        </w:rPr>
      </w:pPr>
      <w:r w:rsidRPr="00561C74">
        <w:rPr>
          <w:noProof/>
          <w:sz w:val="24"/>
          <w:szCs w:val="24"/>
        </w:rPr>
        <mc:AlternateContent>
          <mc:Choice Requires="wps">
            <w:drawing>
              <wp:anchor distT="0" distB="0" distL="114300" distR="114300" simplePos="0" relativeHeight="251663360" behindDoc="0" locked="0" layoutInCell="1" allowOverlap="1" wp14:anchorId="4EA971C4" wp14:editId="557E58FF">
                <wp:simplePos x="0" y="0"/>
                <wp:positionH relativeFrom="column">
                  <wp:posOffset>0</wp:posOffset>
                </wp:positionH>
                <wp:positionV relativeFrom="paragraph">
                  <wp:posOffset>0</wp:posOffset>
                </wp:positionV>
                <wp:extent cx="1828800" cy="1828800"/>
                <wp:effectExtent l="0" t="0" r="0" b="0"/>
                <wp:wrapSquare wrapText="bothSides"/>
                <wp:docPr id="92070797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6C74EDB5" w14:textId="77777777" w:rsidR="00DE1C4A" w:rsidRPr="00561C74" w:rsidRDefault="00DE1C4A"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b/>
                                <w:bCs/>
                                <w:kern w:val="0"/>
                                <w:sz w:val="24"/>
                                <w:szCs w:val="24"/>
                                <w:lang w:eastAsia="en-AU"/>
                                <w14:ligatures w14:val="none"/>
                              </w:rPr>
                              <w:t>RECOMMENDATION 3 — MAKE APPROVALS PREDICTABLE AND ACCOUNTABLE</w:t>
                            </w:r>
                          </w:p>
                          <w:p w14:paraId="5CD02DA4" w14:textId="77777777" w:rsidR="00DE1C4A" w:rsidRPr="00561C74" w:rsidRDefault="00DE1C4A"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The Productivity Commission should recommend clear, consistent and risk-based approval pathways, supported by defined timeframes, effective coordination between decision-makers and transparent reporting.</w:t>
                            </w:r>
                          </w:p>
                          <w:p w14:paraId="3973D434" w14:textId="77777777" w:rsidR="00DE1C4A" w:rsidRPr="00561C74" w:rsidRDefault="00DE1C4A" w:rsidP="001F38D2">
                            <w:pPr>
                              <w:spacing w:before="100" w:beforeAutospacing="1" w:after="100" w:afterAutospacing="1" w:line="240" w:lineRule="auto"/>
                              <w:rPr>
                                <w:rFonts w:eastAsia="Times New Roman" w:cs="Times New Roman"/>
                                <w:kern w:val="0"/>
                                <w:sz w:val="24"/>
                                <w:szCs w:val="24"/>
                                <w14:ligatures w14:val="none"/>
                              </w:rPr>
                            </w:pPr>
                            <w:r w:rsidRPr="00561C74">
                              <w:rPr>
                                <w:rFonts w:eastAsia="Times New Roman" w:cs="Times New Roman"/>
                                <w:kern w:val="0"/>
                                <w:sz w:val="24"/>
                                <w:szCs w:val="24"/>
                                <w:lang w:eastAsia="en-AU"/>
                                <w14:ligatures w14:val="none"/>
                              </w:rPr>
                              <w:t>Streamlined pathways should provide the certainty needed to support workforce investment while retaining clear responsibility for design quality, safety, construction compliance and professional decision-making.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EA971C4" id="_x0000_s1028" type="#_x0000_t202" style="position:absolute;margin-left:0;margin-top:0;width:2in;height:2in;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BbdKwIAAFo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FXS&#10;ydDwFqoj4uCgHxFv+Vph+kfmwwtzOBPYH855eMZDasCa4CRRUoP79bf76I9UoZWSFmespAaXgBL9&#10;3SCFd+PpNI5kUqY3XyaouGvL9tpi9s0KsM0x7pPlSYz+QQ+idNC84TIs45toYobjyyUNg7gK/dzj&#10;MnGxXCYnHELLwqPZWB5TD6C+dm/M2RNZAXl+gmEWWfGOs943Rnq73AdkLhEaUe4xPYGPA5y4OS1b&#10;3JBrPXldfgmL3wA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ChsFt0rAgAAWgQAAA4AAAAAAAAAAAAAAAAALgIAAGRycy9lMm9Eb2Mu&#10;eG1sUEsBAi0AFAAGAAgAAAAhALcMAwjXAAAABQEAAA8AAAAAAAAAAAAAAAAAhQQAAGRycy9kb3du&#10;cmV2LnhtbFBLBQYAAAAABAAEAPMAAACJBQAAAAA=&#10;" filled="f" strokeweight=".5pt">
                <v:textbox style="mso-fit-shape-to-text:t">
                  <w:txbxContent>
                    <w:p w14:paraId="6C74EDB5" w14:textId="77777777" w:rsidR="00DE1C4A" w:rsidRPr="00561C74" w:rsidRDefault="00DE1C4A"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b/>
                          <w:bCs/>
                          <w:kern w:val="0"/>
                          <w:sz w:val="24"/>
                          <w:szCs w:val="24"/>
                          <w:lang w:eastAsia="en-AU"/>
                          <w14:ligatures w14:val="none"/>
                        </w:rPr>
                        <w:t>RECOMMENDATION 3 — MAKE APPROVALS PREDICTABLE AND ACCOUNTABLE</w:t>
                      </w:r>
                    </w:p>
                    <w:p w14:paraId="5CD02DA4" w14:textId="77777777" w:rsidR="00DE1C4A" w:rsidRPr="00561C74" w:rsidRDefault="00DE1C4A"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The Productivity Commission should recommend clear, consistent and risk-based approval pathways, supported by defined timeframes, effective coordination between decision-makers and transparent reporting.</w:t>
                      </w:r>
                    </w:p>
                    <w:p w14:paraId="3973D434" w14:textId="77777777" w:rsidR="00DE1C4A" w:rsidRPr="00561C74" w:rsidRDefault="00DE1C4A" w:rsidP="001F38D2">
                      <w:pPr>
                        <w:spacing w:before="100" w:beforeAutospacing="1" w:after="100" w:afterAutospacing="1" w:line="240" w:lineRule="auto"/>
                        <w:rPr>
                          <w:rFonts w:eastAsia="Times New Roman" w:cs="Times New Roman"/>
                          <w:kern w:val="0"/>
                          <w:sz w:val="24"/>
                          <w:szCs w:val="24"/>
                          <w14:ligatures w14:val="none"/>
                        </w:rPr>
                      </w:pPr>
                      <w:r w:rsidRPr="00561C74">
                        <w:rPr>
                          <w:rFonts w:eastAsia="Times New Roman" w:cs="Times New Roman"/>
                          <w:kern w:val="0"/>
                          <w:sz w:val="24"/>
                          <w:szCs w:val="24"/>
                          <w:lang w:eastAsia="en-AU"/>
                          <w14:ligatures w14:val="none"/>
                        </w:rPr>
                        <w:t>Streamlined pathways should provide the certainty needed to support workforce investment while retaining clear responsibility for design quality, safety, construction compliance and professional decision-making.</w:t>
                      </w:r>
                    </w:p>
                  </w:txbxContent>
                </v:textbox>
                <w10:wrap type="square"/>
              </v:shape>
            </w:pict>
          </mc:Fallback>
        </mc:AlternateContent>
      </w:r>
    </w:p>
    <w:p w14:paraId="24FA3DBF" w14:textId="0EC9D44D" w:rsidR="00943D3D" w:rsidRDefault="00943D3D" w:rsidP="00DE1C4A">
      <w:pPr>
        <w:spacing w:after="0" w:line="240" w:lineRule="auto"/>
        <w:rPr>
          <w:rFonts w:eastAsia="Times New Roman" w:cs="Times New Roman"/>
          <w:b/>
          <w:bCs/>
          <w:kern w:val="0"/>
          <w:sz w:val="24"/>
          <w:szCs w:val="24"/>
          <w:lang w:eastAsia="en-AU"/>
          <w14:ligatures w14:val="none"/>
        </w:rPr>
      </w:pPr>
      <w:r w:rsidRPr="00561C74">
        <w:rPr>
          <w:rFonts w:eastAsia="Times New Roman" w:cs="Times New Roman"/>
          <w:b/>
          <w:bCs/>
          <w:kern w:val="0"/>
          <w:sz w:val="24"/>
          <w:szCs w:val="24"/>
          <w:lang w:eastAsia="en-AU"/>
          <w14:ligatures w14:val="none"/>
        </w:rPr>
        <w:t>4. Delivering housing-enabling infrastructure</w:t>
      </w:r>
    </w:p>
    <w:p w14:paraId="4295E401" w14:textId="77777777" w:rsidR="000B3838" w:rsidRPr="000B3838" w:rsidRDefault="000B3838" w:rsidP="000B3838">
      <w:pPr>
        <w:spacing w:before="100" w:beforeAutospacing="1" w:after="100" w:afterAutospacing="1" w:line="240" w:lineRule="auto"/>
        <w:rPr>
          <w:rFonts w:eastAsia="Times New Roman" w:cs="Times New Roman"/>
          <w:kern w:val="0"/>
          <w:sz w:val="24"/>
          <w:szCs w:val="24"/>
          <w:lang w:eastAsia="en-AU"/>
          <w14:ligatures w14:val="none"/>
        </w:rPr>
      </w:pPr>
      <w:r w:rsidRPr="000B3838">
        <w:rPr>
          <w:rFonts w:eastAsia="Times New Roman" w:cs="Times New Roman"/>
          <w:kern w:val="0"/>
          <w:sz w:val="24"/>
          <w:szCs w:val="24"/>
          <w:lang w:eastAsia="en-AU"/>
          <w14:ligatures w14:val="none"/>
        </w:rPr>
        <w:t>NAWIC supports stronger coordination between housing development and the infrastructure required to support it. Timely access to transport, water, energy, telecommunications and social infrastructure is essential to convert planned housing growth into completed homes.</w:t>
      </w:r>
    </w:p>
    <w:p w14:paraId="0B58DA80" w14:textId="77777777" w:rsidR="000B3838" w:rsidRPr="000B3838" w:rsidRDefault="000B3838" w:rsidP="000B3838">
      <w:pPr>
        <w:spacing w:before="100" w:beforeAutospacing="1" w:after="100" w:afterAutospacing="1" w:line="240" w:lineRule="auto"/>
        <w:rPr>
          <w:rFonts w:eastAsia="Times New Roman" w:cs="Times New Roman"/>
          <w:kern w:val="0"/>
          <w:sz w:val="24"/>
          <w:szCs w:val="24"/>
          <w:lang w:eastAsia="en-AU"/>
          <w14:ligatures w14:val="none"/>
        </w:rPr>
      </w:pPr>
      <w:r w:rsidRPr="000B3838">
        <w:rPr>
          <w:rFonts w:eastAsia="Times New Roman" w:cs="Times New Roman"/>
          <w:kern w:val="0"/>
          <w:sz w:val="24"/>
          <w:szCs w:val="24"/>
          <w:lang w:eastAsia="en-AU"/>
          <w14:ligatures w14:val="none"/>
        </w:rPr>
        <w:t>Governments should publish coordinated housing and infrastructure plans that clearly identify where growth will occur, the infrastructure required, responsibilities for funding and delivery, key dependencies, and expected timeframes.</w:t>
      </w:r>
    </w:p>
    <w:p w14:paraId="6AC315B2" w14:textId="6EE2155C" w:rsidR="000B3838" w:rsidRPr="000B3838" w:rsidRDefault="000B3838" w:rsidP="000B3838">
      <w:pPr>
        <w:spacing w:before="100" w:beforeAutospacing="1" w:after="100" w:afterAutospacing="1" w:line="240" w:lineRule="auto"/>
        <w:rPr>
          <w:rFonts w:eastAsia="Times New Roman" w:cs="Times New Roman"/>
          <w:kern w:val="0"/>
          <w:sz w:val="24"/>
          <w:szCs w:val="24"/>
          <w:lang w:eastAsia="en-AU"/>
          <w14:ligatures w14:val="none"/>
        </w:rPr>
      </w:pPr>
      <w:r w:rsidRPr="000B3838">
        <w:rPr>
          <w:rFonts w:eastAsia="Times New Roman" w:cs="Times New Roman"/>
          <w:kern w:val="0"/>
          <w:sz w:val="24"/>
          <w:szCs w:val="24"/>
          <w:lang w:eastAsia="en-AU"/>
          <w14:ligatures w14:val="none"/>
        </w:rPr>
        <w:t>A visible and credible pipeline would also support workforce planning. It would enable employers, training providers and industry organisations to anticipate where skills will be needed and connect recruitment, training and employment pathways</w:t>
      </w:r>
      <w:r w:rsidR="003E10DA">
        <w:rPr>
          <w:rFonts w:eastAsia="Times New Roman" w:cs="Times New Roman"/>
          <w:kern w:val="0"/>
          <w:sz w:val="24"/>
          <w:szCs w:val="24"/>
          <w:lang w:eastAsia="en-AU"/>
          <w14:ligatures w14:val="none"/>
        </w:rPr>
        <w:t xml:space="preserve"> </w:t>
      </w:r>
      <w:r w:rsidRPr="000B3838">
        <w:rPr>
          <w:rFonts w:eastAsia="Times New Roman" w:cs="Times New Roman"/>
          <w:kern w:val="0"/>
          <w:sz w:val="24"/>
          <w:szCs w:val="24"/>
          <w:lang w:eastAsia="en-AU"/>
          <w14:ligatures w14:val="none"/>
        </w:rPr>
        <w:t>including pathways for women</w:t>
      </w:r>
      <w:r w:rsidR="003E10DA">
        <w:rPr>
          <w:rFonts w:eastAsia="Times New Roman" w:cs="Times New Roman"/>
          <w:kern w:val="0"/>
          <w:sz w:val="24"/>
          <w:szCs w:val="24"/>
          <w:lang w:eastAsia="en-AU"/>
          <w14:ligatures w14:val="none"/>
        </w:rPr>
        <w:t xml:space="preserve"> </w:t>
      </w:r>
      <w:r w:rsidRPr="000B3838">
        <w:rPr>
          <w:rFonts w:eastAsia="Times New Roman" w:cs="Times New Roman"/>
          <w:kern w:val="0"/>
          <w:sz w:val="24"/>
          <w:szCs w:val="24"/>
          <w:lang w:eastAsia="en-AU"/>
          <w14:ligatures w14:val="none"/>
        </w:rPr>
        <w:t>to actual projects.</w:t>
      </w:r>
    </w:p>
    <w:p w14:paraId="59244C84" w14:textId="558A5B11" w:rsidR="000B3838" w:rsidRPr="000B3838" w:rsidRDefault="000B3838" w:rsidP="000B3838">
      <w:pPr>
        <w:spacing w:before="100" w:beforeAutospacing="1" w:after="100" w:afterAutospacing="1" w:line="240" w:lineRule="auto"/>
        <w:rPr>
          <w:rFonts w:eastAsia="Times New Roman" w:cs="Times New Roman"/>
          <w:kern w:val="0"/>
          <w:sz w:val="24"/>
          <w:szCs w:val="24"/>
          <w:lang w:eastAsia="en-AU"/>
          <w14:ligatures w14:val="none"/>
        </w:rPr>
      </w:pPr>
      <w:r w:rsidRPr="000B3838">
        <w:rPr>
          <w:rFonts w:eastAsia="Times New Roman" w:cs="Times New Roman"/>
          <w:kern w:val="0"/>
          <w:sz w:val="24"/>
          <w:szCs w:val="24"/>
          <w:lang w:eastAsia="en-AU"/>
          <w14:ligatures w14:val="none"/>
        </w:rPr>
        <w:lastRenderedPageBreak/>
        <w:t xml:space="preserve">Workforce access should be considered when planning major precincts and regional growth areas. Transport, accommodation and local services can affect whether workers, particularly women and people with caring responsibilities, can take up and remain in regional or </w:t>
      </w:r>
      <w:proofErr w:type="gramStart"/>
      <w:r w:rsidRPr="000B3838">
        <w:rPr>
          <w:rFonts w:eastAsia="Times New Roman" w:cs="Times New Roman"/>
          <w:kern w:val="0"/>
          <w:sz w:val="24"/>
          <w:szCs w:val="24"/>
          <w:lang w:eastAsia="en-AU"/>
          <w14:ligatures w14:val="none"/>
        </w:rPr>
        <w:t>project</w:t>
      </w:r>
      <w:r w:rsidR="005169ED">
        <w:rPr>
          <w:rFonts w:eastAsia="Times New Roman" w:cs="Times New Roman"/>
          <w:kern w:val="0"/>
          <w:sz w:val="24"/>
          <w:szCs w:val="24"/>
          <w:lang w:eastAsia="en-AU"/>
          <w14:ligatures w14:val="none"/>
        </w:rPr>
        <w:t xml:space="preserve"> </w:t>
      </w:r>
      <w:r w:rsidRPr="000B3838">
        <w:rPr>
          <w:rFonts w:eastAsia="Times New Roman" w:cs="Times New Roman"/>
          <w:kern w:val="0"/>
          <w:sz w:val="24"/>
          <w:szCs w:val="24"/>
          <w:lang w:eastAsia="en-AU"/>
          <w14:ligatures w14:val="none"/>
        </w:rPr>
        <w:t>based</w:t>
      </w:r>
      <w:proofErr w:type="gramEnd"/>
      <w:r w:rsidRPr="000B3838">
        <w:rPr>
          <w:rFonts w:eastAsia="Times New Roman" w:cs="Times New Roman"/>
          <w:kern w:val="0"/>
          <w:sz w:val="24"/>
          <w:szCs w:val="24"/>
          <w:lang w:eastAsia="en-AU"/>
          <w14:ligatures w14:val="none"/>
        </w:rPr>
        <w:t xml:space="preserve"> employment.</w:t>
      </w:r>
    </w:p>
    <w:p w14:paraId="609851A5" w14:textId="1DF427BA" w:rsidR="000B3838" w:rsidRPr="000B3838" w:rsidRDefault="000B3838" w:rsidP="000B3838">
      <w:pPr>
        <w:spacing w:before="100" w:beforeAutospacing="1" w:after="100" w:afterAutospacing="1" w:line="240" w:lineRule="auto"/>
        <w:rPr>
          <w:rFonts w:eastAsia="Times New Roman" w:cs="Times New Roman"/>
          <w:kern w:val="0"/>
          <w:sz w:val="24"/>
          <w:szCs w:val="24"/>
          <w:lang w:eastAsia="en-AU"/>
          <w14:ligatures w14:val="none"/>
        </w:rPr>
      </w:pPr>
      <w:r w:rsidRPr="000B3838">
        <w:rPr>
          <w:rFonts w:eastAsia="Times New Roman" w:cs="Times New Roman"/>
          <w:kern w:val="0"/>
          <w:sz w:val="24"/>
          <w:szCs w:val="24"/>
          <w:lang w:eastAsia="en-AU"/>
          <w14:ligatures w14:val="none"/>
        </w:rPr>
        <w:t>Major housing programs also provide an opportunity for governments, employers and training providers to coordinate workforce initiatives linked to forecast demand. This would support a more reliable supply of skilled workers while creating clearer entry and progression pathways for women.</w:t>
      </w:r>
    </w:p>
    <w:p w14:paraId="13CAE6A8" w14:textId="77777777" w:rsidR="00B17064" w:rsidRPr="00561C74" w:rsidRDefault="00B17064" w:rsidP="00B17064">
      <w:pPr>
        <w:spacing w:after="0" w:line="240" w:lineRule="auto"/>
        <w:rPr>
          <w:rFonts w:eastAsia="Times New Roman" w:cs="Times New Roman"/>
          <w:b/>
          <w:bCs/>
          <w:kern w:val="0"/>
          <w:sz w:val="24"/>
          <w:szCs w:val="24"/>
          <w:lang w:eastAsia="en-AU"/>
          <w14:ligatures w14:val="none"/>
        </w:rPr>
      </w:pPr>
      <w:r w:rsidRPr="00561C74">
        <w:rPr>
          <w:noProof/>
          <w:sz w:val="24"/>
          <w:szCs w:val="24"/>
        </w:rPr>
        <mc:AlternateContent>
          <mc:Choice Requires="wps">
            <w:drawing>
              <wp:anchor distT="0" distB="0" distL="114300" distR="114300" simplePos="0" relativeHeight="251665408" behindDoc="0" locked="0" layoutInCell="1" allowOverlap="1" wp14:anchorId="6C70E5A2" wp14:editId="422677AE">
                <wp:simplePos x="0" y="0"/>
                <wp:positionH relativeFrom="column">
                  <wp:posOffset>0</wp:posOffset>
                </wp:positionH>
                <wp:positionV relativeFrom="paragraph">
                  <wp:posOffset>0</wp:posOffset>
                </wp:positionV>
                <wp:extent cx="1828800" cy="1828800"/>
                <wp:effectExtent l="0" t="0" r="0" b="0"/>
                <wp:wrapSquare wrapText="bothSides"/>
                <wp:docPr id="1566483085"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7D5FCBC6" w14:textId="77777777" w:rsidR="00B17064" w:rsidRPr="00561C74" w:rsidRDefault="00B17064"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b/>
                                <w:bCs/>
                                <w:kern w:val="0"/>
                                <w:sz w:val="24"/>
                                <w:szCs w:val="24"/>
                                <w:lang w:eastAsia="en-AU"/>
                                <w14:ligatures w14:val="none"/>
                              </w:rPr>
                              <w:t>RECOMMENDATION 4 — PLAN HOUSING AND INFRASTRUCTURE FOR A DIVERSE WORKFORCE</w:t>
                            </w:r>
                          </w:p>
                          <w:p w14:paraId="5F19741F" w14:textId="77777777" w:rsidR="00B17064" w:rsidRPr="00561C74" w:rsidRDefault="00B17064"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The Productivity Commission should recommend that governments publish coordinated housing and infrastructure plans with credible sequencing, responsibilities and delivery timeframes.</w:t>
                            </w:r>
                          </w:p>
                          <w:p w14:paraId="6E88B994" w14:textId="5ABC40E6" w:rsidR="00B17064" w:rsidRPr="00561C74" w:rsidRDefault="00CF5891" w:rsidP="001D4D30">
                            <w:pPr>
                              <w:spacing w:before="100" w:beforeAutospacing="1" w:after="100" w:afterAutospacing="1" w:line="240" w:lineRule="auto"/>
                              <w:rPr>
                                <w:rFonts w:eastAsia="Times New Roman" w:cs="Times New Roman"/>
                                <w:kern w:val="0"/>
                                <w:sz w:val="24"/>
                                <w:szCs w:val="24"/>
                                <w14:ligatures w14:val="none"/>
                              </w:rPr>
                            </w:pPr>
                            <w:r>
                              <w:rPr>
                                <w:rFonts w:eastAsia="Times New Roman" w:cs="Times New Roman"/>
                                <w:kern w:val="0"/>
                                <w:sz w:val="24"/>
                                <w:szCs w:val="24"/>
                                <w:lang w:eastAsia="en-AU"/>
                                <w14:ligatures w14:val="none"/>
                              </w:rPr>
                              <w:t xml:space="preserve">These plans should also support workforce </w:t>
                            </w:r>
                            <w:r w:rsidR="003C6F61">
                              <w:rPr>
                                <w:rFonts w:eastAsia="Times New Roman" w:cs="Times New Roman"/>
                                <w:kern w:val="0"/>
                                <w:sz w:val="24"/>
                                <w:szCs w:val="24"/>
                                <w:lang w:eastAsia="en-AU"/>
                                <w14:ligatures w14:val="none"/>
                              </w:rPr>
                              <w:t>planning by linking major housing pipelines with training and employment pathways</w:t>
                            </w:r>
                            <w:r w:rsidR="006A2CBE">
                              <w:rPr>
                                <w:rFonts w:eastAsia="Times New Roman" w:cs="Times New Roman"/>
                                <w:kern w:val="0"/>
                                <w:sz w:val="24"/>
                                <w:szCs w:val="24"/>
                                <w:lang w:eastAsia="en-AU"/>
                                <w14:ligatures w14:val="none"/>
                              </w:rPr>
                              <w:t>, including pathways that increase women’s participation in construction.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C70E5A2" id="_x0000_s1029" type="#_x0000_t202" style="position:absolute;margin-left:0;margin-top:0;width:2in;height:2in;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BTJ8UErAgAAWgQAAA4AAAAAAAAAAAAAAAAALgIAAGRycy9lMm9Eb2Mu&#10;eG1sUEsBAi0AFAAGAAgAAAAhALcMAwjXAAAABQEAAA8AAAAAAAAAAAAAAAAAhQQAAGRycy9kb3du&#10;cmV2LnhtbFBLBQYAAAAABAAEAPMAAACJBQAAAAA=&#10;" filled="f" strokeweight=".5pt">
                <v:textbox style="mso-fit-shape-to-text:t">
                  <w:txbxContent>
                    <w:p w14:paraId="7D5FCBC6" w14:textId="77777777" w:rsidR="00B17064" w:rsidRPr="00561C74" w:rsidRDefault="00B17064"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b/>
                          <w:bCs/>
                          <w:kern w:val="0"/>
                          <w:sz w:val="24"/>
                          <w:szCs w:val="24"/>
                          <w:lang w:eastAsia="en-AU"/>
                          <w14:ligatures w14:val="none"/>
                        </w:rPr>
                        <w:t>RECOMMENDATION 4 — PLAN HOUSING AND INFRASTRUCTURE FOR A DIVERSE WORKFORCE</w:t>
                      </w:r>
                    </w:p>
                    <w:p w14:paraId="5F19741F" w14:textId="77777777" w:rsidR="00B17064" w:rsidRPr="00561C74" w:rsidRDefault="00B17064" w:rsidP="00943D3D">
                      <w:pPr>
                        <w:spacing w:before="100" w:beforeAutospacing="1" w:after="100" w:afterAutospacing="1" w:line="240" w:lineRule="auto"/>
                        <w:rPr>
                          <w:rFonts w:eastAsia="Times New Roman" w:cs="Times New Roman"/>
                          <w:kern w:val="0"/>
                          <w:sz w:val="24"/>
                          <w:szCs w:val="24"/>
                          <w:lang w:eastAsia="en-AU"/>
                          <w14:ligatures w14:val="none"/>
                        </w:rPr>
                      </w:pPr>
                      <w:r w:rsidRPr="00561C74">
                        <w:rPr>
                          <w:rFonts w:eastAsia="Times New Roman" w:cs="Times New Roman"/>
                          <w:kern w:val="0"/>
                          <w:sz w:val="24"/>
                          <w:szCs w:val="24"/>
                          <w:lang w:eastAsia="en-AU"/>
                          <w14:ligatures w14:val="none"/>
                        </w:rPr>
                        <w:t>The Productivity Commission should recommend that governments publish coordinated housing and infrastructure plans with credible sequencing, responsibilities and delivery timeframes.</w:t>
                      </w:r>
                    </w:p>
                    <w:p w14:paraId="6E88B994" w14:textId="5ABC40E6" w:rsidR="00B17064" w:rsidRPr="00561C74" w:rsidRDefault="00CF5891" w:rsidP="001D4D30">
                      <w:pPr>
                        <w:spacing w:before="100" w:beforeAutospacing="1" w:after="100" w:afterAutospacing="1" w:line="240" w:lineRule="auto"/>
                        <w:rPr>
                          <w:rFonts w:eastAsia="Times New Roman" w:cs="Times New Roman"/>
                          <w:kern w:val="0"/>
                          <w:sz w:val="24"/>
                          <w:szCs w:val="24"/>
                          <w14:ligatures w14:val="none"/>
                        </w:rPr>
                      </w:pPr>
                      <w:r>
                        <w:rPr>
                          <w:rFonts w:eastAsia="Times New Roman" w:cs="Times New Roman"/>
                          <w:kern w:val="0"/>
                          <w:sz w:val="24"/>
                          <w:szCs w:val="24"/>
                          <w:lang w:eastAsia="en-AU"/>
                          <w14:ligatures w14:val="none"/>
                        </w:rPr>
                        <w:t xml:space="preserve">These plans should also support workforce </w:t>
                      </w:r>
                      <w:r w:rsidR="003C6F61">
                        <w:rPr>
                          <w:rFonts w:eastAsia="Times New Roman" w:cs="Times New Roman"/>
                          <w:kern w:val="0"/>
                          <w:sz w:val="24"/>
                          <w:szCs w:val="24"/>
                          <w:lang w:eastAsia="en-AU"/>
                          <w14:ligatures w14:val="none"/>
                        </w:rPr>
                        <w:t>planning by linking major housing pipelines with training and employment pathways</w:t>
                      </w:r>
                      <w:r w:rsidR="006A2CBE">
                        <w:rPr>
                          <w:rFonts w:eastAsia="Times New Roman" w:cs="Times New Roman"/>
                          <w:kern w:val="0"/>
                          <w:sz w:val="24"/>
                          <w:szCs w:val="24"/>
                          <w:lang w:eastAsia="en-AU"/>
                          <w14:ligatures w14:val="none"/>
                        </w:rPr>
                        <w:t>, including pathways that increase women’s participation in construction.</w:t>
                      </w:r>
                    </w:p>
                  </w:txbxContent>
                </v:textbox>
                <w10:wrap type="square"/>
              </v:shape>
            </w:pict>
          </mc:Fallback>
        </mc:AlternateContent>
      </w:r>
    </w:p>
    <w:p w14:paraId="0C1DC4A7" w14:textId="4D5FFE12" w:rsidR="00943D3D" w:rsidRPr="00561C74" w:rsidRDefault="00943D3D" w:rsidP="00B17064">
      <w:pPr>
        <w:spacing w:after="0" w:line="240" w:lineRule="auto"/>
        <w:rPr>
          <w:rFonts w:eastAsia="Times New Roman" w:cs="Times New Roman"/>
          <w:b/>
          <w:bCs/>
          <w:kern w:val="0"/>
          <w:sz w:val="24"/>
          <w:szCs w:val="24"/>
          <w:lang w:eastAsia="en-AU"/>
          <w14:ligatures w14:val="none"/>
        </w:rPr>
      </w:pPr>
      <w:r w:rsidRPr="00561C74">
        <w:rPr>
          <w:rFonts w:eastAsia="Times New Roman" w:cs="Times New Roman"/>
          <w:b/>
          <w:bCs/>
          <w:kern w:val="0"/>
          <w:sz w:val="24"/>
          <w:szCs w:val="24"/>
          <w:lang w:eastAsia="en-AU"/>
          <w14:ligatures w14:val="none"/>
        </w:rPr>
        <w:t>5. Toward more homes, faster</w:t>
      </w:r>
    </w:p>
    <w:p w14:paraId="0E9021D0" w14:textId="77777777" w:rsidR="002E7A7A" w:rsidRPr="002E7A7A" w:rsidRDefault="002E7A7A" w:rsidP="002E7A7A">
      <w:pPr>
        <w:spacing w:before="100" w:beforeAutospacing="1" w:after="100" w:afterAutospacing="1" w:line="240" w:lineRule="auto"/>
        <w:rPr>
          <w:rFonts w:eastAsia="Times New Roman" w:cs="Times New Roman"/>
          <w:kern w:val="0"/>
          <w:sz w:val="24"/>
          <w:szCs w:val="24"/>
          <w:lang w:eastAsia="en-AU"/>
          <w14:ligatures w14:val="none"/>
        </w:rPr>
      </w:pPr>
      <w:r w:rsidRPr="002E7A7A">
        <w:rPr>
          <w:rFonts w:eastAsia="Times New Roman" w:cs="Times New Roman"/>
          <w:kern w:val="0"/>
          <w:sz w:val="24"/>
          <w:szCs w:val="24"/>
          <w:lang w:eastAsia="en-AU"/>
          <w14:ligatures w14:val="none"/>
        </w:rPr>
        <w:t>Delivering more homes, faster, will require more than changes to planning and approval systems. Regulatory reform may expand the housing pipeline, but it will not increase completions unless the construction industry has the workforce and capability to deliver it.</w:t>
      </w:r>
    </w:p>
    <w:p w14:paraId="732C427A" w14:textId="6C22B73F" w:rsidR="002E7A7A" w:rsidRPr="002E7A7A" w:rsidRDefault="002E7A7A" w:rsidP="002E7A7A">
      <w:pPr>
        <w:spacing w:before="100" w:beforeAutospacing="1" w:after="100" w:afterAutospacing="1" w:line="240" w:lineRule="auto"/>
        <w:rPr>
          <w:rFonts w:eastAsia="Times New Roman" w:cs="Times New Roman"/>
          <w:kern w:val="0"/>
          <w:sz w:val="24"/>
          <w:szCs w:val="24"/>
          <w:lang w:eastAsia="en-AU"/>
          <w14:ligatures w14:val="none"/>
        </w:rPr>
      </w:pPr>
      <w:r w:rsidRPr="002E7A7A">
        <w:rPr>
          <w:rFonts w:eastAsia="Times New Roman" w:cs="Times New Roman"/>
          <w:kern w:val="0"/>
          <w:sz w:val="24"/>
          <w:szCs w:val="24"/>
          <w:lang w:eastAsia="en-AU"/>
          <w14:ligatures w14:val="none"/>
        </w:rPr>
        <w:t>Women are not a supplementary workforce for construction; they are essential to building the industry capacity needed to deliver Australia’s housing ambitions.</w:t>
      </w:r>
    </w:p>
    <w:p w14:paraId="03FF271A" w14:textId="77777777" w:rsidR="002E7A7A" w:rsidRPr="002E7A7A" w:rsidRDefault="002E7A7A" w:rsidP="002E7A7A">
      <w:pPr>
        <w:spacing w:before="100" w:beforeAutospacing="1" w:after="100" w:afterAutospacing="1" w:line="240" w:lineRule="auto"/>
        <w:rPr>
          <w:rFonts w:eastAsia="Times New Roman" w:cs="Times New Roman"/>
          <w:kern w:val="0"/>
          <w:sz w:val="24"/>
          <w:szCs w:val="24"/>
          <w:lang w:eastAsia="en-AU"/>
          <w14:ligatures w14:val="none"/>
        </w:rPr>
      </w:pPr>
      <w:r w:rsidRPr="002E7A7A">
        <w:rPr>
          <w:rFonts w:eastAsia="Times New Roman" w:cs="Times New Roman"/>
          <w:kern w:val="0"/>
          <w:sz w:val="24"/>
          <w:szCs w:val="24"/>
          <w:lang w:eastAsia="en-AU"/>
          <w14:ligatures w14:val="none"/>
        </w:rPr>
        <w:t>Attracting more women into construction is only part of the solution. Sustained workforce growth will depend on whether women can remain in the industry, complete their training and progress into skilled, supervisory, technical and leadership roles.</w:t>
      </w:r>
    </w:p>
    <w:p w14:paraId="6E8BCFC2" w14:textId="77777777" w:rsidR="002E7A7A" w:rsidRPr="002E7A7A" w:rsidRDefault="002E7A7A" w:rsidP="002E7A7A">
      <w:pPr>
        <w:spacing w:before="100" w:beforeAutospacing="1" w:after="100" w:afterAutospacing="1" w:line="240" w:lineRule="auto"/>
        <w:rPr>
          <w:rFonts w:eastAsia="Times New Roman" w:cs="Times New Roman"/>
          <w:kern w:val="0"/>
          <w:sz w:val="24"/>
          <w:szCs w:val="24"/>
          <w:lang w:eastAsia="en-AU"/>
          <w14:ligatures w14:val="none"/>
        </w:rPr>
      </w:pPr>
      <w:r w:rsidRPr="002E7A7A">
        <w:rPr>
          <w:rFonts w:eastAsia="Times New Roman" w:cs="Times New Roman"/>
          <w:kern w:val="0"/>
          <w:sz w:val="24"/>
          <w:szCs w:val="24"/>
          <w:lang w:eastAsia="en-AU"/>
          <w14:ligatures w14:val="none"/>
        </w:rPr>
        <w:t>Publicly funded and supported housing programs provide governments with a direct opportunity to drive these outcomes. Through procurement and contracting, governments can establish clear and proportionate expectations for:</w:t>
      </w:r>
    </w:p>
    <w:p w14:paraId="04AE31FA" w14:textId="77777777" w:rsidR="002E7A7A" w:rsidRPr="002E7A7A" w:rsidRDefault="002E7A7A" w:rsidP="002E7A7A">
      <w:pPr>
        <w:numPr>
          <w:ilvl w:val="0"/>
          <w:numId w:val="33"/>
        </w:numPr>
        <w:spacing w:before="100" w:beforeAutospacing="1" w:after="100" w:afterAutospacing="1" w:line="240" w:lineRule="auto"/>
        <w:rPr>
          <w:rFonts w:eastAsia="Times New Roman" w:cs="Times New Roman"/>
          <w:kern w:val="0"/>
          <w:sz w:val="24"/>
          <w:szCs w:val="24"/>
          <w:lang w:eastAsia="en-AU"/>
          <w14:ligatures w14:val="none"/>
        </w:rPr>
      </w:pPr>
      <w:r w:rsidRPr="002E7A7A">
        <w:rPr>
          <w:rFonts w:eastAsia="Times New Roman" w:cs="Times New Roman"/>
          <w:kern w:val="0"/>
          <w:sz w:val="24"/>
          <w:szCs w:val="24"/>
          <w:lang w:eastAsia="en-AU"/>
          <w14:ligatures w14:val="none"/>
        </w:rPr>
        <w:t>Women’s participation, retention and progression.</w:t>
      </w:r>
    </w:p>
    <w:p w14:paraId="29BFF7E6" w14:textId="77777777" w:rsidR="002E7A7A" w:rsidRPr="002E7A7A" w:rsidRDefault="002E7A7A" w:rsidP="002E7A7A">
      <w:pPr>
        <w:numPr>
          <w:ilvl w:val="0"/>
          <w:numId w:val="33"/>
        </w:numPr>
        <w:spacing w:before="100" w:beforeAutospacing="1" w:after="100" w:afterAutospacing="1" w:line="240" w:lineRule="auto"/>
        <w:rPr>
          <w:rFonts w:eastAsia="Times New Roman" w:cs="Times New Roman"/>
          <w:kern w:val="0"/>
          <w:sz w:val="24"/>
          <w:szCs w:val="24"/>
          <w:lang w:eastAsia="en-AU"/>
          <w14:ligatures w14:val="none"/>
        </w:rPr>
      </w:pPr>
      <w:r w:rsidRPr="002E7A7A">
        <w:rPr>
          <w:rFonts w:eastAsia="Times New Roman" w:cs="Times New Roman"/>
          <w:kern w:val="0"/>
          <w:sz w:val="24"/>
          <w:szCs w:val="24"/>
          <w:lang w:eastAsia="en-AU"/>
          <w14:ligatures w14:val="none"/>
        </w:rPr>
        <w:t>Apprenticeships, mid-career entry and return-to-work pathways.</w:t>
      </w:r>
    </w:p>
    <w:p w14:paraId="4495EF3F" w14:textId="77777777" w:rsidR="002E7A7A" w:rsidRPr="002E7A7A" w:rsidRDefault="002E7A7A" w:rsidP="002E7A7A">
      <w:pPr>
        <w:numPr>
          <w:ilvl w:val="0"/>
          <w:numId w:val="33"/>
        </w:numPr>
        <w:spacing w:before="100" w:beforeAutospacing="1" w:after="100" w:afterAutospacing="1" w:line="240" w:lineRule="auto"/>
        <w:rPr>
          <w:rFonts w:eastAsia="Times New Roman" w:cs="Times New Roman"/>
          <w:kern w:val="0"/>
          <w:sz w:val="24"/>
          <w:szCs w:val="24"/>
          <w:lang w:eastAsia="en-AU"/>
          <w14:ligatures w14:val="none"/>
        </w:rPr>
      </w:pPr>
      <w:r w:rsidRPr="002E7A7A">
        <w:rPr>
          <w:rFonts w:eastAsia="Times New Roman" w:cs="Times New Roman"/>
          <w:kern w:val="0"/>
          <w:sz w:val="24"/>
          <w:szCs w:val="24"/>
          <w:lang w:eastAsia="en-AU"/>
          <w14:ligatures w14:val="none"/>
        </w:rPr>
        <w:t>Safe, respectful and inclusive workplaces.</w:t>
      </w:r>
    </w:p>
    <w:p w14:paraId="470822AC" w14:textId="77777777" w:rsidR="002E7A7A" w:rsidRPr="002E7A7A" w:rsidRDefault="002E7A7A" w:rsidP="002E7A7A">
      <w:pPr>
        <w:numPr>
          <w:ilvl w:val="0"/>
          <w:numId w:val="33"/>
        </w:numPr>
        <w:spacing w:before="100" w:beforeAutospacing="1" w:after="100" w:afterAutospacing="1" w:line="240" w:lineRule="auto"/>
        <w:rPr>
          <w:rFonts w:eastAsia="Times New Roman" w:cs="Times New Roman"/>
          <w:kern w:val="0"/>
          <w:sz w:val="24"/>
          <w:szCs w:val="24"/>
          <w:lang w:eastAsia="en-AU"/>
          <w14:ligatures w14:val="none"/>
        </w:rPr>
      </w:pPr>
      <w:r w:rsidRPr="002E7A7A">
        <w:rPr>
          <w:rFonts w:eastAsia="Times New Roman" w:cs="Times New Roman"/>
          <w:kern w:val="0"/>
          <w:sz w:val="24"/>
          <w:szCs w:val="24"/>
          <w:lang w:eastAsia="en-AU"/>
          <w14:ligatures w14:val="none"/>
        </w:rPr>
        <w:t>Appropriate amenities and personal protective equipment.</w:t>
      </w:r>
    </w:p>
    <w:p w14:paraId="1E26F1B6" w14:textId="77777777" w:rsidR="002E7A7A" w:rsidRPr="002E7A7A" w:rsidRDefault="002E7A7A" w:rsidP="002E7A7A">
      <w:pPr>
        <w:numPr>
          <w:ilvl w:val="0"/>
          <w:numId w:val="33"/>
        </w:numPr>
        <w:spacing w:before="100" w:beforeAutospacing="1" w:after="100" w:afterAutospacing="1" w:line="240" w:lineRule="auto"/>
        <w:rPr>
          <w:rFonts w:eastAsia="Times New Roman" w:cs="Times New Roman"/>
          <w:kern w:val="0"/>
          <w:sz w:val="24"/>
          <w:szCs w:val="24"/>
          <w:lang w:eastAsia="en-AU"/>
          <w14:ligatures w14:val="none"/>
        </w:rPr>
      </w:pPr>
      <w:r w:rsidRPr="002E7A7A">
        <w:rPr>
          <w:rFonts w:eastAsia="Times New Roman" w:cs="Times New Roman"/>
          <w:kern w:val="0"/>
          <w:sz w:val="24"/>
          <w:szCs w:val="24"/>
          <w:lang w:eastAsia="en-AU"/>
          <w14:ligatures w14:val="none"/>
        </w:rPr>
        <w:t>Progression into skilled, supervisory, technical and leadership roles.</w:t>
      </w:r>
    </w:p>
    <w:p w14:paraId="2289CD9E" w14:textId="0C3E6B05" w:rsidR="002E7A7A" w:rsidRDefault="002E7A7A" w:rsidP="002E7A7A">
      <w:pPr>
        <w:spacing w:before="100" w:beforeAutospacing="1" w:after="100" w:afterAutospacing="1" w:line="240" w:lineRule="auto"/>
        <w:rPr>
          <w:rFonts w:eastAsia="Times New Roman" w:cs="Times New Roman"/>
          <w:kern w:val="0"/>
          <w:sz w:val="24"/>
          <w:szCs w:val="24"/>
          <w:lang w:eastAsia="en-AU"/>
          <w14:ligatures w14:val="none"/>
        </w:rPr>
      </w:pPr>
      <w:r w:rsidRPr="002E7A7A">
        <w:rPr>
          <w:rFonts w:eastAsia="Times New Roman" w:cs="Times New Roman"/>
          <w:kern w:val="0"/>
          <w:sz w:val="24"/>
          <w:szCs w:val="24"/>
          <w:lang w:eastAsia="en-AU"/>
          <w14:ligatures w14:val="none"/>
        </w:rPr>
        <w:lastRenderedPageBreak/>
        <w:t>These requirements should focus on sustained employment and career progression</w:t>
      </w:r>
      <w:r w:rsidR="009A2830">
        <w:rPr>
          <w:rFonts w:eastAsia="Times New Roman" w:cs="Times New Roman"/>
          <w:kern w:val="0"/>
          <w:sz w:val="24"/>
          <w:szCs w:val="24"/>
          <w:lang w:eastAsia="en-AU"/>
          <w14:ligatures w14:val="none"/>
        </w:rPr>
        <w:t xml:space="preserve"> </w:t>
      </w:r>
      <w:r w:rsidRPr="002E7A7A">
        <w:rPr>
          <w:rFonts w:eastAsia="Times New Roman" w:cs="Times New Roman"/>
          <w:kern w:val="0"/>
          <w:sz w:val="24"/>
          <w:szCs w:val="24"/>
          <w:lang w:eastAsia="en-AU"/>
          <w14:ligatures w14:val="none"/>
        </w:rPr>
        <w:t>not simply the number of women present on a project at a particular point in time.</w:t>
      </w:r>
    </w:p>
    <w:p w14:paraId="55E2F22D" w14:textId="2B7D3215" w:rsidR="00943D3D" w:rsidRPr="00561C74" w:rsidRDefault="0052537C" w:rsidP="00AE1684">
      <w:pPr>
        <w:spacing w:before="100" w:beforeAutospacing="1" w:after="100" w:afterAutospacing="1" w:line="240" w:lineRule="auto"/>
        <w:rPr>
          <w:rFonts w:eastAsia="Times New Roman" w:cs="Times New Roman"/>
          <w:b/>
          <w:bCs/>
          <w:kern w:val="0"/>
          <w:sz w:val="24"/>
          <w:szCs w:val="24"/>
          <w:lang w:eastAsia="en-AU"/>
          <w14:ligatures w14:val="none"/>
        </w:rPr>
      </w:pPr>
      <w:r>
        <w:rPr>
          <w:rFonts w:eastAsia="Times New Roman" w:cs="Times New Roman"/>
          <w:b/>
          <w:bCs/>
          <w:kern w:val="0"/>
          <w:sz w:val="24"/>
          <w:szCs w:val="24"/>
          <w:lang w:eastAsia="en-AU"/>
          <w14:ligatures w14:val="none"/>
        </w:rPr>
        <w:br/>
      </w:r>
      <w:r w:rsidR="00710E89">
        <w:rPr>
          <w:noProof/>
        </w:rPr>
        <mc:AlternateContent>
          <mc:Choice Requires="wps">
            <w:drawing>
              <wp:anchor distT="0" distB="0" distL="114300" distR="114300" simplePos="0" relativeHeight="251667456" behindDoc="0" locked="0" layoutInCell="1" allowOverlap="1" wp14:anchorId="3FA11654" wp14:editId="21E26118">
                <wp:simplePos x="0" y="0"/>
                <wp:positionH relativeFrom="column">
                  <wp:posOffset>0</wp:posOffset>
                </wp:positionH>
                <wp:positionV relativeFrom="paragraph">
                  <wp:posOffset>0</wp:posOffset>
                </wp:positionV>
                <wp:extent cx="1828800" cy="1828800"/>
                <wp:effectExtent l="0" t="0" r="0" b="0"/>
                <wp:wrapSquare wrapText="bothSides"/>
                <wp:docPr id="1676477250"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574E6B36" w14:textId="77777777" w:rsidR="00710E89" w:rsidRPr="009A2830" w:rsidRDefault="00710E89" w:rsidP="009A2830">
                            <w:pPr>
                              <w:spacing w:before="100" w:beforeAutospacing="1" w:after="100" w:afterAutospacing="1" w:line="240" w:lineRule="auto"/>
                              <w:rPr>
                                <w:rFonts w:eastAsia="Times New Roman" w:cs="Times New Roman"/>
                                <w:b/>
                                <w:bCs/>
                                <w:kern w:val="0"/>
                                <w:sz w:val="24"/>
                                <w:szCs w:val="24"/>
                                <w:lang w:eastAsia="en-AU"/>
                                <w14:ligatures w14:val="none"/>
                              </w:rPr>
                            </w:pPr>
                            <w:r w:rsidRPr="009A2830">
                              <w:rPr>
                                <w:rFonts w:eastAsia="Times New Roman" w:cs="Times New Roman"/>
                                <w:b/>
                                <w:bCs/>
                                <w:kern w:val="0"/>
                                <w:sz w:val="24"/>
                                <w:szCs w:val="24"/>
                                <w:lang w:eastAsia="en-AU"/>
                                <w14:ligatures w14:val="none"/>
                              </w:rPr>
                              <w:t>RECOMMENDATION 5 — INCREASE WOMEN’S PARTICIPATION, RETENTION AND PROGRESSION</w:t>
                            </w:r>
                          </w:p>
                          <w:p w14:paraId="7673CEBB" w14:textId="77777777" w:rsidR="00710E89" w:rsidRPr="00C4780A" w:rsidRDefault="00710E89" w:rsidP="00C4780A">
                            <w:pPr>
                              <w:spacing w:before="100" w:beforeAutospacing="1" w:after="100" w:afterAutospacing="1" w:line="240" w:lineRule="auto"/>
                              <w:rPr>
                                <w:rFonts w:eastAsia="Times New Roman" w:cs="Times New Roman"/>
                                <w:kern w:val="0"/>
                                <w14:ligatures w14:val="none"/>
                              </w:rPr>
                            </w:pPr>
                            <w:r w:rsidRPr="009A2830">
                              <w:rPr>
                                <w:rFonts w:eastAsia="Times New Roman" w:cs="Times New Roman"/>
                                <w:kern w:val="0"/>
                                <w:sz w:val="24"/>
                                <w:szCs w:val="24"/>
                                <w:lang w:eastAsia="en-AU"/>
                                <w14:ligatures w14:val="none"/>
                              </w:rPr>
                              <w:t>The Productivity Commission should recommend that governments use major housing reforms and publicly supported housing programs to increase women’s participation, retention and progression in construction through measurable workforce targets, safe and inclusive workplaces, appropriate facilities, accessible career pathways, and clear accountability through procurement and contracting.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FA11654" id="_x0000_s1030" type="#_x0000_t202" style="position:absolute;margin-left:0;margin-top:0;width:2in;height:2in;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qUhKwIAAFo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FXS&#10;6dDwFqoj4uCgHxFv+Vph+kfmwwtzOBPYH855eMZDasCa4CRRUoP79bf76I9UoZWSFmespAaXgBL9&#10;3SCFd+PpNI5kUqY3XyaouGvL9tpi9s0KsM0x7pPlSYz+QQ+idNC84TIs45toYobjyyUNg7gK/dzj&#10;MnGxXCYnHELLwqPZWB5TD6C+dm/M2RNZAXl+gmEWWfGOs943Rnq73AdkLhEaUe4xPYGPA5y4OS1b&#10;3JBrPXldfgmL3wA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CK+pSErAgAAWgQAAA4AAAAAAAAAAAAAAAAALgIAAGRycy9lMm9Eb2Mu&#10;eG1sUEsBAi0AFAAGAAgAAAAhALcMAwjXAAAABQEAAA8AAAAAAAAAAAAAAAAAhQQAAGRycy9kb3du&#10;cmV2LnhtbFBLBQYAAAAABAAEAPMAAACJBQAAAAA=&#10;" filled="f" strokeweight=".5pt">
                <v:textbox style="mso-fit-shape-to-text:t">
                  <w:txbxContent>
                    <w:p w14:paraId="574E6B36" w14:textId="77777777" w:rsidR="00710E89" w:rsidRPr="009A2830" w:rsidRDefault="00710E89" w:rsidP="009A2830">
                      <w:pPr>
                        <w:spacing w:before="100" w:beforeAutospacing="1" w:after="100" w:afterAutospacing="1" w:line="240" w:lineRule="auto"/>
                        <w:rPr>
                          <w:rFonts w:eastAsia="Times New Roman" w:cs="Times New Roman"/>
                          <w:b/>
                          <w:bCs/>
                          <w:kern w:val="0"/>
                          <w:sz w:val="24"/>
                          <w:szCs w:val="24"/>
                          <w:lang w:eastAsia="en-AU"/>
                          <w14:ligatures w14:val="none"/>
                        </w:rPr>
                      </w:pPr>
                      <w:r w:rsidRPr="009A2830">
                        <w:rPr>
                          <w:rFonts w:eastAsia="Times New Roman" w:cs="Times New Roman"/>
                          <w:b/>
                          <w:bCs/>
                          <w:kern w:val="0"/>
                          <w:sz w:val="24"/>
                          <w:szCs w:val="24"/>
                          <w:lang w:eastAsia="en-AU"/>
                          <w14:ligatures w14:val="none"/>
                        </w:rPr>
                        <w:t>RECOMMENDATION 5 — INCREASE WOMEN’S PARTICIPATION, RETENTION AND PROGRESSION</w:t>
                      </w:r>
                    </w:p>
                    <w:p w14:paraId="7673CEBB" w14:textId="77777777" w:rsidR="00710E89" w:rsidRPr="00C4780A" w:rsidRDefault="00710E89" w:rsidP="00C4780A">
                      <w:pPr>
                        <w:spacing w:before="100" w:beforeAutospacing="1" w:after="100" w:afterAutospacing="1" w:line="240" w:lineRule="auto"/>
                        <w:rPr>
                          <w:rFonts w:eastAsia="Times New Roman" w:cs="Times New Roman"/>
                          <w:kern w:val="0"/>
                          <w14:ligatures w14:val="none"/>
                        </w:rPr>
                      </w:pPr>
                      <w:r w:rsidRPr="009A2830">
                        <w:rPr>
                          <w:rFonts w:eastAsia="Times New Roman" w:cs="Times New Roman"/>
                          <w:kern w:val="0"/>
                          <w:sz w:val="24"/>
                          <w:szCs w:val="24"/>
                          <w:lang w:eastAsia="en-AU"/>
                          <w14:ligatures w14:val="none"/>
                        </w:rPr>
                        <w:t>The Productivity Commission should recommend that governments use major housing reforms and publicly supported housing programs to increase women’s participation, retention and progression in construction through measurable workforce targets, safe and inclusive workplaces, appropriate facilities, accessible career pathways, and clear accountability through procurement and contracting.</w:t>
                      </w:r>
                    </w:p>
                  </w:txbxContent>
                </v:textbox>
                <w10:wrap type="square"/>
              </v:shape>
            </w:pict>
          </mc:Fallback>
        </mc:AlternateContent>
      </w:r>
      <w:r w:rsidR="00436027" w:rsidRPr="00561C74">
        <w:rPr>
          <w:rFonts w:eastAsia="Times New Roman" w:cs="Times New Roman"/>
          <w:b/>
          <w:bCs/>
          <w:kern w:val="0"/>
          <w:sz w:val="24"/>
          <w:szCs w:val="24"/>
          <w:lang w:eastAsia="en-AU"/>
          <w14:ligatures w14:val="none"/>
        </w:rPr>
        <w:t xml:space="preserve">Conclusion </w:t>
      </w:r>
    </w:p>
    <w:p w14:paraId="350427AB" w14:textId="77777777" w:rsidR="00B23C33" w:rsidRPr="00B23C33" w:rsidRDefault="00B23C33" w:rsidP="00B23C33">
      <w:pPr>
        <w:spacing w:before="100" w:beforeAutospacing="1" w:after="100" w:afterAutospacing="1" w:line="240" w:lineRule="auto"/>
        <w:rPr>
          <w:rFonts w:eastAsia="Times New Roman" w:cs="Times New Roman"/>
          <w:kern w:val="0"/>
          <w:sz w:val="24"/>
          <w:szCs w:val="24"/>
          <w:lang w:eastAsia="en-AU"/>
          <w14:ligatures w14:val="none"/>
        </w:rPr>
      </w:pPr>
      <w:r w:rsidRPr="00B23C33">
        <w:rPr>
          <w:rFonts w:eastAsia="Times New Roman" w:cs="Times New Roman"/>
          <w:kern w:val="0"/>
          <w:sz w:val="24"/>
          <w:szCs w:val="24"/>
          <w:lang w:eastAsia="en-AU"/>
          <w14:ligatures w14:val="none"/>
        </w:rPr>
        <w:t>Regulatory reform is necessary, but it will not deliver more homes unless the construction industry has the workforce capacity to build them. Women remain significantly underrepresented in construction and must be central to expanding that capacity.</w:t>
      </w:r>
    </w:p>
    <w:p w14:paraId="7B729DB0" w14:textId="77777777" w:rsidR="00B23C33" w:rsidRPr="00B23C33" w:rsidRDefault="00B23C33" w:rsidP="00B23C33">
      <w:pPr>
        <w:spacing w:before="100" w:beforeAutospacing="1" w:after="100" w:afterAutospacing="1" w:line="240" w:lineRule="auto"/>
        <w:rPr>
          <w:rFonts w:eastAsia="Times New Roman" w:cs="Times New Roman"/>
          <w:kern w:val="0"/>
          <w:sz w:val="24"/>
          <w:szCs w:val="24"/>
          <w:lang w:eastAsia="en-AU"/>
          <w14:ligatures w14:val="none"/>
        </w:rPr>
      </w:pPr>
      <w:r w:rsidRPr="00B23C33">
        <w:rPr>
          <w:rFonts w:eastAsia="Times New Roman" w:cs="Times New Roman"/>
          <w:kern w:val="0"/>
          <w:sz w:val="24"/>
          <w:szCs w:val="24"/>
          <w:lang w:eastAsia="en-AU"/>
          <w14:ligatures w14:val="none"/>
        </w:rPr>
        <w:t>Realising this opportunity requires more than recruiting women into the industry. It requires safe and respectful workplaces, appropriate facilities and equipment, sustainable working arrangements, accessible entry pathways and genuine opportunities for women to develop their skills and progress into technical, supervisory and leadership roles.</w:t>
      </w:r>
    </w:p>
    <w:p w14:paraId="77186F95" w14:textId="77777777" w:rsidR="00B23C33" w:rsidRPr="00B23C33" w:rsidRDefault="00B23C33" w:rsidP="00B23C33">
      <w:pPr>
        <w:spacing w:before="100" w:beforeAutospacing="1" w:after="100" w:afterAutospacing="1" w:line="240" w:lineRule="auto"/>
        <w:rPr>
          <w:rFonts w:eastAsia="Times New Roman" w:cs="Times New Roman"/>
          <w:kern w:val="0"/>
          <w:sz w:val="24"/>
          <w:szCs w:val="24"/>
          <w:lang w:eastAsia="en-AU"/>
          <w14:ligatures w14:val="none"/>
        </w:rPr>
      </w:pPr>
      <w:r w:rsidRPr="00B23C33">
        <w:rPr>
          <w:rFonts w:eastAsia="Times New Roman" w:cs="Times New Roman"/>
          <w:kern w:val="0"/>
          <w:sz w:val="24"/>
          <w:szCs w:val="24"/>
          <w:lang w:eastAsia="en-AU"/>
          <w14:ligatures w14:val="none"/>
        </w:rPr>
        <w:t>These are not separate from productivity. They support a safer, more capable and resilient workforce and strengthen the industry’s ability to deliver a sustained housing pipeline.</w:t>
      </w:r>
    </w:p>
    <w:p w14:paraId="7F7D90B3" w14:textId="0256569A" w:rsidR="00B23C33" w:rsidRPr="00B23C33" w:rsidRDefault="00B23C33" w:rsidP="00B23C33">
      <w:pPr>
        <w:spacing w:before="100" w:beforeAutospacing="1" w:after="100" w:afterAutospacing="1" w:line="240" w:lineRule="auto"/>
        <w:rPr>
          <w:rFonts w:eastAsia="Times New Roman" w:cs="Times New Roman"/>
          <w:kern w:val="0"/>
          <w:sz w:val="24"/>
          <w:szCs w:val="24"/>
          <w:lang w:eastAsia="en-AU"/>
          <w14:ligatures w14:val="none"/>
        </w:rPr>
      </w:pPr>
      <w:r w:rsidRPr="00B23C33">
        <w:rPr>
          <w:rFonts w:eastAsia="Times New Roman" w:cs="Times New Roman"/>
          <w:kern w:val="0"/>
          <w:sz w:val="24"/>
          <w:szCs w:val="24"/>
          <w:lang w:eastAsia="en-AU"/>
          <w14:ligatures w14:val="none"/>
        </w:rPr>
        <w:t>NAWIC calls on the Commission to recognise construction workforce capacity</w:t>
      </w:r>
      <w:r w:rsidR="008664E2">
        <w:rPr>
          <w:rFonts w:eastAsia="Times New Roman" w:cs="Times New Roman"/>
          <w:kern w:val="0"/>
          <w:sz w:val="24"/>
          <w:szCs w:val="24"/>
          <w:lang w:eastAsia="en-AU"/>
          <w14:ligatures w14:val="none"/>
        </w:rPr>
        <w:t xml:space="preserve"> </w:t>
      </w:r>
      <w:r w:rsidRPr="00B23C33">
        <w:rPr>
          <w:rFonts w:eastAsia="Times New Roman" w:cs="Times New Roman"/>
          <w:kern w:val="0"/>
          <w:sz w:val="24"/>
          <w:szCs w:val="24"/>
          <w:lang w:eastAsia="en-AU"/>
          <w14:ligatures w14:val="none"/>
        </w:rPr>
        <w:t>and women’s participation within it</w:t>
      </w:r>
      <w:r w:rsidR="008664E2">
        <w:rPr>
          <w:rFonts w:eastAsia="Times New Roman" w:cs="Times New Roman"/>
          <w:kern w:val="0"/>
          <w:sz w:val="24"/>
          <w:szCs w:val="24"/>
          <w:lang w:eastAsia="en-AU"/>
          <w14:ligatures w14:val="none"/>
        </w:rPr>
        <w:t xml:space="preserve"> </w:t>
      </w:r>
      <w:r w:rsidRPr="00B23C33">
        <w:rPr>
          <w:rFonts w:eastAsia="Times New Roman" w:cs="Times New Roman"/>
          <w:kern w:val="0"/>
          <w:sz w:val="24"/>
          <w:szCs w:val="24"/>
          <w:lang w:eastAsia="en-AU"/>
          <w14:ligatures w14:val="none"/>
        </w:rPr>
        <w:t>as essential to the successful implementation of housing reform. Governments should align regulatory reform, infrastructure planning and public procurement with practical measures that enable women to enter, remain and progress in construction.</w:t>
      </w:r>
    </w:p>
    <w:p w14:paraId="0F2520AF" w14:textId="77777777" w:rsidR="00B23C33" w:rsidRPr="00B23C33" w:rsidRDefault="00B23C33" w:rsidP="00B23C33">
      <w:pPr>
        <w:spacing w:before="100" w:beforeAutospacing="1" w:after="100" w:afterAutospacing="1" w:line="240" w:lineRule="auto"/>
        <w:rPr>
          <w:rFonts w:eastAsia="Times New Roman" w:cs="Times New Roman"/>
          <w:kern w:val="0"/>
          <w:sz w:val="24"/>
          <w:szCs w:val="24"/>
          <w:lang w:eastAsia="en-AU"/>
          <w14:ligatures w14:val="none"/>
        </w:rPr>
      </w:pPr>
      <w:r w:rsidRPr="00B23C33">
        <w:rPr>
          <w:rFonts w:eastAsia="Times New Roman" w:cs="Times New Roman"/>
          <w:kern w:val="0"/>
          <w:sz w:val="24"/>
          <w:szCs w:val="24"/>
          <w:lang w:eastAsia="en-AU"/>
          <w14:ligatures w14:val="none"/>
        </w:rPr>
        <w:t>With the right regulatory and workforce settings, Australia can accelerate housing delivery while building a more diverse, productive and sustainable construction industry.</w:t>
      </w:r>
    </w:p>
    <w:p w14:paraId="1E63A494" w14:textId="77777777" w:rsidR="00B23C33" w:rsidRPr="00B23C33" w:rsidRDefault="00B23C33" w:rsidP="00B23C33">
      <w:pPr>
        <w:spacing w:before="100" w:beforeAutospacing="1" w:after="100" w:afterAutospacing="1" w:line="240" w:lineRule="auto"/>
        <w:rPr>
          <w:rFonts w:eastAsia="Times New Roman" w:cs="Times New Roman"/>
          <w:kern w:val="0"/>
          <w:sz w:val="24"/>
          <w:szCs w:val="24"/>
          <w:lang w:eastAsia="en-AU"/>
          <w14:ligatures w14:val="none"/>
        </w:rPr>
      </w:pPr>
      <w:r w:rsidRPr="00B23C33">
        <w:rPr>
          <w:rFonts w:eastAsia="Times New Roman" w:cs="Times New Roman"/>
          <w:kern w:val="0"/>
          <w:sz w:val="24"/>
          <w:szCs w:val="24"/>
          <w:lang w:eastAsia="en-AU"/>
          <w14:ligatures w14:val="none"/>
        </w:rPr>
        <w:t>NAWIC would welcome the opportunity to provide further information or participate in any hearings, roundtables or consultations undertaken as part of the inquiry.</w:t>
      </w:r>
    </w:p>
    <w:p w14:paraId="41ED4201" w14:textId="479F9BBA" w:rsidR="00943D3D" w:rsidRDefault="002C4B31" w:rsidP="00943D3D">
      <w:pPr>
        <w:spacing w:after="0" w:line="240" w:lineRule="auto"/>
        <w:rPr>
          <w:rFonts w:eastAsia="Times New Roman" w:cs="Times New Roman"/>
          <w:kern w:val="0"/>
          <w:sz w:val="24"/>
          <w:szCs w:val="24"/>
          <w:lang w:eastAsia="en-AU"/>
          <w14:ligatures w14:val="none"/>
        </w:rPr>
      </w:pPr>
      <w:r>
        <w:rPr>
          <w:rFonts w:eastAsia="Times New Roman" w:cs="Times New Roman"/>
          <w:kern w:val="0"/>
          <w:sz w:val="24"/>
          <w:szCs w:val="24"/>
          <w:lang w:eastAsia="en-AU"/>
          <w14:ligatures w14:val="none"/>
        </w:rPr>
        <w:t>Source</w:t>
      </w:r>
      <w:r w:rsidR="002D71A9">
        <w:rPr>
          <w:rFonts w:eastAsia="Times New Roman" w:cs="Times New Roman"/>
          <w:kern w:val="0"/>
          <w:sz w:val="24"/>
          <w:szCs w:val="24"/>
          <w:lang w:eastAsia="en-AU"/>
          <w14:ligatures w14:val="none"/>
        </w:rPr>
        <w:br/>
      </w:r>
      <w:proofErr w:type="spellStart"/>
      <w:r w:rsidR="00F33544">
        <w:rPr>
          <w:rFonts w:eastAsia="Times New Roman" w:cs="Times New Roman"/>
          <w:kern w:val="0"/>
          <w:sz w:val="24"/>
          <w:szCs w:val="24"/>
          <w:lang w:eastAsia="en-AU"/>
          <w14:ligatures w14:val="none"/>
        </w:rPr>
        <w:t>BuildSkills</w:t>
      </w:r>
      <w:proofErr w:type="spellEnd"/>
      <w:r w:rsidR="00F33544">
        <w:rPr>
          <w:rFonts w:eastAsia="Times New Roman" w:cs="Times New Roman"/>
          <w:kern w:val="0"/>
          <w:sz w:val="24"/>
          <w:szCs w:val="24"/>
          <w:lang w:eastAsia="en-AU"/>
          <w14:ligatures w14:val="none"/>
        </w:rPr>
        <w:t xml:space="preserve"> Australia, </w:t>
      </w:r>
      <w:r w:rsidR="00F33544" w:rsidRPr="00F33544">
        <w:rPr>
          <w:rFonts w:eastAsia="Times New Roman" w:cs="Times New Roman"/>
          <w:i/>
          <w:iCs/>
          <w:kern w:val="0"/>
          <w:sz w:val="24"/>
          <w:szCs w:val="24"/>
          <w:lang w:eastAsia="en-AU"/>
          <w14:ligatures w14:val="none"/>
        </w:rPr>
        <w:t>Housing Workforce Capacity Study</w:t>
      </w:r>
      <w:r w:rsidR="00F33544">
        <w:rPr>
          <w:rFonts w:eastAsia="Times New Roman" w:cs="Times New Roman"/>
          <w:kern w:val="0"/>
          <w:sz w:val="24"/>
          <w:szCs w:val="24"/>
          <w:lang w:eastAsia="en-AU"/>
          <w14:ligatures w14:val="none"/>
        </w:rPr>
        <w:t xml:space="preserve">, 2025 </w:t>
      </w:r>
    </w:p>
    <w:p w14:paraId="53023AC3" w14:textId="77777777" w:rsidR="002C4B31" w:rsidRPr="00561C74" w:rsidRDefault="002C4B31" w:rsidP="00943D3D">
      <w:pPr>
        <w:spacing w:after="0" w:line="240" w:lineRule="auto"/>
        <w:rPr>
          <w:rFonts w:eastAsia="Times New Roman" w:cs="Times New Roman"/>
          <w:kern w:val="0"/>
          <w:sz w:val="24"/>
          <w:szCs w:val="24"/>
          <w:lang w:eastAsia="en-AU"/>
          <w14:ligatures w14:val="none"/>
        </w:rPr>
      </w:pPr>
    </w:p>
    <w:p w14:paraId="054B2C99" w14:textId="3E08E75F" w:rsidR="00BF48DE" w:rsidRPr="00561C74" w:rsidRDefault="00BF48DE" w:rsidP="00A26E54">
      <w:pPr>
        <w:rPr>
          <w:sz w:val="24"/>
          <w:szCs w:val="24"/>
        </w:rPr>
      </w:pPr>
    </w:p>
    <w:sectPr w:rsidR="00BF48DE" w:rsidRPr="00561C74" w:rsidSect="00FF2771">
      <w:headerReference w:type="default" r:id="rId10"/>
      <w:footerReference w:type="default" r:id="rId11"/>
      <w:pgSz w:w="11906" w:h="16838"/>
      <w:pgMar w:top="426" w:right="1133" w:bottom="284" w:left="1440" w:header="708" w:footer="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580AC" w14:textId="77777777" w:rsidR="00D907EC" w:rsidRDefault="00D907EC" w:rsidP="00FF2771">
      <w:pPr>
        <w:spacing w:after="0" w:line="240" w:lineRule="auto"/>
      </w:pPr>
      <w:r>
        <w:separator/>
      </w:r>
    </w:p>
  </w:endnote>
  <w:endnote w:type="continuationSeparator" w:id="0">
    <w:p w14:paraId="48DD3D0A" w14:textId="77777777" w:rsidR="00D907EC" w:rsidRDefault="00D907EC" w:rsidP="00FF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A714F" w14:textId="77777777" w:rsidR="00FF2771" w:rsidRDefault="00FF2771" w:rsidP="00FF2771">
    <w:pPr>
      <w:pStyle w:val="Footer"/>
      <w:jc w:val="center"/>
    </w:pPr>
    <w:r w:rsidRPr="0E1FB41D">
      <w:t>NATIONAL ASSOCIATION OF WOMEN IN CONSTRUCTION</w:t>
    </w:r>
  </w:p>
  <w:p w14:paraId="0CE9B467" w14:textId="77777777" w:rsidR="00FF2771" w:rsidRDefault="00FF2771" w:rsidP="00FF2771">
    <w:pPr>
      <w:pStyle w:val="Footer"/>
      <w:jc w:val="center"/>
    </w:pPr>
    <w:r w:rsidRPr="5B5294DA">
      <w:t>ABN 66 070 113 192</w:t>
    </w:r>
  </w:p>
  <w:p w14:paraId="18DD4B6F" w14:textId="7C303DD4" w:rsidR="00FF2771" w:rsidRDefault="00FF2771" w:rsidP="00FF2771">
    <w:pPr>
      <w:pStyle w:val="Footer"/>
      <w:jc w:val="center"/>
    </w:pPr>
    <w:r>
      <w:rPr>
        <w:noProof/>
      </w:rPr>
      <w:drawing>
        <wp:inline distT="0" distB="0" distL="0" distR="0" wp14:anchorId="18B0C991" wp14:editId="5A942021">
          <wp:extent cx="161925" cy="161925"/>
          <wp:effectExtent l="0" t="0" r="0" b="0"/>
          <wp:docPr id="326159290" name="Picture 326159290" descr="A blue square with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912117" name="Picture 1695912117" descr="A blue square with white letters&#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r>
      <w:t xml:space="preserve"> </w:t>
    </w:r>
    <w:hyperlink r:id="rId2">
      <w:r w:rsidRPr="370A07CF">
        <w:rPr>
          <w:rStyle w:val="Hyperlink"/>
          <w:sz w:val="20"/>
          <w:szCs w:val="20"/>
        </w:rPr>
        <w:t>LinkedIn</w:t>
      </w:r>
    </w:hyperlink>
    <w:r w:rsidRPr="370A07CF">
      <w:rPr>
        <w:sz w:val="20"/>
        <w:szCs w:val="20"/>
      </w:rPr>
      <w:t xml:space="preserve"> </w:t>
    </w:r>
    <w:r>
      <w:rPr>
        <w:noProof/>
      </w:rPr>
      <w:drawing>
        <wp:inline distT="0" distB="0" distL="0" distR="0" wp14:anchorId="7406CF36" wp14:editId="44484D11">
          <wp:extent cx="161925" cy="161925"/>
          <wp:effectExtent l="0" t="0" r="0" b="0"/>
          <wp:docPr id="2105289074" name="Picture 2105289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r>
      <w:t xml:space="preserve"> </w:t>
    </w:r>
    <w:hyperlink r:id="rId4">
      <w:r w:rsidRPr="370A07CF">
        <w:rPr>
          <w:rStyle w:val="Hyperlink"/>
          <w:sz w:val="20"/>
          <w:szCs w:val="20"/>
        </w:rPr>
        <w:t>Instagram</w:t>
      </w:r>
    </w:hyperlink>
    <w:r w:rsidRPr="370A07CF">
      <w:rPr>
        <w:sz w:val="20"/>
        <w:szCs w:val="20"/>
      </w:rPr>
      <w:t xml:space="preserve"> </w:t>
    </w:r>
    <w:r>
      <w:rPr>
        <w:noProof/>
      </w:rPr>
      <w:drawing>
        <wp:inline distT="0" distB="0" distL="0" distR="0" wp14:anchorId="24C16828" wp14:editId="2AC59E59">
          <wp:extent cx="194367" cy="152400"/>
          <wp:effectExtent l="0" t="0" r="0" b="0"/>
          <wp:docPr id="17184146" name="Picture 1718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rcRect l="15217" r="13043"/>
                  <a:stretch>
                    <a:fillRect/>
                  </a:stretch>
                </pic:blipFill>
                <pic:spPr>
                  <a:xfrm>
                    <a:off x="0" y="0"/>
                    <a:ext cx="194367" cy="152400"/>
                  </a:xfrm>
                  <a:prstGeom prst="rect">
                    <a:avLst/>
                  </a:prstGeom>
                </pic:spPr>
              </pic:pic>
            </a:graphicData>
          </a:graphic>
        </wp:inline>
      </w:drawing>
    </w:r>
    <w:hyperlink r:id="rId6">
      <w:r w:rsidRPr="370A07CF">
        <w:rPr>
          <w:rStyle w:val="Hyperlink"/>
          <w:sz w:val="20"/>
          <w:szCs w:val="20"/>
        </w:rPr>
        <w:t>Facebook</w:t>
      </w:r>
    </w:hyperlink>
    <w:r w:rsidRPr="370A07CF">
      <w:rPr>
        <w:sz w:val="20"/>
        <w:szCs w:val="20"/>
      </w:rPr>
      <w:t xml:space="preserve"> </w:t>
    </w:r>
    <w:r>
      <w:rPr>
        <w:noProof/>
      </w:rPr>
      <w:drawing>
        <wp:inline distT="0" distB="0" distL="0" distR="0" wp14:anchorId="7A5891AC" wp14:editId="32D96F6B">
          <wp:extent cx="200025" cy="200025"/>
          <wp:effectExtent l="0" t="0" r="0" b="0"/>
          <wp:docPr id="701297766" name="Picture 701297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0025" cy="200025"/>
                  </a:xfrm>
                  <a:prstGeom prst="rect">
                    <a:avLst/>
                  </a:prstGeom>
                </pic:spPr>
              </pic:pic>
            </a:graphicData>
          </a:graphic>
        </wp:inline>
      </w:drawing>
    </w:r>
    <w:r>
      <w:t xml:space="preserve"> </w:t>
    </w:r>
    <w:hyperlink r:id="rId8">
      <w:r w:rsidRPr="370A07CF">
        <w:rPr>
          <w:rStyle w:val="Hyperlink"/>
          <w:sz w:val="20"/>
          <w:szCs w:val="20"/>
        </w:rPr>
        <w:t>nawic.com.au</w:t>
      </w:r>
    </w:hyperlink>
  </w:p>
  <w:p w14:paraId="3E015662" w14:textId="77777777" w:rsidR="00FF2771" w:rsidRDefault="00FF27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7A8FB" w14:textId="77777777" w:rsidR="00D907EC" w:rsidRDefault="00D907EC" w:rsidP="00FF2771">
      <w:pPr>
        <w:spacing w:after="0" w:line="240" w:lineRule="auto"/>
      </w:pPr>
      <w:r>
        <w:separator/>
      </w:r>
    </w:p>
  </w:footnote>
  <w:footnote w:type="continuationSeparator" w:id="0">
    <w:p w14:paraId="74DB7329" w14:textId="77777777" w:rsidR="00D907EC" w:rsidRDefault="00D907EC" w:rsidP="00FF2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09E1F" w14:textId="579AF0DD" w:rsidR="00FF2771" w:rsidRDefault="00FF2771" w:rsidP="00FF2771">
    <w:pPr>
      <w:pStyle w:val="Header"/>
      <w:jc w:val="right"/>
    </w:pPr>
    <w:r>
      <w:rPr>
        <w:noProof/>
      </w:rPr>
      <w:drawing>
        <wp:inline distT="0" distB="0" distL="0" distR="0" wp14:anchorId="6E174532" wp14:editId="0DC6731F">
          <wp:extent cx="2518370" cy="822059"/>
          <wp:effectExtent l="0" t="0" r="0" b="0"/>
          <wp:docPr id="1513273354" name="Picture 1513273354" descr="A logo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222028" name="Picture 333222028" descr="A logo with blue letters&#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8370" cy="822059"/>
                  </a:xfrm>
                  <a:prstGeom prst="rect">
                    <a:avLst/>
                  </a:prstGeom>
                </pic:spPr>
              </pic:pic>
            </a:graphicData>
          </a:graphic>
        </wp:inline>
      </w:drawing>
    </w:r>
  </w:p>
  <w:p w14:paraId="5C946704" w14:textId="77777777" w:rsidR="00FF2771" w:rsidRDefault="00FF27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744F"/>
    <w:multiLevelType w:val="multilevel"/>
    <w:tmpl w:val="714CE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A6996"/>
    <w:multiLevelType w:val="multilevel"/>
    <w:tmpl w:val="E0187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B504A"/>
    <w:multiLevelType w:val="multilevel"/>
    <w:tmpl w:val="B77A4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96980"/>
    <w:multiLevelType w:val="multilevel"/>
    <w:tmpl w:val="428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95527"/>
    <w:multiLevelType w:val="multilevel"/>
    <w:tmpl w:val="0AEEB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23159F"/>
    <w:multiLevelType w:val="multilevel"/>
    <w:tmpl w:val="6FA48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BF48F8"/>
    <w:multiLevelType w:val="multilevel"/>
    <w:tmpl w:val="1138E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29009A"/>
    <w:multiLevelType w:val="multilevel"/>
    <w:tmpl w:val="A29E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DB4096"/>
    <w:multiLevelType w:val="multilevel"/>
    <w:tmpl w:val="FAD2D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0E5D03"/>
    <w:multiLevelType w:val="multilevel"/>
    <w:tmpl w:val="28DE5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D95FC0"/>
    <w:multiLevelType w:val="multilevel"/>
    <w:tmpl w:val="1EF26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140262"/>
    <w:multiLevelType w:val="multilevel"/>
    <w:tmpl w:val="1C56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3F6AD2"/>
    <w:multiLevelType w:val="multilevel"/>
    <w:tmpl w:val="6D7CA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6F6EFA"/>
    <w:multiLevelType w:val="multilevel"/>
    <w:tmpl w:val="5CAEF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9B74E4"/>
    <w:multiLevelType w:val="multilevel"/>
    <w:tmpl w:val="2FD69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A567B"/>
    <w:multiLevelType w:val="multilevel"/>
    <w:tmpl w:val="EAB81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5C4F47"/>
    <w:multiLevelType w:val="multilevel"/>
    <w:tmpl w:val="4760C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C84F9F"/>
    <w:multiLevelType w:val="multilevel"/>
    <w:tmpl w:val="ADD67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477407"/>
    <w:multiLevelType w:val="multilevel"/>
    <w:tmpl w:val="12A49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B70A79"/>
    <w:multiLevelType w:val="multilevel"/>
    <w:tmpl w:val="E6D2C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9F3C19"/>
    <w:multiLevelType w:val="multilevel"/>
    <w:tmpl w:val="ADBC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156AF7"/>
    <w:multiLevelType w:val="multilevel"/>
    <w:tmpl w:val="A98CF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B975BF"/>
    <w:multiLevelType w:val="multilevel"/>
    <w:tmpl w:val="F85EB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637362"/>
    <w:multiLevelType w:val="multilevel"/>
    <w:tmpl w:val="B5040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971FFE"/>
    <w:multiLevelType w:val="multilevel"/>
    <w:tmpl w:val="25A47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A8182C"/>
    <w:multiLevelType w:val="multilevel"/>
    <w:tmpl w:val="1FA69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6517AF"/>
    <w:multiLevelType w:val="multilevel"/>
    <w:tmpl w:val="B394B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1A5276"/>
    <w:multiLevelType w:val="multilevel"/>
    <w:tmpl w:val="7076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DF7D09"/>
    <w:multiLevelType w:val="multilevel"/>
    <w:tmpl w:val="05C2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2145CB"/>
    <w:multiLevelType w:val="multilevel"/>
    <w:tmpl w:val="788E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2779E9"/>
    <w:multiLevelType w:val="multilevel"/>
    <w:tmpl w:val="82881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0C755E"/>
    <w:multiLevelType w:val="multilevel"/>
    <w:tmpl w:val="BDCCF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1F5C46"/>
    <w:multiLevelType w:val="multilevel"/>
    <w:tmpl w:val="74401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5D337B"/>
    <w:multiLevelType w:val="multilevel"/>
    <w:tmpl w:val="5672B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1472639">
    <w:abstractNumId w:val="22"/>
  </w:num>
  <w:num w:numId="2" w16cid:durableId="1478959822">
    <w:abstractNumId w:val="26"/>
  </w:num>
  <w:num w:numId="3" w16cid:durableId="1668631921">
    <w:abstractNumId w:val="30"/>
  </w:num>
  <w:num w:numId="4" w16cid:durableId="183515793">
    <w:abstractNumId w:val="14"/>
  </w:num>
  <w:num w:numId="5" w16cid:durableId="1021588409">
    <w:abstractNumId w:val="5"/>
  </w:num>
  <w:num w:numId="6" w16cid:durableId="626089314">
    <w:abstractNumId w:val="29"/>
  </w:num>
  <w:num w:numId="7" w16cid:durableId="1913349165">
    <w:abstractNumId w:val="20"/>
  </w:num>
  <w:num w:numId="8" w16cid:durableId="1053695750">
    <w:abstractNumId w:val="25"/>
  </w:num>
  <w:num w:numId="9" w16cid:durableId="1647276787">
    <w:abstractNumId w:val="1"/>
  </w:num>
  <w:num w:numId="10" w16cid:durableId="1220555826">
    <w:abstractNumId w:val="7"/>
  </w:num>
  <w:num w:numId="11" w16cid:durableId="1369800121">
    <w:abstractNumId w:val="10"/>
  </w:num>
  <w:num w:numId="12" w16cid:durableId="1851093151">
    <w:abstractNumId w:val="33"/>
  </w:num>
  <w:num w:numId="13" w16cid:durableId="469397922">
    <w:abstractNumId w:val="18"/>
  </w:num>
  <w:num w:numId="14" w16cid:durableId="598024437">
    <w:abstractNumId w:val="8"/>
  </w:num>
  <w:num w:numId="15" w16cid:durableId="1519084086">
    <w:abstractNumId w:val="0"/>
  </w:num>
  <w:num w:numId="16" w16cid:durableId="1946115188">
    <w:abstractNumId w:val="28"/>
  </w:num>
  <w:num w:numId="17" w16cid:durableId="794101299">
    <w:abstractNumId w:val="9"/>
  </w:num>
  <w:num w:numId="18" w16cid:durableId="1459685139">
    <w:abstractNumId w:val="27"/>
  </w:num>
  <w:num w:numId="19" w16cid:durableId="684938366">
    <w:abstractNumId w:val="4"/>
  </w:num>
  <w:num w:numId="20" w16cid:durableId="471603174">
    <w:abstractNumId w:val="17"/>
  </w:num>
  <w:num w:numId="21" w16cid:durableId="2087914960">
    <w:abstractNumId w:val="6"/>
  </w:num>
  <w:num w:numId="22" w16cid:durableId="1468552804">
    <w:abstractNumId w:val="2"/>
  </w:num>
  <w:num w:numId="23" w16cid:durableId="1790515242">
    <w:abstractNumId w:val="31"/>
  </w:num>
  <w:num w:numId="24" w16cid:durableId="906459705">
    <w:abstractNumId w:val="16"/>
  </w:num>
  <w:num w:numId="25" w16cid:durableId="1226910677">
    <w:abstractNumId w:val="15"/>
  </w:num>
  <w:num w:numId="26" w16cid:durableId="1947885529">
    <w:abstractNumId w:val="13"/>
  </w:num>
  <w:num w:numId="27" w16cid:durableId="1717464945">
    <w:abstractNumId w:val="24"/>
  </w:num>
  <w:num w:numId="28" w16cid:durableId="1983653871">
    <w:abstractNumId w:val="12"/>
  </w:num>
  <w:num w:numId="29" w16cid:durableId="478614185">
    <w:abstractNumId w:val="23"/>
  </w:num>
  <w:num w:numId="30" w16cid:durableId="1458377331">
    <w:abstractNumId w:val="11"/>
  </w:num>
  <w:num w:numId="31" w16cid:durableId="864320196">
    <w:abstractNumId w:val="3"/>
  </w:num>
  <w:num w:numId="32" w16cid:durableId="890993274">
    <w:abstractNumId w:val="32"/>
  </w:num>
  <w:num w:numId="33" w16cid:durableId="2139685332">
    <w:abstractNumId w:val="19"/>
  </w:num>
  <w:num w:numId="34" w16cid:durableId="11957330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0EF"/>
    <w:rsid w:val="00016CAA"/>
    <w:rsid w:val="00085E35"/>
    <w:rsid w:val="000B3838"/>
    <w:rsid w:val="000D04F2"/>
    <w:rsid w:val="000D70EF"/>
    <w:rsid w:val="00107842"/>
    <w:rsid w:val="001302EE"/>
    <w:rsid w:val="00134858"/>
    <w:rsid w:val="00147BFF"/>
    <w:rsid w:val="00147F95"/>
    <w:rsid w:val="00166A41"/>
    <w:rsid w:val="00166F75"/>
    <w:rsid w:val="001727D8"/>
    <w:rsid w:val="001A314D"/>
    <w:rsid w:val="001C4044"/>
    <w:rsid w:val="001C430E"/>
    <w:rsid w:val="001C6053"/>
    <w:rsid w:val="001F007B"/>
    <w:rsid w:val="001F3272"/>
    <w:rsid w:val="00201E78"/>
    <w:rsid w:val="00230158"/>
    <w:rsid w:val="0023062D"/>
    <w:rsid w:val="00264119"/>
    <w:rsid w:val="002C4B31"/>
    <w:rsid w:val="002D71A9"/>
    <w:rsid w:val="002E7A7A"/>
    <w:rsid w:val="002E7FD6"/>
    <w:rsid w:val="00315AF5"/>
    <w:rsid w:val="00332AB4"/>
    <w:rsid w:val="003B7A4D"/>
    <w:rsid w:val="003B7D72"/>
    <w:rsid w:val="003C58B0"/>
    <w:rsid w:val="003C6F61"/>
    <w:rsid w:val="003E10DA"/>
    <w:rsid w:val="00411AE4"/>
    <w:rsid w:val="0041288E"/>
    <w:rsid w:val="004322F8"/>
    <w:rsid w:val="00436027"/>
    <w:rsid w:val="004C1094"/>
    <w:rsid w:val="004E23EF"/>
    <w:rsid w:val="004E2E6B"/>
    <w:rsid w:val="004F45EE"/>
    <w:rsid w:val="004F5F63"/>
    <w:rsid w:val="004F6682"/>
    <w:rsid w:val="005169ED"/>
    <w:rsid w:val="00524A8C"/>
    <w:rsid w:val="0052537C"/>
    <w:rsid w:val="005429A7"/>
    <w:rsid w:val="005507D0"/>
    <w:rsid w:val="0055785A"/>
    <w:rsid w:val="00561C74"/>
    <w:rsid w:val="0057346C"/>
    <w:rsid w:val="00577B7B"/>
    <w:rsid w:val="00577FEE"/>
    <w:rsid w:val="005975CF"/>
    <w:rsid w:val="00607990"/>
    <w:rsid w:val="00616AD0"/>
    <w:rsid w:val="00633ED6"/>
    <w:rsid w:val="0064450E"/>
    <w:rsid w:val="00662363"/>
    <w:rsid w:val="006817C1"/>
    <w:rsid w:val="00687CD1"/>
    <w:rsid w:val="006A2CBE"/>
    <w:rsid w:val="006C5692"/>
    <w:rsid w:val="006F3303"/>
    <w:rsid w:val="007031EF"/>
    <w:rsid w:val="00710E89"/>
    <w:rsid w:val="00731CC4"/>
    <w:rsid w:val="00787866"/>
    <w:rsid w:val="00795B8D"/>
    <w:rsid w:val="007A00D8"/>
    <w:rsid w:val="007B2885"/>
    <w:rsid w:val="007C145F"/>
    <w:rsid w:val="007C28F1"/>
    <w:rsid w:val="007C3A17"/>
    <w:rsid w:val="007F30CC"/>
    <w:rsid w:val="0081762B"/>
    <w:rsid w:val="0082123F"/>
    <w:rsid w:val="008240AE"/>
    <w:rsid w:val="008465C1"/>
    <w:rsid w:val="008664E2"/>
    <w:rsid w:val="00866E73"/>
    <w:rsid w:val="00872E91"/>
    <w:rsid w:val="00877D21"/>
    <w:rsid w:val="008E636D"/>
    <w:rsid w:val="00923FA0"/>
    <w:rsid w:val="00943D3D"/>
    <w:rsid w:val="009A2830"/>
    <w:rsid w:val="00A033D3"/>
    <w:rsid w:val="00A06F60"/>
    <w:rsid w:val="00A26E54"/>
    <w:rsid w:val="00A44903"/>
    <w:rsid w:val="00A46AAF"/>
    <w:rsid w:val="00A91544"/>
    <w:rsid w:val="00AA37BE"/>
    <w:rsid w:val="00AC1C69"/>
    <w:rsid w:val="00AC3319"/>
    <w:rsid w:val="00AE1684"/>
    <w:rsid w:val="00AE50D2"/>
    <w:rsid w:val="00B17064"/>
    <w:rsid w:val="00B23C33"/>
    <w:rsid w:val="00B4611E"/>
    <w:rsid w:val="00B549DD"/>
    <w:rsid w:val="00B54B6F"/>
    <w:rsid w:val="00BF48DE"/>
    <w:rsid w:val="00C05F44"/>
    <w:rsid w:val="00C06242"/>
    <w:rsid w:val="00C16543"/>
    <w:rsid w:val="00C5786B"/>
    <w:rsid w:val="00CA4CD6"/>
    <w:rsid w:val="00CB2C62"/>
    <w:rsid w:val="00CB61CB"/>
    <w:rsid w:val="00CC7BD9"/>
    <w:rsid w:val="00CF5891"/>
    <w:rsid w:val="00D06F78"/>
    <w:rsid w:val="00D109D4"/>
    <w:rsid w:val="00D375F7"/>
    <w:rsid w:val="00D8144B"/>
    <w:rsid w:val="00D907EC"/>
    <w:rsid w:val="00DD3057"/>
    <w:rsid w:val="00DD4657"/>
    <w:rsid w:val="00DE1C4A"/>
    <w:rsid w:val="00DF49E9"/>
    <w:rsid w:val="00DF6BCD"/>
    <w:rsid w:val="00E00EEB"/>
    <w:rsid w:val="00E27C85"/>
    <w:rsid w:val="00E34230"/>
    <w:rsid w:val="00E50237"/>
    <w:rsid w:val="00E57C90"/>
    <w:rsid w:val="00E62E54"/>
    <w:rsid w:val="00E63523"/>
    <w:rsid w:val="00E65E70"/>
    <w:rsid w:val="00E67B02"/>
    <w:rsid w:val="00E80C57"/>
    <w:rsid w:val="00EC1E4D"/>
    <w:rsid w:val="00EC5CAF"/>
    <w:rsid w:val="00F33544"/>
    <w:rsid w:val="00F5018D"/>
    <w:rsid w:val="00F53F84"/>
    <w:rsid w:val="00F7653D"/>
    <w:rsid w:val="00F813A8"/>
    <w:rsid w:val="00F82F0E"/>
    <w:rsid w:val="00FB4B76"/>
    <w:rsid w:val="00FC29FC"/>
    <w:rsid w:val="00FF2771"/>
    <w:rsid w:val="468FC9F3"/>
    <w:rsid w:val="538485C9"/>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CEEC5"/>
  <w15:chartTrackingRefBased/>
  <w15:docId w15:val="{65E8C5FB-F66E-4830-BAE7-BAF3B05D1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70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70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70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70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70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70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0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0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0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0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70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70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70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70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70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0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0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0EF"/>
    <w:rPr>
      <w:rFonts w:eastAsiaTheme="majorEastAsia" w:cstheme="majorBidi"/>
      <w:color w:val="272727" w:themeColor="text1" w:themeTint="D8"/>
    </w:rPr>
  </w:style>
  <w:style w:type="paragraph" w:styleId="Title">
    <w:name w:val="Title"/>
    <w:basedOn w:val="Normal"/>
    <w:next w:val="Normal"/>
    <w:link w:val="TitleChar"/>
    <w:uiPriority w:val="10"/>
    <w:qFormat/>
    <w:rsid w:val="000D70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70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70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0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0EF"/>
    <w:pPr>
      <w:spacing w:before="160"/>
      <w:jc w:val="center"/>
    </w:pPr>
    <w:rPr>
      <w:i/>
      <w:iCs/>
      <w:color w:val="404040" w:themeColor="text1" w:themeTint="BF"/>
    </w:rPr>
  </w:style>
  <w:style w:type="character" w:customStyle="1" w:styleId="QuoteChar">
    <w:name w:val="Quote Char"/>
    <w:basedOn w:val="DefaultParagraphFont"/>
    <w:link w:val="Quote"/>
    <w:uiPriority w:val="29"/>
    <w:rsid w:val="000D70EF"/>
    <w:rPr>
      <w:i/>
      <w:iCs/>
      <w:color w:val="404040" w:themeColor="text1" w:themeTint="BF"/>
    </w:rPr>
  </w:style>
  <w:style w:type="paragraph" w:styleId="ListParagraph">
    <w:name w:val="List Paragraph"/>
    <w:basedOn w:val="Normal"/>
    <w:uiPriority w:val="34"/>
    <w:qFormat/>
    <w:rsid w:val="000D70EF"/>
    <w:pPr>
      <w:ind w:left="720"/>
      <w:contextualSpacing/>
    </w:pPr>
  </w:style>
  <w:style w:type="character" w:styleId="IntenseEmphasis">
    <w:name w:val="Intense Emphasis"/>
    <w:basedOn w:val="DefaultParagraphFont"/>
    <w:uiPriority w:val="21"/>
    <w:qFormat/>
    <w:rsid w:val="000D70EF"/>
    <w:rPr>
      <w:i/>
      <w:iCs/>
      <w:color w:val="0F4761" w:themeColor="accent1" w:themeShade="BF"/>
    </w:rPr>
  </w:style>
  <w:style w:type="paragraph" w:styleId="IntenseQuote">
    <w:name w:val="Intense Quote"/>
    <w:basedOn w:val="Normal"/>
    <w:next w:val="Normal"/>
    <w:link w:val="IntenseQuoteChar"/>
    <w:uiPriority w:val="30"/>
    <w:qFormat/>
    <w:rsid w:val="000D70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70EF"/>
    <w:rPr>
      <w:i/>
      <w:iCs/>
      <w:color w:val="0F4761" w:themeColor="accent1" w:themeShade="BF"/>
    </w:rPr>
  </w:style>
  <w:style w:type="character" w:styleId="IntenseReference">
    <w:name w:val="Intense Reference"/>
    <w:basedOn w:val="DefaultParagraphFont"/>
    <w:uiPriority w:val="32"/>
    <w:qFormat/>
    <w:rsid w:val="000D70EF"/>
    <w:rPr>
      <w:b/>
      <w:bCs/>
      <w:smallCaps/>
      <w:color w:val="0F4761" w:themeColor="accent1" w:themeShade="BF"/>
      <w:spacing w:val="5"/>
    </w:rPr>
  </w:style>
  <w:style w:type="paragraph" w:styleId="NormalWeb">
    <w:name w:val="Normal (Web)"/>
    <w:basedOn w:val="Normal"/>
    <w:uiPriority w:val="99"/>
    <w:unhideWhenUsed/>
    <w:rsid w:val="000D70EF"/>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Strong">
    <w:name w:val="Strong"/>
    <w:basedOn w:val="DefaultParagraphFont"/>
    <w:uiPriority w:val="22"/>
    <w:qFormat/>
    <w:rsid w:val="000D70EF"/>
    <w:rPr>
      <w:b/>
      <w:bCs/>
    </w:rPr>
  </w:style>
  <w:style w:type="character" w:styleId="Emphasis">
    <w:name w:val="Emphasis"/>
    <w:basedOn w:val="DefaultParagraphFont"/>
    <w:uiPriority w:val="20"/>
    <w:qFormat/>
    <w:rsid w:val="000D70EF"/>
    <w:rPr>
      <w:i/>
      <w:iCs/>
    </w:rPr>
  </w:style>
  <w:style w:type="paragraph" w:styleId="NoSpacing">
    <w:name w:val="No Spacing"/>
    <w:uiPriority w:val="1"/>
    <w:qFormat/>
    <w:rsid w:val="000D70EF"/>
    <w:pPr>
      <w:spacing w:after="0" w:line="240" w:lineRule="auto"/>
    </w:pPr>
  </w:style>
  <w:style w:type="paragraph" w:styleId="Header">
    <w:name w:val="header"/>
    <w:basedOn w:val="Normal"/>
    <w:link w:val="HeaderChar"/>
    <w:uiPriority w:val="99"/>
    <w:unhideWhenUsed/>
    <w:rsid w:val="00E62E54"/>
    <w:pPr>
      <w:tabs>
        <w:tab w:val="center" w:pos="4680"/>
        <w:tab w:val="right" w:pos="9360"/>
      </w:tabs>
      <w:spacing w:after="0" w:line="240" w:lineRule="auto"/>
    </w:pPr>
    <w:rPr>
      <w:rFonts w:eastAsiaTheme="minorEastAsia"/>
      <w:kern w:val="0"/>
      <w:sz w:val="24"/>
      <w:szCs w:val="24"/>
      <w:lang w:val="en-US" w:eastAsia="ja-JP"/>
      <w14:ligatures w14:val="none"/>
    </w:rPr>
  </w:style>
  <w:style w:type="character" w:customStyle="1" w:styleId="HeaderChar">
    <w:name w:val="Header Char"/>
    <w:basedOn w:val="DefaultParagraphFont"/>
    <w:link w:val="Header"/>
    <w:uiPriority w:val="99"/>
    <w:rsid w:val="00E62E54"/>
    <w:rPr>
      <w:rFonts w:eastAsiaTheme="minorEastAsia"/>
      <w:kern w:val="0"/>
      <w:sz w:val="24"/>
      <w:szCs w:val="24"/>
      <w:lang w:val="en-US" w:eastAsia="ja-JP"/>
      <w14:ligatures w14:val="none"/>
    </w:rPr>
  </w:style>
  <w:style w:type="paragraph" w:styleId="Footer">
    <w:name w:val="footer"/>
    <w:basedOn w:val="Normal"/>
    <w:link w:val="FooterChar"/>
    <w:uiPriority w:val="99"/>
    <w:unhideWhenUsed/>
    <w:rsid w:val="00E62E54"/>
    <w:pPr>
      <w:tabs>
        <w:tab w:val="center" w:pos="4680"/>
        <w:tab w:val="right" w:pos="9360"/>
      </w:tabs>
      <w:spacing w:after="0" w:line="240" w:lineRule="auto"/>
    </w:pPr>
    <w:rPr>
      <w:rFonts w:eastAsiaTheme="minorEastAsia"/>
      <w:kern w:val="0"/>
      <w:sz w:val="24"/>
      <w:szCs w:val="24"/>
      <w:lang w:val="en-US" w:eastAsia="ja-JP"/>
      <w14:ligatures w14:val="none"/>
    </w:rPr>
  </w:style>
  <w:style w:type="character" w:customStyle="1" w:styleId="FooterChar">
    <w:name w:val="Footer Char"/>
    <w:basedOn w:val="DefaultParagraphFont"/>
    <w:link w:val="Footer"/>
    <w:uiPriority w:val="99"/>
    <w:rsid w:val="00E62E54"/>
    <w:rPr>
      <w:rFonts w:eastAsiaTheme="minorEastAsia"/>
      <w:kern w:val="0"/>
      <w:sz w:val="24"/>
      <w:szCs w:val="24"/>
      <w:lang w:val="en-US" w:eastAsia="ja-JP"/>
      <w14:ligatures w14:val="none"/>
    </w:rPr>
  </w:style>
  <w:style w:type="character" w:styleId="Hyperlink">
    <w:name w:val="Hyperlink"/>
    <w:basedOn w:val="DefaultParagraphFont"/>
    <w:uiPriority w:val="99"/>
    <w:unhideWhenUsed/>
    <w:rsid w:val="00E62E54"/>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8" Type="http://schemas.openxmlformats.org/officeDocument/2006/relationships/hyperlink" Target="https://nawic.com.au" TargetMode="External"/><Relationship Id="rId3" Type="http://schemas.openxmlformats.org/officeDocument/2006/relationships/image" Target="media/image3.png"/><Relationship Id="rId7" Type="http://schemas.openxmlformats.org/officeDocument/2006/relationships/image" Target="media/image5.png"/><Relationship Id="rId2" Type="http://schemas.openxmlformats.org/officeDocument/2006/relationships/hyperlink" Target="https://www.linkedin.com/company/nawic---national-association-of-women-in-construction-australia-national-/?viewAsMember=true" TargetMode="External"/><Relationship Id="rId1" Type="http://schemas.openxmlformats.org/officeDocument/2006/relationships/image" Target="media/image2.png"/><Relationship Id="rId6" Type="http://schemas.openxmlformats.org/officeDocument/2006/relationships/hyperlink" Target="https://www.facebook.com/NAWICAU" TargetMode="External"/><Relationship Id="rId5" Type="http://schemas.openxmlformats.org/officeDocument/2006/relationships/image" Target="media/image4.png"/><Relationship Id="rId4" Type="http://schemas.openxmlformats.org/officeDocument/2006/relationships/hyperlink" Target="https://www.instagram.com/nawic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3" ma:contentTypeDescription="Create a new document." ma:contentTypeScope="" ma:versionID="6ae99335a46d140185086d85d1d4bfa2">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1c85210e8c13fa78fce25d0fff3b7500"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166</SubmissionsSharePointListIdentifier>
    <Redactions xmlns="7b599973-69e8-4ad2-959d-f8c2140b2ffc" xsi:nil="true"/>
    <ClearanceOutcome xmlns="7b599973-69e8-4ad2-959d-f8c2140b2ffc" xsi:nil="true"/>
    <FileType xmlns="7b599973-69e8-4ad2-959d-f8c2140b2ffc">Submission</File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D9EE87-DE66-447D-9053-5B78418D45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FF0115-CFC5-492A-A327-EDD40547B2F3}">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3.xml><?xml version="1.0" encoding="utf-8"?>
<ds:datastoreItem xmlns:ds="http://schemas.openxmlformats.org/officeDocument/2006/customXml" ds:itemID="{0ED8628C-20D9-4484-B74A-B49DF29B31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1965</Words>
  <Characters>11637</Characters>
  <Application>Microsoft Office Word</Application>
  <DocSecurity>0</DocSecurity>
  <Lines>352</Lines>
  <Paragraphs>125</Paragraphs>
  <ScaleCrop>false</ScaleCrop>
  <HeadingPairs>
    <vt:vector size="2" baseType="variant">
      <vt:variant>
        <vt:lpstr>Title</vt:lpstr>
      </vt:variant>
      <vt:variant>
        <vt:i4>1</vt:i4>
      </vt:variant>
    </vt:vector>
  </HeadingPairs>
  <TitlesOfParts>
    <vt:vector size="1" baseType="lpstr">
      <vt:lpstr>Submission 151 - National Association of Women in Construction (NAWIC) - Housing supply regulation - Public inquiry</vt:lpstr>
    </vt:vector>
  </TitlesOfParts>
  <Company>National Association of Women in Construction (NAWIC) </Company>
  <LinksUpToDate>false</LinksUpToDate>
  <CharactersWithSpaces>13477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151 - National Association of Women in Construction (NAWIC) - Housing supply regulation - Public inquiry</dc:title>
  <dc:subject/>
  <dc:creator>National Association of Women in Construction (NAWIC) </dc:creator>
  <cp:keywords/>
  <dc:description/>
  <cp:lastModifiedBy>Chris Alston</cp:lastModifiedBy>
  <cp:revision>3</cp:revision>
  <dcterms:created xsi:type="dcterms:W3CDTF">2026-09-24T03:51:00Z</dcterms:created>
  <dcterms:modified xsi:type="dcterms:W3CDTF">2026-09-24T03:52:00Z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RevIMBCS">
    <vt:lpwstr>1;#Unclassified|3955eeb1-2d18-4582-aeb2-00144ec3aaf5</vt:lpwstr>
  </property>
  <property fmtid="{D5CDD505-2E9C-101B-9397-08002B2CF9AE}" pid="4" name="docLang">
    <vt:lpwstr>en</vt:lpwstr>
  </property>
  <property fmtid="{D5CDD505-2E9C-101B-9397-08002B2CF9AE}" pid="5" name="MSIP_Label_c1f2b1ce-4212-46db-a901-dd8453f57141_Enabled">
    <vt:lpwstr>true</vt:lpwstr>
  </property>
  <property fmtid="{D5CDD505-2E9C-101B-9397-08002B2CF9AE}" pid="6" name="MSIP_Label_c1f2b1ce-4212-46db-a901-dd8453f57141_SetDate">
    <vt:lpwstr>2026-09-24T03:51:57Z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3a2f1110-1007-449e-af06-7c5ef25304eb</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ies>
</file>