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50A2E" w14:textId="195C65F2" w:rsidR="00F77C67" w:rsidRPr="00F77C67" w:rsidRDefault="00DF57B4" w:rsidP="00435A02">
      <w:pPr>
        <w:pStyle w:val="Heading1-nobackground"/>
        <w:spacing w:before="1080" w:after="240"/>
        <w:rPr>
          <w:spacing w:val="-4"/>
          <w:sz w:val="40"/>
          <w:szCs w:val="40"/>
        </w:rPr>
      </w:pPr>
      <w:r>
        <w:t>E</w:t>
      </w:r>
      <w:r w:rsidRPr="008D5BEB">
        <w:t>arly childhood education and care system in rural, regional and remote communities</w:t>
      </w:r>
    </w:p>
    <w:p w14:paraId="5ECFE258" w14:textId="1705B42B" w:rsidR="00AB4627" w:rsidRPr="00502A35" w:rsidRDefault="005A71A8" w:rsidP="00502A35">
      <w:pPr>
        <w:pStyle w:val="BodyText"/>
        <w:spacing w:after="240"/>
        <w:rPr>
          <w:color w:val="1C4373" w:themeColor="background2" w:themeShade="BF"/>
          <w:sz w:val="30"/>
          <w:szCs w:val="30"/>
        </w:rPr>
      </w:pPr>
      <w:r w:rsidRPr="00502A35">
        <w:rPr>
          <w:color w:val="1C4373" w:themeColor="background2" w:themeShade="BF"/>
          <w:sz w:val="30"/>
          <w:szCs w:val="30"/>
        </w:rPr>
        <w:t>Productivity Commission submission</w:t>
      </w:r>
      <w:r w:rsidR="00BF3F23" w:rsidRPr="00BF3F23">
        <w:rPr>
          <w:rStyle w:val="FootnoteReference"/>
          <w:color w:val="1C4373" w:themeColor="background2" w:themeShade="BF"/>
          <w:sz w:val="30"/>
          <w:szCs w:val="30"/>
        </w:rPr>
        <w:footnoteReference w:id="2"/>
      </w:r>
    </w:p>
    <w:p w14:paraId="710902FA" w14:textId="30356980" w:rsidR="00061B12" w:rsidRDefault="00C87D2A" w:rsidP="00061B12">
      <w:pPr>
        <w:pStyle w:val="BodyText"/>
      </w:pPr>
      <w:r>
        <w:t>In 2024, the Productivity Commission concluded its inquiry into early childhood education and care (ECEC). The inquiry heard from many participants about the barriers families face when seeking quality, affordable ECEC services in regional, rural and remote parts of Australia, and the challenges services encounter when operating in these areas. The PC made findings and recommendations relevant to the inquiry undertaken by the Education and Employment References Committee. These are summarised below. The PC would be pleased to provide further information as needed.</w:t>
      </w:r>
    </w:p>
    <w:p w14:paraId="01C42244" w14:textId="77777777" w:rsidR="00061B12" w:rsidRDefault="00061B12" w:rsidP="00061B12">
      <w:pPr>
        <w:pStyle w:val="Heading2-nonumber"/>
      </w:pPr>
      <w:r>
        <w:t>Geography compounds access barriers</w:t>
      </w:r>
    </w:p>
    <w:p w14:paraId="17F8148B" w14:textId="3843FA82" w:rsidR="00446A5C" w:rsidRDefault="00446A5C" w:rsidP="00446A5C">
      <w:pPr>
        <w:pStyle w:val="BodyText"/>
      </w:pPr>
      <w:r>
        <w:t xml:space="preserve">The PC inquiry found </w:t>
      </w:r>
      <w:r w:rsidRPr="008D5BEB">
        <w:t>families in regional</w:t>
      </w:r>
      <w:r>
        <w:t>, rural</w:t>
      </w:r>
      <w:r w:rsidRPr="008D5BEB">
        <w:t xml:space="preserve"> and remote communities are less likely to have a</w:t>
      </w:r>
      <w:r>
        <w:t xml:space="preserve">ccess to </w:t>
      </w:r>
      <w:r w:rsidRPr="008D5BEB">
        <w:t xml:space="preserve">affordable, </w:t>
      </w:r>
      <w:r>
        <w:t>quality</w:t>
      </w:r>
      <w:r w:rsidRPr="008D5BEB">
        <w:t xml:space="preserve"> ECEC</w:t>
      </w:r>
      <w:r>
        <w:t>, compared to those in capital cities</w:t>
      </w:r>
      <w:r w:rsidRPr="008D5BEB">
        <w:t>.</w:t>
      </w:r>
      <w:r>
        <w:t xml:space="preserve"> Most children in regional and remote Australia live in areas where for every spot in centre-based day care, there are three or more children under 5 years of age whose families may wish to access services </w:t>
      </w:r>
      <w:r w:rsidRPr="00266D1B">
        <w:rPr>
          <w:rFonts w:cs="Open Sans"/>
        </w:rPr>
        <w:t>(PC 2024, p. 305)</w:t>
      </w:r>
      <w:r>
        <w:t>.</w:t>
      </w:r>
    </w:p>
    <w:p w14:paraId="2338E8F9" w14:textId="704BFEB6" w:rsidR="00446A5C" w:rsidRDefault="00446A5C" w:rsidP="00446A5C">
      <w:pPr>
        <w:pStyle w:val="BodyText"/>
      </w:pPr>
      <w:r w:rsidRPr="0036016F">
        <w:t xml:space="preserve">ECEC can support children to flourish, complementing the critical role of families and of other early childhood development policies and services. </w:t>
      </w:r>
      <w:r>
        <w:t xml:space="preserve">Attending </w:t>
      </w:r>
      <w:r w:rsidRPr="0036016F">
        <w:t>ECEC can help prepare children for school and improve their outcomes across many areas, including in adolescence and adulthood</w:t>
      </w:r>
      <w:r>
        <w:t xml:space="preserve"> </w:t>
      </w:r>
      <w:r w:rsidRPr="007E3B80">
        <w:rPr>
          <w:rFonts w:cs="Open Sans"/>
        </w:rPr>
        <w:t>(PC 2024, p. 7)</w:t>
      </w:r>
      <w:r>
        <w:t>.</w:t>
      </w:r>
    </w:p>
    <w:p w14:paraId="594E4F14" w14:textId="4320E90B" w:rsidR="00446A5C" w:rsidRDefault="00446A5C" w:rsidP="00446A5C">
      <w:pPr>
        <w:pStyle w:val="BodyText"/>
      </w:pPr>
      <w:r>
        <w:t xml:space="preserve">Conversely, a shortage of accessible, quality ECEC may have detrimental effects for children. Outside major cities, children are </w:t>
      </w:r>
      <w:r w:rsidRPr="008D5BEB">
        <w:t>more likely to be developmentally vulnerable</w:t>
      </w:r>
      <w:r>
        <w:t xml:space="preserve">; research has shown quality ECEC can be particularly important in supporting the development of children who experience disadvantage or vulnerability </w:t>
      </w:r>
      <w:r w:rsidRPr="007E3B80">
        <w:rPr>
          <w:rFonts w:cs="Open Sans"/>
        </w:rPr>
        <w:t>(PC 2024, p. 7)</w:t>
      </w:r>
      <w:r>
        <w:t>.</w:t>
      </w:r>
    </w:p>
    <w:p w14:paraId="2C3C9C11" w14:textId="4DFA6620" w:rsidR="00446A5C" w:rsidRDefault="00446A5C" w:rsidP="00446A5C">
      <w:pPr>
        <w:pStyle w:val="BodyText"/>
      </w:pPr>
      <w:r>
        <w:t xml:space="preserve">Access challenges can also affect parents’ labour force participation. </w:t>
      </w:r>
      <w:r w:rsidRPr="00A155C3">
        <w:t>Families without other sources of support need the certainty of secure ECEC provision (that is, that a service will continue to be available if numbers fall below a viable level) before taking on paid work. Secure ECEC also has the broader benefit for communities of attracting workers to other sectors – for example, health practitioners</w:t>
      </w:r>
      <w:r>
        <w:t xml:space="preserve"> – who also rely on access to services </w:t>
      </w:r>
      <w:r w:rsidRPr="005F4309">
        <w:rPr>
          <w:rFonts w:cs="Open Sans"/>
        </w:rPr>
        <w:t>(PC 2024, p. 318)</w:t>
      </w:r>
      <w:r>
        <w:t>.</w:t>
      </w:r>
    </w:p>
    <w:p w14:paraId="2C3BFDF0" w14:textId="69C5D277" w:rsidR="00446A5C" w:rsidRDefault="00446A5C" w:rsidP="00446A5C">
      <w:pPr>
        <w:pStyle w:val="BodyText"/>
      </w:pPr>
      <w:r>
        <w:t>For families with young children, the lack of centre-based day care services is ameliorated to some extent by access to family day care services and preschools (figure 1). For those with older children, who need care outside of school hours, the geographic disparities are more pronounced. Only one in 4</w:t>
      </w:r>
      <w:r w:rsidR="00A4195A">
        <w:t> </w:t>
      </w:r>
      <w:r>
        <w:t xml:space="preserve">schools in outer regional areas offer outside school hours care, compared to 3 in 4 schools in major cities </w:t>
      </w:r>
      <w:r w:rsidRPr="005F4309">
        <w:rPr>
          <w:rFonts w:cs="Open Sans"/>
        </w:rPr>
        <w:t>(PC 2024, p. 298)</w:t>
      </w:r>
      <w:r>
        <w:t>.</w:t>
      </w:r>
    </w:p>
    <w:p w14:paraId="4E478777" w14:textId="77777777" w:rsidR="00061B12" w:rsidRDefault="00061B12" w:rsidP="00061B12">
      <w:pPr>
        <w:pStyle w:val="FigureTableHeading"/>
      </w:pPr>
      <w:r>
        <w:lastRenderedPageBreak/>
        <w:t>Figure 1 – ECEC availability varies widely across Australia</w:t>
      </w:r>
    </w:p>
    <w:p w14:paraId="2924C1A4" w14:textId="77777777" w:rsidR="00061B12" w:rsidRDefault="00061B12" w:rsidP="00061B12">
      <w:pPr>
        <w:pStyle w:val="FigureTableSubheading"/>
      </w:pPr>
      <w:r>
        <w:t>Ratio of number of approved ECEC places to 0–5 population</w:t>
      </w:r>
    </w:p>
    <w:p w14:paraId="0225749E" w14:textId="77777777" w:rsidR="00061B12" w:rsidRDefault="00061B12" w:rsidP="00061B12">
      <w:pPr>
        <w:pStyle w:val="BodyText"/>
        <w:spacing w:line="240" w:lineRule="atLeast"/>
      </w:pPr>
      <w:r w:rsidRPr="00F474C1">
        <w:rPr>
          <w:noProof/>
        </w:rPr>
        <w:drawing>
          <wp:inline distT="0" distB="0" distL="0" distR="0" wp14:anchorId="44C02076" wp14:editId="19AA299C">
            <wp:extent cx="6120083" cy="6516079"/>
            <wp:effectExtent l="0" t="0" r="0" b="0"/>
            <wp:docPr id="1023940196" name="Picture 15" descr="PC 2024, figure 5.11 – This figure contains two heat maps of Australia. The first map shows the ratio of CBDC approved places to the 0-5 population for each local market. The second map shows the ratio of CBDC, FDC and dedicated preschool approved places to the 0-5 population for each local market. The charts show that ECEC availability varies wildly across Australi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940196" name="Picture 15" descr="PC 2024, figure 5.11 – This figure contains two heat maps of Australia. The first map shows the ratio of CBDC approved places to the 0-5 population for each local market. The second map shows the ratio of CBDC, FDC and dedicated preschool approved places to the 0-5 population for each local market. The charts show that ECEC availability varies wildly across Australia. "/>
                    <pic:cNvPicPr>
                      <a:picLocks noChangeAspect="1" noChangeArrowheads="1"/>
                    </pic:cNvPicPr>
                  </pic:nvPicPr>
                  <pic:blipFill rotWithShape="1">
                    <a:blip r:embed="rId14">
                      <a:extLst>
                        <a:ext uri="{28A0092B-C50C-407E-A947-70E740481C1C}">
                          <a14:useLocalDpi xmlns:a14="http://schemas.microsoft.com/office/drawing/2010/main" val="0"/>
                        </a:ext>
                      </a:extLst>
                    </a:blip>
                    <a:srcRect t="2390" b="3094"/>
                    <a:stretch>
                      <a:fillRect/>
                    </a:stretch>
                  </pic:blipFill>
                  <pic:spPr bwMode="auto">
                    <a:xfrm>
                      <a:off x="0" y="0"/>
                      <a:ext cx="6120130" cy="6516129"/>
                    </a:xfrm>
                    <a:prstGeom prst="rect">
                      <a:avLst/>
                    </a:prstGeom>
                    <a:noFill/>
                    <a:ln>
                      <a:noFill/>
                    </a:ln>
                    <a:extLst>
                      <a:ext uri="{53640926-AAD7-44D8-BBD7-CCE9431645EC}">
                        <a14:shadowObscured xmlns:a14="http://schemas.microsoft.com/office/drawing/2010/main"/>
                      </a:ext>
                    </a:extLst>
                  </pic:spPr>
                </pic:pic>
              </a:graphicData>
            </a:graphic>
          </wp:inline>
        </w:drawing>
      </w:r>
    </w:p>
    <w:p w14:paraId="71F7822D" w14:textId="0A3D773E" w:rsidR="00061B12" w:rsidRPr="00792773" w:rsidRDefault="00061B12" w:rsidP="00061B12">
      <w:pPr>
        <w:pStyle w:val="Note"/>
        <w:rPr>
          <w:szCs w:val="18"/>
        </w:rPr>
      </w:pPr>
      <w:r w:rsidRPr="00792773">
        <w:rPr>
          <w:szCs w:val="18"/>
        </w:rPr>
        <w:t xml:space="preserve">CBDC </w:t>
      </w:r>
      <w:r w:rsidR="00A25BB7">
        <w:rPr>
          <w:szCs w:val="18"/>
        </w:rPr>
        <w:t>=</w:t>
      </w:r>
      <w:r w:rsidRPr="00792773">
        <w:rPr>
          <w:szCs w:val="18"/>
        </w:rPr>
        <w:t xml:space="preserve"> centre-based day care; FDC </w:t>
      </w:r>
      <w:r w:rsidR="00A25BB7">
        <w:rPr>
          <w:szCs w:val="18"/>
        </w:rPr>
        <w:t>=</w:t>
      </w:r>
      <w:r w:rsidRPr="00792773">
        <w:rPr>
          <w:szCs w:val="18"/>
        </w:rPr>
        <w:t xml:space="preserve"> family day care; PSK </w:t>
      </w:r>
      <w:r w:rsidR="00A25BB7">
        <w:rPr>
          <w:szCs w:val="18"/>
        </w:rPr>
        <w:t>=</w:t>
      </w:r>
      <w:r w:rsidRPr="00792773">
        <w:rPr>
          <w:szCs w:val="18"/>
        </w:rPr>
        <w:t xml:space="preserve"> dedicated preschool. The first map shows the ratio of the number of CBDC approved places to the population of children aged 0–5 years. The second map shows the number of CBDC, family day care and dedicated preschool places to the population of children aged 0–5 years. Grey areas have no child population. These are typically national parks. Population data is from the 2021 Census. The number of ECEC places is at Q4 2022.</w:t>
      </w:r>
    </w:p>
    <w:p w14:paraId="3F49DBB5" w14:textId="435AB329" w:rsidR="00061B12" w:rsidRPr="00792773" w:rsidRDefault="00061B12" w:rsidP="00061B12">
      <w:pPr>
        <w:pStyle w:val="Source"/>
        <w:rPr>
          <w:szCs w:val="18"/>
        </w:rPr>
      </w:pPr>
      <w:r w:rsidRPr="00792773">
        <w:rPr>
          <w:szCs w:val="18"/>
        </w:rPr>
        <w:t xml:space="preserve">Source: </w:t>
      </w:r>
      <w:r w:rsidR="006A2AAB">
        <w:rPr>
          <w:szCs w:val="18"/>
        </w:rPr>
        <w:t>a</w:t>
      </w:r>
      <w:r w:rsidRPr="00792773">
        <w:rPr>
          <w:szCs w:val="18"/>
        </w:rPr>
        <w:t>dapted from PC 2024, figure 5.11.</w:t>
      </w:r>
    </w:p>
    <w:p w14:paraId="0F7E73C4" w14:textId="77777777" w:rsidR="00061B12" w:rsidRDefault="00061B12" w:rsidP="00061B12">
      <w:pPr>
        <w:pStyle w:val="Heading2-nonumber"/>
      </w:pPr>
      <w:r>
        <w:lastRenderedPageBreak/>
        <w:t>The link between remoteness and affordability is complex</w:t>
      </w:r>
    </w:p>
    <w:p w14:paraId="24491034" w14:textId="31690465" w:rsidR="00C0504B" w:rsidRDefault="00C0504B" w:rsidP="00C0504B">
      <w:pPr>
        <w:pStyle w:val="BodyText"/>
      </w:pPr>
      <w:r>
        <w:t xml:space="preserve">ECEC affordability in regional, rural and remote Australia varies by service type and jurisdiction. There are many factors affecting affordability; for example, fees in regional areas may be lower than in major cities, in part because not-for-profit providers are more common and, on average, charge lower fees. On the other hand, ECEC wages </w:t>
      </w:r>
      <w:r w:rsidRPr="0071310F">
        <w:t>might be higher in regional</w:t>
      </w:r>
      <w:r>
        <w:t xml:space="preserve"> and </w:t>
      </w:r>
      <w:r w:rsidRPr="0071310F">
        <w:t>remote areas</w:t>
      </w:r>
      <w:r>
        <w:t xml:space="preserve">, which may result in higher fees </w:t>
      </w:r>
      <w:r w:rsidRPr="00837216">
        <w:rPr>
          <w:rFonts w:cs="Open Sans"/>
        </w:rPr>
        <w:t>(PC 2024, p. 363)</w:t>
      </w:r>
      <w:r>
        <w:t>.</w:t>
      </w:r>
    </w:p>
    <w:p w14:paraId="21FF6107" w14:textId="73EB9D35" w:rsidR="00C0504B" w:rsidRDefault="00C0504B" w:rsidP="00C0504B">
      <w:r>
        <w:t>Out-of-pocket costs vary substantially by region</w:t>
      </w:r>
      <w:r w:rsidR="001154A4">
        <w:t xml:space="preserve"> (figure </w:t>
      </w:r>
      <w:r w:rsidR="00A60E65">
        <w:t>2</w:t>
      </w:r>
      <w:r w:rsidR="0091758D">
        <w:t xml:space="preserve"> and </w:t>
      </w:r>
      <w:r w:rsidR="00A60E65">
        <w:t>3</w:t>
      </w:r>
      <w:r w:rsidR="001154A4">
        <w:t>)</w:t>
      </w:r>
      <w:r>
        <w:t xml:space="preserve">. Survey data shows </w:t>
      </w:r>
      <w:r w:rsidRPr="009C73BD">
        <w:t xml:space="preserve">concerns about ECEC affordability </w:t>
      </w:r>
      <w:r>
        <w:t>we</w:t>
      </w:r>
      <w:r w:rsidRPr="009C73BD">
        <w:t>re slightly more pronounced in regional and rural areas relative to metropolitan areas.</w:t>
      </w:r>
      <w:r>
        <w:t xml:space="preserve"> P</w:t>
      </w:r>
      <w:r w:rsidRPr="009C73BD">
        <w:t xml:space="preserve">arents using ECEC in regional Australia </w:t>
      </w:r>
      <w:r>
        <w:t>we</w:t>
      </w:r>
      <w:r w:rsidRPr="009C73BD">
        <w:t xml:space="preserve">re relatively more likely than those in metropolitan areas to believe ECEC costs have risen substantially </w:t>
      </w:r>
      <w:r>
        <w:t xml:space="preserve">in recent years </w:t>
      </w:r>
      <w:r w:rsidRPr="005F2213">
        <w:rPr>
          <w:rFonts w:cs="Open Sans"/>
        </w:rPr>
        <w:t>(PC 2024, p. 365)</w:t>
      </w:r>
      <w:r>
        <w:t>.</w:t>
      </w:r>
    </w:p>
    <w:p w14:paraId="1EC58E34" w14:textId="77777777" w:rsidR="00061B12" w:rsidRPr="002277B0" w:rsidRDefault="00061B12" w:rsidP="00061B12">
      <w:pPr>
        <w:pStyle w:val="FigureTableHeading"/>
      </w:pPr>
      <w:r>
        <w:t xml:space="preserve">Figure 2 – </w:t>
      </w:r>
      <w:r w:rsidRPr="002277B0">
        <w:t>Mean out</w:t>
      </w:r>
      <w:r w:rsidRPr="002277B0">
        <w:noBreakHyphen/>
        <w:t>of</w:t>
      </w:r>
      <w:r w:rsidRPr="002277B0">
        <w:noBreakHyphen/>
        <w:t>pocket expenses are highest in metropolitan and remote areas</w:t>
      </w:r>
    </w:p>
    <w:p w14:paraId="1BED25B7" w14:textId="77777777" w:rsidR="00061B12" w:rsidRDefault="00061B12" w:rsidP="00061B12">
      <w:pPr>
        <w:pStyle w:val="FigureTableSubheading"/>
      </w:pPr>
      <w:r>
        <w:t>Mean hourly out</w:t>
      </w:r>
      <w:r>
        <w:noBreakHyphen/>
        <w:t>of</w:t>
      </w:r>
      <w:r>
        <w:noBreakHyphen/>
        <w:t>pocket expenses by remoteness, December quarter 2023</w:t>
      </w:r>
    </w:p>
    <w:p w14:paraId="73CC9DE1" w14:textId="175C3491" w:rsidR="00061B12" w:rsidRDefault="002D1FCE" w:rsidP="00061B12">
      <w:pPr>
        <w:pStyle w:val="BodyText"/>
      </w:pPr>
      <w:r w:rsidRPr="002D1FCE">
        <w:rPr>
          <w:noProof/>
        </w:rPr>
        <w:drawing>
          <wp:inline distT="0" distB="0" distL="0" distR="0" wp14:anchorId="40A24C43" wp14:editId="7B2A0DB1">
            <wp:extent cx="6119495" cy="2875280"/>
            <wp:effectExtent l="0" t="0" r="0" b="0"/>
            <wp:docPr id="40756479" name="Picture 1" descr="PC 2024, figure 6.8 – This figure is a bar chart which shows that the mean out-of-pocket expense in major cities is $3.82, in inner regional Australia it is $2.91, in outer regional Australia it is $2.89, in remote Australia it is $4.05 and in very remote Australia it is $4.01 in the December quarter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56479" name="Picture 1" descr="PC 2024, figure 6.8 – This figure is a bar chart which shows that the mean out-of-pocket expense in major cities is $3.82, in inner regional Australia it is $2.91, in outer regional Australia it is $2.89, in remote Australia it is $4.05 and in very remote Australia it is $4.01 in the December quarter 202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19495" cy="2875280"/>
                    </a:xfrm>
                    <a:prstGeom prst="rect">
                      <a:avLst/>
                    </a:prstGeom>
                    <a:noFill/>
                    <a:ln>
                      <a:noFill/>
                    </a:ln>
                  </pic:spPr>
                </pic:pic>
              </a:graphicData>
            </a:graphic>
          </wp:inline>
        </w:drawing>
      </w:r>
    </w:p>
    <w:p w14:paraId="0BD1B25F" w14:textId="77777777" w:rsidR="00061B12" w:rsidRDefault="00061B12" w:rsidP="00061B12">
      <w:pPr>
        <w:pStyle w:val="Note"/>
      </w:pPr>
      <w:r>
        <w:t>This analysis excludes cases where charged fees were zero.</w:t>
      </w:r>
    </w:p>
    <w:p w14:paraId="06B4987E" w14:textId="77777777" w:rsidR="00061B12" w:rsidRPr="00D25443" w:rsidRDefault="00061B12" w:rsidP="00061B12">
      <w:pPr>
        <w:pStyle w:val="Source"/>
        <w:rPr>
          <w:spacing w:val="-4"/>
        </w:rPr>
      </w:pPr>
      <w:r w:rsidRPr="00D25443">
        <w:rPr>
          <w:spacing w:val="-4"/>
        </w:rPr>
        <w:t xml:space="preserve">Source: PC 2024, figure 6.8; PC estimates based </w:t>
      </w:r>
      <w:r w:rsidRPr="00D25443" w:rsidDel="00FF5A06">
        <w:rPr>
          <w:spacing w:val="-4"/>
        </w:rPr>
        <w:t>on</w:t>
      </w:r>
      <w:r w:rsidRPr="00D25443">
        <w:rPr>
          <w:spacing w:val="-4"/>
        </w:rPr>
        <w:t xml:space="preserve"> Department of Education (DoE) administrative data (unpublished).</w:t>
      </w:r>
    </w:p>
    <w:p w14:paraId="594AD32B" w14:textId="77777777" w:rsidR="00061B12" w:rsidRPr="006B46E6" w:rsidRDefault="00061B12" w:rsidP="00061B12">
      <w:pPr>
        <w:pStyle w:val="FigureTableHeading"/>
        <w:rPr>
          <w:spacing w:val="-4"/>
        </w:rPr>
      </w:pPr>
      <w:r w:rsidRPr="006B46E6">
        <w:rPr>
          <w:spacing w:val="-4"/>
        </w:rPr>
        <w:lastRenderedPageBreak/>
        <w:t>Figure 3 – The association between out</w:t>
      </w:r>
      <w:r w:rsidRPr="006B46E6">
        <w:rPr>
          <w:spacing w:val="-4"/>
        </w:rPr>
        <w:noBreakHyphen/>
        <w:t>of</w:t>
      </w:r>
      <w:r w:rsidRPr="006B46E6">
        <w:rPr>
          <w:spacing w:val="-4"/>
        </w:rPr>
        <w:noBreakHyphen/>
        <w:t>pocket expenses and remoteness varies by jurisdiction</w:t>
      </w:r>
    </w:p>
    <w:p w14:paraId="2693F7B5" w14:textId="77777777" w:rsidR="00061B12" w:rsidRDefault="00061B12" w:rsidP="00061B12">
      <w:pPr>
        <w:pStyle w:val="FigureTableSubheading"/>
        <w:keepLines/>
      </w:pPr>
      <w:r w:rsidRPr="008903D5">
        <w:t>Mean hourly out</w:t>
      </w:r>
      <w:r w:rsidRPr="008903D5">
        <w:noBreakHyphen/>
        <w:t>of</w:t>
      </w:r>
      <w:r w:rsidRPr="008903D5">
        <w:noBreakHyphen/>
        <w:t xml:space="preserve">pocket expenses, by jurisdiction and remoteness, </w:t>
      </w:r>
      <w:r>
        <w:t>December quarter 2023</w:t>
      </w:r>
    </w:p>
    <w:p w14:paraId="1592A17D" w14:textId="77777777" w:rsidR="00061B12" w:rsidRDefault="00061B12" w:rsidP="004D6CB1">
      <w:pPr>
        <w:pStyle w:val="BodyText"/>
      </w:pPr>
      <w:r w:rsidRPr="00342F8C">
        <w:rPr>
          <w:noProof/>
        </w:rPr>
        <w:drawing>
          <wp:inline distT="0" distB="0" distL="0" distR="0" wp14:anchorId="77103191" wp14:editId="434A75E5">
            <wp:extent cx="6120130" cy="2282825"/>
            <wp:effectExtent l="0" t="0" r="0" b="0"/>
            <wp:docPr id="1287252056" name="Picture 14" descr="PC 2024, figure 6.9 – This figure is a chart which shows that average hourly out-of-pocket expenses by remoteness differs by state and territories. Mean out- of- pocket expenses broadly fall with remoteness in Victoria and Tasmania, in Western Australia and mean out- of- pocket expenses rise significantly with remoteness in Western Australi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252056" name="Picture 14" descr="PC 2024, figure 6.9 – This figure is a chart which shows that average hourly out-of-pocket expenses by remoteness differs by state and territories. Mean out- of- pocket expenses broadly fall with remoteness in Victoria and Tasmania, in Western Australia and mean out- of- pocket expenses rise significantly with remoteness in Western Australia. "/>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20130" cy="2282825"/>
                    </a:xfrm>
                    <a:prstGeom prst="rect">
                      <a:avLst/>
                    </a:prstGeom>
                    <a:noFill/>
                    <a:ln>
                      <a:noFill/>
                    </a:ln>
                  </pic:spPr>
                </pic:pic>
              </a:graphicData>
            </a:graphic>
          </wp:inline>
        </w:drawing>
      </w:r>
    </w:p>
    <w:p w14:paraId="3549FDDF" w14:textId="77777777" w:rsidR="00061B12" w:rsidRDefault="00061B12" w:rsidP="00061B12">
      <w:pPr>
        <w:pStyle w:val="Note"/>
      </w:pPr>
      <w:r>
        <w:t>Blank tiles mean no cross</w:t>
      </w:r>
      <w:r>
        <w:noBreakHyphen/>
        <w:t>classifications between jurisdiction and remoteness level. This analysis excludes cases where charged fees were zero.</w:t>
      </w:r>
    </w:p>
    <w:p w14:paraId="729D1619" w14:textId="5613DC90" w:rsidR="00061B12" w:rsidRPr="000D0D89" w:rsidRDefault="00061B12" w:rsidP="00061B12">
      <w:pPr>
        <w:pStyle w:val="Source"/>
      </w:pPr>
      <w:r w:rsidRPr="000D0D89">
        <w:t xml:space="preserve">Source: </w:t>
      </w:r>
      <w:r w:rsidR="00B11933">
        <w:t>a</w:t>
      </w:r>
      <w:r w:rsidRPr="000D0D89">
        <w:t xml:space="preserve">dapted from PC 2024, figure 6.9; PC estimates based </w:t>
      </w:r>
      <w:r w:rsidRPr="000D0D89" w:rsidDel="00FF5A06">
        <w:t>on</w:t>
      </w:r>
      <w:r w:rsidRPr="000D0D89">
        <w:t xml:space="preserve"> DoE administrative data (unpublished).</w:t>
      </w:r>
    </w:p>
    <w:p w14:paraId="0F659EDE" w14:textId="77777777" w:rsidR="00061B12" w:rsidRDefault="00061B12" w:rsidP="00061B12">
      <w:pPr>
        <w:pStyle w:val="Heading2-nonumber"/>
      </w:pPr>
      <w:r>
        <w:t>The expansion of ECEC outside major cities has been slow</w:t>
      </w:r>
    </w:p>
    <w:p w14:paraId="054769C3" w14:textId="2195241F" w:rsidR="00F13ABB" w:rsidRDefault="00F13ABB" w:rsidP="00F13ABB">
      <w:pPr>
        <w:pStyle w:val="BodyText"/>
      </w:pPr>
      <w:r>
        <w:t>The expansion of ECEC over the past 15 years has been concentrated in major cities. Between 2013 and 2023, the bulk of new ECEC services has been established by for-profit providers and these enterprises rarely expand outside of major cities and inner regional areas</w:t>
      </w:r>
      <w:r w:rsidR="00A60E65">
        <w:t xml:space="preserve"> (figure 4)</w:t>
      </w:r>
      <w:r>
        <w:t xml:space="preserve">. As a result, the market share of the not-for-profit sector is about 50% in outer regional areas and over 75% in remote areas. Almost all the growth in services between 2013 and 2023 in remote areas was delivered by the not-for-profit sector </w:t>
      </w:r>
      <w:r w:rsidRPr="005229F2">
        <w:rPr>
          <w:rFonts w:cs="Open Sans"/>
        </w:rPr>
        <w:t>(PC 2024, p. 290)</w:t>
      </w:r>
      <w:r>
        <w:t>.</w:t>
      </w:r>
    </w:p>
    <w:p w14:paraId="641A478E" w14:textId="107F0E9A" w:rsidR="00C02B80" w:rsidRDefault="00C02B80" w:rsidP="00C02B80">
      <w:r>
        <w:t xml:space="preserve">Many regional and remote communities are ‘thin markets’: demand is dispersed, low or variable, while the costs of buildings, staffing and operation are high. In these areas, market forces alone do not lead to the establishment of services that can meet the needs of all children and families. Very remote communities with small populations may never sustain centre-based care and require other delivery models </w:t>
      </w:r>
      <w:r w:rsidRPr="00141131">
        <w:rPr>
          <w:rFonts w:cs="Open Sans"/>
        </w:rPr>
        <w:t>(PC 2024, pp. 312–313)</w:t>
      </w:r>
      <w:r>
        <w:t>.</w:t>
      </w:r>
    </w:p>
    <w:p w14:paraId="5F381110" w14:textId="7C22539B" w:rsidR="00C02B80" w:rsidRDefault="00C02B80" w:rsidP="00C02B80">
      <w:r>
        <w:t xml:space="preserve">The PC found </w:t>
      </w:r>
      <w:r w:rsidRPr="00D22521">
        <w:t>the Community Child Care Fund (CCCF)</w:t>
      </w:r>
      <w:r>
        <w:t xml:space="preserve">, which offers grants to ECEC providers to establish or expand services, only partly meets the needs of communities in persistently thin markets </w:t>
      </w:r>
      <w:r w:rsidRPr="00141131">
        <w:rPr>
          <w:rFonts w:cs="Open Sans"/>
        </w:rPr>
        <w:t>(PC 2024, p. 318)</w:t>
      </w:r>
      <w:r>
        <w:t>.</w:t>
      </w:r>
    </w:p>
    <w:p w14:paraId="4C430074" w14:textId="3C23AD62" w:rsidR="00061B12" w:rsidRDefault="00061B12" w:rsidP="00061B12">
      <w:pPr>
        <w:pStyle w:val="FigureTableHeading"/>
        <w:keepLines/>
      </w:pPr>
      <w:r>
        <w:lastRenderedPageBreak/>
        <w:t xml:space="preserve">Figure 4 – </w:t>
      </w:r>
      <w:r w:rsidR="00514593" w:rsidRPr="00514593">
        <w:t>Not</w:t>
      </w:r>
      <w:r w:rsidR="00514593" w:rsidRPr="00514593">
        <w:noBreakHyphen/>
        <w:t>for</w:t>
      </w:r>
      <w:r w:rsidR="00514593" w:rsidRPr="00514593">
        <w:noBreakHyphen/>
        <w:t>profit ECEC provision is important in remote regions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8"/>
        <w:gridCol w:w="4900"/>
      </w:tblGrid>
      <w:tr w:rsidR="00061B12" w14:paraId="3A9E88F1" w14:textId="77777777" w:rsidTr="008B0217">
        <w:tc>
          <w:tcPr>
            <w:tcW w:w="4738" w:type="dxa"/>
          </w:tcPr>
          <w:p w14:paraId="41752D98" w14:textId="77777777" w:rsidR="00061B12" w:rsidRDefault="00061B12" w:rsidP="000A118D">
            <w:pPr>
              <w:pStyle w:val="FigureTableSubheading"/>
            </w:pPr>
            <w:r>
              <w:t>Change in number of CBDC services by remoteness and provider type, between Q3 2013 and Q1 2023</w:t>
            </w:r>
          </w:p>
        </w:tc>
        <w:tc>
          <w:tcPr>
            <w:tcW w:w="4900" w:type="dxa"/>
          </w:tcPr>
          <w:p w14:paraId="4762F6B0" w14:textId="77777777" w:rsidR="00061B12" w:rsidRDefault="00061B12" w:rsidP="000A118D">
            <w:pPr>
              <w:pStyle w:val="FigureTableSubheading"/>
            </w:pPr>
            <w:r w:rsidRPr="00291F04">
              <w:t xml:space="preserve">CBDC market shares by remoteness </w:t>
            </w:r>
            <w:r>
              <w:t xml:space="preserve">and </w:t>
            </w:r>
            <w:r w:rsidRPr="00291F04">
              <w:t>provider type, Q1 2023</w:t>
            </w:r>
          </w:p>
        </w:tc>
      </w:tr>
      <w:tr w:rsidR="00061B12" w14:paraId="41D8A26A" w14:textId="77777777" w:rsidTr="008B0217">
        <w:tc>
          <w:tcPr>
            <w:tcW w:w="4738" w:type="dxa"/>
          </w:tcPr>
          <w:p w14:paraId="6EF85892" w14:textId="77777777" w:rsidR="00061B12" w:rsidRDefault="00061B12" w:rsidP="000A118D">
            <w:pPr>
              <w:pStyle w:val="BodyText"/>
              <w:ind w:left="-57"/>
            </w:pPr>
            <w:r w:rsidRPr="00187368">
              <w:rPr>
                <w:noProof/>
              </w:rPr>
              <w:drawing>
                <wp:inline distT="0" distB="0" distL="0" distR="0" wp14:anchorId="1A99B387" wp14:editId="36BB8A60">
                  <wp:extent cx="2955300" cy="2988000"/>
                  <wp:effectExtent l="0" t="0" r="0" b="0"/>
                  <wp:docPr id="901910054" name="Picture 8" descr="PC 2024, figure 5.9b – This column chart figure shows the change in the number of CBDC services between 2013 and 2023 across the remoteness areas and the contribution to growth by provider size and type. It shows that a large number of services were established in major cities, and less services were established in more remote areas. For-profits of all sizes accounted for growth in major cities and inner and outer regions, but not-for-profits accounted for most of the growth in remote and very remote area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910054" name="Picture 8" descr="PC 2024, figure 5.9b – This column chart figure shows the change in the number of CBDC services between 2013 and 2023 across the remoteness areas and the contribution to growth by provider size and type. It shows that a large number of services were established in major cities, and less services were established in more remote areas. For-profits of all sizes accounted for growth in major cities and inner and outer regions, but not-for-profits accounted for most of the growth in remote and very remote areas. "/>
                          <pic:cNvPicPr>
                            <a:picLocks noChangeAspect="1" noChangeArrowheads="1"/>
                          </pic:cNvPicPr>
                        </pic:nvPicPr>
                        <pic:blipFill rotWithShape="1">
                          <a:blip r:embed="rId17">
                            <a:extLst>
                              <a:ext uri="{28A0092B-C50C-407E-A947-70E740481C1C}">
                                <a14:useLocalDpi xmlns:a14="http://schemas.microsoft.com/office/drawing/2010/main" val="0"/>
                              </a:ext>
                            </a:extLst>
                          </a:blip>
                          <a:srcRect l="2420"/>
                          <a:stretch>
                            <a:fillRect/>
                          </a:stretch>
                        </pic:blipFill>
                        <pic:spPr bwMode="auto">
                          <a:xfrm>
                            <a:off x="0" y="0"/>
                            <a:ext cx="2955300" cy="2988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900" w:type="dxa"/>
          </w:tcPr>
          <w:p w14:paraId="486ABCC5" w14:textId="77777777" w:rsidR="00061B12" w:rsidRPr="00291F04" w:rsidRDefault="00061B12" w:rsidP="000A118D">
            <w:pPr>
              <w:pStyle w:val="BodyText"/>
            </w:pPr>
            <w:r w:rsidRPr="005A0D18">
              <w:rPr>
                <w:noProof/>
              </w:rPr>
              <w:drawing>
                <wp:inline distT="0" distB="0" distL="0" distR="0" wp14:anchorId="41F7E439" wp14:editId="52DA6A16">
                  <wp:extent cx="3024000" cy="2770831"/>
                  <wp:effectExtent l="0" t="0" r="0" b="0"/>
                  <wp:docPr id="1541285659" name="Picture 9" descr="PC 2024, figure 5.9d - The second column chart shows the market share (based on the number of CBDC services) for each type of provider in 2023 by remoteness area. It shows that not-for-profits market share increases as remoteness increases, from under 25% in major cities to over 75% in remote/very remote areas. The opposite is true for for-profit provi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285659" name="Picture 9" descr="PC 2024, figure 5.9d - The second column chart shows the market share (based on the number of CBDC services) for each type of provider in 2023 by remoteness area. It shows that not-for-profits market share increases as remoteness increases, from under 25% in major cities to over 75% in remote/very remote areas. The opposite is true for for-profit provider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24000" cy="2770831"/>
                          </a:xfrm>
                          <a:prstGeom prst="rect">
                            <a:avLst/>
                          </a:prstGeom>
                          <a:noFill/>
                          <a:ln>
                            <a:noFill/>
                          </a:ln>
                        </pic:spPr>
                      </pic:pic>
                    </a:graphicData>
                  </a:graphic>
                </wp:inline>
              </w:drawing>
            </w:r>
          </w:p>
        </w:tc>
      </w:tr>
      <w:tr w:rsidR="00061B12" w14:paraId="391546A7" w14:textId="77777777" w:rsidTr="000A118D">
        <w:tc>
          <w:tcPr>
            <w:tcW w:w="9638" w:type="dxa"/>
            <w:gridSpan w:val="2"/>
          </w:tcPr>
          <w:p w14:paraId="2EDB95F9" w14:textId="77777777" w:rsidR="00061B12" w:rsidRPr="005A0D18" w:rsidRDefault="00061B12" w:rsidP="000A118D">
            <w:pPr>
              <w:pStyle w:val="BodyText"/>
              <w:spacing w:before="0"/>
              <w:jc w:val="center"/>
              <w:rPr>
                <w:noProof/>
              </w:rPr>
            </w:pPr>
            <w:r w:rsidRPr="00617708">
              <w:rPr>
                <w:noProof/>
              </w:rPr>
              <w:drawing>
                <wp:inline distT="0" distB="0" distL="0" distR="0" wp14:anchorId="07D51A22" wp14:editId="7097A2C6">
                  <wp:extent cx="6012000" cy="553016"/>
                  <wp:effectExtent l="0" t="0" r="0" b="0"/>
                  <wp:docPr id="1945271508" name="Picture 11" descr="Leg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271508" name="Picture 11" descr="Legend"/>
                          <pic:cNvPicPr>
                            <a:picLocks noChangeAspect="1" noChangeArrowheads="1"/>
                          </pic:cNvPicPr>
                        </pic:nvPicPr>
                        <pic:blipFill rotWithShape="1">
                          <a:blip r:embed="rId19">
                            <a:extLst>
                              <a:ext uri="{28A0092B-C50C-407E-A947-70E740481C1C}">
                                <a14:useLocalDpi xmlns:a14="http://schemas.microsoft.com/office/drawing/2010/main" val="0"/>
                              </a:ext>
                            </a:extLst>
                          </a:blip>
                          <a:srcRect t="85146"/>
                          <a:stretch>
                            <a:fillRect/>
                          </a:stretch>
                        </pic:blipFill>
                        <pic:spPr bwMode="auto">
                          <a:xfrm>
                            <a:off x="0" y="0"/>
                            <a:ext cx="6012000" cy="553016"/>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00443C4E" w14:textId="76736223" w:rsidR="00061B12" w:rsidRPr="004F3414" w:rsidRDefault="008B0217" w:rsidP="00061B12">
      <w:pPr>
        <w:pStyle w:val="Note"/>
        <w:rPr>
          <w:spacing w:val="-4"/>
          <w:szCs w:val="18"/>
        </w:rPr>
      </w:pPr>
      <w:r w:rsidRPr="004F3414">
        <w:rPr>
          <w:spacing w:val="-4"/>
          <w:szCs w:val="18"/>
        </w:rPr>
        <w:t>NFP = not</w:t>
      </w:r>
      <w:r w:rsidRPr="004F3414">
        <w:rPr>
          <w:spacing w:val="-4"/>
          <w:szCs w:val="18"/>
        </w:rPr>
        <w:noBreakHyphen/>
        <w:t>for</w:t>
      </w:r>
      <w:r w:rsidRPr="004F3414">
        <w:rPr>
          <w:spacing w:val="-4"/>
          <w:szCs w:val="18"/>
        </w:rPr>
        <w:noBreakHyphen/>
        <w:t xml:space="preserve">profit. </w:t>
      </w:r>
      <w:r w:rsidR="00061B12" w:rsidRPr="004F3414">
        <w:rPr>
          <w:spacing w:val="-4"/>
          <w:szCs w:val="18"/>
        </w:rPr>
        <w:t>A small provider is defined as operating one service, a medium sized provider operates 2 to 24</w:t>
      </w:r>
      <w:r>
        <w:rPr>
          <w:spacing w:val="-4"/>
          <w:szCs w:val="18"/>
        </w:rPr>
        <w:t> </w:t>
      </w:r>
      <w:r w:rsidR="00061B12" w:rsidRPr="004F3414">
        <w:rPr>
          <w:spacing w:val="-4"/>
          <w:szCs w:val="18"/>
        </w:rPr>
        <w:t xml:space="preserve">services, and a large provider operates 25 or more services. Government, catholic and independent schools, and other unclassified provider types are excluded as they have smaller shares of the sector. </w:t>
      </w:r>
    </w:p>
    <w:p w14:paraId="54CA2253" w14:textId="22D58622" w:rsidR="00061B12" w:rsidRPr="00D4620F" w:rsidRDefault="00061B12" w:rsidP="00061B12">
      <w:pPr>
        <w:pStyle w:val="Source"/>
        <w:rPr>
          <w:rFonts w:cs="Open Sans"/>
          <w:szCs w:val="18"/>
        </w:rPr>
      </w:pPr>
      <w:r w:rsidRPr="00D4620F">
        <w:rPr>
          <w:rFonts w:cs="Open Sans"/>
          <w:szCs w:val="18"/>
        </w:rPr>
        <w:t>Source: adapted from PC 2024, figure 5.9, based on ACECQA 2023.</w:t>
      </w:r>
    </w:p>
    <w:p w14:paraId="4C6A2D55" w14:textId="77777777" w:rsidR="00061B12" w:rsidRDefault="00061B12" w:rsidP="00061B12">
      <w:pPr>
        <w:pStyle w:val="Heading2-nonumber"/>
      </w:pPr>
      <w:r>
        <w:t xml:space="preserve">The ECEC system creates barriers to access for Aboriginal and Torres Strait Islander children </w:t>
      </w:r>
    </w:p>
    <w:p w14:paraId="05090582" w14:textId="0E5BFB28" w:rsidR="00C306A1" w:rsidRDefault="00C306A1" w:rsidP="00C306A1">
      <w:pPr>
        <w:pStyle w:val="BodyText"/>
      </w:pPr>
      <w:r>
        <w:t xml:space="preserve">ECEC funding policies can exacerbate access issues for Aboriginal and Torres Strait Islander children and families. The administrative complexity of the system creates challenges for families as well as </w:t>
      </w:r>
      <w:r w:rsidRPr="00B01C8A">
        <w:t>Aboriginal community-controlled organisations</w:t>
      </w:r>
      <w:r>
        <w:t xml:space="preserve"> (ACCOs) providing ECEC. The ECEC system is often unable to meet the </w:t>
      </w:r>
      <w:r w:rsidRPr="00EE0089">
        <w:t>needs</w:t>
      </w:r>
      <w:r>
        <w:t xml:space="preserve"> of Aboriginal and Torres Strait Islander children and families.</w:t>
      </w:r>
    </w:p>
    <w:p w14:paraId="4624F0B7" w14:textId="77777777" w:rsidR="00C306A1" w:rsidRDefault="00C306A1" w:rsidP="00C306A1">
      <w:pPr>
        <w:pStyle w:val="BodyText"/>
      </w:pPr>
      <w:r>
        <w:t>ACCOs</w:t>
      </w:r>
      <w:r w:rsidRPr="00B01C8A">
        <w:t xml:space="preserve"> are well placed to deliver culturally safe, integrated services because of their community ties, cultural expertise, Aboriginal and Torres Strait Islander workforce and holistic models. Families often prefer these services. However, ACCOs report funding challenges arising from limited scale, rural and remote operating costs, workforce support needs and funding models that do not reflect integrated service delivery</w:t>
      </w:r>
      <w:r>
        <w:t xml:space="preserve"> </w:t>
      </w:r>
      <w:r>
        <w:fldChar w:fldCharType="begin"/>
      </w:r>
      <w:r>
        <w:instrText xml:space="preserve"> ADDIN ZOTERO_ITEM CSL_CITATION {"citationID":"YUi2goKz","properties":{"unsorted":false,"formattedCitation":"(PC\\uc0\\u160{}2024, pp.\\uc0\\u160{}456\\uc0\\u8211{}459)","plainCitation":"(PC 2024, pp. 456–459)","noteIndex":0},"citationItems":[{"id":2181,"uris":["http://zotero.org/groups/164861/items/RG4YZ5NU"],"itemData":{"id":2181,"type":"report","genre":"Inquiry report no. 106","publisher-place":"Canberra","title":"A path to universal early childhood education and care - Vol. 2","author":[{"family":"Productivity Commission","given":""}],"translator":[{"family":"PC","given":""}],"issued":{"date-parts":[["2024"]]}},"locator":"456-9","label":"page"}],"schema":"https://github.com/citation-style-language/schema/raw/master/csl-citation.json"} </w:instrText>
      </w:r>
      <w:r>
        <w:fldChar w:fldCharType="separate"/>
      </w:r>
      <w:r w:rsidRPr="006D0CC1">
        <w:rPr>
          <w:rFonts w:cs="Open Sans"/>
        </w:rPr>
        <w:t>(PC 2024, pp. 456–4</w:t>
      </w:r>
      <w:r>
        <w:rPr>
          <w:rFonts w:cs="Open Sans"/>
        </w:rPr>
        <w:t>61</w:t>
      </w:r>
      <w:r w:rsidRPr="006D0CC1">
        <w:rPr>
          <w:rFonts w:cs="Open Sans"/>
        </w:rPr>
        <w:t>)</w:t>
      </w:r>
      <w:r>
        <w:fldChar w:fldCharType="end"/>
      </w:r>
      <w:r>
        <w:t>.</w:t>
      </w:r>
    </w:p>
    <w:p w14:paraId="123387EE" w14:textId="77777777" w:rsidR="00C306A1" w:rsidRDefault="00C306A1" w:rsidP="00C306A1">
      <w:pPr>
        <w:pStyle w:val="BodyText"/>
      </w:pPr>
      <w:r>
        <w:t>Beyond ACCOs, m</w:t>
      </w:r>
      <w:r w:rsidRPr="00417D61">
        <w:t>ainstream ECEC services need to support cultural safety because of the contribution it can make to the cultural wellbeing, identity, school readiness and ongoing ECEC participation of Aboriginal and Torres Strait Islander children</w:t>
      </w:r>
      <w:r>
        <w:t xml:space="preserve"> </w:t>
      </w:r>
      <w:r>
        <w:fldChar w:fldCharType="begin"/>
      </w:r>
      <w:r>
        <w:instrText xml:space="preserve"> ADDIN ZOTERO_ITEM CSL_CITATION {"citationID":"hgoDtoLU","properties":{"unsorted":false,"formattedCitation":"(PC\\uc0\\u160{}2024, p.\\uc0\\u160{}68, finding 2.4)","plainCitation":"(PC 2024, p. 68, finding 2.4)","noteIndex":0},"citationItems":[{"id":2181,"uris":["http://zotero.org/groups/164861/items/RG4YZ5NU"],"itemData":{"id":2181,"type":"report","genre":"Inquiry report no. 106","publisher-place":"Canberra","title":"A path to universal early childhood education and care - Vol. 2","author":[{"family":"Productivity Commission","given":""}],"translator":[{"family":"PC","given":""}],"issued":{"date-parts":[["2024"]]}},"locator":"68","label":"page","suffix":", finding 2.4"}],"schema":"https://github.com/citation-style-language/schema/raw/master/csl-citation.json"} </w:instrText>
      </w:r>
      <w:r>
        <w:fldChar w:fldCharType="separate"/>
      </w:r>
      <w:r w:rsidRPr="00B1532E">
        <w:rPr>
          <w:rFonts w:cs="Open Sans"/>
        </w:rPr>
        <w:t>(PC 2024, p. 68)</w:t>
      </w:r>
      <w:r>
        <w:fldChar w:fldCharType="end"/>
      </w:r>
      <w:r>
        <w:t>.</w:t>
      </w:r>
    </w:p>
    <w:p w14:paraId="70F3E158" w14:textId="77777777" w:rsidR="00061B12" w:rsidRDefault="00061B12" w:rsidP="00061B12">
      <w:pPr>
        <w:pStyle w:val="Heading2-nonumber"/>
      </w:pPr>
      <w:r>
        <w:lastRenderedPageBreak/>
        <w:t>Specific solutions are required to ensure access to quality ECEC in regional, rural and remote Australia</w:t>
      </w:r>
    </w:p>
    <w:p w14:paraId="5718E048" w14:textId="77777777" w:rsidR="00061B12" w:rsidRPr="00B01C8A" w:rsidRDefault="00061B12" w:rsidP="00061B12">
      <w:pPr>
        <w:pStyle w:val="Heading3"/>
        <w:rPr>
          <w:lang w:val="en-US"/>
        </w:rPr>
      </w:pPr>
      <w:r w:rsidRPr="00B01C8A">
        <w:rPr>
          <w:lang w:val="en-US"/>
        </w:rPr>
        <w:t>Fund</w:t>
      </w:r>
      <w:r>
        <w:rPr>
          <w:lang w:val="en-US"/>
        </w:rPr>
        <w:t xml:space="preserve">ing universal access to ECEC </w:t>
      </w:r>
      <w:r w:rsidRPr="00B01C8A">
        <w:rPr>
          <w:lang w:val="en-US"/>
        </w:rPr>
        <w:t>in persistently thin markets</w:t>
      </w:r>
    </w:p>
    <w:p w14:paraId="745D823D" w14:textId="503ADA7E" w:rsidR="00C754D8" w:rsidRDefault="00C754D8" w:rsidP="00C754D8">
      <w:pPr>
        <w:pStyle w:val="BodyText"/>
        <w:rPr>
          <w:lang w:val="en-US"/>
        </w:rPr>
      </w:pPr>
      <w:r>
        <w:rPr>
          <w:lang w:val="en-US"/>
        </w:rPr>
        <w:t xml:space="preserve">The PC found that to achieve the goal of universal access to ECEC, all children </w:t>
      </w:r>
      <w:r w:rsidRPr="00B01C8A">
        <w:rPr>
          <w:lang w:val="en-US"/>
        </w:rPr>
        <w:t xml:space="preserve">aged 0–5 </w:t>
      </w:r>
      <w:r>
        <w:rPr>
          <w:lang w:val="en-US"/>
        </w:rPr>
        <w:t>should be able to</w:t>
      </w:r>
      <w:r w:rsidRPr="00B01C8A">
        <w:rPr>
          <w:lang w:val="en-US"/>
        </w:rPr>
        <w:t xml:space="preserve"> access at least 30 hours or three days of quality ECEC for 48 weeks each year where families wish to participate</w:t>
      </w:r>
      <w:r>
        <w:rPr>
          <w:lang w:val="en-US"/>
        </w:rPr>
        <w:t xml:space="preserve"> </w:t>
      </w:r>
      <w:r w:rsidRPr="00B1532E">
        <w:rPr>
          <w:rFonts w:cs="Open Sans"/>
        </w:rPr>
        <w:t>(PC 2024, p. 278)</w:t>
      </w:r>
      <w:r>
        <w:t>.</w:t>
      </w:r>
      <w:r>
        <w:rPr>
          <w:lang w:val="en-US"/>
        </w:rPr>
        <w:t xml:space="preserve"> </w:t>
      </w:r>
    </w:p>
    <w:p w14:paraId="425A44BD" w14:textId="77777777" w:rsidR="00C754D8" w:rsidRDefault="00C754D8" w:rsidP="00C754D8">
      <w:pPr>
        <w:pStyle w:val="BodyText"/>
        <w:rPr>
          <w:lang w:val="en-US"/>
        </w:rPr>
      </w:pPr>
      <w:r>
        <w:rPr>
          <w:lang w:val="en-US"/>
        </w:rPr>
        <w:t xml:space="preserve">Many local markets, </w:t>
      </w:r>
      <w:proofErr w:type="gramStart"/>
      <w:r>
        <w:rPr>
          <w:lang w:val="en-US"/>
        </w:rPr>
        <w:t>in particular in</w:t>
      </w:r>
      <w:proofErr w:type="gramEnd"/>
      <w:r>
        <w:rPr>
          <w:lang w:val="en-US"/>
        </w:rPr>
        <w:t xml:space="preserve"> regional, rural and remote Australia, cannot support universal access. There are almost no markets outside major cities where centre-based day care availability is sufficient to meet this threshold. The addition of family day care and preschool places improves availability significantly in parts of Australia, but these types of services have limitations in terms of the age groups they cater for in the case of preschool, and their ability to support larger groups of children in the case of family day care. </w:t>
      </w:r>
    </w:p>
    <w:p w14:paraId="1C0BEAB1" w14:textId="77777777" w:rsidR="00C754D8" w:rsidRPr="00B01C8A" w:rsidRDefault="00C754D8" w:rsidP="00C754D8">
      <w:pPr>
        <w:pStyle w:val="BodyText"/>
        <w:rPr>
          <w:lang w:val="en-US"/>
        </w:rPr>
      </w:pPr>
      <w:r>
        <w:rPr>
          <w:lang w:val="en-US"/>
        </w:rPr>
        <w:t xml:space="preserve">To address this, the PC recommended the Australian Government establish </w:t>
      </w:r>
      <w:r w:rsidRPr="00B01C8A">
        <w:rPr>
          <w:lang w:val="en-US"/>
        </w:rPr>
        <w:t>an ECEC Development Fund</w:t>
      </w:r>
      <w:r>
        <w:rPr>
          <w:lang w:val="en-US"/>
        </w:rPr>
        <w:t xml:space="preserve">, to offer financial support to communities and providers to expand ECEC access. Aspects of the </w:t>
      </w:r>
      <w:proofErr w:type="gramStart"/>
      <w:r>
        <w:rPr>
          <w:lang w:val="en-US"/>
        </w:rPr>
        <w:t>fund</w:t>
      </w:r>
      <w:proofErr w:type="gramEnd"/>
      <w:r>
        <w:rPr>
          <w:lang w:val="en-US"/>
        </w:rPr>
        <w:t xml:space="preserve"> may be particularly relevant to regional, rural and remote communities. These include</w:t>
      </w:r>
      <w:r w:rsidRPr="00B01C8A">
        <w:rPr>
          <w:lang w:val="en-US"/>
        </w:rPr>
        <w:t xml:space="preserve">: </w:t>
      </w:r>
    </w:p>
    <w:p w14:paraId="10374E96" w14:textId="77777777" w:rsidR="00C754D8" w:rsidRPr="00B01C8A" w:rsidRDefault="00C754D8" w:rsidP="00C754D8">
      <w:pPr>
        <w:pStyle w:val="ListBullet"/>
        <w:rPr>
          <w:lang w:val="en-US"/>
        </w:rPr>
      </w:pPr>
      <w:r w:rsidRPr="00B01C8A">
        <w:rPr>
          <w:lang w:val="en-US"/>
        </w:rPr>
        <w:t xml:space="preserve">capital grants or low-interest loans where operating costs can be covered </w:t>
      </w:r>
      <w:r>
        <w:rPr>
          <w:lang w:val="en-US"/>
        </w:rPr>
        <w:t xml:space="preserve">by existing funding mechanisms, </w:t>
      </w:r>
      <w:r w:rsidRPr="00B01C8A">
        <w:rPr>
          <w:lang w:val="en-US"/>
        </w:rPr>
        <w:t>but infrastructure cannot</w:t>
      </w:r>
    </w:p>
    <w:p w14:paraId="34CE9281" w14:textId="77777777" w:rsidR="00C754D8" w:rsidRPr="00B01C8A" w:rsidRDefault="00C754D8" w:rsidP="00C754D8">
      <w:pPr>
        <w:pStyle w:val="ListBullet"/>
        <w:rPr>
          <w:lang w:val="en-US"/>
        </w:rPr>
      </w:pPr>
      <w:r w:rsidRPr="00B01C8A">
        <w:rPr>
          <w:lang w:val="en-US"/>
        </w:rPr>
        <w:t>ongoing block grants for capital and operating costs where demand is too low or variable for viability, with periodic review</w:t>
      </w:r>
    </w:p>
    <w:p w14:paraId="73D739AC" w14:textId="741ECED8" w:rsidR="00C754D8" w:rsidRPr="00C754D8" w:rsidRDefault="00C754D8" w:rsidP="00C754D8">
      <w:pPr>
        <w:pStyle w:val="ListBullet"/>
        <w:rPr>
          <w:spacing w:val="2"/>
          <w:lang w:val="en-US"/>
        </w:rPr>
      </w:pPr>
      <w:r w:rsidRPr="00C754D8">
        <w:rPr>
          <w:spacing w:val="2"/>
          <w:lang w:val="en-US"/>
        </w:rPr>
        <w:t>competitive tendering or commissioning where communities cannot secure a provider, open to centre</w:t>
      </w:r>
      <w:r w:rsidRPr="00C754D8">
        <w:rPr>
          <w:spacing w:val="2"/>
          <w:lang w:val="en-US"/>
        </w:rPr>
        <w:noBreakHyphen/>
        <w:t xml:space="preserve">based, day care and mobile models suited to local need </w:t>
      </w:r>
      <w:r w:rsidRPr="00C754D8">
        <w:rPr>
          <w:rFonts w:cs="Open Sans"/>
          <w:spacing w:val="2"/>
        </w:rPr>
        <w:t>(PC 2024, pp. 325–326, recommendation 5.2)</w:t>
      </w:r>
      <w:r w:rsidRPr="00C754D8">
        <w:rPr>
          <w:spacing w:val="2"/>
        </w:rPr>
        <w:t>.</w:t>
      </w:r>
    </w:p>
    <w:p w14:paraId="22CC8162" w14:textId="691885BD" w:rsidR="00C754D8" w:rsidRDefault="00C754D8" w:rsidP="00C754D8">
      <w:pPr>
        <w:pStyle w:val="BodyText"/>
        <w:rPr>
          <w:lang w:val="en-US"/>
        </w:rPr>
      </w:pPr>
      <w:r>
        <w:rPr>
          <w:lang w:val="en-US"/>
        </w:rPr>
        <w:t xml:space="preserve">Since the PC report was published, the Australian Government has established a $1 billion </w:t>
      </w:r>
      <w:r w:rsidRPr="00E621D1">
        <w:rPr>
          <w:lang w:val="en-US"/>
        </w:rPr>
        <w:t>Building Early Education Fund</w:t>
      </w:r>
      <w:r>
        <w:rPr>
          <w:lang w:val="en-US"/>
        </w:rPr>
        <w:t xml:space="preserve">, which </w:t>
      </w:r>
      <w:r w:rsidRPr="00E621D1">
        <w:rPr>
          <w:lang w:val="en-US"/>
        </w:rPr>
        <w:t>provides capital funding to build new</w:t>
      </w:r>
      <w:r>
        <w:rPr>
          <w:lang w:val="en-US"/>
        </w:rPr>
        <w:t>,</w:t>
      </w:r>
      <w:r w:rsidRPr="00E621D1">
        <w:rPr>
          <w:lang w:val="en-US"/>
        </w:rPr>
        <w:t xml:space="preserve"> and expand existing</w:t>
      </w:r>
      <w:r>
        <w:rPr>
          <w:lang w:val="en-US"/>
        </w:rPr>
        <w:t>,</w:t>
      </w:r>
      <w:r w:rsidRPr="00E621D1">
        <w:rPr>
          <w:lang w:val="en-US"/>
        </w:rPr>
        <w:t xml:space="preserve"> ECEC services in areas of need, including the outer suburbs and regional Australia.</w:t>
      </w:r>
      <w:r>
        <w:rPr>
          <w:lang w:val="en-US"/>
        </w:rPr>
        <w:t xml:space="preserve"> While this represents an important investment, it may not address the needs of communities in ‘thin markets’, where ongoing operational support may be required to ensure the sustainability of services. In future, the Government will consider using the Fund to build, own and lease services in areas of low supply </w:t>
      </w:r>
      <w:r w:rsidRPr="005C2F7C">
        <w:rPr>
          <w:rFonts w:cs="Open Sans"/>
        </w:rPr>
        <w:t>(DoE 2026b)</w:t>
      </w:r>
      <w:r>
        <w:rPr>
          <w:lang w:val="en-US"/>
        </w:rPr>
        <w:t xml:space="preserve">. </w:t>
      </w:r>
    </w:p>
    <w:p w14:paraId="1A8C56DC" w14:textId="11A73A59" w:rsidR="00C754D8" w:rsidRPr="00650E56" w:rsidRDefault="00C754D8" w:rsidP="00C754D8">
      <w:pPr>
        <w:pStyle w:val="BodyText"/>
        <w:rPr>
          <w:lang w:val="en-US"/>
        </w:rPr>
      </w:pPr>
      <w:r>
        <w:t>In addition, the PC recommended g</w:t>
      </w:r>
      <w:r w:rsidRPr="009A3BBD">
        <w:t xml:space="preserve">overnments should consider funding arrangements for </w:t>
      </w:r>
      <w:r>
        <w:t>ACCOs</w:t>
      </w:r>
      <w:r w:rsidRPr="009A3BBD">
        <w:t xml:space="preserve"> delivering ECEC and other integrated early years services through a process of shared decision-making. Consistent with Priority Reform 1 of the National Agreement on Closing the Gap, the Early Childhood Care and Development Policy Partnership is the most appropriate forum for this process to take place</w:t>
      </w:r>
      <w:r>
        <w:t xml:space="preserve"> </w:t>
      </w:r>
      <w:r w:rsidRPr="004719CC">
        <w:rPr>
          <w:rFonts w:cs="Open Sans"/>
        </w:rPr>
        <w:t>(PC 2024, p. 464, recommendation 7.7)</w:t>
      </w:r>
      <w:r>
        <w:t>.</w:t>
      </w:r>
    </w:p>
    <w:p w14:paraId="56D947A5" w14:textId="77777777" w:rsidR="00061B12" w:rsidRPr="00B01C8A" w:rsidRDefault="00061B12" w:rsidP="00E04B6F">
      <w:pPr>
        <w:pStyle w:val="Heading3"/>
        <w:rPr>
          <w:lang w:val="en-US"/>
        </w:rPr>
      </w:pPr>
      <w:r>
        <w:rPr>
          <w:lang w:val="en-US"/>
        </w:rPr>
        <w:t>E</w:t>
      </w:r>
      <w:r w:rsidRPr="00B01C8A">
        <w:rPr>
          <w:lang w:val="en-US"/>
        </w:rPr>
        <w:t>xpand</w:t>
      </w:r>
      <w:r>
        <w:rPr>
          <w:lang w:val="en-US"/>
        </w:rPr>
        <w:t>ing</w:t>
      </w:r>
      <w:r w:rsidRPr="00B01C8A">
        <w:rPr>
          <w:lang w:val="en-US"/>
        </w:rPr>
        <w:t xml:space="preserve"> flexible delivery models</w:t>
      </w:r>
    </w:p>
    <w:p w14:paraId="0AE68512" w14:textId="77777777" w:rsidR="008941DA" w:rsidRDefault="008941DA" w:rsidP="00E04B6F">
      <w:pPr>
        <w:pStyle w:val="BodyText"/>
        <w:keepNext/>
        <w:keepLines/>
        <w:rPr>
          <w:lang w:val="en-US"/>
        </w:rPr>
      </w:pPr>
      <w:r>
        <w:rPr>
          <w:lang w:val="en-US"/>
        </w:rPr>
        <w:t xml:space="preserve">The PC found family day care </w:t>
      </w:r>
      <w:r w:rsidRPr="000E2B18">
        <w:rPr>
          <w:lang w:val="en-US"/>
        </w:rPr>
        <w:t xml:space="preserve">can be part of the solution to ensuring families have access to </w:t>
      </w:r>
      <w:r>
        <w:rPr>
          <w:lang w:val="en-US"/>
        </w:rPr>
        <w:t xml:space="preserve">quality </w:t>
      </w:r>
      <w:r w:rsidRPr="000E2B18">
        <w:rPr>
          <w:lang w:val="en-US"/>
        </w:rPr>
        <w:t>ECEC in markets where there might be low and/or variable demand</w:t>
      </w:r>
      <w:r>
        <w:rPr>
          <w:lang w:val="en-US"/>
        </w:rPr>
        <w:t xml:space="preserve">, including regional, rural and remote areas. This is </w:t>
      </w:r>
      <w:r w:rsidRPr="00B01C8A">
        <w:rPr>
          <w:lang w:val="en-US"/>
        </w:rPr>
        <w:t>because it has lower establishment costs, can support local employment and may provide non-standard hours for shift and seasonal workers.</w:t>
      </w:r>
      <w:r>
        <w:rPr>
          <w:lang w:val="en-US"/>
        </w:rPr>
        <w:t xml:space="preserve"> </w:t>
      </w:r>
    </w:p>
    <w:p w14:paraId="488BBCEF" w14:textId="01F62CFB" w:rsidR="008941DA" w:rsidRDefault="008941DA" w:rsidP="008941DA">
      <w:pPr>
        <w:pStyle w:val="BodyText"/>
        <w:rPr>
          <w:lang w:val="en-US"/>
        </w:rPr>
      </w:pPr>
      <w:r>
        <w:rPr>
          <w:lang w:val="en-US"/>
        </w:rPr>
        <w:t>The PC noted e</w:t>
      </w:r>
      <w:r w:rsidRPr="000E2B18">
        <w:rPr>
          <w:lang w:val="en-US"/>
        </w:rPr>
        <w:t xml:space="preserve">xpansion of </w:t>
      </w:r>
      <w:r>
        <w:rPr>
          <w:lang w:val="en-US"/>
        </w:rPr>
        <w:t>family day care</w:t>
      </w:r>
      <w:r w:rsidRPr="000E2B18">
        <w:rPr>
          <w:lang w:val="en-US"/>
        </w:rPr>
        <w:t xml:space="preserve"> </w:t>
      </w:r>
      <w:r>
        <w:rPr>
          <w:lang w:val="en-US"/>
        </w:rPr>
        <w:t>had</w:t>
      </w:r>
      <w:r w:rsidRPr="000E2B18">
        <w:rPr>
          <w:lang w:val="en-US"/>
        </w:rPr>
        <w:t xml:space="preserve"> been limited. </w:t>
      </w:r>
      <w:r>
        <w:rPr>
          <w:lang w:val="en-US"/>
        </w:rPr>
        <w:t>In part, this was due to probity and integrity concerns raised by t</w:t>
      </w:r>
      <w:r w:rsidRPr="000E2B18">
        <w:rPr>
          <w:lang w:val="en-US"/>
        </w:rPr>
        <w:t>he Australian Government Department of Education</w:t>
      </w:r>
      <w:r>
        <w:rPr>
          <w:lang w:val="en-US"/>
        </w:rPr>
        <w:t xml:space="preserve">. The Department </w:t>
      </w:r>
      <w:r>
        <w:rPr>
          <w:lang w:val="en-US"/>
        </w:rPr>
        <w:lastRenderedPageBreak/>
        <w:t xml:space="preserve">introduced a </w:t>
      </w:r>
      <w:r w:rsidRPr="000B1A91">
        <w:t>Capability Trial</w:t>
      </w:r>
      <w:r>
        <w:rPr>
          <w:lang w:val="en-US"/>
        </w:rPr>
        <w:t xml:space="preserve"> to test approaches to improve the family day care model and offered incentives to educators to operate in regional areas </w:t>
      </w:r>
      <w:r w:rsidRPr="006A3FAC">
        <w:rPr>
          <w:rFonts w:cs="Open Sans"/>
        </w:rPr>
        <w:t>(PC 2024, pp. 326–327)</w:t>
      </w:r>
      <w:r>
        <w:t>.</w:t>
      </w:r>
    </w:p>
    <w:p w14:paraId="33DBFBE9" w14:textId="0CA006E6" w:rsidR="008941DA" w:rsidRPr="00B01C8A" w:rsidRDefault="008941DA" w:rsidP="008941DA">
      <w:pPr>
        <w:pStyle w:val="BodyText"/>
        <w:rPr>
          <w:lang w:val="en-US"/>
        </w:rPr>
      </w:pPr>
      <w:r>
        <w:rPr>
          <w:lang w:val="en-US"/>
        </w:rPr>
        <w:t xml:space="preserve">The trial is expected to conclude at the end of 2026 </w:t>
      </w:r>
      <w:r w:rsidRPr="000538DC">
        <w:rPr>
          <w:rFonts w:cs="Open Sans"/>
        </w:rPr>
        <w:t>(DoE 2026e)</w:t>
      </w:r>
      <w:r>
        <w:rPr>
          <w:lang w:val="en-US"/>
        </w:rPr>
        <w:t>.</w:t>
      </w:r>
    </w:p>
    <w:p w14:paraId="1DB1AD8A" w14:textId="77777777" w:rsidR="00061B12" w:rsidRPr="00B01C8A" w:rsidRDefault="00061B12" w:rsidP="00061B12">
      <w:pPr>
        <w:pStyle w:val="Heading3"/>
        <w:rPr>
          <w:lang w:val="en-US"/>
        </w:rPr>
      </w:pPr>
      <w:r w:rsidRPr="00B01C8A">
        <w:rPr>
          <w:lang w:val="en-US"/>
        </w:rPr>
        <w:t>Embed national stewardship</w:t>
      </w:r>
      <w:r>
        <w:rPr>
          <w:lang w:val="en-US"/>
        </w:rPr>
        <w:t xml:space="preserve"> to address access gaps</w:t>
      </w:r>
    </w:p>
    <w:p w14:paraId="2F8060B2" w14:textId="77777777" w:rsidR="00E86D53" w:rsidRDefault="00E86D53" w:rsidP="00E86D53">
      <w:pPr>
        <w:pStyle w:val="BodyText"/>
        <w:rPr>
          <w:lang w:val="en-US"/>
        </w:rPr>
      </w:pPr>
      <w:r w:rsidRPr="050BE42B">
        <w:rPr>
          <w:lang w:val="en-US"/>
        </w:rPr>
        <w:t>The PC recommended an ECEC Commission</w:t>
      </w:r>
      <w:r>
        <w:rPr>
          <w:lang w:val="en-US"/>
        </w:rPr>
        <w:t xml:space="preserve"> be established</w:t>
      </w:r>
      <w:r w:rsidRPr="050BE42B">
        <w:rPr>
          <w:lang w:val="en-US"/>
        </w:rPr>
        <w:t xml:space="preserve"> to support effective system stewardship. An ECEC Commission would monitor market health, workforce outcomes</w:t>
      </w:r>
      <w:r>
        <w:rPr>
          <w:lang w:val="en-US"/>
        </w:rPr>
        <w:t>,</w:t>
      </w:r>
      <w:r w:rsidRPr="050BE42B">
        <w:rPr>
          <w:lang w:val="en-US"/>
        </w:rPr>
        <w:t xml:space="preserve"> access and quality</w:t>
      </w:r>
      <w:r>
        <w:rPr>
          <w:lang w:val="en-US"/>
        </w:rPr>
        <w:t>,</w:t>
      </w:r>
      <w:r w:rsidRPr="050BE42B">
        <w:rPr>
          <w:lang w:val="en-US"/>
        </w:rPr>
        <w:t xml:space="preserve"> and</w:t>
      </w:r>
      <w:r>
        <w:rPr>
          <w:lang w:val="en-US"/>
        </w:rPr>
        <w:t xml:space="preserve"> would</w:t>
      </w:r>
      <w:r w:rsidRPr="050BE42B">
        <w:rPr>
          <w:lang w:val="en-US"/>
        </w:rPr>
        <w:t xml:space="preserve"> strengthen accountability for outcomes, including governments’ efforts to address availability gaps (p</w:t>
      </w:r>
      <w:r>
        <w:rPr>
          <w:lang w:val="en-US"/>
        </w:rPr>
        <w:t>. </w:t>
      </w:r>
      <w:r w:rsidRPr="050BE42B">
        <w:rPr>
          <w:lang w:val="en-US"/>
        </w:rPr>
        <w:t>619, recommendation 10.2). The PC also recommended a new national agreement to coordinate Australian, state and territory responsibilities and create a policy environment that would support universal access to ECEC (p. 616, recommendation 10.1)</w:t>
      </w:r>
      <w:r>
        <w:rPr>
          <w:lang w:val="en-US"/>
        </w:rPr>
        <w:t>.</w:t>
      </w:r>
      <w:r w:rsidRPr="050BE42B">
        <w:rPr>
          <w:lang w:val="en-US"/>
        </w:rPr>
        <w:t xml:space="preserve"> </w:t>
      </w:r>
    </w:p>
    <w:p w14:paraId="6B0A4E73" w14:textId="3C1D0BAC" w:rsidR="00E86D53" w:rsidRPr="00B01C8A" w:rsidRDefault="00E86D53" w:rsidP="00E86D53">
      <w:pPr>
        <w:pStyle w:val="BodyText"/>
        <w:rPr>
          <w:lang w:val="en-US"/>
        </w:rPr>
      </w:pPr>
      <w:r>
        <w:rPr>
          <w:lang w:val="en-US"/>
        </w:rPr>
        <w:t xml:space="preserve">These governance arrangements are expected to enable greater access to quality ECEC across Australia – including regional, rural and remote communities. In July 2026, </w:t>
      </w:r>
      <w:r w:rsidRPr="003118AA">
        <w:rPr>
          <w:lang w:val="en-US"/>
        </w:rPr>
        <w:t>Education Ministers agreed to explore the development of a potential early education and care commission to strengthen the ECEC system</w:t>
      </w:r>
      <w:r>
        <w:rPr>
          <w:lang w:val="en-US"/>
        </w:rPr>
        <w:t xml:space="preserve"> </w:t>
      </w:r>
      <w:r w:rsidRPr="000538DC">
        <w:rPr>
          <w:rFonts w:cs="Open Sans"/>
        </w:rPr>
        <w:t>(DoE 2026d)</w:t>
      </w:r>
      <w:r w:rsidRPr="003118AA">
        <w:rPr>
          <w:lang w:val="en-US"/>
        </w:rPr>
        <w:t>.</w:t>
      </w:r>
      <w:r>
        <w:rPr>
          <w:lang w:val="en-US"/>
        </w:rPr>
        <w:t xml:space="preserve"> </w:t>
      </w:r>
    </w:p>
    <w:p w14:paraId="5F446743" w14:textId="77777777" w:rsidR="00061B12" w:rsidRDefault="00061B12" w:rsidP="00061B12">
      <w:pPr>
        <w:pStyle w:val="Heading3"/>
        <w:rPr>
          <w:lang w:val="en-US"/>
        </w:rPr>
      </w:pPr>
      <w:r>
        <w:rPr>
          <w:lang w:val="en-US"/>
        </w:rPr>
        <w:t xml:space="preserve">Addressing affordability challenges </w:t>
      </w:r>
    </w:p>
    <w:p w14:paraId="4D3416CB" w14:textId="77777777" w:rsidR="00F61CE6" w:rsidRDefault="00F61CE6" w:rsidP="00F61CE6">
      <w:pPr>
        <w:pStyle w:val="BodyText"/>
        <w:keepNext/>
        <w:rPr>
          <w:lang w:val="en-US"/>
        </w:rPr>
      </w:pPr>
      <w:r>
        <w:rPr>
          <w:lang w:val="en-US"/>
        </w:rPr>
        <w:t xml:space="preserve">The PC made </w:t>
      </w:r>
      <w:proofErr w:type="gramStart"/>
      <w:r>
        <w:rPr>
          <w:lang w:val="en-US"/>
        </w:rPr>
        <w:t>a number of</w:t>
      </w:r>
      <w:proofErr w:type="gramEnd"/>
      <w:r>
        <w:rPr>
          <w:lang w:val="en-US"/>
        </w:rPr>
        <w:t xml:space="preserve"> recommendations to improve ECEC affordability. These include:</w:t>
      </w:r>
    </w:p>
    <w:p w14:paraId="625B37E5" w14:textId="77777777" w:rsidR="00F61CE6" w:rsidRDefault="00F61CE6" w:rsidP="00F61CE6">
      <w:pPr>
        <w:pStyle w:val="ListBullet"/>
      </w:pPr>
      <w:r w:rsidRPr="00EC78DD">
        <w:t>remov</w:t>
      </w:r>
      <w:r>
        <w:t>ing</w:t>
      </w:r>
      <w:r w:rsidRPr="00EC78DD">
        <w:t xml:space="preserve"> the activity test </w:t>
      </w:r>
      <w:r>
        <w:t>for the Child Care Subsidy (CCS)</w:t>
      </w:r>
    </w:p>
    <w:p w14:paraId="607C3756" w14:textId="77777777" w:rsidR="00F61CE6" w:rsidRDefault="00F61CE6" w:rsidP="00F61CE6">
      <w:pPr>
        <w:pStyle w:val="ListBullet"/>
      </w:pPr>
      <w:r w:rsidRPr="00EC78DD">
        <w:t>rais</w:t>
      </w:r>
      <w:r>
        <w:t>ing</w:t>
      </w:r>
      <w:r w:rsidRPr="00EC78DD">
        <w:t xml:space="preserve"> the subsidy rate for families with annual adjusted taxable income at or below $80,000 to 100% of the fee, up to and including the hourly rate cap</w:t>
      </w:r>
    </w:p>
    <w:p w14:paraId="1863D4B5" w14:textId="77777777" w:rsidR="00F61CE6" w:rsidRDefault="00F61CE6" w:rsidP="00F61CE6">
      <w:pPr>
        <w:pStyle w:val="ListBullet"/>
      </w:pPr>
      <w:r w:rsidRPr="00EC78DD">
        <w:t>taper</w:t>
      </w:r>
      <w:r>
        <w:t>ing</w:t>
      </w:r>
      <w:r w:rsidRPr="00EC78DD">
        <w:t xml:space="preserve"> down the CCS rate from 100% by one percentage point for every $5,000 above an adjusted taxable income of $80,000</w:t>
      </w:r>
      <w:r>
        <w:rPr>
          <w:rStyle w:val="FootnoteReference"/>
        </w:rPr>
        <w:footnoteReference w:id="3"/>
      </w:r>
    </w:p>
    <w:p w14:paraId="48E3DDE6" w14:textId="2F26B2B3" w:rsidR="00F61CE6" w:rsidRPr="009E2EB6" w:rsidRDefault="00F61CE6" w:rsidP="00F61CE6">
      <w:pPr>
        <w:pStyle w:val="ListBullet"/>
        <w:rPr>
          <w:lang w:val="en-US"/>
        </w:rPr>
      </w:pPr>
      <w:r w:rsidRPr="00EC78DD">
        <w:t>increa</w:t>
      </w:r>
      <w:r>
        <w:t>sing</w:t>
      </w:r>
      <w:r w:rsidRPr="00EC78DD">
        <w:t xml:space="preserve"> the </w:t>
      </w:r>
      <w:r>
        <w:t>H</w:t>
      </w:r>
      <w:r w:rsidRPr="00EC78DD">
        <w:t xml:space="preserve">igher </w:t>
      </w:r>
      <w:r>
        <w:t>C</w:t>
      </w:r>
      <w:r w:rsidRPr="00EC78DD">
        <w:t xml:space="preserve">hild </w:t>
      </w:r>
      <w:r>
        <w:t>C</w:t>
      </w:r>
      <w:r w:rsidRPr="00EC78DD">
        <w:t xml:space="preserve">are </w:t>
      </w:r>
      <w:r>
        <w:t>S</w:t>
      </w:r>
      <w:r w:rsidRPr="00EC78DD">
        <w:t>ubsidy rate to 100% for families with an annual adjusted taxable income at or below $140,000</w:t>
      </w:r>
      <w:r>
        <w:t>,</w:t>
      </w:r>
      <w:r w:rsidRPr="00EC78DD">
        <w:t xml:space="preserve"> taper</w:t>
      </w:r>
      <w:r>
        <w:t>ing</w:t>
      </w:r>
      <w:r w:rsidRPr="00EC78DD">
        <w:t xml:space="preserve"> down from 100% by one percentage point for every $5,000 above an adjusted taxable income of $140,000, with families with an adjusted taxable income of $580,000 and above being ineligible</w:t>
      </w:r>
      <w:r>
        <w:t xml:space="preserve"> </w:t>
      </w:r>
      <w:r w:rsidRPr="009E2EB6">
        <w:rPr>
          <w:rFonts w:cs="Open Sans"/>
        </w:rPr>
        <w:t>(PC 2024, p. 398, recommendation 6.1)</w:t>
      </w:r>
      <w:r>
        <w:t xml:space="preserve">. </w:t>
      </w:r>
    </w:p>
    <w:p w14:paraId="68C49898" w14:textId="4CF689A4" w:rsidR="00F61CE6" w:rsidRPr="009E2EB6" w:rsidRDefault="00F61CE6" w:rsidP="00F61CE6">
      <w:pPr>
        <w:pStyle w:val="BodyText"/>
        <w:rPr>
          <w:lang w:val="en-US"/>
        </w:rPr>
      </w:pPr>
      <w:r w:rsidRPr="009E2EB6">
        <w:rPr>
          <w:lang w:val="en-US"/>
        </w:rPr>
        <w:t xml:space="preserve">Many families living in regional and remote areas would benefit from these changes, including through cheaper ECEC. In particular, the removal of the activity test for the Child Care Subsidy would improve ECEC accessibility for families facing irregular, seasonal or limited employment, which can occur more often in regional, rural and remote communities </w:t>
      </w:r>
      <w:r w:rsidRPr="006B0B19">
        <w:rPr>
          <w:rFonts w:cs="Open Sans"/>
        </w:rPr>
        <w:t>(PC 2024, pp. 3</w:t>
      </w:r>
      <w:r>
        <w:rPr>
          <w:rFonts w:cs="Open Sans"/>
        </w:rPr>
        <w:t>85</w:t>
      </w:r>
      <w:r w:rsidRPr="006B0B19">
        <w:rPr>
          <w:rFonts w:cs="Open Sans"/>
        </w:rPr>
        <w:t>–39</w:t>
      </w:r>
      <w:r>
        <w:rPr>
          <w:rFonts w:cs="Open Sans"/>
        </w:rPr>
        <w:t>3</w:t>
      </w:r>
      <w:r w:rsidRPr="006B0B19">
        <w:rPr>
          <w:rFonts w:cs="Open Sans"/>
        </w:rPr>
        <w:t>)</w:t>
      </w:r>
      <w:r>
        <w:t>.</w:t>
      </w:r>
    </w:p>
    <w:p w14:paraId="591EE977" w14:textId="15EE10F8" w:rsidR="00F61CE6" w:rsidRPr="00043B70" w:rsidRDefault="00F61CE6" w:rsidP="00F61CE6">
      <w:pPr>
        <w:pStyle w:val="BodyText"/>
      </w:pPr>
      <w:r w:rsidRPr="009F2FB2">
        <w:rPr>
          <w:lang w:val="en-US"/>
        </w:rPr>
        <w:t>Since the PC report was published, the Australi</w:t>
      </w:r>
      <w:r>
        <w:rPr>
          <w:lang w:val="en-US"/>
        </w:rPr>
        <w:t>a</w:t>
      </w:r>
      <w:r w:rsidRPr="009F2FB2">
        <w:rPr>
          <w:lang w:val="en-US"/>
        </w:rPr>
        <w:t xml:space="preserve">n Government introduced the </w:t>
      </w:r>
      <w:proofErr w:type="gramStart"/>
      <w:r w:rsidRPr="009F2FB2">
        <w:rPr>
          <w:lang w:val="en-US"/>
        </w:rPr>
        <w:t>3 Day</w:t>
      </w:r>
      <w:proofErr w:type="gramEnd"/>
      <w:r w:rsidRPr="009F2FB2">
        <w:rPr>
          <w:lang w:val="en-US"/>
        </w:rPr>
        <w:t xml:space="preserve"> Guarantee. Beginning January 2026, all families eligible for CCS have access to </w:t>
      </w:r>
      <w:r w:rsidRPr="009F2FB2">
        <w:t xml:space="preserve">at least 72 hours of subsidised </w:t>
      </w:r>
      <w:proofErr w:type="gramStart"/>
      <w:r w:rsidRPr="009F2FB2">
        <w:t>child care</w:t>
      </w:r>
      <w:proofErr w:type="gramEnd"/>
      <w:r w:rsidRPr="009F2FB2">
        <w:t xml:space="preserve"> per fortnight (3 days per week), regardless of</w:t>
      </w:r>
      <w:r>
        <w:t xml:space="preserve"> their</w:t>
      </w:r>
      <w:r w:rsidRPr="009F2FB2">
        <w:t xml:space="preserve"> activity</w:t>
      </w:r>
      <w:r>
        <w:t xml:space="preserve"> </w:t>
      </w:r>
      <w:r w:rsidRPr="005C2F7C">
        <w:rPr>
          <w:rFonts w:cs="Open Sans"/>
        </w:rPr>
        <w:t>(DoE 2026a)</w:t>
      </w:r>
      <w:r w:rsidRPr="009F2FB2">
        <w:rPr>
          <w:lang w:val="en-US"/>
        </w:rPr>
        <w:t>.</w:t>
      </w:r>
      <w:r>
        <w:rPr>
          <w:lang w:val="en-US"/>
        </w:rPr>
        <w:t xml:space="preserve"> </w:t>
      </w:r>
    </w:p>
    <w:p w14:paraId="11EF69CD" w14:textId="67AA20D9" w:rsidR="00F61CE6" w:rsidRDefault="00F61CE6" w:rsidP="00F61CE6">
      <w:pPr>
        <w:pStyle w:val="BodyText"/>
      </w:pPr>
      <w:r>
        <w:t xml:space="preserve">The Australian Government has retained the top subsidy rate of 90%, but the income eligibility threshold has been updated. </w:t>
      </w:r>
      <w:r>
        <w:rPr>
          <w:lang w:val="en-US"/>
        </w:rPr>
        <w:t xml:space="preserve">In 2026–27, families earning up to $88,520 a year are eligible for a 90% subsidy rate, and their subsidy rate </w:t>
      </w:r>
      <w:r w:rsidRPr="00D50574">
        <w:t>decreases by 1</w:t>
      </w:r>
      <w:r>
        <w:t xml:space="preserve"> percentage point</w:t>
      </w:r>
      <w:r w:rsidRPr="00D50574">
        <w:t xml:space="preserve"> for every $5,000 of income a family earns</w:t>
      </w:r>
      <w:r>
        <w:rPr>
          <w:lang w:val="en-US"/>
        </w:rPr>
        <w:t xml:space="preserve">. Families earning above $538,520 are not eligible for subsidies </w:t>
      </w:r>
      <w:r w:rsidRPr="000538DC">
        <w:rPr>
          <w:rFonts w:cs="Open Sans"/>
        </w:rPr>
        <w:t>(DoE 2026c)</w:t>
      </w:r>
      <w:r>
        <w:rPr>
          <w:lang w:val="en-US"/>
        </w:rPr>
        <w:t>.</w:t>
      </w:r>
    </w:p>
    <w:p w14:paraId="28BAA2B5" w14:textId="4C33F2ED" w:rsidR="00F61CE6" w:rsidRPr="00822012" w:rsidRDefault="00F61CE6" w:rsidP="00F61CE6">
      <w:pPr>
        <w:pStyle w:val="BodyText"/>
        <w:rPr>
          <w:spacing w:val="-2"/>
          <w:lang w:val="en-US"/>
        </w:rPr>
      </w:pPr>
      <w:r w:rsidRPr="00822012">
        <w:rPr>
          <w:spacing w:val="-2"/>
          <w:lang w:val="en-US"/>
        </w:rPr>
        <w:lastRenderedPageBreak/>
        <w:t>The PC further recommended that the Australian Government should review family day care and in home care hourly rate caps, so they better reflect operating costs, consider a separate cap for non</w:t>
      </w:r>
      <w:r w:rsidRPr="00822012">
        <w:rPr>
          <w:spacing w:val="-2"/>
          <w:lang w:val="en-US"/>
        </w:rPr>
        <w:noBreakHyphen/>
        <w:t xml:space="preserve">standard hours and index the cap using an approach that better tracks ECEC delivery costs. This is particularly relevant where flexible models are essential to regional and remote access </w:t>
      </w:r>
      <w:r w:rsidRPr="00822012">
        <w:rPr>
          <w:rFonts w:cs="Open Sans"/>
          <w:spacing w:val="-2"/>
        </w:rPr>
        <w:t>(PC 2024, pp. 399–402, recommendation 6.3)</w:t>
      </w:r>
      <w:r w:rsidRPr="00822012">
        <w:rPr>
          <w:spacing w:val="-2"/>
          <w:lang w:val="en-US"/>
        </w:rPr>
        <w:t xml:space="preserve">. </w:t>
      </w:r>
    </w:p>
    <w:p w14:paraId="1B00CD4D" w14:textId="77777777" w:rsidR="00F61CE6" w:rsidRDefault="00F61CE6" w:rsidP="00F61CE6">
      <w:pPr>
        <w:pStyle w:val="BodyText"/>
      </w:pPr>
      <w:r>
        <w:t xml:space="preserve">Since the PC report was published, the Australian Government increased </w:t>
      </w:r>
      <w:r>
        <w:rPr>
          <w:lang w:val="en-US"/>
        </w:rPr>
        <w:t>family day care</w:t>
      </w:r>
      <w:r w:rsidRPr="00B01C8A">
        <w:rPr>
          <w:lang w:val="en-US"/>
        </w:rPr>
        <w:t xml:space="preserve"> and </w:t>
      </w:r>
      <w:r>
        <w:rPr>
          <w:lang w:val="en-US"/>
        </w:rPr>
        <w:t>i</w:t>
      </w:r>
      <w:r w:rsidRPr="00B01C8A">
        <w:rPr>
          <w:lang w:val="en-US"/>
        </w:rPr>
        <w:t xml:space="preserve">n </w:t>
      </w:r>
      <w:r>
        <w:rPr>
          <w:lang w:val="en-US"/>
        </w:rPr>
        <w:t>h</w:t>
      </w:r>
      <w:r w:rsidRPr="00B01C8A">
        <w:rPr>
          <w:lang w:val="en-US"/>
        </w:rPr>
        <w:t xml:space="preserve">ome </w:t>
      </w:r>
      <w:r>
        <w:rPr>
          <w:lang w:val="en-US"/>
        </w:rPr>
        <w:t>c</w:t>
      </w:r>
      <w:r w:rsidRPr="00B01C8A">
        <w:rPr>
          <w:lang w:val="en-US"/>
        </w:rPr>
        <w:t>are hourly rate caps</w:t>
      </w:r>
      <w:r>
        <w:rPr>
          <w:lang w:val="en-US"/>
        </w:rPr>
        <w:t xml:space="preserve"> in line with CPI.</w:t>
      </w:r>
    </w:p>
    <w:p w14:paraId="08D0CAC2" w14:textId="7FC428B0" w:rsidR="00F61CE6" w:rsidRPr="002A7000" w:rsidRDefault="00F61CE6" w:rsidP="00F61CE6">
      <w:pPr>
        <w:pStyle w:val="BodyText"/>
      </w:pPr>
      <w:r w:rsidRPr="002A7000">
        <w:t>Beyond changes to the Child Care Subsidy, the PC also recommended extending the Assistance for Isolated Children Distance Education Allowance to preschool programs delivered by distance education for a period of three years. An evaluation of the extension should be used to decide whether to make th</w:t>
      </w:r>
      <w:r>
        <w:t xml:space="preserve">is change </w:t>
      </w:r>
      <w:r w:rsidRPr="002A7000">
        <w:t>permanent</w:t>
      </w:r>
      <w:r>
        <w:t xml:space="preserve"> </w:t>
      </w:r>
      <w:r w:rsidRPr="00664076">
        <w:rPr>
          <w:rFonts w:cs="Open Sans"/>
        </w:rPr>
        <w:t>(PC 2024, pp. 404–406, recommendation 6.6)</w:t>
      </w:r>
      <w:r w:rsidRPr="002A7000">
        <w:t xml:space="preserve">. </w:t>
      </w:r>
    </w:p>
    <w:p w14:paraId="3358A8B8" w14:textId="516A3D8F" w:rsidR="00061B12" w:rsidRDefault="00061B12" w:rsidP="00061B12">
      <w:pPr>
        <w:pStyle w:val="Heading3"/>
        <w:rPr>
          <w:lang w:val="en-US"/>
        </w:rPr>
      </w:pPr>
      <w:r>
        <w:rPr>
          <w:lang w:val="en-US"/>
        </w:rPr>
        <w:t>Strengthening the workforce and supporting quality improvement</w:t>
      </w:r>
    </w:p>
    <w:p w14:paraId="1F4AFEB2" w14:textId="77777777" w:rsidR="00A81331" w:rsidRDefault="00A81331" w:rsidP="00A81331">
      <w:pPr>
        <w:pStyle w:val="BodyText"/>
        <w:rPr>
          <w:lang w:val="en-US"/>
        </w:rPr>
      </w:pPr>
      <w:r>
        <w:rPr>
          <w:lang w:val="en-US"/>
        </w:rPr>
        <w:t xml:space="preserve">Some of the challenges faced by all ECEC providers are more pronounced in regional, rural and remote communities. </w:t>
      </w:r>
    </w:p>
    <w:p w14:paraId="1B19A518" w14:textId="5765B3F0" w:rsidR="00A81331" w:rsidRDefault="00A81331" w:rsidP="00A81331">
      <w:pPr>
        <w:pStyle w:val="BodyText"/>
        <w:keepNext/>
        <w:rPr>
          <w:lang w:val="en-US"/>
        </w:rPr>
      </w:pPr>
      <w:r>
        <w:rPr>
          <w:lang w:val="en-US"/>
        </w:rPr>
        <w:t xml:space="preserve">Workforce availability is the most significant of these challenges. Compared to providers in major cities, those in regional, rural and remote areas are more likely to hold staffing waivers (meaning they operate without complying with the National Quality Framework staffing requirements due to persistent shortages), although this varies significantly by jurisdiction </w:t>
      </w:r>
      <w:r w:rsidRPr="009509A3">
        <w:rPr>
          <w:rFonts w:cs="Open Sans"/>
        </w:rPr>
        <w:t>(ACECQA 2026)</w:t>
      </w:r>
      <w:r>
        <w:rPr>
          <w:lang w:val="en-US"/>
        </w:rPr>
        <w:t xml:space="preserve">. </w:t>
      </w:r>
    </w:p>
    <w:p w14:paraId="41DF4690" w14:textId="0304BAF0" w:rsidR="00A81331" w:rsidRDefault="00A81331" w:rsidP="00A81331">
      <w:pPr>
        <w:pStyle w:val="BodyText"/>
        <w:keepNext/>
        <w:rPr>
          <w:lang w:val="en-US"/>
        </w:rPr>
      </w:pPr>
      <w:r>
        <w:rPr>
          <w:lang w:val="en-US"/>
        </w:rPr>
        <w:t xml:space="preserve">The PC </w:t>
      </w:r>
      <w:r w:rsidRPr="001225D0">
        <w:rPr>
          <w:rFonts w:cs="Open Sans"/>
        </w:rPr>
        <w:t>(2024)</w:t>
      </w:r>
      <w:r>
        <w:rPr>
          <w:lang w:val="en-US"/>
        </w:rPr>
        <w:t xml:space="preserve"> made </w:t>
      </w:r>
      <w:proofErr w:type="gramStart"/>
      <w:r>
        <w:rPr>
          <w:lang w:val="en-US"/>
        </w:rPr>
        <w:t>a number of</w:t>
      </w:r>
      <w:proofErr w:type="gramEnd"/>
      <w:r>
        <w:rPr>
          <w:lang w:val="en-US"/>
        </w:rPr>
        <w:t xml:space="preserve"> recommendations to better support the ECEC workforce, including:</w:t>
      </w:r>
    </w:p>
    <w:p w14:paraId="2DA2C8AC" w14:textId="77777777" w:rsidR="00A81331" w:rsidRPr="00B01C8A" w:rsidRDefault="00A81331" w:rsidP="00A81331">
      <w:pPr>
        <w:pStyle w:val="ListBullet"/>
        <w:rPr>
          <w:lang w:val="en-US"/>
        </w:rPr>
      </w:pPr>
      <w:r>
        <w:rPr>
          <w:lang w:val="en-US"/>
        </w:rPr>
        <w:t>setting</w:t>
      </w:r>
      <w:r w:rsidRPr="00B01C8A">
        <w:rPr>
          <w:lang w:val="en-US"/>
        </w:rPr>
        <w:t xml:space="preserve"> national workforce goals linking pay and conditions, workforce supply and career pathways to the universal-access objective. The ECEC Commission should publicly report</w:t>
      </w:r>
      <w:r>
        <w:rPr>
          <w:lang w:val="en-US"/>
        </w:rPr>
        <w:t xml:space="preserve"> on</w:t>
      </w:r>
      <w:r w:rsidRPr="00B01C8A">
        <w:rPr>
          <w:lang w:val="en-US"/>
        </w:rPr>
        <w:t xml:space="preserve"> progress</w:t>
      </w:r>
      <w:r>
        <w:rPr>
          <w:lang w:val="en-US"/>
        </w:rPr>
        <w:t xml:space="preserve"> towards these goals</w:t>
      </w:r>
      <w:r w:rsidRPr="00B01C8A">
        <w:rPr>
          <w:lang w:val="en-US"/>
        </w:rPr>
        <w:t xml:space="preserve"> (p.145</w:t>
      </w:r>
      <w:r>
        <w:rPr>
          <w:lang w:val="en-US"/>
        </w:rPr>
        <w:t>, r</w:t>
      </w:r>
      <w:r w:rsidRPr="00B01C8A">
        <w:rPr>
          <w:lang w:val="en-US"/>
        </w:rPr>
        <w:t>ecommendation 3.1)</w:t>
      </w:r>
    </w:p>
    <w:p w14:paraId="58F93777" w14:textId="77777777" w:rsidR="00A81331" w:rsidRPr="00B01C8A" w:rsidRDefault="00A81331" w:rsidP="00A81331">
      <w:pPr>
        <w:pStyle w:val="ListBullet"/>
        <w:rPr>
          <w:lang w:val="en-US"/>
        </w:rPr>
      </w:pPr>
      <w:r>
        <w:rPr>
          <w:lang w:val="en-US"/>
        </w:rPr>
        <w:t>i</w:t>
      </w:r>
      <w:r w:rsidRPr="00B01C8A">
        <w:rPr>
          <w:lang w:val="en-US"/>
        </w:rPr>
        <w:t>mprov</w:t>
      </w:r>
      <w:r>
        <w:rPr>
          <w:lang w:val="en-US"/>
        </w:rPr>
        <w:t>ing</w:t>
      </w:r>
      <w:r w:rsidRPr="00B01C8A">
        <w:rPr>
          <w:lang w:val="en-US"/>
        </w:rPr>
        <w:t xml:space="preserve"> pathways and tailored support for Aboriginal and Torres Strait Islander people to obtain ECEC qualifications, recognising cultural knowledge and experience</w:t>
      </w:r>
      <w:r>
        <w:rPr>
          <w:lang w:val="en-US"/>
        </w:rPr>
        <w:t xml:space="preserve"> </w:t>
      </w:r>
      <w:r w:rsidRPr="00B01C8A">
        <w:rPr>
          <w:lang w:val="en-US"/>
        </w:rPr>
        <w:t>(p. 202</w:t>
      </w:r>
      <w:r>
        <w:rPr>
          <w:lang w:val="en-US"/>
        </w:rPr>
        <w:t>, r</w:t>
      </w:r>
      <w:r w:rsidRPr="00B01C8A">
        <w:rPr>
          <w:lang w:val="en-US"/>
        </w:rPr>
        <w:t>ecommendation 3.9)</w:t>
      </w:r>
    </w:p>
    <w:p w14:paraId="6BD1A6EC" w14:textId="77777777" w:rsidR="00A81331" w:rsidRPr="001F2CAD" w:rsidRDefault="00A81331" w:rsidP="00A81331">
      <w:pPr>
        <w:pStyle w:val="ListBullet"/>
        <w:rPr>
          <w:lang w:val="en-US"/>
        </w:rPr>
      </w:pPr>
      <w:r>
        <w:rPr>
          <w:lang w:val="en-US"/>
        </w:rPr>
        <w:t>e</w:t>
      </w:r>
      <w:r w:rsidRPr="00B01C8A">
        <w:rPr>
          <w:lang w:val="en-US"/>
        </w:rPr>
        <w:t>nabl</w:t>
      </w:r>
      <w:r>
        <w:rPr>
          <w:lang w:val="en-US"/>
        </w:rPr>
        <w:t>ing</w:t>
      </w:r>
      <w:r w:rsidRPr="00B01C8A">
        <w:rPr>
          <w:lang w:val="en-US"/>
        </w:rPr>
        <w:t xml:space="preserve"> more student placements in Aboriginal and Torres Strait Islander ECEC services</w:t>
      </w:r>
      <w:r>
        <w:rPr>
          <w:lang w:val="en-US"/>
        </w:rPr>
        <w:t xml:space="preserve"> </w:t>
      </w:r>
      <w:r w:rsidRPr="00B01C8A">
        <w:rPr>
          <w:lang w:val="en-US"/>
        </w:rPr>
        <w:t>(p. 202</w:t>
      </w:r>
      <w:r>
        <w:rPr>
          <w:lang w:val="en-US"/>
        </w:rPr>
        <w:t>, r</w:t>
      </w:r>
      <w:r w:rsidRPr="00B01C8A">
        <w:rPr>
          <w:lang w:val="en-US"/>
        </w:rPr>
        <w:t>ecommendation 3.10)</w:t>
      </w:r>
    </w:p>
    <w:p w14:paraId="64FD8BA4" w14:textId="77777777" w:rsidR="00A81331" w:rsidRPr="00B01C8A" w:rsidRDefault="00A81331" w:rsidP="00A81331">
      <w:pPr>
        <w:pStyle w:val="ListBullet"/>
        <w:rPr>
          <w:lang w:val="en-US"/>
        </w:rPr>
      </w:pPr>
      <w:r>
        <w:rPr>
          <w:lang w:val="en-US"/>
        </w:rPr>
        <w:t>i</w:t>
      </w:r>
      <w:r w:rsidRPr="00B01C8A">
        <w:rPr>
          <w:lang w:val="en-US"/>
        </w:rPr>
        <w:t>mproving access to professional development</w:t>
      </w:r>
      <w:r>
        <w:rPr>
          <w:lang w:val="en-US"/>
        </w:rPr>
        <w:t>, including providing financial support for the workforce to undertake professional development activities</w:t>
      </w:r>
      <w:r w:rsidRPr="00B01C8A">
        <w:rPr>
          <w:lang w:val="en-US"/>
        </w:rPr>
        <w:t xml:space="preserve"> (p. </w:t>
      </w:r>
      <w:r>
        <w:rPr>
          <w:lang w:val="en-US"/>
        </w:rPr>
        <w:t>206, recommendation 3.11</w:t>
      </w:r>
      <w:r w:rsidRPr="00B01C8A">
        <w:rPr>
          <w:lang w:val="en-US"/>
        </w:rPr>
        <w:t>)</w:t>
      </w:r>
      <w:r>
        <w:rPr>
          <w:lang w:val="en-US"/>
        </w:rPr>
        <w:t>.</w:t>
      </w:r>
    </w:p>
    <w:p w14:paraId="6DE2FF99" w14:textId="73882B25" w:rsidR="00A81331" w:rsidRDefault="00A81331" w:rsidP="00A81331">
      <w:pPr>
        <w:pStyle w:val="BodyText"/>
      </w:pPr>
      <w:r>
        <w:t xml:space="preserve">A qualified workforce is critical to lifting ECEC quality standards – which are generally lower in regional, rural and remote communities, compared to major cities </w:t>
      </w:r>
      <w:r w:rsidRPr="001225D0">
        <w:rPr>
          <w:rFonts w:cs="Open Sans"/>
        </w:rPr>
        <w:t>(PC 2024, p. 486)</w:t>
      </w:r>
      <w:r>
        <w:t xml:space="preserve">. The PC also recommended strengthening service quality through greater transparency around regulator capacity and activity, increased funding available to regulators, and greater powers to deal with under performance </w:t>
      </w:r>
      <w:r w:rsidRPr="006B6A17">
        <w:rPr>
          <w:rFonts w:cs="Open Sans"/>
        </w:rPr>
        <w:t>(PC 2024, p. 475, recommendations 8.1, 8.3, 8.5, 8.6)</w:t>
      </w:r>
      <w:r>
        <w:t>.</w:t>
      </w:r>
    </w:p>
    <w:p w14:paraId="30FAEEA9" w14:textId="77777777" w:rsidR="00061B12" w:rsidRDefault="00061B12" w:rsidP="00061B12">
      <w:pPr>
        <w:pStyle w:val="Heading3"/>
      </w:pPr>
      <w:r>
        <w:t>A better approach to inclusion support</w:t>
      </w:r>
    </w:p>
    <w:p w14:paraId="021DD33A" w14:textId="7C062C14" w:rsidR="00D23AA4" w:rsidRPr="001B3C64" w:rsidRDefault="00D23AA4" w:rsidP="00D23AA4">
      <w:pPr>
        <w:pStyle w:val="BodyText"/>
        <w:rPr>
          <w:spacing w:val="-2"/>
        </w:rPr>
      </w:pPr>
      <w:r w:rsidRPr="001B3C64">
        <w:rPr>
          <w:spacing w:val="-2"/>
        </w:rPr>
        <w:t xml:space="preserve">Children in regional, rural and remote regions are more likely to experience developmental vulnerability and may benefit from dedicated support within ECEC services. But the PC found inclusion support funding, meant to enable this, is not distributed in line with developmental vulnerability and current arrangements are slow and inefficient. ECEC services in regional and remote areas may find it difficult to support children living with disability due to the shortcomings of inclusion support mechanisms as well as workforce challenges. The data strongly suggests the children who would most benefit from an inclusive ECEC experience are more likely to be missing out on additional support </w:t>
      </w:r>
      <w:r w:rsidRPr="001B3C64">
        <w:rPr>
          <w:rFonts w:cs="Open Sans"/>
          <w:spacing w:val="-2"/>
        </w:rPr>
        <w:t>(PC 2024, pp. 78–79)</w:t>
      </w:r>
      <w:r w:rsidRPr="001B3C64">
        <w:rPr>
          <w:spacing w:val="-2"/>
        </w:rPr>
        <w:t>.</w:t>
      </w:r>
    </w:p>
    <w:p w14:paraId="4D3CFEA8" w14:textId="77777777" w:rsidR="00D23AA4" w:rsidRPr="002A7000" w:rsidRDefault="00D23AA4" w:rsidP="00D23AA4">
      <w:pPr>
        <w:pStyle w:val="BodyText"/>
      </w:pPr>
      <w:r w:rsidRPr="002A7000">
        <w:lastRenderedPageBreak/>
        <w:t>The PC recommended strengthening the approach to inclusion support. This includes:</w:t>
      </w:r>
    </w:p>
    <w:p w14:paraId="380261C7" w14:textId="14F8E0FF" w:rsidR="00D23AA4" w:rsidRPr="002A7000" w:rsidRDefault="00D23AA4" w:rsidP="00D23AA4">
      <w:pPr>
        <w:pStyle w:val="ListBullet"/>
      </w:pPr>
      <w:r w:rsidRPr="002A7000">
        <w:t xml:space="preserve">increasing and indexing the subsidy for an additional educator, removing weekly-hour limits, permitting other appropriately qualified inclusion professionals, and allowing immediate support while documentary evidence is obtained </w:t>
      </w:r>
      <w:r w:rsidRPr="007A4F1F">
        <w:rPr>
          <w:rFonts w:cs="Open Sans"/>
        </w:rPr>
        <w:t>(PC 2024, pp. 92–93, recommendation 2.2)</w:t>
      </w:r>
    </w:p>
    <w:p w14:paraId="4E6DEB9B" w14:textId="1EC1F0B0" w:rsidR="00D23AA4" w:rsidRDefault="00D23AA4" w:rsidP="00D23AA4">
      <w:pPr>
        <w:pStyle w:val="ListBullet"/>
      </w:pPr>
      <w:r w:rsidRPr="002A7000">
        <w:t xml:space="preserve">replacing the current narrow approach with an enhanced needs-based Inclusion Fund that addresses disability and complex needs, broader mainstream inclusion requirements, trauma and physical accessibility </w:t>
      </w:r>
      <w:r w:rsidRPr="00F16C45">
        <w:rPr>
          <w:rFonts w:cs="Open Sans"/>
        </w:rPr>
        <w:t>(PC 2024, pp. 111–11</w:t>
      </w:r>
      <w:r>
        <w:rPr>
          <w:rFonts w:cs="Open Sans"/>
        </w:rPr>
        <w:t>4</w:t>
      </w:r>
      <w:r w:rsidRPr="00F16C45">
        <w:rPr>
          <w:rFonts w:cs="Open Sans"/>
        </w:rPr>
        <w:t>, recommendation 2.3)</w:t>
      </w:r>
      <w:r>
        <w:t>.</w:t>
      </w:r>
      <w:r w:rsidRPr="002A7000">
        <w:t xml:space="preserve"> </w:t>
      </w:r>
    </w:p>
    <w:p w14:paraId="24E711CA" w14:textId="77777777" w:rsidR="00EE0C47" w:rsidRDefault="00061B12" w:rsidP="00061B12">
      <w:pPr>
        <w:pStyle w:val="Heading2-nonumber"/>
        <w:sectPr w:rsidR="00EE0C47" w:rsidSect="00E3179D">
          <w:headerReference w:type="even" r:id="rId20"/>
          <w:headerReference w:type="default" r:id="rId21"/>
          <w:footerReference w:type="even" r:id="rId22"/>
          <w:footerReference w:type="default" r:id="rId23"/>
          <w:headerReference w:type="first" r:id="rId24"/>
          <w:footerReference w:type="first" r:id="rId25"/>
          <w:type w:val="continuous"/>
          <w:pgSz w:w="11906" w:h="16838" w:code="9"/>
          <w:pgMar w:top="1134" w:right="1134" w:bottom="1134" w:left="1134" w:header="794" w:footer="510" w:gutter="0"/>
          <w:cols w:space="708"/>
          <w:titlePg/>
          <w:docGrid w:linePitch="360"/>
        </w:sectPr>
      </w:pPr>
      <w:r w:rsidRPr="00636FF0">
        <w:t>References</w:t>
      </w:r>
    </w:p>
    <w:p w14:paraId="1296B96E" w14:textId="5E11A687" w:rsidR="003E16A2" w:rsidRPr="00F16C45" w:rsidRDefault="003E16A2" w:rsidP="003E16A2">
      <w:pPr>
        <w:pStyle w:val="Reference"/>
      </w:pPr>
      <w:r w:rsidRPr="00F16C45">
        <w:t xml:space="preserve">ACECQA (Australian Children’s Education and Care Quality Authority) 2023, </w:t>
      </w:r>
      <w:r w:rsidRPr="00F16C45">
        <w:rPr>
          <w:i/>
          <w:iCs/>
        </w:rPr>
        <w:t>NQF snapshot Q1 2023</w:t>
      </w:r>
      <w:r w:rsidRPr="00F16C45">
        <w:t>, May, Sydney.</w:t>
      </w:r>
    </w:p>
    <w:p w14:paraId="3B5475AC" w14:textId="37E45915" w:rsidR="003E16A2" w:rsidRPr="00F16C45" w:rsidRDefault="003E16A2" w:rsidP="003E16A2">
      <w:pPr>
        <w:pStyle w:val="Reference"/>
      </w:pPr>
      <w:r w:rsidRPr="00F16C45">
        <w:t>——</w:t>
      </w:r>
      <w:r>
        <w:t> </w:t>
      </w:r>
      <w:r w:rsidRPr="00F16C45">
        <w:t xml:space="preserve">2026, </w:t>
      </w:r>
      <w:r w:rsidRPr="00F16C45">
        <w:rPr>
          <w:i/>
          <w:iCs/>
        </w:rPr>
        <w:t>NQF Snapshot - Waivers</w:t>
      </w:r>
      <w:r w:rsidRPr="00F16C45">
        <w:t>, https://snapshots.acecqa.gov.au/Snapshot/waivers.html (accessed 23 September 2026).</w:t>
      </w:r>
    </w:p>
    <w:p w14:paraId="3233109E" w14:textId="67D81D6B" w:rsidR="003E16A2" w:rsidRPr="00F16C45" w:rsidRDefault="003E16A2" w:rsidP="003E16A2">
      <w:pPr>
        <w:pStyle w:val="Reference"/>
      </w:pPr>
      <w:r w:rsidRPr="00F16C45">
        <w:t xml:space="preserve">DoE (Department of Education) 2026a, </w:t>
      </w:r>
      <w:r w:rsidRPr="00F16C45">
        <w:rPr>
          <w:i/>
          <w:iCs/>
        </w:rPr>
        <w:t>3 Day Guarantee</w:t>
      </w:r>
      <w:r w:rsidRPr="00F16C45">
        <w:t>, https://www.education.gov.au/early-childhood/providers/</w:t>
      </w:r>
      <w:r w:rsidR="00C156D1">
        <w:br/>
      </w:r>
      <w:r w:rsidRPr="00F16C45">
        <w:t>child-care-subsidy/3-day-guarantee (accessed 23</w:t>
      </w:r>
      <w:r w:rsidR="00C156D1">
        <w:t> </w:t>
      </w:r>
      <w:r w:rsidRPr="00F16C45">
        <w:t>September 2026).</w:t>
      </w:r>
    </w:p>
    <w:p w14:paraId="6C113BA9" w14:textId="68ED8662" w:rsidR="003E16A2" w:rsidRPr="00F16C45" w:rsidRDefault="003E16A2" w:rsidP="003E16A2">
      <w:pPr>
        <w:pStyle w:val="Reference"/>
      </w:pPr>
      <w:r w:rsidRPr="00F16C45">
        <w:t>——</w:t>
      </w:r>
      <w:r>
        <w:t> </w:t>
      </w:r>
      <w:r w:rsidRPr="00F16C45">
        <w:t xml:space="preserve">2026b, </w:t>
      </w:r>
      <w:r w:rsidRPr="00F16C45">
        <w:rPr>
          <w:i/>
          <w:iCs/>
        </w:rPr>
        <w:t>Building Early Education Fund</w:t>
      </w:r>
      <w:r w:rsidRPr="00F16C45">
        <w:t>, https://www.education.gov.au/early-childhood/about/</w:t>
      </w:r>
      <w:r w:rsidR="00C156D1">
        <w:br/>
      </w:r>
      <w:r w:rsidRPr="00F16C45">
        <w:t>building-early-education-fund (accessed 23 September 2026).</w:t>
      </w:r>
    </w:p>
    <w:p w14:paraId="6C2AC06C" w14:textId="4874016F" w:rsidR="003E16A2" w:rsidRPr="00F16C45" w:rsidRDefault="003E16A2" w:rsidP="003E16A2">
      <w:pPr>
        <w:pStyle w:val="Reference"/>
      </w:pPr>
      <w:r w:rsidRPr="00F16C45">
        <w:t>——</w:t>
      </w:r>
      <w:r>
        <w:t> </w:t>
      </w:r>
      <w:r w:rsidRPr="00F16C45">
        <w:t xml:space="preserve">2026c, </w:t>
      </w:r>
      <w:r w:rsidRPr="00F16C45">
        <w:rPr>
          <w:i/>
          <w:iCs/>
        </w:rPr>
        <w:t>Child Care Subsidy</w:t>
      </w:r>
      <w:r w:rsidRPr="00F16C45">
        <w:t>, https://www.education.gov.au/early-childhood/providers/</w:t>
      </w:r>
      <w:r>
        <w:br/>
      </w:r>
      <w:r w:rsidRPr="00F16C45">
        <w:t>child-care-subsidy (accessed 23 September 2026).</w:t>
      </w:r>
    </w:p>
    <w:p w14:paraId="3F24DD28" w14:textId="698843E1" w:rsidR="003E16A2" w:rsidRPr="00F16C45" w:rsidRDefault="003E16A2" w:rsidP="003E16A2">
      <w:pPr>
        <w:pStyle w:val="Reference"/>
      </w:pPr>
      <w:r w:rsidRPr="00F16C45">
        <w:t>——</w:t>
      </w:r>
      <w:r>
        <w:t> </w:t>
      </w:r>
      <w:r w:rsidRPr="00F16C45">
        <w:t xml:space="preserve">2026d, </w:t>
      </w:r>
      <w:proofErr w:type="gramStart"/>
      <w:r w:rsidRPr="00F16C45">
        <w:rPr>
          <w:i/>
          <w:iCs/>
        </w:rPr>
        <w:t>Exploring</w:t>
      </w:r>
      <w:proofErr w:type="gramEnd"/>
      <w:r w:rsidRPr="00F16C45">
        <w:rPr>
          <w:i/>
          <w:iCs/>
        </w:rPr>
        <w:t xml:space="preserve"> an early education and care commission</w:t>
      </w:r>
      <w:r w:rsidRPr="00F16C45">
        <w:t>, https://www.education.gov.au/early-childhood/</w:t>
      </w:r>
      <w:r w:rsidR="00603701">
        <w:br/>
      </w:r>
      <w:r w:rsidRPr="00F16C45">
        <w:t>about/strategy-and-evaluation/exploring-early-education-and-care-commission (accessed 23 September 2026).</w:t>
      </w:r>
    </w:p>
    <w:p w14:paraId="04450CFE" w14:textId="7FB07F52" w:rsidR="003E16A2" w:rsidRPr="00F16C45" w:rsidRDefault="003E16A2" w:rsidP="003E16A2">
      <w:pPr>
        <w:pStyle w:val="Reference"/>
      </w:pPr>
      <w:r w:rsidRPr="00F16C45">
        <w:t>——</w:t>
      </w:r>
      <w:r>
        <w:t> </w:t>
      </w:r>
      <w:r w:rsidRPr="00F16C45">
        <w:t xml:space="preserve">2026e, </w:t>
      </w:r>
      <w:r w:rsidRPr="00F16C45">
        <w:rPr>
          <w:i/>
          <w:iCs/>
        </w:rPr>
        <w:t>Family Day Care Capability Trial</w:t>
      </w:r>
      <w:r w:rsidRPr="00F16C45">
        <w:t>, https://www.education.gov.au/early-childhood/about/</w:t>
      </w:r>
      <w:r w:rsidR="00C156D1">
        <w:br/>
      </w:r>
      <w:r w:rsidRPr="00F16C45">
        <w:t>service-types/family-</w:t>
      </w:r>
      <w:proofErr w:type="gramStart"/>
      <w:r w:rsidRPr="00F16C45">
        <w:t>day-care</w:t>
      </w:r>
      <w:proofErr w:type="gramEnd"/>
      <w:r w:rsidRPr="00F16C45">
        <w:t>/capability-trial (accessed 23</w:t>
      </w:r>
      <w:r w:rsidR="00C156D1">
        <w:t> </w:t>
      </w:r>
      <w:r w:rsidRPr="00F16C45">
        <w:t>September 2026).</w:t>
      </w:r>
    </w:p>
    <w:p w14:paraId="7A6D001E" w14:textId="7F3E388C" w:rsidR="003E16A2" w:rsidRDefault="003E16A2" w:rsidP="003E16A2">
      <w:pPr>
        <w:pStyle w:val="Reference"/>
      </w:pPr>
      <w:r w:rsidRPr="00F16C45">
        <w:t xml:space="preserve">PC (Productivity Commission) 2024, </w:t>
      </w:r>
      <w:r w:rsidR="001A1480" w:rsidRPr="001A1480">
        <w:rPr>
          <w:i/>
          <w:iCs/>
        </w:rPr>
        <w:t xml:space="preserve">A path to universal early childhood education and care, </w:t>
      </w:r>
      <w:r w:rsidR="001A1480" w:rsidRPr="001A1480">
        <w:t xml:space="preserve">Inquiry report no. 106, </w:t>
      </w:r>
      <w:r w:rsidR="001A1480">
        <w:t>v</w:t>
      </w:r>
      <w:r w:rsidR="001A1480" w:rsidRPr="001A1480">
        <w:t>ol. 2, Supporting papers,</w:t>
      </w:r>
      <w:r w:rsidR="001A1480" w:rsidRPr="00B93567">
        <w:t xml:space="preserve"> Canberra</w:t>
      </w:r>
      <w:r w:rsidR="00B93567" w:rsidRPr="00B93567">
        <w:t>.</w:t>
      </w:r>
    </w:p>
    <w:p w14:paraId="04500604" w14:textId="77777777" w:rsidR="003E16A2" w:rsidRDefault="003E16A2" w:rsidP="003E16A2">
      <w:pPr>
        <w:pStyle w:val="Reference"/>
      </w:pPr>
    </w:p>
    <w:p w14:paraId="31846026" w14:textId="77777777" w:rsidR="003E16A2" w:rsidRDefault="003E16A2" w:rsidP="003E16A2">
      <w:pPr>
        <w:pStyle w:val="Reference"/>
      </w:pPr>
    </w:p>
    <w:p w14:paraId="7501D567" w14:textId="1D9374E4" w:rsidR="00216024" w:rsidRDefault="00216024" w:rsidP="003E16A2">
      <w:pPr>
        <w:pStyle w:val="Reference"/>
        <w:sectPr w:rsidR="00216024" w:rsidSect="00EE0C47">
          <w:type w:val="continuous"/>
          <w:pgSz w:w="11906" w:h="16838" w:code="9"/>
          <w:pgMar w:top="1134" w:right="1134" w:bottom="1134" w:left="1134" w:header="794" w:footer="510" w:gutter="0"/>
          <w:cols w:num="2" w:space="708"/>
          <w:titlePg/>
          <w:docGrid w:linePitch="360"/>
        </w:sectPr>
      </w:pPr>
    </w:p>
    <w:p w14:paraId="67810F42" w14:textId="5D9FFF4A" w:rsidR="00061B12" w:rsidRDefault="00061B12" w:rsidP="00EE0C47">
      <w:pPr>
        <w:pStyle w:val="Reference"/>
      </w:pPr>
    </w:p>
    <w:sectPr w:rsidR="00061B12" w:rsidSect="00EE0C47">
      <w:type w:val="continuous"/>
      <w:pgSz w:w="11906" w:h="16838" w:code="9"/>
      <w:pgMar w:top="1134" w:right="1134" w:bottom="1134" w:left="1134" w:header="794" w:footer="510" w:gutter="0"/>
      <w:cols w:num="2"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DD989" w14:textId="77777777" w:rsidR="00E837BA" w:rsidRDefault="00E837BA" w:rsidP="008017BC">
      <w:r>
        <w:separator/>
      </w:r>
    </w:p>
    <w:p w14:paraId="1BBF08D4" w14:textId="77777777" w:rsidR="00E837BA" w:rsidRDefault="00E837BA"/>
  </w:endnote>
  <w:endnote w:type="continuationSeparator" w:id="0">
    <w:p w14:paraId="629CDE29" w14:textId="77777777" w:rsidR="00E837BA" w:rsidRDefault="00E837BA" w:rsidP="008017BC">
      <w:r>
        <w:continuationSeparator/>
      </w:r>
    </w:p>
    <w:p w14:paraId="3703C0C2" w14:textId="77777777" w:rsidR="00E837BA" w:rsidRDefault="00E837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Open Sans Extrabold">
    <w:panose1 w:val="020B0906030804020204"/>
    <w:charset w:val="00"/>
    <w:family w:val="swiss"/>
    <w:pitch w:val="variable"/>
    <w:sig w:usb0="E00002EF" w:usb1="4000205B" w:usb2="00000028" w:usb3="00000000" w:csb0="0000019F" w:csb1="00000000"/>
  </w:font>
  <w:font w:name="SimHei">
    <w:altName w:val="黑体"/>
    <w:panose1 w:val="02010609060101010101"/>
    <w:charset w:val="86"/>
    <w:family w:val="modern"/>
    <w:pitch w:val="fixed"/>
    <w:sig w:usb0="800002BF" w:usb1="38CF7CFA"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Open Sans Semibold">
    <w:panose1 w:val="020B07060308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0237077"/>
      <w:docPartObj>
        <w:docPartGallery w:val="Page Numbers (Bottom of Page)"/>
        <w:docPartUnique/>
      </w:docPartObj>
    </w:sdtPr>
    <w:sdtEndPr>
      <w:rPr>
        <w:noProof/>
      </w:rPr>
    </w:sdtEndPr>
    <w:sdtContent>
      <w:p w14:paraId="742668D5" w14:textId="2B58E591" w:rsidR="00967C1D" w:rsidRDefault="00967C1D" w:rsidP="00E3179D">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9535291"/>
      <w:docPartObj>
        <w:docPartGallery w:val="Page Numbers (Bottom of Page)"/>
        <w:docPartUnique/>
      </w:docPartObj>
    </w:sdtPr>
    <w:sdtEndPr>
      <w:rPr>
        <w:noProof/>
      </w:rPr>
    </w:sdtEndPr>
    <w:sdtContent>
      <w:p w14:paraId="7511287F" w14:textId="52714D00" w:rsidR="00967C1D" w:rsidRDefault="00967C1D" w:rsidP="00E3179D">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3942680"/>
      <w:docPartObj>
        <w:docPartGallery w:val="Page Numbers (Top of Page)"/>
        <w:docPartUnique/>
      </w:docPartObj>
    </w:sdtPr>
    <w:sdtContent>
      <w:p w14:paraId="465BD1E9" w14:textId="77777777" w:rsidR="007F3A6F" w:rsidRDefault="007F3A6F" w:rsidP="001A2437">
        <w:pPr>
          <w:pStyle w:val="Footer-right"/>
        </w:pPr>
        <w:r>
          <w:rPr>
            <w:noProof/>
          </w:rPr>
          <w:drawing>
            <wp:anchor distT="0" distB="0" distL="114300" distR="114300" simplePos="0" relativeHeight="251658240" behindDoc="0" locked="0" layoutInCell="1" allowOverlap="1" wp14:anchorId="4B90A771" wp14:editId="4FC4173C">
              <wp:simplePos x="0" y="0"/>
              <wp:positionH relativeFrom="column">
                <wp:posOffset>-99437</wp:posOffset>
              </wp:positionH>
              <wp:positionV relativeFrom="paragraph">
                <wp:posOffset>-44450</wp:posOffset>
              </wp:positionV>
              <wp:extent cx="1332000" cy="421571"/>
              <wp:effectExtent l="0" t="0" r="0" b="0"/>
              <wp:wrapNone/>
              <wp:docPr id="1592752487" name="Picture 6" descr="www.pc.gov.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389330" name="Picture 6" descr="www.pc.gov.au"/>
                      <pic:cNvPicPr/>
                    </pic:nvPicPr>
                    <pic:blipFill>
                      <a:blip r:embed="rId1">
                        <a:extLst>
                          <a:ext uri="{28A0092B-C50C-407E-A947-70E740481C1C}">
                            <a14:useLocalDpi xmlns:a14="http://schemas.microsoft.com/office/drawing/2010/main" val="0"/>
                          </a:ext>
                        </a:extLst>
                      </a:blip>
                      <a:stretch>
                        <a:fillRect/>
                      </a:stretch>
                    </pic:blipFill>
                    <pic:spPr>
                      <a:xfrm>
                        <a:off x="0" y="0"/>
                        <a:ext cx="1332000" cy="421571"/>
                      </a:xfrm>
                      <a:prstGeom prst="rect">
                        <a:avLst/>
                      </a:prstGeom>
                    </pic:spPr>
                  </pic:pic>
                </a:graphicData>
              </a:graphic>
              <wp14:sizeRelH relativeFrom="page">
                <wp14:pctWidth>0</wp14:pctWidth>
              </wp14:sizeRelH>
              <wp14:sizeRelV relativeFrom="page">
                <wp14:pctHeight>0</wp14:pctHeight>
              </wp14:sizeRelV>
            </wp:anchor>
          </w:drawing>
        </w:r>
        <w:r w:rsidRPr="0042508F">
          <w:rPr>
            <w:sz w:val="24"/>
          </w:rPr>
          <w:fldChar w:fldCharType="begin"/>
        </w:r>
        <w:r w:rsidRPr="0042508F">
          <w:instrText xml:space="preserve"> PAGE </w:instrText>
        </w:r>
        <w:r w:rsidRPr="0042508F">
          <w:rPr>
            <w:sz w:val="24"/>
          </w:rPr>
          <w:fldChar w:fldCharType="separate"/>
        </w:r>
        <w:r>
          <w:rPr>
            <w:sz w:val="24"/>
          </w:rPr>
          <w:t>3</w:t>
        </w:r>
        <w:r w:rsidRPr="0042508F">
          <w:rPr>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144DE" w14:textId="77777777" w:rsidR="00E837BA" w:rsidRPr="00C238D1" w:rsidRDefault="00E837BA" w:rsidP="00273E86">
      <w:pPr>
        <w:spacing w:after="0" w:line="240" w:lineRule="auto"/>
        <w:rPr>
          <w:rStyle w:val="ColourDarkBlue"/>
        </w:rPr>
      </w:pPr>
      <w:r w:rsidRPr="00C238D1">
        <w:rPr>
          <w:rStyle w:val="ColourDarkBlue"/>
        </w:rPr>
        <w:continuationSeparator/>
      </w:r>
    </w:p>
  </w:footnote>
  <w:footnote w:type="continuationSeparator" w:id="0">
    <w:p w14:paraId="30A9D810" w14:textId="77777777" w:rsidR="00E837BA" w:rsidRPr="001D7D9B" w:rsidRDefault="00E837BA" w:rsidP="001D7D9B">
      <w:pPr>
        <w:spacing w:after="0" w:line="240" w:lineRule="auto"/>
        <w:rPr>
          <w:color w:val="265A9A" w:themeColor="background2"/>
        </w:rPr>
      </w:pPr>
      <w:r w:rsidRPr="00C238D1">
        <w:rPr>
          <w:rStyle w:val="ColourDarkBlue"/>
        </w:rPr>
        <w:continuationSeparator/>
      </w:r>
    </w:p>
  </w:footnote>
  <w:footnote w:type="continuationNotice" w:id="1">
    <w:p w14:paraId="714D1C55" w14:textId="77777777" w:rsidR="00E837BA" w:rsidRDefault="00E837BA"/>
  </w:footnote>
  <w:footnote w:id="2">
    <w:p w14:paraId="50DDA305" w14:textId="2EDF1BA3" w:rsidR="00BF3F23" w:rsidRPr="00DF57B4" w:rsidRDefault="00BF3F23" w:rsidP="00BF3F23">
      <w:pPr>
        <w:pStyle w:val="FootnoteText"/>
        <w:rPr>
          <w:lang w:val="en-US"/>
        </w:rPr>
      </w:pPr>
      <w:r>
        <w:rPr>
          <w:rStyle w:val="FootnoteReference"/>
        </w:rPr>
        <w:footnoteRef/>
      </w:r>
      <w:r>
        <w:t xml:space="preserve"> PC submission to the </w:t>
      </w:r>
      <w:r w:rsidR="00FB399A">
        <w:t xml:space="preserve">Senate’s </w:t>
      </w:r>
      <w:r w:rsidR="00FB399A" w:rsidRPr="00FB399A">
        <w:t>Education and Employment References Committee</w:t>
      </w:r>
      <w:r w:rsidR="00FB399A">
        <w:t xml:space="preserve"> inquiry on the </w:t>
      </w:r>
      <w:r w:rsidRPr="008D5BEB">
        <w:t>State of Australia's early childhood education and care system in rural, regional and remote communities</w:t>
      </w:r>
      <w:r>
        <w:t>.</w:t>
      </w:r>
    </w:p>
  </w:footnote>
  <w:footnote w:id="3">
    <w:p w14:paraId="4CFF2867" w14:textId="4FA901AB" w:rsidR="00F61CE6" w:rsidRPr="006D47C1" w:rsidRDefault="00F61CE6" w:rsidP="00F61CE6">
      <w:pPr>
        <w:pStyle w:val="FootnoteText"/>
        <w:rPr>
          <w:spacing w:val="-6"/>
          <w:lang w:val="en-US"/>
        </w:rPr>
      </w:pPr>
      <w:r>
        <w:rPr>
          <w:rStyle w:val="FootnoteReference"/>
        </w:rPr>
        <w:footnoteRef/>
      </w:r>
      <w:r>
        <w:t xml:space="preserve"> </w:t>
      </w:r>
      <w:r w:rsidRPr="006D47C1">
        <w:rPr>
          <w:spacing w:val="-6"/>
        </w:rPr>
        <w:t xml:space="preserve">In 2023–24, families with incomes up to and including $80,000 per year, were eligible for a 90% CCS rate, with the rate tapering down by 1 percentage point for every $5,000 of income above $80,000, reaching 0% at $530,000 </w:t>
      </w:r>
      <w:r w:rsidRPr="006D47C1">
        <w:rPr>
          <w:rFonts w:cs="Open Sans"/>
          <w:spacing w:val="-6"/>
        </w:rPr>
        <w:t>(PC 2024, p. 344)</w:t>
      </w:r>
      <w:r w:rsidRPr="006D47C1">
        <w:rPr>
          <w:spacing w:val="-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B63D7" w14:textId="6B0E9031" w:rsidR="00A47C39" w:rsidRDefault="00A47C39" w:rsidP="006A28DB">
    <w:pPr>
      <w:pStyle w:val="Header-KeylineRight"/>
    </w:pPr>
    <w:r>
      <w:t>PC submission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A6B4A" w14:textId="139338BA" w:rsidR="00967C1D" w:rsidRDefault="002403A4" w:rsidP="006A28DB">
    <w:pPr>
      <w:pStyle w:val="Header-KeylineRight"/>
    </w:pPr>
    <w:r>
      <w:t xml:space="preserve">ECEC </w:t>
    </w:r>
    <w:r w:rsidRPr="008D5BEB">
      <w:t>system in rural, regional and remote communities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39759" w14:textId="0D254497" w:rsidR="00353BB0" w:rsidRPr="001E5185" w:rsidRDefault="008B55BD" w:rsidP="00353BB0">
    <w:pPr>
      <w:pStyle w:val="Header-KeylineRight"/>
    </w:pPr>
    <w:r>
      <w:rPr>
        <w:noProof/>
      </w:rPr>
      <w:drawing>
        <wp:anchor distT="0" distB="0" distL="114300" distR="114300" simplePos="0" relativeHeight="251658241" behindDoc="0" locked="0" layoutInCell="1" allowOverlap="1" wp14:anchorId="69C5113F" wp14:editId="77DAE32C">
          <wp:simplePos x="0" y="0"/>
          <wp:positionH relativeFrom="page">
            <wp:posOffset>0</wp:posOffset>
          </wp:positionH>
          <wp:positionV relativeFrom="paragraph">
            <wp:posOffset>-513715</wp:posOffset>
          </wp:positionV>
          <wp:extent cx="7558428" cy="1762535"/>
          <wp:effectExtent l="0" t="0" r="4445" b="9525"/>
          <wp:wrapNone/>
          <wp:docPr id="987327611" name="Picture 2" descr="Australian Government | Productivity Commission logo: submission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327611" name="Picture 2" descr="Australian Government | Productivity Commission logo: submission banner"/>
                  <pic:cNvPicPr/>
                </pic:nvPicPr>
                <pic:blipFill>
                  <a:blip r:embed="rId1">
                    <a:extLst>
                      <a:ext uri="{28A0092B-C50C-407E-A947-70E740481C1C}">
                        <a14:useLocalDpi xmlns:a14="http://schemas.microsoft.com/office/drawing/2010/main" val="0"/>
                      </a:ext>
                    </a:extLst>
                  </a:blip>
                  <a:stretch>
                    <a:fillRect/>
                  </a:stretch>
                </pic:blipFill>
                <pic:spPr>
                  <a:xfrm>
                    <a:off x="0" y="0"/>
                    <a:ext cx="7558428" cy="1762535"/>
                  </a:xfrm>
                  <a:prstGeom prst="rect">
                    <a:avLst/>
                  </a:prstGeom>
                </pic:spPr>
              </pic:pic>
            </a:graphicData>
          </a:graphic>
          <wp14:sizeRelH relativeFrom="page">
            <wp14:pctWidth>0</wp14:pctWidth>
          </wp14:sizeRelH>
          <wp14:sizeRelV relativeFrom="page">
            <wp14:pctHeight>0</wp14:pctHeight>
          </wp14:sizeRelV>
        </wp:anchor>
      </w:drawing>
    </w:r>
    <w:r w:rsidR="004928D2">
      <w:t xml:space="preserve">ECEC </w:t>
    </w:r>
    <w:r w:rsidR="004928D2" w:rsidRPr="008D5BEB">
      <w:t>system in rural, regional and remote communities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F5454E4"/>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074A6380"/>
    <w:multiLevelType w:val="multilevel"/>
    <w:tmpl w:val="C47EA3E6"/>
    <w:styleLink w:val="TableList"/>
    <w:lvl w:ilvl="0">
      <w:start w:val="1"/>
      <w:numFmt w:val="decimal"/>
      <w:pStyle w:val="TableHeading-numbered"/>
      <w:suff w:val="space"/>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9C1734A"/>
    <w:multiLevelType w:val="multilevel"/>
    <w:tmpl w:val="72768BCE"/>
    <w:styleLink w:val="AppendixHeadingList"/>
    <w:lvl w:ilvl="0">
      <w:start w:val="1"/>
      <w:numFmt w:val="upperLetter"/>
      <w:pStyle w:val="Heading-Appendix"/>
      <w:lvlText w:val="%1."/>
      <w:lvlJc w:val="left"/>
      <w:pPr>
        <w:ind w:left="1418" w:hanging="851"/>
      </w:pPr>
      <w:rPr>
        <w:rFonts w:hint="default"/>
      </w:rPr>
    </w:lvl>
    <w:lvl w:ilvl="1">
      <w:start w:val="1"/>
      <w:numFmt w:val="decimal"/>
      <w:pStyle w:val="Heading2-Appendix"/>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AC2735F"/>
    <w:multiLevelType w:val="multilevel"/>
    <w:tmpl w:val="EE6A07A2"/>
    <w:styleLink w:val="ListHeadings"/>
    <w:lvl w:ilvl="0">
      <w:start w:val="1"/>
      <w:numFmt w:val="decimal"/>
      <w:isLgl/>
      <w:lvlText w:val="%1."/>
      <w:lvlJc w:val="left"/>
      <w:pPr>
        <w:ind w:left="1418" w:hanging="851"/>
      </w:pPr>
      <w:rPr>
        <w:rFonts w:hint="default"/>
      </w:rPr>
    </w:lvl>
    <w:lvl w:ilvl="1">
      <w:start w:val="1"/>
      <w:numFmt w:val="decimal"/>
      <w:suff w:val="space"/>
      <w:lvlText w:val="Box %1.%2"/>
      <w:lvlJc w:val="left"/>
      <w:pPr>
        <w:ind w:left="1134" w:hanging="1134"/>
      </w:pPr>
      <w:rPr>
        <w:rFonts w:hint="default"/>
      </w:rPr>
    </w:lvl>
    <w:lvl w:ilvl="2">
      <w:start w:val="1"/>
      <w:numFmt w:val="decimal"/>
      <w:lvlText w:val="%1.%3"/>
      <w:lvlJc w:val="left"/>
      <w:pPr>
        <w:ind w:left="851" w:hanging="85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F6F37EA"/>
    <w:multiLevelType w:val="multilevel"/>
    <w:tmpl w:val="1FA8DC2A"/>
    <w:styleLink w:val="Numbering"/>
    <w:lvl w:ilvl="0">
      <w:start w:val="1"/>
      <w:numFmt w:val="decimal"/>
      <w:pStyle w:val="ListNumber"/>
      <w:lvlText w:val="%1."/>
      <w:lvlJc w:val="left"/>
      <w:pPr>
        <w:ind w:left="454" w:hanging="454"/>
      </w:pPr>
      <w:rPr>
        <w:rFonts w:hint="default"/>
      </w:rPr>
    </w:lvl>
    <w:lvl w:ilvl="1">
      <w:start w:val="1"/>
      <w:numFmt w:val="decimal"/>
      <w:pStyle w:val="ListNumber2"/>
      <w:lvlText w:val="%1.%2."/>
      <w:lvlJc w:val="left"/>
      <w:pPr>
        <w:ind w:left="680" w:hanging="680"/>
      </w:pPr>
      <w:rPr>
        <w:rFonts w:hint="default"/>
      </w:rPr>
    </w:lvl>
    <w:lvl w:ilvl="2">
      <w:start w:val="1"/>
      <w:numFmt w:val="decimal"/>
      <w:pStyle w:val="ListNumber3"/>
      <w:lvlText w:val="%1.%2.%3."/>
      <w:lvlJc w:val="left"/>
      <w:pPr>
        <w:ind w:left="907" w:hanging="907"/>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361" w:hanging="1361"/>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5" w15:restartNumberingAfterBreak="0">
    <w:nsid w:val="12377B66"/>
    <w:multiLevelType w:val="multilevel"/>
    <w:tmpl w:val="4F48000A"/>
    <w:styleLink w:val="Alphalist"/>
    <w:lvl w:ilvl="0">
      <w:start w:val="1"/>
      <w:numFmt w:val="lowerLetter"/>
      <w:pStyle w:val="ListAlpha1"/>
      <w:lvlText w:val="%1."/>
      <w:lvlJc w:val="left"/>
      <w:pPr>
        <w:ind w:left="227" w:hanging="227"/>
      </w:pPr>
      <w:rPr>
        <w:rFonts w:hint="default"/>
      </w:rPr>
    </w:lvl>
    <w:lvl w:ilvl="1">
      <w:start w:val="1"/>
      <w:numFmt w:val="lowerLetter"/>
      <w:pStyle w:val="ListAlpha2"/>
      <w:lvlText w:val="%2."/>
      <w:lvlJc w:val="left"/>
      <w:pPr>
        <w:ind w:left="454" w:hanging="227"/>
      </w:pPr>
      <w:rPr>
        <w:rFonts w:hint="default"/>
      </w:rPr>
    </w:lvl>
    <w:lvl w:ilvl="2">
      <w:start w:val="1"/>
      <w:numFmt w:val="lowerRoman"/>
      <w:pStyle w:val="ListAlpha3"/>
      <w:lvlText w:val="%3."/>
      <w:lvlJc w:val="left"/>
      <w:pPr>
        <w:ind w:left="454" w:hanging="227"/>
      </w:pPr>
      <w:rPr>
        <w:rFonts w:hint="default"/>
      </w:rPr>
    </w:lvl>
    <w:lvl w:ilvl="3">
      <w:start w:val="1"/>
      <w:numFmt w:val="lowerRoman"/>
      <w:pStyle w:val="ListAlpha4"/>
      <w:lvlText w:val="%4."/>
      <w:lvlJc w:val="left"/>
      <w:pPr>
        <w:ind w:left="680" w:hanging="226"/>
      </w:pPr>
      <w:rPr>
        <w:rFonts w:hint="default"/>
      </w:rPr>
    </w:lvl>
    <w:lvl w:ilvl="4">
      <w:start w:val="1"/>
      <w:numFmt w:val="lowerLetter"/>
      <w:lvlText w:val="(%5)"/>
      <w:lvlJc w:val="left"/>
      <w:pPr>
        <w:ind w:left="907" w:hanging="227"/>
      </w:pPr>
      <w:rPr>
        <w:rFonts w:hint="default"/>
      </w:rPr>
    </w:lvl>
    <w:lvl w:ilvl="5">
      <w:start w:val="1"/>
      <w:numFmt w:val="lowerRoman"/>
      <w:lvlText w:val="(%6)"/>
      <w:lvlJc w:val="left"/>
      <w:pPr>
        <w:ind w:left="1134" w:hanging="227"/>
      </w:pPr>
      <w:rPr>
        <w:rFonts w:hint="default"/>
      </w:rPr>
    </w:lvl>
    <w:lvl w:ilvl="6">
      <w:start w:val="1"/>
      <w:numFmt w:val="decimal"/>
      <w:lvlText w:val="%7."/>
      <w:lvlJc w:val="left"/>
      <w:pPr>
        <w:ind w:left="1361" w:hanging="227"/>
      </w:pPr>
      <w:rPr>
        <w:rFonts w:hint="default"/>
      </w:rPr>
    </w:lvl>
    <w:lvl w:ilvl="7">
      <w:start w:val="1"/>
      <w:numFmt w:val="lowerLetter"/>
      <w:lvlText w:val="%8."/>
      <w:lvlJc w:val="left"/>
      <w:pPr>
        <w:ind w:left="1588" w:hanging="227"/>
      </w:pPr>
      <w:rPr>
        <w:rFonts w:hint="default"/>
      </w:rPr>
    </w:lvl>
    <w:lvl w:ilvl="8">
      <w:start w:val="1"/>
      <w:numFmt w:val="lowerRoman"/>
      <w:lvlText w:val="%9."/>
      <w:lvlJc w:val="left"/>
      <w:pPr>
        <w:ind w:left="1814" w:hanging="226"/>
      </w:pPr>
      <w:rPr>
        <w:rFonts w:hint="default"/>
      </w:rPr>
    </w:lvl>
  </w:abstractNum>
  <w:abstractNum w:abstractNumId="6" w15:restartNumberingAfterBreak="0">
    <w:nsid w:val="12933D50"/>
    <w:multiLevelType w:val="hybridMultilevel"/>
    <w:tmpl w:val="EEB8A0DE"/>
    <w:lvl w:ilvl="0" w:tplc="CBB2F8F8">
      <w:start w:val="1"/>
      <w:numFmt w:val="bullet"/>
      <w:lvlText w:val=""/>
      <w:lvlJc w:val="left"/>
      <w:pPr>
        <w:ind w:left="1020" w:hanging="360"/>
      </w:pPr>
      <w:rPr>
        <w:rFonts w:ascii="Symbol" w:hAnsi="Symbol"/>
      </w:rPr>
    </w:lvl>
    <w:lvl w:ilvl="1" w:tplc="C802A812">
      <w:start w:val="1"/>
      <w:numFmt w:val="bullet"/>
      <w:lvlText w:val=""/>
      <w:lvlJc w:val="left"/>
      <w:pPr>
        <w:ind w:left="1020" w:hanging="360"/>
      </w:pPr>
      <w:rPr>
        <w:rFonts w:ascii="Symbol" w:hAnsi="Symbol"/>
      </w:rPr>
    </w:lvl>
    <w:lvl w:ilvl="2" w:tplc="65D4D5FA">
      <w:start w:val="1"/>
      <w:numFmt w:val="bullet"/>
      <w:lvlText w:val=""/>
      <w:lvlJc w:val="left"/>
      <w:pPr>
        <w:ind w:left="1020" w:hanging="360"/>
      </w:pPr>
      <w:rPr>
        <w:rFonts w:ascii="Symbol" w:hAnsi="Symbol"/>
      </w:rPr>
    </w:lvl>
    <w:lvl w:ilvl="3" w:tplc="76BEE330">
      <w:start w:val="1"/>
      <w:numFmt w:val="bullet"/>
      <w:lvlText w:val=""/>
      <w:lvlJc w:val="left"/>
      <w:pPr>
        <w:ind w:left="1020" w:hanging="360"/>
      </w:pPr>
      <w:rPr>
        <w:rFonts w:ascii="Symbol" w:hAnsi="Symbol"/>
      </w:rPr>
    </w:lvl>
    <w:lvl w:ilvl="4" w:tplc="47D66D58">
      <w:start w:val="1"/>
      <w:numFmt w:val="bullet"/>
      <w:lvlText w:val=""/>
      <w:lvlJc w:val="left"/>
      <w:pPr>
        <w:ind w:left="1020" w:hanging="360"/>
      </w:pPr>
      <w:rPr>
        <w:rFonts w:ascii="Symbol" w:hAnsi="Symbol"/>
      </w:rPr>
    </w:lvl>
    <w:lvl w:ilvl="5" w:tplc="37AACA4E">
      <w:start w:val="1"/>
      <w:numFmt w:val="bullet"/>
      <w:lvlText w:val=""/>
      <w:lvlJc w:val="left"/>
      <w:pPr>
        <w:ind w:left="1020" w:hanging="360"/>
      </w:pPr>
      <w:rPr>
        <w:rFonts w:ascii="Symbol" w:hAnsi="Symbol"/>
      </w:rPr>
    </w:lvl>
    <w:lvl w:ilvl="6" w:tplc="B5667C08">
      <w:start w:val="1"/>
      <w:numFmt w:val="bullet"/>
      <w:lvlText w:val=""/>
      <w:lvlJc w:val="left"/>
      <w:pPr>
        <w:ind w:left="1020" w:hanging="360"/>
      </w:pPr>
      <w:rPr>
        <w:rFonts w:ascii="Symbol" w:hAnsi="Symbol"/>
      </w:rPr>
    </w:lvl>
    <w:lvl w:ilvl="7" w:tplc="CFDA642A">
      <w:start w:val="1"/>
      <w:numFmt w:val="bullet"/>
      <w:lvlText w:val=""/>
      <w:lvlJc w:val="left"/>
      <w:pPr>
        <w:ind w:left="1020" w:hanging="360"/>
      </w:pPr>
      <w:rPr>
        <w:rFonts w:ascii="Symbol" w:hAnsi="Symbol"/>
      </w:rPr>
    </w:lvl>
    <w:lvl w:ilvl="8" w:tplc="27449EDC">
      <w:start w:val="1"/>
      <w:numFmt w:val="bullet"/>
      <w:lvlText w:val=""/>
      <w:lvlJc w:val="left"/>
      <w:pPr>
        <w:ind w:left="1020" w:hanging="360"/>
      </w:pPr>
      <w:rPr>
        <w:rFonts w:ascii="Symbol" w:hAnsi="Symbol"/>
      </w:rPr>
    </w:lvl>
  </w:abstractNum>
  <w:abstractNum w:abstractNumId="7" w15:restartNumberingAfterBreak="0">
    <w:nsid w:val="16155739"/>
    <w:multiLevelType w:val="multilevel"/>
    <w:tmpl w:val="55366B42"/>
    <w:styleLink w:val="LetteredList"/>
    <w:lvl w:ilvl="0">
      <w:start w:val="1"/>
      <w:numFmt w:val="lowerLetter"/>
      <w:pStyle w:val="List"/>
      <w:lvlText w:val="%1."/>
      <w:lvlJc w:val="left"/>
      <w:pPr>
        <w:ind w:left="227" w:hanging="227"/>
      </w:pPr>
      <w:rPr>
        <w:rFonts w:hint="default"/>
      </w:rPr>
    </w:lvl>
    <w:lvl w:ilvl="1">
      <w:start w:val="1"/>
      <w:numFmt w:val="lowerLetter"/>
      <w:pStyle w:val="List2"/>
      <w:lvlText w:val="%2."/>
      <w:lvlJc w:val="left"/>
      <w:pPr>
        <w:ind w:left="454" w:hanging="227"/>
      </w:pPr>
      <w:rPr>
        <w:rFonts w:hint="default"/>
      </w:rPr>
    </w:lvl>
    <w:lvl w:ilvl="2">
      <w:start w:val="1"/>
      <w:numFmt w:val="lowerRoman"/>
      <w:pStyle w:val="List3"/>
      <w:lvlText w:val="%3."/>
      <w:lvlJc w:val="left"/>
      <w:pPr>
        <w:ind w:left="454" w:hanging="227"/>
      </w:pPr>
      <w:rPr>
        <w:rFonts w:hint="default"/>
      </w:rPr>
    </w:lvl>
    <w:lvl w:ilvl="3">
      <w:start w:val="1"/>
      <w:numFmt w:val="lowerRoman"/>
      <w:pStyle w:val="List4"/>
      <w:lvlText w:val="%4."/>
      <w:lvlJc w:val="left"/>
      <w:pPr>
        <w:ind w:left="680" w:hanging="226"/>
      </w:pPr>
      <w:rPr>
        <w:rFonts w:hint="default"/>
      </w:rPr>
    </w:lvl>
    <w:lvl w:ilvl="4">
      <w:start w:val="1"/>
      <w:numFmt w:val="lowerRoman"/>
      <w:lvlText w:val="%5."/>
      <w:lvlJc w:val="left"/>
      <w:pPr>
        <w:ind w:left="907" w:hanging="227"/>
      </w:pPr>
      <w:rPr>
        <w:rFonts w:hint="default"/>
      </w:rPr>
    </w:lvl>
    <w:lvl w:ilvl="5">
      <w:start w:val="1"/>
      <w:numFmt w:val="lowerRoman"/>
      <w:lvlText w:val="%6."/>
      <w:lvlJc w:val="left"/>
      <w:pPr>
        <w:tabs>
          <w:tab w:val="num" w:pos="1644"/>
        </w:tabs>
        <w:ind w:left="1134" w:hanging="227"/>
      </w:pPr>
      <w:rPr>
        <w:rFonts w:hint="default"/>
      </w:rPr>
    </w:lvl>
    <w:lvl w:ilvl="6">
      <w:start w:val="1"/>
      <w:numFmt w:val="lowerLetter"/>
      <w:lvlText w:val="%7."/>
      <w:lvlJc w:val="left"/>
      <w:pPr>
        <w:ind w:left="1361" w:hanging="227"/>
      </w:pPr>
      <w:rPr>
        <w:rFonts w:hint="default"/>
      </w:rPr>
    </w:lvl>
    <w:lvl w:ilvl="7">
      <w:start w:val="1"/>
      <w:numFmt w:val="lowerLetter"/>
      <w:lvlText w:val="%8."/>
      <w:lvlJc w:val="left"/>
      <w:pPr>
        <w:ind w:left="1588" w:hanging="227"/>
      </w:pPr>
      <w:rPr>
        <w:rFonts w:hint="default"/>
      </w:rPr>
    </w:lvl>
    <w:lvl w:ilvl="8">
      <w:start w:val="1"/>
      <w:numFmt w:val="lowerLetter"/>
      <w:lvlText w:val="%9."/>
      <w:lvlJc w:val="left"/>
      <w:pPr>
        <w:ind w:left="1814" w:hanging="226"/>
      </w:pPr>
      <w:rPr>
        <w:rFonts w:hint="default"/>
      </w:rPr>
    </w:lvl>
  </w:abstractNum>
  <w:abstractNum w:abstractNumId="8" w15:restartNumberingAfterBreak="0">
    <w:nsid w:val="1A1A0E47"/>
    <w:multiLevelType w:val="multilevel"/>
    <w:tmpl w:val="BCC2EEC0"/>
    <w:lvl w:ilvl="0">
      <w:start w:val="1"/>
      <w:numFmt w:val="decimal"/>
      <w:pStyle w:val="Heading1"/>
      <w:isLgl/>
      <w:lvlText w:val="%1."/>
      <w:lvlJc w:val="left"/>
      <w:pPr>
        <w:ind w:left="1418" w:hanging="851"/>
      </w:pPr>
      <w:rPr>
        <w:rFonts w:hint="default"/>
      </w:rPr>
    </w:lvl>
    <w:lvl w:ilvl="1">
      <w:start w:val="1"/>
      <w:numFmt w:val="decimal"/>
      <w:suff w:val="space"/>
      <w:lvlText w:val="Box %1.%2"/>
      <w:lvlJc w:val="left"/>
      <w:pPr>
        <w:ind w:left="1134" w:hanging="1134"/>
      </w:pPr>
      <w:rPr>
        <w:rFonts w:hint="default"/>
      </w:rPr>
    </w:lvl>
    <w:lvl w:ilvl="2">
      <w:start w:val="1"/>
      <w:numFmt w:val="decimal"/>
      <w:pStyle w:val="Heading2"/>
      <w:lvlText w:val="%1.%3"/>
      <w:lvlJc w:val="left"/>
      <w:pPr>
        <w:ind w:left="851" w:hanging="85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15905EC"/>
    <w:multiLevelType w:val="multilevel"/>
    <w:tmpl w:val="14F2CE60"/>
    <w:styleLink w:val="AppendixHeading"/>
    <w:lvl w:ilvl="0">
      <w:start w:val="1"/>
      <w:numFmt w:val="upperLetter"/>
      <w:lvlText w:val="%1."/>
      <w:lvlJc w:val="left"/>
      <w:pPr>
        <w:ind w:left="1418" w:hanging="851"/>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D665246"/>
    <w:multiLevelType w:val="multilevel"/>
    <w:tmpl w:val="55366B42"/>
    <w:numStyleLink w:val="LetteredList"/>
  </w:abstractNum>
  <w:abstractNum w:abstractNumId="11" w15:restartNumberingAfterBreak="0">
    <w:nsid w:val="2DFE29AF"/>
    <w:multiLevelType w:val="multilevel"/>
    <w:tmpl w:val="72768BCE"/>
    <w:numStyleLink w:val="AppendixHeadingList"/>
  </w:abstractNum>
  <w:abstractNum w:abstractNumId="12" w15:restartNumberingAfterBreak="0">
    <w:nsid w:val="3460090A"/>
    <w:multiLevelType w:val="multilevel"/>
    <w:tmpl w:val="D6E00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45759"/>
    <w:multiLevelType w:val="multilevel"/>
    <w:tmpl w:val="EDDA6002"/>
    <w:styleLink w:val="TOCList"/>
    <w:lvl w:ilvl="0">
      <w:start w:val="1"/>
      <w:numFmt w:val="decimal"/>
      <w:lvlText w:val="%1"/>
      <w:lvlJc w:val="left"/>
      <w:pPr>
        <w:ind w:left="567" w:hanging="567"/>
      </w:pPr>
      <w:rPr>
        <w:rFonts w:hint="default"/>
        <w:b/>
        <w:i w:val="0"/>
        <w:color w:val="265A9A" w:themeColor="background2"/>
      </w:rPr>
    </w:lvl>
    <w:lvl w:ilvl="1">
      <w:start w:val="1"/>
      <w:numFmt w:val="decimal"/>
      <w:lvlText w:val="%1.%2"/>
      <w:lvlJc w:val="left"/>
      <w:pPr>
        <w:ind w:left="851"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67F3571"/>
    <w:multiLevelType w:val="multilevel"/>
    <w:tmpl w:val="DE7E2246"/>
    <w:styleLink w:val="Figure"/>
    <w:lvl w:ilvl="0">
      <w:start w:val="1"/>
      <w:numFmt w:val="lowerLetter"/>
      <w:suff w:val="space"/>
      <w:lvlText w:val="%1."/>
      <w:lvlJc w:val="left"/>
      <w:pPr>
        <w:ind w:left="0" w:firstLine="0"/>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587D7C27"/>
    <w:multiLevelType w:val="hybridMultilevel"/>
    <w:tmpl w:val="628E490C"/>
    <w:lvl w:ilvl="0" w:tplc="0C090001">
      <w:start w:val="1"/>
      <w:numFmt w:val="bullet"/>
      <w:lvlText w:val=""/>
      <w:lvlJc w:val="left"/>
      <w:pPr>
        <w:ind w:left="764" w:hanging="360"/>
      </w:pPr>
      <w:rPr>
        <w:rFonts w:ascii="Symbol" w:hAnsi="Symbol" w:hint="default"/>
      </w:rPr>
    </w:lvl>
    <w:lvl w:ilvl="1" w:tplc="0C090003" w:tentative="1">
      <w:start w:val="1"/>
      <w:numFmt w:val="bullet"/>
      <w:lvlText w:val="o"/>
      <w:lvlJc w:val="left"/>
      <w:pPr>
        <w:ind w:left="1484" w:hanging="360"/>
      </w:pPr>
      <w:rPr>
        <w:rFonts w:ascii="Courier New" w:hAnsi="Courier New" w:cs="Courier New" w:hint="default"/>
      </w:rPr>
    </w:lvl>
    <w:lvl w:ilvl="2" w:tplc="0C090005" w:tentative="1">
      <w:start w:val="1"/>
      <w:numFmt w:val="bullet"/>
      <w:lvlText w:val=""/>
      <w:lvlJc w:val="left"/>
      <w:pPr>
        <w:ind w:left="2204" w:hanging="360"/>
      </w:pPr>
      <w:rPr>
        <w:rFonts w:ascii="Wingdings" w:hAnsi="Wingdings" w:hint="default"/>
      </w:rPr>
    </w:lvl>
    <w:lvl w:ilvl="3" w:tplc="0C090001" w:tentative="1">
      <w:start w:val="1"/>
      <w:numFmt w:val="bullet"/>
      <w:lvlText w:val=""/>
      <w:lvlJc w:val="left"/>
      <w:pPr>
        <w:ind w:left="2924" w:hanging="360"/>
      </w:pPr>
      <w:rPr>
        <w:rFonts w:ascii="Symbol" w:hAnsi="Symbol" w:hint="default"/>
      </w:rPr>
    </w:lvl>
    <w:lvl w:ilvl="4" w:tplc="0C090003" w:tentative="1">
      <w:start w:val="1"/>
      <w:numFmt w:val="bullet"/>
      <w:lvlText w:val="o"/>
      <w:lvlJc w:val="left"/>
      <w:pPr>
        <w:ind w:left="3644" w:hanging="360"/>
      </w:pPr>
      <w:rPr>
        <w:rFonts w:ascii="Courier New" w:hAnsi="Courier New" w:cs="Courier New" w:hint="default"/>
      </w:rPr>
    </w:lvl>
    <w:lvl w:ilvl="5" w:tplc="0C090005" w:tentative="1">
      <w:start w:val="1"/>
      <w:numFmt w:val="bullet"/>
      <w:lvlText w:val=""/>
      <w:lvlJc w:val="left"/>
      <w:pPr>
        <w:ind w:left="4364" w:hanging="360"/>
      </w:pPr>
      <w:rPr>
        <w:rFonts w:ascii="Wingdings" w:hAnsi="Wingdings" w:hint="default"/>
      </w:rPr>
    </w:lvl>
    <w:lvl w:ilvl="6" w:tplc="0C090001" w:tentative="1">
      <w:start w:val="1"/>
      <w:numFmt w:val="bullet"/>
      <w:lvlText w:val=""/>
      <w:lvlJc w:val="left"/>
      <w:pPr>
        <w:ind w:left="5084" w:hanging="360"/>
      </w:pPr>
      <w:rPr>
        <w:rFonts w:ascii="Symbol" w:hAnsi="Symbol" w:hint="default"/>
      </w:rPr>
    </w:lvl>
    <w:lvl w:ilvl="7" w:tplc="0C090003" w:tentative="1">
      <w:start w:val="1"/>
      <w:numFmt w:val="bullet"/>
      <w:lvlText w:val="o"/>
      <w:lvlJc w:val="left"/>
      <w:pPr>
        <w:ind w:left="5804" w:hanging="360"/>
      </w:pPr>
      <w:rPr>
        <w:rFonts w:ascii="Courier New" w:hAnsi="Courier New" w:cs="Courier New" w:hint="default"/>
      </w:rPr>
    </w:lvl>
    <w:lvl w:ilvl="8" w:tplc="0C090005" w:tentative="1">
      <w:start w:val="1"/>
      <w:numFmt w:val="bullet"/>
      <w:lvlText w:val=""/>
      <w:lvlJc w:val="left"/>
      <w:pPr>
        <w:ind w:left="6524" w:hanging="360"/>
      </w:pPr>
      <w:rPr>
        <w:rFonts w:ascii="Wingdings" w:hAnsi="Wingdings" w:hint="default"/>
      </w:rPr>
    </w:lvl>
  </w:abstractNum>
  <w:abstractNum w:abstractNumId="16" w15:restartNumberingAfterBreak="0">
    <w:nsid w:val="5B687294"/>
    <w:multiLevelType w:val="multilevel"/>
    <w:tmpl w:val="BC6CEC38"/>
    <w:styleLink w:val="BoxList"/>
    <w:lvl w:ilvl="0">
      <w:start w:val="1"/>
      <w:numFmt w:val="decimal"/>
      <w:suff w:val="space"/>
      <w:lvlText w:val="Box %1 —"/>
      <w:lvlJc w:val="left"/>
      <w:pPr>
        <w:ind w:left="360" w:hanging="360"/>
      </w:pPr>
      <w:rPr>
        <w:rFonts w:hint="default"/>
      </w:rPr>
    </w:lvl>
    <w:lvl w:ilvl="1">
      <w:start w:val="1"/>
      <w:numFmt w:val="decimal"/>
      <w:suff w:val="space"/>
      <w:lvlText w:val="Box %1.%2 —"/>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0E1502C"/>
    <w:multiLevelType w:val="multilevel"/>
    <w:tmpl w:val="FF8069A4"/>
    <w:styleLink w:val="Bullets"/>
    <w:lvl w:ilvl="0">
      <w:start w:val="1"/>
      <w:numFmt w:val="bullet"/>
      <w:pStyle w:val="ListBullet"/>
      <w:lvlText w:val="•"/>
      <w:lvlJc w:val="left"/>
      <w:pPr>
        <w:ind w:left="227" w:hanging="227"/>
      </w:pPr>
      <w:rPr>
        <w:rFonts w:ascii="Open Sans" w:hAnsi="Open Sans" w:cs="Times New Roman" w:hint="default"/>
        <w:color w:val="auto"/>
      </w:rPr>
    </w:lvl>
    <w:lvl w:ilvl="1">
      <w:start w:val="1"/>
      <w:numFmt w:val="bullet"/>
      <w:pStyle w:val="ListBullet2"/>
      <w:lvlText w:val="–"/>
      <w:lvlJc w:val="left"/>
      <w:pPr>
        <w:ind w:left="454" w:hanging="227"/>
      </w:pPr>
      <w:rPr>
        <w:rFonts w:ascii="Arial" w:hAnsi="Arial" w:hint="default"/>
        <w:color w:val="auto"/>
      </w:rPr>
    </w:lvl>
    <w:lvl w:ilvl="2">
      <w:start w:val="1"/>
      <w:numFmt w:val="bullet"/>
      <w:pStyle w:val="ListBullet3"/>
      <w:lvlText w:val="»"/>
      <w:lvlJc w:val="left"/>
      <w:pPr>
        <w:ind w:left="907" w:hanging="227"/>
      </w:pPr>
      <w:rPr>
        <w:rFonts w:ascii="Arial" w:hAnsi="Arial" w:hint="default"/>
        <w:color w:val="auto"/>
      </w:rPr>
    </w:lvl>
    <w:lvl w:ilvl="3">
      <w:start w:val="1"/>
      <w:numFmt w:val="bullet"/>
      <w:lvlText w:val="–"/>
      <w:lvlJc w:val="left"/>
      <w:pPr>
        <w:tabs>
          <w:tab w:val="num" w:pos="851"/>
        </w:tabs>
        <w:ind w:left="907" w:hanging="227"/>
      </w:pPr>
      <w:rPr>
        <w:rFonts w:ascii="Arial" w:hAnsi="Arial" w:hint="default"/>
        <w:color w:val="auto"/>
      </w:rPr>
    </w:lvl>
    <w:lvl w:ilvl="4">
      <w:start w:val="1"/>
      <w:numFmt w:val="bullet"/>
      <w:lvlText w:val="–"/>
      <w:lvlJc w:val="left"/>
      <w:pPr>
        <w:ind w:left="1134" w:hanging="227"/>
      </w:pPr>
      <w:rPr>
        <w:rFonts w:ascii="Arial" w:hAnsi="Arial" w:hint="default"/>
        <w:color w:val="auto"/>
      </w:rPr>
    </w:lvl>
    <w:lvl w:ilvl="5">
      <w:start w:val="1"/>
      <w:numFmt w:val="bullet"/>
      <w:lvlText w:val="–"/>
      <w:lvlJc w:val="left"/>
      <w:pPr>
        <w:ind w:left="1361" w:hanging="227"/>
      </w:pPr>
      <w:rPr>
        <w:rFonts w:ascii="Arial" w:hAnsi="Arial" w:hint="default"/>
      </w:rPr>
    </w:lvl>
    <w:lvl w:ilvl="6">
      <w:start w:val="1"/>
      <w:numFmt w:val="bullet"/>
      <w:lvlText w:val="–"/>
      <w:lvlJc w:val="left"/>
      <w:pPr>
        <w:ind w:left="1588" w:hanging="227"/>
      </w:pPr>
      <w:rPr>
        <w:rFonts w:ascii="Arial" w:hAnsi="Arial" w:hint="default"/>
      </w:rPr>
    </w:lvl>
    <w:lvl w:ilvl="7">
      <w:start w:val="1"/>
      <w:numFmt w:val="bullet"/>
      <w:lvlText w:val="–"/>
      <w:lvlJc w:val="left"/>
      <w:pPr>
        <w:ind w:left="1814" w:hanging="226"/>
      </w:pPr>
      <w:rPr>
        <w:rFonts w:ascii="Arial" w:hAnsi="Arial" w:hint="default"/>
      </w:rPr>
    </w:lvl>
    <w:lvl w:ilvl="8">
      <w:start w:val="1"/>
      <w:numFmt w:val="bullet"/>
      <w:lvlText w:val="–"/>
      <w:lvlJc w:val="left"/>
      <w:pPr>
        <w:tabs>
          <w:tab w:val="num" w:pos="2211"/>
        </w:tabs>
        <w:ind w:left="2041" w:hanging="227"/>
      </w:pPr>
      <w:rPr>
        <w:rFonts w:ascii="Arial" w:hAnsi="Arial" w:hint="default"/>
      </w:rPr>
    </w:lvl>
  </w:abstractNum>
  <w:abstractNum w:abstractNumId="18" w15:restartNumberingAfterBreak="0">
    <w:nsid w:val="6134636A"/>
    <w:multiLevelType w:val="multilevel"/>
    <w:tmpl w:val="1FA8DC2A"/>
    <w:numStyleLink w:val="Numbering"/>
  </w:abstractNum>
  <w:abstractNum w:abstractNumId="19" w15:restartNumberingAfterBreak="0">
    <w:nsid w:val="65FB134E"/>
    <w:multiLevelType w:val="multilevel"/>
    <w:tmpl w:val="7EB43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7EB6AB0"/>
    <w:multiLevelType w:val="multilevel"/>
    <w:tmpl w:val="FF8069A4"/>
    <w:numStyleLink w:val="Bullets"/>
  </w:abstractNum>
  <w:abstractNum w:abstractNumId="21" w15:restartNumberingAfterBreak="0">
    <w:nsid w:val="754A76A0"/>
    <w:multiLevelType w:val="multilevel"/>
    <w:tmpl w:val="3D2065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61B4A1B"/>
    <w:multiLevelType w:val="multilevel"/>
    <w:tmpl w:val="4F48000A"/>
    <w:numStyleLink w:val="Alphalist"/>
  </w:abstractNum>
  <w:num w:numId="1" w16cid:durableId="217400513">
    <w:abstractNumId w:val="5"/>
  </w:num>
  <w:num w:numId="2" w16cid:durableId="1836141820">
    <w:abstractNumId w:val="2"/>
  </w:num>
  <w:num w:numId="3" w16cid:durableId="918251191">
    <w:abstractNumId w:val="9"/>
  </w:num>
  <w:num w:numId="4" w16cid:durableId="1393041411">
    <w:abstractNumId w:val="16"/>
  </w:num>
  <w:num w:numId="5" w16cid:durableId="1485507185">
    <w:abstractNumId w:val="17"/>
  </w:num>
  <w:num w:numId="6" w16cid:durableId="1134833742">
    <w:abstractNumId w:val="14"/>
  </w:num>
  <w:num w:numId="7" w16cid:durableId="1176113587">
    <w:abstractNumId w:val="11"/>
  </w:num>
  <w:num w:numId="8" w16cid:durableId="1768497116">
    <w:abstractNumId w:val="7"/>
  </w:num>
  <w:num w:numId="9" w16cid:durableId="618491409">
    <w:abstractNumId w:val="10"/>
  </w:num>
  <w:num w:numId="10" w16cid:durableId="1819154538">
    <w:abstractNumId w:val="22"/>
  </w:num>
  <w:num w:numId="11" w16cid:durableId="1289169046">
    <w:abstractNumId w:val="0"/>
  </w:num>
  <w:num w:numId="12" w16cid:durableId="993023534">
    <w:abstractNumId w:val="3"/>
  </w:num>
  <w:num w:numId="13" w16cid:durableId="50931136">
    <w:abstractNumId w:val="8"/>
  </w:num>
  <w:num w:numId="14" w16cid:durableId="1830562626">
    <w:abstractNumId w:val="4"/>
  </w:num>
  <w:num w:numId="15" w16cid:durableId="302930530">
    <w:abstractNumId w:val="20"/>
  </w:num>
  <w:num w:numId="16" w16cid:durableId="466123832">
    <w:abstractNumId w:val="1"/>
  </w:num>
  <w:num w:numId="17" w16cid:durableId="1000963506">
    <w:abstractNumId w:val="13"/>
  </w:num>
  <w:num w:numId="18" w16cid:durableId="385690878">
    <w:abstractNumId w:val="15"/>
  </w:num>
  <w:num w:numId="19" w16cid:durableId="40595994">
    <w:abstractNumId w:val="19"/>
  </w:num>
  <w:num w:numId="20" w16cid:durableId="387342212">
    <w:abstractNumId w:val="12"/>
  </w:num>
  <w:num w:numId="21" w16cid:durableId="92556051">
    <w:abstractNumId w:val="18"/>
  </w:num>
  <w:num w:numId="22" w16cid:durableId="2132361831">
    <w:abstractNumId w:val="21"/>
  </w:num>
  <w:num w:numId="23" w16cid:durableId="1794665776">
    <w:abstractNumId w:val="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0B7"/>
    <w:rsid w:val="00000075"/>
    <w:rsid w:val="0000065B"/>
    <w:rsid w:val="00000F3C"/>
    <w:rsid w:val="0000145B"/>
    <w:rsid w:val="000022C4"/>
    <w:rsid w:val="00002542"/>
    <w:rsid w:val="00002F2A"/>
    <w:rsid w:val="00003170"/>
    <w:rsid w:val="0000333B"/>
    <w:rsid w:val="0000347C"/>
    <w:rsid w:val="000034BB"/>
    <w:rsid w:val="00004489"/>
    <w:rsid w:val="00005C79"/>
    <w:rsid w:val="00005EAA"/>
    <w:rsid w:val="0000660C"/>
    <w:rsid w:val="0000716E"/>
    <w:rsid w:val="0000724F"/>
    <w:rsid w:val="00011F5A"/>
    <w:rsid w:val="00012629"/>
    <w:rsid w:val="00012B52"/>
    <w:rsid w:val="00012C96"/>
    <w:rsid w:val="00013479"/>
    <w:rsid w:val="00013897"/>
    <w:rsid w:val="00013DDC"/>
    <w:rsid w:val="00013E04"/>
    <w:rsid w:val="000145A5"/>
    <w:rsid w:val="000149A8"/>
    <w:rsid w:val="0001532E"/>
    <w:rsid w:val="00015775"/>
    <w:rsid w:val="0001680A"/>
    <w:rsid w:val="00020D20"/>
    <w:rsid w:val="00021A71"/>
    <w:rsid w:val="00021BB8"/>
    <w:rsid w:val="00021DCE"/>
    <w:rsid w:val="00021F7A"/>
    <w:rsid w:val="00022AA1"/>
    <w:rsid w:val="0002312A"/>
    <w:rsid w:val="00023220"/>
    <w:rsid w:val="00023482"/>
    <w:rsid w:val="00023597"/>
    <w:rsid w:val="000254C2"/>
    <w:rsid w:val="000256BD"/>
    <w:rsid w:val="00025BA4"/>
    <w:rsid w:val="000265CB"/>
    <w:rsid w:val="0002669C"/>
    <w:rsid w:val="00026C04"/>
    <w:rsid w:val="00026E59"/>
    <w:rsid w:val="00027147"/>
    <w:rsid w:val="000300AF"/>
    <w:rsid w:val="00030B56"/>
    <w:rsid w:val="000319E9"/>
    <w:rsid w:val="0003257D"/>
    <w:rsid w:val="00032871"/>
    <w:rsid w:val="000331E4"/>
    <w:rsid w:val="0003338D"/>
    <w:rsid w:val="00033619"/>
    <w:rsid w:val="00034CDA"/>
    <w:rsid w:val="000355ED"/>
    <w:rsid w:val="000356CE"/>
    <w:rsid w:val="00035CB4"/>
    <w:rsid w:val="000370E2"/>
    <w:rsid w:val="00037201"/>
    <w:rsid w:val="0003762C"/>
    <w:rsid w:val="000408F8"/>
    <w:rsid w:val="00041FF2"/>
    <w:rsid w:val="000420CE"/>
    <w:rsid w:val="0004228F"/>
    <w:rsid w:val="00042455"/>
    <w:rsid w:val="00042749"/>
    <w:rsid w:val="000428EF"/>
    <w:rsid w:val="00042B77"/>
    <w:rsid w:val="00042E98"/>
    <w:rsid w:val="00043B76"/>
    <w:rsid w:val="00043BB2"/>
    <w:rsid w:val="00043C1F"/>
    <w:rsid w:val="00044678"/>
    <w:rsid w:val="00044AE7"/>
    <w:rsid w:val="00044E54"/>
    <w:rsid w:val="0004561A"/>
    <w:rsid w:val="00045979"/>
    <w:rsid w:val="00046C57"/>
    <w:rsid w:val="00046FD3"/>
    <w:rsid w:val="00047894"/>
    <w:rsid w:val="0005151B"/>
    <w:rsid w:val="00052281"/>
    <w:rsid w:val="00052E7E"/>
    <w:rsid w:val="00053749"/>
    <w:rsid w:val="00053811"/>
    <w:rsid w:val="000548AD"/>
    <w:rsid w:val="00054C95"/>
    <w:rsid w:val="000561CF"/>
    <w:rsid w:val="00057028"/>
    <w:rsid w:val="0005708A"/>
    <w:rsid w:val="000570A3"/>
    <w:rsid w:val="000575A3"/>
    <w:rsid w:val="000575F1"/>
    <w:rsid w:val="0005774F"/>
    <w:rsid w:val="000602A9"/>
    <w:rsid w:val="0006037A"/>
    <w:rsid w:val="000604F0"/>
    <w:rsid w:val="000606C7"/>
    <w:rsid w:val="00061B0A"/>
    <w:rsid w:val="00061B12"/>
    <w:rsid w:val="00061F8C"/>
    <w:rsid w:val="000625A9"/>
    <w:rsid w:val="00062A44"/>
    <w:rsid w:val="00062BA5"/>
    <w:rsid w:val="00062D26"/>
    <w:rsid w:val="00063849"/>
    <w:rsid w:val="00063BB2"/>
    <w:rsid w:val="00063E6D"/>
    <w:rsid w:val="00064818"/>
    <w:rsid w:val="00064A8D"/>
    <w:rsid w:val="00065F12"/>
    <w:rsid w:val="0006635D"/>
    <w:rsid w:val="0006677E"/>
    <w:rsid w:val="00066B27"/>
    <w:rsid w:val="000672E5"/>
    <w:rsid w:val="00067853"/>
    <w:rsid w:val="00067B89"/>
    <w:rsid w:val="000702ED"/>
    <w:rsid w:val="0007036C"/>
    <w:rsid w:val="000706A9"/>
    <w:rsid w:val="00071A48"/>
    <w:rsid w:val="000724AE"/>
    <w:rsid w:val="00072A2B"/>
    <w:rsid w:val="00073377"/>
    <w:rsid w:val="00073FFA"/>
    <w:rsid w:val="000745C9"/>
    <w:rsid w:val="00074834"/>
    <w:rsid w:val="00074885"/>
    <w:rsid w:val="00074977"/>
    <w:rsid w:val="00075B72"/>
    <w:rsid w:val="00075CD7"/>
    <w:rsid w:val="0007670C"/>
    <w:rsid w:val="00076755"/>
    <w:rsid w:val="000769E8"/>
    <w:rsid w:val="00076C67"/>
    <w:rsid w:val="00076E16"/>
    <w:rsid w:val="0007715C"/>
    <w:rsid w:val="000773FA"/>
    <w:rsid w:val="000776BF"/>
    <w:rsid w:val="0007776A"/>
    <w:rsid w:val="00077921"/>
    <w:rsid w:val="00077A76"/>
    <w:rsid w:val="0008037D"/>
    <w:rsid w:val="00080C95"/>
    <w:rsid w:val="00080FC7"/>
    <w:rsid w:val="00081067"/>
    <w:rsid w:val="000810A3"/>
    <w:rsid w:val="000815CF"/>
    <w:rsid w:val="00081CA0"/>
    <w:rsid w:val="00081CFB"/>
    <w:rsid w:val="000827FB"/>
    <w:rsid w:val="00082EB8"/>
    <w:rsid w:val="00082EE1"/>
    <w:rsid w:val="000831F8"/>
    <w:rsid w:val="00083BCC"/>
    <w:rsid w:val="00083F7E"/>
    <w:rsid w:val="00084660"/>
    <w:rsid w:val="00084F93"/>
    <w:rsid w:val="000850DF"/>
    <w:rsid w:val="00085835"/>
    <w:rsid w:val="00085C0B"/>
    <w:rsid w:val="00085DEE"/>
    <w:rsid w:val="00085FB9"/>
    <w:rsid w:val="00086AF8"/>
    <w:rsid w:val="00086CE4"/>
    <w:rsid w:val="00087208"/>
    <w:rsid w:val="0008740A"/>
    <w:rsid w:val="00087468"/>
    <w:rsid w:val="00087AA7"/>
    <w:rsid w:val="000902FC"/>
    <w:rsid w:val="00090347"/>
    <w:rsid w:val="00090718"/>
    <w:rsid w:val="0009074C"/>
    <w:rsid w:val="00091286"/>
    <w:rsid w:val="000915C0"/>
    <w:rsid w:val="0009168A"/>
    <w:rsid w:val="000917D5"/>
    <w:rsid w:val="00091DF8"/>
    <w:rsid w:val="00092762"/>
    <w:rsid w:val="00092818"/>
    <w:rsid w:val="00092D91"/>
    <w:rsid w:val="0009302D"/>
    <w:rsid w:val="000930BB"/>
    <w:rsid w:val="000930ED"/>
    <w:rsid w:val="000935DD"/>
    <w:rsid w:val="00093B0D"/>
    <w:rsid w:val="00094096"/>
    <w:rsid w:val="00094B9B"/>
    <w:rsid w:val="000951C6"/>
    <w:rsid w:val="00095B16"/>
    <w:rsid w:val="00095C71"/>
    <w:rsid w:val="00095D6A"/>
    <w:rsid w:val="000960A6"/>
    <w:rsid w:val="0009616F"/>
    <w:rsid w:val="000964B1"/>
    <w:rsid w:val="000969F2"/>
    <w:rsid w:val="00096D42"/>
    <w:rsid w:val="00096D4F"/>
    <w:rsid w:val="00097119"/>
    <w:rsid w:val="0009733D"/>
    <w:rsid w:val="0009760A"/>
    <w:rsid w:val="0009787B"/>
    <w:rsid w:val="000979E3"/>
    <w:rsid w:val="00097B23"/>
    <w:rsid w:val="00097ECA"/>
    <w:rsid w:val="000A0A7B"/>
    <w:rsid w:val="000A0F08"/>
    <w:rsid w:val="000A1129"/>
    <w:rsid w:val="000A118D"/>
    <w:rsid w:val="000A1192"/>
    <w:rsid w:val="000A1B8D"/>
    <w:rsid w:val="000A22FF"/>
    <w:rsid w:val="000A2324"/>
    <w:rsid w:val="000A2897"/>
    <w:rsid w:val="000A298B"/>
    <w:rsid w:val="000A2B7E"/>
    <w:rsid w:val="000A38AA"/>
    <w:rsid w:val="000A3C21"/>
    <w:rsid w:val="000A4D00"/>
    <w:rsid w:val="000A4FC0"/>
    <w:rsid w:val="000A57C5"/>
    <w:rsid w:val="000A5C52"/>
    <w:rsid w:val="000A5CBB"/>
    <w:rsid w:val="000A62A8"/>
    <w:rsid w:val="000A6902"/>
    <w:rsid w:val="000A7481"/>
    <w:rsid w:val="000A753D"/>
    <w:rsid w:val="000B0134"/>
    <w:rsid w:val="000B0191"/>
    <w:rsid w:val="000B0448"/>
    <w:rsid w:val="000B0669"/>
    <w:rsid w:val="000B1218"/>
    <w:rsid w:val="000B1D2F"/>
    <w:rsid w:val="000B201B"/>
    <w:rsid w:val="000B25D9"/>
    <w:rsid w:val="000B2872"/>
    <w:rsid w:val="000B2ED8"/>
    <w:rsid w:val="000B30E7"/>
    <w:rsid w:val="000B457B"/>
    <w:rsid w:val="000B4704"/>
    <w:rsid w:val="000B497F"/>
    <w:rsid w:val="000B49F8"/>
    <w:rsid w:val="000B4A72"/>
    <w:rsid w:val="000B5105"/>
    <w:rsid w:val="000B5AD4"/>
    <w:rsid w:val="000B6BFF"/>
    <w:rsid w:val="000B6EE2"/>
    <w:rsid w:val="000B7294"/>
    <w:rsid w:val="000B7390"/>
    <w:rsid w:val="000B7A12"/>
    <w:rsid w:val="000B7F58"/>
    <w:rsid w:val="000C0222"/>
    <w:rsid w:val="000C0F7F"/>
    <w:rsid w:val="000C11C2"/>
    <w:rsid w:val="000C124F"/>
    <w:rsid w:val="000C17A9"/>
    <w:rsid w:val="000C2BB8"/>
    <w:rsid w:val="000C2BCD"/>
    <w:rsid w:val="000C4E87"/>
    <w:rsid w:val="000C4F08"/>
    <w:rsid w:val="000C5560"/>
    <w:rsid w:val="000C584D"/>
    <w:rsid w:val="000C6A33"/>
    <w:rsid w:val="000C6B77"/>
    <w:rsid w:val="000C70A8"/>
    <w:rsid w:val="000C7600"/>
    <w:rsid w:val="000C7B35"/>
    <w:rsid w:val="000D0401"/>
    <w:rsid w:val="000D2256"/>
    <w:rsid w:val="000D22E3"/>
    <w:rsid w:val="000D2339"/>
    <w:rsid w:val="000D23F7"/>
    <w:rsid w:val="000D2547"/>
    <w:rsid w:val="000D32E9"/>
    <w:rsid w:val="000D34C2"/>
    <w:rsid w:val="000D39BE"/>
    <w:rsid w:val="000D406A"/>
    <w:rsid w:val="000D449C"/>
    <w:rsid w:val="000D6E3E"/>
    <w:rsid w:val="000D7110"/>
    <w:rsid w:val="000D76B7"/>
    <w:rsid w:val="000E01CF"/>
    <w:rsid w:val="000E0420"/>
    <w:rsid w:val="000E0782"/>
    <w:rsid w:val="000E1CC2"/>
    <w:rsid w:val="000E26AE"/>
    <w:rsid w:val="000E31C5"/>
    <w:rsid w:val="000E43B0"/>
    <w:rsid w:val="000E44AA"/>
    <w:rsid w:val="000E4E51"/>
    <w:rsid w:val="000E4F5D"/>
    <w:rsid w:val="000E5848"/>
    <w:rsid w:val="000E5A39"/>
    <w:rsid w:val="000E5DE8"/>
    <w:rsid w:val="000E69AA"/>
    <w:rsid w:val="000E705D"/>
    <w:rsid w:val="000E7A53"/>
    <w:rsid w:val="000E7B6E"/>
    <w:rsid w:val="000F05E7"/>
    <w:rsid w:val="000F0C08"/>
    <w:rsid w:val="000F171A"/>
    <w:rsid w:val="000F1794"/>
    <w:rsid w:val="000F20C8"/>
    <w:rsid w:val="000F25C0"/>
    <w:rsid w:val="000F3A0D"/>
    <w:rsid w:val="000F3C0A"/>
    <w:rsid w:val="000F3DFD"/>
    <w:rsid w:val="000F3F28"/>
    <w:rsid w:val="000F4285"/>
    <w:rsid w:val="000F444A"/>
    <w:rsid w:val="000F4488"/>
    <w:rsid w:val="000F53B5"/>
    <w:rsid w:val="000F5BAF"/>
    <w:rsid w:val="000F5BEA"/>
    <w:rsid w:val="000F5F6C"/>
    <w:rsid w:val="000F6592"/>
    <w:rsid w:val="000F6A19"/>
    <w:rsid w:val="000F6A9F"/>
    <w:rsid w:val="000F70F0"/>
    <w:rsid w:val="000F7C57"/>
    <w:rsid w:val="0010002E"/>
    <w:rsid w:val="001002CD"/>
    <w:rsid w:val="00100328"/>
    <w:rsid w:val="00100553"/>
    <w:rsid w:val="00100CD4"/>
    <w:rsid w:val="00100F50"/>
    <w:rsid w:val="00100FAB"/>
    <w:rsid w:val="0010233A"/>
    <w:rsid w:val="0010253A"/>
    <w:rsid w:val="00102D5B"/>
    <w:rsid w:val="00103C60"/>
    <w:rsid w:val="00104813"/>
    <w:rsid w:val="001050F4"/>
    <w:rsid w:val="00105462"/>
    <w:rsid w:val="0010567E"/>
    <w:rsid w:val="00106041"/>
    <w:rsid w:val="0010622E"/>
    <w:rsid w:val="001068D5"/>
    <w:rsid w:val="0010715F"/>
    <w:rsid w:val="00107B52"/>
    <w:rsid w:val="00107C8D"/>
    <w:rsid w:val="001100BD"/>
    <w:rsid w:val="001101AC"/>
    <w:rsid w:val="001109EF"/>
    <w:rsid w:val="00111290"/>
    <w:rsid w:val="001115B4"/>
    <w:rsid w:val="001117DC"/>
    <w:rsid w:val="001119F3"/>
    <w:rsid w:val="00111AE6"/>
    <w:rsid w:val="00111E1C"/>
    <w:rsid w:val="0011217E"/>
    <w:rsid w:val="0011260C"/>
    <w:rsid w:val="001128EA"/>
    <w:rsid w:val="00112B32"/>
    <w:rsid w:val="00112BBE"/>
    <w:rsid w:val="00112DE3"/>
    <w:rsid w:val="00112E8F"/>
    <w:rsid w:val="001133FC"/>
    <w:rsid w:val="001144FA"/>
    <w:rsid w:val="001148F7"/>
    <w:rsid w:val="00114D78"/>
    <w:rsid w:val="00114E9C"/>
    <w:rsid w:val="001153C9"/>
    <w:rsid w:val="001154A4"/>
    <w:rsid w:val="00115CC5"/>
    <w:rsid w:val="00115FE0"/>
    <w:rsid w:val="001170F0"/>
    <w:rsid w:val="00120048"/>
    <w:rsid w:val="001202E4"/>
    <w:rsid w:val="00120792"/>
    <w:rsid w:val="00122E3F"/>
    <w:rsid w:val="0012343D"/>
    <w:rsid w:val="0012389A"/>
    <w:rsid w:val="0012400B"/>
    <w:rsid w:val="00124648"/>
    <w:rsid w:val="001249EB"/>
    <w:rsid w:val="00125EC4"/>
    <w:rsid w:val="001261C1"/>
    <w:rsid w:val="00126481"/>
    <w:rsid w:val="001268BC"/>
    <w:rsid w:val="001269B8"/>
    <w:rsid w:val="00127C86"/>
    <w:rsid w:val="00127E8E"/>
    <w:rsid w:val="0013069F"/>
    <w:rsid w:val="0013080E"/>
    <w:rsid w:val="001308C6"/>
    <w:rsid w:val="00130C98"/>
    <w:rsid w:val="00132275"/>
    <w:rsid w:val="001327E3"/>
    <w:rsid w:val="0013281C"/>
    <w:rsid w:val="001329CE"/>
    <w:rsid w:val="0013327A"/>
    <w:rsid w:val="001333CC"/>
    <w:rsid w:val="001335AE"/>
    <w:rsid w:val="00135962"/>
    <w:rsid w:val="00135B62"/>
    <w:rsid w:val="00136502"/>
    <w:rsid w:val="00136EDF"/>
    <w:rsid w:val="0013722E"/>
    <w:rsid w:val="00137399"/>
    <w:rsid w:val="001374E3"/>
    <w:rsid w:val="00137FAB"/>
    <w:rsid w:val="001403B8"/>
    <w:rsid w:val="00140725"/>
    <w:rsid w:val="00140E39"/>
    <w:rsid w:val="0014135F"/>
    <w:rsid w:val="001414A1"/>
    <w:rsid w:val="00141A4F"/>
    <w:rsid w:val="00141B62"/>
    <w:rsid w:val="001422E1"/>
    <w:rsid w:val="00142A1F"/>
    <w:rsid w:val="0014355B"/>
    <w:rsid w:val="00144202"/>
    <w:rsid w:val="0014432E"/>
    <w:rsid w:val="0014646D"/>
    <w:rsid w:val="00146941"/>
    <w:rsid w:val="00147B47"/>
    <w:rsid w:val="00147E8C"/>
    <w:rsid w:val="00147EBE"/>
    <w:rsid w:val="00150087"/>
    <w:rsid w:val="001502A4"/>
    <w:rsid w:val="0015054E"/>
    <w:rsid w:val="001505EC"/>
    <w:rsid w:val="00151FAC"/>
    <w:rsid w:val="00152AC9"/>
    <w:rsid w:val="00152ADA"/>
    <w:rsid w:val="00152B9C"/>
    <w:rsid w:val="00152C12"/>
    <w:rsid w:val="00152CC6"/>
    <w:rsid w:val="00152F1B"/>
    <w:rsid w:val="00152FE0"/>
    <w:rsid w:val="001535ED"/>
    <w:rsid w:val="001537A4"/>
    <w:rsid w:val="00153DA1"/>
    <w:rsid w:val="00153DD5"/>
    <w:rsid w:val="001545AE"/>
    <w:rsid w:val="00154D70"/>
    <w:rsid w:val="00154E0D"/>
    <w:rsid w:val="00155364"/>
    <w:rsid w:val="0015586D"/>
    <w:rsid w:val="001558A9"/>
    <w:rsid w:val="001566DB"/>
    <w:rsid w:val="00157375"/>
    <w:rsid w:val="00157922"/>
    <w:rsid w:val="001600E9"/>
    <w:rsid w:val="00160C41"/>
    <w:rsid w:val="00160FEC"/>
    <w:rsid w:val="001610E5"/>
    <w:rsid w:val="001615B5"/>
    <w:rsid w:val="00161686"/>
    <w:rsid w:val="00161BC8"/>
    <w:rsid w:val="00161CBB"/>
    <w:rsid w:val="00161EF6"/>
    <w:rsid w:val="00161F1C"/>
    <w:rsid w:val="0016226A"/>
    <w:rsid w:val="00162563"/>
    <w:rsid w:val="00162EE3"/>
    <w:rsid w:val="001634C9"/>
    <w:rsid w:val="00164DF7"/>
    <w:rsid w:val="001650BE"/>
    <w:rsid w:val="001657D0"/>
    <w:rsid w:val="00166262"/>
    <w:rsid w:val="001667B2"/>
    <w:rsid w:val="00166F3E"/>
    <w:rsid w:val="00170259"/>
    <w:rsid w:val="0017029A"/>
    <w:rsid w:val="00170B3C"/>
    <w:rsid w:val="001712DE"/>
    <w:rsid w:val="00171306"/>
    <w:rsid w:val="001714F3"/>
    <w:rsid w:val="001715E0"/>
    <w:rsid w:val="001716C4"/>
    <w:rsid w:val="001720DF"/>
    <w:rsid w:val="00172F19"/>
    <w:rsid w:val="0017428B"/>
    <w:rsid w:val="00174672"/>
    <w:rsid w:val="00175272"/>
    <w:rsid w:val="00175798"/>
    <w:rsid w:val="00175F8C"/>
    <w:rsid w:val="001766FB"/>
    <w:rsid w:val="001767CC"/>
    <w:rsid w:val="00180117"/>
    <w:rsid w:val="00180CBD"/>
    <w:rsid w:val="00180DA2"/>
    <w:rsid w:val="00181CED"/>
    <w:rsid w:val="00182045"/>
    <w:rsid w:val="00182450"/>
    <w:rsid w:val="00182931"/>
    <w:rsid w:val="00182940"/>
    <w:rsid w:val="00182A32"/>
    <w:rsid w:val="00182E13"/>
    <w:rsid w:val="00183072"/>
    <w:rsid w:val="001834FC"/>
    <w:rsid w:val="00183AD1"/>
    <w:rsid w:val="001849CC"/>
    <w:rsid w:val="00184A04"/>
    <w:rsid w:val="0018503D"/>
    <w:rsid w:val="001850BF"/>
    <w:rsid w:val="00186026"/>
    <w:rsid w:val="00186514"/>
    <w:rsid w:val="001866A1"/>
    <w:rsid w:val="00186DE6"/>
    <w:rsid w:val="0018722C"/>
    <w:rsid w:val="001879BB"/>
    <w:rsid w:val="00187A67"/>
    <w:rsid w:val="00187C87"/>
    <w:rsid w:val="00187F05"/>
    <w:rsid w:val="00190496"/>
    <w:rsid w:val="0019099C"/>
    <w:rsid w:val="0019145A"/>
    <w:rsid w:val="00191AC8"/>
    <w:rsid w:val="00192238"/>
    <w:rsid w:val="0019282F"/>
    <w:rsid w:val="00192EF3"/>
    <w:rsid w:val="001937A5"/>
    <w:rsid w:val="001953E1"/>
    <w:rsid w:val="001957BF"/>
    <w:rsid w:val="00195F25"/>
    <w:rsid w:val="00195F2D"/>
    <w:rsid w:val="001961D7"/>
    <w:rsid w:val="0019679C"/>
    <w:rsid w:val="001971D9"/>
    <w:rsid w:val="00197254"/>
    <w:rsid w:val="001974E7"/>
    <w:rsid w:val="001977E6"/>
    <w:rsid w:val="001A0B29"/>
    <w:rsid w:val="001A0CFE"/>
    <w:rsid w:val="001A0D77"/>
    <w:rsid w:val="001A1480"/>
    <w:rsid w:val="001A1639"/>
    <w:rsid w:val="001A196A"/>
    <w:rsid w:val="001A1D95"/>
    <w:rsid w:val="001A215A"/>
    <w:rsid w:val="001A2437"/>
    <w:rsid w:val="001A2565"/>
    <w:rsid w:val="001A28AD"/>
    <w:rsid w:val="001A290E"/>
    <w:rsid w:val="001A2D49"/>
    <w:rsid w:val="001A3170"/>
    <w:rsid w:val="001A37A2"/>
    <w:rsid w:val="001A398D"/>
    <w:rsid w:val="001A4970"/>
    <w:rsid w:val="001A49A7"/>
    <w:rsid w:val="001A51EF"/>
    <w:rsid w:val="001A52B0"/>
    <w:rsid w:val="001A5BA7"/>
    <w:rsid w:val="001A5BDB"/>
    <w:rsid w:val="001A72F0"/>
    <w:rsid w:val="001A7510"/>
    <w:rsid w:val="001A77FD"/>
    <w:rsid w:val="001A7CE7"/>
    <w:rsid w:val="001B00C2"/>
    <w:rsid w:val="001B0320"/>
    <w:rsid w:val="001B16B2"/>
    <w:rsid w:val="001B1762"/>
    <w:rsid w:val="001B17AC"/>
    <w:rsid w:val="001B272B"/>
    <w:rsid w:val="001B2BB3"/>
    <w:rsid w:val="001B2DDD"/>
    <w:rsid w:val="001B3C64"/>
    <w:rsid w:val="001B3F12"/>
    <w:rsid w:val="001B4288"/>
    <w:rsid w:val="001B4B5E"/>
    <w:rsid w:val="001B51B2"/>
    <w:rsid w:val="001B588D"/>
    <w:rsid w:val="001B59D7"/>
    <w:rsid w:val="001B625E"/>
    <w:rsid w:val="001B713D"/>
    <w:rsid w:val="001C0236"/>
    <w:rsid w:val="001C185A"/>
    <w:rsid w:val="001C1A93"/>
    <w:rsid w:val="001C1F92"/>
    <w:rsid w:val="001C21EE"/>
    <w:rsid w:val="001C2F1D"/>
    <w:rsid w:val="001C32DD"/>
    <w:rsid w:val="001C3374"/>
    <w:rsid w:val="001C356B"/>
    <w:rsid w:val="001C3800"/>
    <w:rsid w:val="001C48D8"/>
    <w:rsid w:val="001C528F"/>
    <w:rsid w:val="001C543F"/>
    <w:rsid w:val="001C6359"/>
    <w:rsid w:val="001C6B38"/>
    <w:rsid w:val="001C6DB6"/>
    <w:rsid w:val="001C7273"/>
    <w:rsid w:val="001C7835"/>
    <w:rsid w:val="001C7ACE"/>
    <w:rsid w:val="001C7C2A"/>
    <w:rsid w:val="001D0742"/>
    <w:rsid w:val="001D0870"/>
    <w:rsid w:val="001D129E"/>
    <w:rsid w:val="001D1CDF"/>
    <w:rsid w:val="001D25BA"/>
    <w:rsid w:val="001D2996"/>
    <w:rsid w:val="001D31FF"/>
    <w:rsid w:val="001D4050"/>
    <w:rsid w:val="001D4271"/>
    <w:rsid w:val="001D4406"/>
    <w:rsid w:val="001D4698"/>
    <w:rsid w:val="001D46C9"/>
    <w:rsid w:val="001D47B7"/>
    <w:rsid w:val="001D488B"/>
    <w:rsid w:val="001D4C10"/>
    <w:rsid w:val="001D534E"/>
    <w:rsid w:val="001D545B"/>
    <w:rsid w:val="001D5A3F"/>
    <w:rsid w:val="001D5E49"/>
    <w:rsid w:val="001D6416"/>
    <w:rsid w:val="001D72EE"/>
    <w:rsid w:val="001D7D9B"/>
    <w:rsid w:val="001D7ECA"/>
    <w:rsid w:val="001E04A6"/>
    <w:rsid w:val="001E09F3"/>
    <w:rsid w:val="001E0A10"/>
    <w:rsid w:val="001E0DBA"/>
    <w:rsid w:val="001E11F4"/>
    <w:rsid w:val="001E1521"/>
    <w:rsid w:val="001E1B84"/>
    <w:rsid w:val="001E21AC"/>
    <w:rsid w:val="001E266A"/>
    <w:rsid w:val="001E2C7F"/>
    <w:rsid w:val="001E2CC6"/>
    <w:rsid w:val="001E4298"/>
    <w:rsid w:val="001E505A"/>
    <w:rsid w:val="001E5185"/>
    <w:rsid w:val="001E5300"/>
    <w:rsid w:val="001E5425"/>
    <w:rsid w:val="001E5848"/>
    <w:rsid w:val="001E5B6E"/>
    <w:rsid w:val="001E605A"/>
    <w:rsid w:val="001E6400"/>
    <w:rsid w:val="001E6C30"/>
    <w:rsid w:val="001E700A"/>
    <w:rsid w:val="001E77A6"/>
    <w:rsid w:val="001E795D"/>
    <w:rsid w:val="001E7969"/>
    <w:rsid w:val="001E7C27"/>
    <w:rsid w:val="001F0247"/>
    <w:rsid w:val="001F03F7"/>
    <w:rsid w:val="001F13C1"/>
    <w:rsid w:val="001F15E0"/>
    <w:rsid w:val="001F1E9A"/>
    <w:rsid w:val="001F21B8"/>
    <w:rsid w:val="001F2393"/>
    <w:rsid w:val="001F281E"/>
    <w:rsid w:val="001F28C8"/>
    <w:rsid w:val="001F3891"/>
    <w:rsid w:val="001F3F72"/>
    <w:rsid w:val="001F446D"/>
    <w:rsid w:val="001F530C"/>
    <w:rsid w:val="001F56D7"/>
    <w:rsid w:val="001F5732"/>
    <w:rsid w:val="001F5EAB"/>
    <w:rsid w:val="001F60F8"/>
    <w:rsid w:val="001F619A"/>
    <w:rsid w:val="001F6B0A"/>
    <w:rsid w:val="001F77EB"/>
    <w:rsid w:val="001F788D"/>
    <w:rsid w:val="001F78AF"/>
    <w:rsid w:val="0020072A"/>
    <w:rsid w:val="00200A5D"/>
    <w:rsid w:val="00200E6E"/>
    <w:rsid w:val="00201320"/>
    <w:rsid w:val="00201D8E"/>
    <w:rsid w:val="0020204A"/>
    <w:rsid w:val="00203475"/>
    <w:rsid w:val="002038E9"/>
    <w:rsid w:val="00203A91"/>
    <w:rsid w:val="00203A96"/>
    <w:rsid w:val="00203BD5"/>
    <w:rsid w:val="00203C8D"/>
    <w:rsid w:val="00204D38"/>
    <w:rsid w:val="00206086"/>
    <w:rsid w:val="002065B2"/>
    <w:rsid w:val="0020675E"/>
    <w:rsid w:val="00207B95"/>
    <w:rsid w:val="0021079D"/>
    <w:rsid w:val="00210929"/>
    <w:rsid w:val="00210F16"/>
    <w:rsid w:val="002110C7"/>
    <w:rsid w:val="00211286"/>
    <w:rsid w:val="002112EC"/>
    <w:rsid w:val="002122A3"/>
    <w:rsid w:val="00212BB9"/>
    <w:rsid w:val="00213DDD"/>
    <w:rsid w:val="0021479C"/>
    <w:rsid w:val="00216024"/>
    <w:rsid w:val="00216BCF"/>
    <w:rsid w:val="002175C1"/>
    <w:rsid w:val="00217C1D"/>
    <w:rsid w:val="00220123"/>
    <w:rsid w:val="002201EC"/>
    <w:rsid w:val="002207D9"/>
    <w:rsid w:val="00220D65"/>
    <w:rsid w:val="00220F1B"/>
    <w:rsid w:val="00221547"/>
    <w:rsid w:val="00221800"/>
    <w:rsid w:val="00221AB7"/>
    <w:rsid w:val="00221E98"/>
    <w:rsid w:val="00222469"/>
    <w:rsid w:val="00222915"/>
    <w:rsid w:val="002249AF"/>
    <w:rsid w:val="00225649"/>
    <w:rsid w:val="002257CE"/>
    <w:rsid w:val="002259C4"/>
    <w:rsid w:val="00225ED4"/>
    <w:rsid w:val="00226517"/>
    <w:rsid w:val="00226B67"/>
    <w:rsid w:val="002271FA"/>
    <w:rsid w:val="00227712"/>
    <w:rsid w:val="002305A3"/>
    <w:rsid w:val="00231150"/>
    <w:rsid w:val="00232A1B"/>
    <w:rsid w:val="0023345B"/>
    <w:rsid w:val="002346C5"/>
    <w:rsid w:val="00235957"/>
    <w:rsid w:val="00236234"/>
    <w:rsid w:val="0023661E"/>
    <w:rsid w:val="00237269"/>
    <w:rsid w:val="002377EF"/>
    <w:rsid w:val="002379A3"/>
    <w:rsid w:val="00240379"/>
    <w:rsid w:val="0024039D"/>
    <w:rsid w:val="002403A4"/>
    <w:rsid w:val="00240472"/>
    <w:rsid w:val="00241A14"/>
    <w:rsid w:val="00241A6F"/>
    <w:rsid w:val="00243D89"/>
    <w:rsid w:val="002441CB"/>
    <w:rsid w:val="002443D7"/>
    <w:rsid w:val="002457DE"/>
    <w:rsid w:val="0024629E"/>
    <w:rsid w:val="00246435"/>
    <w:rsid w:val="00246531"/>
    <w:rsid w:val="002467A9"/>
    <w:rsid w:val="00246A43"/>
    <w:rsid w:val="00246A9C"/>
    <w:rsid w:val="00246BCF"/>
    <w:rsid w:val="002477A2"/>
    <w:rsid w:val="002478DC"/>
    <w:rsid w:val="00247C8C"/>
    <w:rsid w:val="00247DCD"/>
    <w:rsid w:val="00247E0B"/>
    <w:rsid w:val="00247E44"/>
    <w:rsid w:val="00250036"/>
    <w:rsid w:val="00250E85"/>
    <w:rsid w:val="00250FD0"/>
    <w:rsid w:val="00251245"/>
    <w:rsid w:val="00251CA2"/>
    <w:rsid w:val="00252580"/>
    <w:rsid w:val="00252999"/>
    <w:rsid w:val="00252AB1"/>
    <w:rsid w:val="00253995"/>
    <w:rsid w:val="00253D71"/>
    <w:rsid w:val="00253E44"/>
    <w:rsid w:val="0025557A"/>
    <w:rsid w:val="002557FA"/>
    <w:rsid w:val="0025584F"/>
    <w:rsid w:val="00255F88"/>
    <w:rsid w:val="00255FB0"/>
    <w:rsid w:val="002563AC"/>
    <w:rsid w:val="002568AC"/>
    <w:rsid w:val="00256DEF"/>
    <w:rsid w:val="00256EE5"/>
    <w:rsid w:val="00257DBB"/>
    <w:rsid w:val="002601BB"/>
    <w:rsid w:val="002607B3"/>
    <w:rsid w:val="00260EDE"/>
    <w:rsid w:val="00260EF2"/>
    <w:rsid w:val="002612A4"/>
    <w:rsid w:val="002613B4"/>
    <w:rsid w:val="00262087"/>
    <w:rsid w:val="00265153"/>
    <w:rsid w:val="002655A0"/>
    <w:rsid w:val="00265918"/>
    <w:rsid w:val="00266A96"/>
    <w:rsid w:val="00267332"/>
    <w:rsid w:val="002674A4"/>
    <w:rsid w:val="002676EC"/>
    <w:rsid w:val="002677FF"/>
    <w:rsid w:val="0027015C"/>
    <w:rsid w:val="002707EB"/>
    <w:rsid w:val="00270834"/>
    <w:rsid w:val="00271346"/>
    <w:rsid w:val="0027291E"/>
    <w:rsid w:val="002736D9"/>
    <w:rsid w:val="00273736"/>
    <w:rsid w:val="00273E86"/>
    <w:rsid w:val="00274FF2"/>
    <w:rsid w:val="002753D4"/>
    <w:rsid w:val="002773A8"/>
    <w:rsid w:val="00277B5D"/>
    <w:rsid w:val="00280CC9"/>
    <w:rsid w:val="002814E6"/>
    <w:rsid w:val="00281793"/>
    <w:rsid w:val="00281A54"/>
    <w:rsid w:val="00281AAB"/>
    <w:rsid w:val="00281DE2"/>
    <w:rsid w:val="002823E3"/>
    <w:rsid w:val="00282742"/>
    <w:rsid w:val="00282ABB"/>
    <w:rsid w:val="00282AE5"/>
    <w:rsid w:val="00282E38"/>
    <w:rsid w:val="002830E3"/>
    <w:rsid w:val="002831FA"/>
    <w:rsid w:val="00284E07"/>
    <w:rsid w:val="00284E12"/>
    <w:rsid w:val="00284EA4"/>
    <w:rsid w:val="00285077"/>
    <w:rsid w:val="002856C9"/>
    <w:rsid w:val="00285A3F"/>
    <w:rsid w:val="00285B12"/>
    <w:rsid w:val="00287114"/>
    <w:rsid w:val="002902F5"/>
    <w:rsid w:val="002914D9"/>
    <w:rsid w:val="00291B0C"/>
    <w:rsid w:val="002921F5"/>
    <w:rsid w:val="002926A3"/>
    <w:rsid w:val="002936B4"/>
    <w:rsid w:val="00293C4A"/>
    <w:rsid w:val="00294273"/>
    <w:rsid w:val="00294E9C"/>
    <w:rsid w:val="002951E6"/>
    <w:rsid w:val="00295330"/>
    <w:rsid w:val="00295362"/>
    <w:rsid w:val="002954C5"/>
    <w:rsid w:val="00295D15"/>
    <w:rsid w:val="00295DA0"/>
    <w:rsid w:val="00295FC4"/>
    <w:rsid w:val="002963EC"/>
    <w:rsid w:val="00296E06"/>
    <w:rsid w:val="00296E9E"/>
    <w:rsid w:val="002970D2"/>
    <w:rsid w:val="002972A2"/>
    <w:rsid w:val="002976A1"/>
    <w:rsid w:val="00297A77"/>
    <w:rsid w:val="00297B34"/>
    <w:rsid w:val="00297B9C"/>
    <w:rsid w:val="00297E44"/>
    <w:rsid w:val="00297ECF"/>
    <w:rsid w:val="002A02BA"/>
    <w:rsid w:val="002A1388"/>
    <w:rsid w:val="002A1AFD"/>
    <w:rsid w:val="002A260D"/>
    <w:rsid w:val="002A3E47"/>
    <w:rsid w:val="002A42C3"/>
    <w:rsid w:val="002A451E"/>
    <w:rsid w:val="002A484E"/>
    <w:rsid w:val="002A4896"/>
    <w:rsid w:val="002A4A7E"/>
    <w:rsid w:val="002A5305"/>
    <w:rsid w:val="002A5AC0"/>
    <w:rsid w:val="002A5D4C"/>
    <w:rsid w:val="002A60A5"/>
    <w:rsid w:val="002A60C4"/>
    <w:rsid w:val="002A6479"/>
    <w:rsid w:val="002A6F1E"/>
    <w:rsid w:val="002A70AE"/>
    <w:rsid w:val="002A795E"/>
    <w:rsid w:val="002A7DCD"/>
    <w:rsid w:val="002B0577"/>
    <w:rsid w:val="002B1EC6"/>
    <w:rsid w:val="002B228A"/>
    <w:rsid w:val="002B3239"/>
    <w:rsid w:val="002B34E7"/>
    <w:rsid w:val="002B3A6E"/>
    <w:rsid w:val="002B3D47"/>
    <w:rsid w:val="002B40D8"/>
    <w:rsid w:val="002B4D49"/>
    <w:rsid w:val="002B50E9"/>
    <w:rsid w:val="002B596D"/>
    <w:rsid w:val="002B670D"/>
    <w:rsid w:val="002B71BC"/>
    <w:rsid w:val="002C0A34"/>
    <w:rsid w:val="002C0EA4"/>
    <w:rsid w:val="002C1514"/>
    <w:rsid w:val="002C181F"/>
    <w:rsid w:val="002C18FD"/>
    <w:rsid w:val="002C1DC5"/>
    <w:rsid w:val="002C23DD"/>
    <w:rsid w:val="002C331D"/>
    <w:rsid w:val="002C4328"/>
    <w:rsid w:val="002C47A3"/>
    <w:rsid w:val="002C48B4"/>
    <w:rsid w:val="002C4FC1"/>
    <w:rsid w:val="002C5129"/>
    <w:rsid w:val="002C60CB"/>
    <w:rsid w:val="002C6801"/>
    <w:rsid w:val="002C6CAA"/>
    <w:rsid w:val="002C783E"/>
    <w:rsid w:val="002C797E"/>
    <w:rsid w:val="002C7DCE"/>
    <w:rsid w:val="002D055A"/>
    <w:rsid w:val="002D0F29"/>
    <w:rsid w:val="002D13EA"/>
    <w:rsid w:val="002D157A"/>
    <w:rsid w:val="002D158B"/>
    <w:rsid w:val="002D1A67"/>
    <w:rsid w:val="002D1F83"/>
    <w:rsid w:val="002D1FCE"/>
    <w:rsid w:val="002D23B0"/>
    <w:rsid w:val="002D24A1"/>
    <w:rsid w:val="002D2D4A"/>
    <w:rsid w:val="002D2E74"/>
    <w:rsid w:val="002D4098"/>
    <w:rsid w:val="002D416C"/>
    <w:rsid w:val="002D4994"/>
    <w:rsid w:val="002D4BEE"/>
    <w:rsid w:val="002D4C85"/>
    <w:rsid w:val="002D50CB"/>
    <w:rsid w:val="002D551D"/>
    <w:rsid w:val="002D552D"/>
    <w:rsid w:val="002D5867"/>
    <w:rsid w:val="002D607E"/>
    <w:rsid w:val="002D6CC9"/>
    <w:rsid w:val="002D7643"/>
    <w:rsid w:val="002D77A9"/>
    <w:rsid w:val="002E06AC"/>
    <w:rsid w:val="002E1625"/>
    <w:rsid w:val="002E238C"/>
    <w:rsid w:val="002E2781"/>
    <w:rsid w:val="002E3389"/>
    <w:rsid w:val="002E3F19"/>
    <w:rsid w:val="002E49FF"/>
    <w:rsid w:val="002E51D2"/>
    <w:rsid w:val="002E56A4"/>
    <w:rsid w:val="002E59B8"/>
    <w:rsid w:val="002E5C03"/>
    <w:rsid w:val="002E6115"/>
    <w:rsid w:val="002E6B12"/>
    <w:rsid w:val="002E760F"/>
    <w:rsid w:val="002E7A0E"/>
    <w:rsid w:val="002E7D1B"/>
    <w:rsid w:val="002E7D32"/>
    <w:rsid w:val="002E7EFA"/>
    <w:rsid w:val="002F0275"/>
    <w:rsid w:val="002F0DA6"/>
    <w:rsid w:val="002F15B5"/>
    <w:rsid w:val="002F1E4D"/>
    <w:rsid w:val="002F31B0"/>
    <w:rsid w:val="002F31B5"/>
    <w:rsid w:val="002F328B"/>
    <w:rsid w:val="002F4B4B"/>
    <w:rsid w:val="002F4F87"/>
    <w:rsid w:val="002F527D"/>
    <w:rsid w:val="002F5688"/>
    <w:rsid w:val="002F5EDB"/>
    <w:rsid w:val="002F6141"/>
    <w:rsid w:val="002F6386"/>
    <w:rsid w:val="002F6A78"/>
    <w:rsid w:val="002F6D20"/>
    <w:rsid w:val="002F7314"/>
    <w:rsid w:val="002F7FDB"/>
    <w:rsid w:val="003003DE"/>
    <w:rsid w:val="0030071B"/>
    <w:rsid w:val="0030139D"/>
    <w:rsid w:val="0030183E"/>
    <w:rsid w:val="00301F2E"/>
    <w:rsid w:val="00302281"/>
    <w:rsid w:val="0030284C"/>
    <w:rsid w:val="00303005"/>
    <w:rsid w:val="0030317A"/>
    <w:rsid w:val="00303704"/>
    <w:rsid w:val="0030456C"/>
    <w:rsid w:val="00305002"/>
    <w:rsid w:val="00305171"/>
    <w:rsid w:val="0030544B"/>
    <w:rsid w:val="003055F8"/>
    <w:rsid w:val="00305797"/>
    <w:rsid w:val="0030580A"/>
    <w:rsid w:val="00306615"/>
    <w:rsid w:val="00306710"/>
    <w:rsid w:val="00306A2C"/>
    <w:rsid w:val="00306CDA"/>
    <w:rsid w:val="00306F77"/>
    <w:rsid w:val="00307C82"/>
    <w:rsid w:val="0031043B"/>
    <w:rsid w:val="00310FEF"/>
    <w:rsid w:val="00311DD1"/>
    <w:rsid w:val="00312175"/>
    <w:rsid w:val="003123C0"/>
    <w:rsid w:val="003140FF"/>
    <w:rsid w:val="0031415B"/>
    <w:rsid w:val="003149A4"/>
    <w:rsid w:val="003156BA"/>
    <w:rsid w:val="00315E4F"/>
    <w:rsid w:val="003161B6"/>
    <w:rsid w:val="00316298"/>
    <w:rsid w:val="00316BBC"/>
    <w:rsid w:val="00316C0A"/>
    <w:rsid w:val="00316CF0"/>
    <w:rsid w:val="00316D03"/>
    <w:rsid w:val="003171FE"/>
    <w:rsid w:val="0031757E"/>
    <w:rsid w:val="00317E3E"/>
    <w:rsid w:val="00317F90"/>
    <w:rsid w:val="00320D1A"/>
    <w:rsid w:val="003210B5"/>
    <w:rsid w:val="003215C0"/>
    <w:rsid w:val="003219D4"/>
    <w:rsid w:val="00322A9E"/>
    <w:rsid w:val="00323400"/>
    <w:rsid w:val="00324B5C"/>
    <w:rsid w:val="003253AD"/>
    <w:rsid w:val="003254E3"/>
    <w:rsid w:val="003254EE"/>
    <w:rsid w:val="00325798"/>
    <w:rsid w:val="003258ED"/>
    <w:rsid w:val="003259B0"/>
    <w:rsid w:val="00325A24"/>
    <w:rsid w:val="00326592"/>
    <w:rsid w:val="00326A36"/>
    <w:rsid w:val="00326AAE"/>
    <w:rsid w:val="003272AF"/>
    <w:rsid w:val="003275D1"/>
    <w:rsid w:val="0033101D"/>
    <w:rsid w:val="003314E5"/>
    <w:rsid w:val="00332AA4"/>
    <w:rsid w:val="003342AF"/>
    <w:rsid w:val="00334FCC"/>
    <w:rsid w:val="003353CE"/>
    <w:rsid w:val="00336214"/>
    <w:rsid w:val="00336ECB"/>
    <w:rsid w:val="00337365"/>
    <w:rsid w:val="003375D8"/>
    <w:rsid w:val="0033781E"/>
    <w:rsid w:val="00340143"/>
    <w:rsid w:val="0034188B"/>
    <w:rsid w:val="00341BAB"/>
    <w:rsid w:val="00342E7F"/>
    <w:rsid w:val="0034305B"/>
    <w:rsid w:val="00343317"/>
    <w:rsid w:val="00345124"/>
    <w:rsid w:val="0034652C"/>
    <w:rsid w:val="0034680A"/>
    <w:rsid w:val="00346F69"/>
    <w:rsid w:val="00347619"/>
    <w:rsid w:val="003500F5"/>
    <w:rsid w:val="0035011E"/>
    <w:rsid w:val="00350228"/>
    <w:rsid w:val="00350906"/>
    <w:rsid w:val="00350C6E"/>
    <w:rsid w:val="00350D80"/>
    <w:rsid w:val="003518F5"/>
    <w:rsid w:val="00351D6B"/>
    <w:rsid w:val="00352BC5"/>
    <w:rsid w:val="003533BB"/>
    <w:rsid w:val="003539FB"/>
    <w:rsid w:val="00353BB0"/>
    <w:rsid w:val="00353D81"/>
    <w:rsid w:val="00354696"/>
    <w:rsid w:val="00354BE8"/>
    <w:rsid w:val="0035519A"/>
    <w:rsid w:val="00356207"/>
    <w:rsid w:val="0035644A"/>
    <w:rsid w:val="0035694B"/>
    <w:rsid w:val="00357463"/>
    <w:rsid w:val="00357A7F"/>
    <w:rsid w:val="003603A5"/>
    <w:rsid w:val="0036059A"/>
    <w:rsid w:val="00361766"/>
    <w:rsid w:val="00361A07"/>
    <w:rsid w:val="00361EED"/>
    <w:rsid w:val="00361F2C"/>
    <w:rsid w:val="00362002"/>
    <w:rsid w:val="003621F0"/>
    <w:rsid w:val="00362922"/>
    <w:rsid w:val="0036361B"/>
    <w:rsid w:val="00363CB1"/>
    <w:rsid w:val="00363FF8"/>
    <w:rsid w:val="003640E1"/>
    <w:rsid w:val="003642A5"/>
    <w:rsid w:val="00365BCD"/>
    <w:rsid w:val="00365C05"/>
    <w:rsid w:val="00365D03"/>
    <w:rsid w:val="00366340"/>
    <w:rsid w:val="00366856"/>
    <w:rsid w:val="00366F5B"/>
    <w:rsid w:val="00367670"/>
    <w:rsid w:val="00367873"/>
    <w:rsid w:val="00367BD7"/>
    <w:rsid w:val="00370A7A"/>
    <w:rsid w:val="00370B45"/>
    <w:rsid w:val="0037192E"/>
    <w:rsid w:val="003723E1"/>
    <w:rsid w:val="00372797"/>
    <w:rsid w:val="003735FE"/>
    <w:rsid w:val="003741E8"/>
    <w:rsid w:val="003747AC"/>
    <w:rsid w:val="00374F69"/>
    <w:rsid w:val="003752A3"/>
    <w:rsid w:val="00375C1B"/>
    <w:rsid w:val="00376491"/>
    <w:rsid w:val="0037676D"/>
    <w:rsid w:val="00376809"/>
    <w:rsid w:val="003769E1"/>
    <w:rsid w:val="00376E1F"/>
    <w:rsid w:val="0037721D"/>
    <w:rsid w:val="00377820"/>
    <w:rsid w:val="00377826"/>
    <w:rsid w:val="00377DD5"/>
    <w:rsid w:val="00377E95"/>
    <w:rsid w:val="00377FA0"/>
    <w:rsid w:val="0038015C"/>
    <w:rsid w:val="00380788"/>
    <w:rsid w:val="0038102A"/>
    <w:rsid w:val="0038127E"/>
    <w:rsid w:val="00382293"/>
    <w:rsid w:val="00382437"/>
    <w:rsid w:val="00382618"/>
    <w:rsid w:val="00382751"/>
    <w:rsid w:val="00383121"/>
    <w:rsid w:val="003832E1"/>
    <w:rsid w:val="003833B4"/>
    <w:rsid w:val="0038385F"/>
    <w:rsid w:val="00385173"/>
    <w:rsid w:val="0038650B"/>
    <w:rsid w:val="003869F3"/>
    <w:rsid w:val="00386D12"/>
    <w:rsid w:val="00386F61"/>
    <w:rsid w:val="00390181"/>
    <w:rsid w:val="0039019E"/>
    <w:rsid w:val="00391921"/>
    <w:rsid w:val="00391DF0"/>
    <w:rsid w:val="0039233D"/>
    <w:rsid w:val="00392471"/>
    <w:rsid w:val="00392602"/>
    <w:rsid w:val="00392F3A"/>
    <w:rsid w:val="0039302E"/>
    <w:rsid w:val="003931FA"/>
    <w:rsid w:val="003933E4"/>
    <w:rsid w:val="00394774"/>
    <w:rsid w:val="0039547A"/>
    <w:rsid w:val="003966B6"/>
    <w:rsid w:val="00396A7E"/>
    <w:rsid w:val="00396E45"/>
    <w:rsid w:val="00396EEC"/>
    <w:rsid w:val="00397161"/>
    <w:rsid w:val="00397279"/>
    <w:rsid w:val="00397483"/>
    <w:rsid w:val="00397C26"/>
    <w:rsid w:val="00397D61"/>
    <w:rsid w:val="00397F7B"/>
    <w:rsid w:val="003A005F"/>
    <w:rsid w:val="003A0FC5"/>
    <w:rsid w:val="003A12D2"/>
    <w:rsid w:val="003A1439"/>
    <w:rsid w:val="003A2295"/>
    <w:rsid w:val="003A2645"/>
    <w:rsid w:val="003A2862"/>
    <w:rsid w:val="003A37FF"/>
    <w:rsid w:val="003A55BE"/>
    <w:rsid w:val="003A716A"/>
    <w:rsid w:val="003A743E"/>
    <w:rsid w:val="003A7ADE"/>
    <w:rsid w:val="003B084B"/>
    <w:rsid w:val="003B1471"/>
    <w:rsid w:val="003B150A"/>
    <w:rsid w:val="003B1C4D"/>
    <w:rsid w:val="003B25C8"/>
    <w:rsid w:val="003B29A9"/>
    <w:rsid w:val="003B29FC"/>
    <w:rsid w:val="003B2A34"/>
    <w:rsid w:val="003B3859"/>
    <w:rsid w:val="003B42FF"/>
    <w:rsid w:val="003B4BE7"/>
    <w:rsid w:val="003B4FD2"/>
    <w:rsid w:val="003B51B3"/>
    <w:rsid w:val="003B5604"/>
    <w:rsid w:val="003B6932"/>
    <w:rsid w:val="003B6E2C"/>
    <w:rsid w:val="003B7DB1"/>
    <w:rsid w:val="003B7E48"/>
    <w:rsid w:val="003B7E53"/>
    <w:rsid w:val="003C0097"/>
    <w:rsid w:val="003C01D4"/>
    <w:rsid w:val="003C0985"/>
    <w:rsid w:val="003C116C"/>
    <w:rsid w:val="003C19D1"/>
    <w:rsid w:val="003C202F"/>
    <w:rsid w:val="003C2CC3"/>
    <w:rsid w:val="003C3039"/>
    <w:rsid w:val="003C44FB"/>
    <w:rsid w:val="003C4506"/>
    <w:rsid w:val="003C5295"/>
    <w:rsid w:val="003C5386"/>
    <w:rsid w:val="003C69BF"/>
    <w:rsid w:val="003C70AD"/>
    <w:rsid w:val="003C767F"/>
    <w:rsid w:val="003D09EE"/>
    <w:rsid w:val="003D0E4D"/>
    <w:rsid w:val="003D1421"/>
    <w:rsid w:val="003D15E2"/>
    <w:rsid w:val="003D166A"/>
    <w:rsid w:val="003D1FE3"/>
    <w:rsid w:val="003D1FF4"/>
    <w:rsid w:val="003D23A3"/>
    <w:rsid w:val="003D2888"/>
    <w:rsid w:val="003D2BF5"/>
    <w:rsid w:val="003D2CC2"/>
    <w:rsid w:val="003D31FA"/>
    <w:rsid w:val="003D39AD"/>
    <w:rsid w:val="003D453A"/>
    <w:rsid w:val="003D4602"/>
    <w:rsid w:val="003D4B7E"/>
    <w:rsid w:val="003D51CA"/>
    <w:rsid w:val="003D5856"/>
    <w:rsid w:val="003D5C3B"/>
    <w:rsid w:val="003D60AC"/>
    <w:rsid w:val="003D67F5"/>
    <w:rsid w:val="003D6869"/>
    <w:rsid w:val="003D6BC4"/>
    <w:rsid w:val="003D72AF"/>
    <w:rsid w:val="003D730F"/>
    <w:rsid w:val="003D770E"/>
    <w:rsid w:val="003D79D4"/>
    <w:rsid w:val="003E0630"/>
    <w:rsid w:val="003E0ECA"/>
    <w:rsid w:val="003E16A2"/>
    <w:rsid w:val="003E22D7"/>
    <w:rsid w:val="003E2686"/>
    <w:rsid w:val="003E276C"/>
    <w:rsid w:val="003E342E"/>
    <w:rsid w:val="003E3AF5"/>
    <w:rsid w:val="003E4412"/>
    <w:rsid w:val="003E4924"/>
    <w:rsid w:val="003E6055"/>
    <w:rsid w:val="003E6392"/>
    <w:rsid w:val="003E6F3D"/>
    <w:rsid w:val="003F02CC"/>
    <w:rsid w:val="003F053E"/>
    <w:rsid w:val="003F05F5"/>
    <w:rsid w:val="003F0981"/>
    <w:rsid w:val="003F20DF"/>
    <w:rsid w:val="003F225D"/>
    <w:rsid w:val="003F24BF"/>
    <w:rsid w:val="003F2BE3"/>
    <w:rsid w:val="003F3434"/>
    <w:rsid w:val="003F399B"/>
    <w:rsid w:val="003F4298"/>
    <w:rsid w:val="003F47BD"/>
    <w:rsid w:val="003F4DDA"/>
    <w:rsid w:val="003F5270"/>
    <w:rsid w:val="003F559C"/>
    <w:rsid w:val="003F5954"/>
    <w:rsid w:val="003F6865"/>
    <w:rsid w:val="003F6A3A"/>
    <w:rsid w:val="003F6F1A"/>
    <w:rsid w:val="003F79AD"/>
    <w:rsid w:val="0040060F"/>
    <w:rsid w:val="0040087E"/>
    <w:rsid w:val="00400FFB"/>
    <w:rsid w:val="00401C5A"/>
    <w:rsid w:val="0040288F"/>
    <w:rsid w:val="00402AF5"/>
    <w:rsid w:val="0040348D"/>
    <w:rsid w:val="00404159"/>
    <w:rsid w:val="004048A8"/>
    <w:rsid w:val="00404B5A"/>
    <w:rsid w:val="00404E4F"/>
    <w:rsid w:val="00405213"/>
    <w:rsid w:val="004064F7"/>
    <w:rsid w:val="00406DA9"/>
    <w:rsid w:val="00407769"/>
    <w:rsid w:val="0040784B"/>
    <w:rsid w:val="004078B7"/>
    <w:rsid w:val="00410CA7"/>
    <w:rsid w:val="004114A7"/>
    <w:rsid w:val="00411C8D"/>
    <w:rsid w:val="00411E4A"/>
    <w:rsid w:val="0041249E"/>
    <w:rsid w:val="00413039"/>
    <w:rsid w:val="004137F3"/>
    <w:rsid w:val="004137FE"/>
    <w:rsid w:val="0041497B"/>
    <w:rsid w:val="0041507C"/>
    <w:rsid w:val="0041516D"/>
    <w:rsid w:val="004157BD"/>
    <w:rsid w:val="00415A0E"/>
    <w:rsid w:val="00415CC3"/>
    <w:rsid w:val="00416244"/>
    <w:rsid w:val="004165EF"/>
    <w:rsid w:val="00417177"/>
    <w:rsid w:val="00417294"/>
    <w:rsid w:val="00420803"/>
    <w:rsid w:val="00420F0E"/>
    <w:rsid w:val="0042121B"/>
    <w:rsid w:val="004212D9"/>
    <w:rsid w:val="004213C5"/>
    <w:rsid w:val="004221C4"/>
    <w:rsid w:val="00422C8F"/>
    <w:rsid w:val="00423364"/>
    <w:rsid w:val="0042339A"/>
    <w:rsid w:val="00423B15"/>
    <w:rsid w:val="0042403D"/>
    <w:rsid w:val="00424177"/>
    <w:rsid w:val="00424A84"/>
    <w:rsid w:val="00424B03"/>
    <w:rsid w:val="00424CB8"/>
    <w:rsid w:val="0042508F"/>
    <w:rsid w:val="0042546C"/>
    <w:rsid w:val="004254CC"/>
    <w:rsid w:val="00425732"/>
    <w:rsid w:val="004257D3"/>
    <w:rsid w:val="00426857"/>
    <w:rsid w:val="00426E52"/>
    <w:rsid w:val="0042730B"/>
    <w:rsid w:val="00427450"/>
    <w:rsid w:val="004277DD"/>
    <w:rsid w:val="00427CED"/>
    <w:rsid w:val="00427EA3"/>
    <w:rsid w:val="004303B3"/>
    <w:rsid w:val="00430DC0"/>
    <w:rsid w:val="004310B9"/>
    <w:rsid w:val="0043326D"/>
    <w:rsid w:val="004333B3"/>
    <w:rsid w:val="004334FF"/>
    <w:rsid w:val="004335EF"/>
    <w:rsid w:val="004342BA"/>
    <w:rsid w:val="0043435D"/>
    <w:rsid w:val="00434388"/>
    <w:rsid w:val="00435173"/>
    <w:rsid w:val="00435295"/>
    <w:rsid w:val="00435A02"/>
    <w:rsid w:val="0043631A"/>
    <w:rsid w:val="00436CB0"/>
    <w:rsid w:val="004377FB"/>
    <w:rsid w:val="004378A8"/>
    <w:rsid w:val="0043791D"/>
    <w:rsid w:val="004379C2"/>
    <w:rsid w:val="00437BF8"/>
    <w:rsid w:val="004400E8"/>
    <w:rsid w:val="00441184"/>
    <w:rsid w:val="00441708"/>
    <w:rsid w:val="0044218F"/>
    <w:rsid w:val="004433B3"/>
    <w:rsid w:val="004436F7"/>
    <w:rsid w:val="004437E2"/>
    <w:rsid w:val="00443EB9"/>
    <w:rsid w:val="00444880"/>
    <w:rsid w:val="00445CE2"/>
    <w:rsid w:val="0044612D"/>
    <w:rsid w:val="0044655B"/>
    <w:rsid w:val="004469A4"/>
    <w:rsid w:val="00446A5C"/>
    <w:rsid w:val="00446C96"/>
    <w:rsid w:val="00450974"/>
    <w:rsid w:val="00450C80"/>
    <w:rsid w:val="004513FF"/>
    <w:rsid w:val="00451846"/>
    <w:rsid w:val="004519B3"/>
    <w:rsid w:val="00452016"/>
    <w:rsid w:val="004527BC"/>
    <w:rsid w:val="00452C00"/>
    <w:rsid w:val="004534A6"/>
    <w:rsid w:val="00453509"/>
    <w:rsid w:val="004544D6"/>
    <w:rsid w:val="00454A7F"/>
    <w:rsid w:val="0045556A"/>
    <w:rsid w:val="00455D00"/>
    <w:rsid w:val="00456861"/>
    <w:rsid w:val="00456882"/>
    <w:rsid w:val="00456B10"/>
    <w:rsid w:val="0045737D"/>
    <w:rsid w:val="00457A31"/>
    <w:rsid w:val="004607E2"/>
    <w:rsid w:val="00461CE9"/>
    <w:rsid w:val="00462407"/>
    <w:rsid w:val="00462427"/>
    <w:rsid w:val="00462DA1"/>
    <w:rsid w:val="004631DD"/>
    <w:rsid w:val="00463495"/>
    <w:rsid w:val="004634AF"/>
    <w:rsid w:val="004635FD"/>
    <w:rsid w:val="0046494A"/>
    <w:rsid w:val="00464E11"/>
    <w:rsid w:val="00465402"/>
    <w:rsid w:val="00466657"/>
    <w:rsid w:val="0047008A"/>
    <w:rsid w:val="00470129"/>
    <w:rsid w:val="004717BC"/>
    <w:rsid w:val="00471A11"/>
    <w:rsid w:val="00472770"/>
    <w:rsid w:val="004728A0"/>
    <w:rsid w:val="00473552"/>
    <w:rsid w:val="004738B0"/>
    <w:rsid w:val="00473FD8"/>
    <w:rsid w:val="004742DD"/>
    <w:rsid w:val="00475231"/>
    <w:rsid w:val="00475288"/>
    <w:rsid w:val="00475DF1"/>
    <w:rsid w:val="0047630E"/>
    <w:rsid w:val="0047662F"/>
    <w:rsid w:val="00477959"/>
    <w:rsid w:val="004779A2"/>
    <w:rsid w:val="00477BB5"/>
    <w:rsid w:val="00480081"/>
    <w:rsid w:val="004804F9"/>
    <w:rsid w:val="00480C54"/>
    <w:rsid w:val="00480FF4"/>
    <w:rsid w:val="00481E60"/>
    <w:rsid w:val="00482029"/>
    <w:rsid w:val="0048246F"/>
    <w:rsid w:val="00482A42"/>
    <w:rsid w:val="00482E2E"/>
    <w:rsid w:val="0048325B"/>
    <w:rsid w:val="004833A1"/>
    <w:rsid w:val="00483568"/>
    <w:rsid w:val="004839FB"/>
    <w:rsid w:val="004847D4"/>
    <w:rsid w:val="00484E96"/>
    <w:rsid w:val="00485227"/>
    <w:rsid w:val="004852BE"/>
    <w:rsid w:val="004854FD"/>
    <w:rsid w:val="00485AD7"/>
    <w:rsid w:val="00485F02"/>
    <w:rsid w:val="0048636A"/>
    <w:rsid w:val="0048699E"/>
    <w:rsid w:val="00487FFB"/>
    <w:rsid w:val="004910A5"/>
    <w:rsid w:val="004914FE"/>
    <w:rsid w:val="00491C58"/>
    <w:rsid w:val="00492004"/>
    <w:rsid w:val="004927A0"/>
    <w:rsid w:val="004928AC"/>
    <w:rsid w:val="004928D2"/>
    <w:rsid w:val="00492F04"/>
    <w:rsid w:val="00492F22"/>
    <w:rsid w:val="004933C0"/>
    <w:rsid w:val="0049428C"/>
    <w:rsid w:val="00494879"/>
    <w:rsid w:val="004953D9"/>
    <w:rsid w:val="00495B66"/>
    <w:rsid w:val="00495DB1"/>
    <w:rsid w:val="00495DC9"/>
    <w:rsid w:val="00496062"/>
    <w:rsid w:val="00496416"/>
    <w:rsid w:val="004964EA"/>
    <w:rsid w:val="00496700"/>
    <w:rsid w:val="004978D0"/>
    <w:rsid w:val="00497BA7"/>
    <w:rsid w:val="004A0525"/>
    <w:rsid w:val="004A0673"/>
    <w:rsid w:val="004A0762"/>
    <w:rsid w:val="004A09EE"/>
    <w:rsid w:val="004A1835"/>
    <w:rsid w:val="004A1870"/>
    <w:rsid w:val="004A1AEF"/>
    <w:rsid w:val="004A2326"/>
    <w:rsid w:val="004A2A71"/>
    <w:rsid w:val="004A2FB8"/>
    <w:rsid w:val="004A46B7"/>
    <w:rsid w:val="004A4DC8"/>
    <w:rsid w:val="004A4F26"/>
    <w:rsid w:val="004A5586"/>
    <w:rsid w:val="004A55FE"/>
    <w:rsid w:val="004A5AEE"/>
    <w:rsid w:val="004A5E51"/>
    <w:rsid w:val="004A64FF"/>
    <w:rsid w:val="004A6A0C"/>
    <w:rsid w:val="004A76F8"/>
    <w:rsid w:val="004B0322"/>
    <w:rsid w:val="004B05EA"/>
    <w:rsid w:val="004B06C1"/>
    <w:rsid w:val="004B1214"/>
    <w:rsid w:val="004B1531"/>
    <w:rsid w:val="004B17D7"/>
    <w:rsid w:val="004B20F2"/>
    <w:rsid w:val="004B24EB"/>
    <w:rsid w:val="004B4868"/>
    <w:rsid w:val="004B51EE"/>
    <w:rsid w:val="004B5AD3"/>
    <w:rsid w:val="004B609E"/>
    <w:rsid w:val="004B60A9"/>
    <w:rsid w:val="004B6E69"/>
    <w:rsid w:val="004B6EAC"/>
    <w:rsid w:val="004B70B7"/>
    <w:rsid w:val="004B72CA"/>
    <w:rsid w:val="004C097C"/>
    <w:rsid w:val="004C0CC3"/>
    <w:rsid w:val="004C0D8A"/>
    <w:rsid w:val="004C0F49"/>
    <w:rsid w:val="004C127E"/>
    <w:rsid w:val="004C22DA"/>
    <w:rsid w:val="004C24F4"/>
    <w:rsid w:val="004C2812"/>
    <w:rsid w:val="004C2ADB"/>
    <w:rsid w:val="004C34D2"/>
    <w:rsid w:val="004C3D04"/>
    <w:rsid w:val="004C4562"/>
    <w:rsid w:val="004C4690"/>
    <w:rsid w:val="004C4823"/>
    <w:rsid w:val="004C4DC8"/>
    <w:rsid w:val="004C5E14"/>
    <w:rsid w:val="004C60D7"/>
    <w:rsid w:val="004C6332"/>
    <w:rsid w:val="004C6783"/>
    <w:rsid w:val="004C6785"/>
    <w:rsid w:val="004C7153"/>
    <w:rsid w:val="004C74C0"/>
    <w:rsid w:val="004C753F"/>
    <w:rsid w:val="004D04EB"/>
    <w:rsid w:val="004D1D0A"/>
    <w:rsid w:val="004D253A"/>
    <w:rsid w:val="004D262D"/>
    <w:rsid w:val="004D34BA"/>
    <w:rsid w:val="004D3743"/>
    <w:rsid w:val="004D39A5"/>
    <w:rsid w:val="004D3BC4"/>
    <w:rsid w:val="004D540B"/>
    <w:rsid w:val="004D5C99"/>
    <w:rsid w:val="004D6143"/>
    <w:rsid w:val="004D6622"/>
    <w:rsid w:val="004D66B4"/>
    <w:rsid w:val="004D684B"/>
    <w:rsid w:val="004D6CB1"/>
    <w:rsid w:val="004D719A"/>
    <w:rsid w:val="004D765C"/>
    <w:rsid w:val="004D7D68"/>
    <w:rsid w:val="004E0527"/>
    <w:rsid w:val="004E0785"/>
    <w:rsid w:val="004E0F3A"/>
    <w:rsid w:val="004E1233"/>
    <w:rsid w:val="004E1C9C"/>
    <w:rsid w:val="004E28C6"/>
    <w:rsid w:val="004E29E5"/>
    <w:rsid w:val="004E3487"/>
    <w:rsid w:val="004E47D6"/>
    <w:rsid w:val="004E4F24"/>
    <w:rsid w:val="004E5070"/>
    <w:rsid w:val="004E55BF"/>
    <w:rsid w:val="004E5FF2"/>
    <w:rsid w:val="004E6DE1"/>
    <w:rsid w:val="004F0919"/>
    <w:rsid w:val="004F09EF"/>
    <w:rsid w:val="004F0D5F"/>
    <w:rsid w:val="004F10E0"/>
    <w:rsid w:val="004F138F"/>
    <w:rsid w:val="004F2266"/>
    <w:rsid w:val="004F2D0A"/>
    <w:rsid w:val="004F41F1"/>
    <w:rsid w:val="004F420C"/>
    <w:rsid w:val="004F5647"/>
    <w:rsid w:val="004F5BA2"/>
    <w:rsid w:val="004F5CEA"/>
    <w:rsid w:val="004F5D36"/>
    <w:rsid w:val="004F5E49"/>
    <w:rsid w:val="004F5EFE"/>
    <w:rsid w:val="004F6629"/>
    <w:rsid w:val="004F7703"/>
    <w:rsid w:val="004F7DFB"/>
    <w:rsid w:val="0050003E"/>
    <w:rsid w:val="00500123"/>
    <w:rsid w:val="0050017F"/>
    <w:rsid w:val="00500868"/>
    <w:rsid w:val="005010EE"/>
    <w:rsid w:val="005013AA"/>
    <w:rsid w:val="005019CA"/>
    <w:rsid w:val="00501FAC"/>
    <w:rsid w:val="00502A35"/>
    <w:rsid w:val="005031E0"/>
    <w:rsid w:val="005034A1"/>
    <w:rsid w:val="0050481D"/>
    <w:rsid w:val="00504842"/>
    <w:rsid w:val="00504961"/>
    <w:rsid w:val="005053E7"/>
    <w:rsid w:val="005058FF"/>
    <w:rsid w:val="00505CD9"/>
    <w:rsid w:val="0050670B"/>
    <w:rsid w:val="00506D24"/>
    <w:rsid w:val="00506D88"/>
    <w:rsid w:val="0050751F"/>
    <w:rsid w:val="005109B3"/>
    <w:rsid w:val="00510E1A"/>
    <w:rsid w:val="00511216"/>
    <w:rsid w:val="00511610"/>
    <w:rsid w:val="00511B29"/>
    <w:rsid w:val="00511BF9"/>
    <w:rsid w:val="005124ED"/>
    <w:rsid w:val="005125ED"/>
    <w:rsid w:val="00512985"/>
    <w:rsid w:val="00513077"/>
    <w:rsid w:val="00513124"/>
    <w:rsid w:val="00513990"/>
    <w:rsid w:val="00513CF9"/>
    <w:rsid w:val="005141E8"/>
    <w:rsid w:val="00514593"/>
    <w:rsid w:val="005146A7"/>
    <w:rsid w:val="00515B5A"/>
    <w:rsid w:val="005161DB"/>
    <w:rsid w:val="005162ED"/>
    <w:rsid w:val="00516A89"/>
    <w:rsid w:val="00517257"/>
    <w:rsid w:val="00517266"/>
    <w:rsid w:val="00517601"/>
    <w:rsid w:val="005177CC"/>
    <w:rsid w:val="00517A06"/>
    <w:rsid w:val="00517DDF"/>
    <w:rsid w:val="0052042C"/>
    <w:rsid w:val="00521B1B"/>
    <w:rsid w:val="00521CA3"/>
    <w:rsid w:val="005224DC"/>
    <w:rsid w:val="0052287F"/>
    <w:rsid w:val="00522AC7"/>
    <w:rsid w:val="00522D10"/>
    <w:rsid w:val="00522EDE"/>
    <w:rsid w:val="0052306A"/>
    <w:rsid w:val="005233CC"/>
    <w:rsid w:val="0052373F"/>
    <w:rsid w:val="00523A22"/>
    <w:rsid w:val="00524705"/>
    <w:rsid w:val="00524EF6"/>
    <w:rsid w:val="00525019"/>
    <w:rsid w:val="005263A1"/>
    <w:rsid w:val="005265F7"/>
    <w:rsid w:val="00527213"/>
    <w:rsid w:val="00527462"/>
    <w:rsid w:val="005278C7"/>
    <w:rsid w:val="0052796A"/>
    <w:rsid w:val="00527A18"/>
    <w:rsid w:val="00530AFD"/>
    <w:rsid w:val="00530D26"/>
    <w:rsid w:val="005317A1"/>
    <w:rsid w:val="0053215F"/>
    <w:rsid w:val="00532EFA"/>
    <w:rsid w:val="00533244"/>
    <w:rsid w:val="005332F6"/>
    <w:rsid w:val="005334A9"/>
    <w:rsid w:val="005351DD"/>
    <w:rsid w:val="0053524F"/>
    <w:rsid w:val="005357F3"/>
    <w:rsid w:val="00535DDF"/>
    <w:rsid w:val="00536740"/>
    <w:rsid w:val="00536F81"/>
    <w:rsid w:val="00537947"/>
    <w:rsid w:val="0054080C"/>
    <w:rsid w:val="00540B70"/>
    <w:rsid w:val="00540CB3"/>
    <w:rsid w:val="00542480"/>
    <w:rsid w:val="00542DAE"/>
    <w:rsid w:val="00543C31"/>
    <w:rsid w:val="00543F99"/>
    <w:rsid w:val="00543FE2"/>
    <w:rsid w:val="0054425E"/>
    <w:rsid w:val="0054431D"/>
    <w:rsid w:val="0054604A"/>
    <w:rsid w:val="005462C4"/>
    <w:rsid w:val="00546AE6"/>
    <w:rsid w:val="00546BA3"/>
    <w:rsid w:val="00546C37"/>
    <w:rsid w:val="00547658"/>
    <w:rsid w:val="0054798E"/>
    <w:rsid w:val="00547A0A"/>
    <w:rsid w:val="005504D6"/>
    <w:rsid w:val="00550C99"/>
    <w:rsid w:val="00550E88"/>
    <w:rsid w:val="005515A6"/>
    <w:rsid w:val="00551C55"/>
    <w:rsid w:val="00551E24"/>
    <w:rsid w:val="00551F43"/>
    <w:rsid w:val="0055225A"/>
    <w:rsid w:val="00552670"/>
    <w:rsid w:val="0055327B"/>
    <w:rsid w:val="00553413"/>
    <w:rsid w:val="005538EF"/>
    <w:rsid w:val="0055498E"/>
    <w:rsid w:val="00554A25"/>
    <w:rsid w:val="00554BB0"/>
    <w:rsid w:val="0055504F"/>
    <w:rsid w:val="005551DD"/>
    <w:rsid w:val="005555DB"/>
    <w:rsid w:val="00555AB2"/>
    <w:rsid w:val="00555AFE"/>
    <w:rsid w:val="00556A3B"/>
    <w:rsid w:val="00557AEA"/>
    <w:rsid w:val="00557C8C"/>
    <w:rsid w:val="00560B66"/>
    <w:rsid w:val="00560EE2"/>
    <w:rsid w:val="00561129"/>
    <w:rsid w:val="005613F2"/>
    <w:rsid w:val="005614C1"/>
    <w:rsid w:val="005618DB"/>
    <w:rsid w:val="00561C37"/>
    <w:rsid w:val="00562410"/>
    <w:rsid w:val="0056293A"/>
    <w:rsid w:val="00562E1F"/>
    <w:rsid w:val="0056422B"/>
    <w:rsid w:val="0056426E"/>
    <w:rsid w:val="005644B3"/>
    <w:rsid w:val="00564764"/>
    <w:rsid w:val="005649AA"/>
    <w:rsid w:val="00564C85"/>
    <w:rsid w:val="00565A18"/>
    <w:rsid w:val="00565CE2"/>
    <w:rsid w:val="00565FAC"/>
    <w:rsid w:val="00566247"/>
    <w:rsid w:val="005669E6"/>
    <w:rsid w:val="00567130"/>
    <w:rsid w:val="00567EAD"/>
    <w:rsid w:val="005703A0"/>
    <w:rsid w:val="005704F6"/>
    <w:rsid w:val="005707E1"/>
    <w:rsid w:val="00570912"/>
    <w:rsid w:val="00571371"/>
    <w:rsid w:val="005715EC"/>
    <w:rsid w:val="00571AB0"/>
    <w:rsid w:val="00571B2F"/>
    <w:rsid w:val="00571C54"/>
    <w:rsid w:val="00571C5D"/>
    <w:rsid w:val="00572668"/>
    <w:rsid w:val="005745F2"/>
    <w:rsid w:val="00575089"/>
    <w:rsid w:val="005754AB"/>
    <w:rsid w:val="00575A48"/>
    <w:rsid w:val="00575B3C"/>
    <w:rsid w:val="0057631A"/>
    <w:rsid w:val="00576718"/>
    <w:rsid w:val="005777E5"/>
    <w:rsid w:val="00577FC3"/>
    <w:rsid w:val="005800E0"/>
    <w:rsid w:val="005801C8"/>
    <w:rsid w:val="005804F4"/>
    <w:rsid w:val="0058068B"/>
    <w:rsid w:val="0058117D"/>
    <w:rsid w:val="0058200C"/>
    <w:rsid w:val="005824DB"/>
    <w:rsid w:val="005826F4"/>
    <w:rsid w:val="005827A0"/>
    <w:rsid w:val="005828B5"/>
    <w:rsid w:val="00582BC0"/>
    <w:rsid w:val="00582DED"/>
    <w:rsid w:val="00582ED7"/>
    <w:rsid w:val="005830E1"/>
    <w:rsid w:val="0058318C"/>
    <w:rsid w:val="00583662"/>
    <w:rsid w:val="0058369E"/>
    <w:rsid w:val="005838FE"/>
    <w:rsid w:val="0058435B"/>
    <w:rsid w:val="00584EDF"/>
    <w:rsid w:val="00584F96"/>
    <w:rsid w:val="00585395"/>
    <w:rsid w:val="0059046E"/>
    <w:rsid w:val="00590D09"/>
    <w:rsid w:val="00590D44"/>
    <w:rsid w:val="0059156A"/>
    <w:rsid w:val="00592BC1"/>
    <w:rsid w:val="00592D91"/>
    <w:rsid w:val="00593314"/>
    <w:rsid w:val="00593654"/>
    <w:rsid w:val="0059368E"/>
    <w:rsid w:val="005937FC"/>
    <w:rsid w:val="00593B76"/>
    <w:rsid w:val="00593BF5"/>
    <w:rsid w:val="00593E8A"/>
    <w:rsid w:val="00594496"/>
    <w:rsid w:val="005956D3"/>
    <w:rsid w:val="00596365"/>
    <w:rsid w:val="005965BC"/>
    <w:rsid w:val="00597BC2"/>
    <w:rsid w:val="005A061F"/>
    <w:rsid w:val="005A097B"/>
    <w:rsid w:val="005A0984"/>
    <w:rsid w:val="005A1AD7"/>
    <w:rsid w:val="005A1EB3"/>
    <w:rsid w:val="005A1F17"/>
    <w:rsid w:val="005A297E"/>
    <w:rsid w:val="005A2FEF"/>
    <w:rsid w:val="005A35F6"/>
    <w:rsid w:val="005A3631"/>
    <w:rsid w:val="005A51EF"/>
    <w:rsid w:val="005A5445"/>
    <w:rsid w:val="005A6578"/>
    <w:rsid w:val="005A6DBC"/>
    <w:rsid w:val="005A7198"/>
    <w:rsid w:val="005A71A8"/>
    <w:rsid w:val="005A730E"/>
    <w:rsid w:val="005A7E78"/>
    <w:rsid w:val="005B03ED"/>
    <w:rsid w:val="005B0726"/>
    <w:rsid w:val="005B1776"/>
    <w:rsid w:val="005B1BA3"/>
    <w:rsid w:val="005B2C62"/>
    <w:rsid w:val="005B32FB"/>
    <w:rsid w:val="005B370D"/>
    <w:rsid w:val="005B3811"/>
    <w:rsid w:val="005B4C50"/>
    <w:rsid w:val="005B4CA7"/>
    <w:rsid w:val="005B4E28"/>
    <w:rsid w:val="005B5097"/>
    <w:rsid w:val="005B5F7C"/>
    <w:rsid w:val="005B60CE"/>
    <w:rsid w:val="005B6827"/>
    <w:rsid w:val="005B6936"/>
    <w:rsid w:val="005B6AC0"/>
    <w:rsid w:val="005B6B05"/>
    <w:rsid w:val="005B6D51"/>
    <w:rsid w:val="005B7467"/>
    <w:rsid w:val="005B7FE4"/>
    <w:rsid w:val="005C025D"/>
    <w:rsid w:val="005C05E0"/>
    <w:rsid w:val="005C0AE8"/>
    <w:rsid w:val="005C1704"/>
    <w:rsid w:val="005C2303"/>
    <w:rsid w:val="005C2ACE"/>
    <w:rsid w:val="005C2B0F"/>
    <w:rsid w:val="005C37E0"/>
    <w:rsid w:val="005C3EE1"/>
    <w:rsid w:val="005C40D6"/>
    <w:rsid w:val="005C54B9"/>
    <w:rsid w:val="005C5A1C"/>
    <w:rsid w:val="005C6618"/>
    <w:rsid w:val="005C6A0B"/>
    <w:rsid w:val="005C70E9"/>
    <w:rsid w:val="005C78A7"/>
    <w:rsid w:val="005C7E80"/>
    <w:rsid w:val="005D0189"/>
    <w:rsid w:val="005D0F29"/>
    <w:rsid w:val="005D186C"/>
    <w:rsid w:val="005D275A"/>
    <w:rsid w:val="005D3411"/>
    <w:rsid w:val="005D36AC"/>
    <w:rsid w:val="005D3B9B"/>
    <w:rsid w:val="005D3DCF"/>
    <w:rsid w:val="005D51D3"/>
    <w:rsid w:val="005D5DA1"/>
    <w:rsid w:val="005D632B"/>
    <w:rsid w:val="005D6B66"/>
    <w:rsid w:val="005D70DF"/>
    <w:rsid w:val="005D73AF"/>
    <w:rsid w:val="005D770A"/>
    <w:rsid w:val="005D7D3A"/>
    <w:rsid w:val="005E0277"/>
    <w:rsid w:val="005E038C"/>
    <w:rsid w:val="005E076F"/>
    <w:rsid w:val="005E2F08"/>
    <w:rsid w:val="005E2F59"/>
    <w:rsid w:val="005E369B"/>
    <w:rsid w:val="005E3C4B"/>
    <w:rsid w:val="005E423E"/>
    <w:rsid w:val="005E4470"/>
    <w:rsid w:val="005E532C"/>
    <w:rsid w:val="005E5498"/>
    <w:rsid w:val="005E5794"/>
    <w:rsid w:val="005E5C0D"/>
    <w:rsid w:val="005E6376"/>
    <w:rsid w:val="005E6DB6"/>
    <w:rsid w:val="005E6EEB"/>
    <w:rsid w:val="005E73CF"/>
    <w:rsid w:val="005E7B2E"/>
    <w:rsid w:val="005F04A6"/>
    <w:rsid w:val="005F1A8A"/>
    <w:rsid w:val="005F2ADE"/>
    <w:rsid w:val="005F2D49"/>
    <w:rsid w:val="005F387E"/>
    <w:rsid w:val="005F4180"/>
    <w:rsid w:val="005F44E3"/>
    <w:rsid w:val="005F49E8"/>
    <w:rsid w:val="005F59CB"/>
    <w:rsid w:val="005F6C55"/>
    <w:rsid w:val="005F7345"/>
    <w:rsid w:val="005F7616"/>
    <w:rsid w:val="006007F5"/>
    <w:rsid w:val="00600DFB"/>
    <w:rsid w:val="00600E98"/>
    <w:rsid w:val="006012A1"/>
    <w:rsid w:val="0060248A"/>
    <w:rsid w:val="00602494"/>
    <w:rsid w:val="006025B7"/>
    <w:rsid w:val="00603701"/>
    <w:rsid w:val="00603FD5"/>
    <w:rsid w:val="00604593"/>
    <w:rsid w:val="00604827"/>
    <w:rsid w:val="006052E4"/>
    <w:rsid w:val="00605E96"/>
    <w:rsid w:val="00606075"/>
    <w:rsid w:val="00606934"/>
    <w:rsid w:val="0060792B"/>
    <w:rsid w:val="00607E7E"/>
    <w:rsid w:val="00607F03"/>
    <w:rsid w:val="00610627"/>
    <w:rsid w:val="00610662"/>
    <w:rsid w:val="00610F6C"/>
    <w:rsid w:val="00611690"/>
    <w:rsid w:val="006119E7"/>
    <w:rsid w:val="00611DF2"/>
    <w:rsid w:val="00612273"/>
    <w:rsid w:val="006127A9"/>
    <w:rsid w:val="00612E5A"/>
    <w:rsid w:val="00613103"/>
    <w:rsid w:val="00614439"/>
    <w:rsid w:val="00614458"/>
    <w:rsid w:val="006145C2"/>
    <w:rsid w:val="0061467B"/>
    <w:rsid w:val="006148BF"/>
    <w:rsid w:val="00614F15"/>
    <w:rsid w:val="00615EA6"/>
    <w:rsid w:val="0061696C"/>
    <w:rsid w:val="00616DC8"/>
    <w:rsid w:val="006173E5"/>
    <w:rsid w:val="00617456"/>
    <w:rsid w:val="006174FD"/>
    <w:rsid w:val="0061763B"/>
    <w:rsid w:val="00617851"/>
    <w:rsid w:val="00620167"/>
    <w:rsid w:val="00620504"/>
    <w:rsid w:val="00620548"/>
    <w:rsid w:val="00620603"/>
    <w:rsid w:val="00620A01"/>
    <w:rsid w:val="00622385"/>
    <w:rsid w:val="006229B0"/>
    <w:rsid w:val="00622DC2"/>
    <w:rsid w:val="0062379D"/>
    <w:rsid w:val="006240E8"/>
    <w:rsid w:val="00624B90"/>
    <w:rsid w:val="00625A15"/>
    <w:rsid w:val="00625D82"/>
    <w:rsid w:val="006263C7"/>
    <w:rsid w:val="0062684E"/>
    <w:rsid w:val="00626D07"/>
    <w:rsid w:val="00627A5C"/>
    <w:rsid w:val="00630206"/>
    <w:rsid w:val="006302A2"/>
    <w:rsid w:val="00630F02"/>
    <w:rsid w:val="0063199A"/>
    <w:rsid w:val="006319E6"/>
    <w:rsid w:val="00631B3C"/>
    <w:rsid w:val="00631E03"/>
    <w:rsid w:val="00632069"/>
    <w:rsid w:val="00632667"/>
    <w:rsid w:val="00632745"/>
    <w:rsid w:val="00633621"/>
    <w:rsid w:val="006337B9"/>
    <w:rsid w:val="00633B83"/>
    <w:rsid w:val="00635992"/>
    <w:rsid w:val="0063610B"/>
    <w:rsid w:val="0063661C"/>
    <w:rsid w:val="00636A47"/>
    <w:rsid w:val="00637215"/>
    <w:rsid w:val="00637A5B"/>
    <w:rsid w:val="00640B4F"/>
    <w:rsid w:val="00640E96"/>
    <w:rsid w:val="00640F3A"/>
    <w:rsid w:val="006411B5"/>
    <w:rsid w:val="00642857"/>
    <w:rsid w:val="00642B8E"/>
    <w:rsid w:val="00642FE2"/>
    <w:rsid w:val="006430E2"/>
    <w:rsid w:val="00643D18"/>
    <w:rsid w:val="00643F45"/>
    <w:rsid w:val="006445FC"/>
    <w:rsid w:val="00645261"/>
    <w:rsid w:val="00645A1F"/>
    <w:rsid w:val="00646A30"/>
    <w:rsid w:val="00646EC2"/>
    <w:rsid w:val="006475BD"/>
    <w:rsid w:val="00647EAB"/>
    <w:rsid w:val="00650DF5"/>
    <w:rsid w:val="006511F4"/>
    <w:rsid w:val="00651206"/>
    <w:rsid w:val="006517C7"/>
    <w:rsid w:val="006527FF"/>
    <w:rsid w:val="0065297A"/>
    <w:rsid w:val="00653642"/>
    <w:rsid w:val="00653D35"/>
    <w:rsid w:val="00653EF0"/>
    <w:rsid w:val="00655787"/>
    <w:rsid w:val="0065608D"/>
    <w:rsid w:val="00656A8A"/>
    <w:rsid w:val="00656EE1"/>
    <w:rsid w:val="00656EF6"/>
    <w:rsid w:val="00661FE3"/>
    <w:rsid w:val="006620A6"/>
    <w:rsid w:val="00662209"/>
    <w:rsid w:val="006634D5"/>
    <w:rsid w:val="00663A36"/>
    <w:rsid w:val="00663E01"/>
    <w:rsid w:val="00663F54"/>
    <w:rsid w:val="006649B5"/>
    <w:rsid w:val="00665A80"/>
    <w:rsid w:val="00665E6E"/>
    <w:rsid w:val="006664AC"/>
    <w:rsid w:val="00667388"/>
    <w:rsid w:val="0067156B"/>
    <w:rsid w:val="00672748"/>
    <w:rsid w:val="006733DE"/>
    <w:rsid w:val="00673DD8"/>
    <w:rsid w:val="006746A1"/>
    <w:rsid w:val="006749BE"/>
    <w:rsid w:val="00675150"/>
    <w:rsid w:val="0067591D"/>
    <w:rsid w:val="0067663C"/>
    <w:rsid w:val="00676711"/>
    <w:rsid w:val="00676FCF"/>
    <w:rsid w:val="0068047D"/>
    <w:rsid w:val="00680DBA"/>
    <w:rsid w:val="006810A1"/>
    <w:rsid w:val="00681333"/>
    <w:rsid w:val="00681434"/>
    <w:rsid w:val="006821FD"/>
    <w:rsid w:val="006826E0"/>
    <w:rsid w:val="00682A3E"/>
    <w:rsid w:val="006830E4"/>
    <w:rsid w:val="006832D5"/>
    <w:rsid w:val="00683572"/>
    <w:rsid w:val="00683F8B"/>
    <w:rsid w:val="0068724F"/>
    <w:rsid w:val="0068736B"/>
    <w:rsid w:val="00687910"/>
    <w:rsid w:val="006902C2"/>
    <w:rsid w:val="006905A0"/>
    <w:rsid w:val="006910B1"/>
    <w:rsid w:val="0069121D"/>
    <w:rsid w:val="006917FA"/>
    <w:rsid w:val="0069188C"/>
    <w:rsid w:val="00692233"/>
    <w:rsid w:val="006933BC"/>
    <w:rsid w:val="00693964"/>
    <w:rsid w:val="00693A6B"/>
    <w:rsid w:val="00693F69"/>
    <w:rsid w:val="00694FCE"/>
    <w:rsid w:val="0069548A"/>
    <w:rsid w:val="0069661D"/>
    <w:rsid w:val="0069784E"/>
    <w:rsid w:val="006A1346"/>
    <w:rsid w:val="006A14B1"/>
    <w:rsid w:val="006A16DB"/>
    <w:rsid w:val="006A1DEF"/>
    <w:rsid w:val="006A2162"/>
    <w:rsid w:val="006A270E"/>
    <w:rsid w:val="006A2715"/>
    <w:rsid w:val="006A28DB"/>
    <w:rsid w:val="006A2AAB"/>
    <w:rsid w:val="006A2B56"/>
    <w:rsid w:val="006A3485"/>
    <w:rsid w:val="006A460A"/>
    <w:rsid w:val="006A4F4B"/>
    <w:rsid w:val="006A5502"/>
    <w:rsid w:val="006A69FA"/>
    <w:rsid w:val="006A6D91"/>
    <w:rsid w:val="006A7069"/>
    <w:rsid w:val="006A7C7E"/>
    <w:rsid w:val="006B0A66"/>
    <w:rsid w:val="006B1AC5"/>
    <w:rsid w:val="006B21E0"/>
    <w:rsid w:val="006B25CA"/>
    <w:rsid w:val="006B265A"/>
    <w:rsid w:val="006B2B39"/>
    <w:rsid w:val="006B308E"/>
    <w:rsid w:val="006B337C"/>
    <w:rsid w:val="006B42BA"/>
    <w:rsid w:val="006B48E9"/>
    <w:rsid w:val="006B56B5"/>
    <w:rsid w:val="006B5C70"/>
    <w:rsid w:val="006B5E34"/>
    <w:rsid w:val="006B6D6C"/>
    <w:rsid w:val="006B6F9A"/>
    <w:rsid w:val="006B7153"/>
    <w:rsid w:val="006B7F68"/>
    <w:rsid w:val="006C0005"/>
    <w:rsid w:val="006C064A"/>
    <w:rsid w:val="006C1947"/>
    <w:rsid w:val="006C249C"/>
    <w:rsid w:val="006C36D5"/>
    <w:rsid w:val="006C38C3"/>
    <w:rsid w:val="006C4482"/>
    <w:rsid w:val="006C4AF4"/>
    <w:rsid w:val="006C4B34"/>
    <w:rsid w:val="006C4C82"/>
    <w:rsid w:val="006C56B7"/>
    <w:rsid w:val="006C57D5"/>
    <w:rsid w:val="006C5912"/>
    <w:rsid w:val="006C613B"/>
    <w:rsid w:val="006C6620"/>
    <w:rsid w:val="006C663D"/>
    <w:rsid w:val="006D0462"/>
    <w:rsid w:val="006D095B"/>
    <w:rsid w:val="006D0BCF"/>
    <w:rsid w:val="006D1E01"/>
    <w:rsid w:val="006D1F49"/>
    <w:rsid w:val="006D2973"/>
    <w:rsid w:val="006D3670"/>
    <w:rsid w:val="006D3F2F"/>
    <w:rsid w:val="006D43F3"/>
    <w:rsid w:val="006D456E"/>
    <w:rsid w:val="006D47C1"/>
    <w:rsid w:val="006D4CF0"/>
    <w:rsid w:val="006D4F09"/>
    <w:rsid w:val="006D4FA8"/>
    <w:rsid w:val="006D5199"/>
    <w:rsid w:val="006D59EC"/>
    <w:rsid w:val="006D5F4F"/>
    <w:rsid w:val="006D62CB"/>
    <w:rsid w:val="006D7366"/>
    <w:rsid w:val="006E00D9"/>
    <w:rsid w:val="006E0B2F"/>
    <w:rsid w:val="006E0B30"/>
    <w:rsid w:val="006E11EE"/>
    <w:rsid w:val="006E1694"/>
    <w:rsid w:val="006E212A"/>
    <w:rsid w:val="006E343A"/>
    <w:rsid w:val="006E3536"/>
    <w:rsid w:val="006E37E5"/>
    <w:rsid w:val="006E38CB"/>
    <w:rsid w:val="006E3943"/>
    <w:rsid w:val="006E4D6D"/>
    <w:rsid w:val="006E5BB0"/>
    <w:rsid w:val="006E5F55"/>
    <w:rsid w:val="006E6431"/>
    <w:rsid w:val="006E6ACA"/>
    <w:rsid w:val="006E71B5"/>
    <w:rsid w:val="006E76D7"/>
    <w:rsid w:val="006E7A4C"/>
    <w:rsid w:val="006F01A1"/>
    <w:rsid w:val="006F01B9"/>
    <w:rsid w:val="006F0691"/>
    <w:rsid w:val="006F2198"/>
    <w:rsid w:val="006F233A"/>
    <w:rsid w:val="006F2C66"/>
    <w:rsid w:val="006F3B3C"/>
    <w:rsid w:val="006F4189"/>
    <w:rsid w:val="006F43CC"/>
    <w:rsid w:val="006F45F4"/>
    <w:rsid w:val="006F4785"/>
    <w:rsid w:val="006F4A83"/>
    <w:rsid w:val="006F6918"/>
    <w:rsid w:val="006F7AB3"/>
    <w:rsid w:val="006F7DC1"/>
    <w:rsid w:val="006F7E7D"/>
    <w:rsid w:val="0070038B"/>
    <w:rsid w:val="0070045C"/>
    <w:rsid w:val="00700CB1"/>
    <w:rsid w:val="00700D3A"/>
    <w:rsid w:val="00700EC3"/>
    <w:rsid w:val="00701100"/>
    <w:rsid w:val="00702D3C"/>
    <w:rsid w:val="007030BA"/>
    <w:rsid w:val="007037C0"/>
    <w:rsid w:val="0070487A"/>
    <w:rsid w:val="00704961"/>
    <w:rsid w:val="007053E9"/>
    <w:rsid w:val="007058BA"/>
    <w:rsid w:val="00705DB2"/>
    <w:rsid w:val="00706C52"/>
    <w:rsid w:val="0070703C"/>
    <w:rsid w:val="007070E6"/>
    <w:rsid w:val="00707B0F"/>
    <w:rsid w:val="00710516"/>
    <w:rsid w:val="00710523"/>
    <w:rsid w:val="00710821"/>
    <w:rsid w:val="00710F65"/>
    <w:rsid w:val="00711A2D"/>
    <w:rsid w:val="007121B5"/>
    <w:rsid w:val="007136C1"/>
    <w:rsid w:val="007137CF"/>
    <w:rsid w:val="007139C1"/>
    <w:rsid w:val="00713DD7"/>
    <w:rsid w:val="00714185"/>
    <w:rsid w:val="00714488"/>
    <w:rsid w:val="00714594"/>
    <w:rsid w:val="007145F3"/>
    <w:rsid w:val="007158C6"/>
    <w:rsid w:val="00716917"/>
    <w:rsid w:val="00716B26"/>
    <w:rsid w:val="00716D18"/>
    <w:rsid w:val="00720507"/>
    <w:rsid w:val="007209EE"/>
    <w:rsid w:val="00720A99"/>
    <w:rsid w:val="007215EF"/>
    <w:rsid w:val="00721818"/>
    <w:rsid w:val="00721D39"/>
    <w:rsid w:val="0072332D"/>
    <w:rsid w:val="00723608"/>
    <w:rsid w:val="00723946"/>
    <w:rsid w:val="00725321"/>
    <w:rsid w:val="007255E9"/>
    <w:rsid w:val="00725D39"/>
    <w:rsid w:val="00726620"/>
    <w:rsid w:val="00726B40"/>
    <w:rsid w:val="00726D92"/>
    <w:rsid w:val="007301C9"/>
    <w:rsid w:val="00730495"/>
    <w:rsid w:val="00730E6A"/>
    <w:rsid w:val="007313FA"/>
    <w:rsid w:val="007314F3"/>
    <w:rsid w:val="00731BBB"/>
    <w:rsid w:val="00731C0A"/>
    <w:rsid w:val="00731DFE"/>
    <w:rsid w:val="00731F76"/>
    <w:rsid w:val="007320E6"/>
    <w:rsid w:val="007329B4"/>
    <w:rsid w:val="00732F4A"/>
    <w:rsid w:val="00733112"/>
    <w:rsid w:val="00733E4E"/>
    <w:rsid w:val="00734015"/>
    <w:rsid w:val="0073540F"/>
    <w:rsid w:val="00735977"/>
    <w:rsid w:val="00735D4B"/>
    <w:rsid w:val="00736BF0"/>
    <w:rsid w:val="00736F69"/>
    <w:rsid w:val="007373EA"/>
    <w:rsid w:val="007373F6"/>
    <w:rsid w:val="007377FB"/>
    <w:rsid w:val="00740804"/>
    <w:rsid w:val="0074097F"/>
    <w:rsid w:val="00740BA0"/>
    <w:rsid w:val="00740EC3"/>
    <w:rsid w:val="0074119E"/>
    <w:rsid w:val="007416D1"/>
    <w:rsid w:val="00741BCA"/>
    <w:rsid w:val="00741CBB"/>
    <w:rsid w:val="007422B5"/>
    <w:rsid w:val="00742822"/>
    <w:rsid w:val="00742F0D"/>
    <w:rsid w:val="0074327A"/>
    <w:rsid w:val="00743548"/>
    <w:rsid w:val="00743A6C"/>
    <w:rsid w:val="00743AF4"/>
    <w:rsid w:val="00744120"/>
    <w:rsid w:val="007446E9"/>
    <w:rsid w:val="007452A9"/>
    <w:rsid w:val="007452CF"/>
    <w:rsid w:val="0074593A"/>
    <w:rsid w:val="00747722"/>
    <w:rsid w:val="00750AB2"/>
    <w:rsid w:val="00751BA6"/>
    <w:rsid w:val="007528C5"/>
    <w:rsid w:val="0075386F"/>
    <w:rsid w:val="00753E31"/>
    <w:rsid w:val="00754C47"/>
    <w:rsid w:val="00754C58"/>
    <w:rsid w:val="00755F13"/>
    <w:rsid w:val="007572AE"/>
    <w:rsid w:val="00760005"/>
    <w:rsid w:val="00760304"/>
    <w:rsid w:val="00760E1B"/>
    <w:rsid w:val="00761BE3"/>
    <w:rsid w:val="00762925"/>
    <w:rsid w:val="00762F69"/>
    <w:rsid w:val="00763A0A"/>
    <w:rsid w:val="00763C78"/>
    <w:rsid w:val="007643DF"/>
    <w:rsid w:val="007644E9"/>
    <w:rsid w:val="007646CE"/>
    <w:rsid w:val="007646D1"/>
    <w:rsid w:val="00764A98"/>
    <w:rsid w:val="00764FE1"/>
    <w:rsid w:val="0076547E"/>
    <w:rsid w:val="007654CF"/>
    <w:rsid w:val="007656FF"/>
    <w:rsid w:val="00765FEB"/>
    <w:rsid w:val="00766582"/>
    <w:rsid w:val="007669DE"/>
    <w:rsid w:val="00766B8F"/>
    <w:rsid w:val="00766BE0"/>
    <w:rsid w:val="007673A7"/>
    <w:rsid w:val="0076763A"/>
    <w:rsid w:val="007676B1"/>
    <w:rsid w:val="00767EAE"/>
    <w:rsid w:val="00770DB0"/>
    <w:rsid w:val="00771D38"/>
    <w:rsid w:val="00772106"/>
    <w:rsid w:val="0077281E"/>
    <w:rsid w:val="00773355"/>
    <w:rsid w:val="00773573"/>
    <w:rsid w:val="007737F6"/>
    <w:rsid w:val="00773A9F"/>
    <w:rsid w:val="00773CBE"/>
    <w:rsid w:val="007740D4"/>
    <w:rsid w:val="007748FB"/>
    <w:rsid w:val="00775165"/>
    <w:rsid w:val="007756CB"/>
    <w:rsid w:val="00775928"/>
    <w:rsid w:val="00775E13"/>
    <w:rsid w:val="00776A27"/>
    <w:rsid w:val="00776AA4"/>
    <w:rsid w:val="00776F3B"/>
    <w:rsid w:val="0077711D"/>
    <w:rsid w:val="007773A2"/>
    <w:rsid w:val="00777B38"/>
    <w:rsid w:val="007808E3"/>
    <w:rsid w:val="00780A9F"/>
    <w:rsid w:val="00780BE3"/>
    <w:rsid w:val="00781589"/>
    <w:rsid w:val="007821AB"/>
    <w:rsid w:val="00782787"/>
    <w:rsid w:val="00783706"/>
    <w:rsid w:val="00783F2E"/>
    <w:rsid w:val="00783F4D"/>
    <w:rsid w:val="0078533C"/>
    <w:rsid w:val="0078594C"/>
    <w:rsid w:val="00786376"/>
    <w:rsid w:val="0078647F"/>
    <w:rsid w:val="00786696"/>
    <w:rsid w:val="00786BCD"/>
    <w:rsid w:val="00786C65"/>
    <w:rsid w:val="00787471"/>
    <w:rsid w:val="007876CE"/>
    <w:rsid w:val="007877B8"/>
    <w:rsid w:val="00787E05"/>
    <w:rsid w:val="00787EB0"/>
    <w:rsid w:val="00790555"/>
    <w:rsid w:val="007912A8"/>
    <w:rsid w:val="00791998"/>
    <w:rsid w:val="00792271"/>
    <w:rsid w:val="00792853"/>
    <w:rsid w:val="007940A1"/>
    <w:rsid w:val="00794395"/>
    <w:rsid w:val="00794F49"/>
    <w:rsid w:val="00795366"/>
    <w:rsid w:val="00795BD2"/>
    <w:rsid w:val="00795BF8"/>
    <w:rsid w:val="007965BF"/>
    <w:rsid w:val="00796A25"/>
    <w:rsid w:val="00796F2A"/>
    <w:rsid w:val="007970B3"/>
    <w:rsid w:val="0079715F"/>
    <w:rsid w:val="00797DE4"/>
    <w:rsid w:val="007A0205"/>
    <w:rsid w:val="007A0363"/>
    <w:rsid w:val="007A20EF"/>
    <w:rsid w:val="007A295D"/>
    <w:rsid w:val="007A3856"/>
    <w:rsid w:val="007A61BF"/>
    <w:rsid w:val="007A6479"/>
    <w:rsid w:val="007A652F"/>
    <w:rsid w:val="007A6AB3"/>
    <w:rsid w:val="007A6CBD"/>
    <w:rsid w:val="007B046C"/>
    <w:rsid w:val="007B04B7"/>
    <w:rsid w:val="007B05F2"/>
    <w:rsid w:val="007B097C"/>
    <w:rsid w:val="007B1DDE"/>
    <w:rsid w:val="007B226A"/>
    <w:rsid w:val="007B236D"/>
    <w:rsid w:val="007B2816"/>
    <w:rsid w:val="007B38CA"/>
    <w:rsid w:val="007B3AD0"/>
    <w:rsid w:val="007B3DDD"/>
    <w:rsid w:val="007B417E"/>
    <w:rsid w:val="007B4A5C"/>
    <w:rsid w:val="007B4DE1"/>
    <w:rsid w:val="007B515F"/>
    <w:rsid w:val="007B5236"/>
    <w:rsid w:val="007B527A"/>
    <w:rsid w:val="007B538A"/>
    <w:rsid w:val="007B6EDF"/>
    <w:rsid w:val="007C0320"/>
    <w:rsid w:val="007C0A45"/>
    <w:rsid w:val="007C12C3"/>
    <w:rsid w:val="007C2CAE"/>
    <w:rsid w:val="007C3475"/>
    <w:rsid w:val="007C348F"/>
    <w:rsid w:val="007C37BE"/>
    <w:rsid w:val="007C3A68"/>
    <w:rsid w:val="007C475F"/>
    <w:rsid w:val="007C4892"/>
    <w:rsid w:val="007C4C37"/>
    <w:rsid w:val="007C56E9"/>
    <w:rsid w:val="007C5866"/>
    <w:rsid w:val="007C6396"/>
    <w:rsid w:val="007C68A5"/>
    <w:rsid w:val="007C75B9"/>
    <w:rsid w:val="007C7E0B"/>
    <w:rsid w:val="007D02D5"/>
    <w:rsid w:val="007D0D87"/>
    <w:rsid w:val="007D1224"/>
    <w:rsid w:val="007D1569"/>
    <w:rsid w:val="007D188C"/>
    <w:rsid w:val="007D1BFF"/>
    <w:rsid w:val="007D245B"/>
    <w:rsid w:val="007D25EB"/>
    <w:rsid w:val="007D336D"/>
    <w:rsid w:val="007D364A"/>
    <w:rsid w:val="007D39F1"/>
    <w:rsid w:val="007D3DC8"/>
    <w:rsid w:val="007D428D"/>
    <w:rsid w:val="007D4C58"/>
    <w:rsid w:val="007D53AA"/>
    <w:rsid w:val="007D55C9"/>
    <w:rsid w:val="007D6535"/>
    <w:rsid w:val="007D7BF8"/>
    <w:rsid w:val="007D7E20"/>
    <w:rsid w:val="007E002B"/>
    <w:rsid w:val="007E1A38"/>
    <w:rsid w:val="007E22DA"/>
    <w:rsid w:val="007E2C75"/>
    <w:rsid w:val="007E4612"/>
    <w:rsid w:val="007E4FE5"/>
    <w:rsid w:val="007E5596"/>
    <w:rsid w:val="007E5830"/>
    <w:rsid w:val="007E5840"/>
    <w:rsid w:val="007E5982"/>
    <w:rsid w:val="007E6147"/>
    <w:rsid w:val="007E6222"/>
    <w:rsid w:val="007E6305"/>
    <w:rsid w:val="007F0A27"/>
    <w:rsid w:val="007F137D"/>
    <w:rsid w:val="007F147A"/>
    <w:rsid w:val="007F192C"/>
    <w:rsid w:val="007F22E6"/>
    <w:rsid w:val="007F317F"/>
    <w:rsid w:val="007F3A6F"/>
    <w:rsid w:val="007F42DB"/>
    <w:rsid w:val="007F4AA9"/>
    <w:rsid w:val="007F4D80"/>
    <w:rsid w:val="007F5702"/>
    <w:rsid w:val="007F65C8"/>
    <w:rsid w:val="007F79B8"/>
    <w:rsid w:val="00800136"/>
    <w:rsid w:val="008004FB"/>
    <w:rsid w:val="00800660"/>
    <w:rsid w:val="00800889"/>
    <w:rsid w:val="00800F2C"/>
    <w:rsid w:val="008011FB"/>
    <w:rsid w:val="008016D8"/>
    <w:rsid w:val="008017BC"/>
    <w:rsid w:val="00801FD5"/>
    <w:rsid w:val="008025C3"/>
    <w:rsid w:val="0080322B"/>
    <w:rsid w:val="008035C3"/>
    <w:rsid w:val="00803855"/>
    <w:rsid w:val="00803F26"/>
    <w:rsid w:val="00803F3F"/>
    <w:rsid w:val="00804153"/>
    <w:rsid w:val="0080415B"/>
    <w:rsid w:val="008044A3"/>
    <w:rsid w:val="008044E9"/>
    <w:rsid w:val="008049BC"/>
    <w:rsid w:val="00804B8B"/>
    <w:rsid w:val="00805BC6"/>
    <w:rsid w:val="00805BD1"/>
    <w:rsid w:val="00806EC5"/>
    <w:rsid w:val="00806EE3"/>
    <w:rsid w:val="00806F63"/>
    <w:rsid w:val="008070C7"/>
    <w:rsid w:val="008072DF"/>
    <w:rsid w:val="00807592"/>
    <w:rsid w:val="00807C35"/>
    <w:rsid w:val="00807D63"/>
    <w:rsid w:val="00807F06"/>
    <w:rsid w:val="00810A3A"/>
    <w:rsid w:val="00811122"/>
    <w:rsid w:val="00811196"/>
    <w:rsid w:val="008112EB"/>
    <w:rsid w:val="008116A2"/>
    <w:rsid w:val="00811AC4"/>
    <w:rsid w:val="00811E5B"/>
    <w:rsid w:val="00811F31"/>
    <w:rsid w:val="00811F4A"/>
    <w:rsid w:val="008124B8"/>
    <w:rsid w:val="00812C38"/>
    <w:rsid w:val="008143C9"/>
    <w:rsid w:val="00814CE1"/>
    <w:rsid w:val="0081533C"/>
    <w:rsid w:val="00815388"/>
    <w:rsid w:val="008153FF"/>
    <w:rsid w:val="008157DA"/>
    <w:rsid w:val="00815834"/>
    <w:rsid w:val="00815B75"/>
    <w:rsid w:val="00816033"/>
    <w:rsid w:val="00816056"/>
    <w:rsid w:val="008161D7"/>
    <w:rsid w:val="00816678"/>
    <w:rsid w:val="00817581"/>
    <w:rsid w:val="00817B84"/>
    <w:rsid w:val="008203EC"/>
    <w:rsid w:val="00820651"/>
    <w:rsid w:val="00820661"/>
    <w:rsid w:val="0082083C"/>
    <w:rsid w:val="00821258"/>
    <w:rsid w:val="00821276"/>
    <w:rsid w:val="00822012"/>
    <w:rsid w:val="00822275"/>
    <w:rsid w:val="00822EBD"/>
    <w:rsid w:val="00822EF8"/>
    <w:rsid w:val="00823446"/>
    <w:rsid w:val="00823646"/>
    <w:rsid w:val="00823722"/>
    <w:rsid w:val="008240A1"/>
    <w:rsid w:val="0082437F"/>
    <w:rsid w:val="0082456B"/>
    <w:rsid w:val="00826D3C"/>
    <w:rsid w:val="00826F06"/>
    <w:rsid w:val="00830180"/>
    <w:rsid w:val="00830A6A"/>
    <w:rsid w:val="00830FBF"/>
    <w:rsid w:val="0083126F"/>
    <w:rsid w:val="00832838"/>
    <w:rsid w:val="00832E58"/>
    <w:rsid w:val="008331D9"/>
    <w:rsid w:val="00834051"/>
    <w:rsid w:val="00834289"/>
    <w:rsid w:val="0083428E"/>
    <w:rsid w:val="0083447F"/>
    <w:rsid w:val="008350A8"/>
    <w:rsid w:val="008351A4"/>
    <w:rsid w:val="00835361"/>
    <w:rsid w:val="00835444"/>
    <w:rsid w:val="00835C87"/>
    <w:rsid w:val="00835DAA"/>
    <w:rsid w:val="00836037"/>
    <w:rsid w:val="00836262"/>
    <w:rsid w:val="00836624"/>
    <w:rsid w:val="00836C7F"/>
    <w:rsid w:val="00836CE2"/>
    <w:rsid w:val="00836E3A"/>
    <w:rsid w:val="00836EA8"/>
    <w:rsid w:val="00837210"/>
    <w:rsid w:val="00837510"/>
    <w:rsid w:val="00837AAE"/>
    <w:rsid w:val="0084000F"/>
    <w:rsid w:val="008400E4"/>
    <w:rsid w:val="008412A4"/>
    <w:rsid w:val="00841717"/>
    <w:rsid w:val="00841ACE"/>
    <w:rsid w:val="0084238D"/>
    <w:rsid w:val="008423EB"/>
    <w:rsid w:val="00842B50"/>
    <w:rsid w:val="0084309F"/>
    <w:rsid w:val="00843B75"/>
    <w:rsid w:val="00843D80"/>
    <w:rsid w:val="00844E13"/>
    <w:rsid w:val="00845480"/>
    <w:rsid w:val="00845A8D"/>
    <w:rsid w:val="00846ABC"/>
    <w:rsid w:val="00846E92"/>
    <w:rsid w:val="00846EB9"/>
    <w:rsid w:val="008472B8"/>
    <w:rsid w:val="0084737A"/>
    <w:rsid w:val="00847A52"/>
    <w:rsid w:val="00850B6C"/>
    <w:rsid w:val="008529A2"/>
    <w:rsid w:val="00852A2A"/>
    <w:rsid w:val="00853703"/>
    <w:rsid w:val="00854123"/>
    <w:rsid w:val="00854153"/>
    <w:rsid w:val="0085439B"/>
    <w:rsid w:val="00854858"/>
    <w:rsid w:val="00855694"/>
    <w:rsid w:val="00855FFA"/>
    <w:rsid w:val="008579B4"/>
    <w:rsid w:val="00857EC0"/>
    <w:rsid w:val="008601FF"/>
    <w:rsid w:val="00861C35"/>
    <w:rsid w:val="00861E7C"/>
    <w:rsid w:val="00862487"/>
    <w:rsid w:val="00862CE9"/>
    <w:rsid w:val="00862EB9"/>
    <w:rsid w:val="00863776"/>
    <w:rsid w:val="0086381C"/>
    <w:rsid w:val="00864283"/>
    <w:rsid w:val="00864E6E"/>
    <w:rsid w:val="00865189"/>
    <w:rsid w:val="00865326"/>
    <w:rsid w:val="00865A5E"/>
    <w:rsid w:val="00866EFD"/>
    <w:rsid w:val="00867152"/>
    <w:rsid w:val="00867D88"/>
    <w:rsid w:val="008707C2"/>
    <w:rsid w:val="00870DB8"/>
    <w:rsid w:val="00871678"/>
    <w:rsid w:val="00871A6C"/>
    <w:rsid w:val="00871C65"/>
    <w:rsid w:val="008721DB"/>
    <w:rsid w:val="0087221A"/>
    <w:rsid w:val="008726A8"/>
    <w:rsid w:val="00872A6F"/>
    <w:rsid w:val="00873625"/>
    <w:rsid w:val="00873665"/>
    <w:rsid w:val="00873EF9"/>
    <w:rsid w:val="0087555C"/>
    <w:rsid w:val="00875B86"/>
    <w:rsid w:val="00875CCB"/>
    <w:rsid w:val="00876612"/>
    <w:rsid w:val="0087686B"/>
    <w:rsid w:val="00876BBF"/>
    <w:rsid w:val="008770ED"/>
    <w:rsid w:val="008778C3"/>
    <w:rsid w:val="00877EC3"/>
    <w:rsid w:val="00877F9B"/>
    <w:rsid w:val="008800AC"/>
    <w:rsid w:val="00880569"/>
    <w:rsid w:val="00881537"/>
    <w:rsid w:val="00881C65"/>
    <w:rsid w:val="00881E36"/>
    <w:rsid w:val="008828D1"/>
    <w:rsid w:val="008833F3"/>
    <w:rsid w:val="00883A65"/>
    <w:rsid w:val="00883CC4"/>
    <w:rsid w:val="00884265"/>
    <w:rsid w:val="00884650"/>
    <w:rsid w:val="008846A3"/>
    <w:rsid w:val="00884884"/>
    <w:rsid w:val="00885751"/>
    <w:rsid w:val="00886D68"/>
    <w:rsid w:val="008879AE"/>
    <w:rsid w:val="008905B2"/>
    <w:rsid w:val="00890F47"/>
    <w:rsid w:val="008910F2"/>
    <w:rsid w:val="00891BE8"/>
    <w:rsid w:val="00891FAE"/>
    <w:rsid w:val="00892164"/>
    <w:rsid w:val="0089320B"/>
    <w:rsid w:val="008941DA"/>
    <w:rsid w:val="00894E3A"/>
    <w:rsid w:val="00895A52"/>
    <w:rsid w:val="00896994"/>
    <w:rsid w:val="00896FCB"/>
    <w:rsid w:val="00897793"/>
    <w:rsid w:val="008977C5"/>
    <w:rsid w:val="00897C38"/>
    <w:rsid w:val="008A1280"/>
    <w:rsid w:val="008A1632"/>
    <w:rsid w:val="008A2395"/>
    <w:rsid w:val="008A2F43"/>
    <w:rsid w:val="008A3718"/>
    <w:rsid w:val="008A4636"/>
    <w:rsid w:val="008A50A9"/>
    <w:rsid w:val="008A50B6"/>
    <w:rsid w:val="008A57B2"/>
    <w:rsid w:val="008A6074"/>
    <w:rsid w:val="008A6F83"/>
    <w:rsid w:val="008A75CF"/>
    <w:rsid w:val="008B0217"/>
    <w:rsid w:val="008B028F"/>
    <w:rsid w:val="008B05C3"/>
    <w:rsid w:val="008B0BE7"/>
    <w:rsid w:val="008B16AB"/>
    <w:rsid w:val="008B20A7"/>
    <w:rsid w:val="008B31EC"/>
    <w:rsid w:val="008B34AB"/>
    <w:rsid w:val="008B4097"/>
    <w:rsid w:val="008B4965"/>
    <w:rsid w:val="008B4AF7"/>
    <w:rsid w:val="008B53A2"/>
    <w:rsid w:val="008B5461"/>
    <w:rsid w:val="008B55BD"/>
    <w:rsid w:val="008B5DAD"/>
    <w:rsid w:val="008B6038"/>
    <w:rsid w:val="008B6059"/>
    <w:rsid w:val="008B6B8D"/>
    <w:rsid w:val="008B6FFC"/>
    <w:rsid w:val="008B71AB"/>
    <w:rsid w:val="008B78B1"/>
    <w:rsid w:val="008C060D"/>
    <w:rsid w:val="008C16E1"/>
    <w:rsid w:val="008C17CC"/>
    <w:rsid w:val="008C1CCF"/>
    <w:rsid w:val="008C2442"/>
    <w:rsid w:val="008C26B3"/>
    <w:rsid w:val="008C3C03"/>
    <w:rsid w:val="008C4693"/>
    <w:rsid w:val="008C5B30"/>
    <w:rsid w:val="008C5E93"/>
    <w:rsid w:val="008C5F8E"/>
    <w:rsid w:val="008C616F"/>
    <w:rsid w:val="008C6391"/>
    <w:rsid w:val="008C666C"/>
    <w:rsid w:val="008C7593"/>
    <w:rsid w:val="008C764C"/>
    <w:rsid w:val="008C7E93"/>
    <w:rsid w:val="008C7F4B"/>
    <w:rsid w:val="008D05C3"/>
    <w:rsid w:val="008D0A8F"/>
    <w:rsid w:val="008D0CB7"/>
    <w:rsid w:val="008D1777"/>
    <w:rsid w:val="008D1915"/>
    <w:rsid w:val="008D19FD"/>
    <w:rsid w:val="008D1ABD"/>
    <w:rsid w:val="008D25F0"/>
    <w:rsid w:val="008D3085"/>
    <w:rsid w:val="008D3855"/>
    <w:rsid w:val="008D3A0D"/>
    <w:rsid w:val="008D410C"/>
    <w:rsid w:val="008D42B3"/>
    <w:rsid w:val="008D47EF"/>
    <w:rsid w:val="008D49AF"/>
    <w:rsid w:val="008D571F"/>
    <w:rsid w:val="008D6668"/>
    <w:rsid w:val="008D6A85"/>
    <w:rsid w:val="008D6E0C"/>
    <w:rsid w:val="008D7B90"/>
    <w:rsid w:val="008D7D89"/>
    <w:rsid w:val="008E0638"/>
    <w:rsid w:val="008E0BE4"/>
    <w:rsid w:val="008E25D6"/>
    <w:rsid w:val="008E349E"/>
    <w:rsid w:val="008E4B12"/>
    <w:rsid w:val="008E521F"/>
    <w:rsid w:val="008E5511"/>
    <w:rsid w:val="008E5F73"/>
    <w:rsid w:val="008E6867"/>
    <w:rsid w:val="008E6BC3"/>
    <w:rsid w:val="008E7808"/>
    <w:rsid w:val="008E792E"/>
    <w:rsid w:val="008E7BD4"/>
    <w:rsid w:val="008E7CA5"/>
    <w:rsid w:val="008F099E"/>
    <w:rsid w:val="008F0A95"/>
    <w:rsid w:val="008F0E0F"/>
    <w:rsid w:val="008F13BD"/>
    <w:rsid w:val="008F14F1"/>
    <w:rsid w:val="008F1792"/>
    <w:rsid w:val="008F1A39"/>
    <w:rsid w:val="008F1D91"/>
    <w:rsid w:val="008F1F15"/>
    <w:rsid w:val="008F2574"/>
    <w:rsid w:val="008F28C1"/>
    <w:rsid w:val="008F342A"/>
    <w:rsid w:val="008F3AE5"/>
    <w:rsid w:val="008F407A"/>
    <w:rsid w:val="008F4430"/>
    <w:rsid w:val="008F4611"/>
    <w:rsid w:val="008F492F"/>
    <w:rsid w:val="008F567D"/>
    <w:rsid w:val="008F67F5"/>
    <w:rsid w:val="008F6884"/>
    <w:rsid w:val="008F6C99"/>
    <w:rsid w:val="008F6F1A"/>
    <w:rsid w:val="008F7816"/>
    <w:rsid w:val="008F7897"/>
    <w:rsid w:val="008F789E"/>
    <w:rsid w:val="00900C00"/>
    <w:rsid w:val="0090137A"/>
    <w:rsid w:val="009014FF"/>
    <w:rsid w:val="00902692"/>
    <w:rsid w:val="00903323"/>
    <w:rsid w:val="00903370"/>
    <w:rsid w:val="00903911"/>
    <w:rsid w:val="00903B98"/>
    <w:rsid w:val="00903DF9"/>
    <w:rsid w:val="00904203"/>
    <w:rsid w:val="009043A5"/>
    <w:rsid w:val="00904B18"/>
    <w:rsid w:val="00906239"/>
    <w:rsid w:val="009065CE"/>
    <w:rsid w:val="00906752"/>
    <w:rsid w:val="00906E66"/>
    <w:rsid w:val="00906E74"/>
    <w:rsid w:val="00907F4E"/>
    <w:rsid w:val="00910145"/>
    <w:rsid w:val="00910F83"/>
    <w:rsid w:val="0091193A"/>
    <w:rsid w:val="00911A05"/>
    <w:rsid w:val="0091231F"/>
    <w:rsid w:val="009124CC"/>
    <w:rsid w:val="009133E6"/>
    <w:rsid w:val="0091349A"/>
    <w:rsid w:val="00913700"/>
    <w:rsid w:val="00914399"/>
    <w:rsid w:val="00914AFB"/>
    <w:rsid w:val="009151EF"/>
    <w:rsid w:val="0091530C"/>
    <w:rsid w:val="009158BF"/>
    <w:rsid w:val="00915948"/>
    <w:rsid w:val="00916429"/>
    <w:rsid w:val="009174A5"/>
    <w:rsid w:val="0091758D"/>
    <w:rsid w:val="00920008"/>
    <w:rsid w:val="00920351"/>
    <w:rsid w:val="009203CC"/>
    <w:rsid w:val="00920851"/>
    <w:rsid w:val="0092088E"/>
    <w:rsid w:val="00921465"/>
    <w:rsid w:val="00923016"/>
    <w:rsid w:val="009238A4"/>
    <w:rsid w:val="00924812"/>
    <w:rsid w:val="00924853"/>
    <w:rsid w:val="0092508B"/>
    <w:rsid w:val="0092579D"/>
    <w:rsid w:val="00925871"/>
    <w:rsid w:val="009262F1"/>
    <w:rsid w:val="00926B34"/>
    <w:rsid w:val="0092780F"/>
    <w:rsid w:val="0093017E"/>
    <w:rsid w:val="009307EE"/>
    <w:rsid w:val="009317BA"/>
    <w:rsid w:val="00931833"/>
    <w:rsid w:val="00932CA2"/>
    <w:rsid w:val="00933236"/>
    <w:rsid w:val="00933C2E"/>
    <w:rsid w:val="00933E08"/>
    <w:rsid w:val="009342FC"/>
    <w:rsid w:val="009347E4"/>
    <w:rsid w:val="009352D1"/>
    <w:rsid w:val="00935646"/>
    <w:rsid w:val="00935DF1"/>
    <w:rsid w:val="00935F2D"/>
    <w:rsid w:val="00936068"/>
    <w:rsid w:val="00937108"/>
    <w:rsid w:val="00937575"/>
    <w:rsid w:val="0093795D"/>
    <w:rsid w:val="00940206"/>
    <w:rsid w:val="009402AA"/>
    <w:rsid w:val="009404CE"/>
    <w:rsid w:val="00941D1D"/>
    <w:rsid w:val="00941E03"/>
    <w:rsid w:val="00941E1D"/>
    <w:rsid w:val="00941ED0"/>
    <w:rsid w:val="00943419"/>
    <w:rsid w:val="009435B0"/>
    <w:rsid w:val="00943806"/>
    <w:rsid w:val="0094392B"/>
    <w:rsid w:val="00943EA6"/>
    <w:rsid w:val="0094428E"/>
    <w:rsid w:val="009442F0"/>
    <w:rsid w:val="00944630"/>
    <w:rsid w:val="00944C6B"/>
    <w:rsid w:val="009452D0"/>
    <w:rsid w:val="0094584F"/>
    <w:rsid w:val="00946351"/>
    <w:rsid w:val="00946404"/>
    <w:rsid w:val="00946D54"/>
    <w:rsid w:val="00946F0B"/>
    <w:rsid w:val="0094728C"/>
    <w:rsid w:val="00950174"/>
    <w:rsid w:val="00950E8A"/>
    <w:rsid w:val="00951029"/>
    <w:rsid w:val="00951455"/>
    <w:rsid w:val="0095170A"/>
    <w:rsid w:val="009517CC"/>
    <w:rsid w:val="00951F9A"/>
    <w:rsid w:val="009525D5"/>
    <w:rsid w:val="0095413A"/>
    <w:rsid w:val="009543FA"/>
    <w:rsid w:val="00954F71"/>
    <w:rsid w:val="00955EEA"/>
    <w:rsid w:val="00956070"/>
    <w:rsid w:val="00956A8F"/>
    <w:rsid w:val="0095722D"/>
    <w:rsid w:val="00957F2D"/>
    <w:rsid w:val="00960EBF"/>
    <w:rsid w:val="009615D4"/>
    <w:rsid w:val="00961BB2"/>
    <w:rsid w:val="00961DAD"/>
    <w:rsid w:val="00961E7E"/>
    <w:rsid w:val="0096234D"/>
    <w:rsid w:val="00962905"/>
    <w:rsid w:val="0096323D"/>
    <w:rsid w:val="009640DE"/>
    <w:rsid w:val="0096458E"/>
    <w:rsid w:val="009647F6"/>
    <w:rsid w:val="00964C9F"/>
    <w:rsid w:val="00964EEF"/>
    <w:rsid w:val="009660B6"/>
    <w:rsid w:val="009660F9"/>
    <w:rsid w:val="00966C7F"/>
    <w:rsid w:val="00966C97"/>
    <w:rsid w:val="00966F26"/>
    <w:rsid w:val="009672CA"/>
    <w:rsid w:val="00967C1D"/>
    <w:rsid w:val="00967FA9"/>
    <w:rsid w:val="00970A20"/>
    <w:rsid w:val="00970BC2"/>
    <w:rsid w:val="00971302"/>
    <w:rsid w:val="0097163D"/>
    <w:rsid w:val="00971743"/>
    <w:rsid w:val="009721F8"/>
    <w:rsid w:val="00972270"/>
    <w:rsid w:val="00972D64"/>
    <w:rsid w:val="009744D7"/>
    <w:rsid w:val="00974677"/>
    <w:rsid w:val="00974A00"/>
    <w:rsid w:val="00974C25"/>
    <w:rsid w:val="00974DCE"/>
    <w:rsid w:val="00975083"/>
    <w:rsid w:val="00975767"/>
    <w:rsid w:val="00975877"/>
    <w:rsid w:val="00975ED7"/>
    <w:rsid w:val="00976023"/>
    <w:rsid w:val="00976920"/>
    <w:rsid w:val="00976A93"/>
    <w:rsid w:val="00976B8E"/>
    <w:rsid w:val="00976C82"/>
    <w:rsid w:val="009771CF"/>
    <w:rsid w:val="00977625"/>
    <w:rsid w:val="00977B10"/>
    <w:rsid w:val="00980461"/>
    <w:rsid w:val="0098062C"/>
    <w:rsid w:val="00980EFE"/>
    <w:rsid w:val="00983C09"/>
    <w:rsid w:val="00983F55"/>
    <w:rsid w:val="00984464"/>
    <w:rsid w:val="009846B3"/>
    <w:rsid w:val="00984983"/>
    <w:rsid w:val="00985A68"/>
    <w:rsid w:val="009864AF"/>
    <w:rsid w:val="0098665C"/>
    <w:rsid w:val="00986685"/>
    <w:rsid w:val="00986818"/>
    <w:rsid w:val="00986C22"/>
    <w:rsid w:val="00987066"/>
    <w:rsid w:val="009879B3"/>
    <w:rsid w:val="00987FC5"/>
    <w:rsid w:val="00990047"/>
    <w:rsid w:val="009901F4"/>
    <w:rsid w:val="009905FE"/>
    <w:rsid w:val="0099093A"/>
    <w:rsid w:val="009911D1"/>
    <w:rsid w:val="009913CC"/>
    <w:rsid w:val="0099172E"/>
    <w:rsid w:val="00991A88"/>
    <w:rsid w:val="00991EEC"/>
    <w:rsid w:val="00992DB3"/>
    <w:rsid w:val="009937DA"/>
    <w:rsid w:val="00994699"/>
    <w:rsid w:val="0099477D"/>
    <w:rsid w:val="009948D3"/>
    <w:rsid w:val="0099543F"/>
    <w:rsid w:val="00995D20"/>
    <w:rsid w:val="00996104"/>
    <w:rsid w:val="0099680E"/>
    <w:rsid w:val="009969C3"/>
    <w:rsid w:val="0099737C"/>
    <w:rsid w:val="009A073C"/>
    <w:rsid w:val="009A11C3"/>
    <w:rsid w:val="009A13AE"/>
    <w:rsid w:val="009A2260"/>
    <w:rsid w:val="009A2D23"/>
    <w:rsid w:val="009A2F17"/>
    <w:rsid w:val="009A3C2B"/>
    <w:rsid w:val="009A515F"/>
    <w:rsid w:val="009A5413"/>
    <w:rsid w:val="009A6A0C"/>
    <w:rsid w:val="009A6C6C"/>
    <w:rsid w:val="009A7D9B"/>
    <w:rsid w:val="009A7DBA"/>
    <w:rsid w:val="009B060C"/>
    <w:rsid w:val="009B0770"/>
    <w:rsid w:val="009B12D5"/>
    <w:rsid w:val="009B1435"/>
    <w:rsid w:val="009B1BF2"/>
    <w:rsid w:val="009B1C32"/>
    <w:rsid w:val="009B1DE9"/>
    <w:rsid w:val="009B1E22"/>
    <w:rsid w:val="009B2511"/>
    <w:rsid w:val="009B4180"/>
    <w:rsid w:val="009B4D4C"/>
    <w:rsid w:val="009B5548"/>
    <w:rsid w:val="009B5BEF"/>
    <w:rsid w:val="009B646E"/>
    <w:rsid w:val="009C02AE"/>
    <w:rsid w:val="009C06AE"/>
    <w:rsid w:val="009C086F"/>
    <w:rsid w:val="009C0ADD"/>
    <w:rsid w:val="009C0B57"/>
    <w:rsid w:val="009C16C2"/>
    <w:rsid w:val="009C1FFF"/>
    <w:rsid w:val="009C29F3"/>
    <w:rsid w:val="009C3A82"/>
    <w:rsid w:val="009C4237"/>
    <w:rsid w:val="009C52BF"/>
    <w:rsid w:val="009C58F1"/>
    <w:rsid w:val="009C5AD6"/>
    <w:rsid w:val="009C6075"/>
    <w:rsid w:val="009C64D9"/>
    <w:rsid w:val="009C6855"/>
    <w:rsid w:val="009C6F6D"/>
    <w:rsid w:val="009D05D0"/>
    <w:rsid w:val="009D09E9"/>
    <w:rsid w:val="009D0A95"/>
    <w:rsid w:val="009D1508"/>
    <w:rsid w:val="009D1513"/>
    <w:rsid w:val="009D19B5"/>
    <w:rsid w:val="009D24F5"/>
    <w:rsid w:val="009D2726"/>
    <w:rsid w:val="009D2BD0"/>
    <w:rsid w:val="009D3D36"/>
    <w:rsid w:val="009D3FED"/>
    <w:rsid w:val="009D4421"/>
    <w:rsid w:val="009D52F8"/>
    <w:rsid w:val="009D536B"/>
    <w:rsid w:val="009D769C"/>
    <w:rsid w:val="009E0064"/>
    <w:rsid w:val="009E0B9B"/>
    <w:rsid w:val="009E0C60"/>
    <w:rsid w:val="009E0F8E"/>
    <w:rsid w:val="009E11F9"/>
    <w:rsid w:val="009E19A3"/>
    <w:rsid w:val="009E1FA4"/>
    <w:rsid w:val="009E2033"/>
    <w:rsid w:val="009E2BF5"/>
    <w:rsid w:val="009E2F1E"/>
    <w:rsid w:val="009E3684"/>
    <w:rsid w:val="009E3972"/>
    <w:rsid w:val="009E4DC0"/>
    <w:rsid w:val="009E506C"/>
    <w:rsid w:val="009E61A8"/>
    <w:rsid w:val="009E62A5"/>
    <w:rsid w:val="009E6436"/>
    <w:rsid w:val="009E6892"/>
    <w:rsid w:val="009E6C5A"/>
    <w:rsid w:val="009E6F6F"/>
    <w:rsid w:val="009E7375"/>
    <w:rsid w:val="009E755F"/>
    <w:rsid w:val="009F0961"/>
    <w:rsid w:val="009F1FF6"/>
    <w:rsid w:val="009F2154"/>
    <w:rsid w:val="009F277B"/>
    <w:rsid w:val="009F2C9B"/>
    <w:rsid w:val="009F352E"/>
    <w:rsid w:val="009F35E2"/>
    <w:rsid w:val="009F38AB"/>
    <w:rsid w:val="009F40A8"/>
    <w:rsid w:val="009F468C"/>
    <w:rsid w:val="009F4B8C"/>
    <w:rsid w:val="009F4F53"/>
    <w:rsid w:val="009F56D3"/>
    <w:rsid w:val="009F6344"/>
    <w:rsid w:val="009F64A0"/>
    <w:rsid w:val="009F70AA"/>
    <w:rsid w:val="009F7B67"/>
    <w:rsid w:val="009F7D0C"/>
    <w:rsid w:val="00A014AD"/>
    <w:rsid w:val="00A0156F"/>
    <w:rsid w:val="00A016CA"/>
    <w:rsid w:val="00A017BA"/>
    <w:rsid w:val="00A02530"/>
    <w:rsid w:val="00A027B7"/>
    <w:rsid w:val="00A049C7"/>
    <w:rsid w:val="00A04A34"/>
    <w:rsid w:val="00A051BA"/>
    <w:rsid w:val="00A053FF"/>
    <w:rsid w:val="00A06041"/>
    <w:rsid w:val="00A068D7"/>
    <w:rsid w:val="00A06DA2"/>
    <w:rsid w:val="00A0757A"/>
    <w:rsid w:val="00A10306"/>
    <w:rsid w:val="00A11038"/>
    <w:rsid w:val="00A1184E"/>
    <w:rsid w:val="00A128B7"/>
    <w:rsid w:val="00A13192"/>
    <w:rsid w:val="00A13664"/>
    <w:rsid w:val="00A14CA7"/>
    <w:rsid w:val="00A15E2F"/>
    <w:rsid w:val="00A167AC"/>
    <w:rsid w:val="00A17C93"/>
    <w:rsid w:val="00A17F72"/>
    <w:rsid w:val="00A203E6"/>
    <w:rsid w:val="00A2120A"/>
    <w:rsid w:val="00A21739"/>
    <w:rsid w:val="00A228BE"/>
    <w:rsid w:val="00A23CF3"/>
    <w:rsid w:val="00A2497F"/>
    <w:rsid w:val="00A25135"/>
    <w:rsid w:val="00A25659"/>
    <w:rsid w:val="00A25BB7"/>
    <w:rsid w:val="00A25F3E"/>
    <w:rsid w:val="00A25F9B"/>
    <w:rsid w:val="00A2717B"/>
    <w:rsid w:val="00A27A5B"/>
    <w:rsid w:val="00A27F4C"/>
    <w:rsid w:val="00A30FE7"/>
    <w:rsid w:val="00A326FE"/>
    <w:rsid w:val="00A32DB2"/>
    <w:rsid w:val="00A331E5"/>
    <w:rsid w:val="00A342A8"/>
    <w:rsid w:val="00A34470"/>
    <w:rsid w:val="00A34FE8"/>
    <w:rsid w:val="00A356E4"/>
    <w:rsid w:val="00A359B1"/>
    <w:rsid w:val="00A36095"/>
    <w:rsid w:val="00A36E47"/>
    <w:rsid w:val="00A3736F"/>
    <w:rsid w:val="00A405ED"/>
    <w:rsid w:val="00A416AD"/>
    <w:rsid w:val="00A4195A"/>
    <w:rsid w:val="00A41A33"/>
    <w:rsid w:val="00A41A6E"/>
    <w:rsid w:val="00A41C79"/>
    <w:rsid w:val="00A42826"/>
    <w:rsid w:val="00A42F88"/>
    <w:rsid w:val="00A4303C"/>
    <w:rsid w:val="00A43CE8"/>
    <w:rsid w:val="00A43F3A"/>
    <w:rsid w:val="00A4437D"/>
    <w:rsid w:val="00A44F55"/>
    <w:rsid w:val="00A45206"/>
    <w:rsid w:val="00A45400"/>
    <w:rsid w:val="00A4577F"/>
    <w:rsid w:val="00A458AB"/>
    <w:rsid w:val="00A466B6"/>
    <w:rsid w:val="00A47081"/>
    <w:rsid w:val="00A471AE"/>
    <w:rsid w:val="00A4750D"/>
    <w:rsid w:val="00A47C39"/>
    <w:rsid w:val="00A50244"/>
    <w:rsid w:val="00A507A4"/>
    <w:rsid w:val="00A50CD9"/>
    <w:rsid w:val="00A51241"/>
    <w:rsid w:val="00A51374"/>
    <w:rsid w:val="00A51862"/>
    <w:rsid w:val="00A518B1"/>
    <w:rsid w:val="00A52201"/>
    <w:rsid w:val="00A523F9"/>
    <w:rsid w:val="00A52408"/>
    <w:rsid w:val="00A527EB"/>
    <w:rsid w:val="00A52F38"/>
    <w:rsid w:val="00A532AB"/>
    <w:rsid w:val="00A53B59"/>
    <w:rsid w:val="00A53B8D"/>
    <w:rsid w:val="00A5405A"/>
    <w:rsid w:val="00A54498"/>
    <w:rsid w:val="00A54E54"/>
    <w:rsid w:val="00A5529A"/>
    <w:rsid w:val="00A56C4D"/>
    <w:rsid w:val="00A56F0B"/>
    <w:rsid w:val="00A5703F"/>
    <w:rsid w:val="00A5760E"/>
    <w:rsid w:val="00A5793A"/>
    <w:rsid w:val="00A57DC1"/>
    <w:rsid w:val="00A601E0"/>
    <w:rsid w:val="00A604C2"/>
    <w:rsid w:val="00A60E65"/>
    <w:rsid w:val="00A612E2"/>
    <w:rsid w:val="00A61308"/>
    <w:rsid w:val="00A61FE0"/>
    <w:rsid w:val="00A62841"/>
    <w:rsid w:val="00A629AB"/>
    <w:rsid w:val="00A62A46"/>
    <w:rsid w:val="00A62CC7"/>
    <w:rsid w:val="00A6306E"/>
    <w:rsid w:val="00A634C7"/>
    <w:rsid w:val="00A63D66"/>
    <w:rsid w:val="00A640F0"/>
    <w:rsid w:val="00A6466E"/>
    <w:rsid w:val="00A65DA1"/>
    <w:rsid w:val="00A65DCB"/>
    <w:rsid w:val="00A666BE"/>
    <w:rsid w:val="00A668D5"/>
    <w:rsid w:val="00A66E3A"/>
    <w:rsid w:val="00A67E57"/>
    <w:rsid w:val="00A70005"/>
    <w:rsid w:val="00A70240"/>
    <w:rsid w:val="00A70820"/>
    <w:rsid w:val="00A70DFC"/>
    <w:rsid w:val="00A70F01"/>
    <w:rsid w:val="00A7187E"/>
    <w:rsid w:val="00A71F7C"/>
    <w:rsid w:val="00A7200D"/>
    <w:rsid w:val="00A735FE"/>
    <w:rsid w:val="00A739B2"/>
    <w:rsid w:val="00A73DD8"/>
    <w:rsid w:val="00A73EBA"/>
    <w:rsid w:val="00A74C17"/>
    <w:rsid w:val="00A74D25"/>
    <w:rsid w:val="00A74ED7"/>
    <w:rsid w:val="00A75170"/>
    <w:rsid w:val="00A75DCB"/>
    <w:rsid w:val="00A75F2F"/>
    <w:rsid w:val="00A767A3"/>
    <w:rsid w:val="00A769FD"/>
    <w:rsid w:val="00A76FC6"/>
    <w:rsid w:val="00A80AF3"/>
    <w:rsid w:val="00A81331"/>
    <w:rsid w:val="00A8138A"/>
    <w:rsid w:val="00A8183A"/>
    <w:rsid w:val="00A81975"/>
    <w:rsid w:val="00A82ADA"/>
    <w:rsid w:val="00A832D4"/>
    <w:rsid w:val="00A842F9"/>
    <w:rsid w:val="00A845EB"/>
    <w:rsid w:val="00A84890"/>
    <w:rsid w:val="00A84B80"/>
    <w:rsid w:val="00A84BDB"/>
    <w:rsid w:val="00A84F6F"/>
    <w:rsid w:val="00A850B2"/>
    <w:rsid w:val="00A8578D"/>
    <w:rsid w:val="00A85863"/>
    <w:rsid w:val="00A85967"/>
    <w:rsid w:val="00A85993"/>
    <w:rsid w:val="00A85A39"/>
    <w:rsid w:val="00A86051"/>
    <w:rsid w:val="00A8625F"/>
    <w:rsid w:val="00A86A00"/>
    <w:rsid w:val="00A86E04"/>
    <w:rsid w:val="00A87AB4"/>
    <w:rsid w:val="00A87AF9"/>
    <w:rsid w:val="00A90151"/>
    <w:rsid w:val="00A90170"/>
    <w:rsid w:val="00A90256"/>
    <w:rsid w:val="00A91551"/>
    <w:rsid w:val="00A915BE"/>
    <w:rsid w:val="00A917F4"/>
    <w:rsid w:val="00A9359B"/>
    <w:rsid w:val="00A94094"/>
    <w:rsid w:val="00A94116"/>
    <w:rsid w:val="00A9461E"/>
    <w:rsid w:val="00A94D50"/>
    <w:rsid w:val="00A9545C"/>
    <w:rsid w:val="00A96436"/>
    <w:rsid w:val="00A96589"/>
    <w:rsid w:val="00A970A6"/>
    <w:rsid w:val="00A97249"/>
    <w:rsid w:val="00A97B76"/>
    <w:rsid w:val="00AA0AF4"/>
    <w:rsid w:val="00AA1031"/>
    <w:rsid w:val="00AA163B"/>
    <w:rsid w:val="00AA1A3E"/>
    <w:rsid w:val="00AA1BE2"/>
    <w:rsid w:val="00AA2984"/>
    <w:rsid w:val="00AA2B5B"/>
    <w:rsid w:val="00AA2C55"/>
    <w:rsid w:val="00AA30AA"/>
    <w:rsid w:val="00AA3569"/>
    <w:rsid w:val="00AA3BB9"/>
    <w:rsid w:val="00AA46BF"/>
    <w:rsid w:val="00AA5E43"/>
    <w:rsid w:val="00AA61AE"/>
    <w:rsid w:val="00AA6356"/>
    <w:rsid w:val="00AA6B75"/>
    <w:rsid w:val="00AA77CB"/>
    <w:rsid w:val="00AB0579"/>
    <w:rsid w:val="00AB08BF"/>
    <w:rsid w:val="00AB10F4"/>
    <w:rsid w:val="00AB113E"/>
    <w:rsid w:val="00AB175F"/>
    <w:rsid w:val="00AB2402"/>
    <w:rsid w:val="00AB2D17"/>
    <w:rsid w:val="00AB304B"/>
    <w:rsid w:val="00AB3479"/>
    <w:rsid w:val="00AB34AD"/>
    <w:rsid w:val="00AB3D47"/>
    <w:rsid w:val="00AB3FCD"/>
    <w:rsid w:val="00AB4085"/>
    <w:rsid w:val="00AB408A"/>
    <w:rsid w:val="00AB4399"/>
    <w:rsid w:val="00AB443F"/>
    <w:rsid w:val="00AB4627"/>
    <w:rsid w:val="00AB46E2"/>
    <w:rsid w:val="00AB4C10"/>
    <w:rsid w:val="00AB61B3"/>
    <w:rsid w:val="00AB69BD"/>
    <w:rsid w:val="00AB6B84"/>
    <w:rsid w:val="00AB6C3D"/>
    <w:rsid w:val="00AB770B"/>
    <w:rsid w:val="00AB7799"/>
    <w:rsid w:val="00AB79EE"/>
    <w:rsid w:val="00AB7C54"/>
    <w:rsid w:val="00AC1CF6"/>
    <w:rsid w:val="00AC36CA"/>
    <w:rsid w:val="00AC3E24"/>
    <w:rsid w:val="00AC3EDD"/>
    <w:rsid w:val="00AC3FC4"/>
    <w:rsid w:val="00AC409C"/>
    <w:rsid w:val="00AC43D3"/>
    <w:rsid w:val="00AC4F7C"/>
    <w:rsid w:val="00AC5071"/>
    <w:rsid w:val="00AC51F0"/>
    <w:rsid w:val="00AC587D"/>
    <w:rsid w:val="00AC5F56"/>
    <w:rsid w:val="00AC5FCF"/>
    <w:rsid w:val="00AC61F0"/>
    <w:rsid w:val="00AC6A11"/>
    <w:rsid w:val="00AC754D"/>
    <w:rsid w:val="00AC7B28"/>
    <w:rsid w:val="00AC7FBB"/>
    <w:rsid w:val="00AD0623"/>
    <w:rsid w:val="00AD06DE"/>
    <w:rsid w:val="00AD09B6"/>
    <w:rsid w:val="00AD1AA2"/>
    <w:rsid w:val="00AD2D84"/>
    <w:rsid w:val="00AD389D"/>
    <w:rsid w:val="00AD4604"/>
    <w:rsid w:val="00AD4BB5"/>
    <w:rsid w:val="00AD4BF6"/>
    <w:rsid w:val="00AD4EF1"/>
    <w:rsid w:val="00AD51C9"/>
    <w:rsid w:val="00AD51EC"/>
    <w:rsid w:val="00AD70F6"/>
    <w:rsid w:val="00AD71CD"/>
    <w:rsid w:val="00AD7A30"/>
    <w:rsid w:val="00AD7EEB"/>
    <w:rsid w:val="00AD7EFD"/>
    <w:rsid w:val="00AD7FF2"/>
    <w:rsid w:val="00AE0B67"/>
    <w:rsid w:val="00AE11D0"/>
    <w:rsid w:val="00AE2026"/>
    <w:rsid w:val="00AE2839"/>
    <w:rsid w:val="00AE3661"/>
    <w:rsid w:val="00AE453C"/>
    <w:rsid w:val="00AE4D9A"/>
    <w:rsid w:val="00AE5058"/>
    <w:rsid w:val="00AE528A"/>
    <w:rsid w:val="00AE723D"/>
    <w:rsid w:val="00AE745B"/>
    <w:rsid w:val="00AE7E57"/>
    <w:rsid w:val="00AE7FA9"/>
    <w:rsid w:val="00AF0252"/>
    <w:rsid w:val="00AF0482"/>
    <w:rsid w:val="00AF091D"/>
    <w:rsid w:val="00AF0F01"/>
    <w:rsid w:val="00AF0F2D"/>
    <w:rsid w:val="00AF1728"/>
    <w:rsid w:val="00AF19DB"/>
    <w:rsid w:val="00AF1E9B"/>
    <w:rsid w:val="00AF205B"/>
    <w:rsid w:val="00AF27D0"/>
    <w:rsid w:val="00AF28A2"/>
    <w:rsid w:val="00AF2F42"/>
    <w:rsid w:val="00AF30F2"/>
    <w:rsid w:val="00AF3BD9"/>
    <w:rsid w:val="00AF3F7F"/>
    <w:rsid w:val="00AF4180"/>
    <w:rsid w:val="00AF4528"/>
    <w:rsid w:val="00AF479F"/>
    <w:rsid w:val="00AF5AE8"/>
    <w:rsid w:val="00AF68E0"/>
    <w:rsid w:val="00AF6AF8"/>
    <w:rsid w:val="00AF70D4"/>
    <w:rsid w:val="00AF7182"/>
    <w:rsid w:val="00AF73A5"/>
    <w:rsid w:val="00AF7611"/>
    <w:rsid w:val="00B010D7"/>
    <w:rsid w:val="00B0199C"/>
    <w:rsid w:val="00B02767"/>
    <w:rsid w:val="00B027AA"/>
    <w:rsid w:val="00B02E99"/>
    <w:rsid w:val="00B0347C"/>
    <w:rsid w:val="00B035D5"/>
    <w:rsid w:val="00B03DBD"/>
    <w:rsid w:val="00B04356"/>
    <w:rsid w:val="00B043F3"/>
    <w:rsid w:val="00B044BC"/>
    <w:rsid w:val="00B045B8"/>
    <w:rsid w:val="00B0479F"/>
    <w:rsid w:val="00B049A1"/>
    <w:rsid w:val="00B05391"/>
    <w:rsid w:val="00B05705"/>
    <w:rsid w:val="00B06803"/>
    <w:rsid w:val="00B06DD6"/>
    <w:rsid w:val="00B06FF4"/>
    <w:rsid w:val="00B07760"/>
    <w:rsid w:val="00B103A4"/>
    <w:rsid w:val="00B10762"/>
    <w:rsid w:val="00B11933"/>
    <w:rsid w:val="00B11AB3"/>
    <w:rsid w:val="00B11E20"/>
    <w:rsid w:val="00B11F80"/>
    <w:rsid w:val="00B12853"/>
    <w:rsid w:val="00B12C44"/>
    <w:rsid w:val="00B12FB0"/>
    <w:rsid w:val="00B1359C"/>
    <w:rsid w:val="00B1394A"/>
    <w:rsid w:val="00B13EFC"/>
    <w:rsid w:val="00B14EC1"/>
    <w:rsid w:val="00B17053"/>
    <w:rsid w:val="00B1711B"/>
    <w:rsid w:val="00B174FD"/>
    <w:rsid w:val="00B20080"/>
    <w:rsid w:val="00B2032A"/>
    <w:rsid w:val="00B228B0"/>
    <w:rsid w:val="00B22BEF"/>
    <w:rsid w:val="00B22F02"/>
    <w:rsid w:val="00B2301D"/>
    <w:rsid w:val="00B23258"/>
    <w:rsid w:val="00B23603"/>
    <w:rsid w:val="00B24016"/>
    <w:rsid w:val="00B25CA7"/>
    <w:rsid w:val="00B25CAE"/>
    <w:rsid w:val="00B2641E"/>
    <w:rsid w:val="00B265B0"/>
    <w:rsid w:val="00B26F55"/>
    <w:rsid w:val="00B27208"/>
    <w:rsid w:val="00B27455"/>
    <w:rsid w:val="00B2757F"/>
    <w:rsid w:val="00B27816"/>
    <w:rsid w:val="00B27823"/>
    <w:rsid w:val="00B27AE4"/>
    <w:rsid w:val="00B302FA"/>
    <w:rsid w:val="00B30EE6"/>
    <w:rsid w:val="00B311AD"/>
    <w:rsid w:val="00B31903"/>
    <w:rsid w:val="00B32A02"/>
    <w:rsid w:val="00B32D6C"/>
    <w:rsid w:val="00B330D4"/>
    <w:rsid w:val="00B33153"/>
    <w:rsid w:val="00B34048"/>
    <w:rsid w:val="00B344CD"/>
    <w:rsid w:val="00B34683"/>
    <w:rsid w:val="00B34CEB"/>
    <w:rsid w:val="00B35526"/>
    <w:rsid w:val="00B35F09"/>
    <w:rsid w:val="00B36AF4"/>
    <w:rsid w:val="00B36BFB"/>
    <w:rsid w:val="00B3720F"/>
    <w:rsid w:val="00B37384"/>
    <w:rsid w:val="00B3749D"/>
    <w:rsid w:val="00B37597"/>
    <w:rsid w:val="00B375E0"/>
    <w:rsid w:val="00B37999"/>
    <w:rsid w:val="00B37B7B"/>
    <w:rsid w:val="00B4058F"/>
    <w:rsid w:val="00B4067F"/>
    <w:rsid w:val="00B41239"/>
    <w:rsid w:val="00B41CE5"/>
    <w:rsid w:val="00B41DCB"/>
    <w:rsid w:val="00B4337F"/>
    <w:rsid w:val="00B43A84"/>
    <w:rsid w:val="00B442C3"/>
    <w:rsid w:val="00B443CC"/>
    <w:rsid w:val="00B448D6"/>
    <w:rsid w:val="00B46971"/>
    <w:rsid w:val="00B50220"/>
    <w:rsid w:val="00B5097F"/>
    <w:rsid w:val="00B5298E"/>
    <w:rsid w:val="00B5341C"/>
    <w:rsid w:val="00B5354F"/>
    <w:rsid w:val="00B5392F"/>
    <w:rsid w:val="00B53D10"/>
    <w:rsid w:val="00B53DA3"/>
    <w:rsid w:val="00B54882"/>
    <w:rsid w:val="00B54971"/>
    <w:rsid w:val="00B5569E"/>
    <w:rsid w:val="00B55A34"/>
    <w:rsid w:val="00B55ACA"/>
    <w:rsid w:val="00B56AF0"/>
    <w:rsid w:val="00B56D1F"/>
    <w:rsid w:val="00B56DB2"/>
    <w:rsid w:val="00B5707E"/>
    <w:rsid w:val="00B57265"/>
    <w:rsid w:val="00B578A6"/>
    <w:rsid w:val="00B60868"/>
    <w:rsid w:val="00B609FF"/>
    <w:rsid w:val="00B60DEC"/>
    <w:rsid w:val="00B6161E"/>
    <w:rsid w:val="00B61AC5"/>
    <w:rsid w:val="00B61B9C"/>
    <w:rsid w:val="00B61E14"/>
    <w:rsid w:val="00B641BD"/>
    <w:rsid w:val="00B6447F"/>
    <w:rsid w:val="00B64AC3"/>
    <w:rsid w:val="00B64CB8"/>
    <w:rsid w:val="00B65114"/>
    <w:rsid w:val="00B655B8"/>
    <w:rsid w:val="00B658C4"/>
    <w:rsid w:val="00B65DAA"/>
    <w:rsid w:val="00B65EC7"/>
    <w:rsid w:val="00B6651B"/>
    <w:rsid w:val="00B66B2F"/>
    <w:rsid w:val="00B670A3"/>
    <w:rsid w:val="00B67318"/>
    <w:rsid w:val="00B67351"/>
    <w:rsid w:val="00B67E31"/>
    <w:rsid w:val="00B705AB"/>
    <w:rsid w:val="00B70D0E"/>
    <w:rsid w:val="00B71012"/>
    <w:rsid w:val="00B713E9"/>
    <w:rsid w:val="00B716C0"/>
    <w:rsid w:val="00B71AEF"/>
    <w:rsid w:val="00B720EC"/>
    <w:rsid w:val="00B7258D"/>
    <w:rsid w:val="00B72A5F"/>
    <w:rsid w:val="00B72F95"/>
    <w:rsid w:val="00B731AD"/>
    <w:rsid w:val="00B73B3E"/>
    <w:rsid w:val="00B74F7F"/>
    <w:rsid w:val="00B75B08"/>
    <w:rsid w:val="00B75F31"/>
    <w:rsid w:val="00B760F4"/>
    <w:rsid w:val="00B7663C"/>
    <w:rsid w:val="00B76DE0"/>
    <w:rsid w:val="00B80C39"/>
    <w:rsid w:val="00B80E37"/>
    <w:rsid w:val="00B80FB5"/>
    <w:rsid w:val="00B81113"/>
    <w:rsid w:val="00B8111B"/>
    <w:rsid w:val="00B811C4"/>
    <w:rsid w:val="00B81B38"/>
    <w:rsid w:val="00B81D43"/>
    <w:rsid w:val="00B825C6"/>
    <w:rsid w:val="00B836D2"/>
    <w:rsid w:val="00B837F1"/>
    <w:rsid w:val="00B83B43"/>
    <w:rsid w:val="00B83C5D"/>
    <w:rsid w:val="00B846EA"/>
    <w:rsid w:val="00B84869"/>
    <w:rsid w:val="00B85167"/>
    <w:rsid w:val="00B85A68"/>
    <w:rsid w:val="00B85F9F"/>
    <w:rsid w:val="00B8619C"/>
    <w:rsid w:val="00B86431"/>
    <w:rsid w:val="00B86607"/>
    <w:rsid w:val="00B86A4F"/>
    <w:rsid w:val="00B86A58"/>
    <w:rsid w:val="00B86BBA"/>
    <w:rsid w:val="00B874DA"/>
    <w:rsid w:val="00B87859"/>
    <w:rsid w:val="00B8790E"/>
    <w:rsid w:val="00B87ED3"/>
    <w:rsid w:val="00B87EF3"/>
    <w:rsid w:val="00B902B0"/>
    <w:rsid w:val="00B906BE"/>
    <w:rsid w:val="00B908B9"/>
    <w:rsid w:val="00B915D8"/>
    <w:rsid w:val="00B917AE"/>
    <w:rsid w:val="00B91D47"/>
    <w:rsid w:val="00B92548"/>
    <w:rsid w:val="00B92BAE"/>
    <w:rsid w:val="00B93567"/>
    <w:rsid w:val="00B93D97"/>
    <w:rsid w:val="00B944C1"/>
    <w:rsid w:val="00B953E2"/>
    <w:rsid w:val="00B958C9"/>
    <w:rsid w:val="00B95ED0"/>
    <w:rsid w:val="00B9605D"/>
    <w:rsid w:val="00B96A89"/>
    <w:rsid w:val="00B96BD0"/>
    <w:rsid w:val="00B9728C"/>
    <w:rsid w:val="00BA0486"/>
    <w:rsid w:val="00BA053F"/>
    <w:rsid w:val="00BA0A27"/>
    <w:rsid w:val="00BA0E4F"/>
    <w:rsid w:val="00BA0F00"/>
    <w:rsid w:val="00BA0F17"/>
    <w:rsid w:val="00BA1017"/>
    <w:rsid w:val="00BA18DA"/>
    <w:rsid w:val="00BA23DC"/>
    <w:rsid w:val="00BA2732"/>
    <w:rsid w:val="00BA303B"/>
    <w:rsid w:val="00BA3A08"/>
    <w:rsid w:val="00BA3CB8"/>
    <w:rsid w:val="00BA4378"/>
    <w:rsid w:val="00BA48E1"/>
    <w:rsid w:val="00BA4C3D"/>
    <w:rsid w:val="00BA4DB0"/>
    <w:rsid w:val="00BA5058"/>
    <w:rsid w:val="00BA66B9"/>
    <w:rsid w:val="00BA7623"/>
    <w:rsid w:val="00BB0527"/>
    <w:rsid w:val="00BB138D"/>
    <w:rsid w:val="00BB2818"/>
    <w:rsid w:val="00BB29E3"/>
    <w:rsid w:val="00BB2EFB"/>
    <w:rsid w:val="00BB358A"/>
    <w:rsid w:val="00BB3BE8"/>
    <w:rsid w:val="00BB442E"/>
    <w:rsid w:val="00BB4D19"/>
    <w:rsid w:val="00BB506D"/>
    <w:rsid w:val="00BB58C5"/>
    <w:rsid w:val="00BB64AC"/>
    <w:rsid w:val="00BB6853"/>
    <w:rsid w:val="00BB6CB2"/>
    <w:rsid w:val="00BB7119"/>
    <w:rsid w:val="00BB7444"/>
    <w:rsid w:val="00BB7820"/>
    <w:rsid w:val="00BB793E"/>
    <w:rsid w:val="00BB7B8D"/>
    <w:rsid w:val="00BC0C91"/>
    <w:rsid w:val="00BC0DCE"/>
    <w:rsid w:val="00BC127C"/>
    <w:rsid w:val="00BC130A"/>
    <w:rsid w:val="00BC1BFC"/>
    <w:rsid w:val="00BC1D6E"/>
    <w:rsid w:val="00BC219C"/>
    <w:rsid w:val="00BC2C24"/>
    <w:rsid w:val="00BC2E41"/>
    <w:rsid w:val="00BC3206"/>
    <w:rsid w:val="00BC32E8"/>
    <w:rsid w:val="00BC4B68"/>
    <w:rsid w:val="00BC5B0E"/>
    <w:rsid w:val="00BC5C87"/>
    <w:rsid w:val="00BC5D4C"/>
    <w:rsid w:val="00BC6606"/>
    <w:rsid w:val="00BC666A"/>
    <w:rsid w:val="00BC683A"/>
    <w:rsid w:val="00BC6DEA"/>
    <w:rsid w:val="00BC7C1B"/>
    <w:rsid w:val="00BC7F32"/>
    <w:rsid w:val="00BD03B0"/>
    <w:rsid w:val="00BD096D"/>
    <w:rsid w:val="00BD0CCF"/>
    <w:rsid w:val="00BD17AB"/>
    <w:rsid w:val="00BD18A5"/>
    <w:rsid w:val="00BD190D"/>
    <w:rsid w:val="00BD1C65"/>
    <w:rsid w:val="00BD210C"/>
    <w:rsid w:val="00BD2999"/>
    <w:rsid w:val="00BD2AC5"/>
    <w:rsid w:val="00BD2C52"/>
    <w:rsid w:val="00BD2E8D"/>
    <w:rsid w:val="00BD3A50"/>
    <w:rsid w:val="00BD4F00"/>
    <w:rsid w:val="00BD5C1A"/>
    <w:rsid w:val="00BD5D0E"/>
    <w:rsid w:val="00BD6185"/>
    <w:rsid w:val="00BD683C"/>
    <w:rsid w:val="00BD69F8"/>
    <w:rsid w:val="00BD7163"/>
    <w:rsid w:val="00BD7598"/>
    <w:rsid w:val="00BD7647"/>
    <w:rsid w:val="00BD7990"/>
    <w:rsid w:val="00BE03CF"/>
    <w:rsid w:val="00BE05C6"/>
    <w:rsid w:val="00BE12D1"/>
    <w:rsid w:val="00BE23AA"/>
    <w:rsid w:val="00BE245B"/>
    <w:rsid w:val="00BE26CF"/>
    <w:rsid w:val="00BE33F2"/>
    <w:rsid w:val="00BE37BF"/>
    <w:rsid w:val="00BE3A45"/>
    <w:rsid w:val="00BE3A58"/>
    <w:rsid w:val="00BE48E0"/>
    <w:rsid w:val="00BE4D8B"/>
    <w:rsid w:val="00BE62F7"/>
    <w:rsid w:val="00BE6554"/>
    <w:rsid w:val="00BE66E0"/>
    <w:rsid w:val="00BE6F83"/>
    <w:rsid w:val="00BE7191"/>
    <w:rsid w:val="00BF02FF"/>
    <w:rsid w:val="00BF0627"/>
    <w:rsid w:val="00BF0EF2"/>
    <w:rsid w:val="00BF11A0"/>
    <w:rsid w:val="00BF26CA"/>
    <w:rsid w:val="00BF2BD7"/>
    <w:rsid w:val="00BF31AD"/>
    <w:rsid w:val="00BF3F23"/>
    <w:rsid w:val="00BF62F6"/>
    <w:rsid w:val="00BF68C8"/>
    <w:rsid w:val="00BF6BD6"/>
    <w:rsid w:val="00BF6E79"/>
    <w:rsid w:val="00BF6FEE"/>
    <w:rsid w:val="00BF7B67"/>
    <w:rsid w:val="00C0028E"/>
    <w:rsid w:val="00C006E9"/>
    <w:rsid w:val="00C016A3"/>
    <w:rsid w:val="00C01BF7"/>
    <w:rsid w:val="00C01C87"/>
    <w:rsid w:val="00C01E68"/>
    <w:rsid w:val="00C0203A"/>
    <w:rsid w:val="00C02059"/>
    <w:rsid w:val="00C02228"/>
    <w:rsid w:val="00C02B80"/>
    <w:rsid w:val="00C02DC9"/>
    <w:rsid w:val="00C034A6"/>
    <w:rsid w:val="00C041A4"/>
    <w:rsid w:val="00C04279"/>
    <w:rsid w:val="00C047D1"/>
    <w:rsid w:val="00C048D2"/>
    <w:rsid w:val="00C04A9D"/>
    <w:rsid w:val="00C04F84"/>
    <w:rsid w:val="00C0504B"/>
    <w:rsid w:val="00C056E1"/>
    <w:rsid w:val="00C05912"/>
    <w:rsid w:val="00C068F1"/>
    <w:rsid w:val="00C06FA1"/>
    <w:rsid w:val="00C06FF2"/>
    <w:rsid w:val="00C0739D"/>
    <w:rsid w:val="00C07870"/>
    <w:rsid w:val="00C07A1E"/>
    <w:rsid w:val="00C07EFE"/>
    <w:rsid w:val="00C10191"/>
    <w:rsid w:val="00C111CF"/>
    <w:rsid w:val="00C11924"/>
    <w:rsid w:val="00C119E7"/>
    <w:rsid w:val="00C11B7F"/>
    <w:rsid w:val="00C11BBE"/>
    <w:rsid w:val="00C128EE"/>
    <w:rsid w:val="00C13132"/>
    <w:rsid w:val="00C13A44"/>
    <w:rsid w:val="00C13B34"/>
    <w:rsid w:val="00C14016"/>
    <w:rsid w:val="00C140FB"/>
    <w:rsid w:val="00C1498D"/>
    <w:rsid w:val="00C156D1"/>
    <w:rsid w:val="00C15C10"/>
    <w:rsid w:val="00C16CBD"/>
    <w:rsid w:val="00C16FDB"/>
    <w:rsid w:val="00C17B40"/>
    <w:rsid w:val="00C2088C"/>
    <w:rsid w:val="00C20B8F"/>
    <w:rsid w:val="00C210CA"/>
    <w:rsid w:val="00C21781"/>
    <w:rsid w:val="00C2199D"/>
    <w:rsid w:val="00C21D1F"/>
    <w:rsid w:val="00C22164"/>
    <w:rsid w:val="00C221A0"/>
    <w:rsid w:val="00C23571"/>
    <w:rsid w:val="00C238D1"/>
    <w:rsid w:val="00C23E1D"/>
    <w:rsid w:val="00C2405F"/>
    <w:rsid w:val="00C240B3"/>
    <w:rsid w:val="00C24B11"/>
    <w:rsid w:val="00C2508D"/>
    <w:rsid w:val="00C25C46"/>
    <w:rsid w:val="00C25FB1"/>
    <w:rsid w:val="00C26E28"/>
    <w:rsid w:val="00C30067"/>
    <w:rsid w:val="00C303CA"/>
    <w:rsid w:val="00C306A1"/>
    <w:rsid w:val="00C306E6"/>
    <w:rsid w:val="00C307D7"/>
    <w:rsid w:val="00C30BB1"/>
    <w:rsid w:val="00C3129C"/>
    <w:rsid w:val="00C31843"/>
    <w:rsid w:val="00C31A6B"/>
    <w:rsid w:val="00C31E23"/>
    <w:rsid w:val="00C32534"/>
    <w:rsid w:val="00C326F9"/>
    <w:rsid w:val="00C32E1E"/>
    <w:rsid w:val="00C33BA6"/>
    <w:rsid w:val="00C33BED"/>
    <w:rsid w:val="00C35230"/>
    <w:rsid w:val="00C359EE"/>
    <w:rsid w:val="00C363DC"/>
    <w:rsid w:val="00C369DE"/>
    <w:rsid w:val="00C36FFC"/>
    <w:rsid w:val="00C3736D"/>
    <w:rsid w:val="00C37763"/>
    <w:rsid w:val="00C37A29"/>
    <w:rsid w:val="00C40B1F"/>
    <w:rsid w:val="00C40D48"/>
    <w:rsid w:val="00C414E1"/>
    <w:rsid w:val="00C419A2"/>
    <w:rsid w:val="00C41EB9"/>
    <w:rsid w:val="00C42F34"/>
    <w:rsid w:val="00C441FA"/>
    <w:rsid w:val="00C4445D"/>
    <w:rsid w:val="00C4508B"/>
    <w:rsid w:val="00C461A8"/>
    <w:rsid w:val="00C46B18"/>
    <w:rsid w:val="00C47640"/>
    <w:rsid w:val="00C501C2"/>
    <w:rsid w:val="00C506E2"/>
    <w:rsid w:val="00C506EA"/>
    <w:rsid w:val="00C531C0"/>
    <w:rsid w:val="00C53A5E"/>
    <w:rsid w:val="00C5449F"/>
    <w:rsid w:val="00C56554"/>
    <w:rsid w:val="00C56F2B"/>
    <w:rsid w:val="00C5729C"/>
    <w:rsid w:val="00C576CB"/>
    <w:rsid w:val="00C57A05"/>
    <w:rsid w:val="00C57FB7"/>
    <w:rsid w:val="00C60422"/>
    <w:rsid w:val="00C6098D"/>
    <w:rsid w:val="00C60B8A"/>
    <w:rsid w:val="00C60E5F"/>
    <w:rsid w:val="00C613BF"/>
    <w:rsid w:val="00C61877"/>
    <w:rsid w:val="00C61DE1"/>
    <w:rsid w:val="00C62148"/>
    <w:rsid w:val="00C62C72"/>
    <w:rsid w:val="00C6343A"/>
    <w:rsid w:val="00C6372F"/>
    <w:rsid w:val="00C6524C"/>
    <w:rsid w:val="00C65C01"/>
    <w:rsid w:val="00C65CB6"/>
    <w:rsid w:val="00C66983"/>
    <w:rsid w:val="00C66A94"/>
    <w:rsid w:val="00C66D82"/>
    <w:rsid w:val="00C672A2"/>
    <w:rsid w:val="00C67324"/>
    <w:rsid w:val="00C67545"/>
    <w:rsid w:val="00C67E56"/>
    <w:rsid w:val="00C70D80"/>
    <w:rsid w:val="00C70EFC"/>
    <w:rsid w:val="00C71688"/>
    <w:rsid w:val="00C7205A"/>
    <w:rsid w:val="00C7250F"/>
    <w:rsid w:val="00C72779"/>
    <w:rsid w:val="00C72B1D"/>
    <w:rsid w:val="00C72DAF"/>
    <w:rsid w:val="00C73753"/>
    <w:rsid w:val="00C73DAC"/>
    <w:rsid w:val="00C740F5"/>
    <w:rsid w:val="00C74600"/>
    <w:rsid w:val="00C7537E"/>
    <w:rsid w:val="00C754D8"/>
    <w:rsid w:val="00C75824"/>
    <w:rsid w:val="00C75C56"/>
    <w:rsid w:val="00C75E39"/>
    <w:rsid w:val="00C76113"/>
    <w:rsid w:val="00C76FA2"/>
    <w:rsid w:val="00C7771C"/>
    <w:rsid w:val="00C77BCF"/>
    <w:rsid w:val="00C77CF5"/>
    <w:rsid w:val="00C77ECE"/>
    <w:rsid w:val="00C804C7"/>
    <w:rsid w:val="00C8071D"/>
    <w:rsid w:val="00C80C23"/>
    <w:rsid w:val="00C81D5D"/>
    <w:rsid w:val="00C8285E"/>
    <w:rsid w:val="00C83418"/>
    <w:rsid w:val="00C834E9"/>
    <w:rsid w:val="00C83EAE"/>
    <w:rsid w:val="00C84272"/>
    <w:rsid w:val="00C8427D"/>
    <w:rsid w:val="00C8589F"/>
    <w:rsid w:val="00C859F1"/>
    <w:rsid w:val="00C85D72"/>
    <w:rsid w:val="00C86DDF"/>
    <w:rsid w:val="00C875A8"/>
    <w:rsid w:val="00C876D2"/>
    <w:rsid w:val="00C87B5F"/>
    <w:rsid w:val="00C87D2A"/>
    <w:rsid w:val="00C9052C"/>
    <w:rsid w:val="00C90573"/>
    <w:rsid w:val="00C9076E"/>
    <w:rsid w:val="00C92018"/>
    <w:rsid w:val="00C92C20"/>
    <w:rsid w:val="00C93017"/>
    <w:rsid w:val="00C93243"/>
    <w:rsid w:val="00C932F3"/>
    <w:rsid w:val="00C93752"/>
    <w:rsid w:val="00C938BD"/>
    <w:rsid w:val="00C93B62"/>
    <w:rsid w:val="00C93B90"/>
    <w:rsid w:val="00C94025"/>
    <w:rsid w:val="00C94266"/>
    <w:rsid w:val="00C9463E"/>
    <w:rsid w:val="00C94B02"/>
    <w:rsid w:val="00C96039"/>
    <w:rsid w:val="00C96C10"/>
    <w:rsid w:val="00C96F50"/>
    <w:rsid w:val="00C9716F"/>
    <w:rsid w:val="00C973B1"/>
    <w:rsid w:val="00C97DD6"/>
    <w:rsid w:val="00CA02AC"/>
    <w:rsid w:val="00CA0B3F"/>
    <w:rsid w:val="00CA0F2E"/>
    <w:rsid w:val="00CA13D6"/>
    <w:rsid w:val="00CA23D8"/>
    <w:rsid w:val="00CA2937"/>
    <w:rsid w:val="00CA3513"/>
    <w:rsid w:val="00CA3A3F"/>
    <w:rsid w:val="00CA3D5E"/>
    <w:rsid w:val="00CA3DE7"/>
    <w:rsid w:val="00CA4688"/>
    <w:rsid w:val="00CA51B4"/>
    <w:rsid w:val="00CA54C2"/>
    <w:rsid w:val="00CA55AE"/>
    <w:rsid w:val="00CA5F23"/>
    <w:rsid w:val="00CA6693"/>
    <w:rsid w:val="00CA6A66"/>
    <w:rsid w:val="00CA6C97"/>
    <w:rsid w:val="00CA70AD"/>
    <w:rsid w:val="00CA7314"/>
    <w:rsid w:val="00CA7891"/>
    <w:rsid w:val="00CA7A1B"/>
    <w:rsid w:val="00CA7A7B"/>
    <w:rsid w:val="00CA7F93"/>
    <w:rsid w:val="00CB011A"/>
    <w:rsid w:val="00CB0244"/>
    <w:rsid w:val="00CB235E"/>
    <w:rsid w:val="00CB2EE3"/>
    <w:rsid w:val="00CB3D10"/>
    <w:rsid w:val="00CB48A8"/>
    <w:rsid w:val="00CB4ABC"/>
    <w:rsid w:val="00CB7666"/>
    <w:rsid w:val="00CB7E16"/>
    <w:rsid w:val="00CC0381"/>
    <w:rsid w:val="00CC099A"/>
    <w:rsid w:val="00CC09EA"/>
    <w:rsid w:val="00CC0B5E"/>
    <w:rsid w:val="00CC0F8C"/>
    <w:rsid w:val="00CC0FE7"/>
    <w:rsid w:val="00CC1264"/>
    <w:rsid w:val="00CC13D2"/>
    <w:rsid w:val="00CC1570"/>
    <w:rsid w:val="00CC22A9"/>
    <w:rsid w:val="00CC3686"/>
    <w:rsid w:val="00CC37A2"/>
    <w:rsid w:val="00CC3BA0"/>
    <w:rsid w:val="00CC3D86"/>
    <w:rsid w:val="00CC3DE4"/>
    <w:rsid w:val="00CC4508"/>
    <w:rsid w:val="00CC459B"/>
    <w:rsid w:val="00CC4C7A"/>
    <w:rsid w:val="00CC55C2"/>
    <w:rsid w:val="00CC5B30"/>
    <w:rsid w:val="00CC5F5B"/>
    <w:rsid w:val="00CC6056"/>
    <w:rsid w:val="00CC6612"/>
    <w:rsid w:val="00CC6A08"/>
    <w:rsid w:val="00CC6F05"/>
    <w:rsid w:val="00CC7157"/>
    <w:rsid w:val="00CD011E"/>
    <w:rsid w:val="00CD025A"/>
    <w:rsid w:val="00CD0267"/>
    <w:rsid w:val="00CD05AC"/>
    <w:rsid w:val="00CD0944"/>
    <w:rsid w:val="00CD0ECA"/>
    <w:rsid w:val="00CD1133"/>
    <w:rsid w:val="00CD1281"/>
    <w:rsid w:val="00CD1507"/>
    <w:rsid w:val="00CD1774"/>
    <w:rsid w:val="00CD1D4D"/>
    <w:rsid w:val="00CD27B6"/>
    <w:rsid w:val="00CD27D8"/>
    <w:rsid w:val="00CD33DD"/>
    <w:rsid w:val="00CD3D25"/>
    <w:rsid w:val="00CD5A7B"/>
    <w:rsid w:val="00CD5EFB"/>
    <w:rsid w:val="00CD61EB"/>
    <w:rsid w:val="00CD641A"/>
    <w:rsid w:val="00CD6C4D"/>
    <w:rsid w:val="00CD725B"/>
    <w:rsid w:val="00CD75B7"/>
    <w:rsid w:val="00CD7EC6"/>
    <w:rsid w:val="00CD7F44"/>
    <w:rsid w:val="00CE023C"/>
    <w:rsid w:val="00CE02A6"/>
    <w:rsid w:val="00CE1BEE"/>
    <w:rsid w:val="00CE21F5"/>
    <w:rsid w:val="00CE345C"/>
    <w:rsid w:val="00CE3856"/>
    <w:rsid w:val="00CE3B45"/>
    <w:rsid w:val="00CE43AF"/>
    <w:rsid w:val="00CE4901"/>
    <w:rsid w:val="00CE4D3A"/>
    <w:rsid w:val="00CE4E14"/>
    <w:rsid w:val="00CE6105"/>
    <w:rsid w:val="00CE64FD"/>
    <w:rsid w:val="00CE69D6"/>
    <w:rsid w:val="00CE7236"/>
    <w:rsid w:val="00CE7B37"/>
    <w:rsid w:val="00CE7C0C"/>
    <w:rsid w:val="00CF002A"/>
    <w:rsid w:val="00CF02F0"/>
    <w:rsid w:val="00CF039E"/>
    <w:rsid w:val="00CF06C0"/>
    <w:rsid w:val="00CF141F"/>
    <w:rsid w:val="00CF18EC"/>
    <w:rsid w:val="00CF1F4F"/>
    <w:rsid w:val="00CF1FFE"/>
    <w:rsid w:val="00CF2A94"/>
    <w:rsid w:val="00CF2C04"/>
    <w:rsid w:val="00CF2EF1"/>
    <w:rsid w:val="00CF43CF"/>
    <w:rsid w:val="00CF4BC6"/>
    <w:rsid w:val="00CF5114"/>
    <w:rsid w:val="00CF5369"/>
    <w:rsid w:val="00CF5BE3"/>
    <w:rsid w:val="00CF612B"/>
    <w:rsid w:val="00CF7F06"/>
    <w:rsid w:val="00D000DF"/>
    <w:rsid w:val="00D009E5"/>
    <w:rsid w:val="00D011CB"/>
    <w:rsid w:val="00D01615"/>
    <w:rsid w:val="00D01BD4"/>
    <w:rsid w:val="00D02145"/>
    <w:rsid w:val="00D02314"/>
    <w:rsid w:val="00D02433"/>
    <w:rsid w:val="00D029C1"/>
    <w:rsid w:val="00D030B0"/>
    <w:rsid w:val="00D032A1"/>
    <w:rsid w:val="00D0352E"/>
    <w:rsid w:val="00D03710"/>
    <w:rsid w:val="00D03975"/>
    <w:rsid w:val="00D0398D"/>
    <w:rsid w:val="00D039E2"/>
    <w:rsid w:val="00D03DD9"/>
    <w:rsid w:val="00D043D3"/>
    <w:rsid w:val="00D0445B"/>
    <w:rsid w:val="00D048FA"/>
    <w:rsid w:val="00D05155"/>
    <w:rsid w:val="00D052E5"/>
    <w:rsid w:val="00D05AD6"/>
    <w:rsid w:val="00D06368"/>
    <w:rsid w:val="00D07A1A"/>
    <w:rsid w:val="00D07E6A"/>
    <w:rsid w:val="00D1024C"/>
    <w:rsid w:val="00D10411"/>
    <w:rsid w:val="00D10CB4"/>
    <w:rsid w:val="00D10F14"/>
    <w:rsid w:val="00D10F93"/>
    <w:rsid w:val="00D11CF5"/>
    <w:rsid w:val="00D12159"/>
    <w:rsid w:val="00D1301B"/>
    <w:rsid w:val="00D13909"/>
    <w:rsid w:val="00D13ADF"/>
    <w:rsid w:val="00D13B2C"/>
    <w:rsid w:val="00D15113"/>
    <w:rsid w:val="00D15341"/>
    <w:rsid w:val="00D15A0D"/>
    <w:rsid w:val="00D15AB7"/>
    <w:rsid w:val="00D15B7C"/>
    <w:rsid w:val="00D15B7D"/>
    <w:rsid w:val="00D15F3A"/>
    <w:rsid w:val="00D16E97"/>
    <w:rsid w:val="00D16F74"/>
    <w:rsid w:val="00D172A8"/>
    <w:rsid w:val="00D17ED1"/>
    <w:rsid w:val="00D204F6"/>
    <w:rsid w:val="00D209A5"/>
    <w:rsid w:val="00D210DD"/>
    <w:rsid w:val="00D21277"/>
    <w:rsid w:val="00D21915"/>
    <w:rsid w:val="00D23225"/>
    <w:rsid w:val="00D23AA4"/>
    <w:rsid w:val="00D23E87"/>
    <w:rsid w:val="00D2420B"/>
    <w:rsid w:val="00D24423"/>
    <w:rsid w:val="00D24943"/>
    <w:rsid w:val="00D25C2E"/>
    <w:rsid w:val="00D26378"/>
    <w:rsid w:val="00D26E42"/>
    <w:rsid w:val="00D27371"/>
    <w:rsid w:val="00D274B3"/>
    <w:rsid w:val="00D27D1E"/>
    <w:rsid w:val="00D27DEB"/>
    <w:rsid w:val="00D30128"/>
    <w:rsid w:val="00D30791"/>
    <w:rsid w:val="00D308BB"/>
    <w:rsid w:val="00D30EB4"/>
    <w:rsid w:val="00D31B98"/>
    <w:rsid w:val="00D31DB9"/>
    <w:rsid w:val="00D31E3E"/>
    <w:rsid w:val="00D32231"/>
    <w:rsid w:val="00D323C9"/>
    <w:rsid w:val="00D32C62"/>
    <w:rsid w:val="00D330CA"/>
    <w:rsid w:val="00D3316D"/>
    <w:rsid w:val="00D34014"/>
    <w:rsid w:val="00D346D4"/>
    <w:rsid w:val="00D3492F"/>
    <w:rsid w:val="00D34B0C"/>
    <w:rsid w:val="00D34FAE"/>
    <w:rsid w:val="00D3586D"/>
    <w:rsid w:val="00D358AE"/>
    <w:rsid w:val="00D35E2C"/>
    <w:rsid w:val="00D363B4"/>
    <w:rsid w:val="00D364CD"/>
    <w:rsid w:val="00D367D3"/>
    <w:rsid w:val="00D37192"/>
    <w:rsid w:val="00D3770A"/>
    <w:rsid w:val="00D37882"/>
    <w:rsid w:val="00D37C74"/>
    <w:rsid w:val="00D401AF"/>
    <w:rsid w:val="00D4032C"/>
    <w:rsid w:val="00D41B44"/>
    <w:rsid w:val="00D41DDC"/>
    <w:rsid w:val="00D41F43"/>
    <w:rsid w:val="00D41FA9"/>
    <w:rsid w:val="00D42549"/>
    <w:rsid w:val="00D4295D"/>
    <w:rsid w:val="00D42FBE"/>
    <w:rsid w:val="00D4389F"/>
    <w:rsid w:val="00D43DB8"/>
    <w:rsid w:val="00D443AE"/>
    <w:rsid w:val="00D44A0E"/>
    <w:rsid w:val="00D44C1B"/>
    <w:rsid w:val="00D455CF"/>
    <w:rsid w:val="00D4620F"/>
    <w:rsid w:val="00D465B8"/>
    <w:rsid w:val="00D46A6A"/>
    <w:rsid w:val="00D46FD9"/>
    <w:rsid w:val="00D47519"/>
    <w:rsid w:val="00D47779"/>
    <w:rsid w:val="00D4791E"/>
    <w:rsid w:val="00D50082"/>
    <w:rsid w:val="00D5013A"/>
    <w:rsid w:val="00D50A9A"/>
    <w:rsid w:val="00D513F3"/>
    <w:rsid w:val="00D521AF"/>
    <w:rsid w:val="00D52718"/>
    <w:rsid w:val="00D5357D"/>
    <w:rsid w:val="00D53A84"/>
    <w:rsid w:val="00D53FDB"/>
    <w:rsid w:val="00D54A09"/>
    <w:rsid w:val="00D5503D"/>
    <w:rsid w:val="00D559CB"/>
    <w:rsid w:val="00D560DA"/>
    <w:rsid w:val="00D57657"/>
    <w:rsid w:val="00D5796B"/>
    <w:rsid w:val="00D57BFD"/>
    <w:rsid w:val="00D60649"/>
    <w:rsid w:val="00D60DA8"/>
    <w:rsid w:val="00D61A00"/>
    <w:rsid w:val="00D61E88"/>
    <w:rsid w:val="00D62133"/>
    <w:rsid w:val="00D621A6"/>
    <w:rsid w:val="00D62A08"/>
    <w:rsid w:val="00D630CF"/>
    <w:rsid w:val="00D6364B"/>
    <w:rsid w:val="00D63A2F"/>
    <w:rsid w:val="00D63D48"/>
    <w:rsid w:val="00D648C9"/>
    <w:rsid w:val="00D65365"/>
    <w:rsid w:val="00D65421"/>
    <w:rsid w:val="00D65CE9"/>
    <w:rsid w:val="00D6650A"/>
    <w:rsid w:val="00D6785A"/>
    <w:rsid w:val="00D67BF0"/>
    <w:rsid w:val="00D7031D"/>
    <w:rsid w:val="00D706A4"/>
    <w:rsid w:val="00D7089C"/>
    <w:rsid w:val="00D714BB"/>
    <w:rsid w:val="00D72098"/>
    <w:rsid w:val="00D72B00"/>
    <w:rsid w:val="00D745D8"/>
    <w:rsid w:val="00D7509C"/>
    <w:rsid w:val="00D75406"/>
    <w:rsid w:val="00D75877"/>
    <w:rsid w:val="00D759B5"/>
    <w:rsid w:val="00D75A2A"/>
    <w:rsid w:val="00D76650"/>
    <w:rsid w:val="00D768C7"/>
    <w:rsid w:val="00D76AE4"/>
    <w:rsid w:val="00D76D1B"/>
    <w:rsid w:val="00D77144"/>
    <w:rsid w:val="00D773C8"/>
    <w:rsid w:val="00D77CF7"/>
    <w:rsid w:val="00D77F32"/>
    <w:rsid w:val="00D8020F"/>
    <w:rsid w:val="00D80270"/>
    <w:rsid w:val="00D80370"/>
    <w:rsid w:val="00D809A3"/>
    <w:rsid w:val="00D80F8F"/>
    <w:rsid w:val="00D80FB7"/>
    <w:rsid w:val="00D8117A"/>
    <w:rsid w:val="00D818DE"/>
    <w:rsid w:val="00D81D45"/>
    <w:rsid w:val="00D826E4"/>
    <w:rsid w:val="00D82C41"/>
    <w:rsid w:val="00D83923"/>
    <w:rsid w:val="00D83B8F"/>
    <w:rsid w:val="00D8485A"/>
    <w:rsid w:val="00D85228"/>
    <w:rsid w:val="00D86476"/>
    <w:rsid w:val="00D86561"/>
    <w:rsid w:val="00D86A64"/>
    <w:rsid w:val="00D90BC9"/>
    <w:rsid w:val="00D90ED5"/>
    <w:rsid w:val="00D90FD2"/>
    <w:rsid w:val="00D9130F"/>
    <w:rsid w:val="00D91CCB"/>
    <w:rsid w:val="00D93553"/>
    <w:rsid w:val="00D93D16"/>
    <w:rsid w:val="00D93DC7"/>
    <w:rsid w:val="00D940C2"/>
    <w:rsid w:val="00D9419D"/>
    <w:rsid w:val="00D96F65"/>
    <w:rsid w:val="00D977DF"/>
    <w:rsid w:val="00D97950"/>
    <w:rsid w:val="00DA1033"/>
    <w:rsid w:val="00DA136C"/>
    <w:rsid w:val="00DA13E3"/>
    <w:rsid w:val="00DA17C2"/>
    <w:rsid w:val="00DA1BB9"/>
    <w:rsid w:val="00DA3017"/>
    <w:rsid w:val="00DA301E"/>
    <w:rsid w:val="00DA3490"/>
    <w:rsid w:val="00DA34DE"/>
    <w:rsid w:val="00DA5484"/>
    <w:rsid w:val="00DA57F4"/>
    <w:rsid w:val="00DA591D"/>
    <w:rsid w:val="00DA5F9B"/>
    <w:rsid w:val="00DA6646"/>
    <w:rsid w:val="00DA6C8F"/>
    <w:rsid w:val="00DA7950"/>
    <w:rsid w:val="00DA7DDF"/>
    <w:rsid w:val="00DB053C"/>
    <w:rsid w:val="00DB05A3"/>
    <w:rsid w:val="00DB0772"/>
    <w:rsid w:val="00DB1D0B"/>
    <w:rsid w:val="00DB2374"/>
    <w:rsid w:val="00DB26F2"/>
    <w:rsid w:val="00DB2CD4"/>
    <w:rsid w:val="00DB2F1B"/>
    <w:rsid w:val="00DB35E7"/>
    <w:rsid w:val="00DB4B36"/>
    <w:rsid w:val="00DB5717"/>
    <w:rsid w:val="00DB5B8E"/>
    <w:rsid w:val="00DB5EC6"/>
    <w:rsid w:val="00DB6796"/>
    <w:rsid w:val="00DB6950"/>
    <w:rsid w:val="00DB6A96"/>
    <w:rsid w:val="00DB6AF5"/>
    <w:rsid w:val="00DB7784"/>
    <w:rsid w:val="00DB7B28"/>
    <w:rsid w:val="00DB7E8D"/>
    <w:rsid w:val="00DB7F27"/>
    <w:rsid w:val="00DC0606"/>
    <w:rsid w:val="00DC0745"/>
    <w:rsid w:val="00DC1012"/>
    <w:rsid w:val="00DC18D8"/>
    <w:rsid w:val="00DC1B37"/>
    <w:rsid w:val="00DC2223"/>
    <w:rsid w:val="00DC22B7"/>
    <w:rsid w:val="00DC245C"/>
    <w:rsid w:val="00DC25B8"/>
    <w:rsid w:val="00DC2AB3"/>
    <w:rsid w:val="00DC2C39"/>
    <w:rsid w:val="00DC2E3E"/>
    <w:rsid w:val="00DC3AF8"/>
    <w:rsid w:val="00DC44FE"/>
    <w:rsid w:val="00DC468D"/>
    <w:rsid w:val="00DC4712"/>
    <w:rsid w:val="00DC4BA2"/>
    <w:rsid w:val="00DC4E30"/>
    <w:rsid w:val="00DC4FD8"/>
    <w:rsid w:val="00DC510D"/>
    <w:rsid w:val="00DC5DFF"/>
    <w:rsid w:val="00DC6194"/>
    <w:rsid w:val="00DC696E"/>
    <w:rsid w:val="00DC6B5D"/>
    <w:rsid w:val="00DC6C6C"/>
    <w:rsid w:val="00DC74CB"/>
    <w:rsid w:val="00DC7AB4"/>
    <w:rsid w:val="00DD00C1"/>
    <w:rsid w:val="00DD015B"/>
    <w:rsid w:val="00DD0452"/>
    <w:rsid w:val="00DD07FA"/>
    <w:rsid w:val="00DD134A"/>
    <w:rsid w:val="00DD1704"/>
    <w:rsid w:val="00DD18C8"/>
    <w:rsid w:val="00DD1B68"/>
    <w:rsid w:val="00DD1CD0"/>
    <w:rsid w:val="00DD1E2F"/>
    <w:rsid w:val="00DD1EE3"/>
    <w:rsid w:val="00DD26A7"/>
    <w:rsid w:val="00DD310E"/>
    <w:rsid w:val="00DD3907"/>
    <w:rsid w:val="00DD4765"/>
    <w:rsid w:val="00DD5BCF"/>
    <w:rsid w:val="00DD5BD5"/>
    <w:rsid w:val="00DD5CB0"/>
    <w:rsid w:val="00DD60AC"/>
    <w:rsid w:val="00DD6473"/>
    <w:rsid w:val="00DD6504"/>
    <w:rsid w:val="00DD6DD4"/>
    <w:rsid w:val="00DD737B"/>
    <w:rsid w:val="00DE04C7"/>
    <w:rsid w:val="00DE0868"/>
    <w:rsid w:val="00DE11D2"/>
    <w:rsid w:val="00DE18F0"/>
    <w:rsid w:val="00DE30BD"/>
    <w:rsid w:val="00DE3238"/>
    <w:rsid w:val="00DE3C77"/>
    <w:rsid w:val="00DE3CF7"/>
    <w:rsid w:val="00DE49F6"/>
    <w:rsid w:val="00DE5BB4"/>
    <w:rsid w:val="00DE5F00"/>
    <w:rsid w:val="00DE5FCA"/>
    <w:rsid w:val="00DE60FF"/>
    <w:rsid w:val="00DE6C66"/>
    <w:rsid w:val="00DE7E5F"/>
    <w:rsid w:val="00DF13CB"/>
    <w:rsid w:val="00DF1860"/>
    <w:rsid w:val="00DF23CF"/>
    <w:rsid w:val="00DF2429"/>
    <w:rsid w:val="00DF2E80"/>
    <w:rsid w:val="00DF2F7E"/>
    <w:rsid w:val="00DF39FA"/>
    <w:rsid w:val="00DF3F28"/>
    <w:rsid w:val="00DF4030"/>
    <w:rsid w:val="00DF4110"/>
    <w:rsid w:val="00DF439E"/>
    <w:rsid w:val="00DF43C5"/>
    <w:rsid w:val="00DF4E3E"/>
    <w:rsid w:val="00DF5265"/>
    <w:rsid w:val="00DF53FA"/>
    <w:rsid w:val="00DF57B4"/>
    <w:rsid w:val="00DF57D9"/>
    <w:rsid w:val="00DF60B9"/>
    <w:rsid w:val="00DF6212"/>
    <w:rsid w:val="00DF63B7"/>
    <w:rsid w:val="00DF67C6"/>
    <w:rsid w:val="00DF7137"/>
    <w:rsid w:val="00DF72C7"/>
    <w:rsid w:val="00DF7B13"/>
    <w:rsid w:val="00DF7DB3"/>
    <w:rsid w:val="00E0008A"/>
    <w:rsid w:val="00E00501"/>
    <w:rsid w:val="00E008D8"/>
    <w:rsid w:val="00E00CF6"/>
    <w:rsid w:val="00E00EC4"/>
    <w:rsid w:val="00E010CD"/>
    <w:rsid w:val="00E02284"/>
    <w:rsid w:val="00E0254D"/>
    <w:rsid w:val="00E02C37"/>
    <w:rsid w:val="00E0453D"/>
    <w:rsid w:val="00E046A6"/>
    <w:rsid w:val="00E04B6F"/>
    <w:rsid w:val="00E05097"/>
    <w:rsid w:val="00E05CDA"/>
    <w:rsid w:val="00E05FA6"/>
    <w:rsid w:val="00E061BF"/>
    <w:rsid w:val="00E06A03"/>
    <w:rsid w:val="00E06E23"/>
    <w:rsid w:val="00E10024"/>
    <w:rsid w:val="00E11669"/>
    <w:rsid w:val="00E11FFD"/>
    <w:rsid w:val="00E122AD"/>
    <w:rsid w:val="00E127A9"/>
    <w:rsid w:val="00E12DA9"/>
    <w:rsid w:val="00E13C7B"/>
    <w:rsid w:val="00E13D13"/>
    <w:rsid w:val="00E14790"/>
    <w:rsid w:val="00E14F17"/>
    <w:rsid w:val="00E153EC"/>
    <w:rsid w:val="00E1556A"/>
    <w:rsid w:val="00E15A2F"/>
    <w:rsid w:val="00E15B43"/>
    <w:rsid w:val="00E165D8"/>
    <w:rsid w:val="00E16B0C"/>
    <w:rsid w:val="00E16D12"/>
    <w:rsid w:val="00E16DEA"/>
    <w:rsid w:val="00E20FB4"/>
    <w:rsid w:val="00E212EA"/>
    <w:rsid w:val="00E217A3"/>
    <w:rsid w:val="00E21E33"/>
    <w:rsid w:val="00E22213"/>
    <w:rsid w:val="00E22BA9"/>
    <w:rsid w:val="00E245E0"/>
    <w:rsid w:val="00E250A4"/>
    <w:rsid w:val="00E25419"/>
    <w:rsid w:val="00E25474"/>
    <w:rsid w:val="00E254E4"/>
    <w:rsid w:val="00E2568C"/>
    <w:rsid w:val="00E25709"/>
    <w:rsid w:val="00E25FDF"/>
    <w:rsid w:val="00E27A6C"/>
    <w:rsid w:val="00E30103"/>
    <w:rsid w:val="00E30230"/>
    <w:rsid w:val="00E30656"/>
    <w:rsid w:val="00E30AE2"/>
    <w:rsid w:val="00E30B89"/>
    <w:rsid w:val="00E31079"/>
    <w:rsid w:val="00E3179D"/>
    <w:rsid w:val="00E31E5F"/>
    <w:rsid w:val="00E32C38"/>
    <w:rsid w:val="00E32EE5"/>
    <w:rsid w:val="00E32F93"/>
    <w:rsid w:val="00E33A40"/>
    <w:rsid w:val="00E340D9"/>
    <w:rsid w:val="00E35253"/>
    <w:rsid w:val="00E35471"/>
    <w:rsid w:val="00E35938"/>
    <w:rsid w:val="00E359F9"/>
    <w:rsid w:val="00E35C40"/>
    <w:rsid w:val="00E37290"/>
    <w:rsid w:val="00E3749B"/>
    <w:rsid w:val="00E379F7"/>
    <w:rsid w:val="00E40DCE"/>
    <w:rsid w:val="00E424A0"/>
    <w:rsid w:val="00E4259B"/>
    <w:rsid w:val="00E42997"/>
    <w:rsid w:val="00E43463"/>
    <w:rsid w:val="00E43CBC"/>
    <w:rsid w:val="00E44D96"/>
    <w:rsid w:val="00E45173"/>
    <w:rsid w:val="00E45E6E"/>
    <w:rsid w:val="00E46DE0"/>
    <w:rsid w:val="00E47107"/>
    <w:rsid w:val="00E479C4"/>
    <w:rsid w:val="00E50B75"/>
    <w:rsid w:val="00E50E8A"/>
    <w:rsid w:val="00E51229"/>
    <w:rsid w:val="00E51A76"/>
    <w:rsid w:val="00E52D80"/>
    <w:rsid w:val="00E5367F"/>
    <w:rsid w:val="00E53CCC"/>
    <w:rsid w:val="00E5455B"/>
    <w:rsid w:val="00E54ACD"/>
    <w:rsid w:val="00E54B2B"/>
    <w:rsid w:val="00E54C51"/>
    <w:rsid w:val="00E55955"/>
    <w:rsid w:val="00E576D3"/>
    <w:rsid w:val="00E60E42"/>
    <w:rsid w:val="00E61166"/>
    <w:rsid w:val="00E615F1"/>
    <w:rsid w:val="00E61632"/>
    <w:rsid w:val="00E6225C"/>
    <w:rsid w:val="00E62887"/>
    <w:rsid w:val="00E62ABB"/>
    <w:rsid w:val="00E62AE8"/>
    <w:rsid w:val="00E63342"/>
    <w:rsid w:val="00E6337E"/>
    <w:rsid w:val="00E634AF"/>
    <w:rsid w:val="00E63520"/>
    <w:rsid w:val="00E6417C"/>
    <w:rsid w:val="00E642E7"/>
    <w:rsid w:val="00E64FC4"/>
    <w:rsid w:val="00E6520F"/>
    <w:rsid w:val="00E65B1F"/>
    <w:rsid w:val="00E66C01"/>
    <w:rsid w:val="00E67C1F"/>
    <w:rsid w:val="00E67CA1"/>
    <w:rsid w:val="00E70DD7"/>
    <w:rsid w:val="00E70E1B"/>
    <w:rsid w:val="00E70E6B"/>
    <w:rsid w:val="00E711D1"/>
    <w:rsid w:val="00E714C1"/>
    <w:rsid w:val="00E72EE0"/>
    <w:rsid w:val="00E73756"/>
    <w:rsid w:val="00E7398F"/>
    <w:rsid w:val="00E741FB"/>
    <w:rsid w:val="00E7478D"/>
    <w:rsid w:val="00E74865"/>
    <w:rsid w:val="00E748F4"/>
    <w:rsid w:val="00E74F12"/>
    <w:rsid w:val="00E74F5D"/>
    <w:rsid w:val="00E75292"/>
    <w:rsid w:val="00E75801"/>
    <w:rsid w:val="00E76DB1"/>
    <w:rsid w:val="00E77508"/>
    <w:rsid w:val="00E77A34"/>
    <w:rsid w:val="00E8003A"/>
    <w:rsid w:val="00E81077"/>
    <w:rsid w:val="00E812B3"/>
    <w:rsid w:val="00E81BCB"/>
    <w:rsid w:val="00E826C1"/>
    <w:rsid w:val="00E82D2F"/>
    <w:rsid w:val="00E82E1F"/>
    <w:rsid w:val="00E837BA"/>
    <w:rsid w:val="00E83E2D"/>
    <w:rsid w:val="00E843A2"/>
    <w:rsid w:val="00E8471A"/>
    <w:rsid w:val="00E84D02"/>
    <w:rsid w:val="00E8556D"/>
    <w:rsid w:val="00E857E0"/>
    <w:rsid w:val="00E85986"/>
    <w:rsid w:val="00E864CA"/>
    <w:rsid w:val="00E86636"/>
    <w:rsid w:val="00E86D53"/>
    <w:rsid w:val="00E87497"/>
    <w:rsid w:val="00E87A50"/>
    <w:rsid w:val="00E87A78"/>
    <w:rsid w:val="00E9006D"/>
    <w:rsid w:val="00E9033E"/>
    <w:rsid w:val="00E90646"/>
    <w:rsid w:val="00E90654"/>
    <w:rsid w:val="00E907B9"/>
    <w:rsid w:val="00E90A90"/>
    <w:rsid w:val="00E912F1"/>
    <w:rsid w:val="00E91440"/>
    <w:rsid w:val="00E91602"/>
    <w:rsid w:val="00E91A7E"/>
    <w:rsid w:val="00E91BAD"/>
    <w:rsid w:val="00E91BD8"/>
    <w:rsid w:val="00E91FED"/>
    <w:rsid w:val="00E920BA"/>
    <w:rsid w:val="00E927B9"/>
    <w:rsid w:val="00E92BCF"/>
    <w:rsid w:val="00E92F0E"/>
    <w:rsid w:val="00E93B0D"/>
    <w:rsid w:val="00E93DD1"/>
    <w:rsid w:val="00E9467A"/>
    <w:rsid w:val="00E94EAC"/>
    <w:rsid w:val="00E94FB3"/>
    <w:rsid w:val="00E95174"/>
    <w:rsid w:val="00E95927"/>
    <w:rsid w:val="00E95F03"/>
    <w:rsid w:val="00E96878"/>
    <w:rsid w:val="00E969E2"/>
    <w:rsid w:val="00E974C7"/>
    <w:rsid w:val="00E97AAF"/>
    <w:rsid w:val="00EA05A5"/>
    <w:rsid w:val="00EA05A8"/>
    <w:rsid w:val="00EA09CB"/>
    <w:rsid w:val="00EA1943"/>
    <w:rsid w:val="00EA19B6"/>
    <w:rsid w:val="00EA267A"/>
    <w:rsid w:val="00EA287D"/>
    <w:rsid w:val="00EA3064"/>
    <w:rsid w:val="00EA3612"/>
    <w:rsid w:val="00EA3FB7"/>
    <w:rsid w:val="00EA4BC1"/>
    <w:rsid w:val="00EA4D19"/>
    <w:rsid w:val="00EA4DF9"/>
    <w:rsid w:val="00EA5264"/>
    <w:rsid w:val="00EA526E"/>
    <w:rsid w:val="00EA6971"/>
    <w:rsid w:val="00EA6D67"/>
    <w:rsid w:val="00EA7956"/>
    <w:rsid w:val="00EB0BB6"/>
    <w:rsid w:val="00EB286F"/>
    <w:rsid w:val="00EB29B7"/>
    <w:rsid w:val="00EB2A16"/>
    <w:rsid w:val="00EB2FBB"/>
    <w:rsid w:val="00EB31E1"/>
    <w:rsid w:val="00EB31E2"/>
    <w:rsid w:val="00EB33F6"/>
    <w:rsid w:val="00EB3F13"/>
    <w:rsid w:val="00EB3F18"/>
    <w:rsid w:val="00EB3F9D"/>
    <w:rsid w:val="00EB40B2"/>
    <w:rsid w:val="00EB4AA6"/>
    <w:rsid w:val="00EB4EA4"/>
    <w:rsid w:val="00EB4F2F"/>
    <w:rsid w:val="00EB5398"/>
    <w:rsid w:val="00EB5B00"/>
    <w:rsid w:val="00EB5DC6"/>
    <w:rsid w:val="00EB6AE2"/>
    <w:rsid w:val="00EB7111"/>
    <w:rsid w:val="00EB77B9"/>
    <w:rsid w:val="00EB7BF7"/>
    <w:rsid w:val="00EB7F51"/>
    <w:rsid w:val="00EB7FE6"/>
    <w:rsid w:val="00EC0F8F"/>
    <w:rsid w:val="00EC1CDA"/>
    <w:rsid w:val="00EC1D1F"/>
    <w:rsid w:val="00EC2ED6"/>
    <w:rsid w:val="00EC3121"/>
    <w:rsid w:val="00EC3275"/>
    <w:rsid w:val="00EC4509"/>
    <w:rsid w:val="00EC4E1A"/>
    <w:rsid w:val="00EC5EBA"/>
    <w:rsid w:val="00EC6586"/>
    <w:rsid w:val="00EC68DF"/>
    <w:rsid w:val="00EC6EBA"/>
    <w:rsid w:val="00EC6FF1"/>
    <w:rsid w:val="00EC710B"/>
    <w:rsid w:val="00EC76B8"/>
    <w:rsid w:val="00ED1196"/>
    <w:rsid w:val="00ED13F2"/>
    <w:rsid w:val="00ED1928"/>
    <w:rsid w:val="00ED1B80"/>
    <w:rsid w:val="00ED214A"/>
    <w:rsid w:val="00ED2467"/>
    <w:rsid w:val="00ED24C0"/>
    <w:rsid w:val="00ED409F"/>
    <w:rsid w:val="00ED478C"/>
    <w:rsid w:val="00ED4983"/>
    <w:rsid w:val="00ED5148"/>
    <w:rsid w:val="00ED549B"/>
    <w:rsid w:val="00ED5AF9"/>
    <w:rsid w:val="00ED5D26"/>
    <w:rsid w:val="00ED6266"/>
    <w:rsid w:val="00ED71C5"/>
    <w:rsid w:val="00ED76C3"/>
    <w:rsid w:val="00EE011C"/>
    <w:rsid w:val="00EE0C47"/>
    <w:rsid w:val="00EE0C73"/>
    <w:rsid w:val="00EE0E11"/>
    <w:rsid w:val="00EE1364"/>
    <w:rsid w:val="00EE1741"/>
    <w:rsid w:val="00EE1E2E"/>
    <w:rsid w:val="00EE22DD"/>
    <w:rsid w:val="00EE2F01"/>
    <w:rsid w:val="00EE3A17"/>
    <w:rsid w:val="00EE4595"/>
    <w:rsid w:val="00EE5E9F"/>
    <w:rsid w:val="00EE6D11"/>
    <w:rsid w:val="00EE6F14"/>
    <w:rsid w:val="00EE6F3D"/>
    <w:rsid w:val="00EE7F0C"/>
    <w:rsid w:val="00EF048C"/>
    <w:rsid w:val="00EF064B"/>
    <w:rsid w:val="00EF134A"/>
    <w:rsid w:val="00EF1B20"/>
    <w:rsid w:val="00EF1ED0"/>
    <w:rsid w:val="00EF26FB"/>
    <w:rsid w:val="00EF27CF"/>
    <w:rsid w:val="00EF2BF9"/>
    <w:rsid w:val="00EF3F23"/>
    <w:rsid w:val="00EF3F5A"/>
    <w:rsid w:val="00EF3F9D"/>
    <w:rsid w:val="00EF4896"/>
    <w:rsid w:val="00EF4CE3"/>
    <w:rsid w:val="00EF522B"/>
    <w:rsid w:val="00EF53CF"/>
    <w:rsid w:val="00EF5DAB"/>
    <w:rsid w:val="00EF6055"/>
    <w:rsid w:val="00EF65F6"/>
    <w:rsid w:val="00EF68C6"/>
    <w:rsid w:val="00EF6958"/>
    <w:rsid w:val="00EF6C20"/>
    <w:rsid w:val="00EF6D18"/>
    <w:rsid w:val="00EF72B4"/>
    <w:rsid w:val="00EF7E7A"/>
    <w:rsid w:val="00F003E8"/>
    <w:rsid w:val="00F005CB"/>
    <w:rsid w:val="00F00A38"/>
    <w:rsid w:val="00F010C4"/>
    <w:rsid w:val="00F01FDB"/>
    <w:rsid w:val="00F0208C"/>
    <w:rsid w:val="00F021E6"/>
    <w:rsid w:val="00F02D6E"/>
    <w:rsid w:val="00F02D88"/>
    <w:rsid w:val="00F02FA5"/>
    <w:rsid w:val="00F033AA"/>
    <w:rsid w:val="00F03AEC"/>
    <w:rsid w:val="00F04EA7"/>
    <w:rsid w:val="00F0579B"/>
    <w:rsid w:val="00F068EE"/>
    <w:rsid w:val="00F06C56"/>
    <w:rsid w:val="00F06CA6"/>
    <w:rsid w:val="00F06E47"/>
    <w:rsid w:val="00F06F79"/>
    <w:rsid w:val="00F07282"/>
    <w:rsid w:val="00F07FBC"/>
    <w:rsid w:val="00F10ADF"/>
    <w:rsid w:val="00F10F0C"/>
    <w:rsid w:val="00F115E9"/>
    <w:rsid w:val="00F11801"/>
    <w:rsid w:val="00F1181A"/>
    <w:rsid w:val="00F118B8"/>
    <w:rsid w:val="00F121FE"/>
    <w:rsid w:val="00F13A29"/>
    <w:rsid w:val="00F13ABB"/>
    <w:rsid w:val="00F13C3F"/>
    <w:rsid w:val="00F13CDD"/>
    <w:rsid w:val="00F15B1E"/>
    <w:rsid w:val="00F15CAE"/>
    <w:rsid w:val="00F15D7E"/>
    <w:rsid w:val="00F15F48"/>
    <w:rsid w:val="00F16182"/>
    <w:rsid w:val="00F162D4"/>
    <w:rsid w:val="00F1644C"/>
    <w:rsid w:val="00F16890"/>
    <w:rsid w:val="00F1738E"/>
    <w:rsid w:val="00F173EF"/>
    <w:rsid w:val="00F1749F"/>
    <w:rsid w:val="00F2058B"/>
    <w:rsid w:val="00F20A90"/>
    <w:rsid w:val="00F210B5"/>
    <w:rsid w:val="00F212CC"/>
    <w:rsid w:val="00F219BA"/>
    <w:rsid w:val="00F21AE9"/>
    <w:rsid w:val="00F21F08"/>
    <w:rsid w:val="00F22C68"/>
    <w:rsid w:val="00F22DEC"/>
    <w:rsid w:val="00F23B63"/>
    <w:rsid w:val="00F23C8B"/>
    <w:rsid w:val="00F24039"/>
    <w:rsid w:val="00F2440E"/>
    <w:rsid w:val="00F24900"/>
    <w:rsid w:val="00F24FB2"/>
    <w:rsid w:val="00F251CD"/>
    <w:rsid w:val="00F25AE6"/>
    <w:rsid w:val="00F26126"/>
    <w:rsid w:val="00F265CE"/>
    <w:rsid w:val="00F26B28"/>
    <w:rsid w:val="00F26D2F"/>
    <w:rsid w:val="00F26DCA"/>
    <w:rsid w:val="00F274FA"/>
    <w:rsid w:val="00F2770C"/>
    <w:rsid w:val="00F30123"/>
    <w:rsid w:val="00F30B99"/>
    <w:rsid w:val="00F315C6"/>
    <w:rsid w:val="00F3209B"/>
    <w:rsid w:val="00F3214C"/>
    <w:rsid w:val="00F326C5"/>
    <w:rsid w:val="00F32B14"/>
    <w:rsid w:val="00F32D4A"/>
    <w:rsid w:val="00F3307B"/>
    <w:rsid w:val="00F33F8D"/>
    <w:rsid w:val="00F34413"/>
    <w:rsid w:val="00F35054"/>
    <w:rsid w:val="00F35292"/>
    <w:rsid w:val="00F359E0"/>
    <w:rsid w:val="00F3654F"/>
    <w:rsid w:val="00F366AD"/>
    <w:rsid w:val="00F37CB6"/>
    <w:rsid w:val="00F37F65"/>
    <w:rsid w:val="00F4010B"/>
    <w:rsid w:val="00F407E8"/>
    <w:rsid w:val="00F410DC"/>
    <w:rsid w:val="00F41F0F"/>
    <w:rsid w:val="00F4375B"/>
    <w:rsid w:val="00F4387B"/>
    <w:rsid w:val="00F4432C"/>
    <w:rsid w:val="00F44F36"/>
    <w:rsid w:val="00F44F4F"/>
    <w:rsid w:val="00F457F1"/>
    <w:rsid w:val="00F467E5"/>
    <w:rsid w:val="00F46A35"/>
    <w:rsid w:val="00F46E42"/>
    <w:rsid w:val="00F4702C"/>
    <w:rsid w:val="00F470AF"/>
    <w:rsid w:val="00F47466"/>
    <w:rsid w:val="00F477DC"/>
    <w:rsid w:val="00F47AF3"/>
    <w:rsid w:val="00F47C92"/>
    <w:rsid w:val="00F504EF"/>
    <w:rsid w:val="00F50569"/>
    <w:rsid w:val="00F505B8"/>
    <w:rsid w:val="00F50B6F"/>
    <w:rsid w:val="00F51625"/>
    <w:rsid w:val="00F516EB"/>
    <w:rsid w:val="00F5388D"/>
    <w:rsid w:val="00F53C78"/>
    <w:rsid w:val="00F53EFE"/>
    <w:rsid w:val="00F545F5"/>
    <w:rsid w:val="00F54D0B"/>
    <w:rsid w:val="00F559AC"/>
    <w:rsid w:val="00F55BF3"/>
    <w:rsid w:val="00F561A0"/>
    <w:rsid w:val="00F56D91"/>
    <w:rsid w:val="00F57B6F"/>
    <w:rsid w:val="00F60BA2"/>
    <w:rsid w:val="00F60FD3"/>
    <w:rsid w:val="00F6122E"/>
    <w:rsid w:val="00F61CE6"/>
    <w:rsid w:val="00F63001"/>
    <w:rsid w:val="00F634F6"/>
    <w:rsid w:val="00F641FF"/>
    <w:rsid w:val="00F66AB9"/>
    <w:rsid w:val="00F672C2"/>
    <w:rsid w:val="00F70A45"/>
    <w:rsid w:val="00F7113C"/>
    <w:rsid w:val="00F718F2"/>
    <w:rsid w:val="00F71B4F"/>
    <w:rsid w:val="00F71EEF"/>
    <w:rsid w:val="00F731A0"/>
    <w:rsid w:val="00F734CF"/>
    <w:rsid w:val="00F73A03"/>
    <w:rsid w:val="00F7512D"/>
    <w:rsid w:val="00F75821"/>
    <w:rsid w:val="00F75A57"/>
    <w:rsid w:val="00F75B56"/>
    <w:rsid w:val="00F75E95"/>
    <w:rsid w:val="00F76374"/>
    <w:rsid w:val="00F76742"/>
    <w:rsid w:val="00F76788"/>
    <w:rsid w:val="00F76F42"/>
    <w:rsid w:val="00F773D9"/>
    <w:rsid w:val="00F776FA"/>
    <w:rsid w:val="00F77B4D"/>
    <w:rsid w:val="00F77B60"/>
    <w:rsid w:val="00F77C67"/>
    <w:rsid w:val="00F77D84"/>
    <w:rsid w:val="00F77F5C"/>
    <w:rsid w:val="00F800BA"/>
    <w:rsid w:val="00F819AC"/>
    <w:rsid w:val="00F819B7"/>
    <w:rsid w:val="00F82EDC"/>
    <w:rsid w:val="00F8380D"/>
    <w:rsid w:val="00F83987"/>
    <w:rsid w:val="00F83C5C"/>
    <w:rsid w:val="00F84E49"/>
    <w:rsid w:val="00F85998"/>
    <w:rsid w:val="00F86E95"/>
    <w:rsid w:val="00F87B07"/>
    <w:rsid w:val="00F923E8"/>
    <w:rsid w:val="00F93381"/>
    <w:rsid w:val="00F9414C"/>
    <w:rsid w:val="00F944A2"/>
    <w:rsid w:val="00F94880"/>
    <w:rsid w:val="00F954AF"/>
    <w:rsid w:val="00F95549"/>
    <w:rsid w:val="00F96427"/>
    <w:rsid w:val="00FA01E5"/>
    <w:rsid w:val="00FA0A26"/>
    <w:rsid w:val="00FA10F8"/>
    <w:rsid w:val="00FA1BCB"/>
    <w:rsid w:val="00FA1D84"/>
    <w:rsid w:val="00FA22C4"/>
    <w:rsid w:val="00FA33D2"/>
    <w:rsid w:val="00FA3E9B"/>
    <w:rsid w:val="00FA4574"/>
    <w:rsid w:val="00FA4C72"/>
    <w:rsid w:val="00FA545B"/>
    <w:rsid w:val="00FA5EB1"/>
    <w:rsid w:val="00FA5F3B"/>
    <w:rsid w:val="00FA6297"/>
    <w:rsid w:val="00FA6953"/>
    <w:rsid w:val="00FA6D22"/>
    <w:rsid w:val="00FA7052"/>
    <w:rsid w:val="00FA73C5"/>
    <w:rsid w:val="00FB016C"/>
    <w:rsid w:val="00FB02D2"/>
    <w:rsid w:val="00FB0AF7"/>
    <w:rsid w:val="00FB1D45"/>
    <w:rsid w:val="00FB23E1"/>
    <w:rsid w:val="00FB29C8"/>
    <w:rsid w:val="00FB2D60"/>
    <w:rsid w:val="00FB3020"/>
    <w:rsid w:val="00FB399A"/>
    <w:rsid w:val="00FB43F6"/>
    <w:rsid w:val="00FB4AA4"/>
    <w:rsid w:val="00FB4E93"/>
    <w:rsid w:val="00FB6607"/>
    <w:rsid w:val="00FB7383"/>
    <w:rsid w:val="00FB7B55"/>
    <w:rsid w:val="00FC018A"/>
    <w:rsid w:val="00FC0BA8"/>
    <w:rsid w:val="00FC0E70"/>
    <w:rsid w:val="00FC1303"/>
    <w:rsid w:val="00FC1BCA"/>
    <w:rsid w:val="00FC2D8B"/>
    <w:rsid w:val="00FC2DFB"/>
    <w:rsid w:val="00FC2EED"/>
    <w:rsid w:val="00FC3033"/>
    <w:rsid w:val="00FC30BD"/>
    <w:rsid w:val="00FC380B"/>
    <w:rsid w:val="00FC396F"/>
    <w:rsid w:val="00FC3DD2"/>
    <w:rsid w:val="00FC4481"/>
    <w:rsid w:val="00FC499B"/>
    <w:rsid w:val="00FC4A70"/>
    <w:rsid w:val="00FC52EC"/>
    <w:rsid w:val="00FC581C"/>
    <w:rsid w:val="00FC5B47"/>
    <w:rsid w:val="00FC6569"/>
    <w:rsid w:val="00FC6DB9"/>
    <w:rsid w:val="00FC6FD8"/>
    <w:rsid w:val="00FD0047"/>
    <w:rsid w:val="00FD1A39"/>
    <w:rsid w:val="00FD2AA9"/>
    <w:rsid w:val="00FD2FDB"/>
    <w:rsid w:val="00FD3009"/>
    <w:rsid w:val="00FD3306"/>
    <w:rsid w:val="00FD36B1"/>
    <w:rsid w:val="00FD37EA"/>
    <w:rsid w:val="00FD3A03"/>
    <w:rsid w:val="00FD3FE4"/>
    <w:rsid w:val="00FD49DD"/>
    <w:rsid w:val="00FD5379"/>
    <w:rsid w:val="00FD6DE7"/>
    <w:rsid w:val="00FE0423"/>
    <w:rsid w:val="00FE0424"/>
    <w:rsid w:val="00FE126B"/>
    <w:rsid w:val="00FE1516"/>
    <w:rsid w:val="00FE1BB4"/>
    <w:rsid w:val="00FE1E36"/>
    <w:rsid w:val="00FE2282"/>
    <w:rsid w:val="00FE2392"/>
    <w:rsid w:val="00FE2419"/>
    <w:rsid w:val="00FE2FB5"/>
    <w:rsid w:val="00FE38A2"/>
    <w:rsid w:val="00FE4091"/>
    <w:rsid w:val="00FE4C90"/>
    <w:rsid w:val="00FE50D9"/>
    <w:rsid w:val="00FE59FD"/>
    <w:rsid w:val="00FE698C"/>
    <w:rsid w:val="00FE6B6F"/>
    <w:rsid w:val="00FE7222"/>
    <w:rsid w:val="00FE79CD"/>
    <w:rsid w:val="00FE7F98"/>
    <w:rsid w:val="00FF05D6"/>
    <w:rsid w:val="00FF05E4"/>
    <w:rsid w:val="00FF0F5D"/>
    <w:rsid w:val="00FF12D5"/>
    <w:rsid w:val="00FF174F"/>
    <w:rsid w:val="00FF182D"/>
    <w:rsid w:val="00FF2548"/>
    <w:rsid w:val="00FF2E7F"/>
    <w:rsid w:val="00FF306D"/>
    <w:rsid w:val="00FF3A71"/>
    <w:rsid w:val="00FF50EA"/>
    <w:rsid w:val="00FF6230"/>
    <w:rsid w:val="00FF6790"/>
    <w:rsid w:val="00FF6B75"/>
    <w:rsid w:val="00FF6C6C"/>
    <w:rsid w:val="00FF6EE1"/>
    <w:rsid w:val="00FF755C"/>
    <w:rsid w:val="01E47530"/>
    <w:rsid w:val="175BC1F5"/>
    <w:rsid w:val="222C3D9F"/>
    <w:rsid w:val="286F8585"/>
    <w:rsid w:val="2FCCB4B5"/>
    <w:rsid w:val="312AE925"/>
    <w:rsid w:val="353D3FA4"/>
    <w:rsid w:val="38CF7913"/>
    <w:rsid w:val="38DB1452"/>
    <w:rsid w:val="38E70421"/>
    <w:rsid w:val="390A07A4"/>
    <w:rsid w:val="3C5738A5"/>
    <w:rsid w:val="3E5CBC1E"/>
    <w:rsid w:val="43990101"/>
    <w:rsid w:val="46333CE3"/>
    <w:rsid w:val="4C9FDEBB"/>
    <w:rsid w:val="4D4F8799"/>
    <w:rsid w:val="4E07D9C0"/>
    <w:rsid w:val="53CFF30C"/>
    <w:rsid w:val="54422BB0"/>
    <w:rsid w:val="548BABA1"/>
    <w:rsid w:val="5874E6F1"/>
    <w:rsid w:val="645F497C"/>
    <w:rsid w:val="6DE8BC3A"/>
    <w:rsid w:val="79CB5B97"/>
    <w:rsid w:val="7F6A365C"/>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018E1E"/>
  <w15:chartTrackingRefBased/>
  <w15:docId w15:val="{A7BAC48F-FA51-423E-94C8-297DC06AE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lsdException w:name="List 4" w:semiHidden="1" w:unhideWhenUsed="1"/>
    <w:lsdException w:name="List 5" w:semiHidden="1"/>
    <w:lsdException w:name="List Bullet 2" w:semiHidden="1" w:unhideWhenUsed="1" w:qFormat="1"/>
    <w:lsdException w:name="List Bullet 3" w:semiHidden="1" w:unhideWhenUsed="1" w:qFormat="1"/>
    <w:lsdException w:name="List Bullet 4" w:semiHidden="1" w:uiPriority="13"/>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2"/>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0"/>
    <w:unhideWhenUsed/>
    <w:qFormat/>
    <w:rsid w:val="004F6629"/>
    <w:pPr>
      <w:spacing w:before="120" w:after="120" w:line="280" w:lineRule="atLeast"/>
    </w:pPr>
    <w:rPr>
      <w:rFonts w:ascii="Open Sans" w:hAnsi="Open Sans"/>
      <w:sz w:val="20"/>
      <w:szCs w:val="20"/>
    </w:rPr>
  </w:style>
  <w:style w:type="paragraph" w:styleId="Heading1">
    <w:name w:val="heading 1"/>
    <w:basedOn w:val="Normal"/>
    <w:next w:val="BodyText"/>
    <w:link w:val="Heading1Char"/>
    <w:uiPriority w:val="9"/>
    <w:qFormat/>
    <w:rsid w:val="004F6629"/>
    <w:pPr>
      <w:numPr>
        <w:numId w:val="13"/>
      </w:numPr>
      <w:pBdr>
        <w:top w:val="single" w:sz="4" w:space="31" w:color="E7F6FD"/>
        <w:left w:val="single" w:sz="4" w:space="26" w:color="E7F6FD"/>
        <w:bottom w:val="single" w:sz="4" w:space="26" w:color="E7F6FD"/>
        <w:right w:val="single" w:sz="4" w:space="26" w:color="E7F6FD"/>
      </w:pBdr>
      <w:shd w:val="clear" w:color="auto" w:fill="E7F6FD"/>
      <w:spacing w:before="240" w:after="480" w:line="504" w:lineRule="atLeast"/>
      <w:ind w:right="567"/>
      <w:outlineLvl w:val="0"/>
    </w:pPr>
    <w:rPr>
      <w:rFonts w:ascii="Open Sans Extrabold" w:hAnsi="Open Sans Extrabold"/>
      <w:color w:val="1C4373" w:themeColor="background2" w:themeShade="BF"/>
      <w:sz w:val="42"/>
    </w:rPr>
  </w:style>
  <w:style w:type="paragraph" w:styleId="Heading2">
    <w:name w:val="heading 2"/>
    <w:basedOn w:val="Normal"/>
    <w:next w:val="BodyText"/>
    <w:link w:val="Heading2Char"/>
    <w:uiPriority w:val="9"/>
    <w:qFormat/>
    <w:rsid w:val="004F6629"/>
    <w:pPr>
      <w:keepNext/>
      <w:keepLines/>
      <w:numPr>
        <w:ilvl w:val="2"/>
        <w:numId w:val="13"/>
      </w:numPr>
      <w:spacing w:before="480" w:line="340" w:lineRule="atLeast"/>
      <w:outlineLvl w:val="1"/>
    </w:pPr>
    <w:rPr>
      <w:rFonts w:ascii="Open Sans Extrabold" w:eastAsiaTheme="majorEastAsia" w:hAnsi="Open Sans Extrabold" w:cstheme="majorBidi"/>
      <w:color w:val="1C4373" w:themeColor="background2" w:themeShade="BF"/>
      <w:sz w:val="30"/>
      <w:szCs w:val="60"/>
    </w:rPr>
  </w:style>
  <w:style w:type="paragraph" w:styleId="Heading3">
    <w:name w:val="heading 3"/>
    <w:basedOn w:val="Normal"/>
    <w:next w:val="BodyText"/>
    <w:link w:val="Heading3Char"/>
    <w:uiPriority w:val="9"/>
    <w:qFormat/>
    <w:rsid w:val="004F6629"/>
    <w:pPr>
      <w:keepNext/>
      <w:keepLines/>
      <w:spacing w:before="240" w:line="300" w:lineRule="atLeast"/>
      <w:outlineLvl w:val="2"/>
    </w:pPr>
    <w:rPr>
      <w:rFonts w:ascii="Open Sans Extrabold" w:eastAsiaTheme="majorEastAsia" w:hAnsi="Open Sans Extrabold" w:cstheme="majorBidi"/>
      <w:color w:val="207291" w:themeColor="text2" w:themeShade="BF"/>
      <w:sz w:val="26"/>
      <w:szCs w:val="37"/>
    </w:rPr>
  </w:style>
  <w:style w:type="paragraph" w:styleId="Heading4">
    <w:name w:val="heading 4"/>
    <w:basedOn w:val="Normal"/>
    <w:next w:val="BodyText"/>
    <w:link w:val="Heading4Char"/>
    <w:uiPriority w:val="9"/>
    <w:qFormat/>
    <w:rsid w:val="004F6629"/>
    <w:pPr>
      <w:keepNext/>
      <w:keepLines/>
      <w:spacing w:before="240" w:line="264" w:lineRule="atLeast"/>
      <w:outlineLvl w:val="3"/>
    </w:pPr>
    <w:rPr>
      <w:rFonts w:ascii="Open Sans Extrabold" w:eastAsiaTheme="majorEastAsia" w:hAnsi="Open Sans Extrabold" w:cstheme="majorBidi"/>
      <w:iCs/>
      <w:color w:val="1C4373" w:themeColor="background2" w:themeShade="BF"/>
      <w:sz w:val="22"/>
      <w:szCs w:val="33"/>
    </w:rPr>
  </w:style>
  <w:style w:type="paragraph" w:styleId="Heading5">
    <w:name w:val="heading 5"/>
    <w:basedOn w:val="Normal"/>
    <w:next w:val="BodyText"/>
    <w:link w:val="Heading5Char"/>
    <w:uiPriority w:val="9"/>
    <w:qFormat/>
    <w:rsid w:val="004F6629"/>
    <w:pPr>
      <w:keepNext/>
      <w:keepLines/>
      <w:spacing w:before="240" w:line="264" w:lineRule="atLeast"/>
      <w:outlineLvl w:val="4"/>
    </w:pPr>
    <w:rPr>
      <w:rFonts w:eastAsiaTheme="majorEastAsia" w:cstheme="majorBidi"/>
      <w:b/>
      <w:color w:val="265A9A" w:themeColor="background2"/>
      <w:sz w:val="22"/>
      <w:szCs w:val="29"/>
    </w:rPr>
  </w:style>
  <w:style w:type="paragraph" w:styleId="Heading6">
    <w:name w:val="heading 6"/>
    <w:basedOn w:val="Normal"/>
    <w:next w:val="BodyText"/>
    <w:link w:val="Heading6Char"/>
    <w:uiPriority w:val="9"/>
    <w:rsid w:val="004F6629"/>
    <w:pPr>
      <w:keepNext/>
      <w:keepLines/>
      <w:spacing w:line="240" w:lineRule="atLeast"/>
      <w:outlineLvl w:val="5"/>
    </w:pPr>
    <w:rPr>
      <w:rFonts w:eastAsiaTheme="majorEastAsia" w:cstheme="minorHAnsi"/>
      <w:b/>
      <w:bCs/>
      <w:i/>
      <w:color w:val="265A9A" w:themeColor="background2"/>
      <w:szCs w:val="24"/>
    </w:rPr>
  </w:style>
  <w:style w:type="paragraph" w:styleId="Heading7">
    <w:name w:val="heading 7"/>
    <w:basedOn w:val="Normal"/>
    <w:next w:val="Normal"/>
    <w:link w:val="Heading7Char"/>
    <w:uiPriority w:val="9"/>
    <w:semiHidden/>
    <w:qFormat/>
    <w:rsid w:val="004F6629"/>
    <w:pPr>
      <w:keepNext/>
      <w:keepLines/>
      <w:spacing w:line="240" w:lineRule="atLeast"/>
      <w:outlineLvl w:val="6"/>
    </w:pPr>
    <w:rPr>
      <w:rFonts w:eastAsiaTheme="majorEastAsia" w:cstheme="minorHAnsi"/>
      <w:b/>
      <w:bCs/>
      <w:i/>
      <w:iCs/>
      <w:color w:val="265A9A" w:themeColor="background2"/>
      <w:szCs w:val="22"/>
    </w:rPr>
  </w:style>
  <w:style w:type="paragraph" w:styleId="Heading8">
    <w:name w:val="heading 8"/>
    <w:basedOn w:val="Normal"/>
    <w:next w:val="Normal"/>
    <w:link w:val="Heading8Char"/>
    <w:uiPriority w:val="9"/>
    <w:semiHidden/>
    <w:qFormat/>
    <w:rsid w:val="004F6629"/>
    <w:pPr>
      <w:keepNext/>
      <w:keepLines/>
      <w:spacing w:after="0" w:line="293" w:lineRule="auto"/>
      <w:outlineLvl w:val="7"/>
    </w:pPr>
    <w:rPr>
      <w:rFonts w:eastAsiaTheme="majorEastAsia" w:cstheme="majorBidi"/>
      <w:b/>
      <w:sz w:val="18"/>
      <w:szCs w:val="21"/>
    </w:rPr>
  </w:style>
  <w:style w:type="paragraph" w:styleId="Heading9">
    <w:name w:val="heading 9"/>
    <w:basedOn w:val="Normal"/>
    <w:next w:val="Normal"/>
    <w:link w:val="Heading9Char"/>
    <w:uiPriority w:val="9"/>
    <w:semiHidden/>
    <w:rsid w:val="004F6629"/>
    <w:pPr>
      <w:spacing w:line="240" w:lineRule="auto"/>
      <w:outlineLvl w:val="8"/>
    </w:pPr>
    <w:rPr>
      <w:rFonts w:asciiTheme="majorHAnsi" w:hAnsiTheme="majorHAnsi"/>
      <w:color w:val="8956A3" w:themeColor="accent2"/>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F6629"/>
    <w:rPr>
      <w:color w:val="808080"/>
    </w:rPr>
  </w:style>
  <w:style w:type="paragraph" w:styleId="Date">
    <w:name w:val="Date"/>
    <w:basedOn w:val="Normal"/>
    <w:next w:val="Normal"/>
    <w:link w:val="DateChar"/>
    <w:uiPriority w:val="99"/>
    <w:unhideWhenUsed/>
    <w:rsid w:val="004F6629"/>
    <w:pPr>
      <w:spacing w:after="360" w:line="293" w:lineRule="auto"/>
    </w:pPr>
  </w:style>
  <w:style w:type="character" w:customStyle="1" w:styleId="DateChar">
    <w:name w:val="Date Char"/>
    <w:basedOn w:val="DefaultParagraphFont"/>
    <w:link w:val="Date"/>
    <w:uiPriority w:val="99"/>
    <w:rsid w:val="004F6629"/>
    <w:rPr>
      <w:rFonts w:ascii="Open Sans" w:hAnsi="Open Sans"/>
      <w:sz w:val="20"/>
      <w:szCs w:val="20"/>
    </w:rPr>
  </w:style>
  <w:style w:type="paragraph" w:styleId="NoSpacing">
    <w:name w:val="No Spacing"/>
    <w:basedOn w:val="Normal"/>
    <w:link w:val="NoSpacingChar"/>
    <w:uiPriority w:val="10"/>
    <w:qFormat/>
    <w:rsid w:val="004F6629"/>
    <w:pPr>
      <w:spacing w:before="0" w:after="0"/>
    </w:pPr>
  </w:style>
  <w:style w:type="paragraph" w:styleId="ListBullet">
    <w:name w:val="List Bullet"/>
    <w:basedOn w:val="Normal"/>
    <w:link w:val="ListBulletChar"/>
    <w:uiPriority w:val="1"/>
    <w:qFormat/>
    <w:rsid w:val="004F6629"/>
    <w:pPr>
      <w:numPr>
        <w:numId w:val="15"/>
      </w:numPr>
      <w:contextualSpacing/>
    </w:pPr>
  </w:style>
  <w:style w:type="paragraph" w:styleId="ListBullet2">
    <w:name w:val="List Bullet 2"/>
    <w:basedOn w:val="Normal"/>
    <w:uiPriority w:val="1"/>
    <w:qFormat/>
    <w:rsid w:val="004F6629"/>
    <w:pPr>
      <w:numPr>
        <w:ilvl w:val="1"/>
        <w:numId w:val="15"/>
      </w:numPr>
      <w:contextualSpacing/>
    </w:pPr>
  </w:style>
  <w:style w:type="paragraph" w:styleId="ListNumber">
    <w:name w:val="List Number"/>
    <w:basedOn w:val="Normal"/>
    <w:uiPriority w:val="2"/>
    <w:qFormat/>
    <w:rsid w:val="004F6629"/>
    <w:pPr>
      <w:numPr>
        <w:numId w:val="14"/>
      </w:numPr>
      <w:spacing w:before="60"/>
      <w:contextualSpacing/>
    </w:pPr>
  </w:style>
  <w:style w:type="numbering" w:customStyle="1" w:styleId="Bullets">
    <w:name w:val="Bullets"/>
    <w:uiPriority w:val="99"/>
    <w:rsid w:val="004F6629"/>
    <w:pPr>
      <w:numPr>
        <w:numId w:val="5"/>
      </w:numPr>
    </w:pPr>
  </w:style>
  <w:style w:type="character" w:customStyle="1" w:styleId="Heading1Char">
    <w:name w:val="Heading 1 Char"/>
    <w:basedOn w:val="DefaultParagraphFont"/>
    <w:link w:val="Heading1"/>
    <w:uiPriority w:val="9"/>
    <w:rsid w:val="004F6629"/>
    <w:rPr>
      <w:rFonts w:ascii="Open Sans Extrabold" w:hAnsi="Open Sans Extrabold"/>
      <w:color w:val="1C4373" w:themeColor="background2" w:themeShade="BF"/>
      <w:sz w:val="42"/>
      <w:szCs w:val="20"/>
      <w:shd w:val="clear" w:color="auto" w:fill="E7F6FD"/>
    </w:rPr>
  </w:style>
  <w:style w:type="paragraph" w:styleId="ListNumber2">
    <w:name w:val="List Number 2"/>
    <w:basedOn w:val="Normal"/>
    <w:uiPriority w:val="13"/>
    <w:semiHidden/>
    <w:qFormat/>
    <w:rsid w:val="004F6629"/>
    <w:pPr>
      <w:numPr>
        <w:ilvl w:val="1"/>
        <w:numId w:val="14"/>
      </w:numPr>
      <w:spacing w:before="60"/>
      <w:contextualSpacing/>
    </w:pPr>
  </w:style>
  <w:style w:type="character" w:customStyle="1" w:styleId="Heading2Char">
    <w:name w:val="Heading 2 Char"/>
    <w:basedOn w:val="DefaultParagraphFont"/>
    <w:link w:val="Heading2"/>
    <w:uiPriority w:val="9"/>
    <w:rsid w:val="004F6629"/>
    <w:rPr>
      <w:rFonts w:ascii="Open Sans Extrabold" w:eastAsiaTheme="majorEastAsia" w:hAnsi="Open Sans Extrabold" w:cstheme="majorBidi"/>
      <w:color w:val="1C4373" w:themeColor="background2" w:themeShade="BF"/>
      <w:sz w:val="30"/>
      <w:szCs w:val="60"/>
    </w:rPr>
  </w:style>
  <w:style w:type="paragraph" w:styleId="ListParagraph">
    <w:name w:val="List Paragraph"/>
    <w:basedOn w:val="Normal"/>
    <w:uiPriority w:val="34"/>
    <w:rsid w:val="004F6629"/>
    <w:pPr>
      <w:spacing w:line="293" w:lineRule="auto"/>
      <w:ind w:left="284"/>
      <w:contextualSpacing/>
    </w:pPr>
  </w:style>
  <w:style w:type="paragraph" w:styleId="Header">
    <w:name w:val="header"/>
    <w:basedOn w:val="Normal"/>
    <w:link w:val="HeaderChar"/>
    <w:uiPriority w:val="99"/>
    <w:unhideWhenUsed/>
    <w:rsid w:val="004F6629"/>
    <w:pPr>
      <w:tabs>
        <w:tab w:val="center" w:pos="4513"/>
        <w:tab w:val="right" w:pos="9026"/>
      </w:tabs>
      <w:spacing w:after="0" w:line="240" w:lineRule="auto"/>
    </w:pPr>
    <w:rPr>
      <w:sz w:val="16"/>
    </w:rPr>
  </w:style>
  <w:style w:type="character" w:customStyle="1" w:styleId="HeaderChar">
    <w:name w:val="Header Char"/>
    <w:basedOn w:val="DefaultParagraphFont"/>
    <w:link w:val="Header"/>
    <w:uiPriority w:val="99"/>
    <w:rsid w:val="004F6629"/>
    <w:rPr>
      <w:rFonts w:ascii="Open Sans" w:hAnsi="Open Sans"/>
      <w:sz w:val="16"/>
      <w:szCs w:val="20"/>
    </w:rPr>
  </w:style>
  <w:style w:type="paragraph" w:styleId="Footer">
    <w:name w:val="footer"/>
    <w:basedOn w:val="Normal"/>
    <w:link w:val="FooterChar"/>
    <w:uiPriority w:val="11"/>
    <w:rsid w:val="004F6629"/>
    <w:pPr>
      <w:tabs>
        <w:tab w:val="center" w:pos="4513"/>
        <w:tab w:val="right" w:pos="9026"/>
      </w:tabs>
      <w:spacing w:after="0" w:line="240" w:lineRule="auto"/>
      <w:contextualSpacing/>
    </w:pPr>
    <w:rPr>
      <w:rFonts w:ascii="Open Sans Extrabold" w:hAnsi="Open Sans Extrabold"/>
      <w:sz w:val="17"/>
      <w:szCs w:val="22"/>
    </w:rPr>
  </w:style>
  <w:style w:type="character" w:customStyle="1" w:styleId="FooterChar">
    <w:name w:val="Footer Char"/>
    <w:basedOn w:val="DefaultParagraphFont"/>
    <w:link w:val="Footer"/>
    <w:uiPriority w:val="11"/>
    <w:rsid w:val="004F6629"/>
    <w:rPr>
      <w:rFonts w:ascii="Open Sans Extrabold" w:hAnsi="Open Sans Extrabold"/>
      <w:sz w:val="17"/>
    </w:rPr>
  </w:style>
  <w:style w:type="numbering" w:customStyle="1" w:styleId="Numbering">
    <w:name w:val="Numbering"/>
    <w:uiPriority w:val="99"/>
    <w:rsid w:val="004F6629"/>
    <w:pPr>
      <w:numPr>
        <w:numId w:val="14"/>
      </w:numPr>
    </w:pPr>
  </w:style>
  <w:style w:type="paragraph" w:styleId="ListBullet3">
    <w:name w:val="List Bullet 3"/>
    <w:basedOn w:val="Normal"/>
    <w:uiPriority w:val="1"/>
    <w:qFormat/>
    <w:rsid w:val="004F6629"/>
    <w:pPr>
      <w:numPr>
        <w:ilvl w:val="2"/>
        <w:numId w:val="15"/>
      </w:numPr>
      <w:contextualSpacing/>
    </w:pPr>
  </w:style>
  <w:style w:type="paragraph" w:styleId="ListContinue2">
    <w:name w:val="List Continue 2"/>
    <w:basedOn w:val="Normal"/>
    <w:uiPriority w:val="3"/>
    <w:unhideWhenUsed/>
    <w:qFormat/>
    <w:rsid w:val="004F6629"/>
    <w:pPr>
      <w:spacing w:before="60"/>
      <w:ind w:left="454"/>
    </w:pPr>
  </w:style>
  <w:style w:type="paragraph" w:styleId="ListNumber3">
    <w:name w:val="List Number 3"/>
    <w:basedOn w:val="Normal"/>
    <w:uiPriority w:val="13"/>
    <w:semiHidden/>
    <w:qFormat/>
    <w:rsid w:val="004F6629"/>
    <w:pPr>
      <w:numPr>
        <w:ilvl w:val="2"/>
        <w:numId w:val="14"/>
      </w:numPr>
      <w:spacing w:before="60"/>
      <w:contextualSpacing/>
    </w:pPr>
  </w:style>
  <w:style w:type="paragraph" w:styleId="ListNumber4">
    <w:name w:val="List Number 4"/>
    <w:basedOn w:val="Normal"/>
    <w:uiPriority w:val="13"/>
    <w:semiHidden/>
    <w:qFormat/>
    <w:rsid w:val="004F6629"/>
    <w:pPr>
      <w:numPr>
        <w:ilvl w:val="3"/>
        <w:numId w:val="14"/>
      </w:numPr>
      <w:spacing w:after="200" w:line="293" w:lineRule="auto"/>
      <w:contextualSpacing/>
    </w:pPr>
  </w:style>
  <w:style w:type="paragraph" w:styleId="ListNumber5">
    <w:name w:val="List Number 5"/>
    <w:basedOn w:val="Normal"/>
    <w:uiPriority w:val="13"/>
    <w:semiHidden/>
    <w:rsid w:val="004F6629"/>
    <w:pPr>
      <w:numPr>
        <w:ilvl w:val="4"/>
        <w:numId w:val="14"/>
      </w:numPr>
      <w:spacing w:after="200" w:line="293" w:lineRule="auto"/>
      <w:contextualSpacing/>
    </w:pPr>
  </w:style>
  <w:style w:type="paragraph" w:styleId="ListContinue">
    <w:name w:val="List Continue"/>
    <w:basedOn w:val="Normal"/>
    <w:uiPriority w:val="3"/>
    <w:unhideWhenUsed/>
    <w:qFormat/>
    <w:rsid w:val="004F6629"/>
    <w:pPr>
      <w:spacing w:before="60"/>
      <w:ind w:left="227"/>
    </w:pPr>
  </w:style>
  <w:style w:type="paragraph" w:styleId="ListContinue3">
    <w:name w:val="List Continue 3"/>
    <w:basedOn w:val="Normal"/>
    <w:uiPriority w:val="3"/>
    <w:unhideWhenUsed/>
    <w:qFormat/>
    <w:rsid w:val="004F6629"/>
    <w:pPr>
      <w:spacing w:before="60"/>
      <w:ind w:left="907"/>
    </w:pPr>
  </w:style>
  <w:style w:type="paragraph" w:styleId="ListContinue4">
    <w:name w:val="List Continue 4"/>
    <w:basedOn w:val="Normal"/>
    <w:uiPriority w:val="3"/>
    <w:unhideWhenUsed/>
    <w:qFormat/>
    <w:rsid w:val="004F6629"/>
    <w:pPr>
      <w:spacing w:line="293" w:lineRule="auto"/>
      <w:ind w:left="907"/>
      <w:contextualSpacing/>
    </w:pPr>
  </w:style>
  <w:style w:type="character" w:customStyle="1" w:styleId="Heading3Char">
    <w:name w:val="Heading 3 Char"/>
    <w:basedOn w:val="DefaultParagraphFont"/>
    <w:link w:val="Heading3"/>
    <w:uiPriority w:val="9"/>
    <w:rsid w:val="004F6629"/>
    <w:rPr>
      <w:rFonts w:ascii="Open Sans Extrabold" w:eastAsiaTheme="majorEastAsia" w:hAnsi="Open Sans Extrabold" w:cstheme="majorBidi"/>
      <w:color w:val="207291" w:themeColor="text2" w:themeShade="BF"/>
      <w:sz w:val="26"/>
      <w:szCs w:val="37"/>
    </w:rPr>
  </w:style>
  <w:style w:type="character" w:customStyle="1" w:styleId="Heading4Char">
    <w:name w:val="Heading 4 Char"/>
    <w:basedOn w:val="DefaultParagraphFont"/>
    <w:link w:val="Heading4"/>
    <w:uiPriority w:val="9"/>
    <w:rsid w:val="004F6629"/>
    <w:rPr>
      <w:rFonts w:ascii="Open Sans Extrabold" w:eastAsiaTheme="majorEastAsia" w:hAnsi="Open Sans Extrabold" w:cstheme="majorBidi"/>
      <w:iCs/>
      <w:color w:val="1C4373" w:themeColor="background2" w:themeShade="BF"/>
      <w:szCs w:val="33"/>
    </w:rPr>
  </w:style>
  <w:style w:type="character" w:customStyle="1" w:styleId="Heading5Char">
    <w:name w:val="Heading 5 Char"/>
    <w:basedOn w:val="DefaultParagraphFont"/>
    <w:link w:val="Heading5"/>
    <w:uiPriority w:val="9"/>
    <w:rsid w:val="004F6629"/>
    <w:rPr>
      <w:rFonts w:ascii="Open Sans" w:eastAsiaTheme="majorEastAsia" w:hAnsi="Open Sans" w:cstheme="majorBidi"/>
      <w:b/>
      <w:color w:val="265A9A" w:themeColor="background2"/>
      <w:szCs w:val="29"/>
    </w:rPr>
  </w:style>
  <w:style w:type="numbering" w:customStyle="1" w:styleId="ListHeadings">
    <w:name w:val="List Headings"/>
    <w:uiPriority w:val="99"/>
    <w:rsid w:val="004F6629"/>
    <w:pPr>
      <w:numPr>
        <w:numId w:val="12"/>
      </w:numPr>
    </w:pPr>
  </w:style>
  <w:style w:type="paragraph" w:styleId="Title">
    <w:name w:val="Title"/>
    <w:basedOn w:val="Heading1"/>
    <w:next w:val="Normal"/>
    <w:link w:val="TitleChar"/>
    <w:uiPriority w:val="39"/>
    <w:rsid w:val="004F6629"/>
    <w:pPr>
      <w:numPr>
        <w:numId w:val="0"/>
      </w:numPr>
      <w:pBdr>
        <w:top w:val="none" w:sz="0" w:space="0" w:color="auto"/>
        <w:left w:val="none" w:sz="0" w:space="0" w:color="auto"/>
        <w:bottom w:val="none" w:sz="0" w:space="0" w:color="auto"/>
        <w:right w:val="none" w:sz="0" w:space="0" w:color="auto"/>
      </w:pBdr>
      <w:shd w:val="clear" w:color="auto" w:fill="auto"/>
      <w:spacing w:before="560" w:line="204" w:lineRule="auto"/>
      <w:ind w:right="2268"/>
      <w:contextualSpacing/>
    </w:pPr>
    <w:rPr>
      <w:rFonts w:eastAsiaTheme="majorEastAsia" w:cstheme="majorBidi"/>
      <w:kern w:val="28"/>
      <w:sz w:val="56"/>
      <w:szCs w:val="56"/>
    </w:rPr>
  </w:style>
  <w:style w:type="character" w:customStyle="1" w:styleId="TitleChar">
    <w:name w:val="Title Char"/>
    <w:basedOn w:val="DefaultParagraphFont"/>
    <w:link w:val="Title"/>
    <w:uiPriority w:val="39"/>
    <w:rsid w:val="004F6629"/>
    <w:rPr>
      <w:rFonts w:ascii="Open Sans Extrabold" w:eastAsiaTheme="majorEastAsia" w:hAnsi="Open Sans Extrabold" w:cstheme="majorBidi"/>
      <w:color w:val="1C4373" w:themeColor="background2" w:themeShade="BF"/>
      <w:kern w:val="28"/>
      <w:sz w:val="56"/>
      <w:szCs w:val="56"/>
    </w:rPr>
  </w:style>
  <w:style w:type="paragraph" w:customStyle="1" w:styleId="Pull-outQuote">
    <w:name w:val="Pull-out Quote"/>
    <w:basedOn w:val="Normal"/>
    <w:link w:val="Pull-outQuoteChar"/>
    <w:uiPriority w:val="99"/>
    <w:semiHidden/>
    <w:rsid w:val="004F6629"/>
    <w:pPr>
      <w:pBdr>
        <w:top w:val="single" w:sz="4" w:space="4" w:color="2B9AC2" w:themeColor="text2"/>
        <w:left w:val="single" w:sz="4" w:space="4" w:color="2B9AC2" w:themeColor="text2"/>
        <w:bottom w:val="single" w:sz="4" w:space="4" w:color="2B9AC2" w:themeColor="text2"/>
        <w:right w:val="single" w:sz="4" w:space="4" w:color="2B9AC2" w:themeColor="text2"/>
      </w:pBdr>
      <w:shd w:val="clear" w:color="auto" w:fill="2B9AC2" w:themeFill="text2"/>
      <w:spacing w:line="293" w:lineRule="auto"/>
      <w:ind w:left="113" w:right="113"/>
    </w:pPr>
    <w:rPr>
      <w:color w:val="FFFFFF" w:themeColor="background1"/>
    </w:rPr>
  </w:style>
  <w:style w:type="paragraph" w:customStyle="1" w:styleId="Pull-outQuoteHeading">
    <w:name w:val="Pull-out Quote Heading"/>
    <w:basedOn w:val="Pull-outQuote"/>
    <w:next w:val="Pull-outQuote"/>
    <w:link w:val="Pull-outQuoteHeadingChar"/>
    <w:uiPriority w:val="99"/>
    <w:semiHidden/>
    <w:rsid w:val="004F6629"/>
    <w:rPr>
      <w:b/>
    </w:rPr>
  </w:style>
  <w:style w:type="character" w:customStyle="1" w:styleId="Pull-outQuoteChar">
    <w:name w:val="Pull-out Quote Char"/>
    <w:basedOn w:val="DefaultParagraphFont"/>
    <w:link w:val="Pull-outQuote"/>
    <w:uiPriority w:val="99"/>
    <w:semiHidden/>
    <w:rsid w:val="004F6629"/>
    <w:rPr>
      <w:rFonts w:ascii="Open Sans" w:hAnsi="Open Sans"/>
      <w:color w:val="FFFFFF" w:themeColor="background1"/>
      <w:sz w:val="20"/>
      <w:szCs w:val="20"/>
      <w:shd w:val="clear" w:color="auto" w:fill="2B9AC2" w:themeFill="text2"/>
    </w:rPr>
  </w:style>
  <w:style w:type="character" w:customStyle="1" w:styleId="Pull-outQuoteHeadingChar">
    <w:name w:val="Pull-out Quote Heading Char"/>
    <w:basedOn w:val="Pull-outQuoteChar"/>
    <w:link w:val="Pull-outQuoteHeading"/>
    <w:uiPriority w:val="99"/>
    <w:semiHidden/>
    <w:rsid w:val="004F6629"/>
    <w:rPr>
      <w:rFonts w:ascii="Open Sans" w:hAnsi="Open Sans"/>
      <w:b/>
      <w:color w:val="FFFFFF" w:themeColor="background1"/>
      <w:sz w:val="20"/>
      <w:szCs w:val="20"/>
      <w:shd w:val="clear" w:color="auto" w:fill="2B9AC2" w:themeFill="text2"/>
    </w:rPr>
  </w:style>
  <w:style w:type="paragraph" w:customStyle="1" w:styleId="NumberedHeading1">
    <w:name w:val="Numbered Heading 1"/>
    <w:basedOn w:val="Heading1"/>
    <w:next w:val="Normal"/>
    <w:link w:val="NumberedHeading1Char"/>
    <w:uiPriority w:val="9"/>
    <w:semiHidden/>
    <w:rsid w:val="004F6629"/>
  </w:style>
  <w:style w:type="paragraph" w:customStyle="1" w:styleId="NumberedHeading2">
    <w:name w:val="Numbered Heading 2"/>
    <w:basedOn w:val="Heading2"/>
    <w:next w:val="Normal"/>
    <w:link w:val="NumberedHeading2Char"/>
    <w:uiPriority w:val="9"/>
    <w:semiHidden/>
    <w:rsid w:val="004F6629"/>
  </w:style>
  <w:style w:type="character" w:customStyle="1" w:styleId="NumberedHeading1Char">
    <w:name w:val="Numbered Heading 1 Char"/>
    <w:basedOn w:val="Heading1Char"/>
    <w:link w:val="NumberedHeading1"/>
    <w:uiPriority w:val="9"/>
    <w:semiHidden/>
    <w:rsid w:val="004F6629"/>
    <w:rPr>
      <w:rFonts w:ascii="Open Sans Extrabold" w:hAnsi="Open Sans Extrabold"/>
      <w:color w:val="1C4373" w:themeColor="background2" w:themeShade="BF"/>
      <w:sz w:val="42"/>
      <w:szCs w:val="20"/>
      <w:shd w:val="clear" w:color="auto" w:fill="E7F6FD"/>
    </w:rPr>
  </w:style>
  <w:style w:type="character" w:customStyle="1" w:styleId="NumberedHeading2Char">
    <w:name w:val="Numbered Heading 2 Char"/>
    <w:basedOn w:val="Heading2Char"/>
    <w:link w:val="NumberedHeading2"/>
    <w:uiPriority w:val="9"/>
    <w:semiHidden/>
    <w:rsid w:val="004F6629"/>
    <w:rPr>
      <w:rFonts w:ascii="Open Sans Extrabold" w:eastAsiaTheme="majorEastAsia" w:hAnsi="Open Sans Extrabold" w:cstheme="majorBidi"/>
      <w:color w:val="1C4373" w:themeColor="background2" w:themeShade="BF"/>
      <w:sz w:val="30"/>
      <w:szCs w:val="60"/>
    </w:rPr>
  </w:style>
  <w:style w:type="paragraph" w:styleId="ListContinue5">
    <w:name w:val="List Continue 5"/>
    <w:basedOn w:val="Normal"/>
    <w:uiPriority w:val="3"/>
    <w:unhideWhenUsed/>
    <w:qFormat/>
    <w:rsid w:val="004F6629"/>
    <w:pPr>
      <w:ind w:left="1134"/>
      <w:contextualSpacing/>
    </w:pPr>
  </w:style>
  <w:style w:type="table" w:styleId="TableGrid">
    <w:name w:val="Table Grid"/>
    <w:basedOn w:val="TableNormal"/>
    <w:uiPriority w:val="39"/>
    <w:rsid w:val="004F66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4"/>
    <w:qFormat/>
    <w:rsid w:val="004F6629"/>
    <w:pPr>
      <w:spacing w:before="0" w:after="40"/>
    </w:pPr>
    <w:rPr>
      <w:rFonts w:ascii="Open Sans Extrabold" w:hAnsi="Open Sans Extrabold"/>
      <w:iCs/>
      <w:color w:val="000000" w:themeColor="text1"/>
      <w:szCs w:val="18"/>
    </w:rPr>
  </w:style>
  <w:style w:type="paragraph" w:styleId="List">
    <w:name w:val="List"/>
    <w:basedOn w:val="Normal"/>
    <w:uiPriority w:val="99"/>
    <w:semiHidden/>
    <w:qFormat/>
    <w:rsid w:val="004F6629"/>
    <w:pPr>
      <w:numPr>
        <w:numId w:val="9"/>
      </w:numPr>
      <w:spacing w:before="60"/>
    </w:pPr>
  </w:style>
  <w:style w:type="paragraph" w:styleId="List2">
    <w:name w:val="List 2"/>
    <w:basedOn w:val="Normal"/>
    <w:uiPriority w:val="99"/>
    <w:semiHidden/>
    <w:qFormat/>
    <w:rsid w:val="004F6629"/>
    <w:pPr>
      <w:numPr>
        <w:ilvl w:val="1"/>
        <w:numId w:val="9"/>
      </w:numPr>
      <w:spacing w:before="60"/>
    </w:pPr>
  </w:style>
  <w:style w:type="numbering" w:customStyle="1" w:styleId="LetteredList">
    <w:name w:val="Lettered List"/>
    <w:uiPriority w:val="99"/>
    <w:rsid w:val="004F6629"/>
    <w:pPr>
      <w:numPr>
        <w:numId w:val="8"/>
      </w:numPr>
    </w:pPr>
  </w:style>
  <w:style w:type="paragraph" w:styleId="Subtitle">
    <w:name w:val="Subtitle"/>
    <w:basedOn w:val="Normal"/>
    <w:next w:val="Normal"/>
    <w:link w:val="SubtitleChar"/>
    <w:uiPriority w:val="39"/>
    <w:rsid w:val="004F6629"/>
    <w:pPr>
      <w:numPr>
        <w:ilvl w:val="1"/>
      </w:numPr>
      <w:spacing w:before="240" w:after="240" w:line="240" w:lineRule="auto"/>
    </w:pPr>
    <w:rPr>
      <w:rFonts w:eastAsiaTheme="minorEastAsia"/>
      <w:color w:val="1C4373" w:themeColor="background2" w:themeShade="BF"/>
      <w:sz w:val="48"/>
    </w:rPr>
  </w:style>
  <w:style w:type="character" w:customStyle="1" w:styleId="SubtitleChar">
    <w:name w:val="Subtitle Char"/>
    <w:basedOn w:val="DefaultParagraphFont"/>
    <w:link w:val="Subtitle"/>
    <w:uiPriority w:val="39"/>
    <w:rsid w:val="004F6629"/>
    <w:rPr>
      <w:rFonts w:ascii="Open Sans" w:eastAsiaTheme="minorEastAsia" w:hAnsi="Open Sans"/>
      <w:color w:val="1C4373" w:themeColor="background2" w:themeShade="BF"/>
      <w:sz w:val="48"/>
      <w:szCs w:val="20"/>
    </w:rPr>
  </w:style>
  <w:style w:type="character" w:styleId="Strong">
    <w:name w:val="Strong"/>
    <w:basedOn w:val="DefaultParagraphFont"/>
    <w:uiPriority w:val="22"/>
    <w:qFormat/>
    <w:rsid w:val="004F6629"/>
    <w:rPr>
      <w:rFonts w:ascii="Open Sans" w:hAnsi="Open Sans"/>
      <w:b/>
      <w:bCs/>
    </w:rPr>
  </w:style>
  <w:style w:type="paragraph" w:customStyle="1" w:styleId="Header-Keyline">
    <w:name w:val="Header - Keyline"/>
    <w:basedOn w:val="Header"/>
    <w:link w:val="Header-KeylineChar"/>
    <w:uiPriority w:val="99"/>
    <w:rsid w:val="004F6629"/>
    <w:pPr>
      <w:pBdr>
        <w:bottom w:val="single" w:sz="4" w:space="31" w:color="2B9AC2" w:themeColor="text2"/>
      </w:pBdr>
      <w:spacing w:after="600"/>
    </w:pPr>
  </w:style>
  <w:style w:type="character" w:customStyle="1" w:styleId="Heading6Char">
    <w:name w:val="Heading 6 Char"/>
    <w:basedOn w:val="DefaultParagraphFont"/>
    <w:link w:val="Heading6"/>
    <w:uiPriority w:val="9"/>
    <w:rsid w:val="004F6629"/>
    <w:rPr>
      <w:rFonts w:ascii="Open Sans" w:eastAsiaTheme="majorEastAsia" w:hAnsi="Open Sans" w:cstheme="minorHAnsi"/>
      <w:b/>
      <w:bCs/>
      <w:i/>
      <w:color w:val="265A9A" w:themeColor="background2"/>
      <w:sz w:val="20"/>
      <w:szCs w:val="24"/>
    </w:rPr>
  </w:style>
  <w:style w:type="character" w:customStyle="1" w:styleId="Header-KeylineChar">
    <w:name w:val="Header - Keyline Char"/>
    <w:basedOn w:val="HeaderChar"/>
    <w:link w:val="Header-Keyline"/>
    <w:uiPriority w:val="99"/>
    <w:rsid w:val="004F6629"/>
    <w:rPr>
      <w:rFonts w:ascii="Open Sans" w:hAnsi="Open Sans"/>
      <w:sz w:val="16"/>
      <w:szCs w:val="20"/>
    </w:rPr>
  </w:style>
  <w:style w:type="character" w:customStyle="1" w:styleId="Heading7Char">
    <w:name w:val="Heading 7 Char"/>
    <w:basedOn w:val="DefaultParagraphFont"/>
    <w:link w:val="Heading7"/>
    <w:uiPriority w:val="9"/>
    <w:semiHidden/>
    <w:rsid w:val="004F6629"/>
    <w:rPr>
      <w:rFonts w:ascii="Open Sans" w:eastAsiaTheme="majorEastAsia" w:hAnsi="Open Sans" w:cstheme="minorHAnsi"/>
      <w:b/>
      <w:bCs/>
      <w:i/>
      <w:iCs/>
      <w:color w:val="265A9A" w:themeColor="background2"/>
      <w:sz w:val="20"/>
    </w:rPr>
  </w:style>
  <w:style w:type="character" w:customStyle="1" w:styleId="Heading8Char">
    <w:name w:val="Heading 8 Char"/>
    <w:basedOn w:val="DefaultParagraphFont"/>
    <w:link w:val="Heading8"/>
    <w:uiPriority w:val="9"/>
    <w:semiHidden/>
    <w:rsid w:val="004F6629"/>
    <w:rPr>
      <w:rFonts w:ascii="Open Sans" w:eastAsiaTheme="majorEastAsia" w:hAnsi="Open Sans" w:cstheme="majorBidi"/>
      <w:b/>
      <w:sz w:val="18"/>
      <w:szCs w:val="21"/>
    </w:rPr>
  </w:style>
  <w:style w:type="table" w:customStyle="1" w:styleId="ProductivityCommissionTable1">
    <w:name w:val="Productivity Commission Table 1"/>
    <w:basedOn w:val="TableNormal"/>
    <w:uiPriority w:val="99"/>
    <w:rsid w:val="004F6629"/>
    <w:pPr>
      <w:spacing w:after="0" w:line="240" w:lineRule="auto"/>
    </w:pPr>
    <w:tblPr>
      <w:tblStyleRowBandSize w:val="1"/>
      <w:tblBorders>
        <w:top w:val="single" w:sz="4" w:space="0" w:color="BFBFBF"/>
        <w:bottom w:val="single" w:sz="4" w:space="0" w:color="B3B3B3"/>
        <w:insideH w:val="single" w:sz="4" w:space="0" w:color="B3B3B3"/>
      </w:tblBorders>
      <w:tblCellMar>
        <w:top w:w="45" w:type="dxa"/>
        <w:left w:w="0" w:type="dxa"/>
        <w:bottom w:w="45" w:type="dxa"/>
      </w:tblCellMar>
    </w:tblPr>
    <w:tblStylePr w:type="firstRow">
      <w:rPr>
        <w:b/>
        <w:color w:val="265A9A" w:themeColor="background2"/>
      </w:rPr>
    </w:tblStylePr>
    <w:tblStylePr w:type="firstCol">
      <w:rPr>
        <w:b/>
        <w:color w:val="265A9A" w:themeColor="background2"/>
      </w:rPr>
    </w:tblStylePr>
    <w:tblStylePr w:type="band1Horz">
      <w:tblPr/>
      <w:tcPr>
        <w:shd w:val="clear" w:color="auto" w:fill="F1F1F2"/>
      </w:tcPr>
    </w:tblStylePr>
  </w:style>
  <w:style w:type="character" w:customStyle="1" w:styleId="Heading9Char">
    <w:name w:val="Heading 9 Char"/>
    <w:basedOn w:val="DefaultParagraphFont"/>
    <w:link w:val="Heading9"/>
    <w:uiPriority w:val="9"/>
    <w:semiHidden/>
    <w:rsid w:val="004F6629"/>
    <w:rPr>
      <w:rFonts w:asciiTheme="majorHAnsi" w:hAnsiTheme="majorHAnsi"/>
      <w:color w:val="8956A3" w:themeColor="accent2"/>
      <w:sz w:val="18"/>
      <w:szCs w:val="18"/>
    </w:rPr>
  </w:style>
  <w:style w:type="table" w:customStyle="1" w:styleId="ProductivityCommissionTable3">
    <w:name w:val="Productivity Commission Table 3"/>
    <w:basedOn w:val="TableNormal"/>
    <w:uiPriority w:val="99"/>
    <w:rsid w:val="004F6629"/>
    <w:pPr>
      <w:spacing w:after="0" w:line="240" w:lineRule="auto"/>
      <w:jc w:val="right"/>
    </w:pPr>
    <w:tblPr>
      <w:tblCellMar>
        <w:top w:w="45" w:type="dxa"/>
        <w:left w:w="0" w:type="dxa"/>
        <w:bottom w:w="45" w:type="dxa"/>
        <w:right w:w="28" w:type="dxa"/>
      </w:tblCellMar>
    </w:tblPr>
    <w:tblStylePr w:type="firstRow">
      <w:rPr>
        <w:b/>
        <w:color w:val="2B9AC2" w:themeColor="text2"/>
      </w:rPr>
      <w:tblPr/>
      <w:tcPr>
        <w:tcBorders>
          <w:top w:val="nil"/>
          <w:left w:val="nil"/>
          <w:bottom w:val="single" w:sz="4" w:space="0" w:color="71CBD5" w:themeColor="accent3"/>
          <w:right w:val="nil"/>
          <w:insideH w:val="nil"/>
          <w:insideV w:val="nil"/>
          <w:tl2br w:val="nil"/>
          <w:tr2bl w:val="nil"/>
        </w:tcBorders>
      </w:tcPr>
    </w:tblStylePr>
    <w:tblStylePr w:type="lastRow">
      <w:rPr>
        <w:b/>
      </w:rPr>
      <w:tblPr/>
      <w:tcPr>
        <w:tcBorders>
          <w:top w:val="single" w:sz="4" w:space="0" w:color="71CBD5" w:themeColor="accent3"/>
          <w:left w:val="nil"/>
          <w:bottom w:val="single" w:sz="4" w:space="0" w:color="71CBD5" w:themeColor="accent3"/>
          <w:right w:val="nil"/>
          <w:insideH w:val="nil"/>
          <w:insideV w:val="nil"/>
          <w:tl2br w:val="nil"/>
          <w:tr2bl w:val="nil"/>
        </w:tcBorders>
      </w:tcPr>
    </w:tblStylePr>
    <w:tblStylePr w:type="firstCol">
      <w:pPr>
        <w:jc w:val="left"/>
      </w:pPr>
    </w:tblStylePr>
  </w:style>
  <w:style w:type="paragraph" w:styleId="TOCHeading">
    <w:name w:val="TOC Heading"/>
    <w:next w:val="Normal"/>
    <w:uiPriority w:val="39"/>
    <w:unhideWhenUsed/>
    <w:rsid w:val="004F6629"/>
    <w:pPr>
      <w:spacing w:before="240" w:after="240" w:line="500" w:lineRule="atLeast"/>
      <w:outlineLvl w:val="0"/>
    </w:pPr>
    <w:rPr>
      <w:rFonts w:ascii="Open Sans Extrabold" w:hAnsi="Open Sans Extrabold"/>
      <w:color w:val="1C4373" w:themeColor="background2" w:themeShade="BF"/>
      <w:sz w:val="42"/>
      <w:szCs w:val="20"/>
    </w:rPr>
  </w:style>
  <w:style w:type="paragraph" w:styleId="FootnoteText">
    <w:name w:val="footnote text"/>
    <w:basedOn w:val="Normal"/>
    <w:link w:val="FootnoteTextChar"/>
    <w:uiPriority w:val="99"/>
    <w:rsid w:val="004F6629"/>
    <w:pPr>
      <w:spacing w:before="60" w:after="60" w:line="293" w:lineRule="auto"/>
      <w:contextualSpacing/>
    </w:pPr>
    <w:rPr>
      <w:sz w:val="18"/>
    </w:rPr>
  </w:style>
  <w:style w:type="paragraph" w:styleId="TOC1">
    <w:name w:val="toc 1"/>
    <w:basedOn w:val="Normal"/>
    <w:next w:val="BodyText"/>
    <w:autoRedefine/>
    <w:uiPriority w:val="39"/>
    <w:unhideWhenUsed/>
    <w:rsid w:val="004F6629"/>
    <w:pPr>
      <w:tabs>
        <w:tab w:val="left" w:pos="567"/>
        <w:tab w:val="right" w:pos="7938"/>
      </w:tabs>
      <w:spacing w:after="100" w:line="293" w:lineRule="auto"/>
      <w:ind w:left="567" w:right="1701" w:hanging="567"/>
    </w:pPr>
    <w:rPr>
      <w:rFonts w:ascii="Open Sans Extrabold" w:hAnsi="Open Sans Extrabold"/>
      <w:color w:val="1C4373" w:themeColor="background2" w:themeShade="BF"/>
    </w:rPr>
  </w:style>
  <w:style w:type="character" w:customStyle="1" w:styleId="FootnoteTextChar">
    <w:name w:val="Footnote Text Char"/>
    <w:basedOn w:val="DefaultParagraphFont"/>
    <w:link w:val="FootnoteText"/>
    <w:uiPriority w:val="99"/>
    <w:rsid w:val="004F6629"/>
    <w:rPr>
      <w:rFonts w:ascii="Open Sans" w:hAnsi="Open Sans"/>
      <w:sz w:val="18"/>
      <w:szCs w:val="20"/>
    </w:rPr>
  </w:style>
  <w:style w:type="character" w:styleId="FootnoteReference">
    <w:name w:val="footnote reference"/>
    <w:basedOn w:val="DefaultParagraphFont"/>
    <w:uiPriority w:val="99"/>
    <w:semiHidden/>
    <w:unhideWhenUsed/>
    <w:rsid w:val="004F6629"/>
    <w:rPr>
      <w:vertAlign w:val="superscript"/>
    </w:rPr>
  </w:style>
  <w:style w:type="character" w:styleId="Hyperlink">
    <w:name w:val="Hyperlink"/>
    <w:basedOn w:val="DefaultParagraphFont"/>
    <w:uiPriority w:val="99"/>
    <w:unhideWhenUsed/>
    <w:rsid w:val="004F6629"/>
    <w:rPr>
      <w:color w:val="000000" w:themeColor="hyperlink"/>
      <w:u w:val="single"/>
    </w:rPr>
  </w:style>
  <w:style w:type="character" w:styleId="HTMLVariable">
    <w:name w:val="HTML Variable"/>
    <w:basedOn w:val="DefaultParagraphFont"/>
    <w:uiPriority w:val="99"/>
    <w:unhideWhenUsed/>
    <w:rsid w:val="004F6629"/>
    <w:rPr>
      <w:i/>
      <w:iCs/>
    </w:rPr>
  </w:style>
  <w:style w:type="paragraph" w:styleId="TOC2">
    <w:name w:val="toc 2"/>
    <w:basedOn w:val="Normal"/>
    <w:next w:val="Normal"/>
    <w:autoRedefine/>
    <w:uiPriority w:val="39"/>
    <w:unhideWhenUsed/>
    <w:rsid w:val="004F6629"/>
    <w:pPr>
      <w:tabs>
        <w:tab w:val="left" w:pos="567"/>
        <w:tab w:val="left" w:pos="1134"/>
        <w:tab w:val="right" w:pos="7938"/>
      </w:tabs>
      <w:spacing w:after="100" w:line="293" w:lineRule="auto"/>
      <w:ind w:left="567" w:right="1701"/>
    </w:pPr>
    <w:rPr>
      <w:noProof/>
    </w:rPr>
  </w:style>
  <w:style w:type="paragraph" w:styleId="TOC3">
    <w:name w:val="toc 3"/>
    <w:basedOn w:val="Normal"/>
    <w:next w:val="Normal"/>
    <w:autoRedefine/>
    <w:uiPriority w:val="39"/>
    <w:unhideWhenUsed/>
    <w:rsid w:val="004F6629"/>
    <w:pPr>
      <w:tabs>
        <w:tab w:val="right" w:pos="7938"/>
      </w:tabs>
      <w:spacing w:after="100" w:line="293" w:lineRule="auto"/>
      <w:ind w:right="1701"/>
    </w:pPr>
    <w:rPr>
      <w:rFonts w:asciiTheme="majorHAnsi" w:hAnsiTheme="majorHAnsi"/>
      <w:color w:val="1C4373" w:themeColor="background2" w:themeShade="BF"/>
    </w:rPr>
  </w:style>
  <w:style w:type="paragraph" w:customStyle="1" w:styleId="Subtitle2">
    <w:name w:val="Subtitle 2"/>
    <w:basedOn w:val="Normal"/>
    <w:link w:val="Subtitle2Char"/>
    <w:uiPriority w:val="39"/>
    <w:rsid w:val="004F6629"/>
    <w:pPr>
      <w:spacing w:before="0" w:after="160" w:line="259" w:lineRule="auto"/>
    </w:pPr>
    <w:rPr>
      <w:color w:val="1C4373" w:themeColor="background2" w:themeShade="BF"/>
      <w:sz w:val="28"/>
      <w:szCs w:val="36"/>
    </w:rPr>
  </w:style>
  <w:style w:type="paragraph" w:customStyle="1" w:styleId="Copyrightpage-Heading2">
    <w:name w:val="Copyright page-Heading 2"/>
    <w:basedOn w:val="NoSpacing"/>
    <w:link w:val="Copyrightpage-Heading2Char"/>
    <w:uiPriority w:val="19"/>
    <w:rsid w:val="004F6629"/>
    <w:pPr>
      <w:spacing w:before="240" w:after="60"/>
    </w:pPr>
    <w:rPr>
      <w:b/>
      <w:color w:val="FFFFFF" w:themeColor="background1"/>
      <w:sz w:val="16"/>
      <w:szCs w:val="16"/>
    </w:rPr>
  </w:style>
  <w:style w:type="character" w:customStyle="1" w:styleId="Subtitle2Char">
    <w:name w:val="Subtitle 2 Char"/>
    <w:basedOn w:val="DefaultParagraphFont"/>
    <w:link w:val="Subtitle2"/>
    <w:uiPriority w:val="39"/>
    <w:rsid w:val="004F6629"/>
    <w:rPr>
      <w:rFonts w:ascii="Open Sans" w:hAnsi="Open Sans"/>
      <w:color w:val="1C4373" w:themeColor="background2" w:themeShade="BF"/>
      <w:sz w:val="28"/>
      <w:szCs w:val="36"/>
    </w:rPr>
  </w:style>
  <w:style w:type="paragraph" w:customStyle="1" w:styleId="Copyrightpage-BodyText">
    <w:name w:val="Copyright page-Body Text"/>
    <w:basedOn w:val="Normal"/>
    <w:link w:val="Copyrightpage-BodyTextChar"/>
    <w:uiPriority w:val="19"/>
    <w:rsid w:val="004F6629"/>
    <w:pPr>
      <w:spacing w:before="80" w:line="250" w:lineRule="atLeast"/>
    </w:pPr>
    <w:rPr>
      <w:color w:val="000000" w:themeColor="text1"/>
      <w:sz w:val="16"/>
    </w:rPr>
  </w:style>
  <w:style w:type="character" w:customStyle="1" w:styleId="NoSpacingChar">
    <w:name w:val="No Spacing Char"/>
    <w:basedOn w:val="DefaultParagraphFont"/>
    <w:link w:val="NoSpacing"/>
    <w:uiPriority w:val="10"/>
    <w:rsid w:val="004F6629"/>
    <w:rPr>
      <w:rFonts w:ascii="Open Sans" w:hAnsi="Open Sans"/>
      <w:sz w:val="20"/>
      <w:szCs w:val="20"/>
    </w:rPr>
  </w:style>
  <w:style w:type="character" w:customStyle="1" w:styleId="Copyrightpage-Heading2Char">
    <w:name w:val="Copyright page-Heading 2 Char"/>
    <w:basedOn w:val="NoSpacingChar"/>
    <w:link w:val="Copyrightpage-Heading2"/>
    <w:uiPriority w:val="19"/>
    <w:rsid w:val="004F6629"/>
    <w:rPr>
      <w:rFonts w:ascii="Open Sans" w:hAnsi="Open Sans"/>
      <w:b/>
      <w:color w:val="FFFFFF" w:themeColor="background1"/>
      <w:sz w:val="16"/>
      <w:szCs w:val="16"/>
    </w:rPr>
  </w:style>
  <w:style w:type="paragraph" w:customStyle="1" w:styleId="Copyrightpage-Heading">
    <w:name w:val="Copyright page-Heading"/>
    <w:basedOn w:val="Subtitle2"/>
    <w:link w:val="Copyrightpage-HeadingChar"/>
    <w:uiPriority w:val="19"/>
    <w:rsid w:val="004F6629"/>
    <w:pPr>
      <w:spacing w:line="240" w:lineRule="auto"/>
    </w:pPr>
    <w:rPr>
      <w:rFonts w:ascii="Open Sans Semibold" w:hAnsi="Open Sans Semibold"/>
      <w:spacing w:val="4"/>
      <w:sz w:val="19"/>
      <w:szCs w:val="18"/>
    </w:rPr>
  </w:style>
  <w:style w:type="character" w:customStyle="1" w:styleId="Copyrightpage-BodyTextChar">
    <w:name w:val="Copyright page-Body Text Char"/>
    <w:basedOn w:val="DefaultParagraphFont"/>
    <w:link w:val="Copyrightpage-BodyText"/>
    <w:uiPriority w:val="19"/>
    <w:rsid w:val="004F6629"/>
    <w:rPr>
      <w:rFonts w:ascii="Open Sans" w:hAnsi="Open Sans"/>
      <w:color w:val="000000" w:themeColor="text1"/>
      <w:sz w:val="16"/>
      <w:szCs w:val="20"/>
    </w:rPr>
  </w:style>
  <w:style w:type="paragraph" w:customStyle="1" w:styleId="Subtitle4">
    <w:name w:val="Subtitle 4"/>
    <w:basedOn w:val="Copyrightpage-Heading"/>
    <w:link w:val="Subtitle4Char"/>
    <w:uiPriority w:val="39"/>
    <w:rsid w:val="00F83C5C"/>
    <w:pPr>
      <w:spacing w:after="40"/>
    </w:pPr>
    <w:rPr>
      <w:b/>
      <w:sz w:val="16"/>
    </w:rPr>
  </w:style>
  <w:style w:type="character" w:customStyle="1" w:styleId="Copyrightpage-HeadingChar">
    <w:name w:val="Copyright page-Heading Char"/>
    <w:basedOn w:val="Subtitle2Char"/>
    <w:link w:val="Copyrightpage-Heading"/>
    <w:uiPriority w:val="19"/>
    <w:rsid w:val="004F6629"/>
    <w:rPr>
      <w:rFonts w:ascii="Open Sans Semibold" w:hAnsi="Open Sans Semibold"/>
      <w:color w:val="1C4373" w:themeColor="background2" w:themeShade="BF"/>
      <w:spacing w:val="4"/>
      <w:sz w:val="19"/>
      <w:szCs w:val="18"/>
    </w:rPr>
  </w:style>
  <w:style w:type="paragraph" w:customStyle="1" w:styleId="Heading1-noTOC">
    <w:name w:val="Heading 1-no TOC"/>
    <w:next w:val="BodyText"/>
    <w:uiPriority w:val="9"/>
    <w:qFormat/>
    <w:rsid w:val="004F6629"/>
    <w:pPr>
      <w:spacing w:before="600" w:after="480" w:line="504" w:lineRule="atLeast"/>
    </w:pPr>
    <w:rPr>
      <w:rFonts w:ascii="Open Sans Extrabold" w:eastAsiaTheme="majorEastAsia" w:hAnsi="Open Sans Extrabold" w:cstheme="majorBidi"/>
      <w:b/>
      <w:color w:val="1C4373" w:themeColor="background2" w:themeShade="BF"/>
      <w:sz w:val="42"/>
      <w:szCs w:val="68"/>
    </w:rPr>
  </w:style>
  <w:style w:type="character" w:customStyle="1" w:styleId="Subtitle4Char">
    <w:name w:val="Subtitle 4 Char"/>
    <w:basedOn w:val="Copyrightpage-HeadingChar"/>
    <w:link w:val="Subtitle4"/>
    <w:uiPriority w:val="39"/>
    <w:rsid w:val="00F83C5C"/>
    <w:rPr>
      <w:rFonts w:asciiTheme="majorHAnsi" w:hAnsiTheme="majorHAnsi"/>
      <w:b/>
      <w:color w:val="FFFFFF" w:themeColor="background1"/>
      <w:spacing w:val="4"/>
      <w:sz w:val="16"/>
      <w:szCs w:val="18"/>
    </w:rPr>
  </w:style>
  <w:style w:type="paragraph" w:customStyle="1" w:styleId="Heading2-noTOC">
    <w:name w:val="Heading 2-no TOC"/>
    <w:next w:val="BodyText"/>
    <w:uiPriority w:val="9"/>
    <w:unhideWhenUsed/>
    <w:qFormat/>
    <w:rsid w:val="004F6629"/>
    <w:pPr>
      <w:spacing w:before="240" w:after="120" w:line="360" w:lineRule="atLeast"/>
    </w:pPr>
    <w:rPr>
      <w:rFonts w:ascii="Open Sans Extrabold" w:eastAsiaTheme="majorEastAsia" w:hAnsi="Open Sans Extrabold" w:cstheme="majorBidi"/>
      <w:color w:val="1C4373" w:themeColor="background2" w:themeShade="BF"/>
      <w:sz w:val="30"/>
      <w:szCs w:val="60"/>
    </w:rPr>
  </w:style>
  <w:style w:type="paragraph" w:styleId="TOC4">
    <w:name w:val="toc 4"/>
    <w:basedOn w:val="Normal"/>
    <w:next w:val="Normal"/>
    <w:autoRedefine/>
    <w:uiPriority w:val="39"/>
    <w:unhideWhenUsed/>
    <w:rsid w:val="004F6629"/>
    <w:pPr>
      <w:tabs>
        <w:tab w:val="right" w:pos="7938"/>
        <w:tab w:val="right" w:pos="9628"/>
      </w:tabs>
      <w:spacing w:after="100" w:line="293" w:lineRule="auto"/>
      <w:ind w:left="567" w:right="1701"/>
    </w:pPr>
  </w:style>
  <w:style w:type="paragraph" w:customStyle="1" w:styleId="LetterRight">
    <w:name w:val="Letter Right"/>
    <w:basedOn w:val="Normal"/>
    <w:link w:val="LetterRightChar"/>
    <w:uiPriority w:val="99"/>
    <w:rsid w:val="004F6629"/>
    <w:pPr>
      <w:spacing w:line="360" w:lineRule="auto"/>
      <w:jc w:val="right"/>
    </w:pPr>
    <w:rPr>
      <w:sz w:val="16"/>
    </w:rPr>
  </w:style>
  <w:style w:type="paragraph" w:customStyle="1" w:styleId="Letterlogo">
    <w:name w:val="Letter logo"/>
    <w:basedOn w:val="LetterRight"/>
    <w:uiPriority w:val="99"/>
    <w:rsid w:val="004F6629"/>
    <w:pPr>
      <w:spacing w:after="320"/>
    </w:pPr>
  </w:style>
  <w:style w:type="character" w:customStyle="1" w:styleId="LetterRightChar">
    <w:name w:val="Letter Right Char"/>
    <w:basedOn w:val="DefaultParagraphFont"/>
    <w:link w:val="LetterRight"/>
    <w:uiPriority w:val="99"/>
    <w:rsid w:val="004F6629"/>
    <w:rPr>
      <w:rFonts w:ascii="Open Sans" w:hAnsi="Open Sans"/>
      <w:sz w:val="16"/>
      <w:szCs w:val="20"/>
    </w:rPr>
  </w:style>
  <w:style w:type="character" w:styleId="UnresolvedMention">
    <w:name w:val="Unresolved Mention"/>
    <w:basedOn w:val="DefaultParagraphFont"/>
    <w:uiPriority w:val="99"/>
    <w:semiHidden/>
    <w:unhideWhenUsed/>
    <w:rsid w:val="004F6629"/>
    <w:rPr>
      <w:color w:val="605E5C"/>
      <w:shd w:val="clear" w:color="auto" w:fill="E1DFDD"/>
    </w:rPr>
  </w:style>
  <w:style w:type="paragraph" w:customStyle="1" w:styleId="LetterRight-NoSpace">
    <w:name w:val="Letter Right-No Space"/>
    <w:basedOn w:val="LetterRight"/>
    <w:uiPriority w:val="99"/>
    <w:rsid w:val="004F6629"/>
    <w:pPr>
      <w:spacing w:after="0"/>
    </w:pPr>
  </w:style>
  <w:style w:type="table" w:customStyle="1" w:styleId="Blank">
    <w:name w:val="Blank"/>
    <w:basedOn w:val="TableNormal"/>
    <w:uiPriority w:val="99"/>
    <w:rsid w:val="004F6629"/>
    <w:pPr>
      <w:spacing w:after="0" w:line="240" w:lineRule="auto"/>
    </w:pPr>
    <w:tblPr>
      <w:tblCellMar>
        <w:top w:w="57" w:type="dxa"/>
        <w:left w:w="0" w:type="dxa"/>
        <w:bottom w:w="57" w:type="dxa"/>
        <w:right w:w="0" w:type="dxa"/>
      </w:tblCellMar>
    </w:tblPr>
  </w:style>
  <w:style w:type="paragraph" w:styleId="ListBullet5">
    <w:name w:val="List Bullet 5"/>
    <w:basedOn w:val="Normal"/>
    <w:uiPriority w:val="13"/>
    <w:semiHidden/>
    <w:rsid w:val="004F6629"/>
    <w:pPr>
      <w:numPr>
        <w:numId w:val="11"/>
      </w:numPr>
      <w:contextualSpacing/>
    </w:pPr>
  </w:style>
  <w:style w:type="paragraph" w:customStyle="1" w:styleId="Coverdate">
    <w:name w:val="Cover date"/>
    <w:basedOn w:val="Normal"/>
    <w:uiPriority w:val="29"/>
    <w:rsid w:val="004F6629"/>
    <w:pPr>
      <w:framePr w:wrap="around" w:vAnchor="page" w:hAnchor="margin" w:xAlign="right" w:y="1135" w:anchorLock="1"/>
      <w:spacing w:before="0" w:after="0"/>
      <w:jc w:val="right"/>
    </w:pPr>
    <w:rPr>
      <w:rFonts w:ascii="Open Sans Semibold" w:hAnsi="Open Sans Semibold"/>
      <w:sz w:val="18"/>
    </w:rPr>
  </w:style>
  <w:style w:type="table" w:customStyle="1" w:styleId="ProductivityCommissionTable2">
    <w:name w:val="Productivity Commission Table 2"/>
    <w:basedOn w:val="ProductivityCommissionTable1"/>
    <w:uiPriority w:val="99"/>
    <w:rsid w:val="004F6629"/>
    <w:tblPr>
      <w:tblBorders>
        <w:top w:val="single" w:sz="4" w:space="0" w:color="B3B3B3"/>
        <w:bottom w:val="none" w:sz="0" w:space="0" w:color="auto"/>
        <w:insideH w:val="none" w:sz="0" w:space="0" w:color="auto"/>
      </w:tblBorders>
      <w:tblCellMar>
        <w:top w:w="57" w:type="dxa"/>
        <w:left w:w="57" w:type="dxa"/>
        <w:bottom w:w="57" w:type="dxa"/>
        <w:right w:w="85" w:type="dxa"/>
      </w:tblCellMar>
    </w:tblPr>
    <w:tblStylePr w:type="firstRow">
      <w:rPr>
        <w:b/>
        <w:color w:val="265A9A" w:themeColor="background2"/>
      </w:rPr>
    </w:tblStylePr>
    <w:tblStylePr w:type="firstCol">
      <w:rPr>
        <w:b/>
        <w:color w:val="265A9A" w:themeColor="background2"/>
      </w:rPr>
    </w:tblStylePr>
    <w:tblStylePr w:type="band1Horz">
      <w:tblPr/>
      <w:tcPr>
        <w:shd w:val="clear" w:color="auto" w:fill="F1F1F2"/>
      </w:tcPr>
    </w:tblStylePr>
  </w:style>
  <w:style w:type="character" w:customStyle="1" w:styleId="White">
    <w:name w:val="White"/>
    <w:basedOn w:val="DefaultParagraphFont"/>
    <w:uiPriority w:val="10"/>
    <w:rsid w:val="004F6629"/>
    <w:rPr>
      <w:color w:val="FFFFFF" w:themeColor="background1"/>
    </w:rPr>
  </w:style>
  <w:style w:type="paragraph" w:customStyle="1" w:styleId="Copyrightpage-Keylinenotext">
    <w:name w:val="Copyright page-Keyline (no text)"/>
    <w:basedOn w:val="Copyrightpage-Heading2"/>
    <w:uiPriority w:val="19"/>
    <w:rsid w:val="004F6629"/>
    <w:pPr>
      <w:pBdr>
        <w:top w:val="single" w:sz="4" w:space="8" w:color="2B9AC2" w:themeColor="text2"/>
      </w:pBdr>
      <w:spacing w:after="0" w:line="168" w:lineRule="auto"/>
    </w:pPr>
    <w:rPr>
      <w:b w:val="0"/>
      <w:color w:val="265A9A" w:themeColor="background2"/>
    </w:rPr>
  </w:style>
  <w:style w:type="table" w:customStyle="1" w:styleId="ProductivityCommissionTable4">
    <w:name w:val="Productivity Commission Table 4"/>
    <w:basedOn w:val="ProductivityCommissionTable3"/>
    <w:uiPriority w:val="99"/>
    <w:rsid w:val="004F6629"/>
    <w:pPr>
      <w:jc w:val="left"/>
    </w:pPr>
    <w:tblPr/>
    <w:tblStylePr w:type="firstRow">
      <w:rPr>
        <w:b/>
        <w:color w:val="265A9A" w:themeColor="background2"/>
      </w:rPr>
      <w:tblPr/>
      <w:tcPr>
        <w:tcBorders>
          <w:top w:val="nil"/>
          <w:left w:val="nil"/>
          <w:bottom w:val="single" w:sz="4" w:space="0" w:color="B3B3B3"/>
          <w:right w:val="nil"/>
          <w:insideH w:val="nil"/>
          <w:insideV w:val="nil"/>
          <w:tl2br w:val="nil"/>
          <w:tr2bl w:val="nil"/>
        </w:tcBorders>
      </w:tcPr>
    </w:tblStylePr>
    <w:tblStylePr w:type="lastRow">
      <w:rPr>
        <w:b/>
      </w:rPr>
      <w:tblPr/>
      <w:tcPr>
        <w:tcBorders>
          <w:top w:val="single" w:sz="4" w:space="0" w:color="B3B3B3"/>
          <w:left w:val="nil"/>
          <w:bottom w:val="single" w:sz="4" w:space="0" w:color="B3B3B3"/>
          <w:right w:val="nil"/>
          <w:insideH w:val="nil"/>
          <w:insideV w:val="nil"/>
          <w:tl2br w:val="nil"/>
          <w:tr2bl w:val="nil"/>
        </w:tcBorders>
      </w:tcPr>
    </w:tblStylePr>
    <w:tblStylePr w:type="firstCol">
      <w:pPr>
        <w:jc w:val="left"/>
      </w:pPr>
    </w:tblStylePr>
    <w:tblStylePr w:type="lastCol">
      <w:pPr>
        <w:jc w:val="right"/>
      </w:pPr>
    </w:tblStylePr>
  </w:style>
  <w:style w:type="paragraph" w:customStyle="1" w:styleId="TableHeading-Subheading">
    <w:name w:val="Table Heading - Subheading"/>
    <w:basedOn w:val="NoSpacing"/>
    <w:uiPriority w:val="40"/>
    <w:rsid w:val="004F6629"/>
    <w:pPr>
      <w:spacing w:before="46" w:after="46"/>
      <w:ind w:left="57" w:right="108"/>
    </w:pPr>
    <w:rPr>
      <w:b/>
      <w:sz w:val="18"/>
    </w:rPr>
  </w:style>
  <w:style w:type="paragraph" w:customStyle="1" w:styleId="CoverImage">
    <w:name w:val="Cover Image"/>
    <w:basedOn w:val="Normal"/>
    <w:uiPriority w:val="29"/>
    <w:rsid w:val="004F6629"/>
    <w:pPr>
      <w:framePr w:w="11913" w:h="4536" w:hRule="exact" w:wrap="around" w:vAnchor="page" w:hAnchor="page" w:y="2269" w:anchorLock="1"/>
      <w:spacing w:before="0" w:after="0" w:line="240" w:lineRule="auto"/>
    </w:pPr>
  </w:style>
  <w:style w:type="table" w:customStyle="1" w:styleId="NoBorderwithPadding">
    <w:name w:val="No Border with Padding"/>
    <w:basedOn w:val="TableNormal"/>
    <w:uiPriority w:val="99"/>
    <w:rsid w:val="004F6629"/>
    <w:pPr>
      <w:spacing w:after="0" w:line="240" w:lineRule="auto"/>
    </w:pPr>
    <w:tblPr>
      <w:tblCellMar>
        <w:top w:w="284" w:type="dxa"/>
        <w:left w:w="284" w:type="dxa"/>
        <w:bottom w:w="284" w:type="dxa"/>
        <w:right w:w="284" w:type="dxa"/>
      </w:tblCellMar>
    </w:tblPr>
  </w:style>
  <w:style w:type="table" w:customStyle="1" w:styleId="OverviewPageBannerTableStyle">
    <w:name w:val="Overview/Page Banner Table Style"/>
    <w:basedOn w:val="TableNormal"/>
    <w:uiPriority w:val="99"/>
    <w:rsid w:val="004F6629"/>
    <w:pPr>
      <w:spacing w:after="0" w:line="240" w:lineRule="auto"/>
    </w:pPr>
    <w:tblPr>
      <w:tblCellMar>
        <w:top w:w="567" w:type="dxa"/>
        <w:left w:w="567" w:type="dxa"/>
        <w:bottom w:w="680" w:type="dxa"/>
        <w:right w:w="1134" w:type="dxa"/>
      </w:tblCellMar>
    </w:tblPr>
    <w:tcPr>
      <w:shd w:val="clear" w:color="auto" w:fill="265A9A" w:themeFill="background2"/>
      <w:vAlign w:val="bottom"/>
    </w:tcPr>
  </w:style>
  <w:style w:type="paragraph" w:styleId="Quote">
    <w:name w:val="Quote"/>
    <w:basedOn w:val="BodyText"/>
    <w:next w:val="BodyText"/>
    <w:link w:val="QuoteChar"/>
    <w:uiPriority w:val="1"/>
    <w:qFormat/>
    <w:rsid w:val="004F6629"/>
    <w:pPr>
      <w:spacing w:before="60"/>
      <w:ind w:left="113" w:right="851"/>
    </w:pPr>
    <w:rPr>
      <w:color w:val="58585B"/>
    </w:rPr>
  </w:style>
  <w:style w:type="numbering" w:customStyle="1" w:styleId="TOCList">
    <w:name w:val="TOC List"/>
    <w:uiPriority w:val="99"/>
    <w:rsid w:val="004F6629"/>
    <w:pPr>
      <w:numPr>
        <w:numId w:val="17"/>
      </w:numPr>
    </w:pPr>
  </w:style>
  <w:style w:type="paragraph" w:customStyle="1" w:styleId="Heading1-Section-fullpage">
    <w:name w:val="Heading 1-Section-full page"/>
    <w:basedOn w:val="Heading1-nobackground"/>
    <w:uiPriority w:val="9"/>
    <w:qFormat/>
    <w:rsid w:val="004F6629"/>
    <w:pPr>
      <w:framePr w:w="9639" w:h="13041" w:hRule="exact" w:wrap="around" w:vAnchor="text" w:hAnchor="text" w:y="1" w:anchorLock="1"/>
      <w:pBdr>
        <w:top w:val="single" w:sz="4" w:space="31" w:color="E7F6FD"/>
        <w:left w:val="single" w:sz="4" w:space="26" w:color="E7F6FD"/>
        <w:bottom w:val="single" w:sz="4" w:space="26" w:color="E7F6FD"/>
        <w:right w:val="single" w:sz="4" w:space="26" w:color="E7F6FD"/>
      </w:pBdr>
      <w:shd w:val="clear" w:color="auto" w:fill="E7F6FD"/>
      <w:spacing w:before="0"/>
      <w:ind w:left="567" w:right="567"/>
    </w:pPr>
  </w:style>
  <w:style w:type="table" w:customStyle="1" w:styleId="Texttable-Paleblue">
    <w:name w:val="Text table-Pale blue"/>
    <w:basedOn w:val="TableNormal"/>
    <w:uiPriority w:val="99"/>
    <w:rsid w:val="004F6629"/>
    <w:pPr>
      <w:spacing w:after="0" w:line="240" w:lineRule="auto"/>
    </w:pPr>
    <w:tblPr>
      <w:tblCellMar>
        <w:top w:w="113" w:type="dxa"/>
        <w:left w:w="113" w:type="dxa"/>
        <w:bottom w:w="113" w:type="dxa"/>
        <w:right w:w="113" w:type="dxa"/>
      </w:tblCellMar>
    </w:tblPr>
    <w:tcPr>
      <w:shd w:val="clear" w:color="auto" w:fill="EFF9FE"/>
    </w:tcPr>
  </w:style>
  <w:style w:type="paragraph" w:customStyle="1" w:styleId="FigureTableHeading">
    <w:name w:val="Figure/Table Heading"/>
    <w:basedOn w:val="Caption"/>
    <w:uiPriority w:val="4"/>
    <w:qFormat/>
    <w:rsid w:val="004F6629"/>
    <w:pPr>
      <w:keepNext/>
      <w:spacing w:before="240"/>
    </w:pPr>
  </w:style>
  <w:style w:type="paragraph" w:customStyle="1" w:styleId="Source">
    <w:name w:val="Source"/>
    <w:basedOn w:val="Normal"/>
    <w:uiPriority w:val="3"/>
    <w:qFormat/>
    <w:rsid w:val="004F6629"/>
    <w:pPr>
      <w:spacing w:before="80" w:after="240" w:line="216" w:lineRule="atLeast"/>
    </w:pPr>
    <w:rPr>
      <w:sz w:val="18"/>
    </w:rPr>
  </w:style>
  <w:style w:type="paragraph" w:customStyle="1" w:styleId="Note">
    <w:name w:val="Note"/>
    <w:basedOn w:val="Source"/>
    <w:uiPriority w:val="3"/>
    <w:qFormat/>
    <w:rsid w:val="004F6629"/>
    <w:pPr>
      <w:spacing w:after="20"/>
    </w:pPr>
  </w:style>
  <w:style w:type="numbering" w:customStyle="1" w:styleId="Figure">
    <w:name w:val="Figure"/>
    <w:uiPriority w:val="99"/>
    <w:rsid w:val="004F6629"/>
    <w:pPr>
      <w:numPr>
        <w:numId w:val="6"/>
      </w:numPr>
    </w:pPr>
  </w:style>
  <w:style w:type="table" w:customStyle="1" w:styleId="Boxtable">
    <w:name w:val="Box table"/>
    <w:basedOn w:val="Texttable-Paleblue"/>
    <w:uiPriority w:val="99"/>
    <w:rsid w:val="004F6629"/>
    <w:tblPr>
      <w:tblCellMar>
        <w:top w:w="170" w:type="dxa"/>
        <w:left w:w="170" w:type="dxa"/>
        <w:bottom w:w="170" w:type="dxa"/>
        <w:right w:w="170" w:type="dxa"/>
      </w:tblCellMar>
    </w:tblPr>
    <w:tcPr>
      <w:shd w:val="clear" w:color="auto" w:fill="F4F5F6"/>
    </w:tcPr>
  </w:style>
  <w:style w:type="numbering" w:customStyle="1" w:styleId="BoxList">
    <w:name w:val="Box List"/>
    <w:uiPriority w:val="99"/>
    <w:rsid w:val="004F6629"/>
    <w:pPr>
      <w:numPr>
        <w:numId w:val="4"/>
      </w:numPr>
    </w:pPr>
  </w:style>
  <w:style w:type="paragraph" w:customStyle="1" w:styleId="BoxHeading2">
    <w:name w:val="Box Heading 2"/>
    <w:basedOn w:val="Normal"/>
    <w:next w:val="BodyText"/>
    <w:uiPriority w:val="4"/>
    <w:qFormat/>
    <w:rsid w:val="004F6629"/>
    <w:rPr>
      <w:b/>
    </w:rPr>
  </w:style>
  <w:style w:type="table" w:customStyle="1" w:styleId="ProductivityCommissionTable2-Dark">
    <w:name w:val="Productivity Commission Table 2 - Dark"/>
    <w:basedOn w:val="ProductivityCommissionTable2"/>
    <w:uiPriority w:val="99"/>
    <w:rsid w:val="004F6629"/>
    <w:tblPr>
      <w:tblBorders>
        <w:top w:val="none" w:sz="0" w:space="0" w:color="auto"/>
        <w:bottom w:val="single" w:sz="4" w:space="0" w:color="B3B3B3"/>
        <w:insideH w:val="single" w:sz="4" w:space="0" w:color="B3B3B3"/>
      </w:tblBorders>
    </w:tblPr>
    <w:tblStylePr w:type="firstRow">
      <w:rPr>
        <w:b/>
        <w:color w:val="265A9A" w:themeColor="background2"/>
      </w:rPr>
    </w:tblStylePr>
    <w:tblStylePr w:type="firstCol">
      <w:rPr>
        <w:b/>
        <w:color w:val="265A9A" w:themeColor="background2"/>
      </w:rPr>
    </w:tblStylePr>
    <w:tblStylePr w:type="band1Horz">
      <w:tblPr/>
      <w:tcPr>
        <w:shd w:val="clear" w:color="auto" w:fill="DCDDDE"/>
      </w:tcPr>
    </w:tblStylePr>
  </w:style>
  <w:style w:type="paragraph" w:customStyle="1" w:styleId="BoxHeading3">
    <w:name w:val="Box Heading 3"/>
    <w:basedOn w:val="BoxHeading2"/>
    <w:uiPriority w:val="4"/>
    <w:qFormat/>
    <w:rsid w:val="004F6629"/>
    <w:rPr>
      <w:i/>
    </w:rPr>
  </w:style>
  <w:style w:type="paragraph" w:customStyle="1" w:styleId="TableHeading">
    <w:name w:val="Table Heading"/>
    <w:basedOn w:val="NoSpacing"/>
    <w:link w:val="TableHeadingChar"/>
    <w:uiPriority w:val="4"/>
    <w:qFormat/>
    <w:rsid w:val="004F6629"/>
    <w:pPr>
      <w:spacing w:before="46" w:after="46"/>
      <w:ind w:left="57" w:right="108"/>
    </w:pPr>
    <w:rPr>
      <w:b/>
      <w:color w:val="132D4D" w:themeColor="background2" w:themeShade="80"/>
      <w:sz w:val="18"/>
    </w:rPr>
  </w:style>
  <w:style w:type="paragraph" w:customStyle="1" w:styleId="BodyText-Blue">
    <w:name w:val="Body Text-Blue"/>
    <w:basedOn w:val="BodyText"/>
    <w:link w:val="BodyText-BlueChar"/>
    <w:semiHidden/>
    <w:qFormat/>
    <w:rsid w:val="004F6629"/>
    <w:rPr>
      <w:color w:val="265A9A" w:themeColor="background2"/>
    </w:rPr>
  </w:style>
  <w:style w:type="table" w:customStyle="1" w:styleId="Texttable-Keyline">
    <w:name w:val="Text table-Keyline"/>
    <w:basedOn w:val="Texttable-Paleblue"/>
    <w:uiPriority w:val="99"/>
    <w:rsid w:val="004F6629"/>
    <w:tblPr>
      <w:tblBorders>
        <w:top w:val="single" w:sz="4" w:space="0" w:color="2B9AC2" w:themeColor="text2"/>
        <w:left w:val="single" w:sz="4" w:space="0" w:color="2B9AC2" w:themeColor="text2"/>
        <w:bottom w:val="single" w:sz="4" w:space="0" w:color="2B9AC2" w:themeColor="text2"/>
        <w:right w:val="single" w:sz="4" w:space="0" w:color="2B9AC2" w:themeColor="text2"/>
      </w:tblBorders>
    </w:tblPr>
    <w:tcPr>
      <w:shd w:val="clear" w:color="auto" w:fill="auto"/>
    </w:tcPr>
  </w:style>
  <w:style w:type="paragraph" w:customStyle="1" w:styleId="Header-KeylineRight">
    <w:name w:val="Header - Keyline Right"/>
    <w:basedOn w:val="Header-Keyline"/>
    <w:uiPriority w:val="99"/>
    <w:rsid w:val="004F6629"/>
    <w:pPr>
      <w:jc w:val="right"/>
    </w:pPr>
  </w:style>
  <w:style w:type="table" w:customStyle="1" w:styleId="CopyrightPage">
    <w:name w:val="Copyright Page"/>
    <w:basedOn w:val="OverviewPageBannerTableStyle"/>
    <w:uiPriority w:val="99"/>
    <w:rsid w:val="004F6629"/>
    <w:rPr>
      <w:color w:val="FFFFFF" w:themeColor="background1"/>
    </w:rPr>
    <w:tblPr>
      <w:tblCellMar>
        <w:top w:w="284" w:type="dxa"/>
        <w:left w:w="284" w:type="dxa"/>
        <w:bottom w:w="284" w:type="dxa"/>
        <w:right w:w="3119" w:type="dxa"/>
      </w:tblCellMar>
    </w:tblPr>
  </w:style>
  <w:style w:type="paragraph" w:customStyle="1" w:styleId="Heading3-noTOC">
    <w:name w:val="Heading 3-no TOC"/>
    <w:basedOn w:val="Heading3"/>
    <w:uiPriority w:val="9"/>
    <w:qFormat/>
    <w:rsid w:val="004F6629"/>
    <w:pPr>
      <w:spacing w:line="312" w:lineRule="atLeast"/>
    </w:pPr>
  </w:style>
  <w:style w:type="paragraph" w:styleId="BodyText">
    <w:name w:val="Body Text"/>
    <w:basedOn w:val="Normal"/>
    <w:link w:val="BodyTextChar"/>
    <w:qFormat/>
    <w:rsid w:val="004F6629"/>
  </w:style>
  <w:style w:type="character" w:customStyle="1" w:styleId="BodyTextChar">
    <w:name w:val="Body Text Char"/>
    <w:basedOn w:val="DefaultParagraphFont"/>
    <w:link w:val="BodyText"/>
    <w:rsid w:val="004F6629"/>
    <w:rPr>
      <w:rFonts w:ascii="Open Sans" w:hAnsi="Open Sans"/>
      <w:sz w:val="20"/>
      <w:szCs w:val="20"/>
    </w:rPr>
  </w:style>
  <w:style w:type="paragraph" w:styleId="List4">
    <w:name w:val="List 4"/>
    <w:basedOn w:val="Normal"/>
    <w:uiPriority w:val="99"/>
    <w:semiHidden/>
    <w:rsid w:val="004F6629"/>
    <w:pPr>
      <w:numPr>
        <w:ilvl w:val="3"/>
        <w:numId w:val="9"/>
      </w:numPr>
      <w:contextualSpacing/>
    </w:pPr>
  </w:style>
  <w:style w:type="paragraph" w:styleId="List3">
    <w:name w:val="List 3"/>
    <w:basedOn w:val="Normal"/>
    <w:uiPriority w:val="99"/>
    <w:semiHidden/>
    <w:rsid w:val="004F6629"/>
    <w:pPr>
      <w:numPr>
        <w:ilvl w:val="2"/>
        <w:numId w:val="9"/>
      </w:numPr>
      <w:contextualSpacing/>
    </w:pPr>
  </w:style>
  <w:style w:type="paragraph" w:customStyle="1" w:styleId="Heading1-nonumber">
    <w:name w:val="Heading 1-no number"/>
    <w:basedOn w:val="Heading1"/>
    <w:next w:val="BodyText"/>
    <w:uiPriority w:val="9"/>
    <w:qFormat/>
    <w:rsid w:val="004F6629"/>
    <w:pPr>
      <w:numPr>
        <w:numId w:val="0"/>
      </w:numPr>
      <w:ind w:left="567"/>
    </w:pPr>
  </w:style>
  <w:style w:type="paragraph" w:customStyle="1" w:styleId="ListAlpha1">
    <w:name w:val="List Alpha 1"/>
    <w:basedOn w:val="Normal"/>
    <w:uiPriority w:val="3"/>
    <w:qFormat/>
    <w:rsid w:val="004F6629"/>
    <w:pPr>
      <w:numPr>
        <w:numId w:val="10"/>
      </w:numPr>
      <w:spacing w:before="60"/>
      <w:contextualSpacing/>
    </w:pPr>
  </w:style>
  <w:style w:type="paragraph" w:customStyle="1" w:styleId="ListAlpha2">
    <w:name w:val="List Alpha 2"/>
    <w:basedOn w:val="ListAlpha1"/>
    <w:uiPriority w:val="3"/>
    <w:qFormat/>
    <w:rsid w:val="004F6629"/>
    <w:pPr>
      <w:numPr>
        <w:ilvl w:val="1"/>
      </w:numPr>
    </w:pPr>
  </w:style>
  <w:style w:type="paragraph" w:customStyle="1" w:styleId="ListAlpha3">
    <w:name w:val="List Alpha 3"/>
    <w:basedOn w:val="ListAlpha2"/>
    <w:uiPriority w:val="3"/>
    <w:qFormat/>
    <w:rsid w:val="004F6629"/>
    <w:pPr>
      <w:numPr>
        <w:ilvl w:val="2"/>
      </w:numPr>
    </w:pPr>
  </w:style>
  <w:style w:type="paragraph" w:customStyle="1" w:styleId="ListAlpha4">
    <w:name w:val="List Alpha 4"/>
    <w:basedOn w:val="ListAlpha3"/>
    <w:uiPriority w:val="3"/>
    <w:semiHidden/>
    <w:qFormat/>
    <w:rsid w:val="004F6629"/>
    <w:pPr>
      <w:numPr>
        <w:ilvl w:val="3"/>
      </w:numPr>
    </w:pPr>
  </w:style>
  <w:style w:type="numbering" w:customStyle="1" w:styleId="Alphalist">
    <w:name w:val="Alpha list"/>
    <w:uiPriority w:val="99"/>
    <w:rsid w:val="004F6629"/>
    <w:pPr>
      <w:numPr>
        <w:numId w:val="1"/>
      </w:numPr>
    </w:pPr>
  </w:style>
  <w:style w:type="paragraph" w:customStyle="1" w:styleId="KeyPoints-Bold">
    <w:name w:val="Key Points-Bold"/>
    <w:basedOn w:val="Normal"/>
    <w:uiPriority w:val="10"/>
    <w:qFormat/>
    <w:rsid w:val="004F6629"/>
    <w:pPr>
      <w:spacing w:before="40" w:after="60" w:line="274" w:lineRule="atLeast"/>
    </w:pPr>
    <w:rPr>
      <w:b/>
      <w:sz w:val="18"/>
    </w:rPr>
  </w:style>
  <w:style w:type="paragraph" w:customStyle="1" w:styleId="Copyrightpage-BodyBold">
    <w:name w:val="Copyright page-Body Bold"/>
    <w:basedOn w:val="Copyrightpage-BodyText"/>
    <w:uiPriority w:val="19"/>
    <w:rsid w:val="004F6629"/>
    <w:rPr>
      <w:b/>
    </w:rPr>
  </w:style>
  <w:style w:type="paragraph" w:customStyle="1" w:styleId="KeyPoints-Bullet">
    <w:name w:val="Key Points-Bullet"/>
    <w:basedOn w:val="ListBullet"/>
    <w:uiPriority w:val="10"/>
    <w:qFormat/>
    <w:rsid w:val="004F6629"/>
    <w:pPr>
      <w:spacing w:after="60" w:line="274" w:lineRule="atLeast"/>
    </w:pPr>
    <w:rPr>
      <w:sz w:val="18"/>
    </w:rPr>
  </w:style>
  <w:style w:type="paragraph" w:customStyle="1" w:styleId="BodyText-Grey">
    <w:name w:val="Body Text-Grey"/>
    <w:basedOn w:val="BodyText"/>
    <w:link w:val="BodyText-GreyChar"/>
    <w:semiHidden/>
    <w:qFormat/>
    <w:rsid w:val="004F6629"/>
    <w:rPr>
      <w:color w:val="58585B"/>
    </w:rPr>
  </w:style>
  <w:style w:type="character" w:customStyle="1" w:styleId="BodyText-GreyChar">
    <w:name w:val="Body Text-Grey Char"/>
    <w:basedOn w:val="BodyTextChar"/>
    <w:link w:val="BodyText-Grey"/>
    <w:semiHidden/>
    <w:rsid w:val="004F6629"/>
    <w:rPr>
      <w:rFonts w:ascii="Open Sans" w:hAnsi="Open Sans"/>
      <w:color w:val="58585B"/>
      <w:sz w:val="20"/>
      <w:szCs w:val="20"/>
    </w:rPr>
  </w:style>
  <w:style w:type="paragraph" w:styleId="BalloonText">
    <w:name w:val="Balloon Text"/>
    <w:basedOn w:val="Normal"/>
    <w:link w:val="BalloonTextChar"/>
    <w:uiPriority w:val="99"/>
    <w:semiHidden/>
    <w:unhideWhenUsed/>
    <w:rsid w:val="004F66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6629"/>
    <w:rPr>
      <w:rFonts w:ascii="Segoe UI" w:hAnsi="Segoe UI" w:cs="Segoe UI"/>
      <w:sz w:val="18"/>
      <w:szCs w:val="18"/>
    </w:rPr>
  </w:style>
  <w:style w:type="character" w:styleId="CommentReference">
    <w:name w:val="annotation reference"/>
    <w:basedOn w:val="DefaultParagraphFont"/>
    <w:uiPriority w:val="99"/>
    <w:semiHidden/>
    <w:unhideWhenUsed/>
    <w:rsid w:val="004F6629"/>
    <w:rPr>
      <w:sz w:val="16"/>
      <w:szCs w:val="16"/>
    </w:rPr>
  </w:style>
  <w:style w:type="paragraph" w:styleId="CommentText">
    <w:name w:val="annotation text"/>
    <w:basedOn w:val="Normal"/>
    <w:link w:val="CommentTextChar"/>
    <w:uiPriority w:val="99"/>
    <w:unhideWhenUsed/>
    <w:rsid w:val="004F6629"/>
    <w:pPr>
      <w:spacing w:line="240" w:lineRule="auto"/>
    </w:pPr>
  </w:style>
  <w:style w:type="character" w:customStyle="1" w:styleId="CommentTextChar">
    <w:name w:val="Comment Text Char"/>
    <w:basedOn w:val="DefaultParagraphFont"/>
    <w:link w:val="CommentText"/>
    <w:uiPriority w:val="99"/>
    <w:rsid w:val="004F6629"/>
    <w:rPr>
      <w:rFonts w:ascii="Open Sans" w:hAnsi="Open Sans"/>
      <w:sz w:val="20"/>
      <w:szCs w:val="20"/>
    </w:rPr>
  </w:style>
  <w:style w:type="paragraph" w:styleId="CommentSubject">
    <w:name w:val="annotation subject"/>
    <w:basedOn w:val="CommentText"/>
    <w:next w:val="CommentText"/>
    <w:link w:val="CommentSubjectChar"/>
    <w:uiPriority w:val="99"/>
    <w:semiHidden/>
    <w:unhideWhenUsed/>
    <w:rsid w:val="004F6629"/>
    <w:rPr>
      <w:b/>
      <w:bCs/>
    </w:rPr>
  </w:style>
  <w:style w:type="character" w:customStyle="1" w:styleId="CommentSubjectChar">
    <w:name w:val="Comment Subject Char"/>
    <w:basedOn w:val="CommentTextChar"/>
    <w:link w:val="CommentSubject"/>
    <w:uiPriority w:val="99"/>
    <w:semiHidden/>
    <w:rsid w:val="004F6629"/>
    <w:rPr>
      <w:rFonts w:ascii="Open Sans" w:hAnsi="Open Sans"/>
      <w:b/>
      <w:bCs/>
      <w:sz w:val="20"/>
      <w:szCs w:val="20"/>
    </w:rPr>
  </w:style>
  <w:style w:type="character" w:customStyle="1" w:styleId="ColourBlue">
    <w:name w:val="Colour Blue"/>
    <w:basedOn w:val="DefaultParagraphFont"/>
    <w:uiPriority w:val="22"/>
    <w:qFormat/>
    <w:rsid w:val="004F6629"/>
    <w:rPr>
      <w:color w:val="2B9AC2" w:themeColor="text2"/>
    </w:rPr>
  </w:style>
  <w:style w:type="character" w:customStyle="1" w:styleId="ColourDarkBlue">
    <w:name w:val="Colour Dark Blue"/>
    <w:basedOn w:val="ColourBlue"/>
    <w:uiPriority w:val="22"/>
    <w:qFormat/>
    <w:rsid w:val="004F6629"/>
    <w:rPr>
      <w:color w:val="265A9A" w:themeColor="background2"/>
    </w:rPr>
  </w:style>
  <w:style w:type="paragraph" w:customStyle="1" w:styleId="BodyText-Beforebullet">
    <w:name w:val="Body Text-Before bullet"/>
    <w:basedOn w:val="BodyText"/>
    <w:link w:val="BodyText-BeforebulletChar"/>
    <w:semiHidden/>
    <w:unhideWhenUsed/>
    <w:rsid w:val="004F6629"/>
    <w:pPr>
      <w:spacing w:after="20"/>
    </w:pPr>
  </w:style>
  <w:style w:type="paragraph" w:customStyle="1" w:styleId="PullQuote">
    <w:name w:val="Pull Quote"/>
    <w:basedOn w:val="BodyText"/>
    <w:next w:val="BodyText"/>
    <w:uiPriority w:val="10"/>
    <w:qFormat/>
    <w:rsid w:val="004F6629"/>
    <w:pPr>
      <w:spacing w:before="60"/>
      <w:ind w:left="113" w:right="1134"/>
    </w:pPr>
    <w:rPr>
      <w:rFonts w:ascii="Open Sans Extrabold" w:hAnsi="Open Sans Extrabold"/>
      <w:color w:val="207291" w:themeColor="text2" w:themeShade="BF"/>
      <w:sz w:val="24"/>
    </w:rPr>
  </w:style>
  <w:style w:type="character" w:customStyle="1" w:styleId="BodyText-BeforebulletChar">
    <w:name w:val="Body Text-Before bullet Char"/>
    <w:basedOn w:val="BodyTextChar"/>
    <w:link w:val="BodyText-Beforebullet"/>
    <w:semiHidden/>
    <w:rsid w:val="004F6629"/>
    <w:rPr>
      <w:rFonts w:ascii="Open Sans" w:hAnsi="Open Sans"/>
      <w:sz w:val="20"/>
      <w:szCs w:val="20"/>
    </w:rPr>
  </w:style>
  <w:style w:type="paragraph" w:customStyle="1" w:styleId="TableBody">
    <w:name w:val="Table Body"/>
    <w:basedOn w:val="NoSpacing"/>
    <w:uiPriority w:val="4"/>
    <w:qFormat/>
    <w:rsid w:val="004F6629"/>
    <w:pPr>
      <w:spacing w:before="46" w:after="46"/>
      <w:ind w:left="57"/>
    </w:pPr>
    <w:rPr>
      <w:sz w:val="18"/>
    </w:rPr>
  </w:style>
  <w:style w:type="paragraph" w:styleId="Revision">
    <w:name w:val="Revision"/>
    <w:hidden/>
    <w:uiPriority w:val="99"/>
    <w:semiHidden/>
    <w:rsid w:val="008D19FD"/>
    <w:pPr>
      <w:spacing w:after="0" w:line="240" w:lineRule="auto"/>
    </w:pPr>
    <w:rPr>
      <w:sz w:val="20"/>
      <w:szCs w:val="20"/>
    </w:rPr>
  </w:style>
  <w:style w:type="paragraph" w:customStyle="1" w:styleId="KeyPointsicon">
    <w:name w:val="Key Points icon"/>
    <w:basedOn w:val="Normal"/>
    <w:uiPriority w:val="10"/>
    <w:qFormat/>
    <w:rsid w:val="004F6629"/>
    <w:pPr>
      <w:spacing w:before="60"/>
      <w:jc w:val="right"/>
    </w:pPr>
  </w:style>
  <w:style w:type="paragraph" w:customStyle="1" w:styleId="FigureTableSubheading">
    <w:name w:val="Figure/Table Subheading"/>
    <w:basedOn w:val="FigureTableHeading"/>
    <w:uiPriority w:val="4"/>
    <w:qFormat/>
    <w:rsid w:val="004F6629"/>
    <w:pPr>
      <w:spacing w:before="40"/>
    </w:pPr>
    <w:rPr>
      <w:color w:val="58585B"/>
    </w:rPr>
  </w:style>
  <w:style w:type="table" w:customStyle="1" w:styleId="TextTable-Grey">
    <w:name w:val="Text Table-Grey"/>
    <w:basedOn w:val="Texttable-Paleblue"/>
    <w:uiPriority w:val="99"/>
    <w:rsid w:val="004F6629"/>
    <w:rPr>
      <w:color w:val="265A9A" w:themeColor="background2"/>
    </w:rPr>
    <w:tblPr/>
    <w:tcPr>
      <w:shd w:val="clear" w:color="auto" w:fill="F2F2F2"/>
    </w:tcPr>
  </w:style>
  <w:style w:type="character" w:customStyle="1" w:styleId="BodyText-BlueChar">
    <w:name w:val="Body Text-Blue Char"/>
    <w:basedOn w:val="BodyTextChar"/>
    <w:link w:val="BodyText-Blue"/>
    <w:semiHidden/>
    <w:rsid w:val="004F6629"/>
    <w:rPr>
      <w:rFonts w:ascii="Open Sans" w:hAnsi="Open Sans"/>
      <w:color w:val="265A9A" w:themeColor="background2"/>
      <w:sz w:val="20"/>
      <w:szCs w:val="20"/>
    </w:rPr>
  </w:style>
  <w:style w:type="paragraph" w:customStyle="1" w:styleId="Heading3-nonumber">
    <w:name w:val="Heading 3-no number"/>
    <w:basedOn w:val="Heading3"/>
    <w:uiPriority w:val="9"/>
    <w:semiHidden/>
    <w:qFormat/>
    <w:rsid w:val="004F6629"/>
  </w:style>
  <w:style w:type="paragraph" w:customStyle="1" w:styleId="Heading1-nobackground">
    <w:name w:val="Heading 1-no background"/>
    <w:basedOn w:val="Heading1"/>
    <w:next w:val="BodyText"/>
    <w:uiPriority w:val="9"/>
    <w:qFormat/>
    <w:rsid w:val="004F6629"/>
    <w:pPr>
      <w:numPr>
        <w:numId w:val="0"/>
      </w:numPr>
      <w:pBdr>
        <w:top w:val="none" w:sz="0" w:space="0" w:color="auto"/>
        <w:left w:val="none" w:sz="0" w:space="0" w:color="auto"/>
        <w:bottom w:val="none" w:sz="0" w:space="0" w:color="auto"/>
        <w:right w:val="none" w:sz="0" w:space="0" w:color="auto"/>
      </w:pBdr>
      <w:shd w:val="clear" w:color="auto" w:fill="auto"/>
      <w:spacing w:before="600"/>
      <w:ind w:right="0"/>
    </w:pPr>
  </w:style>
  <w:style w:type="character" w:customStyle="1" w:styleId="QuoteChar">
    <w:name w:val="Quote Char"/>
    <w:basedOn w:val="DefaultParagraphFont"/>
    <w:link w:val="Quote"/>
    <w:uiPriority w:val="1"/>
    <w:rsid w:val="004F6629"/>
    <w:rPr>
      <w:rFonts w:ascii="Open Sans" w:hAnsi="Open Sans"/>
      <w:color w:val="58585B"/>
      <w:sz w:val="20"/>
      <w:szCs w:val="20"/>
    </w:rPr>
  </w:style>
  <w:style w:type="paragraph" w:customStyle="1" w:styleId="TableHeading-numbered">
    <w:name w:val="Table Heading-numbered"/>
    <w:basedOn w:val="Normal"/>
    <w:semiHidden/>
    <w:qFormat/>
    <w:rsid w:val="004F6629"/>
    <w:pPr>
      <w:numPr>
        <w:numId w:val="16"/>
      </w:numPr>
      <w:spacing w:before="60"/>
      <w:contextualSpacing/>
    </w:pPr>
    <w:rPr>
      <w:b/>
      <w:color w:val="265A9A" w:themeColor="background2"/>
    </w:rPr>
  </w:style>
  <w:style w:type="numbering" w:customStyle="1" w:styleId="TableList">
    <w:name w:val="TableList"/>
    <w:uiPriority w:val="99"/>
    <w:rsid w:val="004F6629"/>
    <w:pPr>
      <w:numPr>
        <w:numId w:val="16"/>
      </w:numPr>
    </w:pPr>
  </w:style>
  <w:style w:type="paragraph" w:customStyle="1" w:styleId="Footer-right">
    <w:name w:val="Footer-right"/>
    <w:basedOn w:val="Footer"/>
    <w:uiPriority w:val="11"/>
    <w:rsid w:val="004F6629"/>
    <w:pPr>
      <w:jc w:val="right"/>
    </w:pPr>
    <w:rPr>
      <w:szCs w:val="24"/>
    </w:rPr>
  </w:style>
  <w:style w:type="paragraph" w:customStyle="1" w:styleId="Heading2-nonumber">
    <w:name w:val="Heading 2-no number"/>
    <w:basedOn w:val="Heading2"/>
    <w:uiPriority w:val="9"/>
    <w:qFormat/>
    <w:rsid w:val="004F6629"/>
    <w:pPr>
      <w:numPr>
        <w:ilvl w:val="0"/>
        <w:numId w:val="0"/>
      </w:numPr>
    </w:pPr>
  </w:style>
  <w:style w:type="paragraph" w:customStyle="1" w:styleId="Heading-Appendix">
    <w:name w:val="Heading-Appendix"/>
    <w:basedOn w:val="Heading1-nonumber"/>
    <w:next w:val="BodyText"/>
    <w:uiPriority w:val="9"/>
    <w:qFormat/>
    <w:rsid w:val="004F6629"/>
    <w:pPr>
      <w:numPr>
        <w:numId w:val="7"/>
      </w:numPr>
    </w:pPr>
  </w:style>
  <w:style w:type="numbering" w:customStyle="1" w:styleId="AppendixHeading">
    <w:name w:val="AppendixHeading"/>
    <w:uiPriority w:val="99"/>
    <w:rsid w:val="004F6629"/>
    <w:pPr>
      <w:numPr>
        <w:numId w:val="3"/>
      </w:numPr>
    </w:pPr>
  </w:style>
  <w:style w:type="paragraph" w:customStyle="1" w:styleId="DraftingNote">
    <w:name w:val="Drafting Note"/>
    <w:basedOn w:val="BodyText"/>
    <w:link w:val="DraftingNoteChar"/>
    <w:qFormat/>
    <w:rsid w:val="004F6629"/>
    <w:pPr>
      <w:contextualSpacing/>
    </w:pPr>
    <w:rPr>
      <w:color w:val="A22D2B"/>
      <w:sz w:val="24"/>
      <w:u w:val="dotted"/>
    </w:rPr>
  </w:style>
  <w:style w:type="character" w:customStyle="1" w:styleId="DraftingNoteChar">
    <w:name w:val="Drafting Note Char"/>
    <w:basedOn w:val="BodyTextChar"/>
    <w:link w:val="DraftingNote"/>
    <w:rsid w:val="004F6629"/>
    <w:rPr>
      <w:rFonts w:ascii="Open Sans" w:hAnsi="Open Sans"/>
      <w:color w:val="A22D2B"/>
      <w:sz w:val="24"/>
      <w:szCs w:val="20"/>
      <w:u w:val="dotted"/>
    </w:rPr>
  </w:style>
  <w:style w:type="paragraph" w:customStyle="1" w:styleId="BoxHeading1">
    <w:name w:val="Box Heading 1"/>
    <w:basedOn w:val="FigureTableHeading"/>
    <w:next w:val="BodyText"/>
    <w:uiPriority w:val="4"/>
    <w:qFormat/>
    <w:rsid w:val="004F6629"/>
    <w:pPr>
      <w:spacing w:after="0"/>
    </w:pPr>
  </w:style>
  <w:style w:type="character" w:styleId="Emphasis">
    <w:name w:val="Emphasis"/>
    <w:basedOn w:val="DefaultParagraphFont"/>
    <w:uiPriority w:val="22"/>
    <w:qFormat/>
    <w:rsid w:val="004F6629"/>
    <w:rPr>
      <w:i/>
      <w:iCs/>
    </w:rPr>
  </w:style>
  <w:style w:type="paragraph" w:customStyle="1" w:styleId="Reference">
    <w:name w:val="Reference"/>
    <w:basedOn w:val="BodyText"/>
    <w:qFormat/>
    <w:rsid w:val="004F6629"/>
    <w:pPr>
      <w:spacing w:before="0" w:after="60" w:line="200" w:lineRule="exact"/>
    </w:pPr>
    <w:rPr>
      <w:sz w:val="16"/>
    </w:rPr>
  </w:style>
  <w:style w:type="paragraph" w:customStyle="1" w:styleId="Keypoints-heading">
    <w:name w:val="Key points-heading"/>
    <w:basedOn w:val="Heading3"/>
    <w:uiPriority w:val="10"/>
    <w:qFormat/>
    <w:rsid w:val="004F6629"/>
    <w:rPr>
      <w:color w:val="auto"/>
    </w:rPr>
  </w:style>
  <w:style w:type="paragraph" w:customStyle="1" w:styleId="Heading2-Appendix">
    <w:name w:val="Heading 2-Appendix"/>
    <w:basedOn w:val="Heading2-nonumber"/>
    <w:next w:val="Normal"/>
    <w:uiPriority w:val="10"/>
    <w:qFormat/>
    <w:rsid w:val="004F6629"/>
    <w:pPr>
      <w:numPr>
        <w:ilvl w:val="1"/>
        <w:numId w:val="7"/>
      </w:numPr>
    </w:pPr>
  </w:style>
  <w:style w:type="numbering" w:customStyle="1" w:styleId="AppendixHeadingList">
    <w:name w:val="Appendix Heading List"/>
    <w:uiPriority w:val="99"/>
    <w:rsid w:val="004F6629"/>
    <w:pPr>
      <w:numPr>
        <w:numId w:val="2"/>
      </w:numPr>
    </w:pPr>
  </w:style>
  <w:style w:type="paragraph" w:customStyle="1" w:styleId="Space">
    <w:name w:val="Space"/>
    <w:basedOn w:val="BodyText"/>
    <w:uiPriority w:val="1"/>
    <w:rsid w:val="004F6629"/>
    <w:pPr>
      <w:spacing w:before="0" w:after="0"/>
    </w:pPr>
  </w:style>
  <w:style w:type="paragraph" w:customStyle="1" w:styleId="QuoteBullet">
    <w:name w:val="Quote Bullet"/>
    <w:basedOn w:val="ListBullet"/>
    <w:link w:val="QuoteBulletChar"/>
    <w:uiPriority w:val="1"/>
    <w:qFormat/>
    <w:rsid w:val="004F6629"/>
    <w:pPr>
      <w:spacing w:before="60"/>
      <w:ind w:left="340" w:right="851"/>
    </w:pPr>
    <w:rPr>
      <w:color w:val="58585B"/>
    </w:rPr>
  </w:style>
  <w:style w:type="character" w:customStyle="1" w:styleId="ListBulletChar">
    <w:name w:val="List Bullet Char"/>
    <w:basedOn w:val="DefaultParagraphFont"/>
    <w:link w:val="ListBullet"/>
    <w:uiPriority w:val="1"/>
    <w:rsid w:val="004F6629"/>
    <w:rPr>
      <w:rFonts w:ascii="Open Sans" w:hAnsi="Open Sans"/>
      <w:sz w:val="20"/>
      <w:szCs w:val="20"/>
    </w:rPr>
  </w:style>
  <w:style w:type="character" w:customStyle="1" w:styleId="QuoteBulletChar">
    <w:name w:val="Quote Bullet Char"/>
    <w:basedOn w:val="ListBulletChar"/>
    <w:link w:val="QuoteBullet"/>
    <w:uiPriority w:val="1"/>
    <w:rsid w:val="004F6629"/>
    <w:rPr>
      <w:rFonts w:ascii="Open Sans" w:hAnsi="Open Sans"/>
      <w:color w:val="58585B"/>
      <w:sz w:val="20"/>
      <w:szCs w:val="20"/>
    </w:rPr>
  </w:style>
  <w:style w:type="paragraph" w:customStyle="1" w:styleId="Figurecharttitle">
    <w:name w:val="Figure chart title"/>
    <w:basedOn w:val="BodyText"/>
    <w:uiPriority w:val="10"/>
    <w:qFormat/>
    <w:rsid w:val="004F6629"/>
    <w:pPr>
      <w:spacing w:before="0" w:after="0"/>
      <w:ind w:left="284" w:hanging="284"/>
    </w:pPr>
    <w:rPr>
      <w:sz w:val="18"/>
      <w:szCs w:val="18"/>
    </w:rPr>
  </w:style>
  <w:style w:type="paragraph" w:customStyle="1" w:styleId="TableListBullet">
    <w:name w:val="Table List Bullet"/>
    <w:basedOn w:val="ListBullet"/>
    <w:uiPriority w:val="10"/>
    <w:qFormat/>
    <w:rsid w:val="004F6629"/>
    <w:pPr>
      <w:spacing w:before="46" w:after="46"/>
      <w:ind w:left="170" w:hanging="113"/>
    </w:pPr>
    <w:rPr>
      <w:sz w:val="18"/>
    </w:rPr>
  </w:style>
  <w:style w:type="character" w:styleId="FollowedHyperlink">
    <w:name w:val="FollowedHyperlink"/>
    <w:basedOn w:val="DefaultParagraphFont"/>
    <w:uiPriority w:val="99"/>
    <w:semiHidden/>
    <w:unhideWhenUsed/>
    <w:rsid w:val="00BE23AA"/>
    <w:rPr>
      <w:color w:val="BFBFBF" w:themeColor="followedHyperlink"/>
      <w:u w:val="single"/>
    </w:rPr>
  </w:style>
  <w:style w:type="character" w:styleId="Mention">
    <w:name w:val="Mention"/>
    <w:basedOn w:val="DefaultParagraphFont"/>
    <w:uiPriority w:val="99"/>
    <w:unhideWhenUsed/>
    <w:rsid w:val="00DA6646"/>
    <w:rPr>
      <w:color w:val="2B579A"/>
      <w:shd w:val="clear" w:color="auto" w:fill="E1DFDD"/>
    </w:rPr>
  </w:style>
  <w:style w:type="paragraph" w:styleId="Bibliography">
    <w:name w:val="Bibliography"/>
    <w:basedOn w:val="Normal"/>
    <w:next w:val="Normal"/>
    <w:uiPriority w:val="37"/>
    <w:unhideWhenUsed/>
    <w:rsid w:val="00401C5A"/>
    <w:pPr>
      <w:spacing w:after="240" w:line="240" w:lineRule="atLeast"/>
      <w:ind w:left="720" w:hanging="720"/>
    </w:pPr>
  </w:style>
  <w:style w:type="paragraph" w:customStyle="1" w:styleId="CoverdisclaimerwhiteCover">
    <w:name w:val="Cover – disclaimer (white) (Cover)"/>
    <w:basedOn w:val="Normal"/>
    <w:uiPriority w:val="99"/>
    <w:rsid w:val="004F6629"/>
    <w:pPr>
      <w:tabs>
        <w:tab w:val="left" w:pos="170"/>
        <w:tab w:val="left" w:pos="6236"/>
      </w:tabs>
      <w:suppressAutoHyphens/>
      <w:autoSpaceDE w:val="0"/>
      <w:autoSpaceDN w:val="0"/>
      <w:adjustRightInd w:val="0"/>
      <w:spacing w:before="0" w:after="0" w:line="288" w:lineRule="auto"/>
      <w:textAlignment w:val="center"/>
    </w:pPr>
    <w:rPr>
      <w:rFonts w:cs="Open Sans"/>
      <w:color w:val="FFFFFF" w:themeColor="background1"/>
      <w:sz w:val="18"/>
      <w:szCs w:val="18"/>
      <w:lang w:val="en-US"/>
    </w:rPr>
  </w:style>
  <w:style w:type="character" w:customStyle="1" w:styleId="TableHeadingChar">
    <w:name w:val="Table Heading Char"/>
    <w:basedOn w:val="NoSpacingChar"/>
    <w:link w:val="TableHeading"/>
    <w:uiPriority w:val="4"/>
    <w:rsid w:val="004F6629"/>
    <w:rPr>
      <w:rFonts w:ascii="Open Sans" w:hAnsi="Open Sans"/>
      <w:b/>
      <w:color w:val="132D4D" w:themeColor="background2" w:themeShade="80"/>
      <w:sz w:val="18"/>
      <w:szCs w:val="20"/>
    </w:rPr>
  </w:style>
  <w:style w:type="paragraph" w:customStyle="1" w:styleId="FindingRecRequesttitle">
    <w:name w:val="Finding/Rec/Request title"/>
    <w:basedOn w:val="TableHeading"/>
    <w:link w:val="FindingRecRequesttitleChar"/>
    <w:uiPriority w:val="10"/>
    <w:qFormat/>
    <w:rsid w:val="004F6629"/>
    <w:pPr>
      <w:keepNext/>
      <w:keepLines/>
      <w:spacing w:before="120" w:after="120"/>
      <w:contextualSpacing/>
    </w:pPr>
    <w:rPr>
      <w:color w:val="265A9A" w:themeColor="background2"/>
      <w:sz w:val="20"/>
    </w:rPr>
  </w:style>
  <w:style w:type="character" w:customStyle="1" w:styleId="FindingRecRequesttitleChar">
    <w:name w:val="Finding/Rec/Request title Char"/>
    <w:basedOn w:val="TableHeadingChar"/>
    <w:link w:val="FindingRecRequesttitle"/>
    <w:uiPriority w:val="10"/>
    <w:rsid w:val="004F6629"/>
    <w:rPr>
      <w:rFonts w:ascii="Open Sans" w:hAnsi="Open Sans"/>
      <w:b/>
      <w:color w:val="265A9A" w:themeColor="background2"/>
      <w:sz w:val="20"/>
      <w:szCs w:val="20"/>
    </w:rPr>
  </w:style>
  <w:style w:type="paragraph" w:customStyle="1" w:styleId="PullQuoteNoSpacing">
    <w:name w:val="Pull Quote No Spacing"/>
    <w:basedOn w:val="NoSpacing"/>
    <w:link w:val="PullQuoteNoSpacingChar"/>
    <w:uiPriority w:val="10"/>
    <w:qFormat/>
    <w:rsid w:val="004F6629"/>
    <w:pPr>
      <w:spacing w:line="160" w:lineRule="exact"/>
    </w:pPr>
  </w:style>
  <w:style w:type="character" w:customStyle="1" w:styleId="PullQuoteNoSpacingChar">
    <w:name w:val="Pull Quote No Spacing Char"/>
    <w:basedOn w:val="NoSpacingChar"/>
    <w:link w:val="PullQuoteNoSpacing"/>
    <w:uiPriority w:val="10"/>
    <w:rsid w:val="004F6629"/>
    <w:rPr>
      <w:rFonts w:ascii="Open Sans" w:hAnsi="Open Sans"/>
      <w:sz w:val="20"/>
      <w:szCs w:val="20"/>
    </w:rPr>
  </w:style>
  <w:style w:type="paragraph" w:customStyle="1" w:styleId="PullQuote-Indigenous">
    <w:name w:val="Pull Quote-Indigenous"/>
    <w:basedOn w:val="PullQuote"/>
    <w:uiPriority w:val="10"/>
    <w:qFormat/>
    <w:rsid w:val="004F6629"/>
    <w:pPr>
      <w:ind w:right="680"/>
    </w:pPr>
    <w:rPr>
      <w:rFonts w:ascii="Open Sans" w:hAnsi="Open Sans" w:cs="Arial"/>
      <w:color w:val="auto"/>
      <w:spacing w:val="6"/>
      <w:sz w:val="22"/>
      <w:szCs w:val="22"/>
    </w:rPr>
  </w:style>
  <w:style w:type="character" w:styleId="BookTitle">
    <w:name w:val="Book Title"/>
    <w:basedOn w:val="DefaultParagraphFont"/>
    <w:uiPriority w:val="33"/>
    <w:rsid w:val="00571B2F"/>
    <w:rPr>
      <w:b/>
      <w:bCs/>
      <w:i/>
      <w:iCs/>
      <w:spacing w:val="5"/>
    </w:rPr>
  </w:style>
  <w:style w:type="character" w:styleId="IntenseEmphasis">
    <w:name w:val="Intense Emphasis"/>
    <w:basedOn w:val="DefaultParagraphFont"/>
    <w:uiPriority w:val="22"/>
    <w:rsid w:val="00571B2F"/>
    <w:rPr>
      <w:i/>
      <w:iCs/>
      <w:color w:val="66BCDB" w:themeColor="accent1"/>
    </w:rPr>
  </w:style>
  <w:style w:type="paragraph" w:styleId="IntenseQuote">
    <w:name w:val="Intense Quote"/>
    <w:basedOn w:val="Normal"/>
    <w:next w:val="Normal"/>
    <w:link w:val="IntenseQuoteChar"/>
    <w:uiPriority w:val="30"/>
    <w:rsid w:val="00571B2F"/>
    <w:pPr>
      <w:pBdr>
        <w:top w:val="single" w:sz="4" w:space="10" w:color="66BCDB" w:themeColor="accent1"/>
        <w:bottom w:val="single" w:sz="4" w:space="10" w:color="66BCDB" w:themeColor="accent1"/>
      </w:pBdr>
      <w:spacing w:before="360" w:after="360"/>
      <w:ind w:left="864" w:right="864"/>
      <w:jc w:val="center"/>
    </w:pPr>
    <w:rPr>
      <w:i/>
      <w:iCs/>
      <w:color w:val="66BCDB" w:themeColor="accent1"/>
    </w:rPr>
  </w:style>
  <w:style w:type="character" w:customStyle="1" w:styleId="IntenseQuoteChar">
    <w:name w:val="Intense Quote Char"/>
    <w:basedOn w:val="DefaultParagraphFont"/>
    <w:link w:val="IntenseQuote"/>
    <w:uiPriority w:val="30"/>
    <w:rsid w:val="00571B2F"/>
    <w:rPr>
      <w:rFonts w:ascii="Open Sans" w:hAnsi="Open Sans"/>
      <w:i/>
      <w:iCs/>
      <w:color w:val="66BCDB" w:themeColor="accent1"/>
      <w:sz w:val="20"/>
      <w:szCs w:val="20"/>
    </w:rPr>
  </w:style>
  <w:style w:type="character" w:styleId="IntenseReference">
    <w:name w:val="Intense Reference"/>
    <w:basedOn w:val="DefaultParagraphFont"/>
    <w:uiPriority w:val="32"/>
    <w:rsid w:val="00571B2F"/>
    <w:rPr>
      <w:b/>
      <w:bCs/>
      <w:smallCaps/>
      <w:color w:val="66BCDB" w:themeColor="accent1"/>
      <w:spacing w:val="5"/>
    </w:rPr>
  </w:style>
  <w:style w:type="character" w:styleId="SubtleEmphasis">
    <w:name w:val="Subtle Emphasis"/>
    <w:basedOn w:val="DefaultParagraphFont"/>
    <w:uiPriority w:val="19"/>
    <w:rsid w:val="00571B2F"/>
    <w:rPr>
      <w:i/>
      <w:iCs/>
      <w:color w:val="404040" w:themeColor="text1" w:themeTint="BF"/>
    </w:rPr>
  </w:style>
  <w:style w:type="character" w:styleId="SubtleReference">
    <w:name w:val="Subtle Reference"/>
    <w:basedOn w:val="DefaultParagraphFont"/>
    <w:uiPriority w:val="31"/>
    <w:rsid w:val="00571B2F"/>
    <w:rPr>
      <w:smallCaps/>
      <w:color w:val="5A5A5A" w:themeColor="text1" w:themeTint="A5"/>
    </w:rPr>
  </w:style>
  <w:style w:type="paragraph" w:styleId="NormalWeb">
    <w:name w:val="Normal (Web)"/>
    <w:basedOn w:val="Normal"/>
    <w:uiPriority w:val="99"/>
    <w:semiHidden/>
    <w:unhideWhenUsed/>
    <w:rsid w:val="0051459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image" Target="media/image5.emf"/><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emf"/><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image" Target="media/image2.emf"/><Relationship Id="rId23" Type="http://schemas.openxmlformats.org/officeDocument/2006/relationships/footer" Target="footer2.xml"/><Relationship Id="rId10" Type="http://schemas.openxmlformats.org/officeDocument/2006/relationships/settings" Target="settings.xml"/><Relationship Id="rId19" Type="http://schemas.openxmlformats.org/officeDocument/2006/relationships/image" Target="media/image6.emf"/><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footer" Target="footer1.xml"/><Relationship Id="rId27"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8.png"/></Relationships>
</file>

<file path=word/_rels/header3.xml.rels><?xml version="1.0" encoding="UTF-8" standalone="yes"?>
<Relationships xmlns="http://schemas.openxmlformats.org/package/2006/relationships"><Relationship Id="rId1"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https://pcgov.sharepoint.com/sites/sce/FormServerTemplates/PC-report-template.dotx" TargetMode="External"/></Relationships>
</file>

<file path=word/theme/theme1.xml><?xml version="1.0" encoding="utf-8"?>
<a:theme xmlns:a="http://schemas.openxmlformats.org/drawingml/2006/main" name="Office Theme">
  <a:themeElements>
    <a:clrScheme name="PC colour scheme 2025">
      <a:dk1>
        <a:srgbClr val="000000"/>
      </a:dk1>
      <a:lt1>
        <a:srgbClr val="FFFFFF"/>
      </a:lt1>
      <a:dk2>
        <a:srgbClr val="2B9AC2"/>
      </a:dk2>
      <a:lt2>
        <a:srgbClr val="265A9A"/>
      </a:lt2>
      <a:accent1>
        <a:srgbClr val="66BCDB"/>
      </a:accent1>
      <a:accent2>
        <a:srgbClr val="8956A3"/>
      </a:accent2>
      <a:accent3>
        <a:srgbClr val="71CBD5"/>
      </a:accent3>
      <a:accent4>
        <a:srgbClr val="90D8F7"/>
      </a:accent4>
      <a:accent5>
        <a:srgbClr val="14315B"/>
      </a:accent5>
      <a:accent6>
        <a:srgbClr val="542972"/>
      </a:accent6>
      <a:hlink>
        <a:srgbClr val="000000"/>
      </a:hlink>
      <a:folHlink>
        <a:srgbClr val="BFBFBF"/>
      </a:folHlink>
    </a:clrScheme>
    <a:fontScheme name="ACDC">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PC Dark Blue">
      <a:srgbClr val="265999"/>
    </a:custClr>
    <a:custClr name="PC Mid Blue">
      <a:srgbClr val="2C9BC2"/>
    </a:custClr>
    <a:custClr name="PC Blue">
      <a:srgbClr val="66B9DA"/>
    </a:custClr>
    <a:custClr name="PC Light Blue">
      <a:srgbClr val="EEF8FD"/>
    </a:custClr>
    <a:custClr name="PC Light Grey">
      <a:srgbClr val="F2F2F2"/>
    </a:custClr>
    <a:custClr name="PC Grey">
      <a:srgbClr val="DBDCDE"/>
    </a:custClr>
    <a:custClr name="PC Dark Grey">
      <a:srgbClr val="58585B"/>
    </a:custClr>
    <a:custClr name="PC Green">
      <a:srgbClr val="7AA644"/>
    </a:custClr>
    <a:custClr name="PC Dark green">
      <a:srgbClr val="3A703A"/>
    </a:custClr>
    <a:custClr name="PC Yellow">
      <a:srgbClr val="FCB221"/>
    </a:custClr>
    <a:custClr name="PC Orange">
      <a:srgbClr val="F15A2B"/>
    </a:custClr>
    <a:custClr name="PC Dark Red">
      <a:srgbClr val="A22D2B"/>
    </a:custClr>
    <a:custClr name="PC Purple">
      <a:srgbClr val="8857A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TemplafyTemplateConfiguration><![CDATA[{"elementsMetadata":[],"transformationConfigurations":[],"templateName":"chapter","templateDescription":"","enableDocumentContentUpdater":false,"version":"2.0"}]]></TemplafyTemplateConfiguration>
</file>

<file path=customXml/item2.xml><?xml version="1.0" encoding="utf-8"?>
<p:properties xmlns:p="http://schemas.microsoft.com/office/2006/metadata/properties" xmlns:xsi="http://www.w3.org/2001/XMLSchema-instance" xmlns:pc="http://schemas.microsoft.com/office/infopath/2007/PartnerControls">
  <documentManagement>
    <i0f84bba906045b4af568ee102a52dcb xmlns="20393cdf-440a-4521-8f19-00ba43423d00">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TaxCatchAll xmlns="20393cdf-440a-4521-8f19-00ba43423d00">
      <Value>1</Value>
    </TaxCatchAll>
    <lcf76f155ced4ddcb4097134ff3c332f xmlns="3d385984-9344-419b-a80b-49c06a2bdab8">
      <Terms xmlns="http://schemas.microsoft.com/office/infopath/2007/PartnerControls"/>
    </lcf76f155ced4ddcb4097134ff3c332f>
    <thumbnail xmlns="3d385984-9344-419b-a80b-49c06a2bdab8" xsi:nil="true"/>
    <Access xmlns="3d385984-9344-419b-a80b-49c06a2bdab8">
      <UserInfo>
        <DisplayName/>
        <AccountId xsi:nil="true"/>
        <AccountType/>
      </UserInfo>
    </Access>
    <Status xmlns="3d385984-9344-419b-a80b-49c06a2bdab8" xsi:nil="true"/>
    <_Flow_SignoffStatus xmlns="3d385984-9344-419b-a80b-49c06a2bdab8" xsi:nil="true"/>
    <_dlc_DocId xmlns="20393cdf-440a-4521-8f19-00ba43423d00">MPWT-2140667901-111456</_dlc_DocId>
    <_dlc_DocIdUrl xmlns="20393cdf-440a-4521-8f19-00ba43423d00">
      <Url>https://pcgov.sharepoint.com/sites/sceteam/_layouts/15/DocIdRedir.aspx?ID=MPWT-2140667901-111456</Url>
      <Description>MPWT-2140667901-111456</Description>
    </_dlc_DocIdUrl>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MPW Document" ma:contentTypeID="0x0101006C0B5E815648EF46B6FA6D42F17E5E9F000C963E276195B04F83BC027CFDC94A8D" ma:contentTypeVersion="21" ma:contentTypeDescription="" ma:contentTypeScope="" ma:versionID="ead7201408cf197831bb400756bcfb42">
  <xsd:schema xmlns:xsd="http://www.w3.org/2001/XMLSchema" xmlns:xs="http://www.w3.org/2001/XMLSchema" xmlns:p="http://schemas.microsoft.com/office/2006/metadata/properties" xmlns:ns2="20393cdf-440a-4521-8f19-00ba43423d00" xmlns:ns3="3d385984-9344-419b-a80b-49c06a2bdab8" targetNamespace="http://schemas.microsoft.com/office/2006/metadata/properties" ma:root="true" ma:fieldsID="7fc06f33526f21810b56dca02e91bd42" ns2:_="" ns3:_="">
    <xsd:import namespace="20393cdf-440a-4521-8f19-00ba43423d00"/>
    <xsd:import namespace="3d385984-9344-419b-a80b-49c06a2bdab8"/>
    <xsd:element name="properties">
      <xsd:complexType>
        <xsd:sequence>
          <xsd:element name="documentManagement">
            <xsd:complexType>
              <xsd:all>
                <xsd:element ref="ns2:_dlc_DocId" minOccurs="0"/>
                <xsd:element ref="ns2:_dlc_DocIdUrl" minOccurs="0"/>
                <xsd:element ref="ns2:_dlc_DocIdPersistId"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2:SharedWithUsers" minOccurs="0"/>
                <xsd:element ref="ns2:SharedWithDetails" minOccurs="0"/>
                <xsd:element ref="ns3:MediaServiceLocation" minOccurs="0"/>
                <xsd:element ref="ns2:i0f84bba906045b4af568ee102a52dcb" minOccurs="0"/>
                <xsd:element ref="ns2:TaxCatchAll" minOccurs="0"/>
                <xsd:element ref="ns3:MediaLengthInSeconds" minOccurs="0"/>
                <xsd:element ref="ns3:thumbnail" minOccurs="0"/>
                <xsd:element ref="ns3:lcf76f155ced4ddcb4097134ff3c332f" minOccurs="0"/>
                <xsd:element ref="ns3:_Flow_SignoffStatus" minOccurs="0"/>
                <xsd:element ref="ns3:MediaServiceObjectDetectorVersions" minOccurs="0"/>
                <xsd:element ref="ns3:MediaServiceSearchProperties" minOccurs="0"/>
                <xsd:element ref="ns3:Status" minOccurs="0"/>
                <xsd:element ref="ns3:Acces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393cdf-440a-4521-8f19-00ba43423d0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i0f84bba906045b4af568ee102a52dcb" ma:index="20" nillable="true" ma:taxonomy="true" ma:internalName="i0f84bba906045b4af568ee102a52dcb" ma:taxonomyFieldName="RevIMBCS" ma:displayName="Record" ma:indexed="true" ma:default=""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21" nillable="true" ma:displayName="Taxonomy Catch All Column" ma:hidden="true" ma:list="{af6d4cc1-c529-4b5b-a8f1-9797b2b9eddf}" ma:internalName="TaxCatchAll" ma:showField="CatchAllData" ma:web="20393cdf-440a-4521-8f19-00ba43423d0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d385984-9344-419b-a80b-49c06a2bdab8" elementFormDefault="qualified">
    <xsd:import namespace="http://schemas.microsoft.com/office/2006/documentManagement/types"/>
    <xsd:import namespace="http://schemas.microsoft.com/office/infopath/2007/PartnerControls"/>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thumbnail" ma:index="23" nillable="true" ma:displayName="thumbnail" ma:format="Thumbnail" ma:internalName="thumbnail">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9e7832e3-0c1d-4697-8be2-0d137dca2da6" ma:termSetId="09814cd3-568e-fe90-9814-8d621ff8fb84" ma:anchorId="fba54fb3-c3e1-fe81-a776-ca4b69148c4d" ma:open="true" ma:isKeyword="false">
      <xsd:complexType>
        <xsd:sequence>
          <xsd:element ref="pc:Terms" minOccurs="0" maxOccurs="1"/>
        </xsd:sequence>
      </xsd:complexType>
    </xsd:element>
    <xsd:element name="_Flow_SignoffStatus" ma:index="26" nillable="true" ma:displayName="Sign-off status" ma:internalName="Sign_x002d_off_x0020_status">
      <xsd:simpleType>
        <xsd:restriction base="dms:Text"/>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Status" ma:index="29" nillable="true" ma:displayName="Status" ma:format="Dropdown" ma:internalName="Status">
      <xsd:simpleType>
        <xsd:restriction base="dms:Choice">
          <xsd:enumeration value="In progress"/>
          <xsd:enumeration value="Ready for review"/>
          <xsd:enumeration value="Sent"/>
        </xsd:restriction>
      </xsd:simpleType>
    </xsd:element>
    <xsd:element name="Access" ma:index="30" nillable="true" ma:displayName="Access" ma:format="Dropdown" ma:list="UserInfo" ma:SharePointGroup="0" ma:internalName="Acces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TemplafyFormConfiguration><![CDATA[{"formFields":[],"formDataEntries":[]}]]></TemplafyFormConfiguration>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CCDCE8C-2FF2-479D-91C1-79A7A7683D3C}">
  <ds:schemaRefs/>
</ds:datastoreItem>
</file>

<file path=customXml/itemProps2.xml><?xml version="1.0" encoding="utf-8"?>
<ds:datastoreItem xmlns:ds="http://schemas.openxmlformats.org/officeDocument/2006/customXml" ds:itemID="{A9375862-7444-4178-95BA-49A058BB7408}">
  <ds:schemaRefs>
    <ds:schemaRef ds:uri="http://schemas.microsoft.com/office/2006/metadata/properties"/>
    <ds:schemaRef ds:uri="http://schemas.microsoft.com/office/infopath/2007/PartnerControls"/>
    <ds:schemaRef ds:uri="20393cdf-440a-4521-8f19-00ba43423d00"/>
    <ds:schemaRef ds:uri="3d385984-9344-419b-a80b-49c06a2bdab8"/>
  </ds:schemaRefs>
</ds:datastoreItem>
</file>

<file path=customXml/itemProps3.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customXml/itemProps4.xml><?xml version="1.0" encoding="utf-8"?>
<ds:datastoreItem xmlns:ds="http://schemas.openxmlformats.org/officeDocument/2006/customXml" ds:itemID="{997B4DBC-4621-4626-9638-1DA98BF01A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393cdf-440a-4521-8f19-00ba43423d00"/>
    <ds:schemaRef ds:uri="3d385984-9344-419b-a80b-49c06a2bda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897F752-2238-441E-ABA5-DB8C10DEA577}">
  <ds:schemaRefs/>
</ds:datastoreItem>
</file>

<file path=customXml/itemProps6.xml><?xml version="1.0" encoding="utf-8"?>
<ds:datastoreItem xmlns:ds="http://schemas.openxmlformats.org/officeDocument/2006/customXml" ds:itemID="{9AEC5FCB-ADF8-464D-9830-E76C268395B0}">
  <ds:schemaRefs>
    <ds:schemaRef ds:uri="http://schemas.microsoft.com/sharepoint/v3/contenttype/forms"/>
  </ds:schemaRefs>
</ds:datastoreItem>
</file>

<file path=customXml/itemProps7.xml><?xml version="1.0" encoding="utf-8"?>
<ds:datastoreItem xmlns:ds="http://schemas.openxmlformats.org/officeDocument/2006/customXml" ds:itemID="{7D0910B9-F48F-4001-8050-38101B4E141C}">
  <ds:schemaRefs>
    <ds:schemaRef ds:uri="http://schemas.microsoft.com/sharepoint/events"/>
  </ds:schemaRefs>
</ds:datastoreItem>
</file>

<file path=docMetadata/LabelInfo.xml><?xml version="1.0" encoding="utf-8"?>
<clbl:labelList xmlns:clbl="http://schemas.microsoft.com/office/2020/mipLabelMetadata">
  <clbl:label id="{29f9330b-c0fe-4244-830e-ba9f275d6c34}" enabled="0" method="" siteId="{29f9330b-c0fe-4244-830e-ba9f275d6c34}" removed="1"/>
</clbl:labelList>
</file>

<file path=docProps/app.xml><?xml version="1.0" encoding="utf-8"?>
<Properties xmlns="http://schemas.openxmlformats.org/officeDocument/2006/extended-properties" xmlns:vt="http://schemas.openxmlformats.org/officeDocument/2006/docPropsVTypes">
  <Template>PC-report-template.dotx</Template>
  <TotalTime>94</TotalTime>
  <Pages>9</Pages>
  <Words>3152</Words>
  <Characters>18095</Characters>
  <Application>Microsoft Office Word</Application>
  <DocSecurity>0</DocSecurity>
  <Lines>282</Lines>
  <Paragraphs>112</Paragraphs>
  <ScaleCrop>false</ScaleCrop>
  <HeadingPairs>
    <vt:vector size="2" baseType="variant">
      <vt:variant>
        <vt:lpstr>Title</vt:lpstr>
      </vt:variant>
      <vt:variant>
        <vt:i4>1</vt:i4>
      </vt:variant>
    </vt:vector>
  </HeadingPairs>
  <TitlesOfParts>
    <vt:vector size="1" baseType="lpstr">
      <vt:lpstr>Early childhood education and care system in rural, regional and remote communities</vt:lpstr>
    </vt:vector>
  </TitlesOfParts>
  <Company>Productivity Commission</Company>
  <LinksUpToDate>false</LinksUpToDate>
  <CharactersWithSpaces>21135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Early childhood education and care system in rural, regional and remote communities</dc:title>
  <dc:subject/>
  <dc:creator>Productivity Commission</dc:creator>
  <cp:keywords/>
  <dc:description/>
  <cp:lastModifiedBy>Chris Alston</cp:lastModifiedBy>
  <cp:revision>84</cp:revision>
  <cp:lastPrinted>2026-09-28T10:37:00Z</cp:lastPrinted>
  <dcterms:created xsi:type="dcterms:W3CDTF">2026-09-21T13:35:00Z</dcterms:created>
  <dcterms:modified xsi:type="dcterms:W3CDTF">2026-10-02T01:08:00Z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TemplafyTenantId">
    <vt:lpwstr>productivitycommission</vt:lpwstr>
  </property>
  <property fmtid="{D5CDD505-2E9C-101B-9397-08002B2CF9AE}" pid="4" name="TemplafyTemplateId">
    <vt:lpwstr>637629323564275408</vt:lpwstr>
  </property>
  <property fmtid="{D5CDD505-2E9C-101B-9397-08002B2CF9AE}" pid="5" name="TemplafyUserProfileId">
    <vt:lpwstr>637870630037422538</vt:lpwstr>
  </property>
  <property fmtid="{D5CDD505-2E9C-101B-9397-08002B2CF9AE}" pid="6" name="TemplafyFromBlank">
    <vt:bool>false</vt:bool>
  </property>
  <property fmtid="{D5CDD505-2E9C-101B-9397-08002B2CF9AE}" pid="7" name="docLang">
    <vt:lpwstr>en</vt:lpwstr>
  </property>
  <property fmtid="{D5CDD505-2E9C-101B-9397-08002B2CF9AE}" pid="8" name="ZOTERO_PREF_1">
    <vt:lpwstr>&lt;data data-version="3" zotero-version="8.0.2"&gt;&lt;session id="lbqQqRQD"/&gt;&lt;style id="http://www.zotero.org/styles/Productivity-Commission" hasBibliography="1" bibliographyStyleHasBeenSet="1"/&gt;&lt;prefs&gt;&lt;pref name="fieldType" value="Field"/&gt;&lt;pref name="automaticJ</vt:lpwstr>
  </property>
  <property fmtid="{D5CDD505-2E9C-101B-9397-08002B2CF9AE}" pid="9" name="ZOTERO_PREF_2">
    <vt:lpwstr>ournalAbbreviations" value="true"/&gt;&lt;/prefs&gt;&lt;/data&gt;</vt:lpwstr>
  </property>
  <property fmtid="{D5CDD505-2E9C-101B-9397-08002B2CF9AE}" pid="10" name="MSIP_Label_c1f2b1ce-4212-46db-a901-dd8453f57141_Enabled">
    <vt:lpwstr>true</vt:lpwstr>
  </property>
  <property fmtid="{D5CDD505-2E9C-101B-9397-08002B2CF9AE}" pid="11" name="MSIP_Label_c1f2b1ce-4212-46db-a901-dd8453f57141_SetDate">
    <vt:lpwstr>2026-02-06T03:28:18Z</vt:lpwstr>
  </property>
  <property fmtid="{D5CDD505-2E9C-101B-9397-08002B2CF9AE}" pid="12" name="MSIP_Label_c1f2b1ce-4212-46db-a901-dd8453f57141_Method">
    <vt:lpwstr>Privileged</vt:lpwstr>
  </property>
  <property fmtid="{D5CDD505-2E9C-101B-9397-08002B2CF9AE}" pid="13" name="MSIP_Label_c1f2b1ce-4212-46db-a901-dd8453f57141_Name">
    <vt:lpwstr>Publish</vt:lpwstr>
  </property>
  <property fmtid="{D5CDD505-2E9C-101B-9397-08002B2CF9AE}" pid="14" name="MSIP_Label_c1f2b1ce-4212-46db-a901-dd8453f57141_SiteId">
    <vt:lpwstr>29f9330b-c0fe-4244-830e-ba9f275d6c34</vt:lpwstr>
  </property>
  <property fmtid="{D5CDD505-2E9C-101B-9397-08002B2CF9AE}" pid="15" name="MSIP_Label_c1f2b1ce-4212-46db-a901-dd8453f57141_ActionId">
    <vt:lpwstr>da659015-b3ad-430f-9dc6-8a2b25a65b34</vt:lpwstr>
  </property>
  <property fmtid="{D5CDD505-2E9C-101B-9397-08002B2CF9AE}" pid="16" name="MSIP_Label_c1f2b1ce-4212-46db-a901-dd8453f57141_ContentBits">
    <vt:lpwstr>0</vt:lpwstr>
  </property>
  <property fmtid="{D5CDD505-2E9C-101B-9397-08002B2CF9AE}" pid="17" name="MSIP_Label_c1f2b1ce-4212-46db-a901-dd8453f57141_Tag">
    <vt:lpwstr>10, 0, 1, 1</vt:lpwstr>
  </property>
  <property fmtid="{D5CDD505-2E9C-101B-9397-08002B2CF9AE}" pid="18" name="ClassificationContentMarkingHeaderText">
    <vt:lpwstr> OFFICIAL</vt:lpwstr>
  </property>
  <property fmtid="{D5CDD505-2E9C-101B-9397-08002B2CF9AE}" pid="19" name="MSIP_Label_f7467c1a-e0ed-413c-a72b-aac8e8e94f41_Name">
    <vt:lpwstr>OFFICIAL</vt:lpwstr>
  </property>
  <property fmtid="{D5CDD505-2E9C-101B-9397-08002B2CF9AE}" pid="20" name="ClassificationContentMarkingHeaderFontProps">
    <vt:lpwstr>#000000,12,Calibri</vt:lpwstr>
  </property>
  <property fmtid="{D5CDD505-2E9C-101B-9397-08002B2CF9AE}" pid="21" name="MSIP_Label_f7467c1a-e0ed-413c-a72b-aac8e8e94f41_ActionId">
    <vt:lpwstr>db6641a2-4ed2-4c53-9d7b-24c8b4bcacbc</vt:lpwstr>
  </property>
  <property fmtid="{D5CDD505-2E9C-101B-9397-08002B2CF9AE}" pid="22" name="MSIP_Label_f7467c1a-e0ed-413c-a72b-aac8e8e94f41_SiteId">
    <vt:lpwstr>29f9330b-c0fe-4244-830e-ba9f275d6c34</vt:lpwstr>
  </property>
  <property fmtid="{D5CDD505-2E9C-101B-9397-08002B2CF9AE}" pid="23" name="MSIP_Label_f7467c1a-e0ed-413c-a72b-aac8e8e94f41_ContentBits">
    <vt:lpwstr>1</vt:lpwstr>
  </property>
  <property fmtid="{D5CDD505-2E9C-101B-9397-08002B2CF9AE}" pid="24" name="MSIP_Label_f7467c1a-e0ed-413c-a72b-aac8e8e94f41_Method">
    <vt:lpwstr>Privileged</vt:lpwstr>
  </property>
  <property fmtid="{D5CDD505-2E9C-101B-9397-08002B2CF9AE}" pid="25" name="ClassificationContentMarkingHeaderShapeIds">
    <vt:lpwstr>52e6898c,642ed84a,d04a9c6</vt:lpwstr>
  </property>
  <property fmtid="{D5CDD505-2E9C-101B-9397-08002B2CF9AE}" pid="26" name="MSIP_Label_f7467c1a-e0ed-413c-a72b-aac8e8e94f41_Enabled">
    <vt:lpwstr>true</vt:lpwstr>
  </property>
  <property fmtid="{D5CDD505-2E9C-101B-9397-08002B2CF9AE}" pid="27" name="MSIP_Label_f7467c1a-e0ed-413c-a72b-aac8e8e94f41_SetDate">
    <vt:lpwstr>2024-10-29T08:04:02Z</vt:lpwstr>
  </property>
  <property fmtid="{D5CDD505-2E9C-101B-9397-08002B2CF9AE}" pid="28" name="ContentTypeId">
    <vt:lpwstr>0x0101006C0B5E815648EF46B6FA6D42F17E5E9F000C963E276195B04F83BC027CFDC94A8D</vt:lpwstr>
  </property>
  <property fmtid="{D5CDD505-2E9C-101B-9397-08002B2CF9AE}" pid="29" name="RevIMBCS">
    <vt:lpwstr>1;#Unclassified|3955eeb1-2d18-4582-aeb2-00144ec3aaf5</vt:lpwstr>
  </property>
  <property fmtid="{D5CDD505-2E9C-101B-9397-08002B2CF9AE}" pid="30" name="_dlc_DocIdItemGuid">
    <vt:lpwstr>5f5d5f6e-14d7-4ed6-829f-5d8a8d471ec4</vt:lpwstr>
  </property>
</Properties>
</file>