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50A2E" w14:textId="13E34659" w:rsidR="00F77C67" w:rsidRPr="00F77C67" w:rsidRDefault="00C414E1" w:rsidP="00DE7A27">
      <w:pPr>
        <w:pStyle w:val="Heading1-nobackground"/>
        <w:spacing w:before="1080" w:after="240"/>
        <w:rPr>
          <w:spacing w:val="-4"/>
          <w:sz w:val="40"/>
          <w:szCs w:val="40"/>
        </w:rPr>
      </w:pPr>
      <w:r>
        <w:rPr>
          <w:b/>
          <w:bCs/>
          <w:spacing w:val="-4"/>
          <w:sz w:val="40"/>
          <w:szCs w:val="40"/>
        </w:rPr>
        <w:t>Safeguard Mechanism review</w:t>
      </w:r>
    </w:p>
    <w:p w14:paraId="5ECFE258" w14:textId="26ABB3F8" w:rsidR="00AB4627" w:rsidRPr="00351FF7" w:rsidRDefault="005A71A8" w:rsidP="00351FF7">
      <w:pPr>
        <w:pStyle w:val="BodyText"/>
        <w:spacing w:after="240"/>
        <w:rPr>
          <w:color w:val="1C4373" w:themeColor="background2" w:themeShade="BF"/>
          <w:sz w:val="30"/>
          <w:szCs w:val="30"/>
        </w:rPr>
      </w:pPr>
      <w:r w:rsidRPr="00351FF7">
        <w:rPr>
          <w:color w:val="1C4373" w:themeColor="background2" w:themeShade="BF"/>
          <w:sz w:val="30"/>
          <w:szCs w:val="30"/>
        </w:rPr>
        <w:t>Productivity Commission submission</w:t>
      </w:r>
    </w:p>
    <w:tbl>
      <w:tblPr>
        <w:tblStyle w:val="Texttable-Paleblue"/>
        <w:tblW w:w="5000" w:type="pct"/>
        <w:shd w:val="clear" w:color="auto" w:fill="E7F6FD"/>
        <w:tblLook w:val="04A0" w:firstRow="1" w:lastRow="0" w:firstColumn="1" w:lastColumn="0" w:noHBand="0" w:noVBand="1"/>
      </w:tblPr>
      <w:tblGrid>
        <w:gridCol w:w="577"/>
        <w:gridCol w:w="9061"/>
      </w:tblGrid>
      <w:tr w:rsidR="00E642E7" w:rsidRPr="002F759A" w14:paraId="59BC3291" w14:textId="77777777">
        <w:tc>
          <w:tcPr>
            <w:tcW w:w="9638" w:type="dxa"/>
            <w:gridSpan w:val="2"/>
            <w:shd w:val="clear" w:color="auto" w:fill="E7F6FD"/>
            <w:tcMar>
              <w:left w:w="170" w:type="dxa"/>
            </w:tcMar>
          </w:tcPr>
          <w:p w14:paraId="6755982F" w14:textId="36E6645B" w:rsidR="00E642E7" w:rsidRPr="002F759A" w:rsidRDefault="00E642E7">
            <w:pPr>
              <w:pStyle w:val="Keypoints-heading"/>
            </w:pPr>
            <w:r w:rsidRPr="002F759A">
              <w:t>Key points</w:t>
            </w:r>
          </w:p>
        </w:tc>
      </w:tr>
      <w:tr w:rsidR="006E0B2F" w14:paraId="7A8FDB4D" w14:textId="77777777">
        <w:tc>
          <w:tcPr>
            <w:tcW w:w="577" w:type="dxa"/>
            <w:shd w:val="clear" w:color="auto" w:fill="E7F6FD"/>
            <w:tcMar>
              <w:top w:w="0" w:type="dxa"/>
              <w:bottom w:w="0" w:type="dxa"/>
              <w:right w:w="113" w:type="dxa"/>
            </w:tcMar>
          </w:tcPr>
          <w:p w14:paraId="3E1008CD" w14:textId="6D5882E0" w:rsidR="006E0B2F" w:rsidRPr="00A51374" w:rsidRDefault="006E0B2F" w:rsidP="006E0B2F">
            <w:pPr>
              <w:pStyle w:val="KeyPointsicon"/>
              <w:rPr>
                <w:noProof/>
              </w:rPr>
            </w:pPr>
            <w:r w:rsidRPr="00A51374">
              <w:rPr>
                <w:noProof/>
              </w:rPr>
              <w:drawing>
                <wp:inline distT="0" distB="0" distL="0" distR="0" wp14:anchorId="77A1B5EC" wp14:editId="11CD03F7">
                  <wp:extent cx="180000" cy="180000"/>
                  <wp:effectExtent l="0" t="0" r="0" b="0"/>
                  <wp:docPr id="1232965433" name="Graphic 12329654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a:extLst>
                              <a:ext uri="{C183D7F6-B498-43B3-948B-1728B52AA6E4}">
                                <adec:decorative xmlns:adec="http://schemas.microsoft.com/office/drawing/2017/decorative" val="1"/>
                              </a:ext>
                            </a:extLst>
                          </pic:cNvPr>
                          <pic:cNvPicPr/>
                        </pic:nvPicPr>
                        <pic:blipFill>
                          <a:blip r:embed="rId14">
                            <a:extLst>
                              <a:ext uri="{96DAC541-7B7A-43D3-8B79-37D633B846F1}">
                                <asvg:svgBlip xmlns:asvg="http://schemas.microsoft.com/office/drawing/2016/SVG/main" r:embed="rId15"/>
                              </a:ext>
                            </a:extLst>
                          </a:blip>
                          <a:stretch>
                            <a:fillRect/>
                          </a:stretch>
                        </pic:blipFill>
                        <pic:spPr>
                          <a:xfrm>
                            <a:off x="0" y="0"/>
                            <a:ext cx="180000" cy="180000"/>
                          </a:xfrm>
                          <a:prstGeom prst="rect">
                            <a:avLst/>
                          </a:prstGeom>
                        </pic:spPr>
                      </pic:pic>
                    </a:graphicData>
                  </a:graphic>
                </wp:inline>
              </w:drawing>
            </w:r>
          </w:p>
        </w:tc>
        <w:tc>
          <w:tcPr>
            <w:tcW w:w="9061" w:type="dxa"/>
            <w:shd w:val="clear" w:color="auto" w:fill="E7F6FD"/>
            <w:tcMar>
              <w:top w:w="28" w:type="dxa"/>
              <w:left w:w="28" w:type="dxa"/>
            </w:tcMar>
          </w:tcPr>
          <w:p w14:paraId="4C0B61D7" w14:textId="77777777" w:rsidR="00D32961" w:rsidRDefault="00C33AD9" w:rsidP="00176C58">
            <w:pPr>
              <w:pStyle w:val="KeyPoints-Bold"/>
              <w:spacing w:after="120"/>
              <w:rPr>
                <w:bCs/>
              </w:rPr>
            </w:pPr>
            <w:r>
              <w:rPr>
                <w:bCs/>
              </w:rPr>
              <w:t>T</w:t>
            </w:r>
            <w:r w:rsidRPr="00C33AD9">
              <w:rPr>
                <w:bCs/>
              </w:rPr>
              <w:t xml:space="preserve">he Safeguard Mechanism is an important part of Australia’s </w:t>
            </w:r>
            <w:r w:rsidR="008E5D30">
              <w:rPr>
                <w:bCs/>
              </w:rPr>
              <w:t>climate policy framework</w:t>
            </w:r>
            <w:r w:rsidRPr="00C33AD9">
              <w:rPr>
                <w:bCs/>
              </w:rPr>
              <w:t>.</w:t>
            </w:r>
          </w:p>
          <w:p w14:paraId="27AD940D" w14:textId="5C3B30A7" w:rsidR="006E0B2F" w:rsidRDefault="00C33AD9" w:rsidP="00D32961">
            <w:pPr>
              <w:pStyle w:val="KeyPoints-Bullet"/>
            </w:pPr>
            <w:r w:rsidRPr="00C33AD9">
              <w:t xml:space="preserve">Its broad, market-based incentives are important </w:t>
            </w:r>
            <w:r w:rsidR="008A7BD8">
              <w:t xml:space="preserve">for </w:t>
            </w:r>
            <w:r w:rsidRPr="00C33AD9">
              <w:t>achieving emissions reductions at least cost.</w:t>
            </w:r>
          </w:p>
          <w:p w14:paraId="082E7D76" w14:textId="503A19E6" w:rsidR="00D32961" w:rsidRDefault="008D0296" w:rsidP="008D0296">
            <w:pPr>
              <w:pStyle w:val="KeyPoints-Bullet"/>
            </w:pPr>
            <w:r w:rsidRPr="008D0296">
              <w:t>As Australia’s emissions reduction task becomes more demanding, the scheme should build on these foundations</w:t>
            </w:r>
            <w:r w:rsidR="0013281D">
              <w:t xml:space="preserve"> and provide credible, predictable signals for long-term investment</w:t>
            </w:r>
            <w:r w:rsidRPr="008D0296">
              <w:t>.</w:t>
            </w:r>
          </w:p>
        </w:tc>
      </w:tr>
      <w:tr w:rsidR="006E0B2F" w14:paraId="623C1999" w14:textId="77777777">
        <w:tc>
          <w:tcPr>
            <w:tcW w:w="577" w:type="dxa"/>
            <w:shd w:val="clear" w:color="auto" w:fill="E7F6FD"/>
            <w:tcMar>
              <w:top w:w="0" w:type="dxa"/>
              <w:bottom w:w="0" w:type="dxa"/>
              <w:right w:w="113" w:type="dxa"/>
            </w:tcMar>
          </w:tcPr>
          <w:p w14:paraId="23ECC94E" w14:textId="77777777" w:rsidR="006E0B2F" w:rsidRDefault="006E0B2F" w:rsidP="006E0B2F">
            <w:pPr>
              <w:pStyle w:val="KeyPointsicon"/>
            </w:pPr>
            <w:r w:rsidRPr="00A51374">
              <w:rPr>
                <w:noProof/>
              </w:rPr>
              <w:drawing>
                <wp:inline distT="0" distB="0" distL="0" distR="0" wp14:anchorId="029FF875" wp14:editId="4E0B46F2">
                  <wp:extent cx="180000" cy="180000"/>
                  <wp:effectExtent l="0" t="0" r="0" b="0"/>
                  <wp:docPr id="1"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a:extLst>
                              <a:ext uri="{C183D7F6-B498-43B3-948B-1728B52AA6E4}">
                                <adec:decorative xmlns:adec="http://schemas.microsoft.com/office/drawing/2017/decorative" val="1"/>
                              </a:ext>
                            </a:extLst>
                          </pic:cNvPr>
                          <pic:cNvPicPr/>
                        </pic:nvPicPr>
                        <pic:blipFill>
                          <a:blip r:embed="rId14">
                            <a:extLst>
                              <a:ext uri="{96DAC541-7B7A-43D3-8B79-37D633B846F1}">
                                <asvg:svgBlip xmlns:asvg="http://schemas.microsoft.com/office/drawing/2016/SVG/main" r:embed="rId15"/>
                              </a:ext>
                            </a:extLst>
                          </a:blip>
                          <a:stretch>
                            <a:fillRect/>
                          </a:stretch>
                        </pic:blipFill>
                        <pic:spPr>
                          <a:xfrm>
                            <a:off x="0" y="0"/>
                            <a:ext cx="180000" cy="180000"/>
                          </a:xfrm>
                          <a:prstGeom prst="rect">
                            <a:avLst/>
                          </a:prstGeom>
                        </pic:spPr>
                      </pic:pic>
                    </a:graphicData>
                  </a:graphic>
                </wp:inline>
              </w:drawing>
            </w:r>
          </w:p>
        </w:tc>
        <w:tc>
          <w:tcPr>
            <w:tcW w:w="9061" w:type="dxa"/>
            <w:shd w:val="clear" w:color="auto" w:fill="E7F6FD"/>
            <w:tcMar>
              <w:top w:w="28" w:type="dxa"/>
              <w:left w:w="28" w:type="dxa"/>
            </w:tcMar>
          </w:tcPr>
          <w:p w14:paraId="6D5DA1DD" w14:textId="0DD37369" w:rsidR="00A3451F" w:rsidRDefault="00C33AD9" w:rsidP="00176C58">
            <w:pPr>
              <w:pStyle w:val="KeyPoints-Bold"/>
              <w:spacing w:after="120"/>
              <w:rPr>
                <w:bCs/>
              </w:rPr>
            </w:pPr>
            <w:r w:rsidRPr="00C33AD9">
              <w:rPr>
                <w:bCs/>
              </w:rPr>
              <w:t xml:space="preserve">The Safeguard Mechanism should preserve flexibility over how </w:t>
            </w:r>
            <w:r w:rsidR="002839A6">
              <w:rPr>
                <w:bCs/>
              </w:rPr>
              <w:t>facilities comply</w:t>
            </w:r>
            <w:r w:rsidRPr="00C33AD9">
              <w:rPr>
                <w:bCs/>
              </w:rPr>
              <w:t>.</w:t>
            </w:r>
          </w:p>
          <w:p w14:paraId="105D3161" w14:textId="4C10239D" w:rsidR="00574019" w:rsidRDefault="00402149" w:rsidP="00C143AB">
            <w:pPr>
              <w:pStyle w:val="KeyPoints-Bullet"/>
            </w:pPr>
            <w:r w:rsidRPr="00402149">
              <w:t>Departures from flexible compliance should address a clearly identified problem and deliver benefits that justify the additional costs.</w:t>
            </w:r>
            <w:r w:rsidR="00665BF3">
              <w:t xml:space="preserve"> </w:t>
            </w:r>
            <w:r w:rsidR="00C143AB">
              <w:t xml:space="preserve">Any concerns </w:t>
            </w:r>
            <w:r w:rsidR="00C44D11">
              <w:t xml:space="preserve">around ACCU methodologies or </w:t>
            </w:r>
            <w:r w:rsidR="00C143AB">
              <w:t>credits should generally be addressed directly rather than through Safeguard Mechanism settings</w:t>
            </w:r>
            <w:r w:rsidR="00574019" w:rsidRPr="00574019">
              <w:t>.</w:t>
            </w:r>
          </w:p>
        </w:tc>
      </w:tr>
      <w:tr w:rsidR="006E0B2F" w14:paraId="79F7CF28" w14:textId="77777777">
        <w:tc>
          <w:tcPr>
            <w:tcW w:w="577" w:type="dxa"/>
            <w:shd w:val="clear" w:color="auto" w:fill="E7F6FD"/>
            <w:tcMar>
              <w:top w:w="0" w:type="dxa"/>
              <w:bottom w:w="0" w:type="dxa"/>
              <w:right w:w="113" w:type="dxa"/>
            </w:tcMar>
          </w:tcPr>
          <w:p w14:paraId="36AEE7BC" w14:textId="77777777" w:rsidR="006E0B2F" w:rsidRPr="00A51374" w:rsidRDefault="006E0B2F" w:rsidP="006E0B2F">
            <w:pPr>
              <w:pStyle w:val="KeyPointsicon"/>
            </w:pPr>
            <w:r w:rsidRPr="00F31E73">
              <w:rPr>
                <w:noProof/>
              </w:rPr>
              <w:drawing>
                <wp:inline distT="0" distB="0" distL="0" distR="0" wp14:anchorId="21AD835C" wp14:editId="18951D44">
                  <wp:extent cx="180000" cy="180000"/>
                  <wp:effectExtent l="0" t="0" r="0" b="0"/>
                  <wp:docPr id="5" name="Graphic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 5">
                            <a:extLst>
                              <a:ext uri="{C183D7F6-B498-43B3-948B-1728B52AA6E4}">
                                <adec:decorative xmlns:adec="http://schemas.microsoft.com/office/drawing/2017/decorative" val="1"/>
                              </a:ext>
                            </a:extLst>
                          </pic:cNvPr>
                          <pic:cNvPicPr/>
                        </pic:nvPicPr>
                        <pic:blipFill>
                          <a:blip r:embed="rId14">
                            <a:extLst>
                              <a:ext uri="{96DAC541-7B7A-43D3-8B79-37D633B846F1}">
                                <asvg:svgBlip xmlns:asvg="http://schemas.microsoft.com/office/drawing/2016/SVG/main" r:embed="rId15"/>
                              </a:ext>
                            </a:extLst>
                          </a:blip>
                          <a:stretch>
                            <a:fillRect/>
                          </a:stretch>
                        </pic:blipFill>
                        <pic:spPr>
                          <a:xfrm>
                            <a:off x="0" y="0"/>
                            <a:ext cx="180000" cy="180000"/>
                          </a:xfrm>
                          <a:prstGeom prst="rect">
                            <a:avLst/>
                          </a:prstGeom>
                        </pic:spPr>
                      </pic:pic>
                    </a:graphicData>
                  </a:graphic>
                </wp:inline>
              </w:drawing>
            </w:r>
          </w:p>
        </w:tc>
        <w:tc>
          <w:tcPr>
            <w:tcW w:w="9061" w:type="dxa"/>
            <w:shd w:val="clear" w:color="auto" w:fill="E7F6FD"/>
            <w:tcMar>
              <w:top w:w="28" w:type="dxa"/>
              <w:left w:w="28" w:type="dxa"/>
            </w:tcMar>
          </w:tcPr>
          <w:p w14:paraId="406F2487" w14:textId="77777777" w:rsidR="00784B20" w:rsidRDefault="00784B20" w:rsidP="00176C58">
            <w:pPr>
              <w:pStyle w:val="KeyPoints-Bold"/>
              <w:spacing w:after="120"/>
              <w:rPr>
                <w:bCs/>
              </w:rPr>
            </w:pPr>
            <w:r w:rsidRPr="00C33AD9">
              <w:rPr>
                <w:bCs/>
              </w:rPr>
              <w:t>The Safeguard Mechanism should cover more industrial facilities.</w:t>
            </w:r>
          </w:p>
          <w:p w14:paraId="6FA6C00E" w14:textId="4F925E84" w:rsidR="00C344FA" w:rsidRDefault="00C344FA" w:rsidP="008D1665">
            <w:pPr>
              <w:pStyle w:val="KeyPoints-Bullet"/>
            </w:pPr>
            <w:r>
              <w:t xml:space="preserve">Lowering the coverage threshold would </w:t>
            </w:r>
            <w:r w:rsidR="002E145F">
              <w:t xml:space="preserve">unlock </w:t>
            </w:r>
            <w:r>
              <w:t>additional lower-cost abatement opportunities</w:t>
            </w:r>
            <w:r w:rsidR="002E145F">
              <w:t>.</w:t>
            </w:r>
          </w:p>
          <w:p w14:paraId="6EFCF960" w14:textId="45B5BA35" w:rsidR="008D1665" w:rsidRPr="00610627" w:rsidRDefault="002E145F" w:rsidP="002E145F">
            <w:pPr>
              <w:pStyle w:val="KeyPoints-Bullet"/>
            </w:pPr>
            <w:r>
              <w:t xml:space="preserve">The review should </w:t>
            </w:r>
            <w:r w:rsidR="008D1665">
              <w:t>favour broadening coverage</w:t>
            </w:r>
            <w:r w:rsidR="008109F2">
              <w:t xml:space="preserve"> over time</w:t>
            </w:r>
            <w:r w:rsidR="008D1665">
              <w:t xml:space="preserve">, while </w:t>
            </w:r>
            <w:r w:rsidR="000D051D">
              <w:t xml:space="preserve">taking into account </w:t>
            </w:r>
            <w:r w:rsidR="00262C4A">
              <w:t xml:space="preserve">additional administrative costs </w:t>
            </w:r>
            <w:r w:rsidR="00121FAD">
              <w:t>this would create.</w:t>
            </w:r>
          </w:p>
        </w:tc>
      </w:tr>
      <w:tr w:rsidR="008D1665" w14:paraId="32F650E6" w14:textId="77777777">
        <w:tc>
          <w:tcPr>
            <w:tcW w:w="577" w:type="dxa"/>
            <w:shd w:val="clear" w:color="auto" w:fill="E7F6FD"/>
            <w:tcMar>
              <w:top w:w="0" w:type="dxa"/>
              <w:bottom w:w="0" w:type="dxa"/>
              <w:right w:w="113" w:type="dxa"/>
            </w:tcMar>
          </w:tcPr>
          <w:p w14:paraId="43E3D81F" w14:textId="5F0FBBD7" w:rsidR="008D1665" w:rsidRPr="00F31E73" w:rsidRDefault="008D1665" w:rsidP="006E0B2F">
            <w:pPr>
              <w:pStyle w:val="KeyPointsicon"/>
              <w:rPr>
                <w:noProof/>
              </w:rPr>
            </w:pPr>
            <w:r w:rsidRPr="00F31E73">
              <w:rPr>
                <w:noProof/>
              </w:rPr>
              <w:drawing>
                <wp:inline distT="0" distB="0" distL="0" distR="0" wp14:anchorId="79A61A58" wp14:editId="744D89BE">
                  <wp:extent cx="180000" cy="180000"/>
                  <wp:effectExtent l="0" t="0" r="0" b="0"/>
                  <wp:docPr id="181853118" name="Graphic 1818531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 5">
                            <a:extLst>
                              <a:ext uri="{C183D7F6-B498-43B3-948B-1728B52AA6E4}">
                                <adec:decorative xmlns:adec="http://schemas.microsoft.com/office/drawing/2017/decorative" val="1"/>
                              </a:ext>
                            </a:extLst>
                          </pic:cNvPr>
                          <pic:cNvPicPr/>
                        </pic:nvPicPr>
                        <pic:blipFill>
                          <a:blip r:embed="rId14">
                            <a:extLst>
                              <a:ext uri="{96DAC541-7B7A-43D3-8B79-37D633B846F1}">
                                <asvg:svgBlip xmlns:asvg="http://schemas.microsoft.com/office/drawing/2016/SVG/main" r:embed="rId15"/>
                              </a:ext>
                            </a:extLst>
                          </a:blip>
                          <a:stretch>
                            <a:fillRect/>
                          </a:stretch>
                        </pic:blipFill>
                        <pic:spPr>
                          <a:xfrm>
                            <a:off x="0" y="0"/>
                            <a:ext cx="180000" cy="180000"/>
                          </a:xfrm>
                          <a:prstGeom prst="rect">
                            <a:avLst/>
                          </a:prstGeom>
                        </pic:spPr>
                      </pic:pic>
                    </a:graphicData>
                  </a:graphic>
                </wp:inline>
              </w:drawing>
            </w:r>
          </w:p>
        </w:tc>
        <w:tc>
          <w:tcPr>
            <w:tcW w:w="9061" w:type="dxa"/>
            <w:shd w:val="clear" w:color="auto" w:fill="E7F6FD"/>
            <w:tcMar>
              <w:top w:w="28" w:type="dxa"/>
              <w:left w:w="28" w:type="dxa"/>
            </w:tcMar>
          </w:tcPr>
          <w:p w14:paraId="16E6E545" w14:textId="5A436B93" w:rsidR="008D1665" w:rsidRPr="000B6622" w:rsidRDefault="00EF646B" w:rsidP="000B6622">
            <w:pPr>
              <w:pStyle w:val="KeyPoints-Bold"/>
            </w:pPr>
            <w:r w:rsidRPr="000B6622">
              <w:t xml:space="preserve">The </w:t>
            </w:r>
            <w:r w:rsidR="00E524AA" w:rsidRPr="000B6622">
              <w:t xml:space="preserve">border carbon </w:t>
            </w:r>
            <w:r w:rsidR="0023444B" w:rsidRPr="000B6622">
              <w:t xml:space="preserve">adjustment </w:t>
            </w:r>
            <w:r w:rsidR="00E524AA" w:rsidRPr="000B6622">
              <w:t>recommend</w:t>
            </w:r>
            <w:r w:rsidR="00286E58" w:rsidRPr="000B6622">
              <w:t xml:space="preserve">ed by </w:t>
            </w:r>
            <w:r w:rsidR="00E524AA" w:rsidRPr="000B6622">
              <w:t xml:space="preserve">the </w:t>
            </w:r>
            <w:r w:rsidR="0023444B" w:rsidRPr="000B6622">
              <w:t>Carbon Leakage Review</w:t>
            </w:r>
            <w:r w:rsidR="00E524AA" w:rsidRPr="000B6622">
              <w:t xml:space="preserve"> should be introduced</w:t>
            </w:r>
            <w:r w:rsidR="00FE32E5" w:rsidRPr="000B6622">
              <w:t xml:space="preserve">, </w:t>
            </w:r>
            <w:r w:rsidR="0023444B" w:rsidRPr="000B6622">
              <w:t xml:space="preserve">initially for cement and clinker. Trade-exposed baseline-adjusted treatment should be </w:t>
            </w:r>
            <w:r w:rsidR="00D23C66">
              <w:t xml:space="preserve">removed </w:t>
            </w:r>
            <w:r w:rsidR="00220D68">
              <w:t>in tandem with the introduction of</w:t>
            </w:r>
            <w:r w:rsidR="00BD0E86">
              <w:t xml:space="preserve"> </w:t>
            </w:r>
            <w:r w:rsidR="009E54A4">
              <w:t>a</w:t>
            </w:r>
            <w:r w:rsidR="00BD0E86">
              <w:t xml:space="preserve"> </w:t>
            </w:r>
            <w:r w:rsidR="002D56E1">
              <w:t>border carbon adjustment</w:t>
            </w:r>
            <w:r w:rsidR="00FE32E5" w:rsidRPr="000B6622">
              <w:t>.</w:t>
            </w:r>
          </w:p>
        </w:tc>
      </w:tr>
    </w:tbl>
    <w:p w14:paraId="5AB4F522" w14:textId="2A916F82" w:rsidR="004B51EE" w:rsidRDefault="004B51EE" w:rsidP="00D461D7">
      <w:pPr>
        <w:pStyle w:val="Heading2-nonumber"/>
        <w:rPr>
          <w:spacing w:val="-2"/>
        </w:rPr>
      </w:pPr>
      <w:r w:rsidRPr="004B51EE">
        <w:t>Introduction</w:t>
      </w:r>
    </w:p>
    <w:p w14:paraId="6516A397" w14:textId="14A54CC3" w:rsidR="00157F12" w:rsidRDefault="00EF048C" w:rsidP="00A6634B">
      <w:pPr>
        <w:pStyle w:val="BodyText"/>
      </w:pPr>
      <w:r w:rsidRPr="00AC090B">
        <w:rPr>
          <w:spacing w:val="-2"/>
        </w:rPr>
        <w:t xml:space="preserve">The Productivity Commission welcomes the opportunity to make this submission to the </w:t>
      </w:r>
      <w:r w:rsidR="00D210DD">
        <w:rPr>
          <w:spacing w:val="-2"/>
        </w:rPr>
        <w:t>statutory review of</w:t>
      </w:r>
      <w:r w:rsidR="00752CE9">
        <w:rPr>
          <w:spacing w:val="-2"/>
        </w:rPr>
        <w:t xml:space="preserve"> the Safeguard Mechanism</w:t>
      </w:r>
      <w:r w:rsidR="0068312D">
        <w:rPr>
          <w:spacing w:val="-2"/>
        </w:rPr>
        <w:t>.</w:t>
      </w:r>
      <w:r w:rsidR="006209E8">
        <w:rPr>
          <w:spacing w:val="-2"/>
        </w:rPr>
        <w:t xml:space="preserve"> </w:t>
      </w:r>
      <w:r w:rsidR="00A6634B" w:rsidRPr="005029DE">
        <w:t xml:space="preserve">The settings adopted following this review will affect the contribution the Safeguard Mechanism makes to Australia’s emissions targets and the cost of achieving those targets. </w:t>
      </w:r>
      <w:r w:rsidR="00B16E93">
        <w:t>A</w:t>
      </w:r>
      <w:r w:rsidR="001E2AB3">
        <w:t xml:space="preserve">s Australia’s </w:t>
      </w:r>
      <w:r w:rsidR="00852218">
        <w:t xml:space="preserve">emissions reduction task becomes more demanding, the </w:t>
      </w:r>
      <w:r w:rsidR="001E5D92">
        <w:t>Safeguard Mechanism</w:t>
      </w:r>
      <w:r w:rsidR="00852218">
        <w:t xml:space="preserve"> </w:t>
      </w:r>
      <w:r w:rsidR="001E5D92">
        <w:t>should remain a central part of the policy framework, with future changes building on its market-based incentives to</w:t>
      </w:r>
      <w:r w:rsidR="005F0B65">
        <w:t xml:space="preserve"> achieve</w:t>
      </w:r>
      <w:r w:rsidR="00852218">
        <w:t xml:space="preserve"> emissions reductions at least cost.</w:t>
      </w:r>
      <w:r w:rsidR="00A6634B" w:rsidRPr="005029DE">
        <w:t xml:space="preserve"> </w:t>
      </w:r>
    </w:p>
    <w:p w14:paraId="04E46CD0" w14:textId="5149F59B" w:rsidR="00D16541" w:rsidRDefault="00D16541" w:rsidP="00D16541">
      <w:pPr>
        <w:pStyle w:val="BodyText"/>
      </w:pPr>
      <w:r w:rsidRPr="00D16541">
        <w:t>This submission considers how flexible compliance, scheme coverage and carbon leakage arrangements can evolve in a manner consistent with the scheme's market-based foundations.</w:t>
      </w:r>
    </w:p>
    <w:p w14:paraId="3021E6CB" w14:textId="4494D083" w:rsidR="00716FEC" w:rsidRPr="00D16541" w:rsidRDefault="00B163EC" w:rsidP="00D178D4">
      <w:pPr>
        <w:pStyle w:val="BodyText"/>
      </w:pPr>
      <w:r>
        <w:t xml:space="preserve">The PC </w:t>
      </w:r>
      <w:r w:rsidR="00B71977">
        <w:t xml:space="preserve">supports the </w:t>
      </w:r>
      <w:r w:rsidR="00A27CC5">
        <w:t xml:space="preserve">scope of </w:t>
      </w:r>
      <w:r w:rsidR="00B71977">
        <w:t xml:space="preserve">this </w:t>
      </w:r>
      <w:r w:rsidR="00914978">
        <w:t>review</w:t>
      </w:r>
      <w:r w:rsidR="00B71977">
        <w:t xml:space="preserve">. </w:t>
      </w:r>
      <w:r w:rsidR="00081B2E">
        <w:t>The PC previously recommended introducing a policy to drive electricity sector decarbonisation</w:t>
      </w:r>
      <w:r w:rsidR="00081B2E" w:rsidDel="00D82CA0">
        <w:t xml:space="preserve">, </w:t>
      </w:r>
      <w:r w:rsidR="00B71977">
        <w:t xml:space="preserve">and suggested </w:t>
      </w:r>
      <w:r w:rsidR="001C6DA6">
        <w:t xml:space="preserve">an appropriate approach could </w:t>
      </w:r>
      <w:r w:rsidR="00E249EE">
        <w:t>use</w:t>
      </w:r>
      <w:r w:rsidR="001C6DA6" w:rsidDel="00E249EE">
        <w:t xml:space="preserve"> </w:t>
      </w:r>
      <w:r w:rsidR="00503863">
        <w:t xml:space="preserve">a </w:t>
      </w:r>
      <w:r w:rsidR="001C6DA6">
        <w:t>baseline-</w:t>
      </w:r>
      <w:r w:rsidR="004246F8">
        <w:t>and-</w:t>
      </w:r>
      <w:r w:rsidR="001C6DA6">
        <w:t xml:space="preserve">credit </w:t>
      </w:r>
      <w:r w:rsidR="00E249EE">
        <w:t xml:space="preserve">system similar to </w:t>
      </w:r>
      <w:r w:rsidR="00513040">
        <w:t>the Safeguard Mechanism</w:t>
      </w:r>
      <w:r w:rsidR="00410831">
        <w:t xml:space="preserve"> (PC 2025</w:t>
      </w:r>
      <w:r w:rsidR="00FA738C">
        <w:t>a</w:t>
      </w:r>
      <w:r w:rsidR="00410831">
        <w:t xml:space="preserve">, p. 16). </w:t>
      </w:r>
      <w:r w:rsidR="00772EAA">
        <w:t xml:space="preserve">The design of an electricity sector </w:t>
      </w:r>
      <w:r w:rsidR="00772EAA">
        <w:lastRenderedPageBreak/>
        <w:t>decarbonisation policy</w:t>
      </w:r>
      <w:r w:rsidR="00A73E2E">
        <w:t xml:space="preserve"> </w:t>
      </w:r>
      <w:r w:rsidR="000F18B3">
        <w:t xml:space="preserve">should </w:t>
      </w:r>
      <w:r w:rsidR="00D66DD1">
        <w:t>take</w:t>
      </w:r>
      <w:r w:rsidR="00E3691A">
        <w:t xml:space="preserve"> into account</w:t>
      </w:r>
      <w:r w:rsidR="00A73E2E">
        <w:t xml:space="preserve"> reforms that also address reliability and other</w:t>
      </w:r>
      <w:r w:rsidR="00E121C1">
        <w:t xml:space="preserve"> energy system objectives.</w:t>
      </w:r>
      <w:r w:rsidR="00BF3EB6">
        <w:t xml:space="preserve"> </w:t>
      </w:r>
      <w:r w:rsidR="00170A87">
        <w:t>F</w:t>
      </w:r>
      <w:r w:rsidR="00BF3EB6">
        <w:t xml:space="preserve">uture integration with the </w:t>
      </w:r>
      <w:r w:rsidR="008F6C93">
        <w:t xml:space="preserve">existing </w:t>
      </w:r>
      <w:r w:rsidR="00BF3EB6">
        <w:t xml:space="preserve">Safeguard Mechanism </w:t>
      </w:r>
      <w:r w:rsidR="008F6C93">
        <w:t xml:space="preserve">scheme </w:t>
      </w:r>
      <w:r w:rsidR="00170A87">
        <w:t>may be desirable but</w:t>
      </w:r>
      <w:r w:rsidR="00BF3EB6">
        <w:t xml:space="preserve"> would require </w:t>
      </w:r>
      <w:r w:rsidR="00E42D99">
        <w:t xml:space="preserve">sufficient </w:t>
      </w:r>
      <w:r w:rsidR="00975DE1">
        <w:t>lead</w:t>
      </w:r>
      <w:r w:rsidR="006945A2">
        <w:t xml:space="preserve"> </w:t>
      </w:r>
      <w:r w:rsidR="00975DE1">
        <w:t xml:space="preserve">times to </w:t>
      </w:r>
      <w:r w:rsidR="009D725C">
        <w:t xml:space="preserve">underpin certainty and investment incentives in </w:t>
      </w:r>
      <w:r w:rsidR="00914978">
        <w:t xml:space="preserve">the </w:t>
      </w:r>
      <w:r w:rsidR="00DF407E">
        <w:t>scheme</w:t>
      </w:r>
      <w:r w:rsidR="008C4056">
        <w:t xml:space="preserve"> and </w:t>
      </w:r>
      <w:r w:rsidR="00E3214F">
        <w:t xml:space="preserve">associated </w:t>
      </w:r>
      <w:r w:rsidR="008C4056">
        <w:t>carbon credit markets</w:t>
      </w:r>
      <w:r w:rsidR="00975DE1">
        <w:t>.</w:t>
      </w:r>
      <w:r w:rsidR="0064702F">
        <w:t xml:space="preserve"> This would also apply to other sectoral policies</w:t>
      </w:r>
      <w:r w:rsidR="00D178D4">
        <w:t xml:space="preserve"> like </w:t>
      </w:r>
      <w:r w:rsidR="00E720FE">
        <w:t xml:space="preserve">any </w:t>
      </w:r>
      <w:r w:rsidR="00D178D4">
        <w:t>low carbon liquid fuel demand mechanism (DCCEEW</w:t>
      </w:r>
      <w:r w:rsidR="007601B5">
        <w:t xml:space="preserve"> and DITRDCSA 2026, p</w:t>
      </w:r>
      <w:r w:rsidR="000121EE">
        <w:t>p. 49–51)</w:t>
      </w:r>
      <w:r w:rsidR="00D178D4">
        <w:t>.</w:t>
      </w:r>
    </w:p>
    <w:p w14:paraId="5DEE2531" w14:textId="64B6B777" w:rsidR="00A52413" w:rsidRPr="005B2EFE" w:rsidRDefault="00A52413" w:rsidP="000D4CAE">
      <w:pPr>
        <w:pStyle w:val="Heading2-nonumber"/>
        <w:spacing w:before="360"/>
        <w:rPr>
          <w:spacing w:val="-6"/>
        </w:rPr>
      </w:pPr>
      <w:r w:rsidRPr="005B2EFE">
        <w:rPr>
          <w:spacing w:val="-6"/>
        </w:rPr>
        <w:t>Build on the Safeguard Mechanism’s market-based foundations</w:t>
      </w:r>
    </w:p>
    <w:p w14:paraId="45F34184" w14:textId="3AB7FF9F" w:rsidR="00DD3345" w:rsidRDefault="00A52413" w:rsidP="00954F55">
      <w:pPr>
        <w:pStyle w:val="BodyText"/>
      </w:pPr>
      <w:r w:rsidRPr="00A52413">
        <w:t xml:space="preserve">The Safeguard Mechanism is an important part of Australia’s emissions reduction policy </w:t>
      </w:r>
      <w:r w:rsidR="001F1FDC">
        <w:t>framework</w:t>
      </w:r>
      <w:r w:rsidRPr="00A52413">
        <w:t>. It covers around 80% of heavy industry emissions and combines declining emissions limits with flexibility over how facilities comply</w:t>
      </w:r>
      <w:r w:rsidR="004E1DD9">
        <w:t xml:space="preserve"> </w:t>
      </w:r>
      <w:r w:rsidR="00B61B38">
        <w:t>(PC 2025</w:t>
      </w:r>
      <w:r w:rsidR="00FA738C">
        <w:t>a</w:t>
      </w:r>
      <w:r w:rsidR="00B61B38">
        <w:t>, p. 9)</w:t>
      </w:r>
      <w:r w:rsidRPr="00A52413">
        <w:t xml:space="preserve">. </w:t>
      </w:r>
      <w:r w:rsidR="0077628C">
        <w:t>To meet their obligations, f</w:t>
      </w:r>
      <w:r w:rsidRPr="00A52413">
        <w:t xml:space="preserve">acilities can reduce their own emissions, purchase Safeguard Mechanism Credits </w:t>
      </w:r>
      <w:r w:rsidR="00EE6996">
        <w:t xml:space="preserve">(SMCs) </w:t>
      </w:r>
      <w:r w:rsidRPr="00A52413">
        <w:t>from other facilities or surrender eligible</w:t>
      </w:r>
      <w:r w:rsidR="00D163C3">
        <w:t xml:space="preserve"> ACCUs</w:t>
      </w:r>
      <w:r w:rsidRPr="00A52413">
        <w:t xml:space="preserve">. </w:t>
      </w:r>
      <w:r w:rsidR="00E4171F" w:rsidRPr="00C758DB">
        <w:t xml:space="preserve">By allowing emissions reductions to occur where they are cheapest, the scheme </w:t>
      </w:r>
      <w:r w:rsidR="00E4171F">
        <w:t xml:space="preserve">helps </w:t>
      </w:r>
      <w:r w:rsidR="00E4171F" w:rsidRPr="00C758DB">
        <w:t>reduce the cost of achieving Australia's emissions targets.</w:t>
      </w:r>
    </w:p>
    <w:p w14:paraId="44FF023D" w14:textId="676A17E3" w:rsidR="001804FB" w:rsidRDefault="00AB5961" w:rsidP="00B97CD6">
      <w:pPr>
        <w:pStyle w:val="BodyText"/>
      </w:pPr>
      <w:r w:rsidRPr="00AB5961">
        <w:t>The Safeguard Mechanism’s market-based incentives will be most effective if businesses have credible and predictable information about future policy settings. This is particularly important for emissions reductions that require large, long-lived investments.</w:t>
      </w:r>
      <w:r w:rsidR="001804FB" w:rsidRPr="00B97CD6">
        <w:t xml:space="preserve"> </w:t>
      </w:r>
      <w:r w:rsidR="00B026C6">
        <w:t>E</w:t>
      </w:r>
      <w:r w:rsidR="001804FB" w:rsidRPr="00B97CD6">
        <w:t>xpectations about future credit prices can significantly affect investment decisions (EY</w:t>
      </w:r>
      <w:r w:rsidR="000C3701">
        <w:t>-Parthenon Strategy</w:t>
      </w:r>
      <w:r w:rsidR="001804FB" w:rsidRPr="00B97CD6">
        <w:t xml:space="preserve"> 2026, p.</w:t>
      </w:r>
      <w:r w:rsidR="00B97CD6" w:rsidRPr="00B97CD6">
        <w:t xml:space="preserve"> </w:t>
      </w:r>
      <w:r w:rsidR="008B5C78">
        <w:t>12</w:t>
      </w:r>
      <w:r w:rsidR="001804FB" w:rsidRPr="00B97CD6">
        <w:t xml:space="preserve">). </w:t>
      </w:r>
      <w:r w:rsidR="0043558E">
        <w:t xml:space="preserve">Setting a clear and credible trajectory for the Safeguard Mechanism beyond 2030 </w:t>
      </w:r>
      <w:r w:rsidR="00E63CCA">
        <w:t>would</w:t>
      </w:r>
      <w:r w:rsidR="0043558E">
        <w:t xml:space="preserve"> help businesses make efficient long-term abatement investments.</w:t>
      </w:r>
    </w:p>
    <w:p w14:paraId="643B9318" w14:textId="055FC6BA" w:rsidR="00BB4A18" w:rsidRPr="00CA5C24" w:rsidRDefault="00F4537A" w:rsidP="00BB4A18">
      <w:pPr>
        <w:pStyle w:val="Heading2-nonumber"/>
      </w:pPr>
      <w:r>
        <w:t>Preserve flexibility over how facilities comply</w:t>
      </w:r>
    </w:p>
    <w:p w14:paraId="6D552F28" w14:textId="5A0EB8D9" w:rsidR="00C17D87" w:rsidRPr="00C17D87" w:rsidRDefault="00CD6E1E" w:rsidP="00C17D87">
      <w:pPr>
        <w:pStyle w:val="BodyText"/>
      </w:pPr>
      <w:r>
        <w:t xml:space="preserve">The PC supports preserving flexibility over how </w:t>
      </w:r>
      <w:r w:rsidR="00E320D9">
        <w:t>facilities meet their Safeguard Mechanism obligations, including no general restrictions on the use of ACCUs.</w:t>
      </w:r>
    </w:p>
    <w:p w14:paraId="658057DF" w14:textId="4893265A" w:rsidR="00EC4F65" w:rsidRDefault="000332CC" w:rsidP="001B68DF">
      <w:pPr>
        <w:pStyle w:val="BodyText"/>
      </w:pPr>
      <w:r w:rsidRPr="000332CC">
        <w:t>The review will consider whether the Safeguard Mechanism is ‘appropriately incentivising onsite abatement’ (DCCEEW 2026</w:t>
      </w:r>
      <w:r w:rsidR="0066477C">
        <w:t>a</w:t>
      </w:r>
      <w:r w:rsidRPr="000332CC">
        <w:t>). The least-cost mix of onsite and offsite abatement will change over time, and the use of credits at a particular point in time is not itself evidence that onsite abatement is too low. As the C</w:t>
      </w:r>
      <w:r w:rsidR="00C51298">
        <w:t>limate Change Authority has noted</w:t>
      </w:r>
      <w:r w:rsidRPr="000332CC">
        <w:t>, the mix of onsite abatement and ACCU use responds to their relative cost</w:t>
      </w:r>
      <w:r w:rsidR="00AA2713">
        <w:t>s</w:t>
      </w:r>
      <w:r w:rsidRPr="000332CC">
        <w:t xml:space="preserve"> and availability</w:t>
      </w:r>
      <w:r w:rsidR="00EC7BA2">
        <w:t xml:space="preserve"> over time</w:t>
      </w:r>
      <w:r w:rsidR="00C51298">
        <w:t xml:space="preserve"> (C</w:t>
      </w:r>
      <w:r w:rsidR="00C51298" w:rsidRPr="000332CC">
        <w:t>CA</w:t>
      </w:r>
      <w:r w:rsidR="00C51298">
        <w:t xml:space="preserve"> </w:t>
      </w:r>
      <w:r w:rsidR="00C51298" w:rsidRPr="000332CC">
        <w:t>2026, p. 25)</w:t>
      </w:r>
      <w:r w:rsidRPr="000332CC">
        <w:t xml:space="preserve">. Onsite decarbonisation investments can take several years to implement, meaning that facilities may initially rely more heavily on credits. Modelling commissioned by the PC illustrates this dynamic: newly covered facilities initially relied on external abatement while onsite actions were implemented, before increasing onsite abatement and reducing their reliance on credits (RepuTex </w:t>
      </w:r>
      <w:r w:rsidR="008D4BE7">
        <w:t xml:space="preserve">Energy </w:t>
      </w:r>
      <w:r w:rsidRPr="000332CC">
        <w:t xml:space="preserve">2025, pp. 20–22). </w:t>
      </w:r>
      <w:r w:rsidR="009E532B" w:rsidRPr="009E532B">
        <w:t>The review should focus on whether the Safeguard Mechanism allows the mix of onsite and offsite abatement to adjust efficiently over time, rather than targeting a particular level or share of onsite abatement</w:t>
      </w:r>
      <w:r w:rsidR="00957A89" w:rsidRPr="00957A89">
        <w:t>.</w:t>
      </w:r>
    </w:p>
    <w:p w14:paraId="3AD93778" w14:textId="0B40830E" w:rsidR="005837FA" w:rsidRPr="0001505D" w:rsidRDefault="005837FA" w:rsidP="005837FA">
      <w:pPr>
        <w:pStyle w:val="BodyText"/>
      </w:pPr>
      <w:r w:rsidRPr="0001505D">
        <w:t>The consultation paper canvasses quantitative limits, discounting and qualitative restrictions on ACCU use to increase onsite abatement (DCCEEW 2026</w:t>
      </w:r>
      <w:r>
        <w:t>b</w:t>
      </w:r>
      <w:r w:rsidRPr="0001505D">
        <w:t>, p. 1</w:t>
      </w:r>
      <w:r>
        <w:t>4</w:t>
      </w:r>
      <w:r w:rsidRPr="0001505D">
        <w:t>). These approaches would operate differently, but each would constrain or reduce the value of ACCUs for Safeguard compliance. To the extent they shift abatement onsite that would otherwise have occurred at lower cost through the ACCU Scheme, they would increase the cost of achieving Australia's emissions targets.</w:t>
      </w:r>
    </w:p>
    <w:p w14:paraId="15F5D8E6" w14:textId="09E25286" w:rsidR="005837FA" w:rsidRPr="00F67E4A" w:rsidRDefault="005837FA" w:rsidP="005837FA">
      <w:pPr>
        <w:pStyle w:val="BodyText"/>
      </w:pPr>
      <w:r w:rsidRPr="00F67E4A">
        <w:t>EY modelling suggests that constraining ACCU use to increase onsite abatement could impose substantial costs. EY estimate</w:t>
      </w:r>
      <w:r>
        <w:t>d</w:t>
      </w:r>
      <w:r w:rsidRPr="00F67E4A">
        <w:t xml:space="preserve"> that offsite ACCUs account for around two-thirds of available cost</w:t>
      </w:r>
      <w:r>
        <w:noBreakHyphen/>
      </w:r>
      <w:r w:rsidRPr="00F67E4A">
        <w:t>effective abatement at relevant prices (EY</w:t>
      </w:r>
      <w:r>
        <w:t>-Parthenon Strategy</w:t>
      </w:r>
      <w:r w:rsidRPr="00F67E4A">
        <w:t xml:space="preserve"> 2026, p. 28). Capping facility-level ACCU use at 50% increased onsite abatement but approximately tripled compliance costs and resulted </w:t>
      </w:r>
      <w:r w:rsidRPr="00F67E4A">
        <w:lastRenderedPageBreak/>
        <w:t>in material non</w:t>
      </w:r>
      <w:r>
        <w:noBreakHyphen/>
      </w:r>
      <w:r w:rsidRPr="00F67E4A">
        <w:t>compliance as some facilities exhausted cost-effective onsite options (EY</w:t>
      </w:r>
      <w:r>
        <w:t>-Parthenon Strategy</w:t>
      </w:r>
      <w:r w:rsidRPr="00F67E4A">
        <w:t xml:space="preserve"> 2026, pp. 36</w:t>
      </w:r>
      <w:r>
        <w:t>–</w:t>
      </w:r>
      <w:r w:rsidRPr="00F67E4A">
        <w:t>3</w:t>
      </w:r>
      <w:r>
        <w:t>8</w:t>
      </w:r>
      <w:r w:rsidRPr="00F67E4A">
        <w:t xml:space="preserve">). </w:t>
      </w:r>
      <w:r w:rsidR="00BC213B">
        <w:t>The modelling found that a</w:t>
      </w:r>
      <w:r w:rsidRPr="00F67E4A">
        <w:t xml:space="preserve"> system</w:t>
      </w:r>
      <w:r>
        <w:noBreakHyphen/>
      </w:r>
      <w:r w:rsidRPr="00F67E4A">
        <w:t>wide restriction would provide more flexibility than the facility-level cap but would still constrain access to offsite abatement.</w:t>
      </w:r>
    </w:p>
    <w:p w14:paraId="1E517B08" w14:textId="64AA7107" w:rsidR="002F04E6" w:rsidRPr="00A26C08" w:rsidRDefault="00347FD7" w:rsidP="002F04E6">
      <w:pPr>
        <w:pStyle w:val="BodyText"/>
      </w:pPr>
      <w:r>
        <w:t xml:space="preserve">The review should </w:t>
      </w:r>
      <w:r w:rsidR="002E45D2">
        <w:t xml:space="preserve">directly </w:t>
      </w:r>
      <w:r w:rsidR="00D31E44">
        <w:t>target barriers</w:t>
      </w:r>
      <w:r w:rsidR="00324FC8">
        <w:t xml:space="preserve"> </w:t>
      </w:r>
      <w:r w:rsidR="00FF1F90">
        <w:t>to</w:t>
      </w:r>
      <w:r w:rsidR="00324FC8">
        <w:t xml:space="preserve"> efficient </w:t>
      </w:r>
      <w:r w:rsidR="001132C6">
        <w:t>long-term abatement</w:t>
      </w:r>
      <w:r w:rsidR="00FF1F90">
        <w:t xml:space="preserve">, for example </w:t>
      </w:r>
      <w:r w:rsidR="00634C09">
        <w:t>uncertainties that weaken incentives</w:t>
      </w:r>
      <w:r w:rsidR="006D6DE4">
        <w:t xml:space="preserve"> to </w:t>
      </w:r>
      <w:r w:rsidR="009B217C">
        <w:t>invest</w:t>
      </w:r>
      <w:r w:rsidR="001132C6">
        <w:t>.</w:t>
      </w:r>
      <w:r w:rsidR="00F77888">
        <w:t xml:space="preserve"> </w:t>
      </w:r>
      <w:r w:rsidR="002F04E6">
        <w:t xml:space="preserve">A range of global and domestic </w:t>
      </w:r>
      <w:r w:rsidR="002F04E6" w:rsidRPr="00050175">
        <w:t xml:space="preserve">uncertainties </w:t>
      </w:r>
      <w:r w:rsidR="00072D79">
        <w:t>can affect expectations about future carbon prices and</w:t>
      </w:r>
      <w:r w:rsidR="002F04E6" w:rsidRPr="00050175">
        <w:t xml:space="preserve"> </w:t>
      </w:r>
      <w:r w:rsidR="002F04E6">
        <w:t xml:space="preserve">reduce </w:t>
      </w:r>
      <w:r w:rsidR="002F04E6" w:rsidRPr="00050175">
        <w:t xml:space="preserve">the bankability of abatement investments, which can have payback periods of </w:t>
      </w:r>
      <w:r w:rsidR="00FE0644">
        <w:t>5–</w:t>
      </w:r>
      <w:r w:rsidR="002F04E6" w:rsidRPr="00050175">
        <w:t xml:space="preserve">20 years (EY </w:t>
      </w:r>
      <w:r w:rsidR="00976992">
        <w:t>Net Zero Centre</w:t>
      </w:r>
      <w:r w:rsidR="00CB6109">
        <w:t xml:space="preserve"> 2026</w:t>
      </w:r>
      <w:r w:rsidR="002F04E6" w:rsidRPr="00050175">
        <w:t xml:space="preserve">, p. 27). The </w:t>
      </w:r>
      <w:r w:rsidR="002F04E6">
        <w:t xml:space="preserve">consultation paper notes that the </w:t>
      </w:r>
      <w:r w:rsidR="002F04E6" w:rsidRPr="00050175">
        <w:t xml:space="preserve">timing of major investment decisions matters because some facilities may have only one or </w:t>
      </w:r>
      <w:r w:rsidR="006828B7">
        <w:t>2</w:t>
      </w:r>
      <w:r w:rsidR="002F04E6" w:rsidRPr="00050175">
        <w:t xml:space="preserve"> major investment cycles remaining before 2050 (DCCEEW 2026b, p. 13). If the review finds evidence that uncertainty is discouraging otherwise cost-effective investment, it should target the identified investment </w:t>
      </w:r>
      <w:r w:rsidR="002F04E6">
        <w:t>barrier</w:t>
      </w:r>
      <w:r w:rsidR="002F04E6" w:rsidRPr="00050175">
        <w:t xml:space="preserve"> while preserving, as far as possible, businesses’ flexibility to choose lower-cost sources of abatement.</w:t>
      </w:r>
      <w:r w:rsidR="002F04E6">
        <w:t xml:space="preserve"> Any adjustments should be assessed against a target</w:t>
      </w:r>
      <w:r w:rsidR="00254834">
        <w:t>-</w:t>
      </w:r>
      <w:r w:rsidR="002F04E6">
        <w:t>consistent carbon value as a benchmark for cost</w:t>
      </w:r>
      <w:r w:rsidR="00E32DB3">
        <w:noBreakHyphen/>
      </w:r>
      <w:r w:rsidR="002F04E6">
        <w:t>effectiveness, and complexity and compliance burden should also be taken into account</w:t>
      </w:r>
      <w:r w:rsidR="00865B64">
        <w:t xml:space="preserve"> (PC 2025a, </w:t>
      </w:r>
      <w:r w:rsidR="00BE4FCF">
        <w:t xml:space="preserve">pp. 30–35; PC 2025b, </w:t>
      </w:r>
      <w:r w:rsidR="00DE49A9">
        <w:t>33–55)</w:t>
      </w:r>
      <w:r w:rsidR="002F04E6">
        <w:t>.</w:t>
      </w:r>
    </w:p>
    <w:p w14:paraId="6AEAE1D6" w14:textId="0C414ED7" w:rsidR="005F0CF9" w:rsidRPr="005F0CF9" w:rsidRDefault="00F974EA" w:rsidP="005F0CF9">
      <w:pPr>
        <w:pStyle w:val="BodyText"/>
        <w:rPr>
          <w:lang w:eastAsia="en-AU"/>
        </w:rPr>
      </w:pPr>
      <w:r>
        <w:rPr>
          <w:lang w:eastAsia="en-AU"/>
        </w:rPr>
        <w:t>Issues around</w:t>
      </w:r>
      <w:r w:rsidR="001F652E" w:rsidRPr="001F652E">
        <w:rPr>
          <w:lang w:eastAsia="en-AU"/>
        </w:rPr>
        <w:t xml:space="preserve"> ACCU</w:t>
      </w:r>
      <w:r>
        <w:rPr>
          <w:lang w:eastAsia="en-AU"/>
        </w:rPr>
        <w:t xml:space="preserve"> methodologies</w:t>
      </w:r>
      <w:r w:rsidR="001F652E" w:rsidRPr="001F652E">
        <w:rPr>
          <w:lang w:eastAsia="en-AU"/>
        </w:rPr>
        <w:t xml:space="preserve"> </w:t>
      </w:r>
      <w:r w:rsidR="00250F1F">
        <w:rPr>
          <w:lang w:eastAsia="en-AU"/>
        </w:rPr>
        <w:t>and crediting</w:t>
      </w:r>
      <w:r w:rsidR="00CA34CD">
        <w:rPr>
          <w:lang w:eastAsia="en-AU"/>
        </w:rPr>
        <w:t>,</w:t>
      </w:r>
      <w:r w:rsidR="00250F1F">
        <w:rPr>
          <w:lang w:eastAsia="en-AU"/>
        </w:rPr>
        <w:t xml:space="preserve"> </w:t>
      </w:r>
      <w:r w:rsidR="00865080">
        <w:rPr>
          <w:lang w:eastAsia="en-AU"/>
        </w:rPr>
        <w:t xml:space="preserve">for </w:t>
      </w:r>
      <w:r w:rsidR="00CA34CD">
        <w:rPr>
          <w:lang w:eastAsia="en-AU"/>
        </w:rPr>
        <w:t>example around</w:t>
      </w:r>
      <w:r w:rsidR="00250F1F">
        <w:rPr>
          <w:lang w:eastAsia="en-AU"/>
        </w:rPr>
        <w:t xml:space="preserve"> </w:t>
      </w:r>
      <w:r w:rsidR="00012B4D">
        <w:rPr>
          <w:lang w:eastAsia="en-AU"/>
        </w:rPr>
        <w:t>25-year</w:t>
      </w:r>
      <w:r w:rsidR="00E339D5">
        <w:rPr>
          <w:lang w:eastAsia="en-AU"/>
        </w:rPr>
        <w:t xml:space="preserve"> crediting periods</w:t>
      </w:r>
      <w:r w:rsidR="00E11315">
        <w:rPr>
          <w:lang w:eastAsia="en-AU"/>
        </w:rPr>
        <w:t xml:space="preserve"> </w:t>
      </w:r>
      <w:r w:rsidR="00E11315" w:rsidRPr="005F0CF9">
        <w:rPr>
          <w:lang w:eastAsia="en-AU"/>
        </w:rPr>
        <w:t>(CCA</w:t>
      </w:r>
      <w:r w:rsidR="00AD217B">
        <w:rPr>
          <w:lang w:eastAsia="en-AU"/>
        </w:rPr>
        <w:t> </w:t>
      </w:r>
      <w:r w:rsidR="00E11315" w:rsidRPr="005F0CF9">
        <w:rPr>
          <w:lang w:eastAsia="en-AU"/>
        </w:rPr>
        <w:t>2026, pp. 14, 34–35)</w:t>
      </w:r>
      <w:r w:rsidR="00C2750E">
        <w:rPr>
          <w:lang w:eastAsia="en-AU"/>
        </w:rPr>
        <w:t>,</w:t>
      </w:r>
      <w:r w:rsidR="00250F1F">
        <w:rPr>
          <w:lang w:eastAsia="en-AU"/>
        </w:rPr>
        <w:t xml:space="preserve"> </w:t>
      </w:r>
      <w:r w:rsidR="001F652E" w:rsidRPr="001F652E">
        <w:rPr>
          <w:lang w:eastAsia="en-AU"/>
        </w:rPr>
        <w:t xml:space="preserve">should </w:t>
      </w:r>
      <w:r w:rsidR="00803E6D" w:rsidDel="004D047E">
        <w:rPr>
          <w:lang w:eastAsia="en-AU"/>
        </w:rPr>
        <w:t xml:space="preserve">ideally </w:t>
      </w:r>
      <w:r w:rsidR="001F652E" w:rsidRPr="001F652E">
        <w:rPr>
          <w:lang w:eastAsia="en-AU"/>
        </w:rPr>
        <w:t xml:space="preserve">be addressed </w:t>
      </w:r>
      <w:r>
        <w:rPr>
          <w:lang w:eastAsia="en-AU"/>
        </w:rPr>
        <w:t xml:space="preserve">directly </w:t>
      </w:r>
      <w:r w:rsidR="001F652E" w:rsidRPr="001F652E">
        <w:rPr>
          <w:lang w:eastAsia="en-AU"/>
        </w:rPr>
        <w:t>through the ACCU framework</w:t>
      </w:r>
      <w:r w:rsidR="00722406">
        <w:rPr>
          <w:lang w:eastAsia="en-AU"/>
        </w:rPr>
        <w:t xml:space="preserve">, </w:t>
      </w:r>
      <w:r w:rsidR="009F370C">
        <w:rPr>
          <w:lang w:eastAsia="en-AU"/>
        </w:rPr>
        <w:t xml:space="preserve">for example, by addressing risk of reversal buffer, </w:t>
      </w:r>
      <w:r w:rsidR="00722406">
        <w:rPr>
          <w:lang w:eastAsia="en-AU"/>
        </w:rPr>
        <w:t xml:space="preserve">as </w:t>
      </w:r>
      <w:r w:rsidR="00084D71">
        <w:rPr>
          <w:lang w:eastAsia="en-AU"/>
        </w:rPr>
        <w:t xml:space="preserve">has been </w:t>
      </w:r>
      <w:r w:rsidR="00722406">
        <w:rPr>
          <w:lang w:eastAsia="en-AU"/>
        </w:rPr>
        <w:t>recommended by the CCA</w:t>
      </w:r>
      <w:r w:rsidR="00D570EC">
        <w:rPr>
          <w:lang w:eastAsia="en-AU"/>
        </w:rPr>
        <w:t xml:space="preserve"> (2023</w:t>
      </w:r>
      <w:r w:rsidR="00BC3053">
        <w:rPr>
          <w:lang w:eastAsia="en-AU"/>
        </w:rPr>
        <w:t>, p. 42).</w:t>
      </w:r>
    </w:p>
    <w:p w14:paraId="35AF09B3" w14:textId="77777777" w:rsidR="00067C2A" w:rsidRPr="00067C2A" w:rsidRDefault="00067C2A" w:rsidP="000D4CAE">
      <w:pPr>
        <w:pStyle w:val="Heading2-nonumber"/>
      </w:pPr>
      <w:r w:rsidRPr="00067C2A">
        <w:t>Broaden coverage to unlock lower-cost abatement</w:t>
      </w:r>
    </w:p>
    <w:p w14:paraId="7EE72D9A" w14:textId="2B9313F9" w:rsidR="00651BD4" w:rsidRPr="00651BD4" w:rsidRDefault="00A6465F" w:rsidP="00651BD4">
      <w:pPr>
        <w:pStyle w:val="BodyText"/>
      </w:pPr>
      <w:r w:rsidRPr="00651BD4">
        <w:t>Broadening the Safeguard Mechanism would extend emissions reduction incentives to more facilities and bring additional low-cost abatement into the scheme</w:t>
      </w:r>
      <w:r w:rsidR="0020244D" w:rsidRPr="00651BD4">
        <w:t xml:space="preserve">. </w:t>
      </w:r>
      <w:r w:rsidR="00651BD4" w:rsidRPr="00651BD4">
        <w:t xml:space="preserve">The PC </w:t>
      </w:r>
      <w:r w:rsidR="00A72DEB">
        <w:t xml:space="preserve">has previously </w:t>
      </w:r>
      <w:r w:rsidR="00651BD4" w:rsidRPr="00651BD4">
        <w:t>recommended that the Australian Government lower the current 100,000 tonne coverage threshold</w:t>
      </w:r>
      <w:r w:rsidR="00F8767D">
        <w:t xml:space="preserve"> (</w:t>
      </w:r>
      <w:r w:rsidR="00A72DEB">
        <w:t>2025</w:t>
      </w:r>
      <w:r w:rsidR="00865B64">
        <w:t>a</w:t>
      </w:r>
      <w:r w:rsidR="00A72DEB">
        <w:t xml:space="preserve">, </w:t>
      </w:r>
      <w:r w:rsidR="00F8767D">
        <w:t>p</w:t>
      </w:r>
      <w:r w:rsidR="00A72DEB">
        <w:t>. 21)</w:t>
      </w:r>
      <w:r w:rsidR="00651BD4" w:rsidRPr="00651BD4">
        <w:t>. Modelling commissioned for that inquiry found that lowering the threshold to 25,000 tonnes, while holding the aggregate abatement task constant, could reduce average annual abatement costs by about 10% over 2031–35, with estimated gross benefits of about $914 million</w:t>
      </w:r>
      <w:r w:rsidR="00986165">
        <w:t xml:space="preserve"> (PC 2025</w:t>
      </w:r>
      <w:r w:rsidR="00503863">
        <w:t>a</w:t>
      </w:r>
      <w:r w:rsidR="00986165">
        <w:t>, pp. 18–20)</w:t>
      </w:r>
      <w:r w:rsidR="00651BD4" w:rsidRPr="00651BD4">
        <w:t>. By</w:t>
      </w:r>
      <w:r w:rsidR="00B537E0">
        <w:t> </w:t>
      </w:r>
      <w:r w:rsidR="00651BD4" w:rsidRPr="00651BD4">
        <w:t xml:space="preserve">2035, the average cost of achieving the same abatement volume </w:t>
      </w:r>
      <w:r w:rsidR="00FD5A99">
        <w:t>would be</w:t>
      </w:r>
      <w:r w:rsidR="00651BD4" w:rsidRPr="00651BD4">
        <w:t xml:space="preserve"> 27% lower than under the reference case (RepuTex </w:t>
      </w:r>
      <w:r w:rsidR="008D4BE7">
        <w:t xml:space="preserve">Energy </w:t>
      </w:r>
      <w:r w:rsidR="00651BD4" w:rsidRPr="00651BD4">
        <w:t>2025, p. 22)</w:t>
      </w:r>
      <w:r w:rsidR="00503863">
        <w:t>.</w:t>
      </w:r>
    </w:p>
    <w:p w14:paraId="0A1F0AFC" w14:textId="490F2C14" w:rsidR="00E176F2" w:rsidRPr="00E176F2" w:rsidRDefault="00E176F2" w:rsidP="00E176F2">
      <w:pPr>
        <w:pStyle w:val="BodyText"/>
      </w:pPr>
      <w:r w:rsidRPr="00E176F2">
        <w:t xml:space="preserve">Lowering the threshold </w:t>
      </w:r>
      <w:r w:rsidR="00056D17">
        <w:t xml:space="preserve">and bringing more </w:t>
      </w:r>
      <w:r w:rsidRPr="00E176F2">
        <w:t>facilities</w:t>
      </w:r>
      <w:r w:rsidR="00056D17">
        <w:t xml:space="preserve"> into the scheme would </w:t>
      </w:r>
      <w:r w:rsidRPr="00E176F2">
        <w:t>creat</w:t>
      </w:r>
      <w:r w:rsidR="00056D17">
        <w:t>e</w:t>
      </w:r>
      <w:r w:rsidRPr="00E176F2">
        <w:t xml:space="preserve"> additional administrative and compliance costs. The </w:t>
      </w:r>
      <w:r w:rsidR="00471732">
        <w:t xml:space="preserve">PC’s </w:t>
      </w:r>
      <w:r w:rsidRPr="00E176F2">
        <w:t xml:space="preserve">earlier estimate of $914 million in benefits from lowering the threshold to 25,000 tonnes was a gross estimate and did not deduct these costs. </w:t>
      </w:r>
      <w:r w:rsidR="001A0443">
        <w:t>F</w:t>
      </w:r>
      <w:r w:rsidRPr="00E176F2">
        <w:t xml:space="preserve">acilities emitting </w:t>
      </w:r>
      <w:r w:rsidR="0078279E">
        <w:t>over</w:t>
      </w:r>
      <w:r w:rsidRPr="00E176F2">
        <w:t xml:space="preserve"> 25,000 tonnes are already generally subject to NGER reporting requirements, which </w:t>
      </w:r>
      <w:r w:rsidR="0078279E">
        <w:t>may</w:t>
      </w:r>
      <w:r w:rsidR="0078279E" w:rsidRPr="00E176F2">
        <w:t xml:space="preserve"> </w:t>
      </w:r>
      <w:r w:rsidRPr="00E176F2">
        <w:t xml:space="preserve">limit some </w:t>
      </w:r>
      <w:r w:rsidR="0078279E">
        <w:t>of the incremental costs of lowering the threshold to that level</w:t>
      </w:r>
      <w:r w:rsidRPr="00E176F2">
        <w:t xml:space="preserve"> (PC 2025</w:t>
      </w:r>
      <w:r w:rsidR="00DE49A9">
        <w:t>a</w:t>
      </w:r>
      <w:r w:rsidRPr="00E176F2">
        <w:t xml:space="preserve">, pp. 19–20). </w:t>
      </w:r>
      <w:r w:rsidR="00DA6DE5">
        <w:t xml:space="preserve">We </w:t>
      </w:r>
      <w:r w:rsidR="002951DE">
        <w:t xml:space="preserve">welcome </w:t>
      </w:r>
      <w:r w:rsidR="00DA6DE5">
        <w:t xml:space="preserve">the </w:t>
      </w:r>
      <w:r w:rsidR="00A55CE8">
        <w:t>r</w:t>
      </w:r>
      <w:r w:rsidR="002951DE">
        <w:t xml:space="preserve">eview’s focus on </w:t>
      </w:r>
      <w:r w:rsidR="006F517D">
        <w:t xml:space="preserve">additional </w:t>
      </w:r>
      <w:r w:rsidR="00407F6D">
        <w:t xml:space="preserve">administrative and compliance costs and </w:t>
      </w:r>
      <w:r w:rsidR="002951DE">
        <w:t xml:space="preserve">note consultation with industry </w:t>
      </w:r>
      <w:r w:rsidR="008C091B">
        <w:t xml:space="preserve">can refine these </w:t>
      </w:r>
      <w:r w:rsidR="002951DE">
        <w:t>assessment</w:t>
      </w:r>
      <w:r w:rsidR="008C091B">
        <w:t>s</w:t>
      </w:r>
      <w:r w:rsidR="002951DE">
        <w:t xml:space="preserve"> </w:t>
      </w:r>
      <w:r w:rsidR="008C091B">
        <w:t xml:space="preserve">so they can be </w:t>
      </w:r>
      <w:r w:rsidR="00407F6D">
        <w:t>weigh</w:t>
      </w:r>
      <w:r w:rsidR="008C091B">
        <w:t>ed</w:t>
      </w:r>
      <w:r w:rsidR="00407F6D">
        <w:t xml:space="preserve"> against</w:t>
      </w:r>
      <w:r w:rsidRPr="00E176F2">
        <w:t xml:space="preserve"> the benefits of bringing more low-cost abatement opportunities into the scheme.</w:t>
      </w:r>
    </w:p>
    <w:p w14:paraId="0EA6803D" w14:textId="7DAEB854" w:rsidR="00CF1E75" w:rsidRDefault="00A95662" w:rsidP="00E176F2">
      <w:pPr>
        <w:pStyle w:val="BodyText"/>
      </w:pPr>
      <w:r>
        <w:t xml:space="preserve">The PC’s previous modelling supports </w:t>
      </w:r>
      <w:r w:rsidR="00E176F2" w:rsidRPr="00E176F2">
        <w:t>lowering the Safeguard Mechanism threshold, although it does not establish that 25,000 tonnes is necessarily the optimal threshold. A staged reduction would allow experience at progressively lower thresholds to inform subsequent changes. Any future threshold trajectory should be announced sufficiently in advance for affected businesses to incorporate it into their investment decisions.</w:t>
      </w:r>
    </w:p>
    <w:p w14:paraId="59CE4AA0" w14:textId="19162866" w:rsidR="003325BD" w:rsidRPr="003325BD" w:rsidRDefault="003325BD" w:rsidP="003325BD">
      <w:pPr>
        <w:pStyle w:val="BodyText"/>
      </w:pPr>
      <w:r w:rsidRPr="003325BD">
        <w:t xml:space="preserve">Broadening coverage can reduce the cost of meeting a given </w:t>
      </w:r>
      <w:r w:rsidR="002B3498">
        <w:t>S</w:t>
      </w:r>
      <w:r w:rsidRPr="003325BD">
        <w:t xml:space="preserve">afeguard emissions reduction task by bringing additional lower-cost abatement opportunities into the scheme. A separate question is how much of the national emissions reduction task should be allocated to the Safeguard Mechanism. In </w:t>
      </w:r>
      <w:r w:rsidRPr="003325BD">
        <w:lastRenderedPageBreak/>
        <w:t>setting the post-2030 trajectory, the Government should have regard to evidence about the cost of emissions reductions available across the economy.</w:t>
      </w:r>
    </w:p>
    <w:p w14:paraId="377B8060" w14:textId="3951790E" w:rsidR="005509C6" w:rsidRPr="00781952" w:rsidRDefault="00781952" w:rsidP="00781952">
      <w:pPr>
        <w:pStyle w:val="BodyText"/>
      </w:pPr>
      <w:r w:rsidRPr="00781952">
        <w:t>The consultation paper proposes continuing to base the Safeguard Mechanism’s contribution to the national emissions reduction task on the share of national emissions accounted for by Safeguard facilities (DCCEEW 2026b, p. 40). This provides a transparent basis for allocating the task. However, the efficiency of this approach depends on the relative cost of emissions reductions available across the economy. Target-consistent carbon values could provide a benchmark for calibrating the Safeguard Mechanism’s post-2030 settings against the marginal cost of emissions reductions needed to meet Australia’s targets (PC 2025</w:t>
      </w:r>
      <w:r w:rsidR="00DE49A9">
        <w:t>a</w:t>
      </w:r>
      <w:r w:rsidRPr="00781952">
        <w:t xml:space="preserve">, pp. </w:t>
      </w:r>
      <w:r w:rsidR="00906FB9">
        <w:t>30</w:t>
      </w:r>
      <w:r w:rsidRPr="00781952">
        <w:t>–</w:t>
      </w:r>
      <w:r w:rsidR="00906FB9">
        <w:t>32</w:t>
      </w:r>
      <w:r w:rsidRPr="00781952">
        <w:t>).</w:t>
      </w:r>
    </w:p>
    <w:p w14:paraId="0B7B1579" w14:textId="56C18DA8" w:rsidR="00067C2A" w:rsidRPr="00067C2A" w:rsidRDefault="003B45BA" w:rsidP="000D4CAE">
      <w:pPr>
        <w:pStyle w:val="Heading2-nonumber"/>
      </w:pPr>
      <w:r>
        <w:t xml:space="preserve">Progressively </w:t>
      </w:r>
      <w:r w:rsidR="008F72C3">
        <w:t>i</w:t>
      </w:r>
      <w:r w:rsidR="002E5FFD">
        <w:t>ntroduce a border carbon adjustment and remove overlapping assistance</w:t>
      </w:r>
    </w:p>
    <w:p w14:paraId="46AFC585" w14:textId="5CA8EF9F" w:rsidR="00F420C0" w:rsidRDefault="00CE1221" w:rsidP="00996506">
      <w:pPr>
        <w:pStyle w:val="BodyText"/>
      </w:pPr>
      <w:r w:rsidRPr="00CE1221">
        <w:t>The PC supports introducing the border carbon adjustment recommended by the Carbon Leakage Review. The proposal aligns with the PC’s approach to addressing carbon leakage: an adjustment should mirror the effective carbon liability faced by equivalent domestic production, account for explicit carbon prices paid overseas and avoid becoming a form of industry protection (PC 2024, pp. 3–4). Consistent with the PC’s emphasis on evidence-based assessment of carbon leakage risks, the adjustment should initially be limited to cement and clinker, which the Carbon Leakage Review identified as most suitable for initial coverage following its assessment of leakage risks and implementation feasibility (DCCEEW 2025, pp. 19, 71–78).</w:t>
      </w:r>
    </w:p>
    <w:p w14:paraId="75BE7A11" w14:textId="67F12352" w:rsidR="00C92F70" w:rsidRDefault="00603D74" w:rsidP="003C1941">
      <w:pPr>
        <w:pStyle w:val="BodyText"/>
      </w:pPr>
      <w:r w:rsidRPr="008F72C3">
        <w:t xml:space="preserve">Trade-exposed baseline-adjusted treatment should be removed </w:t>
      </w:r>
      <w:r w:rsidR="008B10D7">
        <w:t>in tandem with the introduction of a</w:t>
      </w:r>
      <w:r w:rsidRPr="003C1941">
        <w:t xml:space="preserve"> border carbon adjustment </w:t>
      </w:r>
      <w:r w:rsidR="008B10D7">
        <w:t>to maintain trade neutrality</w:t>
      </w:r>
      <w:r w:rsidRPr="000B6E82">
        <w:t xml:space="preserve">, consistent with the PC’s previous recommendation and the Carbon Leakage Review (PC 2024, p. 4; DCCEEW 2025, p. 19). A border carbon adjustment would address carbon leakage risk more directly by applying to imports a carbon liability equivalent to that faced by domestic </w:t>
      </w:r>
      <w:r>
        <w:t>producers</w:t>
      </w:r>
      <w:r w:rsidRPr="000B6E82">
        <w:t>, removing the rationale for reducing the Safeguard obligations faced by domestic producers.</w:t>
      </w:r>
    </w:p>
    <w:p w14:paraId="5CF6C92D" w14:textId="50138C8D" w:rsidR="00A91551" w:rsidRDefault="00A53B59" w:rsidP="003642A5">
      <w:pPr>
        <w:pStyle w:val="Heading2-nonumber"/>
      </w:pPr>
      <w:r>
        <w:t>R</w:t>
      </w:r>
      <w:r w:rsidR="00A91551">
        <w:t>eference</w:t>
      </w:r>
      <w:r w:rsidR="003642A5">
        <w:t>s</w:t>
      </w:r>
    </w:p>
    <w:p w14:paraId="1E41B8AD" w14:textId="5629B8C3" w:rsidR="00EB2FBB" w:rsidRDefault="00EB2FBB" w:rsidP="003642A5">
      <w:pPr>
        <w:pStyle w:val="Reference"/>
        <w:sectPr w:rsidR="00EB2FBB" w:rsidSect="00D461D7">
          <w:headerReference w:type="even" r:id="rId16"/>
          <w:headerReference w:type="default" r:id="rId17"/>
          <w:footerReference w:type="even" r:id="rId18"/>
          <w:footerReference w:type="default" r:id="rId19"/>
          <w:headerReference w:type="first" r:id="rId20"/>
          <w:footerReference w:type="first" r:id="rId21"/>
          <w:pgSz w:w="11906" w:h="16838" w:code="9"/>
          <w:pgMar w:top="1134" w:right="1134" w:bottom="1134" w:left="1134" w:header="794" w:footer="510" w:gutter="0"/>
          <w:cols w:space="708"/>
          <w:titlePg/>
          <w:docGrid w:linePitch="360"/>
        </w:sectPr>
      </w:pPr>
    </w:p>
    <w:p w14:paraId="49770F3C" w14:textId="485FAE73" w:rsidR="003D77B7" w:rsidRDefault="003D77B7" w:rsidP="00FB0B60">
      <w:pPr>
        <w:pStyle w:val="Reference"/>
      </w:pPr>
      <w:r>
        <w:t xml:space="preserve">CCA (Climate Change Authority) 2023, </w:t>
      </w:r>
      <w:r>
        <w:rPr>
          <w:i/>
          <w:iCs/>
        </w:rPr>
        <w:t>2023 review of the Carbon Credits (Carbon Far</w:t>
      </w:r>
      <w:r w:rsidR="00736066">
        <w:rPr>
          <w:i/>
          <w:iCs/>
        </w:rPr>
        <w:t xml:space="preserve">ming </w:t>
      </w:r>
      <w:r w:rsidR="000B46ED">
        <w:rPr>
          <w:i/>
          <w:iCs/>
        </w:rPr>
        <w:t>Initiative</w:t>
      </w:r>
      <w:r w:rsidR="00736066">
        <w:rPr>
          <w:i/>
          <w:iCs/>
        </w:rPr>
        <w:t xml:space="preserve">) Act </w:t>
      </w:r>
      <w:r w:rsidR="000B46ED">
        <w:rPr>
          <w:i/>
          <w:iCs/>
        </w:rPr>
        <w:t>2011</w:t>
      </w:r>
      <w:r w:rsidR="000B46ED">
        <w:t>.</w:t>
      </w:r>
    </w:p>
    <w:p w14:paraId="4C3BC7F3" w14:textId="2B201025" w:rsidR="000B46ED" w:rsidRPr="0001088D" w:rsidRDefault="000B46ED" w:rsidP="00FB0B60">
      <w:pPr>
        <w:pStyle w:val="Reference"/>
      </w:pPr>
      <w:r w:rsidRPr="00406DA9">
        <w:t>——</w:t>
      </w:r>
      <w:r w:rsidR="00FD347B">
        <w:t> </w:t>
      </w:r>
      <w:r w:rsidRPr="00406DA9">
        <w:t>202</w:t>
      </w:r>
      <w:r>
        <w:t xml:space="preserve">6, </w:t>
      </w:r>
      <w:r w:rsidR="0056712B">
        <w:rPr>
          <w:i/>
          <w:iCs/>
        </w:rPr>
        <w:t>2026 review of the Carbon Credits</w:t>
      </w:r>
      <w:r w:rsidR="00F82161">
        <w:rPr>
          <w:i/>
          <w:iCs/>
        </w:rPr>
        <w:t xml:space="preserve"> (Carbon Farming Initiative</w:t>
      </w:r>
      <w:r w:rsidR="003D3D34">
        <w:rPr>
          <w:i/>
          <w:iCs/>
        </w:rPr>
        <w:t>) Act 2011</w:t>
      </w:r>
      <w:r w:rsidR="0001088D">
        <w:t>.</w:t>
      </w:r>
    </w:p>
    <w:p w14:paraId="02366074" w14:textId="4EAF9756" w:rsidR="00155A8A" w:rsidRPr="00706C33" w:rsidRDefault="00FB0B60" w:rsidP="00FB0B60">
      <w:pPr>
        <w:pStyle w:val="Reference"/>
      </w:pPr>
      <w:r w:rsidRPr="00406DA9">
        <w:t xml:space="preserve">DCCEEW (Australian Government Department of Climate Change, Energy, the Environment and Water) </w:t>
      </w:r>
      <w:r w:rsidR="00706C33">
        <w:t xml:space="preserve">2025, </w:t>
      </w:r>
      <w:r w:rsidR="00706C33">
        <w:rPr>
          <w:i/>
          <w:iCs/>
        </w:rPr>
        <w:t>Carbon leakage review: final report</w:t>
      </w:r>
      <w:r w:rsidR="00706C33">
        <w:t>.</w:t>
      </w:r>
    </w:p>
    <w:p w14:paraId="63A445B3" w14:textId="1FF8286A" w:rsidR="00FD32D8" w:rsidRDefault="00706C33" w:rsidP="00FB0B60">
      <w:pPr>
        <w:pStyle w:val="Reference"/>
      </w:pPr>
      <w:r w:rsidRPr="00406DA9">
        <w:t>——</w:t>
      </w:r>
      <w:r w:rsidR="00FD347B">
        <w:t> </w:t>
      </w:r>
      <w:r w:rsidR="00FB0B60" w:rsidRPr="00406DA9">
        <w:t>202</w:t>
      </w:r>
      <w:r w:rsidR="00FB0B60">
        <w:t>6a</w:t>
      </w:r>
      <w:r w:rsidR="00FB0B60" w:rsidRPr="00406DA9">
        <w:t xml:space="preserve">, </w:t>
      </w:r>
      <w:r w:rsidR="00B927F1">
        <w:rPr>
          <w:i/>
          <w:iCs/>
        </w:rPr>
        <w:t>20</w:t>
      </w:r>
      <w:r w:rsidR="00FB0B60">
        <w:rPr>
          <w:i/>
          <w:iCs/>
        </w:rPr>
        <w:t xml:space="preserve">26-27 </w:t>
      </w:r>
      <w:r w:rsidR="00FD32D8">
        <w:rPr>
          <w:i/>
          <w:iCs/>
        </w:rPr>
        <w:t>review of the Safeguard Mechanism</w:t>
      </w:r>
      <w:r w:rsidR="00FD32D8" w:rsidRPr="00FD32D8">
        <w:t>,</w:t>
      </w:r>
      <w:r w:rsidR="00FD32D8">
        <w:rPr>
          <w:i/>
          <w:iCs/>
        </w:rPr>
        <w:t xml:space="preserve"> </w:t>
      </w:r>
      <w:hyperlink r:id="rId22" w:history="1">
        <w:r w:rsidR="00FB23C6" w:rsidRPr="00E07BF7">
          <w:rPr>
            <w:rStyle w:val="Hyperlink"/>
            <w:u w:val="none"/>
          </w:rPr>
          <w:t>https://www.dcceew.gov.au/climate-change/emissions-reporting/national-greenhouse-energy-reporting-scheme/safeguard-mechanism/2026-67-review-of-the-safeguard-mechanism</w:t>
        </w:r>
      </w:hyperlink>
      <w:r w:rsidR="00CB4038" w:rsidRPr="00CB4038">
        <w:t xml:space="preserve"> (accessed 3 September 2026)</w:t>
      </w:r>
      <w:r w:rsidR="005E65F2">
        <w:t>.</w:t>
      </w:r>
    </w:p>
    <w:p w14:paraId="48E562BD" w14:textId="759C4A5C" w:rsidR="00A07B94" w:rsidRPr="00225A2E" w:rsidRDefault="00A07B94" w:rsidP="00FB0B60">
      <w:pPr>
        <w:pStyle w:val="Reference"/>
      </w:pPr>
      <w:r w:rsidRPr="00406DA9">
        <w:t>——</w:t>
      </w:r>
      <w:r>
        <w:t> </w:t>
      </w:r>
      <w:r w:rsidRPr="00406DA9">
        <w:t>202</w:t>
      </w:r>
      <w:r>
        <w:t>6</w:t>
      </w:r>
      <w:r w:rsidR="0083417F">
        <w:t>b</w:t>
      </w:r>
      <w:r w:rsidR="00225A2E">
        <w:t xml:space="preserve">, </w:t>
      </w:r>
      <w:r w:rsidR="00225A2E">
        <w:rPr>
          <w:i/>
          <w:iCs/>
        </w:rPr>
        <w:t>Safeguard Mechanism review: consultation paper</w:t>
      </w:r>
      <w:r w:rsidR="00225A2E">
        <w:t>.</w:t>
      </w:r>
    </w:p>
    <w:p w14:paraId="04C983FB" w14:textId="28833D5C" w:rsidR="00266716" w:rsidRDefault="007601B5" w:rsidP="003642A5">
      <w:pPr>
        <w:pStyle w:val="Reference"/>
      </w:pPr>
      <w:r w:rsidRPr="0067156B">
        <w:t xml:space="preserve">DCCEEW and DITRDCSA (Australian Government Department of Infrastructure, Transport, Regional Development, Communications, Sport and the Arts) 2026, </w:t>
      </w:r>
      <w:r w:rsidRPr="0067156B">
        <w:rPr>
          <w:i/>
          <w:iCs/>
        </w:rPr>
        <w:t>Securing Australia’s cleaner fuels industry: consultation paper on a demand mechanism</w:t>
      </w:r>
      <w:r w:rsidRPr="0067156B">
        <w:t>.</w:t>
      </w:r>
    </w:p>
    <w:p w14:paraId="387EF486" w14:textId="77777777" w:rsidR="003A6F52" w:rsidRPr="00176768" w:rsidRDefault="003A6F52" w:rsidP="003A6F52">
      <w:pPr>
        <w:pStyle w:val="Reference"/>
      </w:pPr>
      <w:r>
        <w:t xml:space="preserve">EY Net Zero Centre 2026, </w:t>
      </w:r>
      <w:r>
        <w:rPr>
          <w:i/>
          <w:iCs/>
        </w:rPr>
        <w:t>A time for clarity and confidence: Australian carbon market outlook 2026</w:t>
      </w:r>
      <w:r>
        <w:t>.</w:t>
      </w:r>
    </w:p>
    <w:p w14:paraId="56DAF7A7" w14:textId="3E0BE1F8" w:rsidR="009856A7" w:rsidRPr="009856A7" w:rsidRDefault="00CB4038" w:rsidP="003642A5">
      <w:pPr>
        <w:pStyle w:val="Reference"/>
      </w:pPr>
      <w:r>
        <w:t>EY-</w:t>
      </w:r>
      <w:r w:rsidR="003E2E6B">
        <w:t xml:space="preserve">Parthenon Strategy 2026, </w:t>
      </w:r>
      <w:r w:rsidR="003E2E6B" w:rsidRPr="003E2E6B">
        <w:rPr>
          <w:i/>
          <w:iCs/>
        </w:rPr>
        <w:t>Analysis of Safeguard Mechanism (SGM) policy options</w:t>
      </w:r>
      <w:r w:rsidR="009856A7">
        <w:t>, Technical report prepared for the Investor Group on Climate Change (Australia and New Zealand)</w:t>
      </w:r>
      <w:r w:rsidR="00A07B94">
        <w:t>.</w:t>
      </w:r>
    </w:p>
    <w:p w14:paraId="7CA53F1B" w14:textId="5E6706F0" w:rsidR="007D3B0B" w:rsidRPr="002202D8" w:rsidRDefault="0087318D" w:rsidP="007D3B0B">
      <w:pPr>
        <w:pStyle w:val="Reference"/>
        <w:rPr>
          <w:spacing w:val="-4"/>
        </w:rPr>
      </w:pPr>
      <w:r w:rsidRPr="002202D8">
        <w:rPr>
          <w:spacing w:val="-4"/>
        </w:rPr>
        <w:t xml:space="preserve">PC (Productivity Commission) </w:t>
      </w:r>
      <w:r w:rsidR="007D3B0B" w:rsidRPr="002202D8">
        <w:rPr>
          <w:spacing w:val="-4"/>
        </w:rPr>
        <w:t xml:space="preserve">2024, </w:t>
      </w:r>
      <w:r w:rsidR="007D3B0B" w:rsidRPr="002202D8">
        <w:rPr>
          <w:i/>
          <w:spacing w:val="-4"/>
        </w:rPr>
        <w:t>Submission to the Carbon Leakage Review</w:t>
      </w:r>
      <w:r w:rsidR="007D3B0B" w:rsidRPr="002202D8">
        <w:rPr>
          <w:spacing w:val="-4"/>
        </w:rPr>
        <w:t>, Productivity Commission submission.</w:t>
      </w:r>
    </w:p>
    <w:p w14:paraId="700CA5B5" w14:textId="59960091" w:rsidR="00CB4038" w:rsidRDefault="0087318D" w:rsidP="00CB4038">
      <w:pPr>
        <w:pStyle w:val="Reference"/>
      </w:pPr>
      <w:r w:rsidRPr="007D3B0B">
        <w:t>——</w:t>
      </w:r>
      <w:r w:rsidR="007E0B7E">
        <w:t> </w:t>
      </w:r>
      <w:r w:rsidR="00CB4038" w:rsidRPr="00406DA9">
        <w:t>2025</w:t>
      </w:r>
      <w:r w:rsidR="00DE49A9">
        <w:t>a</w:t>
      </w:r>
      <w:r w:rsidR="00CB4038" w:rsidRPr="00406DA9">
        <w:t xml:space="preserve">, </w:t>
      </w:r>
      <w:r w:rsidR="00CB4038" w:rsidRPr="00406DA9">
        <w:rPr>
          <w:i/>
          <w:iCs/>
        </w:rPr>
        <w:t>Investing in cheaper, cleaner energy and the net zero transformation</w:t>
      </w:r>
      <w:r w:rsidR="00CB4038" w:rsidRPr="00406DA9">
        <w:t>, Inquiry report no. 113, Canberra.</w:t>
      </w:r>
    </w:p>
    <w:p w14:paraId="18DB4C7A" w14:textId="29E318A4" w:rsidR="00DE49A9" w:rsidRDefault="00DE49A9" w:rsidP="00DE49A9">
      <w:pPr>
        <w:pStyle w:val="Reference"/>
      </w:pPr>
      <w:r w:rsidRPr="007D3B0B">
        <w:t>——</w:t>
      </w:r>
      <w:r w:rsidR="007E0B7E">
        <w:t> </w:t>
      </w:r>
      <w:r w:rsidRPr="00406DA9">
        <w:t>2025</w:t>
      </w:r>
      <w:r w:rsidR="00F66430">
        <w:t>b</w:t>
      </w:r>
      <w:r w:rsidRPr="00406DA9">
        <w:t xml:space="preserve">, </w:t>
      </w:r>
      <w:r w:rsidR="00F66430">
        <w:rPr>
          <w:i/>
          <w:iCs/>
        </w:rPr>
        <w:t>Creating a more dynamic and resilient economy</w:t>
      </w:r>
      <w:r w:rsidRPr="00406DA9">
        <w:t>, Inquiry report no. 1</w:t>
      </w:r>
      <w:r w:rsidR="00F66430">
        <w:t>09</w:t>
      </w:r>
      <w:r w:rsidRPr="00406DA9">
        <w:t>.</w:t>
      </w:r>
    </w:p>
    <w:p w14:paraId="27BD4950" w14:textId="6BCBD9FB" w:rsidR="0081414F" w:rsidRPr="00755E82" w:rsidRDefault="0081414F" w:rsidP="00CB4038">
      <w:pPr>
        <w:pStyle w:val="Reference"/>
        <w:rPr>
          <w:spacing w:val="-4"/>
        </w:rPr>
      </w:pPr>
      <w:r w:rsidRPr="00755E82">
        <w:rPr>
          <w:spacing w:val="-4"/>
        </w:rPr>
        <w:t>RepuTex Energy 2025, S</w:t>
      </w:r>
      <w:r w:rsidRPr="00755E82">
        <w:rPr>
          <w:i/>
          <w:spacing w:val="-4"/>
        </w:rPr>
        <w:t>ummary results: scenarios for the cost of Safeguard Mechanism abatement</w:t>
      </w:r>
      <w:r w:rsidR="009B4D73" w:rsidRPr="00755E82">
        <w:rPr>
          <w:spacing w:val="-4"/>
        </w:rPr>
        <w:t>, report prepared for the PC.</w:t>
      </w:r>
    </w:p>
    <w:p w14:paraId="309EBDF2" w14:textId="2349D27E" w:rsidR="00EB2FBB" w:rsidRDefault="00EB2FBB" w:rsidP="002202D8">
      <w:pPr>
        <w:pStyle w:val="Reference"/>
        <w:spacing w:after="0"/>
        <w:sectPr w:rsidR="00EB2FBB" w:rsidSect="00EB2FBB">
          <w:type w:val="continuous"/>
          <w:pgSz w:w="11906" w:h="16838" w:code="9"/>
          <w:pgMar w:top="1134" w:right="1134" w:bottom="1134" w:left="1134" w:header="794" w:footer="510" w:gutter="0"/>
          <w:cols w:num="2" w:space="708"/>
          <w:titlePg/>
          <w:docGrid w:linePitch="360"/>
        </w:sectPr>
      </w:pPr>
    </w:p>
    <w:p w14:paraId="0290A894" w14:textId="19A1E835" w:rsidR="00A91551" w:rsidRPr="00176C58" w:rsidRDefault="0070237E" w:rsidP="00176C58">
      <w:pPr>
        <w:pStyle w:val="Reference"/>
        <w:spacing w:after="0" w:line="20" w:lineRule="exact"/>
        <w:rPr>
          <w:sz w:val="2"/>
          <w:szCs w:val="2"/>
        </w:rPr>
      </w:pPr>
      <w:r>
        <w:rPr>
          <w:noProof/>
        </w:rPr>
        <w:drawing>
          <wp:anchor distT="0" distB="0" distL="114300" distR="114300" simplePos="0" relativeHeight="251658240" behindDoc="0" locked="0" layoutInCell="1" allowOverlap="1" wp14:anchorId="1F7C9409" wp14:editId="1903E05B">
            <wp:simplePos x="0" y="0"/>
            <wp:positionH relativeFrom="column">
              <wp:posOffset>-229870</wp:posOffset>
            </wp:positionH>
            <wp:positionV relativeFrom="paragraph">
              <wp:posOffset>504937</wp:posOffset>
            </wp:positionV>
            <wp:extent cx="1332000" cy="421571"/>
            <wp:effectExtent l="0" t="0" r="0" b="0"/>
            <wp:wrapNone/>
            <wp:docPr id="1961567661"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567661" name="Picture 6">
                      <a:extLst>
                        <a:ext uri="{C183D7F6-B498-43B3-948B-1728B52AA6E4}">
                          <adec:decorative xmlns:adec="http://schemas.microsoft.com/office/drawing/2017/decorative" val="1"/>
                        </a:ext>
                      </a:extLst>
                    </pic:cNvPr>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332000" cy="421571"/>
                    </a:xfrm>
                    <a:prstGeom prst="rect">
                      <a:avLst/>
                    </a:prstGeom>
                  </pic:spPr>
                </pic:pic>
              </a:graphicData>
            </a:graphic>
            <wp14:sizeRelH relativeFrom="page">
              <wp14:pctWidth>0</wp14:pctWidth>
            </wp14:sizeRelH>
            <wp14:sizeRelV relativeFrom="page">
              <wp14:pctHeight>0</wp14:pctHeight>
            </wp14:sizeRelV>
          </wp:anchor>
        </w:drawing>
      </w:r>
    </w:p>
    <w:sectPr w:rsidR="00A91551" w:rsidRPr="00176C58" w:rsidSect="00EB2FBB">
      <w:type w:val="continuous"/>
      <w:pgSz w:w="11906" w:h="16838" w:code="9"/>
      <w:pgMar w:top="1134" w:right="1134" w:bottom="1134" w:left="1134" w:header="794" w:footer="510" w:gutter="0"/>
      <w:cols w:num="2"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4DF3B" w14:textId="77777777" w:rsidR="005A5523" w:rsidRDefault="005A5523" w:rsidP="008017BC">
      <w:r>
        <w:separator/>
      </w:r>
    </w:p>
    <w:p w14:paraId="7A84AE33" w14:textId="77777777" w:rsidR="005A5523" w:rsidRDefault="005A5523"/>
  </w:endnote>
  <w:endnote w:type="continuationSeparator" w:id="0">
    <w:p w14:paraId="7B1044C3" w14:textId="77777777" w:rsidR="005A5523" w:rsidRDefault="005A5523" w:rsidP="008017BC">
      <w:r>
        <w:continuationSeparator/>
      </w:r>
    </w:p>
    <w:p w14:paraId="3A2AF06A" w14:textId="77777777" w:rsidR="005A5523" w:rsidRDefault="005A55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Open Sans Extrabold">
    <w:panose1 w:val="020B0906030804020204"/>
    <w:charset w:val="00"/>
    <w:family w:val="swiss"/>
    <w:pitch w:val="variable"/>
    <w:sig w:usb0="E00002EF" w:usb1="4000205B" w:usb2="00000028" w:usb3="00000000" w:csb0="0000019F" w:csb1="00000000"/>
  </w:font>
  <w:font w:name="SimHei">
    <w:panose1 w:val="02010600030101010101"/>
    <w:charset w:val="86"/>
    <w:family w:val="modern"/>
    <w:pitch w:val="fixed"/>
    <w:sig w:usb0="800002BF" w:usb1="38CF7CFA"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Open Sans Semibold">
    <w:panose1 w:val="020B07060308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4984780"/>
      <w:docPartObj>
        <w:docPartGallery w:val="Page Numbers (Top of Page)"/>
        <w:docPartUnique/>
      </w:docPartObj>
    </w:sdtPr>
    <w:sdtContent>
      <w:p w14:paraId="2EEA032E" w14:textId="657F35C8" w:rsidR="00E92FEE" w:rsidRDefault="00E84A3C" w:rsidP="00E84A3C">
        <w:pPr>
          <w:pStyle w:val="Footer-right"/>
        </w:pPr>
        <w:r w:rsidRPr="0042508F">
          <w:rPr>
            <w:sz w:val="24"/>
          </w:rPr>
          <w:fldChar w:fldCharType="begin"/>
        </w:r>
        <w:r w:rsidRPr="0042508F">
          <w:instrText xml:space="preserve"> PAGE </w:instrText>
        </w:r>
        <w:r w:rsidRPr="0042508F">
          <w:rPr>
            <w:sz w:val="24"/>
          </w:rPr>
          <w:fldChar w:fldCharType="separate"/>
        </w:r>
        <w:r>
          <w:rPr>
            <w:sz w:val="24"/>
          </w:rPr>
          <w:t>1</w:t>
        </w:r>
        <w:r w:rsidRPr="0042508F">
          <w:rPr>
            <w:sz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9873612"/>
      <w:docPartObj>
        <w:docPartGallery w:val="Page Numbers (Bottom of Page)"/>
        <w:docPartUnique/>
      </w:docPartObj>
    </w:sdtPr>
    <w:sdtEndPr>
      <w:rPr>
        <w:noProof/>
      </w:rPr>
    </w:sdtEndPr>
    <w:sdtContent>
      <w:p w14:paraId="68AAA266" w14:textId="3D4BEB4E" w:rsidR="00144F56" w:rsidRDefault="00144F56" w:rsidP="008C58ED">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3942680"/>
      <w:docPartObj>
        <w:docPartGallery w:val="Page Numbers (Top of Page)"/>
        <w:docPartUnique/>
      </w:docPartObj>
    </w:sdtPr>
    <w:sdtContent>
      <w:p w14:paraId="465BD1E9" w14:textId="77777777" w:rsidR="007F3A6F" w:rsidRDefault="007F3A6F" w:rsidP="001A2437">
        <w:pPr>
          <w:pStyle w:val="Footer-right"/>
        </w:pPr>
        <w:r>
          <w:rPr>
            <w:noProof/>
          </w:rPr>
          <w:drawing>
            <wp:anchor distT="0" distB="0" distL="114300" distR="114300" simplePos="0" relativeHeight="251658240" behindDoc="0" locked="0" layoutInCell="1" allowOverlap="1" wp14:anchorId="4B90A771" wp14:editId="7AAB4F7C">
              <wp:simplePos x="0" y="0"/>
              <wp:positionH relativeFrom="column">
                <wp:posOffset>-212837</wp:posOffset>
              </wp:positionH>
              <wp:positionV relativeFrom="paragraph">
                <wp:posOffset>-53975</wp:posOffset>
              </wp:positionV>
              <wp:extent cx="1332000" cy="421571"/>
              <wp:effectExtent l="0" t="0" r="0" b="0"/>
              <wp:wrapNone/>
              <wp:docPr id="1592752487"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752487" name="Picture 6">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332000" cy="421571"/>
                      </a:xfrm>
                      <a:prstGeom prst="rect">
                        <a:avLst/>
                      </a:prstGeom>
                    </pic:spPr>
                  </pic:pic>
                </a:graphicData>
              </a:graphic>
              <wp14:sizeRelH relativeFrom="page">
                <wp14:pctWidth>0</wp14:pctWidth>
              </wp14:sizeRelH>
              <wp14:sizeRelV relativeFrom="page">
                <wp14:pctHeight>0</wp14:pctHeight>
              </wp14:sizeRelV>
            </wp:anchor>
          </w:drawing>
        </w:r>
        <w:r w:rsidRPr="0042508F">
          <w:rPr>
            <w:sz w:val="24"/>
          </w:rPr>
          <w:fldChar w:fldCharType="begin"/>
        </w:r>
        <w:r w:rsidRPr="0042508F">
          <w:instrText xml:space="preserve"> PAGE </w:instrText>
        </w:r>
        <w:r w:rsidRPr="0042508F">
          <w:rPr>
            <w:sz w:val="24"/>
          </w:rPr>
          <w:fldChar w:fldCharType="separate"/>
        </w:r>
        <w:r>
          <w:rPr>
            <w:sz w:val="24"/>
          </w:rPr>
          <w:t>3</w:t>
        </w:r>
        <w:r w:rsidRPr="0042508F">
          <w:rPr>
            <w:sz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9C65C0" w14:textId="77777777" w:rsidR="005A5523" w:rsidRPr="00C238D1" w:rsidRDefault="005A5523" w:rsidP="00273E86">
      <w:pPr>
        <w:spacing w:after="0" w:line="240" w:lineRule="auto"/>
        <w:rPr>
          <w:rStyle w:val="ColourDarkBlue"/>
        </w:rPr>
      </w:pPr>
      <w:r w:rsidRPr="00C238D1">
        <w:rPr>
          <w:rStyle w:val="ColourDarkBlue"/>
        </w:rPr>
        <w:continuationSeparator/>
      </w:r>
    </w:p>
  </w:footnote>
  <w:footnote w:type="continuationSeparator" w:id="0">
    <w:p w14:paraId="31235E86" w14:textId="77777777" w:rsidR="005A5523" w:rsidRPr="001D7D9B" w:rsidRDefault="005A5523" w:rsidP="001D7D9B">
      <w:pPr>
        <w:spacing w:after="0" w:line="240" w:lineRule="auto"/>
        <w:rPr>
          <w:color w:val="265A9A" w:themeColor="background2"/>
        </w:rPr>
      </w:pPr>
      <w:r w:rsidRPr="00C238D1">
        <w:rPr>
          <w:rStyle w:val="ColourDarkBlue"/>
        </w:rPr>
        <w:continuationSeparator/>
      </w:r>
    </w:p>
  </w:footnote>
  <w:footnote w:type="continuationNotice" w:id="1">
    <w:p w14:paraId="2B17B531" w14:textId="77777777" w:rsidR="005A5523" w:rsidRDefault="005A552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57E84" w14:textId="5AF831D3" w:rsidR="00E92FEE" w:rsidRDefault="00033468" w:rsidP="00033468">
    <w:pPr>
      <w:pStyle w:val="Header-KeylineRight"/>
    </w:pPr>
    <w:r>
      <w:t>PC submission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96893" w14:textId="069EC216" w:rsidR="00E92FEE" w:rsidRDefault="00230270" w:rsidP="008C58ED">
    <w:pPr>
      <w:pStyle w:val="Header-KeylineRight"/>
    </w:pPr>
    <w:fldSimple w:instr=" STYLEREF  &quot;Heading 1-no background&quot;  \* MERGEFORMAT ">
      <w:r w:rsidR="00254834">
        <w:rPr>
          <w:noProof/>
        </w:rPr>
        <w:t>Safeguard Mechanism review</w:t>
      </w:r>
    </w:fldSimple>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39759" w14:textId="5256D6D4" w:rsidR="00353BB0" w:rsidRPr="001E5185" w:rsidRDefault="00D017C8" w:rsidP="00353BB0">
    <w:pPr>
      <w:pStyle w:val="Header-KeylineRight"/>
    </w:pPr>
    <w:r>
      <w:rPr>
        <w:noProof/>
      </w:rPr>
      <w:drawing>
        <wp:anchor distT="0" distB="0" distL="114300" distR="114300" simplePos="0" relativeHeight="251658241" behindDoc="0" locked="0" layoutInCell="1" allowOverlap="1" wp14:anchorId="687C5BA7" wp14:editId="3E54C793">
          <wp:simplePos x="0" y="0"/>
          <wp:positionH relativeFrom="page">
            <wp:align>left</wp:align>
          </wp:positionH>
          <wp:positionV relativeFrom="paragraph">
            <wp:posOffset>-504700</wp:posOffset>
          </wp:positionV>
          <wp:extent cx="7560000" cy="1762536"/>
          <wp:effectExtent l="0" t="0" r="3175" b="9525"/>
          <wp:wrapNone/>
          <wp:docPr id="268881957" name="Picture 1" descr="Australian Government | Productivity Commission logo: PC submission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881957" name="Picture 1" descr="Australian Government | Productivity Commission logo: PC submission banner"/>
                  <pic:cNvPicPr/>
                </pic:nvPicPr>
                <pic:blipFill>
                  <a:blip r:embed="rId1">
                    <a:extLst>
                      <a:ext uri="{28A0092B-C50C-407E-A947-70E740481C1C}">
                        <a14:useLocalDpi xmlns:a14="http://schemas.microsoft.com/office/drawing/2010/main" val="0"/>
                      </a:ext>
                    </a:extLst>
                  </a:blip>
                  <a:stretch>
                    <a:fillRect/>
                  </a:stretch>
                </pic:blipFill>
                <pic:spPr>
                  <a:xfrm>
                    <a:off x="0" y="0"/>
                    <a:ext cx="7560000" cy="1762536"/>
                  </a:xfrm>
                  <a:prstGeom prst="rect">
                    <a:avLst/>
                  </a:prstGeom>
                </pic:spPr>
              </pic:pic>
            </a:graphicData>
          </a:graphic>
          <wp14:sizeRelH relativeFrom="page">
            <wp14:pctWidth>0</wp14:pctWidth>
          </wp14:sizeRelH>
          <wp14:sizeRelV relativeFrom="page">
            <wp14:pctHeight>0</wp14:pctHeight>
          </wp14:sizeRelV>
        </wp:anchor>
      </w:drawing>
    </w:r>
    <w:r w:rsidR="00353BB0">
      <w:t>PC submission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CF5454E4"/>
    <w:lvl w:ilvl="0">
      <w:start w:val="1"/>
      <w:numFmt w:val="bullet"/>
      <w:pStyle w:val="ListBullet5"/>
      <w:lvlText w:val=""/>
      <w:lvlJc w:val="left"/>
      <w:pPr>
        <w:tabs>
          <w:tab w:val="num" w:pos="1492"/>
        </w:tabs>
        <w:ind w:left="1492" w:hanging="360"/>
      </w:pPr>
      <w:rPr>
        <w:rFonts w:ascii="Symbol" w:hAnsi="Symbol" w:hint="default"/>
      </w:rPr>
    </w:lvl>
  </w:abstractNum>
  <w:abstractNum w:abstractNumId="1" w15:restartNumberingAfterBreak="0">
    <w:nsid w:val="074A6380"/>
    <w:multiLevelType w:val="multilevel"/>
    <w:tmpl w:val="C47EA3E6"/>
    <w:styleLink w:val="TableList"/>
    <w:lvl w:ilvl="0">
      <w:start w:val="1"/>
      <w:numFmt w:val="decimal"/>
      <w:pStyle w:val="TableHeading-numbered"/>
      <w:suff w:val="space"/>
      <w:lvlText w:val="%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9C1734A"/>
    <w:multiLevelType w:val="multilevel"/>
    <w:tmpl w:val="72768BCE"/>
    <w:styleLink w:val="AppendixHeadingList"/>
    <w:lvl w:ilvl="0">
      <w:start w:val="1"/>
      <w:numFmt w:val="upperLetter"/>
      <w:pStyle w:val="Heading-Appendix"/>
      <w:lvlText w:val="%1."/>
      <w:lvlJc w:val="left"/>
      <w:pPr>
        <w:ind w:left="1418" w:hanging="851"/>
      </w:pPr>
      <w:rPr>
        <w:rFonts w:hint="default"/>
      </w:rPr>
    </w:lvl>
    <w:lvl w:ilvl="1">
      <w:start w:val="1"/>
      <w:numFmt w:val="decimal"/>
      <w:pStyle w:val="Heading2-Appendix"/>
      <w:lvlText w:val="%1.%2"/>
      <w:lvlJc w:val="left"/>
      <w:pPr>
        <w:ind w:left="851" w:hanging="851"/>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AC2735F"/>
    <w:multiLevelType w:val="multilevel"/>
    <w:tmpl w:val="EE6A07A2"/>
    <w:styleLink w:val="ListHeadings"/>
    <w:lvl w:ilvl="0">
      <w:start w:val="1"/>
      <w:numFmt w:val="decimal"/>
      <w:isLgl/>
      <w:lvlText w:val="%1."/>
      <w:lvlJc w:val="left"/>
      <w:pPr>
        <w:ind w:left="1418" w:hanging="851"/>
      </w:pPr>
      <w:rPr>
        <w:rFonts w:hint="default"/>
      </w:rPr>
    </w:lvl>
    <w:lvl w:ilvl="1">
      <w:start w:val="1"/>
      <w:numFmt w:val="decimal"/>
      <w:suff w:val="space"/>
      <w:lvlText w:val="Box %1.%2"/>
      <w:lvlJc w:val="left"/>
      <w:pPr>
        <w:ind w:left="1134" w:hanging="1134"/>
      </w:pPr>
      <w:rPr>
        <w:rFonts w:hint="default"/>
      </w:rPr>
    </w:lvl>
    <w:lvl w:ilvl="2">
      <w:start w:val="1"/>
      <w:numFmt w:val="decimal"/>
      <w:lvlText w:val="%1.%3"/>
      <w:lvlJc w:val="left"/>
      <w:pPr>
        <w:ind w:left="851" w:hanging="85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F6F37EA"/>
    <w:multiLevelType w:val="multilevel"/>
    <w:tmpl w:val="1FA8DC2A"/>
    <w:styleLink w:val="Numbering"/>
    <w:lvl w:ilvl="0">
      <w:start w:val="1"/>
      <w:numFmt w:val="decimal"/>
      <w:pStyle w:val="ListNumber"/>
      <w:lvlText w:val="%1."/>
      <w:lvlJc w:val="left"/>
      <w:pPr>
        <w:ind w:left="454" w:hanging="454"/>
      </w:pPr>
      <w:rPr>
        <w:rFonts w:hint="default"/>
      </w:rPr>
    </w:lvl>
    <w:lvl w:ilvl="1">
      <w:start w:val="1"/>
      <w:numFmt w:val="decimal"/>
      <w:pStyle w:val="ListNumber2"/>
      <w:lvlText w:val="%1.%2."/>
      <w:lvlJc w:val="left"/>
      <w:pPr>
        <w:ind w:left="680" w:hanging="680"/>
      </w:pPr>
      <w:rPr>
        <w:rFonts w:hint="default"/>
      </w:rPr>
    </w:lvl>
    <w:lvl w:ilvl="2">
      <w:start w:val="1"/>
      <w:numFmt w:val="decimal"/>
      <w:pStyle w:val="ListNumber3"/>
      <w:lvlText w:val="%1.%2.%3."/>
      <w:lvlJc w:val="left"/>
      <w:pPr>
        <w:ind w:left="907" w:hanging="907"/>
      </w:pPr>
      <w:rPr>
        <w:rFonts w:hint="default"/>
      </w:rPr>
    </w:lvl>
    <w:lvl w:ilvl="3">
      <w:start w:val="1"/>
      <w:numFmt w:val="decimal"/>
      <w:pStyle w:val="ListNumber4"/>
      <w:lvlText w:val="%1.%2.%3.%4."/>
      <w:lvlJc w:val="left"/>
      <w:pPr>
        <w:ind w:left="1134" w:hanging="1134"/>
      </w:pPr>
      <w:rPr>
        <w:rFonts w:hint="default"/>
      </w:rPr>
    </w:lvl>
    <w:lvl w:ilvl="4">
      <w:start w:val="1"/>
      <w:numFmt w:val="decimal"/>
      <w:pStyle w:val="ListNumber5"/>
      <w:lvlText w:val="%1.%2.%3.%4.%5"/>
      <w:lvlJc w:val="left"/>
      <w:pPr>
        <w:ind w:left="1361" w:hanging="1361"/>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5" w15:restartNumberingAfterBreak="0">
    <w:nsid w:val="12377B66"/>
    <w:multiLevelType w:val="multilevel"/>
    <w:tmpl w:val="4F48000A"/>
    <w:styleLink w:val="Alphalist"/>
    <w:lvl w:ilvl="0">
      <w:start w:val="1"/>
      <w:numFmt w:val="lowerLetter"/>
      <w:pStyle w:val="ListAlpha1"/>
      <w:lvlText w:val="%1."/>
      <w:lvlJc w:val="left"/>
      <w:pPr>
        <w:ind w:left="227" w:hanging="227"/>
      </w:pPr>
      <w:rPr>
        <w:rFonts w:hint="default"/>
      </w:rPr>
    </w:lvl>
    <w:lvl w:ilvl="1">
      <w:start w:val="1"/>
      <w:numFmt w:val="lowerLetter"/>
      <w:pStyle w:val="ListAlpha2"/>
      <w:lvlText w:val="%2."/>
      <w:lvlJc w:val="left"/>
      <w:pPr>
        <w:ind w:left="454" w:hanging="227"/>
      </w:pPr>
      <w:rPr>
        <w:rFonts w:hint="default"/>
      </w:rPr>
    </w:lvl>
    <w:lvl w:ilvl="2">
      <w:start w:val="1"/>
      <w:numFmt w:val="lowerRoman"/>
      <w:pStyle w:val="ListAlpha3"/>
      <w:lvlText w:val="%3."/>
      <w:lvlJc w:val="left"/>
      <w:pPr>
        <w:ind w:left="454" w:hanging="227"/>
      </w:pPr>
      <w:rPr>
        <w:rFonts w:hint="default"/>
      </w:rPr>
    </w:lvl>
    <w:lvl w:ilvl="3">
      <w:start w:val="1"/>
      <w:numFmt w:val="lowerRoman"/>
      <w:pStyle w:val="ListAlpha4"/>
      <w:lvlText w:val="%4."/>
      <w:lvlJc w:val="left"/>
      <w:pPr>
        <w:ind w:left="680" w:hanging="226"/>
      </w:pPr>
      <w:rPr>
        <w:rFonts w:hint="default"/>
      </w:rPr>
    </w:lvl>
    <w:lvl w:ilvl="4">
      <w:start w:val="1"/>
      <w:numFmt w:val="lowerLetter"/>
      <w:lvlText w:val="(%5)"/>
      <w:lvlJc w:val="left"/>
      <w:pPr>
        <w:ind w:left="907" w:hanging="227"/>
      </w:pPr>
      <w:rPr>
        <w:rFonts w:hint="default"/>
      </w:rPr>
    </w:lvl>
    <w:lvl w:ilvl="5">
      <w:start w:val="1"/>
      <w:numFmt w:val="lowerRoman"/>
      <w:lvlText w:val="(%6)"/>
      <w:lvlJc w:val="left"/>
      <w:pPr>
        <w:ind w:left="1134" w:hanging="227"/>
      </w:pPr>
      <w:rPr>
        <w:rFonts w:hint="default"/>
      </w:rPr>
    </w:lvl>
    <w:lvl w:ilvl="6">
      <w:start w:val="1"/>
      <w:numFmt w:val="decimal"/>
      <w:lvlText w:val="%7."/>
      <w:lvlJc w:val="left"/>
      <w:pPr>
        <w:ind w:left="1361" w:hanging="227"/>
      </w:pPr>
      <w:rPr>
        <w:rFonts w:hint="default"/>
      </w:rPr>
    </w:lvl>
    <w:lvl w:ilvl="7">
      <w:start w:val="1"/>
      <w:numFmt w:val="lowerLetter"/>
      <w:lvlText w:val="%8."/>
      <w:lvlJc w:val="left"/>
      <w:pPr>
        <w:ind w:left="1588" w:hanging="227"/>
      </w:pPr>
      <w:rPr>
        <w:rFonts w:hint="default"/>
      </w:rPr>
    </w:lvl>
    <w:lvl w:ilvl="8">
      <w:start w:val="1"/>
      <w:numFmt w:val="lowerRoman"/>
      <w:lvlText w:val="%9."/>
      <w:lvlJc w:val="left"/>
      <w:pPr>
        <w:ind w:left="1814" w:hanging="226"/>
      </w:pPr>
      <w:rPr>
        <w:rFonts w:hint="default"/>
      </w:rPr>
    </w:lvl>
  </w:abstractNum>
  <w:abstractNum w:abstractNumId="6" w15:restartNumberingAfterBreak="0">
    <w:nsid w:val="16155739"/>
    <w:multiLevelType w:val="multilevel"/>
    <w:tmpl w:val="55366B42"/>
    <w:styleLink w:val="LetteredList"/>
    <w:lvl w:ilvl="0">
      <w:start w:val="1"/>
      <w:numFmt w:val="lowerLetter"/>
      <w:pStyle w:val="List"/>
      <w:lvlText w:val="%1."/>
      <w:lvlJc w:val="left"/>
      <w:pPr>
        <w:ind w:left="227" w:hanging="227"/>
      </w:pPr>
      <w:rPr>
        <w:rFonts w:hint="default"/>
      </w:rPr>
    </w:lvl>
    <w:lvl w:ilvl="1">
      <w:start w:val="1"/>
      <w:numFmt w:val="lowerLetter"/>
      <w:pStyle w:val="List2"/>
      <w:lvlText w:val="%2."/>
      <w:lvlJc w:val="left"/>
      <w:pPr>
        <w:ind w:left="454" w:hanging="227"/>
      </w:pPr>
      <w:rPr>
        <w:rFonts w:hint="default"/>
      </w:rPr>
    </w:lvl>
    <w:lvl w:ilvl="2">
      <w:start w:val="1"/>
      <w:numFmt w:val="lowerRoman"/>
      <w:pStyle w:val="List3"/>
      <w:lvlText w:val="%3."/>
      <w:lvlJc w:val="left"/>
      <w:pPr>
        <w:ind w:left="454" w:hanging="227"/>
      </w:pPr>
      <w:rPr>
        <w:rFonts w:hint="default"/>
      </w:rPr>
    </w:lvl>
    <w:lvl w:ilvl="3">
      <w:start w:val="1"/>
      <w:numFmt w:val="lowerRoman"/>
      <w:pStyle w:val="List4"/>
      <w:lvlText w:val="%4."/>
      <w:lvlJc w:val="left"/>
      <w:pPr>
        <w:ind w:left="680" w:hanging="226"/>
      </w:pPr>
      <w:rPr>
        <w:rFonts w:hint="default"/>
      </w:rPr>
    </w:lvl>
    <w:lvl w:ilvl="4">
      <w:start w:val="1"/>
      <w:numFmt w:val="lowerRoman"/>
      <w:lvlText w:val="%5."/>
      <w:lvlJc w:val="left"/>
      <w:pPr>
        <w:ind w:left="907" w:hanging="227"/>
      </w:pPr>
      <w:rPr>
        <w:rFonts w:hint="default"/>
      </w:rPr>
    </w:lvl>
    <w:lvl w:ilvl="5">
      <w:start w:val="1"/>
      <w:numFmt w:val="lowerRoman"/>
      <w:lvlText w:val="%6."/>
      <w:lvlJc w:val="left"/>
      <w:pPr>
        <w:tabs>
          <w:tab w:val="num" w:pos="1644"/>
        </w:tabs>
        <w:ind w:left="1134" w:hanging="227"/>
      </w:pPr>
      <w:rPr>
        <w:rFonts w:hint="default"/>
      </w:rPr>
    </w:lvl>
    <w:lvl w:ilvl="6">
      <w:start w:val="1"/>
      <w:numFmt w:val="lowerLetter"/>
      <w:lvlText w:val="%7."/>
      <w:lvlJc w:val="left"/>
      <w:pPr>
        <w:ind w:left="1361" w:hanging="227"/>
      </w:pPr>
      <w:rPr>
        <w:rFonts w:hint="default"/>
      </w:rPr>
    </w:lvl>
    <w:lvl w:ilvl="7">
      <w:start w:val="1"/>
      <w:numFmt w:val="lowerLetter"/>
      <w:lvlText w:val="%8."/>
      <w:lvlJc w:val="left"/>
      <w:pPr>
        <w:ind w:left="1588" w:hanging="227"/>
      </w:pPr>
      <w:rPr>
        <w:rFonts w:hint="default"/>
      </w:rPr>
    </w:lvl>
    <w:lvl w:ilvl="8">
      <w:start w:val="1"/>
      <w:numFmt w:val="lowerLetter"/>
      <w:lvlText w:val="%9."/>
      <w:lvlJc w:val="left"/>
      <w:pPr>
        <w:ind w:left="1814" w:hanging="226"/>
      </w:pPr>
      <w:rPr>
        <w:rFonts w:hint="default"/>
      </w:rPr>
    </w:lvl>
  </w:abstractNum>
  <w:abstractNum w:abstractNumId="7" w15:restartNumberingAfterBreak="0">
    <w:nsid w:val="1A1A0E47"/>
    <w:multiLevelType w:val="multilevel"/>
    <w:tmpl w:val="BCC2EEC0"/>
    <w:lvl w:ilvl="0">
      <w:start w:val="1"/>
      <w:numFmt w:val="decimal"/>
      <w:pStyle w:val="Heading1"/>
      <w:isLgl/>
      <w:lvlText w:val="%1."/>
      <w:lvlJc w:val="left"/>
      <w:pPr>
        <w:ind w:left="1418" w:hanging="851"/>
      </w:pPr>
      <w:rPr>
        <w:rFonts w:hint="default"/>
      </w:rPr>
    </w:lvl>
    <w:lvl w:ilvl="1">
      <w:start w:val="1"/>
      <w:numFmt w:val="decimal"/>
      <w:suff w:val="space"/>
      <w:lvlText w:val="Box %1.%2"/>
      <w:lvlJc w:val="left"/>
      <w:pPr>
        <w:ind w:left="1134" w:hanging="1134"/>
      </w:pPr>
      <w:rPr>
        <w:rFonts w:hint="default"/>
      </w:rPr>
    </w:lvl>
    <w:lvl w:ilvl="2">
      <w:start w:val="1"/>
      <w:numFmt w:val="decimal"/>
      <w:pStyle w:val="Heading2"/>
      <w:lvlText w:val="%1.%3"/>
      <w:lvlJc w:val="left"/>
      <w:pPr>
        <w:ind w:left="851" w:hanging="85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1B694847"/>
    <w:multiLevelType w:val="hybridMultilevel"/>
    <w:tmpl w:val="1432419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ED04F90"/>
    <w:multiLevelType w:val="hybridMultilevel"/>
    <w:tmpl w:val="2146D94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15905EC"/>
    <w:multiLevelType w:val="multilevel"/>
    <w:tmpl w:val="14F2CE60"/>
    <w:styleLink w:val="AppendixHeading"/>
    <w:lvl w:ilvl="0">
      <w:start w:val="1"/>
      <w:numFmt w:val="upperLetter"/>
      <w:lvlText w:val="%1."/>
      <w:lvlJc w:val="left"/>
      <w:pPr>
        <w:ind w:left="1418" w:hanging="851"/>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D665246"/>
    <w:multiLevelType w:val="multilevel"/>
    <w:tmpl w:val="55366B42"/>
    <w:numStyleLink w:val="LetteredList"/>
  </w:abstractNum>
  <w:abstractNum w:abstractNumId="12" w15:restartNumberingAfterBreak="0">
    <w:nsid w:val="2DFE29AF"/>
    <w:multiLevelType w:val="multilevel"/>
    <w:tmpl w:val="72768BCE"/>
    <w:numStyleLink w:val="AppendixHeadingList"/>
  </w:abstractNum>
  <w:abstractNum w:abstractNumId="13" w15:restartNumberingAfterBreak="0">
    <w:nsid w:val="34945759"/>
    <w:multiLevelType w:val="multilevel"/>
    <w:tmpl w:val="EDDA6002"/>
    <w:styleLink w:val="TOCList"/>
    <w:lvl w:ilvl="0">
      <w:start w:val="1"/>
      <w:numFmt w:val="decimal"/>
      <w:lvlText w:val="%1"/>
      <w:lvlJc w:val="left"/>
      <w:pPr>
        <w:ind w:left="567" w:hanging="567"/>
      </w:pPr>
      <w:rPr>
        <w:rFonts w:hint="default"/>
        <w:b/>
        <w:i w:val="0"/>
        <w:color w:val="265A9A" w:themeColor="background2"/>
      </w:rPr>
    </w:lvl>
    <w:lvl w:ilvl="1">
      <w:start w:val="1"/>
      <w:numFmt w:val="decimal"/>
      <w:lvlText w:val="%1.%2"/>
      <w:lvlJc w:val="left"/>
      <w:pPr>
        <w:ind w:left="851" w:hanging="28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67F3571"/>
    <w:multiLevelType w:val="multilevel"/>
    <w:tmpl w:val="DE7E2246"/>
    <w:styleLink w:val="Figure"/>
    <w:lvl w:ilvl="0">
      <w:start w:val="1"/>
      <w:numFmt w:val="lowerLetter"/>
      <w:suff w:val="space"/>
      <w:lvlText w:val="%1."/>
      <w:lvlJc w:val="left"/>
      <w:pPr>
        <w:ind w:left="0" w:firstLine="0"/>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5B687294"/>
    <w:multiLevelType w:val="multilevel"/>
    <w:tmpl w:val="BC6CEC38"/>
    <w:styleLink w:val="BoxList"/>
    <w:lvl w:ilvl="0">
      <w:start w:val="1"/>
      <w:numFmt w:val="decimal"/>
      <w:suff w:val="space"/>
      <w:lvlText w:val="Box %1 —"/>
      <w:lvlJc w:val="left"/>
      <w:pPr>
        <w:ind w:left="360" w:hanging="360"/>
      </w:pPr>
      <w:rPr>
        <w:rFonts w:hint="default"/>
      </w:rPr>
    </w:lvl>
    <w:lvl w:ilvl="1">
      <w:start w:val="1"/>
      <w:numFmt w:val="decimal"/>
      <w:suff w:val="space"/>
      <w:lvlText w:val="Box %1.%2 —"/>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5E8E291D"/>
    <w:multiLevelType w:val="hybridMultilevel"/>
    <w:tmpl w:val="FB22DF6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60E1502C"/>
    <w:multiLevelType w:val="multilevel"/>
    <w:tmpl w:val="FF8069A4"/>
    <w:styleLink w:val="Bullets"/>
    <w:lvl w:ilvl="0">
      <w:start w:val="1"/>
      <w:numFmt w:val="bullet"/>
      <w:pStyle w:val="ListBullet"/>
      <w:lvlText w:val="•"/>
      <w:lvlJc w:val="left"/>
      <w:pPr>
        <w:ind w:left="227" w:hanging="227"/>
      </w:pPr>
      <w:rPr>
        <w:rFonts w:ascii="Open Sans" w:hAnsi="Open Sans" w:cs="Times New Roman" w:hint="default"/>
        <w:color w:val="auto"/>
      </w:rPr>
    </w:lvl>
    <w:lvl w:ilvl="1">
      <w:start w:val="1"/>
      <w:numFmt w:val="bullet"/>
      <w:pStyle w:val="ListBullet2"/>
      <w:lvlText w:val="–"/>
      <w:lvlJc w:val="left"/>
      <w:pPr>
        <w:ind w:left="454" w:hanging="227"/>
      </w:pPr>
      <w:rPr>
        <w:rFonts w:ascii="Arial" w:hAnsi="Arial" w:hint="default"/>
        <w:color w:val="auto"/>
      </w:rPr>
    </w:lvl>
    <w:lvl w:ilvl="2">
      <w:start w:val="1"/>
      <w:numFmt w:val="bullet"/>
      <w:pStyle w:val="ListBullet3"/>
      <w:lvlText w:val="»"/>
      <w:lvlJc w:val="left"/>
      <w:pPr>
        <w:ind w:left="907" w:hanging="227"/>
      </w:pPr>
      <w:rPr>
        <w:rFonts w:ascii="Arial" w:hAnsi="Arial" w:hint="default"/>
        <w:color w:val="auto"/>
      </w:rPr>
    </w:lvl>
    <w:lvl w:ilvl="3">
      <w:start w:val="1"/>
      <w:numFmt w:val="bullet"/>
      <w:lvlText w:val="–"/>
      <w:lvlJc w:val="left"/>
      <w:pPr>
        <w:tabs>
          <w:tab w:val="num" w:pos="851"/>
        </w:tabs>
        <w:ind w:left="907" w:hanging="227"/>
      </w:pPr>
      <w:rPr>
        <w:rFonts w:ascii="Arial" w:hAnsi="Arial" w:hint="default"/>
        <w:color w:val="auto"/>
      </w:rPr>
    </w:lvl>
    <w:lvl w:ilvl="4">
      <w:start w:val="1"/>
      <w:numFmt w:val="bullet"/>
      <w:lvlText w:val="–"/>
      <w:lvlJc w:val="left"/>
      <w:pPr>
        <w:ind w:left="1134" w:hanging="227"/>
      </w:pPr>
      <w:rPr>
        <w:rFonts w:ascii="Arial" w:hAnsi="Arial" w:hint="default"/>
        <w:color w:val="auto"/>
      </w:rPr>
    </w:lvl>
    <w:lvl w:ilvl="5">
      <w:start w:val="1"/>
      <w:numFmt w:val="bullet"/>
      <w:lvlText w:val="–"/>
      <w:lvlJc w:val="left"/>
      <w:pPr>
        <w:ind w:left="1361" w:hanging="227"/>
      </w:pPr>
      <w:rPr>
        <w:rFonts w:ascii="Arial" w:hAnsi="Arial" w:hint="default"/>
      </w:rPr>
    </w:lvl>
    <w:lvl w:ilvl="6">
      <w:start w:val="1"/>
      <w:numFmt w:val="bullet"/>
      <w:lvlText w:val="–"/>
      <w:lvlJc w:val="left"/>
      <w:pPr>
        <w:ind w:left="1588" w:hanging="227"/>
      </w:pPr>
      <w:rPr>
        <w:rFonts w:ascii="Arial" w:hAnsi="Arial" w:hint="default"/>
      </w:rPr>
    </w:lvl>
    <w:lvl w:ilvl="7">
      <w:start w:val="1"/>
      <w:numFmt w:val="bullet"/>
      <w:lvlText w:val="–"/>
      <w:lvlJc w:val="left"/>
      <w:pPr>
        <w:ind w:left="1814" w:hanging="226"/>
      </w:pPr>
      <w:rPr>
        <w:rFonts w:ascii="Arial" w:hAnsi="Arial" w:hint="default"/>
      </w:rPr>
    </w:lvl>
    <w:lvl w:ilvl="8">
      <w:start w:val="1"/>
      <w:numFmt w:val="bullet"/>
      <w:lvlText w:val="–"/>
      <w:lvlJc w:val="left"/>
      <w:pPr>
        <w:tabs>
          <w:tab w:val="num" w:pos="2211"/>
        </w:tabs>
        <w:ind w:left="2041" w:hanging="227"/>
      </w:pPr>
      <w:rPr>
        <w:rFonts w:ascii="Arial" w:hAnsi="Arial" w:hint="default"/>
      </w:rPr>
    </w:lvl>
  </w:abstractNum>
  <w:abstractNum w:abstractNumId="18" w15:restartNumberingAfterBreak="0">
    <w:nsid w:val="63CC468E"/>
    <w:multiLevelType w:val="hybridMultilevel"/>
    <w:tmpl w:val="C4E65D9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67EB6AB0"/>
    <w:multiLevelType w:val="multilevel"/>
    <w:tmpl w:val="FF8069A4"/>
    <w:numStyleLink w:val="Bullets"/>
  </w:abstractNum>
  <w:abstractNum w:abstractNumId="20" w15:restartNumberingAfterBreak="0">
    <w:nsid w:val="761B4A1B"/>
    <w:multiLevelType w:val="multilevel"/>
    <w:tmpl w:val="4F48000A"/>
    <w:numStyleLink w:val="Alphalist"/>
  </w:abstractNum>
  <w:abstractNum w:abstractNumId="21" w15:restartNumberingAfterBreak="0">
    <w:nsid w:val="7B793488"/>
    <w:multiLevelType w:val="hybridMultilevel"/>
    <w:tmpl w:val="573AD7B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570890836">
    <w:abstractNumId w:val="5"/>
  </w:num>
  <w:num w:numId="2" w16cid:durableId="856501820">
    <w:abstractNumId w:val="2"/>
  </w:num>
  <w:num w:numId="3" w16cid:durableId="1964340648">
    <w:abstractNumId w:val="10"/>
  </w:num>
  <w:num w:numId="4" w16cid:durableId="2099476868">
    <w:abstractNumId w:val="15"/>
  </w:num>
  <w:num w:numId="5" w16cid:durableId="156767126">
    <w:abstractNumId w:val="17"/>
  </w:num>
  <w:num w:numId="6" w16cid:durableId="42295430">
    <w:abstractNumId w:val="14"/>
  </w:num>
  <w:num w:numId="7" w16cid:durableId="97263167">
    <w:abstractNumId w:val="12"/>
  </w:num>
  <w:num w:numId="8" w16cid:durableId="1181093211">
    <w:abstractNumId w:val="6"/>
  </w:num>
  <w:num w:numId="9" w16cid:durableId="1473253761">
    <w:abstractNumId w:val="11"/>
  </w:num>
  <w:num w:numId="10" w16cid:durableId="899246785">
    <w:abstractNumId w:val="20"/>
  </w:num>
  <w:num w:numId="11" w16cid:durableId="1882982902">
    <w:abstractNumId w:val="0"/>
  </w:num>
  <w:num w:numId="12" w16cid:durableId="1126318990">
    <w:abstractNumId w:val="3"/>
  </w:num>
  <w:num w:numId="13" w16cid:durableId="768744943">
    <w:abstractNumId w:val="7"/>
  </w:num>
  <w:num w:numId="14" w16cid:durableId="363747795">
    <w:abstractNumId w:val="4"/>
  </w:num>
  <w:num w:numId="15" w16cid:durableId="2064715690">
    <w:abstractNumId w:val="19"/>
  </w:num>
  <w:num w:numId="16" w16cid:durableId="823474101">
    <w:abstractNumId w:val="1"/>
  </w:num>
  <w:num w:numId="17" w16cid:durableId="1774936596">
    <w:abstractNumId w:val="13"/>
  </w:num>
  <w:num w:numId="18" w16cid:durableId="365254302">
    <w:abstractNumId w:val="21"/>
  </w:num>
  <w:num w:numId="19" w16cid:durableId="150755870">
    <w:abstractNumId w:val="8"/>
  </w:num>
  <w:num w:numId="20" w16cid:durableId="626667512">
    <w:abstractNumId w:val="18"/>
  </w:num>
  <w:num w:numId="21" w16cid:durableId="1209410742">
    <w:abstractNumId w:val="9"/>
  </w:num>
  <w:num w:numId="22" w16cid:durableId="1044914798">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mirrorMargins/>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0B7"/>
    <w:rsid w:val="00000075"/>
    <w:rsid w:val="0000065B"/>
    <w:rsid w:val="00000F3C"/>
    <w:rsid w:val="0000145B"/>
    <w:rsid w:val="00001B05"/>
    <w:rsid w:val="00001B94"/>
    <w:rsid w:val="00001EEC"/>
    <w:rsid w:val="000024B7"/>
    <w:rsid w:val="00002542"/>
    <w:rsid w:val="00002F2A"/>
    <w:rsid w:val="0000333B"/>
    <w:rsid w:val="00003423"/>
    <w:rsid w:val="00004221"/>
    <w:rsid w:val="00004489"/>
    <w:rsid w:val="00005C79"/>
    <w:rsid w:val="00005CAA"/>
    <w:rsid w:val="00006406"/>
    <w:rsid w:val="0001088D"/>
    <w:rsid w:val="00011358"/>
    <w:rsid w:val="000121EE"/>
    <w:rsid w:val="00012B4D"/>
    <w:rsid w:val="00012B54"/>
    <w:rsid w:val="00012C96"/>
    <w:rsid w:val="00013897"/>
    <w:rsid w:val="00013DDC"/>
    <w:rsid w:val="00013FFC"/>
    <w:rsid w:val="00014265"/>
    <w:rsid w:val="000145A5"/>
    <w:rsid w:val="000149A8"/>
    <w:rsid w:val="0001505D"/>
    <w:rsid w:val="0001532E"/>
    <w:rsid w:val="00015775"/>
    <w:rsid w:val="0001680A"/>
    <w:rsid w:val="0001699C"/>
    <w:rsid w:val="00017237"/>
    <w:rsid w:val="00020086"/>
    <w:rsid w:val="00021A71"/>
    <w:rsid w:val="00021BB8"/>
    <w:rsid w:val="00026306"/>
    <w:rsid w:val="00026C04"/>
    <w:rsid w:val="00026E59"/>
    <w:rsid w:val="00027A8A"/>
    <w:rsid w:val="000300AF"/>
    <w:rsid w:val="00030E27"/>
    <w:rsid w:val="000319E3"/>
    <w:rsid w:val="000325D5"/>
    <w:rsid w:val="00032871"/>
    <w:rsid w:val="000331E4"/>
    <w:rsid w:val="000332CC"/>
    <w:rsid w:val="0003338D"/>
    <w:rsid w:val="00033468"/>
    <w:rsid w:val="00033619"/>
    <w:rsid w:val="000358E7"/>
    <w:rsid w:val="00037DF2"/>
    <w:rsid w:val="000408F8"/>
    <w:rsid w:val="00041B9F"/>
    <w:rsid w:val="00041C10"/>
    <w:rsid w:val="0004228F"/>
    <w:rsid w:val="00042352"/>
    <w:rsid w:val="0004262C"/>
    <w:rsid w:val="00042749"/>
    <w:rsid w:val="00042C48"/>
    <w:rsid w:val="00043713"/>
    <w:rsid w:val="00044678"/>
    <w:rsid w:val="00047894"/>
    <w:rsid w:val="00047C02"/>
    <w:rsid w:val="00050175"/>
    <w:rsid w:val="00050E22"/>
    <w:rsid w:val="0005151B"/>
    <w:rsid w:val="00051E76"/>
    <w:rsid w:val="00052F11"/>
    <w:rsid w:val="00053811"/>
    <w:rsid w:val="00054265"/>
    <w:rsid w:val="00054846"/>
    <w:rsid w:val="00054C95"/>
    <w:rsid w:val="000561CF"/>
    <w:rsid w:val="00056A96"/>
    <w:rsid w:val="00056D17"/>
    <w:rsid w:val="000570A3"/>
    <w:rsid w:val="00057142"/>
    <w:rsid w:val="00057429"/>
    <w:rsid w:val="000575A3"/>
    <w:rsid w:val="0005774F"/>
    <w:rsid w:val="00057FFB"/>
    <w:rsid w:val="000602A9"/>
    <w:rsid w:val="000606C7"/>
    <w:rsid w:val="00060891"/>
    <w:rsid w:val="00062A44"/>
    <w:rsid w:val="00063A4C"/>
    <w:rsid w:val="000650F2"/>
    <w:rsid w:val="00066B27"/>
    <w:rsid w:val="000678F9"/>
    <w:rsid w:val="00067C2A"/>
    <w:rsid w:val="000702ED"/>
    <w:rsid w:val="0007036C"/>
    <w:rsid w:val="000724AE"/>
    <w:rsid w:val="000728FC"/>
    <w:rsid w:val="00072D79"/>
    <w:rsid w:val="0007439E"/>
    <w:rsid w:val="000757CA"/>
    <w:rsid w:val="000769E8"/>
    <w:rsid w:val="00076DE3"/>
    <w:rsid w:val="00076E16"/>
    <w:rsid w:val="000771C7"/>
    <w:rsid w:val="000773FA"/>
    <w:rsid w:val="00077567"/>
    <w:rsid w:val="000776BF"/>
    <w:rsid w:val="0007776A"/>
    <w:rsid w:val="00077A76"/>
    <w:rsid w:val="0008037D"/>
    <w:rsid w:val="00081067"/>
    <w:rsid w:val="000815CF"/>
    <w:rsid w:val="00081B2E"/>
    <w:rsid w:val="00081CA0"/>
    <w:rsid w:val="00081CFB"/>
    <w:rsid w:val="0008279E"/>
    <w:rsid w:val="00082E64"/>
    <w:rsid w:val="000833DD"/>
    <w:rsid w:val="00084660"/>
    <w:rsid w:val="00084D71"/>
    <w:rsid w:val="00085835"/>
    <w:rsid w:val="00085C0B"/>
    <w:rsid w:val="00085FB9"/>
    <w:rsid w:val="000863C4"/>
    <w:rsid w:val="0008745A"/>
    <w:rsid w:val="000902FC"/>
    <w:rsid w:val="000905F9"/>
    <w:rsid w:val="00090930"/>
    <w:rsid w:val="00090BC9"/>
    <w:rsid w:val="00090DCB"/>
    <w:rsid w:val="00091286"/>
    <w:rsid w:val="000915C0"/>
    <w:rsid w:val="00091B7B"/>
    <w:rsid w:val="00091DF8"/>
    <w:rsid w:val="000930ED"/>
    <w:rsid w:val="000935DD"/>
    <w:rsid w:val="00094B9B"/>
    <w:rsid w:val="000951C6"/>
    <w:rsid w:val="00095B16"/>
    <w:rsid w:val="000972E2"/>
    <w:rsid w:val="0009733D"/>
    <w:rsid w:val="000979E3"/>
    <w:rsid w:val="00097A3C"/>
    <w:rsid w:val="00097ECA"/>
    <w:rsid w:val="000A0A7B"/>
    <w:rsid w:val="000A0F08"/>
    <w:rsid w:val="000A1120"/>
    <w:rsid w:val="000A1192"/>
    <w:rsid w:val="000A1D43"/>
    <w:rsid w:val="000A298B"/>
    <w:rsid w:val="000A38AA"/>
    <w:rsid w:val="000A3C21"/>
    <w:rsid w:val="000A3F0B"/>
    <w:rsid w:val="000A4CD8"/>
    <w:rsid w:val="000A4FC0"/>
    <w:rsid w:val="000A6902"/>
    <w:rsid w:val="000B0134"/>
    <w:rsid w:val="000B1169"/>
    <w:rsid w:val="000B1DE3"/>
    <w:rsid w:val="000B2145"/>
    <w:rsid w:val="000B2872"/>
    <w:rsid w:val="000B2B5F"/>
    <w:rsid w:val="000B2ED8"/>
    <w:rsid w:val="000B30E7"/>
    <w:rsid w:val="000B457B"/>
    <w:rsid w:val="000B46ED"/>
    <w:rsid w:val="000B497F"/>
    <w:rsid w:val="000B4A72"/>
    <w:rsid w:val="000B4E96"/>
    <w:rsid w:val="000B5105"/>
    <w:rsid w:val="000B6236"/>
    <w:rsid w:val="000B6622"/>
    <w:rsid w:val="000B6E82"/>
    <w:rsid w:val="000B7390"/>
    <w:rsid w:val="000B7A12"/>
    <w:rsid w:val="000C2BB8"/>
    <w:rsid w:val="000C2F2B"/>
    <w:rsid w:val="000C325D"/>
    <w:rsid w:val="000C3701"/>
    <w:rsid w:val="000C37AE"/>
    <w:rsid w:val="000C4317"/>
    <w:rsid w:val="000C4F08"/>
    <w:rsid w:val="000C5560"/>
    <w:rsid w:val="000C6B77"/>
    <w:rsid w:val="000D051D"/>
    <w:rsid w:val="000D100D"/>
    <w:rsid w:val="000D1272"/>
    <w:rsid w:val="000D1F9F"/>
    <w:rsid w:val="000D2547"/>
    <w:rsid w:val="000D2700"/>
    <w:rsid w:val="000D32E9"/>
    <w:rsid w:val="000D34C2"/>
    <w:rsid w:val="000D449C"/>
    <w:rsid w:val="000D4CAE"/>
    <w:rsid w:val="000D5780"/>
    <w:rsid w:val="000E01CF"/>
    <w:rsid w:val="000E0782"/>
    <w:rsid w:val="000E43B0"/>
    <w:rsid w:val="000E44AA"/>
    <w:rsid w:val="000E5DE8"/>
    <w:rsid w:val="000E6EE8"/>
    <w:rsid w:val="000E705D"/>
    <w:rsid w:val="000E7A53"/>
    <w:rsid w:val="000F0E48"/>
    <w:rsid w:val="000F18B3"/>
    <w:rsid w:val="000F1D99"/>
    <w:rsid w:val="000F27C2"/>
    <w:rsid w:val="000F3C0A"/>
    <w:rsid w:val="000F3DFD"/>
    <w:rsid w:val="000F444A"/>
    <w:rsid w:val="000F4467"/>
    <w:rsid w:val="000F4488"/>
    <w:rsid w:val="000F5E29"/>
    <w:rsid w:val="000F6592"/>
    <w:rsid w:val="000F6A19"/>
    <w:rsid w:val="0010002E"/>
    <w:rsid w:val="001002CD"/>
    <w:rsid w:val="00100328"/>
    <w:rsid w:val="00100553"/>
    <w:rsid w:val="00100FAB"/>
    <w:rsid w:val="001022B4"/>
    <w:rsid w:val="0010253A"/>
    <w:rsid w:val="001027FE"/>
    <w:rsid w:val="00104216"/>
    <w:rsid w:val="00104FEA"/>
    <w:rsid w:val="0010567E"/>
    <w:rsid w:val="00106041"/>
    <w:rsid w:val="00107EA5"/>
    <w:rsid w:val="001119F3"/>
    <w:rsid w:val="00111AE6"/>
    <w:rsid w:val="00111E1C"/>
    <w:rsid w:val="0011217E"/>
    <w:rsid w:val="0011260C"/>
    <w:rsid w:val="00112771"/>
    <w:rsid w:val="00112B32"/>
    <w:rsid w:val="00112E8F"/>
    <w:rsid w:val="001132C6"/>
    <w:rsid w:val="00113A42"/>
    <w:rsid w:val="00114D78"/>
    <w:rsid w:val="00114E9C"/>
    <w:rsid w:val="00115CC5"/>
    <w:rsid w:val="001162D1"/>
    <w:rsid w:val="001170F0"/>
    <w:rsid w:val="00117CC1"/>
    <w:rsid w:val="00120048"/>
    <w:rsid w:val="001202E4"/>
    <w:rsid w:val="00120792"/>
    <w:rsid w:val="001218D3"/>
    <w:rsid w:val="00121FAD"/>
    <w:rsid w:val="001234F2"/>
    <w:rsid w:val="00125008"/>
    <w:rsid w:val="001268BC"/>
    <w:rsid w:val="00126D89"/>
    <w:rsid w:val="00127C11"/>
    <w:rsid w:val="001303B3"/>
    <w:rsid w:val="0013080E"/>
    <w:rsid w:val="00132275"/>
    <w:rsid w:val="0013281D"/>
    <w:rsid w:val="00134193"/>
    <w:rsid w:val="0013696B"/>
    <w:rsid w:val="00136EDF"/>
    <w:rsid w:val="0013722E"/>
    <w:rsid w:val="0013737E"/>
    <w:rsid w:val="00137486"/>
    <w:rsid w:val="00137FAB"/>
    <w:rsid w:val="0014135F"/>
    <w:rsid w:val="001414A1"/>
    <w:rsid w:val="001415CB"/>
    <w:rsid w:val="00141A4F"/>
    <w:rsid w:val="00141B62"/>
    <w:rsid w:val="00143A61"/>
    <w:rsid w:val="001443D7"/>
    <w:rsid w:val="001448A1"/>
    <w:rsid w:val="00144D1F"/>
    <w:rsid w:val="00144F56"/>
    <w:rsid w:val="001475CF"/>
    <w:rsid w:val="00147B47"/>
    <w:rsid w:val="00147EBE"/>
    <w:rsid w:val="00150BE1"/>
    <w:rsid w:val="001511A9"/>
    <w:rsid w:val="00151EC9"/>
    <w:rsid w:val="00151FAC"/>
    <w:rsid w:val="00152246"/>
    <w:rsid w:val="00152B9C"/>
    <w:rsid w:val="00153DD5"/>
    <w:rsid w:val="00154D0D"/>
    <w:rsid w:val="00154D36"/>
    <w:rsid w:val="00154E0D"/>
    <w:rsid w:val="00155364"/>
    <w:rsid w:val="0015586D"/>
    <w:rsid w:val="001558A9"/>
    <w:rsid w:val="00155A8A"/>
    <w:rsid w:val="001566DB"/>
    <w:rsid w:val="00157922"/>
    <w:rsid w:val="00157F12"/>
    <w:rsid w:val="001600E9"/>
    <w:rsid w:val="001601FB"/>
    <w:rsid w:val="00160A44"/>
    <w:rsid w:val="00160FEC"/>
    <w:rsid w:val="001610E5"/>
    <w:rsid w:val="001615B5"/>
    <w:rsid w:val="00161BC8"/>
    <w:rsid w:val="0016226A"/>
    <w:rsid w:val="001634C9"/>
    <w:rsid w:val="00163D10"/>
    <w:rsid w:val="00164DF7"/>
    <w:rsid w:val="001657D0"/>
    <w:rsid w:val="00166F3E"/>
    <w:rsid w:val="00167420"/>
    <w:rsid w:val="00170A87"/>
    <w:rsid w:val="00170B3C"/>
    <w:rsid w:val="0017145B"/>
    <w:rsid w:val="001714F3"/>
    <w:rsid w:val="00172F19"/>
    <w:rsid w:val="001732C0"/>
    <w:rsid w:val="0017428B"/>
    <w:rsid w:val="00174D98"/>
    <w:rsid w:val="00175BEB"/>
    <w:rsid w:val="00175F35"/>
    <w:rsid w:val="001766FB"/>
    <w:rsid w:val="00176768"/>
    <w:rsid w:val="00176C58"/>
    <w:rsid w:val="00177D9F"/>
    <w:rsid w:val="00180117"/>
    <w:rsid w:val="001804FB"/>
    <w:rsid w:val="00182450"/>
    <w:rsid w:val="00182615"/>
    <w:rsid w:val="00182940"/>
    <w:rsid w:val="00182A32"/>
    <w:rsid w:val="001858AA"/>
    <w:rsid w:val="00186DEF"/>
    <w:rsid w:val="001879BB"/>
    <w:rsid w:val="00187C87"/>
    <w:rsid w:val="00187F05"/>
    <w:rsid w:val="00191AC8"/>
    <w:rsid w:val="001925AC"/>
    <w:rsid w:val="001957BF"/>
    <w:rsid w:val="00195F25"/>
    <w:rsid w:val="00195F2D"/>
    <w:rsid w:val="001971D9"/>
    <w:rsid w:val="001974E7"/>
    <w:rsid w:val="00197515"/>
    <w:rsid w:val="001A0443"/>
    <w:rsid w:val="001A0D06"/>
    <w:rsid w:val="001A0D77"/>
    <w:rsid w:val="001A11BC"/>
    <w:rsid w:val="001A1677"/>
    <w:rsid w:val="001A196A"/>
    <w:rsid w:val="001A1B5A"/>
    <w:rsid w:val="001A1D95"/>
    <w:rsid w:val="001A2437"/>
    <w:rsid w:val="001A2565"/>
    <w:rsid w:val="001A28AD"/>
    <w:rsid w:val="001A37A2"/>
    <w:rsid w:val="001A3834"/>
    <w:rsid w:val="001A5BA7"/>
    <w:rsid w:val="001A5DC1"/>
    <w:rsid w:val="001A6574"/>
    <w:rsid w:val="001A7CE7"/>
    <w:rsid w:val="001B07ED"/>
    <w:rsid w:val="001B14A8"/>
    <w:rsid w:val="001B1762"/>
    <w:rsid w:val="001B17AC"/>
    <w:rsid w:val="001B1A6B"/>
    <w:rsid w:val="001B1D92"/>
    <w:rsid w:val="001B2DDD"/>
    <w:rsid w:val="001B306C"/>
    <w:rsid w:val="001B3B68"/>
    <w:rsid w:val="001B3D53"/>
    <w:rsid w:val="001B3F12"/>
    <w:rsid w:val="001B49D5"/>
    <w:rsid w:val="001B588D"/>
    <w:rsid w:val="001B68DF"/>
    <w:rsid w:val="001B6D51"/>
    <w:rsid w:val="001C0CEB"/>
    <w:rsid w:val="001C2970"/>
    <w:rsid w:val="001C2C6D"/>
    <w:rsid w:val="001C32DD"/>
    <w:rsid w:val="001C3374"/>
    <w:rsid w:val="001C37AA"/>
    <w:rsid w:val="001C3CE5"/>
    <w:rsid w:val="001C3EC1"/>
    <w:rsid w:val="001C5773"/>
    <w:rsid w:val="001C59D5"/>
    <w:rsid w:val="001C6DA6"/>
    <w:rsid w:val="001C7835"/>
    <w:rsid w:val="001C7C2A"/>
    <w:rsid w:val="001D0742"/>
    <w:rsid w:val="001D0870"/>
    <w:rsid w:val="001D129E"/>
    <w:rsid w:val="001D17F8"/>
    <w:rsid w:val="001D25BA"/>
    <w:rsid w:val="001D2996"/>
    <w:rsid w:val="001D4050"/>
    <w:rsid w:val="001D4271"/>
    <w:rsid w:val="001D4406"/>
    <w:rsid w:val="001D46C9"/>
    <w:rsid w:val="001D4946"/>
    <w:rsid w:val="001D4C10"/>
    <w:rsid w:val="001D5723"/>
    <w:rsid w:val="001D772A"/>
    <w:rsid w:val="001D7D9B"/>
    <w:rsid w:val="001E10B1"/>
    <w:rsid w:val="001E1521"/>
    <w:rsid w:val="001E2AB3"/>
    <w:rsid w:val="001E3764"/>
    <w:rsid w:val="001E3890"/>
    <w:rsid w:val="001E5185"/>
    <w:rsid w:val="001E5B6E"/>
    <w:rsid w:val="001E5D92"/>
    <w:rsid w:val="001E77A6"/>
    <w:rsid w:val="001E7969"/>
    <w:rsid w:val="001E7C27"/>
    <w:rsid w:val="001F08EE"/>
    <w:rsid w:val="001F13C1"/>
    <w:rsid w:val="001F15E0"/>
    <w:rsid w:val="001F1BAD"/>
    <w:rsid w:val="001F1E9A"/>
    <w:rsid w:val="001F1FDC"/>
    <w:rsid w:val="001F21B8"/>
    <w:rsid w:val="001F265A"/>
    <w:rsid w:val="001F28C8"/>
    <w:rsid w:val="001F297C"/>
    <w:rsid w:val="001F3604"/>
    <w:rsid w:val="001F375E"/>
    <w:rsid w:val="001F446D"/>
    <w:rsid w:val="001F530C"/>
    <w:rsid w:val="001F652E"/>
    <w:rsid w:val="001F68DA"/>
    <w:rsid w:val="001F6B0A"/>
    <w:rsid w:val="00200A5D"/>
    <w:rsid w:val="00201320"/>
    <w:rsid w:val="00201D8E"/>
    <w:rsid w:val="0020204A"/>
    <w:rsid w:val="0020244D"/>
    <w:rsid w:val="0020352E"/>
    <w:rsid w:val="00205103"/>
    <w:rsid w:val="00210F16"/>
    <w:rsid w:val="002110C7"/>
    <w:rsid w:val="002112EC"/>
    <w:rsid w:val="0021267C"/>
    <w:rsid w:val="00212C55"/>
    <w:rsid w:val="0021419F"/>
    <w:rsid w:val="00215B7B"/>
    <w:rsid w:val="002202D8"/>
    <w:rsid w:val="002203F6"/>
    <w:rsid w:val="002207D9"/>
    <w:rsid w:val="00220D68"/>
    <w:rsid w:val="00221800"/>
    <w:rsid w:val="00221AB7"/>
    <w:rsid w:val="00222150"/>
    <w:rsid w:val="00222469"/>
    <w:rsid w:val="00222914"/>
    <w:rsid w:val="00222915"/>
    <w:rsid w:val="002249AF"/>
    <w:rsid w:val="002259C4"/>
    <w:rsid w:val="00225A2E"/>
    <w:rsid w:val="00227712"/>
    <w:rsid w:val="00230270"/>
    <w:rsid w:val="00230982"/>
    <w:rsid w:val="00231150"/>
    <w:rsid w:val="0023427A"/>
    <w:rsid w:val="0023444B"/>
    <w:rsid w:val="002346C5"/>
    <w:rsid w:val="002348BC"/>
    <w:rsid w:val="00236455"/>
    <w:rsid w:val="00241144"/>
    <w:rsid w:val="00241A14"/>
    <w:rsid w:val="00241A6F"/>
    <w:rsid w:val="00244986"/>
    <w:rsid w:val="002457DE"/>
    <w:rsid w:val="002458AE"/>
    <w:rsid w:val="00246435"/>
    <w:rsid w:val="00246531"/>
    <w:rsid w:val="00246A43"/>
    <w:rsid w:val="00246A9C"/>
    <w:rsid w:val="00246BCF"/>
    <w:rsid w:val="00247C8C"/>
    <w:rsid w:val="00247DCD"/>
    <w:rsid w:val="00247E0B"/>
    <w:rsid w:val="00250B9D"/>
    <w:rsid w:val="00250F1F"/>
    <w:rsid w:val="00250FD0"/>
    <w:rsid w:val="00251245"/>
    <w:rsid w:val="00251CA2"/>
    <w:rsid w:val="00251EDD"/>
    <w:rsid w:val="00252999"/>
    <w:rsid w:val="0025329D"/>
    <w:rsid w:val="00253995"/>
    <w:rsid w:val="00253D71"/>
    <w:rsid w:val="00254834"/>
    <w:rsid w:val="00255548"/>
    <w:rsid w:val="002568AC"/>
    <w:rsid w:val="00257CC0"/>
    <w:rsid w:val="002601BB"/>
    <w:rsid w:val="002612A4"/>
    <w:rsid w:val="00262087"/>
    <w:rsid w:val="0026234C"/>
    <w:rsid w:val="00262C4A"/>
    <w:rsid w:val="00262D88"/>
    <w:rsid w:val="0026484A"/>
    <w:rsid w:val="00265918"/>
    <w:rsid w:val="00266293"/>
    <w:rsid w:val="0026653B"/>
    <w:rsid w:val="00266716"/>
    <w:rsid w:val="00266A96"/>
    <w:rsid w:val="00267332"/>
    <w:rsid w:val="002677FF"/>
    <w:rsid w:val="0027031A"/>
    <w:rsid w:val="002706BB"/>
    <w:rsid w:val="00270834"/>
    <w:rsid w:val="00271346"/>
    <w:rsid w:val="00272A9F"/>
    <w:rsid w:val="00272C5D"/>
    <w:rsid w:val="00273736"/>
    <w:rsid w:val="00273DDE"/>
    <w:rsid w:val="00273E86"/>
    <w:rsid w:val="00274F54"/>
    <w:rsid w:val="00277B5D"/>
    <w:rsid w:val="00280CC9"/>
    <w:rsid w:val="002811F1"/>
    <w:rsid w:val="002814E6"/>
    <w:rsid w:val="00281A54"/>
    <w:rsid w:val="00281DE2"/>
    <w:rsid w:val="002825BB"/>
    <w:rsid w:val="00282AE5"/>
    <w:rsid w:val="00282E38"/>
    <w:rsid w:val="00283699"/>
    <w:rsid w:val="002839A6"/>
    <w:rsid w:val="00284E12"/>
    <w:rsid w:val="00284EA4"/>
    <w:rsid w:val="002856C9"/>
    <w:rsid w:val="00285781"/>
    <w:rsid w:val="0028596E"/>
    <w:rsid w:val="002861DD"/>
    <w:rsid w:val="00286593"/>
    <w:rsid w:val="00286E58"/>
    <w:rsid w:val="00286EAE"/>
    <w:rsid w:val="00287114"/>
    <w:rsid w:val="0029120E"/>
    <w:rsid w:val="002936B4"/>
    <w:rsid w:val="002951DE"/>
    <w:rsid w:val="002951E6"/>
    <w:rsid w:val="00295330"/>
    <w:rsid w:val="002958EC"/>
    <w:rsid w:val="00295DA0"/>
    <w:rsid w:val="00295FC4"/>
    <w:rsid w:val="002963EC"/>
    <w:rsid w:val="00296CB5"/>
    <w:rsid w:val="00296F0E"/>
    <w:rsid w:val="002A2B35"/>
    <w:rsid w:val="002A41FD"/>
    <w:rsid w:val="002A484E"/>
    <w:rsid w:val="002A4A7E"/>
    <w:rsid w:val="002A6479"/>
    <w:rsid w:val="002A72FA"/>
    <w:rsid w:val="002A7D3F"/>
    <w:rsid w:val="002A7DCD"/>
    <w:rsid w:val="002B03D4"/>
    <w:rsid w:val="002B0577"/>
    <w:rsid w:val="002B3498"/>
    <w:rsid w:val="002B34E7"/>
    <w:rsid w:val="002B3D31"/>
    <w:rsid w:val="002B40D8"/>
    <w:rsid w:val="002B4D49"/>
    <w:rsid w:val="002B50E9"/>
    <w:rsid w:val="002B581D"/>
    <w:rsid w:val="002B597E"/>
    <w:rsid w:val="002B670D"/>
    <w:rsid w:val="002B71BC"/>
    <w:rsid w:val="002B7653"/>
    <w:rsid w:val="002B78A5"/>
    <w:rsid w:val="002C0A34"/>
    <w:rsid w:val="002C60CB"/>
    <w:rsid w:val="002C797E"/>
    <w:rsid w:val="002C7DCE"/>
    <w:rsid w:val="002D0F00"/>
    <w:rsid w:val="002D2E74"/>
    <w:rsid w:val="002D4518"/>
    <w:rsid w:val="002D4994"/>
    <w:rsid w:val="002D4BEE"/>
    <w:rsid w:val="002D50CB"/>
    <w:rsid w:val="002D551D"/>
    <w:rsid w:val="002D552D"/>
    <w:rsid w:val="002D56E1"/>
    <w:rsid w:val="002D5867"/>
    <w:rsid w:val="002D5DF1"/>
    <w:rsid w:val="002D71DF"/>
    <w:rsid w:val="002E0D30"/>
    <w:rsid w:val="002E145F"/>
    <w:rsid w:val="002E15A3"/>
    <w:rsid w:val="002E3F19"/>
    <w:rsid w:val="002E3F5B"/>
    <w:rsid w:val="002E44C8"/>
    <w:rsid w:val="002E45D2"/>
    <w:rsid w:val="002E4C17"/>
    <w:rsid w:val="002E51D2"/>
    <w:rsid w:val="002E5C03"/>
    <w:rsid w:val="002E5FFD"/>
    <w:rsid w:val="002E62AE"/>
    <w:rsid w:val="002E760F"/>
    <w:rsid w:val="002E7A0E"/>
    <w:rsid w:val="002E7D09"/>
    <w:rsid w:val="002E7EFA"/>
    <w:rsid w:val="002F0275"/>
    <w:rsid w:val="002F04E6"/>
    <w:rsid w:val="002F0DA6"/>
    <w:rsid w:val="002F1E4D"/>
    <w:rsid w:val="002F31B0"/>
    <w:rsid w:val="002F4D1D"/>
    <w:rsid w:val="002F4F87"/>
    <w:rsid w:val="002F54DC"/>
    <w:rsid w:val="002F5AC5"/>
    <w:rsid w:val="002F5EDB"/>
    <w:rsid w:val="002F60EC"/>
    <w:rsid w:val="002F6386"/>
    <w:rsid w:val="002F6ACD"/>
    <w:rsid w:val="002F6CDF"/>
    <w:rsid w:val="002F6D20"/>
    <w:rsid w:val="002F7314"/>
    <w:rsid w:val="002F7649"/>
    <w:rsid w:val="002F79AC"/>
    <w:rsid w:val="002F7AE7"/>
    <w:rsid w:val="002F7B11"/>
    <w:rsid w:val="002F7C58"/>
    <w:rsid w:val="002F7FDB"/>
    <w:rsid w:val="0030139D"/>
    <w:rsid w:val="0030317A"/>
    <w:rsid w:val="00303704"/>
    <w:rsid w:val="00303E68"/>
    <w:rsid w:val="00304AF6"/>
    <w:rsid w:val="00305171"/>
    <w:rsid w:val="00305797"/>
    <w:rsid w:val="00306615"/>
    <w:rsid w:val="00306710"/>
    <w:rsid w:val="003067F1"/>
    <w:rsid w:val="00307692"/>
    <w:rsid w:val="00312269"/>
    <w:rsid w:val="003128DF"/>
    <w:rsid w:val="00312939"/>
    <w:rsid w:val="003140FF"/>
    <w:rsid w:val="0031415B"/>
    <w:rsid w:val="003145A1"/>
    <w:rsid w:val="003165FF"/>
    <w:rsid w:val="00316BBC"/>
    <w:rsid w:val="00316D03"/>
    <w:rsid w:val="003179CF"/>
    <w:rsid w:val="003210B5"/>
    <w:rsid w:val="00322985"/>
    <w:rsid w:val="00323400"/>
    <w:rsid w:val="00324B5C"/>
    <w:rsid w:val="00324FC8"/>
    <w:rsid w:val="00326938"/>
    <w:rsid w:val="00326A36"/>
    <w:rsid w:val="00326AAE"/>
    <w:rsid w:val="003272AF"/>
    <w:rsid w:val="00327337"/>
    <w:rsid w:val="0032754B"/>
    <w:rsid w:val="00330341"/>
    <w:rsid w:val="003325BD"/>
    <w:rsid w:val="00333604"/>
    <w:rsid w:val="00334FCC"/>
    <w:rsid w:val="00336C54"/>
    <w:rsid w:val="00336ECB"/>
    <w:rsid w:val="003375D8"/>
    <w:rsid w:val="00337B87"/>
    <w:rsid w:val="00342602"/>
    <w:rsid w:val="00342C26"/>
    <w:rsid w:val="00342E7F"/>
    <w:rsid w:val="0034305B"/>
    <w:rsid w:val="0034327C"/>
    <w:rsid w:val="00343FAA"/>
    <w:rsid w:val="00345EF2"/>
    <w:rsid w:val="0034680A"/>
    <w:rsid w:val="00347FD7"/>
    <w:rsid w:val="00350C9C"/>
    <w:rsid w:val="00351FF7"/>
    <w:rsid w:val="003533BB"/>
    <w:rsid w:val="003539FB"/>
    <w:rsid w:val="00353BB0"/>
    <w:rsid w:val="00353D81"/>
    <w:rsid w:val="00354696"/>
    <w:rsid w:val="00354BE8"/>
    <w:rsid w:val="00355042"/>
    <w:rsid w:val="0035519A"/>
    <w:rsid w:val="00356734"/>
    <w:rsid w:val="0035694B"/>
    <w:rsid w:val="00356BE8"/>
    <w:rsid w:val="00357A7F"/>
    <w:rsid w:val="0036059A"/>
    <w:rsid w:val="00361766"/>
    <w:rsid w:val="00362002"/>
    <w:rsid w:val="003631B7"/>
    <w:rsid w:val="0036361B"/>
    <w:rsid w:val="00363FF8"/>
    <w:rsid w:val="003640E1"/>
    <w:rsid w:val="003642A5"/>
    <w:rsid w:val="00364A8E"/>
    <w:rsid w:val="00366238"/>
    <w:rsid w:val="00366A54"/>
    <w:rsid w:val="00367BD7"/>
    <w:rsid w:val="003709EF"/>
    <w:rsid w:val="00372168"/>
    <w:rsid w:val="003723E1"/>
    <w:rsid w:val="00372FE8"/>
    <w:rsid w:val="00373BA7"/>
    <w:rsid w:val="00373D67"/>
    <w:rsid w:val="003741E8"/>
    <w:rsid w:val="003745F8"/>
    <w:rsid w:val="003747AC"/>
    <w:rsid w:val="003752A3"/>
    <w:rsid w:val="00376491"/>
    <w:rsid w:val="00376809"/>
    <w:rsid w:val="00376E1F"/>
    <w:rsid w:val="0037721D"/>
    <w:rsid w:val="00377695"/>
    <w:rsid w:val="00377DD5"/>
    <w:rsid w:val="00377FA0"/>
    <w:rsid w:val="0038015C"/>
    <w:rsid w:val="00380788"/>
    <w:rsid w:val="0038102A"/>
    <w:rsid w:val="003821A5"/>
    <w:rsid w:val="00382618"/>
    <w:rsid w:val="00382751"/>
    <w:rsid w:val="003832E1"/>
    <w:rsid w:val="003833B4"/>
    <w:rsid w:val="003841A0"/>
    <w:rsid w:val="003850FA"/>
    <w:rsid w:val="00385173"/>
    <w:rsid w:val="003858AF"/>
    <w:rsid w:val="00386A52"/>
    <w:rsid w:val="00387A34"/>
    <w:rsid w:val="0039019E"/>
    <w:rsid w:val="00390592"/>
    <w:rsid w:val="00390647"/>
    <w:rsid w:val="00391921"/>
    <w:rsid w:val="0039201D"/>
    <w:rsid w:val="00392260"/>
    <w:rsid w:val="00392316"/>
    <w:rsid w:val="0039233D"/>
    <w:rsid w:val="00392C3F"/>
    <w:rsid w:val="003931FA"/>
    <w:rsid w:val="00393C4E"/>
    <w:rsid w:val="00393DBA"/>
    <w:rsid w:val="00395CCE"/>
    <w:rsid w:val="00396725"/>
    <w:rsid w:val="00396E86"/>
    <w:rsid w:val="00397279"/>
    <w:rsid w:val="00397483"/>
    <w:rsid w:val="003975F7"/>
    <w:rsid w:val="003977DD"/>
    <w:rsid w:val="00397BE8"/>
    <w:rsid w:val="00397D61"/>
    <w:rsid w:val="003A1BA0"/>
    <w:rsid w:val="003A2295"/>
    <w:rsid w:val="003A2862"/>
    <w:rsid w:val="003A40D3"/>
    <w:rsid w:val="003A60A5"/>
    <w:rsid w:val="003A6F52"/>
    <w:rsid w:val="003A743E"/>
    <w:rsid w:val="003A7ADE"/>
    <w:rsid w:val="003B29FC"/>
    <w:rsid w:val="003B2A34"/>
    <w:rsid w:val="003B33AD"/>
    <w:rsid w:val="003B3859"/>
    <w:rsid w:val="003B45BA"/>
    <w:rsid w:val="003B51B3"/>
    <w:rsid w:val="003B6932"/>
    <w:rsid w:val="003B6E2C"/>
    <w:rsid w:val="003B6EFD"/>
    <w:rsid w:val="003B7DB1"/>
    <w:rsid w:val="003C01D4"/>
    <w:rsid w:val="003C07A2"/>
    <w:rsid w:val="003C0D0B"/>
    <w:rsid w:val="003C1941"/>
    <w:rsid w:val="003C2B2C"/>
    <w:rsid w:val="003C2CC3"/>
    <w:rsid w:val="003C3039"/>
    <w:rsid w:val="003C44FB"/>
    <w:rsid w:val="003C5386"/>
    <w:rsid w:val="003C55AA"/>
    <w:rsid w:val="003C5D84"/>
    <w:rsid w:val="003C69BF"/>
    <w:rsid w:val="003C70AD"/>
    <w:rsid w:val="003C767F"/>
    <w:rsid w:val="003C7F91"/>
    <w:rsid w:val="003D09EE"/>
    <w:rsid w:val="003D0E4D"/>
    <w:rsid w:val="003D151B"/>
    <w:rsid w:val="003D1C56"/>
    <w:rsid w:val="003D1FF4"/>
    <w:rsid w:val="003D23A3"/>
    <w:rsid w:val="003D2991"/>
    <w:rsid w:val="003D30FA"/>
    <w:rsid w:val="003D3D34"/>
    <w:rsid w:val="003D5856"/>
    <w:rsid w:val="003D72AF"/>
    <w:rsid w:val="003D77B7"/>
    <w:rsid w:val="003E0E1E"/>
    <w:rsid w:val="003E2E6B"/>
    <w:rsid w:val="003E4924"/>
    <w:rsid w:val="003E6055"/>
    <w:rsid w:val="003E6EA4"/>
    <w:rsid w:val="003F0154"/>
    <w:rsid w:val="003F02D5"/>
    <w:rsid w:val="003F053E"/>
    <w:rsid w:val="003F4298"/>
    <w:rsid w:val="003F4DDA"/>
    <w:rsid w:val="003F6A3A"/>
    <w:rsid w:val="003F6C82"/>
    <w:rsid w:val="003F6F1A"/>
    <w:rsid w:val="003F7E07"/>
    <w:rsid w:val="0040060F"/>
    <w:rsid w:val="00401C5A"/>
    <w:rsid w:val="00402149"/>
    <w:rsid w:val="0040329B"/>
    <w:rsid w:val="00403FB5"/>
    <w:rsid w:val="00404975"/>
    <w:rsid w:val="00404E4F"/>
    <w:rsid w:val="00405576"/>
    <w:rsid w:val="00405E43"/>
    <w:rsid w:val="004064F7"/>
    <w:rsid w:val="00406DA9"/>
    <w:rsid w:val="0040720A"/>
    <w:rsid w:val="0040789A"/>
    <w:rsid w:val="00407F6D"/>
    <w:rsid w:val="00410098"/>
    <w:rsid w:val="00410831"/>
    <w:rsid w:val="00410CA7"/>
    <w:rsid w:val="00412993"/>
    <w:rsid w:val="004137F3"/>
    <w:rsid w:val="00415A0E"/>
    <w:rsid w:val="00420F0E"/>
    <w:rsid w:val="0042121B"/>
    <w:rsid w:val="00421379"/>
    <w:rsid w:val="0042339A"/>
    <w:rsid w:val="00423B15"/>
    <w:rsid w:val="00423E77"/>
    <w:rsid w:val="00424177"/>
    <w:rsid w:val="004246F8"/>
    <w:rsid w:val="00424CB8"/>
    <w:rsid w:val="0042508F"/>
    <w:rsid w:val="004254CC"/>
    <w:rsid w:val="00427C1E"/>
    <w:rsid w:val="0043028F"/>
    <w:rsid w:val="004310B9"/>
    <w:rsid w:val="0043326D"/>
    <w:rsid w:val="004334FF"/>
    <w:rsid w:val="004342BA"/>
    <w:rsid w:val="0043435D"/>
    <w:rsid w:val="00434361"/>
    <w:rsid w:val="00434388"/>
    <w:rsid w:val="0043558E"/>
    <w:rsid w:val="004379C2"/>
    <w:rsid w:val="00437BED"/>
    <w:rsid w:val="004400E8"/>
    <w:rsid w:val="00441184"/>
    <w:rsid w:val="00442948"/>
    <w:rsid w:val="00443EB9"/>
    <w:rsid w:val="00443ED6"/>
    <w:rsid w:val="00444880"/>
    <w:rsid w:val="00445A78"/>
    <w:rsid w:val="004461B1"/>
    <w:rsid w:val="004462DC"/>
    <w:rsid w:val="00446C96"/>
    <w:rsid w:val="00450C80"/>
    <w:rsid w:val="00450DBD"/>
    <w:rsid w:val="00451C39"/>
    <w:rsid w:val="00453509"/>
    <w:rsid w:val="004544D6"/>
    <w:rsid w:val="00454760"/>
    <w:rsid w:val="0045479A"/>
    <w:rsid w:val="00454BCB"/>
    <w:rsid w:val="004552FB"/>
    <w:rsid w:val="00457249"/>
    <w:rsid w:val="00457EED"/>
    <w:rsid w:val="00461674"/>
    <w:rsid w:val="00461CE9"/>
    <w:rsid w:val="00462407"/>
    <w:rsid w:val="00462427"/>
    <w:rsid w:val="004631DD"/>
    <w:rsid w:val="00463495"/>
    <w:rsid w:val="004635FD"/>
    <w:rsid w:val="0047008A"/>
    <w:rsid w:val="0047011F"/>
    <w:rsid w:val="00470129"/>
    <w:rsid w:val="00471732"/>
    <w:rsid w:val="00471B66"/>
    <w:rsid w:val="004728A0"/>
    <w:rsid w:val="004738B0"/>
    <w:rsid w:val="00473FD8"/>
    <w:rsid w:val="004742DD"/>
    <w:rsid w:val="00475204"/>
    <w:rsid w:val="00475231"/>
    <w:rsid w:val="00475430"/>
    <w:rsid w:val="004764F0"/>
    <w:rsid w:val="0047662F"/>
    <w:rsid w:val="00480081"/>
    <w:rsid w:val="00480749"/>
    <w:rsid w:val="004809BD"/>
    <w:rsid w:val="00482029"/>
    <w:rsid w:val="00482816"/>
    <w:rsid w:val="00484E96"/>
    <w:rsid w:val="00485227"/>
    <w:rsid w:val="004854FD"/>
    <w:rsid w:val="00485765"/>
    <w:rsid w:val="00485F02"/>
    <w:rsid w:val="0048636A"/>
    <w:rsid w:val="004910A5"/>
    <w:rsid w:val="004913F1"/>
    <w:rsid w:val="004924D0"/>
    <w:rsid w:val="004928AC"/>
    <w:rsid w:val="004933C0"/>
    <w:rsid w:val="004940FA"/>
    <w:rsid w:val="00495BB3"/>
    <w:rsid w:val="00496416"/>
    <w:rsid w:val="00496700"/>
    <w:rsid w:val="00497BA7"/>
    <w:rsid w:val="004A0525"/>
    <w:rsid w:val="004A1509"/>
    <w:rsid w:val="004A1AEF"/>
    <w:rsid w:val="004A2FB8"/>
    <w:rsid w:val="004A46B7"/>
    <w:rsid w:val="004A4F26"/>
    <w:rsid w:val="004A5586"/>
    <w:rsid w:val="004A55FE"/>
    <w:rsid w:val="004B05EA"/>
    <w:rsid w:val="004B1531"/>
    <w:rsid w:val="004B18C1"/>
    <w:rsid w:val="004B51EE"/>
    <w:rsid w:val="004B57EE"/>
    <w:rsid w:val="004B609E"/>
    <w:rsid w:val="004B6A7D"/>
    <w:rsid w:val="004B6EAC"/>
    <w:rsid w:val="004B70B7"/>
    <w:rsid w:val="004B72CA"/>
    <w:rsid w:val="004B73C2"/>
    <w:rsid w:val="004C0B5E"/>
    <w:rsid w:val="004C0CC3"/>
    <w:rsid w:val="004C0F49"/>
    <w:rsid w:val="004C34AF"/>
    <w:rsid w:val="004C34D2"/>
    <w:rsid w:val="004C3B87"/>
    <w:rsid w:val="004C3D04"/>
    <w:rsid w:val="004C4367"/>
    <w:rsid w:val="004C4823"/>
    <w:rsid w:val="004C4DC8"/>
    <w:rsid w:val="004C5E14"/>
    <w:rsid w:val="004C615E"/>
    <w:rsid w:val="004C6332"/>
    <w:rsid w:val="004C6783"/>
    <w:rsid w:val="004C7153"/>
    <w:rsid w:val="004C753F"/>
    <w:rsid w:val="004C79ED"/>
    <w:rsid w:val="004D047E"/>
    <w:rsid w:val="004D123B"/>
    <w:rsid w:val="004D12B1"/>
    <w:rsid w:val="004D243B"/>
    <w:rsid w:val="004D262D"/>
    <w:rsid w:val="004D3BC4"/>
    <w:rsid w:val="004D44E3"/>
    <w:rsid w:val="004D4D40"/>
    <w:rsid w:val="004D52A6"/>
    <w:rsid w:val="004D6143"/>
    <w:rsid w:val="004D6622"/>
    <w:rsid w:val="004D68DF"/>
    <w:rsid w:val="004D7A2B"/>
    <w:rsid w:val="004E1233"/>
    <w:rsid w:val="004E1DD9"/>
    <w:rsid w:val="004E28C6"/>
    <w:rsid w:val="004E36BB"/>
    <w:rsid w:val="004E38F6"/>
    <w:rsid w:val="004E5070"/>
    <w:rsid w:val="004E596A"/>
    <w:rsid w:val="004E6B43"/>
    <w:rsid w:val="004E6DE1"/>
    <w:rsid w:val="004E7418"/>
    <w:rsid w:val="004F0201"/>
    <w:rsid w:val="004F0D5F"/>
    <w:rsid w:val="004F10E0"/>
    <w:rsid w:val="004F138F"/>
    <w:rsid w:val="004F1DC9"/>
    <w:rsid w:val="004F26D2"/>
    <w:rsid w:val="004F2D0A"/>
    <w:rsid w:val="004F420C"/>
    <w:rsid w:val="004F5CEA"/>
    <w:rsid w:val="004F68AF"/>
    <w:rsid w:val="004F7703"/>
    <w:rsid w:val="004F78E7"/>
    <w:rsid w:val="00500123"/>
    <w:rsid w:val="0050017F"/>
    <w:rsid w:val="0050139D"/>
    <w:rsid w:val="005013AA"/>
    <w:rsid w:val="005014D7"/>
    <w:rsid w:val="005019CA"/>
    <w:rsid w:val="00501FAC"/>
    <w:rsid w:val="00502312"/>
    <w:rsid w:val="005029DE"/>
    <w:rsid w:val="00503554"/>
    <w:rsid w:val="00503863"/>
    <w:rsid w:val="0050464D"/>
    <w:rsid w:val="00505649"/>
    <w:rsid w:val="0050670B"/>
    <w:rsid w:val="00511216"/>
    <w:rsid w:val="00511B29"/>
    <w:rsid w:val="005124ED"/>
    <w:rsid w:val="005125ED"/>
    <w:rsid w:val="00512985"/>
    <w:rsid w:val="00512AD1"/>
    <w:rsid w:val="00513040"/>
    <w:rsid w:val="0051347A"/>
    <w:rsid w:val="005141E8"/>
    <w:rsid w:val="005162ED"/>
    <w:rsid w:val="00516A89"/>
    <w:rsid w:val="00517257"/>
    <w:rsid w:val="00517601"/>
    <w:rsid w:val="005177CC"/>
    <w:rsid w:val="00517A06"/>
    <w:rsid w:val="005203E6"/>
    <w:rsid w:val="00521B1B"/>
    <w:rsid w:val="005224DC"/>
    <w:rsid w:val="00524705"/>
    <w:rsid w:val="00525019"/>
    <w:rsid w:val="00525F1C"/>
    <w:rsid w:val="00527213"/>
    <w:rsid w:val="00527A18"/>
    <w:rsid w:val="00530E98"/>
    <w:rsid w:val="00532A0B"/>
    <w:rsid w:val="00532EFA"/>
    <w:rsid w:val="005351DD"/>
    <w:rsid w:val="0053524F"/>
    <w:rsid w:val="00536740"/>
    <w:rsid w:val="00537947"/>
    <w:rsid w:val="0054080C"/>
    <w:rsid w:val="00540B70"/>
    <w:rsid w:val="00541147"/>
    <w:rsid w:val="00542480"/>
    <w:rsid w:val="00542911"/>
    <w:rsid w:val="005462C4"/>
    <w:rsid w:val="00546AE6"/>
    <w:rsid w:val="00546BA3"/>
    <w:rsid w:val="00546C37"/>
    <w:rsid w:val="00547658"/>
    <w:rsid w:val="0054798E"/>
    <w:rsid w:val="00547A0A"/>
    <w:rsid w:val="00547EB7"/>
    <w:rsid w:val="0055057C"/>
    <w:rsid w:val="005509C6"/>
    <w:rsid w:val="00550C99"/>
    <w:rsid w:val="00551C55"/>
    <w:rsid w:val="0055246F"/>
    <w:rsid w:val="00552B38"/>
    <w:rsid w:val="00553413"/>
    <w:rsid w:val="0055498E"/>
    <w:rsid w:val="00555AB2"/>
    <w:rsid w:val="00555AFE"/>
    <w:rsid w:val="00561129"/>
    <w:rsid w:val="005614C1"/>
    <w:rsid w:val="00562410"/>
    <w:rsid w:val="00563885"/>
    <w:rsid w:val="005644B3"/>
    <w:rsid w:val="0056482D"/>
    <w:rsid w:val="005649AA"/>
    <w:rsid w:val="00565A18"/>
    <w:rsid w:val="00566F58"/>
    <w:rsid w:val="0056712B"/>
    <w:rsid w:val="005704C3"/>
    <w:rsid w:val="005707E1"/>
    <w:rsid w:val="00570912"/>
    <w:rsid w:val="00571371"/>
    <w:rsid w:val="00571AB0"/>
    <w:rsid w:val="00571C54"/>
    <w:rsid w:val="00571F6C"/>
    <w:rsid w:val="005738FF"/>
    <w:rsid w:val="00574019"/>
    <w:rsid w:val="00574470"/>
    <w:rsid w:val="0057517A"/>
    <w:rsid w:val="005754AB"/>
    <w:rsid w:val="005773B0"/>
    <w:rsid w:val="005777E5"/>
    <w:rsid w:val="005804F4"/>
    <w:rsid w:val="00580CAB"/>
    <w:rsid w:val="0058200C"/>
    <w:rsid w:val="005826F4"/>
    <w:rsid w:val="005827A0"/>
    <w:rsid w:val="00582DED"/>
    <w:rsid w:val="005830E1"/>
    <w:rsid w:val="00583662"/>
    <w:rsid w:val="0058369E"/>
    <w:rsid w:val="005837FA"/>
    <w:rsid w:val="00584EDF"/>
    <w:rsid w:val="00585395"/>
    <w:rsid w:val="00587AC9"/>
    <w:rsid w:val="0059061C"/>
    <w:rsid w:val="00590D09"/>
    <w:rsid w:val="0059156A"/>
    <w:rsid w:val="00592D91"/>
    <w:rsid w:val="00593314"/>
    <w:rsid w:val="0059368E"/>
    <w:rsid w:val="00593BF5"/>
    <w:rsid w:val="00594496"/>
    <w:rsid w:val="005956D3"/>
    <w:rsid w:val="00595B00"/>
    <w:rsid w:val="00596365"/>
    <w:rsid w:val="005965BC"/>
    <w:rsid w:val="005A097B"/>
    <w:rsid w:val="005A1F17"/>
    <w:rsid w:val="005A297E"/>
    <w:rsid w:val="005A35F6"/>
    <w:rsid w:val="005A3631"/>
    <w:rsid w:val="005A4752"/>
    <w:rsid w:val="005A4AF4"/>
    <w:rsid w:val="005A5445"/>
    <w:rsid w:val="005A5523"/>
    <w:rsid w:val="005A59CC"/>
    <w:rsid w:val="005A65EA"/>
    <w:rsid w:val="005A71A8"/>
    <w:rsid w:val="005A7E78"/>
    <w:rsid w:val="005B03ED"/>
    <w:rsid w:val="005B12DA"/>
    <w:rsid w:val="005B141A"/>
    <w:rsid w:val="005B1776"/>
    <w:rsid w:val="005B1BA3"/>
    <w:rsid w:val="005B1D2F"/>
    <w:rsid w:val="005B201B"/>
    <w:rsid w:val="005B2EFE"/>
    <w:rsid w:val="005B32FB"/>
    <w:rsid w:val="005B370D"/>
    <w:rsid w:val="005B4956"/>
    <w:rsid w:val="005B4C50"/>
    <w:rsid w:val="005B4E28"/>
    <w:rsid w:val="005B6598"/>
    <w:rsid w:val="005B6827"/>
    <w:rsid w:val="005B696B"/>
    <w:rsid w:val="005B6C28"/>
    <w:rsid w:val="005B7467"/>
    <w:rsid w:val="005B7886"/>
    <w:rsid w:val="005B7FE4"/>
    <w:rsid w:val="005C05E0"/>
    <w:rsid w:val="005C07CE"/>
    <w:rsid w:val="005C156B"/>
    <w:rsid w:val="005C2295"/>
    <w:rsid w:val="005C24DE"/>
    <w:rsid w:val="005C37E0"/>
    <w:rsid w:val="005C3A49"/>
    <w:rsid w:val="005C54B9"/>
    <w:rsid w:val="005C5A1C"/>
    <w:rsid w:val="005C6618"/>
    <w:rsid w:val="005C7E80"/>
    <w:rsid w:val="005D0189"/>
    <w:rsid w:val="005D0C8B"/>
    <w:rsid w:val="005D0F29"/>
    <w:rsid w:val="005D16E5"/>
    <w:rsid w:val="005D19B9"/>
    <w:rsid w:val="005D2530"/>
    <w:rsid w:val="005D275A"/>
    <w:rsid w:val="005D4754"/>
    <w:rsid w:val="005D604D"/>
    <w:rsid w:val="005D6233"/>
    <w:rsid w:val="005D632B"/>
    <w:rsid w:val="005D6B66"/>
    <w:rsid w:val="005D73AF"/>
    <w:rsid w:val="005D7F5A"/>
    <w:rsid w:val="005E0E7D"/>
    <w:rsid w:val="005E160B"/>
    <w:rsid w:val="005E1D3C"/>
    <w:rsid w:val="005E1F48"/>
    <w:rsid w:val="005E33A5"/>
    <w:rsid w:val="005E423E"/>
    <w:rsid w:val="005E4470"/>
    <w:rsid w:val="005E47E4"/>
    <w:rsid w:val="005E5794"/>
    <w:rsid w:val="005E60A5"/>
    <w:rsid w:val="005E6345"/>
    <w:rsid w:val="005E65F2"/>
    <w:rsid w:val="005E73E7"/>
    <w:rsid w:val="005E7B2E"/>
    <w:rsid w:val="005F040C"/>
    <w:rsid w:val="005F0B65"/>
    <w:rsid w:val="005F0CF9"/>
    <w:rsid w:val="005F1A48"/>
    <w:rsid w:val="005F1A8A"/>
    <w:rsid w:val="005F1C18"/>
    <w:rsid w:val="005F27C2"/>
    <w:rsid w:val="005F293E"/>
    <w:rsid w:val="005F49E8"/>
    <w:rsid w:val="005F4A99"/>
    <w:rsid w:val="005F59CB"/>
    <w:rsid w:val="005F7204"/>
    <w:rsid w:val="00602695"/>
    <w:rsid w:val="00603D74"/>
    <w:rsid w:val="00603F74"/>
    <w:rsid w:val="00603FD5"/>
    <w:rsid w:val="00604827"/>
    <w:rsid w:val="00606815"/>
    <w:rsid w:val="00606934"/>
    <w:rsid w:val="0060792B"/>
    <w:rsid w:val="00607F03"/>
    <w:rsid w:val="00610627"/>
    <w:rsid w:val="00610F6C"/>
    <w:rsid w:val="00612E5A"/>
    <w:rsid w:val="00614439"/>
    <w:rsid w:val="00614458"/>
    <w:rsid w:val="006145C2"/>
    <w:rsid w:val="0061467B"/>
    <w:rsid w:val="00614F15"/>
    <w:rsid w:val="00616DC8"/>
    <w:rsid w:val="006173E5"/>
    <w:rsid w:val="00620548"/>
    <w:rsid w:val="006209E8"/>
    <w:rsid w:val="00623647"/>
    <w:rsid w:val="0062379D"/>
    <w:rsid w:val="006241D1"/>
    <w:rsid w:val="00624768"/>
    <w:rsid w:val="00624B90"/>
    <w:rsid w:val="00625875"/>
    <w:rsid w:val="00627771"/>
    <w:rsid w:val="006302A2"/>
    <w:rsid w:val="00630891"/>
    <w:rsid w:val="00630F02"/>
    <w:rsid w:val="0063199A"/>
    <w:rsid w:val="00631E5F"/>
    <w:rsid w:val="00632069"/>
    <w:rsid w:val="006339D5"/>
    <w:rsid w:val="00634C09"/>
    <w:rsid w:val="00635E74"/>
    <w:rsid w:val="0063661C"/>
    <w:rsid w:val="00636AC5"/>
    <w:rsid w:val="00637215"/>
    <w:rsid w:val="00640F3A"/>
    <w:rsid w:val="0064115A"/>
    <w:rsid w:val="00641EE1"/>
    <w:rsid w:val="00642857"/>
    <w:rsid w:val="00643D18"/>
    <w:rsid w:val="0064465A"/>
    <w:rsid w:val="00644862"/>
    <w:rsid w:val="0064702F"/>
    <w:rsid w:val="006475BD"/>
    <w:rsid w:val="00650348"/>
    <w:rsid w:val="00651BD4"/>
    <w:rsid w:val="006527B0"/>
    <w:rsid w:val="006527FF"/>
    <w:rsid w:val="00653D35"/>
    <w:rsid w:val="006542BB"/>
    <w:rsid w:val="00654501"/>
    <w:rsid w:val="00656638"/>
    <w:rsid w:val="00656A8A"/>
    <w:rsid w:val="00656EE1"/>
    <w:rsid w:val="0065767A"/>
    <w:rsid w:val="00660096"/>
    <w:rsid w:val="00660479"/>
    <w:rsid w:val="00661FE3"/>
    <w:rsid w:val="00662209"/>
    <w:rsid w:val="006634D5"/>
    <w:rsid w:val="006638DC"/>
    <w:rsid w:val="0066477C"/>
    <w:rsid w:val="00665BF3"/>
    <w:rsid w:val="00666BE0"/>
    <w:rsid w:val="006670E1"/>
    <w:rsid w:val="00667388"/>
    <w:rsid w:val="0067231E"/>
    <w:rsid w:val="00672FDF"/>
    <w:rsid w:val="006746A1"/>
    <w:rsid w:val="0067591D"/>
    <w:rsid w:val="0067663C"/>
    <w:rsid w:val="00677736"/>
    <w:rsid w:val="00681372"/>
    <w:rsid w:val="00681434"/>
    <w:rsid w:val="006826E0"/>
    <w:rsid w:val="006828B7"/>
    <w:rsid w:val="00682A3E"/>
    <w:rsid w:val="006830E4"/>
    <w:rsid w:val="0068312D"/>
    <w:rsid w:val="00683F8B"/>
    <w:rsid w:val="00685A54"/>
    <w:rsid w:val="00685FD5"/>
    <w:rsid w:val="0068724F"/>
    <w:rsid w:val="0068736B"/>
    <w:rsid w:val="00687725"/>
    <w:rsid w:val="006905A0"/>
    <w:rsid w:val="00692F2D"/>
    <w:rsid w:val="00693A6B"/>
    <w:rsid w:val="006940C4"/>
    <w:rsid w:val="006941BB"/>
    <w:rsid w:val="006945A2"/>
    <w:rsid w:val="00694C66"/>
    <w:rsid w:val="00696323"/>
    <w:rsid w:val="006972F5"/>
    <w:rsid w:val="00697D75"/>
    <w:rsid w:val="00697F8D"/>
    <w:rsid w:val="006A1DEF"/>
    <w:rsid w:val="006A3485"/>
    <w:rsid w:val="006A5502"/>
    <w:rsid w:val="006A556B"/>
    <w:rsid w:val="006A69FA"/>
    <w:rsid w:val="006A6C0A"/>
    <w:rsid w:val="006A7069"/>
    <w:rsid w:val="006A74F8"/>
    <w:rsid w:val="006A7C7E"/>
    <w:rsid w:val="006B01C2"/>
    <w:rsid w:val="006B10A4"/>
    <w:rsid w:val="006B25CA"/>
    <w:rsid w:val="006B265A"/>
    <w:rsid w:val="006B48E9"/>
    <w:rsid w:val="006B56B5"/>
    <w:rsid w:val="006B5C70"/>
    <w:rsid w:val="006B60D0"/>
    <w:rsid w:val="006B6D6C"/>
    <w:rsid w:val="006B6F9A"/>
    <w:rsid w:val="006B700F"/>
    <w:rsid w:val="006C103D"/>
    <w:rsid w:val="006C1FA5"/>
    <w:rsid w:val="006C36D5"/>
    <w:rsid w:val="006C3FC0"/>
    <w:rsid w:val="006C4AF4"/>
    <w:rsid w:val="006C4B34"/>
    <w:rsid w:val="006C4C82"/>
    <w:rsid w:val="006C56B7"/>
    <w:rsid w:val="006C5CA1"/>
    <w:rsid w:val="006D095B"/>
    <w:rsid w:val="006D3F2F"/>
    <w:rsid w:val="006D456E"/>
    <w:rsid w:val="006D4F09"/>
    <w:rsid w:val="006D5199"/>
    <w:rsid w:val="006D5F4F"/>
    <w:rsid w:val="006D62CB"/>
    <w:rsid w:val="006D6DE4"/>
    <w:rsid w:val="006D786B"/>
    <w:rsid w:val="006D7D34"/>
    <w:rsid w:val="006E0B2F"/>
    <w:rsid w:val="006E0CFD"/>
    <w:rsid w:val="006E3536"/>
    <w:rsid w:val="006E38CB"/>
    <w:rsid w:val="006E4D6D"/>
    <w:rsid w:val="006E5050"/>
    <w:rsid w:val="006E551C"/>
    <w:rsid w:val="006E6431"/>
    <w:rsid w:val="006E6F78"/>
    <w:rsid w:val="006E790A"/>
    <w:rsid w:val="006F01A1"/>
    <w:rsid w:val="006F3B3C"/>
    <w:rsid w:val="006F4189"/>
    <w:rsid w:val="006F45F4"/>
    <w:rsid w:val="006F4A83"/>
    <w:rsid w:val="006F4B23"/>
    <w:rsid w:val="006F517D"/>
    <w:rsid w:val="006F5BF5"/>
    <w:rsid w:val="006F764B"/>
    <w:rsid w:val="006F7AB3"/>
    <w:rsid w:val="006F7BCC"/>
    <w:rsid w:val="0070038B"/>
    <w:rsid w:val="00700CB1"/>
    <w:rsid w:val="00701100"/>
    <w:rsid w:val="00701B71"/>
    <w:rsid w:val="00702073"/>
    <w:rsid w:val="0070237E"/>
    <w:rsid w:val="00702979"/>
    <w:rsid w:val="007030BA"/>
    <w:rsid w:val="00704081"/>
    <w:rsid w:val="00705050"/>
    <w:rsid w:val="007054C1"/>
    <w:rsid w:val="0070599D"/>
    <w:rsid w:val="00706C33"/>
    <w:rsid w:val="0070703C"/>
    <w:rsid w:val="007070E6"/>
    <w:rsid w:val="007071BA"/>
    <w:rsid w:val="00710516"/>
    <w:rsid w:val="00710523"/>
    <w:rsid w:val="007121B5"/>
    <w:rsid w:val="00712CA3"/>
    <w:rsid w:val="007136C1"/>
    <w:rsid w:val="00714488"/>
    <w:rsid w:val="00714D21"/>
    <w:rsid w:val="007158C6"/>
    <w:rsid w:val="00715C06"/>
    <w:rsid w:val="00716917"/>
    <w:rsid w:val="00716C28"/>
    <w:rsid w:val="00716FEC"/>
    <w:rsid w:val="00720507"/>
    <w:rsid w:val="00720ECF"/>
    <w:rsid w:val="007215EF"/>
    <w:rsid w:val="00721818"/>
    <w:rsid w:val="00721A15"/>
    <w:rsid w:val="00721D39"/>
    <w:rsid w:val="00722406"/>
    <w:rsid w:val="00723608"/>
    <w:rsid w:val="0072383F"/>
    <w:rsid w:val="00723946"/>
    <w:rsid w:val="00723C91"/>
    <w:rsid w:val="0072516E"/>
    <w:rsid w:val="00725321"/>
    <w:rsid w:val="00726B9C"/>
    <w:rsid w:val="00726D92"/>
    <w:rsid w:val="007301C9"/>
    <w:rsid w:val="00731C0A"/>
    <w:rsid w:val="0073204C"/>
    <w:rsid w:val="007329B4"/>
    <w:rsid w:val="00732F4A"/>
    <w:rsid w:val="0073301C"/>
    <w:rsid w:val="007343C8"/>
    <w:rsid w:val="00734FE6"/>
    <w:rsid w:val="00735CCF"/>
    <w:rsid w:val="00736066"/>
    <w:rsid w:val="00736B10"/>
    <w:rsid w:val="007373EA"/>
    <w:rsid w:val="007373F6"/>
    <w:rsid w:val="007377FB"/>
    <w:rsid w:val="00740804"/>
    <w:rsid w:val="00740BA0"/>
    <w:rsid w:val="00741CBB"/>
    <w:rsid w:val="00742F0D"/>
    <w:rsid w:val="00743548"/>
    <w:rsid w:val="00743AF4"/>
    <w:rsid w:val="0074407E"/>
    <w:rsid w:val="00744120"/>
    <w:rsid w:val="007442DE"/>
    <w:rsid w:val="00744A4E"/>
    <w:rsid w:val="0074655C"/>
    <w:rsid w:val="0075019A"/>
    <w:rsid w:val="00750FD7"/>
    <w:rsid w:val="007516CD"/>
    <w:rsid w:val="00752CE9"/>
    <w:rsid w:val="0075386F"/>
    <w:rsid w:val="007540D6"/>
    <w:rsid w:val="0075486A"/>
    <w:rsid w:val="00754C47"/>
    <w:rsid w:val="00755E82"/>
    <w:rsid w:val="00760005"/>
    <w:rsid w:val="007601B5"/>
    <w:rsid w:val="00760304"/>
    <w:rsid w:val="00760E1B"/>
    <w:rsid w:val="00762F69"/>
    <w:rsid w:val="00763A0A"/>
    <w:rsid w:val="00763EC4"/>
    <w:rsid w:val="007646CE"/>
    <w:rsid w:val="00764FE1"/>
    <w:rsid w:val="00765FEB"/>
    <w:rsid w:val="007669DE"/>
    <w:rsid w:val="00766B8F"/>
    <w:rsid w:val="007673A7"/>
    <w:rsid w:val="0076763A"/>
    <w:rsid w:val="007676B1"/>
    <w:rsid w:val="00767EAE"/>
    <w:rsid w:val="00770997"/>
    <w:rsid w:val="00770DB0"/>
    <w:rsid w:val="00771E86"/>
    <w:rsid w:val="00772928"/>
    <w:rsid w:val="00772EAA"/>
    <w:rsid w:val="00773355"/>
    <w:rsid w:val="00773905"/>
    <w:rsid w:val="00773A9F"/>
    <w:rsid w:val="00773C21"/>
    <w:rsid w:val="00775165"/>
    <w:rsid w:val="00775928"/>
    <w:rsid w:val="0077625D"/>
    <w:rsid w:val="0077628C"/>
    <w:rsid w:val="007773A2"/>
    <w:rsid w:val="00777B38"/>
    <w:rsid w:val="00780BE3"/>
    <w:rsid w:val="00781952"/>
    <w:rsid w:val="00782212"/>
    <w:rsid w:val="0078279E"/>
    <w:rsid w:val="00783706"/>
    <w:rsid w:val="00784B20"/>
    <w:rsid w:val="0078533C"/>
    <w:rsid w:val="00787471"/>
    <w:rsid w:val="0079082E"/>
    <w:rsid w:val="00794395"/>
    <w:rsid w:val="0079469C"/>
    <w:rsid w:val="00795BF8"/>
    <w:rsid w:val="007961A8"/>
    <w:rsid w:val="00797DE4"/>
    <w:rsid w:val="007A012A"/>
    <w:rsid w:val="007A01BD"/>
    <w:rsid w:val="007A0363"/>
    <w:rsid w:val="007A0597"/>
    <w:rsid w:val="007A114A"/>
    <w:rsid w:val="007A20EF"/>
    <w:rsid w:val="007A295D"/>
    <w:rsid w:val="007A3530"/>
    <w:rsid w:val="007A3856"/>
    <w:rsid w:val="007A45C0"/>
    <w:rsid w:val="007A4DBF"/>
    <w:rsid w:val="007B022C"/>
    <w:rsid w:val="007B0706"/>
    <w:rsid w:val="007B226A"/>
    <w:rsid w:val="007B3084"/>
    <w:rsid w:val="007B4139"/>
    <w:rsid w:val="007B45FC"/>
    <w:rsid w:val="007B4DE1"/>
    <w:rsid w:val="007B7BCD"/>
    <w:rsid w:val="007C0A45"/>
    <w:rsid w:val="007C1DDC"/>
    <w:rsid w:val="007C1F8B"/>
    <w:rsid w:val="007C3475"/>
    <w:rsid w:val="007C37BE"/>
    <w:rsid w:val="007C4426"/>
    <w:rsid w:val="007C475F"/>
    <w:rsid w:val="007C4C37"/>
    <w:rsid w:val="007C620B"/>
    <w:rsid w:val="007C6396"/>
    <w:rsid w:val="007C68A5"/>
    <w:rsid w:val="007C75B9"/>
    <w:rsid w:val="007C7E0B"/>
    <w:rsid w:val="007C7EAC"/>
    <w:rsid w:val="007D02D5"/>
    <w:rsid w:val="007D065E"/>
    <w:rsid w:val="007D0D87"/>
    <w:rsid w:val="007D1569"/>
    <w:rsid w:val="007D1BFF"/>
    <w:rsid w:val="007D245B"/>
    <w:rsid w:val="007D25EB"/>
    <w:rsid w:val="007D3258"/>
    <w:rsid w:val="007D336D"/>
    <w:rsid w:val="007D3B0B"/>
    <w:rsid w:val="007D4664"/>
    <w:rsid w:val="007D52BB"/>
    <w:rsid w:val="007D55C9"/>
    <w:rsid w:val="007D6D39"/>
    <w:rsid w:val="007D74D7"/>
    <w:rsid w:val="007D7E20"/>
    <w:rsid w:val="007E0B7E"/>
    <w:rsid w:val="007E138A"/>
    <w:rsid w:val="007E1A38"/>
    <w:rsid w:val="007E2554"/>
    <w:rsid w:val="007E261C"/>
    <w:rsid w:val="007E2BF9"/>
    <w:rsid w:val="007E389E"/>
    <w:rsid w:val="007E39C4"/>
    <w:rsid w:val="007E4D28"/>
    <w:rsid w:val="007E56F1"/>
    <w:rsid w:val="007E5982"/>
    <w:rsid w:val="007F0D7C"/>
    <w:rsid w:val="007F137D"/>
    <w:rsid w:val="007F3A6F"/>
    <w:rsid w:val="007F3D93"/>
    <w:rsid w:val="007F4D80"/>
    <w:rsid w:val="007F5702"/>
    <w:rsid w:val="007F621C"/>
    <w:rsid w:val="007F79B8"/>
    <w:rsid w:val="008004FB"/>
    <w:rsid w:val="008011FB"/>
    <w:rsid w:val="008013DF"/>
    <w:rsid w:val="008017BC"/>
    <w:rsid w:val="00801FD5"/>
    <w:rsid w:val="0080322B"/>
    <w:rsid w:val="008035C3"/>
    <w:rsid w:val="00803855"/>
    <w:rsid w:val="00803E6D"/>
    <w:rsid w:val="00803F26"/>
    <w:rsid w:val="00804153"/>
    <w:rsid w:val="008049BC"/>
    <w:rsid w:val="00804B8B"/>
    <w:rsid w:val="00805938"/>
    <w:rsid w:val="00805AF4"/>
    <w:rsid w:val="00806EE3"/>
    <w:rsid w:val="00806F63"/>
    <w:rsid w:val="008070C7"/>
    <w:rsid w:val="008072E7"/>
    <w:rsid w:val="00807F06"/>
    <w:rsid w:val="008109F2"/>
    <w:rsid w:val="00811196"/>
    <w:rsid w:val="00811D23"/>
    <w:rsid w:val="0081414F"/>
    <w:rsid w:val="00814249"/>
    <w:rsid w:val="00815205"/>
    <w:rsid w:val="0081533C"/>
    <w:rsid w:val="008157DA"/>
    <w:rsid w:val="00815B75"/>
    <w:rsid w:val="00815CA2"/>
    <w:rsid w:val="00816056"/>
    <w:rsid w:val="008161D7"/>
    <w:rsid w:val="00817B84"/>
    <w:rsid w:val="008203EC"/>
    <w:rsid w:val="00820661"/>
    <w:rsid w:val="008229C4"/>
    <w:rsid w:val="00822EF8"/>
    <w:rsid w:val="0082437F"/>
    <w:rsid w:val="008248E0"/>
    <w:rsid w:val="00825688"/>
    <w:rsid w:val="008262E5"/>
    <w:rsid w:val="0082634B"/>
    <w:rsid w:val="00826F06"/>
    <w:rsid w:val="00830A10"/>
    <w:rsid w:val="00831CFA"/>
    <w:rsid w:val="00832838"/>
    <w:rsid w:val="0083417F"/>
    <w:rsid w:val="0083428E"/>
    <w:rsid w:val="00834425"/>
    <w:rsid w:val="0083447F"/>
    <w:rsid w:val="008350A8"/>
    <w:rsid w:val="0083577A"/>
    <w:rsid w:val="00836027"/>
    <w:rsid w:val="00836262"/>
    <w:rsid w:val="00836E3A"/>
    <w:rsid w:val="00837210"/>
    <w:rsid w:val="0084000F"/>
    <w:rsid w:val="008400E4"/>
    <w:rsid w:val="00840534"/>
    <w:rsid w:val="0084238D"/>
    <w:rsid w:val="008423EB"/>
    <w:rsid w:val="00842836"/>
    <w:rsid w:val="00842B50"/>
    <w:rsid w:val="00843B75"/>
    <w:rsid w:val="0084527D"/>
    <w:rsid w:val="0084546D"/>
    <w:rsid w:val="008472B8"/>
    <w:rsid w:val="00847833"/>
    <w:rsid w:val="00850162"/>
    <w:rsid w:val="008508A8"/>
    <w:rsid w:val="00851AFD"/>
    <w:rsid w:val="00852218"/>
    <w:rsid w:val="008529A2"/>
    <w:rsid w:val="00852A2A"/>
    <w:rsid w:val="00854153"/>
    <w:rsid w:val="0085439B"/>
    <w:rsid w:val="00854841"/>
    <w:rsid w:val="00855D64"/>
    <w:rsid w:val="00855FFA"/>
    <w:rsid w:val="008579B4"/>
    <w:rsid w:val="008579C1"/>
    <w:rsid w:val="00860BB3"/>
    <w:rsid w:val="00862CE9"/>
    <w:rsid w:val="00862E38"/>
    <w:rsid w:val="00863C7F"/>
    <w:rsid w:val="008647CE"/>
    <w:rsid w:val="00864E6E"/>
    <w:rsid w:val="00865080"/>
    <w:rsid w:val="00865B64"/>
    <w:rsid w:val="008677EC"/>
    <w:rsid w:val="00867AEE"/>
    <w:rsid w:val="00870B5E"/>
    <w:rsid w:val="00871678"/>
    <w:rsid w:val="00871A6C"/>
    <w:rsid w:val="00872A6F"/>
    <w:rsid w:val="0087318D"/>
    <w:rsid w:val="00873665"/>
    <w:rsid w:val="00873EF9"/>
    <w:rsid w:val="0087555C"/>
    <w:rsid w:val="00875B86"/>
    <w:rsid w:val="00875CCB"/>
    <w:rsid w:val="00876612"/>
    <w:rsid w:val="0087708B"/>
    <w:rsid w:val="008770ED"/>
    <w:rsid w:val="008801D1"/>
    <w:rsid w:val="00880EF0"/>
    <w:rsid w:val="00880F41"/>
    <w:rsid w:val="00881537"/>
    <w:rsid w:val="008828D1"/>
    <w:rsid w:val="00882EDB"/>
    <w:rsid w:val="00883210"/>
    <w:rsid w:val="008833F3"/>
    <w:rsid w:val="008916C1"/>
    <w:rsid w:val="00893B25"/>
    <w:rsid w:val="00896747"/>
    <w:rsid w:val="00896994"/>
    <w:rsid w:val="00896B87"/>
    <w:rsid w:val="00896FCB"/>
    <w:rsid w:val="00897606"/>
    <w:rsid w:val="00897793"/>
    <w:rsid w:val="00897C38"/>
    <w:rsid w:val="008A02BB"/>
    <w:rsid w:val="008A1632"/>
    <w:rsid w:val="008A2395"/>
    <w:rsid w:val="008A38B5"/>
    <w:rsid w:val="008A3AFF"/>
    <w:rsid w:val="008A4636"/>
    <w:rsid w:val="008A6F83"/>
    <w:rsid w:val="008A7BD8"/>
    <w:rsid w:val="008B05C3"/>
    <w:rsid w:val="008B0BE7"/>
    <w:rsid w:val="008B0C4C"/>
    <w:rsid w:val="008B10D7"/>
    <w:rsid w:val="008B20A7"/>
    <w:rsid w:val="008B3A33"/>
    <w:rsid w:val="008B4965"/>
    <w:rsid w:val="008B5C78"/>
    <w:rsid w:val="008B5DAD"/>
    <w:rsid w:val="008B6B8D"/>
    <w:rsid w:val="008B76FD"/>
    <w:rsid w:val="008B78B1"/>
    <w:rsid w:val="008B7C97"/>
    <w:rsid w:val="008C059B"/>
    <w:rsid w:val="008C091B"/>
    <w:rsid w:val="008C1CCF"/>
    <w:rsid w:val="008C26B3"/>
    <w:rsid w:val="008C277C"/>
    <w:rsid w:val="008C2A57"/>
    <w:rsid w:val="008C4056"/>
    <w:rsid w:val="008C4693"/>
    <w:rsid w:val="008C58ED"/>
    <w:rsid w:val="008C616F"/>
    <w:rsid w:val="008C6845"/>
    <w:rsid w:val="008D0296"/>
    <w:rsid w:val="008D0A8F"/>
    <w:rsid w:val="008D1665"/>
    <w:rsid w:val="008D1777"/>
    <w:rsid w:val="008D19FD"/>
    <w:rsid w:val="008D1ABD"/>
    <w:rsid w:val="008D25F0"/>
    <w:rsid w:val="008D2A9E"/>
    <w:rsid w:val="008D3A0D"/>
    <w:rsid w:val="008D49AF"/>
    <w:rsid w:val="008D4BE7"/>
    <w:rsid w:val="008D5F3B"/>
    <w:rsid w:val="008D7321"/>
    <w:rsid w:val="008D7D89"/>
    <w:rsid w:val="008E05F1"/>
    <w:rsid w:val="008E0638"/>
    <w:rsid w:val="008E0BE4"/>
    <w:rsid w:val="008E1154"/>
    <w:rsid w:val="008E11EA"/>
    <w:rsid w:val="008E1AFE"/>
    <w:rsid w:val="008E24F4"/>
    <w:rsid w:val="008E25D6"/>
    <w:rsid w:val="008E2B1B"/>
    <w:rsid w:val="008E349E"/>
    <w:rsid w:val="008E511C"/>
    <w:rsid w:val="008E521F"/>
    <w:rsid w:val="008E5D30"/>
    <w:rsid w:val="008E5F73"/>
    <w:rsid w:val="008E6867"/>
    <w:rsid w:val="008E6F3E"/>
    <w:rsid w:val="008E792E"/>
    <w:rsid w:val="008E7BD4"/>
    <w:rsid w:val="008E7CAA"/>
    <w:rsid w:val="008F029F"/>
    <w:rsid w:val="008F099E"/>
    <w:rsid w:val="008F0A95"/>
    <w:rsid w:val="008F1792"/>
    <w:rsid w:val="008F20D5"/>
    <w:rsid w:val="008F387B"/>
    <w:rsid w:val="008F492F"/>
    <w:rsid w:val="008F567D"/>
    <w:rsid w:val="008F661F"/>
    <w:rsid w:val="008F67F5"/>
    <w:rsid w:val="008F6884"/>
    <w:rsid w:val="008F6C93"/>
    <w:rsid w:val="008F6F1A"/>
    <w:rsid w:val="008F7091"/>
    <w:rsid w:val="008F72C3"/>
    <w:rsid w:val="008F7897"/>
    <w:rsid w:val="008F7A61"/>
    <w:rsid w:val="00900F8D"/>
    <w:rsid w:val="0090137A"/>
    <w:rsid w:val="00902692"/>
    <w:rsid w:val="0090292C"/>
    <w:rsid w:val="00903370"/>
    <w:rsid w:val="00903911"/>
    <w:rsid w:val="00904DC9"/>
    <w:rsid w:val="00905EB6"/>
    <w:rsid w:val="00905F02"/>
    <w:rsid w:val="00905F56"/>
    <w:rsid w:val="00906752"/>
    <w:rsid w:val="00906BB0"/>
    <w:rsid w:val="00906E74"/>
    <w:rsid w:val="00906FB9"/>
    <w:rsid w:val="0091193A"/>
    <w:rsid w:val="009124CC"/>
    <w:rsid w:val="0091349A"/>
    <w:rsid w:val="00913700"/>
    <w:rsid w:val="00913E7C"/>
    <w:rsid w:val="00914399"/>
    <w:rsid w:val="00914978"/>
    <w:rsid w:val="00914DCD"/>
    <w:rsid w:val="0091530C"/>
    <w:rsid w:val="009158BF"/>
    <w:rsid w:val="009169A1"/>
    <w:rsid w:val="00917DAD"/>
    <w:rsid w:val="00920008"/>
    <w:rsid w:val="00920851"/>
    <w:rsid w:val="00923016"/>
    <w:rsid w:val="0093017E"/>
    <w:rsid w:val="00931139"/>
    <w:rsid w:val="0093137D"/>
    <w:rsid w:val="009317BA"/>
    <w:rsid w:val="00931E0B"/>
    <w:rsid w:val="00932B6C"/>
    <w:rsid w:val="00933E08"/>
    <w:rsid w:val="009342FC"/>
    <w:rsid w:val="009347E4"/>
    <w:rsid w:val="00934CBB"/>
    <w:rsid w:val="00935F2D"/>
    <w:rsid w:val="00936068"/>
    <w:rsid w:val="00936A57"/>
    <w:rsid w:val="009402AA"/>
    <w:rsid w:val="0094317E"/>
    <w:rsid w:val="00943806"/>
    <w:rsid w:val="00943A5C"/>
    <w:rsid w:val="00943EA6"/>
    <w:rsid w:val="00944630"/>
    <w:rsid w:val="00946351"/>
    <w:rsid w:val="00946754"/>
    <w:rsid w:val="00946D54"/>
    <w:rsid w:val="009509C3"/>
    <w:rsid w:val="00950E8A"/>
    <w:rsid w:val="00951029"/>
    <w:rsid w:val="009517CC"/>
    <w:rsid w:val="00951F9A"/>
    <w:rsid w:val="00954C43"/>
    <w:rsid w:val="00954F55"/>
    <w:rsid w:val="00957A89"/>
    <w:rsid w:val="00957F2D"/>
    <w:rsid w:val="00960D91"/>
    <w:rsid w:val="00961575"/>
    <w:rsid w:val="009615D4"/>
    <w:rsid w:val="00961DAD"/>
    <w:rsid w:val="00962905"/>
    <w:rsid w:val="009633C2"/>
    <w:rsid w:val="009640DE"/>
    <w:rsid w:val="009647F6"/>
    <w:rsid w:val="0096498E"/>
    <w:rsid w:val="009654A9"/>
    <w:rsid w:val="00966C97"/>
    <w:rsid w:val="00967F33"/>
    <w:rsid w:val="00970A20"/>
    <w:rsid w:val="00970BC2"/>
    <w:rsid w:val="0097163D"/>
    <w:rsid w:val="009716C3"/>
    <w:rsid w:val="00971743"/>
    <w:rsid w:val="009721F8"/>
    <w:rsid w:val="00972574"/>
    <w:rsid w:val="009742C3"/>
    <w:rsid w:val="00974677"/>
    <w:rsid w:val="00975083"/>
    <w:rsid w:val="00975ACA"/>
    <w:rsid w:val="00975DE1"/>
    <w:rsid w:val="00975ED7"/>
    <w:rsid w:val="00976023"/>
    <w:rsid w:val="00976992"/>
    <w:rsid w:val="00980461"/>
    <w:rsid w:val="00980D5E"/>
    <w:rsid w:val="00980EFE"/>
    <w:rsid w:val="0098239D"/>
    <w:rsid w:val="00983C09"/>
    <w:rsid w:val="00984464"/>
    <w:rsid w:val="009846B3"/>
    <w:rsid w:val="009856A7"/>
    <w:rsid w:val="00986165"/>
    <w:rsid w:val="009864AF"/>
    <w:rsid w:val="00987CF4"/>
    <w:rsid w:val="00987FC5"/>
    <w:rsid w:val="009901F4"/>
    <w:rsid w:val="009905FE"/>
    <w:rsid w:val="009911D1"/>
    <w:rsid w:val="0099172E"/>
    <w:rsid w:val="00992DB3"/>
    <w:rsid w:val="009937DA"/>
    <w:rsid w:val="009938F6"/>
    <w:rsid w:val="0099477D"/>
    <w:rsid w:val="00996506"/>
    <w:rsid w:val="009969C3"/>
    <w:rsid w:val="009A0C30"/>
    <w:rsid w:val="009A2A5D"/>
    <w:rsid w:val="009A2D23"/>
    <w:rsid w:val="009A2F17"/>
    <w:rsid w:val="009A3C2B"/>
    <w:rsid w:val="009A469B"/>
    <w:rsid w:val="009A5139"/>
    <w:rsid w:val="009A5413"/>
    <w:rsid w:val="009A6A12"/>
    <w:rsid w:val="009A6ED5"/>
    <w:rsid w:val="009A79A6"/>
    <w:rsid w:val="009A7DBA"/>
    <w:rsid w:val="009B0770"/>
    <w:rsid w:val="009B1435"/>
    <w:rsid w:val="009B15E6"/>
    <w:rsid w:val="009B1C32"/>
    <w:rsid w:val="009B1DE9"/>
    <w:rsid w:val="009B217C"/>
    <w:rsid w:val="009B2AD4"/>
    <w:rsid w:val="009B4D73"/>
    <w:rsid w:val="009B5548"/>
    <w:rsid w:val="009C086F"/>
    <w:rsid w:val="009C16C2"/>
    <w:rsid w:val="009C29F3"/>
    <w:rsid w:val="009C5AD6"/>
    <w:rsid w:val="009C5C84"/>
    <w:rsid w:val="009C6075"/>
    <w:rsid w:val="009C6248"/>
    <w:rsid w:val="009D1513"/>
    <w:rsid w:val="009D19B5"/>
    <w:rsid w:val="009D24F5"/>
    <w:rsid w:val="009D27B6"/>
    <w:rsid w:val="009D3305"/>
    <w:rsid w:val="009D4421"/>
    <w:rsid w:val="009D725C"/>
    <w:rsid w:val="009E19A3"/>
    <w:rsid w:val="009E2109"/>
    <w:rsid w:val="009E2756"/>
    <w:rsid w:val="009E2BF5"/>
    <w:rsid w:val="009E2F1E"/>
    <w:rsid w:val="009E44DD"/>
    <w:rsid w:val="009E4676"/>
    <w:rsid w:val="009E4DC0"/>
    <w:rsid w:val="009E532B"/>
    <w:rsid w:val="009E54A4"/>
    <w:rsid w:val="009E61A8"/>
    <w:rsid w:val="009E720D"/>
    <w:rsid w:val="009E7375"/>
    <w:rsid w:val="009E7511"/>
    <w:rsid w:val="009F2154"/>
    <w:rsid w:val="009F21D5"/>
    <w:rsid w:val="009F352E"/>
    <w:rsid w:val="009F370C"/>
    <w:rsid w:val="009F39B5"/>
    <w:rsid w:val="009F423C"/>
    <w:rsid w:val="009F4498"/>
    <w:rsid w:val="009F468C"/>
    <w:rsid w:val="009F4F53"/>
    <w:rsid w:val="009F502F"/>
    <w:rsid w:val="009F56D3"/>
    <w:rsid w:val="009F677F"/>
    <w:rsid w:val="009F72E2"/>
    <w:rsid w:val="009F7B67"/>
    <w:rsid w:val="009F7D0C"/>
    <w:rsid w:val="00A007A1"/>
    <w:rsid w:val="00A010D8"/>
    <w:rsid w:val="00A0168A"/>
    <w:rsid w:val="00A017BA"/>
    <w:rsid w:val="00A03E3A"/>
    <w:rsid w:val="00A05281"/>
    <w:rsid w:val="00A0757A"/>
    <w:rsid w:val="00A07B94"/>
    <w:rsid w:val="00A11038"/>
    <w:rsid w:val="00A128B7"/>
    <w:rsid w:val="00A13664"/>
    <w:rsid w:val="00A14CA7"/>
    <w:rsid w:val="00A17B71"/>
    <w:rsid w:val="00A17C93"/>
    <w:rsid w:val="00A20C98"/>
    <w:rsid w:val="00A21BF1"/>
    <w:rsid w:val="00A232C5"/>
    <w:rsid w:val="00A23412"/>
    <w:rsid w:val="00A238C0"/>
    <w:rsid w:val="00A25659"/>
    <w:rsid w:val="00A26C08"/>
    <w:rsid w:val="00A26FF4"/>
    <w:rsid w:val="00A26FFB"/>
    <w:rsid w:val="00A2717B"/>
    <w:rsid w:val="00A2783C"/>
    <w:rsid w:val="00A27CC5"/>
    <w:rsid w:val="00A304F3"/>
    <w:rsid w:val="00A3196C"/>
    <w:rsid w:val="00A32564"/>
    <w:rsid w:val="00A3342F"/>
    <w:rsid w:val="00A33718"/>
    <w:rsid w:val="00A340AA"/>
    <w:rsid w:val="00A3451F"/>
    <w:rsid w:val="00A36095"/>
    <w:rsid w:val="00A36E47"/>
    <w:rsid w:val="00A3736F"/>
    <w:rsid w:val="00A37F77"/>
    <w:rsid w:val="00A405ED"/>
    <w:rsid w:val="00A4095D"/>
    <w:rsid w:val="00A416AD"/>
    <w:rsid w:val="00A4198F"/>
    <w:rsid w:val="00A42826"/>
    <w:rsid w:val="00A42F88"/>
    <w:rsid w:val="00A4303C"/>
    <w:rsid w:val="00A43F3A"/>
    <w:rsid w:val="00A4402B"/>
    <w:rsid w:val="00A4550D"/>
    <w:rsid w:val="00A458AB"/>
    <w:rsid w:val="00A471AE"/>
    <w:rsid w:val="00A50B81"/>
    <w:rsid w:val="00A50C80"/>
    <w:rsid w:val="00A50CD9"/>
    <w:rsid w:val="00A51374"/>
    <w:rsid w:val="00A52408"/>
    <w:rsid w:val="00A52413"/>
    <w:rsid w:val="00A527EB"/>
    <w:rsid w:val="00A52F24"/>
    <w:rsid w:val="00A532AB"/>
    <w:rsid w:val="00A53B59"/>
    <w:rsid w:val="00A53B8D"/>
    <w:rsid w:val="00A54E54"/>
    <w:rsid w:val="00A5529A"/>
    <w:rsid w:val="00A55CE8"/>
    <w:rsid w:val="00A56A53"/>
    <w:rsid w:val="00A56C4D"/>
    <w:rsid w:val="00A56F0B"/>
    <w:rsid w:val="00A5703F"/>
    <w:rsid w:val="00A57412"/>
    <w:rsid w:val="00A5760E"/>
    <w:rsid w:val="00A5793A"/>
    <w:rsid w:val="00A604C2"/>
    <w:rsid w:val="00A604FE"/>
    <w:rsid w:val="00A612E2"/>
    <w:rsid w:val="00A61FE0"/>
    <w:rsid w:val="00A629AB"/>
    <w:rsid w:val="00A62CC7"/>
    <w:rsid w:val="00A63D66"/>
    <w:rsid w:val="00A640F0"/>
    <w:rsid w:val="00A6431C"/>
    <w:rsid w:val="00A6465F"/>
    <w:rsid w:val="00A65DA1"/>
    <w:rsid w:val="00A65DCB"/>
    <w:rsid w:val="00A6634B"/>
    <w:rsid w:val="00A668D5"/>
    <w:rsid w:val="00A66C67"/>
    <w:rsid w:val="00A70005"/>
    <w:rsid w:val="00A70820"/>
    <w:rsid w:val="00A708EE"/>
    <w:rsid w:val="00A70DFC"/>
    <w:rsid w:val="00A71F7C"/>
    <w:rsid w:val="00A7200D"/>
    <w:rsid w:val="00A72DEB"/>
    <w:rsid w:val="00A733D5"/>
    <w:rsid w:val="00A73E2E"/>
    <w:rsid w:val="00A756A5"/>
    <w:rsid w:val="00A75DCB"/>
    <w:rsid w:val="00A769FD"/>
    <w:rsid w:val="00A77B00"/>
    <w:rsid w:val="00A77F58"/>
    <w:rsid w:val="00A80275"/>
    <w:rsid w:val="00A8138A"/>
    <w:rsid w:val="00A8183A"/>
    <w:rsid w:val="00A81E14"/>
    <w:rsid w:val="00A82079"/>
    <w:rsid w:val="00A8283C"/>
    <w:rsid w:val="00A82C30"/>
    <w:rsid w:val="00A83A62"/>
    <w:rsid w:val="00A83D6D"/>
    <w:rsid w:val="00A842F9"/>
    <w:rsid w:val="00A846A8"/>
    <w:rsid w:val="00A85255"/>
    <w:rsid w:val="00A86051"/>
    <w:rsid w:val="00A8625F"/>
    <w:rsid w:val="00A8630F"/>
    <w:rsid w:val="00A87AB4"/>
    <w:rsid w:val="00A90151"/>
    <w:rsid w:val="00A90256"/>
    <w:rsid w:val="00A91551"/>
    <w:rsid w:val="00A915BE"/>
    <w:rsid w:val="00A917F4"/>
    <w:rsid w:val="00A918D3"/>
    <w:rsid w:val="00A9359B"/>
    <w:rsid w:val="00A94116"/>
    <w:rsid w:val="00A9461E"/>
    <w:rsid w:val="00A9545C"/>
    <w:rsid w:val="00A95662"/>
    <w:rsid w:val="00A96436"/>
    <w:rsid w:val="00A96E9F"/>
    <w:rsid w:val="00A9708F"/>
    <w:rsid w:val="00A970A6"/>
    <w:rsid w:val="00A97249"/>
    <w:rsid w:val="00A97C0C"/>
    <w:rsid w:val="00AA0AF4"/>
    <w:rsid w:val="00AA0B1C"/>
    <w:rsid w:val="00AA163B"/>
    <w:rsid w:val="00AA1A3E"/>
    <w:rsid w:val="00AA1BD4"/>
    <w:rsid w:val="00AA1BE2"/>
    <w:rsid w:val="00AA2713"/>
    <w:rsid w:val="00AA2984"/>
    <w:rsid w:val="00AA2C55"/>
    <w:rsid w:val="00AA30AA"/>
    <w:rsid w:val="00AA3569"/>
    <w:rsid w:val="00AA3B29"/>
    <w:rsid w:val="00AA46BF"/>
    <w:rsid w:val="00AA5099"/>
    <w:rsid w:val="00AA5A4A"/>
    <w:rsid w:val="00AA61AE"/>
    <w:rsid w:val="00AA6B75"/>
    <w:rsid w:val="00AA7588"/>
    <w:rsid w:val="00AB01C5"/>
    <w:rsid w:val="00AB0579"/>
    <w:rsid w:val="00AB105D"/>
    <w:rsid w:val="00AB10F4"/>
    <w:rsid w:val="00AB1BC9"/>
    <w:rsid w:val="00AB2D17"/>
    <w:rsid w:val="00AB3479"/>
    <w:rsid w:val="00AB34AD"/>
    <w:rsid w:val="00AB4085"/>
    <w:rsid w:val="00AB4286"/>
    <w:rsid w:val="00AB4399"/>
    <w:rsid w:val="00AB4627"/>
    <w:rsid w:val="00AB46E2"/>
    <w:rsid w:val="00AB5961"/>
    <w:rsid w:val="00AB6B84"/>
    <w:rsid w:val="00AB7799"/>
    <w:rsid w:val="00AC1CF6"/>
    <w:rsid w:val="00AC221B"/>
    <w:rsid w:val="00AC3557"/>
    <w:rsid w:val="00AC38C5"/>
    <w:rsid w:val="00AC409C"/>
    <w:rsid w:val="00AC4F7C"/>
    <w:rsid w:val="00AC5071"/>
    <w:rsid w:val="00AC587D"/>
    <w:rsid w:val="00AC5F56"/>
    <w:rsid w:val="00AC6A11"/>
    <w:rsid w:val="00AD011C"/>
    <w:rsid w:val="00AD0123"/>
    <w:rsid w:val="00AD06DE"/>
    <w:rsid w:val="00AD119A"/>
    <w:rsid w:val="00AD1AA2"/>
    <w:rsid w:val="00AD217B"/>
    <w:rsid w:val="00AD2C2B"/>
    <w:rsid w:val="00AD2D84"/>
    <w:rsid w:val="00AD4700"/>
    <w:rsid w:val="00AD51EC"/>
    <w:rsid w:val="00AD65FA"/>
    <w:rsid w:val="00AD782C"/>
    <w:rsid w:val="00AD7A30"/>
    <w:rsid w:val="00AD7EEB"/>
    <w:rsid w:val="00AD7FF2"/>
    <w:rsid w:val="00AE0B67"/>
    <w:rsid w:val="00AE132D"/>
    <w:rsid w:val="00AE253A"/>
    <w:rsid w:val="00AE3661"/>
    <w:rsid w:val="00AE528A"/>
    <w:rsid w:val="00AE64B6"/>
    <w:rsid w:val="00AE6FAE"/>
    <w:rsid w:val="00AF0482"/>
    <w:rsid w:val="00AF05D7"/>
    <w:rsid w:val="00AF0F2D"/>
    <w:rsid w:val="00AF19DB"/>
    <w:rsid w:val="00AF28A2"/>
    <w:rsid w:val="00AF30C7"/>
    <w:rsid w:val="00AF3BD9"/>
    <w:rsid w:val="00AF4528"/>
    <w:rsid w:val="00AF479F"/>
    <w:rsid w:val="00AF61D0"/>
    <w:rsid w:val="00AF6562"/>
    <w:rsid w:val="00AF6AF8"/>
    <w:rsid w:val="00AF73A5"/>
    <w:rsid w:val="00B026C6"/>
    <w:rsid w:val="00B027AA"/>
    <w:rsid w:val="00B02A02"/>
    <w:rsid w:val="00B02E99"/>
    <w:rsid w:val="00B03136"/>
    <w:rsid w:val="00B03DBD"/>
    <w:rsid w:val="00B03F95"/>
    <w:rsid w:val="00B044BC"/>
    <w:rsid w:val="00B049A1"/>
    <w:rsid w:val="00B05238"/>
    <w:rsid w:val="00B06803"/>
    <w:rsid w:val="00B06C97"/>
    <w:rsid w:val="00B06FA2"/>
    <w:rsid w:val="00B10FA6"/>
    <w:rsid w:val="00B1119F"/>
    <w:rsid w:val="00B11AB3"/>
    <w:rsid w:val="00B11F80"/>
    <w:rsid w:val="00B12853"/>
    <w:rsid w:val="00B12C44"/>
    <w:rsid w:val="00B12FB0"/>
    <w:rsid w:val="00B163EC"/>
    <w:rsid w:val="00B1650E"/>
    <w:rsid w:val="00B16E93"/>
    <w:rsid w:val="00B16EE4"/>
    <w:rsid w:val="00B17053"/>
    <w:rsid w:val="00B20080"/>
    <w:rsid w:val="00B20FB2"/>
    <w:rsid w:val="00B22680"/>
    <w:rsid w:val="00B228B0"/>
    <w:rsid w:val="00B22DC7"/>
    <w:rsid w:val="00B22F02"/>
    <w:rsid w:val="00B23258"/>
    <w:rsid w:val="00B233BD"/>
    <w:rsid w:val="00B23603"/>
    <w:rsid w:val="00B25CA7"/>
    <w:rsid w:val="00B260AA"/>
    <w:rsid w:val="00B26F55"/>
    <w:rsid w:val="00B2757F"/>
    <w:rsid w:val="00B27AE4"/>
    <w:rsid w:val="00B302FA"/>
    <w:rsid w:val="00B30CB7"/>
    <w:rsid w:val="00B311AD"/>
    <w:rsid w:val="00B31574"/>
    <w:rsid w:val="00B3189A"/>
    <w:rsid w:val="00B31910"/>
    <w:rsid w:val="00B32D6C"/>
    <w:rsid w:val="00B33153"/>
    <w:rsid w:val="00B34048"/>
    <w:rsid w:val="00B34683"/>
    <w:rsid w:val="00B34CEB"/>
    <w:rsid w:val="00B35F09"/>
    <w:rsid w:val="00B36BFB"/>
    <w:rsid w:val="00B3749D"/>
    <w:rsid w:val="00B375E0"/>
    <w:rsid w:val="00B37B7B"/>
    <w:rsid w:val="00B4093E"/>
    <w:rsid w:val="00B4337F"/>
    <w:rsid w:val="00B43A84"/>
    <w:rsid w:val="00B43E4F"/>
    <w:rsid w:val="00B443CC"/>
    <w:rsid w:val="00B50220"/>
    <w:rsid w:val="00B5033F"/>
    <w:rsid w:val="00B53002"/>
    <w:rsid w:val="00B533EA"/>
    <w:rsid w:val="00B537E0"/>
    <w:rsid w:val="00B54971"/>
    <w:rsid w:val="00B55ACA"/>
    <w:rsid w:val="00B56D1F"/>
    <w:rsid w:val="00B56DB2"/>
    <w:rsid w:val="00B578A6"/>
    <w:rsid w:val="00B60DEC"/>
    <w:rsid w:val="00B61B38"/>
    <w:rsid w:val="00B63C34"/>
    <w:rsid w:val="00B64015"/>
    <w:rsid w:val="00B64AC3"/>
    <w:rsid w:val="00B64BAF"/>
    <w:rsid w:val="00B653FD"/>
    <w:rsid w:val="00B656F3"/>
    <w:rsid w:val="00B65DAA"/>
    <w:rsid w:val="00B6651B"/>
    <w:rsid w:val="00B66B2F"/>
    <w:rsid w:val="00B67318"/>
    <w:rsid w:val="00B67351"/>
    <w:rsid w:val="00B67634"/>
    <w:rsid w:val="00B717F0"/>
    <w:rsid w:val="00B71977"/>
    <w:rsid w:val="00B720EC"/>
    <w:rsid w:val="00B7258D"/>
    <w:rsid w:val="00B72A5F"/>
    <w:rsid w:val="00B731AD"/>
    <w:rsid w:val="00B73E12"/>
    <w:rsid w:val="00B74F7F"/>
    <w:rsid w:val="00B7530D"/>
    <w:rsid w:val="00B75B08"/>
    <w:rsid w:val="00B75B63"/>
    <w:rsid w:val="00B75B6C"/>
    <w:rsid w:val="00B7602B"/>
    <w:rsid w:val="00B760F4"/>
    <w:rsid w:val="00B7663C"/>
    <w:rsid w:val="00B76FC2"/>
    <w:rsid w:val="00B80EA9"/>
    <w:rsid w:val="00B8111B"/>
    <w:rsid w:val="00B81B38"/>
    <w:rsid w:val="00B8204C"/>
    <w:rsid w:val="00B836D2"/>
    <w:rsid w:val="00B83C5D"/>
    <w:rsid w:val="00B84869"/>
    <w:rsid w:val="00B85539"/>
    <w:rsid w:val="00B85A68"/>
    <w:rsid w:val="00B85CA4"/>
    <w:rsid w:val="00B85E85"/>
    <w:rsid w:val="00B86607"/>
    <w:rsid w:val="00B86DC7"/>
    <w:rsid w:val="00B873A5"/>
    <w:rsid w:val="00B87534"/>
    <w:rsid w:val="00B87859"/>
    <w:rsid w:val="00B902B0"/>
    <w:rsid w:val="00B90457"/>
    <w:rsid w:val="00B908B9"/>
    <w:rsid w:val="00B90B6A"/>
    <w:rsid w:val="00B915F0"/>
    <w:rsid w:val="00B917AE"/>
    <w:rsid w:val="00B91D47"/>
    <w:rsid w:val="00B92548"/>
    <w:rsid w:val="00B927F1"/>
    <w:rsid w:val="00B92BAE"/>
    <w:rsid w:val="00B9340B"/>
    <w:rsid w:val="00B93D97"/>
    <w:rsid w:val="00B953E2"/>
    <w:rsid w:val="00B95ED0"/>
    <w:rsid w:val="00B9605D"/>
    <w:rsid w:val="00B96A89"/>
    <w:rsid w:val="00B97CD6"/>
    <w:rsid w:val="00BA0486"/>
    <w:rsid w:val="00BA053F"/>
    <w:rsid w:val="00BA0BC3"/>
    <w:rsid w:val="00BA18DA"/>
    <w:rsid w:val="00BA3CB8"/>
    <w:rsid w:val="00BA4DB0"/>
    <w:rsid w:val="00BA5CB7"/>
    <w:rsid w:val="00BA7623"/>
    <w:rsid w:val="00BA7728"/>
    <w:rsid w:val="00BB138D"/>
    <w:rsid w:val="00BB2818"/>
    <w:rsid w:val="00BB442E"/>
    <w:rsid w:val="00BB4A18"/>
    <w:rsid w:val="00BB4D19"/>
    <w:rsid w:val="00BB506D"/>
    <w:rsid w:val="00BB5683"/>
    <w:rsid w:val="00BB6298"/>
    <w:rsid w:val="00BB7119"/>
    <w:rsid w:val="00BB7169"/>
    <w:rsid w:val="00BB7820"/>
    <w:rsid w:val="00BB7A67"/>
    <w:rsid w:val="00BC0DCE"/>
    <w:rsid w:val="00BC127C"/>
    <w:rsid w:val="00BC213B"/>
    <w:rsid w:val="00BC219C"/>
    <w:rsid w:val="00BC3053"/>
    <w:rsid w:val="00BC32E8"/>
    <w:rsid w:val="00BC4C9C"/>
    <w:rsid w:val="00BC5AB8"/>
    <w:rsid w:val="00BC5C87"/>
    <w:rsid w:val="00BC5D4C"/>
    <w:rsid w:val="00BC5E43"/>
    <w:rsid w:val="00BC6606"/>
    <w:rsid w:val="00BC6A64"/>
    <w:rsid w:val="00BC7C1B"/>
    <w:rsid w:val="00BD0CCF"/>
    <w:rsid w:val="00BD0E86"/>
    <w:rsid w:val="00BD17AB"/>
    <w:rsid w:val="00BD190D"/>
    <w:rsid w:val="00BD2C29"/>
    <w:rsid w:val="00BD308A"/>
    <w:rsid w:val="00BD3A50"/>
    <w:rsid w:val="00BD3FF6"/>
    <w:rsid w:val="00BD5069"/>
    <w:rsid w:val="00BD5261"/>
    <w:rsid w:val="00BD5CC9"/>
    <w:rsid w:val="00BD5D0E"/>
    <w:rsid w:val="00BD6185"/>
    <w:rsid w:val="00BD6307"/>
    <w:rsid w:val="00BD68F0"/>
    <w:rsid w:val="00BE0337"/>
    <w:rsid w:val="00BE23AA"/>
    <w:rsid w:val="00BE245B"/>
    <w:rsid w:val="00BE408D"/>
    <w:rsid w:val="00BE4B84"/>
    <w:rsid w:val="00BE4FCF"/>
    <w:rsid w:val="00BE62F7"/>
    <w:rsid w:val="00BE6554"/>
    <w:rsid w:val="00BE66E0"/>
    <w:rsid w:val="00BE7191"/>
    <w:rsid w:val="00BE793B"/>
    <w:rsid w:val="00BE7C9B"/>
    <w:rsid w:val="00BE7DEC"/>
    <w:rsid w:val="00BF03FC"/>
    <w:rsid w:val="00BF0EF2"/>
    <w:rsid w:val="00BF11A0"/>
    <w:rsid w:val="00BF37AB"/>
    <w:rsid w:val="00BF3EB6"/>
    <w:rsid w:val="00BF68C8"/>
    <w:rsid w:val="00BF6E79"/>
    <w:rsid w:val="00C016A3"/>
    <w:rsid w:val="00C01BF7"/>
    <w:rsid w:val="00C01C82"/>
    <w:rsid w:val="00C01E68"/>
    <w:rsid w:val="00C034A6"/>
    <w:rsid w:val="00C03BA4"/>
    <w:rsid w:val="00C03DB4"/>
    <w:rsid w:val="00C047D1"/>
    <w:rsid w:val="00C048D2"/>
    <w:rsid w:val="00C0739D"/>
    <w:rsid w:val="00C07EFE"/>
    <w:rsid w:val="00C07F0B"/>
    <w:rsid w:val="00C11067"/>
    <w:rsid w:val="00C11924"/>
    <w:rsid w:val="00C11B7F"/>
    <w:rsid w:val="00C120B0"/>
    <w:rsid w:val="00C131DE"/>
    <w:rsid w:val="00C13B34"/>
    <w:rsid w:val="00C14016"/>
    <w:rsid w:val="00C140FB"/>
    <w:rsid w:val="00C14184"/>
    <w:rsid w:val="00C143AB"/>
    <w:rsid w:val="00C1498D"/>
    <w:rsid w:val="00C1610F"/>
    <w:rsid w:val="00C166F8"/>
    <w:rsid w:val="00C177A5"/>
    <w:rsid w:val="00C17B40"/>
    <w:rsid w:val="00C17B85"/>
    <w:rsid w:val="00C17D87"/>
    <w:rsid w:val="00C203E2"/>
    <w:rsid w:val="00C2177E"/>
    <w:rsid w:val="00C2199D"/>
    <w:rsid w:val="00C21D1F"/>
    <w:rsid w:val="00C21D70"/>
    <w:rsid w:val="00C21E7E"/>
    <w:rsid w:val="00C221A0"/>
    <w:rsid w:val="00C238D1"/>
    <w:rsid w:val="00C240B3"/>
    <w:rsid w:val="00C24E17"/>
    <w:rsid w:val="00C25C46"/>
    <w:rsid w:val="00C26E28"/>
    <w:rsid w:val="00C2750E"/>
    <w:rsid w:val="00C306E6"/>
    <w:rsid w:val="00C307D7"/>
    <w:rsid w:val="00C31C79"/>
    <w:rsid w:val="00C31E23"/>
    <w:rsid w:val="00C326F9"/>
    <w:rsid w:val="00C32819"/>
    <w:rsid w:val="00C33AD9"/>
    <w:rsid w:val="00C344FA"/>
    <w:rsid w:val="00C34974"/>
    <w:rsid w:val="00C35230"/>
    <w:rsid w:val="00C369DE"/>
    <w:rsid w:val="00C36C0D"/>
    <w:rsid w:val="00C36C4E"/>
    <w:rsid w:val="00C36FFC"/>
    <w:rsid w:val="00C37A29"/>
    <w:rsid w:val="00C40A14"/>
    <w:rsid w:val="00C411C8"/>
    <w:rsid w:val="00C41268"/>
    <w:rsid w:val="00C414E1"/>
    <w:rsid w:val="00C425D0"/>
    <w:rsid w:val="00C429BD"/>
    <w:rsid w:val="00C441FA"/>
    <w:rsid w:val="00C44D11"/>
    <w:rsid w:val="00C46085"/>
    <w:rsid w:val="00C461A8"/>
    <w:rsid w:val="00C46B18"/>
    <w:rsid w:val="00C47AA9"/>
    <w:rsid w:val="00C51298"/>
    <w:rsid w:val="00C56D82"/>
    <w:rsid w:val="00C572C0"/>
    <w:rsid w:val="00C575B4"/>
    <w:rsid w:val="00C57FB7"/>
    <w:rsid w:val="00C6075E"/>
    <w:rsid w:val="00C6098D"/>
    <w:rsid w:val="00C60B8A"/>
    <w:rsid w:val="00C60E5F"/>
    <w:rsid w:val="00C613BF"/>
    <w:rsid w:val="00C61877"/>
    <w:rsid w:val="00C62148"/>
    <w:rsid w:val="00C62B0E"/>
    <w:rsid w:val="00C65C01"/>
    <w:rsid w:val="00C67E56"/>
    <w:rsid w:val="00C70D80"/>
    <w:rsid w:val="00C70D92"/>
    <w:rsid w:val="00C70EFC"/>
    <w:rsid w:val="00C71688"/>
    <w:rsid w:val="00C73753"/>
    <w:rsid w:val="00C74BD7"/>
    <w:rsid w:val="00C752AE"/>
    <w:rsid w:val="00C758DB"/>
    <w:rsid w:val="00C75C56"/>
    <w:rsid w:val="00C75CE6"/>
    <w:rsid w:val="00C7657B"/>
    <w:rsid w:val="00C76FA2"/>
    <w:rsid w:val="00C7771C"/>
    <w:rsid w:val="00C77A3F"/>
    <w:rsid w:val="00C77BCF"/>
    <w:rsid w:val="00C77CF5"/>
    <w:rsid w:val="00C77FA0"/>
    <w:rsid w:val="00C81D5D"/>
    <w:rsid w:val="00C84F46"/>
    <w:rsid w:val="00C8580F"/>
    <w:rsid w:val="00C876D2"/>
    <w:rsid w:val="00C87B5F"/>
    <w:rsid w:val="00C9052C"/>
    <w:rsid w:val="00C92F70"/>
    <w:rsid w:val="00C932F3"/>
    <w:rsid w:val="00C94B02"/>
    <w:rsid w:val="00C96039"/>
    <w:rsid w:val="00C96B42"/>
    <w:rsid w:val="00CA0B3F"/>
    <w:rsid w:val="00CA0F2E"/>
    <w:rsid w:val="00CA1B0E"/>
    <w:rsid w:val="00CA23D8"/>
    <w:rsid w:val="00CA2937"/>
    <w:rsid w:val="00CA34CD"/>
    <w:rsid w:val="00CA3D5E"/>
    <w:rsid w:val="00CA4688"/>
    <w:rsid w:val="00CA5C24"/>
    <w:rsid w:val="00CA6214"/>
    <w:rsid w:val="00CA7A1B"/>
    <w:rsid w:val="00CA7A7B"/>
    <w:rsid w:val="00CB1823"/>
    <w:rsid w:val="00CB2EE3"/>
    <w:rsid w:val="00CB34DB"/>
    <w:rsid w:val="00CB38ED"/>
    <w:rsid w:val="00CB4038"/>
    <w:rsid w:val="00CB4671"/>
    <w:rsid w:val="00CB473C"/>
    <w:rsid w:val="00CB48A8"/>
    <w:rsid w:val="00CB4ABC"/>
    <w:rsid w:val="00CB6109"/>
    <w:rsid w:val="00CB6E6D"/>
    <w:rsid w:val="00CB7666"/>
    <w:rsid w:val="00CB7A10"/>
    <w:rsid w:val="00CC0381"/>
    <w:rsid w:val="00CC0543"/>
    <w:rsid w:val="00CC1264"/>
    <w:rsid w:val="00CC37A2"/>
    <w:rsid w:val="00CC3BA0"/>
    <w:rsid w:val="00CC3DE4"/>
    <w:rsid w:val="00CC4508"/>
    <w:rsid w:val="00CC459B"/>
    <w:rsid w:val="00CC5F5B"/>
    <w:rsid w:val="00CC6612"/>
    <w:rsid w:val="00CC6F05"/>
    <w:rsid w:val="00CC7147"/>
    <w:rsid w:val="00CD011E"/>
    <w:rsid w:val="00CD025A"/>
    <w:rsid w:val="00CD0267"/>
    <w:rsid w:val="00CD0ECA"/>
    <w:rsid w:val="00CD1507"/>
    <w:rsid w:val="00CD1D4D"/>
    <w:rsid w:val="00CD61EB"/>
    <w:rsid w:val="00CD6DCB"/>
    <w:rsid w:val="00CD6E1E"/>
    <w:rsid w:val="00CD725B"/>
    <w:rsid w:val="00CD75B7"/>
    <w:rsid w:val="00CD7A22"/>
    <w:rsid w:val="00CD7EC6"/>
    <w:rsid w:val="00CD7F44"/>
    <w:rsid w:val="00CE023C"/>
    <w:rsid w:val="00CE02A6"/>
    <w:rsid w:val="00CE1105"/>
    <w:rsid w:val="00CE1221"/>
    <w:rsid w:val="00CE164C"/>
    <w:rsid w:val="00CE345C"/>
    <w:rsid w:val="00CE400D"/>
    <w:rsid w:val="00CE4101"/>
    <w:rsid w:val="00CE43AF"/>
    <w:rsid w:val="00CE4D3A"/>
    <w:rsid w:val="00CE4E14"/>
    <w:rsid w:val="00CE50A9"/>
    <w:rsid w:val="00CE5905"/>
    <w:rsid w:val="00CE64FD"/>
    <w:rsid w:val="00CE7236"/>
    <w:rsid w:val="00CF02F0"/>
    <w:rsid w:val="00CF141F"/>
    <w:rsid w:val="00CF1BAA"/>
    <w:rsid w:val="00CF1E75"/>
    <w:rsid w:val="00CF31BC"/>
    <w:rsid w:val="00CF43CF"/>
    <w:rsid w:val="00CF47D4"/>
    <w:rsid w:val="00CF4BC6"/>
    <w:rsid w:val="00CF4C8F"/>
    <w:rsid w:val="00CF5BCD"/>
    <w:rsid w:val="00CF64A9"/>
    <w:rsid w:val="00CF674E"/>
    <w:rsid w:val="00CF6966"/>
    <w:rsid w:val="00CF7F06"/>
    <w:rsid w:val="00D00311"/>
    <w:rsid w:val="00D009E5"/>
    <w:rsid w:val="00D010F9"/>
    <w:rsid w:val="00D01615"/>
    <w:rsid w:val="00D017C8"/>
    <w:rsid w:val="00D02145"/>
    <w:rsid w:val="00D02433"/>
    <w:rsid w:val="00D0352E"/>
    <w:rsid w:val="00D05AD6"/>
    <w:rsid w:val="00D06969"/>
    <w:rsid w:val="00D07770"/>
    <w:rsid w:val="00D07E6A"/>
    <w:rsid w:val="00D10CB4"/>
    <w:rsid w:val="00D10F14"/>
    <w:rsid w:val="00D10F93"/>
    <w:rsid w:val="00D12159"/>
    <w:rsid w:val="00D12CCB"/>
    <w:rsid w:val="00D1301B"/>
    <w:rsid w:val="00D13E41"/>
    <w:rsid w:val="00D13F38"/>
    <w:rsid w:val="00D1464D"/>
    <w:rsid w:val="00D14FE8"/>
    <w:rsid w:val="00D15113"/>
    <w:rsid w:val="00D15AB7"/>
    <w:rsid w:val="00D15B7C"/>
    <w:rsid w:val="00D15B7D"/>
    <w:rsid w:val="00D15F3A"/>
    <w:rsid w:val="00D163C3"/>
    <w:rsid w:val="00D16541"/>
    <w:rsid w:val="00D16F74"/>
    <w:rsid w:val="00D171B8"/>
    <w:rsid w:val="00D178D4"/>
    <w:rsid w:val="00D17ED1"/>
    <w:rsid w:val="00D20602"/>
    <w:rsid w:val="00D20F49"/>
    <w:rsid w:val="00D210DD"/>
    <w:rsid w:val="00D21277"/>
    <w:rsid w:val="00D21DA5"/>
    <w:rsid w:val="00D21DE3"/>
    <w:rsid w:val="00D21F50"/>
    <w:rsid w:val="00D23225"/>
    <w:rsid w:val="00D23C66"/>
    <w:rsid w:val="00D23E87"/>
    <w:rsid w:val="00D24FEF"/>
    <w:rsid w:val="00D27D07"/>
    <w:rsid w:val="00D27DEB"/>
    <w:rsid w:val="00D30128"/>
    <w:rsid w:val="00D30791"/>
    <w:rsid w:val="00D30E29"/>
    <w:rsid w:val="00D31DB9"/>
    <w:rsid w:val="00D31E3E"/>
    <w:rsid w:val="00D31E44"/>
    <w:rsid w:val="00D32231"/>
    <w:rsid w:val="00D32961"/>
    <w:rsid w:val="00D330CA"/>
    <w:rsid w:val="00D3316D"/>
    <w:rsid w:val="00D353FB"/>
    <w:rsid w:val="00D3586D"/>
    <w:rsid w:val="00D367D3"/>
    <w:rsid w:val="00D369E4"/>
    <w:rsid w:val="00D3770A"/>
    <w:rsid w:val="00D37882"/>
    <w:rsid w:val="00D378F1"/>
    <w:rsid w:val="00D37C74"/>
    <w:rsid w:val="00D405EB"/>
    <w:rsid w:val="00D40B5E"/>
    <w:rsid w:val="00D41DDC"/>
    <w:rsid w:val="00D41FA9"/>
    <w:rsid w:val="00D42458"/>
    <w:rsid w:val="00D42549"/>
    <w:rsid w:val="00D426A2"/>
    <w:rsid w:val="00D44C1B"/>
    <w:rsid w:val="00D455CF"/>
    <w:rsid w:val="00D460D5"/>
    <w:rsid w:val="00D461D7"/>
    <w:rsid w:val="00D46A6A"/>
    <w:rsid w:val="00D46FD9"/>
    <w:rsid w:val="00D47506"/>
    <w:rsid w:val="00D47519"/>
    <w:rsid w:val="00D4790F"/>
    <w:rsid w:val="00D50082"/>
    <w:rsid w:val="00D51CDB"/>
    <w:rsid w:val="00D521AF"/>
    <w:rsid w:val="00D534B9"/>
    <w:rsid w:val="00D53DAC"/>
    <w:rsid w:val="00D54F93"/>
    <w:rsid w:val="00D54FE3"/>
    <w:rsid w:val="00D5561E"/>
    <w:rsid w:val="00D570EC"/>
    <w:rsid w:val="00D574CD"/>
    <w:rsid w:val="00D57BFD"/>
    <w:rsid w:val="00D601A4"/>
    <w:rsid w:val="00D60649"/>
    <w:rsid w:val="00D60DA8"/>
    <w:rsid w:val="00D61A00"/>
    <w:rsid w:val="00D61E88"/>
    <w:rsid w:val="00D62F0E"/>
    <w:rsid w:val="00D6364B"/>
    <w:rsid w:val="00D636D6"/>
    <w:rsid w:val="00D63D48"/>
    <w:rsid w:val="00D63E8D"/>
    <w:rsid w:val="00D6420A"/>
    <w:rsid w:val="00D64699"/>
    <w:rsid w:val="00D6521D"/>
    <w:rsid w:val="00D65CE9"/>
    <w:rsid w:val="00D6650A"/>
    <w:rsid w:val="00D66DD1"/>
    <w:rsid w:val="00D67DD0"/>
    <w:rsid w:val="00D7031D"/>
    <w:rsid w:val="00D7076E"/>
    <w:rsid w:val="00D71C27"/>
    <w:rsid w:val="00D7238E"/>
    <w:rsid w:val="00D72C40"/>
    <w:rsid w:val="00D72E0A"/>
    <w:rsid w:val="00D745D8"/>
    <w:rsid w:val="00D74FF9"/>
    <w:rsid w:val="00D75406"/>
    <w:rsid w:val="00D76D1B"/>
    <w:rsid w:val="00D778C8"/>
    <w:rsid w:val="00D80715"/>
    <w:rsid w:val="00D809A3"/>
    <w:rsid w:val="00D818DE"/>
    <w:rsid w:val="00D81D45"/>
    <w:rsid w:val="00D82CA0"/>
    <w:rsid w:val="00D83923"/>
    <w:rsid w:val="00D83E02"/>
    <w:rsid w:val="00D849B3"/>
    <w:rsid w:val="00D86476"/>
    <w:rsid w:val="00D86561"/>
    <w:rsid w:val="00D90BC9"/>
    <w:rsid w:val="00D90FD2"/>
    <w:rsid w:val="00D93197"/>
    <w:rsid w:val="00D9389C"/>
    <w:rsid w:val="00D93D16"/>
    <w:rsid w:val="00D940C2"/>
    <w:rsid w:val="00D9419D"/>
    <w:rsid w:val="00D94278"/>
    <w:rsid w:val="00D94313"/>
    <w:rsid w:val="00D948DF"/>
    <w:rsid w:val="00D95A9C"/>
    <w:rsid w:val="00D96F3F"/>
    <w:rsid w:val="00D96F65"/>
    <w:rsid w:val="00D9736B"/>
    <w:rsid w:val="00DA097D"/>
    <w:rsid w:val="00DA0DC4"/>
    <w:rsid w:val="00DA136C"/>
    <w:rsid w:val="00DA1BB9"/>
    <w:rsid w:val="00DA3017"/>
    <w:rsid w:val="00DA35CD"/>
    <w:rsid w:val="00DA5484"/>
    <w:rsid w:val="00DA5591"/>
    <w:rsid w:val="00DA57F4"/>
    <w:rsid w:val="00DA591D"/>
    <w:rsid w:val="00DA6646"/>
    <w:rsid w:val="00DA6DE5"/>
    <w:rsid w:val="00DB053C"/>
    <w:rsid w:val="00DB1D0B"/>
    <w:rsid w:val="00DB26F2"/>
    <w:rsid w:val="00DB5717"/>
    <w:rsid w:val="00DB5EC6"/>
    <w:rsid w:val="00DB60B6"/>
    <w:rsid w:val="00DB6183"/>
    <w:rsid w:val="00DB6950"/>
    <w:rsid w:val="00DB6A96"/>
    <w:rsid w:val="00DB7B28"/>
    <w:rsid w:val="00DB7E8D"/>
    <w:rsid w:val="00DB7F27"/>
    <w:rsid w:val="00DC0606"/>
    <w:rsid w:val="00DC078A"/>
    <w:rsid w:val="00DC1012"/>
    <w:rsid w:val="00DC18D8"/>
    <w:rsid w:val="00DC1B37"/>
    <w:rsid w:val="00DC25B8"/>
    <w:rsid w:val="00DC44FE"/>
    <w:rsid w:val="00DC5DFF"/>
    <w:rsid w:val="00DC696E"/>
    <w:rsid w:val="00DC74CB"/>
    <w:rsid w:val="00DC7F47"/>
    <w:rsid w:val="00DD07FA"/>
    <w:rsid w:val="00DD0A82"/>
    <w:rsid w:val="00DD134A"/>
    <w:rsid w:val="00DD1611"/>
    <w:rsid w:val="00DD1CD0"/>
    <w:rsid w:val="00DD26A7"/>
    <w:rsid w:val="00DD3345"/>
    <w:rsid w:val="00DD3826"/>
    <w:rsid w:val="00DD3907"/>
    <w:rsid w:val="00DD3D51"/>
    <w:rsid w:val="00DD4170"/>
    <w:rsid w:val="00DD55A6"/>
    <w:rsid w:val="00DD5CB0"/>
    <w:rsid w:val="00DD6473"/>
    <w:rsid w:val="00DD6504"/>
    <w:rsid w:val="00DD737B"/>
    <w:rsid w:val="00DE18F0"/>
    <w:rsid w:val="00DE2A65"/>
    <w:rsid w:val="00DE371C"/>
    <w:rsid w:val="00DE49A9"/>
    <w:rsid w:val="00DE4B81"/>
    <w:rsid w:val="00DE4EBC"/>
    <w:rsid w:val="00DE5A7E"/>
    <w:rsid w:val="00DE5BE1"/>
    <w:rsid w:val="00DE5F00"/>
    <w:rsid w:val="00DE60FF"/>
    <w:rsid w:val="00DE7825"/>
    <w:rsid w:val="00DE7A27"/>
    <w:rsid w:val="00DE7E5F"/>
    <w:rsid w:val="00DE7FF7"/>
    <w:rsid w:val="00DF1737"/>
    <w:rsid w:val="00DF1860"/>
    <w:rsid w:val="00DF1BAC"/>
    <w:rsid w:val="00DF1BC7"/>
    <w:rsid w:val="00DF23CF"/>
    <w:rsid w:val="00DF2429"/>
    <w:rsid w:val="00DF2F7E"/>
    <w:rsid w:val="00DF3F28"/>
    <w:rsid w:val="00DF407E"/>
    <w:rsid w:val="00DF4538"/>
    <w:rsid w:val="00DF4B3B"/>
    <w:rsid w:val="00DF4E3E"/>
    <w:rsid w:val="00DF53BF"/>
    <w:rsid w:val="00DF57D9"/>
    <w:rsid w:val="00DF60B9"/>
    <w:rsid w:val="00DF6212"/>
    <w:rsid w:val="00DF63B7"/>
    <w:rsid w:val="00DF7137"/>
    <w:rsid w:val="00DF7DB3"/>
    <w:rsid w:val="00E0010F"/>
    <w:rsid w:val="00E008D8"/>
    <w:rsid w:val="00E01085"/>
    <w:rsid w:val="00E010CD"/>
    <w:rsid w:val="00E01770"/>
    <w:rsid w:val="00E021D1"/>
    <w:rsid w:val="00E0254D"/>
    <w:rsid w:val="00E02943"/>
    <w:rsid w:val="00E0453D"/>
    <w:rsid w:val="00E046A6"/>
    <w:rsid w:val="00E055F8"/>
    <w:rsid w:val="00E05FA6"/>
    <w:rsid w:val="00E06A03"/>
    <w:rsid w:val="00E07BF7"/>
    <w:rsid w:val="00E100D0"/>
    <w:rsid w:val="00E1106D"/>
    <w:rsid w:val="00E11315"/>
    <w:rsid w:val="00E11669"/>
    <w:rsid w:val="00E121C1"/>
    <w:rsid w:val="00E122AD"/>
    <w:rsid w:val="00E12DA9"/>
    <w:rsid w:val="00E130A5"/>
    <w:rsid w:val="00E14790"/>
    <w:rsid w:val="00E15A2F"/>
    <w:rsid w:val="00E16812"/>
    <w:rsid w:val="00E176F2"/>
    <w:rsid w:val="00E201C7"/>
    <w:rsid w:val="00E20FB4"/>
    <w:rsid w:val="00E2143C"/>
    <w:rsid w:val="00E217A3"/>
    <w:rsid w:val="00E2384D"/>
    <w:rsid w:val="00E249EE"/>
    <w:rsid w:val="00E25474"/>
    <w:rsid w:val="00E254E4"/>
    <w:rsid w:val="00E30AE2"/>
    <w:rsid w:val="00E30AF5"/>
    <w:rsid w:val="00E30B89"/>
    <w:rsid w:val="00E320D9"/>
    <w:rsid w:val="00E3214F"/>
    <w:rsid w:val="00E32C38"/>
    <w:rsid w:val="00E32DB3"/>
    <w:rsid w:val="00E32EE5"/>
    <w:rsid w:val="00E32F93"/>
    <w:rsid w:val="00E339C1"/>
    <w:rsid w:val="00E339D5"/>
    <w:rsid w:val="00E33A40"/>
    <w:rsid w:val="00E35E99"/>
    <w:rsid w:val="00E3691A"/>
    <w:rsid w:val="00E37290"/>
    <w:rsid w:val="00E3749B"/>
    <w:rsid w:val="00E379F7"/>
    <w:rsid w:val="00E405E6"/>
    <w:rsid w:val="00E4171F"/>
    <w:rsid w:val="00E4234A"/>
    <w:rsid w:val="00E42997"/>
    <w:rsid w:val="00E42D99"/>
    <w:rsid w:val="00E43AF7"/>
    <w:rsid w:val="00E43F5D"/>
    <w:rsid w:val="00E44A6F"/>
    <w:rsid w:val="00E46AA9"/>
    <w:rsid w:val="00E47107"/>
    <w:rsid w:val="00E47F92"/>
    <w:rsid w:val="00E50B75"/>
    <w:rsid w:val="00E50E8A"/>
    <w:rsid w:val="00E51F14"/>
    <w:rsid w:val="00E524AA"/>
    <w:rsid w:val="00E52BC9"/>
    <w:rsid w:val="00E53584"/>
    <w:rsid w:val="00E54815"/>
    <w:rsid w:val="00E54ACD"/>
    <w:rsid w:val="00E54B2B"/>
    <w:rsid w:val="00E55955"/>
    <w:rsid w:val="00E56694"/>
    <w:rsid w:val="00E60651"/>
    <w:rsid w:val="00E615F1"/>
    <w:rsid w:val="00E61632"/>
    <w:rsid w:val="00E61715"/>
    <w:rsid w:val="00E62887"/>
    <w:rsid w:val="00E6337E"/>
    <w:rsid w:val="00E63520"/>
    <w:rsid w:val="00E63CCA"/>
    <w:rsid w:val="00E642E7"/>
    <w:rsid w:val="00E64B50"/>
    <w:rsid w:val="00E64FC4"/>
    <w:rsid w:val="00E6520F"/>
    <w:rsid w:val="00E65A20"/>
    <w:rsid w:val="00E66094"/>
    <w:rsid w:val="00E66C01"/>
    <w:rsid w:val="00E67CA1"/>
    <w:rsid w:val="00E67FF9"/>
    <w:rsid w:val="00E70DD7"/>
    <w:rsid w:val="00E713E3"/>
    <w:rsid w:val="00E71B1B"/>
    <w:rsid w:val="00E71BCB"/>
    <w:rsid w:val="00E720FE"/>
    <w:rsid w:val="00E72EE0"/>
    <w:rsid w:val="00E734F7"/>
    <w:rsid w:val="00E741FB"/>
    <w:rsid w:val="00E7478D"/>
    <w:rsid w:val="00E748F4"/>
    <w:rsid w:val="00E75828"/>
    <w:rsid w:val="00E7590B"/>
    <w:rsid w:val="00E765AF"/>
    <w:rsid w:val="00E76B5D"/>
    <w:rsid w:val="00E76DB1"/>
    <w:rsid w:val="00E77508"/>
    <w:rsid w:val="00E77CD8"/>
    <w:rsid w:val="00E8003A"/>
    <w:rsid w:val="00E80706"/>
    <w:rsid w:val="00E84A3C"/>
    <w:rsid w:val="00E84D02"/>
    <w:rsid w:val="00E85EF8"/>
    <w:rsid w:val="00E86636"/>
    <w:rsid w:val="00E870AE"/>
    <w:rsid w:val="00E87AA0"/>
    <w:rsid w:val="00E9031B"/>
    <w:rsid w:val="00E90DA7"/>
    <w:rsid w:val="00E90EA4"/>
    <w:rsid w:val="00E90FA5"/>
    <w:rsid w:val="00E91452"/>
    <w:rsid w:val="00E91602"/>
    <w:rsid w:val="00E91A7E"/>
    <w:rsid w:val="00E91FED"/>
    <w:rsid w:val="00E922D6"/>
    <w:rsid w:val="00E92BCF"/>
    <w:rsid w:val="00E92F0E"/>
    <w:rsid w:val="00E92FEE"/>
    <w:rsid w:val="00E93DD1"/>
    <w:rsid w:val="00E944B1"/>
    <w:rsid w:val="00E94FB3"/>
    <w:rsid w:val="00E96CC8"/>
    <w:rsid w:val="00E974C7"/>
    <w:rsid w:val="00E976A6"/>
    <w:rsid w:val="00E97AAF"/>
    <w:rsid w:val="00E97BB9"/>
    <w:rsid w:val="00EA00FD"/>
    <w:rsid w:val="00EA048D"/>
    <w:rsid w:val="00EA09CB"/>
    <w:rsid w:val="00EA1943"/>
    <w:rsid w:val="00EA1E88"/>
    <w:rsid w:val="00EA3064"/>
    <w:rsid w:val="00EA3612"/>
    <w:rsid w:val="00EA37DC"/>
    <w:rsid w:val="00EA40D0"/>
    <w:rsid w:val="00EA4BC1"/>
    <w:rsid w:val="00EA526E"/>
    <w:rsid w:val="00EA7956"/>
    <w:rsid w:val="00EB0BB6"/>
    <w:rsid w:val="00EB171A"/>
    <w:rsid w:val="00EB2FBB"/>
    <w:rsid w:val="00EB3F9D"/>
    <w:rsid w:val="00EB40B2"/>
    <w:rsid w:val="00EB4AA6"/>
    <w:rsid w:val="00EB4F2F"/>
    <w:rsid w:val="00EB5256"/>
    <w:rsid w:val="00EB5995"/>
    <w:rsid w:val="00EB5DC6"/>
    <w:rsid w:val="00EC0F8F"/>
    <w:rsid w:val="00EC1CDA"/>
    <w:rsid w:val="00EC354E"/>
    <w:rsid w:val="00EC366A"/>
    <w:rsid w:val="00EC4E1A"/>
    <w:rsid w:val="00EC4F65"/>
    <w:rsid w:val="00EC6EBA"/>
    <w:rsid w:val="00EC6FF1"/>
    <w:rsid w:val="00EC710B"/>
    <w:rsid w:val="00EC7BA2"/>
    <w:rsid w:val="00ED1196"/>
    <w:rsid w:val="00ED129A"/>
    <w:rsid w:val="00ED1320"/>
    <w:rsid w:val="00ED1928"/>
    <w:rsid w:val="00ED1EFA"/>
    <w:rsid w:val="00ED3CEA"/>
    <w:rsid w:val="00ED4983"/>
    <w:rsid w:val="00ED5AF9"/>
    <w:rsid w:val="00ED5DB1"/>
    <w:rsid w:val="00ED7F47"/>
    <w:rsid w:val="00EE0B77"/>
    <w:rsid w:val="00EE0C73"/>
    <w:rsid w:val="00EE1E2E"/>
    <w:rsid w:val="00EE2BE0"/>
    <w:rsid w:val="00EE2E30"/>
    <w:rsid w:val="00EE2F01"/>
    <w:rsid w:val="00EE48DF"/>
    <w:rsid w:val="00EE5E9F"/>
    <w:rsid w:val="00EE6996"/>
    <w:rsid w:val="00EE6CC1"/>
    <w:rsid w:val="00EE6F14"/>
    <w:rsid w:val="00EE6F3D"/>
    <w:rsid w:val="00EE7515"/>
    <w:rsid w:val="00EE7F0C"/>
    <w:rsid w:val="00EF048C"/>
    <w:rsid w:val="00EF05D7"/>
    <w:rsid w:val="00EF1ED0"/>
    <w:rsid w:val="00EF244C"/>
    <w:rsid w:val="00EF3F23"/>
    <w:rsid w:val="00EF3F9D"/>
    <w:rsid w:val="00EF5236"/>
    <w:rsid w:val="00EF53CF"/>
    <w:rsid w:val="00EF646B"/>
    <w:rsid w:val="00EF65F6"/>
    <w:rsid w:val="00EF68C6"/>
    <w:rsid w:val="00EF6C20"/>
    <w:rsid w:val="00EF7E7A"/>
    <w:rsid w:val="00F003E8"/>
    <w:rsid w:val="00F005CB"/>
    <w:rsid w:val="00F010C4"/>
    <w:rsid w:val="00F02D88"/>
    <w:rsid w:val="00F02FA5"/>
    <w:rsid w:val="00F04017"/>
    <w:rsid w:val="00F04EA7"/>
    <w:rsid w:val="00F05810"/>
    <w:rsid w:val="00F063AC"/>
    <w:rsid w:val="00F068EE"/>
    <w:rsid w:val="00F06E47"/>
    <w:rsid w:val="00F07430"/>
    <w:rsid w:val="00F07B86"/>
    <w:rsid w:val="00F10ADF"/>
    <w:rsid w:val="00F10F0C"/>
    <w:rsid w:val="00F110E1"/>
    <w:rsid w:val="00F115E9"/>
    <w:rsid w:val="00F12CCA"/>
    <w:rsid w:val="00F131F3"/>
    <w:rsid w:val="00F13A29"/>
    <w:rsid w:val="00F13C87"/>
    <w:rsid w:val="00F13CDD"/>
    <w:rsid w:val="00F1415B"/>
    <w:rsid w:val="00F16182"/>
    <w:rsid w:val="00F162D4"/>
    <w:rsid w:val="00F166D4"/>
    <w:rsid w:val="00F16985"/>
    <w:rsid w:val="00F16D9C"/>
    <w:rsid w:val="00F173EF"/>
    <w:rsid w:val="00F1749F"/>
    <w:rsid w:val="00F2058B"/>
    <w:rsid w:val="00F21AE9"/>
    <w:rsid w:val="00F229F0"/>
    <w:rsid w:val="00F24900"/>
    <w:rsid w:val="00F25AE6"/>
    <w:rsid w:val="00F26D2F"/>
    <w:rsid w:val="00F272CD"/>
    <w:rsid w:val="00F274FA"/>
    <w:rsid w:val="00F2770C"/>
    <w:rsid w:val="00F317B4"/>
    <w:rsid w:val="00F3209B"/>
    <w:rsid w:val="00F3214C"/>
    <w:rsid w:val="00F32D4A"/>
    <w:rsid w:val="00F3307B"/>
    <w:rsid w:val="00F33F8D"/>
    <w:rsid w:val="00F35292"/>
    <w:rsid w:val="00F355A8"/>
    <w:rsid w:val="00F357FE"/>
    <w:rsid w:val="00F35848"/>
    <w:rsid w:val="00F35E0C"/>
    <w:rsid w:val="00F366AD"/>
    <w:rsid w:val="00F375C0"/>
    <w:rsid w:val="00F37CB6"/>
    <w:rsid w:val="00F37F65"/>
    <w:rsid w:val="00F4010B"/>
    <w:rsid w:val="00F403A4"/>
    <w:rsid w:val="00F420C0"/>
    <w:rsid w:val="00F42C7B"/>
    <w:rsid w:val="00F4360E"/>
    <w:rsid w:val="00F4432C"/>
    <w:rsid w:val="00F44B76"/>
    <w:rsid w:val="00F44F36"/>
    <w:rsid w:val="00F44F38"/>
    <w:rsid w:val="00F4537A"/>
    <w:rsid w:val="00F4542C"/>
    <w:rsid w:val="00F457F1"/>
    <w:rsid w:val="00F46160"/>
    <w:rsid w:val="00F467E5"/>
    <w:rsid w:val="00F46A35"/>
    <w:rsid w:val="00F46E42"/>
    <w:rsid w:val="00F4702C"/>
    <w:rsid w:val="00F47466"/>
    <w:rsid w:val="00F477DC"/>
    <w:rsid w:val="00F504EF"/>
    <w:rsid w:val="00F505B8"/>
    <w:rsid w:val="00F51D52"/>
    <w:rsid w:val="00F52080"/>
    <w:rsid w:val="00F5358C"/>
    <w:rsid w:val="00F53C78"/>
    <w:rsid w:val="00F53EFE"/>
    <w:rsid w:val="00F545F5"/>
    <w:rsid w:val="00F55BF3"/>
    <w:rsid w:val="00F56F6F"/>
    <w:rsid w:val="00F57BCE"/>
    <w:rsid w:val="00F60B47"/>
    <w:rsid w:val="00F60BA2"/>
    <w:rsid w:val="00F6128E"/>
    <w:rsid w:val="00F62780"/>
    <w:rsid w:val="00F634F6"/>
    <w:rsid w:val="00F641FF"/>
    <w:rsid w:val="00F6462D"/>
    <w:rsid w:val="00F655D6"/>
    <w:rsid w:val="00F66430"/>
    <w:rsid w:val="00F67E4A"/>
    <w:rsid w:val="00F7051A"/>
    <w:rsid w:val="00F7113C"/>
    <w:rsid w:val="00F72C8E"/>
    <w:rsid w:val="00F739CC"/>
    <w:rsid w:val="00F75A57"/>
    <w:rsid w:val="00F76DF5"/>
    <w:rsid w:val="00F77390"/>
    <w:rsid w:val="00F77888"/>
    <w:rsid w:val="00F77B4D"/>
    <w:rsid w:val="00F77C67"/>
    <w:rsid w:val="00F77F50"/>
    <w:rsid w:val="00F77F5C"/>
    <w:rsid w:val="00F8014A"/>
    <w:rsid w:val="00F8191E"/>
    <w:rsid w:val="00F819AC"/>
    <w:rsid w:val="00F82161"/>
    <w:rsid w:val="00F82A43"/>
    <w:rsid w:val="00F82A84"/>
    <w:rsid w:val="00F834F3"/>
    <w:rsid w:val="00F8380D"/>
    <w:rsid w:val="00F83C5C"/>
    <w:rsid w:val="00F85245"/>
    <w:rsid w:val="00F85ED9"/>
    <w:rsid w:val="00F861F9"/>
    <w:rsid w:val="00F8620A"/>
    <w:rsid w:val="00F867CA"/>
    <w:rsid w:val="00F8767D"/>
    <w:rsid w:val="00F876DE"/>
    <w:rsid w:val="00F87B07"/>
    <w:rsid w:val="00F91CB4"/>
    <w:rsid w:val="00F94880"/>
    <w:rsid w:val="00F96F14"/>
    <w:rsid w:val="00F974EA"/>
    <w:rsid w:val="00FA159E"/>
    <w:rsid w:val="00FA33D2"/>
    <w:rsid w:val="00FA4574"/>
    <w:rsid w:val="00FA61C5"/>
    <w:rsid w:val="00FA6297"/>
    <w:rsid w:val="00FA7052"/>
    <w:rsid w:val="00FA738C"/>
    <w:rsid w:val="00FA7EE5"/>
    <w:rsid w:val="00FB016C"/>
    <w:rsid w:val="00FB0B60"/>
    <w:rsid w:val="00FB1D45"/>
    <w:rsid w:val="00FB23C6"/>
    <w:rsid w:val="00FB29C8"/>
    <w:rsid w:val="00FB2A5E"/>
    <w:rsid w:val="00FB332C"/>
    <w:rsid w:val="00FB4E93"/>
    <w:rsid w:val="00FB6C18"/>
    <w:rsid w:val="00FB7B55"/>
    <w:rsid w:val="00FC018A"/>
    <w:rsid w:val="00FC0E70"/>
    <w:rsid w:val="00FC1303"/>
    <w:rsid w:val="00FC1386"/>
    <w:rsid w:val="00FC13F5"/>
    <w:rsid w:val="00FC1A86"/>
    <w:rsid w:val="00FC1CA0"/>
    <w:rsid w:val="00FC2787"/>
    <w:rsid w:val="00FC2D8B"/>
    <w:rsid w:val="00FC3033"/>
    <w:rsid w:val="00FC30BD"/>
    <w:rsid w:val="00FC3E79"/>
    <w:rsid w:val="00FC4481"/>
    <w:rsid w:val="00FC4A70"/>
    <w:rsid w:val="00FC525A"/>
    <w:rsid w:val="00FC52EC"/>
    <w:rsid w:val="00FC5603"/>
    <w:rsid w:val="00FC581C"/>
    <w:rsid w:val="00FC59D2"/>
    <w:rsid w:val="00FC6727"/>
    <w:rsid w:val="00FC6AA1"/>
    <w:rsid w:val="00FD0047"/>
    <w:rsid w:val="00FD1A39"/>
    <w:rsid w:val="00FD236A"/>
    <w:rsid w:val="00FD2AA9"/>
    <w:rsid w:val="00FD3009"/>
    <w:rsid w:val="00FD32D8"/>
    <w:rsid w:val="00FD3306"/>
    <w:rsid w:val="00FD347B"/>
    <w:rsid w:val="00FD36B1"/>
    <w:rsid w:val="00FD3A03"/>
    <w:rsid w:val="00FD3FAE"/>
    <w:rsid w:val="00FD3FE4"/>
    <w:rsid w:val="00FD41CD"/>
    <w:rsid w:val="00FD5365"/>
    <w:rsid w:val="00FD5A99"/>
    <w:rsid w:val="00FD6DE7"/>
    <w:rsid w:val="00FE0644"/>
    <w:rsid w:val="00FE126B"/>
    <w:rsid w:val="00FE1516"/>
    <w:rsid w:val="00FE1BB4"/>
    <w:rsid w:val="00FE2392"/>
    <w:rsid w:val="00FE2419"/>
    <w:rsid w:val="00FE31E5"/>
    <w:rsid w:val="00FE32E5"/>
    <w:rsid w:val="00FE35B9"/>
    <w:rsid w:val="00FE4C90"/>
    <w:rsid w:val="00FE59FD"/>
    <w:rsid w:val="00FE5D39"/>
    <w:rsid w:val="00FE6D36"/>
    <w:rsid w:val="00FE7F98"/>
    <w:rsid w:val="00FF05D6"/>
    <w:rsid w:val="00FF05E4"/>
    <w:rsid w:val="00FF1428"/>
    <w:rsid w:val="00FF1F90"/>
    <w:rsid w:val="00FF2E7F"/>
    <w:rsid w:val="00FF3052"/>
    <w:rsid w:val="00FF306D"/>
    <w:rsid w:val="00FF4B34"/>
    <w:rsid w:val="00FF5C72"/>
    <w:rsid w:val="00FF611D"/>
    <w:rsid w:val="0399C6BA"/>
    <w:rsid w:val="2A91FD28"/>
    <w:rsid w:val="2BBFFCEB"/>
    <w:rsid w:val="46BDAD4D"/>
    <w:rsid w:val="703DB476"/>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018E1E"/>
  <w15:chartTrackingRefBased/>
  <w15:docId w15:val="{B6A6B481-6EAC-4003-9578-597BFECD9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1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lsdException w:name="List 4" w:semiHidden="1" w:unhideWhenUsed="1"/>
    <w:lsdException w:name="List 5" w:semiHidden="1"/>
    <w:lsdException w:name="List Bullet 2" w:semiHidden="1" w:unhideWhenUsed="1" w:qFormat="1"/>
    <w:lsdException w:name="List Bullet 3" w:semiHidden="1" w:unhideWhenUsed="1" w:qFormat="1"/>
    <w:lsdException w:name="List Bullet 4" w:semiHidden="1" w:uiPriority="13"/>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qFormat="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2"/>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0"/>
    <w:unhideWhenUsed/>
    <w:qFormat/>
    <w:rsid w:val="00C414E1"/>
    <w:pPr>
      <w:spacing w:before="120" w:after="120" w:line="280" w:lineRule="atLeast"/>
    </w:pPr>
    <w:rPr>
      <w:rFonts w:ascii="Open Sans" w:hAnsi="Open Sans"/>
      <w:sz w:val="20"/>
      <w:szCs w:val="20"/>
    </w:rPr>
  </w:style>
  <w:style w:type="paragraph" w:styleId="Heading1">
    <w:name w:val="heading 1"/>
    <w:basedOn w:val="Normal"/>
    <w:next w:val="BodyText"/>
    <w:link w:val="Heading1Char"/>
    <w:uiPriority w:val="9"/>
    <w:qFormat/>
    <w:rsid w:val="00C414E1"/>
    <w:pPr>
      <w:numPr>
        <w:numId w:val="13"/>
      </w:numPr>
      <w:pBdr>
        <w:top w:val="single" w:sz="4" w:space="31" w:color="E7F6FD"/>
        <w:left w:val="single" w:sz="4" w:space="26" w:color="E7F6FD"/>
        <w:bottom w:val="single" w:sz="4" w:space="26" w:color="E7F6FD"/>
        <w:right w:val="single" w:sz="4" w:space="26" w:color="E7F6FD"/>
      </w:pBdr>
      <w:shd w:val="clear" w:color="auto" w:fill="E7F6FD"/>
      <w:spacing w:before="240" w:after="480" w:line="504" w:lineRule="atLeast"/>
      <w:ind w:right="567"/>
      <w:outlineLvl w:val="0"/>
    </w:pPr>
    <w:rPr>
      <w:rFonts w:ascii="Open Sans Extrabold" w:hAnsi="Open Sans Extrabold"/>
      <w:color w:val="1C4373" w:themeColor="background2" w:themeShade="BF"/>
      <w:sz w:val="42"/>
    </w:rPr>
  </w:style>
  <w:style w:type="paragraph" w:styleId="Heading2">
    <w:name w:val="heading 2"/>
    <w:basedOn w:val="Normal"/>
    <w:next w:val="BodyText"/>
    <w:link w:val="Heading2Char"/>
    <w:uiPriority w:val="9"/>
    <w:qFormat/>
    <w:rsid w:val="00C414E1"/>
    <w:pPr>
      <w:keepNext/>
      <w:keepLines/>
      <w:numPr>
        <w:ilvl w:val="2"/>
        <w:numId w:val="13"/>
      </w:numPr>
      <w:spacing w:before="480" w:line="340" w:lineRule="atLeast"/>
      <w:outlineLvl w:val="1"/>
    </w:pPr>
    <w:rPr>
      <w:rFonts w:ascii="Open Sans Extrabold" w:eastAsiaTheme="majorEastAsia" w:hAnsi="Open Sans Extrabold" w:cstheme="majorBidi"/>
      <w:color w:val="1C4373" w:themeColor="background2" w:themeShade="BF"/>
      <w:sz w:val="30"/>
      <w:szCs w:val="60"/>
    </w:rPr>
  </w:style>
  <w:style w:type="paragraph" w:styleId="Heading3">
    <w:name w:val="heading 3"/>
    <w:basedOn w:val="Normal"/>
    <w:next w:val="BodyText"/>
    <w:link w:val="Heading3Char"/>
    <w:uiPriority w:val="9"/>
    <w:qFormat/>
    <w:rsid w:val="00C414E1"/>
    <w:pPr>
      <w:keepNext/>
      <w:keepLines/>
      <w:spacing w:before="240" w:line="300" w:lineRule="atLeast"/>
      <w:outlineLvl w:val="2"/>
    </w:pPr>
    <w:rPr>
      <w:rFonts w:ascii="Open Sans Extrabold" w:eastAsiaTheme="majorEastAsia" w:hAnsi="Open Sans Extrabold" w:cstheme="majorBidi"/>
      <w:color w:val="207291" w:themeColor="text2" w:themeShade="BF"/>
      <w:sz w:val="26"/>
      <w:szCs w:val="37"/>
    </w:rPr>
  </w:style>
  <w:style w:type="paragraph" w:styleId="Heading4">
    <w:name w:val="heading 4"/>
    <w:basedOn w:val="Normal"/>
    <w:next w:val="BodyText"/>
    <w:link w:val="Heading4Char"/>
    <w:uiPriority w:val="9"/>
    <w:qFormat/>
    <w:rsid w:val="00C414E1"/>
    <w:pPr>
      <w:keepNext/>
      <w:keepLines/>
      <w:spacing w:before="240" w:line="264" w:lineRule="atLeast"/>
      <w:outlineLvl w:val="3"/>
    </w:pPr>
    <w:rPr>
      <w:rFonts w:ascii="Open Sans Extrabold" w:eastAsiaTheme="majorEastAsia" w:hAnsi="Open Sans Extrabold" w:cstheme="majorBidi"/>
      <w:iCs/>
      <w:color w:val="1C4373" w:themeColor="background2" w:themeShade="BF"/>
      <w:sz w:val="22"/>
      <w:szCs w:val="33"/>
    </w:rPr>
  </w:style>
  <w:style w:type="paragraph" w:styleId="Heading5">
    <w:name w:val="heading 5"/>
    <w:basedOn w:val="Normal"/>
    <w:next w:val="BodyText"/>
    <w:link w:val="Heading5Char"/>
    <w:uiPriority w:val="9"/>
    <w:qFormat/>
    <w:rsid w:val="00C414E1"/>
    <w:pPr>
      <w:keepNext/>
      <w:keepLines/>
      <w:spacing w:before="240" w:line="264" w:lineRule="atLeast"/>
      <w:outlineLvl w:val="4"/>
    </w:pPr>
    <w:rPr>
      <w:rFonts w:eastAsiaTheme="majorEastAsia" w:cstheme="majorBidi"/>
      <w:b/>
      <w:color w:val="265A9A" w:themeColor="background2"/>
      <w:sz w:val="22"/>
      <w:szCs w:val="29"/>
    </w:rPr>
  </w:style>
  <w:style w:type="paragraph" w:styleId="Heading6">
    <w:name w:val="heading 6"/>
    <w:basedOn w:val="Normal"/>
    <w:next w:val="BodyText"/>
    <w:link w:val="Heading6Char"/>
    <w:uiPriority w:val="9"/>
    <w:rsid w:val="00C414E1"/>
    <w:pPr>
      <w:keepNext/>
      <w:keepLines/>
      <w:spacing w:line="240" w:lineRule="atLeast"/>
      <w:outlineLvl w:val="5"/>
    </w:pPr>
    <w:rPr>
      <w:rFonts w:eastAsiaTheme="majorEastAsia" w:cstheme="minorHAnsi"/>
      <w:b/>
      <w:bCs/>
      <w:i/>
      <w:color w:val="265A9A" w:themeColor="background2"/>
      <w:szCs w:val="24"/>
    </w:rPr>
  </w:style>
  <w:style w:type="paragraph" w:styleId="Heading7">
    <w:name w:val="heading 7"/>
    <w:basedOn w:val="Normal"/>
    <w:next w:val="Normal"/>
    <w:link w:val="Heading7Char"/>
    <w:uiPriority w:val="9"/>
    <w:semiHidden/>
    <w:qFormat/>
    <w:rsid w:val="00C414E1"/>
    <w:pPr>
      <w:keepNext/>
      <w:keepLines/>
      <w:spacing w:line="240" w:lineRule="atLeast"/>
      <w:outlineLvl w:val="6"/>
    </w:pPr>
    <w:rPr>
      <w:rFonts w:eastAsiaTheme="majorEastAsia" w:cstheme="minorHAnsi"/>
      <w:b/>
      <w:bCs/>
      <w:i/>
      <w:iCs/>
      <w:color w:val="265A9A" w:themeColor="background2"/>
      <w:szCs w:val="22"/>
    </w:rPr>
  </w:style>
  <w:style w:type="paragraph" w:styleId="Heading8">
    <w:name w:val="heading 8"/>
    <w:basedOn w:val="Normal"/>
    <w:next w:val="Normal"/>
    <w:link w:val="Heading8Char"/>
    <w:uiPriority w:val="9"/>
    <w:semiHidden/>
    <w:qFormat/>
    <w:rsid w:val="00C414E1"/>
    <w:pPr>
      <w:keepNext/>
      <w:keepLines/>
      <w:spacing w:after="0" w:line="293" w:lineRule="auto"/>
      <w:outlineLvl w:val="7"/>
    </w:pPr>
    <w:rPr>
      <w:rFonts w:eastAsiaTheme="majorEastAsia" w:cstheme="majorBidi"/>
      <w:b/>
      <w:sz w:val="18"/>
      <w:szCs w:val="21"/>
    </w:rPr>
  </w:style>
  <w:style w:type="paragraph" w:styleId="Heading9">
    <w:name w:val="heading 9"/>
    <w:basedOn w:val="Normal"/>
    <w:next w:val="Normal"/>
    <w:link w:val="Heading9Char"/>
    <w:uiPriority w:val="9"/>
    <w:semiHidden/>
    <w:rsid w:val="00C414E1"/>
    <w:pPr>
      <w:spacing w:line="240" w:lineRule="auto"/>
      <w:outlineLvl w:val="8"/>
    </w:pPr>
    <w:rPr>
      <w:rFonts w:asciiTheme="majorHAnsi" w:hAnsiTheme="majorHAnsi"/>
      <w:color w:val="8956A3" w:themeColor="accent2"/>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414E1"/>
    <w:rPr>
      <w:color w:val="808080"/>
    </w:rPr>
  </w:style>
  <w:style w:type="paragraph" w:styleId="Date">
    <w:name w:val="Date"/>
    <w:basedOn w:val="Normal"/>
    <w:next w:val="Normal"/>
    <w:link w:val="DateChar"/>
    <w:uiPriority w:val="99"/>
    <w:unhideWhenUsed/>
    <w:rsid w:val="00C414E1"/>
    <w:pPr>
      <w:spacing w:after="360" w:line="293" w:lineRule="auto"/>
    </w:pPr>
  </w:style>
  <w:style w:type="character" w:customStyle="1" w:styleId="DateChar">
    <w:name w:val="Date Char"/>
    <w:basedOn w:val="DefaultParagraphFont"/>
    <w:link w:val="Date"/>
    <w:uiPriority w:val="99"/>
    <w:rsid w:val="00C414E1"/>
    <w:rPr>
      <w:rFonts w:ascii="Open Sans" w:hAnsi="Open Sans"/>
      <w:sz w:val="20"/>
      <w:szCs w:val="20"/>
    </w:rPr>
  </w:style>
  <w:style w:type="paragraph" w:styleId="NoSpacing">
    <w:name w:val="No Spacing"/>
    <w:basedOn w:val="Normal"/>
    <w:link w:val="NoSpacingChar"/>
    <w:uiPriority w:val="10"/>
    <w:qFormat/>
    <w:rsid w:val="00C414E1"/>
    <w:pPr>
      <w:spacing w:before="0" w:after="0"/>
    </w:pPr>
  </w:style>
  <w:style w:type="paragraph" w:styleId="ListBullet">
    <w:name w:val="List Bullet"/>
    <w:basedOn w:val="Normal"/>
    <w:link w:val="ListBulletChar"/>
    <w:uiPriority w:val="1"/>
    <w:qFormat/>
    <w:rsid w:val="00C414E1"/>
    <w:pPr>
      <w:numPr>
        <w:numId w:val="15"/>
      </w:numPr>
      <w:contextualSpacing/>
    </w:pPr>
  </w:style>
  <w:style w:type="paragraph" w:styleId="ListBullet2">
    <w:name w:val="List Bullet 2"/>
    <w:basedOn w:val="Normal"/>
    <w:uiPriority w:val="1"/>
    <w:qFormat/>
    <w:rsid w:val="00C414E1"/>
    <w:pPr>
      <w:numPr>
        <w:ilvl w:val="1"/>
        <w:numId w:val="15"/>
      </w:numPr>
      <w:contextualSpacing/>
    </w:pPr>
  </w:style>
  <w:style w:type="paragraph" w:styleId="ListNumber">
    <w:name w:val="List Number"/>
    <w:basedOn w:val="Normal"/>
    <w:uiPriority w:val="2"/>
    <w:qFormat/>
    <w:rsid w:val="00C414E1"/>
    <w:pPr>
      <w:numPr>
        <w:numId w:val="14"/>
      </w:numPr>
      <w:spacing w:before="60"/>
      <w:contextualSpacing/>
    </w:pPr>
  </w:style>
  <w:style w:type="numbering" w:customStyle="1" w:styleId="Bullets">
    <w:name w:val="Bullets"/>
    <w:uiPriority w:val="99"/>
    <w:rsid w:val="00C414E1"/>
    <w:pPr>
      <w:numPr>
        <w:numId w:val="5"/>
      </w:numPr>
    </w:pPr>
  </w:style>
  <w:style w:type="character" w:customStyle="1" w:styleId="Heading1Char">
    <w:name w:val="Heading 1 Char"/>
    <w:basedOn w:val="DefaultParagraphFont"/>
    <w:link w:val="Heading1"/>
    <w:uiPriority w:val="9"/>
    <w:rsid w:val="00C414E1"/>
    <w:rPr>
      <w:rFonts w:ascii="Open Sans Extrabold" w:hAnsi="Open Sans Extrabold"/>
      <w:color w:val="1C4373" w:themeColor="background2" w:themeShade="BF"/>
      <w:sz w:val="42"/>
      <w:szCs w:val="20"/>
      <w:shd w:val="clear" w:color="auto" w:fill="E7F6FD"/>
    </w:rPr>
  </w:style>
  <w:style w:type="paragraph" w:styleId="ListNumber2">
    <w:name w:val="List Number 2"/>
    <w:basedOn w:val="Normal"/>
    <w:uiPriority w:val="13"/>
    <w:semiHidden/>
    <w:qFormat/>
    <w:rsid w:val="00C414E1"/>
    <w:pPr>
      <w:numPr>
        <w:ilvl w:val="1"/>
        <w:numId w:val="14"/>
      </w:numPr>
      <w:spacing w:before="60"/>
      <w:contextualSpacing/>
    </w:pPr>
  </w:style>
  <w:style w:type="character" w:customStyle="1" w:styleId="Heading2Char">
    <w:name w:val="Heading 2 Char"/>
    <w:basedOn w:val="DefaultParagraphFont"/>
    <w:link w:val="Heading2"/>
    <w:uiPriority w:val="9"/>
    <w:rsid w:val="00C414E1"/>
    <w:rPr>
      <w:rFonts w:ascii="Open Sans Extrabold" w:eastAsiaTheme="majorEastAsia" w:hAnsi="Open Sans Extrabold" w:cstheme="majorBidi"/>
      <w:color w:val="1C4373" w:themeColor="background2" w:themeShade="BF"/>
      <w:sz w:val="30"/>
      <w:szCs w:val="60"/>
    </w:rPr>
  </w:style>
  <w:style w:type="paragraph" w:styleId="ListParagraph">
    <w:name w:val="List Paragraph"/>
    <w:basedOn w:val="Normal"/>
    <w:uiPriority w:val="34"/>
    <w:rsid w:val="00C414E1"/>
    <w:pPr>
      <w:spacing w:line="293" w:lineRule="auto"/>
      <w:ind w:left="284"/>
      <w:contextualSpacing/>
    </w:pPr>
  </w:style>
  <w:style w:type="paragraph" w:styleId="Header">
    <w:name w:val="header"/>
    <w:basedOn w:val="Normal"/>
    <w:link w:val="HeaderChar"/>
    <w:uiPriority w:val="99"/>
    <w:unhideWhenUsed/>
    <w:rsid w:val="00C414E1"/>
    <w:pPr>
      <w:tabs>
        <w:tab w:val="center" w:pos="4513"/>
        <w:tab w:val="right" w:pos="9026"/>
      </w:tabs>
      <w:spacing w:after="0" w:line="240" w:lineRule="auto"/>
    </w:pPr>
    <w:rPr>
      <w:sz w:val="16"/>
    </w:rPr>
  </w:style>
  <w:style w:type="character" w:customStyle="1" w:styleId="HeaderChar">
    <w:name w:val="Header Char"/>
    <w:basedOn w:val="DefaultParagraphFont"/>
    <w:link w:val="Header"/>
    <w:uiPriority w:val="99"/>
    <w:rsid w:val="00C414E1"/>
    <w:rPr>
      <w:rFonts w:ascii="Open Sans" w:hAnsi="Open Sans"/>
      <w:sz w:val="16"/>
      <w:szCs w:val="20"/>
    </w:rPr>
  </w:style>
  <w:style w:type="paragraph" w:styleId="Footer">
    <w:name w:val="footer"/>
    <w:basedOn w:val="Normal"/>
    <w:link w:val="FooterChar"/>
    <w:uiPriority w:val="11"/>
    <w:rsid w:val="00C414E1"/>
    <w:pPr>
      <w:tabs>
        <w:tab w:val="center" w:pos="4513"/>
        <w:tab w:val="right" w:pos="9026"/>
      </w:tabs>
      <w:spacing w:after="0" w:line="240" w:lineRule="auto"/>
      <w:contextualSpacing/>
    </w:pPr>
    <w:rPr>
      <w:rFonts w:ascii="Open Sans Extrabold" w:hAnsi="Open Sans Extrabold"/>
      <w:sz w:val="17"/>
      <w:szCs w:val="22"/>
    </w:rPr>
  </w:style>
  <w:style w:type="character" w:customStyle="1" w:styleId="FooterChar">
    <w:name w:val="Footer Char"/>
    <w:basedOn w:val="DefaultParagraphFont"/>
    <w:link w:val="Footer"/>
    <w:uiPriority w:val="11"/>
    <w:rsid w:val="00C414E1"/>
    <w:rPr>
      <w:rFonts w:ascii="Open Sans Extrabold" w:hAnsi="Open Sans Extrabold"/>
      <w:sz w:val="17"/>
    </w:rPr>
  </w:style>
  <w:style w:type="numbering" w:customStyle="1" w:styleId="Numbering">
    <w:name w:val="Numbering"/>
    <w:uiPriority w:val="99"/>
    <w:rsid w:val="00C414E1"/>
    <w:pPr>
      <w:numPr>
        <w:numId w:val="14"/>
      </w:numPr>
    </w:pPr>
  </w:style>
  <w:style w:type="paragraph" w:styleId="ListBullet3">
    <w:name w:val="List Bullet 3"/>
    <w:basedOn w:val="Normal"/>
    <w:uiPriority w:val="1"/>
    <w:qFormat/>
    <w:rsid w:val="00C414E1"/>
    <w:pPr>
      <w:numPr>
        <w:ilvl w:val="2"/>
        <w:numId w:val="15"/>
      </w:numPr>
      <w:contextualSpacing/>
    </w:pPr>
  </w:style>
  <w:style w:type="paragraph" w:styleId="ListContinue2">
    <w:name w:val="List Continue 2"/>
    <w:basedOn w:val="Normal"/>
    <w:uiPriority w:val="3"/>
    <w:unhideWhenUsed/>
    <w:qFormat/>
    <w:rsid w:val="00C414E1"/>
    <w:pPr>
      <w:spacing w:before="60"/>
      <w:ind w:left="454"/>
    </w:pPr>
  </w:style>
  <w:style w:type="paragraph" w:styleId="ListNumber3">
    <w:name w:val="List Number 3"/>
    <w:basedOn w:val="Normal"/>
    <w:uiPriority w:val="13"/>
    <w:semiHidden/>
    <w:qFormat/>
    <w:rsid w:val="00C414E1"/>
    <w:pPr>
      <w:numPr>
        <w:ilvl w:val="2"/>
        <w:numId w:val="14"/>
      </w:numPr>
      <w:spacing w:before="60"/>
      <w:contextualSpacing/>
    </w:pPr>
  </w:style>
  <w:style w:type="paragraph" w:styleId="ListNumber4">
    <w:name w:val="List Number 4"/>
    <w:basedOn w:val="Normal"/>
    <w:uiPriority w:val="13"/>
    <w:semiHidden/>
    <w:qFormat/>
    <w:rsid w:val="00C414E1"/>
    <w:pPr>
      <w:numPr>
        <w:ilvl w:val="3"/>
        <w:numId w:val="14"/>
      </w:numPr>
      <w:spacing w:after="200" w:line="293" w:lineRule="auto"/>
      <w:contextualSpacing/>
    </w:pPr>
  </w:style>
  <w:style w:type="paragraph" w:styleId="ListNumber5">
    <w:name w:val="List Number 5"/>
    <w:basedOn w:val="Normal"/>
    <w:uiPriority w:val="13"/>
    <w:semiHidden/>
    <w:rsid w:val="00C414E1"/>
    <w:pPr>
      <w:numPr>
        <w:ilvl w:val="4"/>
        <w:numId w:val="14"/>
      </w:numPr>
      <w:spacing w:after="200" w:line="293" w:lineRule="auto"/>
      <w:contextualSpacing/>
    </w:pPr>
  </w:style>
  <w:style w:type="paragraph" w:styleId="ListContinue">
    <w:name w:val="List Continue"/>
    <w:basedOn w:val="Normal"/>
    <w:uiPriority w:val="3"/>
    <w:unhideWhenUsed/>
    <w:qFormat/>
    <w:rsid w:val="00C414E1"/>
    <w:pPr>
      <w:spacing w:before="60"/>
      <w:ind w:left="227"/>
    </w:pPr>
  </w:style>
  <w:style w:type="paragraph" w:styleId="ListContinue3">
    <w:name w:val="List Continue 3"/>
    <w:basedOn w:val="Normal"/>
    <w:uiPriority w:val="3"/>
    <w:unhideWhenUsed/>
    <w:qFormat/>
    <w:rsid w:val="00C414E1"/>
    <w:pPr>
      <w:spacing w:before="60"/>
      <w:ind w:left="907"/>
    </w:pPr>
  </w:style>
  <w:style w:type="paragraph" w:styleId="ListContinue4">
    <w:name w:val="List Continue 4"/>
    <w:basedOn w:val="Normal"/>
    <w:uiPriority w:val="3"/>
    <w:unhideWhenUsed/>
    <w:qFormat/>
    <w:rsid w:val="00C414E1"/>
    <w:pPr>
      <w:spacing w:line="293" w:lineRule="auto"/>
      <w:ind w:left="907"/>
      <w:contextualSpacing/>
    </w:pPr>
  </w:style>
  <w:style w:type="character" w:customStyle="1" w:styleId="Heading3Char">
    <w:name w:val="Heading 3 Char"/>
    <w:basedOn w:val="DefaultParagraphFont"/>
    <w:link w:val="Heading3"/>
    <w:uiPriority w:val="9"/>
    <w:rsid w:val="00C414E1"/>
    <w:rPr>
      <w:rFonts w:ascii="Open Sans Extrabold" w:eastAsiaTheme="majorEastAsia" w:hAnsi="Open Sans Extrabold" w:cstheme="majorBidi"/>
      <w:color w:val="207291" w:themeColor="text2" w:themeShade="BF"/>
      <w:sz w:val="26"/>
      <w:szCs w:val="37"/>
    </w:rPr>
  </w:style>
  <w:style w:type="character" w:customStyle="1" w:styleId="Heading4Char">
    <w:name w:val="Heading 4 Char"/>
    <w:basedOn w:val="DefaultParagraphFont"/>
    <w:link w:val="Heading4"/>
    <w:uiPriority w:val="9"/>
    <w:rsid w:val="00C414E1"/>
    <w:rPr>
      <w:rFonts w:ascii="Open Sans Extrabold" w:eastAsiaTheme="majorEastAsia" w:hAnsi="Open Sans Extrabold" w:cstheme="majorBidi"/>
      <w:iCs/>
      <w:color w:val="1C4373" w:themeColor="background2" w:themeShade="BF"/>
      <w:szCs w:val="33"/>
    </w:rPr>
  </w:style>
  <w:style w:type="character" w:customStyle="1" w:styleId="Heading5Char">
    <w:name w:val="Heading 5 Char"/>
    <w:basedOn w:val="DefaultParagraphFont"/>
    <w:link w:val="Heading5"/>
    <w:uiPriority w:val="9"/>
    <w:rsid w:val="00C414E1"/>
    <w:rPr>
      <w:rFonts w:ascii="Open Sans" w:eastAsiaTheme="majorEastAsia" w:hAnsi="Open Sans" w:cstheme="majorBidi"/>
      <w:b/>
      <w:color w:val="265A9A" w:themeColor="background2"/>
      <w:szCs w:val="29"/>
    </w:rPr>
  </w:style>
  <w:style w:type="numbering" w:customStyle="1" w:styleId="ListHeadings">
    <w:name w:val="List Headings"/>
    <w:uiPriority w:val="99"/>
    <w:rsid w:val="00C414E1"/>
    <w:pPr>
      <w:numPr>
        <w:numId w:val="12"/>
      </w:numPr>
    </w:pPr>
  </w:style>
  <w:style w:type="paragraph" w:styleId="Title">
    <w:name w:val="Title"/>
    <w:basedOn w:val="Heading1"/>
    <w:next w:val="Normal"/>
    <w:link w:val="TitleChar"/>
    <w:uiPriority w:val="39"/>
    <w:rsid w:val="00C414E1"/>
    <w:pPr>
      <w:numPr>
        <w:numId w:val="0"/>
      </w:numPr>
      <w:pBdr>
        <w:top w:val="none" w:sz="0" w:space="0" w:color="auto"/>
        <w:left w:val="none" w:sz="0" w:space="0" w:color="auto"/>
        <w:bottom w:val="none" w:sz="0" w:space="0" w:color="auto"/>
        <w:right w:val="none" w:sz="0" w:space="0" w:color="auto"/>
      </w:pBdr>
      <w:shd w:val="clear" w:color="auto" w:fill="auto"/>
      <w:spacing w:before="560" w:line="204" w:lineRule="auto"/>
      <w:ind w:right="2268"/>
      <w:contextualSpacing/>
    </w:pPr>
    <w:rPr>
      <w:rFonts w:eastAsiaTheme="majorEastAsia" w:cstheme="majorBidi"/>
      <w:kern w:val="28"/>
      <w:sz w:val="56"/>
      <w:szCs w:val="56"/>
    </w:rPr>
  </w:style>
  <w:style w:type="character" w:customStyle="1" w:styleId="TitleChar">
    <w:name w:val="Title Char"/>
    <w:basedOn w:val="DefaultParagraphFont"/>
    <w:link w:val="Title"/>
    <w:uiPriority w:val="39"/>
    <w:rsid w:val="00C414E1"/>
    <w:rPr>
      <w:rFonts w:ascii="Open Sans Extrabold" w:eastAsiaTheme="majorEastAsia" w:hAnsi="Open Sans Extrabold" w:cstheme="majorBidi"/>
      <w:color w:val="1C4373" w:themeColor="background2" w:themeShade="BF"/>
      <w:kern w:val="28"/>
      <w:sz w:val="56"/>
      <w:szCs w:val="56"/>
    </w:rPr>
  </w:style>
  <w:style w:type="paragraph" w:customStyle="1" w:styleId="Pull-outQuote">
    <w:name w:val="Pull-out Quote"/>
    <w:basedOn w:val="Normal"/>
    <w:link w:val="Pull-outQuoteChar"/>
    <w:uiPriority w:val="99"/>
    <w:semiHidden/>
    <w:rsid w:val="00C414E1"/>
    <w:pPr>
      <w:pBdr>
        <w:top w:val="single" w:sz="4" w:space="4" w:color="2B9AC2" w:themeColor="text2"/>
        <w:left w:val="single" w:sz="4" w:space="4" w:color="2B9AC2" w:themeColor="text2"/>
        <w:bottom w:val="single" w:sz="4" w:space="4" w:color="2B9AC2" w:themeColor="text2"/>
        <w:right w:val="single" w:sz="4" w:space="4" w:color="2B9AC2" w:themeColor="text2"/>
      </w:pBdr>
      <w:shd w:val="clear" w:color="auto" w:fill="2B9AC2" w:themeFill="text2"/>
      <w:spacing w:line="293" w:lineRule="auto"/>
      <w:ind w:left="113" w:right="113"/>
    </w:pPr>
    <w:rPr>
      <w:color w:val="FFFFFF" w:themeColor="background1"/>
    </w:rPr>
  </w:style>
  <w:style w:type="paragraph" w:customStyle="1" w:styleId="Pull-outQuoteHeading">
    <w:name w:val="Pull-out Quote Heading"/>
    <w:basedOn w:val="Pull-outQuote"/>
    <w:next w:val="Pull-outQuote"/>
    <w:link w:val="Pull-outQuoteHeadingChar"/>
    <w:uiPriority w:val="99"/>
    <w:semiHidden/>
    <w:rsid w:val="00C414E1"/>
    <w:rPr>
      <w:b/>
    </w:rPr>
  </w:style>
  <w:style w:type="character" w:customStyle="1" w:styleId="Pull-outQuoteChar">
    <w:name w:val="Pull-out Quote Char"/>
    <w:basedOn w:val="DefaultParagraphFont"/>
    <w:link w:val="Pull-outQuote"/>
    <w:uiPriority w:val="99"/>
    <w:semiHidden/>
    <w:rsid w:val="00C414E1"/>
    <w:rPr>
      <w:rFonts w:ascii="Open Sans" w:hAnsi="Open Sans"/>
      <w:color w:val="FFFFFF" w:themeColor="background1"/>
      <w:sz w:val="20"/>
      <w:szCs w:val="20"/>
      <w:shd w:val="clear" w:color="auto" w:fill="2B9AC2" w:themeFill="text2"/>
    </w:rPr>
  </w:style>
  <w:style w:type="character" w:customStyle="1" w:styleId="Pull-outQuoteHeadingChar">
    <w:name w:val="Pull-out Quote Heading Char"/>
    <w:basedOn w:val="Pull-outQuoteChar"/>
    <w:link w:val="Pull-outQuoteHeading"/>
    <w:uiPriority w:val="99"/>
    <w:semiHidden/>
    <w:rsid w:val="00C414E1"/>
    <w:rPr>
      <w:rFonts w:ascii="Open Sans" w:hAnsi="Open Sans"/>
      <w:b/>
      <w:color w:val="FFFFFF" w:themeColor="background1"/>
      <w:sz w:val="20"/>
      <w:szCs w:val="20"/>
      <w:shd w:val="clear" w:color="auto" w:fill="2B9AC2" w:themeFill="text2"/>
    </w:rPr>
  </w:style>
  <w:style w:type="paragraph" w:customStyle="1" w:styleId="NumberedHeading1">
    <w:name w:val="Numbered Heading 1"/>
    <w:basedOn w:val="Heading1"/>
    <w:next w:val="Normal"/>
    <w:link w:val="NumberedHeading1Char"/>
    <w:uiPriority w:val="9"/>
    <w:semiHidden/>
    <w:rsid w:val="00C414E1"/>
  </w:style>
  <w:style w:type="paragraph" w:customStyle="1" w:styleId="NumberedHeading2">
    <w:name w:val="Numbered Heading 2"/>
    <w:basedOn w:val="Heading2"/>
    <w:next w:val="Normal"/>
    <w:link w:val="NumberedHeading2Char"/>
    <w:uiPriority w:val="9"/>
    <w:semiHidden/>
    <w:rsid w:val="00C414E1"/>
  </w:style>
  <w:style w:type="character" w:customStyle="1" w:styleId="NumberedHeading1Char">
    <w:name w:val="Numbered Heading 1 Char"/>
    <w:basedOn w:val="Heading1Char"/>
    <w:link w:val="NumberedHeading1"/>
    <w:uiPriority w:val="9"/>
    <w:semiHidden/>
    <w:rsid w:val="00C414E1"/>
    <w:rPr>
      <w:rFonts w:ascii="Open Sans Extrabold" w:hAnsi="Open Sans Extrabold"/>
      <w:color w:val="1C4373" w:themeColor="background2" w:themeShade="BF"/>
      <w:sz w:val="42"/>
      <w:szCs w:val="20"/>
      <w:shd w:val="clear" w:color="auto" w:fill="E7F6FD"/>
    </w:rPr>
  </w:style>
  <w:style w:type="character" w:customStyle="1" w:styleId="NumberedHeading2Char">
    <w:name w:val="Numbered Heading 2 Char"/>
    <w:basedOn w:val="Heading2Char"/>
    <w:link w:val="NumberedHeading2"/>
    <w:uiPriority w:val="9"/>
    <w:semiHidden/>
    <w:rsid w:val="00C414E1"/>
    <w:rPr>
      <w:rFonts w:ascii="Open Sans Extrabold" w:eastAsiaTheme="majorEastAsia" w:hAnsi="Open Sans Extrabold" w:cstheme="majorBidi"/>
      <w:color w:val="1C4373" w:themeColor="background2" w:themeShade="BF"/>
      <w:sz w:val="30"/>
      <w:szCs w:val="60"/>
    </w:rPr>
  </w:style>
  <w:style w:type="paragraph" w:styleId="ListContinue5">
    <w:name w:val="List Continue 5"/>
    <w:basedOn w:val="Normal"/>
    <w:uiPriority w:val="3"/>
    <w:unhideWhenUsed/>
    <w:qFormat/>
    <w:rsid w:val="00C414E1"/>
    <w:pPr>
      <w:ind w:left="1134"/>
      <w:contextualSpacing/>
    </w:pPr>
  </w:style>
  <w:style w:type="table" w:styleId="TableGrid">
    <w:name w:val="Table Grid"/>
    <w:basedOn w:val="TableNormal"/>
    <w:uiPriority w:val="39"/>
    <w:rsid w:val="00C414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4"/>
    <w:qFormat/>
    <w:rsid w:val="00C414E1"/>
    <w:pPr>
      <w:spacing w:before="0" w:after="40"/>
    </w:pPr>
    <w:rPr>
      <w:rFonts w:ascii="Open Sans Extrabold" w:hAnsi="Open Sans Extrabold"/>
      <w:iCs/>
      <w:color w:val="000000" w:themeColor="text1"/>
      <w:szCs w:val="18"/>
    </w:rPr>
  </w:style>
  <w:style w:type="paragraph" w:styleId="List">
    <w:name w:val="List"/>
    <w:basedOn w:val="Normal"/>
    <w:uiPriority w:val="99"/>
    <w:semiHidden/>
    <w:qFormat/>
    <w:rsid w:val="00C414E1"/>
    <w:pPr>
      <w:numPr>
        <w:numId w:val="9"/>
      </w:numPr>
      <w:spacing w:before="60"/>
    </w:pPr>
  </w:style>
  <w:style w:type="paragraph" w:styleId="List2">
    <w:name w:val="List 2"/>
    <w:basedOn w:val="Normal"/>
    <w:uiPriority w:val="99"/>
    <w:semiHidden/>
    <w:qFormat/>
    <w:rsid w:val="00C414E1"/>
    <w:pPr>
      <w:numPr>
        <w:ilvl w:val="1"/>
        <w:numId w:val="9"/>
      </w:numPr>
      <w:spacing w:before="60"/>
    </w:pPr>
  </w:style>
  <w:style w:type="numbering" w:customStyle="1" w:styleId="LetteredList">
    <w:name w:val="Lettered List"/>
    <w:uiPriority w:val="99"/>
    <w:rsid w:val="00C414E1"/>
    <w:pPr>
      <w:numPr>
        <w:numId w:val="8"/>
      </w:numPr>
    </w:pPr>
  </w:style>
  <w:style w:type="paragraph" w:styleId="Subtitle">
    <w:name w:val="Subtitle"/>
    <w:basedOn w:val="Normal"/>
    <w:next w:val="Normal"/>
    <w:link w:val="SubtitleChar"/>
    <w:uiPriority w:val="39"/>
    <w:rsid w:val="00C414E1"/>
    <w:pPr>
      <w:numPr>
        <w:ilvl w:val="1"/>
      </w:numPr>
      <w:spacing w:before="240" w:after="240" w:line="240" w:lineRule="auto"/>
    </w:pPr>
    <w:rPr>
      <w:rFonts w:eastAsiaTheme="minorEastAsia"/>
      <w:color w:val="1C4373" w:themeColor="background2" w:themeShade="BF"/>
      <w:sz w:val="48"/>
    </w:rPr>
  </w:style>
  <w:style w:type="character" w:customStyle="1" w:styleId="SubtitleChar">
    <w:name w:val="Subtitle Char"/>
    <w:basedOn w:val="DefaultParagraphFont"/>
    <w:link w:val="Subtitle"/>
    <w:uiPriority w:val="39"/>
    <w:rsid w:val="00C414E1"/>
    <w:rPr>
      <w:rFonts w:ascii="Open Sans" w:eastAsiaTheme="minorEastAsia" w:hAnsi="Open Sans"/>
      <w:color w:val="1C4373" w:themeColor="background2" w:themeShade="BF"/>
      <w:sz w:val="48"/>
      <w:szCs w:val="20"/>
    </w:rPr>
  </w:style>
  <w:style w:type="character" w:styleId="Strong">
    <w:name w:val="Strong"/>
    <w:basedOn w:val="DefaultParagraphFont"/>
    <w:uiPriority w:val="22"/>
    <w:qFormat/>
    <w:rsid w:val="00C414E1"/>
    <w:rPr>
      <w:rFonts w:ascii="Open Sans" w:hAnsi="Open Sans"/>
      <w:b/>
      <w:bCs/>
    </w:rPr>
  </w:style>
  <w:style w:type="paragraph" w:customStyle="1" w:styleId="Header-Keyline">
    <w:name w:val="Header - Keyline"/>
    <w:basedOn w:val="Header"/>
    <w:link w:val="Header-KeylineChar"/>
    <w:uiPriority w:val="99"/>
    <w:rsid w:val="00C414E1"/>
    <w:pPr>
      <w:pBdr>
        <w:bottom w:val="single" w:sz="4" w:space="31" w:color="2B9AC2" w:themeColor="text2"/>
      </w:pBdr>
      <w:spacing w:after="600"/>
    </w:pPr>
  </w:style>
  <w:style w:type="character" w:customStyle="1" w:styleId="Heading6Char">
    <w:name w:val="Heading 6 Char"/>
    <w:basedOn w:val="DefaultParagraphFont"/>
    <w:link w:val="Heading6"/>
    <w:uiPriority w:val="9"/>
    <w:rsid w:val="00C414E1"/>
    <w:rPr>
      <w:rFonts w:ascii="Open Sans" w:eastAsiaTheme="majorEastAsia" w:hAnsi="Open Sans" w:cstheme="minorHAnsi"/>
      <w:b/>
      <w:bCs/>
      <w:i/>
      <w:color w:val="265A9A" w:themeColor="background2"/>
      <w:sz w:val="20"/>
      <w:szCs w:val="24"/>
    </w:rPr>
  </w:style>
  <w:style w:type="character" w:customStyle="1" w:styleId="Header-KeylineChar">
    <w:name w:val="Header - Keyline Char"/>
    <w:basedOn w:val="HeaderChar"/>
    <w:link w:val="Header-Keyline"/>
    <w:uiPriority w:val="99"/>
    <w:rsid w:val="00C414E1"/>
    <w:rPr>
      <w:rFonts w:ascii="Open Sans" w:hAnsi="Open Sans"/>
      <w:sz w:val="16"/>
      <w:szCs w:val="20"/>
    </w:rPr>
  </w:style>
  <w:style w:type="character" w:customStyle="1" w:styleId="Heading7Char">
    <w:name w:val="Heading 7 Char"/>
    <w:basedOn w:val="DefaultParagraphFont"/>
    <w:link w:val="Heading7"/>
    <w:uiPriority w:val="9"/>
    <w:semiHidden/>
    <w:rsid w:val="00C414E1"/>
    <w:rPr>
      <w:rFonts w:ascii="Open Sans" w:eastAsiaTheme="majorEastAsia" w:hAnsi="Open Sans" w:cstheme="minorHAnsi"/>
      <w:b/>
      <w:bCs/>
      <w:i/>
      <w:iCs/>
      <w:color w:val="265A9A" w:themeColor="background2"/>
      <w:sz w:val="20"/>
    </w:rPr>
  </w:style>
  <w:style w:type="character" w:customStyle="1" w:styleId="Heading8Char">
    <w:name w:val="Heading 8 Char"/>
    <w:basedOn w:val="DefaultParagraphFont"/>
    <w:link w:val="Heading8"/>
    <w:uiPriority w:val="9"/>
    <w:semiHidden/>
    <w:rsid w:val="00C414E1"/>
    <w:rPr>
      <w:rFonts w:ascii="Open Sans" w:eastAsiaTheme="majorEastAsia" w:hAnsi="Open Sans" w:cstheme="majorBidi"/>
      <w:b/>
      <w:sz w:val="18"/>
      <w:szCs w:val="21"/>
    </w:rPr>
  </w:style>
  <w:style w:type="table" w:customStyle="1" w:styleId="ProductivityCommissionTable1">
    <w:name w:val="Productivity Commission Table 1"/>
    <w:basedOn w:val="TableNormal"/>
    <w:uiPriority w:val="99"/>
    <w:rsid w:val="00C414E1"/>
    <w:pPr>
      <w:spacing w:after="0" w:line="240" w:lineRule="auto"/>
    </w:pPr>
    <w:tblPr>
      <w:tblStyleRowBandSize w:val="1"/>
      <w:tblBorders>
        <w:top w:val="single" w:sz="4" w:space="0" w:color="BFBFBF"/>
        <w:bottom w:val="single" w:sz="4" w:space="0" w:color="B3B3B3"/>
        <w:insideH w:val="single" w:sz="4" w:space="0" w:color="B3B3B3"/>
      </w:tblBorders>
      <w:tblCellMar>
        <w:top w:w="45" w:type="dxa"/>
        <w:left w:w="0" w:type="dxa"/>
        <w:bottom w:w="45" w:type="dxa"/>
      </w:tblCellMar>
    </w:tblPr>
    <w:tblStylePr w:type="firstRow">
      <w:rPr>
        <w:b/>
        <w:color w:val="265A9A" w:themeColor="background2"/>
      </w:rPr>
    </w:tblStylePr>
    <w:tblStylePr w:type="firstCol">
      <w:rPr>
        <w:b/>
        <w:color w:val="265A9A" w:themeColor="background2"/>
      </w:rPr>
    </w:tblStylePr>
    <w:tblStylePr w:type="band1Horz">
      <w:tblPr/>
      <w:tcPr>
        <w:shd w:val="clear" w:color="auto" w:fill="F1F1F2"/>
      </w:tcPr>
    </w:tblStylePr>
  </w:style>
  <w:style w:type="character" w:customStyle="1" w:styleId="Heading9Char">
    <w:name w:val="Heading 9 Char"/>
    <w:basedOn w:val="DefaultParagraphFont"/>
    <w:link w:val="Heading9"/>
    <w:uiPriority w:val="9"/>
    <w:semiHidden/>
    <w:rsid w:val="00C414E1"/>
    <w:rPr>
      <w:rFonts w:asciiTheme="majorHAnsi" w:hAnsiTheme="majorHAnsi"/>
      <w:color w:val="8956A3" w:themeColor="accent2"/>
      <w:sz w:val="18"/>
      <w:szCs w:val="18"/>
    </w:rPr>
  </w:style>
  <w:style w:type="table" w:customStyle="1" w:styleId="ProductivityCommissionTable3">
    <w:name w:val="Productivity Commission Table 3"/>
    <w:basedOn w:val="TableNormal"/>
    <w:uiPriority w:val="99"/>
    <w:rsid w:val="00C414E1"/>
    <w:pPr>
      <w:spacing w:after="0" w:line="240" w:lineRule="auto"/>
      <w:jc w:val="right"/>
    </w:pPr>
    <w:tblPr>
      <w:tblCellMar>
        <w:top w:w="45" w:type="dxa"/>
        <w:left w:w="0" w:type="dxa"/>
        <w:bottom w:w="45" w:type="dxa"/>
        <w:right w:w="28" w:type="dxa"/>
      </w:tblCellMar>
    </w:tblPr>
    <w:tblStylePr w:type="firstRow">
      <w:rPr>
        <w:b/>
        <w:color w:val="2B9AC2" w:themeColor="text2"/>
      </w:rPr>
      <w:tblPr/>
      <w:tcPr>
        <w:tcBorders>
          <w:top w:val="nil"/>
          <w:left w:val="nil"/>
          <w:bottom w:val="single" w:sz="4" w:space="0" w:color="71CBD5" w:themeColor="accent3"/>
          <w:right w:val="nil"/>
          <w:insideH w:val="nil"/>
          <w:insideV w:val="nil"/>
          <w:tl2br w:val="nil"/>
          <w:tr2bl w:val="nil"/>
        </w:tcBorders>
      </w:tcPr>
    </w:tblStylePr>
    <w:tblStylePr w:type="lastRow">
      <w:rPr>
        <w:b/>
      </w:rPr>
      <w:tblPr/>
      <w:tcPr>
        <w:tcBorders>
          <w:top w:val="single" w:sz="4" w:space="0" w:color="71CBD5" w:themeColor="accent3"/>
          <w:left w:val="nil"/>
          <w:bottom w:val="single" w:sz="4" w:space="0" w:color="71CBD5" w:themeColor="accent3"/>
          <w:right w:val="nil"/>
          <w:insideH w:val="nil"/>
          <w:insideV w:val="nil"/>
          <w:tl2br w:val="nil"/>
          <w:tr2bl w:val="nil"/>
        </w:tcBorders>
      </w:tcPr>
    </w:tblStylePr>
    <w:tblStylePr w:type="firstCol">
      <w:pPr>
        <w:jc w:val="left"/>
      </w:pPr>
    </w:tblStylePr>
  </w:style>
  <w:style w:type="paragraph" w:styleId="TOCHeading">
    <w:name w:val="TOC Heading"/>
    <w:next w:val="Normal"/>
    <w:uiPriority w:val="39"/>
    <w:unhideWhenUsed/>
    <w:rsid w:val="00C414E1"/>
    <w:pPr>
      <w:spacing w:before="240" w:after="240" w:line="500" w:lineRule="atLeast"/>
      <w:outlineLvl w:val="0"/>
    </w:pPr>
    <w:rPr>
      <w:rFonts w:ascii="Open Sans Extrabold" w:hAnsi="Open Sans Extrabold"/>
      <w:color w:val="1C4373" w:themeColor="background2" w:themeShade="BF"/>
      <w:sz w:val="42"/>
      <w:szCs w:val="20"/>
    </w:rPr>
  </w:style>
  <w:style w:type="paragraph" w:styleId="FootnoteText">
    <w:name w:val="footnote text"/>
    <w:basedOn w:val="Normal"/>
    <w:link w:val="FootnoteTextChar"/>
    <w:uiPriority w:val="99"/>
    <w:rsid w:val="00C414E1"/>
    <w:pPr>
      <w:spacing w:before="60" w:after="60" w:line="293" w:lineRule="auto"/>
      <w:contextualSpacing/>
    </w:pPr>
    <w:rPr>
      <w:sz w:val="18"/>
    </w:rPr>
  </w:style>
  <w:style w:type="paragraph" w:styleId="TOC1">
    <w:name w:val="toc 1"/>
    <w:basedOn w:val="Normal"/>
    <w:next w:val="BodyText"/>
    <w:autoRedefine/>
    <w:uiPriority w:val="39"/>
    <w:unhideWhenUsed/>
    <w:rsid w:val="00C414E1"/>
    <w:pPr>
      <w:tabs>
        <w:tab w:val="left" w:pos="567"/>
        <w:tab w:val="right" w:pos="7938"/>
      </w:tabs>
      <w:spacing w:after="100" w:line="293" w:lineRule="auto"/>
      <w:ind w:left="567" w:right="1701" w:hanging="567"/>
    </w:pPr>
    <w:rPr>
      <w:rFonts w:ascii="Open Sans Extrabold" w:hAnsi="Open Sans Extrabold"/>
      <w:color w:val="1C4373" w:themeColor="background2" w:themeShade="BF"/>
    </w:rPr>
  </w:style>
  <w:style w:type="character" w:customStyle="1" w:styleId="FootnoteTextChar">
    <w:name w:val="Footnote Text Char"/>
    <w:basedOn w:val="DefaultParagraphFont"/>
    <w:link w:val="FootnoteText"/>
    <w:uiPriority w:val="99"/>
    <w:rsid w:val="00C414E1"/>
    <w:rPr>
      <w:rFonts w:ascii="Open Sans" w:hAnsi="Open Sans"/>
      <w:sz w:val="18"/>
      <w:szCs w:val="20"/>
    </w:rPr>
  </w:style>
  <w:style w:type="character" w:styleId="FootnoteReference">
    <w:name w:val="footnote reference"/>
    <w:basedOn w:val="DefaultParagraphFont"/>
    <w:uiPriority w:val="99"/>
    <w:semiHidden/>
    <w:unhideWhenUsed/>
    <w:rsid w:val="00C414E1"/>
    <w:rPr>
      <w:vertAlign w:val="superscript"/>
    </w:rPr>
  </w:style>
  <w:style w:type="character" w:styleId="Hyperlink">
    <w:name w:val="Hyperlink"/>
    <w:basedOn w:val="DefaultParagraphFont"/>
    <w:uiPriority w:val="99"/>
    <w:unhideWhenUsed/>
    <w:rsid w:val="00C414E1"/>
    <w:rPr>
      <w:color w:val="000000" w:themeColor="hyperlink"/>
      <w:u w:val="single"/>
    </w:rPr>
  </w:style>
  <w:style w:type="character" w:styleId="HTMLVariable">
    <w:name w:val="HTML Variable"/>
    <w:basedOn w:val="DefaultParagraphFont"/>
    <w:uiPriority w:val="99"/>
    <w:unhideWhenUsed/>
    <w:rsid w:val="00C414E1"/>
    <w:rPr>
      <w:i/>
      <w:iCs/>
    </w:rPr>
  </w:style>
  <w:style w:type="paragraph" w:styleId="TOC2">
    <w:name w:val="toc 2"/>
    <w:basedOn w:val="Normal"/>
    <w:next w:val="Normal"/>
    <w:autoRedefine/>
    <w:uiPriority w:val="39"/>
    <w:unhideWhenUsed/>
    <w:rsid w:val="00C414E1"/>
    <w:pPr>
      <w:tabs>
        <w:tab w:val="left" w:pos="567"/>
        <w:tab w:val="left" w:pos="1134"/>
        <w:tab w:val="right" w:pos="7938"/>
      </w:tabs>
      <w:spacing w:after="100" w:line="293" w:lineRule="auto"/>
      <w:ind w:left="567" w:right="1701"/>
    </w:pPr>
    <w:rPr>
      <w:noProof/>
    </w:rPr>
  </w:style>
  <w:style w:type="paragraph" w:styleId="TOC3">
    <w:name w:val="toc 3"/>
    <w:basedOn w:val="Normal"/>
    <w:next w:val="Normal"/>
    <w:autoRedefine/>
    <w:uiPriority w:val="39"/>
    <w:unhideWhenUsed/>
    <w:rsid w:val="00C414E1"/>
    <w:pPr>
      <w:tabs>
        <w:tab w:val="right" w:pos="7938"/>
      </w:tabs>
      <w:spacing w:after="100" w:line="293" w:lineRule="auto"/>
      <w:ind w:right="1701"/>
    </w:pPr>
    <w:rPr>
      <w:rFonts w:asciiTheme="majorHAnsi" w:hAnsiTheme="majorHAnsi"/>
      <w:color w:val="1C4373" w:themeColor="background2" w:themeShade="BF"/>
    </w:rPr>
  </w:style>
  <w:style w:type="paragraph" w:customStyle="1" w:styleId="Subtitle2">
    <w:name w:val="Subtitle 2"/>
    <w:basedOn w:val="Normal"/>
    <w:link w:val="Subtitle2Char"/>
    <w:uiPriority w:val="39"/>
    <w:rsid w:val="00C414E1"/>
    <w:pPr>
      <w:spacing w:before="0" w:after="160" w:line="259" w:lineRule="auto"/>
    </w:pPr>
    <w:rPr>
      <w:color w:val="1C4373" w:themeColor="background2" w:themeShade="BF"/>
      <w:sz w:val="28"/>
      <w:szCs w:val="36"/>
    </w:rPr>
  </w:style>
  <w:style w:type="paragraph" w:customStyle="1" w:styleId="Copyrightpage-Heading2">
    <w:name w:val="Copyright page-Heading 2"/>
    <w:basedOn w:val="NoSpacing"/>
    <w:link w:val="Copyrightpage-Heading2Char"/>
    <w:uiPriority w:val="19"/>
    <w:rsid w:val="00C414E1"/>
    <w:pPr>
      <w:spacing w:before="240" w:after="60"/>
    </w:pPr>
    <w:rPr>
      <w:b/>
      <w:color w:val="FFFFFF" w:themeColor="background1"/>
      <w:sz w:val="16"/>
      <w:szCs w:val="16"/>
    </w:rPr>
  </w:style>
  <w:style w:type="character" w:customStyle="1" w:styleId="Subtitle2Char">
    <w:name w:val="Subtitle 2 Char"/>
    <w:basedOn w:val="DefaultParagraphFont"/>
    <w:link w:val="Subtitle2"/>
    <w:uiPriority w:val="39"/>
    <w:rsid w:val="00C414E1"/>
    <w:rPr>
      <w:rFonts w:ascii="Open Sans" w:hAnsi="Open Sans"/>
      <w:color w:val="1C4373" w:themeColor="background2" w:themeShade="BF"/>
      <w:sz w:val="28"/>
      <w:szCs w:val="36"/>
    </w:rPr>
  </w:style>
  <w:style w:type="paragraph" w:customStyle="1" w:styleId="Copyrightpage-BodyText">
    <w:name w:val="Copyright page-Body Text"/>
    <w:basedOn w:val="Normal"/>
    <w:link w:val="Copyrightpage-BodyTextChar"/>
    <w:uiPriority w:val="19"/>
    <w:rsid w:val="00C414E1"/>
    <w:pPr>
      <w:spacing w:before="80" w:line="250" w:lineRule="atLeast"/>
    </w:pPr>
    <w:rPr>
      <w:color w:val="000000" w:themeColor="text1"/>
      <w:sz w:val="16"/>
    </w:rPr>
  </w:style>
  <w:style w:type="character" w:customStyle="1" w:styleId="NoSpacingChar">
    <w:name w:val="No Spacing Char"/>
    <w:basedOn w:val="DefaultParagraphFont"/>
    <w:link w:val="NoSpacing"/>
    <w:uiPriority w:val="10"/>
    <w:rsid w:val="00C414E1"/>
    <w:rPr>
      <w:rFonts w:ascii="Open Sans" w:hAnsi="Open Sans"/>
      <w:sz w:val="20"/>
      <w:szCs w:val="20"/>
    </w:rPr>
  </w:style>
  <w:style w:type="character" w:customStyle="1" w:styleId="Copyrightpage-Heading2Char">
    <w:name w:val="Copyright page-Heading 2 Char"/>
    <w:basedOn w:val="NoSpacingChar"/>
    <w:link w:val="Copyrightpage-Heading2"/>
    <w:uiPriority w:val="19"/>
    <w:rsid w:val="00C414E1"/>
    <w:rPr>
      <w:rFonts w:ascii="Open Sans" w:hAnsi="Open Sans"/>
      <w:b/>
      <w:color w:val="FFFFFF" w:themeColor="background1"/>
      <w:sz w:val="16"/>
      <w:szCs w:val="16"/>
    </w:rPr>
  </w:style>
  <w:style w:type="paragraph" w:customStyle="1" w:styleId="Copyrightpage-Heading">
    <w:name w:val="Copyright page-Heading"/>
    <w:basedOn w:val="Subtitle2"/>
    <w:link w:val="Copyrightpage-HeadingChar"/>
    <w:uiPriority w:val="19"/>
    <w:rsid w:val="00C414E1"/>
    <w:pPr>
      <w:spacing w:line="240" w:lineRule="auto"/>
    </w:pPr>
    <w:rPr>
      <w:rFonts w:ascii="Open Sans Semibold" w:hAnsi="Open Sans Semibold"/>
      <w:spacing w:val="4"/>
      <w:sz w:val="19"/>
      <w:szCs w:val="18"/>
    </w:rPr>
  </w:style>
  <w:style w:type="character" w:customStyle="1" w:styleId="Copyrightpage-BodyTextChar">
    <w:name w:val="Copyright page-Body Text Char"/>
    <w:basedOn w:val="DefaultParagraphFont"/>
    <w:link w:val="Copyrightpage-BodyText"/>
    <w:uiPriority w:val="19"/>
    <w:rsid w:val="00C414E1"/>
    <w:rPr>
      <w:rFonts w:ascii="Open Sans" w:hAnsi="Open Sans"/>
      <w:color w:val="000000" w:themeColor="text1"/>
      <w:sz w:val="16"/>
      <w:szCs w:val="20"/>
    </w:rPr>
  </w:style>
  <w:style w:type="paragraph" w:customStyle="1" w:styleId="Subtitle4">
    <w:name w:val="Subtitle 4"/>
    <w:basedOn w:val="Copyrightpage-Heading"/>
    <w:link w:val="Subtitle4Char"/>
    <w:uiPriority w:val="39"/>
    <w:rsid w:val="00F83C5C"/>
    <w:pPr>
      <w:spacing w:after="40"/>
    </w:pPr>
    <w:rPr>
      <w:b/>
      <w:sz w:val="16"/>
    </w:rPr>
  </w:style>
  <w:style w:type="character" w:customStyle="1" w:styleId="Copyrightpage-HeadingChar">
    <w:name w:val="Copyright page-Heading Char"/>
    <w:basedOn w:val="Subtitle2Char"/>
    <w:link w:val="Copyrightpage-Heading"/>
    <w:uiPriority w:val="19"/>
    <w:rsid w:val="00C414E1"/>
    <w:rPr>
      <w:rFonts w:ascii="Open Sans Semibold" w:hAnsi="Open Sans Semibold"/>
      <w:color w:val="1C4373" w:themeColor="background2" w:themeShade="BF"/>
      <w:spacing w:val="4"/>
      <w:sz w:val="19"/>
      <w:szCs w:val="18"/>
    </w:rPr>
  </w:style>
  <w:style w:type="paragraph" w:customStyle="1" w:styleId="Heading1-noTOC">
    <w:name w:val="Heading 1-no TOC"/>
    <w:next w:val="BodyText"/>
    <w:uiPriority w:val="9"/>
    <w:qFormat/>
    <w:rsid w:val="00C414E1"/>
    <w:pPr>
      <w:spacing w:before="600" w:after="480" w:line="504" w:lineRule="atLeast"/>
    </w:pPr>
    <w:rPr>
      <w:rFonts w:ascii="Open Sans Extrabold" w:eastAsiaTheme="majorEastAsia" w:hAnsi="Open Sans Extrabold" w:cstheme="majorBidi"/>
      <w:b/>
      <w:color w:val="1C4373" w:themeColor="background2" w:themeShade="BF"/>
      <w:sz w:val="42"/>
      <w:szCs w:val="68"/>
    </w:rPr>
  </w:style>
  <w:style w:type="character" w:customStyle="1" w:styleId="Subtitle4Char">
    <w:name w:val="Subtitle 4 Char"/>
    <w:basedOn w:val="Copyrightpage-HeadingChar"/>
    <w:link w:val="Subtitle4"/>
    <w:uiPriority w:val="39"/>
    <w:rsid w:val="00F83C5C"/>
    <w:rPr>
      <w:rFonts w:asciiTheme="majorHAnsi" w:hAnsiTheme="majorHAnsi"/>
      <w:b/>
      <w:color w:val="FFFFFF" w:themeColor="background1"/>
      <w:spacing w:val="4"/>
      <w:sz w:val="16"/>
      <w:szCs w:val="18"/>
    </w:rPr>
  </w:style>
  <w:style w:type="paragraph" w:customStyle="1" w:styleId="Heading2-noTOC">
    <w:name w:val="Heading 2-no TOC"/>
    <w:next w:val="BodyText"/>
    <w:uiPriority w:val="9"/>
    <w:unhideWhenUsed/>
    <w:qFormat/>
    <w:rsid w:val="00C414E1"/>
    <w:pPr>
      <w:spacing w:before="240" w:after="120" w:line="360" w:lineRule="atLeast"/>
    </w:pPr>
    <w:rPr>
      <w:rFonts w:ascii="Open Sans Extrabold" w:eastAsiaTheme="majorEastAsia" w:hAnsi="Open Sans Extrabold" w:cstheme="majorBidi"/>
      <w:color w:val="1C4373" w:themeColor="background2" w:themeShade="BF"/>
      <w:sz w:val="30"/>
      <w:szCs w:val="60"/>
    </w:rPr>
  </w:style>
  <w:style w:type="paragraph" w:styleId="TOC4">
    <w:name w:val="toc 4"/>
    <w:basedOn w:val="Normal"/>
    <w:next w:val="Normal"/>
    <w:autoRedefine/>
    <w:uiPriority w:val="39"/>
    <w:unhideWhenUsed/>
    <w:rsid w:val="00C414E1"/>
    <w:pPr>
      <w:tabs>
        <w:tab w:val="right" w:pos="7938"/>
        <w:tab w:val="right" w:pos="9628"/>
      </w:tabs>
      <w:spacing w:after="100" w:line="293" w:lineRule="auto"/>
      <w:ind w:left="567" w:right="1701"/>
    </w:pPr>
  </w:style>
  <w:style w:type="paragraph" w:customStyle="1" w:styleId="LetterRight">
    <w:name w:val="Letter Right"/>
    <w:basedOn w:val="Normal"/>
    <w:link w:val="LetterRightChar"/>
    <w:uiPriority w:val="99"/>
    <w:rsid w:val="00C414E1"/>
    <w:pPr>
      <w:spacing w:line="360" w:lineRule="auto"/>
      <w:jc w:val="right"/>
    </w:pPr>
    <w:rPr>
      <w:sz w:val="16"/>
    </w:rPr>
  </w:style>
  <w:style w:type="paragraph" w:customStyle="1" w:styleId="Letterlogo">
    <w:name w:val="Letter logo"/>
    <w:basedOn w:val="LetterRight"/>
    <w:uiPriority w:val="99"/>
    <w:rsid w:val="00C414E1"/>
    <w:pPr>
      <w:spacing w:after="320"/>
    </w:pPr>
  </w:style>
  <w:style w:type="character" w:customStyle="1" w:styleId="LetterRightChar">
    <w:name w:val="Letter Right Char"/>
    <w:basedOn w:val="DefaultParagraphFont"/>
    <w:link w:val="LetterRight"/>
    <w:uiPriority w:val="99"/>
    <w:rsid w:val="00C414E1"/>
    <w:rPr>
      <w:rFonts w:ascii="Open Sans" w:hAnsi="Open Sans"/>
      <w:sz w:val="16"/>
      <w:szCs w:val="20"/>
    </w:rPr>
  </w:style>
  <w:style w:type="character" w:styleId="UnresolvedMention">
    <w:name w:val="Unresolved Mention"/>
    <w:basedOn w:val="DefaultParagraphFont"/>
    <w:uiPriority w:val="99"/>
    <w:semiHidden/>
    <w:unhideWhenUsed/>
    <w:rsid w:val="00C414E1"/>
    <w:rPr>
      <w:color w:val="605E5C"/>
      <w:shd w:val="clear" w:color="auto" w:fill="E1DFDD"/>
    </w:rPr>
  </w:style>
  <w:style w:type="paragraph" w:customStyle="1" w:styleId="LetterRight-NoSpace">
    <w:name w:val="Letter Right-No Space"/>
    <w:basedOn w:val="LetterRight"/>
    <w:uiPriority w:val="99"/>
    <w:rsid w:val="00C414E1"/>
    <w:pPr>
      <w:spacing w:after="0"/>
    </w:pPr>
  </w:style>
  <w:style w:type="table" w:customStyle="1" w:styleId="Blank">
    <w:name w:val="Blank"/>
    <w:basedOn w:val="TableNormal"/>
    <w:uiPriority w:val="99"/>
    <w:rsid w:val="00C414E1"/>
    <w:pPr>
      <w:spacing w:after="0" w:line="240" w:lineRule="auto"/>
    </w:pPr>
    <w:tblPr>
      <w:tblCellMar>
        <w:top w:w="57" w:type="dxa"/>
        <w:left w:w="0" w:type="dxa"/>
        <w:bottom w:w="57" w:type="dxa"/>
        <w:right w:w="0" w:type="dxa"/>
      </w:tblCellMar>
    </w:tblPr>
  </w:style>
  <w:style w:type="paragraph" w:styleId="ListBullet5">
    <w:name w:val="List Bullet 5"/>
    <w:basedOn w:val="Normal"/>
    <w:uiPriority w:val="13"/>
    <w:semiHidden/>
    <w:rsid w:val="00C414E1"/>
    <w:pPr>
      <w:numPr>
        <w:numId w:val="11"/>
      </w:numPr>
      <w:contextualSpacing/>
    </w:pPr>
  </w:style>
  <w:style w:type="paragraph" w:customStyle="1" w:styleId="Coverdate">
    <w:name w:val="Cover date"/>
    <w:basedOn w:val="Normal"/>
    <w:uiPriority w:val="29"/>
    <w:rsid w:val="00C414E1"/>
    <w:pPr>
      <w:framePr w:wrap="around" w:vAnchor="page" w:hAnchor="margin" w:xAlign="right" w:y="1135" w:anchorLock="1"/>
      <w:spacing w:before="0" w:after="0"/>
      <w:jc w:val="right"/>
    </w:pPr>
    <w:rPr>
      <w:rFonts w:ascii="Open Sans Semibold" w:hAnsi="Open Sans Semibold"/>
      <w:sz w:val="18"/>
    </w:rPr>
  </w:style>
  <w:style w:type="table" w:customStyle="1" w:styleId="ProductivityCommissionTable2">
    <w:name w:val="Productivity Commission Table 2"/>
    <w:basedOn w:val="ProductivityCommissionTable1"/>
    <w:uiPriority w:val="99"/>
    <w:rsid w:val="00C414E1"/>
    <w:tblPr>
      <w:tblBorders>
        <w:top w:val="single" w:sz="4" w:space="0" w:color="B3B3B3"/>
        <w:bottom w:val="none" w:sz="0" w:space="0" w:color="auto"/>
        <w:insideH w:val="none" w:sz="0" w:space="0" w:color="auto"/>
      </w:tblBorders>
      <w:tblCellMar>
        <w:top w:w="57" w:type="dxa"/>
        <w:left w:w="57" w:type="dxa"/>
        <w:bottom w:w="57" w:type="dxa"/>
        <w:right w:w="85" w:type="dxa"/>
      </w:tblCellMar>
    </w:tblPr>
    <w:tblStylePr w:type="firstRow">
      <w:rPr>
        <w:b/>
        <w:color w:val="265A9A" w:themeColor="background2"/>
      </w:rPr>
    </w:tblStylePr>
    <w:tblStylePr w:type="firstCol">
      <w:rPr>
        <w:b/>
        <w:color w:val="265A9A" w:themeColor="background2"/>
      </w:rPr>
    </w:tblStylePr>
    <w:tblStylePr w:type="band1Horz">
      <w:tblPr/>
      <w:tcPr>
        <w:shd w:val="clear" w:color="auto" w:fill="F1F1F2"/>
      </w:tcPr>
    </w:tblStylePr>
  </w:style>
  <w:style w:type="character" w:customStyle="1" w:styleId="White">
    <w:name w:val="White"/>
    <w:basedOn w:val="DefaultParagraphFont"/>
    <w:uiPriority w:val="10"/>
    <w:rsid w:val="00C414E1"/>
    <w:rPr>
      <w:color w:val="FFFFFF" w:themeColor="background1"/>
    </w:rPr>
  </w:style>
  <w:style w:type="paragraph" w:customStyle="1" w:styleId="Copyrightpage-Keylinenotext">
    <w:name w:val="Copyright page-Keyline (no text)"/>
    <w:basedOn w:val="Copyrightpage-Heading2"/>
    <w:uiPriority w:val="19"/>
    <w:rsid w:val="00C414E1"/>
    <w:pPr>
      <w:pBdr>
        <w:top w:val="single" w:sz="4" w:space="8" w:color="2B9AC2" w:themeColor="text2"/>
      </w:pBdr>
      <w:spacing w:after="0" w:line="168" w:lineRule="auto"/>
    </w:pPr>
    <w:rPr>
      <w:b w:val="0"/>
      <w:color w:val="265A9A" w:themeColor="background2"/>
    </w:rPr>
  </w:style>
  <w:style w:type="table" w:customStyle="1" w:styleId="ProductivityCommissionTable4">
    <w:name w:val="Productivity Commission Table 4"/>
    <w:basedOn w:val="ProductivityCommissionTable3"/>
    <w:uiPriority w:val="99"/>
    <w:rsid w:val="00C414E1"/>
    <w:pPr>
      <w:jc w:val="left"/>
    </w:pPr>
    <w:tblPr/>
    <w:tblStylePr w:type="firstRow">
      <w:rPr>
        <w:b/>
        <w:color w:val="265A9A" w:themeColor="background2"/>
      </w:rPr>
      <w:tblPr/>
      <w:tcPr>
        <w:tcBorders>
          <w:top w:val="nil"/>
          <w:left w:val="nil"/>
          <w:bottom w:val="single" w:sz="4" w:space="0" w:color="B3B3B3"/>
          <w:right w:val="nil"/>
          <w:insideH w:val="nil"/>
          <w:insideV w:val="nil"/>
          <w:tl2br w:val="nil"/>
          <w:tr2bl w:val="nil"/>
        </w:tcBorders>
      </w:tcPr>
    </w:tblStylePr>
    <w:tblStylePr w:type="lastRow">
      <w:rPr>
        <w:b/>
      </w:rPr>
      <w:tblPr/>
      <w:tcPr>
        <w:tcBorders>
          <w:top w:val="single" w:sz="4" w:space="0" w:color="B3B3B3"/>
          <w:left w:val="nil"/>
          <w:bottom w:val="single" w:sz="4" w:space="0" w:color="B3B3B3"/>
          <w:right w:val="nil"/>
          <w:insideH w:val="nil"/>
          <w:insideV w:val="nil"/>
          <w:tl2br w:val="nil"/>
          <w:tr2bl w:val="nil"/>
        </w:tcBorders>
      </w:tcPr>
    </w:tblStylePr>
    <w:tblStylePr w:type="firstCol">
      <w:pPr>
        <w:jc w:val="left"/>
      </w:pPr>
    </w:tblStylePr>
    <w:tblStylePr w:type="lastCol">
      <w:pPr>
        <w:jc w:val="right"/>
      </w:pPr>
    </w:tblStylePr>
  </w:style>
  <w:style w:type="paragraph" w:customStyle="1" w:styleId="TableHeading-Subheading">
    <w:name w:val="Table Heading - Subheading"/>
    <w:basedOn w:val="NoSpacing"/>
    <w:uiPriority w:val="40"/>
    <w:rsid w:val="00C414E1"/>
    <w:pPr>
      <w:spacing w:before="46" w:after="46"/>
      <w:ind w:left="57" w:right="108"/>
    </w:pPr>
    <w:rPr>
      <w:b/>
      <w:sz w:val="18"/>
    </w:rPr>
  </w:style>
  <w:style w:type="paragraph" w:customStyle="1" w:styleId="CoverImage">
    <w:name w:val="Cover Image"/>
    <w:basedOn w:val="Normal"/>
    <w:uiPriority w:val="29"/>
    <w:rsid w:val="00C414E1"/>
    <w:pPr>
      <w:framePr w:w="11913" w:h="4536" w:hRule="exact" w:wrap="around" w:vAnchor="page" w:hAnchor="page" w:y="2269" w:anchorLock="1"/>
      <w:spacing w:before="0" w:after="0" w:line="240" w:lineRule="auto"/>
    </w:pPr>
  </w:style>
  <w:style w:type="table" w:customStyle="1" w:styleId="NoBorderwithPadding">
    <w:name w:val="No Border with Padding"/>
    <w:basedOn w:val="TableNormal"/>
    <w:uiPriority w:val="99"/>
    <w:rsid w:val="00C414E1"/>
    <w:pPr>
      <w:spacing w:after="0" w:line="240" w:lineRule="auto"/>
    </w:pPr>
    <w:tblPr>
      <w:tblCellMar>
        <w:top w:w="284" w:type="dxa"/>
        <w:left w:w="284" w:type="dxa"/>
        <w:bottom w:w="284" w:type="dxa"/>
        <w:right w:w="284" w:type="dxa"/>
      </w:tblCellMar>
    </w:tblPr>
  </w:style>
  <w:style w:type="table" w:customStyle="1" w:styleId="OverviewPageBannerTableStyle">
    <w:name w:val="Overview/Page Banner Table Style"/>
    <w:basedOn w:val="TableNormal"/>
    <w:uiPriority w:val="99"/>
    <w:rsid w:val="00C414E1"/>
    <w:pPr>
      <w:spacing w:after="0" w:line="240" w:lineRule="auto"/>
    </w:pPr>
    <w:tblPr>
      <w:tblCellMar>
        <w:top w:w="567" w:type="dxa"/>
        <w:left w:w="567" w:type="dxa"/>
        <w:bottom w:w="680" w:type="dxa"/>
        <w:right w:w="1134" w:type="dxa"/>
      </w:tblCellMar>
    </w:tblPr>
    <w:tcPr>
      <w:shd w:val="clear" w:color="auto" w:fill="265A9A" w:themeFill="background2"/>
      <w:vAlign w:val="bottom"/>
    </w:tcPr>
  </w:style>
  <w:style w:type="paragraph" w:styleId="Quote">
    <w:name w:val="Quote"/>
    <w:basedOn w:val="BodyText"/>
    <w:next w:val="BodyText"/>
    <w:link w:val="QuoteChar"/>
    <w:uiPriority w:val="1"/>
    <w:qFormat/>
    <w:rsid w:val="00C414E1"/>
    <w:pPr>
      <w:spacing w:before="60"/>
      <w:ind w:left="113" w:right="851"/>
    </w:pPr>
    <w:rPr>
      <w:color w:val="58585B"/>
    </w:rPr>
  </w:style>
  <w:style w:type="numbering" w:customStyle="1" w:styleId="TOCList">
    <w:name w:val="TOC List"/>
    <w:uiPriority w:val="99"/>
    <w:rsid w:val="00C414E1"/>
    <w:pPr>
      <w:numPr>
        <w:numId w:val="17"/>
      </w:numPr>
    </w:pPr>
  </w:style>
  <w:style w:type="paragraph" w:customStyle="1" w:styleId="Heading1-Section-fullpage">
    <w:name w:val="Heading 1-Section-full page"/>
    <w:basedOn w:val="Heading1-nobackground"/>
    <w:uiPriority w:val="9"/>
    <w:qFormat/>
    <w:rsid w:val="00C414E1"/>
    <w:pPr>
      <w:framePr w:w="9639" w:h="13041" w:hRule="exact" w:wrap="around" w:vAnchor="text" w:hAnchor="text" w:y="1" w:anchorLock="1"/>
      <w:pBdr>
        <w:top w:val="single" w:sz="4" w:space="31" w:color="E7F6FD"/>
        <w:left w:val="single" w:sz="4" w:space="26" w:color="E7F6FD"/>
        <w:bottom w:val="single" w:sz="4" w:space="26" w:color="E7F6FD"/>
        <w:right w:val="single" w:sz="4" w:space="26" w:color="E7F6FD"/>
      </w:pBdr>
      <w:shd w:val="clear" w:color="auto" w:fill="E7F6FD"/>
      <w:spacing w:before="0"/>
      <w:ind w:left="567" w:right="567"/>
    </w:pPr>
  </w:style>
  <w:style w:type="table" w:customStyle="1" w:styleId="Texttable-Paleblue">
    <w:name w:val="Text table-Pale blue"/>
    <w:basedOn w:val="TableNormal"/>
    <w:uiPriority w:val="99"/>
    <w:rsid w:val="00C414E1"/>
    <w:pPr>
      <w:spacing w:after="0" w:line="240" w:lineRule="auto"/>
    </w:pPr>
    <w:tblPr>
      <w:tblCellMar>
        <w:top w:w="113" w:type="dxa"/>
        <w:left w:w="113" w:type="dxa"/>
        <w:bottom w:w="113" w:type="dxa"/>
        <w:right w:w="113" w:type="dxa"/>
      </w:tblCellMar>
    </w:tblPr>
    <w:tcPr>
      <w:shd w:val="clear" w:color="auto" w:fill="EFF9FE"/>
    </w:tcPr>
  </w:style>
  <w:style w:type="paragraph" w:customStyle="1" w:styleId="FigureTableHeading">
    <w:name w:val="Figure/Table Heading"/>
    <w:basedOn w:val="Caption"/>
    <w:uiPriority w:val="4"/>
    <w:qFormat/>
    <w:rsid w:val="00C414E1"/>
    <w:pPr>
      <w:keepNext/>
      <w:spacing w:before="240"/>
    </w:pPr>
  </w:style>
  <w:style w:type="paragraph" w:customStyle="1" w:styleId="Source">
    <w:name w:val="Source"/>
    <w:basedOn w:val="Normal"/>
    <w:uiPriority w:val="9"/>
    <w:qFormat/>
    <w:rsid w:val="00C414E1"/>
    <w:pPr>
      <w:spacing w:before="80" w:after="240" w:line="216" w:lineRule="atLeast"/>
    </w:pPr>
    <w:rPr>
      <w:sz w:val="18"/>
    </w:rPr>
  </w:style>
  <w:style w:type="paragraph" w:customStyle="1" w:styleId="Note">
    <w:name w:val="Note"/>
    <w:basedOn w:val="Source"/>
    <w:uiPriority w:val="9"/>
    <w:qFormat/>
    <w:rsid w:val="00C414E1"/>
    <w:pPr>
      <w:spacing w:after="20"/>
    </w:pPr>
  </w:style>
  <w:style w:type="numbering" w:customStyle="1" w:styleId="Figure">
    <w:name w:val="Figure"/>
    <w:uiPriority w:val="99"/>
    <w:rsid w:val="00C414E1"/>
    <w:pPr>
      <w:numPr>
        <w:numId w:val="6"/>
      </w:numPr>
    </w:pPr>
  </w:style>
  <w:style w:type="table" w:customStyle="1" w:styleId="Boxtable">
    <w:name w:val="Box table"/>
    <w:basedOn w:val="Texttable-Paleblue"/>
    <w:uiPriority w:val="99"/>
    <w:rsid w:val="00C414E1"/>
    <w:tblPr>
      <w:tblCellMar>
        <w:top w:w="170" w:type="dxa"/>
        <w:left w:w="170" w:type="dxa"/>
        <w:bottom w:w="170" w:type="dxa"/>
        <w:right w:w="170" w:type="dxa"/>
      </w:tblCellMar>
    </w:tblPr>
    <w:tcPr>
      <w:shd w:val="clear" w:color="auto" w:fill="F4F5F6"/>
    </w:tcPr>
  </w:style>
  <w:style w:type="numbering" w:customStyle="1" w:styleId="BoxList">
    <w:name w:val="Box List"/>
    <w:uiPriority w:val="99"/>
    <w:rsid w:val="00C414E1"/>
    <w:pPr>
      <w:numPr>
        <w:numId w:val="4"/>
      </w:numPr>
    </w:pPr>
  </w:style>
  <w:style w:type="paragraph" w:customStyle="1" w:styleId="BoxHeading2">
    <w:name w:val="Box Heading 2"/>
    <w:basedOn w:val="Normal"/>
    <w:next w:val="BodyText"/>
    <w:uiPriority w:val="4"/>
    <w:qFormat/>
    <w:rsid w:val="00C414E1"/>
    <w:rPr>
      <w:b/>
    </w:rPr>
  </w:style>
  <w:style w:type="table" w:customStyle="1" w:styleId="ProductivityCommissionTable2-Dark">
    <w:name w:val="Productivity Commission Table 2 - Dark"/>
    <w:basedOn w:val="ProductivityCommissionTable2"/>
    <w:uiPriority w:val="99"/>
    <w:rsid w:val="00C414E1"/>
    <w:tblPr>
      <w:tblBorders>
        <w:top w:val="none" w:sz="0" w:space="0" w:color="auto"/>
        <w:bottom w:val="single" w:sz="4" w:space="0" w:color="B3B3B3"/>
        <w:insideH w:val="single" w:sz="4" w:space="0" w:color="B3B3B3"/>
      </w:tblBorders>
    </w:tblPr>
    <w:tblStylePr w:type="firstRow">
      <w:rPr>
        <w:b/>
        <w:color w:val="265A9A" w:themeColor="background2"/>
      </w:rPr>
    </w:tblStylePr>
    <w:tblStylePr w:type="firstCol">
      <w:rPr>
        <w:b/>
        <w:color w:val="265A9A" w:themeColor="background2"/>
      </w:rPr>
    </w:tblStylePr>
    <w:tblStylePr w:type="band1Horz">
      <w:tblPr/>
      <w:tcPr>
        <w:shd w:val="clear" w:color="auto" w:fill="DCDDDE"/>
      </w:tcPr>
    </w:tblStylePr>
  </w:style>
  <w:style w:type="paragraph" w:customStyle="1" w:styleId="BoxHeading3">
    <w:name w:val="Box Heading 3"/>
    <w:basedOn w:val="BoxHeading2"/>
    <w:uiPriority w:val="4"/>
    <w:qFormat/>
    <w:rsid w:val="00C414E1"/>
    <w:rPr>
      <w:i/>
    </w:rPr>
  </w:style>
  <w:style w:type="paragraph" w:customStyle="1" w:styleId="TableHeading">
    <w:name w:val="Table Heading"/>
    <w:basedOn w:val="NoSpacing"/>
    <w:link w:val="TableHeadingChar"/>
    <w:uiPriority w:val="4"/>
    <w:qFormat/>
    <w:rsid w:val="00C414E1"/>
    <w:pPr>
      <w:spacing w:before="46" w:after="46"/>
      <w:ind w:left="57" w:right="108"/>
    </w:pPr>
    <w:rPr>
      <w:b/>
      <w:color w:val="132D4D" w:themeColor="background2" w:themeShade="80"/>
      <w:sz w:val="18"/>
    </w:rPr>
  </w:style>
  <w:style w:type="paragraph" w:customStyle="1" w:styleId="BodyText-Blue">
    <w:name w:val="Body Text-Blue"/>
    <w:basedOn w:val="BodyText"/>
    <w:link w:val="BodyText-BlueChar"/>
    <w:semiHidden/>
    <w:qFormat/>
    <w:rsid w:val="00C414E1"/>
    <w:rPr>
      <w:color w:val="265A9A" w:themeColor="background2"/>
    </w:rPr>
  </w:style>
  <w:style w:type="table" w:customStyle="1" w:styleId="Texttable-Keyline">
    <w:name w:val="Text table-Keyline"/>
    <w:basedOn w:val="Texttable-Paleblue"/>
    <w:uiPriority w:val="99"/>
    <w:rsid w:val="00C414E1"/>
    <w:tblPr>
      <w:tblBorders>
        <w:top w:val="single" w:sz="4" w:space="0" w:color="2B9AC2" w:themeColor="text2"/>
        <w:left w:val="single" w:sz="4" w:space="0" w:color="2B9AC2" w:themeColor="text2"/>
        <w:bottom w:val="single" w:sz="4" w:space="0" w:color="2B9AC2" w:themeColor="text2"/>
        <w:right w:val="single" w:sz="4" w:space="0" w:color="2B9AC2" w:themeColor="text2"/>
      </w:tblBorders>
    </w:tblPr>
    <w:tcPr>
      <w:shd w:val="clear" w:color="auto" w:fill="auto"/>
    </w:tcPr>
  </w:style>
  <w:style w:type="paragraph" w:customStyle="1" w:styleId="Header-KeylineRight">
    <w:name w:val="Header - Keyline Right"/>
    <w:basedOn w:val="Header-Keyline"/>
    <w:uiPriority w:val="99"/>
    <w:rsid w:val="00C414E1"/>
    <w:pPr>
      <w:jc w:val="right"/>
    </w:pPr>
  </w:style>
  <w:style w:type="table" w:customStyle="1" w:styleId="CopyrightPage">
    <w:name w:val="Copyright Page"/>
    <w:basedOn w:val="OverviewPageBannerTableStyle"/>
    <w:uiPriority w:val="99"/>
    <w:rsid w:val="00C414E1"/>
    <w:rPr>
      <w:color w:val="FFFFFF" w:themeColor="background1"/>
    </w:rPr>
    <w:tblPr>
      <w:tblCellMar>
        <w:top w:w="284" w:type="dxa"/>
        <w:left w:w="284" w:type="dxa"/>
        <w:bottom w:w="284" w:type="dxa"/>
        <w:right w:w="3119" w:type="dxa"/>
      </w:tblCellMar>
    </w:tblPr>
  </w:style>
  <w:style w:type="paragraph" w:customStyle="1" w:styleId="Heading3-noTOC">
    <w:name w:val="Heading 3-no TOC"/>
    <w:basedOn w:val="Heading3"/>
    <w:uiPriority w:val="9"/>
    <w:qFormat/>
    <w:rsid w:val="00C414E1"/>
    <w:pPr>
      <w:spacing w:line="312" w:lineRule="atLeast"/>
    </w:pPr>
  </w:style>
  <w:style w:type="paragraph" w:styleId="BodyText">
    <w:name w:val="Body Text"/>
    <w:basedOn w:val="Normal"/>
    <w:link w:val="BodyTextChar"/>
    <w:qFormat/>
    <w:rsid w:val="00C414E1"/>
  </w:style>
  <w:style w:type="character" w:customStyle="1" w:styleId="BodyTextChar">
    <w:name w:val="Body Text Char"/>
    <w:basedOn w:val="DefaultParagraphFont"/>
    <w:link w:val="BodyText"/>
    <w:rsid w:val="00C414E1"/>
    <w:rPr>
      <w:rFonts w:ascii="Open Sans" w:hAnsi="Open Sans"/>
      <w:sz w:val="20"/>
      <w:szCs w:val="20"/>
    </w:rPr>
  </w:style>
  <w:style w:type="paragraph" w:styleId="List4">
    <w:name w:val="List 4"/>
    <w:basedOn w:val="Normal"/>
    <w:uiPriority w:val="99"/>
    <w:semiHidden/>
    <w:rsid w:val="00C414E1"/>
    <w:pPr>
      <w:numPr>
        <w:ilvl w:val="3"/>
        <w:numId w:val="9"/>
      </w:numPr>
      <w:contextualSpacing/>
    </w:pPr>
  </w:style>
  <w:style w:type="paragraph" w:styleId="List3">
    <w:name w:val="List 3"/>
    <w:basedOn w:val="Normal"/>
    <w:uiPriority w:val="99"/>
    <w:semiHidden/>
    <w:rsid w:val="00C414E1"/>
    <w:pPr>
      <w:numPr>
        <w:ilvl w:val="2"/>
        <w:numId w:val="9"/>
      </w:numPr>
      <w:contextualSpacing/>
    </w:pPr>
  </w:style>
  <w:style w:type="paragraph" w:customStyle="1" w:styleId="Heading1-nonumber">
    <w:name w:val="Heading 1-no number"/>
    <w:basedOn w:val="Heading1"/>
    <w:next w:val="BodyText"/>
    <w:uiPriority w:val="9"/>
    <w:qFormat/>
    <w:rsid w:val="00C414E1"/>
    <w:pPr>
      <w:numPr>
        <w:numId w:val="0"/>
      </w:numPr>
      <w:ind w:left="567"/>
    </w:pPr>
  </w:style>
  <w:style w:type="paragraph" w:customStyle="1" w:styleId="ListAlpha1">
    <w:name w:val="List Alpha 1"/>
    <w:basedOn w:val="Normal"/>
    <w:uiPriority w:val="3"/>
    <w:qFormat/>
    <w:rsid w:val="00C414E1"/>
    <w:pPr>
      <w:numPr>
        <w:numId w:val="10"/>
      </w:numPr>
      <w:spacing w:before="60"/>
      <w:contextualSpacing/>
    </w:pPr>
  </w:style>
  <w:style w:type="paragraph" w:customStyle="1" w:styleId="ListAlpha2">
    <w:name w:val="List Alpha 2"/>
    <w:basedOn w:val="ListAlpha1"/>
    <w:uiPriority w:val="3"/>
    <w:qFormat/>
    <w:rsid w:val="00C414E1"/>
    <w:pPr>
      <w:numPr>
        <w:ilvl w:val="1"/>
      </w:numPr>
    </w:pPr>
  </w:style>
  <w:style w:type="paragraph" w:customStyle="1" w:styleId="ListAlpha3">
    <w:name w:val="List Alpha 3"/>
    <w:basedOn w:val="ListAlpha2"/>
    <w:uiPriority w:val="3"/>
    <w:qFormat/>
    <w:rsid w:val="00C414E1"/>
    <w:pPr>
      <w:numPr>
        <w:ilvl w:val="2"/>
      </w:numPr>
    </w:pPr>
  </w:style>
  <w:style w:type="paragraph" w:customStyle="1" w:styleId="ListAlpha4">
    <w:name w:val="List Alpha 4"/>
    <w:basedOn w:val="ListAlpha3"/>
    <w:uiPriority w:val="3"/>
    <w:semiHidden/>
    <w:qFormat/>
    <w:rsid w:val="00C414E1"/>
    <w:pPr>
      <w:numPr>
        <w:ilvl w:val="3"/>
      </w:numPr>
    </w:pPr>
  </w:style>
  <w:style w:type="numbering" w:customStyle="1" w:styleId="Alphalist">
    <w:name w:val="Alpha list"/>
    <w:uiPriority w:val="99"/>
    <w:rsid w:val="00C414E1"/>
    <w:pPr>
      <w:numPr>
        <w:numId w:val="1"/>
      </w:numPr>
    </w:pPr>
  </w:style>
  <w:style w:type="paragraph" w:customStyle="1" w:styleId="KeyPoints-Bold">
    <w:name w:val="Key Points-Bold"/>
    <w:basedOn w:val="Normal"/>
    <w:uiPriority w:val="10"/>
    <w:qFormat/>
    <w:rsid w:val="00C414E1"/>
    <w:pPr>
      <w:spacing w:before="40" w:after="60" w:line="274" w:lineRule="atLeast"/>
    </w:pPr>
    <w:rPr>
      <w:b/>
      <w:sz w:val="18"/>
    </w:rPr>
  </w:style>
  <w:style w:type="paragraph" w:customStyle="1" w:styleId="Copyrightpage-BodyBold">
    <w:name w:val="Copyright page-Body Bold"/>
    <w:basedOn w:val="Copyrightpage-BodyText"/>
    <w:uiPriority w:val="19"/>
    <w:rsid w:val="00C414E1"/>
    <w:rPr>
      <w:b/>
    </w:rPr>
  </w:style>
  <w:style w:type="paragraph" w:customStyle="1" w:styleId="KeyPoints-Bullet">
    <w:name w:val="Key Points-Bullet"/>
    <w:basedOn w:val="ListBullet"/>
    <w:uiPriority w:val="10"/>
    <w:qFormat/>
    <w:rsid w:val="00C414E1"/>
    <w:pPr>
      <w:spacing w:after="60" w:line="274" w:lineRule="atLeast"/>
    </w:pPr>
    <w:rPr>
      <w:sz w:val="18"/>
    </w:rPr>
  </w:style>
  <w:style w:type="paragraph" w:customStyle="1" w:styleId="BodyText-Grey">
    <w:name w:val="Body Text-Grey"/>
    <w:basedOn w:val="BodyText"/>
    <w:link w:val="BodyText-GreyChar"/>
    <w:semiHidden/>
    <w:qFormat/>
    <w:rsid w:val="00C414E1"/>
    <w:rPr>
      <w:color w:val="58585B"/>
    </w:rPr>
  </w:style>
  <w:style w:type="character" w:customStyle="1" w:styleId="BodyText-GreyChar">
    <w:name w:val="Body Text-Grey Char"/>
    <w:basedOn w:val="BodyTextChar"/>
    <w:link w:val="BodyText-Grey"/>
    <w:semiHidden/>
    <w:rsid w:val="00C414E1"/>
    <w:rPr>
      <w:rFonts w:ascii="Open Sans" w:hAnsi="Open Sans"/>
      <w:color w:val="58585B"/>
      <w:sz w:val="20"/>
      <w:szCs w:val="20"/>
    </w:rPr>
  </w:style>
  <w:style w:type="paragraph" w:styleId="BalloonText">
    <w:name w:val="Balloon Text"/>
    <w:basedOn w:val="Normal"/>
    <w:link w:val="BalloonTextChar"/>
    <w:uiPriority w:val="99"/>
    <w:semiHidden/>
    <w:unhideWhenUsed/>
    <w:rsid w:val="00C414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14E1"/>
    <w:rPr>
      <w:rFonts w:ascii="Segoe UI" w:hAnsi="Segoe UI" w:cs="Segoe UI"/>
      <w:sz w:val="18"/>
      <w:szCs w:val="18"/>
    </w:rPr>
  </w:style>
  <w:style w:type="character" w:styleId="CommentReference">
    <w:name w:val="annotation reference"/>
    <w:basedOn w:val="DefaultParagraphFont"/>
    <w:uiPriority w:val="99"/>
    <w:semiHidden/>
    <w:unhideWhenUsed/>
    <w:rsid w:val="00C414E1"/>
    <w:rPr>
      <w:sz w:val="16"/>
      <w:szCs w:val="16"/>
    </w:rPr>
  </w:style>
  <w:style w:type="paragraph" w:styleId="CommentText">
    <w:name w:val="annotation text"/>
    <w:basedOn w:val="Normal"/>
    <w:link w:val="CommentTextChar"/>
    <w:uiPriority w:val="99"/>
    <w:unhideWhenUsed/>
    <w:rsid w:val="00C414E1"/>
    <w:pPr>
      <w:spacing w:line="240" w:lineRule="auto"/>
    </w:pPr>
  </w:style>
  <w:style w:type="character" w:customStyle="1" w:styleId="CommentTextChar">
    <w:name w:val="Comment Text Char"/>
    <w:basedOn w:val="DefaultParagraphFont"/>
    <w:link w:val="CommentText"/>
    <w:uiPriority w:val="99"/>
    <w:rsid w:val="00C414E1"/>
    <w:rPr>
      <w:rFonts w:ascii="Open Sans" w:hAnsi="Open Sans"/>
      <w:sz w:val="20"/>
      <w:szCs w:val="20"/>
    </w:rPr>
  </w:style>
  <w:style w:type="paragraph" w:styleId="CommentSubject">
    <w:name w:val="annotation subject"/>
    <w:basedOn w:val="CommentText"/>
    <w:next w:val="CommentText"/>
    <w:link w:val="CommentSubjectChar"/>
    <w:uiPriority w:val="99"/>
    <w:semiHidden/>
    <w:unhideWhenUsed/>
    <w:rsid w:val="00C414E1"/>
    <w:rPr>
      <w:b/>
      <w:bCs/>
    </w:rPr>
  </w:style>
  <w:style w:type="character" w:customStyle="1" w:styleId="CommentSubjectChar">
    <w:name w:val="Comment Subject Char"/>
    <w:basedOn w:val="CommentTextChar"/>
    <w:link w:val="CommentSubject"/>
    <w:uiPriority w:val="99"/>
    <w:semiHidden/>
    <w:rsid w:val="00C414E1"/>
    <w:rPr>
      <w:rFonts w:ascii="Open Sans" w:hAnsi="Open Sans"/>
      <w:b/>
      <w:bCs/>
      <w:sz w:val="20"/>
      <w:szCs w:val="20"/>
    </w:rPr>
  </w:style>
  <w:style w:type="character" w:customStyle="1" w:styleId="ColourBlue">
    <w:name w:val="Colour Blue"/>
    <w:basedOn w:val="DefaultParagraphFont"/>
    <w:uiPriority w:val="22"/>
    <w:qFormat/>
    <w:rsid w:val="00C414E1"/>
    <w:rPr>
      <w:color w:val="2B9AC2" w:themeColor="text2"/>
    </w:rPr>
  </w:style>
  <w:style w:type="character" w:customStyle="1" w:styleId="ColourDarkBlue">
    <w:name w:val="Colour Dark Blue"/>
    <w:basedOn w:val="ColourBlue"/>
    <w:uiPriority w:val="22"/>
    <w:qFormat/>
    <w:rsid w:val="00C414E1"/>
    <w:rPr>
      <w:color w:val="265A9A" w:themeColor="background2"/>
    </w:rPr>
  </w:style>
  <w:style w:type="paragraph" w:customStyle="1" w:styleId="BodyText-Beforebullet">
    <w:name w:val="Body Text-Before bullet"/>
    <w:basedOn w:val="BodyText"/>
    <w:link w:val="BodyText-BeforebulletChar"/>
    <w:semiHidden/>
    <w:unhideWhenUsed/>
    <w:rsid w:val="00C414E1"/>
    <w:pPr>
      <w:spacing w:after="20"/>
    </w:pPr>
  </w:style>
  <w:style w:type="paragraph" w:customStyle="1" w:styleId="PullQuote">
    <w:name w:val="Pull Quote"/>
    <w:basedOn w:val="BodyText"/>
    <w:next w:val="BodyText"/>
    <w:uiPriority w:val="10"/>
    <w:qFormat/>
    <w:rsid w:val="00C414E1"/>
    <w:pPr>
      <w:spacing w:before="60"/>
      <w:ind w:left="113" w:right="1134"/>
    </w:pPr>
    <w:rPr>
      <w:rFonts w:ascii="Open Sans Extrabold" w:hAnsi="Open Sans Extrabold"/>
      <w:color w:val="207291" w:themeColor="text2" w:themeShade="BF"/>
      <w:sz w:val="24"/>
    </w:rPr>
  </w:style>
  <w:style w:type="character" w:customStyle="1" w:styleId="BodyText-BeforebulletChar">
    <w:name w:val="Body Text-Before bullet Char"/>
    <w:basedOn w:val="BodyTextChar"/>
    <w:link w:val="BodyText-Beforebullet"/>
    <w:semiHidden/>
    <w:rsid w:val="00C414E1"/>
    <w:rPr>
      <w:rFonts w:ascii="Open Sans" w:hAnsi="Open Sans"/>
      <w:sz w:val="20"/>
      <w:szCs w:val="20"/>
    </w:rPr>
  </w:style>
  <w:style w:type="paragraph" w:customStyle="1" w:styleId="TableBody">
    <w:name w:val="Table Body"/>
    <w:basedOn w:val="NoSpacing"/>
    <w:uiPriority w:val="4"/>
    <w:qFormat/>
    <w:rsid w:val="00C414E1"/>
    <w:pPr>
      <w:spacing w:before="46" w:after="46"/>
      <w:ind w:left="57"/>
    </w:pPr>
    <w:rPr>
      <w:sz w:val="18"/>
    </w:rPr>
  </w:style>
  <w:style w:type="paragraph" w:styleId="Revision">
    <w:name w:val="Revision"/>
    <w:hidden/>
    <w:uiPriority w:val="99"/>
    <w:semiHidden/>
    <w:rsid w:val="008D19FD"/>
    <w:pPr>
      <w:spacing w:after="0" w:line="240" w:lineRule="auto"/>
    </w:pPr>
    <w:rPr>
      <w:sz w:val="20"/>
      <w:szCs w:val="20"/>
    </w:rPr>
  </w:style>
  <w:style w:type="paragraph" w:customStyle="1" w:styleId="KeyPointsicon">
    <w:name w:val="Key Points icon"/>
    <w:basedOn w:val="Normal"/>
    <w:uiPriority w:val="10"/>
    <w:qFormat/>
    <w:rsid w:val="00C414E1"/>
    <w:pPr>
      <w:spacing w:before="60"/>
      <w:jc w:val="right"/>
    </w:pPr>
  </w:style>
  <w:style w:type="paragraph" w:customStyle="1" w:styleId="FigureTableSubheading">
    <w:name w:val="Figure/Table Subheading"/>
    <w:basedOn w:val="FigureTableHeading"/>
    <w:uiPriority w:val="4"/>
    <w:qFormat/>
    <w:rsid w:val="00C414E1"/>
    <w:pPr>
      <w:spacing w:before="40"/>
    </w:pPr>
    <w:rPr>
      <w:color w:val="58585B"/>
    </w:rPr>
  </w:style>
  <w:style w:type="table" w:customStyle="1" w:styleId="TextTable-Grey">
    <w:name w:val="Text Table-Grey"/>
    <w:basedOn w:val="Texttable-Paleblue"/>
    <w:uiPriority w:val="99"/>
    <w:rsid w:val="00C414E1"/>
    <w:rPr>
      <w:color w:val="265A9A" w:themeColor="background2"/>
    </w:rPr>
    <w:tblPr/>
    <w:tcPr>
      <w:shd w:val="clear" w:color="auto" w:fill="F2F2F2"/>
    </w:tcPr>
  </w:style>
  <w:style w:type="character" w:customStyle="1" w:styleId="BodyText-BlueChar">
    <w:name w:val="Body Text-Blue Char"/>
    <w:basedOn w:val="BodyTextChar"/>
    <w:link w:val="BodyText-Blue"/>
    <w:semiHidden/>
    <w:rsid w:val="00C414E1"/>
    <w:rPr>
      <w:rFonts w:ascii="Open Sans" w:hAnsi="Open Sans"/>
      <w:color w:val="265A9A" w:themeColor="background2"/>
      <w:sz w:val="20"/>
      <w:szCs w:val="20"/>
    </w:rPr>
  </w:style>
  <w:style w:type="paragraph" w:customStyle="1" w:styleId="Heading3-nonumber">
    <w:name w:val="Heading 3-no number"/>
    <w:basedOn w:val="Heading3"/>
    <w:uiPriority w:val="9"/>
    <w:semiHidden/>
    <w:qFormat/>
    <w:rsid w:val="00C414E1"/>
  </w:style>
  <w:style w:type="paragraph" w:customStyle="1" w:styleId="Heading1-nobackground">
    <w:name w:val="Heading 1-no background"/>
    <w:basedOn w:val="Heading1"/>
    <w:next w:val="BodyText"/>
    <w:uiPriority w:val="9"/>
    <w:qFormat/>
    <w:rsid w:val="00C414E1"/>
    <w:pPr>
      <w:numPr>
        <w:numId w:val="0"/>
      </w:numPr>
      <w:pBdr>
        <w:top w:val="none" w:sz="0" w:space="0" w:color="auto"/>
        <w:left w:val="none" w:sz="0" w:space="0" w:color="auto"/>
        <w:bottom w:val="none" w:sz="0" w:space="0" w:color="auto"/>
        <w:right w:val="none" w:sz="0" w:space="0" w:color="auto"/>
      </w:pBdr>
      <w:shd w:val="clear" w:color="auto" w:fill="auto"/>
      <w:spacing w:before="600"/>
      <w:ind w:right="0"/>
    </w:pPr>
  </w:style>
  <w:style w:type="character" w:customStyle="1" w:styleId="QuoteChar">
    <w:name w:val="Quote Char"/>
    <w:basedOn w:val="DefaultParagraphFont"/>
    <w:link w:val="Quote"/>
    <w:uiPriority w:val="1"/>
    <w:rsid w:val="00C414E1"/>
    <w:rPr>
      <w:rFonts w:ascii="Open Sans" w:hAnsi="Open Sans"/>
      <w:color w:val="58585B"/>
      <w:sz w:val="20"/>
      <w:szCs w:val="20"/>
    </w:rPr>
  </w:style>
  <w:style w:type="paragraph" w:customStyle="1" w:styleId="TableHeading-numbered">
    <w:name w:val="Table Heading-numbered"/>
    <w:basedOn w:val="Normal"/>
    <w:semiHidden/>
    <w:qFormat/>
    <w:rsid w:val="00C414E1"/>
    <w:pPr>
      <w:numPr>
        <w:numId w:val="16"/>
      </w:numPr>
      <w:spacing w:before="60"/>
      <w:contextualSpacing/>
    </w:pPr>
    <w:rPr>
      <w:b/>
      <w:color w:val="265A9A" w:themeColor="background2"/>
    </w:rPr>
  </w:style>
  <w:style w:type="numbering" w:customStyle="1" w:styleId="TableList">
    <w:name w:val="TableList"/>
    <w:uiPriority w:val="99"/>
    <w:rsid w:val="00C414E1"/>
    <w:pPr>
      <w:numPr>
        <w:numId w:val="16"/>
      </w:numPr>
    </w:pPr>
  </w:style>
  <w:style w:type="paragraph" w:customStyle="1" w:styleId="Footer-right">
    <w:name w:val="Footer-right"/>
    <w:basedOn w:val="Footer"/>
    <w:uiPriority w:val="11"/>
    <w:rsid w:val="00C414E1"/>
    <w:pPr>
      <w:jc w:val="right"/>
    </w:pPr>
    <w:rPr>
      <w:szCs w:val="24"/>
    </w:rPr>
  </w:style>
  <w:style w:type="paragraph" w:customStyle="1" w:styleId="Heading2-nonumber">
    <w:name w:val="Heading 2-no number"/>
    <w:basedOn w:val="Heading2"/>
    <w:uiPriority w:val="9"/>
    <w:qFormat/>
    <w:rsid w:val="00C414E1"/>
    <w:pPr>
      <w:numPr>
        <w:ilvl w:val="0"/>
        <w:numId w:val="0"/>
      </w:numPr>
    </w:pPr>
  </w:style>
  <w:style w:type="paragraph" w:customStyle="1" w:styleId="Heading-Appendix">
    <w:name w:val="Heading-Appendix"/>
    <w:basedOn w:val="Heading1-nonumber"/>
    <w:next w:val="BodyText"/>
    <w:uiPriority w:val="9"/>
    <w:qFormat/>
    <w:rsid w:val="00C414E1"/>
    <w:pPr>
      <w:numPr>
        <w:numId w:val="7"/>
      </w:numPr>
    </w:pPr>
  </w:style>
  <w:style w:type="numbering" w:customStyle="1" w:styleId="AppendixHeading">
    <w:name w:val="AppendixHeading"/>
    <w:uiPriority w:val="99"/>
    <w:rsid w:val="00C414E1"/>
    <w:pPr>
      <w:numPr>
        <w:numId w:val="3"/>
      </w:numPr>
    </w:pPr>
  </w:style>
  <w:style w:type="paragraph" w:customStyle="1" w:styleId="DraftingNote">
    <w:name w:val="Drafting Note"/>
    <w:basedOn w:val="BodyText"/>
    <w:link w:val="DraftingNoteChar"/>
    <w:qFormat/>
    <w:rsid w:val="00C414E1"/>
    <w:pPr>
      <w:contextualSpacing/>
    </w:pPr>
    <w:rPr>
      <w:color w:val="A22D2B"/>
      <w:sz w:val="24"/>
      <w:u w:val="dotted"/>
    </w:rPr>
  </w:style>
  <w:style w:type="character" w:customStyle="1" w:styleId="DraftingNoteChar">
    <w:name w:val="Drafting Note Char"/>
    <w:basedOn w:val="BodyTextChar"/>
    <w:link w:val="DraftingNote"/>
    <w:rsid w:val="00C414E1"/>
    <w:rPr>
      <w:rFonts w:ascii="Open Sans" w:hAnsi="Open Sans"/>
      <w:color w:val="A22D2B"/>
      <w:sz w:val="24"/>
      <w:szCs w:val="20"/>
      <w:u w:val="dotted"/>
    </w:rPr>
  </w:style>
  <w:style w:type="paragraph" w:customStyle="1" w:styleId="BoxHeading1">
    <w:name w:val="Box Heading 1"/>
    <w:basedOn w:val="FigureTableHeading"/>
    <w:next w:val="BodyText"/>
    <w:uiPriority w:val="4"/>
    <w:qFormat/>
    <w:rsid w:val="00C414E1"/>
    <w:pPr>
      <w:spacing w:after="0"/>
    </w:pPr>
  </w:style>
  <w:style w:type="character" w:styleId="Emphasis">
    <w:name w:val="Emphasis"/>
    <w:basedOn w:val="DefaultParagraphFont"/>
    <w:uiPriority w:val="22"/>
    <w:qFormat/>
    <w:rsid w:val="00C414E1"/>
    <w:rPr>
      <w:i/>
      <w:iCs/>
    </w:rPr>
  </w:style>
  <w:style w:type="paragraph" w:customStyle="1" w:styleId="Reference">
    <w:name w:val="Reference"/>
    <w:basedOn w:val="BodyText"/>
    <w:qFormat/>
    <w:rsid w:val="00C414E1"/>
    <w:pPr>
      <w:spacing w:before="0" w:after="60" w:line="200" w:lineRule="exact"/>
    </w:pPr>
    <w:rPr>
      <w:sz w:val="16"/>
    </w:rPr>
  </w:style>
  <w:style w:type="paragraph" w:customStyle="1" w:styleId="Keypoints-heading">
    <w:name w:val="Key points-heading"/>
    <w:basedOn w:val="Heading3"/>
    <w:uiPriority w:val="10"/>
    <w:qFormat/>
    <w:rsid w:val="00C414E1"/>
    <w:rPr>
      <w:color w:val="auto"/>
    </w:rPr>
  </w:style>
  <w:style w:type="paragraph" w:customStyle="1" w:styleId="Heading2-Appendix">
    <w:name w:val="Heading 2-Appendix"/>
    <w:basedOn w:val="Heading2-nonumber"/>
    <w:next w:val="Normal"/>
    <w:uiPriority w:val="10"/>
    <w:qFormat/>
    <w:rsid w:val="00C414E1"/>
    <w:pPr>
      <w:numPr>
        <w:ilvl w:val="1"/>
        <w:numId w:val="7"/>
      </w:numPr>
    </w:pPr>
  </w:style>
  <w:style w:type="numbering" w:customStyle="1" w:styleId="AppendixHeadingList">
    <w:name w:val="Appendix Heading List"/>
    <w:uiPriority w:val="99"/>
    <w:rsid w:val="00C414E1"/>
    <w:pPr>
      <w:numPr>
        <w:numId w:val="2"/>
      </w:numPr>
    </w:pPr>
  </w:style>
  <w:style w:type="paragraph" w:customStyle="1" w:styleId="Space">
    <w:name w:val="Space"/>
    <w:basedOn w:val="BodyText"/>
    <w:uiPriority w:val="1"/>
    <w:rsid w:val="00C414E1"/>
    <w:pPr>
      <w:spacing w:before="0" w:after="0"/>
    </w:pPr>
  </w:style>
  <w:style w:type="paragraph" w:customStyle="1" w:styleId="QuoteBullet">
    <w:name w:val="Quote Bullet"/>
    <w:basedOn w:val="ListBullet"/>
    <w:link w:val="QuoteBulletChar"/>
    <w:uiPriority w:val="1"/>
    <w:qFormat/>
    <w:rsid w:val="00C414E1"/>
    <w:pPr>
      <w:spacing w:before="60"/>
      <w:ind w:left="340" w:right="851"/>
    </w:pPr>
    <w:rPr>
      <w:color w:val="58585B"/>
    </w:rPr>
  </w:style>
  <w:style w:type="character" w:customStyle="1" w:styleId="ListBulletChar">
    <w:name w:val="List Bullet Char"/>
    <w:basedOn w:val="DefaultParagraphFont"/>
    <w:link w:val="ListBullet"/>
    <w:uiPriority w:val="1"/>
    <w:rsid w:val="00C414E1"/>
    <w:rPr>
      <w:rFonts w:ascii="Open Sans" w:hAnsi="Open Sans"/>
      <w:sz w:val="20"/>
      <w:szCs w:val="20"/>
    </w:rPr>
  </w:style>
  <w:style w:type="character" w:customStyle="1" w:styleId="QuoteBulletChar">
    <w:name w:val="Quote Bullet Char"/>
    <w:basedOn w:val="ListBulletChar"/>
    <w:link w:val="QuoteBullet"/>
    <w:uiPriority w:val="1"/>
    <w:rsid w:val="00C414E1"/>
    <w:rPr>
      <w:rFonts w:ascii="Open Sans" w:hAnsi="Open Sans"/>
      <w:color w:val="58585B"/>
      <w:sz w:val="20"/>
      <w:szCs w:val="20"/>
    </w:rPr>
  </w:style>
  <w:style w:type="paragraph" w:customStyle="1" w:styleId="Figurecharttitle">
    <w:name w:val="Figure chart title"/>
    <w:basedOn w:val="BodyText"/>
    <w:uiPriority w:val="10"/>
    <w:qFormat/>
    <w:rsid w:val="00C414E1"/>
    <w:pPr>
      <w:spacing w:before="0" w:after="0"/>
      <w:ind w:left="284" w:hanging="284"/>
    </w:pPr>
    <w:rPr>
      <w:sz w:val="18"/>
      <w:szCs w:val="18"/>
    </w:rPr>
  </w:style>
  <w:style w:type="paragraph" w:customStyle="1" w:styleId="TableListBullet">
    <w:name w:val="Table List Bullet"/>
    <w:basedOn w:val="ListBullet"/>
    <w:uiPriority w:val="10"/>
    <w:qFormat/>
    <w:rsid w:val="00C414E1"/>
    <w:pPr>
      <w:spacing w:before="46" w:after="46"/>
      <w:ind w:left="170" w:hanging="113"/>
    </w:pPr>
    <w:rPr>
      <w:sz w:val="18"/>
    </w:rPr>
  </w:style>
  <w:style w:type="character" w:styleId="FollowedHyperlink">
    <w:name w:val="FollowedHyperlink"/>
    <w:basedOn w:val="DefaultParagraphFont"/>
    <w:uiPriority w:val="99"/>
    <w:semiHidden/>
    <w:unhideWhenUsed/>
    <w:rsid w:val="00BE23AA"/>
    <w:rPr>
      <w:color w:val="BFBFBF" w:themeColor="followedHyperlink"/>
      <w:u w:val="single"/>
    </w:rPr>
  </w:style>
  <w:style w:type="character" w:styleId="Mention">
    <w:name w:val="Mention"/>
    <w:basedOn w:val="DefaultParagraphFont"/>
    <w:uiPriority w:val="99"/>
    <w:unhideWhenUsed/>
    <w:rsid w:val="00DA6646"/>
    <w:rPr>
      <w:color w:val="2B579A"/>
      <w:shd w:val="clear" w:color="auto" w:fill="E1DFDD"/>
    </w:rPr>
  </w:style>
  <w:style w:type="paragraph" w:styleId="Bibliography">
    <w:name w:val="Bibliography"/>
    <w:basedOn w:val="Normal"/>
    <w:next w:val="Normal"/>
    <w:uiPriority w:val="37"/>
    <w:unhideWhenUsed/>
    <w:rsid w:val="00401C5A"/>
    <w:pPr>
      <w:spacing w:after="240" w:line="240" w:lineRule="atLeast"/>
      <w:ind w:left="720" w:hanging="720"/>
    </w:pPr>
  </w:style>
  <w:style w:type="paragraph" w:customStyle="1" w:styleId="CoverdisclaimerwhiteCover">
    <w:name w:val="Cover – disclaimer (white) (Cover)"/>
    <w:basedOn w:val="Normal"/>
    <w:uiPriority w:val="99"/>
    <w:rsid w:val="00C414E1"/>
    <w:pPr>
      <w:tabs>
        <w:tab w:val="left" w:pos="170"/>
        <w:tab w:val="left" w:pos="6236"/>
      </w:tabs>
      <w:suppressAutoHyphens/>
      <w:autoSpaceDE w:val="0"/>
      <w:autoSpaceDN w:val="0"/>
      <w:adjustRightInd w:val="0"/>
      <w:spacing w:before="0" w:after="0" w:line="288" w:lineRule="auto"/>
      <w:textAlignment w:val="center"/>
    </w:pPr>
    <w:rPr>
      <w:rFonts w:cs="Open Sans"/>
      <w:color w:val="FFFFFF" w:themeColor="background1"/>
      <w:sz w:val="18"/>
      <w:szCs w:val="18"/>
      <w:lang w:val="en-US"/>
    </w:rPr>
  </w:style>
  <w:style w:type="character" w:customStyle="1" w:styleId="TableHeadingChar">
    <w:name w:val="Table Heading Char"/>
    <w:basedOn w:val="NoSpacingChar"/>
    <w:link w:val="TableHeading"/>
    <w:uiPriority w:val="4"/>
    <w:rsid w:val="00C414E1"/>
    <w:rPr>
      <w:rFonts w:ascii="Open Sans" w:hAnsi="Open Sans"/>
      <w:b/>
      <w:color w:val="132D4D" w:themeColor="background2" w:themeShade="80"/>
      <w:sz w:val="18"/>
      <w:szCs w:val="20"/>
    </w:rPr>
  </w:style>
  <w:style w:type="paragraph" w:customStyle="1" w:styleId="FindingRecRequesttitle">
    <w:name w:val="Finding/Rec/Request title"/>
    <w:basedOn w:val="TableHeading"/>
    <w:link w:val="FindingRecRequesttitleChar"/>
    <w:uiPriority w:val="10"/>
    <w:qFormat/>
    <w:rsid w:val="00C414E1"/>
    <w:pPr>
      <w:keepNext/>
      <w:keepLines/>
      <w:spacing w:before="120" w:after="120"/>
      <w:contextualSpacing/>
    </w:pPr>
    <w:rPr>
      <w:color w:val="265A9A" w:themeColor="background2"/>
      <w:sz w:val="20"/>
    </w:rPr>
  </w:style>
  <w:style w:type="character" w:customStyle="1" w:styleId="FindingRecRequesttitleChar">
    <w:name w:val="Finding/Rec/Request title Char"/>
    <w:basedOn w:val="TableHeadingChar"/>
    <w:link w:val="FindingRecRequesttitle"/>
    <w:uiPriority w:val="10"/>
    <w:rsid w:val="00C414E1"/>
    <w:rPr>
      <w:rFonts w:ascii="Open Sans" w:hAnsi="Open Sans"/>
      <w:b/>
      <w:color w:val="265A9A" w:themeColor="background2"/>
      <w:sz w:val="20"/>
      <w:szCs w:val="20"/>
    </w:rPr>
  </w:style>
  <w:style w:type="paragraph" w:customStyle="1" w:styleId="PullQuoteNoSpacing">
    <w:name w:val="Pull Quote No Spacing"/>
    <w:basedOn w:val="NoSpacing"/>
    <w:link w:val="PullQuoteNoSpacingChar"/>
    <w:uiPriority w:val="10"/>
    <w:qFormat/>
    <w:rsid w:val="00C414E1"/>
    <w:pPr>
      <w:spacing w:line="160" w:lineRule="exact"/>
    </w:pPr>
  </w:style>
  <w:style w:type="character" w:customStyle="1" w:styleId="PullQuoteNoSpacingChar">
    <w:name w:val="Pull Quote No Spacing Char"/>
    <w:basedOn w:val="NoSpacingChar"/>
    <w:link w:val="PullQuoteNoSpacing"/>
    <w:uiPriority w:val="10"/>
    <w:rsid w:val="00C414E1"/>
    <w:rPr>
      <w:rFonts w:ascii="Open Sans" w:hAnsi="Open Sans"/>
      <w:sz w:val="20"/>
      <w:szCs w:val="20"/>
    </w:rPr>
  </w:style>
  <w:style w:type="paragraph" w:customStyle="1" w:styleId="PullQuote-Indigenous">
    <w:name w:val="Pull Quote-Indigenous"/>
    <w:basedOn w:val="PullQuote"/>
    <w:uiPriority w:val="10"/>
    <w:qFormat/>
    <w:rsid w:val="00C414E1"/>
    <w:pPr>
      <w:ind w:right="680"/>
    </w:pPr>
    <w:rPr>
      <w:rFonts w:ascii="Open Sans" w:hAnsi="Open Sans" w:cs="Arial"/>
      <w:color w:val="auto"/>
      <w:spacing w:val="6"/>
      <w:sz w:val="22"/>
      <w:szCs w:val="22"/>
    </w:rPr>
  </w:style>
  <w:style w:type="paragraph" w:styleId="NormalWeb">
    <w:name w:val="Normal (Web)"/>
    <w:basedOn w:val="Normal"/>
    <w:uiPriority w:val="99"/>
    <w:semiHidden/>
    <w:unhideWhenUsed/>
    <w:rsid w:val="002F7AE7"/>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pdq2pgselectionanchorcontainer">
    <w:name w:val="pdq2pg_selectionanchorcontainer"/>
    <w:basedOn w:val="Normal"/>
    <w:rsid w:val="002203F6"/>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BookTitle">
    <w:name w:val="Book Title"/>
    <w:basedOn w:val="DefaultParagraphFont"/>
    <w:uiPriority w:val="33"/>
    <w:rsid w:val="00E92FEE"/>
    <w:rPr>
      <w:b/>
      <w:bCs/>
      <w:i/>
      <w:iCs/>
      <w:spacing w:val="5"/>
    </w:rPr>
  </w:style>
  <w:style w:type="character" w:styleId="IntenseEmphasis">
    <w:name w:val="Intense Emphasis"/>
    <w:basedOn w:val="DefaultParagraphFont"/>
    <w:uiPriority w:val="22"/>
    <w:rsid w:val="00E92FEE"/>
    <w:rPr>
      <w:i/>
      <w:iCs/>
      <w:color w:val="66BCDB" w:themeColor="accent1"/>
    </w:rPr>
  </w:style>
  <w:style w:type="paragraph" w:styleId="IntenseQuote">
    <w:name w:val="Intense Quote"/>
    <w:basedOn w:val="Normal"/>
    <w:next w:val="Normal"/>
    <w:link w:val="IntenseQuoteChar"/>
    <w:uiPriority w:val="30"/>
    <w:rsid w:val="00E92FEE"/>
    <w:pPr>
      <w:pBdr>
        <w:top w:val="single" w:sz="4" w:space="10" w:color="66BCDB" w:themeColor="accent1"/>
        <w:bottom w:val="single" w:sz="4" w:space="10" w:color="66BCDB" w:themeColor="accent1"/>
      </w:pBdr>
      <w:spacing w:before="360" w:after="360"/>
      <w:ind w:left="864" w:right="864"/>
      <w:jc w:val="center"/>
    </w:pPr>
    <w:rPr>
      <w:i/>
      <w:iCs/>
      <w:color w:val="66BCDB" w:themeColor="accent1"/>
    </w:rPr>
  </w:style>
  <w:style w:type="character" w:customStyle="1" w:styleId="IntenseQuoteChar">
    <w:name w:val="Intense Quote Char"/>
    <w:basedOn w:val="DefaultParagraphFont"/>
    <w:link w:val="IntenseQuote"/>
    <w:uiPriority w:val="30"/>
    <w:rsid w:val="00E92FEE"/>
    <w:rPr>
      <w:rFonts w:ascii="Open Sans" w:hAnsi="Open Sans"/>
      <w:i/>
      <w:iCs/>
      <w:color w:val="66BCDB" w:themeColor="accent1"/>
      <w:sz w:val="20"/>
      <w:szCs w:val="20"/>
    </w:rPr>
  </w:style>
  <w:style w:type="character" w:styleId="IntenseReference">
    <w:name w:val="Intense Reference"/>
    <w:basedOn w:val="DefaultParagraphFont"/>
    <w:uiPriority w:val="32"/>
    <w:rsid w:val="00E92FEE"/>
    <w:rPr>
      <w:b/>
      <w:bCs/>
      <w:smallCaps/>
      <w:color w:val="66BCDB" w:themeColor="accent1"/>
      <w:spacing w:val="5"/>
    </w:rPr>
  </w:style>
  <w:style w:type="character" w:styleId="SubtleEmphasis">
    <w:name w:val="Subtle Emphasis"/>
    <w:basedOn w:val="DefaultParagraphFont"/>
    <w:uiPriority w:val="19"/>
    <w:rsid w:val="00E92FEE"/>
    <w:rPr>
      <w:i/>
      <w:iCs/>
      <w:color w:val="404040" w:themeColor="text1" w:themeTint="BF"/>
    </w:rPr>
  </w:style>
  <w:style w:type="character" w:styleId="SubtleReference">
    <w:name w:val="Subtle Reference"/>
    <w:basedOn w:val="DefaultParagraphFont"/>
    <w:uiPriority w:val="31"/>
    <w:rsid w:val="00E92FEE"/>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image" Target="media/image5.png"/><Relationship Id="rId10" Type="http://schemas.openxmlformats.org/officeDocument/2006/relationships/settings" Target="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https://www.dcceew.gov.au/climate-change/emissions-reporting/national-greenhouse-energy-reporting-scheme/safeguard-mechanism/2026-67-review-of-the-safeguard-mechanism"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https://pcgov.sharepoint.com/sites/sce/FormServerTemplates/PC-report-template.dotx" TargetMode="External"/></Relationships>
</file>

<file path=word/theme/theme1.xml><?xml version="1.0" encoding="utf-8"?>
<a:theme xmlns:a="http://schemas.openxmlformats.org/drawingml/2006/main" name="Office Theme">
  <a:themeElements>
    <a:clrScheme name="PC colour scheme 2025">
      <a:dk1>
        <a:srgbClr val="000000"/>
      </a:dk1>
      <a:lt1>
        <a:srgbClr val="FFFFFF"/>
      </a:lt1>
      <a:dk2>
        <a:srgbClr val="2B9AC2"/>
      </a:dk2>
      <a:lt2>
        <a:srgbClr val="265A9A"/>
      </a:lt2>
      <a:accent1>
        <a:srgbClr val="66BCDB"/>
      </a:accent1>
      <a:accent2>
        <a:srgbClr val="8956A3"/>
      </a:accent2>
      <a:accent3>
        <a:srgbClr val="71CBD5"/>
      </a:accent3>
      <a:accent4>
        <a:srgbClr val="90D8F7"/>
      </a:accent4>
      <a:accent5>
        <a:srgbClr val="14315B"/>
      </a:accent5>
      <a:accent6>
        <a:srgbClr val="542972"/>
      </a:accent6>
      <a:hlink>
        <a:srgbClr val="000000"/>
      </a:hlink>
      <a:folHlink>
        <a:srgbClr val="BFBFBF"/>
      </a:folHlink>
    </a:clrScheme>
    <a:fontScheme name="ACDC">
      <a:majorFont>
        <a:latin typeface="Arial Black"/>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PC Dark Blue">
      <a:srgbClr val="265999"/>
    </a:custClr>
    <a:custClr name="PC Mid Blue">
      <a:srgbClr val="2C9BC2"/>
    </a:custClr>
    <a:custClr name="PC Blue">
      <a:srgbClr val="66B9DA"/>
    </a:custClr>
    <a:custClr name="PC Light Blue">
      <a:srgbClr val="EEF8FD"/>
    </a:custClr>
    <a:custClr name="PC Light Grey">
      <a:srgbClr val="F2F2F2"/>
    </a:custClr>
    <a:custClr name="PC Grey">
      <a:srgbClr val="DBDCDE"/>
    </a:custClr>
    <a:custClr name="PC Dark Grey">
      <a:srgbClr val="58585B"/>
    </a:custClr>
    <a:custClr name="PC Green">
      <a:srgbClr val="7AA644"/>
    </a:custClr>
    <a:custClr name="PC Dark green">
      <a:srgbClr val="3A703A"/>
    </a:custClr>
    <a:custClr name="PC Yellow">
      <a:srgbClr val="FCB221"/>
    </a:custClr>
    <a:custClr name="PC Orange">
      <a:srgbClr val="F15A2B"/>
    </a:custClr>
    <a:custClr name="PC Dark Red">
      <a:srgbClr val="A22D2B"/>
    </a:custClr>
    <a:custClr name="PC Purple">
      <a:srgbClr val="8857A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TemplafyFormConfiguration><![CDATA[{"formFields":[],"formDataEntries":[]}]]></TemplafyFormConfiguration>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TemplafyTemplateConfiguration><![CDATA[{"elementsMetadata":[],"transformationConfigurations":[],"templateName":"chapter","templateDescription":"","enableDocumentContentUpdater":false,"version":"2.0"}]]></TemplafyTemplateConfiguration>
</file>

<file path=customXml/item5.xml><?xml version="1.0" encoding="utf-8"?>
<p:properties xmlns:p="http://schemas.microsoft.com/office/2006/metadata/properties" xmlns:xsi="http://www.w3.org/2001/XMLSchema-instance" xmlns:pc="http://schemas.microsoft.com/office/infopath/2007/PartnerControls">
  <documentManagement>
    <i0f84bba906045b4af568ee102a52dcb xmlns="20393cdf-440a-4521-8f19-00ba43423d00">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3955eeb1-2d18-4582-aeb2-00144ec3aaf5</TermId>
        </TermInfo>
      </Terms>
    </i0f84bba906045b4af568ee102a52dcb>
    <TaxCatchAll xmlns="20393cdf-440a-4521-8f19-00ba43423d00">
      <Value>1</Value>
    </TaxCatchAll>
    <lcf76f155ced4ddcb4097134ff3c332f xmlns="3d385984-9344-419b-a80b-49c06a2bdab8">
      <Terms xmlns="http://schemas.microsoft.com/office/infopath/2007/PartnerControls"/>
    </lcf76f155ced4ddcb4097134ff3c332f>
    <thumbnail xmlns="3d385984-9344-419b-a80b-49c06a2bdab8" xsi:nil="true"/>
    <Access xmlns="3d385984-9344-419b-a80b-49c06a2bdab8">
      <UserInfo>
        <DisplayName/>
        <AccountId xsi:nil="true"/>
        <AccountType/>
      </UserInfo>
    </Access>
    <Status xmlns="3d385984-9344-419b-a80b-49c06a2bdab8" xsi:nil="true"/>
    <_Flow_SignoffStatus xmlns="3d385984-9344-419b-a80b-49c06a2bdab8" xsi:nil="true"/>
    <_dlc_DocId xmlns="20393cdf-440a-4521-8f19-00ba43423d00">MPWT-2140667901-111083</_dlc_DocId>
    <_dlc_DocIdUrl xmlns="20393cdf-440a-4521-8f19-00ba43423d00">
      <Url>https://pcgov.sharepoint.com/sites/sceteam/_layouts/15/DocIdRedir.aspx?ID=MPWT-2140667901-111083</Url>
      <Description>MPWT-2140667901-111083</Description>
    </_dlc_DocIdUrl>
  </documentManagement>
</p:properties>
</file>

<file path=customXml/item6.xml><?xml version="1.0" encoding="utf-8"?>
<ct:contentTypeSchema xmlns:ct="http://schemas.microsoft.com/office/2006/metadata/contentType" xmlns:ma="http://schemas.microsoft.com/office/2006/metadata/properties/metaAttributes" ct:_="" ma:_="" ma:contentTypeName="MPW Document" ma:contentTypeID="0x0101006C0B5E815648EF46B6FA6D42F17E5E9F000C963E276195B04F83BC027CFDC94A8D" ma:contentTypeVersion="21" ma:contentTypeDescription="" ma:contentTypeScope="" ma:versionID="ead7201408cf197831bb400756bcfb42">
  <xsd:schema xmlns:xsd="http://www.w3.org/2001/XMLSchema" xmlns:xs="http://www.w3.org/2001/XMLSchema" xmlns:p="http://schemas.microsoft.com/office/2006/metadata/properties" xmlns:ns2="20393cdf-440a-4521-8f19-00ba43423d00" xmlns:ns3="3d385984-9344-419b-a80b-49c06a2bdab8" targetNamespace="http://schemas.microsoft.com/office/2006/metadata/properties" ma:root="true" ma:fieldsID="7fc06f33526f21810b56dca02e91bd42" ns2:_="" ns3:_="">
    <xsd:import namespace="20393cdf-440a-4521-8f19-00ba43423d00"/>
    <xsd:import namespace="3d385984-9344-419b-a80b-49c06a2bdab8"/>
    <xsd:element name="properties">
      <xsd:complexType>
        <xsd:sequence>
          <xsd:element name="documentManagement">
            <xsd:complexType>
              <xsd:all>
                <xsd:element ref="ns2:_dlc_DocId" minOccurs="0"/>
                <xsd:element ref="ns2:_dlc_DocIdUrl" minOccurs="0"/>
                <xsd:element ref="ns2:_dlc_DocIdPersistId"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2:SharedWithUsers" minOccurs="0"/>
                <xsd:element ref="ns2:SharedWithDetails" minOccurs="0"/>
                <xsd:element ref="ns3:MediaServiceLocation" minOccurs="0"/>
                <xsd:element ref="ns2:i0f84bba906045b4af568ee102a52dcb" minOccurs="0"/>
                <xsd:element ref="ns2:TaxCatchAll" minOccurs="0"/>
                <xsd:element ref="ns3:MediaLengthInSeconds" minOccurs="0"/>
                <xsd:element ref="ns3:thumbnail" minOccurs="0"/>
                <xsd:element ref="ns3:lcf76f155ced4ddcb4097134ff3c332f" minOccurs="0"/>
                <xsd:element ref="ns3:_Flow_SignoffStatus" minOccurs="0"/>
                <xsd:element ref="ns3:MediaServiceObjectDetectorVersions" minOccurs="0"/>
                <xsd:element ref="ns3:MediaServiceSearchProperties" minOccurs="0"/>
                <xsd:element ref="ns3:Status" minOccurs="0"/>
                <xsd:element ref="ns3:Acces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393cdf-440a-4521-8f19-00ba43423d0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i0f84bba906045b4af568ee102a52dcb" ma:index="20" nillable="true" ma:taxonomy="true" ma:internalName="i0f84bba906045b4af568ee102a52dcb" ma:taxonomyFieldName="RevIMBCS" ma:displayName="Record" ma:indexed="true" ma:default="" ma:fieldId="{20f84bba-9060-45b4-af56-8ee102a52dcb}" ma:sspId="9e7832e3-0c1d-4697-8be2-0d137dca2da6" ma:termSetId="3c672b5e-1100-4960-a8a3-535520ee1155" ma:anchorId="00000000-0000-0000-0000-000000000000" ma:open="false" ma:isKeyword="false">
      <xsd:complexType>
        <xsd:sequence>
          <xsd:element ref="pc:Terms" minOccurs="0" maxOccurs="1"/>
        </xsd:sequence>
      </xsd:complexType>
    </xsd:element>
    <xsd:element name="TaxCatchAll" ma:index="21" nillable="true" ma:displayName="Taxonomy Catch All Column" ma:hidden="true" ma:list="{af6d4cc1-c529-4b5b-a8f1-9797b2b9eddf}" ma:internalName="TaxCatchAll" ma:showField="CatchAllData" ma:web="20393cdf-440a-4521-8f19-00ba43423d0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d385984-9344-419b-a80b-49c06a2bdab8" elementFormDefault="qualified">
    <xsd:import namespace="http://schemas.microsoft.com/office/2006/documentManagement/types"/>
    <xsd:import namespace="http://schemas.microsoft.com/office/infopath/2007/PartnerControls"/>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thumbnail" ma:index="23" nillable="true" ma:displayName="thumbnail" ma:format="Thumbnail" ma:internalName="thumbnail">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9e7832e3-0c1d-4697-8be2-0d137dca2da6" ma:termSetId="09814cd3-568e-fe90-9814-8d621ff8fb84" ma:anchorId="fba54fb3-c3e1-fe81-a776-ca4b69148c4d" ma:open="true" ma:isKeyword="false">
      <xsd:complexType>
        <xsd:sequence>
          <xsd:element ref="pc:Terms" minOccurs="0" maxOccurs="1"/>
        </xsd:sequence>
      </xsd:complexType>
    </xsd:element>
    <xsd:element name="_Flow_SignoffStatus" ma:index="26" nillable="true" ma:displayName="Sign-off status" ma:internalName="Sign_x002d_off_x0020_status">
      <xsd:simpleType>
        <xsd:restriction base="dms:Text"/>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Status" ma:index="29" nillable="true" ma:displayName="Status" ma:format="Dropdown" ma:internalName="Status">
      <xsd:simpleType>
        <xsd:restriction base="dms:Choice">
          <xsd:enumeration value="In progress"/>
          <xsd:enumeration value="Ready for review"/>
          <xsd:enumeration value="Sent"/>
        </xsd:restriction>
      </xsd:simpleType>
    </xsd:element>
    <xsd:element name="Access" ma:index="30" nillable="true" ma:displayName="Access" ma:format="Dropdown" ma:list="UserInfo" ma:SharePointGroup="0" ma:internalName="Acces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897F752-2238-441E-ABA5-DB8C10DEA577}">
  <ds:schemaRefs/>
</ds:datastoreItem>
</file>

<file path=customXml/itemProps2.xml><?xml version="1.0" encoding="utf-8"?>
<ds:datastoreItem xmlns:ds="http://schemas.openxmlformats.org/officeDocument/2006/customXml" ds:itemID="{35051BFF-30E5-410D-B231-23FC8F8D9D13}">
  <ds:schemaRefs>
    <ds:schemaRef ds:uri="http://schemas.openxmlformats.org/officeDocument/2006/bibliography"/>
  </ds:schemaRefs>
</ds:datastoreItem>
</file>

<file path=customXml/itemProps3.xml><?xml version="1.0" encoding="utf-8"?>
<ds:datastoreItem xmlns:ds="http://schemas.openxmlformats.org/officeDocument/2006/customXml" ds:itemID="{9AEC5FCB-ADF8-464D-9830-E76C268395B0}">
  <ds:schemaRefs>
    <ds:schemaRef ds:uri="http://schemas.microsoft.com/sharepoint/v3/contenttype/forms"/>
  </ds:schemaRefs>
</ds:datastoreItem>
</file>

<file path=customXml/itemProps4.xml><?xml version="1.0" encoding="utf-8"?>
<ds:datastoreItem xmlns:ds="http://schemas.openxmlformats.org/officeDocument/2006/customXml" ds:itemID="{5CCDCE8C-2FF2-479D-91C1-79A7A7683D3C}">
  <ds:schemaRefs/>
</ds:datastoreItem>
</file>

<file path=customXml/itemProps5.xml><?xml version="1.0" encoding="utf-8"?>
<ds:datastoreItem xmlns:ds="http://schemas.openxmlformats.org/officeDocument/2006/customXml" ds:itemID="{A9375862-7444-4178-95BA-49A058BB7408}">
  <ds:schemaRefs>
    <ds:schemaRef ds:uri="http://schemas.microsoft.com/office/2006/metadata/properties"/>
    <ds:schemaRef ds:uri="http://schemas.microsoft.com/office/infopath/2007/PartnerControls"/>
    <ds:schemaRef ds:uri="20393cdf-440a-4521-8f19-00ba43423d00"/>
    <ds:schemaRef ds:uri="3d385984-9344-419b-a80b-49c06a2bdab8"/>
  </ds:schemaRefs>
</ds:datastoreItem>
</file>

<file path=customXml/itemProps6.xml><?xml version="1.0" encoding="utf-8"?>
<ds:datastoreItem xmlns:ds="http://schemas.openxmlformats.org/officeDocument/2006/customXml" ds:itemID="{1F83C211-5603-436C-B65A-25B203688363}"/>
</file>

<file path=customXml/itemProps7.xml><?xml version="1.0" encoding="utf-8"?>
<ds:datastoreItem xmlns:ds="http://schemas.openxmlformats.org/officeDocument/2006/customXml" ds:itemID="{77BA7A10-6422-4F4B-AC78-B7C523AD8068}">
  <ds:schemaRefs>
    <ds:schemaRef ds:uri="http://schemas.microsoft.com/sharepoint/events"/>
  </ds:schemaRefs>
</ds:datastoreItem>
</file>

<file path=docMetadata/LabelInfo.xml><?xml version="1.0" encoding="utf-8"?>
<clbl:labelList xmlns:clbl="http://schemas.microsoft.com/office/2020/mipLabelMetadata">
  <clbl:label id="{c1f2b1ce-4212-46db-a901-dd8453f57141}" enabled="1" method="Privileged" siteId="{29f9330b-c0fe-4244-830e-ba9f275d6c34}" contentBits="0" removed="0"/>
</clbl:labelList>
</file>

<file path=docProps/app.xml><?xml version="1.0" encoding="utf-8"?>
<Properties xmlns="http://schemas.openxmlformats.org/officeDocument/2006/extended-properties" xmlns:vt="http://schemas.openxmlformats.org/officeDocument/2006/docPropsVTypes">
  <Template>PC-report-template.dotx</Template>
  <TotalTime>151</TotalTime>
  <Pages>4</Pages>
  <Words>1973</Words>
  <Characters>11962</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Statutory review of the Safeguard Mechanism</vt:lpstr>
    </vt:vector>
  </TitlesOfParts>
  <Company>Productivity Commission</Company>
  <LinksUpToDate>false</LinksUpToDate>
  <CharactersWithSpaces>13888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Statutory review of the Safeguard Mechanism</dc:title>
  <dc:subject/>
  <dc:creator>Productivity Commission</dc:creator>
  <cp:keywords/>
  <dc:description/>
  <cp:lastModifiedBy>Michelle Cross</cp:lastModifiedBy>
  <cp:revision>25</cp:revision>
  <cp:lastPrinted>2026-09-17T05:17:00Z</cp:lastPrinted>
  <dcterms:created xsi:type="dcterms:W3CDTF">2026-09-17T03:05:00Z</dcterms:created>
  <dcterms:modified xsi:type="dcterms:W3CDTF">2026-09-17T05:44:00Z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bd31a762-d8a5-4d89-836a-c3ef22d3ef0a</vt:lpwstr>
  </property>
  <property fmtid="{D5CDD505-2E9C-101B-9397-08002B2CF9AE}" pid="3" name="MediaServiceImageTags">
    <vt:lpwstr/>
  </property>
  <property fmtid="{D5CDD505-2E9C-101B-9397-08002B2CF9AE}" pid="4" name="TemplafyTenantId">
    <vt:lpwstr>productivitycommission</vt:lpwstr>
  </property>
  <property fmtid="{D5CDD505-2E9C-101B-9397-08002B2CF9AE}" pid="5" name="TemplafyTemplateId">
    <vt:lpwstr>637629323564275408</vt:lpwstr>
  </property>
  <property fmtid="{D5CDD505-2E9C-101B-9397-08002B2CF9AE}" pid="6" name="TemplafyUserProfileId">
    <vt:lpwstr>637870630037422538</vt:lpwstr>
  </property>
  <property fmtid="{D5CDD505-2E9C-101B-9397-08002B2CF9AE}" pid="7" name="TemplafyFromBlank">
    <vt:bool>false</vt:bool>
  </property>
  <property fmtid="{D5CDD505-2E9C-101B-9397-08002B2CF9AE}" pid="8" name="docLang">
    <vt:lpwstr>en</vt:lpwstr>
  </property>
  <property fmtid="{D5CDD505-2E9C-101B-9397-08002B2CF9AE}" pid="9" name="ZOTERO_PREF_1">
    <vt:lpwstr>&lt;data data-version="3" zotero-version="8.0.2"&gt;&lt;session id="lbqQqRQD"/&gt;&lt;style id="http://www.zotero.org/styles/Productivity-Commission" hasBibliography="1" bibliographyStyleHasBeenSet="1"/&gt;&lt;prefs&gt;&lt;pref name="fieldType" value="Field"/&gt;&lt;pref name="automaticJ</vt:lpwstr>
  </property>
  <property fmtid="{D5CDD505-2E9C-101B-9397-08002B2CF9AE}" pid="10" name="ZOTERO_PREF_2">
    <vt:lpwstr>ournalAbbreviations" value="true"/&gt;&lt;/prefs&gt;&lt;/data&gt;</vt:lpwstr>
  </property>
  <property fmtid="{D5CDD505-2E9C-101B-9397-08002B2CF9AE}" pid="11" name="MSIP_Label_c1f2b1ce-4212-46db-a901-dd8453f57141_Enabled">
    <vt:lpwstr>true</vt:lpwstr>
  </property>
  <property fmtid="{D5CDD505-2E9C-101B-9397-08002B2CF9AE}" pid="12" name="MSIP_Label_c1f2b1ce-4212-46db-a901-dd8453f57141_SetDate">
    <vt:lpwstr>2026-02-06T03:28:18Z</vt:lpwstr>
  </property>
  <property fmtid="{D5CDD505-2E9C-101B-9397-08002B2CF9AE}" pid="13" name="MSIP_Label_c1f2b1ce-4212-46db-a901-dd8453f57141_Method">
    <vt:lpwstr>Privileged</vt:lpwstr>
  </property>
  <property fmtid="{D5CDD505-2E9C-101B-9397-08002B2CF9AE}" pid="14" name="MSIP_Label_c1f2b1ce-4212-46db-a901-dd8453f57141_Name">
    <vt:lpwstr>Publish</vt:lpwstr>
  </property>
  <property fmtid="{D5CDD505-2E9C-101B-9397-08002B2CF9AE}" pid="15" name="MSIP_Label_c1f2b1ce-4212-46db-a901-dd8453f57141_SiteId">
    <vt:lpwstr>29f9330b-c0fe-4244-830e-ba9f275d6c34</vt:lpwstr>
  </property>
  <property fmtid="{D5CDD505-2E9C-101B-9397-08002B2CF9AE}" pid="16" name="MSIP_Label_c1f2b1ce-4212-46db-a901-dd8453f57141_ActionId">
    <vt:lpwstr>da659015-b3ad-430f-9dc6-8a2b25a65b34</vt:lpwstr>
  </property>
  <property fmtid="{D5CDD505-2E9C-101B-9397-08002B2CF9AE}" pid="17" name="MSIP_Label_c1f2b1ce-4212-46db-a901-dd8453f57141_ContentBits">
    <vt:lpwstr>0</vt:lpwstr>
  </property>
  <property fmtid="{D5CDD505-2E9C-101B-9397-08002B2CF9AE}" pid="18" name="MSIP_Label_c1f2b1ce-4212-46db-a901-dd8453f57141_Tag">
    <vt:lpwstr>10, 0, 1, 1</vt:lpwstr>
  </property>
  <property fmtid="{D5CDD505-2E9C-101B-9397-08002B2CF9AE}" pid="19" name="ClassificationContentMarkingHeaderText">
    <vt:lpwstr> OFFICIAL</vt:lpwstr>
  </property>
  <property fmtid="{D5CDD505-2E9C-101B-9397-08002B2CF9AE}" pid="20" name="MSIP_Label_f7467c1a-e0ed-413c-a72b-aac8e8e94f41_Name">
    <vt:lpwstr>OFFICIAL</vt:lpwstr>
  </property>
  <property fmtid="{D5CDD505-2E9C-101B-9397-08002B2CF9AE}" pid="21" name="ClassificationContentMarkingHeaderFontProps">
    <vt:lpwstr>#000000,12,Calibri</vt:lpwstr>
  </property>
  <property fmtid="{D5CDD505-2E9C-101B-9397-08002B2CF9AE}" pid="22" name="MSIP_Label_f7467c1a-e0ed-413c-a72b-aac8e8e94f41_ActionId">
    <vt:lpwstr>db6641a2-4ed2-4c53-9d7b-24c8b4bcacbc</vt:lpwstr>
  </property>
  <property fmtid="{D5CDD505-2E9C-101B-9397-08002B2CF9AE}" pid="23" name="MSIP_Label_f7467c1a-e0ed-413c-a72b-aac8e8e94f41_SiteId">
    <vt:lpwstr>29f9330b-c0fe-4244-830e-ba9f275d6c34</vt:lpwstr>
  </property>
  <property fmtid="{D5CDD505-2E9C-101B-9397-08002B2CF9AE}" pid="24" name="MSIP_Label_f7467c1a-e0ed-413c-a72b-aac8e8e94f41_ContentBits">
    <vt:lpwstr>1</vt:lpwstr>
  </property>
  <property fmtid="{D5CDD505-2E9C-101B-9397-08002B2CF9AE}" pid="25" name="MSIP_Label_f7467c1a-e0ed-413c-a72b-aac8e8e94f41_Method">
    <vt:lpwstr>Privileged</vt:lpwstr>
  </property>
  <property fmtid="{D5CDD505-2E9C-101B-9397-08002B2CF9AE}" pid="26" name="ClassificationContentMarkingHeaderShapeIds">
    <vt:lpwstr>52e6898c,642ed84a,d04a9c6</vt:lpwstr>
  </property>
  <property fmtid="{D5CDD505-2E9C-101B-9397-08002B2CF9AE}" pid="27" name="MSIP_Label_f7467c1a-e0ed-413c-a72b-aac8e8e94f41_Enabled">
    <vt:lpwstr>true</vt:lpwstr>
  </property>
  <property fmtid="{D5CDD505-2E9C-101B-9397-08002B2CF9AE}" pid="28" name="MSIP_Label_f7467c1a-e0ed-413c-a72b-aac8e8e94f41_SetDate">
    <vt:lpwstr>2024-10-29T08:04:02Z</vt:lpwstr>
  </property>
  <property fmtid="{D5CDD505-2E9C-101B-9397-08002B2CF9AE}" pid="29" name="ContentTypeId">
    <vt:lpwstr>0x0101006C0B5E815648EF46B6FA6D42F17E5E9F000C963E276195B04F83BC027CFDC94A8D</vt:lpwstr>
  </property>
  <property fmtid="{D5CDD505-2E9C-101B-9397-08002B2CF9AE}" pid="30" name="RevIMBCS">
    <vt:lpwstr>1;#Unclassified|3955eeb1-2d18-4582-aeb2-00144ec3aaf5</vt:lpwstr>
  </property>
</Properties>
</file>