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F139A" w14:textId="77777777" w:rsidR="004546E3" w:rsidRPr="004546E3" w:rsidRDefault="004546E3" w:rsidP="004546E3">
      <w:pPr>
        <w:spacing w:before="100" w:beforeAutospacing="1" w:after="100" w:afterAutospacing="1"/>
        <w:jc w:val="right"/>
        <w:outlineLvl w:val="1"/>
        <w:rPr>
          <w:rFonts w:ascii="Calibri" w:eastAsia="Times New Roman" w:hAnsi="Calibri" w:cs="Calibri"/>
          <w:b/>
          <w:bCs/>
          <w:color w:val="000000"/>
          <w:sz w:val="36"/>
          <w:szCs w:val="36"/>
          <w:lang w:eastAsia="en-GB"/>
        </w:rPr>
      </w:pPr>
      <w:r w:rsidRPr="004546E3">
        <w:rPr>
          <w:rFonts w:ascii="Calibri" w:hAnsi="Calibri" w:cs="Calibri"/>
          <w:noProof/>
        </w:rPr>
        <w:drawing>
          <wp:inline distT="0" distB="0" distL="0" distR="0" wp14:anchorId="00D0C018" wp14:editId="6365FF15">
            <wp:extent cx="1965118" cy="90525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965118" cy="905255"/>
                    </a:xfrm>
                    <a:prstGeom prst="rect">
                      <a:avLst/>
                    </a:prstGeom>
                  </pic:spPr>
                </pic:pic>
              </a:graphicData>
            </a:graphic>
          </wp:inline>
        </w:drawing>
      </w:r>
      <w:r w:rsidRPr="004546E3">
        <w:rPr>
          <w:rFonts w:ascii="Calibri" w:eastAsia="Times New Roman" w:hAnsi="Calibri" w:cs="Calibri"/>
          <w:b/>
          <w:bCs/>
          <w:color w:val="000000"/>
          <w:sz w:val="36"/>
          <w:szCs w:val="36"/>
          <w:lang w:eastAsia="en-GB"/>
        </w:rPr>
        <w:br/>
      </w:r>
    </w:p>
    <w:p w14:paraId="709BCAC3" w14:textId="0AB79DD8" w:rsidR="004546E3" w:rsidRPr="004546E3" w:rsidRDefault="004546E3" w:rsidP="004546E3">
      <w:pPr>
        <w:spacing w:before="100" w:beforeAutospacing="1" w:after="100" w:afterAutospacing="1"/>
        <w:outlineLvl w:val="1"/>
        <w:rPr>
          <w:rFonts w:ascii="Calibri" w:eastAsia="Times New Roman" w:hAnsi="Calibri" w:cs="Calibri"/>
          <w:b/>
          <w:bCs/>
          <w:color w:val="000000"/>
          <w:sz w:val="36"/>
          <w:szCs w:val="36"/>
          <w:lang w:eastAsia="en-GB"/>
        </w:rPr>
      </w:pPr>
      <w:r w:rsidRPr="004546E3">
        <w:rPr>
          <w:rFonts w:ascii="Calibri" w:eastAsia="Times New Roman" w:hAnsi="Calibri" w:cs="Calibri"/>
          <w:b/>
          <w:bCs/>
          <w:color w:val="000000"/>
          <w:sz w:val="36"/>
          <w:szCs w:val="36"/>
          <w:lang w:eastAsia="en-GB"/>
        </w:rPr>
        <w:t>Submission to the Productivity Commission Inquiry into Improving Non-Financial Business Reporting Requirements</w:t>
      </w:r>
    </w:p>
    <w:p w14:paraId="5F076C81" w14:textId="77777777" w:rsidR="004546E3" w:rsidRPr="0014275A" w:rsidRDefault="004546E3" w:rsidP="004546E3">
      <w:pPr>
        <w:spacing w:before="100" w:beforeAutospacing="1" w:after="100" w:afterAutospacing="1"/>
        <w:outlineLvl w:val="2"/>
        <w:rPr>
          <w:rFonts w:ascii="Calibri" w:eastAsia="Times New Roman" w:hAnsi="Calibri" w:cs="Calibri"/>
          <w:b/>
          <w:bCs/>
          <w:color w:val="000000"/>
          <w:sz w:val="28"/>
          <w:szCs w:val="28"/>
          <w:lang w:eastAsia="en-GB"/>
        </w:rPr>
      </w:pPr>
      <w:r w:rsidRPr="0014275A">
        <w:rPr>
          <w:rFonts w:ascii="Calibri" w:eastAsia="Times New Roman" w:hAnsi="Calibri" w:cs="Calibri"/>
          <w:b/>
          <w:bCs/>
          <w:color w:val="000000"/>
          <w:sz w:val="28"/>
          <w:szCs w:val="28"/>
          <w:lang w:eastAsia="en-GB"/>
        </w:rPr>
        <w:t>1. Executive Summary</w:t>
      </w:r>
    </w:p>
    <w:p w14:paraId="3ADA7F4F"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Group of 100 (G100) welcomes the Productivity Commission's inquiry into opportunities to improve the efficiency and value of non-financial business reporting requirements.</w:t>
      </w:r>
    </w:p>
    <w:p w14:paraId="558C53E6" w14:textId="2E0EAF7A" w:rsidR="005A298A" w:rsidRPr="005A298A" w:rsidRDefault="005A298A" w:rsidP="005A298A">
      <w:pPr>
        <w:pStyle w:val="p1"/>
        <w:rPr>
          <w:rFonts w:ascii="Calibri" w:hAnsi="Calibri" w:cs="Calibri"/>
          <w:sz w:val="24"/>
          <w:szCs w:val="24"/>
        </w:rPr>
      </w:pPr>
      <w:r w:rsidRPr="005A298A">
        <w:rPr>
          <w:rFonts w:ascii="Calibri" w:hAnsi="Calibri" w:cs="Calibri"/>
          <w:sz w:val="24"/>
          <w:szCs w:val="24"/>
        </w:rPr>
        <w:t>The G100 is the nation’s peak body for Chief Financial Officers and leading financial</w:t>
      </w:r>
      <w:r>
        <w:rPr>
          <w:rFonts w:ascii="Calibri" w:hAnsi="Calibri" w:cs="Calibri"/>
          <w:sz w:val="24"/>
          <w:szCs w:val="24"/>
        </w:rPr>
        <w:t xml:space="preserve"> </w:t>
      </w:r>
      <w:r w:rsidRPr="005A298A">
        <w:rPr>
          <w:rFonts w:ascii="Calibri" w:hAnsi="Calibri" w:cs="Calibri"/>
          <w:sz w:val="24"/>
          <w:szCs w:val="24"/>
        </w:rPr>
        <w:t xml:space="preserve">professionals in many of Australia’s largest businesses. </w:t>
      </w:r>
      <w:r>
        <w:rPr>
          <w:rFonts w:ascii="Calibri" w:hAnsi="Calibri" w:cs="Calibri"/>
          <w:sz w:val="24"/>
          <w:szCs w:val="24"/>
        </w:rPr>
        <w:t xml:space="preserve"> </w:t>
      </w:r>
      <w:r w:rsidRPr="005A298A">
        <w:rPr>
          <w:rFonts w:ascii="Calibri" w:hAnsi="Calibri" w:cs="Calibri"/>
          <w:sz w:val="24"/>
          <w:szCs w:val="24"/>
        </w:rPr>
        <w:t>Our purpose is to create better</w:t>
      </w:r>
      <w:r>
        <w:rPr>
          <w:rFonts w:ascii="Calibri" w:hAnsi="Calibri" w:cs="Calibri"/>
          <w:sz w:val="24"/>
          <w:szCs w:val="24"/>
        </w:rPr>
        <w:t xml:space="preserve"> </w:t>
      </w:r>
      <w:r w:rsidRPr="005A298A">
        <w:rPr>
          <w:rFonts w:ascii="Calibri" w:hAnsi="Calibri" w:cs="Calibri"/>
          <w:sz w:val="24"/>
          <w:szCs w:val="24"/>
        </w:rPr>
        <w:t>businesses for tomorrow, one of the ways we deliver this is pro-actively contributing on a</w:t>
      </w:r>
      <w:r>
        <w:rPr>
          <w:rFonts w:ascii="Calibri" w:hAnsi="Calibri" w:cs="Calibri"/>
          <w:sz w:val="24"/>
          <w:szCs w:val="24"/>
        </w:rPr>
        <w:t xml:space="preserve"> </w:t>
      </w:r>
      <w:r w:rsidRPr="005A298A">
        <w:rPr>
          <w:rFonts w:ascii="Calibri" w:hAnsi="Calibri" w:cs="Calibri"/>
          <w:sz w:val="24"/>
          <w:szCs w:val="24"/>
        </w:rPr>
        <w:t>business-to-government level on matters affecting business regulation, financial reporting,</w:t>
      </w:r>
      <w:r>
        <w:rPr>
          <w:rFonts w:ascii="Calibri" w:hAnsi="Calibri" w:cs="Calibri"/>
          <w:sz w:val="24"/>
          <w:szCs w:val="24"/>
        </w:rPr>
        <w:t xml:space="preserve"> </w:t>
      </w:r>
      <w:r w:rsidRPr="005A298A">
        <w:rPr>
          <w:rFonts w:ascii="Calibri" w:hAnsi="Calibri" w:cs="Calibri"/>
          <w:sz w:val="24"/>
          <w:szCs w:val="24"/>
        </w:rPr>
        <w:t>corporate governance, capital markets, taxation and financial management.</w:t>
      </w:r>
    </w:p>
    <w:p w14:paraId="6B52C97F" w14:textId="7E2E22A2"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members operate across a wide range of industries and are directly responsible for, or closely involved in, the systems, processes</w:t>
      </w:r>
      <w:r w:rsidR="005A298A">
        <w:rPr>
          <w:rFonts w:ascii="Calibri" w:eastAsia="Times New Roman" w:hAnsi="Calibri" w:cs="Calibri"/>
          <w:color w:val="000000"/>
          <w:lang w:eastAsia="en-GB"/>
        </w:rPr>
        <w:t xml:space="preserve"> and </w:t>
      </w:r>
      <w:r w:rsidRPr="004546E3">
        <w:rPr>
          <w:rFonts w:ascii="Calibri" w:eastAsia="Times New Roman" w:hAnsi="Calibri" w:cs="Calibri"/>
          <w:color w:val="000000"/>
          <w:lang w:eastAsia="en-GB"/>
        </w:rPr>
        <w:t xml:space="preserve">controls required to meet </w:t>
      </w:r>
      <w:r w:rsidR="005A298A">
        <w:rPr>
          <w:rFonts w:ascii="Calibri" w:eastAsia="Times New Roman" w:hAnsi="Calibri" w:cs="Calibri"/>
          <w:color w:val="000000"/>
          <w:lang w:eastAsia="en-GB"/>
        </w:rPr>
        <w:t>n</w:t>
      </w:r>
      <w:r w:rsidR="005A298A" w:rsidRPr="005A298A">
        <w:rPr>
          <w:rFonts w:ascii="Calibri" w:eastAsia="Times New Roman" w:hAnsi="Calibri" w:cs="Calibri"/>
          <w:color w:val="000000"/>
          <w:lang w:eastAsia="en-GB"/>
        </w:rPr>
        <w:t>on-</w:t>
      </w:r>
      <w:r w:rsidR="005A298A">
        <w:rPr>
          <w:rFonts w:ascii="Calibri" w:eastAsia="Times New Roman" w:hAnsi="Calibri" w:cs="Calibri"/>
          <w:color w:val="000000"/>
          <w:lang w:eastAsia="en-GB"/>
        </w:rPr>
        <w:t>f</w:t>
      </w:r>
      <w:r w:rsidR="005A298A" w:rsidRPr="005A298A">
        <w:rPr>
          <w:rFonts w:ascii="Calibri" w:eastAsia="Times New Roman" w:hAnsi="Calibri" w:cs="Calibri"/>
          <w:color w:val="000000"/>
          <w:lang w:eastAsia="en-GB"/>
        </w:rPr>
        <w:t xml:space="preserve">inancial </w:t>
      </w:r>
      <w:r w:rsidR="005A298A">
        <w:rPr>
          <w:rFonts w:ascii="Calibri" w:eastAsia="Times New Roman" w:hAnsi="Calibri" w:cs="Calibri"/>
          <w:color w:val="000000"/>
          <w:lang w:eastAsia="en-GB"/>
        </w:rPr>
        <w:t>b</w:t>
      </w:r>
      <w:r w:rsidR="005A298A" w:rsidRPr="005A298A">
        <w:rPr>
          <w:rFonts w:ascii="Calibri" w:eastAsia="Times New Roman" w:hAnsi="Calibri" w:cs="Calibri"/>
          <w:color w:val="000000"/>
          <w:lang w:eastAsia="en-GB"/>
        </w:rPr>
        <w:t xml:space="preserve">usiness </w:t>
      </w:r>
      <w:r w:rsidR="005A298A">
        <w:rPr>
          <w:rFonts w:ascii="Calibri" w:eastAsia="Times New Roman" w:hAnsi="Calibri" w:cs="Calibri"/>
          <w:color w:val="000000"/>
          <w:lang w:eastAsia="en-GB"/>
        </w:rPr>
        <w:t>r</w:t>
      </w:r>
      <w:r w:rsidR="005A298A" w:rsidRPr="005A298A">
        <w:rPr>
          <w:rFonts w:ascii="Calibri" w:eastAsia="Times New Roman" w:hAnsi="Calibri" w:cs="Calibri"/>
          <w:color w:val="000000"/>
          <w:lang w:eastAsia="en-GB"/>
        </w:rPr>
        <w:t xml:space="preserve">eporting </w:t>
      </w:r>
      <w:r w:rsidR="005A298A">
        <w:rPr>
          <w:rFonts w:ascii="Calibri" w:eastAsia="Times New Roman" w:hAnsi="Calibri" w:cs="Calibri"/>
          <w:color w:val="000000"/>
          <w:lang w:eastAsia="en-GB"/>
        </w:rPr>
        <w:t>r</w:t>
      </w:r>
      <w:r w:rsidR="005A298A" w:rsidRPr="005A298A">
        <w:rPr>
          <w:rFonts w:ascii="Calibri" w:eastAsia="Times New Roman" w:hAnsi="Calibri" w:cs="Calibri"/>
          <w:color w:val="000000"/>
          <w:lang w:eastAsia="en-GB"/>
        </w:rPr>
        <w:t>equirement</w:t>
      </w:r>
      <w:r w:rsidR="005A298A">
        <w:rPr>
          <w:rFonts w:ascii="Calibri" w:eastAsia="Times New Roman" w:hAnsi="Calibri" w:cs="Calibri"/>
          <w:color w:val="000000"/>
          <w:lang w:eastAsia="en-GB"/>
        </w:rPr>
        <w:t>s</w:t>
      </w:r>
      <w:r w:rsidRPr="004546E3">
        <w:rPr>
          <w:rFonts w:ascii="Calibri" w:eastAsia="Times New Roman" w:hAnsi="Calibri" w:cs="Calibri"/>
          <w:color w:val="000000"/>
          <w:lang w:eastAsia="en-GB"/>
        </w:rPr>
        <w:t>.</w:t>
      </w:r>
    </w:p>
    <w:p w14:paraId="6208F822" w14:textId="25B01C1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G100 supports appropriate transparency and accountability. </w:t>
      </w:r>
      <w:r w:rsidR="005A298A">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Reporting perform</w:t>
      </w:r>
      <w:r w:rsidR="008F1251">
        <w:rPr>
          <w:rFonts w:ascii="Calibri" w:eastAsia="Times New Roman" w:hAnsi="Calibri" w:cs="Calibri"/>
          <w:color w:val="000000"/>
          <w:lang w:eastAsia="en-GB"/>
        </w:rPr>
        <w:t>s</w:t>
      </w:r>
      <w:r w:rsidRPr="004546E3">
        <w:rPr>
          <w:rFonts w:ascii="Calibri" w:eastAsia="Times New Roman" w:hAnsi="Calibri" w:cs="Calibri"/>
          <w:color w:val="000000"/>
          <w:lang w:eastAsia="en-GB"/>
        </w:rPr>
        <w:t xml:space="preserve"> important functions for governments, regulators, investors, employees, consumers and the broader community.</w:t>
      </w:r>
    </w:p>
    <w:p w14:paraId="0D2418E1" w14:textId="39C4DD41"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concern of G100 members is not reporting </w:t>
      </w:r>
      <w:r w:rsidR="004719AB" w:rsidRPr="004546E3">
        <w:rPr>
          <w:rFonts w:ascii="Calibri" w:eastAsia="Times New Roman" w:hAnsi="Calibri" w:cs="Calibri"/>
          <w:color w:val="000000"/>
          <w:lang w:eastAsia="en-GB"/>
        </w:rPr>
        <w:t>itself</w:t>
      </w:r>
      <w:r w:rsidR="004719AB">
        <w:rPr>
          <w:rFonts w:ascii="Calibri" w:eastAsia="Times New Roman" w:hAnsi="Calibri" w:cs="Calibri"/>
          <w:color w:val="000000"/>
          <w:lang w:eastAsia="en-GB"/>
        </w:rPr>
        <w:t>;</w:t>
      </w:r>
      <w:r w:rsidR="005A298A">
        <w:rPr>
          <w:rFonts w:ascii="Calibri" w:eastAsia="Times New Roman" w:hAnsi="Calibri" w:cs="Calibri"/>
          <w:color w:val="000000"/>
          <w:lang w:eastAsia="en-GB"/>
        </w:rPr>
        <w:t xml:space="preserve"> i</w:t>
      </w:r>
      <w:r w:rsidRPr="004546E3">
        <w:rPr>
          <w:rFonts w:ascii="Calibri" w:eastAsia="Times New Roman" w:hAnsi="Calibri" w:cs="Calibri"/>
          <w:color w:val="000000"/>
          <w:lang w:eastAsia="en-GB"/>
        </w:rPr>
        <w:t xml:space="preserve">t is whether Australia is obtaining the information it legitimately requires from business in </w:t>
      </w:r>
      <w:r w:rsidRPr="005A298A">
        <w:rPr>
          <w:rFonts w:ascii="Calibri" w:eastAsia="Times New Roman" w:hAnsi="Calibri" w:cs="Calibri"/>
          <w:color w:val="000000"/>
          <w:lang w:eastAsia="en-GB"/>
        </w:rPr>
        <w:t>the</w:t>
      </w:r>
      <w:r w:rsidR="005A298A" w:rsidRPr="005A298A">
        <w:rPr>
          <w:rFonts w:ascii="Calibri" w:eastAsia="Times New Roman" w:hAnsi="Calibri" w:cs="Calibri"/>
          <w:color w:val="000000"/>
          <w:lang w:eastAsia="en-GB"/>
        </w:rPr>
        <w:t xml:space="preserve"> </w:t>
      </w:r>
      <w:r w:rsidRPr="005A298A">
        <w:rPr>
          <w:rFonts w:ascii="Calibri" w:eastAsia="Times New Roman" w:hAnsi="Calibri" w:cs="Calibri"/>
          <w:color w:val="000000"/>
          <w:lang w:eastAsia="en-GB"/>
        </w:rPr>
        <w:t>most efficient way</w:t>
      </w:r>
      <w:r w:rsidRPr="004546E3">
        <w:rPr>
          <w:rFonts w:ascii="Calibri" w:eastAsia="Times New Roman" w:hAnsi="Calibri" w:cs="Calibri"/>
          <w:color w:val="000000"/>
          <w:lang w:eastAsia="en-GB"/>
        </w:rPr>
        <w:t>.</w:t>
      </w:r>
    </w:p>
    <w:p w14:paraId="401ECCEB" w14:textId="0A36DB8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Productivity Commission has correctly identified that the cumulative burden of multiple reporting requirements can be greater than the burden apparent when individual requirements are considered separately.</w:t>
      </w:r>
      <w:r w:rsidR="005A298A">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 xml:space="preserve"> It has also identified the potential for identical or similar information be</w:t>
      </w:r>
      <w:r w:rsidR="00A97983">
        <w:rPr>
          <w:rFonts w:ascii="Calibri" w:eastAsia="Times New Roman" w:hAnsi="Calibri" w:cs="Calibri"/>
          <w:color w:val="000000"/>
          <w:lang w:eastAsia="en-GB"/>
        </w:rPr>
        <w:t>ing</w:t>
      </w:r>
      <w:r w:rsidRPr="004546E3">
        <w:rPr>
          <w:rFonts w:ascii="Calibri" w:eastAsia="Times New Roman" w:hAnsi="Calibri" w:cs="Calibri"/>
          <w:color w:val="000000"/>
          <w:lang w:eastAsia="en-GB"/>
        </w:rPr>
        <w:t xml:space="preserve"> requested by different bodies, inconsistent definitions and thresholds, different reporting entities within corporate groups, misaligned reporting periods and simultaneous regulatory changes</w:t>
      </w:r>
      <w:r w:rsidR="005A298A">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These issues are particularly apparent from the perspective of a CFO.</w:t>
      </w:r>
    </w:p>
    <w:p w14:paraId="78A81E4C" w14:textId="6FCFBE7F"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A regulator understandably sees the reporting regime it administers. </w:t>
      </w:r>
      <w:r w:rsidR="005A298A">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A CFO sees the aggregate: sustainability and environmental reporting</w:t>
      </w:r>
      <w:r w:rsidR="005A298A">
        <w:rPr>
          <w:rFonts w:ascii="Calibri" w:eastAsia="Times New Roman" w:hAnsi="Calibri" w:cs="Calibri"/>
          <w:color w:val="000000"/>
          <w:lang w:eastAsia="en-GB"/>
        </w:rPr>
        <w:t>;</w:t>
      </w:r>
      <w:r w:rsidRPr="004546E3">
        <w:rPr>
          <w:rFonts w:ascii="Calibri" w:eastAsia="Times New Roman" w:hAnsi="Calibri" w:cs="Calibri"/>
          <w:color w:val="000000"/>
          <w:lang w:eastAsia="en-GB"/>
        </w:rPr>
        <w:t xml:space="preserve"> workforce reporting</w:t>
      </w:r>
      <w:r w:rsidR="005A298A">
        <w:rPr>
          <w:rFonts w:ascii="Calibri" w:eastAsia="Times New Roman" w:hAnsi="Calibri" w:cs="Calibri"/>
          <w:color w:val="000000"/>
          <w:lang w:eastAsia="en-GB"/>
        </w:rPr>
        <w:t>;</w:t>
      </w:r>
      <w:r w:rsidRPr="004546E3">
        <w:rPr>
          <w:rFonts w:ascii="Calibri" w:eastAsia="Times New Roman" w:hAnsi="Calibri" w:cs="Calibri"/>
          <w:color w:val="000000"/>
          <w:lang w:eastAsia="en-GB"/>
        </w:rPr>
        <w:t xml:space="preserve"> payment</w:t>
      </w:r>
      <w:r w:rsidR="005A298A">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times reporting</w:t>
      </w:r>
      <w:r w:rsidR="005A298A">
        <w:rPr>
          <w:rFonts w:ascii="Calibri" w:eastAsia="Times New Roman" w:hAnsi="Calibri" w:cs="Calibri"/>
          <w:color w:val="000000"/>
          <w:lang w:eastAsia="en-GB"/>
        </w:rPr>
        <w:t>;</w:t>
      </w:r>
      <w:r w:rsidRPr="004546E3">
        <w:rPr>
          <w:rFonts w:ascii="Calibri" w:eastAsia="Times New Roman" w:hAnsi="Calibri" w:cs="Calibri"/>
          <w:color w:val="000000"/>
          <w:lang w:eastAsia="en-GB"/>
        </w:rPr>
        <w:t xml:space="preserve"> statistical surveys</w:t>
      </w:r>
      <w:r w:rsidR="005A298A">
        <w:rPr>
          <w:rFonts w:ascii="Calibri" w:eastAsia="Times New Roman" w:hAnsi="Calibri" w:cs="Calibri"/>
          <w:color w:val="000000"/>
          <w:lang w:eastAsia="en-GB"/>
        </w:rPr>
        <w:t>;</w:t>
      </w:r>
      <w:r w:rsidRPr="004546E3">
        <w:rPr>
          <w:rFonts w:ascii="Calibri" w:eastAsia="Times New Roman" w:hAnsi="Calibri" w:cs="Calibri"/>
          <w:color w:val="000000"/>
          <w:lang w:eastAsia="en-GB"/>
        </w:rPr>
        <w:t xml:space="preserve"> tax-related information requirements</w:t>
      </w:r>
      <w:r w:rsidR="005A298A">
        <w:rPr>
          <w:rFonts w:ascii="Calibri" w:eastAsia="Times New Roman" w:hAnsi="Calibri" w:cs="Calibri"/>
          <w:color w:val="000000"/>
          <w:lang w:eastAsia="en-GB"/>
        </w:rPr>
        <w:t>;</w:t>
      </w:r>
      <w:r w:rsidRPr="004546E3">
        <w:rPr>
          <w:rFonts w:ascii="Calibri" w:eastAsia="Times New Roman" w:hAnsi="Calibri" w:cs="Calibri"/>
          <w:color w:val="000000"/>
          <w:lang w:eastAsia="en-GB"/>
        </w:rPr>
        <w:t xml:space="preserve"> industry</w:t>
      </w:r>
      <w:r w:rsidR="005A298A">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specific reporting</w:t>
      </w:r>
      <w:r w:rsidR="005A298A">
        <w:rPr>
          <w:rFonts w:ascii="Calibri" w:eastAsia="Times New Roman" w:hAnsi="Calibri" w:cs="Calibri"/>
          <w:color w:val="000000"/>
          <w:lang w:eastAsia="en-GB"/>
        </w:rPr>
        <w:t>;</w:t>
      </w:r>
      <w:r w:rsidRPr="004546E3">
        <w:rPr>
          <w:rFonts w:ascii="Calibri" w:eastAsia="Times New Roman" w:hAnsi="Calibri" w:cs="Calibri"/>
          <w:color w:val="000000"/>
          <w:lang w:eastAsia="en-GB"/>
        </w:rPr>
        <w:t xml:space="preserve"> and numerous other recurring and event-driven obligations.</w:t>
      </w:r>
    </w:p>
    <w:p w14:paraId="649F3C06" w14:textId="1F18D657" w:rsidR="004546E3" w:rsidRPr="005A298A" w:rsidRDefault="004546E3" w:rsidP="004546E3">
      <w:pPr>
        <w:spacing w:before="100" w:beforeAutospacing="1" w:after="100" w:afterAutospacing="1"/>
        <w:rPr>
          <w:rFonts w:ascii="Calibri" w:eastAsia="Times New Roman" w:hAnsi="Calibri" w:cs="Calibri"/>
          <w:color w:val="000000"/>
          <w:lang w:eastAsia="en-GB"/>
        </w:rPr>
      </w:pPr>
      <w:r w:rsidRPr="005A298A">
        <w:rPr>
          <w:rFonts w:ascii="Calibri" w:eastAsia="Times New Roman" w:hAnsi="Calibri" w:cs="Calibri"/>
          <w:color w:val="000000"/>
          <w:lang w:eastAsia="en-GB"/>
        </w:rPr>
        <w:lastRenderedPageBreak/>
        <w:t>The G100 believes there is considerable scope to reduce this burden</w:t>
      </w:r>
      <w:r w:rsidR="005A298A" w:rsidRPr="005A298A">
        <w:rPr>
          <w:rFonts w:ascii="Calibri" w:eastAsia="Times New Roman" w:hAnsi="Calibri" w:cs="Calibri"/>
          <w:color w:val="000000"/>
          <w:lang w:eastAsia="en-GB"/>
        </w:rPr>
        <w:t xml:space="preserve"> </w:t>
      </w:r>
      <w:r w:rsidRPr="005A298A">
        <w:rPr>
          <w:rFonts w:ascii="Calibri" w:eastAsia="Times New Roman" w:hAnsi="Calibri" w:cs="Calibri"/>
          <w:color w:val="000000"/>
          <w:lang w:eastAsia="en-GB"/>
        </w:rPr>
        <w:t>without reducing transparency or regulatory effectiveness.</w:t>
      </w:r>
    </w:p>
    <w:p w14:paraId="4BCE9A1B" w14:textId="7F23C68D"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Our principal recommendations are that governments adopt:</w:t>
      </w:r>
    </w:p>
    <w:p w14:paraId="4FFAD52D" w14:textId="3344C0CC" w:rsidR="004546E3" w:rsidRPr="004546E3" w:rsidRDefault="00815F58" w:rsidP="004546E3">
      <w:pPr>
        <w:numPr>
          <w:ilvl w:val="0"/>
          <w:numId w:val="1"/>
        </w:num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A</w:t>
      </w:r>
      <w:r>
        <w:rPr>
          <w:rFonts w:ascii="Calibri" w:eastAsia="Times New Roman" w:hAnsi="Calibri" w:cs="Calibri"/>
          <w:color w:val="000000"/>
          <w:lang w:eastAsia="en-GB"/>
        </w:rPr>
        <w:t xml:space="preserve"> ‘</w:t>
      </w:r>
      <w:r w:rsidR="004546E3" w:rsidRPr="00815F58">
        <w:rPr>
          <w:rFonts w:ascii="Calibri" w:eastAsia="Times New Roman" w:hAnsi="Calibri" w:cs="Calibri"/>
          <w:color w:val="000000"/>
          <w:lang w:eastAsia="en-GB"/>
        </w:rPr>
        <w:t>tell us once</w:t>
      </w:r>
      <w:r>
        <w:rPr>
          <w:rFonts w:ascii="Calibri" w:eastAsia="Times New Roman" w:hAnsi="Calibri" w:cs="Calibri"/>
          <w:color w:val="000000"/>
          <w:lang w:eastAsia="en-GB"/>
        </w:rPr>
        <w:t xml:space="preserve">’ </w:t>
      </w:r>
      <w:r w:rsidR="004546E3" w:rsidRPr="004546E3">
        <w:rPr>
          <w:rFonts w:ascii="Calibri" w:eastAsia="Times New Roman" w:hAnsi="Calibri" w:cs="Calibri"/>
          <w:color w:val="000000"/>
          <w:lang w:eastAsia="en-GB"/>
        </w:rPr>
        <w:t xml:space="preserve">approach </w:t>
      </w:r>
      <w:r w:rsidR="00B40EE8">
        <w:rPr>
          <w:rFonts w:ascii="Calibri" w:eastAsia="Times New Roman" w:hAnsi="Calibri" w:cs="Calibri"/>
          <w:color w:val="000000"/>
          <w:lang w:eastAsia="en-GB"/>
        </w:rPr>
        <w:t>where</w:t>
      </w:r>
      <w:r w:rsidR="004546E3" w:rsidRPr="004546E3">
        <w:rPr>
          <w:rFonts w:ascii="Calibri" w:eastAsia="Times New Roman" w:hAnsi="Calibri" w:cs="Calibri"/>
          <w:color w:val="000000"/>
          <w:lang w:eastAsia="en-GB"/>
        </w:rPr>
        <w:t xml:space="preserve"> information already held by government is reused wherever practicable;</w:t>
      </w:r>
    </w:p>
    <w:p w14:paraId="64D0F13E" w14:textId="2C6913E9" w:rsidR="004546E3" w:rsidRPr="004546E3" w:rsidRDefault="00B40EE8" w:rsidP="004546E3">
      <w:pPr>
        <w:numPr>
          <w:ilvl w:val="0"/>
          <w:numId w:val="1"/>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C</w:t>
      </w:r>
      <w:r w:rsidR="004546E3" w:rsidRPr="004546E3">
        <w:rPr>
          <w:rFonts w:ascii="Calibri" w:eastAsia="Times New Roman" w:hAnsi="Calibri" w:cs="Calibri"/>
          <w:color w:val="000000"/>
          <w:lang w:eastAsia="en-GB"/>
        </w:rPr>
        <w:t>ommon definitions, classifications and data standards across reporting regimes;</w:t>
      </w:r>
    </w:p>
    <w:p w14:paraId="3EC3C5D1" w14:textId="2F805816" w:rsidR="004546E3" w:rsidRPr="004546E3" w:rsidRDefault="00B40EE8" w:rsidP="004546E3">
      <w:pPr>
        <w:numPr>
          <w:ilvl w:val="0"/>
          <w:numId w:val="1"/>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nteroperable digital reporting systems that allow information to be reused rather than repeatedly re-created;</w:t>
      </w:r>
    </w:p>
    <w:p w14:paraId="7788CB26" w14:textId="05E9F83C" w:rsidR="004546E3" w:rsidRPr="004546E3" w:rsidRDefault="00B40EE8" w:rsidP="004546E3">
      <w:pPr>
        <w:numPr>
          <w:ilvl w:val="0"/>
          <w:numId w:val="1"/>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A</w:t>
      </w:r>
      <w:r w:rsidR="004546E3" w:rsidRPr="004546E3">
        <w:rPr>
          <w:rFonts w:ascii="Calibri" w:eastAsia="Times New Roman" w:hAnsi="Calibri" w:cs="Calibri"/>
          <w:color w:val="000000"/>
          <w:lang w:eastAsia="en-GB"/>
        </w:rPr>
        <w:t xml:space="preserve"> whole-of-government inventory of business reporting requirements;</w:t>
      </w:r>
    </w:p>
    <w:p w14:paraId="55E6640B" w14:textId="7AE8977E" w:rsidR="004546E3" w:rsidRPr="004546E3" w:rsidRDefault="00B40EE8" w:rsidP="004546E3">
      <w:pPr>
        <w:numPr>
          <w:ilvl w:val="0"/>
          <w:numId w:val="1"/>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A</w:t>
      </w:r>
      <w:r w:rsidR="004546E3" w:rsidRPr="004546E3">
        <w:rPr>
          <w:rFonts w:ascii="Calibri" w:eastAsia="Times New Roman" w:hAnsi="Calibri" w:cs="Calibri"/>
          <w:color w:val="000000"/>
          <w:lang w:eastAsia="en-GB"/>
        </w:rPr>
        <w:t xml:space="preserve"> cumulative reporting</w:t>
      </w:r>
      <w:r>
        <w:rPr>
          <w:rFonts w:ascii="Calibri" w:eastAsia="Times New Roman" w:hAnsi="Calibri" w:cs="Calibri"/>
          <w:color w:val="000000"/>
          <w:lang w:eastAsia="en-GB"/>
        </w:rPr>
        <w:t xml:space="preserve"> </w:t>
      </w:r>
      <w:r w:rsidR="004546E3" w:rsidRPr="004546E3">
        <w:rPr>
          <w:rFonts w:ascii="Calibri" w:eastAsia="Times New Roman" w:hAnsi="Calibri" w:cs="Calibri"/>
          <w:color w:val="000000"/>
          <w:lang w:eastAsia="en-GB"/>
        </w:rPr>
        <w:t>burden assessment before significant new reporting requirements are introduced; and</w:t>
      </w:r>
    </w:p>
    <w:p w14:paraId="0298E1ED" w14:textId="74E51282" w:rsidR="004546E3" w:rsidRPr="004546E3" w:rsidRDefault="00B40EE8" w:rsidP="004546E3">
      <w:pPr>
        <w:numPr>
          <w:ilvl w:val="0"/>
          <w:numId w:val="1"/>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P</w:t>
      </w:r>
      <w:r w:rsidR="004546E3" w:rsidRPr="004546E3">
        <w:rPr>
          <w:rFonts w:ascii="Calibri" w:eastAsia="Times New Roman" w:hAnsi="Calibri" w:cs="Calibri"/>
          <w:color w:val="000000"/>
          <w:lang w:eastAsia="en-GB"/>
        </w:rPr>
        <w:t xml:space="preserve">eriodic review of existing reporting requirements to determine whether the information remains necessary, is </w:t>
      </w:r>
      <w:r w:rsidR="004719AB" w:rsidRPr="004546E3">
        <w:rPr>
          <w:rFonts w:ascii="Calibri" w:eastAsia="Times New Roman" w:hAnsi="Calibri" w:cs="Calibri"/>
          <w:color w:val="000000"/>
          <w:lang w:eastAsia="en-GB"/>
        </w:rPr>
        <w:t>being</w:t>
      </w:r>
      <w:r w:rsidR="004546E3" w:rsidRPr="004546E3">
        <w:rPr>
          <w:rFonts w:ascii="Calibri" w:eastAsia="Times New Roman" w:hAnsi="Calibri" w:cs="Calibri"/>
          <w:color w:val="000000"/>
          <w:lang w:eastAsia="en-GB"/>
        </w:rPr>
        <w:t xml:space="preserve"> used and can be obtained more efficiently.</w:t>
      </w:r>
    </w:p>
    <w:p w14:paraId="6A97A158" w14:textId="7784CDC1" w:rsidR="004546E3" w:rsidRPr="00FB6F01" w:rsidRDefault="004546E3" w:rsidP="004546E3">
      <w:pPr>
        <w:spacing w:before="100" w:beforeAutospacing="1" w:after="100" w:afterAutospacing="1"/>
        <w:rPr>
          <w:rFonts w:ascii="Calibri" w:eastAsia="Times New Roman" w:hAnsi="Calibri" w:cs="Calibri"/>
          <w:color w:val="000000"/>
          <w:lang w:eastAsia="en-GB"/>
        </w:rPr>
      </w:pPr>
      <w:r w:rsidRPr="00FB6F01">
        <w:rPr>
          <w:rFonts w:ascii="Calibri" w:eastAsia="Times New Roman" w:hAnsi="Calibri" w:cs="Calibri"/>
          <w:color w:val="000000"/>
          <w:lang w:eastAsia="en-GB"/>
        </w:rPr>
        <w:t>The objective should not simply be</w:t>
      </w:r>
      <w:r w:rsidR="00FB6F01">
        <w:rPr>
          <w:rFonts w:ascii="Calibri" w:eastAsia="Times New Roman" w:hAnsi="Calibri" w:cs="Calibri"/>
          <w:color w:val="000000"/>
          <w:lang w:eastAsia="en-GB"/>
        </w:rPr>
        <w:t xml:space="preserve"> </w:t>
      </w:r>
      <w:r w:rsidRPr="00FB6F01">
        <w:rPr>
          <w:rFonts w:ascii="Calibri" w:eastAsia="Times New Roman" w:hAnsi="Calibri" w:cs="Calibri"/>
          <w:color w:val="000000"/>
          <w:lang w:eastAsia="en-GB"/>
        </w:rPr>
        <w:t xml:space="preserve">less </w:t>
      </w:r>
      <w:r w:rsidR="004719AB" w:rsidRPr="00FB6F01">
        <w:rPr>
          <w:rFonts w:ascii="Calibri" w:eastAsia="Times New Roman" w:hAnsi="Calibri" w:cs="Calibri"/>
          <w:color w:val="000000"/>
          <w:lang w:eastAsia="en-GB"/>
        </w:rPr>
        <w:t>reporting</w:t>
      </w:r>
      <w:r w:rsidR="004719AB">
        <w:rPr>
          <w:rFonts w:ascii="Calibri" w:eastAsia="Times New Roman" w:hAnsi="Calibri" w:cs="Calibri"/>
          <w:color w:val="000000"/>
          <w:lang w:eastAsia="en-GB"/>
        </w:rPr>
        <w:t>;</w:t>
      </w:r>
      <w:r w:rsidR="00FB6F01">
        <w:rPr>
          <w:rFonts w:ascii="Calibri" w:eastAsia="Times New Roman" w:hAnsi="Calibri" w:cs="Calibri"/>
          <w:color w:val="000000"/>
          <w:lang w:eastAsia="en-GB"/>
        </w:rPr>
        <w:t xml:space="preserve"> i</w:t>
      </w:r>
      <w:r w:rsidRPr="00FB6F01">
        <w:rPr>
          <w:rFonts w:ascii="Calibri" w:eastAsia="Times New Roman" w:hAnsi="Calibri" w:cs="Calibri"/>
          <w:color w:val="000000"/>
          <w:lang w:eastAsia="en-GB"/>
        </w:rPr>
        <w:t>t should be</w:t>
      </w:r>
      <w:r w:rsidR="00FB6F01">
        <w:rPr>
          <w:rFonts w:ascii="Calibri" w:eastAsia="Times New Roman" w:hAnsi="Calibri" w:cs="Calibri"/>
          <w:color w:val="000000"/>
          <w:lang w:eastAsia="en-GB"/>
        </w:rPr>
        <w:t xml:space="preserve"> </w:t>
      </w:r>
      <w:r w:rsidRPr="00FB6F01">
        <w:rPr>
          <w:rFonts w:ascii="Calibri" w:eastAsia="Times New Roman" w:hAnsi="Calibri" w:cs="Calibri"/>
          <w:color w:val="000000"/>
          <w:lang w:eastAsia="en-GB"/>
        </w:rPr>
        <w:t>better reporting undertaken once wherever possible and capable of being used many times.</w:t>
      </w:r>
    </w:p>
    <w:p w14:paraId="13A4FC14" w14:textId="77777777" w:rsidR="004546E3" w:rsidRPr="0014275A"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14275A">
        <w:rPr>
          <w:rFonts w:ascii="Calibri" w:eastAsia="Times New Roman" w:hAnsi="Calibri" w:cs="Calibri"/>
          <w:b/>
          <w:bCs/>
          <w:color w:val="000000"/>
          <w:kern w:val="36"/>
          <w:sz w:val="28"/>
          <w:szCs w:val="28"/>
          <w:lang w:eastAsia="en-GB"/>
        </w:rPr>
        <w:t>2. The CFO Perspective on Reporting Burden</w:t>
      </w:r>
    </w:p>
    <w:p w14:paraId="3B6758F8"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has undertaken preliminary work to understand the breadth of reporting and information obligations applying to its members.</w:t>
      </w:r>
    </w:p>
    <w:p w14:paraId="06CCE36F" w14:textId="08DBA6B6"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That exercise identified a very large number of potential obligations across corporate, taxation, workforce, sustainability, environmental, payment, statistical and industry</w:t>
      </w:r>
      <w:r w:rsidR="00776B92">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specific regimes.</w:t>
      </w:r>
    </w:p>
    <w:p w14:paraId="7D3DDBC8" w14:textId="1B45CAD0"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Not every obligation applies to every company. </w:t>
      </w:r>
      <w:r w:rsidR="00776B92">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 xml:space="preserve">Some apply only to </w:t>
      </w:r>
      <w:r w:rsidR="004719AB" w:rsidRPr="004546E3">
        <w:rPr>
          <w:rFonts w:ascii="Calibri" w:eastAsia="Times New Roman" w:hAnsi="Calibri" w:cs="Calibri"/>
          <w:color w:val="000000"/>
          <w:lang w:eastAsia="en-GB"/>
        </w:rPr>
        <w:t>industries</w:t>
      </w:r>
      <w:r w:rsidRPr="004546E3">
        <w:rPr>
          <w:rFonts w:ascii="Calibri" w:eastAsia="Times New Roman" w:hAnsi="Calibri" w:cs="Calibri"/>
          <w:color w:val="000000"/>
          <w:lang w:eastAsia="en-GB"/>
        </w:rPr>
        <w:t xml:space="preserve"> or businesses above specified thresholds. </w:t>
      </w:r>
      <w:r w:rsidR="00776B92">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Some are formal reports</w:t>
      </w:r>
      <w:r w:rsidR="00776B92">
        <w:rPr>
          <w:rFonts w:ascii="Calibri" w:eastAsia="Times New Roman" w:hAnsi="Calibri" w:cs="Calibri"/>
          <w:color w:val="000000"/>
          <w:lang w:eastAsia="en-GB"/>
        </w:rPr>
        <w:t>,</w:t>
      </w:r>
      <w:r w:rsidRPr="004546E3">
        <w:rPr>
          <w:rFonts w:ascii="Calibri" w:eastAsia="Times New Roman" w:hAnsi="Calibri" w:cs="Calibri"/>
          <w:color w:val="000000"/>
          <w:lang w:eastAsia="en-GB"/>
        </w:rPr>
        <w:t xml:space="preserve"> others are returns, surveys, disclosures, attestations or event-triggered notifications.</w:t>
      </w:r>
    </w:p>
    <w:p w14:paraId="0CFDCBE7" w14:textId="2E545902" w:rsidR="004546E3" w:rsidRPr="00A0634E"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G100 also recognises that financial reporting and continuous disclosure obligations under the Corporations Act are outside the scope of this inquiry, </w:t>
      </w:r>
      <w:r w:rsidR="00866D04">
        <w:rPr>
          <w:rFonts w:ascii="Calibri" w:eastAsia="Times New Roman" w:hAnsi="Calibri" w:cs="Calibri"/>
          <w:color w:val="000000"/>
          <w:lang w:eastAsia="en-GB"/>
        </w:rPr>
        <w:t>a</w:t>
      </w:r>
      <w:r w:rsidRPr="004546E3">
        <w:rPr>
          <w:rFonts w:ascii="Calibri" w:eastAsia="Times New Roman" w:hAnsi="Calibri" w:cs="Calibri"/>
          <w:color w:val="000000"/>
          <w:lang w:eastAsia="en-GB"/>
        </w:rPr>
        <w:t>ccordingly the G100 does not suggest that the raw number of reports or returns is itself an adequate measure of regulatory burden.</w:t>
      </w:r>
      <w:r w:rsidR="00A0634E">
        <w:rPr>
          <w:rFonts w:ascii="Calibri" w:eastAsia="Times New Roman" w:hAnsi="Calibri" w:cs="Calibri"/>
          <w:color w:val="000000"/>
          <w:lang w:eastAsia="en-GB"/>
        </w:rPr>
        <w:t xml:space="preserve">  </w:t>
      </w:r>
      <w:r w:rsidRPr="00A0634E">
        <w:rPr>
          <w:rFonts w:ascii="Calibri" w:eastAsia="Times New Roman" w:hAnsi="Calibri" w:cs="Calibri"/>
          <w:color w:val="000000"/>
          <w:lang w:eastAsia="en-GB"/>
        </w:rPr>
        <w:t>The more important issue is the</w:t>
      </w:r>
      <w:r w:rsidR="00A0634E">
        <w:rPr>
          <w:rFonts w:ascii="Calibri" w:eastAsia="Times New Roman" w:hAnsi="Calibri" w:cs="Calibri"/>
          <w:color w:val="000000"/>
          <w:lang w:eastAsia="en-GB"/>
        </w:rPr>
        <w:t xml:space="preserve"> </w:t>
      </w:r>
      <w:r w:rsidRPr="00A0634E">
        <w:rPr>
          <w:rFonts w:ascii="Calibri" w:eastAsia="Times New Roman" w:hAnsi="Calibri" w:cs="Calibri"/>
          <w:color w:val="000000"/>
          <w:lang w:eastAsia="en-GB"/>
        </w:rPr>
        <w:t>cumulative process required to produce them.</w:t>
      </w:r>
    </w:p>
    <w:p w14:paraId="7F8412A3"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A reporting requirement can involve:</w:t>
      </w:r>
    </w:p>
    <w:p w14:paraId="08CC007D" w14:textId="3B65AD56" w:rsidR="004546E3" w:rsidRPr="004546E3" w:rsidRDefault="0015793F"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dentifying the obligation and interpreting its requirements;</w:t>
      </w:r>
    </w:p>
    <w:p w14:paraId="153B65E6" w14:textId="0DC8C100" w:rsidR="004546E3" w:rsidRPr="004546E3" w:rsidRDefault="0015793F"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D</w:t>
      </w:r>
      <w:r w:rsidR="004546E3" w:rsidRPr="004546E3">
        <w:rPr>
          <w:rFonts w:ascii="Calibri" w:eastAsia="Times New Roman" w:hAnsi="Calibri" w:cs="Calibri"/>
          <w:color w:val="000000"/>
          <w:lang w:eastAsia="en-GB"/>
        </w:rPr>
        <w:t>etermining which entity or entities within a corporate group are affected;</w:t>
      </w:r>
    </w:p>
    <w:p w14:paraId="22C0DBA8" w14:textId="5A1FC1D8" w:rsidR="004546E3" w:rsidRPr="004546E3" w:rsidRDefault="0015793F"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E</w:t>
      </w:r>
      <w:r w:rsidR="004546E3" w:rsidRPr="004546E3">
        <w:rPr>
          <w:rFonts w:ascii="Calibri" w:eastAsia="Times New Roman" w:hAnsi="Calibri" w:cs="Calibri"/>
          <w:color w:val="000000"/>
          <w:lang w:eastAsia="en-GB"/>
        </w:rPr>
        <w:t>xtracting information from multiple systems;</w:t>
      </w:r>
    </w:p>
    <w:p w14:paraId="5BB79139" w14:textId="65865AC1" w:rsidR="004546E3" w:rsidRPr="004546E3" w:rsidRDefault="0015793F"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R</w:t>
      </w:r>
      <w:r w:rsidR="004546E3" w:rsidRPr="004546E3">
        <w:rPr>
          <w:rFonts w:ascii="Calibri" w:eastAsia="Times New Roman" w:hAnsi="Calibri" w:cs="Calibri"/>
          <w:color w:val="000000"/>
          <w:lang w:eastAsia="en-GB"/>
        </w:rPr>
        <w:t>econciling differences in definitions and classifications;</w:t>
      </w:r>
    </w:p>
    <w:p w14:paraId="2C4B25B4" w14:textId="3E6D050E" w:rsidR="004546E3" w:rsidRPr="004546E3" w:rsidRDefault="0015793F"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O</w:t>
      </w:r>
      <w:r w:rsidR="004546E3" w:rsidRPr="004546E3">
        <w:rPr>
          <w:rFonts w:ascii="Calibri" w:eastAsia="Times New Roman" w:hAnsi="Calibri" w:cs="Calibri"/>
          <w:color w:val="000000"/>
          <w:lang w:eastAsia="en-GB"/>
        </w:rPr>
        <w:t>btaining information from operating businesses and subsidiaries;</w:t>
      </w:r>
    </w:p>
    <w:p w14:paraId="59F236BE" w14:textId="64555B70" w:rsidR="004546E3" w:rsidRPr="004546E3" w:rsidRDefault="0015793F"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E</w:t>
      </w:r>
      <w:r w:rsidR="004546E3" w:rsidRPr="004546E3">
        <w:rPr>
          <w:rFonts w:ascii="Calibri" w:eastAsia="Times New Roman" w:hAnsi="Calibri" w:cs="Calibri"/>
          <w:color w:val="000000"/>
          <w:lang w:eastAsia="en-GB"/>
        </w:rPr>
        <w:t>stablishing controls over the information;</w:t>
      </w:r>
    </w:p>
    <w:p w14:paraId="3C2AF462" w14:textId="5E4DBE58" w:rsidR="004546E3" w:rsidRPr="004546E3" w:rsidRDefault="00880703"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O</w:t>
      </w:r>
      <w:r w:rsidR="004546E3" w:rsidRPr="004546E3">
        <w:rPr>
          <w:rFonts w:ascii="Calibri" w:eastAsia="Times New Roman" w:hAnsi="Calibri" w:cs="Calibri"/>
          <w:color w:val="000000"/>
          <w:lang w:eastAsia="en-GB"/>
        </w:rPr>
        <w:t>btaining management, legal or Board review;</w:t>
      </w:r>
    </w:p>
    <w:p w14:paraId="56EE39E1" w14:textId="0740DC18" w:rsidR="004546E3" w:rsidRPr="004546E3" w:rsidRDefault="00880703"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lastRenderedPageBreak/>
        <w:t>O</w:t>
      </w:r>
      <w:r w:rsidR="004546E3" w:rsidRPr="004546E3">
        <w:rPr>
          <w:rFonts w:ascii="Calibri" w:eastAsia="Times New Roman" w:hAnsi="Calibri" w:cs="Calibri"/>
          <w:color w:val="000000"/>
          <w:lang w:eastAsia="en-GB"/>
        </w:rPr>
        <w:t>btaining external assurance where required;</w:t>
      </w:r>
    </w:p>
    <w:p w14:paraId="0C2F4442" w14:textId="13672A6D" w:rsidR="004546E3" w:rsidRPr="004546E3" w:rsidRDefault="00880703"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T</w:t>
      </w:r>
      <w:r w:rsidR="004546E3" w:rsidRPr="004546E3">
        <w:rPr>
          <w:rFonts w:ascii="Calibri" w:eastAsia="Times New Roman" w:hAnsi="Calibri" w:cs="Calibri"/>
          <w:color w:val="000000"/>
          <w:lang w:eastAsia="en-GB"/>
        </w:rPr>
        <w:t>ranslating information into regulator-specific formats;</w:t>
      </w:r>
    </w:p>
    <w:p w14:paraId="0C5A5173" w14:textId="00BD2087" w:rsidR="004546E3" w:rsidRPr="004546E3" w:rsidRDefault="00880703"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S</w:t>
      </w:r>
      <w:r w:rsidR="004546E3" w:rsidRPr="004546E3">
        <w:rPr>
          <w:rFonts w:ascii="Calibri" w:eastAsia="Times New Roman" w:hAnsi="Calibri" w:cs="Calibri"/>
          <w:color w:val="000000"/>
          <w:lang w:eastAsia="en-GB"/>
        </w:rPr>
        <w:t>ubmitting it through different systems; and</w:t>
      </w:r>
    </w:p>
    <w:p w14:paraId="7FF36876" w14:textId="6B7B792A" w:rsidR="004546E3" w:rsidRPr="004546E3" w:rsidRDefault="00880703" w:rsidP="004546E3">
      <w:pPr>
        <w:numPr>
          <w:ilvl w:val="0"/>
          <w:numId w:val="2"/>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S</w:t>
      </w:r>
      <w:r w:rsidR="004546E3" w:rsidRPr="004546E3">
        <w:rPr>
          <w:rFonts w:ascii="Calibri" w:eastAsia="Times New Roman" w:hAnsi="Calibri" w:cs="Calibri"/>
          <w:color w:val="000000"/>
          <w:lang w:eastAsia="en-GB"/>
        </w:rPr>
        <w:t>ubsequently responding to regulator questions or corrections.</w:t>
      </w:r>
    </w:p>
    <w:p w14:paraId="47586529" w14:textId="7EF1E81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Commission </w:t>
      </w:r>
      <w:r w:rsidR="00F35F26">
        <w:rPr>
          <w:rFonts w:ascii="Calibri" w:eastAsia="Times New Roman" w:hAnsi="Calibri" w:cs="Calibri"/>
          <w:color w:val="000000"/>
          <w:lang w:eastAsia="en-GB"/>
        </w:rPr>
        <w:t xml:space="preserve">has </w:t>
      </w:r>
      <w:r w:rsidRPr="004546E3">
        <w:rPr>
          <w:rFonts w:ascii="Calibri" w:eastAsia="Times New Roman" w:hAnsi="Calibri" w:cs="Calibri"/>
          <w:color w:val="000000"/>
          <w:lang w:eastAsia="en-GB"/>
        </w:rPr>
        <w:t>recognise</w:t>
      </w:r>
      <w:r w:rsidR="00F35F26">
        <w:rPr>
          <w:rFonts w:ascii="Calibri" w:eastAsia="Times New Roman" w:hAnsi="Calibri" w:cs="Calibri"/>
          <w:color w:val="000000"/>
          <w:lang w:eastAsia="en-GB"/>
        </w:rPr>
        <w:t>d</w:t>
      </w:r>
      <w:r w:rsidRPr="004546E3">
        <w:rPr>
          <w:rFonts w:ascii="Calibri" w:eastAsia="Times New Roman" w:hAnsi="Calibri" w:cs="Calibri"/>
          <w:color w:val="000000"/>
          <w:lang w:eastAsia="en-GB"/>
        </w:rPr>
        <w:t xml:space="preserve"> that compliance costs include understanding obligations, establishing systems, collecting and maintaining information, preparing and submitting reports and demonstrating compliance.</w:t>
      </w:r>
      <w:r w:rsidR="00F35F26">
        <w:rPr>
          <w:rFonts w:ascii="Calibri" w:eastAsia="Times New Roman" w:hAnsi="Calibri" w:cs="Calibri"/>
          <w:color w:val="000000"/>
          <w:lang w:eastAsia="en-GB"/>
        </w:rPr>
        <w:t xml:space="preserve">  </w:t>
      </w:r>
      <w:r w:rsidRPr="00F35F26">
        <w:rPr>
          <w:rFonts w:ascii="Calibri" w:eastAsia="Times New Roman" w:hAnsi="Calibri" w:cs="Calibri"/>
          <w:color w:val="000000"/>
          <w:lang w:eastAsia="en-GB"/>
        </w:rPr>
        <w:t>For the G100, this is therefore fundamentally a productivity issue, not simply an</w:t>
      </w:r>
      <w:r w:rsidRPr="004546E3">
        <w:rPr>
          <w:rFonts w:ascii="Calibri" w:eastAsia="Times New Roman" w:hAnsi="Calibri" w:cs="Calibri"/>
          <w:color w:val="000000"/>
          <w:lang w:eastAsia="en-GB"/>
        </w:rPr>
        <w:t xml:space="preserve"> administrative inconvenience.</w:t>
      </w:r>
    </w:p>
    <w:p w14:paraId="677051CD" w14:textId="30D4C12A" w:rsidR="004546E3" w:rsidRPr="00F23AC0"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F23AC0">
        <w:rPr>
          <w:rFonts w:ascii="Calibri" w:eastAsia="Times New Roman" w:hAnsi="Calibri" w:cs="Calibri"/>
          <w:b/>
          <w:bCs/>
          <w:color w:val="000000"/>
          <w:kern w:val="36"/>
          <w:sz w:val="28"/>
          <w:szCs w:val="28"/>
          <w:lang w:eastAsia="en-GB"/>
        </w:rPr>
        <w:t>3. Information Request 1</w:t>
      </w:r>
      <w:r w:rsidR="00953694">
        <w:rPr>
          <w:rFonts w:ascii="Calibri" w:eastAsia="Times New Roman" w:hAnsi="Calibri" w:cs="Calibri"/>
          <w:b/>
          <w:bCs/>
          <w:color w:val="000000"/>
          <w:kern w:val="36"/>
          <w:sz w:val="28"/>
          <w:szCs w:val="28"/>
          <w:lang w:eastAsia="en-GB"/>
        </w:rPr>
        <w:t xml:space="preserve">: </w:t>
      </w:r>
      <w:r w:rsidRPr="00F23AC0">
        <w:rPr>
          <w:rFonts w:ascii="Calibri" w:eastAsia="Times New Roman" w:hAnsi="Calibri" w:cs="Calibri"/>
          <w:b/>
          <w:bCs/>
          <w:color w:val="000000"/>
          <w:kern w:val="36"/>
          <w:sz w:val="28"/>
          <w:szCs w:val="28"/>
          <w:lang w:eastAsia="en-GB"/>
        </w:rPr>
        <w:t>Payment Times Reporting</w:t>
      </w:r>
    </w:p>
    <w:p w14:paraId="5AFF0322"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supports the policy objective of encouraging appropriate payment practices towards small businesses.</w:t>
      </w:r>
    </w:p>
    <w:p w14:paraId="04280B25"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Payment Times Reporting Scheme nevertheless illustrates an important question for this inquiry: whether a legitimate policy objective is being achieved using the least burdensome reporting mechanism.</w:t>
      </w:r>
    </w:p>
    <w:p w14:paraId="0F402B1D" w14:textId="60F085B1"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Commission notes that large businesses currently report every six months on payment terms, times and practices relating to small-business suppliers. It also notes that previous reviews identified unnecessary regulatory burdens and opportunities including annual rather than six-monthly reporting and greater integration with business systems and existing government data.</w:t>
      </w:r>
    </w:p>
    <w:p w14:paraId="2BC2B281"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G100 view</w:t>
      </w:r>
    </w:p>
    <w:p w14:paraId="6746D6D4" w14:textId="6BDB74FD" w:rsidR="004546E3" w:rsidRPr="004546E3" w:rsidRDefault="00CB6B65" w:rsidP="004546E3">
      <w:p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T</w:t>
      </w:r>
      <w:r w:rsidR="004546E3" w:rsidRPr="004546E3">
        <w:rPr>
          <w:rFonts w:ascii="Calibri" w:eastAsia="Times New Roman" w:hAnsi="Calibri" w:cs="Calibri"/>
          <w:color w:val="000000"/>
          <w:lang w:eastAsia="en-GB"/>
        </w:rPr>
        <w:t xml:space="preserve">he </w:t>
      </w:r>
      <w:r>
        <w:rPr>
          <w:rFonts w:ascii="Calibri" w:eastAsia="Times New Roman" w:hAnsi="Calibri" w:cs="Calibri"/>
          <w:color w:val="000000"/>
          <w:lang w:eastAsia="en-GB"/>
        </w:rPr>
        <w:t xml:space="preserve">G100 believes the </w:t>
      </w:r>
      <w:r w:rsidR="004546E3" w:rsidRPr="004546E3">
        <w:rPr>
          <w:rFonts w:ascii="Calibri" w:eastAsia="Times New Roman" w:hAnsi="Calibri" w:cs="Calibri"/>
          <w:color w:val="000000"/>
          <w:lang w:eastAsia="en-GB"/>
        </w:rPr>
        <w:t>Commission should examine:</w:t>
      </w:r>
    </w:p>
    <w:p w14:paraId="23AC664C" w14:textId="479DC9FB" w:rsidR="004546E3" w:rsidRPr="004546E3" w:rsidRDefault="00CB6B65" w:rsidP="004546E3">
      <w:pPr>
        <w:numPr>
          <w:ilvl w:val="0"/>
          <w:numId w:val="3"/>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six-monthly reporting remains necessary or whether annual reporting would achieve substantially the same policy outcome;</w:t>
      </w:r>
    </w:p>
    <w:p w14:paraId="27DD3EF0" w14:textId="2785F8AD" w:rsidR="004546E3" w:rsidRPr="004546E3" w:rsidRDefault="00CB6B65" w:rsidP="004546E3">
      <w:pPr>
        <w:numPr>
          <w:ilvl w:val="0"/>
          <w:numId w:val="3"/>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T</w:t>
      </w:r>
      <w:r w:rsidR="004546E3" w:rsidRPr="004546E3">
        <w:rPr>
          <w:rFonts w:ascii="Calibri" w:eastAsia="Times New Roman" w:hAnsi="Calibri" w:cs="Calibri"/>
          <w:color w:val="000000"/>
          <w:lang w:eastAsia="en-GB"/>
        </w:rPr>
        <w:t>he extent to which information can be generated automatically from accounts-payable and ERP systems;</w:t>
      </w:r>
    </w:p>
    <w:p w14:paraId="6DC4420B" w14:textId="2DC9E713" w:rsidR="004546E3" w:rsidRPr="004546E3" w:rsidRDefault="00CB6B65" w:rsidP="004546E3">
      <w:pPr>
        <w:numPr>
          <w:ilvl w:val="0"/>
          <w:numId w:val="3"/>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government-held information can more effectively identify small-business suppliers;</w:t>
      </w:r>
    </w:p>
    <w:p w14:paraId="1D269D6E" w14:textId="1CF91AA0" w:rsidR="004546E3" w:rsidRPr="004546E3" w:rsidRDefault="00CB6B65" w:rsidP="004546E3">
      <w:pPr>
        <w:numPr>
          <w:ilvl w:val="0"/>
          <w:numId w:val="3"/>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current sign-off and assurance requirements are proportionate;</w:t>
      </w:r>
    </w:p>
    <w:p w14:paraId="6D723B22" w14:textId="78C67346" w:rsidR="004546E3" w:rsidRPr="004546E3" w:rsidRDefault="00CB6B65" w:rsidP="004546E3">
      <w:pPr>
        <w:numPr>
          <w:ilvl w:val="0"/>
          <w:numId w:val="3"/>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definitions align with those used elsewhere by government; and</w:t>
      </w:r>
    </w:p>
    <w:p w14:paraId="52536DB4" w14:textId="24FCF7AD" w:rsidR="004546E3" w:rsidRPr="004546E3" w:rsidRDefault="00CB6B65" w:rsidP="004546E3">
      <w:pPr>
        <w:numPr>
          <w:ilvl w:val="0"/>
          <w:numId w:val="3"/>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 xml:space="preserve">mportantly, the extent to which the information being reported is </w:t>
      </w:r>
      <w:r w:rsidR="004719AB" w:rsidRPr="004546E3">
        <w:rPr>
          <w:rFonts w:ascii="Calibri" w:eastAsia="Times New Roman" w:hAnsi="Calibri" w:cs="Calibri"/>
          <w:color w:val="000000"/>
          <w:lang w:eastAsia="en-GB"/>
        </w:rPr>
        <w:t>used</w:t>
      </w:r>
      <w:r w:rsidR="004546E3" w:rsidRPr="004546E3">
        <w:rPr>
          <w:rFonts w:ascii="Calibri" w:eastAsia="Times New Roman" w:hAnsi="Calibri" w:cs="Calibri"/>
          <w:color w:val="000000"/>
          <w:lang w:eastAsia="en-GB"/>
        </w:rPr>
        <w:t xml:space="preserve"> by small businesses and other stakeholders in making commercial decisions.</w:t>
      </w:r>
    </w:p>
    <w:p w14:paraId="7090DCD3" w14:textId="4CF9FFC9"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regulatory cost of collecting information should be assessed against evidence of its use and resulting public benefit</w:t>
      </w:r>
      <w:r w:rsidR="008B7498">
        <w:rPr>
          <w:rFonts w:ascii="Calibri" w:eastAsia="Times New Roman" w:hAnsi="Calibri" w:cs="Calibri"/>
          <w:color w:val="000000"/>
          <w:lang w:eastAsia="en-GB"/>
        </w:rPr>
        <w:t>.</w:t>
      </w:r>
    </w:p>
    <w:p w14:paraId="217571ED" w14:textId="77777777" w:rsidR="00690ACA" w:rsidRDefault="00690ACA">
      <w:pPr>
        <w:rPr>
          <w:rFonts w:ascii="Calibri" w:eastAsia="Times New Roman" w:hAnsi="Calibri" w:cs="Calibri"/>
          <w:b/>
          <w:bCs/>
          <w:color w:val="000000"/>
          <w:kern w:val="36"/>
          <w:sz w:val="28"/>
          <w:szCs w:val="28"/>
          <w:lang w:eastAsia="en-GB"/>
        </w:rPr>
      </w:pPr>
      <w:r>
        <w:rPr>
          <w:rFonts w:ascii="Calibri" w:eastAsia="Times New Roman" w:hAnsi="Calibri" w:cs="Calibri"/>
          <w:b/>
          <w:bCs/>
          <w:color w:val="000000"/>
          <w:kern w:val="36"/>
          <w:sz w:val="28"/>
          <w:szCs w:val="28"/>
          <w:lang w:eastAsia="en-GB"/>
        </w:rPr>
        <w:br w:type="page"/>
      </w:r>
    </w:p>
    <w:p w14:paraId="18351F5B" w14:textId="4C310633" w:rsidR="004546E3" w:rsidRPr="00F23AC0"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F23AC0">
        <w:rPr>
          <w:rFonts w:ascii="Calibri" w:eastAsia="Times New Roman" w:hAnsi="Calibri" w:cs="Calibri"/>
          <w:b/>
          <w:bCs/>
          <w:color w:val="000000"/>
          <w:kern w:val="36"/>
          <w:sz w:val="28"/>
          <w:szCs w:val="28"/>
          <w:lang w:eastAsia="en-GB"/>
        </w:rPr>
        <w:lastRenderedPageBreak/>
        <w:t>4. Information Request 2</w:t>
      </w:r>
      <w:r w:rsidR="00953694">
        <w:rPr>
          <w:rFonts w:ascii="Calibri" w:eastAsia="Times New Roman" w:hAnsi="Calibri" w:cs="Calibri"/>
          <w:b/>
          <w:bCs/>
          <w:color w:val="000000"/>
          <w:kern w:val="36"/>
          <w:sz w:val="28"/>
          <w:szCs w:val="28"/>
          <w:lang w:eastAsia="en-GB"/>
        </w:rPr>
        <w:t xml:space="preserve">: </w:t>
      </w:r>
      <w:r w:rsidRPr="00F23AC0">
        <w:rPr>
          <w:rFonts w:ascii="Calibri" w:eastAsia="Times New Roman" w:hAnsi="Calibri" w:cs="Calibri"/>
          <w:b/>
          <w:bCs/>
          <w:color w:val="000000"/>
          <w:kern w:val="36"/>
          <w:sz w:val="28"/>
          <w:szCs w:val="28"/>
          <w:lang w:eastAsia="en-GB"/>
        </w:rPr>
        <w:t>Sustainability and Environmental Reporting</w:t>
      </w:r>
    </w:p>
    <w:p w14:paraId="4900AB08"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recognises the importance of sustainability and environmental information to investors, governments, regulators and other stakeholders.</w:t>
      </w:r>
    </w:p>
    <w:p w14:paraId="39AE203F"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issue for this inquiry is not whether such information should be available, but whether overlapping regimes collect it efficiently.</w:t>
      </w:r>
    </w:p>
    <w:p w14:paraId="6817D3DF" w14:textId="41BDE036"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Commission has identified climate-related financial disclosures, emissions reporting and pollution reporting as examples of different regimes and has specifically recognised that some impose overlapping reporting requirements.</w:t>
      </w:r>
    </w:p>
    <w:p w14:paraId="7527FAAF"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This is an area where cumulative burden is likely to increase as new sustainability requirements operate alongside established environmental reporting regimes.</w:t>
      </w:r>
    </w:p>
    <w:p w14:paraId="19C90243"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G100 view</w:t>
      </w:r>
    </w:p>
    <w:p w14:paraId="4F689363"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Commission should examine:</w:t>
      </w:r>
    </w:p>
    <w:p w14:paraId="79EB2F01" w14:textId="7B45180B" w:rsidR="004546E3" w:rsidRPr="004546E3" w:rsidRDefault="00FA7548" w:rsidP="004546E3">
      <w:pPr>
        <w:numPr>
          <w:ilvl w:val="0"/>
          <w:numId w:val="4"/>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here substantially similar emissions, energy, environmental or organisational information is required under different regimes;</w:t>
      </w:r>
    </w:p>
    <w:p w14:paraId="4E7724BC" w14:textId="4CACE2C2" w:rsidR="004546E3" w:rsidRPr="004546E3" w:rsidRDefault="00FA7548" w:rsidP="004546E3">
      <w:pPr>
        <w:numPr>
          <w:ilvl w:val="0"/>
          <w:numId w:val="4"/>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terminology, organisational boundaries and definitions differ between regimes;</w:t>
      </w:r>
    </w:p>
    <w:p w14:paraId="4BC92560" w14:textId="286BB228" w:rsidR="004546E3" w:rsidRPr="004546E3" w:rsidRDefault="00FA7548" w:rsidP="004546E3">
      <w:pPr>
        <w:numPr>
          <w:ilvl w:val="0"/>
          <w:numId w:val="4"/>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reporting periods align;</w:t>
      </w:r>
    </w:p>
    <w:p w14:paraId="7EABAEFC" w14:textId="4980ADBF" w:rsidR="004546E3" w:rsidRPr="004546E3" w:rsidRDefault="00FA7548" w:rsidP="004546E3">
      <w:pPr>
        <w:numPr>
          <w:ilvl w:val="0"/>
          <w:numId w:val="4"/>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data collected under established environmental regimes can populate newer sustainability reporting requirements;</w:t>
      </w:r>
    </w:p>
    <w:p w14:paraId="1B64F4F5" w14:textId="679B86BC" w:rsidR="004546E3" w:rsidRPr="004546E3" w:rsidRDefault="00FA7548" w:rsidP="004546E3">
      <w:pPr>
        <w:numPr>
          <w:ilvl w:val="0"/>
          <w:numId w:val="4"/>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information provided to one regulator can be reused by another;</w:t>
      </w:r>
    </w:p>
    <w:p w14:paraId="0B1614C7" w14:textId="383D2DFA" w:rsidR="004546E3" w:rsidRPr="004546E3" w:rsidRDefault="00FA7548" w:rsidP="004546E3">
      <w:pPr>
        <w:numPr>
          <w:ilvl w:val="0"/>
          <w:numId w:val="4"/>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assurance requirements are proportionate and appropriately sequenced; and</w:t>
      </w:r>
    </w:p>
    <w:p w14:paraId="6927CB7D" w14:textId="77777777" w:rsidR="004546E3" w:rsidRPr="004546E3" w:rsidRDefault="004546E3" w:rsidP="004546E3">
      <w:pPr>
        <w:numPr>
          <w:ilvl w:val="0"/>
          <w:numId w:val="4"/>
        </w:num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whether implementation timetables for different reporting reforms are being considered collectively rather than independently.</w:t>
      </w:r>
    </w:p>
    <w:p w14:paraId="36B67944" w14:textId="44D86896"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G100 notes that Treasury is already consulting on aspects of sustainability reporting burden. </w:t>
      </w:r>
      <w:r w:rsidR="009376DA">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 xml:space="preserve">The Commission should avoid duplicating that process but should examine </w:t>
      </w:r>
      <w:r w:rsidRPr="009376DA">
        <w:rPr>
          <w:rFonts w:ascii="Calibri" w:eastAsia="Times New Roman" w:hAnsi="Calibri" w:cs="Calibri"/>
          <w:color w:val="000000"/>
          <w:lang w:eastAsia="en-GB"/>
        </w:rPr>
        <w:t>the</w:t>
      </w:r>
      <w:r w:rsidR="009376DA">
        <w:rPr>
          <w:rFonts w:ascii="Calibri" w:eastAsia="Times New Roman" w:hAnsi="Calibri" w:cs="Calibri"/>
          <w:color w:val="000000"/>
          <w:lang w:eastAsia="en-GB"/>
        </w:rPr>
        <w:t xml:space="preserve"> </w:t>
      </w:r>
      <w:r w:rsidRPr="009376DA">
        <w:rPr>
          <w:rFonts w:ascii="Calibri" w:eastAsia="Times New Roman" w:hAnsi="Calibri" w:cs="Calibri"/>
          <w:color w:val="000000"/>
          <w:lang w:eastAsia="en-GB"/>
        </w:rPr>
        <w:t>interaction between sustainability reporting and other reporting regimes, which is</w:t>
      </w:r>
      <w:r w:rsidRPr="004546E3">
        <w:rPr>
          <w:rFonts w:ascii="Calibri" w:eastAsia="Times New Roman" w:hAnsi="Calibri" w:cs="Calibri"/>
          <w:color w:val="000000"/>
          <w:lang w:eastAsia="en-GB"/>
        </w:rPr>
        <w:t xml:space="preserve"> directly within this inquiry's remit</w:t>
      </w:r>
      <w:r w:rsidR="00D40B2E">
        <w:rPr>
          <w:rFonts w:ascii="Calibri" w:eastAsia="Times New Roman" w:hAnsi="Calibri" w:cs="Calibri"/>
          <w:color w:val="000000"/>
          <w:lang w:eastAsia="en-GB"/>
        </w:rPr>
        <w:t>.</w:t>
      </w:r>
    </w:p>
    <w:p w14:paraId="4ED0491C"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A reporting requirement can be reasonable when considered individually while still creating unnecessary cost because substantially similar information is required elsewhere under different definitions, assurance requirements or reporting periods.</w:t>
      </w:r>
    </w:p>
    <w:p w14:paraId="19746F3C" w14:textId="1A17CCFB" w:rsidR="004546E3" w:rsidRPr="00F23AC0"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F23AC0">
        <w:rPr>
          <w:rFonts w:ascii="Calibri" w:eastAsia="Times New Roman" w:hAnsi="Calibri" w:cs="Calibri"/>
          <w:b/>
          <w:bCs/>
          <w:color w:val="000000"/>
          <w:kern w:val="36"/>
          <w:sz w:val="28"/>
          <w:szCs w:val="28"/>
          <w:lang w:eastAsia="en-GB"/>
        </w:rPr>
        <w:t>5. Information Request 3</w:t>
      </w:r>
      <w:r w:rsidR="00953694">
        <w:rPr>
          <w:rFonts w:ascii="Calibri" w:eastAsia="Times New Roman" w:hAnsi="Calibri" w:cs="Calibri"/>
          <w:b/>
          <w:bCs/>
          <w:color w:val="000000"/>
          <w:kern w:val="36"/>
          <w:sz w:val="28"/>
          <w:szCs w:val="28"/>
          <w:lang w:eastAsia="en-GB"/>
        </w:rPr>
        <w:t xml:space="preserve">: </w:t>
      </w:r>
      <w:r w:rsidRPr="00F23AC0">
        <w:rPr>
          <w:rFonts w:ascii="Calibri" w:eastAsia="Times New Roman" w:hAnsi="Calibri" w:cs="Calibri"/>
          <w:b/>
          <w:bCs/>
          <w:color w:val="000000"/>
          <w:kern w:val="36"/>
          <w:sz w:val="28"/>
          <w:szCs w:val="28"/>
          <w:lang w:eastAsia="en-GB"/>
        </w:rPr>
        <w:t>Workplace Gender Equality Reporting</w:t>
      </w:r>
    </w:p>
    <w:p w14:paraId="22DC100A"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recognises the public policy objectives underlying workplace gender equality reporting.</w:t>
      </w:r>
    </w:p>
    <w:p w14:paraId="6F600ECB" w14:textId="0F98FEB4"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lastRenderedPageBreak/>
        <w:t>The Commission has specifically asked whether greater use of administrative data, including Single Touch Payroll, could reduce duplication and compliance costs.</w:t>
      </w:r>
    </w:p>
    <w:p w14:paraId="532486AB"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considers this an excellent example of the broader principle that should underpin this inquiry.</w:t>
      </w:r>
    </w:p>
    <w:p w14:paraId="3B4F30F4"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G100 view</w:t>
      </w:r>
    </w:p>
    <w:p w14:paraId="5978CBBC" w14:textId="2C55AA6F" w:rsidR="004546E3" w:rsidRPr="00BC6B30"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Where workforce information is already reported to government through STP, taxation, superannuation or other administrative systems, government should first determine whether that information can be reused before requiring employers to separately collect and submit it.</w:t>
      </w:r>
      <w:r w:rsidR="00BC6B30">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This does not mean all WGEA information will necessarily be available from existing sources.</w:t>
      </w:r>
      <w:r w:rsidR="00BC6B30">
        <w:rPr>
          <w:rFonts w:ascii="Calibri" w:eastAsia="Times New Roman" w:hAnsi="Calibri" w:cs="Calibri"/>
          <w:color w:val="000000"/>
          <w:lang w:eastAsia="en-GB"/>
        </w:rPr>
        <w:t xml:space="preserve">  </w:t>
      </w:r>
      <w:r w:rsidRPr="00BC6B30">
        <w:rPr>
          <w:rFonts w:ascii="Calibri" w:eastAsia="Times New Roman" w:hAnsi="Calibri" w:cs="Calibri"/>
          <w:color w:val="000000"/>
          <w:lang w:eastAsia="en-GB"/>
        </w:rPr>
        <w:t xml:space="preserve">It does mean </w:t>
      </w:r>
      <w:r w:rsidR="00BC6B30">
        <w:rPr>
          <w:rFonts w:ascii="Calibri" w:eastAsia="Times New Roman" w:hAnsi="Calibri" w:cs="Calibri"/>
          <w:color w:val="000000"/>
          <w:lang w:eastAsia="en-GB"/>
        </w:rPr>
        <w:t xml:space="preserve">however, </w:t>
      </w:r>
      <w:r w:rsidRPr="00BC6B30">
        <w:rPr>
          <w:rFonts w:ascii="Calibri" w:eastAsia="Times New Roman" w:hAnsi="Calibri" w:cs="Calibri"/>
          <w:color w:val="000000"/>
          <w:lang w:eastAsia="en-GB"/>
        </w:rPr>
        <w:t>that</w:t>
      </w:r>
      <w:r w:rsidR="00BC6B30">
        <w:rPr>
          <w:rFonts w:ascii="Calibri" w:eastAsia="Times New Roman" w:hAnsi="Calibri" w:cs="Calibri"/>
          <w:color w:val="000000"/>
          <w:lang w:eastAsia="en-GB"/>
        </w:rPr>
        <w:t xml:space="preserve"> </w:t>
      </w:r>
      <w:r w:rsidRPr="00BC6B30">
        <w:rPr>
          <w:rFonts w:ascii="Calibri" w:eastAsia="Times New Roman" w:hAnsi="Calibri" w:cs="Calibri"/>
          <w:color w:val="000000"/>
          <w:lang w:eastAsia="en-GB"/>
        </w:rPr>
        <w:t>duplicated collection should require justification.</w:t>
      </w:r>
    </w:p>
    <w:p w14:paraId="0A2CDCD1"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Commission should therefore identify:</w:t>
      </w:r>
    </w:p>
    <w:p w14:paraId="761FF884" w14:textId="77777777" w:rsidR="004546E3" w:rsidRPr="004546E3" w:rsidRDefault="004546E3" w:rsidP="004546E3">
      <w:pPr>
        <w:numPr>
          <w:ilvl w:val="0"/>
          <w:numId w:val="5"/>
        </w:num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WGEA information already held elsewhere within government;</w:t>
      </w:r>
    </w:p>
    <w:p w14:paraId="438DE1CE" w14:textId="74715893" w:rsidR="004546E3" w:rsidRPr="004546E3" w:rsidRDefault="00BC6B30" w:rsidP="004546E3">
      <w:pPr>
        <w:numPr>
          <w:ilvl w:val="0"/>
          <w:numId w:val="5"/>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nformation that could be derived from existing administrative datasets;</w:t>
      </w:r>
    </w:p>
    <w:p w14:paraId="351C6D6F" w14:textId="68B61EE7" w:rsidR="004546E3" w:rsidRPr="004546E3" w:rsidRDefault="00BC6B30" w:rsidP="004546E3">
      <w:pPr>
        <w:numPr>
          <w:ilvl w:val="0"/>
          <w:numId w:val="5"/>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D</w:t>
      </w:r>
      <w:r w:rsidR="004546E3" w:rsidRPr="004546E3">
        <w:rPr>
          <w:rFonts w:ascii="Calibri" w:eastAsia="Times New Roman" w:hAnsi="Calibri" w:cs="Calibri"/>
          <w:color w:val="000000"/>
          <w:lang w:eastAsia="en-GB"/>
        </w:rPr>
        <w:t>ifferences in definitions that currently prevent reuse;</w:t>
      </w:r>
    </w:p>
    <w:p w14:paraId="1E9F0DBF" w14:textId="1979D07F" w:rsidR="004546E3" w:rsidRPr="004546E3" w:rsidRDefault="00BC6B30" w:rsidP="004546E3">
      <w:pPr>
        <w:numPr>
          <w:ilvl w:val="0"/>
          <w:numId w:val="5"/>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L</w:t>
      </w:r>
      <w:r w:rsidR="004546E3" w:rsidRPr="004546E3">
        <w:rPr>
          <w:rFonts w:ascii="Calibri" w:eastAsia="Times New Roman" w:hAnsi="Calibri" w:cs="Calibri"/>
          <w:color w:val="000000"/>
          <w:lang w:eastAsia="en-GB"/>
        </w:rPr>
        <w:t>egislative, privacy or technology barriers to sharing that information; and</w:t>
      </w:r>
    </w:p>
    <w:p w14:paraId="56DF2ABB" w14:textId="4E1F8F7C" w:rsidR="004546E3" w:rsidRPr="004546E3" w:rsidRDefault="00BC6B30" w:rsidP="004546E3">
      <w:pPr>
        <w:numPr>
          <w:ilvl w:val="0"/>
          <w:numId w:val="5"/>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nformation that genuinely requires separate collection because it is unavailable elsewhere.</w:t>
      </w:r>
    </w:p>
    <w:p w14:paraId="5AEC7158" w14:textId="57C2467F"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This would provide a practical test case for a broader "tell us once" architecture.</w:t>
      </w:r>
      <w:r w:rsidR="00FB27E9">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The G100 also supports the Commission examining the actual use and impact of reported information, including the experience of businesses employing between 100 and 500 employees, as specifically requested in the Inquiry paper.</w:t>
      </w:r>
    </w:p>
    <w:p w14:paraId="172D8527" w14:textId="634131C5" w:rsidR="004546E3" w:rsidRPr="00F23AC0"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F23AC0">
        <w:rPr>
          <w:rFonts w:ascii="Calibri" w:eastAsia="Times New Roman" w:hAnsi="Calibri" w:cs="Calibri"/>
          <w:b/>
          <w:bCs/>
          <w:color w:val="000000"/>
          <w:kern w:val="36"/>
          <w:sz w:val="28"/>
          <w:szCs w:val="28"/>
          <w:lang w:eastAsia="en-GB"/>
        </w:rPr>
        <w:t>6. Information Request 4</w:t>
      </w:r>
      <w:r w:rsidR="00953694">
        <w:rPr>
          <w:rFonts w:ascii="Calibri" w:eastAsia="Times New Roman" w:hAnsi="Calibri" w:cs="Calibri"/>
          <w:b/>
          <w:bCs/>
          <w:color w:val="000000"/>
          <w:kern w:val="36"/>
          <w:sz w:val="28"/>
          <w:szCs w:val="28"/>
          <w:lang w:eastAsia="en-GB"/>
        </w:rPr>
        <w:t xml:space="preserve">: </w:t>
      </w:r>
      <w:r w:rsidRPr="00F23AC0">
        <w:rPr>
          <w:rFonts w:ascii="Calibri" w:eastAsia="Times New Roman" w:hAnsi="Calibri" w:cs="Calibri"/>
          <w:b/>
          <w:bCs/>
          <w:color w:val="000000"/>
          <w:kern w:val="36"/>
          <w:sz w:val="28"/>
          <w:szCs w:val="28"/>
          <w:lang w:eastAsia="en-GB"/>
        </w:rPr>
        <w:t>Other Non-Financial Reporting Requirements</w:t>
      </w:r>
    </w:p>
    <w:p w14:paraId="4859EA0E"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believes the Commission should look beyond the three reporting regimes initially identified.</w:t>
      </w:r>
    </w:p>
    <w:p w14:paraId="3C750077"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Our preliminary mapping suggests that large businesses can encounter a considerable range of recurring and event-driven reporting requirements depending on industry, location and corporate structure.</w:t>
      </w:r>
    </w:p>
    <w:p w14:paraId="5B6169E5" w14:textId="24740805" w:rsidR="004546E3" w:rsidRPr="004546E3" w:rsidRDefault="00FF2A6D" w:rsidP="004546E3">
      <w:p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 xml:space="preserve">The </w:t>
      </w:r>
      <w:r w:rsidR="004546E3" w:rsidRPr="004546E3">
        <w:rPr>
          <w:rFonts w:ascii="Calibri" w:eastAsia="Times New Roman" w:hAnsi="Calibri" w:cs="Calibri"/>
          <w:color w:val="000000"/>
          <w:lang w:eastAsia="en-GB"/>
        </w:rPr>
        <w:t xml:space="preserve">G100 </w:t>
      </w:r>
      <w:r>
        <w:rPr>
          <w:rFonts w:ascii="Calibri" w:eastAsia="Times New Roman" w:hAnsi="Calibri" w:cs="Calibri"/>
          <w:color w:val="000000"/>
          <w:lang w:eastAsia="en-GB"/>
        </w:rPr>
        <w:t>has identified that there are</w:t>
      </w:r>
      <w:r w:rsidR="000737D7">
        <w:rPr>
          <w:rFonts w:ascii="Calibri" w:eastAsia="Times New Roman" w:hAnsi="Calibri" w:cs="Calibri"/>
          <w:color w:val="000000"/>
          <w:lang w:eastAsia="en-GB"/>
        </w:rPr>
        <w:t xml:space="preserve"> as many as 90 corporate and financial reports</w:t>
      </w:r>
      <w:r w:rsidR="00C20FBB">
        <w:rPr>
          <w:rFonts w:ascii="Calibri" w:eastAsia="Times New Roman" w:hAnsi="Calibri" w:cs="Calibri"/>
          <w:color w:val="000000"/>
          <w:lang w:eastAsia="en-GB"/>
        </w:rPr>
        <w:t xml:space="preserve"> and survey requests </w:t>
      </w:r>
      <w:r w:rsidR="004546E3" w:rsidRPr="00EE0523">
        <w:rPr>
          <w:rFonts w:ascii="Calibri" w:eastAsia="Times New Roman" w:hAnsi="Calibri" w:cs="Calibri"/>
          <w:color w:val="000000"/>
          <w:lang w:eastAsia="en-GB"/>
        </w:rPr>
        <w:t xml:space="preserve">during </w:t>
      </w:r>
      <w:r w:rsidR="00D73336">
        <w:rPr>
          <w:rFonts w:ascii="Calibri" w:eastAsia="Times New Roman" w:hAnsi="Calibri" w:cs="Calibri"/>
          <w:color w:val="000000"/>
          <w:lang w:eastAsia="en-GB"/>
        </w:rPr>
        <w:t xml:space="preserve">each </w:t>
      </w:r>
      <w:r w:rsidR="004546E3" w:rsidRPr="00EE0523">
        <w:rPr>
          <w:rFonts w:ascii="Calibri" w:eastAsia="Times New Roman" w:hAnsi="Calibri" w:cs="Calibri"/>
          <w:color w:val="000000"/>
          <w:lang w:eastAsia="en-GB"/>
        </w:rPr>
        <w:t>year.</w:t>
      </w:r>
      <w:r w:rsidR="00D73336">
        <w:rPr>
          <w:rFonts w:ascii="Calibri" w:eastAsia="Times New Roman" w:hAnsi="Calibri" w:cs="Calibri"/>
          <w:color w:val="000000"/>
          <w:lang w:eastAsia="en-GB"/>
        </w:rPr>
        <w:t xml:space="preserve">  While t</w:t>
      </w:r>
      <w:r w:rsidR="004546E3" w:rsidRPr="004546E3">
        <w:rPr>
          <w:rFonts w:ascii="Calibri" w:eastAsia="Times New Roman" w:hAnsi="Calibri" w:cs="Calibri"/>
          <w:color w:val="000000"/>
          <w:lang w:eastAsia="en-GB"/>
        </w:rPr>
        <w:t>hese vary in subject matter</w:t>
      </w:r>
      <w:r w:rsidR="00D73336">
        <w:rPr>
          <w:rFonts w:ascii="Calibri" w:eastAsia="Times New Roman" w:hAnsi="Calibri" w:cs="Calibri"/>
          <w:color w:val="000000"/>
          <w:lang w:eastAsia="en-GB"/>
        </w:rPr>
        <w:t>, s</w:t>
      </w:r>
      <w:r w:rsidR="004546E3" w:rsidRPr="004546E3">
        <w:rPr>
          <w:rFonts w:ascii="Calibri" w:eastAsia="Times New Roman" w:hAnsi="Calibri" w:cs="Calibri"/>
          <w:color w:val="000000"/>
          <w:lang w:eastAsia="en-GB"/>
        </w:rPr>
        <w:t>ome are operational, while others request financial or related business information on a monthly, quarterly or annual basis.</w:t>
      </w:r>
      <w:r w:rsidR="00D73336">
        <w:rPr>
          <w:rFonts w:ascii="Calibri" w:eastAsia="Times New Roman" w:hAnsi="Calibri" w:cs="Calibri"/>
          <w:color w:val="000000"/>
          <w:lang w:eastAsia="en-GB"/>
        </w:rPr>
        <w:t xml:space="preserve">  </w:t>
      </w:r>
      <w:r w:rsidR="004546E3" w:rsidRPr="004546E3">
        <w:rPr>
          <w:rFonts w:ascii="Calibri" w:eastAsia="Times New Roman" w:hAnsi="Calibri" w:cs="Calibri"/>
          <w:color w:val="000000"/>
          <w:lang w:eastAsia="en-GB"/>
        </w:rPr>
        <w:t>The G100 is not suggesting that this information lacks value. Reliable national statistics are an important public good.</w:t>
      </w:r>
      <w:r w:rsidR="001A3143">
        <w:rPr>
          <w:rFonts w:ascii="Calibri" w:eastAsia="Times New Roman" w:hAnsi="Calibri" w:cs="Calibri"/>
          <w:color w:val="000000"/>
          <w:lang w:eastAsia="en-GB"/>
        </w:rPr>
        <w:t xml:space="preserve">  </w:t>
      </w:r>
      <w:r w:rsidR="004546E3" w:rsidRPr="004546E3">
        <w:rPr>
          <w:rFonts w:ascii="Calibri" w:eastAsia="Times New Roman" w:hAnsi="Calibri" w:cs="Calibri"/>
          <w:color w:val="000000"/>
          <w:lang w:eastAsia="en-GB"/>
        </w:rPr>
        <w:t>The example instead illustrates the cumulative reporting experience of a large organisation.</w:t>
      </w:r>
    </w:p>
    <w:p w14:paraId="43286B61" w14:textId="7CB6364F"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relevant questions </w:t>
      </w:r>
      <w:r w:rsidR="00412349">
        <w:rPr>
          <w:rFonts w:ascii="Calibri" w:eastAsia="Times New Roman" w:hAnsi="Calibri" w:cs="Calibri"/>
          <w:color w:val="000000"/>
          <w:lang w:eastAsia="en-GB"/>
        </w:rPr>
        <w:t>arising</w:t>
      </w:r>
      <w:r w:rsidR="001A3143">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are:</w:t>
      </w:r>
    </w:p>
    <w:p w14:paraId="00AC4561" w14:textId="267A7D41" w:rsidR="004546E3" w:rsidRPr="004546E3" w:rsidRDefault="001A3143" w:rsidP="004546E3">
      <w:pPr>
        <w:numPr>
          <w:ilvl w:val="0"/>
          <w:numId w:val="6"/>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lastRenderedPageBreak/>
        <w:t>H</w:t>
      </w:r>
      <w:r w:rsidR="004546E3" w:rsidRPr="004546E3">
        <w:rPr>
          <w:rFonts w:ascii="Calibri" w:eastAsia="Times New Roman" w:hAnsi="Calibri" w:cs="Calibri"/>
          <w:color w:val="000000"/>
          <w:lang w:eastAsia="en-GB"/>
        </w:rPr>
        <w:t>ow many separate requests are being made of large businesses across government;</w:t>
      </w:r>
    </w:p>
    <w:p w14:paraId="6BEE453F" w14:textId="33FE7624" w:rsidR="004546E3" w:rsidRPr="004546E3" w:rsidRDefault="001A3143" w:rsidP="004546E3">
      <w:pPr>
        <w:numPr>
          <w:ilvl w:val="0"/>
          <w:numId w:val="6"/>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H</w:t>
      </w:r>
      <w:r w:rsidR="004546E3" w:rsidRPr="004546E3">
        <w:rPr>
          <w:rFonts w:ascii="Calibri" w:eastAsia="Times New Roman" w:hAnsi="Calibri" w:cs="Calibri"/>
          <w:color w:val="000000"/>
          <w:lang w:eastAsia="en-GB"/>
        </w:rPr>
        <w:t>ow much of the requested information already exists elsewhere in government;</w:t>
      </w:r>
    </w:p>
    <w:p w14:paraId="2EE365C5" w14:textId="5F7A3A37" w:rsidR="004546E3" w:rsidRPr="004546E3" w:rsidRDefault="001A3143" w:rsidP="004546E3">
      <w:pPr>
        <w:numPr>
          <w:ilvl w:val="0"/>
          <w:numId w:val="6"/>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the same underlying data is being supplied repeatedly;</w:t>
      </w:r>
    </w:p>
    <w:p w14:paraId="64C3FA86" w14:textId="0EACDC15" w:rsidR="004546E3" w:rsidRPr="004546E3" w:rsidRDefault="001A3143" w:rsidP="004546E3">
      <w:pPr>
        <w:numPr>
          <w:ilvl w:val="0"/>
          <w:numId w:val="6"/>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different definitions require businesses to reconstruct information;</w:t>
      </w:r>
    </w:p>
    <w:p w14:paraId="4D6EDD37" w14:textId="13EDDA4F" w:rsidR="004546E3" w:rsidRPr="004546E3" w:rsidRDefault="001A3143" w:rsidP="004546E3">
      <w:pPr>
        <w:numPr>
          <w:ilvl w:val="0"/>
          <w:numId w:val="6"/>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sampling approaches sufficiently consider the aggregate burden placed on individual companies; and</w:t>
      </w:r>
    </w:p>
    <w:p w14:paraId="31296E75" w14:textId="7E7F0CC1" w:rsidR="004546E3" w:rsidRPr="004546E3" w:rsidRDefault="001A3143" w:rsidP="004546E3">
      <w:pPr>
        <w:numPr>
          <w:ilvl w:val="0"/>
          <w:numId w:val="6"/>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greater administrative data sharing could reduce the number or complexity of business surveys.</w:t>
      </w:r>
    </w:p>
    <w:p w14:paraId="1CF7349C" w14:textId="5FCBBAA1"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A business operating in a highly regulated sector can face economy-wide obligations plus extensive sector-specific requirements. </w:t>
      </w:r>
      <w:r w:rsidR="00E07ECF">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A diversified corporate group may encounter several such regimes simultaneously.</w:t>
      </w:r>
    </w:p>
    <w:p w14:paraId="52A9F54D" w14:textId="5B77F257" w:rsidR="004546E3" w:rsidRPr="00E07ECF"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appropriate question is therefore not simply how burdensome an individual regulation </w:t>
      </w:r>
      <w:r w:rsidRPr="00E07ECF">
        <w:rPr>
          <w:rFonts w:ascii="Calibri" w:eastAsia="Times New Roman" w:hAnsi="Calibri" w:cs="Calibri"/>
          <w:color w:val="000000"/>
          <w:lang w:eastAsia="en-GB"/>
        </w:rPr>
        <w:t>is, but</w:t>
      </w:r>
      <w:r w:rsidR="00E07ECF">
        <w:rPr>
          <w:rFonts w:ascii="Calibri" w:eastAsia="Times New Roman" w:hAnsi="Calibri" w:cs="Calibri"/>
          <w:color w:val="000000"/>
          <w:lang w:eastAsia="en-GB"/>
        </w:rPr>
        <w:t xml:space="preserve"> </w:t>
      </w:r>
      <w:r w:rsidRPr="00E07ECF">
        <w:rPr>
          <w:rFonts w:ascii="Calibri" w:eastAsia="Times New Roman" w:hAnsi="Calibri" w:cs="Calibri"/>
          <w:color w:val="000000"/>
          <w:lang w:eastAsia="en-GB"/>
        </w:rPr>
        <w:t>how many regulatory reporting systems a particular business must operate at the same time.</w:t>
      </w:r>
    </w:p>
    <w:p w14:paraId="3D62B8DD" w14:textId="1573E2F6" w:rsidR="004546E3" w:rsidRPr="00A46E65"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A46E65">
        <w:rPr>
          <w:rFonts w:ascii="Calibri" w:eastAsia="Times New Roman" w:hAnsi="Calibri" w:cs="Calibri"/>
          <w:b/>
          <w:bCs/>
          <w:color w:val="000000"/>
          <w:kern w:val="36"/>
          <w:sz w:val="28"/>
          <w:szCs w:val="28"/>
          <w:lang w:eastAsia="en-GB"/>
        </w:rPr>
        <w:t>7. Information Request 5</w:t>
      </w:r>
      <w:r w:rsidR="004E3A1E">
        <w:rPr>
          <w:rFonts w:ascii="Calibri" w:eastAsia="Times New Roman" w:hAnsi="Calibri" w:cs="Calibri"/>
          <w:b/>
          <w:bCs/>
          <w:color w:val="000000"/>
          <w:kern w:val="36"/>
          <w:sz w:val="28"/>
          <w:szCs w:val="28"/>
          <w:lang w:eastAsia="en-GB"/>
        </w:rPr>
        <w:t xml:space="preserve">: </w:t>
      </w:r>
      <w:r w:rsidRPr="00A46E65">
        <w:rPr>
          <w:rFonts w:ascii="Calibri" w:eastAsia="Times New Roman" w:hAnsi="Calibri" w:cs="Calibri"/>
          <w:b/>
          <w:bCs/>
          <w:color w:val="000000"/>
          <w:kern w:val="36"/>
          <w:sz w:val="28"/>
          <w:szCs w:val="28"/>
          <w:lang w:eastAsia="en-GB"/>
        </w:rPr>
        <w:t>Significant Interactions Between Reporting Requirements</w:t>
      </w:r>
    </w:p>
    <w:p w14:paraId="4798A9BD" w14:textId="58822C3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considers this one of the most important aspects of the inquiry.</w:t>
      </w:r>
      <w:r w:rsidR="00481A9B">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The Commission identifies several possible negative interactions, including identical or similar information being reported to different bodies, inconsistent definitions and thresholds, different reporting entities within corporate groups, misaligned reporting periods and simultaneous regulatory changes.</w:t>
      </w:r>
      <w:r w:rsidR="00481A9B">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All are worthy of examination.</w:t>
      </w:r>
    </w:p>
    <w:p w14:paraId="46B49E16"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Same information, different recipients</w:t>
      </w:r>
    </w:p>
    <w:p w14:paraId="1A219773"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Where substantially identical information is supplied to multiple government agencies, there should be a presumption in favour of government obtaining it from an existing government source rather than requiring the business to submit it again.</w:t>
      </w:r>
    </w:p>
    <w:p w14:paraId="15BBC802"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Similar information, different definitions</w:t>
      </w:r>
    </w:p>
    <w:p w14:paraId="49D6EE30" w14:textId="3AEDACCA"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This can be more burdensome than exact duplication.</w:t>
      </w:r>
      <w:r w:rsidR="00E14339">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 xml:space="preserve">If two regulators ask for apparently similar information but use slightly different definitions, a business may be unable simply to reuse its original response. </w:t>
      </w:r>
      <w:r w:rsidR="00E14339">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It must instead re</w:t>
      </w:r>
      <w:r w:rsidR="00E14339">
        <w:rPr>
          <w:rFonts w:ascii="Calibri" w:eastAsia="Times New Roman" w:hAnsi="Calibri" w:cs="Calibri"/>
          <w:color w:val="000000"/>
          <w:lang w:eastAsia="en-GB"/>
        </w:rPr>
        <w:t>-</w:t>
      </w:r>
      <w:r w:rsidRPr="004546E3">
        <w:rPr>
          <w:rFonts w:ascii="Calibri" w:eastAsia="Times New Roman" w:hAnsi="Calibri" w:cs="Calibri"/>
          <w:color w:val="000000"/>
          <w:lang w:eastAsia="en-GB"/>
        </w:rPr>
        <w:t>extract, reconcile and validate the information.</w:t>
      </w:r>
    </w:p>
    <w:p w14:paraId="557C90C9"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cost therefore lies not merely in submitting information twice, but in maintaining parallel interpretations of substantially the same data.</w:t>
      </w:r>
    </w:p>
    <w:p w14:paraId="26CB57B2"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Different reporting entities</w:t>
      </w:r>
    </w:p>
    <w:p w14:paraId="61F017FC"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Large corporate groups can include multiple subsidiaries, business units and operating structures.</w:t>
      </w:r>
    </w:p>
    <w:p w14:paraId="52D513F5"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lastRenderedPageBreak/>
        <w:t>Requirements attaching variously to the parent, individual subsidiaries, employing entities or operating businesses can materially increase the complexity of data collection and assurance.</w:t>
      </w:r>
    </w:p>
    <w:p w14:paraId="536B900B"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Reporting periods</w:t>
      </w:r>
    </w:p>
    <w:p w14:paraId="7D38844F" w14:textId="32C8C6BB"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Different reporting periods create additional reconciliation requirements.</w:t>
      </w:r>
      <w:r w:rsidR="00621506">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Conversely, multiple substantial reporting obligations falling at the same time can create concentrated demands on finance, legal, sustainability, risk and other corporate functions.</w:t>
      </w:r>
      <w:r w:rsidR="00621506">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Both effects should be considered.</w:t>
      </w:r>
    </w:p>
    <w:p w14:paraId="7C38CA4C"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Simultaneous regulatory change</w:t>
      </w:r>
    </w:p>
    <w:p w14:paraId="29B5D2B3"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cumulative implementation cost of several new reporting requirements being introduced concurrently can be considerably greater than the cost apparent in the impact assessment for any one reform.</w:t>
      </w:r>
    </w:p>
    <w:p w14:paraId="3F60F811"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Businesses may need new systems, controls, data definitions, governance arrangements, assurance processes and specialist staff for several regimes at once.</w:t>
      </w:r>
    </w:p>
    <w:p w14:paraId="06197241" w14:textId="0164E24A" w:rsidR="004546E3" w:rsidRPr="004A1432"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G100 recommends that regulatory impact analysis include an explicit </w:t>
      </w:r>
      <w:r w:rsidRPr="004A1432">
        <w:rPr>
          <w:rFonts w:ascii="Calibri" w:eastAsia="Times New Roman" w:hAnsi="Calibri" w:cs="Calibri"/>
          <w:color w:val="000000"/>
          <w:lang w:eastAsia="en-GB"/>
        </w:rPr>
        <w:t>assessment of</w:t>
      </w:r>
      <w:r w:rsidR="004A1432">
        <w:rPr>
          <w:rFonts w:ascii="Calibri" w:eastAsia="Times New Roman" w:hAnsi="Calibri" w:cs="Calibri"/>
          <w:color w:val="000000"/>
          <w:lang w:eastAsia="en-GB"/>
        </w:rPr>
        <w:t xml:space="preserve"> </w:t>
      </w:r>
      <w:r w:rsidRPr="004A1432">
        <w:rPr>
          <w:rFonts w:ascii="Calibri" w:eastAsia="Times New Roman" w:hAnsi="Calibri" w:cs="Calibri"/>
          <w:color w:val="000000"/>
          <w:lang w:eastAsia="en-GB"/>
        </w:rPr>
        <w:t>other significant reporting changes occurring over the same implementation period.</w:t>
      </w:r>
    </w:p>
    <w:p w14:paraId="69AE812E" w14:textId="77777777" w:rsidR="004546E3" w:rsidRPr="00A46E65"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A46E65">
        <w:rPr>
          <w:rFonts w:ascii="Calibri" w:eastAsia="Times New Roman" w:hAnsi="Calibri" w:cs="Calibri"/>
          <w:b/>
          <w:bCs/>
          <w:color w:val="000000"/>
          <w:kern w:val="36"/>
          <w:sz w:val="28"/>
          <w:szCs w:val="28"/>
          <w:lang w:eastAsia="en-GB"/>
        </w:rPr>
        <w:t>8. The Cumulative Productivity Cost</w:t>
      </w:r>
    </w:p>
    <w:p w14:paraId="6EB3B707" w14:textId="64998F39"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Commission observes that multiple reporting requirements can consume executive and Board attention and potentially limit businesses' capacity to focus on strategy and growth.</w:t>
      </w:r>
      <w:r w:rsidR="00AA4043">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The G100 strongly supports examination of this issue.</w:t>
      </w:r>
    </w:p>
    <w:p w14:paraId="270DBE77" w14:textId="555B2A21"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opportunity cost of reporting should not be underestimated.</w:t>
      </w:r>
      <w:r w:rsidR="00AA4043">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 xml:space="preserve">The contemporary CFO function is responsible for much more than financial reporting. </w:t>
      </w:r>
      <w:r w:rsidR="00AA4043">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CFOs and their teams increasingly have responsibilities encompassing:</w:t>
      </w:r>
    </w:p>
    <w:p w14:paraId="555092C0" w14:textId="79A651DD" w:rsidR="004546E3" w:rsidRPr="004546E3" w:rsidRDefault="00AA4043"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B</w:t>
      </w:r>
      <w:r w:rsidR="004546E3" w:rsidRPr="004546E3">
        <w:rPr>
          <w:rFonts w:ascii="Calibri" w:eastAsia="Times New Roman" w:hAnsi="Calibri" w:cs="Calibri"/>
          <w:color w:val="000000"/>
          <w:lang w:eastAsia="en-GB"/>
        </w:rPr>
        <w:t>usiness strategy;</w:t>
      </w:r>
    </w:p>
    <w:p w14:paraId="0F1AC072" w14:textId="0ED9B631" w:rsidR="004546E3" w:rsidRPr="004546E3" w:rsidRDefault="00AA4043"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C</w:t>
      </w:r>
      <w:r w:rsidR="004546E3" w:rsidRPr="004546E3">
        <w:rPr>
          <w:rFonts w:ascii="Calibri" w:eastAsia="Times New Roman" w:hAnsi="Calibri" w:cs="Calibri"/>
          <w:color w:val="000000"/>
          <w:lang w:eastAsia="en-GB"/>
        </w:rPr>
        <w:t>apital allocation;</w:t>
      </w:r>
    </w:p>
    <w:p w14:paraId="10559016" w14:textId="1CE73115" w:rsidR="004546E3" w:rsidRPr="004546E3" w:rsidRDefault="00AA4043"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nvestment;</w:t>
      </w:r>
    </w:p>
    <w:p w14:paraId="3D855816" w14:textId="3D41C2DF" w:rsidR="004546E3" w:rsidRPr="004546E3" w:rsidRDefault="00AA4043"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P</w:t>
      </w:r>
      <w:r w:rsidR="004546E3" w:rsidRPr="004546E3">
        <w:rPr>
          <w:rFonts w:ascii="Calibri" w:eastAsia="Times New Roman" w:hAnsi="Calibri" w:cs="Calibri"/>
          <w:color w:val="000000"/>
          <w:lang w:eastAsia="en-GB"/>
        </w:rPr>
        <w:t>roductivity and transformation;</w:t>
      </w:r>
    </w:p>
    <w:p w14:paraId="3F911165" w14:textId="3D6AF1CC" w:rsidR="004546E3" w:rsidRPr="004546E3" w:rsidRDefault="00AA4043"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T</w:t>
      </w:r>
      <w:r w:rsidR="004546E3" w:rsidRPr="004546E3">
        <w:rPr>
          <w:rFonts w:ascii="Calibri" w:eastAsia="Times New Roman" w:hAnsi="Calibri" w:cs="Calibri"/>
          <w:color w:val="000000"/>
          <w:lang w:eastAsia="en-GB"/>
        </w:rPr>
        <w:t>echnology and AI;</w:t>
      </w:r>
    </w:p>
    <w:p w14:paraId="3B551B85" w14:textId="4DCF0813" w:rsidR="004546E3" w:rsidRPr="004546E3" w:rsidRDefault="00E809EC"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C</w:t>
      </w:r>
      <w:r w:rsidR="004546E3" w:rsidRPr="004546E3">
        <w:rPr>
          <w:rFonts w:ascii="Calibri" w:eastAsia="Times New Roman" w:hAnsi="Calibri" w:cs="Calibri"/>
          <w:color w:val="000000"/>
          <w:lang w:eastAsia="en-GB"/>
        </w:rPr>
        <w:t>yber risk;</w:t>
      </w:r>
    </w:p>
    <w:p w14:paraId="4B0D9043" w14:textId="2A9EF524" w:rsidR="004546E3" w:rsidRPr="004546E3" w:rsidRDefault="00E809EC"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S</w:t>
      </w:r>
      <w:r w:rsidR="004546E3" w:rsidRPr="004546E3">
        <w:rPr>
          <w:rFonts w:ascii="Calibri" w:eastAsia="Times New Roman" w:hAnsi="Calibri" w:cs="Calibri"/>
          <w:color w:val="000000"/>
          <w:lang w:eastAsia="en-GB"/>
        </w:rPr>
        <w:t>ustainability;</w:t>
      </w:r>
    </w:p>
    <w:p w14:paraId="62643719" w14:textId="3EA07AFD" w:rsidR="004546E3" w:rsidRPr="004546E3" w:rsidRDefault="00E809EC"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R</w:t>
      </w:r>
      <w:r w:rsidR="004546E3" w:rsidRPr="004546E3">
        <w:rPr>
          <w:rFonts w:ascii="Calibri" w:eastAsia="Times New Roman" w:hAnsi="Calibri" w:cs="Calibri"/>
          <w:color w:val="000000"/>
          <w:lang w:eastAsia="en-GB"/>
        </w:rPr>
        <w:t>isk management; and</w:t>
      </w:r>
    </w:p>
    <w:p w14:paraId="39A2B557" w14:textId="31845996" w:rsidR="004546E3" w:rsidRPr="004546E3" w:rsidRDefault="00E809EC" w:rsidP="004546E3">
      <w:pPr>
        <w:numPr>
          <w:ilvl w:val="0"/>
          <w:numId w:val="7"/>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B</w:t>
      </w:r>
      <w:r w:rsidR="004546E3" w:rsidRPr="004546E3">
        <w:rPr>
          <w:rFonts w:ascii="Calibri" w:eastAsia="Times New Roman" w:hAnsi="Calibri" w:cs="Calibri"/>
          <w:color w:val="000000"/>
          <w:lang w:eastAsia="en-GB"/>
        </w:rPr>
        <w:t>usiness performance.</w:t>
      </w:r>
    </w:p>
    <w:p w14:paraId="32139CBA"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Highly skilled finance and corporate professionals spending time repeatedly extracting, reconciling and assuring substantially similar information for different government bodies represents a real economic opportunity cost.</w:t>
      </w:r>
    </w:p>
    <w:p w14:paraId="3CA5FF2E" w14:textId="4AF12447" w:rsidR="004546E3" w:rsidRPr="00E809EC"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lastRenderedPageBreak/>
        <w:t>This is particularly relevant to Australia's wider productivity challenge.</w:t>
      </w:r>
      <w:r w:rsidR="00E809EC">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 xml:space="preserve">The question should </w:t>
      </w:r>
      <w:r w:rsidRPr="00E809EC">
        <w:rPr>
          <w:rFonts w:ascii="Calibri" w:eastAsia="Times New Roman" w:hAnsi="Calibri" w:cs="Calibri"/>
          <w:color w:val="000000"/>
          <w:lang w:eastAsia="en-GB"/>
        </w:rPr>
        <w:t>therefore not simply be</w:t>
      </w:r>
      <w:r w:rsidR="00E809EC" w:rsidRPr="00E809EC">
        <w:rPr>
          <w:rFonts w:ascii="Calibri" w:eastAsia="Times New Roman" w:hAnsi="Calibri" w:cs="Calibri"/>
          <w:color w:val="000000"/>
          <w:lang w:eastAsia="en-GB"/>
        </w:rPr>
        <w:t xml:space="preserve"> h</w:t>
      </w:r>
      <w:r w:rsidRPr="00E809EC">
        <w:rPr>
          <w:rFonts w:ascii="Calibri" w:eastAsia="Times New Roman" w:hAnsi="Calibri" w:cs="Calibri"/>
          <w:color w:val="000000"/>
          <w:lang w:eastAsia="en-GB"/>
        </w:rPr>
        <w:t xml:space="preserve">ow many hours </w:t>
      </w:r>
      <w:r w:rsidR="004719AB" w:rsidRPr="00E809EC">
        <w:rPr>
          <w:rFonts w:ascii="Calibri" w:eastAsia="Times New Roman" w:hAnsi="Calibri" w:cs="Calibri"/>
          <w:color w:val="000000"/>
          <w:lang w:eastAsia="en-GB"/>
        </w:rPr>
        <w:t>it takes</w:t>
      </w:r>
      <w:r w:rsidRPr="00E809EC">
        <w:rPr>
          <w:rFonts w:ascii="Calibri" w:eastAsia="Times New Roman" w:hAnsi="Calibri" w:cs="Calibri"/>
          <w:color w:val="000000"/>
          <w:lang w:eastAsia="en-GB"/>
        </w:rPr>
        <w:t xml:space="preserve"> to complete this report</w:t>
      </w:r>
      <w:r w:rsidR="00E809EC" w:rsidRPr="00E809EC">
        <w:rPr>
          <w:rFonts w:ascii="Calibri" w:eastAsia="Times New Roman" w:hAnsi="Calibri" w:cs="Calibri"/>
          <w:color w:val="000000"/>
          <w:lang w:eastAsia="en-GB"/>
        </w:rPr>
        <w:t>; i</w:t>
      </w:r>
      <w:r w:rsidRPr="00E809EC">
        <w:rPr>
          <w:rFonts w:ascii="Calibri" w:eastAsia="Times New Roman" w:hAnsi="Calibri" w:cs="Calibri"/>
          <w:color w:val="000000"/>
          <w:lang w:eastAsia="en-GB"/>
        </w:rPr>
        <w:t>t should also be</w:t>
      </w:r>
      <w:r w:rsidR="00E809EC" w:rsidRPr="00E809EC">
        <w:rPr>
          <w:rFonts w:ascii="Calibri" w:eastAsia="Times New Roman" w:hAnsi="Calibri" w:cs="Calibri"/>
          <w:color w:val="000000"/>
          <w:lang w:eastAsia="en-GB"/>
        </w:rPr>
        <w:t xml:space="preserve"> w</w:t>
      </w:r>
      <w:r w:rsidRPr="00E809EC">
        <w:rPr>
          <w:rFonts w:ascii="Calibri" w:eastAsia="Times New Roman" w:hAnsi="Calibri" w:cs="Calibri"/>
          <w:color w:val="000000"/>
          <w:lang w:eastAsia="en-GB"/>
        </w:rPr>
        <w:t>hat productive activity is displaced by the cumulative reporting burden</w:t>
      </w:r>
      <w:r w:rsidR="00E809EC" w:rsidRPr="00E809EC">
        <w:rPr>
          <w:rFonts w:ascii="Calibri" w:eastAsia="Times New Roman" w:hAnsi="Calibri" w:cs="Calibri"/>
          <w:color w:val="000000"/>
          <w:lang w:eastAsia="en-GB"/>
        </w:rPr>
        <w:t>.</w:t>
      </w:r>
    </w:p>
    <w:p w14:paraId="4CFD45AD" w14:textId="6F7B2F15" w:rsidR="004546E3" w:rsidRPr="00A46E65"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A46E65">
        <w:rPr>
          <w:rFonts w:ascii="Calibri" w:eastAsia="Times New Roman" w:hAnsi="Calibri" w:cs="Calibri"/>
          <w:b/>
          <w:bCs/>
          <w:color w:val="000000"/>
          <w:kern w:val="36"/>
          <w:sz w:val="28"/>
          <w:szCs w:val="28"/>
          <w:lang w:eastAsia="en-GB"/>
        </w:rPr>
        <w:t>9. Information Request 6</w:t>
      </w:r>
      <w:r w:rsidR="003B3C0B">
        <w:rPr>
          <w:rFonts w:ascii="Calibri" w:eastAsia="Times New Roman" w:hAnsi="Calibri" w:cs="Calibri"/>
          <w:b/>
          <w:bCs/>
          <w:color w:val="000000"/>
          <w:kern w:val="36"/>
          <w:sz w:val="28"/>
          <w:szCs w:val="28"/>
          <w:lang w:eastAsia="en-GB"/>
        </w:rPr>
        <w:t xml:space="preserve">: </w:t>
      </w:r>
      <w:r w:rsidRPr="00A46E65">
        <w:rPr>
          <w:rFonts w:ascii="Calibri" w:eastAsia="Times New Roman" w:hAnsi="Calibri" w:cs="Calibri"/>
          <w:b/>
          <w:bCs/>
          <w:color w:val="000000"/>
          <w:kern w:val="36"/>
          <w:sz w:val="28"/>
          <w:szCs w:val="28"/>
          <w:lang w:eastAsia="en-GB"/>
        </w:rPr>
        <w:t>Reducing Negative Interactions</w:t>
      </w:r>
    </w:p>
    <w:p w14:paraId="2B66EAF2"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proposes six areas for reform.</w:t>
      </w:r>
    </w:p>
    <w:p w14:paraId="26500B60"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9.1 Tell us once</w:t>
      </w:r>
    </w:p>
    <w:p w14:paraId="67D123F6"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Where information has already been supplied to an Australian Government agency, there should be a presumption that government will reuse it rather than require the business to provide it again.</w:t>
      </w:r>
    </w:p>
    <w:p w14:paraId="5D5D7626" w14:textId="5AE88C7F"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There will be legitimate legal, privacy, confidentiality and cybersecurity constraints. </w:t>
      </w:r>
      <w:r w:rsidR="00942962">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These should be identified and addressed rather than automatically becoming reasons for maintaining duplicate reporting systems.</w:t>
      </w:r>
    </w:p>
    <w:p w14:paraId="658A6B37"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9.2 Common definitions and data standards</w:t>
      </w:r>
    </w:p>
    <w:p w14:paraId="08ABC816" w14:textId="1343074B"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Government should progressively establish common definitions for frequently requested business information.</w:t>
      </w:r>
      <w:r w:rsidR="00942962">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Where regulators genuinely require different definitions, the policy reason should be clear.</w:t>
      </w:r>
      <w:r w:rsidR="00942962">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Common data standards would also make automation and reuse substantially easier.</w:t>
      </w:r>
    </w:p>
    <w:p w14:paraId="41279C27"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9.3 Interoperable digital reporting</w:t>
      </w:r>
    </w:p>
    <w:p w14:paraId="039A2C9B" w14:textId="7F0C8F1F"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Digital reform should move beyond putting existing forms online.</w:t>
      </w:r>
      <w:r w:rsidR="00942962">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The longer-term objective should be structured, interoperable data capable of being extracted efficiently from business systems and reused by authorised government agencies.</w:t>
      </w:r>
    </w:p>
    <w:p w14:paraId="4CADF253"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9.4 A whole-of-government reporting inventory</w:t>
      </w:r>
    </w:p>
    <w:p w14:paraId="654CA839" w14:textId="6FDD7B69"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Australian Government should establish and maintain an inventory of recurring business reporting and information requirements.</w:t>
      </w:r>
      <w:r w:rsidR="00B1730B">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For each requirement it should identify:</w:t>
      </w:r>
    </w:p>
    <w:p w14:paraId="48DE8BA4" w14:textId="53F3A06D"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R</w:t>
      </w:r>
      <w:r w:rsidR="004546E3" w:rsidRPr="004546E3">
        <w:rPr>
          <w:rFonts w:ascii="Calibri" w:eastAsia="Times New Roman" w:hAnsi="Calibri" w:cs="Calibri"/>
          <w:color w:val="000000"/>
          <w:lang w:eastAsia="en-GB"/>
        </w:rPr>
        <w:t>esponsible agency;</w:t>
      </w:r>
    </w:p>
    <w:p w14:paraId="1C9FF2DD" w14:textId="7264DE7C"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S</w:t>
      </w:r>
      <w:r w:rsidR="004546E3" w:rsidRPr="004546E3">
        <w:rPr>
          <w:rFonts w:ascii="Calibri" w:eastAsia="Times New Roman" w:hAnsi="Calibri" w:cs="Calibri"/>
          <w:color w:val="000000"/>
          <w:lang w:eastAsia="en-GB"/>
        </w:rPr>
        <w:t>tatutory purpose;</w:t>
      </w:r>
    </w:p>
    <w:p w14:paraId="3F34CB6C" w14:textId="0EAC501C"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B</w:t>
      </w:r>
      <w:r w:rsidR="004546E3" w:rsidRPr="004546E3">
        <w:rPr>
          <w:rFonts w:ascii="Calibri" w:eastAsia="Times New Roman" w:hAnsi="Calibri" w:cs="Calibri"/>
          <w:color w:val="000000"/>
          <w:lang w:eastAsia="en-GB"/>
        </w:rPr>
        <w:t>usinesses affected;</w:t>
      </w:r>
    </w:p>
    <w:p w14:paraId="676CBE7B" w14:textId="5F11CDEE"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F</w:t>
      </w:r>
      <w:r w:rsidR="004546E3" w:rsidRPr="004546E3">
        <w:rPr>
          <w:rFonts w:ascii="Calibri" w:eastAsia="Times New Roman" w:hAnsi="Calibri" w:cs="Calibri"/>
          <w:color w:val="000000"/>
          <w:lang w:eastAsia="en-GB"/>
        </w:rPr>
        <w:t>requency;</w:t>
      </w:r>
    </w:p>
    <w:p w14:paraId="51D46321" w14:textId="703AEFBF"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U</w:t>
      </w:r>
      <w:r w:rsidR="004546E3" w:rsidRPr="004546E3">
        <w:rPr>
          <w:rFonts w:ascii="Calibri" w:eastAsia="Times New Roman" w:hAnsi="Calibri" w:cs="Calibri"/>
          <w:color w:val="000000"/>
          <w:lang w:eastAsia="en-GB"/>
        </w:rPr>
        <w:t>nderlying data required;</w:t>
      </w:r>
    </w:p>
    <w:p w14:paraId="5BEBB8C9" w14:textId="18E27930"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A</w:t>
      </w:r>
      <w:r w:rsidR="004546E3" w:rsidRPr="004546E3">
        <w:rPr>
          <w:rFonts w:ascii="Calibri" w:eastAsia="Times New Roman" w:hAnsi="Calibri" w:cs="Calibri"/>
          <w:color w:val="000000"/>
          <w:lang w:eastAsia="en-GB"/>
        </w:rPr>
        <w:t>pplicable definitions;</w:t>
      </w:r>
    </w:p>
    <w:p w14:paraId="7D1CE204" w14:textId="6BFFB9CE"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R</w:t>
      </w:r>
      <w:r w:rsidR="004546E3" w:rsidRPr="004546E3">
        <w:rPr>
          <w:rFonts w:ascii="Calibri" w:eastAsia="Times New Roman" w:hAnsi="Calibri" w:cs="Calibri"/>
          <w:color w:val="000000"/>
          <w:lang w:eastAsia="en-GB"/>
        </w:rPr>
        <w:t>eporting entity;</w:t>
      </w:r>
    </w:p>
    <w:p w14:paraId="58179BFA" w14:textId="16B5AC03"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A</w:t>
      </w:r>
      <w:r w:rsidR="004546E3" w:rsidRPr="004546E3">
        <w:rPr>
          <w:rFonts w:ascii="Calibri" w:eastAsia="Times New Roman" w:hAnsi="Calibri" w:cs="Calibri"/>
          <w:color w:val="000000"/>
          <w:lang w:eastAsia="en-GB"/>
        </w:rPr>
        <w:t>ssurance requirements;</w:t>
      </w:r>
    </w:p>
    <w:p w14:paraId="1CC7AEA6" w14:textId="2DA2EA07"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substantially similar information is held elsewhere; and</w:t>
      </w:r>
    </w:p>
    <w:p w14:paraId="3383CE34" w14:textId="5DF31325" w:rsidR="004546E3" w:rsidRPr="004546E3" w:rsidRDefault="00B1730B" w:rsidP="004546E3">
      <w:pPr>
        <w:numPr>
          <w:ilvl w:val="0"/>
          <w:numId w:val="8"/>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E</w:t>
      </w:r>
      <w:r w:rsidR="004546E3" w:rsidRPr="004546E3">
        <w:rPr>
          <w:rFonts w:ascii="Calibri" w:eastAsia="Times New Roman" w:hAnsi="Calibri" w:cs="Calibri"/>
          <w:color w:val="000000"/>
          <w:lang w:eastAsia="en-GB"/>
        </w:rPr>
        <w:t xml:space="preserve">vidence about how the reported information is </w:t>
      </w:r>
      <w:r w:rsidR="00412349" w:rsidRPr="004546E3">
        <w:rPr>
          <w:rFonts w:ascii="Calibri" w:eastAsia="Times New Roman" w:hAnsi="Calibri" w:cs="Calibri"/>
          <w:color w:val="000000"/>
          <w:lang w:eastAsia="en-GB"/>
        </w:rPr>
        <w:t>used</w:t>
      </w:r>
      <w:r w:rsidR="004546E3" w:rsidRPr="004546E3">
        <w:rPr>
          <w:rFonts w:ascii="Calibri" w:eastAsia="Times New Roman" w:hAnsi="Calibri" w:cs="Calibri"/>
          <w:color w:val="000000"/>
          <w:lang w:eastAsia="en-GB"/>
        </w:rPr>
        <w:t>.</w:t>
      </w:r>
    </w:p>
    <w:p w14:paraId="72B90A74" w14:textId="2FEB829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lastRenderedPageBreak/>
        <w:t>Such an inventory would make duplication visible</w:t>
      </w:r>
      <w:r w:rsidR="005432C4">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It would also provide a basis for classifying requirements as:</w:t>
      </w:r>
    </w:p>
    <w:p w14:paraId="3FD2E878" w14:textId="0A78B78A" w:rsidR="004546E3" w:rsidRPr="005432C4" w:rsidRDefault="004546E3" w:rsidP="005432C4">
      <w:pPr>
        <w:pStyle w:val="ListParagraph"/>
        <w:numPr>
          <w:ilvl w:val="0"/>
          <w:numId w:val="11"/>
        </w:numPr>
        <w:rPr>
          <w:rFonts w:ascii="Calibri" w:eastAsia="Times New Roman" w:hAnsi="Calibri" w:cs="Calibri"/>
          <w:color w:val="000000"/>
          <w:lang w:eastAsia="en-GB"/>
        </w:rPr>
      </w:pPr>
      <w:r w:rsidRPr="005432C4">
        <w:rPr>
          <w:rFonts w:ascii="Calibri" w:eastAsia="Times New Roman" w:hAnsi="Calibri" w:cs="Calibri"/>
          <w:color w:val="000000"/>
          <w:lang w:eastAsia="en-GB"/>
        </w:rPr>
        <w:t>Retain</w:t>
      </w:r>
      <w:r w:rsidR="005432C4">
        <w:rPr>
          <w:rFonts w:ascii="Calibri" w:eastAsia="Times New Roman" w:hAnsi="Calibri" w:cs="Calibri"/>
          <w:color w:val="000000"/>
          <w:lang w:eastAsia="en-GB"/>
        </w:rPr>
        <w:t xml:space="preserve">: </w:t>
      </w:r>
      <w:r w:rsidRPr="005432C4">
        <w:rPr>
          <w:rFonts w:ascii="Calibri" w:eastAsia="Times New Roman" w:hAnsi="Calibri" w:cs="Calibri"/>
          <w:color w:val="000000"/>
          <w:lang w:eastAsia="en-GB"/>
        </w:rPr>
        <w:t>necessary and efficiently collected.</w:t>
      </w:r>
    </w:p>
    <w:p w14:paraId="192D25D4" w14:textId="3926D113" w:rsidR="004546E3" w:rsidRPr="005432C4" w:rsidRDefault="004546E3" w:rsidP="005432C4">
      <w:pPr>
        <w:pStyle w:val="ListParagraph"/>
        <w:numPr>
          <w:ilvl w:val="0"/>
          <w:numId w:val="11"/>
        </w:numPr>
        <w:rPr>
          <w:rFonts w:ascii="Calibri" w:eastAsia="Times New Roman" w:hAnsi="Calibri" w:cs="Calibri"/>
          <w:color w:val="000000"/>
          <w:lang w:eastAsia="en-GB"/>
        </w:rPr>
      </w:pPr>
      <w:r w:rsidRPr="005432C4">
        <w:rPr>
          <w:rFonts w:ascii="Calibri" w:eastAsia="Times New Roman" w:hAnsi="Calibri" w:cs="Calibri"/>
          <w:color w:val="000000"/>
          <w:lang w:eastAsia="en-GB"/>
        </w:rPr>
        <w:t>Harmonise</w:t>
      </w:r>
      <w:r w:rsidR="005432C4">
        <w:rPr>
          <w:rFonts w:ascii="Calibri" w:eastAsia="Times New Roman" w:hAnsi="Calibri" w:cs="Calibri"/>
          <w:color w:val="000000"/>
          <w:lang w:eastAsia="en-GB"/>
        </w:rPr>
        <w:t xml:space="preserve">: </w:t>
      </w:r>
      <w:r w:rsidRPr="005432C4">
        <w:rPr>
          <w:rFonts w:ascii="Calibri" w:eastAsia="Times New Roman" w:hAnsi="Calibri" w:cs="Calibri"/>
          <w:color w:val="000000"/>
          <w:lang w:eastAsia="en-GB"/>
        </w:rPr>
        <w:t>necessary but definitions, timing or formats should be aligned.</w:t>
      </w:r>
    </w:p>
    <w:p w14:paraId="7410EE82" w14:textId="020B1EED" w:rsidR="004546E3" w:rsidRPr="005432C4" w:rsidRDefault="004546E3" w:rsidP="005432C4">
      <w:pPr>
        <w:pStyle w:val="ListParagraph"/>
        <w:numPr>
          <w:ilvl w:val="0"/>
          <w:numId w:val="11"/>
        </w:numPr>
        <w:rPr>
          <w:rFonts w:ascii="Calibri" w:eastAsia="Times New Roman" w:hAnsi="Calibri" w:cs="Calibri"/>
          <w:color w:val="000000"/>
          <w:lang w:eastAsia="en-GB"/>
        </w:rPr>
      </w:pPr>
      <w:r w:rsidRPr="005432C4">
        <w:rPr>
          <w:rFonts w:ascii="Calibri" w:eastAsia="Times New Roman" w:hAnsi="Calibri" w:cs="Calibri"/>
          <w:color w:val="000000"/>
          <w:lang w:eastAsia="en-GB"/>
        </w:rPr>
        <w:t>Consolidate</w:t>
      </w:r>
      <w:r w:rsidR="005432C4">
        <w:rPr>
          <w:rFonts w:ascii="Calibri" w:eastAsia="Times New Roman" w:hAnsi="Calibri" w:cs="Calibri"/>
          <w:color w:val="000000"/>
          <w:lang w:eastAsia="en-GB"/>
        </w:rPr>
        <w:t xml:space="preserve">: </w:t>
      </w:r>
      <w:r w:rsidRPr="005432C4">
        <w:rPr>
          <w:rFonts w:ascii="Calibri" w:eastAsia="Times New Roman" w:hAnsi="Calibri" w:cs="Calibri"/>
          <w:color w:val="000000"/>
          <w:lang w:eastAsia="en-GB"/>
        </w:rPr>
        <w:t>substantially similar requirements should be combined.</w:t>
      </w:r>
    </w:p>
    <w:p w14:paraId="489AEFC8" w14:textId="1A912C26" w:rsidR="004546E3" w:rsidRPr="005432C4" w:rsidRDefault="004546E3" w:rsidP="005432C4">
      <w:pPr>
        <w:pStyle w:val="ListParagraph"/>
        <w:numPr>
          <w:ilvl w:val="0"/>
          <w:numId w:val="11"/>
        </w:numPr>
        <w:rPr>
          <w:rFonts w:ascii="Calibri" w:eastAsia="Times New Roman" w:hAnsi="Calibri" w:cs="Calibri"/>
          <w:color w:val="000000"/>
          <w:lang w:eastAsia="en-GB"/>
        </w:rPr>
      </w:pPr>
      <w:r w:rsidRPr="005432C4">
        <w:rPr>
          <w:rFonts w:ascii="Calibri" w:eastAsia="Times New Roman" w:hAnsi="Calibri" w:cs="Calibri"/>
          <w:color w:val="000000"/>
          <w:lang w:eastAsia="en-GB"/>
        </w:rPr>
        <w:t>Reuse</w:t>
      </w:r>
      <w:r w:rsidR="005432C4">
        <w:rPr>
          <w:rFonts w:ascii="Calibri" w:eastAsia="Times New Roman" w:hAnsi="Calibri" w:cs="Calibri"/>
          <w:color w:val="000000"/>
          <w:lang w:eastAsia="en-GB"/>
        </w:rPr>
        <w:t xml:space="preserve">: </w:t>
      </w:r>
      <w:r w:rsidRPr="005432C4">
        <w:rPr>
          <w:rFonts w:ascii="Calibri" w:eastAsia="Times New Roman" w:hAnsi="Calibri" w:cs="Calibri"/>
          <w:color w:val="000000"/>
          <w:lang w:eastAsia="en-GB"/>
        </w:rPr>
        <w:t>information should be obtained from an existing government source.</w:t>
      </w:r>
    </w:p>
    <w:p w14:paraId="7AED9D8D" w14:textId="2F87103C" w:rsidR="004546E3" w:rsidRPr="005432C4" w:rsidRDefault="004546E3" w:rsidP="005432C4">
      <w:pPr>
        <w:pStyle w:val="ListParagraph"/>
        <w:numPr>
          <w:ilvl w:val="0"/>
          <w:numId w:val="11"/>
        </w:numPr>
        <w:rPr>
          <w:rFonts w:ascii="Calibri" w:eastAsia="Times New Roman" w:hAnsi="Calibri" w:cs="Calibri"/>
          <w:color w:val="000000"/>
          <w:lang w:eastAsia="en-GB"/>
        </w:rPr>
      </w:pPr>
      <w:r w:rsidRPr="005432C4">
        <w:rPr>
          <w:rFonts w:ascii="Calibri" w:eastAsia="Times New Roman" w:hAnsi="Calibri" w:cs="Calibri"/>
          <w:color w:val="000000"/>
          <w:lang w:eastAsia="en-GB"/>
        </w:rPr>
        <w:t>Remove</w:t>
      </w:r>
      <w:r w:rsidR="005432C4">
        <w:rPr>
          <w:rFonts w:ascii="Calibri" w:eastAsia="Times New Roman" w:hAnsi="Calibri" w:cs="Calibri"/>
          <w:color w:val="000000"/>
          <w:lang w:eastAsia="en-GB"/>
        </w:rPr>
        <w:t xml:space="preserve">: </w:t>
      </w:r>
      <w:r w:rsidRPr="005432C4">
        <w:rPr>
          <w:rFonts w:ascii="Calibri" w:eastAsia="Times New Roman" w:hAnsi="Calibri" w:cs="Calibri"/>
          <w:color w:val="000000"/>
          <w:lang w:eastAsia="en-GB"/>
        </w:rPr>
        <w:t>the regulatory benefit no longer justifies the cost.</w:t>
      </w:r>
    </w:p>
    <w:p w14:paraId="08C21885"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9.5 Cumulative regulatory impact assessment</w:t>
      </w:r>
    </w:p>
    <w:p w14:paraId="1933682E"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Before creating a significant new reporting requirement, policymakers should be required to identify:</w:t>
      </w:r>
    </w:p>
    <w:p w14:paraId="64307996" w14:textId="0DB90063" w:rsidR="004546E3" w:rsidRPr="004546E3" w:rsidRDefault="006F02BA" w:rsidP="004546E3">
      <w:pPr>
        <w:numPr>
          <w:ilvl w:val="0"/>
          <w:numId w:val="9"/>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hat information is required and why;</w:t>
      </w:r>
    </w:p>
    <w:p w14:paraId="32B55745" w14:textId="6819CA2D" w:rsidR="004546E3" w:rsidRPr="004546E3" w:rsidRDefault="006F02BA" w:rsidP="004546E3">
      <w:pPr>
        <w:numPr>
          <w:ilvl w:val="0"/>
          <w:numId w:val="9"/>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government already holds it;</w:t>
      </w:r>
    </w:p>
    <w:p w14:paraId="71E1BB7E" w14:textId="56C1EDFF" w:rsidR="004546E3" w:rsidRPr="004546E3" w:rsidRDefault="006F02BA" w:rsidP="004546E3">
      <w:pPr>
        <w:numPr>
          <w:ilvl w:val="0"/>
          <w:numId w:val="9"/>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hy existing information cannot be reused;</w:t>
      </w:r>
    </w:p>
    <w:p w14:paraId="7BE2D146" w14:textId="2EBDD9B1" w:rsidR="004546E3" w:rsidRPr="004546E3" w:rsidRDefault="006F02BA" w:rsidP="004546E3">
      <w:pPr>
        <w:numPr>
          <w:ilvl w:val="0"/>
          <w:numId w:val="9"/>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W</w:t>
      </w:r>
      <w:r w:rsidR="004546E3" w:rsidRPr="004546E3">
        <w:rPr>
          <w:rFonts w:ascii="Calibri" w:eastAsia="Times New Roman" w:hAnsi="Calibri" w:cs="Calibri"/>
          <w:color w:val="000000"/>
          <w:lang w:eastAsia="en-GB"/>
        </w:rPr>
        <w:t>hether existing government definitions and standards can be adopted;</w:t>
      </w:r>
    </w:p>
    <w:p w14:paraId="4783580D" w14:textId="1180334D" w:rsidR="004546E3" w:rsidRPr="004546E3" w:rsidRDefault="006F02BA" w:rsidP="004546E3">
      <w:pPr>
        <w:numPr>
          <w:ilvl w:val="0"/>
          <w:numId w:val="9"/>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O</w:t>
      </w:r>
      <w:r w:rsidR="004546E3" w:rsidRPr="004546E3">
        <w:rPr>
          <w:rFonts w:ascii="Calibri" w:eastAsia="Times New Roman" w:hAnsi="Calibri" w:cs="Calibri"/>
          <w:color w:val="000000"/>
          <w:lang w:eastAsia="en-GB"/>
        </w:rPr>
        <w:t>ther reporting reforms affecting the same businesses during the implementation period;</w:t>
      </w:r>
    </w:p>
    <w:p w14:paraId="14D5BAAD" w14:textId="7B88AA1C" w:rsidR="004546E3" w:rsidRPr="004546E3" w:rsidRDefault="006F02BA" w:rsidP="004546E3">
      <w:pPr>
        <w:numPr>
          <w:ilvl w:val="0"/>
          <w:numId w:val="9"/>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E</w:t>
      </w:r>
      <w:r w:rsidR="004546E3" w:rsidRPr="004546E3">
        <w:rPr>
          <w:rFonts w:ascii="Calibri" w:eastAsia="Times New Roman" w:hAnsi="Calibri" w:cs="Calibri"/>
          <w:color w:val="000000"/>
          <w:lang w:eastAsia="en-GB"/>
        </w:rPr>
        <w:t>stimated implementation and recurring costs; and</w:t>
      </w:r>
    </w:p>
    <w:p w14:paraId="66672B0E" w14:textId="38A9CC35" w:rsidR="004546E3" w:rsidRPr="004546E3" w:rsidRDefault="006F02BA" w:rsidP="004546E3">
      <w:pPr>
        <w:numPr>
          <w:ilvl w:val="0"/>
          <w:numId w:val="9"/>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H</w:t>
      </w:r>
      <w:r w:rsidR="004546E3" w:rsidRPr="004546E3">
        <w:rPr>
          <w:rFonts w:ascii="Calibri" w:eastAsia="Times New Roman" w:hAnsi="Calibri" w:cs="Calibri"/>
          <w:color w:val="000000"/>
          <w:lang w:eastAsia="en-GB"/>
        </w:rPr>
        <w:t>ow the requirement will subsequently be reviewed.</w:t>
      </w:r>
    </w:p>
    <w:p w14:paraId="1EEB985F"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This would complement rather than replace existing regulatory impact processes.</w:t>
      </w:r>
    </w:p>
    <w:p w14:paraId="4F4137A6" w14:textId="77777777" w:rsidR="004546E3" w:rsidRPr="004546E3" w:rsidRDefault="004546E3" w:rsidP="004546E3">
      <w:pPr>
        <w:spacing w:before="100" w:beforeAutospacing="1" w:after="100" w:afterAutospacing="1"/>
        <w:outlineLvl w:val="2"/>
        <w:rPr>
          <w:rFonts w:ascii="Calibri" w:eastAsia="Times New Roman" w:hAnsi="Calibri" w:cs="Calibri"/>
          <w:b/>
          <w:bCs/>
          <w:color w:val="000000"/>
          <w:sz w:val="27"/>
          <w:szCs w:val="27"/>
          <w:lang w:eastAsia="en-GB"/>
        </w:rPr>
      </w:pPr>
      <w:r w:rsidRPr="004546E3">
        <w:rPr>
          <w:rFonts w:ascii="Calibri" w:eastAsia="Times New Roman" w:hAnsi="Calibri" w:cs="Calibri"/>
          <w:b/>
          <w:bCs/>
          <w:color w:val="000000"/>
          <w:sz w:val="27"/>
          <w:szCs w:val="27"/>
          <w:lang w:eastAsia="en-GB"/>
        </w:rPr>
        <w:t>9.6 Periodic usefulness test</w:t>
      </w:r>
    </w:p>
    <w:p w14:paraId="4C8525EB" w14:textId="6748B83E"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Existing reporting requirements should be periodically reviewed against a simple question</w:t>
      </w:r>
      <w:r w:rsidR="009B58FF">
        <w:rPr>
          <w:rFonts w:ascii="Calibri" w:eastAsia="Times New Roman" w:hAnsi="Calibri" w:cs="Calibri"/>
          <w:color w:val="000000"/>
          <w:lang w:eastAsia="en-GB"/>
        </w:rPr>
        <w:t xml:space="preserve"> of w</w:t>
      </w:r>
      <w:r w:rsidRPr="009B58FF">
        <w:rPr>
          <w:rFonts w:ascii="Calibri" w:eastAsia="Times New Roman" w:hAnsi="Calibri" w:cs="Calibri"/>
          <w:color w:val="000000"/>
          <w:lang w:eastAsia="en-GB"/>
        </w:rPr>
        <w:t>ho uses this information, for what purpose, and what evidence is there that its benefit continues to justify the cost of producing it?</w:t>
      </w:r>
      <w:r w:rsidR="009B58FF">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Reporting should not continue indefinitely simply because systems have developed around it.</w:t>
      </w:r>
    </w:p>
    <w:p w14:paraId="1C81458C" w14:textId="1CB70B29"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Commission appropriately notes that changing established systems can itself impose transition costs.</w:t>
      </w:r>
      <w:r w:rsidR="009B58FF">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Accordingly, reform should concentrate first on areas where duplication or unnecessary reconciliation is significant enough to justify transition.</w:t>
      </w:r>
    </w:p>
    <w:p w14:paraId="4438054B" w14:textId="77777777" w:rsidR="004546E3" w:rsidRPr="00775ECE"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775ECE">
        <w:rPr>
          <w:rFonts w:ascii="Calibri" w:eastAsia="Times New Roman" w:hAnsi="Calibri" w:cs="Calibri"/>
          <w:b/>
          <w:bCs/>
          <w:color w:val="000000"/>
          <w:kern w:val="36"/>
          <w:sz w:val="28"/>
          <w:szCs w:val="28"/>
          <w:lang w:eastAsia="en-GB"/>
        </w:rPr>
        <w:t>10. Building the Evidence Base</w:t>
      </w:r>
    </w:p>
    <w:p w14:paraId="2A24457B"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G100's preliminary reporting map provides a starting point, but further work is required to distinguish precisely between reports, returns, disclosures, surveys, attestations and event-driven notifications and to identify the underlying data requested by each.</w:t>
      </w:r>
    </w:p>
    <w:p w14:paraId="4C8A430B"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We believe that exercise itself illustrates an important issue: Australia's business reporting environment has developed progressively across different statutes, regulators and policy objectives rather than as a single reporting system.</w:t>
      </w:r>
    </w:p>
    <w:p w14:paraId="6F3AE226"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lastRenderedPageBreak/>
        <w:t>The G100 proposes to continue working with members to identify practical examples including:</w:t>
      </w:r>
    </w:p>
    <w:p w14:paraId="4102ADE3" w14:textId="15E986B0"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S</w:t>
      </w:r>
      <w:r w:rsidR="004546E3" w:rsidRPr="004546E3">
        <w:rPr>
          <w:rFonts w:ascii="Calibri" w:eastAsia="Times New Roman" w:hAnsi="Calibri" w:cs="Calibri"/>
          <w:color w:val="000000"/>
          <w:lang w:eastAsia="en-GB"/>
        </w:rPr>
        <w:t xml:space="preserve">taff hours devoted to </w:t>
      </w:r>
      <w:r w:rsidR="00412349" w:rsidRPr="004546E3">
        <w:rPr>
          <w:rFonts w:ascii="Calibri" w:eastAsia="Times New Roman" w:hAnsi="Calibri" w:cs="Calibri"/>
          <w:color w:val="000000"/>
          <w:lang w:eastAsia="en-GB"/>
        </w:rPr>
        <w:t>reporting</w:t>
      </w:r>
      <w:r w:rsidR="004546E3" w:rsidRPr="004546E3">
        <w:rPr>
          <w:rFonts w:ascii="Calibri" w:eastAsia="Times New Roman" w:hAnsi="Calibri" w:cs="Calibri"/>
          <w:color w:val="000000"/>
          <w:lang w:eastAsia="en-GB"/>
        </w:rPr>
        <w:t xml:space="preserve"> regimes;</w:t>
      </w:r>
    </w:p>
    <w:p w14:paraId="1ED5AE77" w14:textId="0CC32B89"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mplementation and recurring systems costs;</w:t>
      </w:r>
    </w:p>
    <w:p w14:paraId="0692CC46" w14:textId="15ACF726"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E</w:t>
      </w:r>
      <w:r w:rsidR="004546E3" w:rsidRPr="004546E3">
        <w:rPr>
          <w:rFonts w:ascii="Calibri" w:eastAsia="Times New Roman" w:hAnsi="Calibri" w:cs="Calibri"/>
          <w:color w:val="000000"/>
          <w:lang w:eastAsia="en-GB"/>
        </w:rPr>
        <w:t>xternal advisory and assurance expenditure;</w:t>
      </w:r>
    </w:p>
    <w:p w14:paraId="48B34004" w14:textId="2CB672C7"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I</w:t>
      </w:r>
      <w:r w:rsidR="004546E3" w:rsidRPr="004546E3">
        <w:rPr>
          <w:rFonts w:ascii="Calibri" w:eastAsia="Times New Roman" w:hAnsi="Calibri" w:cs="Calibri"/>
          <w:color w:val="000000"/>
          <w:lang w:eastAsia="en-GB"/>
        </w:rPr>
        <w:t>nstances where the same or similar data is provided to multiple bodies;</w:t>
      </w:r>
    </w:p>
    <w:p w14:paraId="1FABC833" w14:textId="27760B34"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D</w:t>
      </w:r>
      <w:r w:rsidR="004546E3" w:rsidRPr="004546E3">
        <w:rPr>
          <w:rFonts w:ascii="Calibri" w:eastAsia="Times New Roman" w:hAnsi="Calibri" w:cs="Calibri"/>
          <w:color w:val="000000"/>
          <w:lang w:eastAsia="en-GB"/>
        </w:rPr>
        <w:t>ifferences in definitions requiring reconciliation;</w:t>
      </w:r>
    </w:p>
    <w:p w14:paraId="1C2C11D7" w14:textId="5444C2DA"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R</w:t>
      </w:r>
      <w:r w:rsidR="004546E3" w:rsidRPr="004546E3">
        <w:rPr>
          <w:rFonts w:ascii="Calibri" w:eastAsia="Times New Roman" w:hAnsi="Calibri" w:cs="Calibri"/>
          <w:color w:val="000000"/>
          <w:lang w:eastAsia="en-GB"/>
        </w:rPr>
        <w:t>eporting across different entities within corporate groups;</w:t>
      </w:r>
    </w:p>
    <w:p w14:paraId="61B51941" w14:textId="69CAB413"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C</w:t>
      </w:r>
      <w:r w:rsidR="004546E3" w:rsidRPr="004546E3">
        <w:rPr>
          <w:rFonts w:ascii="Calibri" w:eastAsia="Times New Roman" w:hAnsi="Calibri" w:cs="Calibri"/>
          <w:color w:val="000000"/>
          <w:lang w:eastAsia="en-GB"/>
        </w:rPr>
        <w:t>ompeting reporting deadlines; and</w:t>
      </w:r>
    </w:p>
    <w:p w14:paraId="7B96BCA2" w14:textId="4A3FA712" w:rsidR="004546E3" w:rsidRPr="004546E3" w:rsidRDefault="00583A15" w:rsidP="004546E3">
      <w:pPr>
        <w:numPr>
          <w:ilvl w:val="0"/>
          <w:numId w:val="10"/>
        </w:num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E</w:t>
      </w:r>
      <w:r w:rsidR="004546E3" w:rsidRPr="004546E3">
        <w:rPr>
          <w:rFonts w:ascii="Calibri" w:eastAsia="Times New Roman" w:hAnsi="Calibri" w:cs="Calibri"/>
          <w:color w:val="000000"/>
          <w:lang w:eastAsia="en-GB"/>
        </w:rPr>
        <w:t>xamples where information supplied appears to have limited subsequent use.</w:t>
      </w:r>
    </w:p>
    <w:p w14:paraId="60CF93E0"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would be pleased to provide further evidence as the inquiry progresses and in response to the Commission's interim report.</w:t>
      </w:r>
    </w:p>
    <w:p w14:paraId="52DEA567" w14:textId="77777777" w:rsidR="004546E3" w:rsidRPr="00775ECE" w:rsidRDefault="004546E3" w:rsidP="004546E3">
      <w:pPr>
        <w:spacing w:before="100" w:beforeAutospacing="1" w:after="100" w:afterAutospacing="1"/>
        <w:outlineLvl w:val="0"/>
        <w:rPr>
          <w:rFonts w:ascii="Calibri" w:eastAsia="Times New Roman" w:hAnsi="Calibri" w:cs="Calibri"/>
          <w:b/>
          <w:bCs/>
          <w:color w:val="000000"/>
          <w:kern w:val="36"/>
          <w:sz w:val="28"/>
          <w:szCs w:val="28"/>
          <w:lang w:eastAsia="en-GB"/>
        </w:rPr>
      </w:pPr>
      <w:r w:rsidRPr="00775ECE">
        <w:rPr>
          <w:rFonts w:ascii="Calibri" w:eastAsia="Times New Roman" w:hAnsi="Calibri" w:cs="Calibri"/>
          <w:b/>
          <w:bCs/>
          <w:color w:val="000000"/>
          <w:kern w:val="36"/>
          <w:sz w:val="28"/>
          <w:szCs w:val="28"/>
          <w:lang w:eastAsia="en-GB"/>
        </w:rPr>
        <w:t>11. Conclusion</w:t>
      </w:r>
    </w:p>
    <w:p w14:paraId="18AFEFAD" w14:textId="49E2F0F4" w:rsidR="004546E3" w:rsidRPr="00583A15"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G100 supports the objectives of appropriate non-financial business reporting.</w:t>
      </w:r>
      <w:r w:rsidR="00583A15">
        <w:rPr>
          <w:rFonts w:ascii="Calibri" w:eastAsia="Times New Roman" w:hAnsi="Calibri" w:cs="Calibri"/>
          <w:color w:val="000000"/>
          <w:lang w:eastAsia="en-GB"/>
        </w:rPr>
        <w:t xml:space="preserve">  </w:t>
      </w:r>
      <w:r w:rsidRPr="004546E3">
        <w:rPr>
          <w:rFonts w:ascii="Calibri" w:eastAsia="Times New Roman" w:hAnsi="Calibri" w:cs="Calibri"/>
          <w:color w:val="000000"/>
          <w:lang w:eastAsia="en-GB"/>
        </w:rPr>
        <w:t>Transparency, accountability and high-quality information are important components of a well-functioning economy.</w:t>
      </w:r>
      <w:r w:rsidR="00583A15">
        <w:rPr>
          <w:rFonts w:ascii="Calibri" w:eastAsia="Times New Roman" w:hAnsi="Calibri" w:cs="Calibri"/>
          <w:color w:val="000000"/>
          <w:lang w:eastAsia="en-GB"/>
        </w:rPr>
        <w:t xml:space="preserve">  However,</w:t>
      </w:r>
      <w:r w:rsidRPr="00583A15">
        <w:rPr>
          <w:rFonts w:ascii="Calibri" w:eastAsia="Times New Roman" w:hAnsi="Calibri" w:cs="Calibri"/>
          <w:color w:val="000000"/>
          <w:lang w:eastAsia="en-GB"/>
        </w:rPr>
        <w:t xml:space="preserve"> the regulatory system should also recognise that</w:t>
      </w:r>
      <w:r w:rsidR="00583A15">
        <w:rPr>
          <w:rFonts w:ascii="Calibri" w:eastAsia="Times New Roman" w:hAnsi="Calibri" w:cs="Calibri"/>
          <w:color w:val="000000"/>
          <w:lang w:eastAsia="en-GB"/>
        </w:rPr>
        <w:t xml:space="preserve"> </w:t>
      </w:r>
      <w:r w:rsidRPr="00583A15">
        <w:rPr>
          <w:rFonts w:ascii="Calibri" w:eastAsia="Times New Roman" w:hAnsi="Calibri" w:cs="Calibri"/>
          <w:color w:val="000000"/>
          <w:lang w:eastAsia="en-GB"/>
        </w:rPr>
        <w:t>business ultimately experiences government as a whole.</w:t>
      </w:r>
    </w:p>
    <w:p w14:paraId="308A8C20"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fact that two information requests originate from different regulators does not eliminate duplication for the business required to answer them.</w:t>
      </w:r>
    </w:p>
    <w:p w14:paraId="4E2E7E04"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fact that similar information is defined slightly differently does not make the cost of reconciling it productive.</w:t>
      </w:r>
    </w:p>
    <w:p w14:paraId="68A549D9" w14:textId="798BDB15" w:rsidR="004546E3" w:rsidRPr="004546E3" w:rsidRDefault="00EA0561" w:rsidP="004546E3">
      <w:pPr>
        <w:spacing w:before="100" w:beforeAutospacing="1" w:after="100" w:afterAutospacing="1"/>
        <w:rPr>
          <w:rFonts w:ascii="Calibri" w:eastAsia="Times New Roman" w:hAnsi="Calibri" w:cs="Calibri"/>
          <w:color w:val="000000"/>
          <w:lang w:eastAsia="en-GB"/>
        </w:rPr>
      </w:pPr>
      <w:r>
        <w:rPr>
          <w:rFonts w:ascii="Calibri" w:eastAsia="Times New Roman" w:hAnsi="Calibri" w:cs="Calibri"/>
          <w:color w:val="000000"/>
          <w:lang w:eastAsia="en-GB"/>
        </w:rPr>
        <w:t>T</w:t>
      </w:r>
      <w:r w:rsidR="004546E3" w:rsidRPr="004546E3">
        <w:rPr>
          <w:rFonts w:ascii="Calibri" w:eastAsia="Times New Roman" w:hAnsi="Calibri" w:cs="Calibri"/>
          <w:color w:val="000000"/>
          <w:lang w:eastAsia="en-GB"/>
        </w:rPr>
        <w:t>he fact that each reporting requirement can individually be justified does not necessarily mean that their cumulative burden is efficient.</w:t>
      </w:r>
    </w:p>
    <w:p w14:paraId="280F0757" w14:textId="66518BCD" w:rsidR="004546E3" w:rsidRPr="00EA0561"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 xml:space="preserve">The G100 therefore encourages the Commission to use this inquiry to move the discussion </w:t>
      </w:r>
      <w:r w:rsidRPr="00EA0561">
        <w:rPr>
          <w:rFonts w:ascii="Calibri" w:eastAsia="Times New Roman" w:hAnsi="Calibri" w:cs="Calibri"/>
          <w:color w:val="000000"/>
          <w:lang w:eastAsia="en-GB"/>
        </w:rPr>
        <w:t>beyond individual reports towards the</w:t>
      </w:r>
      <w:r w:rsidR="00EA0561">
        <w:rPr>
          <w:rFonts w:ascii="Calibri" w:eastAsia="Times New Roman" w:hAnsi="Calibri" w:cs="Calibri"/>
          <w:color w:val="000000"/>
          <w:lang w:eastAsia="en-GB"/>
        </w:rPr>
        <w:t xml:space="preserve"> </w:t>
      </w:r>
      <w:r w:rsidRPr="00EA0561">
        <w:rPr>
          <w:rFonts w:ascii="Calibri" w:eastAsia="Times New Roman" w:hAnsi="Calibri" w:cs="Calibri"/>
          <w:color w:val="000000"/>
          <w:lang w:eastAsia="en-GB"/>
        </w:rPr>
        <w:t>architecture of business reporting in Australia.</w:t>
      </w:r>
    </w:p>
    <w:p w14:paraId="0BDC2EE1" w14:textId="138150FC" w:rsidR="004546E3" w:rsidRPr="00EA0561"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The objective should be a system in which information is</w:t>
      </w:r>
      <w:r w:rsidR="00EA0561">
        <w:rPr>
          <w:rFonts w:ascii="Calibri" w:eastAsia="Times New Roman" w:hAnsi="Calibri" w:cs="Calibri"/>
          <w:color w:val="000000"/>
          <w:lang w:eastAsia="en-GB"/>
        </w:rPr>
        <w:t xml:space="preserve"> </w:t>
      </w:r>
      <w:r w:rsidRPr="00EA0561">
        <w:rPr>
          <w:rFonts w:ascii="Calibri" w:eastAsia="Times New Roman" w:hAnsi="Calibri" w:cs="Calibri"/>
          <w:color w:val="000000"/>
          <w:lang w:eastAsia="en-GB"/>
        </w:rPr>
        <w:t>collected once where possible; defined consistently; shared appropriately; reported proportionately; and retained only while its public benefit justifies its cost.</w:t>
      </w:r>
    </w:p>
    <w:p w14:paraId="18FF2E7B" w14:textId="42FB8ED6"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EA0561">
        <w:rPr>
          <w:rFonts w:ascii="Calibri" w:eastAsia="Times New Roman" w:hAnsi="Calibri" w:cs="Calibri"/>
          <w:color w:val="000000"/>
          <w:lang w:eastAsia="en-GB"/>
        </w:rPr>
        <w:t>A genuine</w:t>
      </w:r>
      <w:r w:rsidR="00EA0561">
        <w:rPr>
          <w:rFonts w:ascii="Calibri" w:eastAsia="Times New Roman" w:hAnsi="Calibri" w:cs="Calibri"/>
          <w:color w:val="000000"/>
          <w:lang w:eastAsia="en-GB"/>
        </w:rPr>
        <w:t xml:space="preserve"> ‘</w:t>
      </w:r>
      <w:r w:rsidRPr="00EA0561">
        <w:rPr>
          <w:rFonts w:ascii="Calibri" w:eastAsia="Times New Roman" w:hAnsi="Calibri" w:cs="Calibri"/>
          <w:color w:val="000000"/>
          <w:lang w:eastAsia="en-GB"/>
        </w:rPr>
        <w:t>tell us once, use many times</w:t>
      </w:r>
      <w:r w:rsidR="00EA0561">
        <w:rPr>
          <w:rFonts w:ascii="Calibri" w:eastAsia="Times New Roman" w:hAnsi="Calibri" w:cs="Calibri"/>
          <w:color w:val="000000"/>
          <w:lang w:eastAsia="en-GB"/>
        </w:rPr>
        <w:t xml:space="preserve">’ </w:t>
      </w:r>
      <w:r w:rsidRPr="00EA0561">
        <w:rPr>
          <w:rFonts w:ascii="Calibri" w:eastAsia="Times New Roman" w:hAnsi="Calibri" w:cs="Calibri"/>
          <w:color w:val="000000"/>
          <w:lang w:eastAsia="en-GB"/>
        </w:rPr>
        <w:t>approach has the potential to reduce business</w:t>
      </w:r>
      <w:r w:rsidRPr="004546E3">
        <w:rPr>
          <w:rFonts w:ascii="Calibri" w:eastAsia="Times New Roman" w:hAnsi="Calibri" w:cs="Calibri"/>
          <w:color w:val="000000"/>
          <w:lang w:eastAsia="en-GB"/>
        </w:rPr>
        <w:t xml:space="preserve"> costs while improving the consistency and usefulness of information available to government.</w:t>
      </w:r>
    </w:p>
    <w:p w14:paraId="10A6D5C4" w14:textId="77777777" w:rsidR="004546E3" w:rsidRPr="004546E3" w:rsidRDefault="004546E3" w:rsidP="004546E3">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color w:val="000000"/>
          <w:lang w:eastAsia="en-GB"/>
        </w:rPr>
        <w:t>That would be a practical productivity reform that does not require Australia to compromise transparency or accountability.</w:t>
      </w:r>
    </w:p>
    <w:p w14:paraId="69D8512F" w14:textId="62F17CC0" w:rsidR="007D3636" w:rsidRPr="00E074F8" w:rsidRDefault="004546E3" w:rsidP="00E074F8">
      <w:pPr>
        <w:spacing w:before="100" w:beforeAutospacing="1" w:after="100" w:afterAutospacing="1"/>
        <w:rPr>
          <w:rFonts w:ascii="Calibri" w:eastAsia="Times New Roman" w:hAnsi="Calibri" w:cs="Calibri"/>
          <w:color w:val="000000"/>
          <w:lang w:eastAsia="en-GB"/>
        </w:rPr>
      </w:pPr>
      <w:r w:rsidRPr="004546E3">
        <w:rPr>
          <w:rFonts w:ascii="Calibri" w:eastAsia="Times New Roman" w:hAnsi="Calibri" w:cs="Calibri"/>
          <w:b/>
          <w:bCs/>
          <w:color w:val="000000"/>
          <w:lang w:eastAsia="en-GB"/>
        </w:rPr>
        <w:t>Group of 100 Inc.</w:t>
      </w:r>
      <w:r w:rsidRPr="004546E3">
        <w:rPr>
          <w:rFonts w:ascii="Calibri" w:eastAsia="Times New Roman" w:hAnsi="Calibri" w:cs="Calibri"/>
          <w:color w:val="000000"/>
          <w:lang w:eastAsia="en-GB"/>
        </w:rPr>
        <w:br/>
      </w:r>
      <w:r w:rsidR="00D844EB">
        <w:rPr>
          <w:rFonts w:ascii="Calibri" w:eastAsia="Times New Roman" w:hAnsi="Calibri" w:cs="Calibri"/>
          <w:b/>
          <w:bCs/>
          <w:color w:val="000000"/>
          <w:lang w:eastAsia="en-GB"/>
        </w:rPr>
        <w:t>October</w:t>
      </w:r>
      <w:r w:rsidRPr="004546E3">
        <w:rPr>
          <w:rFonts w:ascii="Calibri" w:eastAsia="Times New Roman" w:hAnsi="Calibri" w:cs="Calibri"/>
          <w:b/>
          <w:bCs/>
          <w:color w:val="000000"/>
          <w:lang w:eastAsia="en-GB"/>
        </w:rPr>
        <w:t xml:space="preserve"> 2026</w:t>
      </w:r>
    </w:p>
    <w:sectPr w:rsidR="007D3636" w:rsidRPr="00E074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96198" w14:textId="77777777" w:rsidR="00A01B6D" w:rsidRDefault="00A01B6D"/>
  </w:endnote>
  <w:endnote w:type="continuationSeparator" w:id="0">
    <w:p w14:paraId="52D1484E" w14:textId="77777777" w:rsidR="00A01B6D" w:rsidRDefault="00A01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00326" w14:textId="77777777" w:rsidR="00A01B6D" w:rsidRDefault="00A01B6D"/>
  </w:footnote>
  <w:footnote w:type="continuationSeparator" w:id="0">
    <w:p w14:paraId="2FAEDAC0" w14:textId="77777777" w:rsidR="00A01B6D" w:rsidRDefault="00A01B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C4255"/>
    <w:multiLevelType w:val="multilevel"/>
    <w:tmpl w:val="E5E2B6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E7648DB"/>
    <w:multiLevelType w:val="multilevel"/>
    <w:tmpl w:val="6F36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9D3834"/>
    <w:multiLevelType w:val="multilevel"/>
    <w:tmpl w:val="B56C9E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F586E14"/>
    <w:multiLevelType w:val="multilevel"/>
    <w:tmpl w:val="90241E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390A7691"/>
    <w:multiLevelType w:val="multilevel"/>
    <w:tmpl w:val="B2ACF2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4B3A3E9D"/>
    <w:multiLevelType w:val="multilevel"/>
    <w:tmpl w:val="8528F6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4BC71E5"/>
    <w:multiLevelType w:val="hybridMultilevel"/>
    <w:tmpl w:val="3F02B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85C6209"/>
    <w:multiLevelType w:val="multilevel"/>
    <w:tmpl w:val="A142DC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674182A"/>
    <w:multiLevelType w:val="multilevel"/>
    <w:tmpl w:val="59FC6C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7F2F7F15"/>
    <w:multiLevelType w:val="multilevel"/>
    <w:tmpl w:val="57920D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7FEC65CD"/>
    <w:multiLevelType w:val="multilevel"/>
    <w:tmpl w:val="8974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166953">
    <w:abstractNumId w:val="4"/>
  </w:num>
  <w:num w:numId="2" w16cid:durableId="1901595067">
    <w:abstractNumId w:val="3"/>
  </w:num>
  <w:num w:numId="3" w16cid:durableId="887765496">
    <w:abstractNumId w:val="10"/>
  </w:num>
  <w:num w:numId="4" w16cid:durableId="1995255195">
    <w:abstractNumId w:val="1"/>
  </w:num>
  <w:num w:numId="5" w16cid:durableId="1787583268">
    <w:abstractNumId w:val="5"/>
  </w:num>
  <w:num w:numId="6" w16cid:durableId="534119317">
    <w:abstractNumId w:val="2"/>
  </w:num>
  <w:num w:numId="7" w16cid:durableId="317879300">
    <w:abstractNumId w:val="0"/>
  </w:num>
  <w:num w:numId="8" w16cid:durableId="1014651722">
    <w:abstractNumId w:val="9"/>
  </w:num>
  <w:num w:numId="9" w16cid:durableId="206987736">
    <w:abstractNumId w:val="8"/>
  </w:num>
  <w:num w:numId="10" w16cid:durableId="1863471882">
    <w:abstractNumId w:val="7"/>
  </w:num>
  <w:num w:numId="11" w16cid:durableId="196713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E3"/>
    <w:rsid w:val="000737D7"/>
    <w:rsid w:val="0008271D"/>
    <w:rsid w:val="0014275A"/>
    <w:rsid w:val="0015793F"/>
    <w:rsid w:val="00172586"/>
    <w:rsid w:val="001A3143"/>
    <w:rsid w:val="00282B1B"/>
    <w:rsid w:val="002A0812"/>
    <w:rsid w:val="002C0CEA"/>
    <w:rsid w:val="003B3C0B"/>
    <w:rsid w:val="003F0542"/>
    <w:rsid w:val="00412349"/>
    <w:rsid w:val="004428C2"/>
    <w:rsid w:val="004546E3"/>
    <w:rsid w:val="004719AB"/>
    <w:rsid w:val="00481A9B"/>
    <w:rsid w:val="004A1432"/>
    <w:rsid w:val="004E3A1E"/>
    <w:rsid w:val="005432C4"/>
    <w:rsid w:val="00583A15"/>
    <w:rsid w:val="005A298A"/>
    <w:rsid w:val="005E15F5"/>
    <w:rsid w:val="00621506"/>
    <w:rsid w:val="00636361"/>
    <w:rsid w:val="00690ACA"/>
    <w:rsid w:val="006A17A7"/>
    <w:rsid w:val="006F02BA"/>
    <w:rsid w:val="00744BC4"/>
    <w:rsid w:val="00760753"/>
    <w:rsid w:val="00775ECE"/>
    <w:rsid w:val="00776B92"/>
    <w:rsid w:val="007D3636"/>
    <w:rsid w:val="00815F58"/>
    <w:rsid w:val="00823346"/>
    <w:rsid w:val="00866D04"/>
    <w:rsid w:val="00880703"/>
    <w:rsid w:val="008A5CFA"/>
    <w:rsid w:val="008B7498"/>
    <w:rsid w:val="008F1251"/>
    <w:rsid w:val="009376DA"/>
    <w:rsid w:val="00942962"/>
    <w:rsid w:val="0094373D"/>
    <w:rsid w:val="00953694"/>
    <w:rsid w:val="0096080C"/>
    <w:rsid w:val="009752D0"/>
    <w:rsid w:val="009B58FF"/>
    <w:rsid w:val="009D44FC"/>
    <w:rsid w:val="00A01B6D"/>
    <w:rsid w:val="00A0634E"/>
    <w:rsid w:val="00A40748"/>
    <w:rsid w:val="00A46E65"/>
    <w:rsid w:val="00A97983"/>
    <w:rsid w:val="00AA0F2F"/>
    <w:rsid w:val="00AA4043"/>
    <w:rsid w:val="00AE37F9"/>
    <w:rsid w:val="00B1730B"/>
    <w:rsid w:val="00B40EE8"/>
    <w:rsid w:val="00B44CB8"/>
    <w:rsid w:val="00BC6B30"/>
    <w:rsid w:val="00C03D55"/>
    <w:rsid w:val="00C20FBB"/>
    <w:rsid w:val="00C2209C"/>
    <w:rsid w:val="00C24504"/>
    <w:rsid w:val="00CA6BA7"/>
    <w:rsid w:val="00CB6B65"/>
    <w:rsid w:val="00D14BF1"/>
    <w:rsid w:val="00D40B2E"/>
    <w:rsid w:val="00D73336"/>
    <w:rsid w:val="00D844EB"/>
    <w:rsid w:val="00D84E62"/>
    <w:rsid w:val="00E01764"/>
    <w:rsid w:val="00E074F8"/>
    <w:rsid w:val="00E07ECF"/>
    <w:rsid w:val="00E13383"/>
    <w:rsid w:val="00E14339"/>
    <w:rsid w:val="00E809EC"/>
    <w:rsid w:val="00EA0561"/>
    <w:rsid w:val="00EE0523"/>
    <w:rsid w:val="00F0405F"/>
    <w:rsid w:val="00F23AC0"/>
    <w:rsid w:val="00F35F26"/>
    <w:rsid w:val="00FA1215"/>
    <w:rsid w:val="00FA7548"/>
    <w:rsid w:val="00FB27E9"/>
    <w:rsid w:val="00FB6F01"/>
    <w:rsid w:val="00FF2A6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B36B1"/>
  <w15:chartTrackingRefBased/>
  <w15:docId w15:val="{3946293C-74C9-B943-AA7D-F5F0AE459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4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54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4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6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6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6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6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4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54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4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6E3"/>
    <w:rPr>
      <w:rFonts w:eastAsiaTheme="majorEastAsia" w:cstheme="majorBidi"/>
      <w:color w:val="272727" w:themeColor="text1" w:themeTint="D8"/>
    </w:rPr>
  </w:style>
  <w:style w:type="paragraph" w:styleId="Title">
    <w:name w:val="Title"/>
    <w:basedOn w:val="Normal"/>
    <w:next w:val="Normal"/>
    <w:link w:val="TitleChar"/>
    <w:uiPriority w:val="10"/>
    <w:qFormat/>
    <w:rsid w:val="00454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6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6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6E3"/>
    <w:rPr>
      <w:i/>
      <w:iCs/>
      <w:color w:val="404040" w:themeColor="text1" w:themeTint="BF"/>
    </w:rPr>
  </w:style>
  <w:style w:type="paragraph" w:styleId="ListParagraph">
    <w:name w:val="List Paragraph"/>
    <w:basedOn w:val="Normal"/>
    <w:uiPriority w:val="34"/>
    <w:qFormat/>
    <w:rsid w:val="004546E3"/>
    <w:pPr>
      <w:ind w:left="720"/>
      <w:contextualSpacing/>
    </w:pPr>
  </w:style>
  <w:style w:type="character" w:styleId="IntenseEmphasis">
    <w:name w:val="Intense Emphasis"/>
    <w:basedOn w:val="DefaultParagraphFont"/>
    <w:uiPriority w:val="21"/>
    <w:qFormat/>
    <w:rsid w:val="004546E3"/>
    <w:rPr>
      <w:i/>
      <w:iCs/>
      <w:color w:val="0F4761" w:themeColor="accent1" w:themeShade="BF"/>
    </w:rPr>
  </w:style>
  <w:style w:type="paragraph" w:styleId="IntenseQuote">
    <w:name w:val="Intense Quote"/>
    <w:basedOn w:val="Normal"/>
    <w:next w:val="Normal"/>
    <w:link w:val="IntenseQuoteChar"/>
    <w:uiPriority w:val="30"/>
    <w:qFormat/>
    <w:rsid w:val="00454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6E3"/>
    <w:rPr>
      <w:i/>
      <w:iCs/>
      <w:color w:val="0F4761" w:themeColor="accent1" w:themeShade="BF"/>
    </w:rPr>
  </w:style>
  <w:style w:type="character" w:styleId="IntenseReference">
    <w:name w:val="Intense Reference"/>
    <w:basedOn w:val="DefaultParagraphFont"/>
    <w:uiPriority w:val="32"/>
    <w:qFormat/>
    <w:rsid w:val="004546E3"/>
    <w:rPr>
      <w:b/>
      <w:bCs/>
      <w:smallCaps/>
      <w:color w:val="0F4761" w:themeColor="accent1" w:themeShade="BF"/>
      <w:spacing w:val="5"/>
    </w:rPr>
  </w:style>
  <w:style w:type="paragraph" w:styleId="NormalWeb">
    <w:name w:val="Normal (Web)"/>
    <w:basedOn w:val="Normal"/>
    <w:uiPriority w:val="99"/>
    <w:semiHidden/>
    <w:unhideWhenUsed/>
    <w:rsid w:val="004546E3"/>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4546E3"/>
    <w:rPr>
      <w:b/>
      <w:bCs/>
    </w:rPr>
  </w:style>
  <w:style w:type="character" w:customStyle="1" w:styleId="apple-converted-space">
    <w:name w:val="apple-converted-space"/>
    <w:basedOn w:val="DefaultParagraphFont"/>
    <w:rsid w:val="004546E3"/>
  </w:style>
  <w:style w:type="paragraph" w:customStyle="1" w:styleId="p1">
    <w:name w:val="p1"/>
    <w:basedOn w:val="Normal"/>
    <w:rsid w:val="005A298A"/>
    <w:rPr>
      <w:rFonts w:ascii="Helvetica" w:eastAsia="Times New Roman" w:hAnsi="Helvetica" w:cs="Times New Roman"/>
      <w:color w:val="000000"/>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e0f489-d60b-499c-8cbb-d10c751afdf2">
      <Value>1</Value>
    </TaxCatchAll>
    <i0f84bba906045b4af568ee102a52dcb xmlns="d0e0f489-d60b-499c-8cbb-d10c751afdf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A2F23669B61048BBE06BADA2355B44" ma:contentTypeVersion="10" ma:contentTypeDescription="Create a new document." ma:contentTypeScope="" ma:versionID="fd65949b8b91520ac7881a1a775d28c8">
  <xsd:schema xmlns:xsd="http://www.w3.org/2001/XMLSchema" xmlns:xs="http://www.w3.org/2001/XMLSchema" xmlns:p="http://schemas.microsoft.com/office/2006/metadata/properties" xmlns:ns2="d0e0f489-d60b-499c-8cbb-d10c751afdf2" xmlns:ns3="d94382e0-4280-4764-ba51-22072dd7ae1d" targetNamespace="http://schemas.microsoft.com/office/2006/metadata/properties" ma:root="true" ma:fieldsID="f2f3b84c231b113aee36529857a5216b" ns2:_="" ns3:_="">
    <xsd:import namespace="d0e0f489-d60b-499c-8cbb-d10c751afdf2"/>
    <xsd:import namespace="d94382e0-4280-4764-ba51-22072dd7ae1d"/>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0f489-d60b-499c-8cbb-d10c751afdf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bfe9cb-3a2a-4a61-a504-f0744b1b804c}" ma:internalName="TaxCatchAll" ma:showField="CatchAllData" ma:web="d0e0f489-d60b-499c-8cbb-d10c751afd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4382e0-4280-4764-ba51-22072dd7ae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F12F2E-48D1-4E23-818E-F0E2B293ABB2}">
  <ds:schemaRefs>
    <ds:schemaRef ds:uri="http://schemas.microsoft.com/office/2006/metadata/properties"/>
    <ds:schemaRef ds:uri="http://schemas.microsoft.com/office/infopath/2007/PartnerControls"/>
    <ds:schemaRef ds:uri="d0e0f489-d60b-499c-8cbb-d10c751afdf2"/>
  </ds:schemaRefs>
</ds:datastoreItem>
</file>

<file path=customXml/itemProps2.xml><?xml version="1.0" encoding="utf-8"?>
<ds:datastoreItem xmlns:ds="http://schemas.openxmlformats.org/officeDocument/2006/customXml" ds:itemID="{F5BCF892-C34D-4DAA-BCD4-62E201DAFAEB}">
  <ds:schemaRefs>
    <ds:schemaRef ds:uri="http://schemas.microsoft.com/sharepoint/v3/contenttype/forms"/>
  </ds:schemaRefs>
</ds:datastoreItem>
</file>

<file path=customXml/itemProps3.xml><?xml version="1.0" encoding="utf-8"?>
<ds:datastoreItem xmlns:ds="http://schemas.openxmlformats.org/officeDocument/2006/customXml" ds:itemID="{1ED4D7F7-1727-4C74-97DD-4C2C2033D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0f489-d60b-499c-8cbb-d10c751afdf2"/>
    <ds:schemaRef ds:uri="d94382e0-4280-4764-ba51-22072dd7a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10</Pages>
  <Words>2829</Words>
  <Characters>18778</Characters>
  <Application>Microsoft Office Word</Application>
  <DocSecurity>0</DocSecurity>
  <Lines>343</Lines>
  <Paragraphs>184</Paragraphs>
  <ScaleCrop>false</ScaleCrop>
  <HeadingPairs>
    <vt:vector size="2" baseType="variant">
      <vt:variant>
        <vt:lpstr>Title</vt:lpstr>
      </vt:variant>
      <vt:variant>
        <vt:i4>1</vt:i4>
      </vt:variant>
    </vt:vector>
  </HeadingPairs>
  <TitlesOfParts>
    <vt:vector size="1" baseType="lpstr">
      <vt:lpstr>Submission 51 - Group of 100 (G100) - Business reporting requirements - Public inquiry</vt:lpstr>
    </vt:vector>
  </TitlesOfParts>
  <Company>Group of 100 (G100)</Company>
  <LinksUpToDate>false</LinksUpToDate>
  <CharactersWithSpaces>21528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51 - Group of 100 (G100) - Business reporting requirements - Public inquiry</dc:title>
  <dc:subject/>
  <dc:creator>Group of 100 (G100)</dc:creator>
  <cp:keywords/>
  <dc:description/>
  <cp:lastModifiedBy>Chris Alston</cp:lastModifiedBy>
  <cp:revision>60</cp:revision>
  <dcterms:created xsi:type="dcterms:W3CDTF">2026-09-29T12:49:00Z</dcterms:created>
  <dcterms:modified xsi:type="dcterms:W3CDTF">2026-10-19T04:57:00Z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480505-6c30-4bfb-b530-595a90e4c72b_Enabled">
    <vt:lpwstr>true</vt:lpwstr>
  </property>
  <property fmtid="{D5CDD505-2E9C-101B-9397-08002B2CF9AE}" pid="3" name="MSIP_Label_b4480505-6c30-4bfb-b530-595a90e4c72b_SetDate">
    <vt:lpwstr>2026-09-30T03:55:52Z</vt:lpwstr>
  </property>
  <property fmtid="{D5CDD505-2E9C-101B-9397-08002B2CF9AE}" pid="4" name="MSIP_Label_b4480505-6c30-4bfb-b530-595a90e4c72b_Method">
    <vt:lpwstr>Standard</vt:lpwstr>
  </property>
  <property fmtid="{D5CDD505-2E9C-101B-9397-08002B2CF9AE}" pid="5" name="MSIP_Label_b4480505-6c30-4bfb-b530-595a90e4c72b_Name">
    <vt:lpwstr>G100 - Default Label</vt:lpwstr>
  </property>
  <property fmtid="{D5CDD505-2E9C-101B-9397-08002B2CF9AE}" pid="6" name="MSIP_Label_b4480505-6c30-4bfb-b530-595a90e4c72b_SiteId">
    <vt:lpwstr>1c411bc8-7184-4cb3-8336-ee8c47de0d64</vt:lpwstr>
  </property>
  <property fmtid="{D5CDD505-2E9C-101B-9397-08002B2CF9AE}" pid="7" name="MSIP_Label_b4480505-6c30-4bfb-b530-595a90e4c72b_ActionId">
    <vt:lpwstr>7a82949d-141c-49b5-ab67-a2ddab5e8cc0</vt:lpwstr>
  </property>
  <property fmtid="{D5CDD505-2E9C-101B-9397-08002B2CF9AE}" pid="8" name="MSIP_Label_b4480505-6c30-4bfb-b530-595a90e4c72b_ContentBits">
    <vt:lpwstr>0</vt:lpwstr>
  </property>
  <property fmtid="{D5CDD505-2E9C-101B-9397-08002B2CF9AE}" pid="9" name="MSIP_Label_b4480505-6c30-4bfb-b530-595a90e4c72b_Tag">
    <vt:lpwstr>50, 3, 0, 1</vt:lpwstr>
  </property>
  <property fmtid="{D5CDD505-2E9C-101B-9397-08002B2CF9AE}" pid="10" name="ContentTypeId">
    <vt:lpwstr>0x0101005AA2F23669B61048BBE06BADA2355B44</vt:lpwstr>
  </property>
  <property fmtid="{D5CDD505-2E9C-101B-9397-08002B2CF9AE}" pid="11" name="RevIMBCS">
    <vt:lpwstr>1;#Unclassified|3955eeb1-2d18-4582-aeb2-00144ec3aaf5</vt:lpwstr>
  </property>
  <property fmtid="{D5CDD505-2E9C-101B-9397-08002B2CF9AE}" pid="12" name="docLang">
    <vt:lpwstr>en</vt:lpwstr>
  </property>
  <property fmtid="{D5CDD505-2E9C-101B-9397-08002B2CF9AE}" pid="13" name="MSIP_Label_c1f2b1ce-4212-46db-a901-dd8453f57141_Enabled">
    <vt:lpwstr>true</vt:lpwstr>
  </property>
  <property fmtid="{D5CDD505-2E9C-101B-9397-08002B2CF9AE}" pid="14" name="MSIP_Label_c1f2b1ce-4212-46db-a901-dd8453f57141_SetDate">
    <vt:lpwstr>2026-10-19T04:56:27Z</vt:lpwstr>
  </property>
  <property fmtid="{D5CDD505-2E9C-101B-9397-08002B2CF9AE}" pid="15" name="MSIP_Label_c1f2b1ce-4212-46db-a901-dd8453f57141_Method">
    <vt:lpwstr>Privileged</vt:lpwstr>
  </property>
  <property fmtid="{D5CDD505-2E9C-101B-9397-08002B2CF9AE}" pid="16" name="MSIP_Label_c1f2b1ce-4212-46db-a901-dd8453f57141_Name">
    <vt:lpwstr>Publish</vt:lpwstr>
  </property>
  <property fmtid="{D5CDD505-2E9C-101B-9397-08002B2CF9AE}" pid="17" name="MSIP_Label_c1f2b1ce-4212-46db-a901-dd8453f57141_SiteId">
    <vt:lpwstr>29f9330b-c0fe-4244-830e-ba9f275d6c34</vt:lpwstr>
  </property>
  <property fmtid="{D5CDD505-2E9C-101B-9397-08002B2CF9AE}" pid="18" name="MSIP_Label_c1f2b1ce-4212-46db-a901-dd8453f57141_ActionId">
    <vt:lpwstr>78c48e55-e13a-412f-bbdd-de9fdd70c17b</vt:lpwstr>
  </property>
  <property fmtid="{D5CDD505-2E9C-101B-9397-08002B2CF9AE}" pid="19" name="MSIP_Label_c1f2b1ce-4212-46db-a901-dd8453f57141_ContentBits">
    <vt:lpwstr>0</vt:lpwstr>
  </property>
  <property fmtid="{D5CDD505-2E9C-101B-9397-08002B2CF9AE}" pid="20" name="MSIP_Label_c1f2b1ce-4212-46db-a901-dd8453f57141_Tag">
    <vt:lpwstr>10, 0, 1, 1</vt:lpwstr>
  </property>
</Properties>
</file>