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8EDD6" w14:textId="255D1907" w:rsidR="001945AB" w:rsidRDefault="00642B13" w:rsidP="00642B13">
      <w:pPr>
        <w:pStyle w:val="Hdg1"/>
      </w:pPr>
      <w:r>
        <w:t xml:space="preserve">Submission to the </w:t>
      </w:r>
      <w:r w:rsidRPr="00642B13">
        <w:t>Productivity</w:t>
      </w:r>
      <w:r>
        <w:t xml:space="preserve"> Commission </w:t>
      </w:r>
      <w:r w:rsidRPr="00642B13">
        <w:t>review of the GST distribution reforms</w:t>
      </w:r>
    </w:p>
    <w:p w14:paraId="58DBB3A5" w14:textId="413E34FA" w:rsidR="00642B13" w:rsidRDefault="00642B13" w:rsidP="00642B13">
      <w:pPr>
        <w:pStyle w:val="BodyB"/>
      </w:pPr>
      <w:r>
        <w:t xml:space="preserve">This submission is compiled and endorsed by David Vanderwolf </w:t>
      </w:r>
    </w:p>
    <w:p w14:paraId="13AAF567" w14:textId="77777777" w:rsidR="00642B13" w:rsidRDefault="00642B13" w:rsidP="00642B13">
      <w:pPr>
        <w:pStyle w:val="Body"/>
      </w:pPr>
      <w:r>
        <w:t xml:space="preserve">Community Independent candidate for Croydon District </w:t>
      </w:r>
    </w:p>
    <w:p w14:paraId="03B3C7F1" w14:textId="401A6B62" w:rsidR="00642B13" w:rsidRDefault="00642B13" w:rsidP="00642B13">
      <w:pPr>
        <w:pStyle w:val="Hdg3"/>
      </w:pPr>
      <w:r>
        <w:t>Introduction</w:t>
      </w:r>
    </w:p>
    <w:p w14:paraId="230A1B34" w14:textId="3B85796B" w:rsidR="00642B13" w:rsidRDefault="00642B13" w:rsidP="00642B13">
      <w:pPr>
        <w:pStyle w:val="Body"/>
      </w:pPr>
      <w:r>
        <w:t>I write as a community independent candidate seeking to represent the Croydon electorate in the upcoming Victorian election. I see a role for me as an independent to speak up for the best interests of the local community, as the risk presented by the 2018 arrangements and the potential removal of the ‘no worse off guarantee’ would have serious implications for the Victorian Government’s ability to do what it needs to do.</w:t>
      </w:r>
    </w:p>
    <w:p w14:paraId="1EA82C93" w14:textId="266ABD38" w:rsidR="00642B13" w:rsidRDefault="00642B13" w:rsidP="00642B13">
      <w:pPr>
        <w:pStyle w:val="Body"/>
      </w:pPr>
      <w:r>
        <w:t xml:space="preserve">I aim to be constructive and move away from the usual argument of ‘states getting their fair share’ at the expense of others, as that has seen us land where we are today. My focus is on the current system, its shortcomings and the need for a system where all three levels of government within our federation are working cohesively. </w:t>
      </w:r>
    </w:p>
    <w:p w14:paraId="19B8EB8F" w14:textId="2FA69B68" w:rsidR="00475F4A" w:rsidRDefault="3D71C589" w:rsidP="00642B13">
      <w:pPr>
        <w:pStyle w:val="Body"/>
      </w:pPr>
      <w:r>
        <w:t>In making this submission, the views expressed are my own. Whilst they draw on my experience working in Federal Financial Relations in both the ACT and Victorian governments, the views put forward in this submission do not in any way reflect the views of my current employer, the Victorian Department of Treasury and Finance, or the Victorian Government, its departments or agencies.</w:t>
      </w:r>
    </w:p>
    <w:p w14:paraId="467CC3C4" w14:textId="73129B06" w:rsidR="00642B13" w:rsidRDefault="00642B13" w:rsidP="00642B13">
      <w:pPr>
        <w:pStyle w:val="Hdg3"/>
      </w:pPr>
      <w:r>
        <w:t>Recommendations</w:t>
      </w:r>
    </w:p>
    <w:p w14:paraId="2DC1B370" w14:textId="0AD35491" w:rsidR="00642B13" w:rsidRDefault="00642B13" w:rsidP="00295757">
      <w:pPr>
        <w:pStyle w:val="OList1"/>
      </w:pPr>
      <w:r>
        <w:t>That GST revenue be distributed amongst the states</w:t>
      </w:r>
      <w:r w:rsidRPr="67EB9DE0">
        <w:rPr>
          <w:rStyle w:val="FootnoteReference"/>
        </w:rPr>
        <w:footnoteReference w:id="1"/>
      </w:r>
      <w:r>
        <w:t xml:space="preserve"> solely on the Commonwealth Grants Commission's assessment of states’ relative fiscal capacities, without the 2018 legislation making adjustment. </w:t>
      </w:r>
    </w:p>
    <w:p w14:paraId="54D1A15D" w14:textId="196F378D" w:rsidR="00642B13" w:rsidRDefault="00642B13" w:rsidP="00642B13">
      <w:pPr>
        <w:pStyle w:val="OList1"/>
      </w:pPr>
      <w:r>
        <w:t xml:space="preserve">That Federal Government commences a process towards federation reform that considers: </w:t>
      </w:r>
    </w:p>
    <w:p w14:paraId="6918FA92" w14:textId="2BD248A9" w:rsidR="00642B13" w:rsidRDefault="00642B13" w:rsidP="00642B13">
      <w:pPr>
        <w:pStyle w:val="OList2"/>
      </w:pPr>
      <w:r>
        <w:t xml:space="preserve">The best way to achieve and preserve the principle of </w:t>
      </w:r>
      <w:r w:rsidR="00295757" w:rsidRPr="00295757">
        <w:t xml:space="preserve">horizontal fiscal equalisation </w:t>
      </w:r>
      <w:r w:rsidR="00295757">
        <w:t>(</w:t>
      </w:r>
      <w:r>
        <w:t>HFE</w:t>
      </w:r>
      <w:r w:rsidR="00295757">
        <w:t>).</w:t>
      </w:r>
    </w:p>
    <w:p w14:paraId="1D39BB83" w14:textId="411B3A62" w:rsidR="00642B13" w:rsidRDefault="00642B13" w:rsidP="00642B13">
      <w:pPr>
        <w:pStyle w:val="OList2"/>
      </w:pPr>
      <w:r>
        <w:t>Efficient mechanisms for managing vertical fiscal imbalance</w:t>
      </w:r>
      <w:r w:rsidR="00295757">
        <w:t>.</w:t>
      </w:r>
    </w:p>
    <w:p w14:paraId="59E3056E" w14:textId="14635ECA" w:rsidR="00642B13" w:rsidRDefault="00642B13" w:rsidP="00642B13">
      <w:pPr>
        <w:pStyle w:val="OList2"/>
      </w:pPr>
      <w:r>
        <w:t xml:space="preserve">How to ensure the Federal Government provides the states with the recurrent funding they require to </w:t>
      </w:r>
      <w:r w:rsidR="00295757">
        <w:t>ensure they can provide for their citizens.</w:t>
      </w:r>
    </w:p>
    <w:p w14:paraId="3C43EB66" w14:textId="3B2CCCC4" w:rsidR="00642B13" w:rsidRDefault="00642B13" w:rsidP="00295757">
      <w:pPr>
        <w:pStyle w:val="OList2"/>
      </w:pPr>
      <w:r>
        <w:t>Reforming the Federal Financial Relations framework to better align incentives, rewards and responsibilities across the Federal</w:t>
      </w:r>
      <w:r w:rsidR="42F12917">
        <w:t xml:space="preserve"> and</w:t>
      </w:r>
      <w:r>
        <w:t xml:space="preserve"> state governments</w:t>
      </w:r>
      <w:r w:rsidR="00295757">
        <w:t>.</w:t>
      </w:r>
    </w:p>
    <w:p w14:paraId="6B3D8BC2" w14:textId="53FBC558" w:rsidR="00642B13" w:rsidRDefault="00642B13" w:rsidP="00295757">
      <w:pPr>
        <w:pStyle w:val="OList2"/>
      </w:pPr>
      <w:r>
        <w:t>Mechanisms to ensure states receive a fair return on state-led reform</w:t>
      </w:r>
      <w:r w:rsidR="00295757">
        <w:t>.</w:t>
      </w:r>
    </w:p>
    <w:p w14:paraId="579D16C9" w14:textId="0FFC42B0" w:rsidR="001945AB" w:rsidRPr="001945AB" w:rsidRDefault="00642B13" w:rsidP="00295757">
      <w:pPr>
        <w:pStyle w:val="OList2"/>
      </w:pPr>
      <w:r>
        <w:t>How best to educate, inform and engage the community in shaping the future of our federation.</w:t>
      </w:r>
    </w:p>
    <w:p w14:paraId="50D16250" w14:textId="77777777" w:rsidR="00295757" w:rsidRDefault="00295757" w:rsidP="00295757">
      <w:pPr>
        <w:pStyle w:val="Hdg3"/>
      </w:pPr>
      <w:r>
        <w:t xml:space="preserve">Submission </w:t>
      </w:r>
    </w:p>
    <w:p w14:paraId="4B62B7F6" w14:textId="77777777" w:rsidR="00295757" w:rsidRDefault="00295757" w:rsidP="00295757">
      <w:pPr>
        <w:pStyle w:val="Body"/>
      </w:pPr>
      <w:r>
        <w:t xml:space="preserve">I support the principle of horizontal fiscal equalisation (HFE), as it underpins the principle of the Aussie fair go. HFE ensures no matter where you live in this country, your state government will have the means to provide for you. </w:t>
      </w:r>
    </w:p>
    <w:p w14:paraId="6F540F0E" w14:textId="21D7CB18" w:rsidR="00295757" w:rsidRDefault="00295757" w:rsidP="00295757">
      <w:pPr>
        <w:pStyle w:val="Body"/>
      </w:pPr>
      <w:r>
        <w:t xml:space="preserve">In my support of HFE, I wish to address the argument that the pre-2018 GST methodology punishes well performing jurisdictions, while rewarding states for poor performance and poor decisions. This argument conveniently ignores the Grants Commission’s almost excessive efforts to ensure policy neutrality in its </w:t>
      </w:r>
      <w:r>
        <w:lastRenderedPageBreak/>
        <w:t>assessment of need. Every attempt is made to ensure it is state circumstance and characteristics that determine the flow of funding, not policy and performance.</w:t>
      </w:r>
    </w:p>
    <w:p w14:paraId="06D28A7E" w14:textId="3A27BF4D" w:rsidR="00295757" w:rsidRDefault="00295757" w:rsidP="00295757">
      <w:pPr>
        <w:pStyle w:val="Body"/>
      </w:pPr>
      <w:r>
        <w:t xml:space="preserve">It also ignores the origins of HFE in this country, which ironically arise from a time when the Western Australian economy was on the brink of collapse, leading to it holding a referendum to leave the federation. In response, the Commonwealth Grants Commission was established in 1933, tasked with advising the Federal Government on allocating funding to the states </w:t>
      </w:r>
      <w:proofErr w:type="gramStart"/>
      <w:r>
        <w:t>on the basis of</w:t>
      </w:r>
      <w:proofErr w:type="gramEnd"/>
      <w:r>
        <w:t xml:space="preserve"> HFE. </w:t>
      </w:r>
    </w:p>
    <w:p w14:paraId="40800219" w14:textId="64FE9C9C" w:rsidR="00131835" w:rsidRDefault="00295757" w:rsidP="00295757">
      <w:pPr>
        <w:pStyle w:val="Body"/>
      </w:pPr>
      <w:r>
        <w:t>This raises the question of where Western Australia would be today, if the Federal Government had turned around to it in 1933 and said, ‘we won’t reward you for poor performance’? Would it have been in the position to capitalise on the minerals’ resources boom in the way that it has been doing this century?</w:t>
      </w:r>
    </w:p>
    <w:p w14:paraId="78AF9F6A" w14:textId="07F91476" w:rsidR="00295757" w:rsidRDefault="00295757" w:rsidP="00295757">
      <w:pPr>
        <w:pStyle w:val="Body"/>
      </w:pPr>
      <w:r>
        <w:t xml:space="preserve">It's a real question for consideration, not just while we review the 2018 GST arrangements, but when we contemplate the </w:t>
      </w:r>
      <w:proofErr w:type="gramStart"/>
      <w:r>
        <w:t>nation</w:t>
      </w:r>
      <w:proofErr w:type="gramEnd"/>
      <w:r>
        <w:t xml:space="preserve"> we want for our future. If this is the moment we move away from HFE as a governing principle for federal grants funding to the states, it's not just walking away from being the land of the fair go</w:t>
      </w:r>
      <w:r w:rsidR="00C44D42">
        <w:t xml:space="preserve"> –</w:t>
      </w:r>
      <w:r>
        <w:t xml:space="preserve"> </w:t>
      </w:r>
      <w:r w:rsidR="00C44D42">
        <w:t>w</w:t>
      </w:r>
      <w:r>
        <w:t xml:space="preserve">e also need to consider what future prosperity, wealth and opportunity we are turning our backs on. </w:t>
      </w:r>
    </w:p>
    <w:p w14:paraId="2DB69ACC" w14:textId="3B1BA023" w:rsidR="00C44D42" w:rsidRDefault="00295757" w:rsidP="00295757">
      <w:pPr>
        <w:pStyle w:val="Body"/>
      </w:pPr>
      <w:r>
        <w:t xml:space="preserve">This isn’t a question that should be dealt with </w:t>
      </w:r>
      <w:r w:rsidR="00C44D42">
        <w:t>in a rushed</w:t>
      </w:r>
      <w:r>
        <w:t xml:space="preserve"> political deal to secure marginal seats. It </w:t>
      </w:r>
      <w:r w:rsidR="00C44D42">
        <w:t xml:space="preserve">needs to include </w:t>
      </w:r>
      <w:r>
        <w:t xml:space="preserve">a national conversation about our federation and what we want from it. </w:t>
      </w:r>
    </w:p>
    <w:p w14:paraId="7D299540" w14:textId="62CACEE7" w:rsidR="00295757" w:rsidRDefault="00295757" w:rsidP="00295757">
      <w:pPr>
        <w:pStyle w:val="Body"/>
      </w:pPr>
      <w:r>
        <w:t xml:space="preserve">An appropriate process should be </w:t>
      </w:r>
      <w:proofErr w:type="gramStart"/>
      <w:r>
        <w:t>established</w:t>
      </w:r>
      <w:proofErr w:type="gramEnd"/>
      <w:r>
        <w:t xml:space="preserve"> and our communities should be supported to take part in a</w:t>
      </w:r>
      <w:r w:rsidR="00C44D42">
        <w:t xml:space="preserve"> properly</w:t>
      </w:r>
      <w:r>
        <w:t xml:space="preserve"> informed discussion on our future. </w:t>
      </w:r>
      <w:r w:rsidR="00C44D42">
        <w:t>W</w:t>
      </w:r>
      <w:r>
        <w:t xml:space="preserve">e need to consider </w:t>
      </w:r>
      <w:r w:rsidR="00C44D42">
        <w:t xml:space="preserve">as part of this conversation, </w:t>
      </w:r>
      <w:r>
        <w:t xml:space="preserve">the model of federalism we wish to follow. </w:t>
      </w:r>
    </w:p>
    <w:p w14:paraId="6045ABE9" w14:textId="6E89C14C" w:rsidR="00295757" w:rsidRDefault="00295757" w:rsidP="00295757">
      <w:pPr>
        <w:pStyle w:val="Body"/>
      </w:pPr>
      <w:r>
        <w:t>Competitive federalism is often spoken about in glowing terms for promoting efficient and productive policies that encourage the states to stand on their own two feet. However, there are significant risks and downsides in placing too heavy an emphasis on competitive federalism.</w:t>
      </w:r>
    </w:p>
    <w:p w14:paraId="342809CD" w14:textId="24F622AB" w:rsidR="00C44D42" w:rsidRDefault="00C44D42" w:rsidP="00C44D42">
      <w:pPr>
        <w:pStyle w:val="Body"/>
      </w:pPr>
      <w:r>
        <w:t xml:space="preserve">States only have a small set of levers at their disposal to compete with one another. The most common lever pulled is tax, leading to states eroding their own tax base in the name of competition. </w:t>
      </w:r>
    </w:p>
    <w:p w14:paraId="2AEC26E4" w14:textId="03D5C20D" w:rsidR="00C44D42" w:rsidRDefault="00C44D42" w:rsidP="00C44D42">
      <w:pPr>
        <w:pStyle w:val="Body"/>
      </w:pPr>
      <w:r>
        <w:t>At a time when we need to consider how to better tax asset wealth to address inequality, no government in Australia currently collects an inheritance tax.</w:t>
      </w:r>
      <w:r w:rsidR="557697E1">
        <w:t xml:space="preserve"> </w:t>
      </w:r>
      <w:r>
        <w:t xml:space="preserve">In Victoria, this tax once accounted for 6-7% of total revenue. However, this revenue is no longer available to the state government, due to the states </w:t>
      </w:r>
      <w:r w:rsidR="16A14F39">
        <w:t xml:space="preserve">abolishing this tax while </w:t>
      </w:r>
      <w:r>
        <w:t xml:space="preserve">competing for the residency of wealthy retirees. </w:t>
      </w:r>
    </w:p>
    <w:p w14:paraId="5922D49F" w14:textId="326EF5E9" w:rsidR="00C44D42" w:rsidRDefault="00C44D42" w:rsidP="00C44D42">
      <w:pPr>
        <w:pStyle w:val="Body"/>
      </w:pPr>
      <w:r>
        <w:t xml:space="preserve">This erosion of state revenue bases creates greater dependency on the </w:t>
      </w:r>
      <w:r w:rsidR="00FE65CC">
        <w:t>Federal Government</w:t>
      </w:r>
      <w:r>
        <w:t xml:space="preserve">. The Federal Government uses this dependency to dictate policy to the states, placing greater conditions and controls on the funding it provides. </w:t>
      </w:r>
    </w:p>
    <w:p w14:paraId="4B87CA02" w14:textId="77777777" w:rsidR="00C44D42" w:rsidRDefault="00C44D42" w:rsidP="00C44D42">
      <w:pPr>
        <w:pStyle w:val="Body"/>
      </w:pPr>
      <w:r>
        <w:t xml:space="preserve">This point is often poorly understood or ignored – the role competitive federalism can play in both broadening the degree of vertical fiscal imbalance (VFI) in Australia and diminishing subsidiarity of decision making. </w:t>
      </w:r>
    </w:p>
    <w:p w14:paraId="27C86347" w14:textId="5803BB69" w:rsidR="00C44D42" w:rsidRDefault="00C44D42" w:rsidP="00C44D42">
      <w:pPr>
        <w:pStyle w:val="Body"/>
      </w:pPr>
      <w:r>
        <w:t xml:space="preserve">I am </w:t>
      </w:r>
      <w:r w:rsidR="7BE579EC">
        <w:t xml:space="preserve">concerned </w:t>
      </w:r>
      <w:r>
        <w:t xml:space="preserve">by the exceedingly narrow debate this country has on VFI and how it can be addressed. VFI tends to be viewed as an inefficiency in and of itself. However, in a federation subsidiarity and tax uniformity move in opposite directions making VFI a reality of the federated model to some degree. Moreover, we can view it as an opportunity – VFI itself need not be an inefficiency, it is the system that manages it that introduces inefficiency or otherwise. </w:t>
      </w:r>
    </w:p>
    <w:p w14:paraId="788E8932" w14:textId="191AE350" w:rsidR="00C44D42" w:rsidRDefault="00FE65CC" w:rsidP="00C44D42">
      <w:pPr>
        <w:pStyle w:val="Body"/>
      </w:pPr>
      <w:r>
        <w:t>T</w:t>
      </w:r>
      <w:r w:rsidR="00C44D42">
        <w:t>his cannot be the case</w:t>
      </w:r>
      <w:r>
        <w:t>, however,</w:t>
      </w:r>
      <w:r w:rsidR="00C44D42">
        <w:t xml:space="preserve"> while our governments pull in opposite directions. Our system wrongly views the money raised by the Federal Government as federal money, and state and local raised revenue as state and local money. Th</w:t>
      </w:r>
      <w:r w:rsidR="46D8CFF3">
        <w:t>is is contradictory to the view of the</w:t>
      </w:r>
      <w:r w:rsidR="00C44D42">
        <w:t xml:space="preserve"> High Court</w:t>
      </w:r>
      <w:r w:rsidR="0BF5CC77">
        <w:t xml:space="preserve"> which</w:t>
      </w:r>
      <w:r w:rsidR="00C44D42">
        <w:t xml:space="preserve"> find</w:t>
      </w:r>
      <w:r w:rsidR="7AD072D4">
        <w:t>s</w:t>
      </w:r>
      <w:r w:rsidR="00C44D42">
        <w:t xml:space="preserve"> that there is only public money </w:t>
      </w:r>
      <w:r>
        <w:t xml:space="preserve">that </w:t>
      </w:r>
      <w:r w:rsidR="00C44D42">
        <w:t>belong</w:t>
      </w:r>
      <w:r>
        <w:t>s</w:t>
      </w:r>
      <w:r w:rsidR="00C44D42">
        <w:t xml:space="preserve"> to the Australian people. It is therefore the responsibility of our three levels of government not to play politics with that money, but to work together to expend </w:t>
      </w:r>
      <w:r>
        <w:t>it</w:t>
      </w:r>
      <w:r w:rsidR="00C44D42">
        <w:t xml:space="preserve"> in the most effective and efficient manner to meet our communities' needs and expectations. Our governments are falling well short </w:t>
      </w:r>
      <w:r w:rsidR="00070671">
        <w:t xml:space="preserve">in </w:t>
      </w:r>
      <w:r w:rsidR="00C44D42">
        <w:t xml:space="preserve">this </w:t>
      </w:r>
      <w:r w:rsidR="00070671">
        <w:t>regard</w:t>
      </w:r>
      <w:r w:rsidR="00C44D42">
        <w:t xml:space="preserve">. </w:t>
      </w:r>
    </w:p>
    <w:p w14:paraId="21E27279" w14:textId="01C6C403" w:rsidR="00C44D42" w:rsidRDefault="00C44D42" w:rsidP="00C44D42">
      <w:pPr>
        <w:pStyle w:val="Body"/>
      </w:pPr>
      <w:r>
        <w:t>As an example of the impact this misalignment of incentives has, consider the position of the Federal Government when con</w:t>
      </w:r>
      <w:r w:rsidR="78879851">
        <w:t>templating</w:t>
      </w:r>
      <w:r>
        <w:t xml:space="preserve"> the proposed offshore gas tax, something most Australians strongly support. The tax would deliver significant and much needed public revenue. The proposition for the Federal Government is to fight powerful interests, only to hand over most of the revenue raised to the states to spend.</w:t>
      </w:r>
    </w:p>
    <w:p w14:paraId="107992CD" w14:textId="07E62B87" w:rsidR="00070671" w:rsidRDefault="00070671" w:rsidP="00C44D42">
      <w:pPr>
        <w:pStyle w:val="Body"/>
      </w:pPr>
      <w:r>
        <w:lastRenderedPageBreak/>
        <w:t xml:space="preserve">We fail to recognise the Federal Government is often tasked with the unpopular job of taxing to raise the revenue, while states do the popular job of providing the public service. </w:t>
      </w:r>
      <w:r w:rsidR="7EC26CD2">
        <w:t xml:space="preserve">The mismatch in </w:t>
      </w:r>
      <w:r w:rsidR="11918781">
        <w:t>political</w:t>
      </w:r>
      <w:r w:rsidR="588921FA">
        <w:t xml:space="preserve"> credit for how the money is spent creates a disincentive for the Federal Government to pursue tax reform opportunities</w:t>
      </w:r>
      <w:r w:rsidR="390690EE">
        <w:t xml:space="preserve"> that expand the public revenue base</w:t>
      </w:r>
      <w:r w:rsidR="588921FA">
        <w:t xml:space="preserve">. </w:t>
      </w:r>
      <w:r>
        <w:t>Our current system cannot reconcile the misalignment of incentives across levels of government</w:t>
      </w:r>
      <w:r w:rsidR="69AF9773">
        <w:t xml:space="preserve"> </w:t>
      </w:r>
      <w:r w:rsidR="633BCA94">
        <w:t>while</w:t>
      </w:r>
      <w:r w:rsidR="69AF9773">
        <w:t xml:space="preserve"> revenue</w:t>
      </w:r>
      <w:r w:rsidR="08B944B1">
        <w:t xml:space="preserve"> is seen</w:t>
      </w:r>
      <w:r w:rsidR="7B8202C1">
        <w:t xml:space="preserve"> as</w:t>
      </w:r>
      <w:r w:rsidR="69AF9773">
        <w:t xml:space="preserve"> belonging to a particular government, and governments compete with one another for political credit.</w:t>
      </w:r>
    </w:p>
    <w:p w14:paraId="76879BE8" w14:textId="7C27C877" w:rsidR="00070671" w:rsidRDefault="00070671" w:rsidP="00070671">
      <w:pPr>
        <w:pStyle w:val="Body"/>
      </w:pPr>
      <w:r>
        <w:t xml:space="preserve">Exacerbating this problem is the poor functioning of the federal financial relations system. The introduction of the Intergovernmental Agreement on Federal Financial Relations (IGA FFR) in 2008 was a rare moment in Australian history, representing a genuine improvement in federal financial relations. The IGA FFR delivered: </w:t>
      </w:r>
    </w:p>
    <w:p w14:paraId="6276F074" w14:textId="100A3EA4" w:rsidR="00070671" w:rsidRDefault="00070671" w:rsidP="00070671">
      <w:pPr>
        <w:pStyle w:val="Bull1"/>
      </w:pPr>
      <w:r>
        <w:t>secure, indexed funding to the states tied to key sectors</w:t>
      </w:r>
    </w:p>
    <w:p w14:paraId="2045F093" w14:textId="1A479C1A" w:rsidR="00070671" w:rsidRDefault="00070671" w:rsidP="00070671">
      <w:pPr>
        <w:pStyle w:val="Bull1"/>
      </w:pPr>
      <w:r>
        <w:t>short-term, program-based funding</w:t>
      </w:r>
    </w:p>
    <w:p w14:paraId="28E8DB3F" w14:textId="4CED4F3B" w:rsidR="00070671" w:rsidRDefault="00070671" w:rsidP="00070671">
      <w:pPr>
        <w:pStyle w:val="Bull1"/>
      </w:pPr>
      <w:r>
        <w:t xml:space="preserve">the opportunity to pursue reform through targeted agreements offering facilitation and/or reward funding to the states. </w:t>
      </w:r>
    </w:p>
    <w:p w14:paraId="34DC3D35" w14:textId="2C39C358" w:rsidR="00070671" w:rsidRDefault="00070671" w:rsidP="00070671">
      <w:pPr>
        <w:pStyle w:val="Body"/>
      </w:pPr>
      <w:r>
        <w:t xml:space="preserve">However, almost as soon as it was introduced, it began to be dismantled.  </w:t>
      </w:r>
    </w:p>
    <w:p w14:paraId="40737362" w14:textId="77777777" w:rsidR="00070671" w:rsidRDefault="00070671" w:rsidP="00070671">
      <w:pPr>
        <w:pStyle w:val="Body"/>
      </w:pPr>
      <w:r>
        <w:t xml:space="preserve">Under the IGA FFR, National Agreements were underpinned by Specific Purpose Payments, providing recurrent funding to the states to use as needed within the relevant sector. These National Agreements were criticised for not achieving progress towards the national reform agenda, leading to </w:t>
      </w:r>
      <w:proofErr w:type="gramStart"/>
      <w:r>
        <w:t>all of</w:t>
      </w:r>
      <w:proofErr w:type="gramEnd"/>
      <w:r>
        <w:t xml:space="preserve"> the Specific Purpose Payments being replaced by National Agreements that include reform funding. </w:t>
      </w:r>
    </w:p>
    <w:p w14:paraId="2B409069" w14:textId="43B5AC5C" w:rsidR="00070671" w:rsidRDefault="00070671" w:rsidP="00070671">
      <w:pPr>
        <w:pStyle w:val="Body"/>
      </w:pPr>
      <w:r>
        <w:t xml:space="preserve">This was a fundamental failure to understand the original framework. It was not the role of Specific Purpose Payments under the National Agreements to achieve reforms. This was the role of reform-based National Partnership Agreements. The structure of National Agreements and how the states spent Specific Purpose Payments were blamed for what was more a failing of the Federal Government to use the framework to its full effect.  </w:t>
      </w:r>
    </w:p>
    <w:p w14:paraId="3EB75421" w14:textId="3809DAE4" w:rsidR="00070671" w:rsidRDefault="00070671" w:rsidP="00070671">
      <w:pPr>
        <w:pStyle w:val="Body"/>
      </w:pPr>
      <w:r>
        <w:t xml:space="preserve">The transition away from the original National Agreements to the now reform-based national agreements has narrowed the scope of what states can spend this funding on and shifted funding away from state priorities towards </w:t>
      </w:r>
      <w:r w:rsidR="303780BA">
        <w:t>f</w:t>
      </w:r>
      <w:r>
        <w:t xml:space="preserve">ederal ones. This crowding out of state decision-making and lack of co-operation between governments is counter to the efficient functioning of a federation. </w:t>
      </w:r>
    </w:p>
    <w:p w14:paraId="586F618A" w14:textId="70595760" w:rsidR="00070671" w:rsidRDefault="00070671" w:rsidP="00070671">
      <w:pPr>
        <w:pStyle w:val="Body"/>
      </w:pPr>
      <w:r>
        <w:t xml:space="preserve">It is for these reasons that my </w:t>
      </w:r>
      <w:r w:rsidR="2B09A5F7">
        <w:t>recommendations</w:t>
      </w:r>
      <w:r>
        <w:t xml:space="preserve"> go beyond the scope of the GST distribution changes introduced in 2018.  </w:t>
      </w:r>
    </w:p>
    <w:p w14:paraId="0D865561" w14:textId="27C26E6F" w:rsidR="00070671" w:rsidRDefault="00070671" w:rsidP="00070671">
      <w:pPr>
        <w:pStyle w:val="Body"/>
      </w:pPr>
      <w:r>
        <w:t>On the topic of the GST, my recommendation is that revenue be distributed to the states solely on the Commonwealth Grants Commission's assessment of states’ relative fiscal capacities and that the 2018 arrangements be discontinued.</w:t>
      </w:r>
    </w:p>
    <w:p w14:paraId="5043ABD0" w14:textId="7345089E" w:rsidR="00070671" w:rsidRDefault="00070671" w:rsidP="00070671">
      <w:pPr>
        <w:pStyle w:val="Body"/>
      </w:pPr>
      <w:r>
        <w:t xml:space="preserve">I would like to see the additional money being put into the system for the sake of the ‘no worse off guarantee’ to remain in the system and be distributed on the basis HFE. States have been calling for more untied funding for years, only to be told there wasn’t any. However, when Western Australia made it a political necessity, more funding was made available. To remove it from the system now would be a backwards step.  </w:t>
      </w:r>
    </w:p>
    <w:p w14:paraId="71892542" w14:textId="59BF9D3F" w:rsidR="00070671" w:rsidRDefault="00070671" w:rsidP="00070671">
      <w:pPr>
        <w:pStyle w:val="Body"/>
      </w:pPr>
      <w:r>
        <w:t xml:space="preserve">I understand the political reality that neither federal party will agree to this and that the likely outcome is that the 2018 arrangements will remain in place, with the ‘no worse off guarantee’ </w:t>
      </w:r>
      <w:proofErr w:type="gramStart"/>
      <w:r>
        <w:t>continued on</w:t>
      </w:r>
      <w:proofErr w:type="gramEnd"/>
      <w:r>
        <w:t xml:space="preserve"> a rolling basis.</w:t>
      </w:r>
      <w:r w:rsidR="002C6515">
        <w:t xml:space="preserve"> However, t</w:t>
      </w:r>
      <w:r>
        <w:t xml:space="preserve">his would be another missed opportunity for Australia, as the issue of the GST distribution only points to the broader challenges within federal financial relations.  </w:t>
      </w:r>
    </w:p>
    <w:p w14:paraId="5849F6BC" w14:textId="1C14D9E2" w:rsidR="00070671" w:rsidRDefault="00070671" w:rsidP="00070671">
      <w:pPr>
        <w:pStyle w:val="Body"/>
      </w:pPr>
      <w:proofErr w:type="gramStart"/>
      <w:r>
        <w:t>With this in mind, I</w:t>
      </w:r>
      <w:proofErr w:type="gramEnd"/>
      <w:r>
        <w:t xml:space="preserve"> </w:t>
      </w:r>
      <w:r w:rsidR="657ADCE3">
        <w:t>recommend</w:t>
      </w:r>
      <w:r w:rsidR="0FE7CF77">
        <w:t xml:space="preserve"> the</w:t>
      </w:r>
      <w:r>
        <w:t xml:space="preserve"> Productivity Commission recommend</w:t>
      </w:r>
      <w:r w:rsidR="39069EA8">
        <w:t>s</w:t>
      </w:r>
      <w:r>
        <w:t xml:space="preserve"> to the Federal Government that it takes this opportunity to engage in a genuine, open and informed </w:t>
      </w:r>
      <w:r w:rsidR="002C6515">
        <w:t xml:space="preserve">public </w:t>
      </w:r>
      <w:r>
        <w:t xml:space="preserve">discussion on federation reform. This process should consider: </w:t>
      </w:r>
    </w:p>
    <w:p w14:paraId="09256684" w14:textId="58516DF5" w:rsidR="00070671" w:rsidRDefault="002C6515" w:rsidP="002C6515">
      <w:pPr>
        <w:pStyle w:val="Bull1"/>
      </w:pPr>
      <w:r>
        <w:t>T</w:t>
      </w:r>
      <w:r w:rsidR="00070671">
        <w:t>he best way to achieve and preserve the principle of HFE</w:t>
      </w:r>
      <w:r>
        <w:t>.</w:t>
      </w:r>
    </w:p>
    <w:p w14:paraId="2DD6E720" w14:textId="08C0E15A" w:rsidR="00070671" w:rsidRDefault="0D9E0633" w:rsidP="002C6515">
      <w:pPr>
        <w:pStyle w:val="Bull1"/>
      </w:pPr>
      <w:r>
        <w:t>Ho</w:t>
      </w:r>
      <w:r w:rsidR="00070671">
        <w:t xml:space="preserve">w </w:t>
      </w:r>
      <w:r w:rsidR="002C6515">
        <w:t xml:space="preserve">Australia </w:t>
      </w:r>
      <w:r w:rsidR="00070671">
        <w:t>can benefit from the efficient management of VFI</w:t>
      </w:r>
      <w:r w:rsidR="002C6515">
        <w:t>.</w:t>
      </w:r>
    </w:p>
    <w:p w14:paraId="0B049CAB" w14:textId="496D939B" w:rsidR="00070671" w:rsidRDefault="002C6515" w:rsidP="002C6515">
      <w:pPr>
        <w:pStyle w:val="Bull1"/>
      </w:pPr>
      <w:r>
        <w:t>H</w:t>
      </w:r>
      <w:r w:rsidR="00070671">
        <w:t xml:space="preserve">ow to ensure the Federal Government provides the states with the recurrent funding they require to </w:t>
      </w:r>
      <w:r>
        <w:t>provide services for their citizens.</w:t>
      </w:r>
    </w:p>
    <w:p w14:paraId="1C378AB8" w14:textId="2ABBE3AF" w:rsidR="00070671" w:rsidRDefault="002C6515" w:rsidP="002C6515">
      <w:pPr>
        <w:pStyle w:val="Bull1"/>
      </w:pPr>
      <w:r>
        <w:t>R</w:t>
      </w:r>
      <w:r w:rsidR="00070671">
        <w:t xml:space="preserve">eforming the Federal Financial Relations framework, maturing it to recognise and align the political realities, incentives, rewards and responsibilities faced by Federal and State governments. </w:t>
      </w:r>
    </w:p>
    <w:p w14:paraId="141FC67F" w14:textId="0DD6ECD7" w:rsidR="00070671" w:rsidRDefault="002C6515" w:rsidP="002C6515">
      <w:pPr>
        <w:pStyle w:val="Bull2"/>
      </w:pPr>
      <w:r>
        <w:lastRenderedPageBreak/>
        <w:t>T</w:t>
      </w:r>
      <w:r w:rsidR="00070671">
        <w:t>his must be done in an open and transparent manner</w:t>
      </w:r>
      <w:r>
        <w:t xml:space="preserve"> – </w:t>
      </w:r>
      <w:r w:rsidR="37F37069">
        <w:t>s</w:t>
      </w:r>
      <w:r>
        <w:t xml:space="preserve">tate </w:t>
      </w:r>
      <w:r w:rsidR="2F130DEB">
        <w:t>g</w:t>
      </w:r>
      <w:r>
        <w:t>overnments</w:t>
      </w:r>
      <w:r w:rsidR="00070671">
        <w:t xml:space="preserve"> recognise the need for reform but are fearful </w:t>
      </w:r>
      <w:proofErr w:type="gramStart"/>
      <w:r w:rsidR="00070671">
        <w:t>the end result</w:t>
      </w:r>
      <w:proofErr w:type="gramEnd"/>
      <w:r w:rsidR="00070671">
        <w:t xml:space="preserve"> will be worse than the current situation. </w:t>
      </w:r>
    </w:p>
    <w:p w14:paraId="272082A0" w14:textId="162D614B" w:rsidR="00070671" w:rsidRDefault="00070671" w:rsidP="002C6515">
      <w:pPr>
        <w:pStyle w:val="Bull1"/>
      </w:pPr>
      <w:r>
        <w:t>Enduring mechanisms for encouraging state reform</w:t>
      </w:r>
      <w:r w:rsidR="002C6515">
        <w:t>.</w:t>
      </w:r>
    </w:p>
    <w:p w14:paraId="200C4BF7" w14:textId="1D6D3407" w:rsidR="00070671" w:rsidRDefault="00070671" w:rsidP="002C6515">
      <w:pPr>
        <w:pStyle w:val="Bull2"/>
      </w:pPr>
      <w:r>
        <w:t xml:space="preserve">Many of the direct fiscal benefits from economic and productivity reform undertaken at the state level come in the form of higher federal revenue (income and company tax) and lower federal welfare payments, creating a potential barrier to reform.  </w:t>
      </w:r>
    </w:p>
    <w:p w14:paraId="3637D3D8" w14:textId="0171A8AB" w:rsidR="00070671" w:rsidRDefault="00070671" w:rsidP="002C6515">
      <w:pPr>
        <w:pStyle w:val="Bull2"/>
      </w:pPr>
      <w:r>
        <w:t xml:space="preserve">An enduring mechanism that ensures states receive a fair return on their investment would help remove a barrier to ongoing reform.   </w:t>
      </w:r>
    </w:p>
    <w:p w14:paraId="58DE1D67" w14:textId="77777777" w:rsidR="00070671" w:rsidRPr="00F60840" w:rsidRDefault="00070671" w:rsidP="00C44D42">
      <w:pPr>
        <w:pStyle w:val="Body"/>
      </w:pPr>
    </w:p>
    <w:sectPr w:rsidR="00070671" w:rsidRPr="00F60840" w:rsidSect="001705F5">
      <w:headerReference w:type="even" r:id="rId11"/>
      <w:headerReference w:type="default" r:id="rId12"/>
      <w:footerReference w:type="default" r:id="rId13"/>
      <w:headerReference w:type="first" r:id="rId14"/>
      <w:footerReference w:type="first" r:id="rId15"/>
      <w:type w:val="continuous"/>
      <w:pgSz w:w="11906" w:h="16838"/>
      <w:pgMar w:top="1588" w:right="1134" w:bottom="1247" w:left="113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11F13" w14:textId="77777777" w:rsidR="00827DE1" w:rsidRPr="00FE506A" w:rsidRDefault="00827DE1" w:rsidP="005826CC">
      <w:pPr>
        <w:spacing w:before="0"/>
      </w:pPr>
      <w:r w:rsidRPr="00FE506A">
        <w:separator/>
      </w:r>
    </w:p>
  </w:endnote>
  <w:endnote w:type="continuationSeparator" w:id="0">
    <w:p w14:paraId="40EBC7E8" w14:textId="77777777" w:rsidR="00827DE1" w:rsidRPr="00FE506A" w:rsidRDefault="00827DE1" w:rsidP="005826CC">
      <w:pPr>
        <w:spacing w:before="0"/>
      </w:pPr>
      <w:r w:rsidRPr="00FE50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F39DA" w14:textId="77777777" w:rsidR="0095243B" w:rsidRPr="00FE506A" w:rsidRDefault="00C7772A" w:rsidP="00C7772A">
    <w:pPr>
      <w:pStyle w:val="Footer-"/>
    </w:pPr>
    <w:r w:rsidRPr="00FE506A">
      <w:tab/>
    </w:r>
    <w:r w:rsidRPr="00FE506A">
      <w:fldChar w:fldCharType="begin"/>
    </w:r>
    <w:r w:rsidRPr="00FE506A">
      <w:instrText xml:space="preserve"> PAGE   \* MERGEFORMAT </w:instrText>
    </w:r>
    <w:r w:rsidRPr="00FE506A">
      <w:fldChar w:fldCharType="separate"/>
    </w:r>
    <w:r w:rsidR="0088431C" w:rsidRPr="00FE506A">
      <w:rPr>
        <w:noProof/>
      </w:rPr>
      <w:t>2</w:t>
    </w:r>
    <w:r w:rsidRPr="00FE506A">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4B55" w14:textId="77777777" w:rsidR="0095243B" w:rsidRPr="00FE506A" w:rsidRDefault="0095243B" w:rsidP="0095243B">
    <w:pPr>
      <w:pStyle w:val="Footer-"/>
    </w:pPr>
    <w:r w:rsidRPr="00FE506A">
      <w:tab/>
    </w:r>
    <w:r w:rsidRPr="00FE506A">
      <w:fldChar w:fldCharType="begin"/>
    </w:r>
    <w:r w:rsidRPr="00FE506A">
      <w:instrText xml:space="preserve"> PAGE   \* MERGEFORMAT </w:instrText>
    </w:r>
    <w:r w:rsidRPr="00FE506A">
      <w:fldChar w:fldCharType="separate"/>
    </w:r>
    <w:r w:rsidR="0088431C" w:rsidRPr="00FE506A">
      <w:rPr>
        <w:noProof/>
      </w:rPr>
      <w:t>1</w:t>
    </w:r>
    <w:r w:rsidRPr="00FE506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8B5C2" w14:textId="77777777" w:rsidR="00827DE1" w:rsidRPr="00FE506A" w:rsidRDefault="00827DE1" w:rsidP="005826CC">
      <w:pPr>
        <w:spacing w:before="0"/>
      </w:pPr>
      <w:r w:rsidRPr="00FE506A">
        <w:separator/>
      </w:r>
    </w:p>
  </w:footnote>
  <w:footnote w:type="continuationSeparator" w:id="0">
    <w:p w14:paraId="70BDD573" w14:textId="77777777" w:rsidR="00827DE1" w:rsidRPr="00FE506A" w:rsidRDefault="00827DE1" w:rsidP="005826CC">
      <w:pPr>
        <w:spacing w:before="0"/>
      </w:pPr>
      <w:r w:rsidRPr="00FE506A">
        <w:continuationSeparator/>
      </w:r>
    </w:p>
  </w:footnote>
  <w:footnote w:id="1">
    <w:p w14:paraId="2BF2CDF3" w14:textId="4718226F" w:rsidR="67EB9DE0" w:rsidRDefault="67EB9DE0" w:rsidP="67EB9DE0">
      <w:pPr>
        <w:pStyle w:val="FootnoteText"/>
      </w:pPr>
      <w:r w:rsidRPr="67EB9DE0">
        <w:rPr>
          <w:rStyle w:val="FootnoteReference"/>
        </w:rPr>
        <w:footnoteRef/>
      </w:r>
      <w:r>
        <w:t xml:space="preserve"> ‘states’ is used to refer to the states and territories.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84F1F" w14:textId="76D3FDFE" w:rsidR="008C5797" w:rsidRDefault="008C5797">
    <w:pPr>
      <w:pStyle w:val="Header"/>
    </w:pPr>
    <w:r>
      <w:rPr>
        <w:noProof/>
      </w:rPr>
      <mc:AlternateContent>
        <mc:Choice Requires="wps">
          <w:drawing>
            <wp:anchor distT="0" distB="0" distL="0" distR="0" simplePos="0" relativeHeight="251658242" behindDoc="0" locked="0" layoutInCell="1" allowOverlap="1" wp14:anchorId="3DC3ED90" wp14:editId="355F23E7">
              <wp:simplePos x="635" y="635"/>
              <wp:positionH relativeFrom="page">
                <wp:align>center</wp:align>
              </wp:positionH>
              <wp:positionV relativeFrom="page">
                <wp:align>top</wp:align>
              </wp:positionV>
              <wp:extent cx="653415" cy="466725"/>
              <wp:effectExtent l="0" t="0" r="13335" b="9525"/>
              <wp:wrapNone/>
              <wp:docPr id="5129119" name="Text Box 2"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3415" cy="466725"/>
                      </a:xfrm>
                      <a:prstGeom prst="rect">
                        <a:avLst/>
                      </a:prstGeom>
                      <a:noFill/>
                      <a:ln>
                        <a:noFill/>
                      </a:ln>
                    </wps:spPr>
                    <wps:txbx>
                      <w:txbxContent>
                        <w:p w14:paraId="71109ABE" w14:textId="250D4DA2" w:rsidR="008C5797" w:rsidRPr="008C5797" w:rsidRDefault="008C5797" w:rsidP="008C5797">
                          <w:pPr>
                            <w:spacing w:after="0"/>
                            <w:rPr>
                              <w:rFonts w:ascii="Aptos" w:eastAsia="Aptos" w:hAnsi="Aptos" w:cs="Aptos"/>
                              <w:noProof/>
                              <w:color w:val="000000"/>
                              <w:sz w:val="24"/>
                              <w:szCs w:val="24"/>
                            </w:rPr>
                          </w:pPr>
                          <w:r w:rsidRPr="008C5797">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C3ED90" id="_x0000_t202" coordsize="21600,21600" o:spt="202" path="m,l,21600r21600,l21600,xe">
              <v:stroke joinstyle="miter"/>
              <v:path gradientshapeok="t" o:connecttype="rect"/>
            </v:shapetype>
            <v:shape id="Text Box 2" o:spid="_x0000_s1026" type="#_x0000_t202" alt=" OFFICIAL" style="position:absolute;margin-left:0;margin-top:0;width:51.45pt;height:36.7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" filled="f" stroked="f">
              <v:textbox style="mso-fit-shape-to-text:t" inset="0,15pt,0,0">
                <w:txbxContent>
                  <w:p w14:paraId="71109ABE" w14:textId="250D4DA2" w:rsidR="008C5797" w:rsidRPr="008C5797" w:rsidRDefault="008C5797" w:rsidP="008C5797">
                    <w:pPr>
                      <w:spacing w:after="0"/>
                      <w:rPr>
                        <w:rFonts w:ascii="Aptos" w:eastAsia="Aptos" w:hAnsi="Aptos" w:cs="Aptos"/>
                        <w:noProof/>
                        <w:color w:val="000000"/>
                        <w:sz w:val="24"/>
                        <w:szCs w:val="24"/>
                      </w:rPr>
                    </w:pPr>
                    <w:r w:rsidRPr="008C5797">
                      <w:rPr>
                        <w:rFonts w:ascii="Aptos" w:eastAsia="Aptos" w:hAnsi="Aptos" w:cs="Aptos"/>
                        <w:noProof/>
                        <w:color w:val="000000"/>
                        <w:sz w:val="24"/>
                        <w:szCs w:val="24"/>
                      </w:rPr>
                      <w:t xml:space="preserve">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85FF" w14:textId="45823DD8" w:rsidR="00C975BB" w:rsidRPr="00FE506A" w:rsidRDefault="008C5797" w:rsidP="0095243B">
    <w:pPr>
      <w:pStyle w:val="Header-"/>
    </w:pPr>
    <w:r>
      <w:rPr>
        <w:noProof/>
      </w:rPr>
      <mc:AlternateContent>
        <mc:Choice Requires="wps">
          <w:drawing>
            <wp:anchor distT="0" distB="0" distL="0" distR="0" simplePos="0" relativeHeight="251658243" behindDoc="0" locked="0" layoutInCell="1" allowOverlap="1" wp14:anchorId="308B535F" wp14:editId="22D53306">
              <wp:simplePos x="635" y="635"/>
              <wp:positionH relativeFrom="page">
                <wp:align>center</wp:align>
              </wp:positionH>
              <wp:positionV relativeFrom="page">
                <wp:align>top</wp:align>
              </wp:positionV>
              <wp:extent cx="653415" cy="466725"/>
              <wp:effectExtent l="0" t="0" r="13335" b="9525"/>
              <wp:wrapNone/>
              <wp:docPr id="1697659772" name="Text Box 3"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3415" cy="466725"/>
                      </a:xfrm>
                      <a:prstGeom prst="rect">
                        <a:avLst/>
                      </a:prstGeom>
                      <a:noFill/>
                      <a:ln>
                        <a:noFill/>
                      </a:ln>
                    </wps:spPr>
                    <wps:txbx>
                      <w:txbxContent>
                        <w:p w14:paraId="2F969481" w14:textId="3ECBEE6F" w:rsidR="008C5797" w:rsidRPr="008C5797" w:rsidRDefault="008C5797" w:rsidP="008C5797">
                          <w:pPr>
                            <w:spacing w:after="0"/>
                            <w:rPr>
                              <w:rFonts w:ascii="Aptos" w:eastAsia="Aptos" w:hAnsi="Aptos" w:cs="Aptos"/>
                              <w:noProof/>
                              <w:color w:val="000000"/>
                              <w:sz w:val="24"/>
                              <w:szCs w:val="24"/>
                            </w:rPr>
                          </w:pPr>
                          <w:r w:rsidRPr="008C5797">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8B535F" id="_x0000_t202" coordsize="21600,21600" o:spt="202" path="m,l,21600r21600,l21600,xe">
              <v:stroke joinstyle="miter"/>
              <v:path gradientshapeok="t" o:connecttype="rect"/>
            </v:shapetype>
            <v:shape id="Text Box 3" o:spid="_x0000_s1027" type="#_x0000_t202" alt=" OFFICIAL" style="position:absolute;margin-left:0;margin-top:0;width:51.45pt;height:36.7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" filled="f" stroked="f">
              <v:textbox style="mso-fit-shape-to-text:t" inset="0,15pt,0,0">
                <w:txbxContent>
                  <w:p w14:paraId="2F969481" w14:textId="3ECBEE6F" w:rsidR="008C5797" w:rsidRPr="008C5797" w:rsidRDefault="008C5797" w:rsidP="008C5797">
                    <w:pPr>
                      <w:spacing w:after="0"/>
                      <w:rPr>
                        <w:rFonts w:ascii="Aptos" w:eastAsia="Aptos" w:hAnsi="Aptos" w:cs="Aptos"/>
                        <w:noProof/>
                        <w:color w:val="000000"/>
                        <w:sz w:val="24"/>
                        <w:szCs w:val="24"/>
                      </w:rPr>
                    </w:pPr>
                    <w:r w:rsidRPr="008C5797">
                      <w:rPr>
                        <w:rFonts w:ascii="Aptos" w:eastAsia="Aptos" w:hAnsi="Aptos" w:cs="Aptos"/>
                        <w:noProof/>
                        <w:color w:val="000000"/>
                        <w:sz w:val="24"/>
                        <w:szCs w:val="24"/>
                      </w:rPr>
                      <w:t xml:space="preserve"> OFFICIAL</w:t>
                    </w:r>
                  </w:p>
                </w:txbxContent>
              </v:textbox>
              <w10:wrap anchorx="page" anchory="page"/>
            </v:shape>
          </w:pict>
        </mc:Fallback>
      </mc:AlternateContent>
    </w:r>
    <w:r w:rsidR="0095243B" w:rsidRPr="00FE506A">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7A27" w14:textId="76D82A6A" w:rsidR="001705F5" w:rsidRDefault="008C5797">
    <w:pPr>
      <w:pStyle w:val="Header"/>
    </w:pPr>
    <w:r>
      <w:rPr>
        <w:noProof/>
      </w:rPr>
      <mc:AlternateContent>
        <mc:Choice Requires="wps">
          <w:drawing>
            <wp:anchor distT="0" distB="0" distL="0" distR="0" simplePos="0" relativeHeight="251658241" behindDoc="0" locked="0" layoutInCell="1" allowOverlap="1" wp14:anchorId="5DE00FA7" wp14:editId="499CD5CE">
              <wp:simplePos x="721453" y="436228"/>
              <wp:positionH relativeFrom="page">
                <wp:align>center</wp:align>
              </wp:positionH>
              <wp:positionV relativeFrom="page">
                <wp:align>top</wp:align>
              </wp:positionV>
              <wp:extent cx="653415" cy="466725"/>
              <wp:effectExtent l="0" t="0" r="13335" b="9525"/>
              <wp:wrapNone/>
              <wp:docPr id="400646533" name="Text Box 1" descr="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3415" cy="466725"/>
                      </a:xfrm>
                      <a:prstGeom prst="rect">
                        <a:avLst/>
                      </a:prstGeom>
                      <a:noFill/>
                      <a:ln>
                        <a:noFill/>
                      </a:ln>
                    </wps:spPr>
                    <wps:txbx>
                      <w:txbxContent>
                        <w:p w14:paraId="5006EE1C" w14:textId="34E97AD2" w:rsidR="008C5797" w:rsidRPr="008C5797" w:rsidRDefault="008C5797" w:rsidP="008C5797">
                          <w:pPr>
                            <w:spacing w:after="0"/>
                            <w:rPr>
                              <w:rFonts w:ascii="Aptos" w:eastAsia="Aptos" w:hAnsi="Aptos" w:cs="Aptos"/>
                              <w:noProof/>
                              <w:color w:val="000000"/>
                              <w:sz w:val="24"/>
                              <w:szCs w:val="24"/>
                            </w:rPr>
                          </w:pPr>
                          <w:r w:rsidRPr="008C5797">
                            <w:rPr>
                              <w:rFonts w:ascii="Aptos" w:eastAsia="Aptos" w:hAnsi="Aptos" w:cs="Aptos"/>
                              <w:noProof/>
                              <w:color w:val="000000"/>
                              <w:sz w:val="24"/>
                              <w:szCs w:val="24"/>
                            </w:rPr>
                            <w:t xml:space="preserve">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E00FA7" id="_x0000_t202" coordsize="21600,21600" o:spt="202" path="m,l,21600r21600,l21600,xe">
              <v:stroke joinstyle="miter"/>
              <v:path gradientshapeok="t" o:connecttype="rect"/>
            </v:shapetype>
            <v:shape id="Text Box 1" o:spid="_x0000_s1028" type="#_x0000_t202" alt=" OFFICIAL" style="position:absolute;margin-left:0;margin-top:0;width:51.45pt;height:36.7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" filled="f" stroked="f">
              <v:textbox style="mso-fit-shape-to-text:t" inset="0,15pt,0,0">
                <w:txbxContent>
                  <w:p w14:paraId="5006EE1C" w14:textId="34E97AD2" w:rsidR="008C5797" w:rsidRPr="008C5797" w:rsidRDefault="008C5797" w:rsidP="008C5797">
                    <w:pPr>
                      <w:spacing w:after="0"/>
                      <w:rPr>
                        <w:rFonts w:ascii="Aptos" w:eastAsia="Aptos" w:hAnsi="Aptos" w:cs="Aptos"/>
                        <w:noProof/>
                        <w:color w:val="000000"/>
                        <w:sz w:val="24"/>
                        <w:szCs w:val="24"/>
                      </w:rPr>
                    </w:pPr>
                    <w:r w:rsidRPr="008C5797">
                      <w:rPr>
                        <w:rFonts w:ascii="Aptos" w:eastAsia="Aptos" w:hAnsi="Aptos" w:cs="Aptos"/>
                        <w:noProof/>
                        <w:color w:val="000000"/>
                        <w:sz w:val="24"/>
                        <w:szCs w:val="24"/>
                      </w:rPr>
                      <w:t xml:space="preserve"> OFFICIAL</w:t>
                    </w:r>
                  </w:p>
                </w:txbxContent>
              </v:textbox>
              <w10:wrap anchorx="page" anchory="page"/>
            </v:shape>
          </w:pict>
        </mc:Fallback>
      </mc:AlternateContent>
    </w:r>
    <w:r w:rsidR="001705F5">
      <w:rPr>
        <w:noProof/>
      </w:rPr>
      <w:drawing>
        <wp:anchor distT="0" distB="0" distL="114300" distR="114300" simplePos="0" relativeHeight="251658240" behindDoc="0" locked="0" layoutInCell="1" allowOverlap="1" wp14:anchorId="5257AF88" wp14:editId="46D11CAB">
          <wp:simplePos x="0" y="0"/>
          <wp:positionH relativeFrom="margin">
            <wp:align>right</wp:align>
          </wp:positionH>
          <wp:positionV relativeFrom="paragraph">
            <wp:posOffset>-152400</wp:posOffset>
          </wp:positionV>
          <wp:extent cx="1541780" cy="1036955"/>
          <wp:effectExtent l="0" t="0" r="1270" b="0"/>
          <wp:wrapSquare wrapText="bothSides"/>
          <wp:docPr id="1082022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22330" name="Picture 1082022330"/>
                  <pic:cNvPicPr/>
                </pic:nvPicPr>
                <pic:blipFill>
                  <a:blip r:embed="rId1">
                    <a:extLst>
                      <a:ext uri="{28A0092B-C50C-407E-A947-70E740481C1C}">
                        <a14:useLocalDpi xmlns:a14="http://schemas.microsoft.com/office/drawing/2010/main" val="0"/>
                      </a:ext>
                    </a:extLst>
                  </a:blip>
                  <a:stretch>
                    <a:fillRect/>
                  </a:stretch>
                </pic:blipFill>
                <pic:spPr>
                  <a:xfrm>
                    <a:off x="0" y="0"/>
                    <a:ext cx="1541780" cy="1036955"/>
                  </a:xfrm>
                  <a:prstGeom prst="rect">
                    <a:avLst/>
                  </a:prstGeom>
                </pic:spPr>
              </pic:pic>
            </a:graphicData>
          </a:graphic>
          <wp14:sizeRelH relativeFrom="page">
            <wp14:pctWidth>0</wp14:pctWidth>
          </wp14:sizeRelH>
          <wp14:sizeRelV relativeFrom="page">
            <wp14:pctHeight>0</wp14:pctHeight>
          </wp14:sizeRelV>
        </wp:anchor>
      </w:drawing>
    </w:r>
  </w:p>
  <w:p w14:paraId="52420787" w14:textId="77777777" w:rsidR="001705F5" w:rsidRDefault="001705F5">
    <w:pPr>
      <w:pStyle w:val="Header"/>
    </w:pPr>
  </w:p>
  <w:p w14:paraId="4A27AC52" w14:textId="77777777" w:rsidR="001705F5" w:rsidRDefault="001705F5">
    <w:pPr>
      <w:pStyle w:val="Header"/>
    </w:pPr>
  </w:p>
  <w:p w14:paraId="6F0A9D4E" w14:textId="77777777" w:rsidR="001705F5" w:rsidRDefault="001705F5">
    <w:pPr>
      <w:pStyle w:val="Header"/>
    </w:pPr>
  </w:p>
  <w:p w14:paraId="0541992C" w14:textId="77777777" w:rsidR="001705F5" w:rsidRDefault="001705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34FB"/>
    <w:multiLevelType w:val="hybridMultilevel"/>
    <w:tmpl w:val="D97C1B84"/>
    <w:lvl w:ilvl="0" w:tplc="B88EAEDA">
      <w:start w:val="1"/>
      <w:numFmt w:val="bullet"/>
      <w:pStyle w:val="Bull1"/>
      <w:lvlText w:val=""/>
      <w:lvlJc w:val="left"/>
      <w:pPr>
        <w:ind w:left="454" w:hanging="454"/>
      </w:pPr>
      <w:rPr>
        <w:rFonts w:ascii="Symbol" w:hAnsi="Symbol" w:hint="default"/>
        <w:sz w:val="20"/>
      </w:rPr>
    </w:lvl>
    <w:lvl w:ilvl="1" w:tplc="8244DB8A">
      <w:start w:val="1"/>
      <w:numFmt w:val="bullet"/>
      <w:lvlText w:val="o"/>
      <w:lvlJc w:val="left"/>
      <w:pPr>
        <w:ind w:left="284" w:firstLine="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F36A5F"/>
    <w:multiLevelType w:val="hybridMultilevel"/>
    <w:tmpl w:val="DAAA601E"/>
    <w:lvl w:ilvl="0" w:tplc="19AA0ECC">
      <w:start w:val="1"/>
      <w:numFmt w:val="bullet"/>
      <w:pStyle w:val="Bull2"/>
      <w:lvlText w:val="o"/>
      <w:lvlJc w:val="left"/>
      <w:pPr>
        <w:ind w:left="907" w:hanging="453"/>
      </w:pPr>
      <w:rPr>
        <w:rFonts w:ascii="Courier New" w:hAnsi="Courier New" w:hint="default"/>
        <w:sz w:val="20"/>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2" w15:restartNumberingAfterBreak="0">
    <w:nsid w:val="1A6F51D2"/>
    <w:multiLevelType w:val="hybridMultilevel"/>
    <w:tmpl w:val="52BEBA04"/>
    <w:lvl w:ilvl="0" w:tplc="F28C850E">
      <w:start w:val="1"/>
      <w:numFmt w:val="decimal"/>
      <w:pStyle w:val="Tbl2OL"/>
      <w:lvlText w:val="%1."/>
      <w:lvlJc w:val="left"/>
      <w:pPr>
        <w:ind w:left="340" w:hanging="340"/>
      </w:pPr>
      <w:rPr>
        <w:rFonts w:ascii="Arial" w:hAnsi="Arial" w:hint="default"/>
        <w:sz w:val="19"/>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E330F01"/>
    <w:multiLevelType w:val="multilevel"/>
    <w:tmpl w:val="A10CC1EE"/>
    <w:lvl w:ilvl="0">
      <w:start w:val="1"/>
      <w:numFmt w:val="decimal"/>
      <w:pStyle w:val="OList1"/>
      <w:lvlText w:val="%1."/>
      <w:lvlJc w:val="left"/>
      <w:pPr>
        <w:ind w:left="454" w:hanging="454"/>
      </w:pPr>
      <w:rPr>
        <w:rFonts w:hint="default"/>
      </w:rPr>
    </w:lvl>
    <w:lvl w:ilvl="1">
      <w:start w:val="1"/>
      <w:numFmt w:val="decimal"/>
      <w:pStyle w:val="OList2"/>
      <w:lvlText w:val="%1.%2."/>
      <w:lvlJc w:val="left"/>
      <w:pPr>
        <w:ind w:left="908" w:hanging="454"/>
      </w:pPr>
      <w:rPr>
        <w:rFonts w:hint="default"/>
      </w:rPr>
    </w:lvl>
    <w:lvl w:ilvl="2">
      <w:start w:val="1"/>
      <w:numFmt w:val="decimal"/>
      <w:lvlText w:val="%1.%2.%3."/>
      <w:lvlJc w:val="left"/>
      <w:pPr>
        <w:ind w:left="1362" w:hanging="454"/>
      </w:pPr>
      <w:rPr>
        <w:rFonts w:hint="default"/>
      </w:rPr>
    </w:lvl>
    <w:lvl w:ilvl="3">
      <w:start w:val="1"/>
      <w:numFmt w:val="decimal"/>
      <w:lvlText w:val="%1.%2.%3.%4."/>
      <w:lvlJc w:val="left"/>
      <w:pPr>
        <w:ind w:left="1816" w:hanging="454"/>
      </w:pPr>
      <w:rPr>
        <w:rFonts w:hint="default"/>
      </w:rPr>
    </w:lvl>
    <w:lvl w:ilvl="4">
      <w:start w:val="1"/>
      <w:numFmt w:val="decimal"/>
      <w:lvlText w:val="%1.%2.%3.%4.%5."/>
      <w:lvlJc w:val="left"/>
      <w:pPr>
        <w:ind w:left="2270" w:hanging="454"/>
      </w:pPr>
      <w:rPr>
        <w:rFonts w:hint="default"/>
      </w:rPr>
    </w:lvl>
    <w:lvl w:ilvl="5">
      <w:start w:val="1"/>
      <w:numFmt w:val="decimal"/>
      <w:lvlText w:val="%1.%2.%3.%4.%5.%6."/>
      <w:lvlJc w:val="left"/>
      <w:pPr>
        <w:ind w:left="2724" w:hanging="454"/>
      </w:pPr>
      <w:rPr>
        <w:rFonts w:hint="default"/>
      </w:rPr>
    </w:lvl>
    <w:lvl w:ilvl="6">
      <w:start w:val="1"/>
      <w:numFmt w:val="decimal"/>
      <w:lvlText w:val="%1.%2.%3.%4.%5.%6.%7."/>
      <w:lvlJc w:val="left"/>
      <w:pPr>
        <w:ind w:left="3178" w:hanging="454"/>
      </w:pPr>
      <w:rPr>
        <w:rFonts w:hint="default"/>
      </w:rPr>
    </w:lvl>
    <w:lvl w:ilvl="7">
      <w:start w:val="1"/>
      <w:numFmt w:val="decimal"/>
      <w:lvlText w:val="%1.%2.%3.%4.%5.%6.%7.%8."/>
      <w:lvlJc w:val="left"/>
      <w:pPr>
        <w:ind w:left="3632" w:hanging="454"/>
      </w:pPr>
      <w:rPr>
        <w:rFonts w:hint="default"/>
      </w:rPr>
    </w:lvl>
    <w:lvl w:ilvl="8">
      <w:start w:val="1"/>
      <w:numFmt w:val="decimal"/>
      <w:lvlText w:val="%1.%2.%3.%4.%5.%6.%7.%8.%9."/>
      <w:lvlJc w:val="left"/>
      <w:pPr>
        <w:ind w:left="4086" w:hanging="454"/>
      </w:pPr>
      <w:rPr>
        <w:rFonts w:hint="default"/>
      </w:rPr>
    </w:lvl>
  </w:abstractNum>
  <w:abstractNum w:abstractNumId="4" w15:restartNumberingAfterBreak="0">
    <w:nsid w:val="41884FD1"/>
    <w:multiLevelType w:val="hybridMultilevel"/>
    <w:tmpl w:val="F83CA5AC"/>
    <w:lvl w:ilvl="0" w:tplc="B50C170A">
      <w:start w:val="1"/>
      <w:numFmt w:val="lowerLetter"/>
      <w:pStyle w:val="Tbl2Rec"/>
      <w:lvlText w:val="%1."/>
      <w:lvlJc w:val="left"/>
      <w:pPr>
        <w:ind w:left="340" w:hanging="340"/>
      </w:pPr>
      <w:rPr>
        <w:rFonts w:ascii="Arial" w:hAnsi="Arial" w:hint="default"/>
        <w:b w:val="0"/>
        <w:i w:val="0"/>
        <w:sz w:val="19"/>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16C51D6"/>
    <w:multiLevelType w:val="multilevel"/>
    <w:tmpl w:val="3ADA502A"/>
    <w:lvl w:ilvl="0">
      <w:start w:val="1"/>
      <w:numFmt w:val="decimal"/>
      <w:pStyle w:val="Tbl1OL1"/>
      <w:lvlText w:val="%1."/>
      <w:lvlJc w:val="left"/>
      <w:pPr>
        <w:ind w:left="284" w:hanging="284"/>
      </w:pPr>
      <w:rPr>
        <w:rFonts w:hint="default"/>
      </w:rPr>
    </w:lvl>
    <w:lvl w:ilvl="1">
      <w:start w:val="1"/>
      <w:numFmt w:val="decimal"/>
      <w:pStyle w:val="Tbl1OL2"/>
      <w:lvlText w:val="%1.%2."/>
      <w:lvlJc w:val="left"/>
      <w:pPr>
        <w:ind w:left="680" w:hanging="396"/>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6" w15:restartNumberingAfterBreak="0">
    <w:nsid w:val="55E73F97"/>
    <w:multiLevelType w:val="multilevel"/>
    <w:tmpl w:val="63B4681E"/>
    <w:lvl w:ilvl="0">
      <w:start w:val="1"/>
      <w:numFmt w:val="bullet"/>
      <w:pStyle w:val="Tbl1Bull1"/>
      <w:lvlText w:val=""/>
      <w:lvlJc w:val="left"/>
      <w:pPr>
        <w:ind w:left="284" w:hanging="284"/>
      </w:pPr>
      <w:rPr>
        <w:rFonts w:ascii="Symbol" w:hAnsi="Symbol" w:hint="default"/>
        <w:sz w:val="17"/>
      </w:rPr>
    </w:lvl>
    <w:lvl w:ilvl="1">
      <w:start w:val="1"/>
      <w:numFmt w:val="bullet"/>
      <w:pStyle w:val="Tbl1Bull2"/>
      <w:lvlText w:val="o"/>
      <w:lvlJc w:val="left"/>
      <w:pPr>
        <w:ind w:left="284" w:firstLine="0"/>
      </w:pPr>
      <w:rPr>
        <w:rFonts w:ascii="Courier New" w:hAnsi="Courier New" w:hint="default"/>
        <w:sz w:val="17"/>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D3A359A"/>
    <w:multiLevelType w:val="hybridMultilevel"/>
    <w:tmpl w:val="E166B848"/>
    <w:lvl w:ilvl="0" w:tplc="FCFCE580">
      <w:start w:val="1"/>
      <w:numFmt w:val="bullet"/>
      <w:pStyle w:val="Tbl2Bull1"/>
      <w:lvlText w:val=""/>
      <w:lvlJc w:val="left"/>
      <w:pPr>
        <w:ind w:left="340" w:hanging="340"/>
      </w:pPr>
      <w:rPr>
        <w:rFonts w:ascii="Symbol" w:hAnsi="Symbol" w:hint="default"/>
        <w:color w:val="000000"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9618958">
    <w:abstractNumId w:val="0"/>
  </w:num>
  <w:num w:numId="2" w16cid:durableId="736559433">
    <w:abstractNumId w:val="1"/>
  </w:num>
  <w:num w:numId="3" w16cid:durableId="1640568998">
    <w:abstractNumId w:val="3"/>
    <w:lvlOverride w:ilvl="0">
      <w:lvl w:ilvl="0">
        <w:start w:val="1"/>
        <w:numFmt w:val="decimal"/>
        <w:pStyle w:val="OList1"/>
        <w:lvlText w:val="%1."/>
        <w:lvlJc w:val="left"/>
        <w:pPr>
          <w:ind w:left="454" w:hanging="454"/>
        </w:pPr>
        <w:rPr>
          <w:rFonts w:hint="default"/>
        </w:rPr>
      </w:lvl>
    </w:lvlOverride>
    <w:lvlOverride w:ilvl="1">
      <w:lvl w:ilvl="1">
        <w:start w:val="1"/>
        <w:numFmt w:val="decimal"/>
        <w:pStyle w:val="OList2"/>
        <w:lvlText w:val="%1.%2."/>
        <w:lvlJc w:val="left"/>
        <w:pPr>
          <w:ind w:left="907" w:hanging="453"/>
        </w:pPr>
        <w:rPr>
          <w:rFonts w:hint="default"/>
        </w:rPr>
      </w:lvl>
    </w:lvlOverride>
    <w:lvlOverride w:ilvl="2">
      <w:lvl w:ilvl="2">
        <w:start w:val="1"/>
        <w:numFmt w:val="decimal"/>
        <w:lvlText w:val="%1.%2.%3."/>
        <w:lvlJc w:val="left"/>
        <w:pPr>
          <w:ind w:left="1362" w:hanging="454"/>
        </w:pPr>
        <w:rPr>
          <w:rFonts w:hint="default"/>
        </w:rPr>
      </w:lvl>
    </w:lvlOverride>
    <w:lvlOverride w:ilvl="3">
      <w:lvl w:ilvl="3">
        <w:start w:val="1"/>
        <w:numFmt w:val="decimal"/>
        <w:lvlText w:val="%1.%2.%3.%4."/>
        <w:lvlJc w:val="left"/>
        <w:pPr>
          <w:ind w:left="1816" w:hanging="454"/>
        </w:pPr>
        <w:rPr>
          <w:rFonts w:hint="default"/>
        </w:rPr>
      </w:lvl>
    </w:lvlOverride>
    <w:lvlOverride w:ilvl="4">
      <w:lvl w:ilvl="4">
        <w:start w:val="1"/>
        <w:numFmt w:val="decimal"/>
        <w:lvlText w:val="%1.%2.%3.%4.%5."/>
        <w:lvlJc w:val="left"/>
        <w:pPr>
          <w:ind w:left="2270" w:hanging="454"/>
        </w:pPr>
        <w:rPr>
          <w:rFonts w:hint="default"/>
        </w:rPr>
      </w:lvl>
    </w:lvlOverride>
    <w:lvlOverride w:ilvl="5">
      <w:lvl w:ilvl="5">
        <w:start w:val="1"/>
        <w:numFmt w:val="decimal"/>
        <w:lvlText w:val="%1.%2.%3.%4.%5.%6."/>
        <w:lvlJc w:val="left"/>
        <w:pPr>
          <w:ind w:left="2724" w:hanging="454"/>
        </w:pPr>
        <w:rPr>
          <w:rFonts w:hint="default"/>
        </w:rPr>
      </w:lvl>
    </w:lvlOverride>
    <w:lvlOverride w:ilvl="6">
      <w:lvl w:ilvl="6">
        <w:start w:val="1"/>
        <w:numFmt w:val="decimal"/>
        <w:lvlText w:val="%1.%2.%3.%4.%5.%6.%7."/>
        <w:lvlJc w:val="left"/>
        <w:pPr>
          <w:ind w:left="3178" w:hanging="454"/>
        </w:pPr>
        <w:rPr>
          <w:rFonts w:hint="default"/>
        </w:rPr>
      </w:lvl>
    </w:lvlOverride>
    <w:lvlOverride w:ilvl="7">
      <w:lvl w:ilvl="7">
        <w:start w:val="1"/>
        <w:numFmt w:val="decimal"/>
        <w:lvlText w:val="%1.%2.%3.%4.%5.%6.%7.%8."/>
        <w:lvlJc w:val="left"/>
        <w:pPr>
          <w:ind w:left="3632" w:hanging="454"/>
        </w:pPr>
        <w:rPr>
          <w:rFonts w:hint="default"/>
        </w:rPr>
      </w:lvl>
    </w:lvlOverride>
    <w:lvlOverride w:ilvl="8">
      <w:lvl w:ilvl="8">
        <w:start w:val="1"/>
        <w:numFmt w:val="decimal"/>
        <w:lvlText w:val="%1.%2.%3.%4.%5.%6.%7.%8.%9."/>
        <w:lvlJc w:val="left"/>
        <w:pPr>
          <w:ind w:left="4086" w:hanging="454"/>
        </w:pPr>
        <w:rPr>
          <w:rFonts w:hint="default"/>
        </w:rPr>
      </w:lvl>
    </w:lvlOverride>
  </w:num>
  <w:num w:numId="4" w16cid:durableId="286546233">
    <w:abstractNumId w:val="6"/>
  </w:num>
  <w:num w:numId="5" w16cid:durableId="554774104">
    <w:abstractNumId w:val="5"/>
  </w:num>
  <w:num w:numId="6" w16cid:durableId="821233829">
    <w:abstractNumId w:val="7"/>
  </w:num>
  <w:num w:numId="7" w16cid:durableId="1204250263">
    <w:abstractNumId w:val="4"/>
  </w:num>
  <w:num w:numId="8" w16cid:durableId="263538907">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xMTIxNjAyN7QwNTdS0lEKTi0uzszPAykwqgUAwNVqVCwAAAA="/>
  </w:docVars>
  <w:rsids>
    <w:rsidRoot w:val="00642B13"/>
    <w:rsid w:val="00035D00"/>
    <w:rsid w:val="000415E1"/>
    <w:rsid w:val="00044ADC"/>
    <w:rsid w:val="00047E07"/>
    <w:rsid w:val="00051BF5"/>
    <w:rsid w:val="00070671"/>
    <w:rsid w:val="00072937"/>
    <w:rsid w:val="00074F21"/>
    <w:rsid w:val="000959AB"/>
    <w:rsid w:val="000A7765"/>
    <w:rsid w:val="000B14E2"/>
    <w:rsid w:val="000B7D76"/>
    <w:rsid w:val="000C2CB7"/>
    <w:rsid w:val="000D668F"/>
    <w:rsid w:val="000D78EC"/>
    <w:rsid w:val="000E6036"/>
    <w:rsid w:val="00101CE5"/>
    <w:rsid w:val="00110958"/>
    <w:rsid w:val="00126521"/>
    <w:rsid w:val="00131835"/>
    <w:rsid w:val="00134981"/>
    <w:rsid w:val="00143F4F"/>
    <w:rsid w:val="001515B9"/>
    <w:rsid w:val="00151E5B"/>
    <w:rsid w:val="00155124"/>
    <w:rsid w:val="00155219"/>
    <w:rsid w:val="001705F5"/>
    <w:rsid w:val="001945AB"/>
    <w:rsid w:val="00197BE7"/>
    <w:rsid w:val="001B6285"/>
    <w:rsid w:val="001C1718"/>
    <w:rsid w:val="001C472C"/>
    <w:rsid w:val="001C64F1"/>
    <w:rsid w:val="001D0EB7"/>
    <w:rsid w:val="001F6218"/>
    <w:rsid w:val="00216737"/>
    <w:rsid w:val="00222C29"/>
    <w:rsid w:val="0022324A"/>
    <w:rsid w:val="0022603C"/>
    <w:rsid w:val="00240A34"/>
    <w:rsid w:val="0025300F"/>
    <w:rsid w:val="00274DC7"/>
    <w:rsid w:val="00275B38"/>
    <w:rsid w:val="00280501"/>
    <w:rsid w:val="002813DF"/>
    <w:rsid w:val="00287908"/>
    <w:rsid w:val="00295757"/>
    <w:rsid w:val="00297B07"/>
    <w:rsid w:val="002B5614"/>
    <w:rsid w:val="002C6515"/>
    <w:rsid w:val="002D332A"/>
    <w:rsid w:val="002D6D72"/>
    <w:rsid w:val="002E0B44"/>
    <w:rsid w:val="002E150A"/>
    <w:rsid w:val="002E2138"/>
    <w:rsid w:val="00302A1D"/>
    <w:rsid w:val="00304CE9"/>
    <w:rsid w:val="00305FBF"/>
    <w:rsid w:val="00312E63"/>
    <w:rsid w:val="003212FA"/>
    <w:rsid w:val="00323429"/>
    <w:rsid w:val="003422DE"/>
    <w:rsid w:val="003426E0"/>
    <w:rsid w:val="00346B8E"/>
    <w:rsid w:val="003551CE"/>
    <w:rsid w:val="00365808"/>
    <w:rsid w:val="00372DB5"/>
    <w:rsid w:val="003730E1"/>
    <w:rsid w:val="00377E24"/>
    <w:rsid w:val="00394FF0"/>
    <w:rsid w:val="003A0102"/>
    <w:rsid w:val="003B2538"/>
    <w:rsid w:val="003C4C17"/>
    <w:rsid w:val="003D7BFF"/>
    <w:rsid w:val="003F0D75"/>
    <w:rsid w:val="003F179C"/>
    <w:rsid w:val="003F28B7"/>
    <w:rsid w:val="00403096"/>
    <w:rsid w:val="004151CB"/>
    <w:rsid w:val="004159C4"/>
    <w:rsid w:val="00420CEE"/>
    <w:rsid w:val="0042232A"/>
    <w:rsid w:val="00427E3E"/>
    <w:rsid w:val="00432401"/>
    <w:rsid w:val="00436587"/>
    <w:rsid w:val="00440714"/>
    <w:rsid w:val="00455F48"/>
    <w:rsid w:val="0046305A"/>
    <w:rsid w:val="00475F4A"/>
    <w:rsid w:val="0048136C"/>
    <w:rsid w:val="00481D9A"/>
    <w:rsid w:val="00483D56"/>
    <w:rsid w:val="00484A56"/>
    <w:rsid w:val="004B1F41"/>
    <w:rsid w:val="004C0806"/>
    <w:rsid w:val="004C46BF"/>
    <w:rsid w:val="004D0CFA"/>
    <w:rsid w:val="004D1358"/>
    <w:rsid w:val="004D3D9A"/>
    <w:rsid w:val="004D6666"/>
    <w:rsid w:val="004E6A01"/>
    <w:rsid w:val="004F0BA7"/>
    <w:rsid w:val="004F1BC7"/>
    <w:rsid w:val="004F3F50"/>
    <w:rsid w:val="004F4053"/>
    <w:rsid w:val="004F439C"/>
    <w:rsid w:val="004F4D75"/>
    <w:rsid w:val="004F7CFF"/>
    <w:rsid w:val="005060AB"/>
    <w:rsid w:val="00520A8D"/>
    <w:rsid w:val="00522886"/>
    <w:rsid w:val="00522EDD"/>
    <w:rsid w:val="00523AB1"/>
    <w:rsid w:val="00531BF1"/>
    <w:rsid w:val="00561570"/>
    <w:rsid w:val="0056453D"/>
    <w:rsid w:val="005826CC"/>
    <w:rsid w:val="00593DDE"/>
    <w:rsid w:val="00595D89"/>
    <w:rsid w:val="005A1432"/>
    <w:rsid w:val="005A4B4E"/>
    <w:rsid w:val="005A622D"/>
    <w:rsid w:val="005B0CDF"/>
    <w:rsid w:val="005D0EAE"/>
    <w:rsid w:val="005D232F"/>
    <w:rsid w:val="005F381F"/>
    <w:rsid w:val="005F6435"/>
    <w:rsid w:val="00610FAE"/>
    <w:rsid w:val="00630760"/>
    <w:rsid w:val="006340F5"/>
    <w:rsid w:val="00634700"/>
    <w:rsid w:val="00636245"/>
    <w:rsid w:val="00642B13"/>
    <w:rsid w:val="00645C8D"/>
    <w:rsid w:val="00693508"/>
    <w:rsid w:val="00694AD4"/>
    <w:rsid w:val="00696A48"/>
    <w:rsid w:val="00697C86"/>
    <w:rsid w:val="006B78CF"/>
    <w:rsid w:val="006B79EE"/>
    <w:rsid w:val="006C0789"/>
    <w:rsid w:val="006C1B4E"/>
    <w:rsid w:val="006C4DC6"/>
    <w:rsid w:val="006D35E7"/>
    <w:rsid w:val="007040AE"/>
    <w:rsid w:val="007051B5"/>
    <w:rsid w:val="007064EF"/>
    <w:rsid w:val="0072087E"/>
    <w:rsid w:val="007235DD"/>
    <w:rsid w:val="007336C2"/>
    <w:rsid w:val="00757CF2"/>
    <w:rsid w:val="00765F7D"/>
    <w:rsid w:val="00774A75"/>
    <w:rsid w:val="007A33C8"/>
    <w:rsid w:val="007A62F3"/>
    <w:rsid w:val="007B4C29"/>
    <w:rsid w:val="007B4EE9"/>
    <w:rsid w:val="007C1A94"/>
    <w:rsid w:val="007C6A45"/>
    <w:rsid w:val="007D2666"/>
    <w:rsid w:val="007D48E4"/>
    <w:rsid w:val="007D53E8"/>
    <w:rsid w:val="007E065D"/>
    <w:rsid w:val="007E4084"/>
    <w:rsid w:val="007F1936"/>
    <w:rsid w:val="007F3F0E"/>
    <w:rsid w:val="007F58E2"/>
    <w:rsid w:val="00800C89"/>
    <w:rsid w:val="00803A60"/>
    <w:rsid w:val="00803CB6"/>
    <w:rsid w:val="00812D5D"/>
    <w:rsid w:val="00816C3E"/>
    <w:rsid w:val="00827DE1"/>
    <w:rsid w:val="00830F63"/>
    <w:rsid w:val="008312E1"/>
    <w:rsid w:val="00833902"/>
    <w:rsid w:val="00836195"/>
    <w:rsid w:val="00836C3C"/>
    <w:rsid w:val="0084484C"/>
    <w:rsid w:val="00851D24"/>
    <w:rsid w:val="008539A2"/>
    <w:rsid w:val="00873B16"/>
    <w:rsid w:val="008748EC"/>
    <w:rsid w:val="00876FD1"/>
    <w:rsid w:val="00880C54"/>
    <w:rsid w:val="00882795"/>
    <w:rsid w:val="0088431C"/>
    <w:rsid w:val="00886A93"/>
    <w:rsid w:val="00893F1C"/>
    <w:rsid w:val="008A4512"/>
    <w:rsid w:val="008B18B6"/>
    <w:rsid w:val="008C301E"/>
    <w:rsid w:val="008C5797"/>
    <w:rsid w:val="008D1949"/>
    <w:rsid w:val="008E72D3"/>
    <w:rsid w:val="00910FE8"/>
    <w:rsid w:val="00913111"/>
    <w:rsid w:val="0093131B"/>
    <w:rsid w:val="00936825"/>
    <w:rsid w:val="00940CF2"/>
    <w:rsid w:val="00941F64"/>
    <w:rsid w:val="0094200E"/>
    <w:rsid w:val="0094474B"/>
    <w:rsid w:val="009450A5"/>
    <w:rsid w:val="0095243B"/>
    <w:rsid w:val="009739BE"/>
    <w:rsid w:val="00974C10"/>
    <w:rsid w:val="00974EDF"/>
    <w:rsid w:val="00992477"/>
    <w:rsid w:val="009A0ADB"/>
    <w:rsid w:val="009A19F1"/>
    <w:rsid w:val="009A3432"/>
    <w:rsid w:val="009B00C2"/>
    <w:rsid w:val="009C20D3"/>
    <w:rsid w:val="009C6FA7"/>
    <w:rsid w:val="009D0FAE"/>
    <w:rsid w:val="009D3177"/>
    <w:rsid w:val="009D7408"/>
    <w:rsid w:val="009F0CE2"/>
    <w:rsid w:val="009F1194"/>
    <w:rsid w:val="009F2377"/>
    <w:rsid w:val="00A13251"/>
    <w:rsid w:val="00A13864"/>
    <w:rsid w:val="00A21379"/>
    <w:rsid w:val="00A46936"/>
    <w:rsid w:val="00A50C6E"/>
    <w:rsid w:val="00A54FEA"/>
    <w:rsid w:val="00A62DE1"/>
    <w:rsid w:val="00A646D0"/>
    <w:rsid w:val="00A7144D"/>
    <w:rsid w:val="00A80525"/>
    <w:rsid w:val="00A86E26"/>
    <w:rsid w:val="00A9131A"/>
    <w:rsid w:val="00A9378D"/>
    <w:rsid w:val="00AA096A"/>
    <w:rsid w:val="00AA24A6"/>
    <w:rsid w:val="00AB0E3F"/>
    <w:rsid w:val="00AB38F7"/>
    <w:rsid w:val="00AB3CC7"/>
    <w:rsid w:val="00AB5DBA"/>
    <w:rsid w:val="00AB61D5"/>
    <w:rsid w:val="00AD2D8B"/>
    <w:rsid w:val="00AF37AB"/>
    <w:rsid w:val="00B02166"/>
    <w:rsid w:val="00B03D4B"/>
    <w:rsid w:val="00B04676"/>
    <w:rsid w:val="00B21E43"/>
    <w:rsid w:val="00B236F9"/>
    <w:rsid w:val="00B26385"/>
    <w:rsid w:val="00B646AD"/>
    <w:rsid w:val="00B80058"/>
    <w:rsid w:val="00B91BB5"/>
    <w:rsid w:val="00B948B8"/>
    <w:rsid w:val="00B97EB5"/>
    <w:rsid w:val="00BB4654"/>
    <w:rsid w:val="00BB6C69"/>
    <w:rsid w:val="00BC0510"/>
    <w:rsid w:val="00BC3F02"/>
    <w:rsid w:val="00BC4DFE"/>
    <w:rsid w:val="00BD3421"/>
    <w:rsid w:val="00BD3C1C"/>
    <w:rsid w:val="00BD465C"/>
    <w:rsid w:val="00BE352A"/>
    <w:rsid w:val="00C021B8"/>
    <w:rsid w:val="00C022E2"/>
    <w:rsid w:val="00C0313A"/>
    <w:rsid w:val="00C0370D"/>
    <w:rsid w:val="00C057BC"/>
    <w:rsid w:val="00C1217A"/>
    <w:rsid w:val="00C2340A"/>
    <w:rsid w:val="00C2435E"/>
    <w:rsid w:val="00C34226"/>
    <w:rsid w:val="00C44D42"/>
    <w:rsid w:val="00C45CDE"/>
    <w:rsid w:val="00C46C0D"/>
    <w:rsid w:val="00C546D7"/>
    <w:rsid w:val="00C6485F"/>
    <w:rsid w:val="00C72070"/>
    <w:rsid w:val="00C7772A"/>
    <w:rsid w:val="00C975BB"/>
    <w:rsid w:val="00CA00F9"/>
    <w:rsid w:val="00CA6495"/>
    <w:rsid w:val="00CC4632"/>
    <w:rsid w:val="00CD1D9F"/>
    <w:rsid w:val="00CD69E3"/>
    <w:rsid w:val="00CE3F50"/>
    <w:rsid w:val="00CF7EB7"/>
    <w:rsid w:val="00D0060C"/>
    <w:rsid w:val="00D01656"/>
    <w:rsid w:val="00D02276"/>
    <w:rsid w:val="00D05064"/>
    <w:rsid w:val="00D06BD5"/>
    <w:rsid w:val="00D10071"/>
    <w:rsid w:val="00D12C9C"/>
    <w:rsid w:val="00D17DC2"/>
    <w:rsid w:val="00D21D60"/>
    <w:rsid w:val="00D315F4"/>
    <w:rsid w:val="00D37A4A"/>
    <w:rsid w:val="00D476F9"/>
    <w:rsid w:val="00D51F78"/>
    <w:rsid w:val="00D5314F"/>
    <w:rsid w:val="00D60952"/>
    <w:rsid w:val="00D63DE7"/>
    <w:rsid w:val="00D71DA4"/>
    <w:rsid w:val="00D76BAA"/>
    <w:rsid w:val="00D80253"/>
    <w:rsid w:val="00D820CD"/>
    <w:rsid w:val="00D9414B"/>
    <w:rsid w:val="00D95001"/>
    <w:rsid w:val="00D9630B"/>
    <w:rsid w:val="00D968D4"/>
    <w:rsid w:val="00DA6D3C"/>
    <w:rsid w:val="00DB23BA"/>
    <w:rsid w:val="00DB42B8"/>
    <w:rsid w:val="00DB5828"/>
    <w:rsid w:val="00DC01BC"/>
    <w:rsid w:val="00DC7588"/>
    <w:rsid w:val="00DD0304"/>
    <w:rsid w:val="00DD3BD8"/>
    <w:rsid w:val="00DE0CD2"/>
    <w:rsid w:val="00DE129E"/>
    <w:rsid w:val="00DE2F89"/>
    <w:rsid w:val="00DE6450"/>
    <w:rsid w:val="00E0615C"/>
    <w:rsid w:val="00E1091D"/>
    <w:rsid w:val="00E14D3B"/>
    <w:rsid w:val="00E16C88"/>
    <w:rsid w:val="00E30D00"/>
    <w:rsid w:val="00E34A7D"/>
    <w:rsid w:val="00E357F1"/>
    <w:rsid w:val="00E40AC1"/>
    <w:rsid w:val="00E40FF0"/>
    <w:rsid w:val="00E43486"/>
    <w:rsid w:val="00E43EEF"/>
    <w:rsid w:val="00E515DD"/>
    <w:rsid w:val="00E5191B"/>
    <w:rsid w:val="00E5426C"/>
    <w:rsid w:val="00E62AD7"/>
    <w:rsid w:val="00E65598"/>
    <w:rsid w:val="00E66960"/>
    <w:rsid w:val="00E77843"/>
    <w:rsid w:val="00E84F6D"/>
    <w:rsid w:val="00E945E9"/>
    <w:rsid w:val="00ED5190"/>
    <w:rsid w:val="00EF73ED"/>
    <w:rsid w:val="00F021C4"/>
    <w:rsid w:val="00F064EA"/>
    <w:rsid w:val="00F11963"/>
    <w:rsid w:val="00F14039"/>
    <w:rsid w:val="00F153C5"/>
    <w:rsid w:val="00F25BFE"/>
    <w:rsid w:val="00F34FC8"/>
    <w:rsid w:val="00F35DDF"/>
    <w:rsid w:val="00F43335"/>
    <w:rsid w:val="00F44E6A"/>
    <w:rsid w:val="00F508D1"/>
    <w:rsid w:val="00F57B3D"/>
    <w:rsid w:val="00F60840"/>
    <w:rsid w:val="00F677B8"/>
    <w:rsid w:val="00F72E82"/>
    <w:rsid w:val="00F750C7"/>
    <w:rsid w:val="00F85FED"/>
    <w:rsid w:val="00F871BE"/>
    <w:rsid w:val="00FA4EAE"/>
    <w:rsid w:val="00FA5BC0"/>
    <w:rsid w:val="00FB5149"/>
    <w:rsid w:val="00FC446E"/>
    <w:rsid w:val="00FC61F0"/>
    <w:rsid w:val="00FC6E3C"/>
    <w:rsid w:val="00FD19F1"/>
    <w:rsid w:val="00FD582A"/>
    <w:rsid w:val="00FE1BE9"/>
    <w:rsid w:val="00FE34EC"/>
    <w:rsid w:val="00FE506A"/>
    <w:rsid w:val="00FE65CC"/>
    <w:rsid w:val="00FE66C7"/>
    <w:rsid w:val="00FF28D6"/>
    <w:rsid w:val="00FF5FBA"/>
    <w:rsid w:val="08B944B1"/>
    <w:rsid w:val="0BF5CC77"/>
    <w:rsid w:val="0D9E0633"/>
    <w:rsid w:val="0FE7CF77"/>
    <w:rsid w:val="11918781"/>
    <w:rsid w:val="122FCB60"/>
    <w:rsid w:val="15974E01"/>
    <w:rsid w:val="16A14F39"/>
    <w:rsid w:val="174F8AC1"/>
    <w:rsid w:val="1FBC1663"/>
    <w:rsid w:val="22047C6D"/>
    <w:rsid w:val="23D17776"/>
    <w:rsid w:val="27EFFC5C"/>
    <w:rsid w:val="287BCB77"/>
    <w:rsid w:val="29A77899"/>
    <w:rsid w:val="2B09A5F7"/>
    <w:rsid w:val="2B365E2D"/>
    <w:rsid w:val="2CE554BD"/>
    <w:rsid w:val="2F130DEB"/>
    <w:rsid w:val="2FF66468"/>
    <w:rsid w:val="303780BA"/>
    <w:rsid w:val="30C13509"/>
    <w:rsid w:val="30D08110"/>
    <w:rsid w:val="348AB7FF"/>
    <w:rsid w:val="36947B95"/>
    <w:rsid w:val="37F37069"/>
    <w:rsid w:val="390690EE"/>
    <w:rsid w:val="39069EA8"/>
    <w:rsid w:val="39493920"/>
    <w:rsid w:val="3AF8CB19"/>
    <w:rsid w:val="3D71C589"/>
    <w:rsid w:val="3F039BCA"/>
    <w:rsid w:val="3F228DE4"/>
    <w:rsid w:val="42BAE696"/>
    <w:rsid w:val="42F12917"/>
    <w:rsid w:val="44DBB2A9"/>
    <w:rsid w:val="4576925B"/>
    <w:rsid w:val="46D8CFF3"/>
    <w:rsid w:val="47EA9346"/>
    <w:rsid w:val="48051289"/>
    <w:rsid w:val="529C782C"/>
    <w:rsid w:val="557697E1"/>
    <w:rsid w:val="5862A704"/>
    <w:rsid w:val="588921FA"/>
    <w:rsid w:val="5BA007B8"/>
    <w:rsid w:val="633BCA94"/>
    <w:rsid w:val="63983F0B"/>
    <w:rsid w:val="657ADCE3"/>
    <w:rsid w:val="67EB9DE0"/>
    <w:rsid w:val="6970BDB0"/>
    <w:rsid w:val="69AF9773"/>
    <w:rsid w:val="70B57719"/>
    <w:rsid w:val="728244CD"/>
    <w:rsid w:val="76C0A6D3"/>
    <w:rsid w:val="78879851"/>
    <w:rsid w:val="7AD072D4"/>
    <w:rsid w:val="7B8202C1"/>
    <w:rsid w:val="7BB96B0B"/>
    <w:rsid w:val="7BE579EC"/>
    <w:rsid w:val="7EC26CD2"/>
    <w:rsid w:val="7F5554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88838"/>
  <w15:chartTrackingRefBased/>
  <w15:docId w15:val="{827EA819-5410-4123-8374-B09EAC3A8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AU" w:eastAsia="en-US" w:bidi="ar-SA"/>
      </w:rPr>
    </w:rPrDefault>
    <w:pPrDefault>
      <w:pPr>
        <w:spacing w:before="113" w:line="264"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ZZ Normal"/>
    <w:next w:val="Body"/>
    <w:qFormat/>
    <w:rsid w:val="00F60840"/>
    <w:pPr>
      <w:spacing w:after="5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link w:val="BodyChar"/>
    <w:qFormat/>
    <w:rsid w:val="0046305A"/>
  </w:style>
  <w:style w:type="paragraph" w:customStyle="1" w:styleId="BodyB">
    <w:name w:val="BodyB"/>
    <w:basedOn w:val="Body"/>
    <w:next w:val="Body"/>
    <w:link w:val="BodyBChar"/>
    <w:qFormat/>
    <w:rsid w:val="0046305A"/>
    <w:rPr>
      <w:b/>
    </w:rPr>
  </w:style>
  <w:style w:type="character" w:customStyle="1" w:styleId="BodyChar">
    <w:name w:val="Body Char"/>
    <w:basedOn w:val="DefaultParagraphFont"/>
    <w:link w:val="Body"/>
    <w:rsid w:val="0046305A"/>
  </w:style>
  <w:style w:type="paragraph" w:customStyle="1" w:styleId="BodyIt">
    <w:name w:val="BodyIt"/>
    <w:basedOn w:val="Body"/>
    <w:link w:val="BodyItChar"/>
    <w:qFormat/>
    <w:rsid w:val="0046305A"/>
    <w:rPr>
      <w:i/>
    </w:rPr>
  </w:style>
  <w:style w:type="character" w:customStyle="1" w:styleId="BodyBChar">
    <w:name w:val="BodyB Char"/>
    <w:basedOn w:val="BodyChar"/>
    <w:link w:val="BodyB"/>
    <w:rsid w:val="0046305A"/>
    <w:rPr>
      <w:b/>
    </w:rPr>
  </w:style>
  <w:style w:type="paragraph" w:styleId="ListParagraph">
    <w:name w:val="List Paragraph"/>
    <w:basedOn w:val="Normal"/>
    <w:link w:val="ListParagraphChar"/>
    <w:uiPriority w:val="34"/>
    <w:rsid w:val="0046305A"/>
    <w:pPr>
      <w:ind w:left="720"/>
      <w:contextualSpacing/>
    </w:pPr>
  </w:style>
  <w:style w:type="character" w:customStyle="1" w:styleId="BodyItChar">
    <w:name w:val="BodyIt Char"/>
    <w:basedOn w:val="BodyChar"/>
    <w:link w:val="BodyIt"/>
    <w:rsid w:val="0046305A"/>
    <w:rPr>
      <w:i/>
    </w:rPr>
  </w:style>
  <w:style w:type="paragraph" w:customStyle="1" w:styleId="OList1">
    <w:name w:val="OList1"/>
    <w:basedOn w:val="Body"/>
    <w:link w:val="OList1Char"/>
    <w:qFormat/>
    <w:rsid w:val="0046305A"/>
    <w:pPr>
      <w:numPr>
        <w:numId w:val="3"/>
      </w:numPr>
    </w:pPr>
  </w:style>
  <w:style w:type="paragraph" w:customStyle="1" w:styleId="OList2">
    <w:name w:val="OList2"/>
    <w:basedOn w:val="OList1"/>
    <w:link w:val="OList2Char"/>
    <w:qFormat/>
    <w:rsid w:val="0046305A"/>
    <w:pPr>
      <w:numPr>
        <w:ilvl w:val="1"/>
      </w:numPr>
      <w:spacing w:before="85"/>
    </w:pPr>
  </w:style>
  <w:style w:type="character" w:customStyle="1" w:styleId="ListParagraphChar">
    <w:name w:val="List Paragraph Char"/>
    <w:basedOn w:val="DefaultParagraphFont"/>
    <w:link w:val="ListParagraph"/>
    <w:uiPriority w:val="34"/>
    <w:rsid w:val="0046305A"/>
  </w:style>
  <w:style w:type="character" w:customStyle="1" w:styleId="OList1Char">
    <w:name w:val="OList1 Char"/>
    <w:basedOn w:val="ListParagraphChar"/>
    <w:link w:val="OList1"/>
    <w:rsid w:val="0046305A"/>
  </w:style>
  <w:style w:type="paragraph" w:customStyle="1" w:styleId="Bull1">
    <w:name w:val="Bull1"/>
    <w:basedOn w:val="Body"/>
    <w:link w:val="Bull1Char"/>
    <w:qFormat/>
    <w:rsid w:val="0046305A"/>
    <w:pPr>
      <w:numPr>
        <w:numId w:val="1"/>
      </w:numPr>
      <w:spacing w:before="57"/>
    </w:pPr>
  </w:style>
  <w:style w:type="character" w:customStyle="1" w:styleId="OList2Char">
    <w:name w:val="OList2 Char"/>
    <w:basedOn w:val="OList1Char"/>
    <w:link w:val="OList2"/>
    <w:rsid w:val="0046305A"/>
  </w:style>
  <w:style w:type="paragraph" w:customStyle="1" w:styleId="Bull2">
    <w:name w:val="Bull2"/>
    <w:basedOn w:val="Bull1"/>
    <w:link w:val="Bull2Char"/>
    <w:qFormat/>
    <w:rsid w:val="0046305A"/>
    <w:pPr>
      <w:numPr>
        <w:numId w:val="2"/>
      </w:numPr>
    </w:pPr>
  </w:style>
  <w:style w:type="character" w:customStyle="1" w:styleId="Bull1Char">
    <w:name w:val="Bull1 Char"/>
    <w:basedOn w:val="BodyChar"/>
    <w:link w:val="Bull1"/>
    <w:rsid w:val="0046305A"/>
  </w:style>
  <w:style w:type="paragraph" w:customStyle="1" w:styleId="Hdg4">
    <w:name w:val="Hdg4"/>
    <w:basedOn w:val="Hdg3"/>
    <w:next w:val="Body"/>
    <w:link w:val="Hdg4Char"/>
    <w:qFormat/>
    <w:rsid w:val="001945AB"/>
    <w:pPr>
      <w:spacing w:before="227" w:after="57"/>
    </w:pPr>
    <w:rPr>
      <w:sz w:val="24"/>
      <w:szCs w:val="23"/>
    </w:rPr>
  </w:style>
  <w:style w:type="character" w:customStyle="1" w:styleId="Bull2Char">
    <w:name w:val="Bull2 Char"/>
    <w:basedOn w:val="BodyChar"/>
    <w:link w:val="Bull2"/>
    <w:rsid w:val="0046305A"/>
  </w:style>
  <w:style w:type="character" w:customStyle="1" w:styleId="Hdg4Char">
    <w:name w:val="Hdg4 Char"/>
    <w:basedOn w:val="BodyChar"/>
    <w:link w:val="Hdg4"/>
    <w:rsid w:val="001945AB"/>
    <w:rPr>
      <w:b/>
      <w:color w:val="4A66AC" w:themeColor="accent1"/>
      <w:sz w:val="24"/>
      <w:szCs w:val="23"/>
    </w:rPr>
  </w:style>
  <w:style w:type="paragraph" w:customStyle="1" w:styleId="Hdg1">
    <w:name w:val="Hdg1"/>
    <w:basedOn w:val="Body"/>
    <w:next w:val="Body"/>
    <w:link w:val="Hdg1Char"/>
    <w:qFormat/>
    <w:rsid w:val="00642B13"/>
    <w:pPr>
      <w:pBdr>
        <w:bottom w:val="single" w:sz="12" w:space="1" w:color="E31D79"/>
      </w:pBdr>
      <w:spacing w:before="120" w:after="340"/>
      <w:outlineLvl w:val="0"/>
    </w:pPr>
    <w:rPr>
      <w:b/>
      <w:color w:val="4A66AC" w:themeColor="accent1"/>
      <w:sz w:val="34"/>
      <w:szCs w:val="48"/>
    </w:rPr>
  </w:style>
  <w:style w:type="paragraph" w:customStyle="1" w:styleId="Hdg2">
    <w:name w:val="Hdg2"/>
    <w:basedOn w:val="Hdg1"/>
    <w:next w:val="Body"/>
    <w:link w:val="Hdg2Char"/>
    <w:qFormat/>
    <w:rsid w:val="001945AB"/>
    <w:pPr>
      <w:keepNext/>
      <w:pBdr>
        <w:bottom w:val="none" w:sz="0" w:space="0" w:color="auto"/>
      </w:pBdr>
      <w:spacing w:before="340" w:after="113"/>
      <w:outlineLvl w:val="1"/>
    </w:pPr>
    <w:rPr>
      <w:sz w:val="30"/>
      <w:szCs w:val="36"/>
    </w:rPr>
  </w:style>
  <w:style w:type="character" w:customStyle="1" w:styleId="Hdg1Char">
    <w:name w:val="Hdg1 Char"/>
    <w:basedOn w:val="BodyChar"/>
    <w:link w:val="Hdg1"/>
    <w:rsid w:val="00642B13"/>
    <w:rPr>
      <w:b/>
      <w:color w:val="4A66AC" w:themeColor="accent1"/>
      <w:sz w:val="34"/>
      <w:szCs w:val="48"/>
    </w:rPr>
  </w:style>
  <w:style w:type="paragraph" w:customStyle="1" w:styleId="Hdg3">
    <w:name w:val="Hdg3"/>
    <w:basedOn w:val="Hdg2"/>
    <w:next w:val="Body"/>
    <w:link w:val="Hdg3Char"/>
    <w:qFormat/>
    <w:rsid w:val="001945AB"/>
    <w:pPr>
      <w:spacing w:before="284"/>
      <w:outlineLvl w:val="9"/>
    </w:pPr>
    <w:rPr>
      <w:sz w:val="27"/>
      <w:szCs w:val="29"/>
    </w:rPr>
  </w:style>
  <w:style w:type="character" w:customStyle="1" w:styleId="Hdg2Char">
    <w:name w:val="Hdg2 Char"/>
    <w:basedOn w:val="BodyChar"/>
    <w:link w:val="Hdg2"/>
    <w:rsid w:val="001945AB"/>
    <w:rPr>
      <w:b/>
      <w:color w:val="4A66AC" w:themeColor="accent1"/>
      <w:sz w:val="30"/>
      <w:szCs w:val="36"/>
    </w:rPr>
  </w:style>
  <w:style w:type="table" w:styleId="TableGrid">
    <w:name w:val="Table Grid"/>
    <w:basedOn w:val="ATWDTable1"/>
    <w:uiPriority w:val="39"/>
    <w:rsid w:val="004630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85" w:beforeAutospacing="0" w:afterLines="0" w:after="57" w:afterAutospacing="0" w:line="264" w:lineRule="auto"/>
        <w:contextualSpacing w:val="0"/>
      </w:pPr>
      <w:rPr>
        <w:rFonts w:ascii="Arial" w:hAnsi="Arial"/>
        <w:b w:val="0"/>
        <w:color w:val="ACCBF9" w:themeColor="background2"/>
        <w:sz w:val="20"/>
      </w:rPr>
      <w:tblPr/>
      <w:tcPr>
        <w:tcBorders>
          <w:top w:val="single" w:sz="4" w:space="0" w:color="CBD2DC" w:themeColor="accent4" w:themeTint="66"/>
          <w:left w:val="single" w:sz="4" w:space="0" w:color="CBD2DC" w:themeColor="accent4" w:themeTint="66"/>
          <w:bottom w:val="single" w:sz="4" w:space="0" w:color="CBD2DC" w:themeColor="accent4" w:themeTint="66"/>
          <w:right w:val="single" w:sz="4" w:space="0" w:color="CBD2DC" w:themeColor="accent4" w:themeTint="66"/>
          <w:insideH w:val="single" w:sz="4" w:space="0" w:color="CBD2DC" w:themeColor="accent4" w:themeTint="66"/>
          <w:insideV w:val="single" w:sz="4" w:space="0" w:color="CBD2DC" w:themeColor="accent4" w:themeTint="66"/>
          <w:tl2br w:val="nil"/>
          <w:tr2bl w:val="nil"/>
        </w:tcBorders>
        <w:shd w:val="clear" w:color="auto" w:fill="9D90A0" w:themeFill="accent6"/>
      </w:tcPr>
    </w:tblStylePr>
    <w:tblStylePr w:type="band1Horz">
      <w:pPr>
        <w:wordWrap/>
        <w:spacing w:beforeLines="0" w:before="57" w:beforeAutospacing="0" w:afterLines="0" w:after="57" w:afterAutospacing="0" w:line="264" w:lineRule="auto"/>
        <w:contextualSpacing w:val="0"/>
      </w:pPr>
      <w:rPr>
        <w:rFonts w:ascii="Arial" w:hAnsi="Arial"/>
        <w:color w:val="7F8FA9" w:themeColor="accent4"/>
        <w:sz w:val="18"/>
      </w:rPr>
      <w:tblPr/>
      <w:tcPr>
        <w:vAlign w:val="center"/>
      </w:tcPr>
    </w:tblStylePr>
    <w:tblStylePr w:type="band2Horz">
      <w:pPr>
        <w:wordWrap/>
        <w:spacing w:beforeLines="0" w:before="57" w:beforeAutospacing="0" w:afterLines="0" w:after="57" w:afterAutospacing="0" w:line="264" w:lineRule="auto"/>
        <w:contextualSpacing w:val="0"/>
      </w:pPr>
      <w:rPr>
        <w:rFonts w:ascii="Arial" w:hAnsi="Arial"/>
        <w:color w:val="7F8FA9" w:themeColor="accent4"/>
        <w:sz w:val="18"/>
      </w:rPr>
      <w:tblPr/>
      <w:tcPr>
        <w:vAlign w:val="center"/>
      </w:tcPr>
    </w:tblStylePr>
  </w:style>
  <w:style w:type="character" w:customStyle="1" w:styleId="Hdg3Char">
    <w:name w:val="Hdg3 Char"/>
    <w:basedOn w:val="BodyChar"/>
    <w:link w:val="Hdg3"/>
    <w:rsid w:val="001945AB"/>
    <w:rPr>
      <w:b/>
      <w:color w:val="4A66AC" w:themeColor="accent1"/>
      <w:sz w:val="27"/>
      <w:szCs w:val="29"/>
    </w:rPr>
  </w:style>
  <w:style w:type="paragraph" w:customStyle="1" w:styleId="Tbl1Text">
    <w:name w:val="Tbl 1 Text"/>
    <w:basedOn w:val="Body"/>
    <w:link w:val="Tbl1TextChar"/>
    <w:qFormat/>
    <w:rsid w:val="00561570"/>
    <w:pPr>
      <w:spacing w:before="57"/>
    </w:pPr>
    <w:rPr>
      <w:color w:val="000000" w:themeColor="text1"/>
      <w:sz w:val="18"/>
      <w:szCs w:val="18"/>
    </w:rPr>
  </w:style>
  <w:style w:type="paragraph" w:customStyle="1" w:styleId="Tbl1TextIt">
    <w:name w:val="Tbl 1 Text It"/>
    <w:basedOn w:val="Tbl1Text"/>
    <w:link w:val="Tbl1TextItChar"/>
    <w:qFormat/>
    <w:rsid w:val="0046305A"/>
    <w:rPr>
      <w:i/>
    </w:rPr>
  </w:style>
  <w:style w:type="character" w:customStyle="1" w:styleId="Tbl1TextChar">
    <w:name w:val="Tbl 1 Text Char"/>
    <w:basedOn w:val="BodyChar"/>
    <w:link w:val="Tbl1Text"/>
    <w:rsid w:val="00561570"/>
    <w:rPr>
      <w:color w:val="000000" w:themeColor="text1"/>
      <w:sz w:val="18"/>
      <w:szCs w:val="18"/>
    </w:rPr>
  </w:style>
  <w:style w:type="paragraph" w:customStyle="1" w:styleId="Tbl1TextB">
    <w:name w:val="Tbl 1 TextB"/>
    <w:basedOn w:val="Tbl1Text"/>
    <w:link w:val="Tbl1TextBChar"/>
    <w:qFormat/>
    <w:rsid w:val="0046305A"/>
    <w:rPr>
      <w:b/>
    </w:rPr>
  </w:style>
  <w:style w:type="character" w:customStyle="1" w:styleId="Tbl1TextItChar">
    <w:name w:val="Tbl 1 Text It Char"/>
    <w:basedOn w:val="Tbl1TextChar"/>
    <w:link w:val="Tbl1TextIt"/>
    <w:rsid w:val="0046305A"/>
    <w:rPr>
      <w:i/>
      <w:color w:val="596984" w:themeColor="accent4" w:themeShade="BF"/>
      <w:sz w:val="18"/>
      <w:szCs w:val="18"/>
    </w:rPr>
  </w:style>
  <w:style w:type="table" w:styleId="TableGridLight">
    <w:name w:val="Grid Table Light"/>
    <w:basedOn w:val="TableNormal"/>
    <w:uiPriority w:val="40"/>
    <w:rsid w:val="0046305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bl1TextBChar">
    <w:name w:val="Tbl 1 TextB Char"/>
    <w:basedOn w:val="Tbl1TextChar"/>
    <w:link w:val="Tbl1TextB"/>
    <w:rsid w:val="0046305A"/>
    <w:rPr>
      <w:b/>
      <w:color w:val="596984" w:themeColor="accent4" w:themeShade="BF"/>
      <w:sz w:val="18"/>
      <w:szCs w:val="18"/>
    </w:rPr>
  </w:style>
  <w:style w:type="table" w:customStyle="1" w:styleId="ATWDTable1">
    <w:name w:val="ATWD Table 1"/>
    <w:basedOn w:val="TableNormal"/>
    <w:uiPriority w:val="99"/>
    <w:rsid w:val="0046305A"/>
    <w:pPr>
      <w:spacing w:after="57"/>
    </w:pPr>
    <w:rPr>
      <w:sz w:val="18"/>
    </w:rPr>
    <w:tblPr>
      <w:tblStyleRowBandSize w:val="1"/>
      <w:tblBorders>
        <w:top w:val="single" w:sz="8" w:space="0" w:color="E5E8ED" w:themeColor="accent4" w:themeTint="33"/>
        <w:bottom w:val="single" w:sz="8" w:space="0" w:color="E5E8ED" w:themeColor="accent4" w:themeTint="33"/>
        <w:insideH w:val="single" w:sz="8" w:space="0" w:color="E5E8ED" w:themeColor="accent4" w:themeTint="33"/>
        <w:insideV w:val="single" w:sz="8" w:space="0" w:color="E5E8ED" w:themeColor="accent4" w:themeTint="33"/>
      </w:tblBorders>
    </w:tblPr>
    <w:tblStylePr w:type="firstRow">
      <w:pPr>
        <w:wordWrap/>
        <w:spacing w:beforeLines="0" w:before="28" w:beforeAutospacing="0" w:afterLines="0" w:after="57" w:afterAutospacing="0" w:line="264" w:lineRule="auto"/>
        <w:contextualSpacing w:val="0"/>
      </w:pPr>
      <w:rPr>
        <w:rFonts w:ascii="Arial" w:hAnsi="Arial"/>
        <w:b w:val="0"/>
        <w:color w:val="FFFFFF" w:themeColor="background1"/>
        <w:sz w:val="19"/>
      </w:rPr>
      <w:tblPr/>
      <w:tcPr>
        <w:tcBorders>
          <w:top w:val="single" w:sz="4" w:space="0" w:color="CBD2DC" w:themeColor="accent4" w:themeTint="66"/>
          <w:left w:val="single" w:sz="4" w:space="0" w:color="CBD2DC" w:themeColor="accent4" w:themeTint="66"/>
          <w:bottom w:val="single" w:sz="4" w:space="0" w:color="CBD2DC" w:themeColor="accent4" w:themeTint="66"/>
          <w:right w:val="single" w:sz="4" w:space="0" w:color="CBD2DC" w:themeColor="accent4" w:themeTint="66"/>
          <w:insideH w:val="single" w:sz="4" w:space="0" w:color="CBD2DC" w:themeColor="accent4" w:themeTint="66"/>
          <w:insideV w:val="single" w:sz="4" w:space="0" w:color="CBD2DC" w:themeColor="accent4" w:themeTint="66"/>
          <w:tl2br w:val="nil"/>
          <w:tr2bl w:val="nil"/>
        </w:tcBorders>
        <w:shd w:val="clear" w:color="auto" w:fill="4A66AC" w:themeFill="accent1"/>
      </w:tcPr>
    </w:tblStylePr>
    <w:tblStylePr w:type="band1Horz">
      <w:pPr>
        <w:wordWrap/>
        <w:spacing w:beforeLines="0" w:before="28" w:beforeAutospacing="0" w:afterLines="0" w:after="57" w:afterAutospacing="0" w:line="264" w:lineRule="auto"/>
        <w:contextualSpacing w:val="0"/>
      </w:pPr>
      <w:rPr>
        <w:rFonts w:ascii="Arial" w:hAnsi="Arial"/>
        <w:color w:val="7F8FA9" w:themeColor="accent4"/>
        <w:sz w:val="18"/>
      </w:rPr>
    </w:tblStylePr>
    <w:tblStylePr w:type="band2Horz">
      <w:pPr>
        <w:wordWrap/>
        <w:spacing w:beforeLines="0" w:before="28" w:beforeAutospacing="0" w:afterLines="0" w:after="57" w:afterAutospacing="0" w:line="264" w:lineRule="auto"/>
        <w:contextualSpacing w:val="0"/>
      </w:pPr>
      <w:rPr>
        <w:rFonts w:ascii="Arial" w:hAnsi="Arial"/>
        <w:color w:val="7F8FA9" w:themeColor="accent4"/>
        <w:sz w:val="18"/>
      </w:rPr>
    </w:tblStylePr>
  </w:style>
  <w:style w:type="paragraph" w:customStyle="1" w:styleId="Note1">
    <w:name w:val="Note 1"/>
    <w:basedOn w:val="Body"/>
    <w:next w:val="Body"/>
    <w:link w:val="Note1Char"/>
    <w:qFormat/>
    <w:rsid w:val="00561570"/>
    <w:rPr>
      <w:i/>
      <w:color w:val="7F7F7F" w:themeColor="text1" w:themeTint="80"/>
      <w:sz w:val="19"/>
    </w:rPr>
  </w:style>
  <w:style w:type="character" w:customStyle="1" w:styleId="Note1Char">
    <w:name w:val="Note 1 Char"/>
    <w:basedOn w:val="BodyChar"/>
    <w:link w:val="Note1"/>
    <w:rsid w:val="00561570"/>
    <w:rPr>
      <w:i/>
      <w:color w:val="7F7F7F" w:themeColor="text1" w:themeTint="80"/>
      <w:sz w:val="19"/>
    </w:rPr>
  </w:style>
  <w:style w:type="paragraph" w:customStyle="1" w:styleId="Tbl1Hdg1">
    <w:name w:val="Tbl 1 Hdg1"/>
    <w:basedOn w:val="Body"/>
    <w:link w:val="Tbl1Hdg1Char"/>
    <w:qFormat/>
    <w:rsid w:val="0046305A"/>
    <w:pPr>
      <w:spacing w:before="57"/>
    </w:pPr>
    <w:rPr>
      <w:b/>
      <w:color w:val="FFFFFF" w:themeColor="background1"/>
      <w:sz w:val="19"/>
    </w:rPr>
  </w:style>
  <w:style w:type="table" w:customStyle="1" w:styleId="ATWDTable2">
    <w:name w:val="ATWD Table 2"/>
    <w:basedOn w:val="TableNormal"/>
    <w:uiPriority w:val="99"/>
    <w:rsid w:val="0046305A"/>
    <w:pPr>
      <w:spacing w:before="57" w:after="57"/>
    </w:pPr>
    <w:rPr>
      <w:color w:val="7F8FA9" w:themeColor="accent4"/>
    </w:rPr>
    <w:tblPr>
      <w:tblStyleRowBandSize w:val="1"/>
      <w:tblStyleColBandSize w:val="1"/>
      <w:tblBorders>
        <w:top w:val="single" w:sz="8" w:space="0" w:color="4A66AC" w:themeColor="accent1"/>
        <w:bottom w:val="single" w:sz="8" w:space="0" w:color="4A66AC" w:themeColor="accent1"/>
        <w:insideH w:val="single" w:sz="8" w:space="0" w:color="E5E8ED" w:themeColor="accent4" w:themeTint="33"/>
      </w:tblBorders>
    </w:tblPr>
    <w:tblStylePr w:type="firstCol">
      <w:pPr>
        <w:wordWrap/>
        <w:spacing w:beforeLines="0" w:before="57" w:beforeAutospacing="0" w:afterLines="0" w:after="57" w:afterAutospacing="0" w:line="264" w:lineRule="auto"/>
        <w:contextualSpacing w:val="0"/>
      </w:pPr>
      <w:rPr>
        <w:rFonts w:ascii="Arial" w:hAnsi="Arial"/>
        <w:b w:val="0"/>
        <w:color w:val="auto"/>
        <w:sz w:val="20"/>
      </w:rPr>
      <w:tblPr/>
      <w:tcPr>
        <w:shd w:val="clear" w:color="auto" w:fill="D9DFEF" w:themeFill="accent1" w:themeFillTint="33"/>
      </w:tcPr>
    </w:tblStylePr>
    <w:tblStylePr w:type="band1Vert">
      <w:pPr>
        <w:wordWrap/>
        <w:spacing w:beforeLines="0" w:before="57" w:beforeAutospacing="0" w:afterLines="0" w:after="57" w:afterAutospacing="0" w:line="264" w:lineRule="auto"/>
        <w:contextualSpacing w:val="0"/>
      </w:pPr>
    </w:tblStylePr>
    <w:tblStylePr w:type="band2Vert">
      <w:pPr>
        <w:wordWrap/>
        <w:spacing w:beforeLines="0" w:before="57" w:beforeAutospacing="0" w:afterLines="0" w:after="57" w:afterAutospacing="0" w:line="264" w:lineRule="auto"/>
        <w:contextualSpacing w:val="0"/>
      </w:pPr>
    </w:tblStylePr>
    <w:tblStylePr w:type="band1Horz">
      <w:pPr>
        <w:wordWrap/>
        <w:spacing w:beforeLines="0" w:before="57" w:beforeAutospacing="0" w:afterLines="0" w:after="57" w:afterAutospacing="0" w:line="264" w:lineRule="auto"/>
        <w:contextualSpacing w:val="0"/>
      </w:pPr>
    </w:tblStylePr>
    <w:tblStylePr w:type="band2Horz">
      <w:pPr>
        <w:wordWrap/>
        <w:spacing w:beforeLines="0" w:before="57" w:beforeAutospacing="0" w:afterLines="0" w:after="57" w:afterAutospacing="0" w:line="264" w:lineRule="auto"/>
        <w:contextualSpacing w:val="0"/>
      </w:pPr>
    </w:tblStylePr>
  </w:style>
  <w:style w:type="character" w:customStyle="1" w:styleId="Tbl1Hdg1Char">
    <w:name w:val="Tbl 1 Hdg1 Char"/>
    <w:basedOn w:val="BodyChar"/>
    <w:link w:val="Tbl1Hdg1"/>
    <w:rsid w:val="0046305A"/>
    <w:rPr>
      <w:b/>
      <w:color w:val="FFFFFF" w:themeColor="background1"/>
      <w:sz w:val="19"/>
    </w:rPr>
  </w:style>
  <w:style w:type="paragraph" w:customStyle="1" w:styleId="Tbl1Bull1">
    <w:name w:val="Tbl 1 Bull1"/>
    <w:basedOn w:val="Bull1"/>
    <w:link w:val="Tbl1Bull1Char"/>
    <w:qFormat/>
    <w:rsid w:val="00561570"/>
    <w:pPr>
      <w:numPr>
        <w:numId w:val="4"/>
      </w:numPr>
    </w:pPr>
    <w:rPr>
      <w:color w:val="000000" w:themeColor="text1"/>
      <w:sz w:val="18"/>
      <w:szCs w:val="18"/>
    </w:rPr>
  </w:style>
  <w:style w:type="paragraph" w:customStyle="1" w:styleId="Tbl1Bull2">
    <w:name w:val="Tbl 1 Bull2"/>
    <w:basedOn w:val="Bull2"/>
    <w:link w:val="Tbl1Bull2Char"/>
    <w:qFormat/>
    <w:rsid w:val="00561570"/>
    <w:pPr>
      <w:numPr>
        <w:ilvl w:val="1"/>
        <w:numId w:val="4"/>
      </w:numPr>
    </w:pPr>
    <w:rPr>
      <w:color w:val="000000" w:themeColor="text1"/>
      <w:sz w:val="18"/>
      <w:szCs w:val="18"/>
    </w:rPr>
  </w:style>
  <w:style w:type="character" w:customStyle="1" w:styleId="Tbl1Bull1Char">
    <w:name w:val="Tbl 1 Bull1 Char"/>
    <w:basedOn w:val="Bull1Char"/>
    <w:link w:val="Tbl1Bull1"/>
    <w:rsid w:val="00561570"/>
    <w:rPr>
      <w:color w:val="000000" w:themeColor="text1"/>
      <w:sz w:val="18"/>
      <w:szCs w:val="18"/>
    </w:rPr>
  </w:style>
  <w:style w:type="paragraph" w:customStyle="1" w:styleId="Note2">
    <w:name w:val="Note 2"/>
    <w:basedOn w:val="Note1"/>
    <w:next w:val="Body"/>
    <w:link w:val="Note2Char"/>
    <w:qFormat/>
    <w:rsid w:val="00561570"/>
    <w:pPr>
      <w:spacing w:before="170" w:after="170"/>
      <w:ind w:left="851" w:right="851"/>
    </w:pPr>
    <w:rPr>
      <w:color w:val="4A66AC" w:themeColor="accent1"/>
    </w:rPr>
  </w:style>
  <w:style w:type="character" w:customStyle="1" w:styleId="Tbl1Bull2Char">
    <w:name w:val="Tbl 1 Bull2 Char"/>
    <w:basedOn w:val="Bull2Char"/>
    <w:link w:val="Tbl1Bull2"/>
    <w:rsid w:val="00561570"/>
    <w:rPr>
      <w:color w:val="000000" w:themeColor="text1"/>
      <w:sz w:val="18"/>
      <w:szCs w:val="18"/>
    </w:rPr>
  </w:style>
  <w:style w:type="paragraph" w:customStyle="1" w:styleId="Caption-">
    <w:name w:val="Caption-"/>
    <w:basedOn w:val="Body"/>
    <w:next w:val="Body"/>
    <w:link w:val="Caption-Char"/>
    <w:qFormat/>
    <w:rsid w:val="0046305A"/>
    <w:pPr>
      <w:spacing w:before="170" w:after="85"/>
    </w:pPr>
    <w:rPr>
      <w:b/>
      <w:sz w:val="18"/>
      <w:szCs w:val="18"/>
    </w:rPr>
  </w:style>
  <w:style w:type="character" w:customStyle="1" w:styleId="Note2Char">
    <w:name w:val="Note 2 Char"/>
    <w:basedOn w:val="Note1Char"/>
    <w:link w:val="Note2"/>
    <w:rsid w:val="00561570"/>
    <w:rPr>
      <w:i/>
      <w:color w:val="4A66AC" w:themeColor="accent1"/>
      <w:sz w:val="19"/>
    </w:rPr>
  </w:style>
  <w:style w:type="paragraph" w:customStyle="1" w:styleId="Footer-">
    <w:name w:val="Footer-"/>
    <w:basedOn w:val="Body"/>
    <w:link w:val="Footer-Char"/>
    <w:qFormat/>
    <w:rsid w:val="00642B13"/>
    <w:pPr>
      <w:pBdr>
        <w:top w:val="single" w:sz="2" w:space="1" w:color="E31D79"/>
      </w:pBdr>
      <w:tabs>
        <w:tab w:val="right" w:pos="9582"/>
      </w:tabs>
      <w:spacing w:before="57"/>
    </w:pPr>
    <w:rPr>
      <w:color w:val="000000" w:themeColor="text1"/>
      <w:sz w:val="17"/>
      <w:szCs w:val="17"/>
    </w:rPr>
  </w:style>
  <w:style w:type="character" w:customStyle="1" w:styleId="Caption-Char">
    <w:name w:val="Caption- Char"/>
    <w:basedOn w:val="BodyChar"/>
    <w:link w:val="Caption-"/>
    <w:rsid w:val="0046305A"/>
    <w:rPr>
      <w:b/>
      <w:sz w:val="18"/>
      <w:szCs w:val="18"/>
    </w:rPr>
  </w:style>
  <w:style w:type="character" w:customStyle="1" w:styleId="Footer-Char">
    <w:name w:val="Footer- Char"/>
    <w:basedOn w:val="BodyChar"/>
    <w:link w:val="Footer-"/>
    <w:rsid w:val="00642B13"/>
    <w:rPr>
      <w:color w:val="000000" w:themeColor="text1"/>
      <w:sz w:val="17"/>
      <w:szCs w:val="17"/>
    </w:rPr>
  </w:style>
  <w:style w:type="paragraph" w:customStyle="1" w:styleId="Tbl1OL1">
    <w:name w:val="Tbl 1 OL1"/>
    <w:basedOn w:val="Tbl1Text"/>
    <w:link w:val="Tbl1OL1Char"/>
    <w:qFormat/>
    <w:rsid w:val="00561570"/>
    <w:pPr>
      <w:numPr>
        <w:numId w:val="5"/>
      </w:numPr>
    </w:pPr>
  </w:style>
  <w:style w:type="paragraph" w:customStyle="1" w:styleId="Tbl1OL2">
    <w:name w:val="Tbl 1 OL2"/>
    <w:basedOn w:val="Tbl1OL1"/>
    <w:link w:val="Tbl1OL2Char"/>
    <w:qFormat/>
    <w:rsid w:val="0046305A"/>
    <w:pPr>
      <w:numPr>
        <w:ilvl w:val="1"/>
      </w:numPr>
    </w:pPr>
  </w:style>
  <w:style w:type="character" w:customStyle="1" w:styleId="Tbl1OL1Char">
    <w:name w:val="Tbl 1 OL1 Char"/>
    <w:basedOn w:val="Tbl1TextChar"/>
    <w:link w:val="Tbl1OL1"/>
    <w:rsid w:val="00561570"/>
    <w:rPr>
      <w:color w:val="000000" w:themeColor="text1"/>
      <w:sz w:val="18"/>
      <w:szCs w:val="18"/>
    </w:rPr>
  </w:style>
  <w:style w:type="paragraph" w:styleId="Header">
    <w:name w:val="header"/>
    <w:basedOn w:val="Normal"/>
    <w:link w:val="HeaderChar"/>
    <w:uiPriority w:val="99"/>
    <w:unhideWhenUsed/>
    <w:rsid w:val="0046305A"/>
    <w:pPr>
      <w:tabs>
        <w:tab w:val="center" w:pos="4513"/>
        <w:tab w:val="right" w:pos="9026"/>
      </w:tabs>
      <w:spacing w:before="0"/>
    </w:pPr>
  </w:style>
  <w:style w:type="character" w:customStyle="1" w:styleId="Tbl1OL2Char">
    <w:name w:val="Tbl 1 OL2 Char"/>
    <w:basedOn w:val="Tbl1TextChar"/>
    <w:link w:val="Tbl1OL2"/>
    <w:rsid w:val="0046305A"/>
    <w:rPr>
      <w:color w:val="596984" w:themeColor="accent4" w:themeShade="BF"/>
      <w:sz w:val="18"/>
      <w:szCs w:val="18"/>
    </w:rPr>
  </w:style>
  <w:style w:type="character" w:customStyle="1" w:styleId="HeaderChar">
    <w:name w:val="Header Char"/>
    <w:basedOn w:val="DefaultParagraphFont"/>
    <w:link w:val="Header"/>
    <w:uiPriority w:val="99"/>
    <w:rsid w:val="0046305A"/>
  </w:style>
  <w:style w:type="paragraph" w:styleId="Footer">
    <w:name w:val="footer"/>
    <w:basedOn w:val="Normal"/>
    <w:link w:val="FooterChar"/>
    <w:uiPriority w:val="99"/>
    <w:unhideWhenUsed/>
    <w:rsid w:val="0046305A"/>
    <w:pPr>
      <w:tabs>
        <w:tab w:val="center" w:pos="4513"/>
        <w:tab w:val="right" w:pos="9026"/>
      </w:tabs>
      <w:spacing w:before="0"/>
    </w:pPr>
  </w:style>
  <w:style w:type="character" w:customStyle="1" w:styleId="FooterChar">
    <w:name w:val="Footer Char"/>
    <w:basedOn w:val="DefaultParagraphFont"/>
    <w:link w:val="Footer"/>
    <w:uiPriority w:val="99"/>
    <w:rsid w:val="0046305A"/>
  </w:style>
  <w:style w:type="paragraph" w:customStyle="1" w:styleId="Header-">
    <w:name w:val="Header-"/>
    <w:basedOn w:val="Footer-"/>
    <w:link w:val="Header-Char"/>
    <w:qFormat/>
    <w:rsid w:val="00642B13"/>
    <w:pPr>
      <w:pBdr>
        <w:top w:val="none" w:sz="0" w:space="0" w:color="auto"/>
        <w:bottom w:val="single" w:sz="2" w:space="1" w:color="E31D79"/>
      </w:pBdr>
      <w:spacing w:before="0"/>
    </w:pPr>
  </w:style>
  <w:style w:type="character" w:customStyle="1" w:styleId="Header-Char">
    <w:name w:val="Header- Char"/>
    <w:basedOn w:val="Footer-Char"/>
    <w:link w:val="Header-"/>
    <w:rsid w:val="00642B13"/>
    <w:rPr>
      <w:color w:val="000000" w:themeColor="text1"/>
      <w:sz w:val="17"/>
      <w:szCs w:val="17"/>
    </w:rPr>
  </w:style>
  <w:style w:type="paragraph" w:styleId="BalloonText">
    <w:name w:val="Balloon Text"/>
    <w:basedOn w:val="Normal"/>
    <w:link w:val="BalloonTextChar"/>
    <w:uiPriority w:val="99"/>
    <w:semiHidden/>
    <w:unhideWhenUsed/>
    <w:rsid w:val="0046305A"/>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305A"/>
    <w:rPr>
      <w:rFonts w:ascii="Segoe UI" w:hAnsi="Segoe UI" w:cs="Segoe UI"/>
      <w:sz w:val="18"/>
      <w:szCs w:val="18"/>
    </w:rPr>
  </w:style>
  <w:style w:type="paragraph" w:customStyle="1" w:styleId="Intro">
    <w:name w:val="Intro"/>
    <w:basedOn w:val="Note2"/>
    <w:qFormat/>
    <w:rsid w:val="00593DDE"/>
    <w:pPr>
      <w:spacing w:line="288" w:lineRule="auto"/>
      <w:ind w:left="0" w:right="0"/>
    </w:pPr>
    <w:rPr>
      <w:i w:val="0"/>
      <w:color w:val="auto"/>
      <w:sz w:val="24"/>
    </w:rPr>
  </w:style>
  <w:style w:type="paragraph" w:customStyle="1" w:styleId="Tbl2H1">
    <w:name w:val="Tbl 2 H1"/>
    <w:basedOn w:val="Tbl1Hdg1"/>
    <w:link w:val="Tbl2H1Char"/>
    <w:qFormat/>
    <w:rsid w:val="00B21E43"/>
    <w:pPr>
      <w:spacing w:before="85"/>
    </w:pPr>
    <w:rPr>
      <w:color w:val="000000" w:themeColor="text1"/>
    </w:rPr>
  </w:style>
  <w:style w:type="character" w:customStyle="1" w:styleId="Tbl2H1Char">
    <w:name w:val="Tbl 2 H1 Char"/>
    <w:basedOn w:val="Tbl1Hdg1Char"/>
    <w:link w:val="Tbl2H1"/>
    <w:rsid w:val="00B21E43"/>
    <w:rPr>
      <w:b/>
      <w:color w:val="000000" w:themeColor="text1"/>
      <w:sz w:val="19"/>
    </w:rPr>
  </w:style>
  <w:style w:type="paragraph" w:customStyle="1" w:styleId="Tbl2Text">
    <w:name w:val="Tbl 2 Text"/>
    <w:basedOn w:val="Body"/>
    <w:link w:val="Tbl2TextChar"/>
    <w:qFormat/>
    <w:rsid w:val="0046305A"/>
    <w:pPr>
      <w:spacing w:before="85"/>
    </w:pPr>
    <w:rPr>
      <w:color w:val="000000" w:themeColor="text1"/>
    </w:rPr>
  </w:style>
  <w:style w:type="character" w:customStyle="1" w:styleId="Tbl2TextChar">
    <w:name w:val="Tbl 2 Text Char"/>
    <w:basedOn w:val="BodyChar"/>
    <w:link w:val="Tbl2Text"/>
    <w:rsid w:val="0046305A"/>
    <w:rPr>
      <w:color w:val="000000" w:themeColor="text1"/>
    </w:rPr>
  </w:style>
  <w:style w:type="paragraph" w:customStyle="1" w:styleId="Tbl2Rec">
    <w:name w:val="Tbl 2 Rec"/>
    <w:basedOn w:val="Tbl2Text"/>
    <w:link w:val="Tbl2RecChar"/>
    <w:qFormat/>
    <w:rsid w:val="0046305A"/>
    <w:pPr>
      <w:numPr>
        <w:numId w:val="7"/>
      </w:numPr>
    </w:pPr>
  </w:style>
  <w:style w:type="character" w:customStyle="1" w:styleId="Tbl2RecChar">
    <w:name w:val="Tbl 2 Rec Char"/>
    <w:basedOn w:val="Tbl2TextChar"/>
    <w:link w:val="Tbl2Rec"/>
    <w:rsid w:val="0046305A"/>
    <w:rPr>
      <w:color w:val="000000" w:themeColor="text1"/>
    </w:rPr>
  </w:style>
  <w:style w:type="paragraph" w:styleId="FootnoteText">
    <w:name w:val="footnote text"/>
    <w:basedOn w:val="Normal"/>
    <w:link w:val="FootnoteTextChar"/>
    <w:uiPriority w:val="99"/>
    <w:qFormat/>
    <w:rsid w:val="00F60840"/>
    <w:pPr>
      <w:spacing w:before="0"/>
    </w:pPr>
    <w:rPr>
      <w:color w:val="242852" w:themeColor="text2"/>
      <w:sz w:val="16"/>
    </w:rPr>
  </w:style>
  <w:style w:type="character" w:customStyle="1" w:styleId="FootnoteTextChar">
    <w:name w:val="Footnote Text Char"/>
    <w:basedOn w:val="DefaultParagraphFont"/>
    <w:link w:val="FootnoteText"/>
    <w:uiPriority w:val="99"/>
    <w:rsid w:val="00F60840"/>
    <w:rPr>
      <w:color w:val="242852" w:themeColor="text2"/>
      <w:sz w:val="16"/>
    </w:rPr>
  </w:style>
  <w:style w:type="table" w:styleId="PlainTable1">
    <w:name w:val="Plain Table 1"/>
    <w:basedOn w:val="TableNormal"/>
    <w:uiPriority w:val="41"/>
    <w:rsid w:val="0046305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46305A"/>
    <w:pPr>
      <w:spacing w:line="240" w:lineRule="auto"/>
    </w:pPr>
    <w:tblPr>
      <w:tblStyleRowBandSize w:val="1"/>
      <w:tblStyleColBandSize w:val="1"/>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table" w:styleId="PlainTable3">
    <w:name w:val="Plain Table 3"/>
    <w:basedOn w:val="ATWDTable2"/>
    <w:uiPriority w:val="43"/>
    <w:rsid w:val="0046305A"/>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pPr>
        <w:wordWrap/>
        <w:spacing w:beforeLines="0" w:before="57" w:beforeAutospacing="0" w:afterLines="0" w:after="57" w:afterAutospacing="0" w:line="264" w:lineRule="auto"/>
        <w:contextualSpacing w:val="0"/>
      </w:pPr>
      <w:rPr>
        <w:rFonts w:ascii="Arial" w:hAnsi="Arial"/>
        <w:b w:val="0"/>
        <w:bCs/>
        <w:caps/>
        <w:color w:val="FFFFFF" w:themeColor="background1"/>
        <w:sz w:val="18"/>
      </w:rPr>
      <w:tblPr/>
      <w:tcPr>
        <w:tcBorders>
          <w:top w:val="nil"/>
          <w:left w:val="single" w:sz="12" w:space="0" w:color="4A66AC" w:themeColor="accent1"/>
          <w:bottom w:val="single" w:sz="4" w:space="0" w:color="297FD5" w:themeColor="accent3"/>
          <w:right w:val="single" w:sz="4" w:space="0" w:color="7F7F7F" w:themeColor="text1" w:themeTint="80"/>
          <w:insideH w:val="single" w:sz="4" w:space="0" w:color="CBD2DC" w:themeColor="accent4" w:themeTint="66"/>
          <w:insideV w:val="single" w:sz="4" w:space="0" w:color="CBD2DC" w:themeColor="accent4" w:themeTint="66"/>
          <w:tl2br w:val="nil"/>
          <w:tr2bl w:val="nil"/>
        </w:tcBorders>
        <w:shd w:val="clear" w:color="auto" w:fill="9D90A0" w:themeFill="accent6"/>
      </w:tcPr>
    </w:tblStylePr>
    <w:tblStylePr w:type="lastCol">
      <w:pPr>
        <w:wordWrap/>
        <w:spacing w:beforeLines="0" w:before="57" w:beforeAutospacing="0" w:afterLines="0" w:after="57" w:afterAutospacing="0" w:line="264" w:lineRule="auto"/>
        <w:contextualSpacing w:val="0"/>
      </w:pPr>
      <w:rPr>
        <w:b/>
        <w:bCs/>
        <w:caps/>
      </w:rPr>
      <w:tblPr/>
      <w:tcPr>
        <w:tcBorders>
          <w:left w:val="nil"/>
        </w:tcBorders>
      </w:tcPr>
    </w:tblStylePr>
    <w:tblStylePr w:type="band1Vert">
      <w:pPr>
        <w:wordWrap/>
        <w:spacing w:beforeLines="0" w:before="57" w:beforeAutospacing="0" w:afterLines="0" w:after="57" w:afterAutospacing="0" w:line="264" w:lineRule="auto"/>
        <w:contextualSpacing w:val="0"/>
      </w:pPr>
      <w:tblPr/>
      <w:tcPr>
        <w:shd w:val="clear" w:color="auto" w:fill="F2F2F2" w:themeFill="background1" w:themeFillShade="F2"/>
      </w:tcPr>
    </w:tblStylePr>
    <w:tblStylePr w:type="band2Vert">
      <w:pPr>
        <w:wordWrap/>
        <w:spacing w:beforeLines="0" w:before="57" w:beforeAutospacing="0" w:afterLines="0" w:after="57" w:afterAutospacing="0" w:line="264" w:lineRule="auto"/>
        <w:contextualSpacing w:val="0"/>
      </w:pPr>
    </w:tblStylePr>
    <w:tblStylePr w:type="band1Horz">
      <w:pPr>
        <w:wordWrap/>
        <w:spacing w:beforeLines="0" w:before="57" w:beforeAutospacing="0" w:afterLines="0" w:after="57" w:afterAutospacing="0" w:line="264" w:lineRule="auto"/>
        <w:contextualSpacing w:val="0"/>
      </w:pPr>
      <w:tblPr/>
      <w:tcPr>
        <w:shd w:val="clear" w:color="auto" w:fill="F2F2F2" w:themeFill="background1" w:themeFillShade="F2"/>
      </w:tcPr>
    </w:tblStylePr>
    <w:tblStylePr w:type="band2Horz">
      <w:pPr>
        <w:wordWrap/>
        <w:spacing w:beforeLines="0" w:before="57" w:beforeAutospacing="0" w:afterLines="0" w:after="57" w:afterAutospacing="0" w:line="264" w:lineRule="auto"/>
        <w:contextualSpacing w:val="0"/>
      </w:pPr>
    </w:tblStylePr>
    <w:tblStylePr w:type="neCell">
      <w:tblPr/>
      <w:tcPr>
        <w:tcBorders>
          <w:left w:val="nil"/>
        </w:tcBorders>
      </w:tcPr>
    </w:tblStylePr>
    <w:tblStylePr w:type="nwCell">
      <w:tblPr/>
      <w:tcPr>
        <w:tcBorders>
          <w:right w:val="nil"/>
        </w:tcBorders>
      </w:tcPr>
    </w:tblStylePr>
  </w:style>
  <w:style w:type="paragraph" w:customStyle="1" w:styleId="Tbl2OL">
    <w:name w:val="Tbl 2 OL"/>
    <w:basedOn w:val="OList1"/>
    <w:link w:val="Tbl2OLChar"/>
    <w:qFormat/>
    <w:rsid w:val="00B21E43"/>
    <w:pPr>
      <w:numPr>
        <w:numId w:val="8"/>
      </w:numPr>
      <w:tabs>
        <w:tab w:val="left" w:pos="5670"/>
      </w:tabs>
    </w:pPr>
    <w:rPr>
      <w:color w:val="000000" w:themeColor="text1"/>
    </w:rPr>
  </w:style>
  <w:style w:type="character" w:customStyle="1" w:styleId="Tbl2OLChar">
    <w:name w:val="Tbl 2 OL Char"/>
    <w:basedOn w:val="OList1Char"/>
    <w:link w:val="Tbl2OL"/>
    <w:rsid w:val="00B21E43"/>
    <w:rPr>
      <w:color w:val="000000" w:themeColor="text1"/>
    </w:rPr>
  </w:style>
  <w:style w:type="paragraph" w:styleId="NoSpacing">
    <w:name w:val="No Spacing"/>
    <w:uiPriority w:val="1"/>
    <w:qFormat/>
    <w:rsid w:val="0046305A"/>
    <w:pPr>
      <w:spacing w:before="0" w:line="240" w:lineRule="auto"/>
    </w:pPr>
    <w:rPr>
      <w:sz w:val="16"/>
    </w:rPr>
  </w:style>
  <w:style w:type="paragraph" w:customStyle="1" w:styleId="Tbl2Bull1">
    <w:name w:val="Tbl 2 Bull 1"/>
    <w:basedOn w:val="Bull1"/>
    <w:link w:val="Tbl2Bull1Char"/>
    <w:qFormat/>
    <w:rsid w:val="0046305A"/>
    <w:pPr>
      <w:numPr>
        <w:numId w:val="6"/>
      </w:numPr>
      <w:spacing w:before="85"/>
    </w:pPr>
    <w:rPr>
      <w:color w:val="000000" w:themeColor="text1"/>
    </w:rPr>
  </w:style>
  <w:style w:type="character" w:customStyle="1" w:styleId="Tbl2Bull1Char">
    <w:name w:val="Tbl 2 Bull 1 Char"/>
    <w:basedOn w:val="Bull1Char"/>
    <w:link w:val="Tbl2Bull1"/>
    <w:rsid w:val="0046305A"/>
    <w:rPr>
      <w:color w:val="000000" w:themeColor="text1"/>
    </w:rPr>
  </w:style>
  <w:style w:type="character" w:styleId="Hyperlink">
    <w:name w:val="Hyperlink"/>
    <w:basedOn w:val="DefaultParagraphFont"/>
    <w:uiPriority w:val="99"/>
    <w:unhideWhenUsed/>
    <w:rsid w:val="0046305A"/>
    <w:rPr>
      <w:color w:val="9454C3" w:themeColor="hyperlink"/>
      <w:u w:val="single"/>
    </w:rPr>
  </w:style>
  <w:style w:type="character" w:styleId="PlaceholderText">
    <w:name w:val="Placeholder Text"/>
    <w:basedOn w:val="DefaultParagraphFont"/>
    <w:uiPriority w:val="99"/>
    <w:semiHidden/>
    <w:rsid w:val="0046305A"/>
    <w:rPr>
      <w:color w:val="808080"/>
    </w:rPr>
  </w:style>
  <w:style w:type="paragraph" w:customStyle="1" w:styleId="Bodycolour">
    <w:name w:val="Bodycolour"/>
    <w:basedOn w:val="Body"/>
    <w:link w:val="BodycolourChar"/>
    <w:qFormat/>
    <w:rsid w:val="006D35E7"/>
    <w:rPr>
      <w:color w:val="4A66AC" w:themeColor="accent1"/>
    </w:rPr>
  </w:style>
  <w:style w:type="character" w:customStyle="1" w:styleId="BodycolourChar">
    <w:name w:val="Bodycolour Char"/>
    <w:basedOn w:val="BodyChar"/>
    <w:link w:val="Bodycolour"/>
    <w:rsid w:val="006D35E7"/>
    <w:rPr>
      <w:color w:val="4A66AC" w:themeColor="accent1"/>
    </w:rPr>
  </w:style>
  <w:style w:type="paragraph" w:customStyle="1" w:styleId="Hdg5">
    <w:name w:val="Hdg5"/>
    <w:basedOn w:val="Hdg4"/>
    <w:link w:val="Hdg5Char"/>
    <w:qFormat/>
    <w:rsid w:val="001945AB"/>
    <w:pPr>
      <w:spacing w:before="170"/>
    </w:pPr>
    <w:rPr>
      <w:sz w:val="21"/>
    </w:rPr>
  </w:style>
  <w:style w:type="character" w:customStyle="1" w:styleId="Hdg5Char">
    <w:name w:val="Hdg5 Char"/>
    <w:basedOn w:val="Hdg4Char"/>
    <w:link w:val="Hdg5"/>
    <w:rsid w:val="001945AB"/>
    <w:rPr>
      <w:b/>
      <w:color w:val="4A66AC" w:themeColor="accent1"/>
      <w:sz w:val="21"/>
      <w:szCs w:val="23"/>
    </w:rPr>
  </w:style>
  <w:style w:type="paragraph" w:customStyle="1" w:styleId="TblCaption">
    <w:name w:val="Tbl Caption"/>
    <w:basedOn w:val="Caption-"/>
    <w:link w:val="TblCaptionChar"/>
    <w:qFormat/>
    <w:rsid w:val="00893F1C"/>
    <w:pPr>
      <w:spacing w:before="200" w:after="120"/>
    </w:pPr>
    <w:rPr>
      <w:color w:val="000000" w:themeColor="text1"/>
      <w:sz w:val="16"/>
    </w:rPr>
  </w:style>
  <w:style w:type="character" w:customStyle="1" w:styleId="TblCaptionChar">
    <w:name w:val="Tbl Caption Char"/>
    <w:basedOn w:val="Caption-Char"/>
    <w:link w:val="TblCaption"/>
    <w:rsid w:val="00893F1C"/>
    <w:rPr>
      <w:b/>
      <w:color w:val="000000" w:themeColor="text1"/>
      <w:sz w:val="16"/>
      <w:szCs w:val="18"/>
    </w:rPr>
  </w:style>
  <w:style w:type="paragraph" w:customStyle="1" w:styleId="PaperAttach">
    <w:name w:val="Paper Attach"/>
    <w:basedOn w:val="Caption-"/>
    <w:link w:val="PaperAttachChar"/>
    <w:qFormat/>
    <w:rsid w:val="00561570"/>
    <w:pPr>
      <w:spacing w:before="120" w:after="240"/>
      <w:jc w:val="right"/>
    </w:pPr>
    <w:rPr>
      <w:i/>
      <w:color w:val="7F7F7F" w:themeColor="text1" w:themeTint="80"/>
    </w:rPr>
  </w:style>
  <w:style w:type="character" w:customStyle="1" w:styleId="PaperAttachChar">
    <w:name w:val="Paper Attach Char"/>
    <w:basedOn w:val="Caption-Char"/>
    <w:link w:val="PaperAttach"/>
    <w:rsid w:val="00561570"/>
    <w:rPr>
      <w:b/>
      <w:i/>
      <w:color w:val="7F7F7F" w:themeColor="text1" w:themeTint="80"/>
      <w:sz w:val="18"/>
      <w:szCs w:val="18"/>
    </w:rPr>
  </w:style>
  <w:style w:type="paragraph" w:styleId="Caption">
    <w:name w:val="caption"/>
    <w:basedOn w:val="Normal"/>
    <w:next w:val="Normal"/>
    <w:uiPriority w:val="35"/>
    <w:unhideWhenUsed/>
    <w:qFormat/>
    <w:rsid w:val="0046305A"/>
    <w:pPr>
      <w:spacing w:before="0" w:after="200" w:line="240" w:lineRule="auto"/>
    </w:pPr>
    <w:rPr>
      <w:i/>
      <w:iCs/>
      <w:color w:val="242852" w:themeColor="text2"/>
      <w:sz w:val="18"/>
      <w:szCs w:val="18"/>
    </w:rPr>
  </w:style>
  <w:style w:type="table" w:customStyle="1" w:styleId="ATWDTable3">
    <w:name w:val="ATWD Table 3"/>
    <w:basedOn w:val="TableNormal"/>
    <w:uiPriority w:val="99"/>
    <w:rsid w:val="0046305A"/>
    <w:pPr>
      <w:spacing w:before="0" w:line="240" w:lineRule="auto"/>
    </w:pPr>
    <w:tblPr>
      <w:tblStyleRowBandSize w:val="1"/>
      <w:tblBorders>
        <w:top w:val="single" w:sz="4" w:space="0" w:color="C6C7C7"/>
        <w:bottom w:val="single" w:sz="4" w:space="0" w:color="C6C7C7"/>
        <w:insideH w:val="single" w:sz="4" w:space="0" w:color="C6C7C7"/>
        <w:insideV w:val="single" w:sz="4" w:space="0" w:color="C6C7C7"/>
      </w:tblBorders>
    </w:tblPr>
    <w:tblStylePr w:type="firstRow">
      <w:pPr>
        <w:wordWrap/>
        <w:spacing w:beforeLines="0" w:before="28" w:beforeAutospacing="0" w:afterLines="0" w:after="57" w:afterAutospacing="0" w:line="264" w:lineRule="auto"/>
        <w:contextualSpacing w:val="0"/>
      </w:pPr>
      <w:rPr>
        <w:rFonts w:ascii="Arial" w:hAnsi="Arial"/>
        <w:sz w:val="18"/>
      </w:rPr>
      <w:tblPr/>
      <w:tcPr>
        <w:tcBorders>
          <w:top w:val="single" w:sz="4" w:space="0" w:color="C6C7C7"/>
          <w:left w:val="nil"/>
          <w:bottom w:val="single" w:sz="18" w:space="0" w:color="FFFFFF" w:themeColor="background1"/>
          <w:right w:val="nil"/>
          <w:insideH w:val="nil"/>
          <w:insideV w:val="single" w:sz="4" w:space="0" w:color="C6C7C7"/>
          <w:tl2br w:val="nil"/>
          <w:tr2bl w:val="nil"/>
        </w:tcBorders>
        <w:shd w:val="clear" w:color="auto" w:fill="4A66AC" w:themeFill="accent1"/>
      </w:tcPr>
    </w:tblStylePr>
    <w:tblStylePr w:type="band1Horz">
      <w:pPr>
        <w:wordWrap/>
        <w:spacing w:beforeLines="0" w:before="28" w:beforeAutospacing="0" w:afterLines="0" w:after="57" w:afterAutospacing="0" w:line="264" w:lineRule="auto"/>
        <w:contextualSpacing w:val="0"/>
      </w:pPr>
      <w:rPr>
        <w:rFonts w:ascii="Arial" w:hAnsi="Arial"/>
        <w:sz w:val="16"/>
      </w:rPr>
      <w:tblPr/>
      <w:tcPr>
        <w:tcBorders>
          <w:top w:val="single" w:sz="4" w:space="0" w:color="C6C7C7"/>
          <w:left w:val="nil"/>
          <w:bottom w:val="single" w:sz="4" w:space="0" w:color="C6C7C7"/>
          <w:right w:val="nil"/>
          <w:insideH w:val="nil"/>
          <w:insideV w:val="single" w:sz="4" w:space="0" w:color="C6C7C7"/>
          <w:tl2br w:val="nil"/>
          <w:tr2bl w:val="nil"/>
        </w:tcBorders>
        <w:shd w:val="clear" w:color="auto" w:fill="F0F7E2"/>
      </w:tcPr>
    </w:tblStylePr>
    <w:tblStylePr w:type="band2Horz">
      <w:pPr>
        <w:wordWrap/>
        <w:spacing w:beforeLines="0" w:before="28" w:beforeAutospacing="0" w:afterLines="0" w:after="57" w:afterAutospacing="0" w:line="264" w:lineRule="auto"/>
      </w:pPr>
      <w:rPr>
        <w:rFonts w:ascii="Arial" w:hAnsi="Arial"/>
        <w:sz w:val="16"/>
      </w:rPr>
      <w:tblPr/>
      <w:tcPr>
        <w:tcBorders>
          <w:top w:val="single" w:sz="4" w:space="0" w:color="C6C7C7"/>
          <w:left w:val="nil"/>
          <w:bottom w:val="single" w:sz="4" w:space="0" w:color="C6C7C7"/>
          <w:right w:val="nil"/>
          <w:insideH w:val="nil"/>
          <w:insideV w:val="single" w:sz="4" w:space="0" w:color="C6C7C7"/>
          <w:tl2br w:val="nil"/>
          <w:tr2bl w:val="nil"/>
        </w:tcBorders>
        <w:shd w:val="clear" w:color="auto" w:fill="D4E8AA"/>
      </w:tcPr>
    </w:tblStylePr>
  </w:style>
  <w:style w:type="table" w:customStyle="1" w:styleId="ATWDTable4">
    <w:name w:val="ATWD Table 4"/>
    <w:basedOn w:val="TableNormal"/>
    <w:uiPriority w:val="99"/>
    <w:rsid w:val="0046305A"/>
    <w:pPr>
      <w:spacing w:before="0" w:line="240" w:lineRule="auto"/>
    </w:pPr>
    <w:tblPr>
      <w:tblStyleRowBandSize w:val="1"/>
    </w:tblPr>
    <w:tblStylePr w:type="firstRow">
      <w:pPr>
        <w:wordWrap/>
        <w:spacing w:beforeLines="0" w:before="57" w:beforeAutospacing="0" w:afterLines="0" w:after="85" w:afterAutospacing="0" w:line="264" w:lineRule="auto"/>
        <w:contextualSpacing w:val="0"/>
      </w:pPr>
      <w:rPr>
        <w:rFonts w:ascii="Arial" w:hAnsi="Arial"/>
        <w:b/>
        <w:color w:val="FFFFFF" w:themeColor="background1"/>
        <w:sz w:val="18"/>
      </w:rPr>
      <w:tblPr/>
      <w:tcPr>
        <w:tcBorders>
          <w:top w:val="single" w:sz="4" w:space="0" w:color="C6C7C7"/>
          <w:left w:val="single" w:sz="4" w:space="0" w:color="C6C7C7"/>
          <w:bottom w:val="single" w:sz="18" w:space="0" w:color="FFFFFF" w:themeColor="background1"/>
          <w:right w:val="single" w:sz="4" w:space="0" w:color="C6C7C7"/>
          <w:insideH w:val="nil"/>
          <w:insideV w:val="single" w:sz="4" w:space="0" w:color="C6C7C7"/>
          <w:tl2br w:val="nil"/>
          <w:tr2bl w:val="nil"/>
        </w:tcBorders>
        <w:shd w:val="clear" w:color="auto" w:fill="9D90A0" w:themeFill="accent6"/>
      </w:tcPr>
    </w:tblStylePr>
    <w:tblStylePr w:type="band1Horz">
      <w:pPr>
        <w:wordWrap/>
        <w:spacing w:beforeLines="0" w:before="57" w:beforeAutospacing="0" w:afterLines="0" w:after="28" w:afterAutospacing="0" w:line="264" w:lineRule="auto"/>
        <w:contextualSpacing w:val="0"/>
      </w:pPr>
      <w:rPr>
        <w:rFonts w:ascii="Arial" w:hAnsi="Arial"/>
        <w:sz w:val="16"/>
      </w:rPr>
      <w:tblPr/>
      <w:tcPr>
        <w:tcBorders>
          <w:top w:val="single" w:sz="4" w:space="0" w:color="C6C7C7"/>
          <w:left w:val="nil"/>
          <w:bottom w:val="single" w:sz="4" w:space="0" w:color="C6C7C7"/>
          <w:right w:val="nil"/>
          <w:insideH w:val="nil"/>
          <w:insideV w:val="single" w:sz="4" w:space="0" w:color="C6C7C7"/>
          <w:tl2br w:val="nil"/>
          <w:tr2bl w:val="nil"/>
        </w:tcBorders>
        <w:shd w:val="clear" w:color="auto" w:fill="E2EFF0"/>
      </w:tcPr>
    </w:tblStylePr>
    <w:tblStylePr w:type="band2Horz">
      <w:pPr>
        <w:wordWrap/>
        <w:spacing w:beforeLines="0" w:before="28" w:beforeAutospacing="0" w:afterLines="0" w:after="57" w:afterAutospacing="0" w:line="264" w:lineRule="auto"/>
        <w:contextualSpacing w:val="0"/>
      </w:pPr>
      <w:rPr>
        <w:rFonts w:ascii="Arial" w:hAnsi="Arial"/>
        <w:sz w:val="16"/>
      </w:rPr>
      <w:tblPr/>
      <w:tcPr>
        <w:tcBorders>
          <w:top w:val="single" w:sz="4" w:space="0" w:color="C6C7C7"/>
          <w:left w:val="nil"/>
          <w:bottom w:val="single" w:sz="4" w:space="0" w:color="C6C7C7"/>
          <w:right w:val="nil"/>
          <w:insideH w:val="nil"/>
          <w:insideV w:val="single" w:sz="4" w:space="0" w:color="C6C7C7"/>
          <w:tl2br w:val="nil"/>
          <w:tr2bl w:val="nil"/>
        </w:tcBorders>
        <w:shd w:val="clear" w:color="auto" w:fill="AACFD2"/>
      </w:tcPr>
    </w:tblStylePr>
  </w:style>
  <w:style w:type="table" w:customStyle="1" w:styleId="ATWDTable5">
    <w:name w:val="ATWD Table 5"/>
    <w:basedOn w:val="TableNormal"/>
    <w:uiPriority w:val="99"/>
    <w:rsid w:val="0046305A"/>
    <w:pPr>
      <w:spacing w:before="0" w:line="240" w:lineRule="auto"/>
    </w:pPr>
    <w:tblPr>
      <w:tblStyleRowBandSize w:val="1"/>
    </w:tblPr>
    <w:tblStylePr w:type="firstRow">
      <w:pPr>
        <w:wordWrap/>
        <w:spacing w:beforeLines="0" w:before="28" w:beforeAutospacing="0" w:afterLines="0" w:after="57" w:afterAutospacing="0" w:line="264" w:lineRule="auto"/>
      </w:pPr>
      <w:rPr>
        <w:rFonts w:ascii="Arial" w:hAnsi="Arial"/>
        <w:b/>
        <w:color w:val="FFFFFF" w:themeColor="background1"/>
        <w:sz w:val="18"/>
      </w:rPr>
      <w:tblPr/>
      <w:tcPr>
        <w:tcBorders>
          <w:top w:val="single" w:sz="4" w:space="0" w:color="C6C7C7"/>
          <w:left w:val="nil"/>
          <w:bottom w:val="single" w:sz="18" w:space="0" w:color="FFFFFF" w:themeColor="background1"/>
          <w:right w:val="nil"/>
          <w:insideH w:val="nil"/>
          <w:insideV w:val="single" w:sz="4" w:space="0" w:color="C6C7C7"/>
          <w:tl2br w:val="nil"/>
          <w:tr2bl w:val="nil"/>
        </w:tcBorders>
        <w:shd w:val="clear" w:color="auto" w:fill="629DD1" w:themeFill="accent2"/>
      </w:tcPr>
    </w:tblStylePr>
    <w:tblStylePr w:type="band1Horz">
      <w:pPr>
        <w:wordWrap/>
        <w:spacing w:beforeLines="0" w:before="28" w:beforeAutospacing="0" w:afterLines="0" w:after="57" w:afterAutospacing="0" w:line="264" w:lineRule="auto"/>
      </w:pPr>
      <w:rPr>
        <w:rFonts w:ascii="Arial" w:hAnsi="Arial"/>
        <w:sz w:val="16"/>
      </w:rPr>
      <w:tblPr/>
      <w:tcPr>
        <w:tcBorders>
          <w:top w:val="single" w:sz="4" w:space="0" w:color="C6C7C7"/>
          <w:left w:val="nil"/>
          <w:bottom w:val="single" w:sz="4" w:space="0" w:color="C6C7C7"/>
          <w:right w:val="nil"/>
          <w:insideH w:val="nil"/>
          <w:insideV w:val="single" w:sz="4" w:space="0" w:color="C6C7C7"/>
          <w:tl2br w:val="nil"/>
          <w:tr2bl w:val="nil"/>
        </w:tcBorders>
        <w:shd w:val="clear" w:color="auto" w:fill="FFF1E2"/>
      </w:tcPr>
    </w:tblStylePr>
    <w:tblStylePr w:type="band2Horz">
      <w:pPr>
        <w:wordWrap/>
        <w:spacing w:beforeLines="0" w:before="28" w:beforeAutospacing="0" w:afterLines="0" w:after="57" w:afterAutospacing="0" w:line="264" w:lineRule="auto"/>
        <w:contextualSpacing w:val="0"/>
      </w:pPr>
      <w:rPr>
        <w:rFonts w:ascii="Arial" w:hAnsi="Arial"/>
        <w:sz w:val="16"/>
      </w:rPr>
      <w:tblPr/>
      <w:tcPr>
        <w:tcBorders>
          <w:top w:val="single" w:sz="4" w:space="0" w:color="C6C7C7"/>
          <w:left w:val="nil"/>
          <w:bottom w:val="single" w:sz="4" w:space="0" w:color="C6C7C7"/>
          <w:right w:val="nil"/>
          <w:insideH w:val="nil"/>
          <w:insideV w:val="single" w:sz="4" w:space="0" w:color="C6C7C7"/>
          <w:tl2br w:val="nil"/>
          <w:tr2bl w:val="nil"/>
        </w:tcBorders>
        <w:shd w:val="clear" w:color="auto" w:fill="FFD5AA"/>
      </w:tcPr>
    </w:tblStylePr>
  </w:style>
  <w:style w:type="table" w:customStyle="1" w:styleId="ATWDTable6">
    <w:name w:val="ATWD Table 6"/>
    <w:basedOn w:val="TableNormal"/>
    <w:uiPriority w:val="99"/>
    <w:rsid w:val="0046305A"/>
    <w:pPr>
      <w:spacing w:before="0" w:line="240" w:lineRule="auto"/>
    </w:pPr>
    <w:tblPr>
      <w:tblStyleRowBandSize w:val="1"/>
    </w:tblPr>
    <w:tblStylePr w:type="firstRow">
      <w:pPr>
        <w:wordWrap/>
        <w:spacing w:beforeLines="0" w:before="28" w:beforeAutospacing="0" w:afterLines="0" w:after="57" w:afterAutospacing="0" w:line="264" w:lineRule="auto"/>
        <w:contextualSpacing w:val="0"/>
      </w:pPr>
      <w:rPr>
        <w:b/>
        <w:color w:val="FFFFFF" w:themeColor="background1"/>
      </w:rPr>
      <w:tblPr/>
      <w:tcPr>
        <w:tcBorders>
          <w:top w:val="single" w:sz="4" w:space="0" w:color="C6C7C7"/>
          <w:left w:val="nil"/>
          <w:bottom w:val="single" w:sz="18" w:space="0" w:color="FFFFFF" w:themeColor="background1"/>
          <w:right w:val="nil"/>
          <w:insideH w:val="nil"/>
          <w:insideV w:val="single" w:sz="4" w:space="0" w:color="C6C7C7"/>
          <w:tl2br w:val="nil"/>
          <w:tr2bl w:val="nil"/>
        </w:tcBorders>
        <w:shd w:val="clear" w:color="auto" w:fill="5AA2AE" w:themeFill="accent5"/>
      </w:tcPr>
    </w:tblStylePr>
    <w:tblStylePr w:type="band1Horz">
      <w:pPr>
        <w:wordWrap/>
        <w:spacing w:beforeLines="0" w:before="28" w:beforeAutospacing="0" w:afterLines="0" w:after="57" w:afterAutospacing="0" w:line="264" w:lineRule="auto"/>
        <w:contextualSpacing w:val="0"/>
      </w:pPr>
      <w:rPr>
        <w:rFonts w:ascii="Arial" w:hAnsi="Arial"/>
        <w:sz w:val="16"/>
      </w:rPr>
      <w:tblPr/>
      <w:tcPr>
        <w:tcBorders>
          <w:top w:val="single" w:sz="4" w:space="0" w:color="C6C7C7"/>
          <w:left w:val="nil"/>
          <w:bottom w:val="single" w:sz="4" w:space="0" w:color="C6C7C7"/>
          <w:right w:val="nil"/>
          <w:insideH w:val="nil"/>
          <w:insideV w:val="single" w:sz="4" w:space="0" w:color="C6C7C7"/>
          <w:tl2br w:val="nil"/>
          <w:tr2bl w:val="nil"/>
        </w:tcBorders>
        <w:shd w:val="clear" w:color="auto" w:fill="E2F2F6"/>
      </w:tcPr>
    </w:tblStylePr>
    <w:tblStylePr w:type="band2Horz">
      <w:pPr>
        <w:wordWrap/>
        <w:spacing w:beforeLines="0" w:before="28" w:beforeAutospacing="0" w:afterLines="0" w:after="57" w:afterAutospacing="0" w:line="264" w:lineRule="auto"/>
        <w:contextualSpacing w:val="0"/>
      </w:pPr>
      <w:rPr>
        <w:rFonts w:ascii="Arial" w:hAnsi="Arial"/>
        <w:sz w:val="16"/>
      </w:rPr>
      <w:tblPr/>
      <w:tcPr>
        <w:tcBorders>
          <w:top w:val="single" w:sz="4" w:space="0" w:color="C6C7C7"/>
          <w:left w:val="nil"/>
          <w:bottom w:val="single" w:sz="4" w:space="0" w:color="C6C7C7"/>
          <w:right w:val="nil"/>
          <w:insideH w:val="nil"/>
          <w:insideV w:val="single" w:sz="4" w:space="0" w:color="C6C7C7"/>
          <w:tl2br w:val="nil"/>
          <w:tr2bl w:val="nil"/>
        </w:tcBorders>
        <w:shd w:val="clear" w:color="auto" w:fill="AADAE5"/>
      </w:tcPr>
    </w:tblStylePr>
  </w:style>
  <w:style w:type="table" w:customStyle="1" w:styleId="ATWDTable7">
    <w:name w:val="ATWD Table 7"/>
    <w:basedOn w:val="TableNormal"/>
    <w:uiPriority w:val="99"/>
    <w:rsid w:val="0046305A"/>
    <w:pPr>
      <w:spacing w:before="0" w:line="240" w:lineRule="auto"/>
    </w:pPr>
    <w:tblPr>
      <w:tblStyleRowBandSize w:val="1"/>
    </w:tblPr>
    <w:tblStylePr w:type="firstRow">
      <w:pPr>
        <w:wordWrap/>
        <w:spacing w:beforeLines="0" w:before="28" w:beforeAutospacing="0" w:afterLines="0" w:after="57" w:afterAutospacing="0" w:line="264" w:lineRule="auto"/>
        <w:contextualSpacing w:val="0"/>
      </w:pPr>
      <w:rPr>
        <w:rFonts w:ascii="Arial" w:hAnsi="Arial"/>
        <w:b/>
        <w:color w:val="FFFFFF" w:themeColor="background1"/>
        <w:sz w:val="18"/>
      </w:rPr>
      <w:tblPr/>
      <w:tcPr>
        <w:tcBorders>
          <w:top w:val="single" w:sz="4" w:space="0" w:color="C6C7C7"/>
          <w:left w:val="nil"/>
          <w:bottom w:val="single" w:sz="18" w:space="0" w:color="FFFFFF" w:themeColor="background1"/>
          <w:right w:val="nil"/>
          <w:insideH w:val="nil"/>
          <w:insideV w:val="single" w:sz="4" w:space="0" w:color="C6C7C7"/>
          <w:tl2br w:val="nil"/>
          <w:tr2bl w:val="nil"/>
        </w:tcBorders>
        <w:shd w:val="clear" w:color="auto" w:fill="297FD5" w:themeFill="accent3"/>
      </w:tcPr>
    </w:tblStylePr>
    <w:tblStylePr w:type="band1Horz">
      <w:pPr>
        <w:wordWrap/>
        <w:spacing w:beforeLines="0" w:before="28" w:beforeAutospacing="0" w:afterLines="0" w:after="57" w:afterAutospacing="0" w:line="264" w:lineRule="auto"/>
        <w:contextualSpacing w:val="0"/>
      </w:pPr>
      <w:rPr>
        <w:rFonts w:ascii="Arial" w:hAnsi="Arial"/>
        <w:sz w:val="16"/>
      </w:rPr>
      <w:tblPr/>
      <w:tcPr>
        <w:tcBorders>
          <w:top w:val="single" w:sz="4" w:space="0" w:color="C6C7C7"/>
          <w:left w:val="nil"/>
          <w:bottom w:val="single" w:sz="4" w:space="0" w:color="C6C7C7"/>
          <w:right w:val="nil"/>
          <w:insideH w:val="nil"/>
          <w:insideV w:val="single" w:sz="4" w:space="0" w:color="C6C7C7"/>
          <w:tl2br w:val="nil"/>
          <w:tr2bl w:val="nil"/>
        </w:tcBorders>
        <w:shd w:val="clear" w:color="auto" w:fill="E2F7F6"/>
      </w:tcPr>
    </w:tblStylePr>
    <w:tblStylePr w:type="band2Horz">
      <w:pPr>
        <w:wordWrap/>
        <w:spacing w:beforeLines="0" w:before="28" w:beforeAutospacing="0" w:afterLines="0" w:after="57" w:afterAutospacing="0" w:line="264" w:lineRule="auto"/>
        <w:contextualSpacing w:val="0"/>
      </w:pPr>
      <w:rPr>
        <w:rFonts w:ascii="Arial" w:hAnsi="Arial"/>
        <w:sz w:val="16"/>
      </w:rPr>
      <w:tblPr/>
      <w:tcPr>
        <w:tcBorders>
          <w:top w:val="single" w:sz="4" w:space="0" w:color="C6C7C7"/>
          <w:left w:val="nil"/>
          <w:bottom w:val="single" w:sz="4" w:space="0" w:color="C6C7C7"/>
          <w:right w:val="nil"/>
          <w:insideH w:val="nil"/>
          <w:insideV w:val="single" w:sz="4" w:space="0" w:color="C6C7C7"/>
          <w:tl2br w:val="nil"/>
          <w:tr2bl w:val="nil"/>
        </w:tcBorders>
        <w:shd w:val="clear" w:color="auto" w:fill="AAE8E6"/>
      </w:tcPr>
    </w:tblStylePr>
  </w:style>
  <w:style w:type="table" w:customStyle="1" w:styleId="ATWDTable8">
    <w:name w:val="ATWD Table 8"/>
    <w:basedOn w:val="TableNormal"/>
    <w:uiPriority w:val="99"/>
    <w:rsid w:val="0046305A"/>
    <w:pPr>
      <w:spacing w:before="28" w:after="57"/>
    </w:pPr>
    <w:tblPr>
      <w:tblStyleRowBandSize w:val="1"/>
    </w:tblPr>
    <w:tblStylePr w:type="firstRow">
      <w:pPr>
        <w:wordWrap/>
        <w:spacing w:beforeLines="0" w:before="28" w:beforeAutospacing="0" w:afterLines="0" w:after="57" w:afterAutospacing="0" w:line="264" w:lineRule="auto"/>
        <w:contextualSpacing w:val="0"/>
      </w:pPr>
      <w:rPr>
        <w:rFonts w:ascii="Arial" w:hAnsi="Arial"/>
        <w:b/>
        <w:color w:val="FFFFFF" w:themeColor="background1"/>
        <w:sz w:val="18"/>
      </w:rPr>
      <w:tblPr/>
      <w:tcPr>
        <w:tcBorders>
          <w:top w:val="single" w:sz="4" w:space="0" w:color="CBCBCD"/>
          <w:left w:val="nil"/>
          <w:bottom w:val="single" w:sz="18" w:space="0" w:color="FFFFFF" w:themeColor="background1"/>
          <w:right w:val="nil"/>
          <w:insideH w:val="nil"/>
          <w:insideV w:val="single" w:sz="4" w:space="0" w:color="CBCBCD"/>
          <w:tl2br w:val="nil"/>
          <w:tr2bl w:val="nil"/>
        </w:tcBorders>
        <w:shd w:val="clear" w:color="auto" w:fill="555759"/>
      </w:tcPr>
    </w:tblStylePr>
    <w:tblStylePr w:type="band1Horz">
      <w:pPr>
        <w:wordWrap/>
        <w:spacing w:beforeLines="0" w:before="28" w:beforeAutospacing="0" w:afterLines="0" w:after="57" w:afterAutospacing="0" w:line="264" w:lineRule="auto"/>
        <w:contextualSpacing w:val="0"/>
      </w:pPr>
      <w:rPr>
        <w:rFonts w:ascii="Arial" w:hAnsi="Arial"/>
        <w:sz w:val="16"/>
      </w:rPr>
      <w:tblPr/>
      <w:tcPr>
        <w:tcBorders>
          <w:top w:val="single" w:sz="4" w:space="0" w:color="CBCBCD"/>
          <w:left w:val="nil"/>
          <w:bottom w:val="single" w:sz="4" w:space="0" w:color="CBCBCD"/>
          <w:right w:val="nil"/>
          <w:insideH w:val="nil"/>
          <w:insideV w:val="single" w:sz="4" w:space="0" w:color="CBCBCD"/>
          <w:tl2br w:val="nil"/>
          <w:tr2bl w:val="nil"/>
        </w:tcBorders>
        <w:shd w:val="clear" w:color="auto" w:fill="ECECEC"/>
      </w:tcPr>
    </w:tblStylePr>
    <w:tblStylePr w:type="band2Horz">
      <w:pPr>
        <w:wordWrap/>
        <w:spacing w:beforeLines="0" w:before="28" w:beforeAutospacing="0" w:afterLines="0" w:after="57" w:afterAutospacing="0" w:line="264" w:lineRule="auto"/>
        <w:contextualSpacing w:val="0"/>
      </w:pPr>
      <w:rPr>
        <w:rFonts w:ascii="Arial" w:hAnsi="Arial"/>
        <w:sz w:val="16"/>
      </w:rPr>
      <w:tblPr/>
      <w:tcPr>
        <w:tcBorders>
          <w:top w:val="single" w:sz="4" w:space="0" w:color="CBCBCD"/>
          <w:left w:val="nil"/>
          <w:bottom w:val="single" w:sz="4" w:space="0" w:color="CBCBCD"/>
          <w:right w:val="nil"/>
          <w:insideH w:val="nil"/>
          <w:insideV w:val="single" w:sz="4" w:space="0" w:color="CBCBCD"/>
          <w:tl2br w:val="nil"/>
          <w:tr2bl w:val="nil"/>
        </w:tcBorders>
        <w:shd w:val="clear" w:color="auto" w:fill="C6C7C7"/>
      </w:tcPr>
    </w:tblStylePr>
  </w:style>
  <w:style w:type="paragraph" w:customStyle="1" w:styleId="Tbl2TextB">
    <w:name w:val="Tbl 2 TextB"/>
    <w:basedOn w:val="Tbl2Text"/>
    <w:link w:val="Tbl2TextBChar"/>
    <w:qFormat/>
    <w:rsid w:val="0046305A"/>
    <w:rPr>
      <w:b/>
      <w:bCs/>
    </w:rPr>
  </w:style>
  <w:style w:type="character" w:customStyle="1" w:styleId="Tbl2TextBChar">
    <w:name w:val="Tbl 2 TextB Char"/>
    <w:basedOn w:val="Tbl2TextChar"/>
    <w:link w:val="Tbl2TextB"/>
    <w:rsid w:val="0046305A"/>
    <w:rPr>
      <w:b/>
      <w:bCs/>
      <w:color w:val="000000" w:themeColor="text1"/>
    </w:rPr>
  </w:style>
  <w:style w:type="character" w:styleId="CommentReference">
    <w:name w:val="annotation reference"/>
    <w:basedOn w:val="DefaultParagraphFont"/>
    <w:uiPriority w:val="99"/>
    <w:semiHidden/>
    <w:unhideWhenUsed/>
    <w:rsid w:val="004D1358"/>
    <w:rPr>
      <w:sz w:val="16"/>
      <w:szCs w:val="16"/>
    </w:rPr>
  </w:style>
  <w:style w:type="paragraph" w:styleId="CommentText">
    <w:name w:val="annotation text"/>
    <w:basedOn w:val="Normal"/>
    <w:link w:val="CommentTextChar"/>
    <w:uiPriority w:val="99"/>
    <w:unhideWhenUsed/>
    <w:rsid w:val="004D1358"/>
    <w:pPr>
      <w:spacing w:line="240" w:lineRule="auto"/>
    </w:pPr>
  </w:style>
  <w:style w:type="character" w:customStyle="1" w:styleId="CommentTextChar">
    <w:name w:val="Comment Text Char"/>
    <w:basedOn w:val="DefaultParagraphFont"/>
    <w:link w:val="CommentText"/>
    <w:uiPriority w:val="99"/>
    <w:rsid w:val="004D1358"/>
  </w:style>
  <w:style w:type="paragraph" w:styleId="CommentSubject">
    <w:name w:val="annotation subject"/>
    <w:basedOn w:val="CommentText"/>
    <w:next w:val="CommentText"/>
    <w:link w:val="CommentSubjectChar"/>
    <w:uiPriority w:val="99"/>
    <w:semiHidden/>
    <w:unhideWhenUsed/>
    <w:rsid w:val="004D1358"/>
    <w:rPr>
      <w:b/>
      <w:bCs/>
    </w:rPr>
  </w:style>
  <w:style w:type="character" w:customStyle="1" w:styleId="CommentSubjectChar">
    <w:name w:val="Comment Subject Char"/>
    <w:basedOn w:val="CommentTextChar"/>
    <w:link w:val="CommentSubject"/>
    <w:uiPriority w:val="99"/>
    <w:semiHidden/>
    <w:rsid w:val="004D1358"/>
    <w:rPr>
      <w:b/>
      <w:bCs/>
    </w:rPr>
  </w:style>
  <w:style w:type="paragraph" w:styleId="Revision">
    <w:name w:val="Revision"/>
    <w:hidden/>
    <w:uiPriority w:val="99"/>
    <w:semiHidden/>
    <w:rsid w:val="00940CF2"/>
    <w:pPr>
      <w:spacing w:before="0" w:line="240" w:lineRule="auto"/>
    </w:pPr>
  </w:style>
  <w:style w:type="character" w:styleId="FootnoteReference">
    <w:name w:val="footnote reference"/>
    <w:basedOn w:val="DefaultParagraphFont"/>
    <w:uiPriority w:val="99"/>
    <w:semiHidden/>
    <w:unhideWhenUsed/>
    <w:rsid w:val="00B03D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0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ave4Croydon\Branding\D4C%20word%20template%20-%20logo.dotx"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5654d2-7e13-41e4-899b-c3fb30ebea62">
      <Terms xmlns="http://schemas.microsoft.com/office/infopath/2007/PartnerControls"/>
    </lcf76f155ced4ddcb4097134ff3c332f>
    <i0f84bba906045b4af568ee102a52dcb xmlns="6c345048-4f48-4f33-acaa-aa726ed2b62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6c345048-4f48-4f33-acaa-aa726ed2b624">
      <Value>1</Value>
    </TaxCatchAl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73A09F24D3C7D42BC4F0D225D56A002" ma:contentTypeVersion="13" ma:contentTypeDescription="Create a new document." ma:contentTypeScope="" ma:versionID="fae189ae2a763daaa11612a0ff5ed0e7">
  <xsd:schema xmlns:xsd="http://www.w3.org/2001/XMLSchema" xmlns:xs="http://www.w3.org/2001/XMLSchema" xmlns:p="http://schemas.microsoft.com/office/2006/metadata/properties" xmlns:ns2="6c345048-4f48-4f33-acaa-aa726ed2b624" xmlns:ns3="a45654d2-7e13-41e4-899b-c3fb30ebea62" targetNamespace="http://schemas.microsoft.com/office/2006/metadata/properties" ma:root="true" ma:fieldsID="fa790990aebafe896cfcd78e33c0cf76" ns2:_="" ns3:_="">
    <xsd:import namespace="6c345048-4f48-4f33-acaa-aa726ed2b624"/>
    <xsd:import namespace="a45654d2-7e13-41e4-899b-c3fb30ebea6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45048-4f48-4f33-acaa-aa726ed2b624"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3716eeb-8bdb-4c0c-a0af-4229fea71498}" ma:internalName="TaxCatchAll" ma:showField="CatchAllData" ma:web="6c345048-4f48-4f33-acaa-aa726ed2b6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5654d2-7e13-41e4-899b-c3fb30ebea6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494332-E18E-470D-84A5-A7AA50F30DC9}">
  <ds:schemaRefs>
    <ds:schemaRef ds:uri="http://schemas.microsoft.com/office/2006/metadata/properties"/>
    <ds:schemaRef ds:uri="http://schemas.microsoft.com/office/infopath/2007/PartnerControls"/>
    <ds:schemaRef ds:uri="a45654d2-7e13-41e4-899b-c3fb30ebea62"/>
    <ds:schemaRef ds:uri="6c345048-4f48-4f33-acaa-aa726ed2b624"/>
  </ds:schemaRefs>
</ds:datastoreItem>
</file>

<file path=customXml/itemProps2.xml><?xml version="1.0" encoding="utf-8"?>
<ds:datastoreItem xmlns:ds="http://schemas.openxmlformats.org/officeDocument/2006/customXml" ds:itemID="{D4828071-82DF-430B-B213-839F74EF54A6}">
  <ds:schemaRefs>
    <ds:schemaRef ds:uri="http://schemas.openxmlformats.org/officeDocument/2006/bibliography"/>
  </ds:schemaRefs>
</ds:datastoreItem>
</file>

<file path=customXml/itemProps3.xml><?xml version="1.0" encoding="utf-8"?>
<ds:datastoreItem xmlns:ds="http://schemas.openxmlformats.org/officeDocument/2006/customXml" ds:itemID="{5F480AAC-0F44-4088-9791-95DEDF44D2D4}">
  <ds:schemaRefs>
    <ds:schemaRef ds:uri="http://schemas.microsoft.com/sharepoint/v3/contenttype/forms"/>
  </ds:schemaRefs>
</ds:datastoreItem>
</file>

<file path=customXml/itemProps4.xml><?xml version="1.0" encoding="utf-8"?>
<ds:datastoreItem xmlns:ds="http://schemas.openxmlformats.org/officeDocument/2006/customXml" ds:itemID="{9B913D36-7B9A-4CB3-A6B3-DB305FC78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45048-4f48-4f33-acaa-aa726ed2b624"/>
    <ds:schemaRef ds:uri="a45654d2-7e13-41e4-899b-c3fb30ebe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D4C word template - logo.dotx</Template>
  <TotalTime>1</TotalTime>
  <Pages>4</Pages>
  <Words>1963</Words>
  <Characters>10328</Characters>
  <Application>Microsoft Office Word</Application>
  <DocSecurity>0</DocSecurity>
  <Lines>143</Lines>
  <Paragraphs>64</Paragraphs>
  <ScaleCrop>false</ScaleCrop>
  <HeadingPairs>
    <vt:vector size="2" baseType="variant">
      <vt:variant>
        <vt:lpstr>Title</vt:lpstr>
      </vt:variant>
      <vt:variant>
        <vt:i4>1</vt:i4>
      </vt:variant>
    </vt:vector>
  </HeadingPairs>
  <TitlesOfParts>
    <vt:vector size="1" baseType="lpstr">
      <vt:lpstr>Submission 78 - David Vanderwolf - Gst distribution reforms - Public inquiry</vt:lpstr>
    </vt:vector>
  </TitlesOfParts>
  <Company>David Vanderwolf</Company>
  <LinksUpToDate>false</LinksUpToDate>
  <CharactersWithSpaces>12227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78 - David Vanderwolf - Gst distribution reforms - Public inquiry</dc:title>
  <dc:subject/>
  <dc:creator>David Vanderwolf</dc:creator>
  <cp:keywords/>
  <dc:description/>
  <cp:lastModifiedBy>Chris Alston</cp:lastModifiedBy>
  <cp:revision>3</cp:revision>
  <cp:lastPrinted>2017-06-01T02:51:00Z</cp:lastPrinted>
  <dcterms:created xsi:type="dcterms:W3CDTF">2026-09-30T23:45:00Z</dcterms:created>
  <dcterms:modified xsi:type="dcterms:W3CDTF">2026-09-30T23:46:00Z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4c4845751009e5ec590872cb3380ef9ce1220803620baa38a60a21072bafa4e3</vt:lpwstr>
  </property>
  <property fmtid="{D5CDD505-2E9C-101B-9397-08002B2CF9AE}" pid="3" name="ContentTypeId">
    <vt:lpwstr>0x010100E73A09F24D3C7D42BC4F0D225D56A002</vt:lpwstr>
  </property>
  <property fmtid="{D5CDD505-2E9C-101B-9397-08002B2CF9AE}" pid="4" name="MediaServiceImageTags">
    <vt:lpwstr/>
  </property>
  <property fmtid="{D5CDD505-2E9C-101B-9397-08002B2CF9AE}" pid="5" name="RevIMBCS">
    <vt:lpwstr>1;#Unclassified|3955eeb1-2d18-4582-aeb2-00144ec3aaf5</vt:lpwstr>
  </property>
  <property fmtid="{D5CDD505-2E9C-101B-9397-08002B2CF9AE}" pid="6" name="ClassificationContentMarkingHeaderShapeIds">
    <vt:lpwstr>17e16185,4e439f,65303b7c</vt:lpwstr>
  </property>
  <property fmtid="{D5CDD505-2E9C-101B-9397-08002B2CF9AE}" pid="7" name="ClassificationContentMarkingHeaderFontProps">
    <vt:lpwstr>#000000,12,Aptos</vt:lpwstr>
  </property>
  <property fmtid="{D5CDD505-2E9C-101B-9397-08002B2CF9AE}" pid="8" name="ClassificationContentMarkingHeaderText">
    <vt:lpwstr> OFFICIAL</vt:lpwstr>
  </property>
  <property fmtid="{D5CDD505-2E9C-101B-9397-08002B2CF9AE}" pid="9" name="MSIP_Label_f7467c1a-e0ed-413c-a72b-aac8e8e94f41_Enabled">
    <vt:lpwstr>true</vt:lpwstr>
  </property>
  <property fmtid="{D5CDD505-2E9C-101B-9397-08002B2CF9AE}" pid="10" name="MSIP_Label_f7467c1a-e0ed-413c-a72b-aac8e8e94f41_SetDate">
    <vt:lpwstr>2026-09-30T06:18:20Z</vt:lpwstr>
  </property>
  <property fmtid="{D5CDD505-2E9C-101B-9397-08002B2CF9AE}" pid="11" name="MSIP_Label_f7467c1a-e0ed-413c-a72b-aac8e8e94f41_Method">
    <vt:lpwstr>Privileged</vt:lpwstr>
  </property>
  <property fmtid="{D5CDD505-2E9C-101B-9397-08002B2CF9AE}" pid="12" name="MSIP_Label_f7467c1a-e0ed-413c-a72b-aac8e8e94f41_Name">
    <vt:lpwstr>OFFICIAL</vt:lpwstr>
  </property>
  <property fmtid="{D5CDD505-2E9C-101B-9397-08002B2CF9AE}" pid="13" name="MSIP_Label_f7467c1a-e0ed-413c-a72b-aac8e8e94f41_SiteId">
    <vt:lpwstr>29f9330b-c0fe-4244-830e-ba9f275d6c34</vt:lpwstr>
  </property>
  <property fmtid="{D5CDD505-2E9C-101B-9397-08002B2CF9AE}" pid="14" name="MSIP_Label_f7467c1a-e0ed-413c-a72b-aac8e8e94f41_ActionId">
    <vt:lpwstr>aed30390-9402-4653-8b83-e63fff816071</vt:lpwstr>
  </property>
  <property fmtid="{D5CDD505-2E9C-101B-9397-08002B2CF9AE}" pid="15" name="MSIP_Label_f7467c1a-e0ed-413c-a72b-aac8e8e94f41_ContentBits">
    <vt:lpwstr>1</vt:lpwstr>
  </property>
  <property fmtid="{D5CDD505-2E9C-101B-9397-08002B2CF9AE}" pid="16" name="MSIP_Label_f7467c1a-e0ed-413c-a72b-aac8e8e94f41_Tag">
    <vt:lpwstr>10, 0, 1, 1</vt:lpwstr>
  </property>
  <property fmtid="{D5CDD505-2E9C-101B-9397-08002B2CF9AE}" pid="17" name="docLang">
    <vt:lpwstr>en</vt:lpwstr>
  </property>
</Properties>
</file>