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7EFDB" w14:textId="788714C7" w:rsidR="00CD71C4" w:rsidRPr="00426935" w:rsidRDefault="0053329D" w:rsidP="00785B45">
      <w:pPr>
        <w:pStyle w:val="Default"/>
        <w:spacing w:after="100" w:afterAutospacing="1"/>
        <w:rPr>
          <w:rFonts w:ascii="Calibri" w:hAnsi="Calibri" w:cs="Calibri"/>
          <w:sz w:val="22"/>
          <w:szCs w:val="22"/>
        </w:rPr>
      </w:pPr>
      <w:r w:rsidRPr="00426935">
        <w:rPr>
          <w:rFonts w:ascii="Calibri" w:hAnsi="Calibri" w:cs="Calibri"/>
          <w:noProof/>
          <w:color w:val="170E4E"/>
          <w:sz w:val="22"/>
          <w:szCs w:val="22"/>
        </w:rPr>
        <w:drawing>
          <wp:anchor distT="152400" distB="152400" distL="152400" distR="152400" simplePos="0" relativeHeight="251658240" behindDoc="0" locked="0" layoutInCell="1" allowOverlap="1" wp14:anchorId="78E456DD" wp14:editId="5AB6F506">
            <wp:simplePos x="0" y="0"/>
            <wp:positionH relativeFrom="page">
              <wp:align>left</wp:align>
            </wp:positionH>
            <wp:positionV relativeFrom="page">
              <wp:align>top</wp:align>
            </wp:positionV>
            <wp:extent cx="7560057" cy="1267210"/>
            <wp:effectExtent l="0" t="0" r="3175" b="9525"/>
            <wp:wrapTopAndBottom distT="152400" distB="152400"/>
            <wp:docPr id="1073741827" name="Picture 1073741827" descr="Image">
              <a:extLst xmlns:a="http://schemas.openxmlformats.org/drawingml/2006/main">
                <a:ext uri="{FF2B5EF4-FFF2-40B4-BE49-F238E27FC236}">
                  <a16:creationId xmlns:a16="http://schemas.microsoft.com/office/drawing/2014/main" id="{62745632-1CBB-4F85-9F36-08D50576BD52}"/>
                </a:ext>
              </a:extLst>
            </wp:docPr>
            <wp:cNvGraphicFramePr/>
            <a:graphic xmlns:a="http://schemas.openxmlformats.org/drawingml/2006/main">
              <a:graphicData uri="http://schemas.openxmlformats.org/drawingml/2006/picture">
                <pic:pic xmlns:pic="http://schemas.openxmlformats.org/drawingml/2006/picture">
                  <pic:nvPicPr>
                    <pic:cNvPr id="1073741827" name="Image" descr="Image"/>
                    <pic:cNvPicPr>
                      <a:picLocks noChangeAspect="1"/>
                    </pic:cNvPicPr>
                  </pic:nvPicPr>
                  <pic:blipFill>
                    <a:blip r:embed="rId11"/>
                    <a:stretch>
                      <a:fillRect/>
                    </a:stretch>
                  </pic:blipFill>
                  <pic:spPr>
                    <a:xfrm>
                      <a:off x="0" y="0"/>
                      <a:ext cx="7560057" cy="1267210"/>
                    </a:xfrm>
                    <a:prstGeom prst="rect">
                      <a:avLst/>
                    </a:prstGeom>
                    <a:ln w="12700" cap="flat">
                      <a:noFill/>
                      <a:miter lim="400000"/>
                    </a:ln>
                    <a:effectLst/>
                  </pic:spPr>
                </pic:pic>
              </a:graphicData>
            </a:graphic>
          </wp:anchor>
        </w:drawing>
      </w:r>
    </w:p>
    <w:p w14:paraId="20E541D4" w14:textId="77777777" w:rsidR="005B6DC6" w:rsidRPr="00426935" w:rsidRDefault="005B6DC6" w:rsidP="005B6DC6">
      <w:pPr>
        <w:pStyle w:val="Default"/>
        <w:spacing w:after="120"/>
        <w:rPr>
          <w:rFonts w:ascii="Calibri" w:hAnsi="Calibri" w:cs="Calibri"/>
          <w:sz w:val="22"/>
          <w:szCs w:val="22"/>
          <w:lang w:val="en-AU"/>
        </w:rPr>
      </w:pPr>
    </w:p>
    <w:p w14:paraId="22CC721C" w14:textId="0D8FCC9A" w:rsidR="005B6DC6" w:rsidRPr="00426935" w:rsidRDefault="00D9520D" w:rsidP="005B6DC6">
      <w:pPr>
        <w:pStyle w:val="Default"/>
        <w:spacing w:after="120"/>
        <w:rPr>
          <w:rFonts w:ascii="Calibri" w:hAnsi="Calibri" w:cs="Calibri"/>
          <w:sz w:val="22"/>
          <w:szCs w:val="22"/>
          <w:lang w:val="en-AU"/>
        </w:rPr>
      </w:pPr>
      <w:r w:rsidRPr="00426935">
        <w:rPr>
          <w:rFonts w:ascii="Calibri" w:hAnsi="Calibri" w:cs="Calibri"/>
          <w:b/>
          <w:bCs/>
          <w:sz w:val="22"/>
          <w:szCs w:val="22"/>
        </w:rPr>
        <w:t xml:space="preserve">Submission to the Inquiry into the GST distribution reforms – </w:t>
      </w:r>
      <w:r w:rsidR="005B642D">
        <w:rPr>
          <w:rFonts w:ascii="Calibri" w:hAnsi="Calibri" w:cs="Calibri"/>
          <w:b/>
          <w:bCs/>
          <w:sz w:val="22"/>
          <w:szCs w:val="22"/>
        </w:rPr>
        <w:t>R</w:t>
      </w:r>
      <w:r w:rsidRPr="00426935">
        <w:rPr>
          <w:rFonts w:ascii="Calibri" w:hAnsi="Calibri" w:cs="Calibri"/>
          <w:b/>
          <w:bCs/>
          <w:sz w:val="22"/>
          <w:szCs w:val="22"/>
        </w:rPr>
        <w:t>esponse to the interim report</w:t>
      </w:r>
    </w:p>
    <w:p w14:paraId="1F7A8863" w14:textId="77777777" w:rsidR="000A2046" w:rsidRPr="00426935" w:rsidRDefault="000A2046" w:rsidP="005B6DC6">
      <w:pPr>
        <w:pStyle w:val="Default"/>
        <w:spacing w:after="120"/>
        <w:rPr>
          <w:rFonts w:ascii="Calibri" w:hAnsi="Calibri" w:cs="Calibri"/>
          <w:sz w:val="22"/>
          <w:szCs w:val="22"/>
          <w:lang w:val="en-AU"/>
        </w:rPr>
      </w:pPr>
    </w:p>
    <w:p w14:paraId="02675FDF" w14:textId="629C870B" w:rsidR="000A2046" w:rsidRPr="00426935" w:rsidRDefault="00D9520D" w:rsidP="000A2046">
      <w:pPr>
        <w:spacing w:after="140" w:line="300" w:lineRule="auto"/>
        <w:rPr>
          <w:rFonts w:ascii="Calibri" w:hAnsi="Calibri" w:cs="Calibri"/>
          <w:sz w:val="22"/>
          <w:szCs w:val="22"/>
        </w:rPr>
      </w:pPr>
      <w:r w:rsidRPr="00426935">
        <w:rPr>
          <w:rFonts w:ascii="Calibri" w:hAnsi="Calibri" w:cs="Calibri"/>
          <w:sz w:val="22"/>
          <w:szCs w:val="22"/>
        </w:rPr>
        <w:t>T</w:t>
      </w:r>
      <w:r w:rsidR="000A2046" w:rsidRPr="00426935">
        <w:rPr>
          <w:rFonts w:ascii="Calibri" w:hAnsi="Calibri" w:cs="Calibri"/>
          <w:sz w:val="22"/>
          <w:szCs w:val="22"/>
        </w:rPr>
        <w:t>hank you for the opportunity to submit on this important issue to the Productivity Commission. I make this submission in my capacity as the independent federal member for Kooyong.</w:t>
      </w:r>
    </w:p>
    <w:p w14:paraId="52D59A12" w14:textId="5A983651"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I agree with the position adopted in the Commission's interim report, that the 2018 changes to distribution of the goods and services tax</w:t>
      </w:r>
      <w:r w:rsidR="00B610A0">
        <w:rPr>
          <w:rFonts w:ascii="Calibri" w:hAnsi="Calibri" w:cs="Calibri"/>
          <w:sz w:val="22"/>
          <w:szCs w:val="22"/>
        </w:rPr>
        <w:t xml:space="preserve"> (GST) </w:t>
      </w:r>
      <w:r w:rsidRPr="00426935">
        <w:rPr>
          <w:rFonts w:ascii="Calibri" w:hAnsi="Calibri" w:cs="Calibri"/>
          <w:sz w:val="22"/>
          <w:szCs w:val="22"/>
        </w:rPr>
        <w:t>in Australia have been almost entirely ineffective in achieving the stated objectives of those changes, while costing taxpayers more than four times what was envisaged. Most benefits from the changes have flowed to the richest state in the Commonwealth.</w:t>
      </w:r>
    </w:p>
    <w:p w14:paraId="67848542"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I therefore make the following recommendations to the Commission:</w:t>
      </w:r>
    </w:p>
    <w:p w14:paraId="61F921FF" w14:textId="77777777" w:rsidR="000A2046" w:rsidRPr="00426935" w:rsidRDefault="760E1177" w:rsidP="347C363D">
      <w:pPr>
        <w:pStyle w:val="ListParagraph"/>
        <w:numPr>
          <w:ilvl w:val="0"/>
          <w:numId w:val="11"/>
        </w:numPr>
        <w:spacing w:after="100" w:line="290" w:lineRule="auto"/>
        <w:rPr>
          <w:rFonts w:ascii="Calibri" w:hAnsi="Calibri" w:cs="Calibri"/>
          <w:lang w:val="en-US"/>
        </w:rPr>
      </w:pPr>
      <w:r w:rsidRPr="347C363D">
        <w:rPr>
          <w:rFonts w:ascii="Calibri" w:hAnsi="Calibri" w:cs="Calibri"/>
          <w:b/>
          <w:bCs/>
          <w:lang w:val="en-US"/>
        </w:rPr>
        <w:t xml:space="preserve">That it reverses the ill-considered changes to GST distributions enacted by the Morrison government in 2018, and </w:t>
      </w:r>
      <w:proofErr w:type="gramStart"/>
      <w:r w:rsidRPr="347C363D">
        <w:rPr>
          <w:rFonts w:ascii="Calibri" w:hAnsi="Calibri" w:cs="Calibri"/>
          <w:b/>
          <w:bCs/>
          <w:lang w:val="en-US"/>
        </w:rPr>
        <w:t>return</w:t>
      </w:r>
      <w:proofErr w:type="gramEnd"/>
      <w:r w:rsidRPr="347C363D">
        <w:rPr>
          <w:rFonts w:ascii="Calibri" w:hAnsi="Calibri" w:cs="Calibri"/>
          <w:b/>
          <w:bCs/>
          <w:lang w:val="en-US"/>
        </w:rPr>
        <w:t xml:space="preserve"> to full horizontal fiscal equalisation, with the Commonwealth Grants Commission addressing any dominant-state effects. </w:t>
      </w:r>
    </w:p>
    <w:p w14:paraId="2D9A187E" w14:textId="77777777" w:rsidR="000A2046" w:rsidRPr="00426935" w:rsidRDefault="760E1177" w:rsidP="347C363D">
      <w:pPr>
        <w:pStyle w:val="ListParagraph"/>
        <w:numPr>
          <w:ilvl w:val="0"/>
          <w:numId w:val="11"/>
        </w:numPr>
        <w:spacing w:after="100" w:line="290" w:lineRule="auto"/>
        <w:rPr>
          <w:rFonts w:ascii="Calibri" w:hAnsi="Calibri" w:cs="Calibri"/>
          <w:lang w:val="en-US"/>
        </w:rPr>
      </w:pPr>
      <w:r w:rsidRPr="347C363D">
        <w:rPr>
          <w:rFonts w:ascii="Calibri" w:hAnsi="Calibri" w:cs="Calibri"/>
          <w:b/>
          <w:bCs/>
          <w:lang w:val="en-US"/>
        </w:rPr>
        <w:t xml:space="preserve">If the 2018 changes must be </w:t>
      </w:r>
      <w:proofErr w:type="gramStart"/>
      <w:r w:rsidRPr="347C363D">
        <w:rPr>
          <w:rFonts w:ascii="Calibri" w:hAnsi="Calibri" w:cs="Calibri"/>
          <w:b/>
          <w:bCs/>
          <w:lang w:val="en-US"/>
        </w:rPr>
        <w:t>retained, that</w:t>
      </w:r>
      <w:proofErr w:type="gramEnd"/>
      <w:r w:rsidRPr="347C363D">
        <w:rPr>
          <w:rFonts w:ascii="Calibri" w:hAnsi="Calibri" w:cs="Calibri"/>
          <w:b/>
          <w:bCs/>
          <w:lang w:val="en-US"/>
        </w:rPr>
        <w:t xml:space="preserve"> the No Worse Off guarantee be made permanent</w:t>
      </w:r>
      <w:r w:rsidRPr="347C363D">
        <w:rPr>
          <w:rFonts w:ascii="Calibri" w:hAnsi="Calibri" w:cs="Calibri"/>
          <w:lang w:val="en-US"/>
        </w:rPr>
        <w:t>,</w:t>
      </w:r>
      <w:r w:rsidRPr="347C363D">
        <w:rPr>
          <w:rFonts w:ascii="Calibri" w:hAnsi="Calibri" w:cs="Calibri"/>
          <w:b/>
          <w:bCs/>
          <w:lang w:val="en-US"/>
        </w:rPr>
        <w:t xml:space="preserve"> such that Victoria and other disadvantaged states are not left to pay for reforms they did not support</w:t>
      </w:r>
      <w:r w:rsidRPr="347C363D">
        <w:rPr>
          <w:rFonts w:ascii="Calibri" w:hAnsi="Calibri" w:cs="Calibri"/>
          <w:lang w:val="en-US"/>
        </w:rPr>
        <w:t xml:space="preserve">. This option is suboptimal. It represents an expensive second-best alternative, which will entrench the burden on and federal budget of the current system, and the inequitable effect upon taxpayers of the 2018 changes. </w:t>
      </w:r>
    </w:p>
    <w:p w14:paraId="0BAA5FFC" w14:textId="77777777" w:rsidR="000A2046" w:rsidRPr="00426935" w:rsidRDefault="000A2046" w:rsidP="000A2046">
      <w:pPr>
        <w:spacing w:after="100" w:line="290" w:lineRule="auto"/>
        <w:rPr>
          <w:rFonts w:ascii="Calibri" w:hAnsi="Calibri" w:cs="Calibri"/>
          <w:b/>
          <w:bCs/>
          <w:sz w:val="22"/>
          <w:szCs w:val="22"/>
        </w:rPr>
      </w:pPr>
    </w:p>
    <w:p w14:paraId="22310198" w14:textId="77777777" w:rsidR="000A2046" w:rsidRPr="00426935" w:rsidRDefault="000A2046" w:rsidP="000A2046">
      <w:pPr>
        <w:spacing w:after="100" w:line="290" w:lineRule="auto"/>
        <w:rPr>
          <w:rFonts w:ascii="Calibri" w:hAnsi="Calibri" w:cs="Calibri"/>
          <w:sz w:val="22"/>
          <w:szCs w:val="22"/>
        </w:rPr>
      </w:pPr>
      <w:r w:rsidRPr="00426935">
        <w:rPr>
          <w:rFonts w:ascii="Calibri" w:hAnsi="Calibri" w:cs="Calibri"/>
          <w:sz w:val="22"/>
          <w:szCs w:val="22"/>
        </w:rPr>
        <w:t>Any changes to the existing system need to be made such as to provide a clear and orderly means of transition, giving the states clarity about their obligations well in advance of the due date for expiration of the guarantee in 2029-2030.</w:t>
      </w:r>
    </w:p>
    <w:p w14:paraId="4D16DCCA" w14:textId="77777777" w:rsidR="000A2046" w:rsidRPr="005B642D" w:rsidRDefault="000A2046" w:rsidP="000A2046">
      <w:pPr>
        <w:pStyle w:val="Heading2"/>
        <w:spacing w:before="260" w:after="120"/>
        <w:rPr>
          <w:b w:val="0"/>
          <w:bCs w:val="0"/>
          <w:sz w:val="22"/>
          <w:szCs w:val="22"/>
        </w:rPr>
      </w:pPr>
      <w:r w:rsidRPr="005B642D">
        <w:rPr>
          <w:sz w:val="22"/>
          <w:szCs w:val="22"/>
        </w:rPr>
        <w:t>The case for returning to horizontal fiscal equalisation</w:t>
      </w:r>
    </w:p>
    <w:p w14:paraId="0121108C" w14:textId="46B8368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All States and territories </w:t>
      </w:r>
      <w:r w:rsidR="005C0F44" w:rsidRPr="00426935">
        <w:rPr>
          <w:rFonts w:ascii="Calibri" w:hAnsi="Calibri" w:cs="Calibri"/>
          <w:sz w:val="22"/>
          <w:szCs w:val="22"/>
        </w:rPr>
        <w:t>have</w:t>
      </w:r>
      <w:r w:rsidRPr="00426935">
        <w:rPr>
          <w:rFonts w:ascii="Calibri" w:hAnsi="Calibri" w:cs="Calibri"/>
          <w:sz w:val="22"/>
          <w:szCs w:val="22"/>
        </w:rPr>
        <w:t xml:space="preserve"> a responsibility to provide their residents with broadly equivalent standards of public services supported by a similar burden of state taxes. </w:t>
      </w:r>
    </w:p>
    <w:p w14:paraId="6C847232"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After Western Australia’s contemplation of secession referendum in 1933, the Commonwealth Grants Commission was established to support that principle.</w:t>
      </w:r>
    </w:p>
    <w:p w14:paraId="301DCFDE"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For over 70 years Western Australia has received a greater share of untied Commonwealth grants than would be predicted by its population. That distribution was justified by the higher cost of delivering services to a small population across a vast area. </w:t>
      </w:r>
    </w:p>
    <w:p w14:paraId="02BC45A7" w14:textId="7784B822"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lastRenderedPageBreak/>
        <w:t xml:space="preserve">Most taxpayers are unaware of the Commonwealth Grants Commission’s activities. Essentially, it calculates each state's share of the GST by assessing how much revenue that state could raise from its own sources, and how much it would cost to deliver an average standard of services there. It turns that into </w:t>
      </w:r>
      <w:proofErr w:type="gramStart"/>
      <w:r w:rsidRPr="00426935">
        <w:rPr>
          <w:rFonts w:ascii="Calibri" w:hAnsi="Calibri" w:cs="Calibri"/>
          <w:sz w:val="22"/>
          <w:szCs w:val="22"/>
        </w:rPr>
        <w:t>a "</w:t>
      </w:r>
      <w:proofErr w:type="gramEnd"/>
      <w:r w:rsidRPr="00426935">
        <w:rPr>
          <w:rFonts w:ascii="Calibri" w:hAnsi="Calibri" w:cs="Calibri"/>
          <w:sz w:val="22"/>
          <w:szCs w:val="22"/>
        </w:rPr>
        <w:t xml:space="preserve">relativity" for each state, such that each </w:t>
      </w:r>
      <w:proofErr w:type="gramStart"/>
      <w:r w:rsidRPr="00426935">
        <w:rPr>
          <w:rFonts w:ascii="Calibri" w:hAnsi="Calibri" w:cs="Calibri"/>
          <w:sz w:val="22"/>
          <w:szCs w:val="22"/>
        </w:rPr>
        <w:t>is able to</w:t>
      </w:r>
      <w:proofErr w:type="gramEnd"/>
      <w:r w:rsidRPr="00426935">
        <w:rPr>
          <w:rFonts w:ascii="Calibri" w:hAnsi="Calibri" w:cs="Calibri"/>
          <w:sz w:val="22"/>
          <w:szCs w:val="22"/>
        </w:rPr>
        <w:t xml:space="preserve"> provide comparable services at similar tax rates. Before 2018</w:t>
      </w:r>
      <w:r w:rsidR="009F427C">
        <w:rPr>
          <w:rFonts w:ascii="Calibri" w:hAnsi="Calibri" w:cs="Calibri"/>
          <w:sz w:val="22"/>
          <w:szCs w:val="22"/>
        </w:rPr>
        <w:t>,</w:t>
      </w:r>
      <w:r w:rsidRPr="00426935">
        <w:rPr>
          <w:rFonts w:ascii="Calibri" w:hAnsi="Calibri" w:cs="Calibri"/>
          <w:sz w:val="22"/>
          <w:szCs w:val="22"/>
        </w:rPr>
        <w:t xml:space="preserve"> that capacity was lifted to the level of the strongest state. Under the Morrison government’s 2018 changes it was lifted to the stronger of NSW or Victoria, and no state's share can fall below a floor of 75 per cent of a population-based share.</w:t>
      </w:r>
    </w:p>
    <w:p w14:paraId="0BC8CE85"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The Morrison government’s 2018 changes to GST distributions have subverted the system, making it more complex, less consistent and much more expensive. </w:t>
      </w:r>
    </w:p>
    <w:p w14:paraId="31A7764C"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As the Commission found in its interim report, the 2019 changes have benefited WA excessively. </w:t>
      </w:r>
    </w:p>
    <w:p w14:paraId="00721201"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The most significant of its findings were that:</w:t>
      </w:r>
    </w:p>
    <w:p w14:paraId="332950C5" w14:textId="77777777" w:rsidR="000A2046" w:rsidRPr="00426935" w:rsidRDefault="760E1177" w:rsidP="347C363D">
      <w:pPr>
        <w:pStyle w:val="ListParagraph"/>
        <w:numPr>
          <w:ilvl w:val="0"/>
          <w:numId w:val="3"/>
        </w:numPr>
        <w:spacing w:after="80" w:line="290" w:lineRule="auto"/>
        <w:rPr>
          <w:rFonts w:ascii="Calibri" w:hAnsi="Calibri" w:cs="Calibri"/>
          <w:lang w:val="en-US"/>
        </w:rPr>
      </w:pPr>
      <w:r w:rsidRPr="347C363D">
        <w:rPr>
          <w:rFonts w:ascii="Calibri" w:hAnsi="Calibri" w:cs="Calibri"/>
          <w:lang w:val="en-US"/>
        </w:rPr>
        <w:t xml:space="preserve">The 2018 reforms were forecast to cost the Commonwealth about $5 billion to 2024-25. They </w:t>
      </w:r>
      <w:proofErr w:type="gramStart"/>
      <w:r w:rsidRPr="347C363D">
        <w:rPr>
          <w:rFonts w:ascii="Calibri" w:hAnsi="Calibri" w:cs="Calibri"/>
          <w:lang w:val="en-US"/>
        </w:rPr>
        <w:t>have cost</w:t>
      </w:r>
      <w:proofErr w:type="gramEnd"/>
      <w:r w:rsidRPr="347C363D">
        <w:rPr>
          <w:rFonts w:ascii="Calibri" w:hAnsi="Calibri" w:cs="Calibri"/>
          <w:lang w:val="en-US"/>
        </w:rPr>
        <w:t xml:space="preserve"> almost $23 billion.</w:t>
      </w:r>
    </w:p>
    <w:p w14:paraId="530C71B1" w14:textId="77777777" w:rsidR="000A2046" w:rsidRPr="00426935" w:rsidRDefault="760E1177" w:rsidP="347C363D">
      <w:pPr>
        <w:pStyle w:val="ListParagraph"/>
        <w:numPr>
          <w:ilvl w:val="0"/>
          <w:numId w:val="3"/>
        </w:numPr>
        <w:spacing w:after="80" w:line="290" w:lineRule="auto"/>
        <w:rPr>
          <w:rFonts w:ascii="Calibri" w:hAnsi="Calibri" w:cs="Calibri"/>
          <w:lang w:val="en-US"/>
        </w:rPr>
      </w:pPr>
      <w:r w:rsidRPr="347C363D">
        <w:rPr>
          <w:rFonts w:ascii="Calibri" w:hAnsi="Calibri" w:cs="Calibri"/>
          <w:lang w:val="en-US"/>
        </w:rPr>
        <w:t>Western Australia was expected to benefit by around $3.9 billion over that period but has ultimately received most of the $23 billion.</w:t>
      </w:r>
    </w:p>
    <w:p w14:paraId="1F727203" w14:textId="77777777" w:rsidR="000A2046" w:rsidRPr="00426935" w:rsidRDefault="000A2046" w:rsidP="000A2046">
      <w:pPr>
        <w:pStyle w:val="ListParagraph"/>
        <w:numPr>
          <w:ilvl w:val="0"/>
          <w:numId w:val="3"/>
        </w:numPr>
        <w:spacing w:after="80" w:line="290" w:lineRule="auto"/>
        <w:rPr>
          <w:rFonts w:ascii="Calibri" w:hAnsi="Calibri" w:cs="Calibri"/>
        </w:rPr>
      </w:pPr>
      <w:r w:rsidRPr="00426935">
        <w:rPr>
          <w:rFonts w:ascii="Calibri" w:hAnsi="Calibri" w:cs="Calibri"/>
        </w:rPr>
        <w:t>In 2024-25, Western Australia received GST revenue equal to 113 per cent of its assessed fiscal needs, while all other states received 98 per cent.</w:t>
      </w:r>
    </w:p>
    <w:p w14:paraId="048CA759" w14:textId="77777777" w:rsidR="000A2046" w:rsidRPr="00426935" w:rsidRDefault="760E1177" w:rsidP="347C363D">
      <w:pPr>
        <w:pStyle w:val="ListParagraph"/>
        <w:numPr>
          <w:ilvl w:val="0"/>
          <w:numId w:val="3"/>
        </w:numPr>
        <w:spacing w:after="80" w:line="290" w:lineRule="auto"/>
        <w:rPr>
          <w:rFonts w:ascii="Calibri" w:hAnsi="Calibri" w:cs="Calibri"/>
          <w:lang w:val="en-US"/>
        </w:rPr>
      </w:pPr>
      <w:r w:rsidRPr="347C363D">
        <w:rPr>
          <w:rFonts w:ascii="Calibri" w:hAnsi="Calibri" w:cs="Calibri"/>
          <w:lang w:val="en-US"/>
        </w:rPr>
        <w:t xml:space="preserve">The Commission estimates that the cost of continuation of the 2018 reforms could reach $12 billion/year. </w:t>
      </w:r>
    </w:p>
    <w:p w14:paraId="22FCB509" w14:textId="77777777" w:rsidR="000A2046" w:rsidRPr="00426935" w:rsidRDefault="000A2046" w:rsidP="000A2046">
      <w:pPr>
        <w:pStyle w:val="ListParagraph"/>
        <w:spacing w:after="80" w:line="290" w:lineRule="auto"/>
        <w:ind w:left="540"/>
        <w:rPr>
          <w:rFonts w:ascii="Calibri" w:hAnsi="Calibri" w:cs="Calibri"/>
        </w:rPr>
      </w:pPr>
    </w:p>
    <w:p w14:paraId="53B9DA7B"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The Commission also identified perverse outcomes from the 2018 reforms, such that – in the face of these changes - all states other than Western Australia now face disincentives to strengthen their revenue base.</w:t>
      </w:r>
    </w:p>
    <w:p w14:paraId="1BFF9413" w14:textId="7B1611BA"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Western Australia’s right to levy mineral royalties is not in question, and its ability to take advantage of global commodity prices has benefited West</w:t>
      </w:r>
      <w:r w:rsidR="009C694A">
        <w:rPr>
          <w:rFonts w:ascii="Calibri" w:hAnsi="Calibri" w:cs="Calibri"/>
          <w:sz w:val="22"/>
          <w:szCs w:val="22"/>
        </w:rPr>
        <w:t>ern</w:t>
      </w:r>
      <w:r w:rsidRPr="00426935">
        <w:rPr>
          <w:rFonts w:ascii="Calibri" w:hAnsi="Calibri" w:cs="Calibri"/>
          <w:sz w:val="22"/>
          <w:szCs w:val="22"/>
        </w:rPr>
        <w:t xml:space="preserve"> Australians enormously. But since 2018 WA has had the second-lowest level of government investment as a share of state product of any state, and its labour productivity growth has lagged Victoria and New South Wales.</w:t>
      </w:r>
    </w:p>
    <w:p w14:paraId="36E06C41" w14:textId="77777777" w:rsidR="000A2046" w:rsidRPr="00426935" w:rsidRDefault="000A2046" w:rsidP="000A2046">
      <w:pPr>
        <w:pStyle w:val="ListParagraph"/>
        <w:numPr>
          <w:ilvl w:val="0"/>
          <w:numId w:val="3"/>
        </w:numPr>
        <w:spacing w:after="80" w:line="290" w:lineRule="auto"/>
        <w:rPr>
          <w:rFonts w:ascii="Calibri" w:hAnsi="Calibri" w:cs="Calibri"/>
        </w:rPr>
      </w:pPr>
      <w:r w:rsidRPr="00426935">
        <w:rPr>
          <w:rFonts w:ascii="Calibri" w:hAnsi="Calibri" w:cs="Calibri"/>
        </w:rPr>
        <w:t>WA’s per capita gross state product has risen from around 7 per cent above the national average in 2000 to more than 60 per cent above it in recent years.</w:t>
      </w:r>
    </w:p>
    <w:p w14:paraId="5AA5BACD" w14:textId="77777777" w:rsidR="000A2046" w:rsidRPr="00426935" w:rsidRDefault="760E1177" w:rsidP="347C363D">
      <w:pPr>
        <w:pStyle w:val="ListParagraph"/>
        <w:numPr>
          <w:ilvl w:val="0"/>
          <w:numId w:val="3"/>
        </w:numPr>
        <w:spacing w:after="80" w:line="290" w:lineRule="auto"/>
        <w:rPr>
          <w:rFonts w:ascii="Calibri" w:hAnsi="Calibri" w:cs="Calibri"/>
          <w:lang w:val="en-US"/>
        </w:rPr>
      </w:pPr>
      <w:r w:rsidRPr="347C363D">
        <w:rPr>
          <w:rFonts w:ascii="Calibri" w:hAnsi="Calibri" w:cs="Calibri"/>
          <w:lang w:val="en-US"/>
        </w:rPr>
        <w:t>Its mineral royalties have grown from less than $700 million in 2000-01 to more than $11 billion a year.</w:t>
      </w:r>
    </w:p>
    <w:p w14:paraId="22FC255D" w14:textId="77777777" w:rsidR="000A2046" w:rsidRPr="00426935" w:rsidRDefault="760E1177" w:rsidP="347C363D">
      <w:pPr>
        <w:pStyle w:val="ListParagraph"/>
        <w:numPr>
          <w:ilvl w:val="0"/>
          <w:numId w:val="3"/>
        </w:numPr>
        <w:spacing w:after="80" w:line="290" w:lineRule="auto"/>
        <w:rPr>
          <w:rFonts w:ascii="Calibri" w:hAnsi="Calibri" w:cs="Calibri"/>
          <w:lang w:val="en-US"/>
        </w:rPr>
      </w:pPr>
      <w:r w:rsidRPr="347C363D">
        <w:rPr>
          <w:rFonts w:ascii="Calibri" w:hAnsi="Calibri" w:cs="Calibri"/>
          <w:lang w:val="en-US"/>
        </w:rPr>
        <w:t xml:space="preserve">According to the ABS, the WA Government has recorded budget surpluses </w:t>
      </w:r>
      <w:proofErr w:type="spellStart"/>
      <w:r w:rsidRPr="347C363D">
        <w:rPr>
          <w:rFonts w:ascii="Calibri" w:hAnsi="Calibri" w:cs="Calibri"/>
          <w:lang w:val="en-US"/>
        </w:rPr>
        <w:t>totalling</w:t>
      </w:r>
      <w:proofErr w:type="spellEnd"/>
      <w:r w:rsidRPr="347C363D">
        <w:rPr>
          <w:rFonts w:ascii="Calibri" w:hAnsi="Calibri" w:cs="Calibri"/>
          <w:lang w:val="en-US"/>
        </w:rPr>
        <w:t xml:space="preserve"> $26.1 billion since 2018-19. Its net debt has fallen while every other state’s net debt has increased.</w:t>
      </w:r>
    </w:p>
    <w:p w14:paraId="3E3220ED" w14:textId="77777777" w:rsidR="000A2046" w:rsidRPr="00426935" w:rsidRDefault="760E1177" w:rsidP="347C363D">
      <w:pPr>
        <w:pStyle w:val="ListParagraph"/>
        <w:numPr>
          <w:ilvl w:val="0"/>
          <w:numId w:val="3"/>
        </w:numPr>
        <w:spacing w:after="80" w:line="290" w:lineRule="auto"/>
        <w:rPr>
          <w:rFonts w:ascii="Calibri" w:hAnsi="Calibri" w:cs="Calibri"/>
          <w:lang w:val="en-US"/>
        </w:rPr>
      </w:pPr>
      <w:r w:rsidRPr="347C363D">
        <w:rPr>
          <w:rFonts w:ascii="Calibri" w:hAnsi="Calibri" w:cs="Calibri"/>
          <w:lang w:val="en-US"/>
        </w:rPr>
        <w:t>Over the next four years WA is expected to record surpluses averaging $2.6 billion a year – more than Victoria and South Australia combined.</w:t>
      </w:r>
    </w:p>
    <w:p w14:paraId="2425EA28"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The 2018 changes are now tasking the rest of the country with funding better services and lower taxes in one state that least needs that help. </w:t>
      </w:r>
    </w:p>
    <w:p w14:paraId="5D94D400" w14:textId="77777777" w:rsidR="000A2046" w:rsidRDefault="000A2046" w:rsidP="000A2046">
      <w:pPr>
        <w:spacing w:after="140" w:line="300" w:lineRule="auto"/>
        <w:rPr>
          <w:rFonts w:ascii="Calibri" w:hAnsi="Calibri" w:cs="Calibri"/>
          <w:sz w:val="22"/>
          <w:szCs w:val="22"/>
        </w:rPr>
      </w:pPr>
    </w:p>
    <w:p w14:paraId="5E0957F8" w14:textId="77777777" w:rsidR="005B642D" w:rsidRDefault="005B642D" w:rsidP="000A2046">
      <w:pPr>
        <w:spacing w:after="140" w:line="300" w:lineRule="auto"/>
        <w:rPr>
          <w:rFonts w:ascii="Calibri" w:hAnsi="Calibri" w:cs="Calibri"/>
          <w:sz w:val="22"/>
          <w:szCs w:val="22"/>
        </w:rPr>
      </w:pPr>
    </w:p>
    <w:p w14:paraId="0F0FE976" w14:textId="77777777" w:rsidR="005B642D" w:rsidRDefault="005B642D" w:rsidP="000A2046">
      <w:pPr>
        <w:spacing w:after="140" w:line="300" w:lineRule="auto"/>
        <w:rPr>
          <w:rFonts w:ascii="Calibri" w:hAnsi="Calibri" w:cs="Calibri"/>
          <w:sz w:val="22"/>
          <w:szCs w:val="22"/>
        </w:rPr>
      </w:pPr>
    </w:p>
    <w:p w14:paraId="62633EEE" w14:textId="77777777" w:rsidR="005B642D" w:rsidRPr="00426935" w:rsidRDefault="005B642D" w:rsidP="000A2046">
      <w:pPr>
        <w:spacing w:after="140" w:line="300" w:lineRule="auto"/>
        <w:rPr>
          <w:rFonts w:ascii="Calibri" w:hAnsi="Calibri" w:cs="Calibri"/>
          <w:sz w:val="22"/>
          <w:szCs w:val="22"/>
        </w:rPr>
      </w:pPr>
    </w:p>
    <w:p w14:paraId="3195EB2D" w14:textId="77777777" w:rsidR="000A2046" w:rsidRPr="005B642D" w:rsidRDefault="000A2046" w:rsidP="000A2046">
      <w:pPr>
        <w:pStyle w:val="Heading2"/>
        <w:spacing w:before="260" w:after="120"/>
        <w:rPr>
          <w:b w:val="0"/>
          <w:bCs w:val="0"/>
          <w:sz w:val="22"/>
          <w:szCs w:val="22"/>
        </w:rPr>
      </w:pPr>
      <w:r w:rsidRPr="005B642D">
        <w:rPr>
          <w:sz w:val="22"/>
          <w:szCs w:val="22"/>
        </w:rPr>
        <w:lastRenderedPageBreak/>
        <w:t xml:space="preserve">The cost to Kooyong, Victorians and Australian taxpayers </w:t>
      </w:r>
    </w:p>
    <w:p w14:paraId="5F6BFBC1"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Since 2018, Western Australia has received an additional $22.4 billion in GST distributions. </w:t>
      </w:r>
    </w:p>
    <w:p w14:paraId="4CA61638"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Since the GST began, Victoria has received around $31 billion less than its population share.</w:t>
      </w:r>
    </w:p>
    <w:p w14:paraId="1AAF4CE5" w14:textId="2EDEED0D"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Absent the No Worse Off guarantee Victoria would have lost $4.3 billion over the past four years - around $1.8 billion in this year alone. </w:t>
      </w:r>
    </w:p>
    <w:p w14:paraId="5225ABE8"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GST is the largest untied revenue source available to the Victorian Government. It helps pay for Victoria’s hospitals, schools, public transport and community services. When the guarantee ends funding for those resources and infrastructure will have to be found from higher services or greater state debt unless the services are cut. </w:t>
      </w:r>
    </w:p>
    <w:p w14:paraId="0A40BE66"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The national shortfall that the guarantee is currently covering – around $5.1 billion in 2025-26 – is equivalent to the salaries of more than 35,000 nurses or teachers for a year.</w:t>
      </w:r>
    </w:p>
    <w:p w14:paraId="70D4FDBB"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The guarantee is paid from consolidated revenue and now expected to cost the federal budget close to $60 billion by 2029-30 (as compared to the original estimate of around $8 billion). At the same time our federal budget is forecast to remain in deficit for a decade. </w:t>
      </w:r>
    </w:p>
    <w:p w14:paraId="3616F55B" w14:textId="27FC29A4" w:rsidR="000A2046" w:rsidRPr="00426935" w:rsidRDefault="006A27D1" w:rsidP="000A2046">
      <w:pPr>
        <w:spacing w:after="140" w:line="300" w:lineRule="auto"/>
        <w:rPr>
          <w:rFonts w:ascii="Calibri" w:hAnsi="Calibri" w:cs="Calibri"/>
          <w:sz w:val="22"/>
          <w:szCs w:val="22"/>
        </w:rPr>
      </w:pPr>
      <w:r>
        <w:rPr>
          <w:rFonts w:ascii="Calibri" w:hAnsi="Calibri" w:cs="Calibri"/>
          <w:sz w:val="22"/>
          <w:szCs w:val="22"/>
        </w:rPr>
        <w:t>Victor</w:t>
      </w:r>
      <w:r w:rsidR="000A2046" w:rsidRPr="00426935">
        <w:rPr>
          <w:rFonts w:ascii="Calibri" w:hAnsi="Calibri" w:cs="Calibri"/>
          <w:sz w:val="22"/>
          <w:szCs w:val="22"/>
        </w:rPr>
        <w:t>ians are being told there is no money for Medicare, for housing, or for relief from bracket creep. Every dollar spent sustaining this arrangement is a dollar not available for those priorities.</w:t>
      </w:r>
    </w:p>
    <w:p w14:paraId="29CF78CE" w14:textId="77777777" w:rsidR="000A2046" w:rsidRPr="005B642D" w:rsidRDefault="000A2046" w:rsidP="000A2046">
      <w:pPr>
        <w:pStyle w:val="Heading2"/>
        <w:spacing w:before="260" w:after="120"/>
        <w:rPr>
          <w:sz w:val="22"/>
          <w:szCs w:val="22"/>
        </w:rPr>
      </w:pPr>
      <w:r w:rsidRPr="005B642D">
        <w:rPr>
          <w:sz w:val="22"/>
          <w:szCs w:val="22"/>
        </w:rPr>
        <w:t>Response to the Commission’s interim options</w:t>
      </w:r>
    </w:p>
    <w:p w14:paraId="175A3B06"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I support the Commission’s first option - a return to the pre-2018 system with the Commonwealth Grants Commission addressing any dominant-state effects. This option restores a single, consistent set of rules applying to all states, ends an uncapped cost to federal budget, and returns decisions on the distribution of the GST to an independent expert body.</w:t>
      </w:r>
    </w:p>
    <w:p w14:paraId="7B9713E4"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The second option proposed by the Commission – returning to the pre-2018 system with direct, transparent payments for dominant-state effects – is a reasonable alternative only if those payments are publicly reported and subject to regular review.</w:t>
      </w:r>
    </w:p>
    <w:p w14:paraId="6DE3134D"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 If the Government insists on retaining the 2018 framework, the No Worse Off guarantee must be made permanent. The other states cannot be asked to absorb a loss they did not cause. </w:t>
      </w:r>
    </w:p>
    <w:p w14:paraId="3B686C61"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Whichever path is chosen, the transition must be announced as soon as possible, such as </w:t>
      </w:r>
      <w:proofErr w:type="gramStart"/>
      <w:r w:rsidRPr="00426935">
        <w:rPr>
          <w:rFonts w:ascii="Calibri" w:hAnsi="Calibri" w:cs="Calibri"/>
          <w:sz w:val="22"/>
          <w:szCs w:val="22"/>
        </w:rPr>
        <w:t>to provide</w:t>
      </w:r>
      <w:proofErr w:type="gramEnd"/>
      <w:r w:rsidRPr="00426935">
        <w:rPr>
          <w:rFonts w:ascii="Calibri" w:hAnsi="Calibri" w:cs="Calibri"/>
          <w:sz w:val="22"/>
          <w:szCs w:val="22"/>
        </w:rPr>
        <w:t xml:space="preserve"> certainty for the states in framing budgets beyond 2029-30. </w:t>
      </w:r>
    </w:p>
    <w:p w14:paraId="3012A55F"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I suggest that the Commission recommends further work, potentially with the Grants Commission, on whether equalisation could be achieved using a smaller set of readily available indicators. Revenue capacity might, for example, be proxied by gross state product per head. Expenditure needs might be proxied by the share of each population aged over 65, under 16, Indigenous, or living with disability. A simpler system would be more predictable for the states and more comprehensible to the public – and more resistant to politically-motivated subversion. </w:t>
      </w:r>
    </w:p>
    <w:p w14:paraId="0904CADC" w14:textId="77777777" w:rsidR="005B642D" w:rsidRDefault="005B642D" w:rsidP="000A2046">
      <w:pPr>
        <w:spacing w:after="140" w:line="300" w:lineRule="auto"/>
        <w:rPr>
          <w:rFonts w:ascii="Calibri" w:hAnsi="Calibri" w:cs="Calibri"/>
          <w:b/>
          <w:bCs/>
          <w:color w:val="1F3864"/>
          <w:sz w:val="22"/>
          <w:szCs w:val="22"/>
        </w:rPr>
      </w:pPr>
    </w:p>
    <w:p w14:paraId="17D41E64" w14:textId="77777777" w:rsidR="005B642D" w:rsidRDefault="005B642D" w:rsidP="000A2046">
      <w:pPr>
        <w:spacing w:after="140" w:line="300" w:lineRule="auto"/>
        <w:rPr>
          <w:rFonts w:ascii="Calibri" w:hAnsi="Calibri" w:cs="Calibri"/>
          <w:b/>
          <w:bCs/>
          <w:color w:val="1F3864"/>
          <w:sz w:val="22"/>
          <w:szCs w:val="22"/>
        </w:rPr>
      </w:pPr>
    </w:p>
    <w:p w14:paraId="4369E00D" w14:textId="77777777" w:rsidR="005B642D" w:rsidRDefault="005B642D" w:rsidP="000A2046">
      <w:pPr>
        <w:spacing w:after="140" w:line="300" w:lineRule="auto"/>
        <w:rPr>
          <w:rFonts w:ascii="Calibri" w:hAnsi="Calibri" w:cs="Calibri"/>
          <w:b/>
          <w:bCs/>
          <w:color w:val="1F3864"/>
          <w:sz w:val="22"/>
          <w:szCs w:val="22"/>
        </w:rPr>
      </w:pPr>
    </w:p>
    <w:p w14:paraId="565F0913" w14:textId="3F9E9FEB" w:rsidR="000A2046" w:rsidRPr="005B642D" w:rsidRDefault="000A2046" w:rsidP="000A2046">
      <w:pPr>
        <w:spacing w:after="140" w:line="300" w:lineRule="auto"/>
        <w:rPr>
          <w:rFonts w:ascii="Calibri" w:hAnsi="Calibri" w:cs="Calibri"/>
          <w:sz w:val="22"/>
          <w:szCs w:val="22"/>
        </w:rPr>
      </w:pPr>
      <w:r w:rsidRPr="005B642D">
        <w:rPr>
          <w:rFonts w:ascii="Calibri" w:hAnsi="Calibri" w:cs="Calibri"/>
          <w:b/>
          <w:bCs/>
          <w:sz w:val="22"/>
          <w:szCs w:val="22"/>
        </w:rPr>
        <w:lastRenderedPageBreak/>
        <w:t>The integrity of the process</w:t>
      </w:r>
    </w:p>
    <w:p w14:paraId="16EBF665"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I note with concern that the Prime Minister has already ruled out any change to the Western Australian arrangements before the Commission has delivered its final report, and that the Commission and its staff have been subjected to unwarranted and unjustifiable personal abuse by the Premier of Western Australia.</w:t>
      </w:r>
    </w:p>
    <w:p w14:paraId="75584805"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The Parliament mandated this review in the 2018 legislation. It needs the Commission’s frank and fearless advice. I welcome the Commission’s statement that its process will not be influenced by political commentary, and I urge it to report without fear or favour.</w:t>
      </w:r>
    </w:p>
    <w:p w14:paraId="56CFE505" w14:textId="77777777" w:rsidR="000A2046" w:rsidRPr="005B642D" w:rsidRDefault="000A2046" w:rsidP="000A2046">
      <w:pPr>
        <w:pStyle w:val="Heading2"/>
        <w:spacing w:before="260" w:after="120"/>
        <w:rPr>
          <w:sz w:val="22"/>
          <w:szCs w:val="22"/>
        </w:rPr>
      </w:pPr>
      <w:r w:rsidRPr="005B642D">
        <w:rPr>
          <w:sz w:val="22"/>
          <w:szCs w:val="22"/>
        </w:rPr>
        <w:t>Conclusion</w:t>
      </w:r>
    </w:p>
    <w:p w14:paraId="0091DEBE"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The 2018 Morrison GST deal was made to win seats, not to improve our federation. It has cost almost five times what was promised, has made the richest state in the nation richer at the expense of every other state and every federal taxpayer, and has undermined a principle that has served Australia well for ninety years.</w:t>
      </w:r>
    </w:p>
    <w:p w14:paraId="771ABE0A"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It should not be extended by a politically motivated Albanese government. </w:t>
      </w:r>
    </w:p>
    <w:p w14:paraId="57F98D7A"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We need to restore GST distribution which treats every Australian fairly, wherever they live.</w:t>
      </w:r>
    </w:p>
    <w:p w14:paraId="1BB572D7" w14:textId="77777777" w:rsidR="000A2046" w:rsidRPr="00426935" w:rsidRDefault="000A2046" w:rsidP="000A2046">
      <w:pPr>
        <w:spacing w:after="140" w:line="300" w:lineRule="auto"/>
        <w:rPr>
          <w:rFonts w:ascii="Calibri" w:hAnsi="Calibri" w:cs="Calibri"/>
          <w:sz w:val="22"/>
          <w:szCs w:val="22"/>
        </w:rPr>
      </w:pPr>
      <w:r w:rsidRPr="00426935">
        <w:rPr>
          <w:rFonts w:ascii="Calibri" w:hAnsi="Calibri" w:cs="Calibri"/>
          <w:sz w:val="22"/>
          <w:szCs w:val="22"/>
        </w:rPr>
        <w:t xml:space="preserve">I thank the Commission for its work and for the opportunity to provide this submission. </w:t>
      </w:r>
    </w:p>
    <w:p w14:paraId="6B081A83" w14:textId="60A8F94C" w:rsidR="000A2046" w:rsidRPr="00426935" w:rsidRDefault="000A2046" w:rsidP="000A2046">
      <w:pPr>
        <w:spacing w:after="140" w:line="300" w:lineRule="auto"/>
        <w:rPr>
          <w:rFonts w:ascii="Calibri" w:hAnsi="Calibri" w:cs="Calibri"/>
          <w:sz w:val="22"/>
          <w:szCs w:val="22"/>
        </w:rPr>
      </w:pPr>
    </w:p>
    <w:p w14:paraId="30EE0B7A" w14:textId="77777777" w:rsidR="000A2046" w:rsidRPr="00426935" w:rsidRDefault="000A2046" w:rsidP="000A2046">
      <w:pPr>
        <w:spacing w:before="300"/>
        <w:rPr>
          <w:rFonts w:ascii="Calibri" w:hAnsi="Calibri" w:cs="Calibri"/>
          <w:sz w:val="22"/>
          <w:szCs w:val="22"/>
        </w:rPr>
      </w:pPr>
      <w:r w:rsidRPr="00426935">
        <w:rPr>
          <w:rFonts w:ascii="Calibri" w:hAnsi="Calibri" w:cs="Calibri"/>
          <w:b/>
          <w:bCs/>
          <w:sz w:val="22"/>
          <w:szCs w:val="22"/>
        </w:rPr>
        <w:t>Dr Monique Ryan MP</w:t>
      </w:r>
    </w:p>
    <w:p w14:paraId="373B12C6" w14:textId="77777777" w:rsidR="000A2046" w:rsidRPr="00426935" w:rsidRDefault="000A2046" w:rsidP="000A2046">
      <w:pPr>
        <w:rPr>
          <w:rFonts w:ascii="Calibri" w:hAnsi="Calibri" w:cs="Calibri"/>
          <w:sz w:val="22"/>
          <w:szCs w:val="22"/>
        </w:rPr>
      </w:pPr>
      <w:r w:rsidRPr="00426935">
        <w:rPr>
          <w:rFonts w:ascii="Calibri" w:hAnsi="Calibri" w:cs="Calibri"/>
          <w:sz w:val="22"/>
          <w:szCs w:val="22"/>
        </w:rPr>
        <w:t>Independent Member for Kooyong</w:t>
      </w:r>
    </w:p>
    <w:p w14:paraId="7C9781EE" w14:textId="77777777" w:rsidR="000A2046" w:rsidRPr="00426935" w:rsidRDefault="000A2046" w:rsidP="005B6DC6">
      <w:pPr>
        <w:pStyle w:val="Default"/>
        <w:spacing w:after="120"/>
        <w:rPr>
          <w:rFonts w:ascii="Calibri" w:hAnsi="Calibri" w:cs="Calibri"/>
          <w:sz w:val="22"/>
          <w:szCs w:val="22"/>
          <w:lang w:val="en-AU"/>
        </w:rPr>
      </w:pPr>
    </w:p>
    <w:p w14:paraId="33AEE415" w14:textId="77777777" w:rsidR="000A2046" w:rsidRPr="00426935" w:rsidRDefault="000A2046" w:rsidP="005B6DC6">
      <w:pPr>
        <w:pStyle w:val="Default"/>
        <w:spacing w:after="120"/>
        <w:rPr>
          <w:rFonts w:ascii="Calibri" w:hAnsi="Calibri" w:cs="Calibri"/>
          <w:sz w:val="22"/>
          <w:szCs w:val="22"/>
          <w:lang w:val="en-AU"/>
        </w:rPr>
      </w:pPr>
    </w:p>
    <w:p w14:paraId="1AF81C1A" w14:textId="77777777" w:rsidR="000A2046" w:rsidRPr="00426935" w:rsidRDefault="000A2046" w:rsidP="005B6DC6">
      <w:pPr>
        <w:pStyle w:val="Default"/>
        <w:spacing w:after="120"/>
        <w:rPr>
          <w:rFonts w:ascii="Calibri" w:hAnsi="Calibri" w:cs="Calibri"/>
          <w:sz w:val="22"/>
          <w:szCs w:val="22"/>
          <w:lang w:val="en-AU"/>
        </w:rPr>
      </w:pPr>
    </w:p>
    <w:p w14:paraId="56716286" w14:textId="1C1746C2" w:rsidR="00E36FF1" w:rsidRPr="00426935" w:rsidRDefault="00E36FF1" w:rsidP="005B6DC6">
      <w:pPr>
        <w:pStyle w:val="Default"/>
        <w:spacing w:after="120"/>
        <w:rPr>
          <w:rFonts w:ascii="Calibri" w:hAnsi="Calibri" w:cs="Calibri"/>
          <w:sz w:val="22"/>
          <w:szCs w:val="22"/>
          <w:lang w:val="en-AU"/>
        </w:rPr>
      </w:pPr>
    </w:p>
    <w:sectPr w:rsidR="00E36FF1" w:rsidRPr="00426935" w:rsidSect="00785B45">
      <w:headerReference w:type="default" r:id="rId12"/>
      <w:footerReference w:type="default" r:id="rId13"/>
      <w:headerReference w:type="first" r:id="rId14"/>
      <w:footerReference w:type="first" r:id="rId15"/>
      <w:pgSz w:w="11906" w:h="16838"/>
      <w:pgMar w:top="720" w:right="720" w:bottom="720" w:left="720" w:header="850" w:footer="28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510F0" w14:textId="77777777" w:rsidR="003379CE" w:rsidRDefault="003379CE">
      <w:r>
        <w:separator/>
      </w:r>
    </w:p>
  </w:endnote>
  <w:endnote w:type="continuationSeparator" w:id="0">
    <w:p w14:paraId="0A4EE50C" w14:textId="77777777" w:rsidR="003379CE" w:rsidRDefault="003379CE">
      <w:r>
        <w:continuationSeparator/>
      </w:r>
    </w:p>
  </w:endnote>
  <w:endnote w:type="continuationNotice" w:id="1">
    <w:p w14:paraId="492E0954" w14:textId="77777777" w:rsidR="003379CE" w:rsidRDefault="003379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Outfit Regular">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34BE" w14:textId="0FDF836F" w:rsidR="00D13F43" w:rsidRDefault="00D13F43">
    <w:pPr>
      <w:pStyle w:val="Footer"/>
      <w:pBdr>
        <w:top w:val="single" w:sz="4" w:space="1" w:color="D9D9D9" w:themeColor="background1" w:themeShade="D9"/>
      </w:pBdr>
      <w:jc w:val="right"/>
    </w:pPr>
  </w:p>
  <w:p w14:paraId="44077F44" w14:textId="07E3AFF6" w:rsidR="00D13F43" w:rsidRPr="00723588" w:rsidRDefault="00D13F43" w:rsidP="0072358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6D5F" w14:textId="526FD1D1" w:rsidR="00AA2E73" w:rsidRDefault="001424C5">
    <w:pPr>
      <w:pStyle w:val="Footer"/>
    </w:pPr>
    <w:r>
      <w:rPr>
        <w:noProof/>
      </w:rPr>
      <w:drawing>
        <wp:inline distT="0" distB="0" distL="0" distR="0" wp14:anchorId="26D12D12" wp14:editId="1898A61B">
          <wp:extent cx="6120130" cy="1149350"/>
          <wp:effectExtent l="0" t="0" r="0" b="0"/>
          <wp:docPr id="4" name="Picture 4" descr="A picture containing background pattern&#10;&#10;Description automatically generated">
            <a:extLst xmlns:a="http://schemas.openxmlformats.org/drawingml/2006/main">
              <a:ext uri="{FF2B5EF4-FFF2-40B4-BE49-F238E27FC236}">
                <a16:creationId xmlns:a16="http://schemas.microsoft.com/office/drawing/2014/main" id="{4EC92860-3FEF-4685-B734-51D81A582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120130" cy="11493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9B4FB" w14:textId="77777777" w:rsidR="003379CE" w:rsidRDefault="003379CE">
      <w:r>
        <w:separator/>
      </w:r>
    </w:p>
  </w:footnote>
  <w:footnote w:type="continuationSeparator" w:id="0">
    <w:p w14:paraId="42C8AF76" w14:textId="77777777" w:rsidR="003379CE" w:rsidRDefault="003379CE">
      <w:r>
        <w:continuationSeparator/>
      </w:r>
    </w:p>
  </w:footnote>
  <w:footnote w:type="continuationNotice" w:id="1">
    <w:p w14:paraId="2595D30D" w14:textId="77777777" w:rsidR="003379CE" w:rsidRDefault="003379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1A547C5" w14:paraId="71D9745C" w14:textId="77777777" w:rsidTr="51A547C5">
      <w:trPr>
        <w:trHeight w:val="300"/>
      </w:trPr>
      <w:tc>
        <w:tcPr>
          <w:tcW w:w="3210" w:type="dxa"/>
        </w:tcPr>
        <w:p w14:paraId="43928FAC" w14:textId="576464CA" w:rsidR="51A547C5" w:rsidRDefault="51A547C5" w:rsidP="51A547C5">
          <w:pPr>
            <w:pStyle w:val="Header"/>
            <w:ind w:left="-115"/>
          </w:pPr>
        </w:p>
      </w:tc>
      <w:tc>
        <w:tcPr>
          <w:tcW w:w="3210" w:type="dxa"/>
        </w:tcPr>
        <w:p w14:paraId="6C1A3A36" w14:textId="48F6D609" w:rsidR="51A547C5" w:rsidRDefault="51A547C5" w:rsidP="51A547C5">
          <w:pPr>
            <w:pStyle w:val="Header"/>
            <w:jc w:val="center"/>
          </w:pPr>
        </w:p>
      </w:tc>
      <w:tc>
        <w:tcPr>
          <w:tcW w:w="3210" w:type="dxa"/>
        </w:tcPr>
        <w:p w14:paraId="4EEE7269" w14:textId="6D476722" w:rsidR="51A547C5" w:rsidRDefault="51A547C5" w:rsidP="51A547C5">
          <w:pPr>
            <w:pStyle w:val="Header"/>
            <w:ind w:right="-115"/>
            <w:jc w:val="right"/>
          </w:pPr>
        </w:p>
      </w:tc>
    </w:tr>
  </w:tbl>
  <w:p w14:paraId="75AB3002" w14:textId="7221853C" w:rsidR="51A547C5" w:rsidRDefault="51A547C5" w:rsidP="51A547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1A547C5" w14:paraId="3A5DC96B" w14:textId="77777777" w:rsidTr="51A547C5">
      <w:trPr>
        <w:trHeight w:val="300"/>
      </w:trPr>
      <w:tc>
        <w:tcPr>
          <w:tcW w:w="3210" w:type="dxa"/>
        </w:tcPr>
        <w:p w14:paraId="57A80A20" w14:textId="040336D4" w:rsidR="51A547C5" w:rsidRDefault="51A547C5" w:rsidP="51A547C5">
          <w:pPr>
            <w:pStyle w:val="Header"/>
            <w:ind w:left="-115"/>
          </w:pPr>
        </w:p>
      </w:tc>
      <w:tc>
        <w:tcPr>
          <w:tcW w:w="3210" w:type="dxa"/>
        </w:tcPr>
        <w:p w14:paraId="3BE614EF" w14:textId="5B078D51" w:rsidR="51A547C5" w:rsidRDefault="51A547C5" w:rsidP="51A547C5">
          <w:pPr>
            <w:pStyle w:val="Header"/>
            <w:jc w:val="center"/>
          </w:pPr>
        </w:p>
      </w:tc>
      <w:tc>
        <w:tcPr>
          <w:tcW w:w="3210" w:type="dxa"/>
        </w:tcPr>
        <w:p w14:paraId="1D19B756" w14:textId="2C1173BC" w:rsidR="51A547C5" w:rsidRDefault="51A547C5" w:rsidP="51A547C5">
          <w:pPr>
            <w:pStyle w:val="Header"/>
            <w:ind w:right="-115"/>
            <w:jc w:val="right"/>
          </w:pPr>
        </w:p>
      </w:tc>
    </w:tr>
  </w:tbl>
  <w:p w14:paraId="365EEFE9" w14:textId="343E69D9" w:rsidR="51A547C5" w:rsidRDefault="51A547C5" w:rsidP="51A547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72E5"/>
    <w:multiLevelType w:val="multilevel"/>
    <w:tmpl w:val="3DA40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95414"/>
    <w:multiLevelType w:val="multilevel"/>
    <w:tmpl w:val="74B8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A0E3D"/>
    <w:multiLevelType w:val="multilevel"/>
    <w:tmpl w:val="C5642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A5B49"/>
    <w:multiLevelType w:val="hybridMultilevel"/>
    <w:tmpl w:val="787CA28A"/>
    <w:lvl w:ilvl="0" w:tplc="F3F81114">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432ADB"/>
    <w:multiLevelType w:val="hybridMultilevel"/>
    <w:tmpl w:val="AD508C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EAC49C0"/>
    <w:multiLevelType w:val="hybridMultilevel"/>
    <w:tmpl w:val="2CB46F48"/>
    <w:lvl w:ilvl="0" w:tplc="9B86053E">
      <w:start w:val="1"/>
      <w:numFmt w:val="bullet"/>
      <w:lvlText w:val="•"/>
      <w:lvlJc w:val="left"/>
      <w:pPr>
        <w:ind w:left="540" w:hanging="300"/>
      </w:pPr>
    </w:lvl>
    <w:lvl w:ilvl="1" w:tplc="8A4C008E">
      <w:numFmt w:val="decimal"/>
      <w:lvlText w:val=""/>
      <w:lvlJc w:val="left"/>
    </w:lvl>
    <w:lvl w:ilvl="2" w:tplc="9FC24C0E">
      <w:numFmt w:val="decimal"/>
      <w:lvlText w:val=""/>
      <w:lvlJc w:val="left"/>
    </w:lvl>
    <w:lvl w:ilvl="3" w:tplc="48EAC8F4">
      <w:numFmt w:val="decimal"/>
      <w:lvlText w:val=""/>
      <w:lvlJc w:val="left"/>
    </w:lvl>
    <w:lvl w:ilvl="4" w:tplc="F138AC46">
      <w:numFmt w:val="decimal"/>
      <w:lvlText w:val=""/>
      <w:lvlJc w:val="left"/>
    </w:lvl>
    <w:lvl w:ilvl="5" w:tplc="9B14FCEA">
      <w:numFmt w:val="decimal"/>
      <w:lvlText w:val=""/>
      <w:lvlJc w:val="left"/>
    </w:lvl>
    <w:lvl w:ilvl="6" w:tplc="277634FE">
      <w:numFmt w:val="decimal"/>
      <w:lvlText w:val=""/>
      <w:lvlJc w:val="left"/>
    </w:lvl>
    <w:lvl w:ilvl="7" w:tplc="3A66A524">
      <w:numFmt w:val="decimal"/>
      <w:lvlText w:val=""/>
      <w:lvlJc w:val="left"/>
    </w:lvl>
    <w:lvl w:ilvl="8" w:tplc="EDBE40BA">
      <w:numFmt w:val="decimal"/>
      <w:lvlText w:val=""/>
      <w:lvlJc w:val="left"/>
    </w:lvl>
  </w:abstractNum>
  <w:abstractNum w:abstractNumId="6" w15:restartNumberingAfterBreak="0">
    <w:nsid w:val="36E34E09"/>
    <w:multiLevelType w:val="hybridMultilevel"/>
    <w:tmpl w:val="D1928B00"/>
    <w:lvl w:ilvl="0" w:tplc="FB6AB300">
      <w:start w:val="1"/>
      <w:numFmt w:val="decimal"/>
      <w:lvlText w:val="%1."/>
      <w:lvlJc w:val="left"/>
      <w:pPr>
        <w:ind w:left="540" w:hanging="360"/>
      </w:pPr>
    </w:lvl>
    <w:lvl w:ilvl="1" w:tplc="A5C037D4">
      <w:numFmt w:val="decimal"/>
      <w:lvlText w:val=""/>
      <w:lvlJc w:val="left"/>
    </w:lvl>
    <w:lvl w:ilvl="2" w:tplc="4072D386">
      <w:numFmt w:val="decimal"/>
      <w:lvlText w:val=""/>
      <w:lvlJc w:val="left"/>
    </w:lvl>
    <w:lvl w:ilvl="3" w:tplc="5B26398C">
      <w:numFmt w:val="decimal"/>
      <w:lvlText w:val=""/>
      <w:lvlJc w:val="left"/>
    </w:lvl>
    <w:lvl w:ilvl="4" w:tplc="2850CEBC">
      <w:numFmt w:val="decimal"/>
      <w:lvlText w:val=""/>
      <w:lvlJc w:val="left"/>
    </w:lvl>
    <w:lvl w:ilvl="5" w:tplc="9BB04F5C">
      <w:numFmt w:val="decimal"/>
      <w:lvlText w:val=""/>
      <w:lvlJc w:val="left"/>
    </w:lvl>
    <w:lvl w:ilvl="6" w:tplc="15FE1B8A">
      <w:numFmt w:val="decimal"/>
      <w:lvlText w:val=""/>
      <w:lvlJc w:val="left"/>
    </w:lvl>
    <w:lvl w:ilvl="7" w:tplc="DEBA1E88">
      <w:numFmt w:val="decimal"/>
      <w:lvlText w:val=""/>
      <w:lvlJc w:val="left"/>
    </w:lvl>
    <w:lvl w:ilvl="8" w:tplc="CBFC03A8">
      <w:numFmt w:val="decimal"/>
      <w:lvlText w:val=""/>
      <w:lvlJc w:val="left"/>
    </w:lvl>
  </w:abstractNum>
  <w:abstractNum w:abstractNumId="7" w15:restartNumberingAfterBreak="0">
    <w:nsid w:val="3A3716EF"/>
    <w:multiLevelType w:val="multilevel"/>
    <w:tmpl w:val="22268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AB396A"/>
    <w:multiLevelType w:val="hybridMultilevel"/>
    <w:tmpl w:val="B43C1558"/>
    <w:lvl w:ilvl="0" w:tplc="EC7AAC1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6BE4C1C"/>
    <w:multiLevelType w:val="multilevel"/>
    <w:tmpl w:val="24E86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D236F0"/>
    <w:multiLevelType w:val="multilevel"/>
    <w:tmpl w:val="C108F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3139713">
    <w:abstractNumId w:val="0"/>
  </w:num>
  <w:num w:numId="2" w16cid:durableId="1302227048">
    <w:abstractNumId w:val="4"/>
  </w:num>
  <w:num w:numId="3" w16cid:durableId="1560942453">
    <w:abstractNumId w:val="5"/>
    <w:lvlOverride w:ilvl="0">
      <w:startOverride w:val="1"/>
    </w:lvlOverride>
  </w:num>
  <w:num w:numId="4" w16cid:durableId="1595476596">
    <w:abstractNumId w:val="7"/>
  </w:num>
  <w:num w:numId="5" w16cid:durableId="2019960106">
    <w:abstractNumId w:val="3"/>
  </w:num>
  <w:num w:numId="6" w16cid:durableId="273102818">
    <w:abstractNumId w:val="9"/>
  </w:num>
  <w:num w:numId="7" w16cid:durableId="371613642">
    <w:abstractNumId w:val="10"/>
  </w:num>
  <w:num w:numId="8" w16cid:durableId="457795088">
    <w:abstractNumId w:val="1"/>
  </w:num>
  <w:num w:numId="9" w16cid:durableId="69160460">
    <w:abstractNumId w:val="8"/>
  </w:num>
  <w:num w:numId="10" w16cid:durableId="785391595">
    <w:abstractNumId w:val="2"/>
  </w:num>
  <w:num w:numId="11" w16cid:durableId="97360823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AF"/>
    <w:rsid w:val="00004182"/>
    <w:rsid w:val="000178EB"/>
    <w:rsid w:val="00017ED4"/>
    <w:rsid w:val="000204DE"/>
    <w:rsid w:val="0002374F"/>
    <w:rsid w:val="00024A03"/>
    <w:rsid w:val="00024F06"/>
    <w:rsid w:val="00025C34"/>
    <w:rsid w:val="000260D2"/>
    <w:rsid w:val="00043E20"/>
    <w:rsid w:val="000478E9"/>
    <w:rsid w:val="00047AB1"/>
    <w:rsid w:val="00050079"/>
    <w:rsid w:val="00051870"/>
    <w:rsid w:val="0005235C"/>
    <w:rsid w:val="00057834"/>
    <w:rsid w:val="0007124A"/>
    <w:rsid w:val="000723AD"/>
    <w:rsid w:val="00072AAE"/>
    <w:rsid w:val="00073651"/>
    <w:rsid w:val="00074D60"/>
    <w:rsid w:val="00076677"/>
    <w:rsid w:val="00080E94"/>
    <w:rsid w:val="0008505E"/>
    <w:rsid w:val="0008751F"/>
    <w:rsid w:val="000915F8"/>
    <w:rsid w:val="0009168C"/>
    <w:rsid w:val="00094312"/>
    <w:rsid w:val="00094D46"/>
    <w:rsid w:val="00096DF4"/>
    <w:rsid w:val="000A1EA6"/>
    <w:rsid w:val="000A2046"/>
    <w:rsid w:val="000A29E9"/>
    <w:rsid w:val="000A4337"/>
    <w:rsid w:val="000B3668"/>
    <w:rsid w:val="000B4159"/>
    <w:rsid w:val="000B4B9F"/>
    <w:rsid w:val="000C018F"/>
    <w:rsid w:val="000C0B46"/>
    <w:rsid w:val="000C6566"/>
    <w:rsid w:val="000C6C64"/>
    <w:rsid w:val="000D0A69"/>
    <w:rsid w:val="000D581B"/>
    <w:rsid w:val="000E49A6"/>
    <w:rsid w:val="000E501D"/>
    <w:rsid w:val="000F21F2"/>
    <w:rsid w:val="00103357"/>
    <w:rsid w:val="00105BFC"/>
    <w:rsid w:val="00107047"/>
    <w:rsid w:val="00110A3B"/>
    <w:rsid w:val="001139FF"/>
    <w:rsid w:val="00113EDF"/>
    <w:rsid w:val="001145A8"/>
    <w:rsid w:val="00116228"/>
    <w:rsid w:val="001170BD"/>
    <w:rsid w:val="00117765"/>
    <w:rsid w:val="001220CC"/>
    <w:rsid w:val="001241A7"/>
    <w:rsid w:val="00124470"/>
    <w:rsid w:val="00124914"/>
    <w:rsid w:val="00127799"/>
    <w:rsid w:val="001278B5"/>
    <w:rsid w:val="00136534"/>
    <w:rsid w:val="0014117C"/>
    <w:rsid w:val="00141D1D"/>
    <w:rsid w:val="001424C5"/>
    <w:rsid w:val="00143152"/>
    <w:rsid w:val="001438CA"/>
    <w:rsid w:val="00145E1F"/>
    <w:rsid w:val="001464DD"/>
    <w:rsid w:val="0014701F"/>
    <w:rsid w:val="00151186"/>
    <w:rsid w:val="00156A65"/>
    <w:rsid w:val="00160633"/>
    <w:rsid w:val="001613D4"/>
    <w:rsid w:val="00166C35"/>
    <w:rsid w:val="00172DAB"/>
    <w:rsid w:val="00181387"/>
    <w:rsid w:val="0018172B"/>
    <w:rsid w:val="001844A5"/>
    <w:rsid w:val="001872B6"/>
    <w:rsid w:val="00187329"/>
    <w:rsid w:val="00187D2B"/>
    <w:rsid w:val="0019095E"/>
    <w:rsid w:val="0019297B"/>
    <w:rsid w:val="00197D8D"/>
    <w:rsid w:val="001A398F"/>
    <w:rsid w:val="001B0F4F"/>
    <w:rsid w:val="001C2592"/>
    <w:rsid w:val="001C5DA4"/>
    <w:rsid w:val="001C7B95"/>
    <w:rsid w:val="001D0C07"/>
    <w:rsid w:val="001D5D84"/>
    <w:rsid w:val="001D7452"/>
    <w:rsid w:val="001E1E5A"/>
    <w:rsid w:val="001E203C"/>
    <w:rsid w:val="001E46E2"/>
    <w:rsid w:val="001F0C28"/>
    <w:rsid w:val="001F1012"/>
    <w:rsid w:val="001F1C4E"/>
    <w:rsid w:val="001F666E"/>
    <w:rsid w:val="00207D6B"/>
    <w:rsid w:val="00212739"/>
    <w:rsid w:val="00213DF5"/>
    <w:rsid w:val="0021660C"/>
    <w:rsid w:val="00216AAB"/>
    <w:rsid w:val="00220776"/>
    <w:rsid w:val="002244F7"/>
    <w:rsid w:val="002264F4"/>
    <w:rsid w:val="00227CDA"/>
    <w:rsid w:val="00230057"/>
    <w:rsid w:val="00230D9F"/>
    <w:rsid w:val="002403FA"/>
    <w:rsid w:val="002518C3"/>
    <w:rsid w:val="00254AD0"/>
    <w:rsid w:val="0025588A"/>
    <w:rsid w:val="00262BF6"/>
    <w:rsid w:val="00264B2C"/>
    <w:rsid w:val="002678FF"/>
    <w:rsid w:val="00276ABF"/>
    <w:rsid w:val="00277789"/>
    <w:rsid w:val="00280F9A"/>
    <w:rsid w:val="00281CEE"/>
    <w:rsid w:val="00287F1D"/>
    <w:rsid w:val="0029184C"/>
    <w:rsid w:val="002A21B9"/>
    <w:rsid w:val="002B603E"/>
    <w:rsid w:val="002C4A54"/>
    <w:rsid w:val="002D0344"/>
    <w:rsid w:val="002D0C37"/>
    <w:rsid w:val="002D12F2"/>
    <w:rsid w:val="002D2266"/>
    <w:rsid w:val="002D65AC"/>
    <w:rsid w:val="002D65BB"/>
    <w:rsid w:val="002E469D"/>
    <w:rsid w:val="002F1ADC"/>
    <w:rsid w:val="002F1B4A"/>
    <w:rsid w:val="002F57AA"/>
    <w:rsid w:val="002F62DA"/>
    <w:rsid w:val="0030045D"/>
    <w:rsid w:val="00304EF1"/>
    <w:rsid w:val="003050CE"/>
    <w:rsid w:val="00306A24"/>
    <w:rsid w:val="00311E90"/>
    <w:rsid w:val="003136DA"/>
    <w:rsid w:val="003152AB"/>
    <w:rsid w:val="00324E59"/>
    <w:rsid w:val="0033037A"/>
    <w:rsid w:val="00330F67"/>
    <w:rsid w:val="00331876"/>
    <w:rsid w:val="00331BC3"/>
    <w:rsid w:val="0033217A"/>
    <w:rsid w:val="00335964"/>
    <w:rsid w:val="003379CE"/>
    <w:rsid w:val="00341473"/>
    <w:rsid w:val="00342901"/>
    <w:rsid w:val="003434AE"/>
    <w:rsid w:val="00344240"/>
    <w:rsid w:val="00347000"/>
    <w:rsid w:val="00354252"/>
    <w:rsid w:val="003553B9"/>
    <w:rsid w:val="0035651A"/>
    <w:rsid w:val="00365289"/>
    <w:rsid w:val="00381943"/>
    <w:rsid w:val="003860D9"/>
    <w:rsid w:val="00390294"/>
    <w:rsid w:val="00392C0C"/>
    <w:rsid w:val="00395769"/>
    <w:rsid w:val="003A6AD2"/>
    <w:rsid w:val="003B2858"/>
    <w:rsid w:val="003B2969"/>
    <w:rsid w:val="003B419C"/>
    <w:rsid w:val="003B54F9"/>
    <w:rsid w:val="003B56D3"/>
    <w:rsid w:val="003B73A8"/>
    <w:rsid w:val="003B7E83"/>
    <w:rsid w:val="003C0B96"/>
    <w:rsid w:val="003D213E"/>
    <w:rsid w:val="003D2294"/>
    <w:rsid w:val="003E751E"/>
    <w:rsid w:val="003E7BE6"/>
    <w:rsid w:val="00400454"/>
    <w:rsid w:val="0040122A"/>
    <w:rsid w:val="0040207F"/>
    <w:rsid w:val="00406216"/>
    <w:rsid w:val="00406271"/>
    <w:rsid w:val="00411843"/>
    <w:rsid w:val="00412A18"/>
    <w:rsid w:val="0041334F"/>
    <w:rsid w:val="00422421"/>
    <w:rsid w:val="0042271F"/>
    <w:rsid w:val="00426935"/>
    <w:rsid w:val="00426BA1"/>
    <w:rsid w:val="004360B7"/>
    <w:rsid w:val="00441AE6"/>
    <w:rsid w:val="00444328"/>
    <w:rsid w:val="00446F83"/>
    <w:rsid w:val="00449C22"/>
    <w:rsid w:val="0045122B"/>
    <w:rsid w:val="00452882"/>
    <w:rsid w:val="004532DA"/>
    <w:rsid w:val="00454276"/>
    <w:rsid w:val="00454E3B"/>
    <w:rsid w:val="00454E40"/>
    <w:rsid w:val="004576B3"/>
    <w:rsid w:val="00465941"/>
    <w:rsid w:val="0046705D"/>
    <w:rsid w:val="00472080"/>
    <w:rsid w:val="00475CF0"/>
    <w:rsid w:val="00476152"/>
    <w:rsid w:val="00476C90"/>
    <w:rsid w:val="00481807"/>
    <w:rsid w:val="00486443"/>
    <w:rsid w:val="00486FE2"/>
    <w:rsid w:val="004926F1"/>
    <w:rsid w:val="004A0C8F"/>
    <w:rsid w:val="004A4D23"/>
    <w:rsid w:val="004A615A"/>
    <w:rsid w:val="004A7E74"/>
    <w:rsid w:val="004B0E39"/>
    <w:rsid w:val="004B359C"/>
    <w:rsid w:val="004B52D4"/>
    <w:rsid w:val="004C2B47"/>
    <w:rsid w:val="004C34C9"/>
    <w:rsid w:val="004C5501"/>
    <w:rsid w:val="004C6F65"/>
    <w:rsid w:val="004D0E9E"/>
    <w:rsid w:val="004D2C58"/>
    <w:rsid w:val="004D4AEB"/>
    <w:rsid w:val="004D62DD"/>
    <w:rsid w:val="004D6E63"/>
    <w:rsid w:val="004E21E4"/>
    <w:rsid w:val="004E4484"/>
    <w:rsid w:val="004E5152"/>
    <w:rsid w:val="004E57E9"/>
    <w:rsid w:val="004E7738"/>
    <w:rsid w:val="004E7A87"/>
    <w:rsid w:val="004F0A98"/>
    <w:rsid w:val="004F1131"/>
    <w:rsid w:val="004F3C9C"/>
    <w:rsid w:val="004F79AF"/>
    <w:rsid w:val="00501286"/>
    <w:rsid w:val="00501D3C"/>
    <w:rsid w:val="00513D9B"/>
    <w:rsid w:val="00513E08"/>
    <w:rsid w:val="00517659"/>
    <w:rsid w:val="00517CA1"/>
    <w:rsid w:val="00517CE0"/>
    <w:rsid w:val="005233E1"/>
    <w:rsid w:val="00525446"/>
    <w:rsid w:val="0053329D"/>
    <w:rsid w:val="005362BB"/>
    <w:rsid w:val="00541320"/>
    <w:rsid w:val="0054323B"/>
    <w:rsid w:val="005438DE"/>
    <w:rsid w:val="005443B5"/>
    <w:rsid w:val="00544F37"/>
    <w:rsid w:val="005503B9"/>
    <w:rsid w:val="005539F3"/>
    <w:rsid w:val="00554A3F"/>
    <w:rsid w:val="00570BBD"/>
    <w:rsid w:val="00573D6F"/>
    <w:rsid w:val="00574C8C"/>
    <w:rsid w:val="00577341"/>
    <w:rsid w:val="00583A44"/>
    <w:rsid w:val="005841BC"/>
    <w:rsid w:val="00592A97"/>
    <w:rsid w:val="0059459B"/>
    <w:rsid w:val="00595D48"/>
    <w:rsid w:val="005A2153"/>
    <w:rsid w:val="005A3168"/>
    <w:rsid w:val="005A5F41"/>
    <w:rsid w:val="005B51D8"/>
    <w:rsid w:val="005B642D"/>
    <w:rsid w:val="005B6DC6"/>
    <w:rsid w:val="005C0341"/>
    <w:rsid w:val="005C0F44"/>
    <w:rsid w:val="005C16EC"/>
    <w:rsid w:val="005C50BD"/>
    <w:rsid w:val="005D070C"/>
    <w:rsid w:val="005D0CB7"/>
    <w:rsid w:val="005D6E90"/>
    <w:rsid w:val="005D7E19"/>
    <w:rsid w:val="005D7F0A"/>
    <w:rsid w:val="005E553C"/>
    <w:rsid w:val="005F3B96"/>
    <w:rsid w:val="005F6686"/>
    <w:rsid w:val="005F7BA5"/>
    <w:rsid w:val="00603DCD"/>
    <w:rsid w:val="0061336C"/>
    <w:rsid w:val="00614B16"/>
    <w:rsid w:val="00623363"/>
    <w:rsid w:val="006268CF"/>
    <w:rsid w:val="00636489"/>
    <w:rsid w:val="0063764D"/>
    <w:rsid w:val="0064025E"/>
    <w:rsid w:val="0064125E"/>
    <w:rsid w:val="00641A5D"/>
    <w:rsid w:val="006460CB"/>
    <w:rsid w:val="00647830"/>
    <w:rsid w:val="00650387"/>
    <w:rsid w:val="006507E4"/>
    <w:rsid w:val="006526B2"/>
    <w:rsid w:val="00657894"/>
    <w:rsid w:val="00661EE0"/>
    <w:rsid w:val="00663361"/>
    <w:rsid w:val="00663729"/>
    <w:rsid w:val="00663DEC"/>
    <w:rsid w:val="00663F09"/>
    <w:rsid w:val="00666DDC"/>
    <w:rsid w:val="006778C0"/>
    <w:rsid w:val="00682B9B"/>
    <w:rsid w:val="0068440C"/>
    <w:rsid w:val="0068504A"/>
    <w:rsid w:val="00693ABE"/>
    <w:rsid w:val="00694800"/>
    <w:rsid w:val="006A0DDF"/>
    <w:rsid w:val="006A27D1"/>
    <w:rsid w:val="006A2964"/>
    <w:rsid w:val="006A2DFF"/>
    <w:rsid w:val="006A6362"/>
    <w:rsid w:val="006B414A"/>
    <w:rsid w:val="006C2C9C"/>
    <w:rsid w:val="006C5BD6"/>
    <w:rsid w:val="006D6AD3"/>
    <w:rsid w:val="006E031C"/>
    <w:rsid w:val="006E4012"/>
    <w:rsid w:val="006E7B28"/>
    <w:rsid w:val="006F0BCE"/>
    <w:rsid w:val="006F2FDC"/>
    <w:rsid w:val="006F3F3C"/>
    <w:rsid w:val="006F66B4"/>
    <w:rsid w:val="00705DA7"/>
    <w:rsid w:val="0070743D"/>
    <w:rsid w:val="007166B8"/>
    <w:rsid w:val="00717DDA"/>
    <w:rsid w:val="00723588"/>
    <w:rsid w:val="00727FB0"/>
    <w:rsid w:val="0073068C"/>
    <w:rsid w:val="00750F8A"/>
    <w:rsid w:val="00754974"/>
    <w:rsid w:val="007575B5"/>
    <w:rsid w:val="0075783F"/>
    <w:rsid w:val="00761E69"/>
    <w:rsid w:val="007660DC"/>
    <w:rsid w:val="00766DCF"/>
    <w:rsid w:val="00774FC7"/>
    <w:rsid w:val="007831AB"/>
    <w:rsid w:val="00783F1E"/>
    <w:rsid w:val="0078470C"/>
    <w:rsid w:val="0078512B"/>
    <w:rsid w:val="00785B45"/>
    <w:rsid w:val="00794DA5"/>
    <w:rsid w:val="007A30F9"/>
    <w:rsid w:val="007A32B4"/>
    <w:rsid w:val="007A6869"/>
    <w:rsid w:val="007A7DDB"/>
    <w:rsid w:val="007B0172"/>
    <w:rsid w:val="007B2849"/>
    <w:rsid w:val="007B42C8"/>
    <w:rsid w:val="007C234D"/>
    <w:rsid w:val="007D0199"/>
    <w:rsid w:val="007D35EC"/>
    <w:rsid w:val="007D3A6F"/>
    <w:rsid w:val="007D4EDF"/>
    <w:rsid w:val="007D5746"/>
    <w:rsid w:val="007E019C"/>
    <w:rsid w:val="007E1070"/>
    <w:rsid w:val="007E2FD0"/>
    <w:rsid w:val="007E6C9D"/>
    <w:rsid w:val="007F0B52"/>
    <w:rsid w:val="007F1188"/>
    <w:rsid w:val="007F1E91"/>
    <w:rsid w:val="00803EAA"/>
    <w:rsid w:val="00804B45"/>
    <w:rsid w:val="0080642E"/>
    <w:rsid w:val="00807474"/>
    <w:rsid w:val="0081798A"/>
    <w:rsid w:val="00820FDF"/>
    <w:rsid w:val="00825109"/>
    <w:rsid w:val="0082561B"/>
    <w:rsid w:val="0082596D"/>
    <w:rsid w:val="00826DE6"/>
    <w:rsid w:val="00827617"/>
    <w:rsid w:val="00832AFD"/>
    <w:rsid w:val="00832ECE"/>
    <w:rsid w:val="00833A82"/>
    <w:rsid w:val="00835A87"/>
    <w:rsid w:val="008501E6"/>
    <w:rsid w:val="00862A2A"/>
    <w:rsid w:val="00864419"/>
    <w:rsid w:val="00870790"/>
    <w:rsid w:val="00872B27"/>
    <w:rsid w:val="008736ED"/>
    <w:rsid w:val="00874C59"/>
    <w:rsid w:val="008767B8"/>
    <w:rsid w:val="00876C8F"/>
    <w:rsid w:val="00884BD8"/>
    <w:rsid w:val="008922CB"/>
    <w:rsid w:val="008934F8"/>
    <w:rsid w:val="00894A07"/>
    <w:rsid w:val="008A2297"/>
    <w:rsid w:val="008A26AC"/>
    <w:rsid w:val="008A4CCB"/>
    <w:rsid w:val="008A57EE"/>
    <w:rsid w:val="008A6D05"/>
    <w:rsid w:val="008B17DB"/>
    <w:rsid w:val="008B50A0"/>
    <w:rsid w:val="008B5C17"/>
    <w:rsid w:val="008B7073"/>
    <w:rsid w:val="008C360B"/>
    <w:rsid w:val="008C3753"/>
    <w:rsid w:val="008C4B1A"/>
    <w:rsid w:val="008C5A30"/>
    <w:rsid w:val="008C74F1"/>
    <w:rsid w:val="008D0585"/>
    <w:rsid w:val="008D49F0"/>
    <w:rsid w:val="008D6FB9"/>
    <w:rsid w:val="008E083D"/>
    <w:rsid w:val="008E516E"/>
    <w:rsid w:val="008F1493"/>
    <w:rsid w:val="008F233C"/>
    <w:rsid w:val="008F481D"/>
    <w:rsid w:val="008F4B1C"/>
    <w:rsid w:val="008F6B59"/>
    <w:rsid w:val="00900B3F"/>
    <w:rsid w:val="0090422F"/>
    <w:rsid w:val="009051BC"/>
    <w:rsid w:val="00905AD5"/>
    <w:rsid w:val="0091627B"/>
    <w:rsid w:val="00917C1C"/>
    <w:rsid w:val="00923889"/>
    <w:rsid w:val="00930477"/>
    <w:rsid w:val="0094117A"/>
    <w:rsid w:val="00941345"/>
    <w:rsid w:val="009419C8"/>
    <w:rsid w:val="00944F56"/>
    <w:rsid w:val="009452F0"/>
    <w:rsid w:val="00945F97"/>
    <w:rsid w:val="009518BF"/>
    <w:rsid w:val="00962732"/>
    <w:rsid w:val="00963DF8"/>
    <w:rsid w:val="0097276B"/>
    <w:rsid w:val="00972AB4"/>
    <w:rsid w:val="0097445F"/>
    <w:rsid w:val="00984B2D"/>
    <w:rsid w:val="009938E6"/>
    <w:rsid w:val="009A2E8C"/>
    <w:rsid w:val="009A3553"/>
    <w:rsid w:val="009B1CB9"/>
    <w:rsid w:val="009B288A"/>
    <w:rsid w:val="009B44C7"/>
    <w:rsid w:val="009B7414"/>
    <w:rsid w:val="009B775C"/>
    <w:rsid w:val="009C1580"/>
    <w:rsid w:val="009C3392"/>
    <w:rsid w:val="009C3E19"/>
    <w:rsid w:val="009C4F85"/>
    <w:rsid w:val="009C63BE"/>
    <w:rsid w:val="009C68A0"/>
    <w:rsid w:val="009C694A"/>
    <w:rsid w:val="009C7786"/>
    <w:rsid w:val="009D12EC"/>
    <w:rsid w:val="009D28DD"/>
    <w:rsid w:val="009D5980"/>
    <w:rsid w:val="009E5054"/>
    <w:rsid w:val="009E6FCB"/>
    <w:rsid w:val="009F427C"/>
    <w:rsid w:val="009F6445"/>
    <w:rsid w:val="009F76C0"/>
    <w:rsid w:val="00A006BA"/>
    <w:rsid w:val="00A04DD8"/>
    <w:rsid w:val="00A11043"/>
    <w:rsid w:val="00A17D85"/>
    <w:rsid w:val="00A207BF"/>
    <w:rsid w:val="00A21390"/>
    <w:rsid w:val="00A279E2"/>
    <w:rsid w:val="00A3546F"/>
    <w:rsid w:val="00A44FD0"/>
    <w:rsid w:val="00A45E66"/>
    <w:rsid w:val="00A47B99"/>
    <w:rsid w:val="00A5080E"/>
    <w:rsid w:val="00A52F50"/>
    <w:rsid w:val="00A5531D"/>
    <w:rsid w:val="00A55C91"/>
    <w:rsid w:val="00A60D02"/>
    <w:rsid w:val="00A63329"/>
    <w:rsid w:val="00A64E1D"/>
    <w:rsid w:val="00A663CE"/>
    <w:rsid w:val="00A7639E"/>
    <w:rsid w:val="00A87FDC"/>
    <w:rsid w:val="00A92567"/>
    <w:rsid w:val="00A93208"/>
    <w:rsid w:val="00A93810"/>
    <w:rsid w:val="00A959F7"/>
    <w:rsid w:val="00A95E92"/>
    <w:rsid w:val="00AA1E82"/>
    <w:rsid w:val="00AA2E73"/>
    <w:rsid w:val="00AA32C5"/>
    <w:rsid w:val="00AA7257"/>
    <w:rsid w:val="00AB2939"/>
    <w:rsid w:val="00AB4354"/>
    <w:rsid w:val="00AB45C5"/>
    <w:rsid w:val="00AD7ECD"/>
    <w:rsid w:val="00AE2FD7"/>
    <w:rsid w:val="00AE5044"/>
    <w:rsid w:val="00AE7DAD"/>
    <w:rsid w:val="00AF06EA"/>
    <w:rsid w:val="00AF0A84"/>
    <w:rsid w:val="00AF34A3"/>
    <w:rsid w:val="00AF5F1D"/>
    <w:rsid w:val="00B02932"/>
    <w:rsid w:val="00B10662"/>
    <w:rsid w:val="00B10EB5"/>
    <w:rsid w:val="00B144BB"/>
    <w:rsid w:val="00B16E25"/>
    <w:rsid w:val="00B27D5C"/>
    <w:rsid w:val="00B3045C"/>
    <w:rsid w:val="00B40BE9"/>
    <w:rsid w:val="00B4722F"/>
    <w:rsid w:val="00B520BF"/>
    <w:rsid w:val="00B53042"/>
    <w:rsid w:val="00B571D8"/>
    <w:rsid w:val="00B57ACE"/>
    <w:rsid w:val="00B57BEC"/>
    <w:rsid w:val="00B6044E"/>
    <w:rsid w:val="00B610A0"/>
    <w:rsid w:val="00B615C8"/>
    <w:rsid w:val="00B61692"/>
    <w:rsid w:val="00B629D3"/>
    <w:rsid w:val="00B6308D"/>
    <w:rsid w:val="00B74293"/>
    <w:rsid w:val="00B80CCE"/>
    <w:rsid w:val="00B81472"/>
    <w:rsid w:val="00B84BAC"/>
    <w:rsid w:val="00B9358D"/>
    <w:rsid w:val="00B97C8F"/>
    <w:rsid w:val="00BA3140"/>
    <w:rsid w:val="00BA46F9"/>
    <w:rsid w:val="00BA5FAB"/>
    <w:rsid w:val="00BB5B13"/>
    <w:rsid w:val="00BC704F"/>
    <w:rsid w:val="00BC72F3"/>
    <w:rsid w:val="00BD10F3"/>
    <w:rsid w:val="00BD4F68"/>
    <w:rsid w:val="00BD7FEC"/>
    <w:rsid w:val="00BE3CE1"/>
    <w:rsid w:val="00BE6346"/>
    <w:rsid w:val="00BE76D6"/>
    <w:rsid w:val="00BE7D27"/>
    <w:rsid w:val="00BF621A"/>
    <w:rsid w:val="00C05205"/>
    <w:rsid w:val="00C13BC2"/>
    <w:rsid w:val="00C141F9"/>
    <w:rsid w:val="00C14274"/>
    <w:rsid w:val="00C14D3E"/>
    <w:rsid w:val="00C15DC0"/>
    <w:rsid w:val="00C20458"/>
    <w:rsid w:val="00C229AA"/>
    <w:rsid w:val="00C320B5"/>
    <w:rsid w:val="00C324D3"/>
    <w:rsid w:val="00C3270F"/>
    <w:rsid w:val="00C369DA"/>
    <w:rsid w:val="00C4090B"/>
    <w:rsid w:val="00C45FB9"/>
    <w:rsid w:val="00C50968"/>
    <w:rsid w:val="00C55994"/>
    <w:rsid w:val="00C5673F"/>
    <w:rsid w:val="00C63562"/>
    <w:rsid w:val="00C63E3F"/>
    <w:rsid w:val="00C70BB0"/>
    <w:rsid w:val="00C711DD"/>
    <w:rsid w:val="00C83441"/>
    <w:rsid w:val="00C84A66"/>
    <w:rsid w:val="00C85BD3"/>
    <w:rsid w:val="00C92156"/>
    <w:rsid w:val="00C9330A"/>
    <w:rsid w:val="00C94F6A"/>
    <w:rsid w:val="00C95B81"/>
    <w:rsid w:val="00C95DE3"/>
    <w:rsid w:val="00CA219F"/>
    <w:rsid w:val="00CA4C57"/>
    <w:rsid w:val="00CA5160"/>
    <w:rsid w:val="00CB06B5"/>
    <w:rsid w:val="00CB0A08"/>
    <w:rsid w:val="00CC1143"/>
    <w:rsid w:val="00CC1371"/>
    <w:rsid w:val="00CC3F5A"/>
    <w:rsid w:val="00CC5D46"/>
    <w:rsid w:val="00CC7F7C"/>
    <w:rsid w:val="00CD1C3D"/>
    <w:rsid w:val="00CD266F"/>
    <w:rsid w:val="00CD71C4"/>
    <w:rsid w:val="00CE1188"/>
    <w:rsid w:val="00CE3F7E"/>
    <w:rsid w:val="00CE44D1"/>
    <w:rsid w:val="00CE4DCA"/>
    <w:rsid w:val="00CE5F0F"/>
    <w:rsid w:val="00CF1DDE"/>
    <w:rsid w:val="00CF5D0C"/>
    <w:rsid w:val="00CF6EB2"/>
    <w:rsid w:val="00D03021"/>
    <w:rsid w:val="00D033A9"/>
    <w:rsid w:val="00D06FB8"/>
    <w:rsid w:val="00D078A3"/>
    <w:rsid w:val="00D07C0A"/>
    <w:rsid w:val="00D110B9"/>
    <w:rsid w:val="00D12751"/>
    <w:rsid w:val="00D1285C"/>
    <w:rsid w:val="00D13F43"/>
    <w:rsid w:val="00D14FD7"/>
    <w:rsid w:val="00D2114F"/>
    <w:rsid w:val="00D24AAD"/>
    <w:rsid w:val="00D34F3B"/>
    <w:rsid w:val="00D37C68"/>
    <w:rsid w:val="00D42B16"/>
    <w:rsid w:val="00D44049"/>
    <w:rsid w:val="00D52C94"/>
    <w:rsid w:val="00D54FCB"/>
    <w:rsid w:val="00D6002C"/>
    <w:rsid w:val="00D60651"/>
    <w:rsid w:val="00D637E8"/>
    <w:rsid w:val="00D657AC"/>
    <w:rsid w:val="00D7292A"/>
    <w:rsid w:val="00D749FB"/>
    <w:rsid w:val="00D757B5"/>
    <w:rsid w:val="00D77EE2"/>
    <w:rsid w:val="00D818D7"/>
    <w:rsid w:val="00D84CA2"/>
    <w:rsid w:val="00D86F0C"/>
    <w:rsid w:val="00D92438"/>
    <w:rsid w:val="00D92F4C"/>
    <w:rsid w:val="00D9520D"/>
    <w:rsid w:val="00D96D91"/>
    <w:rsid w:val="00D97707"/>
    <w:rsid w:val="00DA081D"/>
    <w:rsid w:val="00DA3E11"/>
    <w:rsid w:val="00DA43A1"/>
    <w:rsid w:val="00DA6587"/>
    <w:rsid w:val="00DB269A"/>
    <w:rsid w:val="00DC08EE"/>
    <w:rsid w:val="00DC246E"/>
    <w:rsid w:val="00DC2481"/>
    <w:rsid w:val="00DC66D4"/>
    <w:rsid w:val="00DD1C03"/>
    <w:rsid w:val="00DD297C"/>
    <w:rsid w:val="00DE0EE4"/>
    <w:rsid w:val="00DE231B"/>
    <w:rsid w:val="00DE4249"/>
    <w:rsid w:val="00DE53BC"/>
    <w:rsid w:val="00DF09CC"/>
    <w:rsid w:val="00DF45CB"/>
    <w:rsid w:val="00DF63CF"/>
    <w:rsid w:val="00DF7180"/>
    <w:rsid w:val="00E00AC6"/>
    <w:rsid w:val="00E028A2"/>
    <w:rsid w:val="00E02C4F"/>
    <w:rsid w:val="00E06E6A"/>
    <w:rsid w:val="00E07DC2"/>
    <w:rsid w:val="00E11ADF"/>
    <w:rsid w:val="00E14C57"/>
    <w:rsid w:val="00E1725D"/>
    <w:rsid w:val="00E24D1A"/>
    <w:rsid w:val="00E36FF1"/>
    <w:rsid w:val="00E37AE1"/>
    <w:rsid w:val="00E37FE1"/>
    <w:rsid w:val="00E45663"/>
    <w:rsid w:val="00E51994"/>
    <w:rsid w:val="00E51EE8"/>
    <w:rsid w:val="00E5285B"/>
    <w:rsid w:val="00E546BA"/>
    <w:rsid w:val="00E60454"/>
    <w:rsid w:val="00E634F8"/>
    <w:rsid w:val="00E63D7F"/>
    <w:rsid w:val="00E6477E"/>
    <w:rsid w:val="00E66EB5"/>
    <w:rsid w:val="00E7028B"/>
    <w:rsid w:val="00E73673"/>
    <w:rsid w:val="00E743AE"/>
    <w:rsid w:val="00E76194"/>
    <w:rsid w:val="00E8132F"/>
    <w:rsid w:val="00E818BA"/>
    <w:rsid w:val="00E855F4"/>
    <w:rsid w:val="00E856DE"/>
    <w:rsid w:val="00E92EFE"/>
    <w:rsid w:val="00EB28D2"/>
    <w:rsid w:val="00EB4678"/>
    <w:rsid w:val="00EB4946"/>
    <w:rsid w:val="00EB7BA6"/>
    <w:rsid w:val="00EC2AE4"/>
    <w:rsid w:val="00EC4D5E"/>
    <w:rsid w:val="00ED3449"/>
    <w:rsid w:val="00ED76E1"/>
    <w:rsid w:val="00EE11FF"/>
    <w:rsid w:val="00EF1AF0"/>
    <w:rsid w:val="00EF4A6A"/>
    <w:rsid w:val="00EF4C9C"/>
    <w:rsid w:val="00EF666E"/>
    <w:rsid w:val="00F0143F"/>
    <w:rsid w:val="00F01B78"/>
    <w:rsid w:val="00F052B2"/>
    <w:rsid w:val="00F07DB6"/>
    <w:rsid w:val="00F11C56"/>
    <w:rsid w:val="00F14300"/>
    <w:rsid w:val="00F1746C"/>
    <w:rsid w:val="00F176A9"/>
    <w:rsid w:val="00F21BD3"/>
    <w:rsid w:val="00F22961"/>
    <w:rsid w:val="00F23913"/>
    <w:rsid w:val="00F25148"/>
    <w:rsid w:val="00F25609"/>
    <w:rsid w:val="00F259EF"/>
    <w:rsid w:val="00F3078F"/>
    <w:rsid w:val="00F336F1"/>
    <w:rsid w:val="00F372BA"/>
    <w:rsid w:val="00F43EC7"/>
    <w:rsid w:val="00F459AA"/>
    <w:rsid w:val="00F4611F"/>
    <w:rsid w:val="00F53C82"/>
    <w:rsid w:val="00F5671A"/>
    <w:rsid w:val="00F64635"/>
    <w:rsid w:val="00F64B1D"/>
    <w:rsid w:val="00F6628B"/>
    <w:rsid w:val="00F72C39"/>
    <w:rsid w:val="00F76E37"/>
    <w:rsid w:val="00F916DA"/>
    <w:rsid w:val="00F958AF"/>
    <w:rsid w:val="00FA0FEF"/>
    <w:rsid w:val="00FA559B"/>
    <w:rsid w:val="00FA5D2C"/>
    <w:rsid w:val="00FB2651"/>
    <w:rsid w:val="00FB270D"/>
    <w:rsid w:val="00FC125E"/>
    <w:rsid w:val="00FC2881"/>
    <w:rsid w:val="00FC7FB4"/>
    <w:rsid w:val="00FE1F07"/>
    <w:rsid w:val="00FE5D3D"/>
    <w:rsid w:val="00FF20F9"/>
    <w:rsid w:val="00FF3C3C"/>
    <w:rsid w:val="011960BD"/>
    <w:rsid w:val="0176B327"/>
    <w:rsid w:val="018DF4DB"/>
    <w:rsid w:val="027A2923"/>
    <w:rsid w:val="035095D4"/>
    <w:rsid w:val="03594CA8"/>
    <w:rsid w:val="03D2C8FD"/>
    <w:rsid w:val="042C9130"/>
    <w:rsid w:val="0470EDDE"/>
    <w:rsid w:val="04BA912C"/>
    <w:rsid w:val="05734D0D"/>
    <w:rsid w:val="0642A82F"/>
    <w:rsid w:val="06C4DB58"/>
    <w:rsid w:val="072AEC91"/>
    <w:rsid w:val="081C7F13"/>
    <w:rsid w:val="095D2580"/>
    <w:rsid w:val="09C088EE"/>
    <w:rsid w:val="09F32DCE"/>
    <w:rsid w:val="0A486375"/>
    <w:rsid w:val="0BCD04B2"/>
    <w:rsid w:val="0BE3D03C"/>
    <w:rsid w:val="0C4F37DB"/>
    <w:rsid w:val="0C768DFF"/>
    <w:rsid w:val="0D9676A0"/>
    <w:rsid w:val="0DA8B32D"/>
    <w:rsid w:val="0EBD2552"/>
    <w:rsid w:val="0FB72778"/>
    <w:rsid w:val="0FC28140"/>
    <w:rsid w:val="11387957"/>
    <w:rsid w:val="115F1172"/>
    <w:rsid w:val="11B9E03C"/>
    <w:rsid w:val="11EDBDB6"/>
    <w:rsid w:val="12335C91"/>
    <w:rsid w:val="13562240"/>
    <w:rsid w:val="14CBA6B9"/>
    <w:rsid w:val="1571AB75"/>
    <w:rsid w:val="167D12A7"/>
    <w:rsid w:val="173B85EB"/>
    <w:rsid w:val="17B0E726"/>
    <w:rsid w:val="189BE07A"/>
    <w:rsid w:val="195A53BE"/>
    <w:rsid w:val="1A2D9846"/>
    <w:rsid w:val="1AAFCB6F"/>
    <w:rsid w:val="1AFC07F8"/>
    <w:rsid w:val="1C5FDDDE"/>
    <w:rsid w:val="1E0E4390"/>
    <w:rsid w:val="1E619995"/>
    <w:rsid w:val="1E692C40"/>
    <w:rsid w:val="1F023859"/>
    <w:rsid w:val="1FFCEBB8"/>
    <w:rsid w:val="2013314F"/>
    <w:rsid w:val="20E02CAE"/>
    <w:rsid w:val="210055EB"/>
    <w:rsid w:val="21369145"/>
    <w:rsid w:val="21D6C29C"/>
    <w:rsid w:val="22DA2CCF"/>
    <w:rsid w:val="230561CE"/>
    <w:rsid w:val="2398A013"/>
    <w:rsid w:val="23D23F09"/>
    <w:rsid w:val="2490B24D"/>
    <w:rsid w:val="24B0DB8A"/>
    <w:rsid w:val="252D6755"/>
    <w:rsid w:val="25CC3F2A"/>
    <w:rsid w:val="265F9572"/>
    <w:rsid w:val="295C9B8C"/>
    <w:rsid w:val="2994BE36"/>
    <w:rsid w:val="2B367270"/>
    <w:rsid w:val="2BCA23B5"/>
    <w:rsid w:val="2C4FE8BF"/>
    <w:rsid w:val="2C86D091"/>
    <w:rsid w:val="2C8D86D8"/>
    <w:rsid w:val="2D4543D5"/>
    <w:rsid w:val="2DC1DF41"/>
    <w:rsid w:val="2E48AE08"/>
    <w:rsid w:val="2FC4D479"/>
    <w:rsid w:val="3105C5E2"/>
    <w:rsid w:val="313AC063"/>
    <w:rsid w:val="32112D14"/>
    <w:rsid w:val="337929A5"/>
    <w:rsid w:val="347C363D"/>
    <w:rsid w:val="35033F6F"/>
    <w:rsid w:val="3520D6BB"/>
    <w:rsid w:val="36D3B94C"/>
    <w:rsid w:val="37A04391"/>
    <w:rsid w:val="37A4406B"/>
    <w:rsid w:val="3852DD3D"/>
    <w:rsid w:val="3898273E"/>
    <w:rsid w:val="38E3EAB9"/>
    <w:rsid w:val="393DBCA8"/>
    <w:rsid w:val="39B72F41"/>
    <w:rsid w:val="3AC6D384"/>
    <w:rsid w:val="3ACD84C7"/>
    <w:rsid w:val="3B0FCF1B"/>
    <w:rsid w:val="3BABE166"/>
    <w:rsid w:val="3CAC69C5"/>
    <w:rsid w:val="3D2E9CEE"/>
    <w:rsid w:val="3D886521"/>
    <w:rsid w:val="3E6E473C"/>
    <w:rsid w:val="3F1D51AC"/>
    <w:rsid w:val="40457133"/>
    <w:rsid w:val="434F01BF"/>
    <w:rsid w:val="43B3941D"/>
    <w:rsid w:val="44492107"/>
    <w:rsid w:val="44526BF2"/>
    <w:rsid w:val="4580A6F7"/>
    <w:rsid w:val="45ABFE41"/>
    <w:rsid w:val="46511088"/>
    <w:rsid w:val="46FED297"/>
    <w:rsid w:val="472FAD09"/>
    <w:rsid w:val="475C77BA"/>
    <w:rsid w:val="47E2C854"/>
    <w:rsid w:val="4884FC18"/>
    <w:rsid w:val="491E5531"/>
    <w:rsid w:val="49322CF5"/>
    <w:rsid w:val="49DCC875"/>
    <w:rsid w:val="4A9C215B"/>
    <w:rsid w:val="4AB7EF26"/>
    <w:rsid w:val="4AC9CE16"/>
    <w:rsid w:val="4B17C784"/>
    <w:rsid w:val="4B5CBE73"/>
    <w:rsid w:val="4B9755D7"/>
    <w:rsid w:val="4BD5022A"/>
    <w:rsid w:val="4BDB6D0B"/>
    <w:rsid w:val="4CCEDAD0"/>
    <w:rsid w:val="4DD52406"/>
    <w:rsid w:val="4E4ED0CE"/>
    <w:rsid w:val="4EB113AD"/>
    <w:rsid w:val="4FC0ED2B"/>
    <w:rsid w:val="4FD8E698"/>
    <w:rsid w:val="4FF37705"/>
    <w:rsid w:val="5042F46E"/>
    <w:rsid w:val="509759DC"/>
    <w:rsid w:val="519AC40F"/>
    <w:rsid w:val="51A547C5"/>
    <w:rsid w:val="51F7B46B"/>
    <w:rsid w:val="5246D007"/>
    <w:rsid w:val="524ECD81"/>
    <w:rsid w:val="5457DBE9"/>
    <w:rsid w:val="54B1A41C"/>
    <w:rsid w:val="55056EE0"/>
    <w:rsid w:val="5666AD4E"/>
    <w:rsid w:val="56CB3FAC"/>
    <w:rsid w:val="58044417"/>
    <w:rsid w:val="588DD4E7"/>
    <w:rsid w:val="593CE546"/>
    <w:rsid w:val="59BD5207"/>
    <w:rsid w:val="5A5C29DC"/>
    <w:rsid w:val="5B99F547"/>
    <w:rsid w:val="5C463F78"/>
    <w:rsid w:val="5DBA97E7"/>
    <w:rsid w:val="5FB901D7"/>
    <w:rsid w:val="5FE6865F"/>
    <w:rsid w:val="6080B2F5"/>
    <w:rsid w:val="60DA7B28"/>
    <w:rsid w:val="6101E9FF"/>
    <w:rsid w:val="6372C550"/>
    <w:rsid w:val="6609B1FF"/>
    <w:rsid w:val="660B0F78"/>
    <w:rsid w:val="66A117C6"/>
    <w:rsid w:val="66F0628B"/>
    <w:rsid w:val="6705AA24"/>
    <w:rsid w:val="687AEEAA"/>
    <w:rsid w:val="68B451A6"/>
    <w:rsid w:val="6A6199D3"/>
    <w:rsid w:val="6B30EB03"/>
    <w:rsid w:val="6BEF342E"/>
    <w:rsid w:val="6BFA7975"/>
    <w:rsid w:val="6C706B38"/>
    <w:rsid w:val="6C71B9E4"/>
    <w:rsid w:val="6CD58B8C"/>
    <w:rsid w:val="6D2EDE7C"/>
    <w:rsid w:val="6E4A421C"/>
    <w:rsid w:val="6FDE0511"/>
    <w:rsid w:val="6FEA59AB"/>
    <w:rsid w:val="717990B1"/>
    <w:rsid w:val="7511A7C8"/>
    <w:rsid w:val="760E1177"/>
    <w:rsid w:val="77A9F1F0"/>
    <w:rsid w:val="7941870B"/>
    <w:rsid w:val="79FBAA06"/>
    <w:rsid w:val="7AD426F5"/>
    <w:rsid w:val="7B21158E"/>
    <w:rsid w:val="7BB02251"/>
    <w:rsid w:val="7CAAD5B0"/>
    <w:rsid w:val="7D5E7ECE"/>
    <w:rsid w:val="7D8E16A6"/>
    <w:rsid w:val="7E9D60C1"/>
    <w:rsid w:val="7EC1E8CE"/>
    <w:rsid w:val="7F60E1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19FAC"/>
  <w15:docId w15:val="{0F83A88E-8ED0-4E52-86DF-2753C710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972AB4"/>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semiHidden/>
    <w:unhideWhenUsed/>
    <w:qFormat/>
    <w:rsid w:val="00C9330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ascii="Calibri" w:eastAsiaTheme="minorHAnsi" w:hAnsi="Calibri" w:cs="Calibri"/>
      <w:b/>
      <w:bCs/>
      <w:sz w:val="36"/>
      <w:szCs w:val="36"/>
      <w:bdr w:val="none" w:sz="0" w:space="0" w:color="auto"/>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after="300"/>
    </w:pPr>
    <w:rPr>
      <w:rFonts w:ascii="Outfit Regular" w:hAnsi="Outfit Regular" w:cs="Arial Unicode MS"/>
      <w:color w:val="222222"/>
      <w:sz w:val="28"/>
      <w:szCs w:val="28"/>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8922CB"/>
    <w:pPr>
      <w:tabs>
        <w:tab w:val="center" w:pos="4513"/>
        <w:tab w:val="right" w:pos="9026"/>
      </w:tabs>
    </w:pPr>
  </w:style>
  <w:style w:type="character" w:customStyle="1" w:styleId="HeaderChar">
    <w:name w:val="Header Char"/>
    <w:basedOn w:val="DefaultParagraphFont"/>
    <w:link w:val="Header"/>
    <w:uiPriority w:val="99"/>
    <w:rsid w:val="008922CB"/>
    <w:rPr>
      <w:sz w:val="24"/>
      <w:szCs w:val="24"/>
      <w:lang w:val="en-US" w:eastAsia="en-US"/>
    </w:rPr>
  </w:style>
  <w:style w:type="paragraph" w:styleId="Footer">
    <w:name w:val="footer"/>
    <w:basedOn w:val="Normal"/>
    <w:link w:val="FooterChar"/>
    <w:uiPriority w:val="99"/>
    <w:unhideWhenUsed/>
    <w:rsid w:val="008922CB"/>
    <w:pPr>
      <w:tabs>
        <w:tab w:val="center" w:pos="4513"/>
        <w:tab w:val="right" w:pos="9026"/>
      </w:tabs>
    </w:pPr>
  </w:style>
  <w:style w:type="character" w:customStyle="1" w:styleId="FooterChar">
    <w:name w:val="Footer Char"/>
    <w:basedOn w:val="DefaultParagraphFont"/>
    <w:link w:val="Footer"/>
    <w:uiPriority w:val="99"/>
    <w:rsid w:val="008922CB"/>
    <w:rPr>
      <w:sz w:val="24"/>
      <w:szCs w:val="24"/>
      <w:lang w:val="en-US" w:eastAsia="en-US"/>
    </w:rPr>
  </w:style>
  <w:style w:type="character" w:styleId="UnresolvedMention">
    <w:name w:val="Unresolved Mention"/>
    <w:basedOn w:val="DefaultParagraphFont"/>
    <w:uiPriority w:val="99"/>
    <w:semiHidden/>
    <w:unhideWhenUsed/>
    <w:rsid w:val="00103357"/>
    <w:rPr>
      <w:color w:val="605E5C"/>
      <w:shd w:val="clear" w:color="auto" w:fill="E1DFDD"/>
    </w:rPr>
  </w:style>
  <w:style w:type="paragraph" w:styleId="NormalWeb">
    <w:name w:val="Normal (Web)"/>
    <w:basedOn w:val="Normal"/>
    <w:uiPriority w:val="99"/>
    <w:unhideWhenUsed/>
    <w:rsid w:val="003136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AU" w:eastAsia="en-AU"/>
    </w:rPr>
  </w:style>
  <w:style w:type="character" w:customStyle="1" w:styleId="Heading2Char">
    <w:name w:val="Heading 2 Char"/>
    <w:basedOn w:val="DefaultParagraphFont"/>
    <w:link w:val="Heading2"/>
    <w:uiPriority w:val="9"/>
    <w:semiHidden/>
    <w:rsid w:val="00C9330A"/>
    <w:rPr>
      <w:rFonts w:ascii="Calibri" w:eastAsiaTheme="minorHAnsi" w:hAnsi="Calibri" w:cs="Calibri"/>
      <w:b/>
      <w:bCs/>
      <w:sz w:val="36"/>
      <w:szCs w:val="36"/>
      <w:bdr w:val="none" w:sz="0" w:space="0" w:color="auto"/>
    </w:rPr>
  </w:style>
  <w:style w:type="table" w:styleId="TableGrid">
    <w:name w:val="Table Grid"/>
    <w:basedOn w:val="TableNormal"/>
    <w:uiPriority w:val="39"/>
    <w:rsid w:val="00AF5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
    <w:name w:val="value"/>
    <w:basedOn w:val="DefaultParagraphFont"/>
    <w:rsid w:val="00636489"/>
  </w:style>
  <w:style w:type="character" w:customStyle="1" w:styleId="Heading1Char">
    <w:name w:val="Heading 1 Char"/>
    <w:basedOn w:val="DefaultParagraphFont"/>
    <w:link w:val="Heading1"/>
    <w:uiPriority w:val="9"/>
    <w:rsid w:val="00972AB4"/>
    <w:rPr>
      <w:rFonts w:asciiTheme="majorHAnsi" w:eastAsiaTheme="majorEastAsia" w:hAnsiTheme="majorHAnsi" w:cstheme="majorBidi"/>
      <w:color w:val="0079BF" w:themeColor="accent1" w:themeShade="BF"/>
      <w:sz w:val="32"/>
      <w:szCs w:val="32"/>
      <w:lang w:val="en-US" w:eastAsia="en-US"/>
    </w:rPr>
  </w:style>
  <w:style w:type="paragraph" w:styleId="ListParagraph">
    <w:name w:val="List Paragraph"/>
    <w:qFormat/>
    <w:rsid w:val="000A204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25436">
      <w:bodyDiv w:val="1"/>
      <w:marLeft w:val="0"/>
      <w:marRight w:val="0"/>
      <w:marTop w:val="0"/>
      <w:marBottom w:val="0"/>
      <w:divBdr>
        <w:top w:val="none" w:sz="0" w:space="0" w:color="auto"/>
        <w:left w:val="none" w:sz="0" w:space="0" w:color="auto"/>
        <w:bottom w:val="none" w:sz="0" w:space="0" w:color="auto"/>
        <w:right w:val="none" w:sz="0" w:space="0" w:color="auto"/>
      </w:divBdr>
    </w:div>
    <w:div w:id="880747942">
      <w:bodyDiv w:val="1"/>
      <w:marLeft w:val="0"/>
      <w:marRight w:val="0"/>
      <w:marTop w:val="0"/>
      <w:marBottom w:val="0"/>
      <w:divBdr>
        <w:top w:val="none" w:sz="0" w:space="0" w:color="auto"/>
        <w:left w:val="none" w:sz="0" w:space="0" w:color="auto"/>
        <w:bottom w:val="none" w:sz="0" w:space="0" w:color="auto"/>
        <w:right w:val="none" w:sz="0" w:space="0" w:color="auto"/>
      </w:divBdr>
    </w:div>
    <w:div w:id="882399967">
      <w:bodyDiv w:val="1"/>
      <w:marLeft w:val="0"/>
      <w:marRight w:val="0"/>
      <w:marTop w:val="0"/>
      <w:marBottom w:val="0"/>
      <w:divBdr>
        <w:top w:val="none" w:sz="0" w:space="0" w:color="auto"/>
        <w:left w:val="none" w:sz="0" w:space="0" w:color="auto"/>
        <w:bottom w:val="none" w:sz="0" w:space="0" w:color="auto"/>
        <w:right w:val="none" w:sz="0" w:space="0" w:color="auto"/>
      </w:divBdr>
    </w:div>
    <w:div w:id="944922722">
      <w:bodyDiv w:val="1"/>
      <w:marLeft w:val="0"/>
      <w:marRight w:val="0"/>
      <w:marTop w:val="0"/>
      <w:marBottom w:val="0"/>
      <w:divBdr>
        <w:top w:val="none" w:sz="0" w:space="0" w:color="auto"/>
        <w:left w:val="none" w:sz="0" w:space="0" w:color="auto"/>
        <w:bottom w:val="none" w:sz="0" w:space="0" w:color="auto"/>
        <w:right w:val="none" w:sz="0" w:space="0" w:color="auto"/>
      </w:divBdr>
    </w:div>
    <w:div w:id="1050617464">
      <w:bodyDiv w:val="1"/>
      <w:marLeft w:val="0"/>
      <w:marRight w:val="0"/>
      <w:marTop w:val="0"/>
      <w:marBottom w:val="0"/>
      <w:divBdr>
        <w:top w:val="none" w:sz="0" w:space="0" w:color="auto"/>
        <w:left w:val="none" w:sz="0" w:space="0" w:color="auto"/>
        <w:bottom w:val="none" w:sz="0" w:space="0" w:color="auto"/>
        <w:right w:val="none" w:sz="0" w:space="0" w:color="auto"/>
      </w:divBdr>
    </w:div>
    <w:div w:id="1140808778">
      <w:bodyDiv w:val="1"/>
      <w:marLeft w:val="0"/>
      <w:marRight w:val="0"/>
      <w:marTop w:val="0"/>
      <w:marBottom w:val="0"/>
      <w:divBdr>
        <w:top w:val="none" w:sz="0" w:space="0" w:color="auto"/>
        <w:left w:val="none" w:sz="0" w:space="0" w:color="auto"/>
        <w:bottom w:val="none" w:sz="0" w:space="0" w:color="auto"/>
        <w:right w:val="none" w:sz="0" w:space="0" w:color="auto"/>
      </w:divBdr>
    </w:div>
    <w:div w:id="1295911307">
      <w:bodyDiv w:val="1"/>
      <w:marLeft w:val="0"/>
      <w:marRight w:val="0"/>
      <w:marTop w:val="0"/>
      <w:marBottom w:val="0"/>
      <w:divBdr>
        <w:top w:val="none" w:sz="0" w:space="0" w:color="auto"/>
        <w:left w:val="none" w:sz="0" w:space="0" w:color="auto"/>
        <w:bottom w:val="none" w:sz="0" w:space="0" w:color="auto"/>
        <w:right w:val="none" w:sz="0" w:space="0" w:color="auto"/>
      </w:divBdr>
    </w:div>
    <w:div w:id="1353267393">
      <w:bodyDiv w:val="1"/>
      <w:marLeft w:val="0"/>
      <w:marRight w:val="0"/>
      <w:marTop w:val="0"/>
      <w:marBottom w:val="0"/>
      <w:divBdr>
        <w:top w:val="none" w:sz="0" w:space="0" w:color="auto"/>
        <w:left w:val="none" w:sz="0" w:space="0" w:color="auto"/>
        <w:bottom w:val="none" w:sz="0" w:space="0" w:color="auto"/>
        <w:right w:val="none" w:sz="0" w:space="0" w:color="auto"/>
      </w:divBdr>
      <w:divsChild>
        <w:div w:id="885988583">
          <w:marLeft w:val="0"/>
          <w:marRight w:val="0"/>
          <w:marTop w:val="0"/>
          <w:marBottom w:val="0"/>
          <w:divBdr>
            <w:top w:val="none" w:sz="0" w:space="0" w:color="auto"/>
            <w:left w:val="none" w:sz="0" w:space="0" w:color="auto"/>
            <w:bottom w:val="none" w:sz="0" w:space="0" w:color="auto"/>
            <w:right w:val="none" w:sz="0" w:space="0" w:color="auto"/>
          </w:divBdr>
        </w:div>
      </w:divsChild>
    </w:div>
    <w:div w:id="1517307854">
      <w:bodyDiv w:val="1"/>
      <w:marLeft w:val="0"/>
      <w:marRight w:val="0"/>
      <w:marTop w:val="0"/>
      <w:marBottom w:val="0"/>
      <w:divBdr>
        <w:top w:val="none" w:sz="0" w:space="0" w:color="auto"/>
        <w:left w:val="none" w:sz="0" w:space="0" w:color="auto"/>
        <w:bottom w:val="none" w:sz="0" w:space="0" w:color="auto"/>
        <w:right w:val="none" w:sz="0" w:space="0" w:color="auto"/>
      </w:divBdr>
    </w:div>
    <w:div w:id="1569880382">
      <w:bodyDiv w:val="1"/>
      <w:marLeft w:val="0"/>
      <w:marRight w:val="0"/>
      <w:marTop w:val="0"/>
      <w:marBottom w:val="0"/>
      <w:divBdr>
        <w:top w:val="none" w:sz="0" w:space="0" w:color="auto"/>
        <w:left w:val="none" w:sz="0" w:space="0" w:color="auto"/>
        <w:bottom w:val="none" w:sz="0" w:space="0" w:color="auto"/>
        <w:right w:val="none" w:sz="0" w:space="0" w:color="auto"/>
      </w:divBdr>
    </w:div>
    <w:div w:id="1673021559">
      <w:bodyDiv w:val="1"/>
      <w:marLeft w:val="0"/>
      <w:marRight w:val="0"/>
      <w:marTop w:val="0"/>
      <w:marBottom w:val="0"/>
      <w:divBdr>
        <w:top w:val="none" w:sz="0" w:space="0" w:color="auto"/>
        <w:left w:val="none" w:sz="0" w:space="0" w:color="auto"/>
        <w:bottom w:val="none" w:sz="0" w:space="0" w:color="auto"/>
        <w:right w:val="none" w:sz="0" w:space="0" w:color="auto"/>
      </w:divBdr>
    </w:div>
    <w:div w:id="1704134694">
      <w:bodyDiv w:val="1"/>
      <w:marLeft w:val="0"/>
      <w:marRight w:val="0"/>
      <w:marTop w:val="0"/>
      <w:marBottom w:val="0"/>
      <w:divBdr>
        <w:top w:val="none" w:sz="0" w:space="0" w:color="auto"/>
        <w:left w:val="none" w:sz="0" w:space="0" w:color="auto"/>
        <w:bottom w:val="none" w:sz="0" w:space="0" w:color="auto"/>
        <w:right w:val="none" w:sz="0" w:space="0" w:color="auto"/>
      </w:divBdr>
      <w:divsChild>
        <w:div w:id="165639055">
          <w:marLeft w:val="0"/>
          <w:marRight w:val="0"/>
          <w:marTop w:val="0"/>
          <w:marBottom w:val="0"/>
          <w:divBdr>
            <w:top w:val="none" w:sz="0" w:space="0" w:color="auto"/>
            <w:left w:val="none" w:sz="0" w:space="0" w:color="auto"/>
            <w:bottom w:val="none" w:sz="0" w:space="0" w:color="auto"/>
            <w:right w:val="none" w:sz="0" w:space="0" w:color="auto"/>
          </w:divBdr>
        </w:div>
      </w:divsChild>
    </w:div>
    <w:div w:id="1814760124">
      <w:bodyDiv w:val="1"/>
      <w:marLeft w:val="0"/>
      <w:marRight w:val="0"/>
      <w:marTop w:val="0"/>
      <w:marBottom w:val="0"/>
      <w:divBdr>
        <w:top w:val="none" w:sz="0" w:space="0" w:color="auto"/>
        <w:left w:val="none" w:sz="0" w:space="0" w:color="auto"/>
        <w:bottom w:val="none" w:sz="0" w:space="0" w:color="auto"/>
        <w:right w:val="none" w:sz="0" w:space="0" w:color="auto"/>
      </w:divBdr>
    </w:div>
    <w:div w:id="1832065943">
      <w:bodyDiv w:val="1"/>
      <w:marLeft w:val="0"/>
      <w:marRight w:val="0"/>
      <w:marTop w:val="0"/>
      <w:marBottom w:val="0"/>
      <w:divBdr>
        <w:top w:val="none" w:sz="0" w:space="0" w:color="auto"/>
        <w:left w:val="none" w:sz="0" w:space="0" w:color="auto"/>
        <w:bottom w:val="none" w:sz="0" w:space="0" w:color="auto"/>
        <w:right w:val="none" w:sz="0" w:space="0" w:color="auto"/>
      </w:divBdr>
      <w:divsChild>
        <w:div w:id="1222714443">
          <w:marLeft w:val="0"/>
          <w:marRight w:val="0"/>
          <w:marTop w:val="0"/>
          <w:marBottom w:val="0"/>
          <w:divBdr>
            <w:top w:val="none" w:sz="0" w:space="0" w:color="auto"/>
            <w:left w:val="none" w:sz="0" w:space="0" w:color="auto"/>
            <w:bottom w:val="none" w:sz="0" w:space="0" w:color="auto"/>
            <w:right w:val="none" w:sz="0" w:space="0" w:color="auto"/>
          </w:divBdr>
        </w:div>
      </w:divsChild>
    </w:div>
    <w:div w:id="1885870206">
      <w:bodyDiv w:val="1"/>
      <w:marLeft w:val="0"/>
      <w:marRight w:val="0"/>
      <w:marTop w:val="0"/>
      <w:marBottom w:val="0"/>
      <w:divBdr>
        <w:top w:val="none" w:sz="0" w:space="0" w:color="auto"/>
        <w:left w:val="none" w:sz="0" w:space="0" w:color="auto"/>
        <w:bottom w:val="none" w:sz="0" w:space="0" w:color="auto"/>
        <w:right w:val="none" w:sz="0" w:space="0" w:color="auto"/>
      </w:divBdr>
    </w:div>
    <w:div w:id="1915813903">
      <w:bodyDiv w:val="1"/>
      <w:marLeft w:val="0"/>
      <w:marRight w:val="0"/>
      <w:marTop w:val="0"/>
      <w:marBottom w:val="0"/>
      <w:divBdr>
        <w:top w:val="none" w:sz="0" w:space="0" w:color="auto"/>
        <w:left w:val="none" w:sz="0" w:space="0" w:color="auto"/>
        <w:bottom w:val="none" w:sz="0" w:space="0" w:color="auto"/>
        <w:right w:val="none" w:sz="0" w:space="0" w:color="auto"/>
      </w:divBdr>
    </w:div>
    <w:div w:id="2007127751">
      <w:bodyDiv w:val="1"/>
      <w:marLeft w:val="0"/>
      <w:marRight w:val="0"/>
      <w:marTop w:val="0"/>
      <w:marBottom w:val="0"/>
      <w:divBdr>
        <w:top w:val="none" w:sz="0" w:space="0" w:color="auto"/>
        <w:left w:val="none" w:sz="0" w:space="0" w:color="auto"/>
        <w:bottom w:val="none" w:sz="0" w:space="0" w:color="auto"/>
        <w:right w:val="none" w:sz="0" w:space="0" w:color="auto"/>
      </w:divBdr>
      <w:divsChild>
        <w:div w:id="6828971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0554996667ea190410075efb7b33d844">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b45cc7d1611ea3c547732768f525ddbd"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345048-4f48-4f33-acaa-aa726ed2b624">
      <Value>1</Value>
    </TaxCatchAll>
    <lcf76f155ced4ddcb4097134ff3c332f xmlns="a45654d2-7e13-41e4-899b-c3fb30ebea62">
      <Terms xmlns="http://schemas.microsoft.com/office/infopath/2007/PartnerControls"/>
    </lcf76f155ced4ddcb4097134ff3c332f>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0AD51-E0F7-4B89-A5A7-C35E347F1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EAF317-7C01-4F55-9E7B-0D0E49408A39}">
  <ds:schemaRefs>
    <ds:schemaRef ds:uri="http://schemas.microsoft.com/office/2006/metadata/properties"/>
    <ds:schemaRef ds:uri="http://schemas.microsoft.com/office/infopath/2007/PartnerControls"/>
    <ds:schemaRef ds:uri="6c345048-4f48-4f33-acaa-aa726ed2b624"/>
    <ds:schemaRef ds:uri="a45654d2-7e13-41e4-899b-c3fb30ebea62"/>
  </ds:schemaRefs>
</ds:datastoreItem>
</file>

<file path=customXml/itemProps3.xml><?xml version="1.0" encoding="utf-8"?>
<ds:datastoreItem xmlns:ds="http://schemas.openxmlformats.org/officeDocument/2006/customXml" ds:itemID="{07A135BD-2683-4EFE-843E-6D84A12AD370}">
  <ds:schemaRefs>
    <ds:schemaRef ds:uri="http://schemas.microsoft.com/sharepoint/v3/contenttype/forms"/>
  </ds:schemaRefs>
</ds:datastoreItem>
</file>

<file path=customXml/itemProps4.xml><?xml version="1.0" encoding="utf-8"?>
<ds:datastoreItem xmlns:ds="http://schemas.openxmlformats.org/officeDocument/2006/customXml" ds:itemID="{D0ABA19B-E6D6-41DB-B9CA-17006039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1478</Words>
  <Characters>7762</Characters>
  <Application>Microsoft Office Word</Application>
  <DocSecurity>0</DocSecurity>
  <Lines>123</Lines>
  <Paragraphs>59</Paragraphs>
  <ScaleCrop>false</ScaleCrop>
  <HeadingPairs>
    <vt:vector size="2" baseType="variant">
      <vt:variant>
        <vt:lpstr>Title</vt:lpstr>
      </vt:variant>
      <vt:variant>
        <vt:i4>1</vt:i4>
      </vt:variant>
    </vt:vector>
  </HeadingPairs>
  <TitlesOfParts>
    <vt:vector size="1" baseType="lpstr">
      <vt:lpstr>Submission 93 - Monique Ryan MP - GST distribution reforms - Public inquiry</vt:lpstr>
    </vt:vector>
  </TitlesOfParts>
  <Company>Monique Ryan MP</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93 - Monique Ryan MP - GST distribution reforms - Public inquiry</dc:title>
  <dc:subject/>
  <dc:creator>Monique Ryan MP</dc:creator>
  <cp:keywords/>
  <cp:lastModifiedBy>Chris Alston</cp:lastModifiedBy>
  <cp:revision>4</cp:revision>
  <cp:lastPrinted>2022-12-14T19:51:00Z</cp:lastPrinted>
  <dcterms:created xsi:type="dcterms:W3CDTF">2026-10-06T00:29:00Z</dcterms:created>
  <dcterms:modified xsi:type="dcterms:W3CDTF">2026-10-06T00:30:00Z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34ce865e-2795-4ddc-b2ec-07259d2f90d5</vt:lpwstr>
  </property>
  <property fmtid="{D5CDD505-2E9C-101B-9397-08002B2CF9AE}" pid="4" name="ContentTypeId">
    <vt:lpwstr>0x010100E73A09F24D3C7D42BC4F0D225D56A002</vt:lpwstr>
  </property>
  <property fmtid="{D5CDD505-2E9C-101B-9397-08002B2CF9AE}" pid="5" name="RevIMBCS">
    <vt:lpwstr>1;#Unclassified|3955eeb1-2d18-4582-aeb2-00144ec3aaf5</vt:lpwstr>
  </property>
  <property fmtid="{D5CDD505-2E9C-101B-9397-08002B2CF9AE}" pid="6" name="docLang">
    <vt:lpwstr>en</vt:lpwstr>
  </property>
  <property fmtid="{D5CDD505-2E9C-101B-9397-08002B2CF9AE}" pid="7" name="MSIP_Label_c1f2b1ce-4212-46db-a901-dd8453f57141_Enabled">
    <vt:lpwstr>true</vt:lpwstr>
  </property>
  <property fmtid="{D5CDD505-2E9C-101B-9397-08002B2CF9AE}" pid="8" name="MSIP_Label_c1f2b1ce-4212-46db-a901-dd8453f57141_SetDate">
    <vt:lpwstr>2026-10-06T00:28:43Z</vt:lpwstr>
  </property>
  <property fmtid="{D5CDD505-2E9C-101B-9397-08002B2CF9AE}" pid="9" name="MSIP_Label_c1f2b1ce-4212-46db-a901-dd8453f57141_Method">
    <vt:lpwstr>Privileged</vt:lpwstr>
  </property>
  <property fmtid="{D5CDD505-2E9C-101B-9397-08002B2CF9AE}" pid="10" name="MSIP_Label_c1f2b1ce-4212-46db-a901-dd8453f57141_Name">
    <vt:lpwstr>Publish</vt:lpwstr>
  </property>
  <property fmtid="{D5CDD505-2E9C-101B-9397-08002B2CF9AE}" pid="11" name="MSIP_Label_c1f2b1ce-4212-46db-a901-dd8453f57141_SiteId">
    <vt:lpwstr>29f9330b-c0fe-4244-830e-ba9f275d6c34</vt:lpwstr>
  </property>
  <property fmtid="{D5CDD505-2E9C-101B-9397-08002B2CF9AE}" pid="12" name="MSIP_Label_c1f2b1ce-4212-46db-a901-dd8453f57141_ActionId">
    <vt:lpwstr>c665f913-d6b6-410b-b71c-618360ef1b2c</vt:lpwstr>
  </property>
  <property fmtid="{D5CDD505-2E9C-101B-9397-08002B2CF9AE}" pid="13" name="MSIP_Label_c1f2b1ce-4212-46db-a901-dd8453f57141_ContentBits">
    <vt:lpwstr>0</vt:lpwstr>
  </property>
  <property fmtid="{D5CDD505-2E9C-101B-9397-08002B2CF9AE}" pid="14" name="MSIP_Label_c1f2b1ce-4212-46db-a901-dd8453f57141_Tag">
    <vt:lpwstr>10, 0, 1, 1</vt:lpwstr>
  </property>
</Properties>
</file>