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553694" w:rsidP="00553694">
      <w:pPr>
        <w:pStyle w:val="Heading1"/>
        <w:spacing w:before="0"/>
      </w:pPr>
      <w:bookmarkStart w:id="0" w:name="ChapterNumber"/>
      <w:bookmarkStart w:id="1" w:name="_GoBack"/>
      <w:bookmarkEnd w:id="1"/>
      <w:r>
        <w:t>1</w:t>
      </w:r>
      <w:bookmarkEnd w:id="0"/>
      <w:r>
        <w:tab/>
      </w:r>
      <w:bookmarkStart w:id="2" w:name="ChapterTitle"/>
      <w:r>
        <w:t>About the inquiry</w:t>
      </w:r>
      <w:bookmarkEnd w:id="2"/>
    </w:p>
    <w:p w:rsidR="001B4768" w:rsidRDefault="001B4768" w:rsidP="001B4768">
      <w:pPr>
        <w:pStyle w:val="Heading2"/>
      </w:pPr>
      <w:bookmarkStart w:id="3" w:name="begin"/>
      <w:bookmarkEnd w:id="3"/>
      <w:r>
        <w:t>1.</w:t>
      </w:r>
      <w:r w:rsidR="00AD173A">
        <w:rPr>
          <w:noProof/>
        </w:rPr>
        <w:t>1</w:t>
      </w:r>
      <w:r>
        <w:tab/>
      </w:r>
      <w:r w:rsidRPr="007B730A">
        <w:t>What the Commission has been asked to do</w:t>
      </w:r>
    </w:p>
    <w:p w:rsidR="001B4768" w:rsidRPr="000755EB" w:rsidRDefault="001B4768" w:rsidP="001B4768">
      <w:pPr>
        <w:pStyle w:val="BodyText"/>
      </w:pPr>
      <w:r>
        <w:t xml:space="preserve">On 21 June 2013, the Australian Government asked the </w:t>
      </w:r>
      <w:r w:rsidRPr="00073C83">
        <w:t xml:space="preserve">Commission to </w:t>
      </w:r>
      <w:r>
        <w:t xml:space="preserve">inquire into </w:t>
      </w:r>
      <w:r w:rsidRPr="00073C83">
        <w:t>whether safeguard action</w:t>
      </w:r>
      <w:r>
        <w:t xml:space="preserve"> under World Trade Organization (WTO) rules</w:t>
      </w:r>
      <w:r w:rsidRPr="00073C83">
        <w:t xml:space="preserve"> is justified against imports of</w:t>
      </w:r>
      <w:r>
        <w:t xml:space="preserve"> </w:t>
      </w:r>
      <w:r w:rsidRPr="000755EB">
        <w:t>selected processed fruit products falling within subheading 2008 of the Australian Customs Tariff. The subheading is defined as:</w:t>
      </w:r>
    </w:p>
    <w:p w:rsidR="001B4768" w:rsidRPr="00D44721" w:rsidRDefault="001B4768" w:rsidP="001B4768">
      <w:pPr>
        <w:pStyle w:val="Quote"/>
      </w:pPr>
      <w:r>
        <w:t>Fruit, n</w:t>
      </w:r>
      <w:r w:rsidRPr="000755EB">
        <w:t>uts and other edible parts of plants, otherwise prepared or preserved, whether or not containing added sugar or other sweetening matter or spirit, not elsewhere specified or included.</w:t>
      </w:r>
    </w:p>
    <w:p w:rsidR="001B4768" w:rsidRDefault="001B4768" w:rsidP="001B4768">
      <w:pPr>
        <w:pStyle w:val="BodyText"/>
      </w:pPr>
      <w:r>
        <w:t>As specified in the terms of reference, the inquiry covers products under the following tariff classifications:</w:t>
      </w:r>
    </w:p>
    <w:p w:rsidR="001B4768" w:rsidRDefault="001B4768" w:rsidP="001B4768">
      <w:pPr>
        <w:pStyle w:val="ListBullet"/>
      </w:pPr>
      <w:r>
        <w:t>2008.30.00 (citrus)</w:t>
      </w:r>
    </w:p>
    <w:p w:rsidR="001B4768" w:rsidRDefault="001B4768" w:rsidP="001B4768">
      <w:pPr>
        <w:pStyle w:val="ListBullet"/>
      </w:pPr>
      <w:r>
        <w:t>2008.40.00 (pears)</w:t>
      </w:r>
    </w:p>
    <w:p w:rsidR="001B4768" w:rsidRDefault="001B4768" w:rsidP="001B4768">
      <w:pPr>
        <w:pStyle w:val="ListBullet"/>
      </w:pPr>
      <w:r>
        <w:t>2008.50.00 (apricots)</w:t>
      </w:r>
    </w:p>
    <w:p w:rsidR="001B4768" w:rsidRDefault="001B4768" w:rsidP="001B4768">
      <w:pPr>
        <w:pStyle w:val="ListBullet"/>
      </w:pPr>
      <w:r>
        <w:t>2008.70.00 (peaches)</w:t>
      </w:r>
    </w:p>
    <w:p w:rsidR="001B4768" w:rsidRDefault="001B4768" w:rsidP="001B4768">
      <w:pPr>
        <w:pStyle w:val="ListBullet"/>
      </w:pPr>
      <w:r>
        <w:t>2008.97.00 (mixtures)</w:t>
      </w:r>
    </w:p>
    <w:p w:rsidR="001B4768" w:rsidRDefault="001B4768" w:rsidP="001B4768">
      <w:pPr>
        <w:pStyle w:val="ListBullet"/>
      </w:pPr>
      <w:r>
        <w:t>2008.99.00 (other).</w:t>
      </w:r>
    </w:p>
    <w:p w:rsidR="001B4768" w:rsidRDefault="001B4768" w:rsidP="001B4768">
      <w:pPr>
        <w:pStyle w:val="BodyText"/>
      </w:pPr>
      <w:r>
        <w:t>The terms of reference are reprinted at the beginning of this report.</w:t>
      </w:r>
    </w:p>
    <w:p w:rsidR="001B4768" w:rsidRDefault="001B4768" w:rsidP="001B4768">
      <w:pPr>
        <w:pStyle w:val="BodyText"/>
      </w:pPr>
      <w:r>
        <w:t>Safeguard action is temporary, ‘emergency action’ (using tariffs, tariff</w:t>
      </w:r>
      <w:r>
        <w:noBreakHyphen/>
        <w:t>quotas or quotas) implemented in situations where a surge of imports causes or threatens to cause serious injury to a domestic industry. Safeguard measures may be applied for up to four years, and may be extended for a further four years, subject to several conditions (Commonwealth of Australia Special Gazette No. S 297, 1998).</w:t>
      </w:r>
    </w:p>
    <w:p w:rsidR="001B4768" w:rsidRDefault="001B4768" w:rsidP="001B4768">
      <w:pPr>
        <w:pStyle w:val="BodyText"/>
        <w:rPr>
          <w:lang w:val="en-US"/>
        </w:rPr>
      </w:pPr>
      <w:r w:rsidRPr="00073C83">
        <w:t xml:space="preserve">The </w:t>
      </w:r>
      <w:r>
        <w:t>Commission is to provide a report to the Australian Government</w:t>
      </w:r>
      <w:r w:rsidR="00526477">
        <w:t xml:space="preserve"> by 20 December 2013</w:t>
      </w:r>
      <w:r>
        <w:t xml:space="preserve"> on whether safeguard measures are justified. In addition, the Commission is to </w:t>
      </w:r>
      <w:r w:rsidRPr="00733624">
        <w:rPr>
          <w:lang w:val="en-US"/>
        </w:rPr>
        <w:t xml:space="preserve">provide an </w:t>
      </w:r>
      <w:r>
        <w:rPr>
          <w:lang w:val="en-US"/>
        </w:rPr>
        <w:t>‘</w:t>
      </w:r>
      <w:r w:rsidRPr="00733624">
        <w:rPr>
          <w:lang w:val="en-US"/>
        </w:rPr>
        <w:t>accelerated report</w:t>
      </w:r>
      <w:r>
        <w:rPr>
          <w:lang w:val="en-US"/>
        </w:rPr>
        <w:t>’</w:t>
      </w:r>
      <w:r w:rsidRPr="00733624">
        <w:rPr>
          <w:lang w:val="en-US"/>
        </w:rPr>
        <w:t xml:space="preserve"> by </w:t>
      </w:r>
      <w:r>
        <w:rPr>
          <w:lang w:val="en-US"/>
        </w:rPr>
        <w:t>20 September 2013,</w:t>
      </w:r>
      <w:r w:rsidRPr="00733624">
        <w:rPr>
          <w:lang w:val="en-US"/>
        </w:rPr>
        <w:t xml:space="preserve"> as to whether </w:t>
      </w:r>
      <w:r w:rsidRPr="0042659A">
        <w:rPr>
          <w:i/>
          <w:lang w:val="en-US"/>
        </w:rPr>
        <w:t>provisional</w:t>
      </w:r>
      <w:r w:rsidRPr="00733624">
        <w:rPr>
          <w:lang w:val="en-US"/>
        </w:rPr>
        <w:t xml:space="preserve"> safeguard measures should be put in place</w:t>
      </w:r>
      <w:r>
        <w:rPr>
          <w:lang w:val="en-US"/>
        </w:rPr>
        <w:t xml:space="preserve">. </w:t>
      </w:r>
    </w:p>
    <w:p w:rsidR="001B4768" w:rsidRDefault="001B4768" w:rsidP="001B4768">
      <w:pPr>
        <w:pStyle w:val="BodyText"/>
        <w:rPr>
          <w:lang w:val="en-US"/>
        </w:rPr>
      </w:pPr>
    </w:p>
    <w:p w:rsidR="001B4768" w:rsidRDefault="001B4768" w:rsidP="001B4768">
      <w:pPr>
        <w:pStyle w:val="BodyText"/>
      </w:pPr>
      <w:r>
        <w:rPr>
          <w:lang w:val="en-US"/>
        </w:rPr>
        <w:lastRenderedPageBreak/>
        <w:t xml:space="preserve">According to Article 6 of the </w:t>
      </w:r>
      <w:r>
        <w:t>WTO Agreement on Safeguards</w:t>
      </w:r>
      <w:r>
        <w:rPr>
          <w:lang w:val="en-US"/>
        </w:rPr>
        <w:t xml:space="preserve">, </w:t>
      </w:r>
      <w:r>
        <w:t>p</w:t>
      </w:r>
      <w:r w:rsidRPr="0042659A">
        <w:t xml:space="preserve">rovisional </w:t>
      </w:r>
      <w:r>
        <w:t>measures may be implemented:</w:t>
      </w:r>
    </w:p>
    <w:p w:rsidR="001B4768" w:rsidRDefault="001B4768" w:rsidP="001B4768">
      <w:pPr>
        <w:pStyle w:val="Quote"/>
      </w:pPr>
      <w:r>
        <w:t xml:space="preserve">[i]n critical circumstances </w:t>
      </w:r>
      <w:r w:rsidRPr="00D107AE">
        <w:t xml:space="preserve">where delay would cause damage which it would be difficult to repair </w:t>
      </w:r>
      <w:r>
        <w:t xml:space="preserve">… </w:t>
      </w:r>
      <w:r w:rsidRPr="00D107AE">
        <w:t>pursuant to a preliminary determination that there is clear evidence that increased imports have caused or are threatening to cause serious injury</w:t>
      </w:r>
      <w:r>
        <w:rPr>
          <w:sz w:val="21"/>
          <w:szCs w:val="21"/>
        </w:rPr>
        <w:t>.</w:t>
      </w:r>
    </w:p>
    <w:p w:rsidR="001B4768" w:rsidRDefault="001B4768" w:rsidP="001B4768">
      <w:pPr>
        <w:pStyle w:val="BodyText"/>
      </w:pPr>
      <w:r>
        <w:t>The terms of reference require the Commission to conduct the safeguards inquiry in line with the criteria set out in the Commonwealth of Australia Special Gazette No. S 297, as amended by No. GN 39 (reprinted in appendix B). These criteria largely mirror the terms of the Agreement on Safeguards. They stipulate that before recommending any safeguard measures, the Commission must:</w:t>
      </w:r>
    </w:p>
    <w:p w:rsidR="001B4768" w:rsidRDefault="001B4768" w:rsidP="001B4768">
      <w:pPr>
        <w:pStyle w:val="ListBullet"/>
      </w:pPr>
      <w:r>
        <w:t>determine whether safeguard measures would be justified under the WTO Agreement and, if so,</w:t>
      </w:r>
    </w:p>
    <w:p w:rsidR="001B4768" w:rsidRDefault="001B4768" w:rsidP="001B4768">
      <w:pPr>
        <w:pStyle w:val="ListBullet"/>
      </w:pPr>
      <w:r>
        <w:t xml:space="preserve">consider what measures would be necessary to prevent or remedy serious injury and to facilitate adjustment. </w:t>
      </w:r>
    </w:p>
    <w:p w:rsidR="001B4768" w:rsidRDefault="001B4768" w:rsidP="001B4768">
      <w:pPr>
        <w:pStyle w:val="BodyText"/>
      </w:pPr>
      <w:r>
        <w:t>Australia’s procedures for safeguard</w:t>
      </w:r>
      <w:r w:rsidR="00DC2957">
        <w:t>s</w:t>
      </w:r>
      <w:r>
        <w:t xml:space="preserve"> inquiries go beyond what is essential under the WTO Agreement. In assessing whether measures should be implemented, the Commission must also have regard to the </w:t>
      </w:r>
      <w:r w:rsidRPr="002E61B6">
        <w:t>Government’s</w:t>
      </w:r>
      <w:r>
        <w:t xml:space="preserve"> requirements for assessing the impact of regulation which affects business. This requires the Commission to subject any proposed measures to a regulatory impact assessment of the community</w:t>
      </w:r>
      <w:r>
        <w:noBreakHyphen/>
        <w:t>wide costs and benefits, before making a recommendation.</w:t>
      </w:r>
    </w:p>
    <w:p w:rsidR="001B4768" w:rsidRDefault="001B4768" w:rsidP="001B4768">
      <w:pPr>
        <w:pStyle w:val="BodyText"/>
      </w:pPr>
      <w:r>
        <w:t>Under WTO rules, a government can only take safeguard action (whether final or provisional) if its ‘</w:t>
      </w:r>
      <w:r w:rsidRPr="00DB5308">
        <w:t>competent</w:t>
      </w:r>
      <w:r>
        <w:t xml:space="preserve"> authority’ finds that action is justified. Although the government can choose not to act, if it does take action it cannot impose measures greater than those considered appropriate by the authority (in this case, the Productivity Commission).</w:t>
      </w:r>
    </w:p>
    <w:p w:rsidR="001B4768" w:rsidRDefault="001B4768" w:rsidP="001B4768">
      <w:pPr>
        <w:pStyle w:val="Heading2"/>
      </w:pPr>
      <w:r>
        <w:t>1.</w:t>
      </w:r>
      <w:r w:rsidR="00AD173A">
        <w:rPr>
          <w:noProof/>
        </w:rPr>
        <w:t>2</w:t>
      </w:r>
      <w:r>
        <w:tab/>
        <w:t>Background</w:t>
      </w:r>
    </w:p>
    <w:p w:rsidR="001B4768" w:rsidRDefault="001B4768" w:rsidP="001B4768">
      <w:pPr>
        <w:pStyle w:val="BodyText"/>
      </w:pPr>
      <w:r>
        <w:t>This inquiry, together with the concurrent safeguards inquiry into the import of processed tomato products, was prompted by industry concern about the impact of import competition. Specifically, it follows a request by SPC Ardmona (a food processing company) to the Australian Government to apply safeguard measures to the import of certain processed fruit products.</w:t>
      </w:r>
    </w:p>
    <w:p w:rsidR="00AD2BE7" w:rsidRDefault="001B4768" w:rsidP="001B4768">
      <w:pPr>
        <w:pStyle w:val="BodyText"/>
      </w:pPr>
      <w:r>
        <w:t>SPC Ardmona also applied for anti</w:t>
      </w:r>
      <w:r>
        <w:noBreakHyphen/>
        <w:t>dumping measures on prepared or preserved peach products imported from South Africa. An investigation was initiated by the Anti</w:t>
      </w:r>
      <w:r>
        <w:noBreakHyphen/>
        <w:t>Dumping Commission on 10 Ju</w:t>
      </w:r>
      <w:r w:rsidR="00AD2BE7">
        <w:t>ly 2013.</w:t>
      </w:r>
    </w:p>
    <w:p w:rsidR="001B4768" w:rsidRPr="00F1617D" w:rsidRDefault="001B4768" w:rsidP="001B4768">
      <w:pPr>
        <w:pStyle w:val="BodyText"/>
      </w:pPr>
      <w:r w:rsidRPr="00F1617D">
        <w:lastRenderedPageBreak/>
        <w:t>Anti</w:t>
      </w:r>
      <w:r w:rsidRPr="00F1617D">
        <w:noBreakHyphen/>
        <w:t>dumping measures are distinct from safeguard measures. Anti</w:t>
      </w:r>
      <w:r w:rsidRPr="00F1617D">
        <w:noBreakHyphen/>
        <w:t>dumping duties can be applied in circumstances whe</w:t>
      </w:r>
      <w:r>
        <w:t>re</w:t>
      </w:r>
      <w:r w:rsidRPr="00F1617D">
        <w:t xml:space="preserve"> products are sold into the domestic market at ‘dumped’ prices and this is causing or threatening to cause </w:t>
      </w:r>
      <w:r w:rsidRPr="00F1617D">
        <w:rPr>
          <w:i/>
        </w:rPr>
        <w:t>material</w:t>
      </w:r>
      <w:r w:rsidRPr="00F1617D">
        <w:t xml:space="preserve"> injury to the domestic industry. Safeguard measures can be applied if imports have increased rapidly, and this increase is causing or threatening to cause </w:t>
      </w:r>
      <w:r w:rsidRPr="00F1617D">
        <w:rPr>
          <w:i/>
        </w:rPr>
        <w:t>serious</w:t>
      </w:r>
      <w:r w:rsidRPr="00F1617D">
        <w:t xml:space="preserve"> injury to the domestic industry. </w:t>
      </w:r>
      <w:r w:rsidR="00AD2BE7">
        <w:t>For safeguard measures, t</w:t>
      </w:r>
      <w:r w:rsidR="00AD2BE7" w:rsidRPr="007565E4">
        <w:t>here is no requirement that the incre</w:t>
      </w:r>
      <w:r w:rsidR="00AD2BE7">
        <w:t>ased imports are being ‘dumped’. Although the WTO Agreement on Safeguards provides no clear guidance on what constitutes serious injury, it is consistently interpreted as being a more demanding test than the material injury test applying in anti</w:t>
      </w:r>
      <w:r w:rsidR="00AD2BE7">
        <w:noBreakHyphen/>
        <w:t>dumping.</w:t>
      </w:r>
    </w:p>
    <w:p w:rsidR="001B4768" w:rsidRDefault="00AD2BE7" w:rsidP="001B4768">
      <w:pPr>
        <w:pStyle w:val="BodyText"/>
      </w:pPr>
      <w:r>
        <w:t>Following investigations, a</w:t>
      </w:r>
      <w:r w:rsidR="001B4768">
        <w:t>nti</w:t>
      </w:r>
      <w:r w:rsidR="001B4768">
        <w:noBreakHyphen/>
        <w:t>dumping and countervailing duties</w:t>
      </w:r>
      <w:r w:rsidR="001B4768" w:rsidRPr="00F1617D">
        <w:rPr>
          <w:color w:val="1F497D"/>
        </w:rPr>
        <w:t xml:space="preserve"> </w:t>
      </w:r>
      <w:r w:rsidR="001B4768" w:rsidRPr="00F1617D">
        <w:t xml:space="preserve">(which can be applied to offset the trade effects of subsidies paid by foreign governments) </w:t>
      </w:r>
      <w:r w:rsidR="001B4768">
        <w:t>have been applied to processed peach and pear products in the past (box 1.1).</w:t>
      </w:r>
    </w:p>
    <w:p w:rsidR="001B4768" w:rsidRDefault="001B4768" w:rsidP="00CA114C">
      <w:pPr>
        <w:pStyle w:val="BoxSpaceAbove"/>
        <w:spacing w:before="32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B4768" w:rsidTr="008C6453">
        <w:tc>
          <w:tcPr>
            <w:tcW w:w="8771" w:type="dxa"/>
            <w:tcBorders>
              <w:top w:val="single" w:sz="6" w:space="0" w:color="auto"/>
              <w:bottom w:val="nil"/>
            </w:tcBorders>
          </w:tcPr>
          <w:p w:rsidR="001B4768" w:rsidRDefault="001B4768" w:rsidP="008C6453">
            <w:pPr>
              <w:pStyle w:val="BoxTitle"/>
            </w:pPr>
            <w:r>
              <w:rPr>
                <w:b w:val="0"/>
              </w:rPr>
              <w:t xml:space="preserve">Box </w:t>
            </w:r>
            <w:bookmarkStart w:id="4" w:name="OLE_LINK1"/>
            <w:r>
              <w:rPr>
                <w:b w:val="0"/>
              </w:rPr>
              <w:t>1.</w:t>
            </w:r>
            <w:r w:rsidR="00AD173A">
              <w:rPr>
                <w:b w:val="0"/>
                <w:noProof/>
              </w:rPr>
              <w:t>1</w:t>
            </w:r>
            <w:bookmarkEnd w:id="4"/>
            <w:r>
              <w:tab/>
              <w:t>Anti</w:t>
            </w:r>
            <w:r>
              <w:noBreakHyphen/>
              <w:t>dumping measures applied to processed fruit imports</w:t>
            </w:r>
          </w:p>
        </w:tc>
      </w:tr>
      <w:tr w:rsidR="001B4768" w:rsidTr="008C6453">
        <w:trPr>
          <w:cantSplit/>
        </w:trPr>
        <w:tc>
          <w:tcPr>
            <w:tcW w:w="8771" w:type="dxa"/>
            <w:tcBorders>
              <w:top w:val="nil"/>
              <w:left w:val="single" w:sz="6" w:space="0" w:color="auto"/>
              <w:bottom w:val="nil"/>
              <w:right w:val="single" w:sz="6" w:space="0" w:color="auto"/>
            </w:tcBorders>
          </w:tcPr>
          <w:p w:rsidR="001B4768" w:rsidRDefault="001B4768" w:rsidP="008C6453">
            <w:pPr>
              <w:pStyle w:val="BoxListBullet"/>
            </w:pPr>
            <w:r w:rsidRPr="00EE046E">
              <w:rPr>
                <w:b/>
              </w:rPr>
              <w:t>November 1991:</w:t>
            </w:r>
            <w:r>
              <w:t xml:space="preserve"> Anti</w:t>
            </w:r>
            <w:r>
              <w:noBreakHyphen/>
              <w:t>dumping duties were applied to imports of canned pears from China. (Under Australia’s anti</w:t>
            </w:r>
            <w:r>
              <w:noBreakHyphen/>
              <w:t>dumping legislation, anti</w:t>
            </w:r>
            <w:r>
              <w:noBreakHyphen/>
              <w:t>dumping measures automatically expire after five years, unless they are revoked earlier or an application for continuation is accepted.)</w:t>
            </w:r>
          </w:p>
          <w:p w:rsidR="001B4768" w:rsidRPr="00EE046E" w:rsidRDefault="001B4768" w:rsidP="001B4768">
            <w:pPr>
              <w:pStyle w:val="BoxListBullet2"/>
              <w:numPr>
                <w:ilvl w:val="0"/>
                <w:numId w:val="2"/>
              </w:numPr>
            </w:pPr>
            <w:r>
              <w:t>In 1996, the Canned Fruits Industry Council of Australia, acting on behalf of Ardmona Foods Limited and SPC Limited, applied to have the anti</w:t>
            </w:r>
            <w:r>
              <w:noBreakHyphen/>
              <w:t>dumping duties on canned pears from China continued for another five years from November 1996. The Anti</w:t>
            </w:r>
            <w:r>
              <w:noBreakHyphen/>
              <w:t>Dumping Authority found that such a continuation was not warranted, and (following ministerial acceptance of its recommendation) the duty expired in November 1996.</w:t>
            </w:r>
          </w:p>
          <w:p w:rsidR="001B4768" w:rsidRDefault="001B4768" w:rsidP="008C6453">
            <w:pPr>
              <w:pStyle w:val="BoxListBullet"/>
            </w:pPr>
            <w:r>
              <w:rPr>
                <w:b/>
              </w:rPr>
              <w:t>February</w:t>
            </w:r>
            <w:r w:rsidRPr="005F005F">
              <w:rPr>
                <w:b/>
              </w:rPr>
              <w:t xml:space="preserve"> </w:t>
            </w:r>
            <w:r>
              <w:rPr>
                <w:b/>
              </w:rPr>
              <w:t>1992:</w:t>
            </w:r>
            <w:r w:rsidRPr="005F005F">
              <w:t xml:space="preserve"> </w:t>
            </w:r>
            <w:r>
              <w:t>A</w:t>
            </w:r>
            <w:r w:rsidRPr="005F005F">
              <w:t>nti</w:t>
            </w:r>
            <w:r>
              <w:noBreakHyphen/>
            </w:r>
            <w:r w:rsidRPr="005F005F">
              <w:t xml:space="preserve">dumping duties were applied to imports of canned </w:t>
            </w:r>
            <w:r>
              <w:t xml:space="preserve">peaches from Greece and China, </w:t>
            </w:r>
            <w:r w:rsidRPr="005F005F">
              <w:t xml:space="preserve">and countervailing duties were applied to imports of canned </w:t>
            </w:r>
            <w:r>
              <w:t xml:space="preserve">peaches </w:t>
            </w:r>
            <w:r w:rsidRPr="005F005F">
              <w:t xml:space="preserve">from </w:t>
            </w:r>
            <w:r>
              <w:t>Greece and Spain.</w:t>
            </w:r>
            <w:r w:rsidRPr="005F005F">
              <w:t xml:space="preserve"> </w:t>
            </w:r>
          </w:p>
          <w:p w:rsidR="001B4768" w:rsidRDefault="001B4768" w:rsidP="001B4768">
            <w:pPr>
              <w:pStyle w:val="BoxListBullet2"/>
              <w:numPr>
                <w:ilvl w:val="0"/>
                <w:numId w:val="2"/>
              </w:numPr>
            </w:pPr>
            <w:r>
              <w:t>In 1996, the Canned Fruits Industry Council of Australia applied for the continuation of these measures. The Anti</w:t>
            </w:r>
            <w:r>
              <w:noBreakHyphen/>
              <w:t>Dumping Authority found that such a continuation was not warranted, except in the case of the countervailing measures against canned peaches from Greece, and so the other measures expired in February 1997.</w:t>
            </w:r>
          </w:p>
          <w:p w:rsidR="001B4768" w:rsidRDefault="001B4768" w:rsidP="001B4768">
            <w:pPr>
              <w:pStyle w:val="BoxListBullet2"/>
              <w:numPr>
                <w:ilvl w:val="0"/>
                <w:numId w:val="2"/>
              </w:numPr>
            </w:pPr>
            <w:r>
              <w:t>In 2001, another continuation inquiry was undertaken by the Australian Customs Service in relation to the countervailing measures against canned peaches from Greece. The measures were extended for a further five years, and expired in February 2007.</w:t>
            </w:r>
          </w:p>
          <w:p w:rsidR="001B4768" w:rsidRDefault="001B4768" w:rsidP="008C6453">
            <w:pPr>
              <w:pStyle w:val="BoxListBullet"/>
            </w:pPr>
            <w:r w:rsidRPr="005F005F">
              <w:rPr>
                <w:b/>
              </w:rPr>
              <w:t>June 2013</w:t>
            </w:r>
            <w:r w:rsidRPr="006E18BA">
              <w:rPr>
                <w:b/>
              </w:rPr>
              <w:t>:</w:t>
            </w:r>
            <w:r>
              <w:t xml:space="preserve"> SPC Ardmona applied for anti</w:t>
            </w:r>
            <w:r>
              <w:noBreakHyphen/>
              <w:t>dumping duties on prepared or preserved peach products exported from South Africa, and the Anti</w:t>
            </w:r>
            <w:r>
              <w:noBreakHyphen/>
              <w:t>Dumping Commission subsequently initiated an investigation on 10 July 2013.</w:t>
            </w:r>
          </w:p>
        </w:tc>
      </w:tr>
      <w:tr w:rsidR="001B4768" w:rsidTr="008C6453">
        <w:trPr>
          <w:cantSplit/>
        </w:trPr>
        <w:tc>
          <w:tcPr>
            <w:tcW w:w="8771" w:type="dxa"/>
            <w:tcBorders>
              <w:top w:val="nil"/>
              <w:left w:val="single" w:sz="6" w:space="0" w:color="auto"/>
              <w:bottom w:val="nil"/>
              <w:right w:val="single" w:sz="6" w:space="0" w:color="auto"/>
            </w:tcBorders>
          </w:tcPr>
          <w:p w:rsidR="001B4768" w:rsidRDefault="001B4768" w:rsidP="008C6453">
            <w:pPr>
              <w:pStyle w:val="BoxSource"/>
            </w:pPr>
            <w:r>
              <w:rPr>
                <w:i/>
              </w:rPr>
              <w:t>Sources</w:t>
            </w:r>
            <w:r w:rsidRPr="00167F06">
              <w:t>:</w:t>
            </w:r>
            <w:r>
              <w:t xml:space="preserve"> Anti</w:t>
            </w:r>
            <w:r>
              <w:noBreakHyphen/>
              <w:t>Dumping Commission </w:t>
            </w:r>
            <w:r w:rsidRPr="00F0173F">
              <w:rPr>
                <w:rFonts w:cs="Arial"/>
              </w:rPr>
              <w:t>(2013)</w:t>
            </w:r>
            <w:r>
              <w:t>; Australian Customs Service </w:t>
            </w:r>
            <w:r w:rsidRPr="00E53F75">
              <w:rPr>
                <w:rFonts w:cs="Arial"/>
              </w:rPr>
              <w:t>(1996)</w:t>
            </w:r>
            <w:r>
              <w:t>.</w:t>
            </w:r>
          </w:p>
        </w:tc>
      </w:tr>
      <w:tr w:rsidR="001B4768" w:rsidTr="008C6453">
        <w:trPr>
          <w:cantSplit/>
        </w:trPr>
        <w:tc>
          <w:tcPr>
            <w:tcW w:w="8771" w:type="dxa"/>
            <w:tcBorders>
              <w:top w:val="nil"/>
              <w:left w:val="single" w:sz="6" w:space="0" w:color="auto"/>
              <w:bottom w:val="single" w:sz="6" w:space="0" w:color="auto"/>
              <w:right w:val="single" w:sz="6" w:space="0" w:color="auto"/>
            </w:tcBorders>
          </w:tcPr>
          <w:p w:rsidR="001B4768" w:rsidRDefault="001B4768" w:rsidP="008C6453">
            <w:pPr>
              <w:pStyle w:val="Box"/>
              <w:spacing w:before="0" w:line="120" w:lineRule="exact"/>
            </w:pPr>
          </w:p>
        </w:tc>
      </w:tr>
      <w:tr w:rsidR="001B4768" w:rsidRPr="000863A5" w:rsidTr="008C6453">
        <w:tc>
          <w:tcPr>
            <w:tcW w:w="8771" w:type="dxa"/>
            <w:tcBorders>
              <w:top w:val="nil"/>
              <w:left w:val="nil"/>
              <w:bottom w:val="nil"/>
              <w:right w:val="nil"/>
            </w:tcBorders>
          </w:tcPr>
          <w:p w:rsidR="001B4768" w:rsidRPr="00626D32" w:rsidRDefault="001B4768" w:rsidP="008C6453">
            <w:pPr>
              <w:pStyle w:val="BoxSpaceBelow"/>
            </w:pPr>
          </w:p>
        </w:tc>
      </w:tr>
    </w:tbl>
    <w:p w:rsidR="001B4768" w:rsidRDefault="001B4768" w:rsidP="001B4768">
      <w:pPr>
        <w:pStyle w:val="BodyText"/>
      </w:pPr>
      <w:r>
        <w:lastRenderedPageBreak/>
        <w:t>This safeguards inquiry relates only to imports of processed fruit products falling within the tariff subheadings nominated in the terms of reference. These subheadings are defined in detail as follows:</w:t>
      </w:r>
    </w:p>
    <w:p w:rsidR="001B4768" w:rsidRDefault="001B4768" w:rsidP="001B4768">
      <w:pPr>
        <w:pStyle w:val="ListBullet"/>
      </w:pPr>
      <w:r>
        <w:t>2008.30.00 — citrus fruit (prepared or preserved, whether or not containing added sugar or other sweetening matter or spirit, not elsewhere specified or included)</w:t>
      </w:r>
    </w:p>
    <w:p w:rsidR="001B4768" w:rsidRDefault="001B4768" w:rsidP="001B4768">
      <w:pPr>
        <w:pStyle w:val="ListBullet"/>
      </w:pPr>
      <w:r>
        <w:t>2008.40.00 — pears (prepared or preserved, whether or not containing added sugar or other sweetening matter or spirit, not elsewhere specified or included)</w:t>
      </w:r>
    </w:p>
    <w:p w:rsidR="001B4768" w:rsidRDefault="001B4768" w:rsidP="001B4768">
      <w:pPr>
        <w:pStyle w:val="ListBullet"/>
      </w:pPr>
      <w:r>
        <w:t xml:space="preserve">2008.50.00 — apricots (prepared or preserved, whether or not containing added sugar or other sweetening matter or spirit, not elsewhere specified or included) </w:t>
      </w:r>
    </w:p>
    <w:p w:rsidR="001B4768" w:rsidRDefault="001B4768" w:rsidP="001B4768">
      <w:pPr>
        <w:pStyle w:val="ListBullet"/>
      </w:pPr>
      <w:r>
        <w:t>2008.70.00 — peaches, including nectarines (prepared or preserved, whether or not containing added sugar or other sweetening matter or spirit, not elsewhere specified or included)</w:t>
      </w:r>
    </w:p>
    <w:p w:rsidR="001B4768" w:rsidRDefault="001B4768" w:rsidP="001B4768">
      <w:pPr>
        <w:pStyle w:val="ListBullet"/>
      </w:pPr>
      <w:r>
        <w:t>2008.97.00 — mixtures (prepared or preserved, whether or not containing added sugar or other sweetening matter or spirit, not elsewhere specified or included)</w:t>
      </w:r>
    </w:p>
    <w:p w:rsidR="001B4768" w:rsidRDefault="001B4768" w:rsidP="001B4768">
      <w:pPr>
        <w:pStyle w:val="ListBullet"/>
      </w:pPr>
      <w:r>
        <w:t xml:space="preserve">2008.99.00 — other (prepared or preserved, whether or not containing added sugar or other sweetening matter or spirit, not elsewhere specified or included), </w:t>
      </w:r>
      <w:r w:rsidRPr="003E2C8F">
        <w:rPr>
          <w:b/>
        </w:rPr>
        <w:t>not</w:t>
      </w:r>
      <w:r>
        <w:t xml:space="preserve"> including </w:t>
      </w:r>
    </w:p>
    <w:p w:rsidR="001B4768" w:rsidRDefault="001B4768" w:rsidP="001B4768">
      <w:pPr>
        <w:pStyle w:val="ListBullet2"/>
      </w:pPr>
      <w:r>
        <w:t>2008.20.00 (pineapples)</w:t>
      </w:r>
    </w:p>
    <w:p w:rsidR="001B4768" w:rsidRDefault="001B4768" w:rsidP="001B4768">
      <w:pPr>
        <w:pStyle w:val="ListBullet2"/>
      </w:pPr>
      <w:r>
        <w:t>2008.60.00 (cherries)</w:t>
      </w:r>
    </w:p>
    <w:p w:rsidR="001B4768" w:rsidRDefault="001B4768" w:rsidP="001B4768">
      <w:pPr>
        <w:pStyle w:val="ListBullet2"/>
      </w:pPr>
      <w:r>
        <w:t>2008.80.00 (strawberries)</w:t>
      </w:r>
    </w:p>
    <w:p w:rsidR="001B4768" w:rsidRDefault="001B4768" w:rsidP="001B4768">
      <w:pPr>
        <w:pStyle w:val="ListBullet2"/>
      </w:pPr>
      <w:r>
        <w:t>2008.91.00 (palm hearts)</w:t>
      </w:r>
    </w:p>
    <w:p w:rsidR="001B4768" w:rsidRDefault="001B4768" w:rsidP="001B4768">
      <w:pPr>
        <w:pStyle w:val="ListBullet2"/>
      </w:pPr>
      <w:r>
        <w:t>2008.93.00 (cranberries).</w:t>
      </w:r>
    </w:p>
    <w:p w:rsidR="001B4768" w:rsidRDefault="001B4768" w:rsidP="001B4768">
      <w:pPr>
        <w:pStyle w:val="BodyText"/>
      </w:pPr>
      <w:r>
        <w:t xml:space="preserve">The specified individual tariff subheadings are the highest level of disaggregation at which the Commission may conduct its analysis for the purpose of determining the relevant domestic producers or the injury. </w:t>
      </w:r>
    </w:p>
    <w:p w:rsidR="001B4768" w:rsidRDefault="001B4768" w:rsidP="001B4768">
      <w:pPr>
        <w:pStyle w:val="BodyText"/>
      </w:pPr>
      <w:r>
        <w:t>Importantly, the tariff classifications under reference do not specify the size or type of packaging of the product (in contrast to the classifications for the tomato safeguards inquiry). The majority of prepared or preserved fruit products sold at retail level are packed into cans and rigid plastic containers ranging in size from single</w:t>
      </w:r>
      <w:r>
        <w:noBreakHyphen/>
        <w:t>serve (typically between 90 and 150 grams) to multi</w:t>
      </w:r>
      <w:r>
        <w:noBreakHyphen/>
        <w:t>serve containers of up to 1.5 kilograms (SPC Ardmona, sub. 39). Processed fruit products are also sold in bulk packaging directly to the food service industry.</w:t>
      </w:r>
    </w:p>
    <w:p w:rsidR="001B4768" w:rsidRDefault="001B4768" w:rsidP="001B4768">
      <w:pPr>
        <w:pStyle w:val="BodyText"/>
      </w:pPr>
      <w:r>
        <w:t xml:space="preserve">In its submission to this inquiry, SPC Ardmona sought to have safeguards applied to a different subset of products — ‘multiserve fruit’. However, for reasons set out in </w:t>
      </w:r>
      <w:r>
        <w:lastRenderedPageBreak/>
        <w:t>box 1.2, the Commission considers that the relevant domestic products for this inquiry must align with the tariff classifications and hence encompass all corresponding processed fruit irrespective of the nature or size of packaging.</w:t>
      </w:r>
    </w:p>
    <w:p w:rsidR="001B4768" w:rsidRDefault="001B4768" w:rsidP="001D4F1F">
      <w:pPr>
        <w:pStyle w:val="BoxSpaceAbove"/>
        <w:spacing w:before="32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B4768" w:rsidTr="008C6453">
        <w:tc>
          <w:tcPr>
            <w:tcW w:w="8771" w:type="dxa"/>
            <w:tcBorders>
              <w:top w:val="single" w:sz="6" w:space="0" w:color="auto"/>
              <w:bottom w:val="nil"/>
            </w:tcBorders>
          </w:tcPr>
          <w:p w:rsidR="001B4768" w:rsidRDefault="001B4768" w:rsidP="008C6453">
            <w:pPr>
              <w:pStyle w:val="BoxTitle"/>
            </w:pPr>
            <w:r>
              <w:rPr>
                <w:b w:val="0"/>
              </w:rPr>
              <w:t xml:space="preserve">Box </w:t>
            </w:r>
            <w:bookmarkStart w:id="5" w:name="OLE_LINK4"/>
            <w:r>
              <w:rPr>
                <w:b w:val="0"/>
              </w:rPr>
              <w:t>1.</w:t>
            </w:r>
            <w:r w:rsidR="00AD173A">
              <w:rPr>
                <w:b w:val="0"/>
                <w:noProof/>
              </w:rPr>
              <w:t>2</w:t>
            </w:r>
            <w:bookmarkEnd w:id="5"/>
            <w:r>
              <w:tab/>
            </w:r>
            <w:r w:rsidRPr="00190C9C">
              <w:t>Can the definition of products under reference be changed?</w:t>
            </w:r>
          </w:p>
        </w:tc>
      </w:tr>
      <w:tr w:rsidR="001B4768" w:rsidTr="008C6453">
        <w:trPr>
          <w:cantSplit/>
        </w:trPr>
        <w:tc>
          <w:tcPr>
            <w:tcW w:w="8771" w:type="dxa"/>
            <w:tcBorders>
              <w:top w:val="nil"/>
              <w:left w:val="single" w:sz="6" w:space="0" w:color="auto"/>
              <w:bottom w:val="nil"/>
              <w:right w:val="single" w:sz="6" w:space="0" w:color="auto"/>
            </w:tcBorders>
          </w:tcPr>
          <w:p w:rsidR="001B4768" w:rsidRDefault="001B4768" w:rsidP="008C6453">
            <w:pPr>
              <w:pStyle w:val="Box"/>
            </w:pPr>
            <w:r>
              <w:t>SPC Ardmona sought safeguard action only on processed fruit in multi</w:t>
            </w:r>
            <w:r>
              <w:noBreakHyphen/>
              <w:t xml:space="preserve">serve cans and plastic containers of sizes 300 grams to 1.5 kilograms. For processed peaches, this narrower subset is consistent with the product definition </w:t>
            </w:r>
            <w:r w:rsidR="0026542D">
              <w:t xml:space="preserve">in </w:t>
            </w:r>
            <w:r>
              <w:t>SPC Ardmona’s anti</w:t>
            </w:r>
            <w:r>
              <w:noBreakHyphen/>
              <w:t>dumping application currently before the Anti</w:t>
            </w:r>
            <w:r>
              <w:noBreakHyphen/>
              <w:t>Dumping Commission.</w:t>
            </w:r>
          </w:p>
          <w:p w:rsidR="002D6AB2" w:rsidRDefault="00566CFC" w:rsidP="00566CFC">
            <w:pPr>
              <w:pStyle w:val="Box"/>
            </w:pPr>
            <w:r>
              <w:t xml:space="preserve">As is the case in the concurrent safeguard inquiry into processed tomato products, the Commission’s assessment is that it is not inconsistent with the Agreement on Safeguards for the </w:t>
            </w:r>
            <w:r w:rsidRPr="00566CFC">
              <w:rPr>
                <w:b/>
              </w:rPr>
              <w:t>terms of reference</w:t>
            </w:r>
            <w:r>
              <w:t xml:space="preserve"> to refer to a product that is narrower in scope than the eight-digit tariff heading so long as the domestic industry producing the like or directly competitive product is properly defined. However, for this inquiry, the definition of the products under consideration is as specified in the </w:t>
            </w:r>
            <w:r w:rsidRPr="00566CFC">
              <w:rPr>
                <w:b/>
              </w:rPr>
              <w:t>terms of reference</w:t>
            </w:r>
            <w:r>
              <w:t>.</w:t>
            </w:r>
          </w:p>
          <w:p w:rsidR="00566CFC" w:rsidRDefault="002D6AB2" w:rsidP="00566CFC">
            <w:pPr>
              <w:pStyle w:val="Box"/>
            </w:pPr>
            <w:r>
              <w:t xml:space="preserve">In addition, any attempt to narrow the product description in the World Trade Organization notification and in the </w:t>
            </w:r>
            <w:r w:rsidRPr="00135ADA">
              <w:rPr>
                <w:b/>
              </w:rPr>
              <w:t>terms of reference</w:t>
            </w:r>
            <w:r>
              <w:t xml:space="preserve"> would raise issues for two key aspects of the safeguards investigation, namely:</w:t>
            </w:r>
          </w:p>
          <w:p w:rsidR="00566CFC" w:rsidRDefault="00566CFC" w:rsidP="00566CFC">
            <w:pPr>
              <w:pStyle w:val="BoxListBullet"/>
            </w:pPr>
            <w:r>
              <w:t>obtaining clear evidence of changes in imports (given that the Australian Bureau of Statistics does not separately identify imports at this level of detail)</w:t>
            </w:r>
          </w:p>
          <w:p w:rsidR="001B4768" w:rsidRDefault="00566CFC" w:rsidP="00566CFC">
            <w:pPr>
              <w:pStyle w:val="BoxListBullet"/>
            </w:pPr>
            <w:r>
              <w:t>defining ‘like or directly competitive’ products (those products would not necessarily be restricted to the narrower product description).</w:t>
            </w:r>
          </w:p>
        </w:tc>
      </w:tr>
      <w:tr w:rsidR="001B4768" w:rsidTr="008C6453">
        <w:trPr>
          <w:cantSplit/>
        </w:trPr>
        <w:tc>
          <w:tcPr>
            <w:tcW w:w="8771" w:type="dxa"/>
            <w:tcBorders>
              <w:top w:val="nil"/>
              <w:left w:val="single" w:sz="6" w:space="0" w:color="auto"/>
              <w:bottom w:val="nil"/>
              <w:right w:val="single" w:sz="6" w:space="0" w:color="auto"/>
            </w:tcBorders>
          </w:tcPr>
          <w:p w:rsidR="001B4768" w:rsidRDefault="001B4768" w:rsidP="002D6AB2">
            <w:pPr>
              <w:pStyle w:val="BoxSource"/>
            </w:pPr>
            <w:r>
              <w:rPr>
                <w:i/>
              </w:rPr>
              <w:t>Sources</w:t>
            </w:r>
            <w:r w:rsidRPr="00167F06">
              <w:t xml:space="preserve">: </w:t>
            </w:r>
            <w:r>
              <w:t>SPCA (sub. 39).</w:t>
            </w:r>
          </w:p>
        </w:tc>
      </w:tr>
      <w:tr w:rsidR="001B4768" w:rsidTr="008C6453">
        <w:trPr>
          <w:cantSplit/>
        </w:trPr>
        <w:tc>
          <w:tcPr>
            <w:tcW w:w="8771" w:type="dxa"/>
            <w:tcBorders>
              <w:top w:val="nil"/>
              <w:left w:val="single" w:sz="6" w:space="0" w:color="auto"/>
              <w:bottom w:val="single" w:sz="6" w:space="0" w:color="auto"/>
              <w:right w:val="single" w:sz="6" w:space="0" w:color="auto"/>
            </w:tcBorders>
          </w:tcPr>
          <w:p w:rsidR="001B4768" w:rsidRDefault="001B4768" w:rsidP="008C6453">
            <w:pPr>
              <w:pStyle w:val="Box"/>
              <w:spacing w:before="0" w:line="120" w:lineRule="exact"/>
            </w:pPr>
          </w:p>
        </w:tc>
      </w:tr>
      <w:tr w:rsidR="001B4768" w:rsidRPr="000863A5" w:rsidTr="008C6453">
        <w:tc>
          <w:tcPr>
            <w:tcW w:w="8771" w:type="dxa"/>
            <w:tcBorders>
              <w:top w:val="nil"/>
              <w:left w:val="nil"/>
              <w:bottom w:val="nil"/>
              <w:right w:val="nil"/>
            </w:tcBorders>
          </w:tcPr>
          <w:p w:rsidR="001B4768" w:rsidRPr="00626D32" w:rsidRDefault="001B4768" w:rsidP="008C6453">
            <w:pPr>
              <w:pStyle w:val="BoxSpaceBelow"/>
            </w:pPr>
          </w:p>
        </w:tc>
      </w:tr>
    </w:tbl>
    <w:p w:rsidR="001B4768" w:rsidRPr="0034690A" w:rsidRDefault="001B4768" w:rsidP="001B4768">
      <w:pPr>
        <w:pStyle w:val="BodyText"/>
      </w:pPr>
      <w:r>
        <w:t>At present, i</w:t>
      </w:r>
      <w:r w:rsidRPr="0034690A">
        <w:t xml:space="preserve">mports of mixtures and citrus fruit have no tariff applied to them. There is also no tariff on imports from </w:t>
      </w:r>
      <w:r>
        <w:t xml:space="preserve">New Zealand, Singapore, the United States, Thailand, Chile, Forum Island Countries (including Papua New Guinea) and ASEAN countries. Imports from countries defined as ‘Developing Countries’ or ‘Least Developed Countries’ in Schedule 1 of the Australian Customs Tariff also enter free of duty under certain conditions. </w:t>
      </w:r>
      <w:r w:rsidRPr="0034690A">
        <w:t xml:space="preserve">The tariff rate on the remaining imports is currently set at </w:t>
      </w:r>
      <w:r w:rsidRPr="003E2C8F">
        <w:rPr>
          <w:b/>
        </w:rPr>
        <w:t>5 per cent</w:t>
      </w:r>
      <w:r w:rsidRPr="0034690A">
        <w:t xml:space="preserve">. </w:t>
      </w:r>
      <w:r>
        <w:t>(The tariff rate for most imports into Australia is either zero or 5 per cent.)</w:t>
      </w:r>
    </w:p>
    <w:p w:rsidR="001B4768" w:rsidRDefault="001B4768" w:rsidP="001B4768">
      <w:pPr>
        <w:pStyle w:val="BodyText"/>
      </w:pPr>
      <w:r>
        <w:t xml:space="preserve">Processed fruit products falling within the relevant tariff subheading are imported mostly from South Africa and China, with Greece and Turkey being key source countries for peaches and apricots respectively. Over the five years to June 2013: </w:t>
      </w:r>
    </w:p>
    <w:p w:rsidR="001B4768" w:rsidRDefault="001B4768" w:rsidP="001B4768">
      <w:pPr>
        <w:pStyle w:val="ListBullet"/>
      </w:pPr>
      <w:r>
        <w:t>South Africa supplied 29 per cent of imported processed pears, 48 per cent of apricots, 45 per cent of peaches and 24 per cent of mixtures</w:t>
      </w:r>
    </w:p>
    <w:p w:rsidR="001B4768" w:rsidRDefault="001B4768" w:rsidP="001B4768">
      <w:pPr>
        <w:pStyle w:val="ListBullet"/>
      </w:pPr>
      <w:r>
        <w:t>China supplied 66 per cent of imported processed citrus products, 47 per cent of pears, 19 per cent of apricots, 29 per cent of peaches and 40 per cent of mixtures</w:t>
      </w:r>
    </w:p>
    <w:p w:rsidR="001B4768" w:rsidRDefault="001B4768" w:rsidP="001B4768">
      <w:pPr>
        <w:pStyle w:val="ListBullet"/>
      </w:pPr>
      <w:r>
        <w:lastRenderedPageBreak/>
        <w:t>Greece supplied about 15 per cent of imported processed peaches</w:t>
      </w:r>
    </w:p>
    <w:p w:rsidR="001B4768" w:rsidRDefault="001B4768" w:rsidP="001B4768">
      <w:pPr>
        <w:pStyle w:val="ListBullet"/>
      </w:pPr>
      <w:r>
        <w:t>Turkey supplied 30 per cent of imported processed apricots.</w:t>
      </w:r>
    </w:p>
    <w:p w:rsidR="001B4768" w:rsidRDefault="001B4768" w:rsidP="001B4768">
      <w:pPr>
        <w:pStyle w:val="Heading2"/>
      </w:pPr>
      <w:r>
        <w:t>1.</w:t>
      </w:r>
      <w:r w:rsidR="00AD173A">
        <w:rPr>
          <w:noProof/>
        </w:rPr>
        <w:t>3</w:t>
      </w:r>
      <w:r>
        <w:tab/>
        <w:t>Inquiry procedures and consultation</w:t>
      </w:r>
    </w:p>
    <w:p w:rsidR="001B4768" w:rsidRDefault="001B4768" w:rsidP="001B4768">
      <w:pPr>
        <w:pStyle w:val="BodyText"/>
      </w:pPr>
      <w:r>
        <w:t>The WTO Agreement on Safeguards requires safeguard</w:t>
      </w:r>
      <w:r w:rsidR="0041103E">
        <w:t>s</w:t>
      </w:r>
      <w:r>
        <w:t xml:space="preserve"> inquiries to be conducted in an open and transparent manner, with opportunities for interested parties to present their views and to respond to the views of others. Reflecting these requirements, </w:t>
      </w:r>
      <w:smartTag w:uri="urn:schemas-microsoft-com:office:smarttags" w:element="place">
        <w:smartTag w:uri="urn:schemas-microsoft-com:office:smarttags" w:element="PlaceType">
          <w:r>
            <w:t>Commonwealth</w:t>
          </w:r>
        </w:smartTag>
        <w:r>
          <w:t xml:space="preserve"> of </w:t>
        </w:r>
        <w:smartTag w:uri="urn:schemas-microsoft-com:office:smarttags" w:element="PlaceName">
          <w:r>
            <w:t>Australia Special Gazette No.</w:t>
          </w:r>
        </w:smartTag>
      </w:smartTag>
      <w:r>
        <w:t xml:space="preserve"> S 297 states that:</w:t>
      </w:r>
    </w:p>
    <w:p w:rsidR="001B4768" w:rsidRDefault="001B4768" w:rsidP="001B4768">
      <w:pPr>
        <w:pStyle w:val="ListBullet"/>
      </w:pPr>
      <w:r>
        <w:t>r</w:t>
      </w:r>
      <w:r w:rsidRPr="00520884">
        <w:t>easonable public notice must be given to all interested parties in accordance with section</w:t>
      </w:r>
      <w:r>
        <w:t> </w:t>
      </w:r>
      <w:r w:rsidRPr="00520884">
        <w:t xml:space="preserve">14 of the </w:t>
      </w:r>
      <w:r w:rsidRPr="00520884">
        <w:rPr>
          <w:i/>
        </w:rPr>
        <w:t xml:space="preserve">Productivity Commission Act </w:t>
      </w:r>
      <w:r w:rsidRPr="006B76F3">
        <w:rPr>
          <w:i/>
        </w:rPr>
        <w:t>1998</w:t>
      </w:r>
      <w:r>
        <w:t xml:space="preserve"> (Cwlth)</w:t>
      </w:r>
      <w:r w:rsidRPr="00520884">
        <w:t xml:space="preserve"> </w:t>
      </w:r>
    </w:p>
    <w:p w:rsidR="001B4768" w:rsidRDefault="001B4768" w:rsidP="001B4768">
      <w:pPr>
        <w:pStyle w:val="ListBullet"/>
      </w:pPr>
      <w:r>
        <w:t>t</w:t>
      </w:r>
      <w:r w:rsidRPr="00520884">
        <w:t xml:space="preserve">he inquiry must involve public hearings or other appropriate means in which importers, exporters and other interested parties can present evidence and their views, including the opportunity to respond to the presentations of other parties and to submit their views, </w:t>
      </w:r>
      <w:r w:rsidRPr="00520884">
        <w:rPr>
          <w:i/>
        </w:rPr>
        <w:t xml:space="preserve">inter alia, </w:t>
      </w:r>
      <w:r w:rsidRPr="00520884">
        <w:t>as to whether or not the application of a safeguard measure would be in the public interest</w:t>
      </w:r>
      <w:r>
        <w:t>.</w:t>
      </w:r>
    </w:p>
    <w:p w:rsidR="001B4768" w:rsidRDefault="001B4768" w:rsidP="001B4768">
      <w:pPr>
        <w:pStyle w:val="BodyText"/>
      </w:pPr>
      <w:r>
        <w:t>These requirements accord with Productivity Commission public inquiry procedures.</w:t>
      </w:r>
    </w:p>
    <w:p w:rsidR="001B4768" w:rsidRDefault="001B4768" w:rsidP="0041103E">
      <w:pPr>
        <w:pStyle w:val="Heading3"/>
      </w:pPr>
      <w:r>
        <w:t>Public notification</w:t>
      </w:r>
    </w:p>
    <w:p w:rsidR="001B4768" w:rsidRPr="00963C56" w:rsidRDefault="001B4768" w:rsidP="001B4768">
      <w:pPr>
        <w:pStyle w:val="BodyText"/>
      </w:pPr>
      <w:r>
        <w:t xml:space="preserve">The Australian Government commissioned the inquiry on 21 June 2013 and </w:t>
      </w:r>
      <w:r w:rsidRPr="00640B77">
        <w:t xml:space="preserve">formally notified the WTO of the safeguards investigation on </w:t>
      </w:r>
      <w:r w:rsidR="00D01DF2">
        <w:t>2 July</w:t>
      </w:r>
      <w:r w:rsidRPr="00640B77">
        <w:t xml:space="preserve"> 2013. </w:t>
      </w:r>
      <w:r>
        <w:t>Countries that account for large shares of Australian imports</w:t>
      </w:r>
      <w:r w:rsidRPr="00640B77">
        <w:t xml:space="preserve"> were</w:t>
      </w:r>
      <w:r>
        <w:t xml:space="preserve"> formally</w:t>
      </w:r>
      <w:r w:rsidRPr="00640B77">
        <w:t xml:space="preserve"> </w:t>
      </w:r>
      <w:r>
        <w:t>notified by the Department of Foreign Affairs and Trade.</w:t>
      </w:r>
    </w:p>
    <w:p w:rsidR="001B4768" w:rsidRDefault="001B4768" w:rsidP="001B4768">
      <w:pPr>
        <w:pStyle w:val="BodyText"/>
      </w:pPr>
      <w:r>
        <w:t xml:space="preserve">The inquiry was advertised in the </w:t>
      </w:r>
      <w:r w:rsidRPr="00022032">
        <w:rPr>
          <w:i/>
        </w:rPr>
        <w:t>Age</w:t>
      </w:r>
      <w:r>
        <w:t xml:space="preserve">, </w:t>
      </w:r>
      <w:r w:rsidRPr="00022032">
        <w:rPr>
          <w:i/>
        </w:rPr>
        <w:t>Australian</w:t>
      </w:r>
      <w:r>
        <w:t xml:space="preserve">, </w:t>
      </w:r>
      <w:r w:rsidRPr="00022032">
        <w:rPr>
          <w:i/>
        </w:rPr>
        <w:t>Shepparton</w:t>
      </w:r>
      <w:r>
        <w:t xml:space="preserve"> </w:t>
      </w:r>
      <w:r w:rsidRPr="00022032">
        <w:rPr>
          <w:i/>
        </w:rPr>
        <w:t>News</w:t>
      </w:r>
      <w:r>
        <w:t xml:space="preserve"> and </w:t>
      </w:r>
      <w:r w:rsidRPr="00022032">
        <w:rPr>
          <w:i/>
        </w:rPr>
        <w:t>Weekly</w:t>
      </w:r>
      <w:r>
        <w:t xml:space="preserve"> </w:t>
      </w:r>
      <w:r w:rsidRPr="00022032">
        <w:rPr>
          <w:i/>
        </w:rPr>
        <w:t>Times</w:t>
      </w:r>
      <w:r>
        <w:t xml:space="preserve"> newspapers following receipt of the terms of reference. In early July 2013, an email circular was sent to individuals and organisations that had registered their interest or were considered likely to have an interest in the inquiry. The advertisements and circular outlined the nature of the inquiry and invited parties to register their interest. An issues paper setting out matters about which the Commission was seeking comment and information was released on 4 July 2013. The issues paper was sent to interested parties and was placed on the Commission’s website.</w:t>
      </w:r>
    </w:p>
    <w:p w:rsidR="001B4768" w:rsidRDefault="001B4768" w:rsidP="00991FB6">
      <w:pPr>
        <w:pStyle w:val="Heading3"/>
      </w:pPr>
      <w:r>
        <w:lastRenderedPageBreak/>
        <w:t>Informal consultation</w:t>
      </w:r>
    </w:p>
    <w:p w:rsidR="001B4768" w:rsidRDefault="001B4768" w:rsidP="001B4768">
      <w:pPr>
        <w:pStyle w:val="BodyText"/>
      </w:pPr>
      <w:r>
        <w:t>Informal meetings and visits were conducted in the early stages of the inquiry with SPC Ardmona, Coles Supermarkets and Australian Government departments. The Commission also held an informal roundtable in Shepparton on 12 July 2013, with representatives from the processing industry, fruit growers and others. Appendix A contains the full list of those consulted.</w:t>
      </w:r>
    </w:p>
    <w:p w:rsidR="001B4768" w:rsidRDefault="001B4768" w:rsidP="00991FB6">
      <w:pPr>
        <w:pStyle w:val="Heading3"/>
      </w:pPr>
      <w:r>
        <w:t>Data provision</w:t>
      </w:r>
    </w:p>
    <w:p w:rsidR="001B4768" w:rsidRDefault="001B4768" w:rsidP="001B4768">
      <w:pPr>
        <w:pStyle w:val="BodyText"/>
      </w:pPr>
      <w:r>
        <w:t xml:space="preserve">Key data used by the Commission in its </w:t>
      </w:r>
      <w:r w:rsidR="00736B7D">
        <w:t>analysis</w:t>
      </w:r>
      <w:r>
        <w:t xml:space="preserve"> were placed on its website to enable feedback and to facilitate their use by participants in the inquiry.</w:t>
      </w:r>
    </w:p>
    <w:p w:rsidR="001B4768" w:rsidRDefault="001B4768" w:rsidP="00736B7D">
      <w:pPr>
        <w:pStyle w:val="Heading3"/>
      </w:pPr>
      <w:r>
        <w:t>Submissions</w:t>
      </w:r>
    </w:p>
    <w:p w:rsidR="001B4768" w:rsidRDefault="001B4768" w:rsidP="001B4768">
      <w:pPr>
        <w:pStyle w:val="BodyText"/>
      </w:pPr>
      <w:r>
        <w:t>Given the timeframe for the accelerated report, participants were requested to provide initial submissions by 18 July 2013. Sixty</w:t>
      </w:r>
      <w:r>
        <w:noBreakHyphen/>
        <w:t>one submissions were received and all non</w:t>
      </w:r>
      <w:r>
        <w:noBreakHyphen/>
        <w:t>confidential submissions were posted on the Commission’s website as soon as possible (box 1.3). Where submissions contained commercial</w:t>
      </w:r>
      <w:r>
        <w:noBreakHyphen/>
        <w:t>in</w:t>
      </w:r>
      <w:r>
        <w:noBreakHyphen/>
        <w:t>confidence information, however, the relevant sections were not published or were redacted. Appendix A lists all submissions received.</w:t>
      </w:r>
    </w:p>
    <w:p w:rsidR="001B4768" w:rsidRDefault="001B4768" w:rsidP="001B4768">
      <w:pPr>
        <w:pStyle w:val="BodyText"/>
      </w:pPr>
      <w:r>
        <w:t>A number of foreign governments stated in their submissions and at the initial public hearing that they did not have adequate information to make a submission to the inquiry by the due date. In particular, they stated that the decision by SPC Ardmona not to provide a non</w:t>
      </w:r>
      <w:r>
        <w:noBreakHyphen/>
        <w:t>confidential summary of its application for safeguard measures limited the ability of interested parties to respond to the specifics of the claim.</w:t>
      </w:r>
    </w:p>
    <w:p w:rsidR="001B4768" w:rsidRDefault="001B4768" w:rsidP="001B4768">
      <w:pPr>
        <w:pStyle w:val="BodyText"/>
      </w:pPr>
      <w:r>
        <w:t>SPC Ardmona’s initial submission to this inquiry was confidential and lodged at the deadline. A non</w:t>
      </w:r>
      <w:r>
        <w:noBreakHyphen/>
        <w:t>confidential summary of the submission was provided on 22 July 2013, and was available to interested parties on 23 July 2013. In the interests of fairness and due process, the Commission made efforts to accommodate interested parties that were affected by SPC Ardmona’s delay in providing public information about its claims, including by accepting submissions after the due date.</w:t>
      </w:r>
    </w:p>
    <w:p w:rsidR="004864A0" w:rsidRDefault="004864A0" w:rsidP="00016D8D">
      <w:pPr>
        <w:pStyle w:val="Heading3"/>
      </w:pPr>
      <w:r>
        <w:t>Initial public hearing and transcripts</w:t>
      </w:r>
    </w:p>
    <w:p w:rsidR="001B4768" w:rsidRDefault="004864A0" w:rsidP="001B4768">
      <w:pPr>
        <w:pStyle w:val="BodyText"/>
      </w:pPr>
      <w:r>
        <w:t xml:space="preserve">A public hearing was held </w:t>
      </w:r>
      <w:r w:rsidRPr="00CD4E1C">
        <w:t>in Canberra on 30</w:t>
      </w:r>
      <w:r>
        <w:t> </w:t>
      </w:r>
      <w:r w:rsidRPr="00CD4E1C">
        <w:t>July 2013. Participants</w:t>
      </w:r>
      <w:r>
        <w:t xml:space="preserve"> are listed in appendix A and a transcript is available on the Commission’s website.</w:t>
      </w:r>
    </w:p>
    <w:p w:rsidR="001B4768" w:rsidRDefault="001B4768" w:rsidP="001B476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B4768" w:rsidTr="008C6453">
        <w:tc>
          <w:tcPr>
            <w:tcW w:w="8771" w:type="dxa"/>
            <w:tcBorders>
              <w:top w:val="single" w:sz="6" w:space="0" w:color="auto"/>
              <w:bottom w:val="nil"/>
            </w:tcBorders>
          </w:tcPr>
          <w:p w:rsidR="001B4768" w:rsidRDefault="001B4768" w:rsidP="008C6453">
            <w:pPr>
              <w:pStyle w:val="BoxTitle"/>
            </w:pPr>
            <w:r>
              <w:rPr>
                <w:b w:val="0"/>
              </w:rPr>
              <w:t xml:space="preserve">Box </w:t>
            </w:r>
            <w:bookmarkStart w:id="6" w:name="OLE_LINK3"/>
            <w:r>
              <w:rPr>
                <w:b w:val="0"/>
              </w:rPr>
              <w:t>1.</w:t>
            </w:r>
            <w:r w:rsidR="00AD173A">
              <w:rPr>
                <w:b w:val="0"/>
                <w:noProof/>
              </w:rPr>
              <w:t>3</w:t>
            </w:r>
            <w:bookmarkEnd w:id="6"/>
            <w:r>
              <w:tab/>
              <w:t>An overview of participants’ views</w:t>
            </w:r>
          </w:p>
        </w:tc>
      </w:tr>
      <w:tr w:rsidR="001B4768" w:rsidTr="008C6453">
        <w:trPr>
          <w:cantSplit/>
        </w:trPr>
        <w:tc>
          <w:tcPr>
            <w:tcW w:w="8771" w:type="dxa"/>
            <w:tcBorders>
              <w:top w:val="nil"/>
              <w:left w:val="single" w:sz="6" w:space="0" w:color="auto"/>
              <w:bottom w:val="nil"/>
              <w:right w:val="single" w:sz="6" w:space="0" w:color="auto"/>
            </w:tcBorders>
          </w:tcPr>
          <w:p w:rsidR="001B4768" w:rsidRDefault="001B4768" w:rsidP="008C6453">
            <w:pPr>
              <w:pStyle w:val="Box"/>
            </w:pPr>
            <w:r>
              <w:t>Normally in its inquiry reports, the Commission extensively cites views put to it in submissions and at public hearings. In the time available, this has not been possible for this accelerated report, although all submissions have been read and taken into account.</w:t>
            </w:r>
          </w:p>
          <w:p w:rsidR="001B4768" w:rsidRDefault="001B4768" w:rsidP="001B4768">
            <w:pPr>
              <w:pStyle w:val="BoxListBullet"/>
            </w:pPr>
            <w:r>
              <w:t>Of the 61 submissions received to date, about half (31) were from industry participants and suppliers to SPC Ardmona (including 21 from fruit growers and grower organisations). Virtually all argued that increased imports were the principal cause of reduced profitability and losses, and most supported safeguard measures to reduce imports.</w:t>
            </w:r>
          </w:p>
          <w:p w:rsidR="001B4768" w:rsidRDefault="001B4768" w:rsidP="001B4768">
            <w:pPr>
              <w:pStyle w:val="BoxListBullet"/>
            </w:pPr>
            <w:r>
              <w:t>Individuals and consumer groups, local governments, trade unions and members of parliament generally supported the case for safeguard action, arguing that the closure of SPC Ardmona’s facilities would have significant flow</w:t>
            </w:r>
            <w:r>
              <w:noBreakHyphen/>
              <w:t>on impacts on the region.</w:t>
            </w:r>
          </w:p>
          <w:p w:rsidR="001B4768" w:rsidRPr="004B066B" w:rsidRDefault="001B4768" w:rsidP="001B4768">
            <w:pPr>
              <w:pStyle w:val="BoxListBullet"/>
            </w:pPr>
            <w:r>
              <w:t>S</w:t>
            </w:r>
            <w:r w:rsidRPr="004B066B">
              <w:t xml:space="preserve">upermarket companies provided evidence on the retail performance of Australian and imported </w:t>
            </w:r>
            <w:r>
              <w:t>processed fruit and the performance of the processed fruit category as a whole (as well general information on policies to source products domestically where possible),</w:t>
            </w:r>
            <w:r w:rsidRPr="004B066B">
              <w:t xml:space="preserve"> without arguing for or against safeguard measures.</w:t>
            </w:r>
          </w:p>
          <w:p w:rsidR="001B4768" w:rsidRPr="005847DA" w:rsidRDefault="001B4768" w:rsidP="005847DA">
            <w:pPr>
              <w:pStyle w:val="Box"/>
              <w:rPr>
                <w:rStyle w:val="DraftingNote"/>
                <w:b w:val="0"/>
                <w:color w:val="auto"/>
                <w:sz w:val="22"/>
                <w:u w:val="none"/>
              </w:rPr>
            </w:pPr>
            <w:r w:rsidRPr="005847DA">
              <w:t>Eighteen submissions were received from representatives of industries in countries that export to Australia and their governments, with most arguing that the circumstances of the Australian industry did not satisfy the safeguard criteria. Some governments submitted that exports from their country were eligible to be excluded from the application of any safeguard measures.</w:t>
            </w:r>
          </w:p>
        </w:tc>
      </w:tr>
      <w:tr w:rsidR="001B4768" w:rsidTr="008C6453">
        <w:trPr>
          <w:cantSplit/>
        </w:trPr>
        <w:tc>
          <w:tcPr>
            <w:tcW w:w="8771" w:type="dxa"/>
            <w:tcBorders>
              <w:top w:val="nil"/>
              <w:left w:val="single" w:sz="6" w:space="0" w:color="auto"/>
              <w:bottom w:val="single" w:sz="6" w:space="0" w:color="auto"/>
              <w:right w:val="single" w:sz="6" w:space="0" w:color="auto"/>
            </w:tcBorders>
          </w:tcPr>
          <w:p w:rsidR="001B4768" w:rsidRDefault="001B4768" w:rsidP="008C6453">
            <w:pPr>
              <w:pStyle w:val="Box"/>
              <w:spacing w:before="0" w:line="120" w:lineRule="exact"/>
            </w:pPr>
          </w:p>
        </w:tc>
      </w:tr>
      <w:tr w:rsidR="001B4768" w:rsidRPr="000863A5" w:rsidTr="008C6453">
        <w:tc>
          <w:tcPr>
            <w:tcW w:w="8771" w:type="dxa"/>
            <w:tcBorders>
              <w:top w:val="nil"/>
              <w:left w:val="nil"/>
              <w:bottom w:val="nil"/>
              <w:right w:val="nil"/>
            </w:tcBorders>
          </w:tcPr>
          <w:p w:rsidR="001B4768" w:rsidRPr="00626D32" w:rsidRDefault="001B4768" w:rsidP="008C6453">
            <w:pPr>
              <w:pStyle w:val="BoxSpaceBelow"/>
            </w:pPr>
          </w:p>
        </w:tc>
      </w:tr>
    </w:tbl>
    <w:p w:rsidR="001B4768" w:rsidRDefault="001B4768" w:rsidP="008D4D61">
      <w:pPr>
        <w:pStyle w:val="Heading3"/>
      </w:pPr>
      <w:r>
        <w:t>Release of report</w:t>
      </w:r>
    </w:p>
    <w:p w:rsidR="001B4768" w:rsidRDefault="001B4768" w:rsidP="001B4768">
      <w:pPr>
        <w:pStyle w:val="BodyText"/>
      </w:pPr>
      <w:r>
        <w:t>This accelerated report on provisional measures is a report in its own right (not a draft report). The terms of reference state that both the accelerated and final report</w:t>
      </w:r>
      <w:r w:rsidRPr="003F700B">
        <w:t>s</w:t>
      </w:r>
      <w:r w:rsidRPr="002F3642">
        <w:rPr>
          <w:b/>
        </w:rPr>
        <w:t xml:space="preserve"> </w:t>
      </w:r>
      <w:r>
        <w:t>will be</w:t>
      </w:r>
      <w:r>
        <w:rPr>
          <w:b/>
        </w:rPr>
        <w:t xml:space="preserve"> </w:t>
      </w:r>
      <w:r w:rsidRPr="002F3642">
        <w:t>published</w:t>
      </w:r>
      <w:r>
        <w:t xml:space="preserve"> as soon as practicable after their delivery to government.</w:t>
      </w:r>
    </w:p>
    <w:p w:rsidR="001B4768" w:rsidRDefault="001B4768" w:rsidP="008D4D61">
      <w:pPr>
        <w:pStyle w:val="Heading3"/>
      </w:pPr>
      <w:r>
        <w:t>Next steps</w:t>
      </w:r>
    </w:p>
    <w:p w:rsidR="001B4768" w:rsidRDefault="001B4768" w:rsidP="001B4768">
      <w:pPr>
        <w:pStyle w:val="BodyText"/>
      </w:pPr>
      <w:r>
        <w:t xml:space="preserve">This report presents the Commission’s assessment </w:t>
      </w:r>
      <w:r w:rsidRPr="00733624">
        <w:rPr>
          <w:lang w:val="en-US"/>
        </w:rPr>
        <w:t xml:space="preserve">as to whether </w:t>
      </w:r>
      <w:r w:rsidRPr="0042659A">
        <w:rPr>
          <w:i/>
          <w:lang w:val="en-US"/>
        </w:rPr>
        <w:t>provisional</w:t>
      </w:r>
      <w:r w:rsidRPr="00733624">
        <w:rPr>
          <w:lang w:val="en-US"/>
        </w:rPr>
        <w:t xml:space="preserve"> safeguard measures should be put in place</w:t>
      </w:r>
      <w:r>
        <w:rPr>
          <w:lang w:val="en-US"/>
        </w:rPr>
        <w:t xml:space="preserve"> for up to 200 days. </w:t>
      </w:r>
      <w:r>
        <w:t xml:space="preserve">The </w:t>
      </w:r>
      <w:r w:rsidR="008D4D61">
        <w:t xml:space="preserve">final </w:t>
      </w:r>
      <w:r>
        <w:t>safeguard</w:t>
      </w:r>
      <w:r w:rsidR="00DC2957">
        <w:t>s</w:t>
      </w:r>
      <w:r>
        <w:t xml:space="preserve"> report, due by 20 December 2013, will determine whether there is a case for definitive safeguard measures (which can apply for up to four years) and will consider further a number of issues raised in this accelerated report.</w:t>
      </w:r>
    </w:p>
    <w:p w:rsidR="001B4768" w:rsidRDefault="001B4768" w:rsidP="001B4768">
      <w:pPr>
        <w:pStyle w:val="Heading2"/>
      </w:pPr>
      <w:r>
        <w:lastRenderedPageBreak/>
        <w:t>1.</w:t>
      </w:r>
      <w:r w:rsidR="00AD173A">
        <w:rPr>
          <w:noProof/>
        </w:rPr>
        <w:t>4</w:t>
      </w:r>
      <w:r>
        <w:tab/>
        <w:t xml:space="preserve">What are the </w:t>
      </w:r>
      <w:r w:rsidR="00285383">
        <w:t>requirements</w:t>
      </w:r>
      <w:r>
        <w:t xml:space="preserve"> for provisional measures?</w:t>
      </w:r>
    </w:p>
    <w:p w:rsidR="001B4768" w:rsidRDefault="001B4768" w:rsidP="001B4768">
      <w:pPr>
        <w:pStyle w:val="BodyText"/>
      </w:pPr>
      <w:r>
        <w:t>As set out in the terms of reference</w:t>
      </w:r>
      <w:r w:rsidRPr="008924FF">
        <w:t>, provisional measures can be</w:t>
      </w:r>
      <w:r>
        <w:t xml:space="preserve"> </w:t>
      </w:r>
      <w:r w:rsidRPr="008924FF">
        <w:t>recommended only where it is found that ‘critical circumstances’ exist such that</w:t>
      </w:r>
      <w:r>
        <w:t xml:space="preserve"> </w:t>
      </w:r>
      <w:r w:rsidRPr="008924FF">
        <w:t xml:space="preserve">delay in applying measures would cause damage </w:t>
      </w:r>
      <w:r w:rsidR="008D4D61">
        <w:t>that</w:t>
      </w:r>
      <w:r w:rsidRPr="008924FF">
        <w:t xml:space="preserve"> would be difficult to</w:t>
      </w:r>
      <w:r>
        <w:t xml:space="preserve"> r</w:t>
      </w:r>
      <w:r w:rsidRPr="008924FF">
        <w:t>epair</w:t>
      </w:r>
      <w:r w:rsidR="008C2703">
        <w:t xml:space="preserve"> (box 1.4)</w:t>
      </w:r>
      <w:r w:rsidRPr="008924FF">
        <w:t>. Although this is a necessary condition, it is not a sufficient condition for the</w:t>
      </w:r>
      <w:r>
        <w:t xml:space="preserve"> </w:t>
      </w:r>
      <w:r w:rsidRPr="008924FF">
        <w:t>imposition of provisional measures. A recommendation for provisional measures</w:t>
      </w:r>
      <w:r>
        <w:t xml:space="preserve"> </w:t>
      </w:r>
      <w:r w:rsidRPr="008924FF">
        <w:t xml:space="preserve">also requires a preliminary determination that there is </w:t>
      </w:r>
      <w:r w:rsidRPr="008924FF">
        <w:rPr>
          <w:i/>
          <w:iCs/>
        </w:rPr>
        <w:t xml:space="preserve">clear evidence </w:t>
      </w:r>
      <w:r w:rsidRPr="008924FF">
        <w:t>that increased</w:t>
      </w:r>
      <w:r>
        <w:t xml:space="preserve"> </w:t>
      </w:r>
      <w:r w:rsidRPr="008924FF">
        <w:t xml:space="preserve">imports have </w:t>
      </w:r>
      <w:r w:rsidRPr="008924FF">
        <w:rPr>
          <w:i/>
          <w:iCs/>
        </w:rPr>
        <w:t xml:space="preserve">caused </w:t>
      </w:r>
      <w:r w:rsidRPr="008924FF">
        <w:t xml:space="preserve">or are threatening to cause </w:t>
      </w:r>
      <w:r w:rsidRPr="008924FF">
        <w:rPr>
          <w:i/>
          <w:iCs/>
        </w:rPr>
        <w:t xml:space="preserve">serious </w:t>
      </w:r>
      <w:r w:rsidRPr="008924FF">
        <w:t>injury</w:t>
      </w:r>
      <w:r w:rsidR="0026586B">
        <w:t xml:space="preserve"> to the domestic industry</w:t>
      </w:r>
      <w:r w:rsidRPr="008924FF">
        <w:t>.</w:t>
      </w:r>
    </w:p>
    <w:p w:rsidR="008C2703" w:rsidRDefault="008C270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C2703">
        <w:tc>
          <w:tcPr>
            <w:tcW w:w="8771" w:type="dxa"/>
            <w:tcBorders>
              <w:top w:val="single" w:sz="6" w:space="0" w:color="auto"/>
              <w:bottom w:val="nil"/>
            </w:tcBorders>
          </w:tcPr>
          <w:p w:rsidR="008C2703" w:rsidRDefault="008C2703">
            <w:pPr>
              <w:pStyle w:val="BoxTitle"/>
            </w:pPr>
            <w:r>
              <w:rPr>
                <w:b w:val="0"/>
              </w:rPr>
              <w:t xml:space="preserve">Box </w:t>
            </w:r>
            <w:bookmarkStart w:id="7" w:name="OLE_LINK2"/>
            <w:r>
              <w:rPr>
                <w:b w:val="0"/>
              </w:rPr>
              <w:t>1.</w:t>
            </w:r>
            <w:r>
              <w:rPr>
                <w:b w:val="0"/>
                <w:noProof/>
              </w:rPr>
              <w:t>4</w:t>
            </w:r>
            <w:bookmarkEnd w:id="7"/>
            <w:r>
              <w:tab/>
            </w:r>
            <w:r w:rsidRPr="008924FF">
              <w:rPr>
                <w:bCs/>
                <w:szCs w:val="20"/>
              </w:rPr>
              <w:t>Requirements for provisional measures</w:t>
            </w:r>
          </w:p>
        </w:tc>
      </w:tr>
      <w:tr w:rsidR="008C2703">
        <w:trPr>
          <w:cantSplit/>
        </w:trPr>
        <w:tc>
          <w:tcPr>
            <w:tcW w:w="8771" w:type="dxa"/>
            <w:tcBorders>
              <w:top w:val="nil"/>
              <w:left w:val="single" w:sz="6" w:space="0" w:color="auto"/>
              <w:bottom w:val="nil"/>
              <w:right w:val="single" w:sz="6" w:space="0" w:color="auto"/>
            </w:tcBorders>
          </w:tcPr>
          <w:p w:rsidR="008C2703" w:rsidRDefault="008C2703">
            <w:pPr>
              <w:pStyle w:val="Box"/>
            </w:pPr>
            <w:r w:rsidRPr="008924FF">
              <w:t>In undertaking the inquiry, the Commission is to consider and provide an accelerated report</w:t>
            </w:r>
            <w:r>
              <w:t xml:space="preserve"> </w:t>
            </w:r>
            <w:r w:rsidRPr="008924FF">
              <w:t>on whether critical circumstances exist where delay in applying measures would cause</w:t>
            </w:r>
            <w:r>
              <w:t xml:space="preserve"> </w:t>
            </w:r>
            <w:r w:rsidRPr="008924FF">
              <w:t>damage which it would be difficult to repair. If such circumstances exist, and pursuant to a</w:t>
            </w:r>
            <w:r>
              <w:t xml:space="preserve"> </w:t>
            </w:r>
            <w:r w:rsidRPr="008924FF">
              <w:t>preliminary determination that there is clear evidence that increased imports have caused or</w:t>
            </w:r>
            <w:r>
              <w:t xml:space="preserve"> </w:t>
            </w:r>
            <w:r w:rsidRPr="008924FF">
              <w:t>are threatening to cause serious injury, the Commission is to recommend what provisional</w:t>
            </w:r>
            <w:r>
              <w:t xml:space="preserve"> </w:t>
            </w:r>
            <w:r w:rsidRPr="008924FF">
              <w:t>safeguard measures (to apply for no more than 200 days) would be appropriate.</w:t>
            </w:r>
          </w:p>
        </w:tc>
      </w:tr>
      <w:tr w:rsidR="008C2703">
        <w:trPr>
          <w:cantSplit/>
        </w:trPr>
        <w:tc>
          <w:tcPr>
            <w:tcW w:w="8771" w:type="dxa"/>
            <w:tcBorders>
              <w:top w:val="nil"/>
              <w:left w:val="single" w:sz="6" w:space="0" w:color="auto"/>
              <w:bottom w:val="nil"/>
              <w:right w:val="single" w:sz="6" w:space="0" w:color="auto"/>
            </w:tcBorders>
          </w:tcPr>
          <w:p w:rsidR="008C2703" w:rsidRDefault="008C2703">
            <w:pPr>
              <w:pStyle w:val="BoxSource"/>
            </w:pPr>
            <w:r>
              <w:rPr>
                <w:i/>
              </w:rPr>
              <w:t>Sources</w:t>
            </w:r>
            <w:r w:rsidRPr="00167F06">
              <w:t xml:space="preserve">: </w:t>
            </w:r>
            <w:r w:rsidRPr="008924FF">
              <w:t>Terms of Reference</w:t>
            </w:r>
            <w:r>
              <w:t xml:space="preserve">; </w:t>
            </w:r>
            <w:r w:rsidRPr="00644970">
              <w:t>Commonwealth of Australia Special Gazette No. S 297</w:t>
            </w:r>
            <w:r>
              <w:t xml:space="preserve"> (1</w:t>
            </w:r>
            <w:r w:rsidRPr="00644970">
              <w:t>998</w:t>
            </w:r>
            <w:r>
              <w:t>)</w:t>
            </w:r>
            <w:r w:rsidRPr="008924FF">
              <w:t>.</w:t>
            </w:r>
          </w:p>
        </w:tc>
      </w:tr>
      <w:tr w:rsidR="008C2703">
        <w:trPr>
          <w:cantSplit/>
        </w:trPr>
        <w:tc>
          <w:tcPr>
            <w:tcW w:w="8771" w:type="dxa"/>
            <w:tcBorders>
              <w:top w:val="nil"/>
              <w:left w:val="single" w:sz="6" w:space="0" w:color="auto"/>
              <w:bottom w:val="single" w:sz="6" w:space="0" w:color="auto"/>
              <w:right w:val="single" w:sz="6" w:space="0" w:color="auto"/>
            </w:tcBorders>
          </w:tcPr>
          <w:p w:rsidR="008C2703" w:rsidRDefault="008C2703">
            <w:pPr>
              <w:pStyle w:val="Box"/>
              <w:spacing w:before="0" w:line="120" w:lineRule="exact"/>
            </w:pPr>
          </w:p>
        </w:tc>
      </w:tr>
      <w:tr w:rsidR="008C2703" w:rsidRPr="000863A5">
        <w:tc>
          <w:tcPr>
            <w:tcW w:w="8771" w:type="dxa"/>
            <w:tcBorders>
              <w:top w:val="nil"/>
              <w:left w:val="nil"/>
              <w:bottom w:val="nil"/>
              <w:right w:val="nil"/>
            </w:tcBorders>
          </w:tcPr>
          <w:p w:rsidR="008C2703" w:rsidRPr="00626D32" w:rsidRDefault="008C2703" w:rsidP="00537BB4">
            <w:pPr>
              <w:pStyle w:val="BoxSpaceBelow"/>
            </w:pPr>
          </w:p>
        </w:tc>
      </w:tr>
    </w:tbl>
    <w:p w:rsidR="001B4768" w:rsidRDefault="001B4768" w:rsidP="001B4768">
      <w:pPr>
        <w:pStyle w:val="BodyText"/>
      </w:pPr>
      <w:r>
        <w:t>A</w:t>
      </w:r>
      <w:r w:rsidRPr="00DC5014">
        <w:t xml:space="preserve"> high standard of</w:t>
      </w:r>
      <w:r>
        <w:t xml:space="preserve"> evidence and</w:t>
      </w:r>
      <w:r w:rsidRPr="00DC5014">
        <w:t xml:space="preserve"> analysis is required </w:t>
      </w:r>
      <w:r>
        <w:t>to determine</w:t>
      </w:r>
      <w:r w:rsidRPr="00DC5014">
        <w:t xml:space="preserve"> the</w:t>
      </w:r>
      <w:r>
        <w:t xml:space="preserve"> case for </w:t>
      </w:r>
      <w:r w:rsidRPr="00DC5014">
        <w:t>provisional safeguard measures</w:t>
      </w:r>
      <w:r>
        <w:t xml:space="preserve">. Determinations that are not based on a high standard of evidence and analysis could be vulnerable to challenge </w:t>
      </w:r>
      <w:r w:rsidRPr="00DC5014">
        <w:t xml:space="preserve">by other nations </w:t>
      </w:r>
      <w:r>
        <w:t>under WTO dispute resolution procedures</w:t>
      </w:r>
      <w:r w:rsidRPr="00DC5014">
        <w:t xml:space="preserve"> (see</w:t>
      </w:r>
      <w:r>
        <w:t>,</w:t>
      </w:r>
      <w:r w:rsidRPr="00DC5014">
        <w:t xml:space="preserve"> for example, </w:t>
      </w:r>
      <w:r w:rsidRPr="00DC5014">
        <w:rPr>
          <w:i/>
        </w:rPr>
        <w:t>EC – Provisional Steel Safeguards</w:t>
      </w:r>
      <w:r>
        <w:rPr>
          <w:i/>
        </w:rPr>
        <w:t xml:space="preserve"> </w:t>
      </w:r>
      <w:r w:rsidRPr="00A10589">
        <w:t>(</w:t>
      </w:r>
      <w:r>
        <w:t>DS 260</w:t>
      </w:r>
      <w:r w:rsidRPr="00A10589">
        <w:t>)</w:t>
      </w:r>
      <w:r w:rsidRPr="00DC5014">
        <w:t>)</w:t>
      </w:r>
      <w:r>
        <w:t>. If provisional safeguard measures are revoked following a successful challenge or because the findings in the final report on definitive safeguards do not support ongoing safeguards, the value of the measures (tariff revenue) must be refunded to importers.</w:t>
      </w:r>
    </w:p>
    <w:p w:rsidR="001B4768" w:rsidRDefault="001B4768" w:rsidP="001B4768">
      <w:pPr>
        <w:pStyle w:val="BodyText"/>
      </w:pPr>
      <w:r>
        <w:t xml:space="preserve">Applying a high standard is consistent with the stated position of the Australian Government, which as a member of the ‘Friends of Safeguards Procedures’ group of WTO member countries, has stated that it has concerns with the poor quality of some countries’ determinations on provisional safeguards </w:t>
      </w:r>
      <w:r w:rsidR="0026586B" w:rsidRPr="0026586B">
        <w:rPr>
          <w:szCs w:val="24"/>
        </w:rPr>
        <w:t>(WTO 2012)</w:t>
      </w:r>
      <w:r>
        <w:t>.</w:t>
      </w:r>
    </w:p>
    <w:p w:rsidR="00AD2BE7" w:rsidRDefault="00AD2BE7" w:rsidP="00AD2BE7">
      <w:pPr>
        <w:pStyle w:val="BodyText"/>
      </w:pPr>
      <w:r>
        <w:t>Accordingly, t</w:t>
      </w:r>
      <w:r w:rsidRPr="00DC5014">
        <w:t xml:space="preserve">he Commission considers that a preliminary determination requires that all matters relevant to a safeguards inquiry need to be </w:t>
      </w:r>
      <w:r>
        <w:t xml:space="preserve">considered. However, given </w:t>
      </w:r>
      <w:r w:rsidRPr="00DC5014">
        <w:t xml:space="preserve">the accelerated nature of the investigation and its preliminary status, </w:t>
      </w:r>
      <w:r>
        <w:t xml:space="preserve">such considerations are to a lesser extent than those </w:t>
      </w:r>
      <w:r w:rsidRPr="00DC5014">
        <w:t>of the full investigation.</w:t>
      </w:r>
    </w:p>
    <w:p w:rsidR="001B4768" w:rsidRPr="00F71608" w:rsidRDefault="001B4768" w:rsidP="001B4768">
      <w:pPr>
        <w:pStyle w:val="Heading3"/>
      </w:pPr>
      <w:r w:rsidRPr="00F71608">
        <w:lastRenderedPageBreak/>
        <w:t>What requirements must the Commission’s analysis adhere to?</w:t>
      </w:r>
    </w:p>
    <w:p w:rsidR="001B4768" w:rsidRPr="005706D9" w:rsidRDefault="001B4768" w:rsidP="001B4768">
      <w:pPr>
        <w:pStyle w:val="BodyText"/>
      </w:pPr>
      <w:r w:rsidRPr="005706D9">
        <w:t>Safeguard</w:t>
      </w:r>
      <w:r w:rsidR="005F79E6">
        <w:t>s</w:t>
      </w:r>
      <w:r w:rsidRPr="005706D9">
        <w:t xml:space="preserve"> investigations and measures must comply with rules and criteria established under the WTO</w:t>
      </w:r>
      <w:r>
        <w:t xml:space="preserve"> Agreement on Safeguards (1994) and</w:t>
      </w:r>
      <w:r w:rsidR="005F79E6">
        <w:t xml:space="preserve"> the GATT Article </w:t>
      </w:r>
      <w:r w:rsidRPr="005706D9">
        <w:t xml:space="preserve">XIX on emergency action (1994), and </w:t>
      </w:r>
      <w:r>
        <w:t xml:space="preserve">have regard to </w:t>
      </w:r>
      <w:r w:rsidRPr="005706D9">
        <w:t>subsequent WTO panel and appellate body decisions interpreting those requirements.</w:t>
      </w:r>
    </w:p>
    <w:p w:rsidR="001B4768" w:rsidRPr="005706D9" w:rsidRDefault="001B4768" w:rsidP="001B4768">
      <w:pPr>
        <w:pStyle w:val="BodyText"/>
      </w:pPr>
      <w:r w:rsidRPr="005706D9">
        <w:t>Member countries can only impose safeguard measures if the competent authority determines that safeguard measur</w:t>
      </w:r>
      <w:r w:rsidR="004E46E9">
        <w:t>es are justified under the WTO A</w:t>
      </w:r>
      <w:r w:rsidRPr="005706D9">
        <w:t>greement. Australia’s procedures for safeguard</w:t>
      </w:r>
      <w:r w:rsidR="00B210DC">
        <w:t>s</w:t>
      </w:r>
      <w:r w:rsidRPr="005706D9">
        <w:t xml:space="preserve"> inquiries are set out in the Commonwealth of Aust</w:t>
      </w:r>
      <w:r>
        <w:t>ralia Special Gazette No. S 297</w:t>
      </w:r>
      <w:r w:rsidRPr="005706D9">
        <w:t>. In line with the Agreement on Safeguards, this requires that:</w:t>
      </w:r>
    </w:p>
    <w:p w:rsidR="001B4768" w:rsidRPr="005706D9" w:rsidRDefault="001B4768" w:rsidP="001B4768">
      <w:pPr>
        <w:pStyle w:val="Quote"/>
      </w:pPr>
      <w:r>
        <w:t xml:space="preserve">… </w:t>
      </w:r>
      <w:r w:rsidRPr="005706D9">
        <w:t>the product under reference is being imported into Australia in such increased quantities, absolute or relative to domestic production, and under such conditions as to cause or threaten to cause serious injury to the domestic industry that produces like or directly competitive products. (Commonwealth of Australia Special Gazette No. S 297, 1998)</w:t>
      </w:r>
    </w:p>
    <w:p w:rsidR="001B4768" w:rsidRPr="005706D9" w:rsidRDefault="001B4768" w:rsidP="001B4768">
      <w:pPr>
        <w:pStyle w:val="BodyText"/>
      </w:pPr>
      <w:r w:rsidRPr="005706D9">
        <w:t>As clarified in subsequent WTO panel and appellate body decisions, these conditions must be read in conjunction with GATT Article XIX, which provides that action can only be taken if increased imports have occurred as a result of ‘unforeseen developments’.</w:t>
      </w:r>
    </w:p>
    <w:p w:rsidR="001B4768" w:rsidRDefault="001B4768" w:rsidP="001B4768">
      <w:pPr>
        <w:pStyle w:val="BodyText"/>
      </w:pPr>
      <w:r>
        <w:t xml:space="preserve">To assess the case for </w:t>
      </w:r>
      <w:r w:rsidR="00B210DC">
        <w:t>provisional</w:t>
      </w:r>
      <w:r>
        <w:t xml:space="preserve"> safeguard measures, the Commission has partitioned the WTO criteria into five distinct and sequential steps.</w:t>
      </w:r>
    </w:p>
    <w:p w:rsidR="001B4768" w:rsidRDefault="001B4768" w:rsidP="00DC30DF">
      <w:pPr>
        <w:pStyle w:val="ListNumber"/>
      </w:pPr>
      <w:r>
        <w:t>Define the domestic industry that produces ‘like’ or ‘directly competitive’ products.</w:t>
      </w:r>
    </w:p>
    <w:p w:rsidR="001B4768" w:rsidRDefault="001B4768" w:rsidP="00DC30DF">
      <w:pPr>
        <w:pStyle w:val="ListNumber"/>
      </w:pPr>
      <w:r>
        <w:t>Assess whether there has been an increase in imports of the product under reference in absolute terms, or relative to domestic production.</w:t>
      </w:r>
    </w:p>
    <w:p w:rsidR="001B4768" w:rsidRPr="008924FF" w:rsidRDefault="001B4768" w:rsidP="00DC30DF">
      <w:pPr>
        <w:pStyle w:val="ListNumber"/>
      </w:pPr>
      <w:r>
        <w:t>Establish whether the increase in imports was due to unforeseen developments.</w:t>
      </w:r>
    </w:p>
    <w:p w:rsidR="001B4768" w:rsidRPr="008924FF" w:rsidRDefault="001B4768" w:rsidP="00DC30DF">
      <w:pPr>
        <w:pStyle w:val="ListNumber"/>
      </w:pPr>
      <w:r>
        <w:t xml:space="preserve">Establish </w:t>
      </w:r>
      <w:r w:rsidRPr="008924FF">
        <w:t>whether the relevant industry is suffering serious injury, or serious injury is</w:t>
      </w:r>
      <w:r>
        <w:t xml:space="preserve"> being threatened.</w:t>
      </w:r>
    </w:p>
    <w:p w:rsidR="001B4768" w:rsidRDefault="001B4768" w:rsidP="00DC30DF">
      <w:pPr>
        <w:pStyle w:val="ListNumber"/>
      </w:pPr>
      <w:r>
        <w:t xml:space="preserve">Establish whether the increased imports </w:t>
      </w:r>
      <w:r w:rsidRPr="005706D9">
        <w:rPr>
          <w:i/>
          <w:iCs/>
        </w:rPr>
        <w:t xml:space="preserve">caused </w:t>
      </w:r>
      <w:r>
        <w:t xml:space="preserve">or are </w:t>
      </w:r>
      <w:r w:rsidRPr="005706D9">
        <w:rPr>
          <w:i/>
          <w:iCs/>
        </w:rPr>
        <w:t>threatening to cause</w:t>
      </w:r>
      <w:r>
        <w:rPr>
          <w:i/>
          <w:iCs/>
        </w:rPr>
        <w:t xml:space="preserve"> </w:t>
      </w:r>
      <w:r>
        <w:t>serious injury.</w:t>
      </w:r>
    </w:p>
    <w:p w:rsidR="001B4768" w:rsidRPr="008924FF" w:rsidRDefault="001B4768" w:rsidP="001B4768">
      <w:pPr>
        <w:pStyle w:val="BodyText"/>
      </w:pPr>
      <w:r>
        <w:t xml:space="preserve">The Commission will also examine whether the aforementioned ‘critical circumstances’ </w:t>
      </w:r>
      <w:r w:rsidR="00A435F0">
        <w:t xml:space="preserve">required for provisional measures (box 1.4) </w:t>
      </w:r>
      <w:r>
        <w:t>exist.</w:t>
      </w:r>
    </w:p>
    <w:p w:rsidR="00F056FC" w:rsidRDefault="001B4768" w:rsidP="00120072">
      <w:pPr>
        <w:pStyle w:val="BodyText"/>
      </w:pPr>
      <w:r>
        <w:t xml:space="preserve">The determination must also be in accordance with the </w:t>
      </w:r>
      <w:r w:rsidRPr="0097527C">
        <w:rPr>
          <w:iCs/>
        </w:rPr>
        <w:t>Productivity Commission Act</w:t>
      </w:r>
      <w:r>
        <w:t>, which requires that the Commission be guided by</w:t>
      </w:r>
      <w:r w:rsidRPr="008924FF">
        <w:t xml:space="preserve"> the interests of the community as a</w:t>
      </w:r>
      <w:r>
        <w:t xml:space="preserve"> </w:t>
      </w:r>
      <w:r w:rsidRPr="008924FF">
        <w:t xml:space="preserve">whole, not just those of any particular industry or group. </w:t>
      </w:r>
      <w:r>
        <w:t xml:space="preserve">In </w:t>
      </w:r>
      <w:r>
        <w:lastRenderedPageBreak/>
        <w:t xml:space="preserve">addition, before safeguard measures can be implemented in Australia, the terms of reference require that regard must be given to </w:t>
      </w:r>
      <w:r w:rsidRPr="0008502B">
        <w:t>the Government’s requirements for assessing the impact of regulation which affects business.</w:t>
      </w:r>
    </w:p>
    <w:p w:rsidR="0028118F" w:rsidRDefault="0028118F" w:rsidP="00120072">
      <w:pPr>
        <w:pStyle w:val="BodyText"/>
      </w:pPr>
    </w:p>
    <w:sectPr w:rsidR="0028118F" w:rsidSect="0089285E">
      <w:headerReference w:type="even" r:id="rId9"/>
      <w:headerReference w:type="default" r:id="rId10"/>
      <w:footerReference w:type="even" r:id="rId11"/>
      <w:footerReference w:type="default" r:id="rId12"/>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694" w:rsidRDefault="00553694">
      <w:r>
        <w:separator/>
      </w:r>
    </w:p>
  </w:endnote>
  <w:endnote w:type="continuationSeparator" w:id="0">
    <w:p w:rsidR="00553694" w:rsidRDefault="00553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96E55">
      <w:trPr>
        <w:trHeight w:hRule="exact" w:val="740"/>
      </w:trPr>
      <w:tc>
        <w:tcPr>
          <w:tcW w:w="510" w:type="dxa"/>
          <w:tcBorders>
            <w:top w:val="single" w:sz="6" w:space="0" w:color="auto"/>
          </w:tcBorders>
        </w:tcPr>
        <w:p w:rsidR="00096E55" w:rsidRDefault="00096E5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0F1340">
            <w:rPr>
              <w:rStyle w:val="PageNumber"/>
              <w:noProof/>
            </w:rPr>
            <w:t>10</w:t>
          </w:r>
          <w:r>
            <w:rPr>
              <w:rStyle w:val="PageNumber"/>
            </w:rPr>
            <w:fldChar w:fldCharType="end"/>
          </w:r>
        </w:p>
      </w:tc>
      <w:tc>
        <w:tcPr>
          <w:tcW w:w="1644" w:type="dxa"/>
          <w:tcBorders>
            <w:top w:val="single" w:sz="6" w:space="0" w:color="auto"/>
          </w:tcBorders>
        </w:tcPr>
        <w:p w:rsidR="00096E55" w:rsidRDefault="0051282E" w:rsidP="0019293B">
          <w:pPr>
            <w:pStyle w:val="Footer"/>
          </w:pPr>
          <w:fldSimple w:instr=" SUBJECT  \* MERGEFORMAT ">
            <w:r w:rsidR="003821EC">
              <w:t>Fruit Provisional Safeguards</w:t>
            </w:r>
          </w:fldSimple>
        </w:p>
      </w:tc>
      <w:tc>
        <w:tcPr>
          <w:tcW w:w="6634" w:type="dxa"/>
        </w:tcPr>
        <w:p w:rsidR="00096E55" w:rsidRDefault="00096E55" w:rsidP="0019293B">
          <w:pPr>
            <w:pStyle w:val="Footer"/>
          </w:pPr>
        </w:p>
      </w:tc>
    </w:tr>
  </w:tbl>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96E55">
      <w:trPr>
        <w:trHeight w:hRule="exact" w:val="740"/>
      </w:trPr>
      <w:tc>
        <w:tcPr>
          <w:tcW w:w="6634" w:type="dxa"/>
        </w:tcPr>
        <w:p w:rsidR="00096E55" w:rsidRDefault="00096E55">
          <w:pPr>
            <w:pStyle w:val="Footer"/>
            <w:ind w:right="360" w:firstLine="360"/>
          </w:pPr>
        </w:p>
      </w:tc>
      <w:tc>
        <w:tcPr>
          <w:tcW w:w="1644" w:type="dxa"/>
          <w:tcBorders>
            <w:top w:val="single" w:sz="6" w:space="0" w:color="auto"/>
          </w:tcBorders>
        </w:tcPr>
        <w:p w:rsidR="00096E55" w:rsidRDefault="0051282E">
          <w:pPr>
            <w:pStyle w:val="Footer"/>
          </w:pPr>
          <w:fldSimple w:instr=" TITLE  \* MERGEFORMAT ">
            <w:r w:rsidR="003821EC">
              <w:t>About the inquiry</w:t>
            </w:r>
          </w:fldSimple>
        </w:p>
      </w:tc>
      <w:tc>
        <w:tcPr>
          <w:tcW w:w="510" w:type="dxa"/>
          <w:tcBorders>
            <w:top w:val="single" w:sz="6" w:space="0" w:color="auto"/>
          </w:tcBorders>
        </w:tcPr>
        <w:p w:rsidR="00096E55" w:rsidRDefault="00096E55">
          <w:pPr>
            <w:pStyle w:val="Footer"/>
            <w:jc w:val="right"/>
          </w:pPr>
          <w:r>
            <w:rPr>
              <w:rStyle w:val="PageNumber"/>
            </w:rPr>
            <w:fldChar w:fldCharType="begin"/>
          </w:r>
          <w:r>
            <w:rPr>
              <w:rStyle w:val="PageNumber"/>
            </w:rPr>
            <w:instrText xml:space="preserve">PAGE  </w:instrText>
          </w:r>
          <w:r>
            <w:rPr>
              <w:rStyle w:val="PageNumber"/>
            </w:rPr>
            <w:fldChar w:fldCharType="separate"/>
          </w:r>
          <w:r w:rsidR="000F1340">
            <w:rPr>
              <w:rStyle w:val="PageNumber"/>
              <w:noProof/>
            </w:rPr>
            <w:t>1</w:t>
          </w:r>
          <w:r>
            <w:rPr>
              <w:rStyle w:val="PageNumber"/>
            </w:rPr>
            <w:fldChar w:fldCharType="end"/>
          </w:r>
        </w:p>
      </w:tc>
    </w:tr>
  </w:tbl>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694" w:rsidRDefault="00553694">
      <w:r>
        <w:separator/>
      </w:r>
    </w:p>
  </w:footnote>
  <w:footnote w:type="continuationSeparator" w:id="0">
    <w:p w:rsidR="00553694" w:rsidRDefault="005536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19293B">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E669E2">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bout the inquiry"/>
    <w:docVar w:name="ShortReportTitle" w:val="Fruit Provisional Safeguards"/>
  </w:docVars>
  <w:rsids>
    <w:rsidRoot w:val="00553694"/>
    <w:rsid w:val="00016D8D"/>
    <w:rsid w:val="00022032"/>
    <w:rsid w:val="000227D5"/>
    <w:rsid w:val="000245AA"/>
    <w:rsid w:val="0003664B"/>
    <w:rsid w:val="0004111F"/>
    <w:rsid w:val="000565B3"/>
    <w:rsid w:val="0007150B"/>
    <w:rsid w:val="000938F5"/>
    <w:rsid w:val="00096E55"/>
    <w:rsid w:val="000B601B"/>
    <w:rsid w:val="000C207E"/>
    <w:rsid w:val="000F0035"/>
    <w:rsid w:val="000F1340"/>
    <w:rsid w:val="000F420B"/>
    <w:rsid w:val="00110116"/>
    <w:rsid w:val="00120072"/>
    <w:rsid w:val="00126EB8"/>
    <w:rsid w:val="001274D4"/>
    <w:rsid w:val="00135ADA"/>
    <w:rsid w:val="001363AA"/>
    <w:rsid w:val="00183E82"/>
    <w:rsid w:val="001878BB"/>
    <w:rsid w:val="00191AE0"/>
    <w:rsid w:val="00191E6A"/>
    <w:rsid w:val="0019293B"/>
    <w:rsid w:val="0019426B"/>
    <w:rsid w:val="001B4768"/>
    <w:rsid w:val="001C0865"/>
    <w:rsid w:val="001C3ABA"/>
    <w:rsid w:val="001D4F1F"/>
    <w:rsid w:val="001E7BE8"/>
    <w:rsid w:val="001F0248"/>
    <w:rsid w:val="001F3EB3"/>
    <w:rsid w:val="001F4F86"/>
    <w:rsid w:val="00202C2C"/>
    <w:rsid w:val="002135AB"/>
    <w:rsid w:val="002144BE"/>
    <w:rsid w:val="00242279"/>
    <w:rsid w:val="00245C82"/>
    <w:rsid w:val="0026542D"/>
    <w:rsid w:val="0026586B"/>
    <w:rsid w:val="0028118F"/>
    <w:rsid w:val="00285383"/>
    <w:rsid w:val="00291B40"/>
    <w:rsid w:val="002B4008"/>
    <w:rsid w:val="002D0E8E"/>
    <w:rsid w:val="002D6AB2"/>
    <w:rsid w:val="00301189"/>
    <w:rsid w:val="00316E95"/>
    <w:rsid w:val="00323E09"/>
    <w:rsid w:val="00333932"/>
    <w:rsid w:val="003518AA"/>
    <w:rsid w:val="00352165"/>
    <w:rsid w:val="00353182"/>
    <w:rsid w:val="003565D9"/>
    <w:rsid w:val="003602E1"/>
    <w:rsid w:val="0037026F"/>
    <w:rsid w:val="00371240"/>
    <w:rsid w:val="00374731"/>
    <w:rsid w:val="00376E59"/>
    <w:rsid w:val="003821EC"/>
    <w:rsid w:val="003919F9"/>
    <w:rsid w:val="003C38B5"/>
    <w:rsid w:val="003C5D99"/>
    <w:rsid w:val="003E2F59"/>
    <w:rsid w:val="003F0789"/>
    <w:rsid w:val="00401882"/>
    <w:rsid w:val="004100C8"/>
    <w:rsid w:val="0041103E"/>
    <w:rsid w:val="00411DBD"/>
    <w:rsid w:val="00412ACE"/>
    <w:rsid w:val="00431249"/>
    <w:rsid w:val="00434C19"/>
    <w:rsid w:val="00450810"/>
    <w:rsid w:val="00474903"/>
    <w:rsid w:val="00477144"/>
    <w:rsid w:val="004864A0"/>
    <w:rsid w:val="00491380"/>
    <w:rsid w:val="0049459F"/>
    <w:rsid w:val="004A38DD"/>
    <w:rsid w:val="004B43AE"/>
    <w:rsid w:val="004C30ED"/>
    <w:rsid w:val="004C392D"/>
    <w:rsid w:val="004D5675"/>
    <w:rsid w:val="004E46E9"/>
    <w:rsid w:val="0051282E"/>
    <w:rsid w:val="00523639"/>
    <w:rsid w:val="00526477"/>
    <w:rsid w:val="00531FE5"/>
    <w:rsid w:val="005402FA"/>
    <w:rsid w:val="00553694"/>
    <w:rsid w:val="00566CFC"/>
    <w:rsid w:val="0058183F"/>
    <w:rsid w:val="00583C39"/>
    <w:rsid w:val="005847DA"/>
    <w:rsid w:val="00587F28"/>
    <w:rsid w:val="005909CF"/>
    <w:rsid w:val="00591E71"/>
    <w:rsid w:val="005A0D41"/>
    <w:rsid w:val="005D485D"/>
    <w:rsid w:val="005F79E6"/>
    <w:rsid w:val="00607BF1"/>
    <w:rsid w:val="00630D4D"/>
    <w:rsid w:val="00632A74"/>
    <w:rsid w:val="006476FE"/>
    <w:rsid w:val="006A4655"/>
    <w:rsid w:val="006B2B3C"/>
    <w:rsid w:val="006B49BE"/>
    <w:rsid w:val="006C1D81"/>
    <w:rsid w:val="006C7038"/>
    <w:rsid w:val="006E2CB0"/>
    <w:rsid w:val="006E73EF"/>
    <w:rsid w:val="00714D4D"/>
    <w:rsid w:val="00736B7D"/>
    <w:rsid w:val="007604BB"/>
    <w:rsid w:val="00783865"/>
    <w:rsid w:val="00785232"/>
    <w:rsid w:val="007A21EB"/>
    <w:rsid w:val="007B1A93"/>
    <w:rsid w:val="007C36C9"/>
    <w:rsid w:val="007D6401"/>
    <w:rsid w:val="007E01E4"/>
    <w:rsid w:val="007F7107"/>
    <w:rsid w:val="00800D4C"/>
    <w:rsid w:val="0081030F"/>
    <w:rsid w:val="0082087D"/>
    <w:rsid w:val="00835771"/>
    <w:rsid w:val="00842933"/>
    <w:rsid w:val="0086082C"/>
    <w:rsid w:val="00864ADC"/>
    <w:rsid w:val="00880153"/>
    <w:rsid w:val="00880F97"/>
    <w:rsid w:val="0088133A"/>
    <w:rsid w:val="0089285E"/>
    <w:rsid w:val="0089436C"/>
    <w:rsid w:val="008C2703"/>
    <w:rsid w:val="008D365C"/>
    <w:rsid w:val="008D4D61"/>
    <w:rsid w:val="009030BF"/>
    <w:rsid w:val="0091032F"/>
    <w:rsid w:val="00912FAB"/>
    <w:rsid w:val="00914368"/>
    <w:rsid w:val="00931076"/>
    <w:rsid w:val="009345D9"/>
    <w:rsid w:val="00934B15"/>
    <w:rsid w:val="00940C87"/>
    <w:rsid w:val="00942B62"/>
    <w:rsid w:val="0095323B"/>
    <w:rsid w:val="00956A0C"/>
    <w:rsid w:val="00956BD9"/>
    <w:rsid w:val="00962489"/>
    <w:rsid w:val="00990C2C"/>
    <w:rsid w:val="00991FB6"/>
    <w:rsid w:val="009E1844"/>
    <w:rsid w:val="009F0D1B"/>
    <w:rsid w:val="009F696D"/>
    <w:rsid w:val="009F6BC6"/>
    <w:rsid w:val="00A17328"/>
    <w:rsid w:val="00A17A4B"/>
    <w:rsid w:val="00A23A20"/>
    <w:rsid w:val="00A268B9"/>
    <w:rsid w:val="00A2703A"/>
    <w:rsid w:val="00A33DFF"/>
    <w:rsid w:val="00A35115"/>
    <w:rsid w:val="00A36D9A"/>
    <w:rsid w:val="00A435F0"/>
    <w:rsid w:val="00A554AB"/>
    <w:rsid w:val="00A57062"/>
    <w:rsid w:val="00A92B53"/>
    <w:rsid w:val="00A94FA6"/>
    <w:rsid w:val="00AA49A0"/>
    <w:rsid w:val="00AA6710"/>
    <w:rsid w:val="00AB0681"/>
    <w:rsid w:val="00AD173A"/>
    <w:rsid w:val="00AD2BE7"/>
    <w:rsid w:val="00AD520B"/>
    <w:rsid w:val="00B210DC"/>
    <w:rsid w:val="00B425C3"/>
    <w:rsid w:val="00B440AD"/>
    <w:rsid w:val="00B446FB"/>
    <w:rsid w:val="00B479BB"/>
    <w:rsid w:val="00B53E7E"/>
    <w:rsid w:val="00B6342E"/>
    <w:rsid w:val="00B7113F"/>
    <w:rsid w:val="00BA73B6"/>
    <w:rsid w:val="00BA7E27"/>
    <w:rsid w:val="00BB2603"/>
    <w:rsid w:val="00BB4FCD"/>
    <w:rsid w:val="00BC04E9"/>
    <w:rsid w:val="00BD13EA"/>
    <w:rsid w:val="00BE2FAA"/>
    <w:rsid w:val="00BE3808"/>
    <w:rsid w:val="00C062E9"/>
    <w:rsid w:val="00C07B64"/>
    <w:rsid w:val="00C13721"/>
    <w:rsid w:val="00C14FE4"/>
    <w:rsid w:val="00C3066D"/>
    <w:rsid w:val="00C52416"/>
    <w:rsid w:val="00C543F4"/>
    <w:rsid w:val="00C6291C"/>
    <w:rsid w:val="00C633CB"/>
    <w:rsid w:val="00C736B7"/>
    <w:rsid w:val="00C81D4A"/>
    <w:rsid w:val="00C85631"/>
    <w:rsid w:val="00C8762C"/>
    <w:rsid w:val="00CA00F9"/>
    <w:rsid w:val="00CA114C"/>
    <w:rsid w:val="00CA2131"/>
    <w:rsid w:val="00CA2961"/>
    <w:rsid w:val="00CB50D7"/>
    <w:rsid w:val="00CB7177"/>
    <w:rsid w:val="00CC1998"/>
    <w:rsid w:val="00CC4946"/>
    <w:rsid w:val="00D01DF2"/>
    <w:rsid w:val="00D270A4"/>
    <w:rsid w:val="00D31FE9"/>
    <w:rsid w:val="00D34E1B"/>
    <w:rsid w:val="00D376BA"/>
    <w:rsid w:val="00D45634"/>
    <w:rsid w:val="00D5568A"/>
    <w:rsid w:val="00D63D73"/>
    <w:rsid w:val="00D64452"/>
    <w:rsid w:val="00D66E1E"/>
    <w:rsid w:val="00D75722"/>
    <w:rsid w:val="00D80CF5"/>
    <w:rsid w:val="00D95515"/>
    <w:rsid w:val="00DA5BBA"/>
    <w:rsid w:val="00DB26D2"/>
    <w:rsid w:val="00DB67C9"/>
    <w:rsid w:val="00DC0C95"/>
    <w:rsid w:val="00DC2957"/>
    <w:rsid w:val="00DC30DF"/>
    <w:rsid w:val="00DC70DF"/>
    <w:rsid w:val="00DD6580"/>
    <w:rsid w:val="00E17C72"/>
    <w:rsid w:val="00E21FC6"/>
    <w:rsid w:val="00E431A9"/>
    <w:rsid w:val="00E669E2"/>
    <w:rsid w:val="00E76135"/>
    <w:rsid w:val="00E82F4F"/>
    <w:rsid w:val="00E919B0"/>
    <w:rsid w:val="00EB6A1E"/>
    <w:rsid w:val="00EC2844"/>
    <w:rsid w:val="00EC5500"/>
    <w:rsid w:val="00ED18F8"/>
    <w:rsid w:val="00EF6C6C"/>
    <w:rsid w:val="00F056FC"/>
    <w:rsid w:val="00F10476"/>
    <w:rsid w:val="00F135D8"/>
    <w:rsid w:val="00F24148"/>
    <w:rsid w:val="00F31299"/>
    <w:rsid w:val="00F3534A"/>
    <w:rsid w:val="00F51609"/>
    <w:rsid w:val="00F81006"/>
    <w:rsid w:val="00F85325"/>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B4768"/>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link w:val="BoxListBullet2Char"/>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xChar">
    <w:name w:val="Box Char"/>
    <w:basedOn w:val="DefaultParagraphFont"/>
    <w:link w:val="Box"/>
    <w:locked/>
    <w:rsid w:val="001B4768"/>
    <w:rPr>
      <w:rFonts w:ascii="Arial" w:hAnsi="Arial"/>
      <w:sz w:val="22"/>
    </w:rPr>
  </w:style>
  <w:style w:type="character" w:customStyle="1" w:styleId="BodyTextChar">
    <w:name w:val="Body Text Char"/>
    <w:basedOn w:val="DefaultParagraphFont"/>
    <w:link w:val="BodyText"/>
    <w:locked/>
    <w:rsid w:val="001B4768"/>
    <w:rPr>
      <w:sz w:val="26"/>
    </w:rPr>
  </w:style>
  <w:style w:type="character" w:customStyle="1" w:styleId="Heading2Char">
    <w:name w:val="Heading 2 Char"/>
    <w:basedOn w:val="DefaultParagraphFont"/>
    <w:link w:val="Heading2"/>
    <w:rsid w:val="001B4768"/>
    <w:rPr>
      <w:rFonts w:ascii="Arial" w:hAnsi="Arial"/>
      <w:b/>
      <w:sz w:val="32"/>
    </w:rPr>
  </w:style>
  <w:style w:type="character" w:customStyle="1" w:styleId="Heading3Char">
    <w:name w:val="Heading 3 Char"/>
    <w:basedOn w:val="Heading2Char"/>
    <w:link w:val="Heading3"/>
    <w:rsid w:val="001B4768"/>
    <w:rPr>
      <w:rFonts w:ascii="Arial" w:hAnsi="Arial"/>
      <w:b/>
      <w:sz w:val="26"/>
    </w:rPr>
  </w:style>
  <w:style w:type="character" w:customStyle="1" w:styleId="BoxListBullet2Char">
    <w:name w:val="Box List Bullet 2 Char"/>
    <w:basedOn w:val="DefaultParagraphFont"/>
    <w:link w:val="BoxListBullet2"/>
    <w:rsid w:val="001B4768"/>
    <w:rPr>
      <w:rFonts w:ascii="Arial" w:hAnsi="Arial"/>
      <w:sz w:val="22"/>
    </w:rPr>
  </w:style>
  <w:style w:type="character" w:customStyle="1" w:styleId="QuoteChar">
    <w:name w:val="Quote Char"/>
    <w:basedOn w:val="BodyTextChar"/>
    <w:link w:val="Quote"/>
    <w:rsid w:val="001B476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B4768"/>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link w:val="BoxListBullet2Char"/>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xChar">
    <w:name w:val="Box Char"/>
    <w:basedOn w:val="DefaultParagraphFont"/>
    <w:link w:val="Box"/>
    <w:locked/>
    <w:rsid w:val="001B4768"/>
    <w:rPr>
      <w:rFonts w:ascii="Arial" w:hAnsi="Arial"/>
      <w:sz w:val="22"/>
    </w:rPr>
  </w:style>
  <w:style w:type="character" w:customStyle="1" w:styleId="BodyTextChar">
    <w:name w:val="Body Text Char"/>
    <w:basedOn w:val="DefaultParagraphFont"/>
    <w:link w:val="BodyText"/>
    <w:locked/>
    <w:rsid w:val="001B4768"/>
    <w:rPr>
      <w:sz w:val="26"/>
    </w:rPr>
  </w:style>
  <w:style w:type="character" w:customStyle="1" w:styleId="Heading2Char">
    <w:name w:val="Heading 2 Char"/>
    <w:basedOn w:val="DefaultParagraphFont"/>
    <w:link w:val="Heading2"/>
    <w:rsid w:val="001B4768"/>
    <w:rPr>
      <w:rFonts w:ascii="Arial" w:hAnsi="Arial"/>
      <w:b/>
      <w:sz w:val="32"/>
    </w:rPr>
  </w:style>
  <w:style w:type="character" w:customStyle="1" w:styleId="Heading3Char">
    <w:name w:val="Heading 3 Char"/>
    <w:basedOn w:val="Heading2Char"/>
    <w:link w:val="Heading3"/>
    <w:rsid w:val="001B4768"/>
    <w:rPr>
      <w:rFonts w:ascii="Arial" w:hAnsi="Arial"/>
      <w:b/>
      <w:sz w:val="26"/>
    </w:rPr>
  </w:style>
  <w:style w:type="character" w:customStyle="1" w:styleId="BoxListBullet2Char">
    <w:name w:val="Box List Bullet 2 Char"/>
    <w:basedOn w:val="DefaultParagraphFont"/>
    <w:link w:val="BoxListBullet2"/>
    <w:rsid w:val="001B4768"/>
    <w:rPr>
      <w:rFonts w:ascii="Arial" w:hAnsi="Arial"/>
      <w:sz w:val="22"/>
    </w:rPr>
  </w:style>
  <w:style w:type="character" w:customStyle="1" w:styleId="QuoteChar">
    <w:name w:val="Quote Char"/>
    <w:basedOn w:val="BodyTextChar"/>
    <w:link w:val="Quote"/>
    <w:rsid w:val="001B476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76170-C964-462E-8719-BF07ED37E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11</Pages>
  <Words>3474</Words>
  <Characters>19695</Characters>
  <Application>Microsoft Office Word</Application>
  <DocSecurity>0</DocSecurity>
  <Lines>352</Lines>
  <Paragraphs>111</Paragraphs>
  <ScaleCrop>false</ScaleCrop>
  <HeadingPairs>
    <vt:vector size="2" baseType="variant">
      <vt:variant>
        <vt:lpstr>Title</vt:lpstr>
      </vt:variant>
      <vt:variant>
        <vt:i4>1</vt:i4>
      </vt:variant>
    </vt:vector>
  </HeadingPairs>
  <TitlesOfParts>
    <vt:vector size="1" baseType="lpstr">
      <vt:lpstr>About the inquiry</vt:lpstr>
    </vt:vector>
  </TitlesOfParts>
  <Company>Productivity Commission</Company>
  <LinksUpToDate>false</LinksUpToDate>
  <CharactersWithSpaces>23110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About the inquiry</dc:title>
  <dc:subject>Fruit Provisional Safeguards</dc:subject>
  <dc:creator>Productivity Commission</dc:creator>
  <dc:description>1.</dc:description>
  <cp:lastModifiedBy>Productivity Commission</cp:lastModifiedBy>
  <cp:revision>3</cp:revision>
  <cp:lastPrinted>2013-09-06T05:16:00Z</cp:lastPrinted>
  <dcterms:created xsi:type="dcterms:W3CDTF">2013-09-10T03:33:00Z</dcterms:created>
  <dcterms:modified xsi:type="dcterms:W3CDTF">2013-09-13T05:44:00Z</dcterms:modified>
</cp:coreProperties>
</file>