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5C3365" w:rsidP="00CD5E6B">
      <w:pPr>
        <w:pStyle w:val="BodyText"/>
        <w:rPr>
          <w:b/>
          <w:szCs w:val="26"/>
        </w:rPr>
      </w:pPr>
      <w:r>
        <w:rPr>
          <w:noProof/>
          <w:lang w:eastAsia="en-AU"/>
        </w:rPr>
        <w:drawing>
          <wp:anchor distT="0" distB="0" distL="114300" distR="114300" simplePos="0" relativeHeight="251658240" behindDoc="0" locked="0" layoutInCell="1" allowOverlap="1">
            <wp:simplePos x="1152525" y="1057275"/>
            <wp:positionH relativeFrom="page">
              <wp:align>center</wp:align>
            </wp:positionH>
            <wp:positionV relativeFrom="page">
              <wp:align>bottom</wp:align>
            </wp:positionV>
            <wp:extent cx="7560000" cy="9975600"/>
            <wp:effectExtent l="0" t="0" r="3175" b="6985"/>
            <wp:wrapNone/>
            <wp:docPr id="1" name="Picture 1" descr="Cover image for the Australian Government Productivity Commission draft report titled 'Mineral and Energy Resource Exploration'. Published May 2013.&#10;Note: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minerals-d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051199" w:rsidRDefault="00051199" w:rsidP="003E7802">
      <w:pPr>
        <w:pStyle w:val="BodyText"/>
        <w:spacing w:before="160" w:after="120" w:line="240" w:lineRule="auto"/>
        <w:rPr>
          <w:sz w:val="24"/>
          <w:szCs w:val="24"/>
        </w:rPr>
      </w:pPr>
      <w:r w:rsidRPr="00051199">
        <w:rPr>
          <w:sz w:val="24"/>
          <w:szCs w:val="24"/>
        </w:rPr>
        <w:t>Productivity Commission</w:t>
      </w:r>
      <w:r>
        <w:rPr>
          <w:sz w:val="24"/>
          <w:szCs w:val="24"/>
        </w:rPr>
        <w:t xml:space="preserve"> 2013, </w:t>
      </w:r>
      <w:r>
        <w:rPr>
          <w:i/>
          <w:sz w:val="24"/>
          <w:szCs w:val="24"/>
        </w:rPr>
        <w:t>Mineral and Energy Resource Exploration</w:t>
      </w:r>
      <w:r>
        <w:rPr>
          <w:sz w:val="24"/>
          <w:szCs w:val="24"/>
        </w:rPr>
        <w:t>, Draft Inquiry Report, Canberra.</w:t>
      </w:r>
    </w:p>
    <w:p w:rsidR="003E7802" w:rsidRPr="00551FB8" w:rsidRDefault="003E7802" w:rsidP="003E7802">
      <w:pPr>
        <w:pStyle w:val="BodyText"/>
        <w:spacing w:before="160" w:after="120" w:line="240" w:lineRule="auto"/>
        <w:rPr>
          <w:sz w:val="24"/>
          <w:szCs w:val="24"/>
        </w:rPr>
      </w:pPr>
      <w:bookmarkStart w:id="1" w:name="JEL"/>
      <w:bookmarkEnd w:id="1"/>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8" w:right="1304" w:bottom="567" w:left="1814" w:header="1701" w:footer="567" w:gutter="0"/>
          <w:pgNumType w:fmt="lowerRoman" w:start="1"/>
          <w:cols w:space="720"/>
          <w:titlePg/>
        </w:sectPr>
      </w:pPr>
      <w:bookmarkStart w:id="2" w:name="cov"/>
      <w:bookmarkEnd w:id="2"/>
    </w:p>
    <w:p w:rsidR="0075324A" w:rsidRDefault="0075324A">
      <w:pPr>
        <w:pStyle w:val="Heading1"/>
      </w:pPr>
      <w:bookmarkStart w:id="3" w:name="_Toc357059312"/>
      <w:r>
        <w:lastRenderedPageBreak/>
        <w:t>Opportunity for further comment</w:t>
      </w:r>
      <w:bookmarkEnd w:id="3"/>
    </w:p>
    <w:p w:rsidR="00051199" w:rsidRDefault="0075324A">
      <w:pPr>
        <w:pStyle w:val="BodyText"/>
      </w:pPr>
      <w:r>
        <w:t>You are invited to examine this draft</w:t>
      </w:r>
      <w:r w:rsidR="00051199">
        <w:t xml:space="preserve"> report and </w:t>
      </w:r>
      <w:r w:rsidR="00123F15">
        <w:t>comment on it by</w:t>
      </w:r>
      <w:r w:rsidR="00051199">
        <w:t xml:space="preserve"> written submission to the Productivity Commission by </w:t>
      </w:r>
      <w:r w:rsidR="00051199" w:rsidRPr="00051199">
        <w:rPr>
          <w:b/>
        </w:rPr>
        <w:t>Monday 15 July 2013</w:t>
      </w:r>
      <w:r w:rsidR="00123F15">
        <w:rPr>
          <w:b/>
        </w:rPr>
        <w:t xml:space="preserve"> </w:t>
      </w:r>
      <w:r w:rsidR="00123F15" w:rsidRPr="00123F15">
        <w:t>or by attending a public hearing</w:t>
      </w:r>
      <w:r w:rsidR="00051199">
        <w:t>. If you intend to appear at a public hearing, and have not already made a written submission, a summary of the points you wish to discuss should be lodge</w:t>
      </w:r>
      <w:r w:rsidR="005C100D">
        <w:t>d</w:t>
      </w:r>
      <w:r w:rsidR="00051199">
        <w:t xml:space="preserve"> with the Commission at least two days prior to your appearance.</w:t>
      </w:r>
    </w:p>
    <w:p w:rsidR="00051199" w:rsidRDefault="0075324A" w:rsidP="00051199">
      <w:pPr>
        <w:pStyle w:val="BodyText"/>
      </w:pPr>
      <w:r>
        <w:t>The final report will be prepared after submission have been received</w:t>
      </w:r>
      <w:r w:rsidR="00051199">
        <w:t xml:space="preserve"> and will be forwarded to the Australian Government in September 2013.</w:t>
      </w:r>
    </w:p>
    <w:p w:rsidR="0075324A" w:rsidRPr="007151C7" w:rsidRDefault="0075324A" w:rsidP="00051199">
      <w:pPr>
        <w:pStyle w:val="BodyText"/>
        <w:rPr>
          <w:rFonts w:ascii="Arial" w:hAnsi="Arial" w:cs="Arial"/>
          <w:b/>
        </w:rPr>
      </w:pPr>
      <w:r w:rsidRPr="00B146AA">
        <w:rPr>
          <w:rFonts w:ascii="Arial" w:hAnsi="Arial" w:cs="Arial"/>
          <w:b/>
        </w:rPr>
        <w:t>Public hearing date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84"/>
        <w:gridCol w:w="3119"/>
        <w:gridCol w:w="4343"/>
      </w:tblGrid>
      <w:tr w:rsidR="0075324A" w:rsidTr="0072346C">
        <w:tc>
          <w:tcPr>
            <w:tcW w:w="1384" w:type="dxa"/>
          </w:tcPr>
          <w:p w:rsidR="0075324A" w:rsidRPr="00B146AA" w:rsidRDefault="0075324A">
            <w:pPr>
              <w:pStyle w:val="BodyText"/>
              <w:rPr>
                <w:b/>
                <w:sz w:val="24"/>
                <w:szCs w:val="24"/>
              </w:rPr>
            </w:pPr>
            <w:r w:rsidRPr="00B146AA">
              <w:rPr>
                <w:b/>
                <w:sz w:val="24"/>
                <w:szCs w:val="24"/>
              </w:rPr>
              <w:t>Location</w:t>
            </w:r>
          </w:p>
        </w:tc>
        <w:tc>
          <w:tcPr>
            <w:tcW w:w="3119" w:type="dxa"/>
          </w:tcPr>
          <w:p w:rsidR="0075324A" w:rsidRPr="00B146AA" w:rsidRDefault="0075324A">
            <w:pPr>
              <w:pStyle w:val="BodyText"/>
              <w:rPr>
                <w:b/>
                <w:sz w:val="24"/>
                <w:szCs w:val="24"/>
              </w:rPr>
            </w:pPr>
            <w:r w:rsidRPr="00B146AA">
              <w:rPr>
                <w:b/>
                <w:sz w:val="24"/>
                <w:szCs w:val="24"/>
              </w:rPr>
              <w:t>Date</w:t>
            </w:r>
          </w:p>
        </w:tc>
        <w:tc>
          <w:tcPr>
            <w:tcW w:w="4343" w:type="dxa"/>
          </w:tcPr>
          <w:p w:rsidR="0075324A" w:rsidRPr="00B146AA" w:rsidRDefault="0075324A">
            <w:pPr>
              <w:pStyle w:val="BodyText"/>
              <w:rPr>
                <w:b/>
                <w:sz w:val="24"/>
                <w:szCs w:val="24"/>
              </w:rPr>
            </w:pPr>
            <w:r w:rsidRPr="00B146AA">
              <w:rPr>
                <w:b/>
                <w:sz w:val="24"/>
                <w:szCs w:val="24"/>
              </w:rPr>
              <w:t>Venue</w:t>
            </w:r>
          </w:p>
        </w:tc>
      </w:tr>
      <w:tr w:rsidR="0075324A" w:rsidTr="0072346C">
        <w:tc>
          <w:tcPr>
            <w:tcW w:w="1384" w:type="dxa"/>
          </w:tcPr>
          <w:p w:rsidR="0075324A" w:rsidRDefault="00AC62C7">
            <w:pPr>
              <w:pStyle w:val="BodyText"/>
              <w:spacing w:before="120" w:line="280" w:lineRule="exact"/>
            </w:pPr>
            <w:r>
              <w:t>Adelaide</w:t>
            </w:r>
          </w:p>
        </w:tc>
        <w:tc>
          <w:tcPr>
            <w:tcW w:w="3119" w:type="dxa"/>
          </w:tcPr>
          <w:p w:rsidR="0075324A" w:rsidRDefault="00AC62C7">
            <w:pPr>
              <w:pStyle w:val="BodyText"/>
              <w:spacing w:before="120" w:line="280" w:lineRule="exact"/>
            </w:pPr>
            <w:r>
              <w:t>Wednesday 26 June 2013</w:t>
            </w:r>
          </w:p>
        </w:tc>
        <w:tc>
          <w:tcPr>
            <w:tcW w:w="4343" w:type="dxa"/>
          </w:tcPr>
          <w:p w:rsidR="00ED505A" w:rsidRDefault="001D40ED">
            <w:pPr>
              <w:pStyle w:val="BodyText"/>
              <w:spacing w:before="120" w:line="280" w:lineRule="exact"/>
            </w:pPr>
            <w:r>
              <w:t>Stamford Plaza Adelaide</w:t>
            </w:r>
          </w:p>
          <w:p w:rsidR="00ED505A" w:rsidRDefault="001D40ED">
            <w:pPr>
              <w:pStyle w:val="BodyText"/>
              <w:spacing w:before="120" w:line="280" w:lineRule="exact"/>
            </w:pPr>
            <w:r>
              <w:t xml:space="preserve">Terrace </w:t>
            </w:r>
            <w:r w:rsidR="0072346C">
              <w:t>2</w:t>
            </w:r>
            <w:r>
              <w:t xml:space="preserve"> Room</w:t>
            </w:r>
          </w:p>
          <w:p w:rsidR="001D40ED" w:rsidRDefault="001D40ED" w:rsidP="001D40ED">
            <w:pPr>
              <w:pStyle w:val="BodyText"/>
              <w:spacing w:before="120" w:after="120" w:line="280" w:lineRule="exact"/>
            </w:pPr>
            <w:r>
              <w:t>150 North Terrace</w:t>
            </w:r>
          </w:p>
        </w:tc>
      </w:tr>
      <w:tr w:rsidR="0075324A" w:rsidTr="0072346C">
        <w:tc>
          <w:tcPr>
            <w:tcW w:w="1384" w:type="dxa"/>
          </w:tcPr>
          <w:p w:rsidR="0075324A" w:rsidRDefault="00AC62C7">
            <w:pPr>
              <w:pStyle w:val="BodyText"/>
              <w:spacing w:before="120" w:line="280" w:lineRule="exact"/>
            </w:pPr>
            <w:r>
              <w:t>Perth</w:t>
            </w:r>
          </w:p>
        </w:tc>
        <w:tc>
          <w:tcPr>
            <w:tcW w:w="3119" w:type="dxa"/>
          </w:tcPr>
          <w:p w:rsidR="0075324A" w:rsidRDefault="00AC62C7">
            <w:pPr>
              <w:pStyle w:val="BodyText"/>
              <w:spacing w:before="120" w:line="280" w:lineRule="exact"/>
            </w:pPr>
            <w:r>
              <w:t>Thursday 27 June 2013</w:t>
            </w:r>
          </w:p>
        </w:tc>
        <w:tc>
          <w:tcPr>
            <w:tcW w:w="4343" w:type="dxa"/>
          </w:tcPr>
          <w:p w:rsidR="00E336F6" w:rsidRDefault="0072346C" w:rsidP="00E336F6">
            <w:pPr>
              <w:pStyle w:val="BodyText"/>
              <w:spacing w:before="120" w:after="120" w:line="280" w:lineRule="exact"/>
            </w:pPr>
            <w:r>
              <w:t>Rendezvous Studio Hotel Perth Central</w:t>
            </w:r>
          </w:p>
          <w:p w:rsidR="0072346C" w:rsidRDefault="0072346C" w:rsidP="00E336F6">
            <w:pPr>
              <w:pStyle w:val="BodyText"/>
              <w:spacing w:before="120" w:after="120" w:line="280" w:lineRule="exact"/>
            </w:pPr>
            <w:r>
              <w:t>Grevillea Room</w:t>
            </w:r>
          </w:p>
          <w:p w:rsidR="0072346C" w:rsidRDefault="0072346C" w:rsidP="00E336F6">
            <w:pPr>
              <w:pStyle w:val="BodyText"/>
              <w:spacing w:before="120" w:after="120" w:line="280" w:lineRule="exact"/>
            </w:pPr>
            <w:r>
              <w:t>24 Mount Street</w:t>
            </w:r>
          </w:p>
        </w:tc>
      </w:tr>
      <w:tr w:rsidR="0075324A" w:rsidTr="0072346C">
        <w:tc>
          <w:tcPr>
            <w:tcW w:w="1384" w:type="dxa"/>
          </w:tcPr>
          <w:p w:rsidR="0075324A" w:rsidRDefault="00AC62C7">
            <w:pPr>
              <w:pStyle w:val="BodyText"/>
              <w:spacing w:before="120" w:line="280" w:lineRule="exact"/>
            </w:pPr>
            <w:r>
              <w:t>Brisbane</w:t>
            </w:r>
          </w:p>
        </w:tc>
        <w:tc>
          <w:tcPr>
            <w:tcW w:w="3119" w:type="dxa"/>
          </w:tcPr>
          <w:p w:rsidR="0075324A" w:rsidRDefault="00AC62C7">
            <w:pPr>
              <w:pStyle w:val="BodyText"/>
              <w:spacing w:before="120" w:line="280" w:lineRule="exact"/>
            </w:pPr>
            <w:r>
              <w:t>Wednesday 3 July 2013</w:t>
            </w:r>
          </w:p>
        </w:tc>
        <w:tc>
          <w:tcPr>
            <w:tcW w:w="4343" w:type="dxa"/>
          </w:tcPr>
          <w:p w:rsidR="00E336F6" w:rsidRDefault="0072346C" w:rsidP="00E336F6">
            <w:pPr>
              <w:pStyle w:val="BodyText"/>
              <w:spacing w:before="120" w:after="120" w:line="280" w:lineRule="exact"/>
            </w:pPr>
            <w:r>
              <w:t>Novotel Brisbane</w:t>
            </w:r>
          </w:p>
          <w:p w:rsidR="0072346C" w:rsidRDefault="0072346C" w:rsidP="00E336F6">
            <w:pPr>
              <w:pStyle w:val="BodyText"/>
              <w:spacing w:before="120" w:after="120" w:line="280" w:lineRule="exact"/>
            </w:pPr>
            <w:r>
              <w:t>Kendall Room</w:t>
            </w:r>
          </w:p>
          <w:p w:rsidR="0072346C" w:rsidRDefault="0072346C" w:rsidP="00E336F6">
            <w:pPr>
              <w:pStyle w:val="BodyText"/>
              <w:spacing w:before="120" w:after="120" w:line="280" w:lineRule="exact"/>
            </w:pPr>
            <w:r>
              <w:t>200 Creek Street</w:t>
            </w:r>
          </w:p>
        </w:tc>
      </w:tr>
      <w:tr w:rsidR="0075324A" w:rsidTr="0072346C">
        <w:tc>
          <w:tcPr>
            <w:tcW w:w="1384" w:type="dxa"/>
          </w:tcPr>
          <w:p w:rsidR="0075324A" w:rsidRDefault="00AC62C7">
            <w:pPr>
              <w:pStyle w:val="BodyText"/>
              <w:spacing w:before="120" w:line="280" w:lineRule="exact"/>
            </w:pPr>
            <w:r>
              <w:t>Canberra</w:t>
            </w:r>
          </w:p>
        </w:tc>
        <w:tc>
          <w:tcPr>
            <w:tcW w:w="3119" w:type="dxa"/>
          </w:tcPr>
          <w:p w:rsidR="0075324A" w:rsidRDefault="00AC62C7">
            <w:pPr>
              <w:pStyle w:val="BodyText"/>
              <w:spacing w:before="120" w:line="280" w:lineRule="exact"/>
            </w:pPr>
            <w:r>
              <w:t>Thursday 4 July 2013</w:t>
            </w:r>
          </w:p>
        </w:tc>
        <w:tc>
          <w:tcPr>
            <w:tcW w:w="4343" w:type="dxa"/>
          </w:tcPr>
          <w:p w:rsidR="0075324A" w:rsidRDefault="00AC62C7">
            <w:pPr>
              <w:pStyle w:val="BodyText"/>
              <w:spacing w:before="120" w:line="280" w:lineRule="exact"/>
            </w:pPr>
            <w:r>
              <w:t>Productivity Commission</w:t>
            </w:r>
          </w:p>
          <w:p w:rsidR="00AC62C7" w:rsidRDefault="00AC62C7">
            <w:pPr>
              <w:pStyle w:val="BodyText"/>
              <w:spacing w:before="120" w:line="280" w:lineRule="exact"/>
            </w:pPr>
            <w:r>
              <w:t>Level 2</w:t>
            </w:r>
          </w:p>
          <w:p w:rsidR="00AC62C7" w:rsidRDefault="00AC62C7" w:rsidP="00AC62C7">
            <w:pPr>
              <w:pStyle w:val="BodyText"/>
              <w:spacing w:before="120" w:line="280" w:lineRule="exact"/>
            </w:pPr>
            <w:r>
              <w:t>15 Moore Street, Civic</w:t>
            </w:r>
          </w:p>
        </w:tc>
      </w:tr>
    </w:tbl>
    <w:p w:rsidR="00051199" w:rsidRPr="00051199" w:rsidRDefault="00051199">
      <w:pPr>
        <w:pStyle w:val="BodyText"/>
        <w:spacing w:before="560"/>
      </w:pPr>
      <w:r>
        <w:t xml:space="preserve">If you wish to appear at a public hearing, please contact Melissa Edwards on (02) 6240 3206, email </w:t>
      </w:r>
      <w:r w:rsidRPr="00051199">
        <w:t>resourceexploration@pc.gov.au</w:t>
      </w:r>
      <w:r>
        <w:t xml:space="preserve"> or register online at http://www.pc.gov.au/projects/inquiry/resource-exploration.</w:t>
      </w:r>
    </w:p>
    <w:p w:rsidR="00ED505A" w:rsidRDefault="00ED505A">
      <w:pPr>
        <w:rPr>
          <w:b/>
        </w:rPr>
      </w:pPr>
      <w:r>
        <w:rPr>
          <w:b/>
        </w:rPr>
        <w:br w:type="page"/>
      </w:r>
    </w:p>
    <w:p w:rsidR="0075324A" w:rsidRPr="007151C7" w:rsidRDefault="0075324A">
      <w:pPr>
        <w:pStyle w:val="BodyText"/>
        <w:spacing w:before="560"/>
        <w:rPr>
          <w:b/>
        </w:rPr>
      </w:pPr>
      <w:r w:rsidRPr="007151C7">
        <w:rPr>
          <w:b/>
        </w:rPr>
        <w:lastRenderedPageBreak/>
        <w:t>Commissioners</w:t>
      </w:r>
    </w:p>
    <w:p w:rsidR="00ED505A" w:rsidRPr="007151C7" w:rsidRDefault="0075324A">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727"/>
        <w:gridCol w:w="3119"/>
      </w:tblGrid>
      <w:tr w:rsidR="0075324A">
        <w:tc>
          <w:tcPr>
            <w:tcW w:w="5727" w:type="dxa"/>
          </w:tcPr>
          <w:p w:rsidR="0075324A" w:rsidRDefault="00051199">
            <w:pPr>
              <w:pStyle w:val="BodyText"/>
              <w:spacing w:before="120"/>
            </w:pPr>
            <w:r>
              <w:t>Mike Woods</w:t>
            </w:r>
          </w:p>
        </w:tc>
        <w:tc>
          <w:tcPr>
            <w:tcW w:w="3119" w:type="dxa"/>
          </w:tcPr>
          <w:p w:rsidR="0075324A" w:rsidRDefault="00051199">
            <w:pPr>
              <w:pStyle w:val="BodyText"/>
              <w:spacing w:before="120"/>
            </w:pPr>
            <w:r>
              <w:t>Presiding Commissioner</w:t>
            </w:r>
          </w:p>
        </w:tc>
      </w:tr>
      <w:tr w:rsidR="0075324A">
        <w:tc>
          <w:tcPr>
            <w:tcW w:w="5727" w:type="dxa"/>
          </w:tcPr>
          <w:p w:rsidR="0075324A" w:rsidRDefault="00051199">
            <w:pPr>
              <w:pStyle w:val="BodyText"/>
              <w:spacing w:before="120"/>
            </w:pPr>
            <w:r>
              <w:t>Jonathan Coppel</w:t>
            </w:r>
          </w:p>
        </w:tc>
        <w:tc>
          <w:tcPr>
            <w:tcW w:w="3119" w:type="dxa"/>
          </w:tcPr>
          <w:p w:rsidR="0075324A" w:rsidRDefault="00051199">
            <w:pPr>
              <w:pStyle w:val="BodyText"/>
              <w:spacing w:before="120"/>
            </w:pPr>
            <w:r>
              <w:t>Commissioner</w:t>
            </w:r>
          </w:p>
        </w:tc>
      </w:tr>
    </w:tbl>
    <w:p w:rsidR="0075324A" w:rsidRDefault="0075324A" w:rsidP="00822D52">
      <w:pPr>
        <w:pStyle w:val="Heading1"/>
        <w:sectPr w:rsidR="0075324A" w:rsidSect="00822D52">
          <w:headerReference w:type="even" r:id="rId15"/>
          <w:headerReference w:type="default" r:id="rId16"/>
          <w:footerReference w:type="even" r:id="rId17"/>
          <w:footerReference w:type="default" r:id="rId18"/>
          <w:headerReference w:type="first" r:id="rId19"/>
          <w:type w:val="oddPage"/>
          <w:pgSz w:w="11907" w:h="16840" w:code="9"/>
          <w:pgMar w:top="1985" w:right="1304" w:bottom="1418" w:left="1814" w:header="1701" w:footer="567" w:gutter="0"/>
          <w:pgNumType w:fmt="lowerRoman" w:start="3"/>
          <w:cols w:space="720"/>
        </w:sectPr>
      </w:pPr>
    </w:p>
    <w:p w:rsidR="0075324A" w:rsidRDefault="0075324A" w:rsidP="00822D52">
      <w:pPr>
        <w:pStyle w:val="Heading1"/>
      </w:pPr>
      <w:bookmarkStart w:id="4" w:name="_Toc357059313"/>
      <w:r>
        <w:lastRenderedPageBreak/>
        <w:t>Terms of reference</w:t>
      </w:r>
      <w:bookmarkEnd w:id="4"/>
    </w:p>
    <w:p w:rsidR="00B33DC9" w:rsidRPr="00B33DC9" w:rsidRDefault="00B33DC9" w:rsidP="00B33DC9">
      <w:pPr>
        <w:pStyle w:val="Heading3"/>
      </w:pPr>
      <w:r w:rsidRPr="00B33DC9">
        <w:t>Inquiry into Non-financial barriers to mineral and energy resource exploration</w:t>
      </w:r>
    </w:p>
    <w:p w:rsidR="00B33DC9" w:rsidRPr="00B33DC9" w:rsidRDefault="00B33DC9" w:rsidP="00B33DC9">
      <w:pPr>
        <w:pStyle w:val="BodyText"/>
      </w:pPr>
      <w:r w:rsidRPr="00B33DC9">
        <w:t xml:space="preserve">I, David Bradbury, Assistant Treasurer, pursuant to Parts 2 and 3 of the </w:t>
      </w:r>
      <w:r w:rsidRPr="00B33DC9">
        <w:rPr>
          <w:i/>
        </w:rPr>
        <w:t>Productivity Commission Act 1998</w:t>
      </w:r>
      <w:r w:rsidRPr="00B33DC9">
        <w:t xml:space="preserve">, hereby request that the Productivity Commission undertake an inquiry into the </w:t>
      </w:r>
      <w:r w:rsidRPr="00B33DC9">
        <w:rPr>
          <w:i/>
        </w:rPr>
        <w:t>Non-financial barriers to mineral and energy resource exploration</w:t>
      </w:r>
      <w:r w:rsidRPr="00B33DC9">
        <w:t>.</w:t>
      </w:r>
    </w:p>
    <w:p w:rsidR="00B33DC9" w:rsidRPr="00B33DC9" w:rsidRDefault="00B33DC9" w:rsidP="00B33DC9">
      <w:pPr>
        <w:pStyle w:val="BodyText"/>
        <w:rPr>
          <w:b/>
          <w:i/>
        </w:rPr>
      </w:pPr>
      <w:r w:rsidRPr="00B33DC9">
        <w:rPr>
          <w:b/>
          <w:i/>
        </w:rPr>
        <w:t>BACKGROUND</w:t>
      </w:r>
    </w:p>
    <w:p w:rsidR="00B33DC9" w:rsidRPr="00B33DC9" w:rsidRDefault="00B33DC9" w:rsidP="00B33DC9">
      <w:pPr>
        <w:pStyle w:val="BodyText"/>
      </w:pPr>
      <w:r w:rsidRPr="00B33DC9">
        <w:t>The Policy Transition Group (</w:t>
      </w:r>
      <w:proofErr w:type="spellStart"/>
      <w:r w:rsidRPr="00B33DC9">
        <w:t>PTG</w:t>
      </w:r>
      <w:proofErr w:type="spellEnd"/>
      <w:r w:rsidRPr="00B33DC9">
        <w:t xml:space="preserve">) was established to advise on the implementation and technical design elements of the new resource taxation reforms, and minerals and petroleum exploration. In its report to the Australian Government in December 2010, the </w:t>
      </w:r>
      <w:proofErr w:type="spellStart"/>
      <w:r w:rsidRPr="00B33DC9">
        <w:t>PTG</w:t>
      </w:r>
      <w:proofErr w:type="spellEnd"/>
      <w:r w:rsidRPr="00B33DC9">
        <w:t xml:space="preserve"> recommended that the Productivity Commission be tasked with undertaking an examination of the regulatory barriers faced by exploration companies. The report noted that ‘a range of approvals are required before exploration can begin, including land access, native title, indigenous and non-indigenous heritage, environmental, conservation estate, and planning and infrastructure approvals’. </w:t>
      </w:r>
    </w:p>
    <w:p w:rsidR="00B33DC9" w:rsidRPr="00B33DC9" w:rsidRDefault="00B33DC9" w:rsidP="00B33DC9">
      <w:pPr>
        <w:pStyle w:val="BodyText"/>
        <w:rPr>
          <w:b/>
          <w:i/>
        </w:rPr>
      </w:pPr>
      <w:r w:rsidRPr="00B33DC9">
        <w:rPr>
          <w:b/>
          <w:i/>
        </w:rPr>
        <w:t>PURPOSE</w:t>
      </w:r>
    </w:p>
    <w:p w:rsidR="00B33DC9" w:rsidRPr="00B33DC9" w:rsidRDefault="00B33DC9" w:rsidP="00B33DC9">
      <w:pPr>
        <w:pStyle w:val="BodyText"/>
      </w:pPr>
      <w:r w:rsidRPr="00B33DC9">
        <w:t xml:space="preserve">This review will examine exploration approvals systems and processes, within and across jurisdictions, to assess their effectiveness and efficiency. The Commission will also assess areas of duplication between State, Territory and Commonwealth regulation for potential streamlining and further review. The Commission will also assess costs associated with government processes and broader economic costs such as that associated with regulatory duplication but not related to taxation, financial incentives, fees, charges and royalties. </w:t>
      </w:r>
    </w:p>
    <w:p w:rsidR="00B33DC9" w:rsidRPr="00B33DC9" w:rsidRDefault="00B33DC9" w:rsidP="00B33DC9">
      <w:pPr>
        <w:pStyle w:val="BodyText"/>
        <w:rPr>
          <w:b/>
          <w:i/>
        </w:rPr>
      </w:pPr>
      <w:r w:rsidRPr="00B33DC9">
        <w:rPr>
          <w:b/>
          <w:i/>
        </w:rPr>
        <w:t>SCOPE OF THE INQUIRY</w:t>
      </w:r>
    </w:p>
    <w:p w:rsidR="00B33DC9" w:rsidRPr="00B33DC9" w:rsidRDefault="00B33DC9" w:rsidP="00B33DC9">
      <w:pPr>
        <w:pStyle w:val="BodyText"/>
      </w:pPr>
      <w:r w:rsidRPr="00B33DC9">
        <w:t>The Commission is requested to outline high priority reform options to address non-financial barriers to exploration for mineral and energy resources in Australia. In order to achieve this, the Commission should:</w:t>
      </w:r>
    </w:p>
    <w:p w:rsidR="00B33DC9" w:rsidRPr="00B33DC9" w:rsidRDefault="00B33DC9" w:rsidP="00B33DC9">
      <w:pPr>
        <w:pStyle w:val="ListBullet"/>
      </w:pPr>
      <w:r w:rsidRPr="00B33DC9">
        <w:t>determine if there is evidence of unnecessary regulatory burden and if there is, make recommendations on how to reduce or eliminate these burdens;</w:t>
      </w:r>
    </w:p>
    <w:p w:rsidR="00B33DC9" w:rsidRPr="00B33DC9" w:rsidRDefault="00B33DC9" w:rsidP="00B33DC9">
      <w:pPr>
        <w:pStyle w:val="ListBullet"/>
      </w:pPr>
      <w:r w:rsidRPr="00B33DC9">
        <w:lastRenderedPageBreak/>
        <w:t xml:space="preserve">examine the complexity and time frames of government approvals processes for exploration, and potential for delay due to appeals both within and across jurisdictions; </w:t>
      </w:r>
    </w:p>
    <w:p w:rsidR="00B33DC9" w:rsidRPr="00B33DC9" w:rsidRDefault="00B33DC9" w:rsidP="00B33DC9">
      <w:pPr>
        <w:pStyle w:val="ListBullet"/>
      </w:pPr>
      <w:r w:rsidRPr="00B33DC9">
        <w:t xml:space="preserve">examine areas of duplication between and within Local, State, Territory and Commonwealth regulation that can be triggered throughout an exploration project; </w:t>
      </w:r>
    </w:p>
    <w:p w:rsidR="00B33DC9" w:rsidRPr="00B33DC9" w:rsidRDefault="00B33DC9" w:rsidP="00B33DC9">
      <w:pPr>
        <w:pStyle w:val="ListBullet"/>
      </w:pPr>
      <w:r w:rsidRPr="00B33DC9">
        <w:t xml:space="preserve">examine costs of non-financial barriers (including regulatory and related costs); </w:t>
      </w:r>
    </w:p>
    <w:p w:rsidR="00B33DC9" w:rsidRPr="00B33DC9" w:rsidRDefault="00B33DC9" w:rsidP="00B33DC9">
      <w:pPr>
        <w:pStyle w:val="ListBullet"/>
      </w:pPr>
      <w:r w:rsidRPr="00B33DC9">
        <w:t>consider options to improve the regulatory environment for exploration activities, having regard to regulatory objectives; and</w:t>
      </w:r>
    </w:p>
    <w:p w:rsidR="00B33DC9" w:rsidRPr="00B33DC9" w:rsidRDefault="00B33DC9" w:rsidP="00B33DC9">
      <w:pPr>
        <w:pStyle w:val="ListBullet"/>
      </w:pPr>
      <w:r w:rsidRPr="00B33DC9">
        <w:t xml:space="preserve">assess the impact of non-financial barriers on international competitiveness and economic performance of Australia’s exploration sector. </w:t>
      </w:r>
    </w:p>
    <w:p w:rsidR="00B33DC9" w:rsidRPr="00B33DC9" w:rsidRDefault="00B33DC9" w:rsidP="00B33DC9">
      <w:pPr>
        <w:pStyle w:val="BodyText"/>
      </w:pPr>
      <w:r w:rsidRPr="00B33DC9">
        <w:t>Local, state, territory and Commonwealth taxation and fiscal policy is not to be examined.</w:t>
      </w:r>
    </w:p>
    <w:p w:rsidR="00B33DC9" w:rsidRPr="00B33DC9" w:rsidRDefault="00B33DC9" w:rsidP="00B33DC9">
      <w:pPr>
        <w:pStyle w:val="BodyText"/>
      </w:pPr>
      <w:r w:rsidRPr="00B33DC9">
        <w:t xml:space="preserve">The inquiry is not to re-examine the Government’s response to the Report of the Independent Review of the </w:t>
      </w:r>
      <w:r w:rsidRPr="00B33DC9">
        <w:rPr>
          <w:i/>
        </w:rPr>
        <w:t>Environment Protection and Biodiversity Conservation Act 1999</w:t>
      </w:r>
      <w:r w:rsidRPr="00B33DC9">
        <w:t>.</w:t>
      </w:r>
    </w:p>
    <w:p w:rsidR="00B33DC9" w:rsidRPr="00B33DC9" w:rsidRDefault="00B33DC9" w:rsidP="00B33DC9">
      <w:pPr>
        <w:pStyle w:val="BodyText"/>
      </w:pPr>
      <w:r w:rsidRPr="00B33DC9">
        <w:t xml:space="preserve">The inquiry is not to examine processes under the Commonwealth’s </w:t>
      </w:r>
      <w:r w:rsidRPr="00B33DC9">
        <w:rPr>
          <w:i/>
        </w:rPr>
        <w:t>Native Title Act 1993</w:t>
      </w:r>
      <w:r w:rsidRPr="00B33DC9">
        <w:t xml:space="preserve">, the </w:t>
      </w:r>
      <w:r w:rsidRPr="00B33DC9">
        <w:rPr>
          <w:i/>
        </w:rPr>
        <w:t>Aboriginal Land Rights (Northern Territory) Act 1976</w:t>
      </w:r>
      <w:r w:rsidRPr="00B33DC9">
        <w:t xml:space="preserve"> or state Indigenous land rights regimes.</w:t>
      </w:r>
    </w:p>
    <w:p w:rsidR="00B33DC9" w:rsidRPr="00B33DC9" w:rsidRDefault="00B33DC9" w:rsidP="00B33DC9">
      <w:pPr>
        <w:pStyle w:val="BodyText"/>
      </w:pPr>
      <w:r w:rsidRPr="00B33DC9">
        <w:t xml:space="preserve">In undertaking this inquiry, the Commission should take into account current or recent reviews commissioned by state, territory and the Commonwealth Governments regarding regulatory approval processes for exploration. </w:t>
      </w:r>
    </w:p>
    <w:p w:rsidR="00B33DC9" w:rsidRPr="00B33DC9" w:rsidRDefault="00B33DC9" w:rsidP="00B33DC9">
      <w:pPr>
        <w:pStyle w:val="BodyText"/>
      </w:pPr>
      <w:r w:rsidRPr="00B33DC9">
        <w:t>There is a continued need for government involvement in pre-competitive geoscience to attract exploration investment. As such, the Exploration Investment and Geoscience (</w:t>
      </w:r>
      <w:proofErr w:type="spellStart"/>
      <w:r w:rsidRPr="00B33DC9">
        <w:t>EIG</w:t>
      </w:r>
      <w:proofErr w:type="spellEnd"/>
      <w:r w:rsidRPr="00B33DC9">
        <w:t xml:space="preserve">) working group’s report to the Standing Council on Energy and Resources on options that may be used to improve Australia’s global position for attracting resource exploration investment should inform this inquiry. This inquiry will also consider the work the </w:t>
      </w:r>
      <w:proofErr w:type="spellStart"/>
      <w:r w:rsidRPr="00B33DC9">
        <w:t>EIG</w:t>
      </w:r>
      <w:proofErr w:type="spellEnd"/>
      <w:r w:rsidRPr="00B33DC9">
        <w:t xml:space="preserve"> working group is undertaking on resource reserve disclosure by non-Australian Stock Exchange (</w:t>
      </w:r>
      <w:proofErr w:type="spellStart"/>
      <w:r w:rsidRPr="00B33DC9">
        <w:t>ASX</w:t>
      </w:r>
      <w:proofErr w:type="spellEnd"/>
      <w:r w:rsidRPr="00B33DC9">
        <w:t xml:space="preserve">) companies. </w:t>
      </w:r>
    </w:p>
    <w:p w:rsidR="00B33DC9" w:rsidRPr="00B33DC9" w:rsidRDefault="00B33DC9" w:rsidP="00B33DC9">
      <w:pPr>
        <w:pStyle w:val="BodyText"/>
      </w:pPr>
      <w:r w:rsidRPr="00B33DC9">
        <w:t xml:space="preserve">The Commission should consult with all relevant state, territory and Commonwealth government agencies and other key stakeholders. The Commission will report within 12 months of receipt of this reference and will hold public hearings for the purpose of this inquiry. The Commission is to provide a draft and final report to the Australian Government, both of which will be published. </w:t>
      </w:r>
    </w:p>
    <w:p w:rsidR="00B33DC9" w:rsidRPr="00B33DC9" w:rsidRDefault="00B33DC9" w:rsidP="00B33DC9">
      <w:pPr>
        <w:pStyle w:val="BodyText"/>
      </w:pPr>
      <w:r w:rsidRPr="00B33DC9">
        <w:lastRenderedPageBreak/>
        <w:t xml:space="preserve">The Government will consider the Commission’s recommendations, and its response will be announced as soon as possible after the receipt of the Commission’s final report. </w:t>
      </w:r>
    </w:p>
    <w:p w:rsidR="00B33DC9" w:rsidRPr="00B33DC9" w:rsidRDefault="00B33DC9" w:rsidP="00B33DC9">
      <w:pPr>
        <w:pStyle w:val="BodyText"/>
      </w:pPr>
      <w:r w:rsidRPr="00B33DC9">
        <w:t>The Australian Government will refer the final report to the Council of Australian Governments for action by Australian jurisdictions after the inquiry report has been tabled in Parliament.</w:t>
      </w:r>
    </w:p>
    <w:p w:rsidR="0075324A" w:rsidRDefault="00B33DC9" w:rsidP="00822D52">
      <w:pPr>
        <w:pStyle w:val="BodyText"/>
      </w:pPr>
      <w:r>
        <w:t>DAVID BRADBURY</w:t>
      </w:r>
    </w:p>
    <w:p w:rsidR="00B33DC9" w:rsidRDefault="00A00FBF" w:rsidP="00822D52">
      <w:pPr>
        <w:pStyle w:val="BodyText"/>
      </w:pPr>
      <w:r>
        <w:t xml:space="preserve">[Received </w:t>
      </w:r>
      <w:r w:rsidR="00B33DC9">
        <w:t>27 September 2012</w:t>
      </w:r>
      <w:r>
        <w:t>]</w:t>
      </w:r>
    </w:p>
    <w:p w:rsidR="0075324A" w:rsidRDefault="0075324A" w:rsidP="00822D52">
      <w:pPr>
        <w:pStyle w:val="BodyText"/>
      </w:pPr>
    </w:p>
    <w:p w:rsidR="0075324A" w:rsidRDefault="0075324A" w:rsidP="00822D52">
      <w:pPr>
        <w:pStyle w:val="BodyText"/>
        <w:sectPr w:rsidR="0075324A" w:rsidSect="00822D52">
          <w:headerReference w:type="even" r:id="rId20"/>
          <w:headerReference w:type="default" r:id="rId21"/>
          <w:footerReference w:type="even" r:id="rId22"/>
          <w:footerReference w:type="default" r:id="rId23"/>
          <w:headerReference w:type="first" r:id="rId24"/>
          <w:type w:val="oddPage"/>
          <w:pgSz w:w="11907" w:h="16840" w:code="9"/>
          <w:pgMar w:top="1985" w:right="1304" w:bottom="1418" w:left="1814" w:header="1701" w:footer="567" w:gutter="0"/>
          <w:pgNumType w:fmt="lowerRoman"/>
          <w:cols w:space="720"/>
        </w:sectPr>
      </w:pPr>
    </w:p>
    <w:p w:rsidR="004F51A5" w:rsidRDefault="00735FEA" w:rsidP="008206EE">
      <w:pPr>
        <w:pStyle w:val="Heading1NotTOC"/>
        <w:rPr>
          <w:noProof/>
        </w:rPr>
      </w:pPr>
      <w:bookmarkStart w:id="5" w:name="Contents"/>
      <w:bookmarkEnd w:id="5"/>
      <w:r w:rsidRPr="00B153C3">
        <w:lastRenderedPageBreak/>
        <w:t>Contents</w:t>
      </w:r>
      <w:bookmarkStart w:id="6" w:name="InsertContents"/>
      <w:bookmarkEnd w:id="6"/>
    </w:p>
    <w:p w:rsidR="004F51A5" w:rsidRDefault="004F51A5">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rsidR="004F51A5" w:rsidRDefault="004F51A5">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4F51A5" w:rsidRDefault="004F51A5">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w:t>
      </w:r>
    </w:p>
    <w:p w:rsidR="004F51A5" w:rsidRDefault="004F51A5">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4F51A5" w:rsidRDefault="004F51A5">
      <w:pPr>
        <w:pStyle w:val="TOC1"/>
        <w:rPr>
          <w:rFonts w:asciiTheme="minorHAnsi" w:eastAsiaTheme="minorEastAsia" w:hAnsiTheme="minorHAnsi" w:cstheme="minorBidi"/>
          <w:b w:val="0"/>
          <w:noProof/>
          <w:sz w:val="22"/>
          <w:szCs w:val="22"/>
          <w:lang w:eastAsia="en-AU"/>
        </w:rPr>
      </w:pPr>
      <w:r>
        <w:rPr>
          <w:noProof/>
        </w:rPr>
        <w:t>Draft recommendations</w:t>
      </w:r>
      <w:r>
        <w:rPr>
          <w:noProof/>
        </w:rPr>
        <w:tab/>
        <w:t>27</w:t>
      </w:r>
    </w:p>
    <w:p w:rsidR="004F51A5" w:rsidRDefault="004F51A5">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33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33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33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Scope of the inquiry</w:t>
      </w:r>
      <w:r>
        <w:rPr>
          <w:noProof/>
        </w:rPr>
        <w:tab/>
        <w:t>34</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inquiry</w:t>
      </w:r>
      <w:r>
        <w:rPr>
          <w:noProof/>
        </w:rPr>
        <w:tab/>
        <w:t>40</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40</w:t>
      </w:r>
    </w:p>
    <w:p w:rsidR="004F51A5" w:rsidRDefault="004F51A5">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nature of resource exploration and the role of government</w:t>
      </w:r>
      <w:r>
        <w:rPr>
          <w:noProof/>
        </w:rPr>
        <w:tab/>
        <w:t>43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Role and structure of resource exploration</w:t>
      </w:r>
      <w:r>
        <w:rPr>
          <w:noProof/>
        </w:rPr>
        <w:tab/>
        <w:t>44</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the resource explorers operate</w:t>
      </w:r>
      <w:r>
        <w:rPr>
          <w:noProof/>
        </w:rPr>
        <w:tab/>
        <w:t>48</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Performance of resource explorers</w:t>
      </w:r>
      <w:r>
        <w:rPr>
          <w:noProof/>
        </w:rPr>
        <w:tab/>
        <w:t>50</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Government involvement in the exploration sector</w:t>
      </w:r>
      <w:r>
        <w:rPr>
          <w:noProof/>
        </w:rPr>
        <w:tab/>
        <w:t>57</w:t>
      </w:r>
    </w:p>
    <w:p w:rsidR="004F51A5" w:rsidRDefault="004F51A5">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Exploration licensing and approvals</w:t>
      </w:r>
      <w:r>
        <w:rPr>
          <w:noProof/>
        </w:rPr>
        <w:tab/>
        <w:t>63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regulatory framework</w:t>
      </w:r>
      <w:r>
        <w:rPr>
          <w:noProof/>
        </w:rPr>
        <w:tab/>
        <w:t>64</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Issues with the allocation of licences</w:t>
      </w:r>
      <w:r>
        <w:rPr>
          <w:noProof/>
        </w:rPr>
        <w:tab/>
        <w:t>74</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Issues with regulatory practices</w:t>
      </w:r>
      <w:r>
        <w:rPr>
          <w:noProof/>
        </w:rPr>
        <w:tab/>
        <w:t>84</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Concerns with regulator performance</w:t>
      </w:r>
      <w:r>
        <w:rPr>
          <w:noProof/>
        </w:rPr>
        <w:tab/>
        <w:t>94</w:t>
      </w:r>
    </w:p>
    <w:p w:rsidR="004F51A5" w:rsidRDefault="004F51A5">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Land access issues</w:t>
      </w:r>
      <w:r>
        <w:rPr>
          <w:noProof/>
        </w:rPr>
        <w:tab/>
        <w:t>105</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Land access regimes</w:t>
      </w:r>
      <w:r>
        <w:rPr>
          <w:noProof/>
        </w:rPr>
        <w:tab/>
        <w:t>106</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sidRPr="00EC0EAD">
        <w:rPr>
          <w:noProof/>
          <w:lang w:val="en"/>
        </w:rPr>
        <w:t>National parks and conservation reserves</w:t>
      </w:r>
      <w:r>
        <w:rPr>
          <w:noProof/>
        </w:rPr>
        <w:tab/>
        <w:t>113</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Native title and Aboriginal freehold land</w:t>
      </w:r>
      <w:r>
        <w:rPr>
          <w:noProof/>
        </w:rPr>
        <w:tab/>
        <w:t>117</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lastRenderedPageBreak/>
        <w:t>4.4</w:t>
      </w:r>
      <w:r>
        <w:rPr>
          <w:rFonts w:asciiTheme="minorHAnsi" w:eastAsiaTheme="minorEastAsia" w:hAnsiTheme="minorHAnsi" w:cstheme="minorBidi"/>
          <w:noProof/>
          <w:sz w:val="22"/>
          <w:szCs w:val="22"/>
          <w:lang w:eastAsia="en-AU"/>
        </w:rPr>
        <w:tab/>
      </w:r>
      <w:r>
        <w:rPr>
          <w:noProof/>
        </w:rPr>
        <w:t>Managing conflict between land uses</w:t>
      </w:r>
      <w:r>
        <w:rPr>
          <w:noProof/>
        </w:rPr>
        <w:tab/>
        <w:t>119</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Social licence to operate</w:t>
      </w:r>
      <w:r>
        <w:rPr>
          <w:noProof/>
        </w:rPr>
        <w:tab/>
        <w:t>127</w:t>
      </w:r>
    </w:p>
    <w:p w:rsidR="004F51A5" w:rsidRDefault="004F51A5">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Heritage protection</w:t>
      </w:r>
      <w:r>
        <w:rPr>
          <w:noProof/>
        </w:rPr>
        <w:tab/>
        <w:t>131</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broad regulatory framework</w:t>
      </w:r>
      <w:r>
        <w:rPr>
          <w:noProof/>
        </w:rPr>
        <w:tab/>
        <w:t>132</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Indigenous heritage requirements and processes</w:t>
      </w:r>
      <w:r>
        <w:rPr>
          <w:noProof/>
        </w:rPr>
        <w:tab/>
        <w:t>137</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What are the key Indigenous heritage issues?</w:t>
      </w:r>
      <w:r>
        <w:rPr>
          <w:noProof/>
        </w:rPr>
        <w:tab/>
        <w:t>147</w:t>
      </w:r>
    </w:p>
    <w:p w:rsidR="004F51A5" w:rsidRDefault="004F51A5">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Environmental management</w:t>
      </w:r>
      <w:r>
        <w:rPr>
          <w:noProof/>
        </w:rPr>
        <w:tab/>
        <w:t>167</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Potential environmental impacts of exploration</w:t>
      </w:r>
      <w:r>
        <w:rPr>
          <w:noProof/>
        </w:rPr>
        <w:tab/>
        <w:t>168</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regulatory frameworks for managing the environmental impacts of exploration</w:t>
      </w:r>
      <w:r>
        <w:rPr>
          <w:noProof/>
        </w:rPr>
        <w:tab/>
        <w:t>170</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Duplication of regulatory agency responsibilities</w:t>
      </w:r>
      <w:r>
        <w:rPr>
          <w:noProof/>
        </w:rPr>
        <w:tab/>
        <w:t>179</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Proportionate regulation</w:t>
      </w:r>
      <w:r>
        <w:rPr>
          <w:noProof/>
        </w:rPr>
        <w:tab/>
        <w:t>191</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Improving the administration of assessment and approval processes</w:t>
      </w:r>
      <w:r>
        <w:rPr>
          <w:noProof/>
        </w:rPr>
        <w:tab/>
        <w:t>201</w:t>
      </w:r>
    </w:p>
    <w:p w:rsidR="004F51A5" w:rsidRDefault="004F51A5">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Pre-competitive geoscience information</w:t>
      </w:r>
      <w:r>
        <w:rPr>
          <w:noProof/>
        </w:rPr>
        <w:tab/>
        <w:t>207</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Government involvement in pre</w:t>
      </w:r>
      <w:r>
        <w:rPr>
          <w:noProof/>
        </w:rPr>
        <w:noBreakHyphen/>
        <w:t>competitive information</w:t>
      </w:r>
      <w:r>
        <w:rPr>
          <w:noProof/>
        </w:rPr>
        <w:tab/>
        <w:t>208</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quality of Australia’s geological database</w:t>
      </w:r>
      <w:r>
        <w:rPr>
          <w:noProof/>
        </w:rPr>
        <w:tab/>
        <w:t>209</w:t>
      </w:r>
    </w:p>
    <w:p w:rsidR="004F51A5" w:rsidRDefault="004F51A5">
      <w:pPr>
        <w:pStyle w:val="TOC2"/>
        <w:tabs>
          <w:tab w:val="left" w:pos="1190"/>
        </w:tabs>
        <w:rPr>
          <w:rFonts w:asciiTheme="minorHAnsi" w:eastAsiaTheme="minorEastAsia" w:hAnsiTheme="minorHAnsi" w:cstheme="minorBidi"/>
          <w:noProof/>
          <w:sz w:val="22"/>
          <w:szCs w:val="22"/>
          <w:lang w:eastAsia="en-AU"/>
        </w:rPr>
      </w:pPr>
      <w:r w:rsidRPr="00EC0EAD">
        <w:rPr>
          <w:noProof/>
          <w:lang w:val="en"/>
        </w:rPr>
        <w:t>7.3</w:t>
      </w:r>
      <w:r>
        <w:rPr>
          <w:rFonts w:asciiTheme="minorHAnsi" w:eastAsiaTheme="minorEastAsia" w:hAnsiTheme="minorHAnsi" w:cstheme="minorBidi"/>
          <w:noProof/>
          <w:sz w:val="22"/>
          <w:szCs w:val="22"/>
          <w:lang w:eastAsia="en-AU"/>
        </w:rPr>
        <w:tab/>
      </w:r>
      <w:r w:rsidRPr="00EC0EAD">
        <w:rPr>
          <w:noProof/>
          <w:lang w:val="en"/>
        </w:rPr>
        <w:t>Opportunities to improve pre</w:t>
      </w:r>
      <w:r w:rsidRPr="00EC0EAD">
        <w:rPr>
          <w:noProof/>
          <w:lang w:val="en"/>
        </w:rPr>
        <w:noBreakHyphen/>
        <w:t>competitive geoscience information</w:t>
      </w:r>
      <w:r>
        <w:rPr>
          <w:noProof/>
        </w:rPr>
        <w:tab/>
        <w:t>213</w:t>
      </w:r>
    </w:p>
    <w:p w:rsidR="004F51A5" w:rsidRDefault="004F51A5">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Workforce issues</w:t>
      </w:r>
      <w:r>
        <w:rPr>
          <w:noProof/>
        </w:rPr>
        <w:tab/>
        <w:t>225</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Skills shortages</w:t>
      </w:r>
      <w:r>
        <w:rPr>
          <w:noProof/>
        </w:rPr>
        <w:tab/>
        <w:t>225</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Workplace health and safety</w:t>
      </w:r>
      <w:r>
        <w:rPr>
          <w:noProof/>
        </w:rPr>
        <w:tab/>
        <w:t>238</w:t>
      </w:r>
    </w:p>
    <w:p w:rsidR="004F51A5" w:rsidRDefault="004F51A5">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Workplace relations</w:t>
      </w:r>
      <w:r>
        <w:rPr>
          <w:noProof/>
        </w:rPr>
        <w:tab/>
        <w:t>239</w:t>
      </w:r>
    </w:p>
    <w:p w:rsidR="00C222E7" w:rsidRDefault="00C222E7">
      <w:pPr>
        <w:pStyle w:val="TOC1"/>
        <w:rPr>
          <w:noProof/>
        </w:rPr>
      </w:pPr>
    </w:p>
    <w:p w:rsidR="00C222E7" w:rsidRDefault="00C222E7">
      <w:pPr>
        <w:pStyle w:val="TOC1"/>
        <w:rPr>
          <w:noProof/>
        </w:rPr>
      </w:pPr>
      <w:r>
        <w:rPr>
          <w:noProof/>
        </w:rPr>
        <w:t>Appendices</w:t>
      </w:r>
    </w:p>
    <w:p w:rsidR="004F51A5" w:rsidRDefault="004F51A5">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241</w:t>
      </w:r>
    </w:p>
    <w:p w:rsidR="004F51A5" w:rsidRDefault="004F51A5">
      <w:pPr>
        <w:pStyle w:val="TOC1"/>
        <w:rPr>
          <w:rFonts w:asciiTheme="minorHAnsi" w:eastAsiaTheme="minorEastAsia" w:hAnsiTheme="minorHAnsi" w:cstheme="minorBidi"/>
          <w:b w:val="0"/>
          <w:noProof/>
          <w:sz w:val="22"/>
          <w:szCs w:val="22"/>
          <w:lang w:eastAsia="en-AU"/>
        </w:rPr>
      </w:pPr>
      <w:r>
        <w:rPr>
          <w:noProof/>
        </w:rPr>
        <w:t>References</w:t>
      </w:r>
      <w:r>
        <w:rPr>
          <w:noProof/>
        </w:rPr>
        <w:tab/>
        <w:t>247</w:t>
      </w:r>
    </w:p>
    <w:p w:rsidR="001B7F1E" w:rsidRDefault="001B7F1E" w:rsidP="00C222E7">
      <w:pPr>
        <w:pStyle w:val="BodyText"/>
      </w:pPr>
    </w:p>
    <w:p w:rsidR="004F51A5" w:rsidRPr="004F51A5" w:rsidRDefault="004F51A5" w:rsidP="004F51A5">
      <w:pPr>
        <w:pStyle w:val="BodyText"/>
      </w:pPr>
    </w:p>
    <w:p w:rsidR="00735FEA" w:rsidRDefault="00735FEA">
      <w:pPr>
        <w:pStyle w:val="BodyText"/>
        <w:sectPr w:rsidR="00735FEA" w:rsidSect="005537F6">
          <w:headerReference w:type="even" r:id="rId25"/>
          <w:headerReference w:type="default" r:id="rId26"/>
          <w:footerReference w:type="even" r:id="rId27"/>
          <w:footerReference w:type="default" r:id="rId28"/>
          <w:headerReference w:type="first" r:id="rId29"/>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7" w:name="Abbreviations"/>
      <w:bookmarkStart w:id="8" w:name="EndContents"/>
      <w:bookmarkStart w:id="9" w:name="RDnote"/>
      <w:bookmarkStart w:id="10" w:name="_Toc357059314"/>
      <w:bookmarkEnd w:id="7"/>
      <w:bookmarkEnd w:id="8"/>
      <w:bookmarkEnd w:id="9"/>
      <w:r>
        <w:lastRenderedPageBreak/>
        <w:t>Abbreviations and explanations</w:t>
      </w:r>
      <w:bookmarkEnd w:id="10"/>
    </w:p>
    <w:p w:rsidR="00735FEA" w:rsidRDefault="00735FEA" w:rsidP="00F7477E">
      <w:pPr>
        <w:pStyle w:val="Heading2NotTOC"/>
      </w:pPr>
      <w:r>
        <w:t>Abbrevia</w:t>
      </w:r>
      <w:r w:rsidRPr="00F85393">
        <w:t>t</w:t>
      </w:r>
      <w:r>
        <w:t>ions</w:t>
      </w:r>
    </w:p>
    <w:p w:rsidR="00EA2F7E" w:rsidRDefault="00EA2F7E" w:rsidP="00EA2F7E">
      <w:pPr>
        <w:pStyle w:val="Abbreviation"/>
      </w:pPr>
      <w:proofErr w:type="spellStart"/>
      <w:r>
        <w:t>AAPA</w:t>
      </w:r>
      <w:proofErr w:type="spellEnd"/>
      <w:r>
        <w:tab/>
        <w:t>Aboriginal Areas Protection Authority</w:t>
      </w:r>
    </w:p>
    <w:p w:rsidR="00EA2F7E" w:rsidRDefault="00EA2F7E" w:rsidP="00EA2F7E">
      <w:pPr>
        <w:pStyle w:val="Abbreviation"/>
      </w:pPr>
      <w:r>
        <w:t>ABS</w:t>
      </w:r>
      <w:r>
        <w:tab/>
        <w:t>Australian Bureau of Statistics</w:t>
      </w:r>
    </w:p>
    <w:p w:rsidR="00EA2F7E" w:rsidRDefault="00EA2F7E" w:rsidP="00EA2F7E">
      <w:pPr>
        <w:pStyle w:val="Abbreviation"/>
      </w:pPr>
      <w:r>
        <w:t>AMEC</w:t>
      </w:r>
      <w:r>
        <w:tab/>
        <w:t>Association of Mining and Exploration Companies</w:t>
      </w:r>
    </w:p>
    <w:p w:rsidR="00EA2F7E" w:rsidRDefault="00EA2F7E" w:rsidP="00EA2F7E">
      <w:pPr>
        <w:pStyle w:val="Abbreviation"/>
      </w:pPr>
      <w:proofErr w:type="spellStart"/>
      <w:r>
        <w:t>AMMA</w:t>
      </w:r>
      <w:proofErr w:type="spellEnd"/>
      <w:r>
        <w:tab/>
        <w:t>Australian Mines and Metals Association</w:t>
      </w:r>
    </w:p>
    <w:p w:rsidR="00EA2F7E" w:rsidRDefault="00EA2F7E" w:rsidP="00EA2F7E">
      <w:pPr>
        <w:pStyle w:val="Abbreviation"/>
      </w:pPr>
      <w:proofErr w:type="spellStart"/>
      <w:r>
        <w:t>APPEA</w:t>
      </w:r>
      <w:proofErr w:type="spellEnd"/>
      <w:r>
        <w:tab/>
        <w:t>Australian Petroleum Production and Exploration Association</w:t>
      </w:r>
    </w:p>
    <w:p w:rsidR="00EA2F7E" w:rsidRDefault="00EA2F7E" w:rsidP="00EA2F7E">
      <w:pPr>
        <w:pStyle w:val="Abbreviation"/>
      </w:pPr>
      <w:r>
        <w:t>ATSIHP</w:t>
      </w:r>
      <w:r>
        <w:tab/>
        <w:t>Aboriginal and Torres Strait Islander Heritage Protection Act</w:t>
      </w:r>
    </w:p>
    <w:p w:rsidR="00EA2F7E" w:rsidRDefault="00EA2F7E" w:rsidP="00EA2F7E">
      <w:pPr>
        <w:pStyle w:val="Abbreviation"/>
      </w:pPr>
      <w:proofErr w:type="spellStart"/>
      <w:r>
        <w:t>AUA</w:t>
      </w:r>
      <w:proofErr w:type="spellEnd"/>
      <w:r>
        <w:tab/>
        <w:t>Australian Uranium Association</w:t>
      </w:r>
    </w:p>
    <w:p w:rsidR="00EA2F7E" w:rsidRDefault="00EA2F7E" w:rsidP="00EA2F7E">
      <w:pPr>
        <w:pStyle w:val="Abbreviation"/>
      </w:pPr>
      <w:proofErr w:type="spellStart"/>
      <w:r>
        <w:t>AusIMM</w:t>
      </w:r>
      <w:proofErr w:type="spellEnd"/>
      <w:r>
        <w:tab/>
        <w:t>Australian Institute of Mining and Metallurgy</w:t>
      </w:r>
    </w:p>
    <w:p w:rsidR="00EA2F7E" w:rsidRDefault="00EA2F7E" w:rsidP="00EA2F7E">
      <w:pPr>
        <w:pStyle w:val="Abbreviation"/>
      </w:pPr>
      <w:r>
        <w:t>COAG</w:t>
      </w:r>
      <w:r>
        <w:tab/>
        <w:t>Council of Australian Governments</w:t>
      </w:r>
    </w:p>
    <w:p w:rsidR="00EA2F7E" w:rsidRDefault="00EA2F7E" w:rsidP="00EA2F7E">
      <w:pPr>
        <w:pStyle w:val="Abbreviation"/>
      </w:pPr>
      <w:r>
        <w:t>CSG</w:t>
      </w:r>
      <w:r>
        <w:tab/>
        <w:t>Coal seam gas</w:t>
      </w:r>
    </w:p>
    <w:p w:rsidR="00EA2F7E" w:rsidRDefault="00EA2F7E" w:rsidP="00EA2F7E">
      <w:pPr>
        <w:pStyle w:val="Abbreviation"/>
      </w:pPr>
      <w:r>
        <w:t>CSIRO</w:t>
      </w:r>
      <w:r>
        <w:tab/>
        <w:t>Commonwealth Scientific and Industrial Research Organisation</w:t>
      </w:r>
    </w:p>
    <w:p w:rsidR="00EA2F7E" w:rsidRDefault="00EA2F7E" w:rsidP="00EA2F7E">
      <w:pPr>
        <w:pStyle w:val="Abbreviation"/>
      </w:pPr>
      <w:proofErr w:type="spellStart"/>
      <w:r>
        <w:t>EPBC</w:t>
      </w:r>
      <w:proofErr w:type="spellEnd"/>
      <w:r>
        <w:tab/>
        <w:t>En</w:t>
      </w:r>
      <w:r w:rsidR="00123F15">
        <w:t>vironmental Protection and Biodi</w:t>
      </w:r>
      <w:r>
        <w:t>versity Conservation Act</w:t>
      </w:r>
    </w:p>
    <w:p w:rsidR="00EA2F7E" w:rsidRDefault="00EA2F7E" w:rsidP="00EA2F7E">
      <w:pPr>
        <w:pStyle w:val="Abbreviation"/>
      </w:pPr>
      <w:r>
        <w:t>GA</w:t>
      </w:r>
      <w:r>
        <w:tab/>
        <w:t>Geoscience Australia</w:t>
      </w:r>
    </w:p>
    <w:p w:rsidR="00EA2F7E" w:rsidRDefault="00EA2F7E" w:rsidP="00EA2F7E">
      <w:pPr>
        <w:pStyle w:val="Abbreviation"/>
      </w:pPr>
      <w:proofErr w:type="spellStart"/>
      <w:r>
        <w:t>IAC</w:t>
      </w:r>
      <w:proofErr w:type="spellEnd"/>
      <w:r>
        <w:tab/>
        <w:t>Industries Assistance Commission</w:t>
      </w:r>
    </w:p>
    <w:p w:rsidR="00EA2F7E" w:rsidRDefault="00EA2F7E" w:rsidP="00EA2F7E">
      <w:pPr>
        <w:pStyle w:val="Abbreviation"/>
      </w:pPr>
      <w:r>
        <w:t>IC</w:t>
      </w:r>
      <w:r>
        <w:tab/>
        <w:t>Industry Commission</w:t>
      </w:r>
    </w:p>
    <w:p w:rsidR="00EA2F7E" w:rsidRDefault="00EA2F7E" w:rsidP="00EA2F7E">
      <w:pPr>
        <w:pStyle w:val="Abbreviation"/>
      </w:pPr>
      <w:r>
        <w:t>MCA</w:t>
      </w:r>
      <w:r>
        <w:tab/>
        <w:t>Minerals Council of Australia</w:t>
      </w:r>
    </w:p>
    <w:p w:rsidR="00EA2F7E" w:rsidRDefault="00EA2F7E" w:rsidP="00EA2F7E">
      <w:pPr>
        <w:pStyle w:val="Abbreviation"/>
      </w:pPr>
      <w:proofErr w:type="spellStart"/>
      <w:r>
        <w:t>NOPSEMA</w:t>
      </w:r>
      <w:proofErr w:type="spellEnd"/>
      <w:r>
        <w:tab/>
        <w:t>National Offshore Petroleum Safety and Environmental Management Authority</w:t>
      </w:r>
    </w:p>
    <w:p w:rsidR="00EA2F7E" w:rsidRDefault="00EA2F7E" w:rsidP="00EA2F7E">
      <w:pPr>
        <w:pStyle w:val="Abbreviation"/>
      </w:pPr>
      <w:proofErr w:type="spellStart"/>
      <w:r>
        <w:t>NTA</w:t>
      </w:r>
      <w:proofErr w:type="spellEnd"/>
      <w:r>
        <w:tab/>
        <w:t>Native Title Act</w:t>
      </w:r>
    </w:p>
    <w:p w:rsidR="00EA2F7E" w:rsidRDefault="00EA2F7E" w:rsidP="00EA2F7E">
      <w:pPr>
        <w:pStyle w:val="Abbreviation"/>
      </w:pPr>
      <w:r>
        <w:t>PC</w:t>
      </w:r>
      <w:r>
        <w:tab/>
        <w:t>Productivity Commission</w:t>
      </w:r>
    </w:p>
    <w:p w:rsidR="00EA2F7E" w:rsidRDefault="00EA2F7E" w:rsidP="00EA2F7E">
      <w:pPr>
        <w:pStyle w:val="Abbreviation"/>
      </w:pPr>
      <w:proofErr w:type="spellStart"/>
      <w:r>
        <w:t>PTG</w:t>
      </w:r>
      <w:proofErr w:type="spellEnd"/>
      <w:r>
        <w:tab/>
        <w:t>Policy Transition Group</w:t>
      </w:r>
    </w:p>
    <w:p w:rsidR="00EA2F7E" w:rsidRDefault="00EA2F7E" w:rsidP="00EA2F7E">
      <w:pPr>
        <w:pStyle w:val="Abbreviation"/>
      </w:pPr>
      <w:proofErr w:type="spellStart"/>
      <w:r>
        <w:t>QEC</w:t>
      </w:r>
      <w:proofErr w:type="spellEnd"/>
      <w:r>
        <w:tab/>
        <w:t>Queensland Exploration Council</w:t>
      </w:r>
    </w:p>
    <w:p w:rsidR="00EA2F7E" w:rsidRDefault="00EA2F7E" w:rsidP="00EA2F7E">
      <w:pPr>
        <w:pStyle w:val="Abbreviation"/>
      </w:pPr>
      <w:proofErr w:type="spellStart"/>
      <w:r>
        <w:t>QRC</w:t>
      </w:r>
      <w:proofErr w:type="spellEnd"/>
      <w:r>
        <w:tab/>
        <w:t>Queensland Resources Council</w:t>
      </w:r>
    </w:p>
    <w:p w:rsidR="00EA2F7E" w:rsidRDefault="00EA2F7E" w:rsidP="00EA2F7E">
      <w:pPr>
        <w:pStyle w:val="Abbreviation"/>
      </w:pPr>
      <w:r>
        <w:lastRenderedPageBreak/>
        <w:t>SACOME</w:t>
      </w:r>
      <w:r>
        <w:tab/>
        <w:t>South Australian Chamber of Mines and Energy</w:t>
      </w:r>
    </w:p>
    <w:p w:rsidR="00EA2F7E" w:rsidRDefault="00EA2F7E" w:rsidP="00EA2F7E">
      <w:pPr>
        <w:pStyle w:val="Abbreviation"/>
      </w:pPr>
      <w:proofErr w:type="spellStart"/>
      <w:r>
        <w:t>SCER</w:t>
      </w:r>
      <w:proofErr w:type="spellEnd"/>
      <w:r>
        <w:tab/>
        <w:t>Standing Council on Energy and Resources</w:t>
      </w:r>
    </w:p>
    <w:p w:rsidR="00EA2F7E" w:rsidRDefault="00EA2F7E" w:rsidP="00EA2F7E">
      <w:pPr>
        <w:pStyle w:val="Abbreviation"/>
      </w:pPr>
      <w:r>
        <w:t>SEWPaC</w:t>
      </w:r>
      <w:r>
        <w:tab/>
        <w:t>Department of Sustainability, Environment, Water, Population and Communities</w:t>
      </w:r>
    </w:p>
    <w:p w:rsidR="00EA2F7E" w:rsidRDefault="00EA2F7E" w:rsidP="00EA2F7E">
      <w:pPr>
        <w:pStyle w:val="Abbreviation"/>
      </w:pPr>
      <w:proofErr w:type="spellStart"/>
      <w:r>
        <w:t>SLO</w:t>
      </w:r>
      <w:proofErr w:type="spellEnd"/>
      <w:r>
        <w:tab/>
        <w:t>Social licence to operate</w:t>
      </w:r>
    </w:p>
    <w:p w:rsidR="00735FEA" w:rsidRDefault="00735FEA" w:rsidP="00F7477E">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rsidP="00726ECE">
            <w:pPr>
              <w:pStyle w:val="BodyText"/>
              <w:spacing w:before="120"/>
              <w:ind w:left="227" w:right="142"/>
            </w:pPr>
            <w:r>
              <w:t>The convention used for a billion is a thousand million (10</w:t>
            </w:r>
            <w:r>
              <w:rPr>
                <w:position w:val="6"/>
                <w:sz w:val="22"/>
              </w:rPr>
              <w:t>9</w:t>
            </w:r>
            <w:r>
              <w:t>).</w:t>
            </w:r>
          </w:p>
        </w:tc>
      </w:tr>
      <w:tr w:rsidR="00735FEA">
        <w:tc>
          <w:tcPr>
            <w:tcW w:w="2155" w:type="dxa"/>
          </w:tcPr>
          <w:p w:rsidR="00735FEA" w:rsidRDefault="00735FEA">
            <w:pPr>
              <w:pStyle w:val="BodyText"/>
              <w:spacing w:before="120"/>
              <w:ind w:right="6"/>
            </w:pPr>
            <w:r>
              <w:t>Findings</w:t>
            </w:r>
          </w:p>
        </w:tc>
        <w:tc>
          <w:tcPr>
            <w:tcW w:w="6634" w:type="dxa"/>
          </w:tcPr>
          <w:p w:rsidR="00735FEA" w:rsidRDefault="00735FEA" w:rsidP="00726ECE">
            <w:pPr>
              <w:pStyle w:val="BodyText"/>
              <w:spacing w:before="120"/>
              <w:ind w:left="227" w:right="142"/>
              <w:rPr>
                <w:i/>
              </w:rPr>
            </w:pPr>
            <w:r>
              <w:rPr>
                <w:i/>
              </w:rPr>
              <w:t>Findings in the body of the report are paragraphs high</w:t>
            </w:r>
            <w:r>
              <w:rPr>
                <w:i/>
              </w:rPr>
              <w:softHyphen/>
              <w:t>lighted using italics, as this is.</w:t>
            </w:r>
          </w:p>
        </w:tc>
      </w:tr>
      <w:tr w:rsidR="00735FEA" w:rsidTr="00CE5D96">
        <w:tc>
          <w:tcPr>
            <w:tcW w:w="2155" w:type="dxa"/>
          </w:tcPr>
          <w:p w:rsidR="00735FEA" w:rsidRDefault="005C618D" w:rsidP="005C618D">
            <w:pPr>
              <w:pStyle w:val="BodyText"/>
              <w:spacing w:before="120"/>
              <w:ind w:right="6"/>
            </w:pPr>
            <w:r>
              <w:t>Draft r</w:t>
            </w:r>
            <w:r w:rsidR="00735FEA">
              <w:t>ecommendations</w:t>
            </w:r>
          </w:p>
        </w:tc>
        <w:tc>
          <w:tcPr>
            <w:tcW w:w="6634" w:type="dxa"/>
          </w:tcPr>
          <w:p w:rsidR="00735FEA" w:rsidRDefault="005C618D" w:rsidP="00726ECE">
            <w:pPr>
              <w:pStyle w:val="BodyText"/>
              <w:spacing w:before="120"/>
              <w:ind w:left="227" w:right="142"/>
              <w:rPr>
                <w:b/>
                <w:i/>
              </w:rPr>
            </w:pPr>
            <w:r>
              <w:rPr>
                <w:b/>
                <w:i/>
              </w:rPr>
              <w:t>Draft r</w:t>
            </w:r>
            <w:r w:rsidR="00735FEA">
              <w:rPr>
                <w:b/>
                <w:i/>
              </w:rPr>
              <w:t xml:space="preserve">ecommendations in </w:t>
            </w:r>
            <w:r w:rsidR="00123F15">
              <w:rPr>
                <w:b/>
                <w:i/>
              </w:rPr>
              <w:t>the body of the report are high</w:t>
            </w:r>
            <w:r w:rsidR="00735FEA">
              <w:rPr>
                <w:b/>
                <w:i/>
              </w:rPr>
              <w:t>lighted using bold italics, as this is.</w:t>
            </w:r>
          </w:p>
        </w:tc>
      </w:tr>
      <w:tr w:rsidR="00735FEA">
        <w:tc>
          <w:tcPr>
            <w:tcW w:w="2155" w:type="dxa"/>
          </w:tcPr>
          <w:p w:rsidR="00735FEA" w:rsidRDefault="00735FEA">
            <w:pPr>
              <w:pStyle w:val="BodyText"/>
              <w:spacing w:before="120"/>
              <w:ind w:right="6"/>
            </w:pPr>
            <w:r>
              <w:t>Requests for further information</w:t>
            </w:r>
          </w:p>
        </w:tc>
        <w:tc>
          <w:tcPr>
            <w:tcW w:w="6634" w:type="dxa"/>
          </w:tcPr>
          <w:p w:rsidR="00735FEA" w:rsidRDefault="00735FEA" w:rsidP="00726ECE">
            <w:pPr>
              <w:pStyle w:val="BodyText"/>
              <w:spacing w:before="120"/>
              <w:ind w:left="227" w:right="142"/>
              <w:rPr>
                <w:rFonts w:ascii="Arial" w:hAnsi="Arial"/>
                <w:sz w:val="24"/>
              </w:rPr>
            </w:pPr>
            <w:r>
              <w:rPr>
                <w:rFonts w:ascii="Arial" w:hAnsi="Arial"/>
                <w:i/>
                <w:sz w:val="24"/>
              </w:rPr>
              <w:t>Information requests are paragraphs highlighted using italics, as this is.</w:t>
            </w:r>
          </w:p>
        </w:tc>
      </w:tr>
      <w:tr w:rsidR="00EA2F7E">
        <w:tc>
          <w:tcPr>
            <w:tcW w:w="2155" w:type="dxa"/>
          </w:tcPr>
          <w:p w:rsidR="00EA2F7E" w:rsidRDefault="00EA2F7E" w:rsidP="0051398D">
            <w:pPr>
              <w:pStyle w:val="BodyText"/>
              <w:spacing w:before="120"/>
              <w:ind w:right="6"/>
            </w:pPr>
            <w:r>
              <w:t>Base metals</w:t>
            </w:r>
          </w:p>
        </w:tc>
        <w:tc>
          <w:tcPr>
            <w:tcW w:w="6634" w:type="dxa"/>
          </w:tcPr>
          <w:p w:rsidR="00EA2F7E" w:rsidRPr="00726ECE" w:rsidRDefault="00EA2F7E" w:rsidP="00726ECE">
            <w:pPr>
              <w:pStyle w:val="BodyText"/>
              <w:spacing w:before="120"/>
              <w:ind w:left="227" w:right="142"/>
            </w:pPr>
            <w:r w:rsidRPr="00726ECE">
              <w:t>Are non-ferrous (</w:t>
            </w:r>
            <w:proofErr w:type="spellStart"/>
            <w:r w:rsidRPr="00726ECE">
              <w:t>ie</w:t>
            </w:r>
            <w:proofErr w:type="spellEnd"/>
            <w:r w:rsidRPr="00726ECE">
              <w:t xml:space="preserve"> not containing iron) metals used in industrial products. they include copper, lead, nickel and zinc.</w:t>
            </w:r>
          </w:p>
        </w:tc>
      </w:tr>
      <w:tr w:rsidR="00EA2F7E">
        <w:tc>
          <w:tcPr>
            <w:tcW w:w="2155" w:type="dxa"/>
          </w:tcPr>
          <w:p w:rsidR="00EA2F7E" w:rsidRDefault="00EA2F7E" w:rsidP="0051398D">
            <w:pPr>
              <w:pStyle w:val="BodyText"/>
              <w:spacing w:before="120"/>
              <w:ind w:right="6"/>
            </w:pPr>
            <w:r>
              <w:t>Brownfield</w:t>
            </w:r>
          </w:p>
        </w:tc>
        <w:tc>
          <w:tcPr>
            <w:tcW w:w="6634" w:type="dxa"/>
          </w:tcPr>
          <w:p w:rsidR="00EA2F7E" w:rsidRPr="00726ECE" w:rsidRDefault="00EA2F7E" w:rsidP="00726ECE">
            <w:pPr>
              <w:pStyle w:val="BodyText"/>
              <w:spacing w:before="120"/>
              <w:ind w:left="227" w:right="142"/>
            </w:pPr>
            <w:r w:rsidRPr="00726ECE">
              <w:t>Locations close to existing or historical mines or wells or known resource locations.</w:t>
            </w:r>
          </w:p>
        </w:tc>
      </w:tr>
      <w:tr w:rsidR="00EA2F7E">
        <w:tc>
          <w:tcPr>
            <w:tcW w:w="2155" w:type="dxa"/>
          </w:tcPr>
          <w:p w:rsidR="00EA2F7E" w:rsidRDefault="00EA2F7E" w:rsidP="0051398D">
            <w:pPr>
              <w:pStyle w:val="BodyText"/>
              <w:spacing w:before="120"/>
              <w:ind w:right="6"/>
            </w:pPr>
            <w:r>
              <w:t>Energy resources</w:t>
            </w:r>
          </w:p>
        </w:tc>
        <w:tc>
          <w:tcPr>
            <w:tcW w:w="6634" w:type="dxa"/>
          </w:tcPr>
          <w:p w:rsidR="00EA2F7E" w:rsidRPr="00726ECE" w:rsidRDefault="00EA2F7E" w:rsidP="00726ECE">
            <w:pPr>
              <w:pStyle w:val="BodyText"/>
              <w:spacing w:before="120"/>
              <w:ind w:left="227" w:right="142"/>
            </w:pPr>
            <w:r w:rsidRPr="00726ECE">
              <w:t>Includes petroleum, coal and coal seam gas.</w:t>
            </w:r>
          </w:p>
        </w:tc>
      </w:tr>
      <w:tr w:rsidR="00EA2F7E">
        <w:tc>
          <w:tcPr>
            <w:tcW w:w="2155" w:type="dxa"/>
          </w:tcPr>
          <w:p w:rsidR="00EA2F7E" w:rsidRDefault="00EA2F7E" w:rsidP="0051398D">
            <w:pPr>
              <w:pStyle w:val="BodyText"/>
              <w:spacing w:before="120"/>
              <w:ind w:right="6"/>
            </w:pPr>
            <w:r>
              <w:t>Exploration</w:t>
            </w:r>
          </w:p>
        </w:tc>
        <w:tc>
          <w:tcPr>
            <w:tcW w:w="6634" w:type="dxa"/>
          </w:tcPr>
          <w:p w:rsidR="00EA2F7E" w:rsidRPr="00726ECE" w:rsidRDefault="00EA2F7E" w:rsidP="00726ECE">
            <w:pPr>
              <w:pStyle w:val="BodyText"/>
              <w:spacing w:before="120"/>
              <w:ind w:left="227" w:right="142"/>
            </w:pPr>
            <w:r w:rsidRPr="00726ECE">
              <w:t>Activities that relate to the gathering of knowledge as to the location, quantity and quality of mineral and energy resource deposits.</w:t>
            </w:r>
          </w:p>
        </w:tc>
      </w:tr>
      <w:tr w:rsidR="00EA2F7E">
        <w:tc>
          <w:tcPr>
            <w:tcW w:w="2155" w:type="dxa"/>
          </w:tcPr>
          <w:p w:rsidR="00EA2F7E" w:rsidRDefault="00EA2F7E" w:rsidP="0051398D">
            <w:pPr>
              <w:pStyle w:val="BodyText"/>
              <w:spacing w:before="120"/>
              <w:ind w:right="6"/>
            </w:pPr>
            <w:r>
              <w:t>Extraction</w:t>
            </w:r>
          </w:p>
        </w:tc>
        <w:tc>
          <w:tcPr>
            <w:tcW w:w="6634" w:type="dxa"/>
          </w:tcPr>
          <w:p w:rsidR="00EA2F7E" w:rsidRPr="00726ECE" w:rsidRDefault="00EA2F7E" w:rsidP="00726ECE">
            <w:pPr>
              <w:pStyle w:val="BodyText"/>
              <w:spacing w:before="120"/>
              <w:ind w:left="227" w:right="142"/>
            </w:pPr>
            <w:r w:rsidRPr="00726ECE">
              <w:t>The process of removing mineral and energy resources. This includes mining and oil and gas wells.</w:t>
            </w:r>
          </w:p>
        </w:tc>
      </w:tr>
      <w:tr w:rsidR="00EA2F7E">
        <w:tc>
          <w:tcPr>
            <w:tcW w:w="2155" w:type="dxa"/>
          </w:tcPr>
          <w:p w:rsidR="00EA2F7E" w:rsidRDefault="00EA2F7E" w:rsidP="0051398D">
            <w:pPr>
              <w:pStyle w:val="BodyText"/>
              <w:spacing w:before="120"/>
              <w:ind w:right="6"/>
            </w:pPr>
            <w:r>
              <w:t>Geoscience</w:t>
            </w:r>
          </w:p>
        </w:tc>
        <w:tc>
          <w:tcPr>
            <w:tcW w:w="6634" w:type="dxa"/>
          </w:tcPr>
          <w:p w:rsidR="00EA2F7E" w:rsidRPr="00726ECE" w:rsidRDefault="00EA2F7E" w:rsidP="00726ECE">
            <w:pPr>
              <w:pStyle w:val="BodyText"/>
              <w:spacing w:before="120"/>
              <w:ind w:left="227" w:right="142"/>
            </w:pPr>
            <w:r w:rsidRPr="00726ECE">
              <w:t>The study of the structure and evolution of geology and mineral and energy resources.</w:t>
            </w:r>
          </w:p>
        </w:tc>
      </w:tr>
      <w:tr w:rsidR="00EA2F7E">
        <w:tc>
          <w:tcPr>
            <w:tcW w:w="2155" w:type="dxa"/>
          </w:tcPr>
          <w:p w:rsidR="00EA2F7E" w:rsidRDefault="00EA2F7E" w:rsidP="0051398D">
            <w:pPr>
              <w:pStyle w:val="BodyText"/>
              <w:spacing w:before="120"/>
              <w:ind w:right="6"/>
            </w:pPr>
            <w:r>
              <w:t>Greenfield</w:t>
            </w:r>
          </w:p>
        </w:tc>
        <w:tc>
          <w:tcPr>
            <w:tcW w:w="6634" w:type="dxa"/>
          </w:tcPr>
          <w:p w:rsidR="00EA2F7E" w:rsidRPr="00726ECE" w:rsidRDefault="00EA2F7E" w:rsidP="00726ECE">
            <w:pPr>
              <w:pStyle w:val="BodyText"/>
              <w:spacing w:before="120"/>
              <w:ind w:left="227" w:right="142"/>
            </w:pPr>
            <w:r w:rsidRPr="00726ECE">
              <w:t>Locations remote from existing or historical mines or wells or known resource locations.</w:t>
            </w:r>
          </w:p>
        </w:tc>
      </w:tr>
      <w:tr w:rsidR="00EA2F7E">
        <w:tc>
          <w:tcPr>
            <w:tcW w:w="2155" w:type="dxa"/>
          </w:tcPr>
          <w:p w:rsidR="00EA2F7E" w:rsidRDefault="00EA2F7E" w:rsidP="0051398D">
            <w:pPr>
              <w:pStyle w:val="BodyText"/>
              <w:spacing w:before="120"/>
              <w:ind w:right="6"/>
            </w:pPr>
            <w:r>
              <w:t>Junior explorer</w:t>
            </w:r>
          </w:p>
        </w:tc>
        <w:tc>
          <w:tcPr>
            <w:tcW w:w="6634" w:type="dxa"/>
          </w:tcPr>
          <w:p w:rsidR="00EA2F7E" w:rsidRPr="00726ECE" w:rsidRDefault="00EA2F7E" w:rsidP="00726ECE">
            <w:pPr>
              <w:pStyle w:val="BodyText"/>
              <w:spacing w:before="120"/>
              <w:ind w:left="227" w:right="142"/>
            </w:pPr>
            <w:r w:rsidRPr="00726ECE">
              <w:t>A company whose principal activities are exploring for mineral or energy reserves and whose main income is derived from selling the rights to any such discoveries. They have little or no involvement in operating mines or wells.</w:t>
            </w:r>
          </w:p>
        </w:tc>
      </w:tr>
      <w:tr w:rsidR="00EA2F7E">
        <w:tc>
          <w:tcPr>
            <w:tcW w:w="2155" w:type="dxa"/>
          </w:tcPr>
          <w:p w:rsidR="00EA2F7E" w:rsidRDefault="00EA2F7E" w:rsidP="0051398D">
            <w:pPr>
              <w:pStyle w:val="BodyText"/>
              <w:spacing w:before="120"/>
              <w:ind w:right="6"/>
            </w:pPr>
            <w:r>
              <w:lastRenderedPageBreak/>
              <w:t>Mineral resources</w:t>
            </w:r>
          </w:p>
        </w:tc>
        <w:tc>
          <w:tcPr>
            <w:tcW w:w="6634" w:type="dxa"/>
          </w:tcPr>
          <w:p w:rsidR="00EA2F7E" w:rsidRPr="00726ECE" w:rsidRDefault="00EA2F7E" w:rsidP="00726ECE">
            <w:pPr>
              <w:pStyle w:val="BodyText"/>
              <w:spacing w:before="120"/>
              <w:ind w:left="227" w:right="142"/>
            </w:pPr>
            <w:r w:rsidRPr="00726ECE">
              <w:t xml:space="preserve">Naturally occurring materials that cannot be renewed. </w:t>
            </w:r>
          </w:p>
        </w:tc>
      </w:tr>
      <w:tr w:rsidR="00EA2F7E">
        <w:tc>
          <w:tcPr>
            <w:tcW w:w="2155" w:type="dxa"/>
          </w:tcPr>
          <w:p w:rsidR="00EA2F7E" w:rsidRDefault="00EA2F7E" w:rsidP="0051398D">
            <w:pPr>
              <w:pStyle w:val="BodyText"/>
              <w:spacing w:before="120"/>
              <w:ind w:right="6"/>
            </w:pPr>
            <w:r>
              <w:t>Petroleum</w:t>
            </w:r>
          </w:p>
        </w:tc>
        <w:tc>
          <w:tcPr>
            <w:tcW w:w="6634" w:type="dxa"/>
          </w:tcPr>
          <w:p w:rsidR="00EA2F7E" w:rsidRPr="00726ECE" w:rsidRDefault="00EA2F7E" w:rsidP="00726ECE">
            <w:pPr>
              <w:pStyle w:val="BodyText"/>
              <w:spacing w:before="120"/>
              <w:ind w:left="227" w:right="142"/>
            </w:pPr>
            <w:r w:rsidRPr="00726ECE">
              <w:t>Naturally occurring hydrocarbons including crude oil, natural gas, oil shale and similar products.</w:t>
            </w:r>
          </w:p>
        </w:tc>
      </w:tr>
      <w:tr w:rsidR="00EA2F7E">
        <w:tc>
          <w:tcPr>
            <w:tcW w:w="2155" w:type="dxa"/>
          </w:tcPr>
          <w:p w:rsidR="00EA2F7E" w:rsidRDefault="00EA2F7E" w:rsidP="0051398D">
            <w:pPr>
              <w:pStyle w:val="BodyText"/>
              <w:spacing w:before="120"/>
              <w:ind w:right="6"/>
            </w:pPr>
            <w:r>
              <w:t>Pre-competitive geoscience</w:t>
            </w:r>
          </w:p>
        </w:tc>
        <w:tc>
          <w:tcPr>
            <w:tcW w:w="6634" w:type="dxa"/>
          </w:tcPr>
          <w:p w:rsidR="00EA2F7E" w:rsidRPr="00726ECE" w:rsidRDefault="00EA2F7E" w:rsidP="00726ECE">
            <w:pPr>
              <w:pStyle w:val="BodyText"/>
              <w:spacing w:before="120"/>
              <w:ind w:left="227" w:right="142"/>
            </w:pPr>
            <w:r w:rsidRPr="00726ECE">
              <w:t>Government provided information about the broad geology of a region which is then used by private explorers to select areas for more intensive exploration.</w:t>
            </w:r>
          </w:p>
        </w:tc>
      </w:tr>
      <w:tr w:rsidR="00EA2F7E">
        <w:tc>
          <w:tcPr>
            <w:tcW w:w="2155" w:type="dxa"/>
          </w:tcPr>
          <w:p w:rsidR="00EA2F7E" w:rsidRDefault="00EA2F7E" w:rsidP="0051398D">
            <w:pPr>
              <w:pStyle w:val="BodyText"/>
              <w:spacing w:before="120"/>
              <w:ind w:right="6"/>
            </w:pPr>
            <w:r>
              <w:t>Prospectivity</w:t>
            </w:r>
          </w:p>
        </w:tc>
        <w:tc>
          <w:tcPr>
            <w:tcW w:w="6634" w:type="dxa"/>
          </w:tcPr>
          <w:p w:rsidR="00EA2F7E" w:rsidRPr="00726ECE" w:rsidRDefault="00EA2F7E" w:rsidP="00726ECE">
            <w:pPr>
              <w:pStyle w:val="BodyText"/>
              <w:spacing w:before="120"/>
              <w:ind w:left="227" w:right="142"/>
            </w:pPr>
            <w:r w:rsidRPr="00726ECE">
              <w:t>The relative geological potential of different possible exploration locations. The probability that a given area wil</w:t>
            </w:r>
            <w:r w:rsidR="00123F15" w:rsidRPr="00726ECE">
              <w:t>l contain mineral or energy dep</w:t>
            </w:r>
            <w:r w:rsidRPr="00726ECE">
              <w:t>o</w:t>
            </w:r>
            <w:r w:rsidR="00123F15" w:rsidRPr="00726ECE">
              <w:t>s</w:t>
            </w:r>
            <w:r w:rsidRPr="00726ECE">
              <w:t>its.</w:t>
            </w:r>
          </w:p>
        </w:tc>
      </w:tr>
      <w:tr w:rsidR="00EA2F7E">
        <w:tc>
          <w:tcPr>
            <w:tcW w:w="2155" w:type="dxa"/>
          </w:tcPr>
          <w:p w:rsidR="00EA2F7E" w:rsidRDefault="00EA2F7E" w:rsidP="0051398D">
            <w:pPr>
              <w:pStyle w:val="BodyText"/>
              <w:spacing w:before="120"/>
              <w:ind w:right="6"/>
            </w:pPr>
            <w:r>
              <w:t>Senior explorer/miner</w:t>
            </w:r>
          </w:p>
        </w:tc>
        <w:tc>
          <w:tcPr>
            <w:tcW w:w="6634" w:type="dxa"/>
          </w:tcPr>
          <w:p w:rsidR="00EA2F7E" w:rsidRPr="00726ECE" w:rsidRDefault="00EA2F7E" w:rsidP="00726ECE">
            <w:pPr>
              <w:pStyle w:val="BodyText"/>
              <w:spacing w:before="120"/>
              <w:ind w:left="227" w:right="142"/>
            </w:pPr>
            <w:r w:rsidRPr="00726ECE">
              <w:t>A company that is involved in operating mines or wells. While they may undertake exploration activities, exploration would be a small component of their expenditure.</w:t>
            </w:r>
          </w:p>
        </w:tc>
      </w:tr>
      <w:tr w:rsidR="00EA2F7E">
        <w:tc>
          <w:tcPr>
            <w:tcW w:w="2155" w:type="dxa"/>
          </w:tcPr>
          <w:p w:rsidR="00EA2F7E" w:rsidRDefault="00EA2F7E" w:rsidP="0051398D">
            <w:pPr>
              <w:pStyle w:val="BodyText"/>
              <w:spacing w:before="120"/>
              <w:ind w:right="6"/>
            </w:pPr>
            <w:r>
              <w:t>Social Licence to Operate</w:t>
            </w:r>
          </w:p>
        </w:tc>
        <w:tc>
          <w:tcPr>
            <w:tcW w:w="6634" w:type="dxa"/>
          </w:tcPr>
          <w:p w:rsidR="00EA2F7E" w:rsidRPr="00726ECE" w:rsidRDefault="00EA2F7E" w:rsidP="00726ECE">
            <w:pPr>
              <w:pStyle w:val="BodyText"/>
              <w:spacing w:before="120"/>
              <w:ind w:left="227" w:right="142"/>
            </w:pPr>
            <w:r w:rsidRPr="00726ECE">
              <w:t>Achieved when an organisation has ongoing acceptance from the local community or other relevant stakeholders.</w:t>
            </w:r>
          </w:p>
        </w:tc>
      </w:tr>
    </w:tbl>
    <w:p w:rsidR="00735FEA" w:rsidRDefault="00735FEA" w:rsidP="00743A27">
      <w:pPr>
        <w:pStyle w:val="BodyText"/>
      </w:pPr>
    </w:p>
    <w:p w:rsidR="004F51A5" w:rsidRPr="00000994" w:rsidRDefault="004F51A5">
      <w:pPr>
        <w:rPr>
          <w:rStyle w:val="CommentReference"/>
          <w:vanish w:val="0"/>
        </w:rPr>
      </w:pPr>
      <w:bookmarkStart w:id="11" w:name="Glossary"/>
      <w:bookmarkEnd w:id="11"/>
    </w:p>
    <w:sectPr w:rsidR="004F51A5" w:rsidRPr="00000994" w:rsidSect="00C55A45">
      <w:headerReference w:type="even" r:id="rId30"/>
      <w:headerReference w:type="default" r:id="rId31"/>
      <w:footerReference w:type="even" r:id="rId32"/>
      <w:footerReference w:type="default" r:id="rId33"/>
      <w:headerReference w:type="first" r:id="rId34"/>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99" w:rsidRDefault="00051199">
      <w:r>
        <w:separator/>
      </w:r>
    </w:p>
    <w:p w:rsidR="00051199" w:rsidRDefault="00051199"/>
    <w:p w:rsidR="00051199" w:rsidRDefault="00051199"/>
  </w:endnote>
  <w:endnote w:type="continuationSeparator" w:id="0">
    <w:p w:rsidR="00051199" w:rsidRDefault="00051199">
      <w:r>
        <w:continuationSeparator/>
      </w:r>
    </w:p>
    <w:p w:rsidR="00051199" w:rsidRDefault="00051199"/>
    <w:p w:rsidR="00051199" w:rsidRDefault="00051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051199" w:rsidTr="008F7DB7">
      <w:trPr>
        <w:trHeight w:hRule="exact" w:val="740"/>
      </w:trPr>
      <w:tc>
        <w:tcPr>
          <w:tcW w:w="510" w:type="dxa"/>
          <w:tcBorders>
            <w:top w:val="single" w:sz="6" w:space="0" w:color="auto"/>
          </w:tcBorders>
        </w:tcPr>
        <w:p w:rsidR="00051199" w:rsidRPr="00C55A45" w:rsidRDefault="00051199">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82794">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051199" w:rsidRDefault="00051199">
          <w:pPr>
            <w:pStyle w:val="Footer"/>
            <w:rPr>
              <w:noProof/>
            </w:rPr>
          </w:pPr>
          <w:r>
            <w:rPr>
              <w:noProof/>
            </w:rPr>
            <w:fldChar w:fldCharType="begin"/>
          </w:r>
          <w:r>
            <w:rPr>
              <w:noProof/>
            </w:rPr>
            <w:instrText xml:space="preserve"> STYLEREF "Heading 1" \* MERGEFORMAT </w:instrText>
          </w:r>
          <w:r>
            <w:rPr>
              <w:noProof/>
            </w:rPr>
            <w:fldChar w:fldCharType="separate"/>
          </w:r>
          <w:r w:rsidR="00982794">
            <w:rPr>
              <w:noProof/>
            </w:rPr>
            <w:t>Abbreviations and explanations</w:t>
          </w:r>
          <w:r>
            <w:rPr>
              <w:noProof/>
            </w:rPr>
            <w:fldChar w:fldCharType="end"/>
          </w:r>
        </w:p>
      </w:tc>
      <w:tc>
        <w:tcPr>
          <w:tcW w:w="6634" w:type="dxa"/>
        </w:tcPr>
        <w:p w:rsidR="00051199" w:rsidRDefault="00051199">
          <w:pPr>
            <w:pStyle w:val="Footer"/>
            <w:rPr>
              <w:caps w:val="0"/>
            </w:rPr>
          </w:pPr>
        </w:p>
      </w:tc>
    </w:tr>
  </w:tbl>
  <w:p w:rsidR="00051199" w:rsidRDefault="0005119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051199">
      <w:trPr>
        <w:trHeight w:hRule="exact" w:val="740"/>
      </w:trPr>
      <w:tc>
        <w:tcPr>
          <w:tcW w:w="6663" w:type="dxa"/>
        </w:tcPr>
        <w:p w:rsidR="00051199" w:rsidRDefault="00051199">
          <w:pPr>
            <w:pStyle w:val="Footer"/>
          </w:pPr>
        </w:p>
      </w:tc>
      <w:tc>
        <w:tcPr>
          <w:tcW w:w="1615" w:type="dxa"/>
          <w:tcBorders>
            <w:top w:val="single" w:sz="6" w:space="0" w:color="auto"/>
          </w:tcBorders>
        </w:tcPr>
        <w:p w:rsidR="00051199" w:rsidRDefault="00982794">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051199" w:rsidRPr="00E15FDC" w:rsidRDefault="00051199">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982794">
            <w:rPr>
              <w:rStyle w:val="PageNumber"/>
              <w:caps w:val="0"/>
              <w:noProof/>
            </w:rPr>
            <w:t>xiii</w:t>
          </w:r>
          <w:r w:rsidRPr="00E15FDC">
            <w:rPr>
              <w:rStyle w:val="PageNumber"/>
              <w:caps w:val="0"/>
              <w:noProof/>
            </w:rPr>
            <w:fldChar w:fldCharType="end"/>
          </w:r>
        </w:p>
      </w:tc>
    </w:tr>
  </w:tbl>
  <w:p w:rsidR="00051199" w:rsidRDefault="00051199"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51199">
      <w:trPr>
        <w:trHeight w:hRule="exact" w:val="740"/>
      </w:trPr>
      <w:tc>
        <w:tcPr>
          <w:tcW w:w="510" w:type="dxa"/>
          <w:tcBorders>
            <w:top w:val="single" w:sz="6" w:space="0" w:color="auto"/>
          </w:tcBorders>
        </w:tcPr>
        <w:p w:rsidR="00051199" w:rsidRPr="008206EE" w:rsidRDefault="00051199">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82794">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051199" w:rsidRPr="00603344" w:rsidRDefault="00982794" w:rsidP="00822D52">
          <w:pPr>
            <w:pStyle w:val="Footer"/>
          </w:pPr>
          <w:r>
            <w:fldChar w:fldCharType="begin"/>
          </w:r>
          <w:r>
            <w:instrText xml:space="preserve"> STYLEREF "Heading 1" \* MERGEFORMAT </w:instrText>
          </w:r>
          <w:r>
            <w:fldChar w:fldCharType="separate"/>
          </w:r>
          <w:r w:rsidRPr="00982794">
            <w:rPr>
              <w:bCs/>
              <w:noProof/>
              <w:lang w:val="en-US"/>
            </w:rPr>
            <w:t>Opportunity for further</w:t>
          </w:r>
          <w:r>
            <w:rPr>
              <w:noProof/>
            </w:rPr>
            <w:t xml:space="preserve"> comment</w:t>
          </w:r>
          <w:r>
            <w:rPr>
              <w:noProof/>
            </w:rPr>
            <w:fldChar w:fldCharType="end"/>
          </w:r>
        </w:p>
      </w:tc>
      <w:tc>
        <w:tcPr>
          <w:tcW w:w="6634" w:type="dxa"/>
        </w:tcPr>
        <w:p w:rsidR="00051199" w:rsidRPr="00603344" w:rsidRDefault="00051199">
          <w:pPr>
            <w:pStyle w:val="Footer"/>
            <w:rPr>
              <w:caps w:val="0"/>
            </w:rPr>
          </w:pPr>
        </w:p>
      </w:tc>
    </w:tr>
  </w:tbl>
  <w:p w:rsidR="00051199" w:rsidRDefault="0005119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51199" w:rsidTr="00822D52">
      <w:trPr>
        <w:trHeight w:hRule="exact" w:val="740"/>
      </w:trPr>
      <w:tc>
        <w:tcPr>
          <w:tcW w:w="6634" w:type="dxa"/>
        </w:tcPr>
        <w:p w:rsidR="00051199" w:rsidRPr="00B3203C" w:rsidRDefault="00051199">
          <w:pPr>
            <w:pStyle w:val="Footer"/>
          </w:pPr>
        </w:p>
      </w:tc>
      <w:tc>
        <w:tcPr>
          <w:tcW w:w="1644" w:type="dxa"/>
          <w:tcBorders>
            <w:top w:val="single" w:sz="6" w:space="0" w:color="auto"/>
          </w:tcBorders>
        </w:tcPr>
        <w:p w:rsidR="00051199" w:rsidRPr="00B3203C" w:rsidRDefault="00051199" w:rsidP="00822D52">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982794" w:rsidRPr="00982794">
            <w:rPr>
              <w:bCs/>
              <w:noProof/>
              <w:lang w:val="en-US"/>
            </w:rPr>
            <w:t>Opportunity for further</w:t>
          </w:r>
          <w:r w:rsidR="00982794">
            <w:rPr>
              <w:noProof/>
            </w:rPr>
            <w:t xml:space="preserve"> comment</w:t>
          </w:r>
          <w:r w:rsidRPr="00B3203C">
            <w:rPr>
              <w:noProof/>
            </w:rPr>
            <w:fldChar w:fldCharType="end"/>
          </w:r>
        </w:p>
      </w:tc>
      <w:tc>
        <w:tcPr>
          <w:tcW w:w="510" w:type="dxa"/>
          <w:tcBorders>
            <w:top w:val="single" w:sz="6" w:space="0" w:color="auto"/>
          </w:tcBorders>
        </w:tcPr>
        <w:p w:rsidR="00051199" w:rsidRPr="00C55A45" w:rsidRDefault="00051199">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82794">
            <w:rPr>
              <w:rStyle w:val="PageNumber"/>
              <w:caps w:val="0"/>
              <w:noProof/>
            </w:rPr>
            <w:t>iii</w:t>
          </w:r>
          <w:r w:rsidRPr="00C55A45">
            <w:rPr>
              <w:rStyle w:val="PageNumber"/>
              <w:caps w:val="0"/>
              <w:noProof/>
            </w:rPr>
            <w:fldChar w:fldCharType="end"/>
          </w:r>
        </w:p>
      </w:tc>
    </w:tr>
  </w:tbl>
  <w:p w:rsidR="00051199" w:rsidRDefault="0005119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51199">
      <w:trPr>
        <w:trHeight w:hRule="exact" w:val="740"/>
      </w:trPr>
      <w:tc>
        <w:tcPr>
          <w:tcW w:w="510" w:type="dxa"/>
          <w:tcBorders>
            <w:top w:val="single" w:sz="6" w:space="0" w:color="auto"/>
          </w:tcBorders>
        </w:tcPr>
        <w:p w:rsidR="00051199" w:rsidRPr="008206EE" w:rsidRDefault="00051199">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82794">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051199" w:rsidRPr="00603344" w:rsidRDefault="007665FA" w:rsidP="00822D52">
          <w:pPr>
            <w:pStyle w:val="Footer"/>
          </w:pPr>
          <w:fldSimple w:instr=" STYLEREF &quot;Heading 1&quot; \* MERGEFORMAT ">
            <w:r w:rsidR="00982794">
              <w:rPr>
                <w:noProof/>
              </w:rPr>
              <w:t>Terms of reference</w:t>
            </w:r>
          </w:fldSimple>
        </w:p>
      </w:tc>
      <w:tc>
        <w:tcPr>
          <w:tcW w:w="6634" w:type="dxa"/>
        </w:tcPr>
        <w:p w:rsidR="00051199" w:rsidRPr="00603344" w:rsidRDefault="00051199">
          <w:pPr>
            <w:pStyle w:val="Footer"/>
            <w:rPr>
              <w:caps w:val="0"/>
            </w:rPr>
          </w:pPr>
        </w:p>
      </w:tc>
    </w:tr>
  </w:tbl>
  <w:p w:rsidR="00051199" w:rsidRDefault="0005119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51199" w:rsidTr="00822D52">
      <w:trPr>
        <w:trHeight w:hRule="exact" w:val="740"/>
      </w:trPr>
      <w:tc>
        <w:tcPr>
          <w:tcW w:w="6634" w:type="dxa"/>
        </w:tcPr>
        <w:p w:rsidR="00051199" w:rsidRPr="00B3203C" w:rsidRDefault="00051199">
          <w:pPr>
            <w:pStyle w:val="Footer"/>
          </w:pPr>
        </w:p>
      </w:tc>
      <w:tc>
        <w:tcPr>
          <w:tcW w:w="1644" w:type="dxa"/>
          <w:tcBorders>
            <w:top w:val="single" w:sz="6" w:space="0" w:color="auto"/>
          </w:tcBorders>
        </w:tcPr>
        <w:p w:rsidR="00051199" w:rsidRPr="00B3203C" w:rsidRDefault="00051199" w:rsidP="00822D52">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982794">
            <w:rPr>
              <w:noProof/>
            </w:rPr>
            <w:t>Terms of reference</w:t>
          </w:r>
          <w:r w:rsidRPr="00B3203C">
            <w:rPr>
              <w:noProof/>
            </w:rPr>
            <w:fldChar w:fldCharType="end"/>
          </w:r>
        </w:p>
      </w:tc>
      <w:tc>
        <w:tcPr>
          <w:tcW w:w="510" w:type="dxa"/>
          <w:tcBorders>
            <w:top w:val="single" w:sz="6" w:space="0" w:color="auto"/>
          </w:tcBorders>
        </w:tcPr>
        <w:p w:rsidR="00051199" w:rsidRPr="00C55A45" w:rsidRDefault="00051199">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82794">
            <w:rPr>
              <w:rStyle w:val="PageNumber"/>
              <w:caps w:val="0"/>
              <w:noProof/>
            </w:rPr>
            <w:t>vii</w:t>
          </w:r>
          <w:r w:rsidRPr="00C55A45">
            <w:rPr>
              <w:rStyle w:val="PageNumber"/>
              <w:caps w:val="0"/>
              <w:noProof/>
            </w:rPr>
            <w:fldChar w:fldCharType="end"/>
          </w:r>
        </w:p>
      </w:tc>
    </w:tr>
  </w:tbl>
  <w:p w:rsidR="00051199" w:rsidRDefault="00051199">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51199">
      <w:trPr>
        <w:trHeight w:hRule="exact" w:val="740"/>
      </w:trPr>
      <w:tc>
        <w:tcPr>
          <w:tcW w:w="510" w:type="dxa"/>
          <w:tcBorders>
            <w:top w:val="single" w:sz="6" w:space="0" w:color="auto"/>
          </w:tcBorders>
        </w:tcPr>
        <w:p w:rsidR="00051199" w:rsidRPr="008206EE" w:rsidRDefault="00051199">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82794">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051199" w:rsidRDefault="00982794">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051199" w:rsidRDefault="00051199">
          <w:pPr>
            <w:pStyle w:val="Footer"/>
            <w:rPr>
              <w:caps w:val="0"/>
            </w:rPr>
          </w:pPr>
        </w:p>
      </w:tc>
    </w:tr>
  </w:tbl>
  <w:p w:rsidR="00051199" w:rsidRDefault="00051199">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51199" w:rsidTr="008F7DB7">
      <w:trPr>
        <w:trHeight w:hRule="exact" w:val="740"/>
      </w:trPr>
      <w:tc>
        <w:tcPr>
          <w:tcW w:w="6634" w:type="dxa"/>
        </w:tcPr>
        <w:p w:rsidR="00051199" w:rsidRDefault="00051199">
          <w:pPr>
            <w:pStyle w:val="Footer"/>
          </w:pPr>
        </w:p>
      </w:tc>
      <w:tc>
        <w:tcPr>
          <w:tcW w:w="1644" w:type="dxa"/>
          <w:tcBorders>
            <w:top w:val="single" w:sz="6" w:space="0" w:color="auto"/>
          </w:tcBorders>
        </w:tcPr>
        <w:p w:rsidR="00051199" w:rsidRPr="008F7DB7" w:rsidRDefault="00051199">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82794">
            <w:rPr>
              <w:noProof/>
            </w:rPr>
            <w:t>Contents</w:t>
          </w:r>
          <w:r w:rsidRPr="008F7DB7">
            <w:rPr>
              <w:noProof/>
            </w:rPr>
            <w:fldChar w:fldCharType="end"/>
          </w:r>
        </w:p>
      </w:tc>
      <w:tc>
        <w:tcPr>
          <w:tcW w:w="510" w:type="dxa"/>
          <w:tcBorders>
            <w:top w:val="single" w:sz="6" w:space="0" w:color="auto"/>
          </w:tcBorders>
        </w:tcPr>
        <w:p w:rsidR="00051199" w:rsidRPr="00C55A45" w:rsidRDefault="00051199">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82794">
            <w:rPr>
              <w:rStyle w:val="PageNumber"/>
              <w:caps w:val="0"/>
              <w:noProof/>
            </w:rPr>
            <w:t>ix</w:t>
          </w:r>
          <w:r w:rsidRPr="00C55A45">
            <w:rPr>
              <w:rStyle w:val="PageNumber"/>
              <w:caps w:val="0"/>
              <w:noProof/>
            </w:rPr>
            <w:fldChar w:fldCharType="end"/>
          </w:r>
        </w:p>
      </w:tc>
    </w:tr>
  </w:tbl>
  <w:p w:rsidR="00051199" w:rsidRDefault="0005119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99" w:rsidRDefault="00051199">
      <w:r>
        <w:separator/>
      </w:r>
    </w:p>
    <w:p w:rsidR="00051199" w:rsidRDefault="00051199"/>
    <w:p w:rsidR="00051199" w:rsidRDefault="00051199"/>
  </w:footnote>
  <w:footnote w:type="continuationSeparator" w:id="0">
    <w:p w:rsidR="00051199" w:rsidRDefault="00051199">
      <w:r>
        <w:continuationSeparator/>
      </w:r>
    </w:p>
    <w:p w:rsidR="00051199" w:rsidRDefault="00051199"/>
    <w:p w:rsidR="00051199" w:rsidRDefault="000511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5" o:spid="_x0000_s32770"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51199">
      <w:tc>
        <w:tcPr>
          <w:tcW w:w="2155" w:type="dxa"/>
          <w:tcBorders>
            <w:top w:val="single" w:sz="24" w:space="0" w:color="auto"/>
          </w:tcBorders>
        </w:tcPr>
        <w:p w:rsidR="00051199"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4" o:spid="_x0000_s32779"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51199" w:rsidRDefault="00982794">
          <w:pPr>
            <w:pStyle w:val="Header"/>
          </w:pPr>
          <w:r>
            <w:rPr>
              <w:color w:val="FF0000"/>
              <w:sz w:val="14"/>
              <w:szCs w:val="14"/>
            </w:rPr>
            <w:t>draft report: For final outcomes of this project refer to the inquiry report.</w:t>
          </w:r>
        </w:p>
      </w:tc>
    </w:tr>
  </w:tbl>
  <w:p w:rsidR="00051199" w:rsidRDefault="00051199">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51199" w:rsidTr="005C68FE">
      <w:tc>
        <w:tcPr>
          <w:tcW w:w="6634" w:type="dxa"/>
          <w:tcBorders>
            <w:top w:val="single" w:sz="6" w:space="0" w:color="auto"/>
          </w:tcBorders>
        </w:tcPr>
        <w:p w:rsidR="00051199" w:rsidRDefault="00982794" w:rsidP="005C68FE">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5" o:spid="_x0000_s32780"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51199" w:rsidRDefault="00051199" w:rsidP="005C68FE">
          <w:pPr>
            <w:pStyle w:val="HeaderOdd"/>
          </w:pPr>
        </w:p>
      </w:tc>
    </w:tr>
  </w:tbl>
  <w:p w:rsidR="00051199" w:rsidRPr="005C68FE" w:rsidRDefault="00051199"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3" o:spid="_x0000_s32778"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51199" w:rsidTr="005C68FE">
      <w:tc>
        <w:tcPr>
          <w:tcW w:w="2155" w:type="dxa"/>
          <w:tcBorders>
            <w:top w:val="single" w:sz="24" w:space="0" w:color="auto"/>
          </w:tcBorders>
        </w:tcPr>
        <w:p w:rsidR="00051199" w:rsidRDefault="00982794"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7" o:spid="_x0000_s32782"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51199" w:rsidRDefault="00982794" w:rsidP="005C68FE">
          <w:pPr>
            <w:pStyle w:val="HeaderEven"/>
          </w:pPr>
          <w:r>
            <w:rPr>
              <w:color w:val="FF0000"/>
              <w:sz w:val="14"/>
              <w:szCs w:val="14"/>
            </w:rPr>
            <w:t>draft report: For final outcomes of this project refer to the inquiry report.</w:t>
          </w:r>
          <w:bookmarkStart w:id="12" w:name="_GoBack"/>
          <w:bookmarkEnd w:id="12"/>
        </w:p>
      </w:tc>
    </w:tr>
  </w:tbl>
  <w:p w:rsidR="00051199" w:rsidRDefault="00051199"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51199">
      <w:tc>
        <w:tcPr>
          <w:tcW w:w="6634" w:type="dxa"/>
          <w:tcBorders>
            <w:top w:val="single" w:sz="6" w:space="0" w:color="auto"/>
          </w:tcBorders>
        </w:tcPr>
        <w:p w:rsidR="00051199" w:rsidRDefault="00982794">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8" o:spid="_x0000_s32783"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51199" w:rsidRDefault="00051199">
          <w:pPr>
            <w:pStyle w:val="HeaderOdd"/>
          </w:pPr>
        </w:p>
      </w:tc>
    </w:tr>
  </w:tbl>
  <w:p w:rsidR="00051199" w:rsidRDefault="00051199"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6" o:spid="_x0000_s32781"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6" o:spid="_x0000_s32771"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4" o:spid="_x0000_s32769"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51199">
      <w:tc>
        <w:tcPr>
          <w:tcW w:w="2155" w:type="dxa"/>
          <w:tcBorders>
            <w:top w:val="single" w:sz="24" w:space="0" w:color="auto"/>
          </w:tcBorders>
        </w:tcPr>
        <w:p w:rsidR="00051199"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8" o:spid="_x0000_s32773"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51199" w:rsidRDefault="00982794">
          <w:pPr>
            <w:pStyle w:val="Header"/>
          </w:pPr>
          <w:r>
            <w:rPr>
              <w:color w:val="FF0000"/>
              <w:sz w:val="14"/>
              <w:szCs w:val="14"/>
            </w:rPr>
            <w:t>draft report: For final outcomes of this project refer to the inquiry report.</w:t>
          </w:r>
        </w:p>
      </w:tc>
    </w:tr>
  </w:tbl>
  <w:p w:rsidR="00051199" w:rsidRDefault="0005119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51199" w:rsidTr="00822D52">
      <w:tc>
        <w:tcPr>
          <w:tcW w:w="6634" w:type="dxa"/>
          <w:tcBorders>
            <w:top w:val="single" w:sz="6" w:space="0" w:color="auto"/>
          </w:tcBorders>
        </w:tcPr>
        <w:p w:rsidR="00051199" w:rsidRDefault="00982794" w:rsidP="00822D52">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9" o:spid="_x0000_s32774"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51199" w:rsidRDefault="00051199" w:rsidP="00822D52">
          <w:pPr>
            <w:pStyle w:val="HeaderOdd"/>
          </w:pPr>
        </w:p>
      </w:tc>
    </w:tr>
  </w:tbl>
  <w:p w:rsidR="00051199" w:rsidRPr="005C68FE" w:rsidRDefault="00051199" w:rsidP="00822D5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697" o:spid="_x0000_s32772"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51199">
      <w:tc>
        <w:tcPr>
          <w:tcW w:w="2155" w:type="dxa"/>
          <w:tcBorders>
            <w:top w:val="single" w:sz="24" w:space="0" w:color="auto"/>
          </w:tcBorders>
        </w:tcPr>
        <w:p w:rsidR="00051199"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1" o:spid="_x0000_s32776"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051199" w:rsidRDefault="00982794">
          <w:pPr>
            <w:pStyle w:val="Header"/>
          </w:pPr>
          <w:r>
            <w:rPr>
              <w:color w:val="FF0000"/>
              <w:sz w:val="14"/>
              <w:szCs w:val="14"/>
            </w:rPr>
            <w:t>draft report: For final outcomes of this project refer to the inquiry report.</w:t>
          </w:r>
        </w:p>
      </w:tc>
    </w:tr>
  </w:tbl>
  <w:p w:rsidR="00051199" w:rsidRDefault="00051199">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51199" w:rsidTr="00822D52">
      <w:tc>
        <w:tcPr>
          <w:tcW w:w="6634" w:type="dxa"/>
          <w:tcBorders>
            <w:top w:val="single" w:sz="6" w:space="0" w:color="auto"/>
          </w:tcBorders>
        </w:tcPr>
        <w:p w:rsidR="00051199" w:rsidRDefault="00982794" w:rsidP="00822D52">
          <w:pPr>
            <w:pStyle w:val="HeaderOdd"/>
          </w:pPr>
          <w:r>
            <w:rPr>
              <w:color w:val="FF0000"/>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2" o:spid="_x0000_s32777"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051199" w:rsidRDefault="00051199" w:rsidP="00822D52">
          <w:pPr>
            <w:pStyle w:val="HeaderOdd"/>
          </w:pPr>
        </w:p>
      </w:tc>
    </w:tr>
  </w:tbl>
  <w:p w:rsidR="00051199" w:rsidRPr="005C68FE" w:rsidRDefault="00051199" w:rsidP="00822D52">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794" w:rsidRDefault="0098279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25700" o:spid="_x0000_s32775"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84"/>
    <o:shapelayout v:ext="edit">
      <o:idmap v:ext="edit" data="3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24A"/>
    <w:rsid w:val="00000994"/>
    <w:rsid w:val="00017AFC"/>
    <w:rsid w:val="00025878"/>
    <w:rsid w:val="00026B38"/>
    <w:rsid w:val="000502D3"/>
    <w:rsid w:val="00051199"/>
    <w:rsid w:val="000623BF"/>
    <w:rsid w:val="00095EEA"/>
    <w:rsid w:val="00097C15"/>
    <w:rsid w:val="000B416E"/>
    <w:rsid w:val="000F185F"/>
    <w:rsid w:val="000F2F5F"/>
    <w:rsid w:val="00106041"/>
    <w:rsid w:val="00123F15"/>
    <w:rsid w:val="0013399B"/>
    <w:rsid w:val="00181F4B"/>
    <w:rsid w:val="00196FB3"/>
    <w:rsid w:val="001A5071"/>
    <w:rsid w:val="001B4E73"/>
    <w:rsid w:val="001B7F1E"/>
    <w:rsid w:val="001D40ED"/>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2E1C4B"/>
    <w:rsid w:val="003B41E0"/>
    <w:rsid w:val="003D624D"/>
    <w:rsid w:val="003E7802"/>
    <w:rsid w:val="00433C81"/>
    <w:rsid w:val="00446D6B"/>
    <w:rsid w:val="00457B3F"/>
    <w:rsid w:val="00463022"/>
    <w:rsid w:val="00481CF0"/>
    <w:rsid w:val="004B492A"/>
    <w:rsid w:val="004C0B0C"/>
    <w:rsid w:val="004D6F31"/>
    <w:rsid w:val="004E52E2"/>
    <w:rsid w:val="004E6BB4"/>
    <w:rsid w:val="004F51A5"/>
    <w:rsid w:val="00515D43"/>
    <w:rsid w:val="0052544D"/>
    <w:rsid w:val="00551FB8"/>
    <w:rsid w:val="005537F6"/>
    <w:rsid w:val="00560F43"/>
    <w:rsid w:val="005654D0"/>
    <w:rsid w:val="005B17AB"/>
    <w:rsid w:val="005C100D"/>
    <w:rsid w:val="005C3365"/>
    <w:rsid w:val="005C618D"/>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2346C"/>
    <w:rsid w:val="00726ECE"/>
    <w:rsid w:val="00731F96"/>
    <w:rsid w:val="00734127"/>
    <w:rsid w:val="00735FEA"/>
    <w:rsid w:val="00743460"/>
    <w:rsid w:val="00743A27"/>
    <w:rsid w:val="0075324A"/>
    <w:rsid w:val="00753DC6"/>
    <w:rsid w:val="0075578C"/>
    <w:rsid w:val="007665FA"/>
    <w:rsid w:val="00766DFB"/>
    <w:rsid w:val="007734B5"/>
    <w:rsid w:val="007809B8"/>
    <w:rsid w:val="00806E54"/>
    <w:rsid w:val="008206EE"/>
    <w:rsid w:val="008214B1"/>
    <w:rsid w:val="00822D52"/>
    <w:rsid w:val="008319A9"/>
    <w:rsid w:val="00836ED7"/>
    <w:rsid w:val="008453AC"/>
    <w:rsid w:val="00860D09"/>
    <w:rsid w:val="00862044"/>
    <w:rsid w:val="008C305F"/>
    <w:rsid w:val="008C3AD2"/>
    <w:rsid w:val="008C7C3D"/>
    <w:rsid w:val="008D6F66"/>
    <w:rsid w:val="008E1BEA"/>
    <w:rsid w:val="008E43D2"/>
    <w:rsid w:val="008F04C9"/>
    <w:rsid w:val="008F4586"/>
    <w:rsid w:val="008F7C50"/>
    <w:rsid w:val="008F7DB7"/>
    <w:rsid w:val="009064D3"/>
    <w:rsid w:val="00915300"/>
    <w:rsid w:val="00933B0C"/>
    <w:rsid w:val="00935676"/>
    <w:rsid w:val="00982794"/>
    <w:rsid w:val="0098401D"/>
    <w:rsid w:val="009A789F"/>
    <w:rsid w:val="009B12EF"/>
    <w:rsid w:val="009B6185"/>
    <w:rsid w:val="009E1E78"/>
    <w:rsid w:val="009E6EB2"/>
    <w:rsid w:val="00A00FBF"/>
    <w:rsid w:val="00A1597D"/>
    <w:rsid w:val="00A46989"/>
    <w:rsid w:val="00A71CE9"/>
    <w:rsid w:val="00A72A19"/>
    <w:rsid w:val="00A75A30"/>
    <w:rsid w:val="00A93C82"/>
    <w:rsid w:val="00AB2A48"/>
    <w:rsid w:val="00AC3236"/>
    <w:rsid w:val="00AC62C7"/>
    <w:rsid w:val="00AD4874"/>
    <w:rsid w:val="00AE1F8A"/>
    <w:rsid w:val="00B036B2"/>
    <w:rsid w:val="00B04D19"/>
    <w:rsid w:val="00B153C3"/>
    <w:rsid w:val="00B22087"/>
    <w:rsid w:val="00B33DC9"/>
    <w:rsid w:val="00B722F2"/>
    <w:rsid w:val="00B95339"/>
    <w:rsid w:val="00BB334E"/>
    <w:rsid w:val="00BB5DCF"/>
    <w:rsid w:val="00BF59EA"/>
    <w:rsid w:val="00BF79CD"/>
    <w:rsid w:val="00C0721B"/>
    <w:rsid w:val="00C222E7"/>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D15E8"/>
    <w:rsid w:val="00DF4592"/>
    <w:rsid w:val="00E15FDC"/>
    <w:rsid w:val="00E2651B"/>
    <w:rsid w:val="00E336F6"/>
    <w:rsid w:val="00E6632E"/>
    <w:rsid w:val="00E90CF2"/>
    <w:rsid w:val="00EA2F7E"/>
    <w:rsid w:val="00ED0F61"/>
    <w:rsid w:val="00ED505A"/>
    <w:rsid w:val="00EE73E1"/>
    <w:rsid w:val="00F05387"/>
    <w:rsid w:val="00F12107"/>
    <w:rsid w:val="00F13165"/>
    <w:rsid w:val="00F4234E"/>
    <w:rsid w:val="00F53604"/>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27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753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75324A"/>
    <w:rPr>
      <w:caps/>
      <w:spacing w:val="-4"/>
      <w:sz w:val="16"/>
      <w:lang w:eastAsia="en-US"/>
    </w:rPr>
  </w:style>
  <w:style w:type="character" w:customStyle="1" w:styleId="Heading1Char">
    <w:name w:val="Heading 1 Char"/>
    <w:basedOn w:val="DefaultParagraphFont"/>
    <w:link w:val="Heading1"/>
    <w:rsid w:val="0075324A"/>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753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75324A"/>
    <w:rPr>
      <w:caps/>
      <w:spacing w:val="-4"/>
      <w:sz w:val="16"/>
      <w:lang w:eastAsia="en-US"/>
    </w:rPr>
  </w:style>
  <w:style w:type="character" w:customStyle="1" w:styleId="Heading1Char">
    <w:name w:val="Heading 1 Char"/>
    <w:basedOn w:val="DefaultParagraphFont"/>
    <w:link w:val="Heading1"/>
    <w:rsid w:val="0075324A"/>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footer" Target="footer1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3</TotalTime>
  <Pages>13</Pages>
  <Words>1906</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4</cp:revision>
  <cp:lastPrinted>2013-05-14T04:31:00Z</cp:lastPrinted>
  <dcterms:created xsi:type="dcterms:W3CDTF">2013-05-30T02:02:00Z</dcterms:created>
  <dcterms:modified xsi:type="dcterms:W3CDTF">2015-05-08T02:11:00Z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