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drawings/drawing1.xml" ContentType="application/vnd.openxmlformats-officedocument.drawingml.chartshapes+xml"/>
  <Override PartName="/word/charts/chart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7E0" w:rsidRDefault="005637E0">
      <w:pPr>
        <w:pStyle w:val="PartNumber"/>
      </w:pPr>
      <w:bookmarkStart w:id="0" w:name="_Overview"/>
      <w:bookmarkStart w:id="1" w:name="ChapterNumber"/>
      <w:bookmarkStart w:id="2" w:name="_GoBack"/>
      <w:bookmarkEnd w:id="0"/>
      <w:bookmarkEnd w:id="2"/>
    </w:p>
    <w:tbl>
      <w:tblPr>
        <w:tblW w:w="0" w:type="auto"/>
        <w:tblLayout w:type="fixed"/>
        <w:tblCellMar>
          <w:left w:w="0" w:type="dxa"/>
          <w:right w:w="0" w:type="dxa"/>
        </w:tblCellMar>
        <w:tblLook w:val="0000" w:firstRow="0" w:lastRow="0" w:firstColumn="0" w:lastColumn="0" w:noHBand="0" w:noVBand="0"/>
      </w:tblPr>
      <w:tblGrid>
        <w:gridCol w:w="6634"/>
        <w:gridCol w:w="2155"/>
      </w:tblGrid>
      <w:tr w:rsidR="005637E0">
        <w:tc>
          <w:tcPr>
            <w:tcW w:w="6634" w:type="dxa"/>
            <w:tcBorders>
              <w:top w:val="single" w:sz="6" w:space="0" w:color="auto"/>
            </w:tcBorders>
          </w:tcPr>
          <w:p w:rsidR="005637E0" w:rsidRDefault="005637E0">
            <w:pPr>
              <w:pStyle w:val="PartDivider"/>
            </w:pPr>
          </w:p>
        </w:tc>
        <w:tc>
          <w:tcPr>
            <w:tcW w:w="2155" w:type="dxa"/>
            <w:tcBorders>
              <w:top w:val="single" w:sz="24" w:space="0" w:color="auto"/>
            </w:tcBorders>
          </w:tcPr>
          <w:p w:rsidR="005637E0" w:rsidRDefault="005637E0">
            <w:pPr>
              <w:pStyle w:val="PartDivider"/>
            </w:pPr>
          </w:p>
        </w:tc>
      </w:tr>
    </w:tbl>
    <w:p w:rsidR="005637E0" w:rsidRDefault="005637E0">
      <w:pPr>
        <w:pStyle w:val="PartDivider"/>
      </w:pPr>
    </w:p>
    <w:p w:rsidR="005637E0" w:rsidRDefault="005637E0">
      <w:pPr>
        <w:pStyle w:val="PartTitle"/>
      </w:pPr>
      <w:r>
        <w:t>Overview</w:t>
      </w:r>
    </w:p>
    <w:p w:rsidR="005637E0" w:rsidRDefault="005637E0">
      <w:pPr>
        <w:rPr>
          <w:sz w:val="52"/>
          <w:szCs w:val="20"/>
        </w:rPr>
      </w:pPr>
      <w:r>
        <w:br w:type="page"/>
      </w:r>
    </w:p>
    <w:p w:rsidR="005637E0" w:rsidRPr="0092427C" w:rsidRDefault="005637E0">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5637E0">
        <w:tc>
          <w:tcPr>
            <w:tcW w:w="8789" w:type="dxa"/>
            <w:tcBorders>
              <w:bottom w:val="nil"/>
            </w:tcBorders>
          </w:tcPr>
          <w:p w:rsidR="005637E0" w:rsidRDefault="00524C3C">
            <w:pPr>
              <w:pStyle w:val="BoxTitle"/>
            </w:pPr>
            <w:r>
              <w:t>Key point</w:t>
            </w:r>
            <w:r w:rsidR="005637E0">
              <w:t>s</w:t>
            </w:r>
          </w:p>
        </w:tc>
      </w:tr>
      <w:tr w:rsidR="005637E0">
        <w:tc>
          <w:tcPr>
            <w:tcW w:w="8789" w:type="dxa"/>
            <w:tcBorders>
              <w:top w:val="nil"/>
              <w:left w:val="single" w:sz="4" w:space="0" w:color="auto"/>
              <w:bottom w:val="nil"/>
              <w:right w:val="single" w:sz="4" w:space="0" w:color="auto"/>
            </w:tcBorders>
          </w:tcPr>
          <w:p w:rsidR="005637E0" w:rsidRDefault="005637E0" w:rsidP="005637E0">
            <w:pPr>
              <w:pStyle w:val="BoxListBullet"/>
            </w:pPr>
            <w:r>
              <w:t>Mineral</w:t>
            </w:r>
            <w:r w:rsidRPr="00FF075E">
              <w:t xml:space="preserve"> and energy resource exploration </w:t>
            </w:r>
            <w:r>
              <w:t xml:space="preserve">in Australia </w:t>
            </w:r>
            <w:r w:rsidRPr="00FF075E">
              <w:t xml:space="preserve">is a small </w:t>
            </w:r>
            <w:r>
              <w:t xml:space="preserve">part </w:t>
            </w:r>
            <w:r w:rsidRPr="00FF075E">
              <w:t>of the economy</w:t>
            </w:r>
            <w:r>
              <w:t>, equivalent to 0.5</w:t>
            </w:r>
            <w:r w:rsidRPr="00E7142C">
              <w:t xml:space="preserve"> per cent </w:t>
            </w:r>
            <w:r>
              <w:t>of GDP in 2011</w:t>
            </w:r>
            <w:r>
              <w:noBreakHyphen/>
            </w:r>
            <w:r w:rsidRPr="00E7142C">
              <w:t>1</w:t>
            </w:r>
            <w:r>
              <w:t>2</w:t>
            </w:r>
            <w:r w:rsidRPr="00E7142C">
              <w:t xml:space="preserve">. </w:t>
            </w:r>
            <w:r>
              <w:t xml:space="preserve">The sector’s </w:t>
            </w:r>
            <w:r w:rsidRPr="00E7142C">
              <w:t xml:space="preserve">significance </w:t>
            </w:r>
            <w:r>
              <w:t>is</w:t>
            </w:r>
            <w:r w:rsidRPr="00E7142C">
              <w:t xml:space="preserve"> </w:t>
            </w:r>
            <w:r>
              <w:t>in discovering commercially valuable resources that</w:t>
            </w:r>
            <w:r w:rsidRPr="00E7142C">
              <w:t xml:space="preserve"> sustain the operations of </w:t>
            </w:r>
            <w:r>
              <w:t>mineral and energy extraction industries — which represented 9 per cent of GDP in 2011</w:t>
            </w:r>
            <w:r>
              <w:noBreakHyphen/>
              <w:t>12.</w:t>
            </w:r>
          </w:p>
          <w:p w:rsidR="005637E0" w:rsidRDefault="005637E0" w:rsidP="005637E0">
            <w:pPr>
              <w:pStyle w:val="BoxListBullet"/>
            </w:pPr>
            <w:r>
              <w:t xml:space="preserve">The number, size and quality of resource discoveries in Australia is declining, and the exploration sector is experiencing rising costs and lower productivity. </w:t>
            </w:r>
          </w:p>
          <w:p w:rsidR="005637E0" w:rsidRDefault="005637E0" w:rsidP="005637E0">
            <w:pPr>
              <w:pStyle w:val="BoxListBullet"/>
              <w:rPr>
                <w:szCs w:val="24"/>
              </w:rPr>
            </w:pPr>
            <w:r w:rsidRPr="00000919">
              <w:t>Government regulat</w:t>
            </w:r>
            <w:r>
              <w:t>es</w:t>
            </w:r>
            <w:r w:rsidRPr="00000919">
              <w:t xml:space="preserve"> resource exploration for three broad reasons</w:t>
            </w:r>
            <w:r>
              <w:t>:</w:t>
            </w:r>
          </w:p>
          <w:p w:rsidR="005637E0" w:rsidRPr="00676A89" w:rsidRDefault="005637E0" w:rsidP="005637E0">
            <w:pPr>
              <w:pStyle w:val="BoxListBullet2"/>
              <w:numPr>
                <w:ilvl w:val="0"/>
                <w:numId w:val="2"/>
              </w:numPr>
            </w:pPr>
            <w:r>
              <w:t>t</w:t>
            </w:r>
            <w:r w:rsidRPr="00676A89">
              <w:t>he mineral and energy resources are owned by the Crown</w:t>
            </w:r>
          </w:p>
          <w:p w:rsidR="005637E0" w:rsidRPr="00D277F9" w:rsidRDefault="005637E0" w:rsidP="005637E0">
            <w:pPr>
              <w:pStyle w:val="BoxListBullet2"/>
              <w:numPr>
                <w:ilvl w:val="0"/>
                <w:numId w:val="2"/>
              </w:numPr>
              <w:rPr>
                <w:szCs w:val="24"/>
              </w:rPr>
            </w:pPr>
            <w:r>
              <w:t>e</w:t>
            </w:r>
            <w:r w:rsidRPr="00676A89">
              <w:t xml:space="preserve">xploration may impact on existing </w:t>
            </w:r>
            <w:r>
              <w:t xml:space="preserve">and future </w:t>
            </w:r>
            <w:r w:rsidRPr="00676A89">
              <w:t>land uses</w:t>
            </w:r>
            <w:r>
              <w:t xml:space="preserve"> such as agriculture, or damage sites of environmental and heritage significance</w:t>
            </w:r>
          </w:p>
          <w:p w:rsidR="005637E0" w:rsidRPr="00BC75AE" w:rsidRDefault="005637E0" w:rsidP="005637E0">
            <w:pPr>
              <w:pStyle w:val="BoxListBullet2"/>
              <w:numPr>
                <w:ilvl w:val="0"/>
                <w:numId w:val="2"/>
              </w:numPr>
              <w:rPr>
                <w:szCs w:val="24"/>
              </w:rPr>
            </w:pPr>
            <w:r>
              <w:t>e</w:t>
            </w:r>
            <w:r w:rsidRPr="00676A89">
              <w:t>xploration may have effect</w:t>
            </w:r>
            <w:r>
              <w:t xml:space="preserve">s </w:t>
            </w:r>
            <w:r w:rsidRPr="00676A89">
              <w:t>beyond the area being explored</w:t>
            </w:r>
            <w:r>
              <w:t>, such as on the regional environment and community.</w:t>
            </w:r>
          </w:p>
          <w:p w:rsidR="005637E0" w:rsidRDefault="005637E0" w:rsidP="005637E0">
            <w:pPr>
              <w:pStyle w:val="BoxListBullet"/>
            </w:pPr>
            <w:r>
              <w:t xml:space="preserve">Many stakeholders are dissatisfied with the current regulatory arrangements: </w:t>
            </w:r>
          </w:p>
          <w:p w:rsidR="005637E0" w:rsidRDefault="005637E0" w:rsidP="005637E0">
            <w:pPr>
              <w:pStyle w:val="BoxListBullet2"/>
              <w:numPr>
                <w:ilvl w:val="0"/>
                <w:numId w:val="2"/>
              </w:numPr>
            </w:pPr>
            <w:r>
              <w:t>some explorers claim that governments are discouraging exploration by increasing compliance costs, extending approval times and increasing regulatory uncertainty</w:t>
            </w:r>
          </w:p>
          <w:p w:rsidR="005637E0" w:rsidRDefault="005637E0" w:rsidP="005637E0">
            <w:pPr>
              <w:pStyle w:val="BoxListBullet2"/>
              <w:numPr>
                <w:ilvl w:val="0"/>
                <w:numId w:val="2"/>
              </w:numPr>
            </w:pPr>
            <w:r>
              <w:t>some community groups claim that regulations are insufficient to protect environmental, heritage and community values and agricultural uses of the land, and that regulators are not being sufficiently diligent in protecting those values and land uses.</w:t>
            </w:r>
          </w:p>
          <w:p w:rsidR="005637E0" w:rsidRDefault="005637E0" w:rsidP="005637E0">
            <w:pPr>
              <w:pStyle w:val="BoxListBullet"/>
            </w:pPr>
            <w:r>
              <w:t xml:space="preserve">Regulatory processes that impose </w:t>
            </w:r>
            <w:r w:rsidRPr="00906B9C">
              <w:rPr>
                <w:i/>
              </w:rPr>
              <w:t>unnecessary</w:t>
            </w:r>
            <w:r>
              <w:t xml:space="preserve"> burdens on resource explorers or inhibit exploration can be reformed by:</w:t>
            </w:r>
            <w:r w:rsidDel="00000919">
              <w:t xml:space="preserve"> </w:t>
            </w:r>
          </w:p>
          <w:p w:rsidR="005637E0" w:rsidRPr="00D277F9" w:rsidRDefault="005637E0" w:rsidP="005637E0">
            <w:pPr>
              <w:pStyle w:val="BoxListBullet2"/>
              <w:numPr>
                <w:ilvl w:val="0"/>
                <w:numId w:val="2"/>
              </w:numPr>
            </w:pPr>
            <w:r>
              <w:t xml:space="preserve">adopting tenement allocation and renewal procedures that ensure efficiently sized tenements </w:t>
            </w:r>
          </w:p>
          <w:p w:rsidR="005637E0" w:rsidRDefault="005637E0" w:rsidP="005637E0">
            <w:pPr>
              <w:pStyle w:val="BoxListBullet2"/>
              <w:numPr>
                <w:ilvl w:val="0"/>
                <w:numId w:val="2"/>
              </w:numPr>
            </w:pPr>
            <w:r>
              <w:t xml:space="preserve">ensuring stronger and simpler coordination, transparency and accountability of </w:t>
            </w:r>
            <w:r w:rsidRPr="00183499">
              <w:t>exploration licence approval</w:t>
            </w:r>
            <w:r>
              <w:t xml:space="preserve"> processes </w:t>
            </w:r>
          </w:p>
          <w:p w:rsidR="005637E0" w:rsidRDefault="005637E0" w:rsidP="005637E0">
            <w:pPr>
              <w:pStyle w:val="BoxListBullet2"/>
              <w:numPr>
                <w:ilvl w:val="0"/>
                <w:numId w:val="2"/>
              </w:numPr>
            </w:pPr>
            <w:r>
              <w:t xml:space="preserve">making land access decisions that take into account the benefits to the wider community from exploration, and are appropriate to the level of risk posed by exploration as informed by sound evidence </w:t>
            </w:r>
          </w:p>
          <w:p w:rsidR="005637E0" w:rsidRDefault="005637E0" w:rsidP="005637E0">
            <w:pPr>
              <w:pStyle w:val="BoxListBullet2"/>
              <w:numPr>
                <w:ilvl w:val="0"/>
                <w:numId w:val="2"/>
              </w:numPr>
            </w:pPr>
            <w:r>
              <w:t>addressing state and territory and Commonwealth environmental approvals processes that are duplicative and are not commensurate with the risk and significance of the environmental impacts of exploration</w:t>
            </w:r>
          </w:p>
          <w:p w:rsidR="005637E0" w:rsidRDefault="005637E0" w:rsidP="005637E0">
            <w:pPr>
              <w:pStyle w:val="BoxListBullet2"/>
              <w:numPr>
                <w:ilvl w:val="0"/>
                <w:numId w:val="2"/>
              </w:numPr>
            </w:pPr>
            <w:r>
              <w:t>improving access to the existing knowledge of Indigenous heritage and accrediting state and territory government processes which meet Australian Government standards of Indigenous heritage protection.</w:t>
            </w:r>
          </w:p>
          <w:p w:rsidR="005637E0" w:rsidRDefault="005637E0" w:rsidP="007E28E1">
            <w:pPr>
              <w:pStyle w:val="BoxListBullet"/>
            </w:pPr>
            <w:r w:rsidRPr="009B1789">
              <w:t xml:space="preserve">Explorers highly regard the </w:t>
            </w:r>
            <w:r>
              <w:t>accessibility and provision of pre-</w:t>
            </w:r>
            <w:r w:rsidRPr="009B1789">
              <w:t>competitive data by Australia’s geological survey organisation</w:t>
            </w:r>
            <w:r>
              <w:t>s</w:t>
            </w:r>
          </w:p>
        </w:tc>
      </w:tr>
      <w:tr w:rsidR="005637E0">
        <w:tc>
          <w:tcPr>
            <w:tcW w:w="8789" w:type="dxa"/>
            <w:tcBorders>
              <w:top w:val="nil"/>
              <w:bottom w:val="single" w:sz="4" w:space="0" w:color="auto"/>
            </w:tcBorders>
          </w:tcPr>
          <w:p w:rsidR="005637E0" w:rsidRDefault="005637E0">
            <w:pPr>
              <w:pStyle w:val="Box"/>
              <w:spacing w:before="0" w:line="120" w:lineRule="exact"/>
            </w:pPr>
          </w:p>
        </w:tc>
      </w:tr>
      <w:tr w:rsidR="005637E0">
        <w:tc>
          <w:tcPr>
            <w:tcW w:w="8789" w:type="dxa"/>
            <w:tcBorders>
              <w:top w:val="nil"/>
              <w:left w:val="nil"/>
              <w:bottom w:val="nil"/>
              <w:right w:val="nil"/>
            </w:tcBorders>
          </w:tcPr>
          <w:p w:rsidR="005637E0" w:rsidRDefault="005637E0">
            <w:pPr>
              <w:pStyle w:val="Box"/>
              <w:keepNext w:val="0"/>
              <w:spacing w:before="60" w:after="60" w:line="80" w:lineRule="exact"/>
            </w:pPr>
          </w:p>
        </w:tc>
      </w:tr>
    </w:tbl>
    <w:p w:rsidR="005637E0" w:rsidRDefault="005637E0" w:rsidP="005637E0">
      <w:pPr>
        <w:pStyle w:val="BodyText"/>
        <w:rPr>
          <w:sz w:val="52"/>
        </w:rPr>
      </w:pPr>
      <w:r>
        <w:br w:type="page"/>
      </w:r>
    </w:p>
    <w:p w:rsidR="00A33DFF" w:rsidRDefault="005637E0" w:rsidP="005637E0">
      <w:pPr>
        <w:pStyle w:val="Heading1"/>
      </w:pPr>
      <w:bookmarkStart w:id="3" w:name="ChapterTitle"/>
      <w:bookmarkEnd w:id="1"/>
      <w:r>
        <w:lastRenderedPageBreak/>
        <w:t>Overview</w:t>
      </w:r>
      <w:bookmarkEnd w:id="3"/>
    </w:p>
    <w:p w:rsidR="005637E0" w:rsidRDefault="005637E0" w:rsidP="005637E0">
      <w:pPr>
        <w:pStyle w:val="Heading2"/>
      </w:pPr>
      <w:bookmarkStart w:id="4" w:name="begin"/>
      <w:bookmarkEnd w:id="4"/>
      <w:r>
        <w:t>About the inquiry</w:t>
      </w:r>
    </w:p>
    <w:p w:rsidR="005637E0" w:rsidRDefault="005637E0" w:rsidP="005637E0">
      <w:pPr>
        <w:spacing w:before="240" w:line="320" w:lineRule="atLeast"/>
        <w:jc w:val="both"/>
        <w:rPr>
          <w:szCs w:val="20"/>
        </w:rPr>
      </w:pPr>
      <w:r w:rsidRPr="00381546">
        <w:rPr>
          <w:szCs w:val="20"/>
        </w:rPr>
        <w:t xml:space="preserve">The Productivity Commission has been asked to examine the non-financial barriers to mineral and energy resource exploration in Australia. The inquiry </w:t>
      </w:r>
      <w:r>
        <w:rPr>
          <w:szCs w:val="20"/>
        </w:rPr>
        <w:t>is to</w:t>
      </w:r>
      <w:r w:rsidRPr="00381546">
        <w:rPr>
          <w:szCs w:val="20"/>
        </w:rPr>
        <w:t xml:space="preserve"> examine the exploration approval systems and processes within and across jurisdictions</w:t>
      </w:r>
      <w:r>
        <w:rPr>
          <w:szCs w:val="20"/>
        </w:rPr>
        <w:t>,</w:t>
      </w:r>
      <w:r w:rsidRPr="00381546">
        <w:rPr>
          <w:szCs w:val="20"/>
        </w:rPr>
        <w:t xml:space="preserve"> their effectiveness and efficiency, and the costs associated with the regulation of exploration activities.</w:t>
      </w:r>
      <w:r>
        <w:rPr>
          <w:szCs w:val="20"/>
        </w:rPr>
        <w:t xml:space="preserve"> The inquiry is to consider options to improve the regulatory environment for exploration activities and assess the impact of all non-financial barriers on the international competitiveness and economic performance of the sector. The terms of reference exclude consideration of financial barriers to exploration and certain matters relating to environmental and native title legislation. The full terms of reference are set out on pages V-VII.</w:t>
      </w:r>
    </w:p>
    <w:p w:rsidR="005637E0" w:rsidRDefault="005637E0" w:rsidP="005637E0">
      <w:pPr>
        <w:pStyle w:val="BodyText"/>
      </w:pPr>
      <w:r>
        <w:rPr>
          <w:rFonts w:eastAsiaTheme="minorHAnsi"/>
          <w:lang w:eastAsia="en-US"/>
        </w:rPr>
        <w:t xml:space="preserve">In assessing the non-financial barriers to mineral and energy exploration, the Commission has adopted a communitywide framework, as required by the </w:t>
      </w:r>
      <w:r w:rsidRPr="009826E5">
        <w:rPr>
          <w:rFonts w:eastAsiaTheme="minorHAnsi"/>
          <w:i/>
          <w:lang w:eastAsia="en-US"/>
        </w:rPr>
        <w:t>Productivity Commission Act 1998</w:t>
      </w:r>
      <w:r>
        <w:rPr>
          <w:rFonts w:eastAsiaTheme="minorHAnsi"/>
          <w:lang w:eastAsia="en-US"/>
        </w:rPr>
        <w:t xml:space="preserve">. That is, </w:t>
      </w:r>
      <w:r>
        <w:t xml:space="preserve">the Commission will be assessing the effectiveness and efficiency of government interventions and the net benefits of these policies, programs and regulations to the wider community. </w:t>
      </w:r>
    </w:p>
    <w:p w:rsidR="005637E0" w:rsidRDefault="005637E0" w:rsidP="005637E0">
      <w:pPr>
        <w:spacing w:before="240" w:line="320" w:lineRule="atLeast"/>
        <w:jc w:val="both"/>
        <w:rPr>
          <w:szCs w:val="20"/>
        </w:rPr>
      </w:pPr>
      <w:r>
        <w:rPr>
          <w:szCs w:val="20"/>
        </w:rPr>
        <w:t>Exploration, for the purposes</w:t>
      </w:r>
      <w:r w:rsidRPr="00381546">
        <w:rPr>
          <w:szCs w:val="20"/>
        </w:rPr>
        <w:t xml:space="preserve"> of this inquiry</w:t>
      </w:r>
      <w:r>
        <w:rPr>
          <w:szCs w:val="20"/>
        </w:rPr>
        <w:t>, is defined as</w:t>
      </w:r>
      <w:r w:rsidRPr="00381546">
        <w:rPr>
          <w:szCs w:val="20"/>
        </w:rPr>
        <w:t xml:space="preserve"> those activities </w:t>
      </w:r>
      <w:r>
        <w:rPr>
          <w:szCs w:val="20"/>
        </w:rPr>
        <w:t xml:space="preserve">that </w:t>
      </w:r>
      <w:r w:rsidRPr="00381546">
        <w:rPr>
          <w:szCs w:val="20"/>
        </w:rPr>
        <w:t>relat</w:t>
      </w:r>
      <w:r>
        <w:rPr>
          <w:szCs w:val="20"/>
        </w:rPr>
        <w:t>e</w:t>
      </w:r>
      <w:r w:rsidRPr="00381546">
        <w:rPr>
          <w:szCs w:val="20"/>
        </w:rPr>
        <w:t xml:space="preserve"> to the gathering of knowledge </w:t>
      </w:r>
      <w:r>
        <w:rPr>
          <w:szCs w:val="20"/>
        </w:rPr>
        <w:t>on</w:t>
      </w:r>
      <w:r w:rsidRPr="00381546">
        <w:rPr>
          <w:szCs w:val="20"/>
        </w:rPr>
        <w:t xml:space="preserve"> the location, quantity and quality of mineral and energy </w:t>
      </w:r>
      <w:r>
        <w:rPr>
          <w:szCs w:val="20"/>
        </w:rPr>
        <w:t>resources</w:t>
      </w:r>
      <w:r w:rsidRPr="00381546">
        <w:rPr>
          <w:szCs w:val="20"/>
        </w:rPr>
        <w:t xml:space="preserve">. </w:t>
      </w:r>
      <w:r>
        <w:t>A distinction has been drawn between mineral and energy resource exploration and the downstream activities of developing mines and drilling production wells (that is, mineral and energy resource extraction). However, all of these activities are interdependent (</w:t>
      </w:r>
      <w:r w:rsidRPr="00381546">
        <w:rPr>
          <w:szCs w:val="20"/>
        </w:rPr>
        <w:t>figure 1</w:t>
      </w:r>
      <w:r>
        <w:rPr>
          <w:szCs w:val="20"/>
        </w:rPr>
        <w:t xml:space="preserve">) and the </w:t>
      </w:r>
      <w:r>
        <w:t xml:space="preserve">distinction between them can be blurred. </w:t>
      </w:r>
    </w:p>
    <w:p w:rsidR="005637E0" w:rsidRPr="00381546" w:rsidRDefault="005637E0" w:rsidP="005637E0">
      <w:pPr>
        <w:keepNext/>
        <w:keepLines/>
        <w:spacing w:before="360" w:after="80" w:line="280" w:lineRule="exact"/>
        <w:ind w:left="1474" w:hanging="1474"/>
        <w:rPr>
          <w:rFonts w:ascii="Arial" w:hAnsi="Arial"/>
          <w:b/>
          <w:sz w:val="24"/>
          <w:szCs w:val="20"/>
        </w:rPr>
      </w:pPr>
      <w:r w:rsidRPr="00381546">
        <w:rPr>
          <w:rFonts w:ascii="Arial" w:hAnsi="Arial"/>
          <w:sz w:val="24"/>
          <w:szCs w:val="20"/>
        </w:rPr>
        <w:lastRenderedPageBreak/>
        <w:t xml:space="preserve">Figure </w:t>
      </w:r>
      <w:r>
        <w:rPr>
          <w:rFonts w:ascii="Arial" w:hAnsi="Arial"/>
        </w:rPr>
        <w:t>1</w:t>
      </w:r>
      <w:r w:rsidRPr="00381546">
        <w:rPr>
          <w:rFonts w:ascii="Arial" w:hAnsi="Arial"/>
          <w:b/>
          <w:sz w:val="24"/>
          <w:szCs w:val="20"/>
        </w:rPr>
        <w:tab/>
        <w:t xml:space="preserve">Key stages in mineral </w:t>
      </w:r>
      <w:r>
        <w:rPr>
          <w:rFonts w:ascii="Arial" w:hAnsi="Arial"/>
          <w:b/>
          <w:sz w:val="24"/>
          <w:szCs w:val="20"/>
        </w:rPr>
        <w:t xml:space="preserve">and energy resource </w:t>
      </w:r>
      <w:r w:rsidRPr="00381546">
        <w:rPr>
          <w:rFonts w:ascii="Arial" w:hAnsi="Arial"/>
          <w:b/>
          <w:sz w:val="24"/>
          <w:szCs w:val="20"/>
        </w:rPr>
        <w:t xml:space="preserve">exploration, </w:t>
      </w:r>
      <w:r>
        <w:rPr>
          <w:rFonts w:ascii="Arial" w:hAnsi="Arial"/>
          <w:b/>
          <w:sz w:val="24"/>
          <w:szCs w:val="20"/>
        </w:rPr>
        <w:t xml:space="preserve">and mining </w:t>
      </w:r>
      <w:r w:rsidRPr="00381546">
        <w:rPr>
          <w:rFonts w:ascii="Arial" w:hAnsi="Arial"/>
          <w:b/>
          <w:sz w:val="24"/>
          <w:szCs w:val="20"/>
        </w:rPr>
        <w:t>production</w:t>
      </w:r>
      <w:r>
        <w:rPr>
          <w:rFonts w:ascii="Arial" w:hAnsi="Arial"/>
          <w:b/>
          <w:sz w:val="24"/>
          <w:szCs w:val="20"/>
        </w:rPr>
        <w:t>/</w:t>
      </w:r>
      <w:r w:rsidRPr="00381546">
        <w:rPr>
          <w:rFonts w:ascii="Arial" w:hAnsi="Arial"/>
          <w:b/>
          <w:sz w:val="24"/>
          <w:szCs w:val="20"/>
        </w:rPr>
        <w:t>processing</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Description w:val="Figure 1 - This figure shows a flow chart of the key stages in resource exploration. It begins with the natural resource endowments, economic conditions and policy settings of Australia. It then moves to public geological surveys. The process then moves to the generative stage where areas are selected by private explorers for more detailed exploration. Then the primary exploration stage is undertaken, where exploration occurs and discoveries may be made. If a discovery is made, it is then evaluated to acertain if its is economically viable to extract the deposit. Assuiming that it is, the process moves through the development stage, the production stage and then the site rehabilitation stage, however, this stages are not considered to be part of the exploraiton process."/>
      </w:tblPr>
      <w:tblGrid>
        <w:gridCol w:w="8777"/>
      </w:tblGrid>
      <w:tr w:rsidR="005637E0" w:rsidRPr="00381546" w:rsidTr="00060689">
        <w:trPr>
          <w:trHeight w:val="10337"/>
        </w:trPr>
        <w:tc>
          <w:tcPr>
            <w:tcW w:w="8777" w:type="dxa"/>
          </w:tcPr>
          <w:p w:rsidR="005637E0" w:rsidRPr="00381546" w:rsidRDefault="005637E0" w:rsidP="00060689">
            <w:pPr>
              <w:keepNext/>
              <w:spacing w:before="120" w:after="120" w:line="240" w:lineRule="atLeast"/>
              <w:jc w:val="center"/>
              <w:rPr>
                <w:szCs w:val="20"/>
              </w:rPr>
            </w:pPr>
            <w:r w:rsidRPr="00581A84">
              <w:rPr>
                <w:noProof/>
                <w:szCs w:val="20"/>
              </w:rPr>
              <w:drawing>
                <wp:inline distT="0" distB="0" distL="0" distR="0" wp14:anchorId="26297554" wp14:editId="1F86E84A">
                  <wp:extent cx="4114800" cy="7048500"/>
                  <wp:effectExtent l="0" t="0" r="0" b="0"/>
                  <wp:docPr id="1" name="Picture 1" descr="Figure 1 Key stages in mineral and energy resource exploration, and mining production/processing. This figure shows a flow chart of the key stages in resource exploration. It begins with the natural resource endowments, economic conditions and policy settings of Australia. It then moves to public geological surveys. The process then moves to the generative stage where areas are selected by private explorers for more detailed exploration. Then the primary exploration stage is undertaken, were exploration occurs and discoveries may be made. If a discovery is made, it is then evaluated to acertain if its is economically viable to extract the deposit. Assuiming that it is, the process moves through the development stage, the production stage and then the site rehabilitation stage, however, this stages are not considered to be part of the exploraiton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 stages in mineral exploratio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14800" cy="7048500"/>
                          </a:xfrm>
                          <a:prstGeom prst="rect">
                            <a:avLst/>
                          </a:prstGeom>
                        </pic:spPr>
                      </pic:pic>
                    </a:graphicData>
                  </a:graphic>
                </wp:inline>
              </w:drawing>
            </w:r>
          </w:p>
        </w:tc>
      </w:tr>
    </w:tbl>
    <w:p w:rsidR="005637E0" w:rsidRDefault="005637E0" w:rsidP="005637E0">
      <w:pPr>
        <w:rPr>
          <w:rFonts w:ascii="Arial" w:hAnsi="Arial"/>
          <w:b/>
          <w:sz w:val="32"/>
          <w:szCs w:val="20"/>
        </w:rPr>
      </w:pPr>
      <w:r>
        <w:br w:type="page"/>
      </w:r>
    </w:p>
    <w:p w:rsidR="005637E0" w:rsidRDefault="005637E0" w:rsidP="005637E0">
      <w:pPr>
        <w:pStyle w:val="Heading2"/>
      </w:pPr>
      <w:r>
        <w:lastRenderedPageBreak/>
        <w:t>Background</w:t>
      </w:r>
    </w:p>
    <w:p w:rsidR="005637E0" w:rsidRDefault="005637E0" w:rsidP="005637E0">
      <w:pPr>
        <w:pStyle w:val="BodyText"/>
      </w:pPr>
      <w:r>
        <w:t>Mineral and energy resource exploration represents a small share of the economy but successful exploration is an essential prerequisite for mineral and energy resource extraction. Exploration expenditure was just over $7 billion in 2011</w:t>
      </w:r>
      <w:r>
        <w:noBreakHyphen/>
        <w:t xml:space="preserve">12, equivalent to about half of one per cent of GDP, whereas resource extraction accounts for 9.0 per cent of GDP. Employment in resource exploration accounts for 0.2 per cent of national employment. </w:t>
      </w:r>
    </w:p>
    <w:p w:rsidR="005637E0" w:rsidRDefault="005637E0" w:rsidP="005637E0">
      <w:pPr>
        <w:pStyle w:val="BodyText"/>
      </w:pPr>
      <w:r>
        <w:t>Mineral</w:t>
      </w:r>
      <w:r w:rsidRPr="000E6006">
        <w:t xml:space="preserve"> and energy </w:t>
      </w:r>
      <w:r>
        <w:t>exploration</w:t>
      </w:r>
      <w:r w:rsidRPr="000E6006">
        <w:t xml:space="preserve"> </w:t>
      </w:r>
      <w:r>
        <w:t>is conducted by businesses</w:t>
      </w:r>
      <w:r w:rsidRPr="000E6006">
        <w:t xml:space="preserve"> </w:t>
      </w:r>
      <w:r>
        <w:t xml:space="preserve">which </w:t>
      </w:r>
      <w:r w:rsidRPr="000E6006">
        <w:t>rang</w:t>
      </w:r>
      <w:r>
        <w:t>e</w:t>
      </w:r>
      <w:r w:rsidRPr="000E6006">
        <w:t xml:space="preserve"> from </w:t>
      </w:r>
      <w:r>
        <w:t>‘</w:t>
      </w:r>
      <w:r w:rsidRPr="000E6006">
        <w:t xml:space="preserve">senior </w:t>
      </w:r>
      <w:r>
        <w:t>explorers’</w:t>
      </w:r>
      <w:r w:rsidRPr="000E6006">
        <w:t xml:space="preserve"> with established </w:t>
      </w:r>
      <w:r>
        <w:t xml:space="preserve">resource extraction </w:t>
      </w:r>
      <w:r w:rsidRPr="000E6006">
        <w:t xml:space="preserve">operations, </w:t>
      </w:r>
      <w:r>
        <w:t xml:space="preserve">and </w:t>
      </w:r>
      <w:r w:rsidRPr="000E6006">
        <w:t xml:space="preserve">billions </w:t>
      </w:r>
      <w:r>
        <w:t xml:space="preserve">of dollars </w:t>
      </w:r>
      <w:r w:rsidRPr="000E6006">
        <w:t>in assets and multinational operations</w:t>
      </w:r>
      <w:r>
        <w:t>,</w:t>
      </w:r>
      <w:r w:rsidRPr="000E6006">
        <w:t xml:space="preserve"> to </w:t>
      </w:r>
      <w:r>
        <w:t xml:space="preserve">‘junior </w:t>
      </w:r>
      <w:r w:rsidRPr="000E6006">
        <w:t>explor</w:t>
      </w:r>
      <w:r>
        <w:t xml:space="preserve">ers’ with millions of dollars of capitalisation. The largest share of expenditure is targeted at petroleum exploration, and it has been the main driver of the substantial increase in exploration expenditure since 2006 (figure 2). </w:t>
      </w:r>
    </w:p>
    <w:p w:rsidR="005637E0" w:rsidRDefault="005637E0" w:rsidP="005637E0">
      <w:pPr>
        <w:pStyle w:val="BodyText"/>
      </w:pPr>
      <w:r w:rsidRPr="00183499">
        <w:t>Exploration can be broadly classified as greenfield or brownfield. Greenfield exploration</w:t>
      </w:r>
      <w:r w:rsidRPr="00EF4CDB">
        <w:t xml:space="preserve"> </w:t>
      </w:r>
      <w:r>
        <w:t>is</w:t>
      </w:r>
      <w:r w:rsidRPr="00EF4CDB">
        <w:t xml:space="preserve"> the exploration of unexplored or incompletely explored areas and is directed at discovering new resource</w:t>
      </w:r>
      <w:r>
        <w:t>s</w:t>
      </w:r>
      <w:r w:rsidRPr="00EF4CDB">
        <w:t>. This exploration is a high</w:t>
      </w:r>
      <w:r w:rsidRPr="00EF4CDB">
        <w:noBreakHyphen/>
        <w:t>risk, high</w:t>
      </w:r>
      <w:r w:rsidRPr="00EF4CDB">
        <w:noBreakHyphen/>
        <w:t xml:space="preserve">reward venture with potentially large returns to those successfully discovering </w:t>
      </w:r>
      <w:r>
        <w:t xml:space="preserve">commercially </w:t>
      </w:r>
      <w:r w:rsidRPr="00EF4CDB">
        <w:t xml:space="preserve">viable </w:t>
      </w:r>
      <w:r>
        <w:t>resources</w:t>
      </w:r>
      <w:r w:rsidRPr="00EF4CDB">
        <w:t xml:space="preserve">. </w:t>
      </w:r>
      <w:r w:rsidRPr="00183499">
        <w:t>Brownfield exploration</w:t>
      </w:r>
      <w:r w:rsidRPr="00EF4CDB">
        <w:t xml:space="preserve"> </w:t>
      </w:r>
      <w:r>
        <w:t>occurs</w:t>
      </w:r>
      <w:r w:rsidRPr="00EF4CDB">
        <w:t xml:space="preserve"> in areas </w:t>
      </w:r>
      <w:r>
        <w:t>near</w:t>
      </w:r>
      <w:r w:rsidRPr="00EF4CDB">
        <w:t xml:space="preserve"> established </w:t>
      </w:r>
      <w:r>
        <w:t>resources and is mainly focused on proving up areas for extending mining and energy drilling operations</w:t>
      </w:r>
      <w:r w:rsidRPr="00EF4CDB">
        <w:t xml:space="preserve">. </w:t>
      </w:r>
    </w:p>
    <w:p w:rsidR="005637E0" w:rsidRDefault="005637E0" w:rsidP="005637E0">
      <w:pPr>
        <w:pStyle w:val="BodyText"/>
      </w:pPr>
      <w:r>
        <w:t xml:space="preserve">The level of greenfield exploration expenditure has remained relatively stable in real terms over recent years, but its share of total exploration has fallen over the last decade from 40 to 30 per cent. The growth of brownfield exploration has been driven in part by favourable commodity prices, which have provided an incentive for miners to expand existing mines. </w:t>
      </w:r>
    </w:p>
    <w:p w:rsidR="005637E0" w:rsidRDefault="005637E0" w:rsidP="005637E0">
      <w:pPr>
        <w:pStyle w:val="BodyText"/>
      </w:pPr>
      <w:r>
        <w:t>The shift to brownfield exploration has raised concerns about the sustainability of Australian resource extraction in the medium term. While existing reserves may last many years, they may be of lower grade, in more remote locations, deeper in the ground, mixed with greater impurities and require more difficult and costly exploration and extraction techniques. As more ‘effort’ is needed to produce each unit of output, downward pressure will be placed on productivity, thereby reducing the international competitiveness of Australian resource exploration and extraction.</w:t>
      </w:r>
    </w:p>
    <w:p w:rsidR="005637E0" w:rsidRDefault="005637E0" w:rsidP="005637E0">
      <w:pPr>
        <w:spacing w:before="240" w:line="320" w:lineRule="atLeast"/>
        <w:jc w:val="both"/>
      </w:pPr>
    </w:p>
    <w:p w:rsidR="005637E0" w:rsidRPr="006B02BF" w:rsidRDefault="005637E0" w:rsidP="005637E0">
      <w:pPr>
        <w:keepNext/>
        <w:keepLines/>
        <w:spacing w:before="360" w:after="80" w:line="280" w:lineRule="exact"/>
        <w:ind w:left="1474" w:hanging="1474"/>
        <w:rPr>
          <w:rFonts w:ascii="Arial" w:hAnsi="Arial"/>
          <w:b/>
        </w:rPr>
      </w:pPr>
      <w:r w:rsidRPr="006B02BF">
        <w:rPr>
          <w:rFonts w:ascii="Arial" w:hAnsi="Arial"/>
        </w:rPr>
        <w:lastRenderedPageBreak/>
        <w:t>Figure</w:t>
      </w:r>
      <w:r>
        <w:rPr>
          <w:rFonts w:ascii="Arial" w:hAnsi="Arial"/>
        </w:rPr>
        <w:t xml:space="preserve"> 2</w:t>
      </w:r>
      <w:r w:rsidRPr="006B02BF">
        <w:rPr>
          <w:rFonts w:ascii="Arial" w:hAnsi="Arial"/>
          <w:b/>
        </w:rPr>
        <w:tab/>
        <w:t>Exploration expenditures</w:t>
      </w:r>
      <w:r>
        <w:rPr>
          <w:rFonts w:ascii="Arial" w:hAnsi="Arial"/>
          <w:b/>
        </w:rPr>
        <w:t xml:space="preserve"> have increased substantially</w:t>
      </w:r>
      <w:r w:rsidRPr="008C0B0B">
        <w:rPr>
          <w:rStyle w:val="NoteLabel"/>
        </w:rPr>
        <w:t>a</w:t>
      </w:r>
    </w:p>
    <w:p w:rsidR="005637E0" w:rsidRPr="006B02BF" w:rsidRDefault="005637E0" w:rsidP="005637E0">
      <w:pPr>
        <w:keepNext/>
        <w:keepLines/>
        <w:spacing w:after="80" w:line="200" w:lineRule="exact"/>
        <w:ind w:left="1474"/>
        <w:rPr>
          <w:rFonts w:ascii="Arial" w:hAnsi="Arial"/>
          <w:sz w:val="20"/>
        </w:rPr>
      </w:pPr>
      <w:r>
        <w:rPr>
          <w:rFonts w:ascii="Arial" w:hAnsi="Arial"/>
          <w:sz w:val="20"/>
        </w:rPr>
        <w:t>Quarterly r</w:t>
      </w:r>
      <w:r w:rsidRPr="006B02BF">
        <w:rPr>
          <w:rFonts w:ascii="Arial" w:hAnsi="Arial"/>
          <w:sz w:val="20"/>
        </w:rPr>
        <w:t>eal expenditures — 2011</w:t>
      </w:r>
      <w:r>
        <w:rPr>
          <w:rFonts w:ascii="Arial" w:hAnsi="Arial"/>
          <w:sz w:val="20"/>
        </w:rPr>
        <w:noBreakHyphen/>
      </w:r>
      <w:r w:rsidRPr="006B02BF">
        <w:rPr>
          <w:rFonts w:ascii="Arial" w:hAnsi="Arial"/>
          <w:sz w:val="20"/>
        </w:rPr>
        <w:t>12 prices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Description w:val="Figure 2 - This figure indicates that exploration expenditures increased during the mid 1990s before declining at the end of that decade. Subsequently, there has been substantial growth in coal and iron ore exploration. For Petroleum *the largest exploration item), more than doubled between 2005-06 and 2008-09 before declining. For gold and silver, there have been two small increase in exploration expenditure around 2007-08 and in 2011-12."/>
      </w:tblPr>
      <w:tblGrid>
        <w:gridCol w:w="8777"/>
      </w:tblGrid>
      <w:tr w:rsidR="005637E0" w:rsidRPr="006B02BF" w:rsidTr="00060689">
        <w:tc>
          <w:tcPr>
            <w:tcW w:w="8777" w:type="dxa"/>
          </w:tcPr>
          <w:p w:rsidR="005637E0" w:rsidRPr="006B02BF" w:rsidRDefault="005637E0" w:rsidP="00060689">
            <w:pPr>
              <w:keepNext/>
              <w:spacing w:before="120" w:after="120" w:line="240" w:lineRule="atLeast"/>
              <w:jc w:val="center"/>
              <w:rPr>
                <w:szCs w:val="20"/>
              </w:rPr>
            </w:pPr>
            <w:r>
              <w:rPr>
                <w:noProof/>
              </w:rPr>
              <w:drawing>
                <wp:inline distT="0" distB="0" distL="0" distR="0" wp14:anchorId="6F0E0050" wp14:editId="072EE537">
                  <wp:extent cx="5400000" cy="2880000"/>
                  <wp:effectExtent l="0" t="0" r="0" b="0"/>
                  <wp:docPr id="7" name="Chart 7" descr="Figure 2 Exploration expenditures have increased substantially. This chart compares the expenditures of gold, silver and base metals, iron ore, petroleum and coal from 1988 to 20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5637E0" w:rsidRPr="008C0B0B" w:rsidRDefault="005637E0" w:rsidP="005637E0">
      <w:pPr>
        <w:pStyle w:val="Note"/>
        <w:rPr>
          <w:rStyle w:val="NoteLabel"/>
        </w:rPr>
      </w:pPr>
      <w:r w:rsidRPr="00A5131E">
        <w:rPr>
          <w:rStyle w:val="NoteLabel"/>
        </w:rPr>
        <w:t>a</w:t>
      </w:r>
      <w:r w:rsidRPr="008C0B0B">
        <w:rPr>
          <w:rStyle w:val="NoteLabel"/>
        </w:rPr>
        <w:t xml:space="preserve"> </w:t>
      </w:r>
      <w:r w:rsidRPr="00A5131E">
        <w:t>Coal includes coal seam gas</w:t>
      </w:r>
    </w:p>
    <w:p w:rsidR="005637E0" w:rsidRDefault="005637E0" w:rsidP="005637E0">
      <w:pPr>
        <w:pStyle w:val="Heading3"/>
      </w:pPr>
      <w:r>
        <w:t>The performance of the industry</w:t>
      </w:r>
    </w:p>
    <w:p w:rsidR="005637E0" w:rsidRDefault="005637E0" w:rsidP="005637E0">
      <w:pPr>
        <w:pStyle w:val="BodyText"/>
      </w:pPr>
      <w:r>
        <w:t>The performance of resource exploration in Australia has been deteriorating according to several measures:</w:t>
      </w:r>
    </w:p>
    <w:p w:rsidR="005637E0" w:rsidRDefault="005637E0" w:rsidP="005637E0">
      <w:pPr>
        <w:pStyle w:val="ListBullet"/>
      </w:pPr>
      <w:r>
        <w:t xml:space="preserve">the average cost per metre drilled has doubled in real terms since the late </w:t>
      </w:r>
      <w:proofErr w:type="spellStart"/>
      <w:r>
        <w:t>1990s</w:t>
      </w:r>
      <w:proofErr w:type="spellEnd"/>
      <w:r>
        <w:t xml:space="preserve"> (figure 3). Cost rises are attributed to the need to drill to greater depths and comply with an increased regulatory burden</w:t>
      </w:r>
    </w:p>
    <w:p w:rsidR="005637E0" w:rsidRDefault="005637E0" w:rsidP="005637E0">
      <w:pPr>
        <w:pStyle w:val="ListBullet"/>
        <w:rPr>
          <w:rStyle w:val="NoteLabel"/>
          <w:b w:val="0"/>
        </w:rPr>
      </w:pPr>
      <w:r>
        <w:t>the rate of discovery of significant new resources has declined despite increased exploration expenditure (figure 4)</w:t>
      </w:r>
    </w:p>
    <w:p w:rsidR="005637E0" w:rsidRDefault="005637E0" w:rsidP="005637E0">
      <w:pPr>
        <w:pStyle w:val="ListBullet"/>
      </w:pPr>
      <w:r>
        <w:t xml:space="preserve">Australia has the second highest share of global exploration expenditure, behind Canada, but this has declined </w:t>
      </w:r>
      <w:r>
        <w:rPr>
          <w:color w:val="000000" w:themeColor="text1"/>
          <w:szCs w:val="26"/>
        </w:rPr>
        <w:t xml:space="preserve">from just under 20 per cent in the early </w:t>
      </w:r>
      <w:proofErr w:type="spellStart"/>
      <w:r>
        <w:rPr>
          <w:color w:val="000000" w:themeColor="text1"/>
          <w:szCs w:val="26"/>
        </w:rPr>
        <w:t>1990s</w:t>
      </w:r>
      <w:proofErr w:type="spellEnd"/>
      <w:r>
        <w:rPr>
          <w:color w:val="000000" w:themeColor="text1"/>
          <w:szCs w:val="26"/>
        </w:rPr>
        <w:t xml:space="preserve"> to 9 per cent in 2011 (figure 5).</w:t>
      </w:r>
    </w:p>
    <w:p w:rsidR="005637E0" w:rsidRDefault="005637E0" w:rsidP="005637E0">
      <w:pPr>
        <w:pStyle w:val="FigureTitle"/>
      </w:pPr>
      <w:r>
        <w:rPr>
          <w:b w:val="0"/>
        </w:rPr>
        <w:lastRenderedPageBreak/>
        <w:t>Figure 3</w:t>
      </w:r>
      <w:r>
        <w:tab/>
      </w:r>
      <w:r w:rsidRPr="000D5A53">
        <w:t>Cost-effectiveness of drilling expenditures</w:t>
      </w:r>
    </w:p>
    <w:p w:rsidR="005637E0" w:rsidRPr="00037A99" w:rsidRDefault="005637E0" w:rsidP="005637E0">
      <w:pPr>
        <w:pStyle w:val="Subtitle"/>
        <w:rPr>
          <w:szCs w:val="20"/>
        </w:rPr>
      </w:pPr>
      <w:r w:rsidRPr="00037A99">
        <w:rPr>
          <w:szCs w:val="20"/>
        </w:rPr>
        <w:t>$ per metre drilled (2012 prices)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Description w:val="Figure 3 - This figure shows the cost of drilling one metre for onshore and offshore petroleum and for minerals and coal. The cost per metre for exploration drilling trippled for onshore petroleum and doubled for offshore petroleum between 2007 and 2009  (which is the most recent data for petroleum). For minerals and coal, the cost of drilling has increased by around 50% between 2005 and 2012."/>
      </w:tblPr>
      <w:tblGrid>
        <w:gridCol w:w="8777"/>
      </w:tblGrid>
      <w:tr w:rsidR="005637E0" w:rsidTr="00060689">
        <w:tc>
          <w:tcPr>
            <w:tcW w:w="8777" w:type="dxa"/>
          </w:tcPr>
          <w:p w:rsidR="005637E0" w:rsidRDefault="005637E0" w:rsidP="00060689">
            <w:pPr>
              <w:pStyle w:val="Figure"/>
            </w:pPr>
            <w:r>
              <w:rPr>
                <w:noProof/>
              </w:rPr>
              <w:drawing>
                <wp:inline distT="0" distB="0" distL="0" distR="0" wp14:anchorId="25D877FE" wp14:editId="7C80124D">
                  <wp:extent cx="5400000" cy="2918100"/>
                  <wp:effectExtent l="0" t="0" r="0" b="0"/>
                  <wp:docPr id="4" name="Chart 4" descr="Figure 3 The cost of drilling is increasing. This chart shows the cost per metre drilled from 1988 to 2012 for offshore petroleum, onshore petroleum and minerals and coal."/>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5637E0" w:rsidRDefault="005637E0" w:rsidP="005637E0">
      <w:pPr>
        <w:pStyle w:val="FigureTitle"/>
        <w:rPr>
          <w:rStyle w:val="NoteLabel"/>
        </w:rPr>
      </w:pPr>
      <w:bookmarkStart w:id="5" w:name="FigureTitle"/>
      <w:r>
        <w:rPr>
          <w:b w:val="0"/>
        </w:rPr>
        <w:t>Figure 4</w:t>
      </w:r>
      <w:r>
        <w:tab/>
        <w:t>The number of giant and major discoveries is falling as exploration expenditure has risen</w:t>
      </w:r>
      <w:r w:rsidRPr="000D5A53">
        <w:rPr>
          <w:rStyle w:val="NoteLabel"/>
        </w:rPr>
        <w:t>a</w:t>
      </w:r>
    </w:p>
    <w:p w:rsidR="005637E0" w:rsidRPr="00037A99" w:rsidRDefault="005637E0" w:rsidP="005637E0">
      <w:pPr>
        <w:pStyle w:val="Subtitle"/>
      </w:pP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Description w:val="Figure 4 - This figure indicates the rate of giant. major and moderate discoveries in Australia in five year increments from 1988 to 2012. It indicates that the rate of giant and major dicvoeries is slowing even though the cost of exploraiton (in real terms) has accelerated."/>
      </w:tblPr>
      <w:tblGrid>
        <w:gridCol w:w="8777"/>
      </w:tblGrid>
      <w:tr w:rsidR="005637E0" w:rsidTr="00060689">
        <w:tc>
          <w:tcPr>
            <w:tcW w:w="8777" w:type="dxa"/>
          </w:tcPr>
          <w:bookmarkEnd w:id="5"/>
          <w:p w:rsidR="005637E0" w:rsidRDefault="005637E0" w:rsidP="00060689">
            <w:pPr>
              <w:pStyle w:val="Figure"/>
            </w:pPr>
            <w:r>
              <w:rPr>
                <w:noProof/>
              </w:rPr>
              <w:drawing>
                <wp:inline distT="0" distB="0" distL="0" distR="0" wp14:anchorId="2FD7A8AE" wp14:editId="7F6EE2FD">
                  <wp:extent cx="5426894" cy="2822626"/>
                  <wp:effectExtent l="0" t="0" r="2540" b="0"/>
                  <wp:docPr id="5" name="Chart 5" descr="Figure 4 The number of giant and major discoveries is falling as exploration expenditure has risen. This figure shows the number of mineral discoveries and the expenditure on each from 1988 to 20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5637E0" w:rsidRPr="003825EF" w:rsidRDefault="005637E0" w:rsidP="005637E0">
      <w:pPr>
        <w:pStyle w:val="Note"/>
      </w:pPr>
      <w:r>
        <w:rPr>
          <w:rStyle w:val="NoteLabel"/>
        </w:rPr>
        <w:t>a</w:t>
      </w:r>
      <w:r>
        <w:t xml:space="preserve"> Mineral discoveries and exploration expenditures (excluding iron ore, coal and petroleum).</w:t>
      </w:r>
    </w:p>
    <w:p w:rsidR="005637E0" w:rsidRDefault="005637E0" w:rsidP="005637E0">
      <w:pPr>
        <w:pStyle w:val="FigureTitle"/>
      </w:pPr>
      <w:r>
        <w:rPr>
          <w:b w:val="0"/>
        </w:rPr>
        <w:lastRenderedPageBreak/>
        <w:t>Figure 5</w:t>
      </w:r>
      <w:r>
        <w:tab/>
      </w:r>
      <w:r w:rsidRPr="000D5A53">
        <w:t>Australia’s share of global non bulk mineral exploration</w:t>
      </w:r>
    </w:p>
    <w:p w:rsidR="005637E0" w:rsidRDefault="005637E0" w:rsidP="005637E0">
      <w:pPr>
        <w:pStyle w:val="Subtitle"/>
      </w:pPr>
      <w:r>
        <w:t>Excludes iron ore and uranium</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Description w:val="Figure 5 - This figure provides a timeline of Australia's share of non-ferrous mineral exploration expenditure between 1991 and 2011. It shows there has been a clear decline in Australia's share of exploration between 1996 and 2005. There has been a slight recovery in Australia's share since that time."/>
      </w:tblPr>
      <w:tblGrid>
        <w:gridCol w:w="8778"/>
      </w:tblGrid>
      <w:tr w:rsidR="005637E0" w:rsidTr="00060689">
        <w:trPr>
          <w:trHeight w:val="4764"/>
        </w:trPr>
        <w:tc>
          <w:tcPr>
            <w:tcW w:w="8778" w:type="dxa"/>
          </w:tcPr>
          <w:p w:rsidR="005637E0" w:rsidRPr="000D5A53" w:rsidRDefault="005637E0" w:rsidP="00060689">
            <w:pPr>
              <w:pStyle w:val="Figure"/>
              <w:rPr>
                <w:rFonts w:ascii="Arial" w:hAnsi="Arial" w:cs="Arial"/>
              </w:rPr>
            </w:pPr>
            <w:r>
              <w:rPr>
                <w:noProof/>
              </w:rPr>
              <w:drawing>
                <wp:inline distT="0" distB="0" distL="0" distR="0" wp14:anchorId="6FF8EA39" wp14:editId="3B3E6D5D">
                  <wp:extent cx="5362575" cy="2876550"/>
                  <wp:effectExtent l="0" t="0" r="0" b="0"/>
                  <wp:docPr id="8" name="Chart 8" descr="Figure 5 Australia's share of global non-ferrous mineral exploration. This figure expands on Figure 2.7 to show how Australia's percentage of world share has changed from 1991 to 20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5637E0" w:rsidRDefault="005637E0" w:rsidP="005637E0">
      <w:pPr>
        <w:pStyle w:val="Heading3"/>
      </w:pPr>
      <w:r>
        <w:t>Rationale for government intervention</w:t>
      </w:r>
    </w:p>
    <w:p w:rsidR="005637E0" w:rsidRDefault="005637E0" w:rsidP="005637E0">
      <w:pPr>
        <w:pStyle w:val="BodyText"/>
      </w:pPr>
      <w:r>
        <w:t>There are three key reasons why mineral and energy resource exploration in Australia is regulated:</w:t>
      </w:r>
    </w:p>
    <w:p w:rsidR="005637E0" w:rsidRPr="008E1C87" w:rsidRDefault="005637E0" w:rsidP="005637E0">
      <w:pPr>
        <w:pStyle w:val="ListBullet"/>
      </w:pPr>
      <w:r w:rsidRPr="008E1C87">
        <w:t>the mineral and energy resources are owned by the Crown</w:t>
      </w:r>
    </w:p>
    <w:p w:rsidR="005637E0" w:rsidRPr="008E1C87" w:rsidRDefault="005637E0" w:rsidP="005637E0">
      <w:pPr>
        <w:pStyle w:val="ListBullet"/>
      </w:pPr>
      <w:r w:rsidRPr="008E1C87">
        <w:t xml:space="preserve">exploration </w:t>
      </w:r>
      <w:r>
        <w:t>could</w:t>
      </w:r>
      <w:r w:rsidRPr="008E1C87">
        <w:t xml:space="preserve"> </w:t>
      </w:r>
      <w:r>
        <w:t xml:space="preserve">directly </w:t>
      </w:r>
      <w:r w:rsidRPr="008E1C87">
        <w:t xml:space="preserve">impact on existing </w:t>
      </w:r>
      <w:r>
        <w:t xml:space="preserve">and future agricultural and other economic </w:t>
      </w:r>
      <w:r w:rsidRPr="008E1C87">
        <w:t>land uses</w:t>
      </w:r>
      <w:r>
        <w:t xml:space="preserve">, or damage sites of environmental and heritage significance </w:t>
      </w:r>
    </w:p>
    <w:p w:rsidR="005637E0" w:rsidRPr="008E1C87" w:rsidRDefault="005637E0" w:rsidP="005637E0">
      <w:pPr>
        <w:pStyle w:val="ListBullet"/>
      </w:pPr>
      <w:r w:rsidRPr="008E1C87">
        <w:t xml:space="preserve">exploration </w:t>
      </w:r>
      <w:r>
        <w:t xml:space="preserve">may have effects </w:t>
      </w:r>
      <w:r w:rsidRPr="008E1C87">
        <w:t xml:space="preserve">beyond the </w:t>
      </w:r>
      <w:r>
        <w:t>tenement, for example, on the surrounding region’s environment and community.</w:t>
      </w:r>
    </w:p>
    <w:p w:rsidR="005637E0" w:rsidRDefault="005637E0" w:rsidP="005637E0">
      <w:pPr>
        <w:pStyle w:val="Heading4"/>
      </w:pPr>
      <w:r>
        <w:t>Resources are owned by the Crown</w:t>
      </w:r>
    </w:p>
    <w:p w:rsidR="005637E0" w:rsidRDefault="005637E0" w:rsidP="005637E0">
      <w:pPr>
        <w:pStyle w:val="BodyText"/>
      </w:pPr>
      <w:r>
        <w:t>Governments need to know the mineral and energy resource base in their jurisdictions in order to manage it in the community’s interest. Accordingly, governments have established legal frameworks which outline how competing exploration proposals are assessed (for example, tendered programs of works, and cash bidding), when and where exploration can occur, and on what basis (for example, reporting obligations).</w:t>
      </w:r>
    </w:p>
    <w:p w:rsidR="005637E0" w:rsidRDefault="005637E0" w:rsidP="005637E0">
      <w:pPr>
        <w:pStyle w:val="Heading4"/>
      </w:pPr>
      <w:r>
        <w:lastRenderedPageBreak/>
        <w:t>Impacts on existing and future land uses</w:t>
      </w:r>
    </w:p>
    <w:p w:rsidR="005637E0" w:rsidRDefault="005637E0" w:rsidP="005637E0">
      <w:pPr>
        <w:pStyle w:val="BodyText"/>
      </w:pPr>
      <w:r>
        <w:t xml:space="preserve">Much of the area covered by, or potentially available for, exploration licences has alternative economic uses. While some exploration activities are minimally invasive (most notably satellite or aerial analysis), more intensive exploration activities can impinge on the activities of other land holders. For example, drilling activities and associated machinery access routes can directly disturb and impair farming activities. </w:t>
      </w:r>
    </w:p>
    <w:p w:rsidR="005637E0" w:rsidRDefault="005637E0" w:rsidP="005637E0">
      <w:pPr>
        <w:pStyle w:val="BodyText"/>
      </w:pPr>
      <w:r>
        <w:t>While all jurisdictions have procedures in place for resolving competing land use requirements, the frequency and intensity of conflicts has recently increased. This has predominantly arisen because of the impact of exploration on prime agricultural areas. Exploration in other areas, such as on low intensity grazing land, is considerably less contentious — and some landholders view it as a source of additional income. Exploration activities can similarly impact on items or areas of heritage significance (most notably Indigenous heritage) or have environmental impacts by disturbing or destroying flora or fauna of significance.</w:t>
      </w:r>
    </w:p>
    <w:p w:rsidR="005637E0" w:rsidRDefault="005637E0" w:rsidP="005637E0">
      <w:pPr>
        <w:pStyle w:val="Heading4"/>
        <w:spacing w:before="400"/>
      </w:pPr>
      <w:r>
        <w:t>Effects beyond the exploration site</w:t>
      </w:r>
    </w:p>
    <w:p w:rsidR="005637E0" w:rsidRDefault="005637E0" w:rsidP="005637E0">
      <w:pPr>
        <w:pStyle w:val="BodyText"/>
      </w:pPr>
      <w:r>
        <w:t xml:space="preserve">The effects of exploration activities have the potential to extend across areas that are beyond the specific exploration site (such as through noise, air and surface water contamination), and impact on the levels and quality of regional fresh water aquifers. </w:t>
      </w:r>
    </w:p>
    <w:p w:rsidR="005637E0" w:rsidRDefault="005637E0" w:rsidP="005637E0">
      <w:pPr>
        <w:pStyle w:val="Heading3"/>
        <w:spacing w:before="480"/>
      </w:pPr>
      <w:r>
        <w:t>Scope of government intervention</w:t>
      </w:r>
    </w:p>
    <w:p w:rsidR="005637E0" w:rsidRPr="00CD06B9" w:rsidRDefault="005637E0" w:rsidP="005637E0">
      <w:pPr>
        <w:pStyle w:val="BodyText"/>
        <w:spacing w:before="220"/>
      </w:pPr>
      <w:r w:rsidRPr="00CD06B9">
        <w:t>State and territory governments own all mineral and energy resources onshore and offshore within the first three nautical miles of the territorial sea. Beyond three nautical miles, the resources are owned by the Australian Government. The scope of intervention by governments in resource exploration extends to:</w:t>
      </w:r>
    </w:p>
    <w:p w:rsidR="005637E0" w:rsidRPr="00C67B62" w:rsidDel="00977E31" w:rsidRDefault="005637E0" w:rsidP="005637E0">
      <w:pPr>
        <w:pStyle w:val="ListBullet"/>
      </w:pPr>
      <w:r>
        <w:t xml:space="preserve">the </w:t>
      </w:r>
      <w:r w:rsidRPr="00C67B62">
        <w:t>a</w:t>
      </w:r>
      <w:r w:rsidRPr="00C67B62" w:rsidDel="00977E31">
        <w:t xml:space="preserve">vailability </w:t>
      </w:r>
      <w:r w:rsidRPr="00C67B62">
        <w:t>of</w:t>
      </w:r>
      <w:r>
        <w:t>,</w:t>
      </w:r>
      <w:r w:rsidRPr="00C67B62">
        <w:t xml:space="preserve"> </w:t>
      </w:r>
      <w:r w:rsidRPr="00C67B62" w:rsidDel="00977E31">
        <w:t>and access to</w:t>
      </w:r>
      <w:r>
        <w:t>,</w:t>
      </w:r>
      <w:r w:rsidRPr="00C67B62" w:rsidDel="00977E31">
        <w:t xml:space="preserve"> land</w:t>
      </w:r>
    </w:p>
    <w:p w:rsidR="005637E0" w:rsidRDefault="005637E0" w:rsidP="005637E0">
      <w:pPr>
        <w:pStyle w:val="ListBullet"/>
      </w:pPr>
      <w:r>
        <w:t>exploration licence allocation and approvals processes</w:t>
      </w:r>
    </w:p>
    <w:p w:rsidR="005637E0" w:rsidRDefault="005637E0" w:rsidP="005637E0">
      <w:pPr>
        <w:pStyle w:val="ListBullet"/>
      </w:pPr>
      <w:r>
        <w:t>environmental management</w:t>
      </w:r>
    </w:p>
    <w:p w:rsidR="005637E0" w:rsidRPr="00C67B62" w:rsidRDefault="005637E0" w:rsidP="005637E0">
      <w:pPr>
        <w:pStyle w:val="ListBullet"/>
      </w:pPr>
      <w:r>
        <w:t>heritage protection</w:t>
      </w:r>
    </w:p>
    <w:p w:rsidR="005637E0" w:rsidRPr="00C67B62" w:rsidRDefault="005637E0" w:rsidP="005637E0">
      <w:pPr>
        <w:pStyle w:val="ListBullet"/>
      </w:pPr>
      <w:r>
        <w:t xml:space="preserve">pre-competitive </w:t>
      </w:r>
      <w:proofErr w:type="spellStart"/>
      <w:r w:rsidRPr="00C67B62">
        <w:t>geoscien</w:t>
      </w:r>
      <w:r>
        <w:t>tific</w:t>
      </w:r>
      <w:proofErr w:type="spellEnd"/>
      <w:r>
        <w:t xml:space="preserve"> information</w:t>
      </w:r>
    </w:p>
    <w:p w:rsidR="005637E0" w:rsidRPr="00C67B62" w:rsidRDefault="005637E0" w:rsidP="005637E0">
      <w:pPr>
        <w:pStyle w:val="ListBullet"/>
      </w:pPr>
      <w:r>
        <w:t>the availability of skilled labour and worker safety</w:t>
      </w:r>
    </w:p>
    <w:p w:rsidR="005637E0" w:rsidRPr="00C67B62" w:rsidDel="00977E31" w:rsidRDefault="005637E0" w:rsidP="005637E0">
      <w:pPr>
        <w:pStyle w:val="ListBullet"/>
      </w:pPr>
      <w:r w:rsidRPr="00C67B62">
        <w:t>t</w:t>
      </w:r>
      <w:r w:rsidRPr="00C67B62" w:rsidDel="00977E31">
        <w:t>he taxation treatment of exploration activities</w:t>
      </w:r>
    </w:p>
    <w:p w:rsidR="005637E0" w:rsidRDefault="005637E0" w:rsidP="005637E0">
      <w:pPr>
        <w:pStyle w:val="ListBullet"/>
      </w:pPr>
      <w:r w:rsidRPr="00C67B62">
        <w:t>s</w:t>
      </w:r>
      <w:r w:rsidRPr="00C67B62" w:rsidDel="00977E31">
        <w:t>ubsidies</w:t>
      </w:r>
      <w:r>
        <w:t>/support</w:t>
      </w:r>
      <w:r w:rsidRPr="00C67B62" w:rsidDel="00977E31">
        <w:t xml:space="preserve"> </w:t>
      </w:r>
      <w:r>
        <w:t>for</w:t>
      </w:r>
      <w:r w:rsidRPr="00C67B62" w:rsidDel="00977E31">
        <w:t xml:space="preserve"> exploration activit</w:t>
      </w:r>
      <w:r>
        <w:t>y.</w:t>
      </w:r>
    </w:p>
    <w:p w:rsidR="005637E0" w:rsidRPr="001C2444" w:rsidRDefault="005637E0" w:rsidP="005637E0">
      <w:pPr>
        <w:pStyle w:val="BodyText"/>
      </w:pPr>
      <w:r>
        <w:lastRenderedPageBreak/>
        <w:t xml:space="preserve">One of the consequences of this broad scope of policy and regulatory interventions is a complex framework of legislation </w:t>
      </w:r>
      <w:r w:rsidRPr="001C2444">
        <w:t xml:space="preserve">— </w:t>
      </w:r>
      <w:r>
        <w:t xml:space="preserve">generally </w:t>
      </w:r>
      <w:r w:rsidRPr="001C2444">
        <w:t xml:space="preserve">separated into onshore </w:t>
      </w:r>
      <w:r>
        <w:t xml:space="preserve">and </w:t>
      </w:r>
      <w:r w:rsidRPr="001C2444">
        <w:t>offshore</w:t>
      </w:r>
      <w:r>
        <w:t xml:space="preserve"> legislation</w:t>
      </w:r>
      <w:r w:rsidRPr="001C2444">
        <w:t xml:space="preserve">, and </w:t>
      </w:r>
      <w:r>
        <w:t>mineral and petroleum resource legislation.</w:t>
      </w:r>
      <w:r w:rsidRPr="001C2444">
        <w:t xml:space="preserve"> Most jurisdictions, therefore, have at least four key Acts and associated regulations. Further complexity arises from the </w:t>
      </w:r>
      <w:r>
        <w:t xml:space="preserve">interface between the Commonwealth and the states and territories and the </w:t>
      </w:r>
      <w:r w:rsidRPr="001C2444">
        <w:t>differential treatment of specific mineral resources</w:t>
      </w:r>
      <w:r>
        <w:t>,</w:t>
      </w:r>
      <w:r w:rsidRPr="001C2444">
        <w:t xml:space="preserve"> such as uranium and coal</w:t>
      </w:r>
      <w:r>
        <w:t>, and more recently, the treatment of coal seam gas (</w:t>
      </w:r>
      <w:proofErr w:type="spellStart"/>
      <w:r>
        <w:t>CSG</w:t>
      </w:r>
      <w:proofErr w:type="spellEnd"/>
      <w:r>
        <w:t>).</w:t>
      </w:r>
      <w:r w:rsidRPr="001C2444">
        <w:t xml:space="preserve"> </w:t>
      </w:r>
    </w:p>
    <w:p w:rsidR="005637E0" w:rsidRPr="001C2444" w:rsidRDefault="005637E0" w:rsidP="005637E0">
      <w:pPr>
        <w:pStyle w:val="BodyText"/>
      </w:pPr>
      <w:r w:rsidRPr="001C2444">
        <w:t xml:space="preserve">However, it </w:t>
      </w:r>
      <w:r>
        <w:t>is</w:t>
      </w:r>
      <w:r w:rsidRPr="001C2444">
        <w:t xml:space="preserve"> uncertain whether consolidation or harmonisation of </w:t>
      </w:r>
      <w:r>
        <w:t>state and territory</w:t>
      </w:r>
      <w:r w:rsidRPr="00506A99">
        <w:t xml:space="preserve"> </w:t>
      </w:r>
      <w:r>
        <w:t xml:space="preserve">resource </w:t>
      </w:r>
      <w:r w:rsidRPr="00506A99">
        <w:t>legislation</w:t>
      </w:r>
      <w:r w:rsidRPr="001C2444">
        <w:t xml:space="preserve"> would be </w:t>
      </w:r>
      <w:r>
        <w:t>more efficient than the current arrangements</w:t>
      </w:r>
      <w:r w:rsidRPr="001C2444">
        <w:t xml:space="preserve">. Most resource </w:t>
      </w:r>
      <w:r w:rsidRPr="00914975">
        <w:t xml:space="preserve">explorers are not exposed to </w:t>
      </w:r>
      <w:r>
        <w:t xml:space="preserve">the full force of this </w:t>
      </w:r>
      <w:r w:rsidRPr="001C2444">
        <w:t xml:space="preserve">legislative complexity as they do not operate across multiple jurisdictions or </w:t>
      </w:r>
      <w:r>
        <w:t>explore for a combination of</w:t>
      </w:r>
      <w:r w:rsidRPr="001C2444">
        <w:t xml:space="preserve"> mineral </w:t>
      </w:r>
      <w:r>
        <w:t>and energy resources</w:t>
      </w:r>
      <w:r w:rsidRPr="001C2444">
        <w:t xml:space="preserve">. </w:t>
      </w:r>
    </w:p>
    <w:p w:rsidR="005637E0" w:rsidRDefault="005637E0" w:rsidP="005637E0">
      <w:pPr>
        <w:pStyle w:val="BodyText"/>
      </w:pPr>
      <w:r>
        <w:t>The design of regulation, the governance of regulatory agencies and non-regulatory policies all play important roles in shaping the structure of incentives faced by explorers. The Fraser Institute, a Canadian research group, surveys companies to measure the attractiveness of different jurisdictions for exploration. The Institute’s survey results suggest that the regulatory regimes of Australian jurisdictions that govern exploration activity are contributing to the decline in their international competitiveness as destinations for exploration.</w:t>
      </w:r>
    </w:p>
    <w:p w:rsidR="005637E0" w:rsidRDefault="005637E0" w:rsidP="005637E0">
      <w:pPr>
        <w:pStyle w:val="Heading3"/>
      </w:pPr>
      <w:r>
        <w:t>Concerns with the regulatory framework</w:t>
      </w:r>
    </w:p>
    <w:p w:rsidR="005637E0" w:rsidRDefault="005637E0" w:rsidP="005637E0">
      <w:pPr>
        <w:pStyle w:val="BodyText"/>
      </w:pPr>
      <w:r>
        <w:t xml:space="preserve">Common concerns raised in this inquiry, across all regulatory domains, have been the </w:t>
      </w:r>
      <w:r w:rsidRPr="008949D6">
        <w:t>lack of transparent and consultative processes</w:t>
      </w:r>
      <w:r>
        <w:t xml:space="preserve"> undertaken when adding or changing regulation, the poor communication of some regulators and the scant use of evidence based decision making and proportionate risk management.</w:t>
      </w:r>
    </w:p>
    <w:p w:rsidR="005637E0" w:rsidRDefault="005637E0" w:rsidP="005637E0">
      <w:pPr>
        <w:pStyle w:val="BodyText"/>
      </w:pPr>
      <w:r>
        <w:t xml:space="preserve">There can be strong opposition to mineral and energy resource exploration from some in the community, particularly those who are directly impacted and for whom the potential costs are concentrated. But policy processes have sometimes failed to assess the more widely dispersed benefits for the broader community. Mitigation of the concerns of the immediate community appears to be driving some of the recent legislative responses. </w:t>
      </w:r>
    </w:p>
    <w:p w:rsidR="005637E0" w:rsidRDefault="005637E0" w:rsidP="005637E0">
      <w:pPr>
        <w:pStyle w:val="BodyText"/>
        <w:rPr>
          <w:i/>
        </w:rPr>
      </w:pPr>
      <w:r>
        <w:t xml:space="preserve">There will invariably be some parties who are disaffected by land use decisions. This places added emphasis on the need to ensure transparent and consultative regulatory frameworks. In the Commission’s view, those frameworks, and any changes to them, </w:t>
      </w:r>
      <w:r w:rsidRPr="00C51F90">
        <w:t xml:space="preserve">should be based on </w:t>
      </w:r>
      <w:r>
        <w:t xml:space="preserve">extensive </w:t>
      </w:r>
      <w:r w:rsidRPr="00C51F90">
        <w:t xml:space="preserve">community consultation </w:t>
      </w:r>
      <w:r>
        <w:t>informed by</w:t>
      </w:r>
      <w:r w:rsidRPr="00C51F90">
        <w:t xml:space="preserve"> </w:t>
      </w:r>
      <w:r>
        <w:t>the best available environmental, social and economic</w:t>
      </w:r>
      <w:r w:rsidRPr="00C51F90">
        <w:t xml:space="preserve"> </w:t>
      </w:r>
      <w:r>
        <w:t>understanding</w:t>
      </w:r>
      <w:r w:rsidRPr="00C51F90">
        <w:t xml:space="preserve"> of the </w:t>
      </w:r>
      <w:r>
        <w:t xml:space="preserve">local </w:t>
      </w:r>
      <w:r>
        <w:lastRenderedPageBreak/>
        <w:t xml:space="preserve">and communitywide risks of </w:t>
      </w:r>
      <w:r w:rsidRPr="00C51F90">
        <w:t>impact</w:t>
      </w:r>
      <w:r>
        <w:t>s, and benefits,</w:t>
      </w:r>
      <w:r w:rsidRPr="00C51F90">
        <w:t xml:space="preserve"> </w:t>
      </w:r>
      <w:r>
        <w:t>from</w:t>
      </w:r>
      <w:r w:rsidRPr="00C51F90">
        <w:t xml:space="preserve"> </w:t>
      </w:r>
      <w:r>
        <w:t xml:space="preserve">specific </w:t>
      </w:r>
      <w:r w:rsidRPr="00C51F90">
        <w:t>exploration</w:t>
      </w:r>
      <w:r>
        <w:t xml:space="preserve"> activities</w:t>
      </w:r>
      <w:r>
        <w:rPr>
          <w:i/>
        </w:rPr>
        <w:t xml:space="preserve">. </w:t>
      </w:r>
    </w:p>
    <w:p w:rsidR="005637E0" w:rsidRDefault="005637E0" w:rsidP="005637E0">
      <w:pPr>
        <w:pStyle w:val="Heading3"/>
      </w:pPr>
      <w:r>
        <w:t>E</w:t>
      </w:r>
      <w:r w:rsidRPr="002A3B15">
        <w:t xml:space="preserve">xploration </w:t>
      </w:r>
      <w:r>
        <w:t>l</w:t>
      </w:r>
      <w:r w:rsidRPr="002A3B15">
        <w:t>icencing</w:t>
      </w:r>
    </w:p>
    <w:p w:rsidR="005637E0" w:rsidRDefault="005637E0" w:rsidP="005637E0">
      <w:pPr>
        <w:pStyle w:val="BodyText"/>
      </w:pPr>
      <w:r>
        <w:t xml:space="preserve">Licensing and approval processes for resource exploration are primarily the responsibility of state and territory governments. The Australian Government has a role in relation to access to Commonwealth land, most offshore approvals and when the </w:t>
      </w:r>
      <w:r w:rsidRPr="00A30567">
        <w:rPr>
          <w:i/>
        </w:rPr>
        <w:t xml:space="preserve">Environment Protection and Biodiversity Conversation Act 1999 </w:t>
      </w:r>
      <w:r>
        <w:t>(</w:t>
      </w:r>
      <w:proofErr w:type="spellStart"/>
      <w:r>
        <w:t>EPBC</w:t>
      </w:r>
      <w:proofErr w:type="spellEnd"/>
      <w:r>
        <w:t xml:space="preserve"> Act) is triggered. </w:t>
      </w:r>
    </w:p>
    <w:p w:rsidR="005637E0" w:rsidRDefault="005637E0" w:rsidP="005637E0">
      <w:pPr>
        <w:pStyle w:val="BodyText"/>
      </w:pPr>
      <w:r>
        <w:t>How governments allocate exploration licences and their strategies for land release play an important role in shaping exploration incentives.</w:t>
      </w:r>
    </w:p>
    <w:p w:rsidR="005637E0" w:rsidRPr="00484BDB" w:rsidRDefault="005637E0" w:rsidP="005637E0">
      <w:pPr>
        <w:pStyle w:val="Heading4"/>
      </w:pPr>
      <w:r>
        <w:t>The allocation of</w:t>
      </w:r>
      <w:r w:rsidRPr="00484BDB">
        <w:t xml:space="preserve"> exploration licences</w:t>
      </w:r>
    </w:p>
    <w:p w:rsidR="005637E0" w:rsidRDefault="005637E0" w:rsidP="005637E0">
      <w:pPr>
        <w:pStyle w:val="BodyText"/>
      </w:pPr>
      <w:r w:rsidRPr="00026208">
        <w:t>There are three main ways of allocating exploration licences in Australia — first</w:t>
      </w:r>
      <w:r>
        <w:t>-</w:t>
      </w:r>
      <w:r w:rsidRPr="00026208">
        <w:t>come first</w:t>
      </w:r>
      <w:r>
        <w:t>-</w:t>
      </w:r>
      <w:r w:rsidRPr="00026208">
        <w:t xml:space="preserve">served, work bidding and </w:t>
      </w:r>
      <w:r>
        <w:t>cash bidding</w:t>
      </w:r>
      <w:r w:rsidRPr="00026208">
        <w:t xml:space="preserve">. </w:t>
      </w:r>
    </w:p>
    <w:p w:rsidR="005637E0" w:rsidRDefault="005637E0" w:rsidP="005637E0">
      <w:pPr>
        <w:pStyle w:val="BodyText"/>
      </w:pPr>
      <w:r>
        <w:t>M</w:t>
      </w:r>
      <w:r w:rsidRPr="00026208">
        <w:t>ost exploration licence</w:t>
      </w:r>
      <w:r>
        <w:t xml:space="preserve"> allocations are on a</w:t>
      </w:r>
      <w:r w:rsidRPr="00026208">
        <w:t xml:space="preserve"> first</w:t>
      </w:r>
      <w:r>
        <w:t>-</w:t>
      </w:r>
      <w:r w:rsidRPr="00026208">
        <w:t>come first</w:t>
      </w:r>
      <w:r>
        <w:t>-</w:t>
      </w:r>
      <w:r w:rsidRPr="00026208">
        <w:t xml:space="preserve">served </w:t>
      </w:r>
      <w:r>
        <w:t>basis if</w:t>
      </w:r>
      <w:r w:rsidRPr="00026208">
        <w:t xml:space="preserve"> there is </w:t>
      </w:r>
      <w:r>
        <w:t xml:space="preserve">likely to be </w:t>
      </w:r>
      <w:r w:rsidRPr="00026208">
        <w:t xml:space="preserve">only one party interested in exploring a </w:t>
      </w:r>
      <w:r>
        <w:t>tenement. Where multiple parties may be interested, governments often request</w:t>
      </w:r>
      <w:r w:rsidRPr="00026208">
        <w:t xml:space="preserve"> bid</w:t>
      </w:r>
      <w:r>
        <w:t>s of work programs</w:t>
      </w:r>
      <w:r w:rsidRPr="00026208">
        <w:t xml:space="preserve"> </w:t>
      </w:r>
      <w:r>
        <w:t xml:space="preserve">— </w:t>
      </w:r>
      <w:r w:rsidRPr="00026208">
        <w:t xml:space="preserve">basing the allocation decision on </w:t>
      </w:r>
      <w:r>
        <w:t xml:space="preserve">the nature and extent of </w:t>
      </w:r>
      <w:r w:rsidRPr="00026208">
        <w:t xml:space="preserve">each </w:t>
      </w:r>
      <w:r>
        <w:t>explorer’s</w:t>
      </w:r>
      <w:r w:rsidRPr="00026208">
        <w:t xml:space="preserve"> </w:t>
      </w:r>
      <w:r>
        <w:t>planned</w:t>
      </w:r>
      <w:r w:rsidRPr="00026208">
        <w:t xml:space="preserve"> program of exploration. Under both of these arrangement</w:t>
      </w:r>
      <w:r>
        <w:t xml:space="preserve">s, the rights are allocated </w:t>
      </w:r>
      <w:r w:rsidRPr="00026208">
        <w:t xml:space="preserve">free (apart from administration fees). </w:t>
      </w:r>
    </w:p>
    <w:p w:rsidR="005637E0" w:rsidRDefault="005637E0" w:rsidP="005637E0">
      <w:pPr>
        <w:pStyle w:val="BodyText"/>
      </w:pPr>
      <w:r>
        <w:t>Work bidding can distort decisions on the nature and timing of exploration activities. Explorers will tend to adopt techniques, plan drilling activity or assign exploration expenditures to those activities that match the criteria used by governments to allocate a tenement, even though these choices may not be the most cost effective for the explorer. Where work bidding leads to exploration activity that is not cost effective, this creates an opportunity cost as at least some of the funds could have been used for other purposes.</w:t>
      </w:r>
    </w:p>
    <w:p w:rsidR="005637E0" w:rsidRDefault="005637E0" w:rsidP="005637E0">
      <w:pPr>
        <w:pStyle w:val="BodyText"/>
      </w:pPr>
      <w:r w:rsidRPr="00026208">
        <w:t xml:space="preserve">The third approach, cash bidding has </w:t>
      </w:r>
      <w:r>
        <w:t>been used in the past</w:t>
      </w:r>
      <w:r w:rsidRPr="00026208">
        <w:t xml:space="preserve"> for offshore energy exploration licences — with </w:t>
      </w:r>
      <w:r>
        <w:t xml:space="preserve">the Commonwealth and </w:t>
      </w:r>
      <w:r w:rsidRPr="00026208">
        <w:t xml:space="preserve">some states recently </w:t>
      </w:r>
      <w:r>
        <w:t>re</w:t>
      </w:r>
      <w:r>
        <w:noBreakHyphen/>
        <w:t xml:space="preserve">introducing cash bidding, predominantly for the allocation of selected </w:t>
      </w:r>
      <w:r w:rsidRPr="00026208">
        <w:t>oil</w:t>
      </w:r>
      <w:r>
        <w:t>, coal</w:t>
      </w:r>
      <w:r w:rsidRPr="00026208">
        <w:t xml:space="preserve"> and </w:t>
      </w:r>
      <w:proofErr w:type="spellStart"/>
      <w:r>
        <w:t>CSG</w:t>
      </w:r>
      <w:proofErr w:type="spellEnd"/>
      <w:r>
        <w:t xml:space="preserve"> </w:t>
      </w:r>
      <w:r w:rsidRPr="00026208">
        <w:t>exploration licences.</w:t>
      </w:r>
      <w:r>
        <w:t xml:space="preserve"> Cash bidding enables governments to receive an upfront payment — effectively a share of any rents that may be created by the exploration activities. </w:t>
      </w:r>
    </w:p>
    <w:p w:rsidR="005637E0" w:rsidRPr="00026208" w:rsidRDefault="005637E0" w:rsidP="005637E0">
      <w:pPr>
        <w:pStyle w:val="BodyText"/>
      </w:pPr>
      <w:r>
        <w:lastRenderedPageBreak/>
        <w:t>E</w:t>
      </w:r>
      <w:r w:rsidRPr="00026208">
        <w:t xml:space="preserve">xploration firms are </w:t>
      </w:r>
      <w:r>
        <w:t xml:space="preserve">generally </w:t>
      </w:r>
      <w:r w:rsidRPr="00026208">
        <w:t xml:space="preserve">opposed to </w:t>
      </w:r>
      <w:r>
        <w:t>cash bidding,</w:t>
      </w:r>
      <w:r w:rsidRPr="00026208">
        <w:t xml:space="preserve"> argu</w:t>
      </w:r>
      <w:r>
        <w:t xml:space="preserve">ing that any funds expended on cash bidding are funds that cannot be used for exploration, thus lowering the chance of discovery and the generation of public information. Explorers further argue that </w:t>
      </w:r>
      <w:r w:rsidRPr="00026208">
        <w:t xml:space="preserve">despite the introduction of </w:t>
      </w:r>
      <w:r>
        <w:t>cash bidding</w:t>
      </w:r>
      <w:r w:rsidRPr="00026208">
        <w:t xml:space="preserve"> arrangements, </w:t>
      </w:r>
      <w:r>
        <w:t>some governments still require the licence application to</w:t>
      </w:r>
      <w:r w:rsidRPr="00026208">
        <w:t xml:space="preserve"> outline a work program</w:t>
      </w:r>
      <w:r>
        <w:t xml:space="preserve">. </w:t>
      </w:r>
    </w:p>
    <w:p w:rsidR="005637E0" w:rsidRDefault="005637E0" w:rsidP="005637E0">
      <w:pPr>
        <w:pStyle w:val="BodyText"/>
      </w:pPr>
      <w:r>
        <w:t>The Commission considers that no</w:t>
      </w:r>
      <w:r w:rsidRPr="0002180C">
        <w:t xml:space="preserve"> single method of allocating exploration permits is likely to suit all situations in Australia.</w:t>
      </w:r>
      <w:r>
        <w:t xml:space="preserve"> </w:t>
      </w:r>
      <w:r w:rsidRPr="0002180C">
        <w:t xml:space="preserve">Cash bidding </w:t>
      </w:r>
      <w:r>
        <w:t>has greatest merit</w:t>
      </w:r>
      <w:r w:rsidRPr="0002180C">
        <w:t xml:space="preserve"> for highly prospective exploration tenements. These will usually be in areas where</w:t>
      </w:r>
      <w:r>
        <w:t xml:space="preserve"> pre</w:t>
      </w:r>
      <w:r>
        <w:noBreakHyphen/>
        <w:t xml:space="preserve">competitive </w:t>
      </w:r>
      <w:r w:rsidRPr="0002180C">
        <w:t>geoscien</w:t>
      </w:r>
      <w:r>
        <w:t>ce</w:t>
      </w:r>
      <w:r w:rsidRPr="0002180C">
        <w:t xml:space="preserve"> </w:t>
      </w:r>
      <w:r>
        <w:t xml:space="preserve">and other </w:t>
      </w:r>
      <w:r w:rsidRPr="0002180C">
        <w:t xml:space="preserve">evidence indicates that an exploration tenement will almost certainly contain sizable mineral or energy </w:t>
      </w:r>
      <w:r>
        <w:t>resources and there is likely to be greater interest from multiple bidders</w:t>
      </w:r>
      <w:r w:rsidRPr="0002180C">
        <w:t>.</w:t>
      </w:r>
    </w:p>
    <w:p w:rsidR="005637E0" w:rsidRDefault="005637E0" w:rsidP="005637E0">
      <w:pPr>
        <w:pStyle w:val="BodyText"/>
      </w:pPr>
      <w:r>
        <w:t>Regardless of the allocation mechanism employed, exploration licences are rights to the potential discovery of valuable resources. Administrative decisions on the allocation of those licences are therefore at risk from undue influence from vested interests. The use of transparent processes when allocating exploration licences is good regulatory practice and reduces the risk of corruption in the allocation of exploration licences.</w:t>
      </w:r>
    </w:p>
    <w:p w:rsidR="005637E0" w:rsidRPr="0002180C" w:rsidRDefault="005637E0" w:rsidP="005637E0">
      <w:pPr>
        <w:pStyle w:val="Heading4"/>
      </w:pPr>
      <w:r>
        <w:t>Land release strategies</w:t>
      </w:r>
    </w:p>
    <w:p w:rsidR="005637E0" w:rsidRDefault="005637E0" w:rsidP="005637E0">
      <w:pPr>
        <w:pStyle w:val="BodyText"/>
      </w:pPr>
      <w:r>
        <w:t xml:space="preserve">A challenge faced by governments is to develop an optimal tenement release strategy that maximises the benefits to the community while providing tenement options that are of interest to explorers. The small sizes and odd shapes of some tenements have become suboptimal — with any consequent resource discovery unlikely to be of a scale that supports efficient extraction. A contributing factor has been the requirement for parts of exploration tenements to be relinquished, especially where there have been repeated rounds of exploration. </w:t>
      </w:r>
    </w:p>
    <w:p w:rsidR="005637E0" w:rsidRDefault="005637E0" w:rsidP="005637E0">
      <w:pPr>
        <w:pStyle w:val="BodyText"/>
      </w:pPr>
      <w:r>
        <w:t>The Commission considers that, where possible and appropriate, tenements should be of sufficient size to allow an efficient mine or production wells to be operated. This can be achieved by adopting a more strategic approach to the release of tenements by deferral until blocks can be combined into optimally sized and shaped tenements.</w:t>
      </w:r>
    </w:p>
    <w:p w:rsidR="005637E0" w:rsidRPr="00484BDB" w:rsidRDefault="005637E0" w:rsidP="005637E0">
      <w:pPr>
        <w:pStyle w:val="Heading3"/>
      </w:pPr>
      <w:r w:rsidRPr="00484BDB">
        <w:t>Approval processes</w:t>
      </w:r>
    </w:p>
    <w:p w:rsidR="005637E0" w:rsidRPr="00E7606D" w:rsidRDefault="005637E0" w:rsidP="005637E0">
      <w:pPr>
        <w:pStyle w:val="BodyText"/>
      </w:pPr>
      <w:r w:rsidRPr="00E7606D">
        <w:t xml:space="preserve">Once land is </w:t>
      </w:r>
      <w:r>
        <w:t>made available</w:t>
      </w:r>
      <w:r w:rsidRPr="00E7606D">
        <w:t xml:space="preserve"> for exploration and licences </w:t>
      </w:r>
      <w:r>
        <w:t xml:space="preserve">have been </w:t>
      </w:r>
      <w:r w:rsidRPr="00E7606D">
        <w:t>allocated</w:t>
      </w:r>
      <w:r>
        <w:t>,</w:t>
      </w:r>
      <w:r w:rsidRPr="00E7606D">
        <w:t xml:space="preserve"> there </w:t>
      </w:r>
      <w:r>
        <w:t xml:space="preserve">is </w:t>
      </w:r>
      <w:r w:rsidRPr="00E7606D">
        <w:t xml:space="preserve">a lengthy process </w:t>
      </w:r>
      <w:r>
        <w:t xml:space="preserve">for explorers </w:t>
      </w:r>
      <w:r w:rsidRPr="00E7606D">
        <w:t>to acquire the necessary approvals</w:t>
      </w:r>
      <w:r>
        <w:t xml:space="preserve"> to begin exploration</w:t>
      </w:r>
      <w:r w:rsidRPr="00E7606D">
        <w:t xml:space="preserve">. There is a great deal of variation </w:t>
      </w:r>
      <w:r>
        <w:t xml:space="preserve">between jurisdictions </w:t>
      </w:r>
      <w:r w:rsidRPr="00E7606D">
        <w:t>in the path</w:t>
      </w:r>
      <w:r>
        <w:t xml:space="preserve">s that </w:t>
      </w:r>
      <w:r>
        <w:lastRenderedPageBreak/>
        <w:t>need to be taken</w:t>
      </w:r>
      <w:r w:rsidRPr="00E7606D">
        <w:t xml:space="preserve"> from applying for a licence to actually exploring. </w:t>
      </w:r>
      <w:r>
        <w:t>A high degree of variation also exists</w:t>
      </w:r>
      <w:r w:rsidRPr="00E7606D">
        <w:t xml:space="preserve"> within jurisdictions, depending on the location of </w:t>
      </w:r>
      <w:r>
        <w:t xml:space="preserve">the </w:t>
      </w:r>
      <w:r w:rsidRPr="00E7606D">
        <w:t xml:space="preserve">exploration and the </w:t>
      </w:r>
      <w:r>
        <w:t>mineral or energy</w:t>
      </w:r>
      <w:r w:rsidRPr="00E7606D">
        <w:t xml:space="preserve"> </w:t>
      </w:r>
      <w:r>
        <w:t xml:space="preserve">resources </w:t>
      </w:r>
      <w:r w:rsidRPr="00E7606D">
        <w:t>being sought.</w:t>
      </w:r>
    </w:p>
    <w:p w:rsidR="005637E0" w:rsidRDefault="005637E0" w:rsidP="005637E0">
      <w:pPr>
        <w:pStyle w:val="BodyText"/>
      </w:pPr>
      <w:r w:rsidRPr="00E7606D">
        <w:t xml:space="preserve">This complexity makes it difficult to compare or even </w:t>
      </w:r>
      <w:r>
        <w:t xml:space="preserve">broadly </w:t>
      </w:r>
      <w:r w:rsidRPr="00E7606D">
        <w:t xml:space="preserve">describe exploration </w:t>
      </w:r>
      <w:r>
        <w:t>approval</w:t>
      </w:r>
      <w:r w:rsidRPr="00E7606D">
        <w:t xml:space="preserve"> </w:t>
      </w:r>
      <w:r>
        <w:t>processes</w:t>
      </w:r>
      <w:r w:rsidRPr="00E7606D">
        <w:t xml:space="preserve">. </w:t>
      </w:r>
      <w:r>
        <w:t>Whereas f</w:t>
      </w:r>
      <w:r w:rsidRPr="00E7606D">
        <w:t>igure</w:t>
      </w:r>
      <w:r>
        <w:t> 6</w:t>
      </w:r>
      <w:r w:rsidRPr="00E7606D">
        <w:t xml:space="preserve"> shows </w:t>
      </w:r>
      <w:r>
        <w:t xml:space="preserve">in a stylised way </w:t>
      </w:r>
      <w:r w:rsidRPr="00E7606D">
        <w:t xml:space="preserve">the key elements of </w:t>
      </w:r>
      <w:r>
        <w:t>the</w:t>
      </w:r>
      <w:r w:rsidRPr="00E7606D">
        <w:t xml:space="preserve"> exploration licence approval process</w:t>
      </w:r>
      <w:r>
        <w:t>, t</w:t>
      </w:r>
      <w:r w:rsidRPr="00E7606D">
        <w:t>he sheer number of paths through the system</w:t>
      </w:r>
      <w:r>
        <w:t>s</w:t>
      </w:r>
      <w:r w:rsidRPr="00E7606D">
        <w:t xml:space="preserve"> mean</w:t>
      </w:r>
      <w:r>
        <w:t>s</w:t>
      </w:r>
      <w:r w:rsidRPr="00E7606D">
        <w:t xml:space="preserve"> that definitive statements about </w:t>
      </w:r>
      <w:r>
        <w:t>seemingly obvious</w:t>
      </w:r>
      <w:r w:rsidRPr="00E7606D">
        <w:t xml:space="preserve"> aspects, such as whether consultation is required, are not possible. </w:t>
      </w:r>
    </w:p>
    <w:p w:rsidR="005637E0" w:rsidRDefault="005637E0" w:rsidP="005637E0">
      <w:pPr>
        <w:pStyle w:val="FigureTitle"/>
      </w:pPr>
      <w:r w:rsidRPr="006865BE">
        <w:rPr>
          <w:b w:val="0"/>
        </w:rPr>
        <w:t xml:space="preserve">Figure </w:t>
      </w:r>
      <w:r>
        <w:rPr>
          <w:b w:val="0"/>
        </w:rPr>
        <w:t>6</w:t>
      </w:r>
      <w:r w:rsidRPr="006865BE">
        <w:tab/>
      </w:r>
      <w:r>
        <w:t>G</w:t>
      </w:r>
      <w:r w:rsidRPr="006865BE">
        <w:t>eneral process for exploration approvals in Australian jurisdictions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Description w:val="Figure 6 - outlines a stylised description of the key stages in the exploration licence approval process. It is not specific to any jurisdiction. Exploration licencing may include the following stages: 1, application, 2, public notification, 3, scope for public comment (in some jurisdictions), 4, environmental assessment (in some cases), 5, the exploration licence is granted, 6, approval is needed for work to start and for land access; this can include environmental assessment, heritage surveys, native title agreements etc., 7, exploration may commence."/>
      </w:tblPr>
      <w:tblGrid>
        <w:gridCol w:w="8777"/>
      </w:tblGrid>
      <w:tr w:rsidR="005637E0" w:rsidRPr="006865BE" w:rsidTr="00060689">
        <w:trPr>
          <w:trHeight w:val="4791"/>
        </w:trPr>
        <w:tc>
          <w:tcPr>
            <w:tcW w:w="8777" w:type="dxa"/>
          </w:tcPr>
          <w:p w:rsidR="005637E0" w:rsidRPr="006865BE" w:rsidRDefault="005637E0" w:rsidP="00060689">
            <w:pPr>
              <w:pStyle w:val="Figure"/>
            </w:pPr>
            <w:r>
              <w:rPr>
                <w:noProof/>
              </w:rPr>
              <w:drawing>
                <wp:inline distT="0" distB="0" distL="0" distR="0" wp14:anchorId="4D376A0A" wp14:editId="61EBEBF4">
                  <wp:extent cx="5373624" cy="3069336"/>
                  <wp:effectExtent l="0" t="0" r="0" b="0"/>
                  <wp:docPr id="2" name="Picture 2" descr="Figure 6 Exploration licensing and approvals. This figure shows the general process of applying for a licence to expl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3-1.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373624" cy="3069336"/>
                          </a:xfrm>
                          <a:prstGeom prst="rect">
                            <a:avLst/>
                          </a:prstGeom>
                        </pic:spPr>
                      </pic:pic>
                    </a:graphicData>
                  </a:graphic>
                </wp:inline>
              </w:drawing>
            </w:r>
          </w:p>
        </w:tc>
      </w:tr>
    </w:tbl>
    <w:p w:rsidR="005637E0" w:rsidRDefault="005637E0" w:rsidP="005637E0">
      <w:pPr>
        <w:pStyle w:val="Source"/>
      </w:pPr>
      <w:proofErr w:type="spellStart"/>
      <w:r w:rsidRPr="008E77FE">
        <w:rPr>
          <w:rStyle w:val="NoteLabel"/>
        </w:rPr>
        <w:t>a</w:t>
      </w:r>
      <w:proofErr w:type="spellEnd"/>
      <w:r>
        <w:t xml:space="preserve"> </w:t>
      </w:r>
      <w:proofErr w:type="spellStart"/>
      <w:r>
        <w:t>A</w:t>
      </w:r>
      <w:proofErr w:type="spellEnd"/>
      <w:r>
        <w:t xml:space="preserve"> work program must be submitted with the application, but may not be part of the decision-making process.</w:t>
      </w:r>
    </w:p>
    <w:p w:rsidR="005637E0" w:rsidRPr="00EE4CAB" w:rsidRDefault="005637E0" w:rsidP="005637E0">
      <w:pPr>
        <w:pStyle w:val="Heading4"/>
      </w:pPr>
      <w:r>
        <w:t>Main types of licences</w:t>
      </w:r>
    </w:p>
    <w:p w:rsidR="005637E0" w:rsidRDefault="005637E0" w:rsidP="005637E0">
      <w:pPr>
        <w:pStyle w:val="BodyText"/>
      </w:pPr>
      <w:r>
        <w:t>There are three main licence types: exploration; retention; and production.</w:t>
      </w:r>
    </w:p>
    <w:p w:rsidR="005637E0" w:rsidRDefault="005637E0" w:rsidP="005637E0">
      <w:pPr>
        <w:pStyle w:val="BodyText"/>
        <w:rPr>
          <w:color w:val="000000" w:themeColor="text1"/>
        </w:rPr>
      </w:pPr>
      <w:r w:rsidRPr="00E7606D">
        <w:t>Exploration licences are time-limited</w:t>
      </w:r>
      <w:r>
        <w:t xml:space="preserve"> (for example, generally five years for mineral resource exploration)</w:t>
      </w:r>
      <w:r w:rsidRPr="00E7606D">
        <w:t xml:space="preserve">. </w:t>
      </w:r>
      <w:r>
        <w:t xml:space="preserve">After that time </w:t>
      </w:r>
      <w:r w:rsidRPr="00E7606D">
        <w:t>the licence will expire</w:t>
      </w:r>
      <w:r>
        <w:t xml:space="preserve"> unless a renewal is granted. Grounds for renewal include a justifiable reason for </w:t>
      </w:r>
      <w:r w:rsidRPr="00E7606D">
        <w:t xml:space="preserve">lack of </w:t>
      </w:r>
      <w:r>
        <w:t xml:space="preserve">exploration </w:t>
      </w:r>
      <w:r w:rsidRPr="00E7606D">
        <w:t>activity</w:t>
      </w:r>
      <w:r>
        <w:t xml:space="preserve">, such as poor weather preventing access to land. </w:t>
      </w:r>
      <w:r>
        <w:rPr>
          <w:rFonts w:eastAsia="Malgun Gothic"/>
          <w:color w:val="000000" w:themeColor="text1"/>
        </w:rPr>
        <w:t xml:space="preserve">In most cases a substantial proportion of the licence area must be ‘relinquished’ as part of the licence renewal. </w:t>
      </w:r>
      <w:r w:rsidRPr="004E15BC">
        <w:rPr>
          <w:rFonts w:eastAsia="Malgun Gothic"/>
          <w:color w:val="000000" w:themeColor="text1"/>
        </w:rPr>
        <w:t>Thi</w:t>
      </w:r>
      <w:r>
        <w:rPr>
          <w:rFonts w:eastAsia="Malgun Gothic"/>
          <w:color w:val="000000" w:themeColor="text1"/>
        </w:rPr>
        <w:t xml:space="preserve">s enables explorers to focus </w:t>
      </w:r>
      <w:r w:rsidRPr="004E15BC">
        <w:rPr>
          <w:rFonts w:eastAsia="Malgun Gothic"/>
          <w:color w:val="000000" w:themeColor="text1"/>
        </w:rPr>
        <w:t xml:space="preserve">on the most prospective areas and frees up the remaining areas for </w:t>
      </w:r>
      <w:r>
        <w:rPr>
          <w:rFonts w:eastAsia="Malgun Gothic"/>
          <w:color w:val="000000" w:themeColor="text1"/>
        </w:rPr>
        <w:t>other companies to apply for exploration licences.</w:t>
      </w:r>
      <w:r w:rsidRPr="00C32B66">
        <w:rPr>
          <w:color w:val="000000" w:themeColor="text1"/>
        </w:rPr>
        <w:t xml:space="preserve"> </w:t>
      </w:r>
    </w:p>
    <w:p w:rsidR="005637E0" w:rsidRDefault="005637E0" w:rsidP="005637E0">
      <w:pPr>
        <w:pStyle w:val="BodyText"/>
      </w:pPr>
      <w:r>
        <w:lastRenderedPageBreak/>
        <w:t>Explorers can apply for a r</w:t>
      </w:r>
      <w:r w:rsidRPr="00C32B66">
        <w:t>etention</w:t>
      </w:r>
      <w:r w:rsidRPr="00E7606D">
        <w:t xml:space="preserve"> licence</w:t>
      </w:r>
      <w:r>
        <w:t xml:space="preserve"> to</w:t>
      </w:r>
      <w:r w:rsidRPr="00E7606D">
        <w:t xml:space="preserve"> </w:t>
      </w:r>
      <w:r>
        <w:t>enable</w:t>
      </w:r>
      <w:r w:rsidRPr="00E7606D">
        <w:t xml:space="preserve"> </w:t>
      </w:r>
      <w:r>
        <w:t>them</w:t>
      </w:r>
      <w:r w:rsidRPr="00E7606D">
        <w:t xml:space="preserve"> to maintain an interest in land that is not yet commercially viable for</w:t>
      </w:r>
      <w:r>
        <w:t xml:space="preserve"> resource extraction</w:t>
      </w:r>
      <w:r w:rsidRPr="00E7606D">
        <w:t xml:space="preserve">. </w:t>
      </w:r>
    </w:p>
    <w:p w:rsidR="005637E0" w:rsidRDefault="005637E0" w:rsidP="005637E0">
      <w:pPr>
        <w:pStyle w:val="BodyText"/>
      </w:pPr>
      <w:r>
        <w:t>Production</w:t>
      </w:r>
      <w:r w:rsidRPr="00E7606D">
        <w:t xml:space="preserve"> licences are, by convention, granted to holders of ex</w:t>
      </w:r>
      <w:r>
        <w:t>ploration or retention licences when commercially viable resources have been discovered —</w:t>
      </w:r>
      <w:r w:rsidRPr="00E7606D">
        <w:t xml:space="preserve"> however</w:t>
      </w:r>
      <w:r>
        <w:t>,</w:t>
      </w:r>
      <w:r w:rsidRPr="00E7606D">
        <w:t xml:space="preserve"> </w:t>
      </w:r>
      <w:r>
        <w:t>they are subject to more stringent</w:t>
      </w:r>
      <w:r w:rsidRPr="00E7606D">
        <w:t xml:space="preserve"> conditions </w:t>
      </w:r>
      <w:r>
        <w:t>that reflect</w:t>
      </w:r>
      <w:r w:rsidRPr="00E7606D">
        <w:t xml:space="preserve"> the greater impact of </w:t>
      </w:r>
      <w:r>
        <w:t>resource extraction</w:t>
      </w:r>
      <w:r w:rsidRPr="00E7606D">
        <w:t>.</w:t>
      </w:r>
      <w:r>
        <w:t xml:space="preserve"> These issues are covered in t</w:t>
      </w:r>
      <w:r w:rsidRPr="00E71A66">
        <w:t>he Commission</w:t>
      </w:r>
      <w:r>
        <w:t>’s</w:t>
      </w:r>
      <w:r w:rsidRPr="00E71A66">
        <w:t xml:space="preserve"> concurrent benchmarking study of Australia’s major project development assessment processes. </w:t>
      </w:r>
    </w:p>
    <w:p w:rsidR="005637E0" w:rsidRDefault="005637E0" w:rsidP="005637E0">
      <w:pPr>
        <w:pStyle w:val="Heading4"/>
      </w:pPr>
      <w:r>
        <w:t>Post-licence approval requirements</w:t>
      </w:r>
    </w:p>
    <w:p w:rsidR="005637E0" w:rsidRDefault="005637E0" w:rsidP="005637E0">
      <w:pPr>
        <w:pStyle w:val="BodyText"/>
      </w:pPr>
      <w:r>
        <w:t>Following the granting of an exploration licence, explorers may be required to gain a number of regulatory approvals on a range of issues as set out in figure 6. The manner in which approval applications are assessed, and the way in which any conditions are administered, can affect the time which elapses between the issuing of the licence and the commencement of exploration. In this respect, r</w:t>
      </w:r>
      <w:r w:rsidRPr="00E7606D">
        <w:t xml:space="preserve">egulatory delays </w:t>
      </w:r>
      <w:r>
        <w:t xml:space="preserve">(even </w:t>
      </w:r>
      <w:r w:rsidRPr="00E7606D">
        <w:t>of a few months</w:t>
      </w:r>
      <w:r>
        <w:t>)</w:t>
      </w:r>
      <w:r w:rsidRPr="00E7606D">
        <w:t xml:space="preserve"> can mean that </w:t>
      </w:r>
      <w:r>
        <w:t>explorers</w:t>
      </w:r>
      <w:r w:rsidRPr="00E7606D">
        <w:t xml:space="preserve"> may lose </w:t>
      </w:r>
      <w:r>
        <w:t>an entire</w:t>
      </w:r>
      <w:r w:rsidRPr="00E7606D">
        <w:t xml:space="preserve"> exploration season</w:t>
      </w:r>
      <w:r>
        <w:t>, or lose the availability of costly equipment (such as drilling rigs or sonar equipped vessels)</w:t>
      </w:r>
      <w:r w:rsidRPr="00E7606D">
        <w:t>. In many instances</w:t>
      </w:r>
      <w:r>
        <w:t>,</w:t>
      </w:r>
      <w:r w:rsidRPr="00E7606D">
        <w:t xml:space="preserve"> the first year of a licence period can be </w:t>
      </w:r>
      <w:r>
        <w:t xml:space="preserve">exhausted </w:t>
      </w:r>
      <w:r w:rsidRPr="00E7606D">
        <w:t>by the need to gain the necessary regulatory approvals. This truncate</w:t>
      </w:r>
      <w:r>
        <w:t>s</w:t>
      </w:r>
      <w:r w:rsidRPr="00E7606D">
        <w:t xml:space="preserve"> the time left for actual exploration activity.</w:t>
      </w:r>
      <w:r>
        <w:t xml:space="preserve"> </w:t>
      </w:r>
    </w:p>
    <w:p w:rsidR="005637E0" w:rsidRDefault="005637E0" w:rsidP="005637E0">
      <w:pPr>
        <w:pStyle w:val="BodyText"/>
      </w:pPr>
      <w:r>
        <w:t xml:space="preserve">All </w:t>
      </w:r>
      <w:r w:rsidRPr="00E7606D">
        <w:t>jurisdictions</w:t>
      </w:r>
      <w:r>
        <w:t xml:space="preserve"> have </w:t>
      </w:r>
      <w:r w:rsidRPr="00E7606D">
        <w:t>a ‘lead agency’</w:t>
      </w:r>
      <w:r>
        <w:t xml:space="preserve"> model for coordinating approvals for resource exploration. The various agencies have markedly different roles, ranging from a central point for the </w:t>
      </w:r>
      <w:proofErr w:type="spellStart"/>
      <w:r>
        <w:t>lodgement</w:t>
      </w:r>
      <w:proofErr w:type="spellEnd"/>
      <w:r>
        <w:t xml:space="preserve"> of required material, to proactively guiding the approvals through the entire process, or to having authority to assess and approve proposals on behalf of other agencies. </w:t>
      </w:r>
    </w:p>
    <w:p w:rsidR="005637E0" w:rsidRDefault="005637E0" w:rsidP="005637E0">
      <w:pPr>
        <w:pStyle w:val="BodyText"/>
      </w:pPr>
      <w:r>
        <w:t>The Commission’s view is that, at a minimum, a lead agency should coordinate exploration proposals across the agencies responsible for regulatory assessments and approvals (such as environment and heritage agencies). It should provide guidance on the rationale for the approvals process and how to navigate that process, track the status of applications and monitor and publish reports on how timely the regulatory agencies are in discharging their responsibilities.</w:t>
      </w:r>
    </w:p>
    <w:p w:rsidR="005637E0" w:rsidRDefault="005637E0" w:rsidP="005637E0">
      <w:pPr>
        <w:pStyle w:val="BodyText"/>
      </w:pPr>
      <w:r>
        <w:t xml:space="preserve">If the time taken for holders of exploration licences to gain approval to commence exploration cannot be reduced, various solutions have been proposed. These include: extending the licence period by one year; extending the licence by a period of time that reflects the average increase in the time taken for regulatory compliance; or starting the licence period after all approvals have been granted and exploration can commence. </w:t>
      </w:r>
    </w:p>
    <w:p w:rsidR="005637E0" w:rsidRDefault="005637E0" w:rsidP="005637E0">
      <w:pPr>
        <w:pStyle w:val="BodyText"/>
      </w:pPr>
      <w:r>
        <w:lastRenderedPageBreak/>
        <w:t>Each of these options raise implementation issues. A one year increase is unlikely to be appropriate for all exploration types and all jurisdictions; calculating the average delay is fraught with methodological issues; and fixing the licence duration from the time approvals and agreements are in place could allow proponents to delay their responses to approving authorities, thus facilitating ‘land banking’ and deferral of community benefit from the discovery of potential resources.</w:t>
      </w:r>
    </w:p>
    <w:p w:rsidR="005637E0" w:rsidRDefault="005637E0" w:rsidP="005637E0">
      <w:pPr>
        <w:pStyle w:val="Heading4"/>
      </w:pPr>
      <w:r>
        <w:t>Regulatory processes</w:t>
      </w:r>
    </w:p>
    <w:p w:rsidR="005637E0" w:rsidRDefault="005637E0" w:rsidP="005637E0">
      <w:pPr>
        <w:pStyle w:val="BodyText"/>
      </w:pPr>
      <w:r>
        <w:t>The regulatory framework aims to balance the competing demands of exploring for resources, using the land for other purposes such as agriculture, and the preservation of heritage and environmental values. This can create a wide and diverse stakeholder interest in the exploration approvals process. A transparent regulatory system is needed to demonstrate to all stakeholders that their interests are being considered in a fair and objective manner. The following three processes raise issues of concern.</w:t>
      </w:r>
    </w:p>
    <w:p w:rsidR="005637E0" w:rsidRPr="00F06334" w:rsidRDefault="005637E0" w:rsidP="005637E0">
      <w:pPr>
        <w:pStyle w:val="Heading5"/>
      </w:pPr>
      <w:r w:rsidRPr="00F06334">
        <w:t>Ministerial discretion</w:t>
      </w:r>
    </w:p>
    <w:p w:rsidR="005637E0" w:rsidRDefault="005637E0" w:rsidP="005637E0">
      <w:pPr>
        <w:pStyle w:val="BodyText"/>
      </w:pPr>
      <w:r>
        <w:t>State and territory m</w:t>
      </w:r>
      <w:r w:rsidRPr="00E7606D">
        <w:t>ineral and</w:t>
      </w:r>
      <w:r>
        <w:t xml:space="preserve"> energy</w:t>
      </w:r>
      <w:r w:rsidRPr="00E7606D">
        <w:t xml:space="preserve"> resource legislation </w:t>
      </w:r>
      <w:r>
        <w:t>provides</w:t>
      </w:r>
      <w:r w:rsidRPr="00E7606D">
        <w:t xml:space="preserve"> </w:t>
      </w:r>
      <w:r>
        <w:t>m</w:t>
      </w:r>
      <w:r w:rsidRPr="00E7606D">
        <w:t>inister</w:t>
      </w:r>
      <w:r>
        <w:t>s with significant</w:t>
      </w:r>
      <w:r w:rsidRPr="00E7606D">
        <w:t xml:space="preserve"> discretion </w:t>
      </w:r>
      <w:r>
        <w:t xml:space="preserve">over </w:t>
      </w:r>
      <w:r w:rsidRPr="00E7606D">
        <w:t>decisions that restrict</w:t>
      </w:r>
      <w:r>
        <w:t>,</w:t>
      </w:r>
      <w:r w:rsidRPr="00E7606D">
        <w:t xml:space="preserve"> facilitate </w:t>
      </w:r>
      <w:r>
        <w:t xml:space="preserve">or transfer ownership of </w:t>
      </w:r>
      <w:r w:rsidRPr="00E7606D">
        <w:t>exploration activities. For example, coal is not treated differently</w:t>
      </w:r>
      <w:r>
        <w:t xml:space="preserve"> from other mineral or energy</w:t>
      </w:r>
      <w:r w:rsidRPr="00E7606D">
        <w:t xml:space="preserve"> </w:t>
      </w:r>
      <w:r>
        <w:t xml:space="preserve">resources </w:t>
      </w:r>
      <w:r w:rsidRPr="00E7606D">
        <w:t>in N</w:t>
      </w:r>
      <w:r>
        <w:t xml:space="preserve">ew </w:t>
      </w:r>
      <w:r w:rsidRPr="00E7606D">
        <w:t>S</w:t>
      </w:r>
      <w:r>
        <w:t xml:space="preserve">outh </w:t>
      </w:r>
      <w:r w:rsidRPr="00E7606D">
        <w:t>W</w:t>
      </w:r>
      <w:r>
        <w:t>ales</w:t>
      </w:r>
      <w:r w:rsidRPr="00E7606D">
        <w:t xml:space="preserve"> legislation but</w:t>
      </w:r>
      <w:r>
        <w:t>,</w:t>
      </w:r>
      <w:r w:rsidRPr="00E7606D">
        <w:t xml:space="preserve"> </w:t>
      </w:r>
      <w:r>
        <w:t xml:space="preserve">by using </w:t>
      </w:r>
      <w:r w:rsidRPr="00E7606D">
        <w:t>legislative powers, the Minister declared a ‘mineral allocation area’ for coal over the whole of the state</w:t>
      </w:r>
      <w:r>
        <w:t>.</w:t>
      </w:r>
      <w:r w:rsidRPr="00E7606D">
        <w:t xml:space="preserve"> </w:t>
      </w:r>
      <w:r>
        <w:t xml:space="preserve">This had the effect of </w:t>
      </w:r>
      <w:r w:rsidRPr="00E7606D">
        <w:t xml:space="preserve">triggering a tender process for all coal exploration applications. </w:t>
      </w:r>
    </w:p>
    <w:p w:rsidR="005637E0" w:rsidRDefault="005637E0" w:rsidP="005637E0">
      <w:pPr>
        <w:pStyle w:val="BodyText"/>
      </w:pPr>
      <w:r>
        <w:t>Some</w:t>
      </w:r>
      <w:r w:rsidRPr="00E7606D">
        <w:t xml:space="preserve"> </w:t>
      </w:r>
      <w:r>
        <w:t>m</w:t>
      </w:r>
      <w:r w:rsidRPr="00E7606D">
        <w:t xml:space="preserve">inisterial </w:t>
      </w:r>
      <w:r>
        <w:t xml:space="preserve">decision making </w:t>
      </w:r>
      <w:r w:rsidRPr="00E7606D">
        <w:t xml:space="preserve">powers </w:t>
      </w:r>
      <w:r>
        <w:t>require reasons to be given. Transparency could be improved if this requirement was applied more broadly. Legislation should also specify what reasons are to be relied on in the event of an appeal, if the minister failed to make a decision (such as the reasons set out by the recommending authority in their ministerial brief)</w:t>
      </w:r>
      <w:r w:rsidRPr="00E7606D">
        <w:t xml:space="preserve">. </w:t>
      </w:r>
    </w:p>
    <w:p w:rsidR="005637E0" w:rsidRDefault="005637E0" w:rsidP="005637E0">
      <w:pPr>
        <w:pStyle w:val="Heading5"/>
        <w:rPr>
          <w:rFonts w:eastAsia="Malgun Gothic"/>
        </w:rPr>
      </w:pPr>
      <w:r>
        <w:rPr>
          <w:rFonts w:eastAsia="Malgun Gothic"/>
        </w:rPr>
        <w:t>Consultation</w:t>
      </w:r>
    </w:p>
    <w:p w:rsidR="005637E0" w:rsidRDefault="005637E0" w:rsidP="005637E0">
      <w:pPr>
        <w:pStyle w:val="BodyText"/>
      </w:pPr>
      <w:r>
        <w:rPr>
          <w:rFonts w:eastAsia="Malgun Gothic"/>
          <w:color w:val="000000" w:themeColor="text1"/>
        </w:rPr>
        <w:t xml:space="preserve">Various stakeholders, as noted above, are affected by decisions to allow or prevent exploration. Some jurisdictions allow </w:t>
      </w:r>
      <w:r w:rsidRPr="004E15BC">
        <w:rPr>
          <w:rFonts w:eastAsia="Malgun Gothic"/>
          <w:color w:val="000000" w:themeColor="text1"/>
        </w:rPr>
        <w:t xml:space="preserve">stakeholders an opportunity to respond to proposals, </w:t>
      </w:r>
      <w:r>
        <w:rPr>
          <w:rFonts w:eastAsia="Malgun Gothic"/>
          <w:color w:val="000000" w:themeColor="text1"/>
        </w:rPr>
        <w:t>but even among these jurisdictions, consultation takes different forms. For example, there are differences in who can comment and how those comments are taken into account.</w:t>
      </w:r>
      <w:r>
        <w:t xml:space="preserve"> The Commission notes that both proponents and opponents of exploration in New South Wales have called attention to a lack of transparency </w:t>
      </w:r>
      <w:r>
        <w:lastRenderedPageBreak/>
        <w:t>with assessment processes and decisions taken regarding mineral allocation areas. This suggests that consultation practices, at least in some jurisdictions, require improvements.</w:t>
      </w:r>
    </w:p>
    <w:p w:rsidR="005637E0" w:rsidRPr="0022099F" w:rsidRDefault="005637E0" w:rsidP="005637E0">
      <w:pPr>
        <w:pStyle w:val="Heading5"/>
      </w:pPr>
      <w:r>
        <w:t>Appeals</w:t>
      </w:r>
    </w:p>
    <w:p w:rsidR="005637E0" w:rsidRDefault="005637E0" w:rsidP="005637E0">
      <w:pPr>
        <w:pStyle w:val="BodyText"/>
      </w:pPr>
      <w:r w:rsidRPr="00E7606D">
        <w:t xml:space="preserve">Some states have specific </w:t>
      </w:r>
      <w:r w:rsidRPr="008000CD">
        <w:t>appeal processes</w:t>
      </w:r>
      <w:r w:rsidRPr="00E7606D">
        <w:t xml:space="preserve"> </w:t>
      </w:r>
      <w:r>
        <w:t>relating to</w:t>
      </w:r>
      <w:r w:rsidRPr="00E7606D">
        <w:t xml:space="preserve"> exploration that are established in legislation, while others rely on generic tribunals or courts. There are also different levels of review available, from a review </w:t>
      </w:r>
      <w:r>
        <w:t xml:space="preserve">of the merits of a decision </w:t>
      </w:r>
      <w:r w:rsidRPr="00E7606D">
        <w:t xml:space="preserve">to </w:t>
      </w:r>
      <w:r>
        <w:t xml:space="preserve">the </w:t>
      </w:r>
      <w:r w:rsidRPr="00E7606D">
        <w:t>restricti</w:t>
      </w:r>
      <w:r>
        <w:t>on</w:t>
      </w:r>
      <w:r w:rsidRPr="00E7606D">
        <w:t xml:space="preserve"> </w:t>
      </w:r>
      <w:r>
        <w:t xml:space="preserve">of </w:t>
      </w:r>
      <w:r w:rsidRPr="00E7606D">
        <w:t>judicial appeal to questions of law or procedural fairness.</w:t>
      </w:r>
      <w:r>
        <w:t xml:space="preserve"> </w:t>
      </w:r>
      <w:r w:rsidRPr="00F35B21">
        <w:t>Appeal processes ensure that redress is available if regulatory powers are not exercised in accordance with the law; thus they promote confidence and transparency in the regulatory system.</w:t>
      </w:r>
      <w:r>
        <w:t xml:space="preserve"> </w:t>
      </w:r>
    </w:p>
    <w:p w:rsidR="005637E0" w:rsidRDefault="005637E0" w:rsidP="005637E0">
      <w:pPr>
        <w:pStyle w:val="BodyText"/>
        <w:rPr>
          <w:color w:val="000000" w:themeColor="text1"/>
        </w:rPr>
      </w:pPr>
      <w:r>
        <w:t>Appeal processes can be, on occasion, ‘gamed’ to delay exploration projects and, thereby, cause explorers to give up, down-scale or lose investor support.</w:t>
      </w:r>
      <w:r w:rsidRPr="001B6064">
        <w:rPr>
          <w:szCs w:val="26"/>
        </w:rPr>
        <w:t xml:space="preserve"> </w:t>
      </w:r>
      <w:r>
        <w:t>Courts have various powers to deal with this, such as dismissing vexatious litigation or awarding costs against unsuccessful litigants. Formal review can be slow and costly for all parties, therefore the use of mediation and other alternative dispute resolution mechanisms is encouraged to promote access to justice and prevent projects being unnecessarily blocked.</w:t>
      </w:r>
      <w:r>
        <w:rPr>
          <w:szCs w:val="26"/>
        </w:rPr>
        <w:t xml:space="preserve"> </w:t>
      </w:r>
    </w:p>
    <w:p w:rsidR="005637E0" w:rsidRDefault="005637E0" w:rsidP="005637E0">
      <w:pPr>
        <w:pStyle w:val="Heading4"/>
      </w:pPr>
      <w:r>
        <w:t>Regulators</w:t>
      </w:r>
    </w:p>
    <w:p w:rsidR="005637E0" w:rsidRDefault="005637E0" w:rsidP="005637E0">
      <w:pPr>
        <w:pStyle w:val="BodyText"/>
      </w:pPr>
      <w:r>
        <w:t>A leading practice adopted by s</w:t>
      </w:r>
      <w:r w:rsidRPr="00DB777E">
        <w:t>ome</w:t>
      </w:r>
      <w:r>
        <w:t xml:space="preserve"> jurisdictions</w:t>
      </w:r>
      <w:r w:rsidRPr="00DB777E">
        <w:t xml:space="preserve"> </w:t>
      </w:r>
      <w:r>
        <w:t>is</w:t>
      </w:r>
      <w:r w:rsidRPr="00DB777E">
        <w:t xml:space="preserve"> </w:t>
      </w:r>
      <w:r>
        <w:t xml:space="preserve">to </w:t>
      </w:r>
      <w:r w:rsidRPr="00DB777E">
        <w:t xml:space="preserve">set administrative targets </w:t>
      </w:r>
      <w:r>
        <w:t xml:space="preserve">for their agencies </w:t>
      </w:r>
      <w:r w:rsidRPr="00DB777E">
        <w:t>and publish their performance against those targets.</w:t>
      </w:r>
      <w:r w:rsidRPr="009C79E1">
        <w:t xml:space="preserve"> </w:t>
      </w:r>
      <w:r>
        <w:t>An example is the</w:t>
      </w:r>
      <w:r w:rsidRPr="00E7606D">
        <w:t xml:space="preserve"> W</w:t>
      </w:r>
      <w:r>
        <w:t xml:space="preserve">estern </w:t>
      </w:r>
      <w:r w:rsidRPr="00E7606D">
        <w:t>A</w:t>
      </w:r>
      <w:r>
        <w:t>ustralian</w:t>
      </w:r>
      <w:r w:rsidRPr="00E7606D">
        <w:t xml:space="preserve"> </w:t>
      </w:r>
      <w:r>
        <w:t>D</w:t>
      </w:r>
      <w:r w:rsidRPr="00E7606D">
        <w:t>epartment of Mines and Petroleum</w:t>
      </w:r>
      <w:r>
        <w:t>,</w:t>
      </w:r>
      <w:r w:rsidRPr="00E7606D">
        <w:t xml:space="preserve"> </w:t>
      </w:r>
      <w:r>
        <w:t xml:space="preserve">which </w:t>
      </w:r>
      <w:r w:rsidRPr="00E7606D">
        <w:t xml:space="preserve">publishes performance reports that include </w:t>
      </w:r>
      <w:r>
        <w:t xml:space="preserve">the </w:t>
      </w:r>
      <w:r w:rsidRPr="00E7606D">
        <w:t xml:space="preserve">number of applications processed and </w:t>
      </w:r>
      <w:r>
        <w:t>the percentage that meet target timeframes</w:t>
      </w:r>
      <w:r w:rsidRPr="00E7606D">
        <w:t>.</w:t>
      </w:r>
    </w:p>
    <w:p w:rsidR="005637E0" w:rsidRDefault="005637E0" w:rsidP="005637E0">
      <w:pPr>
        <w:pStyle w:val="BodyText"/>
      </w:pPr>
      <w:r>
        <w:t xml:space="preserve">Another practice that promotes regulatory transparency and administrative efficiency is the use of online </w:t>
      </w:r>
      <w:proofErr w:type="spellStart"/>
      <w:r>
        <w:t>lodgement</w:t>
      </w:r>
      <w:proofErr w:type="spellEnd"/>
      <w:r>
        <w:t xml:space="preserve"> and tracking of applications. This facilitates the monitoring and reporting of the average time taken for approvals and can assist regulatory agencies to identify any areas of administrative weakness. Currently only Western Australia and Queensland have implemented such systems for the approval of applications. The Commission recommends the adoption of these leading practices by other jurisdictions.</w:t>
      </w:r>
    </w:p>
    <w:p w:rsidR="005637E0" w:rsidRPr="008628A0" w:rsidRDefault="005637E0" w:rsidP="005637E0">
      <w:pPr>
        <w:pStyle w:val="Heading3"/>
      </w:pPr>
      <w:r w:rsidRPr="008628A0">
        <w:lastRenderedPageBreak/>
        <w:t xml:space="preserve">Land access </w:t>
      </w:r>
    </w:p>
    <w:p w:rsidR="005637E0" w:rsidRDefault="005637E0" w:rsidP="005637E0">
      <w:pPr>
        <w:pStyle w:val="BodyText"/>
      </w:pPr>
      <w:r>
        <w:t>The underlying objective of governments when regulating land access is to balance the property rights of both the land owners and explorers and to address externalities, including any communitywide costs and benefits, arising from exploration activities. The regulatory instruments used include placing land off</w:t>
      </w:r>
      <w:r>
        <w:noBreakHyphen/>
        <w:t xml:space="preserve">limits to exploration or putting conditions on land access. In the main, state and territory governments are responsible for regulating most onshore and coastal land access, while the Commonwealth regulates access to Commonwealth owned land and to offshore areas. </w:t>
      </w:r>
    </w:p>
    <w:p w:rsidR="005637E0" w:rsidRPr="00CD06B9" w:rsidRDefault="005637E0" w:rsidP="005637E0">
      <w:pPr>
        <w:pStyle w:val="Heading4"/>
      </w:pPr>
      <w:r w:rsidRPr="00CD06B9">
        <w:t>Crown land</w:t>
      </w:r>
    </w:p>
    <w:p w:rsidR="005637E0" w:rsidRPr="00CD06B9" w:rsidRDefault="005637E0" w:rsidP="005637E0">
      <w:pPr>
        <w:pStyle w:val="BodyText"/>
        <w:rPr>
          <w:i/>
        </w:rPr>
      </w:pPr>
      <w:r w:rsidRPr="00CD06B9">
        <w:rPr>
          <w:rStyle w:val="BodyTextChar"/>
        </w:rPr>
        <w:t>A rising proportion of Crown land has been declared as reserves and parks. Some jurisdictions proclaim parks without first assessing the value of the underlying resources. Knowledge of the potential value of mineral and energy resources under reserves and parks can inform the community of one of the opportunity costs of decisions to establish them</w:t>
      </w:r>
      <w:r w:rsidRPr="00CD06B9">
        <w:t xml:space="preserve">. </w:t>
      </w:r>
    </w:p>
    <w:p w:rsidR="005637E0" w:rsidRDefault="005637E0" w:rsidP="005637E0">
      <w:pPr>
        <w:pStyle w:val="BodyText"/>
      </w:pPr>
      <w:r>
        <w:t xml:space="preserve">While exploration </w:t>
      </w:r>
      <w:r w:rsidRPr="007F2F39">
        <w:t>activities can produce environmental damage</w:t>
      </w:r>
      <w:r>
        <w:t>, or damage to areas of heritage significance, t</w:t>
      </w:r>
      <w:r w:rsidRPr="007F2F39">
        <w:t>he extent of damage will vary greatly depending on the nature of exploration activity and</w:t>
      </w:r>
      <w:r>
        <w:t xml:space="preserve"> the</w:t>
      </w:r>
      <w:r w:rsidRPr="007F2F39">
        <w:t xml:space="preserve"> fragility of the areas being explored. In certain instances, it may be necessary to prohibit </w:t>
      </w:r>
      <w:r>
        <w:t xml:space="preserve">invasive </w:t>
      </w:r>
      <w:r w:rsidRPr="007F2F39">
        <w:t>exploration to protect the environmental and heritage values of an area. In other circumstances, many exploration activities, p</w:t>
      </w:r>
      <w:r>
        <w:t xml:space="preserve">articularly in the early stages when they </w:t>
      </w:r>
      <w:r w:rsidRPr="007F2F39">
        <w:t xml:space="preserve">may only involve aerial mapping </w:t>
      </w:r>
      <w:r>
        <w:t>or</w:t>
      </w:r>
      <w:r w:rsidRPr="007F2F39">
        <w:t xml:space="preserve"> soil sampl</w:t>
      </w:r>
      <w:r>
        <w:t>ing</w:t>
      </w:r>
      <w:r w:rsidRPr="007F2F39">
        <w:t xml:space="preserve">, are able to be carried out with little or no disturbance to the land. </w:t>
      </w:r>
    </w:p>
    <w:p w:rsidR="005637E0" w:rsidRPr="00353071" w:rsidRDefault="005637E0" w:rsidP="005637E0">
      <w:pPr>
        <w:pStyle w:val="BodyText"/>
      </w:pPr>
      <w:r>
        <w:t>In the Commission’s view, g</w:t>
      </w:r>
      <w:r w:rsidRPr="00353071">
        <w:t xml:space="preserve">overnment decisions to declare a new national park or conservation area should </w:t>
      </w:r>
      <w:r>
        <w:t xml:space="preserve">draw on the guiding principles of the Multiple Land Use Framework endorsed by the </w:t>
      </w:r>
      <w:r w:rsidRPr="0048770E">
        <w:rPr>
          <w:color w:val="000000" w:themeColor="text1"/>
        </w:rPr>
        <w:t>Standing Council on Energy and Resources</w:t>
      </w:r>
      <w:r>
        <w:rPr>
          <w:color w:val="000000" w:themeColor="text1"/>
        </w:rPr>
        <w:t>,</w:t>
      </w:r>
      <w:r w:rsidRPr="00353071">
        <w:t xml:space="preserve"> </w:t>
      </w:r>
      <w:r>
        <w:t xml:space="preserve">including </w:t>
      </w:r>
      <w:r w:rsidRPr="00353071">
        <w:t xml:space="preserve">to analyse the costs and benefits of </w:t>
      </w:r>
      <w:r>
        <w:t>other</w:t>
      </w:r>
      <w:r w:rsidRPr="00353071">
        <w:t xml:space="preserve"> </w:t>
      </w:r>
      <w:r>
        <w:t xml:space="preserve">forms of </w:t>
      </w:r>
      <w:r w:rsidRPr="00353071">
        <w:t>land use</w:t>
      </w:r>
      <w:r>
        <w:t>s</w:t>
      </w:r>
      <w:r w:rsidRPr="00353071">
        <w:t xml:space="preserve">. </w:t>
      </w:r>
    </w:p>
    <w:p w:rsidR="005637E0" w:rsidRDefault="005637E0" w:rsidP="005637E0">
      <w:pPr>
        <w:pStyle w:val="Heading4"/>
      </w:pPr>
      <w:r>
        <w:t>Private freehold land</w:t>
      </w:r>
    </w:p>
    <w:p w:rsidR="005637E0" w:rsidRDefault="005637E0" w:rsidP="005637E0">
      <w:pPr>
        <w:pStyle w:val="BodyText"/>
      </w:pPr>
      <w:r>
        <w:t>There can be a need to resolve competing land use requirements when the holder of the mineral and energy resource property rights impacts on the property rights of a land owner (the holder of the surface rights) or land lessee (the user of the land). Such conflicts are more likely to arise in high value agricultural areas, but can occur in or around urban or other high intensity land use areas.</w:t>
      </w:r>
    </w:p>
    <w:p w:rsidR="005637E0" w:rsidRDefault="005637E0" w:rsidP="005637E0">
      <w:pPr>
        <w:pStyle w:val="BodyText"/>
      </w:pPr>
      <w:r>
        <w:lastRenderedPageBreak/>
        <w:t xml:space="preserve">In general, across jurisdictions, negotiations are conducted between the parties on the conditions of access and the compensation payable to the land owner and/or lessee. The requirement to provide compensation for any damage or loss of earnings gives the explorer a financial incentive to minimise the impact of their activities. </w:t>
      </w:r>
    </w:p>
    <w:p w:rsidR="005637E0" w:rsidRDefault="005637E0" w:rsidP="005637E0">
      <w:pPr>
        <w:pStyle w:val="BodyText"/>
      </w:pPr>
      <w:r>
        <w:t xml:space="preserve">Although this is a business-to-business transaction, most rural land owners can be at some disadvantage due to their limited experience in undertaking such negotiations compared to the explorers, who may have negotiated hundreds of such agreements. There is both an asymmetry of information regarding the potential impact of the exploration activity, and an imbalance of power, as in most cases, rural land owners are required to allow explorers to access their land. </w:t>
      </w:r>
    </w:p>
    <w:p w:rsidR="005637E0" w:rsidRDefault="005637E0" w:rsidP="005637E0">
      <w:pPr>
        <w:pStyle w:val="BodyText"/>
      </w:pPr>
      <w:r>
        <w:t xml:space="preserve">Some state and territory legislation explicitly provides for the legal costs incurred by land owners in negotiating an agreement to be compensable and paid by the explorer. In other jurisdictions, such costs are not explicitly ‘ruled out’. All jurisdictions should ensure that land owners are explicitly aware that such support is available and is compensable by explorers. </w:t>
      </w:r>
    </w:p>
    <w:p w:rsidR="005637E0" w:rsidRPr="00353071" w:rsidRDefault="005637E0" w:rsidP="005637E0">
      <w:pPr>
        <w:pStyle w:val="BodyText"/>
        <w:rPr>
          <w:rStyle w:val="createdate"/>
        </w:rPr>
      </w:pPr>
      <w:r w:rsidRPr="00353071">
        <w:rPr>
          <w:rStyle w:val="createdate"/>
          <w:lang w:val="en"/>
        </w:rPr>
        <w:t xml:space="preserve">The regulatory frameworks governing </w:t>
      </w:r>
      <w:proofErr w:type="spellStart"/>
      <w:r w:rsidRPr="00353071">
        <w:rPr>
          <w:rStyle w:val="createdate"/>
          <w:lang w:val="en"/>
        </w:rPr>
        <w:t>CSG</w:t>
      </w:r>
      <w:proofErr w:type="spellEnd"/>
      <w:r w:rsidRPr="00353071">
        <w:rPr>
          <w:rStyle w:val="createdate"/>
          <w:lang w:val="en"/>
        </w:rPr>
        <w:t xml:space="preserve"> exploration </w:t>
      </w:r>
      <w:r>
        <w:rPr>
          <w:rStyle w:val="createdate"/>
          <w:lang w:val="en"/>
        </w:rPr>
        <w:t xml:space="preserve">in particular </w:t>
      </w:r>
      <w:r w:rsidRPr="00353071">
        <w:rPr>
          <w:rStyle w:val="createdate"/>
          <w:lang w:val="en"/>
        </w:rPr>
        <w:t xml:space="preserve">have been changing quickly. </w:t>
      </w:r>
      <w:r w:rsidRPr="00353071">
        <w:rPr>
          <w:rStyle w:val="createdate"/>
        </w:rPr>
        <w:t xml:space="preserve">These changes stem from the pressures generated from the rapid expansion of the industry, uncertainty as to the impacts of </w:t>
      </w:r>
      <w:proofErr w:type="spellStart"/>
      <w:r w:rsidRPr="00353071">
        <w:rPr>
          <w:rStyle w:val="createdate"/>
        </w:rPr>
        <w:t>CSG</w:t>
      </w:r>
      <w:proofErr w:type="spellEnd"/>
      <w:r w:rsidRPr="00353071">
        <w:rPr>
          <w:rStyle w:val="createdate"/>
        </w:rPr>
        <w:t xml:space="preserve"> activities and concerns and opposition from some </w:t>
      </w:r>
      <w:r>
        <w:rPr>
          <w:rStyle w:val="createdate"/>
        </w:rPr>
        <w:t>landholders and others in the community</w:t>
      </w:r>
      <w:r w:rsidRPr="00353071">
        <w:rPr>
          <w:rStyle w:val="createdate"/>
        </w:rPr>
        <w:t>. Faced</w:t>
      </w:r>
      <w:r>
        <w:rPr>
          <w:rStyle w:val="createdate"/>
        </w:rPr>
        <w:t xml:space="preserve"> </w:t>
      </w:r>
      <w:r w:rsidRPr="00353071">
        <w:rPr>
          <w:rStyle w:val="createdate"/>
        </w:rPr>
        <w:t xml:space="preserve">with these pressures, governments have searched for appropriate regulatory responses. </w:t>
      </w:r>
    </w:p>
    <w:p w:rsidR="005637E0" w:rsidRPr="00353071" w:rsidRDefault="005637E0" w:rsidP="005637E0">
      <w:pPr>
        <w:pStyle w:val="BodyText"/>
      </w:pPr>
      <w:r>
        <w:rPr>
          <w:rStyle w:val="createdate"/>
          <w:lang w:val="en"/>
        </w:rPr>
        <w:t>F</w:t>
      </w:r>
      <w:r w:rsidRPr="00353071">
        <w:rPr>
          <w:rStyle w:val="createdate"/>
          <w:lang w:val="en"/>
        </w:rPr>
        <w:t>urther changes</w:t>
      </w:r>
      <w:r>
        <w:rPr>
          <w:rStyle w:val="createdate"/>
          <w:lang w:val="en"/>
        </w:rPr>
        <w:t>,</w:t>
      </w:r>
      <w:r w:rsidRPr="00353071">
        <w:rPr>
          <w:rStyle w:val="createdate"/>
          <w:lang w:val="en"/>
        </w:rPr>
        <w:t xml:space="preserve"> </w:t>
      </w:r>
      <w:r>
        <w:rPr>
          <w:rStyle w:val="createdate"/>
          <w:lang w:val="en"/>
        </w:rPr>
        <w:t>t</w:t>
      </w:r>
      <w:r w:rsidRPr="00353071">
        <w:rPr>
          <w:rStyle w:val="createdate"/>
          <w:lang w:val="en"/>
        </w:rPr>
        <w:t xml:space="preserve">o improve the regulation of </w:t>
      </w:r>
      <w:proofErr w:type="spellStart"/>
      <w:r w:rsidRPr="00353071">
        <w:rPr>
          <w:rStyle w:val="createdate"/>
          <w:lang w:val="en"/>
        </w:rPr>
        <w:t>CSG</w:t>
      </w:r>
      <w:proofErr w:type="spellEnd"/>
      <w:r w:rsidRPr="00353071">
        <w:rPr>
          <w:rStyle w:val="createdate"/>
          <w:lang w:val="en"/>
        </w:rPr>
        <w:t xml:space="preserve">, should be based on the best available evidence of the impacts and be appropriate to the level of risk. Regulation of </w:t>
      </w:r>
      <w:proofErr w:type="spellStart"/>
      <w:r w:rsidRPr="00353071">
        <w:rPr>
          <w:rStyle w:val="createdate"/>
          <w:lang w:val="en"/>
        </w:rPr>
        <w:t>CSG</w:t>
      </w:r>
      <w:proofErr w:type="spellEnd"/>
      <w:r w:rsidRPr="00353071">
        <w:rPr>
          <w:rStyle w:val="createdate"/>
          <w:lang w:val="en"/>
        </w:rPr>
        <w:t xml:space="preserve"> exploration activities should be directed towards </w:t>
      </w:r>
      <w:proofErr w:type="spellStart"/>
      <w:r w:rsidRPr="00353071">
        <w:rPr>
          <w:rStyle w:val="createdate"/>
          <w:lang w:val="en"/>
        </w:rPr>
        <w:t>maximising</w:t>
      </w:r>
      <w:proofErr w:type="spellEnd"/>
      <w:r w:rsidRPr="00353071">
        <w:rPr>
          <w:rStyle w:val="createdate"/>
          <w:lang w:val="en"/>
        </w:rPr>
        <w:t xml:space="preserve"> the economic, </w:t>
      </w:r>
      <w:r>
        <w:rPr>
          <w:rStyle w:val="createdate"/>
          <w:lang w:val="en"/>
        </w:rPr>
        <w:t xml:space="preserve">social and </w:t>
      </w:r>
      <w:r w:rsidRPr="00353071">
        <w:rPr>
          <w:rStyle w:val="createdate"/>
          <w:lang w:val="en"/>
        </w:rPr>
        <w:t>environmental benefit of the use of the land for the whole community.</w:t>
      </w:r>
    </w:p>
    <w:p w:rsidR="005637E0" w:rsidRDefault="005637E0" w:rsidP="005637E0">
      <w:pPr>
        <w:pStyle w:val="BodyText"/>
      </w:pPr>
      <w:r>
        <w:t xml:space="preserve">Changes to regulations, however, are not the only way that management of land access issues can be improved. While explorers have an incentive to build good relations with land owners and the wider community, the practices of some resource explorers (and some subcontract drilling operators and others) have tainted the reputation of the industry. Many explorers are now working to restore and build community support by exceeding the minimum legislative requirements and by engaging and supporting local communities. This is often referred to as earning a ‘social licence’ to explore. </w:t>
      </w:r>
    </w:p>
    <w:p w:rsidR="005637E0" w:rsidRPr="00684B92" w:rsidRDefault="005637E0" w:rsidP="005637E0">
      <w:pPr>
        <w:pStyle w:val="Heading3"/>
      </w:pPr>
      <w:r w:rsidRPr="00684B92">
        <w:lastRenderedPageBreak/>
        <w:t>Heritage</w:t>
      </w:r>
      <w:r>
        <w:t xml:space="preserve"> protection</w:t>
      </w:r>
    </w:p>
    <w:p w:rsidR="005637E0" w:rsidRPr="00684B92" w:rsidRDefault="005637E0" w:rsidP="005637E0">
      <w:pPr>
        <w:pStyle w:val="BodyText"/>
      </w:pPr>
      <w:r>
        <w:t xml:space="preserve">All state and territory governments and the Australian Government have legislation to protect, preserve or mitigate damage to heritage sites. </w:t>
      </w:r>
      <w:r w:rsidRPr="00684B92">
        <w:t>While all forms of heri</w:t>
      </w:r>
      <w:r>
        <w:t>tage — historical, natural and I</w:t>
      </w:r>
      <w:r w:rsidRPr="00684B92">
        <w:t xml:space="preserve">ndigenous — can be impacted by exploration activities, policy challenges are </w:t>
      </w:r>
      <w:r>
        <w:t>most pronounced in relation to I</w:t>
      </w:r>
      <w:r w:rsidRPr="00684B92">
        <w:t xml:space="preserve">ndigenous heritage. </w:t>
      </w:r>
    </w:p>
    <w:p w:rsidR="005637E0" w:rsidRPr="00684B92" w:rsidRDefault="005637E0" w:rsidP="005637E0">
      <w:pPr>
        <w:pStyle w:val="Heading4"/>
      </w:pPr>
      <w:r w:rsidRPr="00684B92">
        <w:t>Indigenous heritage</w:t>
      </w:r>
    </w:p>
    <w:p w:rsidR="005637E0" w:rsidRDefault="005637E0" w:rsidP="005637E0">
      <w:pPr>
        <w:spacing w:before="240" w:line="320" w:lineRule="atLeast"/>
        <w:jc w:val="both"/>
        <w:rPr>
          <w:szCs w:val="20"/>
        </w:rPr>
      </w:pPr>
      <w:r w:rsidRPr="00E7606D">
        <w:rPr>
          <w:rStyle w:val="BodyTextChar"/>
        </w:rPr>
        <w:t xml:space="preserve">All states and territories protect Indigenous heritage sites and objects which meet </w:t>
      </w:r>
      <w:r>
        <w:rPr>
          <w:rStyle w:val="BodyTextChar"/>
        </w:rPr>
        <w:t>specified</w:t>
      </w:r>
      <w:r w:rsidRPr="00E7606D">
        <w:rPr>
          <w:rStyle w:val="BodyTextChar"/>
        </w:rPr>
        <w:t xml:space="preserve"> standards of ‘significance’. However, there is substantial variation in </w:t>
      </w:r>
      <w:r>
        <w:rPr>
          <w:rStyle w:val="BodyTextChar"/>
        </w:rPr>
        <w:t xml:space="preserve">what those standards are, and accordingly in </w:t>
      </w:r>
      <w:r w:rsidRPr="00E7606D">
        <w:rPr>
          <w:rStyle w:val="BodyTextChar"/>
        </w:rPr>
        <w:t>what heritage is protected, how it i</w:t>
      </w:r>
      <w:r>
        <w:rPr>
          <w:rStyle w:val="BodyTextChar"/>
        </w:rPr>
        <w:t>s protected and who decides whether an</w:t>
      </w:r>
      <w:r w:rsidRPr="00E7606D">
        <w:rPr>
          <w:rStyle w:val="BodyTextChar"/>
        </w:rPr>
        <w:t xml:space="preserve"> activity can go ahead </w:t>
      </w:r>
      <w:r>
        <w:rPr>
          <w:rStyle w:val="BodyTextChar"/>
        </w:rPr>
        <w:t>when</w:t>
      </w:r>
      <w:r w:rsidRPr="00E7606D">
        <w:rPr>
          <w:rStyle w:val="BodyTextChar"/>
        </w:rPr>
        <w:t xml:space="preserve"> harm to an Indigenous heritage site </w:t>
      </w:r>
      <w:r>
        <w:rPr>
          <w:rStyle w:val="BodyTextChar"/>
        </w:rPr>
        <w:t>cannot</w:t>
      </w:r>
      <w:r w:rsidRPr="00E7606D">
        <w:rPr>
          <w:rStyle w:val="BodyTextChar"/>
        </w:rPr>
        <w:t xml:space="preserve"> be avoided</w:t>
      </w:r>
      <w:r>
        <w:rPr>
          <w:rStyle w:val="BodyTextChar"/>
        </w:rPr>
        <w:t xml:space="preserve"> if an exploration activity were to be approved</w:t>
      </w:r>
      <w:r w:rsidRPr="00E7606D">
        <w:rPr>
          <w:rStyle w:val="BodyTextChar"/>
        </w:rPr>
        <w:t xml:space="preserve">. </w:t>
      </w:r>
    </w:p>
    <w:p w:rsidR="005637E0" w:rsidRPr="00684B92" w:rsidRDefault="005637E0" w:rsidP="005637E0">
      <w:pPr>
        <w:pStyle w:val="Heading5"/>
      </w:pPr>
      <w:r>
        <w:t>The relative merits</w:t>
      </w:r>
      <w:r w:rsidRPr="00684B92">
        <w:t xml:space="preserve"> of duty of care</w:t>
      </w:r>
      <w:r>
        <w:t>, permit systems</w:t>
      </w:r>
      <w:r w:rsidRPr="00684B92">
        <w:t xml:space="preserve"> and cultural heritage agreements</w:t>
      </w:r>
    </w:p>
    <w:p w:rsidR="005637E0" w:rsidRPr="00CC101A" w:rsidRDefault="005637E0" w:rsidP="005637E0">
      <w:pPr>
        <w:pStyle w:val="BodyText"/>
      </w:pPr>
      <w:r w:rsidRPr="00684B92">
        <w:t xml:space="preserve">There are various </w:t>
      </w:r>
      <w:r>
        <w:t xml:space="preserve">actions </w:t>
      </w:r>
      <w:r w:rsidRPr="00684B92">
        <w:t>an explorer must take to manage a heritage site</w:t>
      </w:r>
      <w:r>
        <w:t>,</w:t>
      </w:r>
      <w:r w:rsidRPr="00684B92">
        <w:t xml:space="preserve"> depending on the nature of the activity and the legislation </w:t>
      </w:r>
      <w:r>
        <w:t xml:space="preserve">of the </w:t>
      </w:r>
      <w:r w:rsidRPr="00684B92">
        <w:t xml:space="preserve">jurisdiction. Some jurisdictions provide exemptions for activities </w:t>
      </w:r>
      <w:r>
        <w:t xml:space="preserve">that are </w:t>
      </w:r>
      <w:r w:rsidRPr="00684B92">
        <w:t xml:space="preserve">considered </w:t>
      </w:r>
      <w:r>
        <w:t xml:space="preserve">to have a </w:t>
      </w:r>
      <w:r w:rsidRPr="00684B92">
        <w:t xml:space="preserve">low impact. In most instances, </w:t>
      </w:r>
      <w:r>
        <w:t xml:space="preserve">Indigenous </w:t>
      </w:r>
      <w:r w:rsidRPr="00684B92">
        <w:t>heritage is managed during exploration through duty of care processes, permit systems</w:t>
      </w:r>
      <w:r>
        <w:t xml:space="preserve"> and </w:t>
      </w:r>
      <w:r w:rsidRPr="00684B92">
        <w:t>agree</w:t>
      </w:r>
      <w:r>
        <w:t>ments embodying</w:t>
      </w:r>
      <w:r w:rsidRPr="00684B92">
        <w:t xml:space="preserve"> cultural management plans.</w:t>
      </w:r>
      <w:r>
        <w:t xml:space="preserve"> </w:t>
      </w:r>
    </w:p>
    <w:p w:rsidR="005637E0" w:rsidRPr="00500E73" w:rsidRDefault="005637E0" w:rsidP="005637E0">
      <w:pPr>
        <w:pStyle w:val="BodyText"/>
        <w:rPr>
          <w:i/>
        </w:rPr>
      </w:pPr>
      <w:r>
        <w:t>Several leading</w:t>
      </w:r>
      <w:r w:rsidRPr="00684B92">
        <w:t xml:space="preserve"> practi</w:t>
      </w:r>
      <w:r>
        <w:t>c</w:t>
      </w:r>
      <w:r w:rsidRPr="00684B92">
        <w:t>e</w:t>
      </w:r>
      <w:r>
        <w:t>s</w:t>
      </w:r>
      <w:r w:rsidRPr="00684B92">
        <w:t xml:space="preserve"> in managing </w:t>
      </w:r>
      <w:r>
        <w:t>the</w:t>
      </w:r>
      <w:r w:rsidRPr="00684B92">
        <w:t xml:space="preserve"> </w:t>
      </w:r>
      <w:r>
        <w:t xml:space="preserve">potential </w:t>
      </w:r>
      <w:r w:rsidRPr="00684B92">
        <w:t xml:space="preserve">heritage </w:t>
      </w:r>
      <w:r>
        <w:t>impacts arising from exploration can be identified from these varying approaches</w:t>
      </w:r>
      <w:r w:rsidRPr="00684B92">
        <w:t>.</w:t>
      </w:r>
      <w:r>
        <w:t xml:space="preserve"> </w:t>
      </w:r>
      <w:r w:rsidRPr="00A556D6">
        <w:t>The heritage management approach (ch</w:t>
      </w:r>
      <w:r>
        <w:t>oice of duty of care, permit</w:t>
      </w:r>
      <w:r w:rsidRPr="00A556D6">
        <w:t xml:space="preserve"> systems or </w:t>
      </w:r>
      <w:r>
        <w:t>agreements</w:t>
      </w:r>
      <w:r w:rsidRPr="00A556D6">
        <w:t xml:space="preserve">) </w:t>
      </w:r>
      <w:r>
        <w:t>is most cost-effective when it is</w:t>
      </w:r>
      <w:r w:rsidRPr="00A556D6">
        <w:t xml:space="preserve"> appropriate to the activity’s level of risk and the likely heritage significance of a site. </w:t>
      </w:r>
      <w:r w:rsidRPr="00A556D6">
        <w:rPr>
          <w:lang w:val="en"/>
        </w:rPr>
        <w:t>Where there is a low likelihood of heritage significance and the</w:t>
      </w:r>
      <w:r>
        <w:rPr>
          <w:lang w:val="en"/>
        </w:rPr>
        <w:t xml:space="preserve"> exploration</w:t>
      </w:r>
      <w:r w:rsidRPr="00A556D6">
        <w:rPr>
          <w:lang w:val="en"/>
        </w:rPr>
        <w:t xml:space="preserve"> activity is low risk</w:t>
      </w:r>
      <w:r>
        <w:rPr>
          <w:lang w:val="en"/>
        </w:rPr>
        <w:t>,</w:t>
      </w:r>
      <w:r w:rsidRPr="00A556D6">
        <w:rPr>
          <w:lang w:val="en"/>
        </w:rPr>
        <w:t xml:space="preserve"> a streamlined process and ‘duty of care’ will prevent unnecessary regulatory burden for explorers.</w:t>
      </w:r>
      <w:r>
        <w:rPr>
          <w:lang w:val="en"/>
        </w:rPr>
        <w:t xml:space="preserve"> Conversely,</w:t>
      </w:r>
      <w:r w:rsidRPr="00A556D6">
        <w:rPr>
          <w:i/>
          <w:lang w:val="en"/>
        </w:rPr>
        <w:t xml:space="preserve"> </w:t>
      </w:r>
      <w:r w:rsidRPr="00A556D6">
        <w:rPr>
          <w:lang w:val="en"/>
        </w:rPr>
        <w:t xml:space="preserve">in areas where Indigenous heritage is highly significant, expediency in heritage approvals is not the primary aim. </w:t>
      </w:r>
      <w:r>
        <w:rPr>
          <w:lang w:val="en"/>
        </w:rPr>
        <w:t>R</w:t>
      </w:r>
      <w:r w:rsidRPr="00A556D6">
        <w:rPr>
          <w:lang w:val="en"/>
        </w:rPr>
        <w:t>ather</w:t>
      </w:r>
      <w:r>
        <w:rPr>
          <w:lang w:val="en"/>
        </w:rPr>
        <w:t>,</w:t>
      </w:r>
      <w:r w:rsidRPr="00A556D6">
        <w:rPr>
          <w:lang w:val="en"/>
        </w:rPr>
        <w:t xml:space="preserve"> the objective is</w:t>
      </w:r>
      <w:r>
        <w:rPr>
          <w:lang w:val="en"/>
        </w:rPr>
        <w:t xml:space="preserve"> to</w:t>
      </w:r>
      <w:r w:rsidRPr="00A556D6">
        <w:rPr>
          <w:lang w:val="en"/>
        </w:rPr>
        <w:t xml:space="preserve"> </w:t>
      </w:r>
      <w:r>
        <w:rPr>
          <w:lang w:val="en"/>
        </w:rPr>
        <w:t>appropriately balance the</w:t>
      </w:r>
      <w:r w:rsidRPr="00A556D6">
        <w:rPr>
          <w:lang w:val="en"/>
        </w:rPr>
        <w:t xml:space="preserve"> protect</w:t>
      </w:r>
      <w:r>
        <w:rPr>
          <w:lang w:val="en"/>
        </w:rPr>
        <w:t>ion of</w:t>
      </w:r>
      <w:r w:rsidRPr="00A556D6">
        <w:rPr>
          <w:lang w:val="en"/>
        </w:rPr>
        <w:t xml:space="preserve"> Indigenous heritage</w:t>
      </w:r>
      <w:r>
        <w:rPr>
          <w:lang w:val="en"/>
        </w:rPr>
        <w:t xml:space="preserve"> with the benefits of</w:t>
      </w:r>
      <w:r w:rsidRPr="00A556D6">
        <w:rPr>
          <w:lang w:val="en"/>
        </w:rPr>
        <w:t xml:space="preserve"> exploration activity.</w:t>
      </w:r>
    </w:p>
    <w:p w:rsidR="005637E0" w:rsidRPr="00500E73" w:rsidRDefault="005637E0" w:rsidP="005637E0">
      <w:pPr>
        <w:pStyle w:val="BodyText"/>
      </w:pPr>
      <w:r w:rsidRPr="00500E73">
        <w:rPr>
          <w:lang w:val="en"/>
        </w:rPr>
        <w:t xml:space="preserve">Heritage management agreements </w:t>
      </w:r>
      <w:r>
        <w:t>place the onus on</w:t>
      </w:r>
      <w:r w:rsidRPr="00500E73">
        <w:t xml:space="preserve"> </w:t>
      </w:r>
      <w:r>
        <w:t xml:space="preserve">resource </w:t>
      </w:r>
      <w:r w:rsidRPr="00500E73">
        <w:t>explorers and traditional owners, rather than a government agency, to decide how to best protect heritage from being damaged or destroyed.</w:t>
      </w:r>
      <w:r>
        <w:t xml:space="preserve"> Management agreements have the potential to </w:t>
      </w:r>
      <w:r w:rsidRPr="00500E73">
        <w:rPr>
          <w:lang w:val="en"/>
        </w:rPr>
        <w:t>produce better outcomes for heritage protection</w:t>
      </w:r>
      <w:r>
        <w:rPr>
          <w:lang w:val="en"/>
        </w:rPr>
        <w:t xml:space="preserve"> than permit systems in those cases where heritage values are significant.</w:t>
      </w:r>
      <w:r w:rsidRPr="00500E73">
        <w:rPr>
          <w:lang w:val="en"/>
        </w:rPr>
        <w:t xml:space="preserve"> </w:t>
      </w:r>
      <w:r>
        <w:t>However, i</w:t>
      </w:r>
      <w:r w:rsidRPr="00CC101A">
        <w:t>n most jurisdictions</w:t>
      </w:r>
      <w:r>
        <w:t>,</w:t>
      </w:r>
      <w:r w:rsidRPr="00CC101A">
        <w:t xml:space="preserve"> </w:t>
      </w:r>
      <w:r w:rsidRPr="00CC101A">
        <w:lastRenderedPageBreak/>
        <w:t xml:space="preserve">explorers can apply for a permit or certificate (from a </w:t>
      </w:r>
      <w:r>
        <w:t>m</w:t>
      </w:r>
      <w:r w:rsidRPr="00CC101A">
        <w:t xml:space="preserve">inister or other body) to proceed with exploration </w:t>
      </w:r>
      <w:r>
        <w:t xml:space="preserve">even </w:t>
      </w:r>
      <w:r w:rsidRPr="00CC101A">
        <w:t>when it is likely to harm Indigenous heritage.</w:t>
      </w:r>
      <w:r>
        <w:t xml:space="preserve"> </w:t>
      </w:r>
      <w:r>
        <w:rPr>
          <w:lang w:val="en"/>
        </w:rPr>
        <w:t>D</w:t>
      </w:r>
      <w:r w:rsidRPr="00500E73">
        <w:rPr>
          <w:lang w:val="en"/>
        </w:rPr>
        <w:t xml:space="preserve">ecisions to </w:t>
      </w:r>
      <w:r>
        <w:rPr>
          <w:lang w:val="en"/>
        </w:rPr>
        <w:t>permit</w:t>
      </w:r>
      <w:r w:rsidRPr="00500E73">
        <w:rPr>
          <w:lang w:val="en"/>
        </w:rPr>
        <w:t xml:space="preserve"> exploration should be based on </w:t>
      </w:r>
      <w:r>
        <w:rPr>
          <w:lang w:val="en"/>
        </w:rPr>
        <w:t>consultation with all parties that have a relevant interest and expertise, and a weighing up of the relative costs and benefits</w:t>
      </w:r>
      <w:r w:rsidRPr="00500E73">
        <w:rPr>
          <w:lang w:val="en"/>
        </w:rPr>
        <w:t>.</w:t>
      </w:r>
      <w:r>
        <w:rPr>
          <w:lang w:val="en"/>
        </w:rPr>
        <w:t xml:space="preserve"> </w:t>
      </w:r>
    </w:p>
    <w:p w:rsidR="005637E0" w:rsidRPr="00684B92" w:rsidRDefault="005637E0" w:rsidP="005637E0">
      <w:pPr>
        <w:pStyle w:val="Heading5"/>
      </w:pPr>
      <w:r w:rsidRPr="00684B92">
        <w:t>Cost and delay in preparing cultural heritage surveys</w:t>
      </w:r>
      <w:r>
        <w:t xml:space="preserve"> and the development of heritage registers</w:t>
      </w:r>
    </w:p>
    <w:p w:rsidR="005637E0" w:rsidRPr="00684B92" w:rsidRDefault="005637E0" w:rsidP="005637E0">
      <w:pPr>
        <w:pStyle w:val="BodyText"/>
      </w:pPr>
      <w:r w:rsidRPr="00684B92">
        <w:t>The cost and time involved in undertaking cultura</w:t>
      </w:r>
      <w:r>
        <w:t>l heritage surveys are frequently</w:t>
      </w:r>
      <w:r w:rsidRPr="00684B92">
        <w:t xml:space="preserve"> raised by explorers. Some potential sources of delay and unnecessary burden include overlap between Commonwealth and state and territory Indigenous heritage legislation and a lack of binding approval times.</w:t>
      </w:r>
    </w:p>
    <w:p w:rsidR="005637E0" w:rsidRPr="00B70F6D" w:rsidRDefault="005637E0" w:rsidP="005637E0">
      <w:pPr>
        <w:pStyle w:val="BodyText"/>
      </w:pPr>
      <w:r>
        <w:t>Many participants consider that the requirement to undertake heritage surveys in some jurisdictions has created an industry for archaeologists, anthropologists and lawyers. A related concern is that i</w:t>
      </w:r>
      <w:r w:rsidRPr="00684B92">
        <w:t>nconsistent and inadequate listing of heritage sites can lead to the re-examination of the same site</w:t>
      </w:r>
      <w:r>
        <w:t xml:space="preserve"> by successive explorers</w:t>
      </w:r>
      <w:r w:rsidRPr="00684B92">
        <w:t xml:space="preserve">. </w:t>
      </w:r>
      <w:r>
        <w:t>Generally, i</w:t>
      </w:r>
      <w:r w:rsidRPr="00684B92">
        <w:t xml:space="preserve">nformation </w:t>
      </w:r>
      <w:r>
        <w:t>from previous surveys cannot be accessed because of</w:t>
      </w:r>
      <w:r w:rsidRPr="00684B92">
        <w:t xml:space="preserve"> </w:t>
      </w:r>
      <w:r>
        <w:t>Indigenous pri</w:t>
      </w:r>
      <w:r w:rsidRPr="00684B92">
        <w:t>vacy</w:t>
      </w:r>
      <w:r>
        <w:t xml:space="preserve"> concerns</w:t>
      </w:r>
      <w:r w:rsidRPr="00684B92">
        <w:t xml:space="preserve"> and copyright </w:t>
      </w:r>
      <w:r>
        <w:t>restrictions on the</w:t>
      </w:r>
      <w:r w:rsidRPr="00684B92">
        <w:t xml:space="preserve"> survey </w:t>
      </w:r>
      <w:r>
        <w:t>report</w:t>
      </w:r>
      <w:r w:rsidRPr="00684B92">
        <w:t xml:space="preserve">. </w:t>
      </w:r>
      <w:r w:rsidRPr="00B70F6D">
        <w:rPr>
          <w:lang w:val="en"/>
        </w:rPr>
        <w:t>Improv</w:t>
      </w:r>
      <w:r>
        <w:rPr>
          <w:lang w:val="en"/>
        </w:rPr>
        <w:t>ed</w:t>
      </w:r>
      <w:r w:rsidRPr="00B70F6D">
        <w:rPr>
          <w:lang w:val="en"/>
        </w:rPr>
        <w:t xml:space="preserve"> access to existing information </w:t>
      </w:r>
      <w:r>
        <w:rPr>
          <w:lang w:val="en"/>
        </w:rPr>
        <w:t>would reduce the time taken for</w:t>
      </w:r>
      <w:r w:rsidRPr="00B70F6D">
        <w:rPr>
          <w:lang w:val="en"/>
        </w:rPr>
        <w:t xml:space="preserve"> heritage decisions and avoid the unnecessary cost of </w:t>
      </w:r>
      <w:r>
        <w:rPr>
          <w:lang w:val="en"/>
        </w:rPr>
        <w:t>re-surveying</w:t>
      </w:r>
      <w:r w:rsidRPr="00B70F6D">
        <w:rPr>
          <w:lang w:val="en"/>
        </w:rPr>
        <w:t xml:space="preserve"> of the same site.</w:t>
      </w:r>
      <w:r>
        <w:rPr>
          <w:lang w:val="en"/>
        </w:rPr>
        <w:t xml:space="preserve"> </w:t>
      </w:r>
    </w:p>
    <w:p w:rsidR="005637E0" w:rsidRDefault="005637E0" w:rsidP="005637E0">
      <w:pPr>
        <w:pStyle w:val="BodyText"/>
      </w:pPr>
      <w:r>
        <w:rPr>
          <w:lang w:val="en"/>
        </w:rPr>
        <w:t xml:space="preserve">The Commission supports the development and </w:t>
      </w:r>
      <w:r w:rsidRPr="004A4EF0">
        <w:rPr>
          <w:lang w:val="en"/>
        </w:rPr>
        <w:t>updat</w:t>
      </w:r>
      <w:r>
        <w:rPr>
          <w:lang w:val="en"/>
        </w:rPr>
        <w:t>ing of</w:t>
      </w:r>
      <w:r w:rsidRPr="004A4EF0">
        <w:rPr>
          <w:lang w:val="en"/>
        </w:rPr>
        <w:t xml:space="preserve"> Indigenous heritage registers to enable </w:t>
      </w:r>
      <w:r>
        <w:rPr>
          <w:lang w:val="en"/>
        </w:rPr>
        <w:t xml:space="preserve">resource </w:t>
      </w:r>
      <w:r w:rsidRPr="004A4EF0">
        <w:rPr>
          <w:lang w:val="en"/>
        </w:rPr>
        <w:t xml:space="preserve">explorers to gain access to information about the location </w:t>
      </w:r>
      <w:r>
        <w:rPr>
          <w:lang w:val="en"/>
        </w:rPr>
        <w:t xml:space="preserve">and nature </w:t>
      </w:r>
      <w:r w:rsidRPr="004A4EF0">
        <w:rPr>
          <w:lang w:val="en"/>
        </w:rPr>
        <w:t xml:space="preserve">of Indigenous heritage sites. </w:t>
      </w:r>
      <w:r>
        <w:rPr>
          <w:lang w:val="en"/>
        </w:rPr>
        <w:t>A requirement that</w:t>
      </w:r>
      <w:r w:rsidRPr="004A4EF0">
        <w:t xml:space="preserve"> </w:t>
      </w:r>
      <w:r>
        <w:t>resource explorers</w:t>
      </w:r>
      <w:r w:rsidRPr="004A4EF0">
        <w:t xml:space="preserve"> </w:t>
      </w:r>
      <w:r>
        <w:t xml:space="preserve">or other parties </w:t>
      </w:r>
      <w:r w:rsidRPr="004A4EF0">
        <w:t>lodge all heritage surveys with the relevant heritage authority should be adopted in all jurisdictions. A risk management approach should be adopted to ensure that sensitive information</w:t>
      </w:r>
      <w:r>
        <w:t>,</w:t>
      </w:r>
      <w:r w:rsidRPr="004A4EF0">
        <w:t xml:space="preserve"> </w:t>
      </w:r>
      <w:r>
        <w:t xml:space="preserve">collected as part of the survey, </w:t>
      </w:r>
      <w:r w:rsidRPr="004A4EF0">
        <w:t xml:space="preserve">is protected. </w:t>
      </w:r>
    </w:p>
    <w:p w:rsidR="005637E0" w:rsidRDefault="005637E0" w:rsidP="005637E0">
      <w:pPr>
        <w:pStyle w:val="Heading4"/>
        <w:rPr>
          <w:lang w:val="en"/>
        </w:rPr>
      </w:pPr>
      <w:r>
        <w:rPr>
          <w:lang w:val="en"/>
        </w:rPr>
        <w:t>‘Unnecessary’ overlap in Commonwealth and state/territory heritage legislation</w:t>
      </w:r>
    </w:p>
    <w:p w:rsidR="005637E0" w:rsidRPr="000867E3" w:rsidRDefault="005637E0" w:rsidP="005637E0">
      <w:pPr>
        <w:pStyle w:val="BodyText"/>
        <w:rPr>
          <w:lang w:val="en"/>
        </w:rPr>
      </w:pPr>
      <w:r>
        <w:t xml:space="preserve">Overlap between the Commonwealth </w:t>
      </w:r>
      <w:r w:rsidRPr="00630F03">
        <w:rPr>
          <w:i/>
        </w:rPr>
        <w:t>Aboriginal and Torres Strait Islander Heritage Protection Act 1984</w:t>
      </w:r>
      <w:r>
        <w:rPr>
          <w:i/>
        </w:rPr>
        <w:t xml:space="preserve"> </w:t>
      </w:r>
      <w:r>
        <w:t>(</w:t>
      </w:r>
      <w:proofErr w:type="spellStart"/>
      <w:r>
        <w:t>ATSIHP</w:t>
      </w:r>
      <w:proofErr w:type="spellEnd"/>
      <w:r>
        <w:t xml:space="preserve"> Act) and state and territory Indigenous heritage legislation may result in duplication of processes and delays for explorers. T</w:t>
      </w:r>
      <w:r w:rsidRPr="00D67B4B">
        <w:t xml:space="preserve">he </w:t>
      </w:r>
      <w:proofErr w:type="spellStart"/>
      <w:r>
        <w:t>ATSIHP</w:t>
      </w:r>
      <w:proofErr w:type="spellEnd"/>
      <w:r>
        <w:t xml:space="preserve"> Act allows </w:t>
      </w:r>
      <w:r w:rsidRPr="00145A0D">
        <w:t xml:space="preserve">the </w:t>
      </w:r>
      <w:r>
        <w:t xml:space="preserve">responsible Commonwealth </w:t>
      </w:r>
      <w:r w:rsidRPr="00145A0D">
        <w:t xml:space="preserve">Minister to make a declaration to preserve or protect an area from injury or desecration if </w:t>
      </w:r>
      <w:r>
        <w:t xml:space="preserve">the Minister is </w:t>
      </w:r>
      <w:r w:rsidRPr="00145A0D">
        <w:t>satisfied that ‘the area is a significant Aboriginal area’ and there is a ‘serious and immediate threat’.</w:t>
      </w:r>
      <w:r>
        <w:t xml:space="preserve"> The Act allows for intervention if state and territory laws do not provide effective protection. </w:t>
      </w:r>
    </w:p>
    <w:p w:rsidR="005637E0" w:rsidRDefault="005637E0" w:rsidP="005637E0">
      <w:pPr>
        <w:pStyle w:val="BodyText"/>
      </w:pPr>
      <w:r>
        <w:lastRenderedPageBreak/>
        <w:t xml:space="preserve">The </w:t>
      </w:r>
      <w:proofErr w:type="spellStart"/>
      <w:r>
        <w:t>ATSIHP</w:t>
      </w:r>
      <w:proofErr w:type="spellEnd"/>
      <w:r>
        <w:t xml:space="preserve"> Act was introduced as a temporary measure to encourage the states to protect sacred sites as part of a plan to introduce national land rights legislation. When the plan failed, the Act was made permanent, largely in its original form. It was not repealed or amended following the recognition of native title in Australian law. </w:t>
      </w:r>
    </w:p>
    <w:p w:rsidR="005637E0" w:rsidRDefault="005637E0" w:rsidP="005637E0">
      <w:pPr>
        <w:pStyle w:val="BodyText"/>
      </w:pPr>
      <w:r>
        <w:t xml:space="preserve">There are several concerns, including that the </w:t>
      </w:r>
      <w:proofErr w:type="spellStart"/>
      <w:r>
        <w:t>ATSIHP</w:t>
      </w:r>
      <w:proofErr w:type="spellEnd"/>
      <w:r>
        <w:t xml:space="preserve"> Act:</w:t>
      </w:r>
    </w:p>
    <w:p w:rsidR="005637E0" w:rsidRDefault="005637E0" w:rsidP="005637E0">
      <w:pPr>
        <w:pStyle w:val="ListBullet"/>
      </w:pPr>
      <w:r>
        <w:t xml:space="preserve">is considered ineffective and costly to administer </w:t>
      </w:r>
    </w:p>
    <w:p w:rsidR="005637E0" w:rsidRDefault="005637E0" w:rsidP="005637E0">
      <w:pPr>
        <w:pStyle w:val="ListBullet"/>
      </w:pPr>
      <w:r>
        <w:t>is seen by some as being redundant, on the basis that all jurisdictions now have legislation protecting Indigenous heritage. Others, however, question whether some state legislation effectively protects Indigenous heritage</w:t>
      </w:r>
    </w:p>
    <w:p w:rsidR="005637E0" w:rsidRPr="00A556D6" w:rsidRDefault="005637E0" w:rsidP="005637E0">
      <w:pPr>
        <w:pStyle w:val="ListBullet"/>
        <w:rPr>
          <w:lang w:val="en"/>
        </w:rPr>
      </w:pPr>
      <w:r>
        <w:t>could result in ‘jurisdiction shopping’, causing delays and duplication for explorers.</w:t>
      </w:r>
    </w:p>
    <w:p w:rsidR="005637E0" w:rsidRPr="000418C9" w:rsidRDefault="005637E0" w:rsidP="005637E0">
      <w:pPr>
        <w:pStyle w:val="BodyText"/>
      </w:pPr>
      <w:r>
        <w:t>The Commission proposes that, until concerns with</w:t>
      </w:r>
      <w:r w:rsidRPr="008F56E6">
        <w:rPr>
          <w:lang w:val="en"/>
        </w:rPr>
        <w:t xml:space="preserve"> state and territory legislation </w:t>
      </w:r>
      <w:r>
        <w:rPr>
          <w:lang w:val="en"/>
        </w:rPr>
        <w:t>have been fully</w:t>
      </w:r>
      <w:r w:rsidRPr="008F56E6">
        <w:rPr>
          <w:lang w:val="en"/>
        </w:rPr>
        <w:t xml:space="preserve"> addressed</w:t>
      </w:r>
      <w:r>
        <w:rPr>
          <w:lang w:val="en"/>
        </w:rPr>
        <w:t>, the</w:t>
      </w:r>
      <w:r>
        <w:t xml:space="preserve"> </w:t>
      </w:r>
      <w:proofErr w:type="spellStart"/>
      <w:r w:rsidRPr="009C79E1">
        <w:t>ATSIHP</w:t>
      </w:r>
      <w:proofErr w:type="spellEnd"/>
      <w:r>
        <w:t xml:space="preserve"> </w:t>
      </w:r>
      <w:r>
        <w:rPr>
          <w:lang w:val="en"/>
        </w:rPr>
        <w:t>Act should be retained and amended to allow states and territories to be accredited if Commonwealth standards are met. Once all jurisdictional regimes are operating satisfactorily, the</w:t>
      </w:r>
      <w:r w:rsidRPr="00F06334">
        <w:rPr>
          <w:lang w:val="en"/>
        </w:rPr>
        <w:t xml:space="preserve"> </w:t>
      </w:r>
      <w:proofErr w:type="spellStart"/>
      <w:r w:rsidRPr="00F06334">
        <w:t>A</w:t>
      </w:r>
      <w:r>
        <w:t>TSIHP</w:t>
      </w:r>
      <w:proofErr w:type="spellEnd"/>
      <w:r>
        <w:t xml:space="preserve"> Act</w:t>
      </w:r>
      <w:r w:rsidRPr="00A30116">
        <w:t xml:space="preserve"> should be repealed.</w:t>
      </w:r>
      <w:r>
        <w:t xml:space="preserve"> State and territory legislation would then be the sole source of regulation of heritage matters</w:t>
      </w:r>
      <w:r>
        <w:rPr>
          <w:i/>
        </w:rPr>
        <w:t xml:space="preserve"> </w:t>
      </w:r>
      <w:r w:rsidRPr="00D72DA0">
        <w:t>in their respective jurisdictions.</w:t>
      </w:r>
    </w:p>
    <w:p w:rsidR="005637E0" w:rsidRDefault="005637E0" w:rsidP="005637E0">
      <w:pPr>
        <w:pStyle w:val="Heading3"/>
      </w:pPr>
      <w:r>
        <w:t>Environmental management</w:t>
      </w:r>
    </w:p>
    <w:p w:rsidR="005637E0" w:rsidRPr="00E7606D" w:rsidRDefault="005637E0" w:rsidP="005637E0">
      <w:pPr>
        <w:pStyle w:val="BodyText"/>
      </w:pPr>
      <w:r w:rsidRPr="007377E0">
        <w:t xml:space="preserve">The </w:t>
      </w:r>
      <w:r>
        <w:t xml:space="preserve">environmental </w:t>
      </w:r>
      <w:r w:rsidRPr="007377E0">
        <w:t xml:space="preserve">impacts of exploration range from </w:t>
      </w:r>
      <w:r>
        <w:t xml:space="preserve">those that are </w:t>
      </w:r>
      <w:r w:rsidRPr="007377E0">
        <w:t xml:space="preserve">minor and temporary to </w:t>
      </w:r>
      <w:r>
        <w:t xml:space="preserve">those that are </w:t>
      </w:r>
      <w:r w:rsidRPr="007377E0">
        <w:t xml:space="preserve">potentially large </w:t>
      </w:r>
      <w:r>
        <w:t>and longer-term.</w:t>
      </w:r>
      <w:r w:rsidRPr="007377E0">
        <w:t xml:space="preserve"> </w:t>
      </w:r>
      <w:r w:rsidRPr="00E7606D">
        <w:t xml:space="preserve">The </w:t>
      </w:r>
      <w:r>
        <w:t xml:space="preserve">policy </w:t>
      </w:r>
      <w:r w:rsidRPr="00E7606D">
        <w:t xml:space="preserve">challenge for governments </w:t>
      </w:r>
      <w:r>
        <w:t>is to achieve an appropriate balance between the</w:t>
      </w:r>
      <w:r w:rsidRPr="00E7606D">
        <w:t xml:space="preserve"> benefits afforded by </w:t>
      </w:r>
      <w:r>
        <w:t xml:space="preserve">mineral and energy </w:t>
      </w:r>
      <w:r w:rsidRPr="00E7606D">
        <w:t xml:space="preserve">resource exploration </w:t>
      </w:r>
      <w:r>
        <w:t>and</w:t>
      </w:r>
      <w:r w:rsidRPr="00E7606D">
        <w:t xml:space="preserve"> the </w:t>
      </w:r>
      <w:r>
        <w:t xml:space="preserve">potential for any </w:t>
      </w:r>
      <w:r w:rsidRPr="00E7606D">
        <w:t>associated environmental costs</w:t>
      </w:r>
      <w:r>
        <w:t>.</w:t>
      </w:r>
    </w:p>
    <w:p w:rsidR="005637E0" w:rsidRPr="00E7606D" w:rsidRDefault="005637E0" w:rsidP="005637E0">
      <w:pPr>
        <w:pStyle w:val="BodyText"/>
      </w:pPr>
      <w:r>
        <w:t>State and t</w:t>
      </w:r>
      <w:r w:rsidRPr="00E7606D">
        <w:t>erritor</w:t>
      </w:r>
      <w:r>
        <w:t>y</w:t>
      </w:r>
      <w:r w:rsidRPr="00E7606D">
        <w:t xml:space="preserve"> </w:t>
      </w:r>
      <w:r>
        <w:t xml:space="preserve">governments </w:t>
      </w:r>
      <w:r w:rsidRPr="00E7606D">
        <w:t xml:space="preserve">are the main authorities </w:t>
      </w:r>
      <w:r>
        <w:t xml:space="preserve">responsible </w:t>
      </w:r>
      <w:r w:rsidRPr="00E7606D">
        <w:t xml:space="preserve">for environmental management. </w:t>
      </w:r>
      <w:r>
        <w:t>The Australian Government has authority over exploration in Commonwealth waters and defined matters of national environmental significance</w:t>
      </w:r>
      <w:r w:rsidRPr="00E7606D">
        <w:t>. Some key themes have been identified that unnecessar</w:t>
      </w:r>
      <w:r>
        <w:t>il</w:t>
      </w:r>
      <w:r w:rsidRPr="00E7606D">
        <w:t>y delay approvals proce</w:t>
      </w:r>
      <w:r>
        <w:t>sses or increase compliance costs, over and above those which are necessary to meet the underlying environmental objectives.</w:t>
      </w:r>
    </w:p>
    <w:p w:rsidR="005637E0" w:rsidRDefault="005637E0" w:rsidP="005637E0">
      <w:pPr>
        <w:pStyle w:val="Heading4"/>
      </w:pPr>
      <w:r>
        <w:t>Streamlining state/territory and Commonwealth regulatory arrangements</w:t>
      </w:r>
    </w:p>
    <w:p w:rsidR="005637E0" w:rsidRDefault="005637E0" w:rsidP="005637E0">
      <w:pPr>
        <w:pStyle w:val="BodyText"/>
      </w:pPr>
      <w:r>
        <w:t>Considerable duplication exists within and between the Commonwealth and state and territory governments’ environmental regulatory frameworks.</w:t>
      </w:r>
      <w:r w:rsidRPr="00E7606D">
        <w:t xml:space="preserve"> </w:t>
      </w:r>
    </w:p>
    <w:p w:rsidR="005637E0" w:rsidRPr="009665A1" w:rsidRDefault="005637E0" w:rsidP="005637E0">
      <w:pPr>
        <w:pStyle w:val="BodyText"/>
        <w:rPr>
          <w:lang w:val="en"/>
        </w:rPr>
      </w:pPr>
      <w:r>
        <w:lastRenderedPageBreak/>
        <w:t>Within the Commonwealth regulatory framework</w:t>
      </w:r>
      <w:r w:rsidRPr="00E7606D">
        <w:t xml:space="preserve">, the main duplication </w:t>
      </w:r>
      <w:r>
        <w:t>occurs</w:t>
      </w:r>
      <w:r w:rsidRPr="00E7606D">
        <w:t xml:space="preserve"> </w:t>
      </w:r>
      <w:r>
        <w:t>in</w:t>
      </w:r>
      <w:r w:rsidRPr="00E7606D">
        <w:t xml:space="preserve"> the </w:t>
      </w:r>
      <w:r>
        <w:t>regulation</w:t>
      </w:r>
      <w:r w:rsidRPr="00E7606D">
        <w:t xml:space="preserve"> of </w:t>
      </w:r>
      <w:r>
        <w:t>offshore environmental matters between the National Offshore Petroleum Safety and Environmental Management Authority (</w:t>
      </w:r>
      <w:proofErr w:type="spellStart"/>
      <w:r>
        <w:t>NOPSEMA</w:t>
      </w:r>
      <w:proofErr w:type="spellEnd"/>
      <w:r>
        <w:t>) and the Department of Sustainability, Environment, Water, Population and Communities (</w:t>
      </w:r>
      <w:proofErr w:type="spellStart"/>
      <w:r>
        <w:t>SEWPaC</w:t>
      </w:r>
      <w:proofErr w:type="spellEnd"/>
      <w:r>
        <w:t>).</w:t>
      </w:r>
      <w:r w:rsidRPr="00FC6BCC">
        <w:t xml:space="preserve"> </w:t>
      </w:r>
      <w:r w:rsidRPr="00FC6BC5">
        <w:t xml:space="preserve">The Commission </w:t>
      </w:r>
      <w:r>
        <w:t>is proposing</w:t>
      </w:r>
      <w:r w:rsidRPr="00FC6BC5">
        <w:t xml:space="preserve"> that the Australian Government </w:t>
      </w:r>
      <w:r>
        <w:t>should</w:t>
      </w:r>
      <w:r w:rsidRPr="00FC6BC5">
        <w:t xml:space="preserve"> accredit </w:t>
      </w:r>
      <w:proofErr w:type="spellStart"/>
      <w:r w:rsidRPr="00FC6BC5">
        <w:t>NOPSEMA</w:t>
      </w:r>
      <w:proofErr w:type="spellEnd"/>
      <w:r w:rsidRPr="00FC6BC5">
        <w:t xml:space="preserve"> to undertake environmental </w:t>
      </w:r>
      <w:r>
        <w:t xml:space="preserve">assessments and </w:t>
      </w:r>
      <w:r w:rsidRPr="00FC6BC5">
        <w:t>approvals</w:t>
      </w:r>
      <w:r>
        <w:t xml:space="preserve"> under the </w:t>
      </w:r>
      <w:proofErr w:type="spellStart"/>
      <w:r>
        <w:t>EPBC</w:t>
      </w:r>
      <w:proofErr w:type="spellEnd"/>
      <w:r>
        <w:t xml:space="preserve"> Act for petroleum activities in Commonwealth waters</w:t>
      </w:r>
      <w:r w:rsidRPr="00FC6BC5">
        <w:t xml:space="preserve">. </w:t>
      </w:r>
      <w:proofErr w:type="spellStart"/>
      <w:r>
        <w:rPr>
          <w:lang w:val="en"/>
        </w:rPr>
        <w:t>NOPSEMA</w:t>
      </w:r>
      <w:proofErr w:type="spellEnd"/>
      <w:r>
        <w:rPr>
          <w:lang w:val="en"/>
        </w:rPr>
        <w:t xml:space="preserve"> currently undertakes assessments and approvals of </w:t>
      </w:r>
      <w:r w:rsidRPr="009665A1">
        <w:rPr>
          <w:lang w:val="en"/>
        </w:rPr>
        <w:t>environment plan</w:t>
      </w:r>
      <w:r>
        <w:rPr>
          <w:lang w:val="en"/>
        </w:rPr>
        <w:t>s</w:t>
      </w:r>
      <w:r w:rsidRPr="009665A1">
        <w:rPr>
          <w:lang w:val="en"/>
        </w:rPr>
        <w:t xml:space="preserve"> associated with all petroleum activities in Commonwealth waters.</w:t>
      </w:r>
      <w:r>
        <w:rPr>
          <w:lang w:val="en"/>
        </w:rPr>
        <w:t xml:space="preserve"> Accordingly, it has the capacity</w:t>
      </w:r>
      <w:r>
        <w:t xml:space="preserve"> and expertise to undertake such assessments and approvals under the </w:t>
      </w:r>
      <w:proofErr w:type="spellStart"/>
      <w:r>
        <w:t>EPBC</w:t>
      </w:r>
      <w:proofErr w:type="spellEnd"/>
      <w:r>
        <w:t xml:space="preserve"> Act.</w:t>
      </w:r>
    </w:p>
    <w:p w:rsidR="005637E0" w:rsidRDefault="005637E0" w:rsidP="005637E0">
      <w:pPr>
        <w:pStyle w:val="BodyText"/>
      </w:pPr>
      <w:r>
        <w:t xml:space="preserve">The </w:t>
      </w:r>
      <w:proofErr w:type="spellStart"/>
      <w:r>
        <w:t>EPBC</w:t>
      </w:r>
      <w:proofErr w:type="spellEnd"/>
      <w:r>
        <w:t xml:space="preserve"> Act allows for agreements between the Australian and state and territory governments that would reduce the duplication of Commonwealth and state and territory environmental regulatory processes. In 2012, COAG agreed to expedite the accreditation of state and territory environmental approval processes for matters of national environmental significance under the Act. Progress towards achieving this reform has halted. The reform should be properly scoped to identify the necessary steps, reviewed by jurisdictions and a timetable for implementation set. </w:t>
      </w:r>
    </w:p>
    <w:p w:rsidR="005637E0" w:rsidRPr="00E7606D" w:rsidRDefault="005637E0" w:rsidP="005637E0">
      <w:pPr>
        <w:pStyle w:val="BodyText"/>
      </w:pPr>
      <w:r>
        <w:t xml:space="preserve">The regulatory powers exercised by state and territory governments in their territorial waters seaward from the low tide mark do not represent a streamlined approach to managing offshore petroleum exploration. State and territory governments should reconsider conferring their offshore petroleum exploration related regulatory powers to </w:t>
      </w:r>
      <w:proofErr w:type="spellStart"/>
      <w:r>
        <w:t>NOPSEMA</w:t>
      </w:r>
      <w:proofErr w:type="spellEnd"/>
      <w:r>
        <w:t>.</w:t>
      </w:r>
    </w:p>
    <w:p w:rsidR="005637E0" w:rsidRDefault="005637E0" w:rsidP="005637E0">
      <w:pPr>
        <w:pStyle w:val="Heading4"/>
      </w:pPr>
      <w:r>
        <w:t>Regulatory requirements that are not commensurate with the likely level of impact and are not performance based</w:t>
      </w:r>
    </w:p>
    <w:p w:rsidR="005637E0" w:rsidRDefault="005637E0" w:rsidP="005637E0">
      <w:pPr>
        <w:pStyle w:val="BodyText"/>
      </w:pPr>
      <w:r w:rsidRPr="00E7606D">
        <w:t xml:space="preserve">Most environmental impact assessment processes </w:t>
      </w:r>
      <w:r>
        <w:t>comprise</w:t>
      </w:r>
      <w:r w:rsidRPr="00E7606D">
        <w:t xml:space="preserve"> levels </w:t>
      </w:r>
      <w:r>
        <w:t>of assessment that are of increasing rigour according to</w:t>
      </w:r>
      <w:r w:rsidRPr="00E7606D">
        <w:t xml:space="preserve"> the environmental significance of the proposed </w:t>
      </w:r>
      <w:r>
        <w:t xml:space="preserve">exploration </w:t>
      </w:r>
      <w:r w:rsidRPr="00E7606D">
        <w:t xml:space="preserve">activity. </w:t>
      </w:r>
      <w:r>
        <w:t>However, participants in this inquiry</w:t>
      </w:r>
      <w:r w:rsidRPr="00E7606D">
        <w:t xml:space="preserve"> </w:t>
      </w:r>
      <w:r>
        <w:t>reported numerous instances where regulatory requirements are not commensurate with the likely environmental impacts. Such regulatory measures increase the compliance burden on explorers without improving environmental outcomes. Regulatory requirements should be commensurate with the risk and significance of the environmental impacts of the proposed exploration activity and, where possible, the requirements should be performance based outcome measures in order to efficiently manage these risks</w:t>
      </w:r>
      <w:r w:rsidRPr="00492F68">
        <w:t>.</w:t>
      </w:r>
    </w:p>
    <w:p w:rsidR="005637E0" w:rsidRDefault="005637E0" w:rsidP="005637E0">
      <w:pPr>
        <w:pStyle w:val="Heading4"/>
      </w:pPr>
      <w:r>
        <w:lastRenderedPageBreak/>
        <w:t xml:space="preserve">Use of the </w:t>
      </w:r>
      <w:proofErr w:type="spellStart"/>
      <w:r>
        <w:t>internet</w:t>
      </w:r>
      <w:proofErr w:type="spellEnd"/>
      <w:r>
        <w:t xml:space="preserve"> to improve transparency of requirements and access to publicly available information</w:t>
      </w:r>
    </w:p>
    <w:p w:rsidR="005637E0" w:rsidRPr="00726D78" w:rsidRDefault="005637E0" w:rsidP="005637E0">
      <w:pPr>
        <w:pStyle w:val="BodyText"/>
        <w:rPr>
          <w:lang w:val="en"/>
        </w:rPr>
      </w:pPr>
      <w:r w:rsidRPr="00E7606D">
        <w:t xml:space="preserve">An area of </w:t>
      </w:r>
      <w:r>
        <w:t xml:space="preserve">improved administrative efficiency </w:t>
      </w:r>
      <w:r w:rsidRPr="00E7606D">
        <w:t xml:space="preserve">in recent years has been the use of the </w:t>
      </w:r>
      <w:proofErr w:type="spellStart"/>
      <w:r w:rsidRPr="00E7606D">
        <w:t>internet</w:t>
      </w:r>
      <w:proofErr w:type="spellEnd"/>
      <w:r w:rsidRPr="00E7606D">
        <w:t xml:space="preserve"> to publicise regulatory requirements. </w:t>
      </w:r>
      <w:r>
        <w:t>As noted above, Western Australia’s</w:t>
      </w:r>
      <w:r w:rsidRPr="00726D78">
        <w:t xml:space="preserve"> Department of Mines and Pet</w:t>
      </w:r>
      <w:r>
        <w:t xml:space="preserve">roleum has </w:t>
      </w:r>
      <w:r w:rsidRPr="00726D78">
        <w:rPr>
          <w:lang w:val="en"/>
        </w:rPr>
        <w:t>implement</w:t>
      </w:r>
      <w:r>
        <w:rPr>
          <w:lang w:val="en"/>
        </w:rPr>
        <w:t>ed an</w:t>
      </w:r>
      <w:r w:rsidRPr="00726D78">
        <w:rPr>
          <w:lang w:val="en"/>
        </w:rPr>
        <w:t xml:space="preserve"> online Environmental Assessment Regulatory System that allows the lodgment, submission and tracking of </w:t>
      </w:r>
      <w:r>
        <w:rPr>
          <w:lang w:val="en"/>
        </w:rPr>
        <w:t xml:space="preserve">applications on-line </w:t>
      </w:r>
      <w:r>
        <w:t>––</w:t>
      </w:r>
      <w:r>
        <w:rPr>
          <w:lang w:val="en"/>
        </w:rPr>
        <w:t xml:space="preserve"> the system is accompanied by guidelines to assist applicants.</w:t>
      </w:r>
    </w:p>
    <w:p w:rsidR="005637E0" w:rsidRDefault="005637E0" w:rsidP="005637E0">
      <w:pPr>
        <w:pStyle w:val="BodyText"/>
      </w:pPr>
      <w:r>
        <w:t>T</w:t>
      </w:r>
      <w:r w:rsidRPr="00E7606D">
        <w:t xml:space="preserve">here </w:t>
      </w:r>
      <w:r>
        <w:t>is</w:t>
      </w:r>
      <w:r w:rsidRPr="00E7606D">
        <w:t xml:space="preserve"> room </w:t>
      </w:r>
      <w:r>
        <w:t>for other jurisdictions to improve</w:t>
      </w:r>
      <w:r w:rsidRPr="00E7606D">
        <w:t xml:space="preserve"> transparency</w:t>
      </w:r>
      <w:r>
        <w:t xml:space="preserve"> and administrative efficiency</w:t>
      </w:r>
      <w:r w:rsidRPr="00E7606D">
        <w:t xml:space="preserve">, particularly regarding how </w:t>
      </w:r>
      <w:r>
        <w:t>regulatory</w:t>
      </w:r>
      <w:r w:rsidRPr="00E7606D">
        <w:t xml:space="preserve"> requirements are interpreted and enforced by agencies. </w:t>
      </w:r>
      <w:r>
        <w:t xml:space="preserve">Such changes would enhance understanding of regulatory requirements and may improve the quality of applications. In turn, this could facilitate a more efficient and timely flow of applications through the assessment process. </w:t>
      </w:r>
    </w:p>
    <w:p w:rsidR="005637E0" w:rsidRPr="007C6A2E" w:rsidRDefault="005637E0" w:rsidP="005637E0">
      <w:pPr>
        <w:keepLines/>
        <w:spacing w:before="180" w:line="320" w:lineRule="atLeast"/>
        <w:jc w:val="both"/>
        <w:rPr>
          <w:b/>
          <w:i/>
          <w:szCs w:val="20"/>
        </w:rPr>
      </w:pPr>
      <w:r>
        <w:t xml:space="preserve">Compliance costs for explorers can also be reduced and potentially duplicative environmental surveys avoided or mitigated by placing on the </w:t>
      </w:r>
      <w:proofErr w:type="spellStart"/>
      <w:r>
        <w:t>internet</w:t>
      </w:r>
      <w:proofErr w:type="spellEnd"/>
      <w:r>
        <w:t xml:space="preserve"> publicly available environmental plans and environmental impact statements.</w:t>
      </w:r>
    </w:p>
    <w:p w:rsidR="005637E0" w:rsidRPr="00213D9C" w:rsidRDefault="005637E0" w:rsidP="005637E0">
      <w:pPr>
        <w:pStyle w:val="Heading4"/>
      </w:pPr>
      <w:r>
        <w:t>Subjective decision making, especially when environmental impacts are uncertain</w:t>
      </w:r>
    </w:p>
    <w:p w:rsidR="005637E0" w:rsidRDefault="005637E0" w:rsidP="005637E0">
      <w:pPr>
        <w:pStyle w:val="BodyText"/>
      </w:pPr>
      <w:r>
        <w:t xml:space="preserve">Where there is scientific uncertainty about the impacts of exploration, there tends to be greater risk of policy change being driven by subjective judgements. For example, environmental policies for </w:t>
      </w:r>
      <w:proofErr w:type="spellStart"/>
      <w:r>
        <w:t>CSG</w:t>
      </w:r>
      <w:proofErr w:type="spellEnd"/>
      <w:r>
        <w:t xml:space="preserve"> have been in a state of flux. In some cases, policy responses have been influenced by the uncertainty surrounding the possible environmental impacts of </w:t>
      </w:r>
      <w:proofErr w:type="spellStart"/>
      <w:r>
        <w:t>CSG</w:t>
      </w:r>
      <w:proofErr w:type="spellEnd"/>
      <w:r>
        <w:t xml:space="preserve"> exploration.</w:t>
      </w:r>
    </w:p>
    <w:p w:rsidR="005637E0" w:rsidRPr="001D2643" w:rsidRDefault="005637E0" w:rsidP="005637E0">
      <w:pPr>
        <w:pStyle w:val="BodyText"/>
      </w:pPr>
      <w:r>
        <w:t>Scientific u</w:t>
      </w:r>
      <w:r w:rsidRPr="001D2643">
        <w:t>ncertainty should not lead to poor regulatory processes</w:t>
      </w:r>
      <w:r>
        <w:t xml:space="preserve"> or decisions</w:t>
      </w:r>
      <w:r w:rsidRPr="001D2643">
        <w:t xml:space="preserve">. </w:t>
      </w:r>
      <w:r>
        <w:t xml:space="preserve">A precautionary approach should be adopted </w:t>
      </w:r>
      <w:r w:rsidRPr="001D2643">
        <w:t>where there is concern of substantial or permanent damage</w:t>
      </w:r>
      <w:r>
        <w:t>. A</w:t>
      </w:r>
      <w:r w:rsidRPr="001D2643">
        <w:t xml:space="preserve"> lack of certainty should not be used to justify a lack of action to mitigate or prevent such damage. </w:t>
      </w:r>
      <w:r>
        <w:t xml:space="preserve">Nor does scientific </w:t>
      </w:r>
      <w:r w:rsidRPr="001D2643">
        <w:t xml:space="preserve">uncertainty reduce the need to identify the benefits and costs of exploration activities. Rather the presence of scientific uncertainty is one factor that should be considered when deciding whether </w:t>
      </w:r>
      <w:r>
        <w:t xml:space="preserve">resource </w:t>
      </w:r>
      <w:r w:rsidRPr="001D2643">
        <w:t xml:space="preserve">exploration can be reasonably expected to increase the community’s wellbeing. Decision makers should weigh up the </w:t>
      </w:r>
      <w:r>
        <w:t>risks and impacts</w:t>
      </w:r>
      <w:r w:rsidRPr="001D2643">
        <w:t xml:space="preserve"> (both positive and negative) of </w:t>
      </w:r>
      <w:r>
        <w:t>an exploration proposal</w:t>
      </w:r>
      <w:r w:rsidRPr="001D2643">
        <w:t>. This process can evolve and be revisited as scientific uncertainty is reduced.</w:t>
      </w:r>
    </w:p>
    <w:p w:rsidR="005637E0" w:rsidRDefault="005637E0" w:rsidP="005637E0">
      <w:pPr>
        <w:pStyle w:val="Heading2"/>
      </w:pPr>
      <w:r>
        <w:lastRenderedPageBreak/>
        <w:t>Non-regulatory issues</w:t>
      </w:r>
    </w:p>
    <w:p w:rsidR="005637E0" w:rsidRPr="00C13788" w:rsidRDefault="005637E0" w:rsidP="005637E0">
      <w:pPr>
        <w:pStyle w:val="BodyText"/>
      </w:pPr>
      <w:r>
        <w:t>A number of non-regulatory issues that are within the Commission’s terms of reference impact on exploration. One of the more important is the provision of pre</w:t>
      </w:r>
      <w:r>
        <w:noBreakHyphen/>
        <w:t>competitive geoscience information. Other issues which are considered in the body of the report, but not canvassed in the overview, include the supply of skilled labour, and workplace relations.</w:t>
      </w:r>
    </w:p>
    <w:p w:rsidR="005637E0" w:rsidRDefault="005637E0" w:rsidP="005637E0">
      <w:pPr>
        <w:pStyle w:val="Heading3"/>
      </w:pPr>
      <w:r>
        <w:t>Pre-competitive geoscience</w:t>
      </w:r>
    </w:p>
    <w:p w:rsidR="005637E0" w:rsidRDefault="005637E0" w:rsidP="005637E0">
      <w:pPr>
        <w:pStyle w:val="BodyText"/>
        <w:rPr>
          <w:lang w:val="en"/>
        </w:rPr>
      </w:pPr>
      <w:r>
        <w:t xml:space="preserve">Pre-competitive geoscience information includes data on the physical properties of the earth, obtained through </w:t>
      </w:r>
      <w:r w:rsidRPr="00026208">
        <w:t>survey techniques, mapping, data compilation and interpretation</w:t>
      </w:r>
      <w:r>
        <w:t xml:space="preserve"> of geophysical data. The collection of pre-competitive geoscience information by Australia’s geological survey organisations </w:t>
      </w:r>
      <w:r>
        <w:rPr>
          <w:lang w:val="en"/>
        </w:rPr>
        <w:t>enables</w:t>
      </w:r>
      <w:r w:rsidRPr="00026208">
        <w:rPr>
          <w:lang w:val="en"/>
        </w:rPr>
        <w:t xml:space="preserve"> explorers to </w:t>
      </w:r>
      <w:r>
        <w:rPr>
          <w:lang w:val="en"/>
        </w:rPr>
        <w:t xml:space="preserve">better </w:t>
      </w:r>
      <w:r w:rsidRPr="00026208">
        <w:rPr>
          <w:lang w:val="en"/>
        </w:rPr>
        <w:t>target potential minera</w:t>
      </w:r>
      <w:r>
        <w:rPr>
          <w:lang w:val="en"/>
        </w:rPr>
        <w:t>l</w:t>
      </w:r>
      <w:r w:rsidRPr="00026208">
        <w:rPr>
          <w:lang w:val="en"/>
        </w:rPr>
        <w:t xml:space="preserve"> and energy</w:t>
      </w:r>
      <w:r>
        <w:rPr>
          <w:lang w:val="en"/>
        </w:rPr>
        <w:t xml:space="preserve"> resources</w:t>
      </w:r>
      <w:r w:rsidRPr="00026208">
        <w:rPr>
          <w:lang w:val="en"/>
        </w:rPr>
        <w:t>.</w:t>
      </w:r>
      <w:r>
        <w:rPr>
          <w:lang w:val="en"/>
        </w:rPr>
        <w:t xml:space="preserve"> </w:t>
      </w:r>
    </w:p>
    <w:p w:rsidR="005637E0" w:rsidRDefault="005637E0" w:rsidP="005637E0">
      <w:pPr>
        <w:pStyle w:val="BodyText"/>
      </w:pPr>
      <w:r w:rsidRPr="00026208">
        <w:t xml:space="preserve">The case for public funding </w:t>
      </w:r>
      <w:r>
        <w:t xml:space="preserve">of pre-competitive </w:t>
      </w:r>
      <w:r w:rsidRPr="00026208">
        <w:t>geoscien</w:t>
      </w:r>
      <w:r>
        <w:t>ce</w:t>
      </w:r>
      <w:r w:rsidRPr="00026208">
        <w:t xml:space="preserve"> information is widely accepted on the grounds of </w:t>
      </w:r>
      <w:r>
        <w:t xml:space="preserve">its partial </w:t>
      </w:r>
      <w:r w:rsidRPr="00026208">
        <w:t>public good characteristics</w:t>
      </w:r>
      <w:r>
        <w:t xml:space="preserve"> —</w:t>
      </w:r>
      <w:r w:rsidRPr="00026208">
        <w:t xml:space="preserve"> </w:t>
      </w:r>
      <w:r>
        <w:t>that is, the use of the information does not reduce its availability to others (it is non-</w:t>
      </w:r>
      <w:proofErr w:type="spellStart"/>
      <w:r>
        <w:t>rivalrous</w:t>
      </w:r>
      <w:proofErr w:type="spellEnd"/>
      <w:r>
        <w:t>). The information can also enhance the management of a public resource, that is, the Crown’s ownership of mineral and energy resources. Pre-competitive geoscience information, however, is excludable — meaning t</w:t>
      </w:r>
      <w:r w:rsidRPr="00026208">
        <w:t xml:space="preserve">here is scope for governments to fund </w:t>
      </w:r>
      <w:r>
        <w:t>the collection of pre</w:t>
      </w:r>
      <w:r>
        <w:noBreakHyphen/>
        <w:t xml:space="preserve">competitive data </w:t>
      </w:r>
      <w:r w:rsidRPr="00026208">
        <w:t>and then charge users for that information</w:t>
      </w:r>
      <w:r>
        <w:t xml:space="preserve">. Indeed, this is currently the practice in New </w:t>
      </w:r>
      <w:r w:rsidRPr="00026208">
        <w:t>S</w:t>
      </w:r>
      <w:r>
        <w:t xml:space="preserve">outh </w:t>
      </w:r>
      <w:r w:rsidRPr="00026208">
        <w:t>W</w:t>
      </w:r>
      <w:r>
        <w:t>ales</w:t>
      </w:r>
      <w:r w:rsidRPr="00026208">
        <w:t xml:space="preserve">. </w:t>
      </w:r>
      <w:r>
        <w:t>The outcomes of this cost recovery approach in New South Wales should be monitored by all governments and assessed for broader applicability.</w:t>
      </w:r>
    </w:p>
    <w:p w:rsidR="005637E0" w:rsidRDefault="005637E0" w:rsidP="005637E0">
      <w:pPr>
        <w:pStyle w:val="BodyText"/>
      </w:pPr>
      <w:r w:rsidRPr="00026208">
        <w:t>Australia’s geological survey organisations and databases are highly regarded</w:t>
      </w:r>
      <w:r>
        <w:t>. The quality of, and accessibility to, pre-competitive data is a source of attractiveness for investment, both domestic and foreign, in exploration. However,</w:t>
      </w:r>
      <w:r w:rsidRPr="00026208">
        <w:t xml:space="preserve"> </w:t>
      </w:r>
      <w:r>
        <w:t xml:space="preserve">the coverage and timeliness of the data could be improved through </w:t>
      </w:r>
      <w:r w:rsidRPr="00026208">
        <w:t>better disclosure of resource reserves by non-</w:t>
      </w:r>
      <w:proofErr w:type="spellStart"/>
      <w:r w:rsidRPr="00026208">
        <w:t>ASX</w:t>
      </w:r>
      <w:proofErr w:type="spellEnd"/>
      <w:r w:rsidRPr="00026208">
        <w:t xml:space="preserve"> companies.</w:t>
      </w:r>
      <w:r>
        <w:t xml:space="preserve"> A working group within the Department of Resources, Energy and Tourism is currently examining this matter and considering options to improve disclosure and will deliver its report shortly after the release of this draft. The Commission proposes to finalise its view after the release of the working group’s report. </w:t>
      </w:r>
    </w:p>
    <w:p w:rsidR="005637E0" w:rsidRDefault="005637E0" w:rsidP="005637E0">
      <w:pPr>
        <w:pStyle w:val="BodyText"/>
      </w:pPr>
      <w:r>
        <w:t xml:space="preserve">Funding for the range of activities undertaken by some of Australia’s geological survey organisations has historically been provided through short-term, fixed duration and outcome-specific program funding. This approach has a number of drawbacks compared to ongoing appropriation funding — lesser certainty and </w:t>
      </w:r>
      <w:r>
        <w:lastRenderedPageBreak/>
        <w:t>flexibility, and poorer longer-term planning capability. The Commission is giving consideration to whether it should recommend a more stable and certain funding base</w:t>
      </w:r>
      <w:r w:rsidRPr="00492F68">
        <w:t>.</w:t>
      </w:r>
    </w:p>
    <w:sectPr w:rsidR="005637E0" w:rsidSect="005637E0">
      <w:headerReference w:type="even" r:id="rId15"/>
      <w:headerReference w:type="default" r:id="rId16"/>
      <w:footerReference w:type="even" r:id="rId17"/>
      <w:footerReference w:type="default" r:id="rId18"/>
      <w:headerReference w:type="first" r:id="rId19"/>
      <w:footerReference w:type="first" r:id="rId20"/>
      <w:pgSz w:w="11907" w:h="16840" w:code="9"/>
      <w:pgMar w:top="1984" w:right="1304" w:bottom="1417" w:left="1814" w:header="1701" w:footer="567" w:gutter="0"/>
      <w:pgNumType w:start="1" w:chapStyle="1" w:chapSep="period"/>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7E0" w:rsidRDefault="005637E0">
      <w:r>
        <w:separator/>
      </w:r>
    </w:p>
  </w:endnote>
  <w:endnote w:type="continuationSeparator" w:id="0">
    <w:p w:rsidR="005637E0" w:rsidRDefault="00563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2D604D">
            <w:rPr>
              <w:rStyle w:val="PageNumber"/>
              <w:noProof/>
            </w:rPr>
            <w:t>24</w:t>
          </w:r>
          <w:r>
            <w:rPr>
              <w:rStyle w:val="PageNumber"/>
            </w:rPr>
            <w:fldChar w:fldCharType="end"/>
          </w:r>
        </w:p>
      </w:tc>
      <w:tc>
        <w:tcPr>
          <w:tcW w:w="1644" w:type="dxa"/>
          <w:tcBorders>
            <w:top w:val="single" w:sz="6" w:space="0" w:color="auto"/>
          </w:tcBorders>
        </w:tcPr>
        <w:p w:rsidR="00096E55" w:rsidRDefault="003077CA" w:rsidP="0019293B">
          <w:pPr>
            <w:pStyle w:val="Footer"/>
          </w:pPr>
          <w:fldSimple w:instr=" SUBJECT  \* MERGEFORMAT ">
            <w:r w:rsidR="00072EDE">
              <w:t>Resource Exploration</w:t>
            </w:r>
          </w:fldSimple>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3077CA">
          <w:pPr>
            <w:pStyle w:val="Footer"/>
          </w:pPr>
          <w:fldSimple w:instr=" TITLE  \* MERGEFORMAT ">
            <w:r w:rsidR="00072EDE">
              <w:t>Overview</w:t>
            </w:r>
          </w:fldSimple>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2D604D">
            <w:rPr>
              <w:rStyle w:val="PageNumber"/>
              <w:noProof/>
            </w:rPr>
            <w:t>25</w:t>
          </w:r>
          <w:r>
            <w:rPr>
              <w:rStyle w:val="PageNumber"/>
            </w:rPr>
            <w:fldChar w:fldCharType="end"/>
          </w:r>
        </w:p>
      </w:tc>
    </w:tr>
  </w:tbl>
  <w:p w:rsidR="00096E55" w:rsidRDefault="00096E5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04D" w:rsidRDefault="002D60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7E0" w:rsidRDefault="005637E0">
      <w:r>
        <w:separator/>
      </w:r>
    </w:p>
  </w:footnote>
  <w:footnote w:type="continuationSeparator" w:id="0">
    <w:p w:rsidR="005637E0" w:rsidRDefault="005637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2D604D" w:rsidP="0019293B">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130899" o:spid="_x0000_s12290"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096E55" w:rsidRDefault="003077CA" w:rsidP="0019293B">
          <w:pPr>
            <w:pStyle w:val="HeaderEven"/>
          </w:pPr>
          <w:r>
            <w:rPr>
              <w:color w:val="FF0000"/>
              <w:sz w:val="14"/>
              <w:szCs w:val="14"/>
            </w:rPr>
            <w:t>draft report: For final outcomes of this project refer to the inquiry report.</w:t>
          </w: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2D604D" w:rsidP="00E669E2">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130900" o:spid="_x0000_s12291"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r w:rsidR="003077CA">
            <w:rPr>
              <w:color w:val="FF0000"/>
              <w:sz w:val="14"/>
              <w:szCs w:val="14"/>
            </w:rPr>
            <w:t>draft report: For final outcomes of this project refer to the inquiry report.</w:t>
          </w: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04D" w:rsidRDefault="002D604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130898" o:spid="_x0000_s12289"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2292"/>
    <o:shapelayout v:ext="edit">
      <o:idmap v:ext="edit" data="1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verview"/>
    <w:docVar w:name="ShortReportTitle" w:val="Resource Exploration"/>
  </w:docVars>
  <w:rsids>
    <w:rsidRoot w:val="005637E0"/>
    <w:rsid w:val="000227D5"/>
    <w:rsid w:val="000245AA"/>
    <w:rsid w:val="0003664B"/>
    <w:rsid w:val="0004111F"/>
    <w:rsid w:val="000565B3"/>
    <w:rsid w:val="0007150B"/>
    <w:rsid w:val="00072EDE"/>
    <w:rsid w:val="000938F5"/>
    <w:rsid w:val="00096E55"/>
    <w:rsid w:val="000B601B"/>
    <w:rsid w:val="000C207E"/>
    <w:rsid w:val="000F0035"/>
    <w:rsid w:val="000F420B"/>
    <w:rsid w:val="00110116"/>
    <w:rsid w:val="00120072"/>
    <w:rsid w:val="00126EB8"/>
    <w:rsid w:val="001274D4"/>
    <w:rsid w:val="001363AA"/>
    <w:rsid w:val="00183E82"/>
    <w:rsid w:val="001878BB"/>
    <w:rsid w:val="00191AE0"/>
    <w:rsid w:val="0019293B"/>
    <w:rsid w:val="0019426B"/>
    <w:rsid w:val="001C0865"/>
    <w:rsid w:val="001C3ABA"/>
    <w:rsid w:val="001E7BE8"/>
    <w:rsid w:val="001F0248"/>
    <w:rsid w:val="001F3EB3"/>
    <w:rsid w:val="001F4F86"/>
    <w:rsid w:val="00202C2C"/>
    <w:rsid w:val="002135AB"/>
    <w:rsid w:val="002144BE"/>
    <w:rsid w:val="00242279"/>
    <w:rsid w:val="00245C82"/>
    <w:rsid w:val="00291B40"/>
    <w:rsid w:val="002B4008"/>
    <w:rsid w:val="002D0E8E"/>
    <w:rsid w:val="002D604D"/>
    <w:rsid w:val="00301189"/>
    <w:rsid w:val="003077CA"/>
    <w:rsid w:val="00323E09"/>
    <w:rsid w:val="00333932"/>
    <w:rsid w:val="003518AA"/>
    <w:rsid w:val="00352165"/>
    <w:rsid w:val="00353182"/>
    <w:rsid w:val="003565D9"/>
    <w:rsid w:val="003602E1"/>
    <w:rsid w:val="0037026F"/>
    <w:rsid w:val="00371240"/>
    <w:rsid w:val="00374731"/>
    <w:rsid w:val="00376E59"/>
    <w:rsid w:val="003919F9"/>
    <w:rsid w:val="003C38B5"/>
    <w:rsid w:val="003C5D99"/>
    <w:rsid w:val="003E2F59"/>
    <w:rsid w:val="003F0789"/>
    <w:rsid w:val="00401882"/>
    <w:rsid w:val="004100C8"/>
    <w:rsid w:val="00411DBD"/>
    <w:rsid w:val="00412ACE"/>
    <w:rsid w:val="00431249"/>
    <w:rsid w:val="00434C19"/>
    <w:rsid w:val="00450810"/>
    <w:rsid w:val="00477144"/>
    <w:rsid w:val="00491380"/>
    <w:rsid w:val="0049459F"/>
    <w:rsid w:val="004A38DD"/>
    <w:rsid w:val="004B43AE"/>
    <w:rsid w:val="004C30ED"/>
    <w:rsid w:val="004D5675"/>
    <w:rsid w:val="00523639"/>
    <w:rsid w:val="00524C3C"/>
    <w:rsid w:val="00531FE5"/>
    <w:rsid w:val="005402FA"/>
    <w:rsid w:val="005637E0"/>
    <w:rsid w:val="00583C39"/>
    <w:rsid w:val="00587F28"/>
    <w:rsid w:val="005909CF"/>
    <w:rsid w:val="00591E71"/>
    <w:rsid w:val="005A0D41"/>
    <w:rsid w:val="00607BF1"/>
    <w:rsid w:val="00630D4D"/>
    <w:rsid w:val="00632A74"/>
    <w:rsid w:val="006A4655"/>
    <w:rsid w:val="006B2B3C"/>
    <w:rsid w:val="006C1D81"/>
    <w:rsid w:val="006C7038"/>
    <w:rsid w:val="006E73EF"/>
    <w:rsid w:val="00714D4D"/>
    <w:rsid w:val="007604BB"/>
    <w:rsid w:val="00785232"/>
    <w:rsid w:val="007A21EB"/>
    <w:rsid w:val="007B1A93"/>
    <w:rsid w:val="007C36C9"/>
    <w:rsid w:val="007D6401"/>
    <w:rsid w:val="007E01E4"/>
    <w:rsid w:val="007E28E1"/>
    <w:rsid w:val="007F7107"/>
    <w:rsid w:val="00800D4C"/>
    <w:rsid w:val="0081030F"/>
    <w:rsid w:val="0082087D"/>
    <w:rsid w:val="00835771"/>
    <w:rsid w:val="00842933"/>
    <w:rsid w:val="0086082C"/>
    <w:rsid w:val="00864ADC"/>
    <w:rsid w:val="00880153"/>
    <w:rsid w:val="00880F97"/>
    <w:rsid w:val="0088133A"/>
    <w:rsid w:val="0089285E"/>
    <w:rsid w:val="0089436C"/>
    <w:rsid w:val="008D365C"/>
    <w:rsid w:val="009030BF"/>
    <w:rsid w:val="0091032F"/>
    <w:rsid w:val="00914368"/>
    <w:rsid w:val="0092427C"/>
    <w:rsid w:val="00931076"/>
    <w:rsid w:val="009345D9"/>
    <w:rsid w:val="00934B15"/>
    <w:rsid w:val="00940C87"/>
    <w:rsid w:val="00942B62"/>
    <w:rsid w:val="0095323B"/>
    <w:rsid w:val="00956A0C"/>
    <w:rsid w:val="00956BD9"/>
    <w:rsid w:val="00962489"/>
    <w:rsid w:val="00990C2C"/>
    <w:rsid w:val="009E1844"/>
    <w:rsid w:val="009F0D1B"/>
    <w:rsid w:val="009F696D"/>
    <w:rsid w:val="009F6BC6"/>
    <w:rsid w:val="00A17328"/>
    <w:rsid w:val="00A23A20"/>
    <w:rsid w:val="00A268B9"/>
    <w:rsid w:val="00A2703A"/>
    <w:rsid w:val="00A33DFF"/>
    <w:rsid w:val="00A35115"/>
    <w:rsid w:val="00A36D9A"/>
    <w:rsid w:val="00A554AB"/>
    <w:rsid w:val="00A57062"/>
    <w:rsid w:val="00A92B53"/>
    <w:rsid w:val="00A94FA6"/>
    <w:rsid w:val="00AA49A0"/>
    <w:rsid w:val="00AA6710"/>
    <w:rsid w:val="00AB0681"/>
    <w:rsid w:val="00AD520B"/>
    <w:rsid w:val="00B425C3"/>
    <w:rsid w:val="00B440AD"/>
    <w:rsid w:val="00B479BB"/>
    <w:rsid w:val="00B53E7E"/>
    <w:rsid w:val="00B6342E"/>
    <w:rsid w:val="00B7113F"/>
    <w:rsid w:val="00BA73B6"/>
    <w:rsid w:val="00BA7E27"/>
    <w:rsid w:val="00BB2603"/>
    <w:rsid w:val="00BB4FCD"/>
    <w:rsid w:val="00BC04E9"/>
    <w:rsid w:val="00BD13EA"/>
    <w:rsid w:val="00BE3808"/>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D6580"/>
    <w:rsid w:val="00E17C72"/>
    <w:rsid w:val="00E21FC6"/>
    <w:rsid w:val="00E431A9"/>
    <w:rsid w:val="00E669E2"/>
    <w:rsid w:val="00E76135"/>
    <w:rsid w:val="00E82F4F"/>
    <w:rsid w:val="00EC2844"/>
    <w:rsid w:val="00EC5500"/>
    <w:rsid w:val="00ED18F8"/>
    <w:rsid w:val="00ED6BE0"/>
    <w:rsid w:val="00EF6C6C"/>
    <w:rsid w:val="00F056FC"/>
    <w:rsid w:val="00F10476"/>
    <w:rsid w:val="00F135D8"/>
    <w:rsid w:val="00F31299"/>
    <w:rsid w:val="00F3534A"/>
    <w:rsid w:val="00F51609"/>
    <w:rsid w:val="00F81006"/>
    <w:rsid w:val="00F85325"/>
    <w:rsid w:val="00FC1C29"/>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uiPriority="9" w:qFormat="1"/>
    <w:lsdException w:name="heading 5" w:qFormat="1"/>
    <w:lsdException w:name="Body Text" w:uiPriority="99"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2 Char1 Char"/>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2 Char1 Char Char"/>
    <w:basedOn w:val="DefaultParagraphFont"/>
    <w:link w:val="BodyText"/>
    <w:uiPriority w:val="99"/>
    <w:rsid w:val="005637E0"/>
    <w:rPr>
      <w:sz w:val="26"/>
    </w:rPr>
  </w:style>
  <w:style w:type="character" w:customStyle="1" w:styleId="Heading3Char">
    <w:name w:val="Heading 3 Char"/>
    <w:basedOn w:val="DefaultParagraphFont"/>
    <w:link w:val="Heading3"/>
    <w:rsid w:val="005637E0"/>
    <w:rPr>
      <w:rFonts w:ascii="Arial" w:hAnsi="Arial"/>
      <w:b/>
      <w:sz w:val="26"/>
    </w:rPr>
  </w:style>
  <w:style w:type="character" w:customStyle="1" w:styleId="Heading4Char">
    <w:name w:val="Heading 4 Char"/>
    <w:basedOn w:val="DefaultParagraphFont"/>
    <w:link w:val="Heading4"/>
    <w:uiPriority w:val="9"/>
    <w:rsid w:val="005637E0"/>
    <w:rPr>
      <w:rFonts w:ascii="Arial" w:hAnsi="Arial"/>
      <w:i/>
      <w:sz w:val="24"/>
    </w:rPr>
  </w:style>
  <w:style w:type="character" w:customStyle="1" w:styleId="createdate">
    <w:name w:val="createdate"/>
    <w:basedOn w:val="DefaultParagraphFont"/>
    <w:rsid w:val="005637E0"/>
  </w:style>
  <w:style w:type="paragraph" w:styleId="CommentSubject">
    <w:name w:val="annotation subject"/>
    <w:basedOn w:val="CommentText"/>
    <w:next w:val="CommentText"/>
    <w:link w:val="CommentSubjectChar"/>
    <w:rsid w:val="0092427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92427C"/>
    <w:rPr>
      <w:szCs w:val="24"/>
    </w:rPr>
  </w:style>
  <w:style w:type="character" w:customStyle="1" w:styleId="CommentSubjectChar">
    <w:name w:val="Comment Subject Char"/>
    <w:basedOn w:val="CommentTextChar"/>
    <w:link w:val="CommentSubject"/>
    <w:rsid w:val="0092427C"/>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uiPriority="9" w:qFormat="1"/>
    <w:lsdException w:name="heading 5" w:qFormat="1"/>
    <w:lsdException w:name="Body Text" w:uiPriority="99"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2 Char1 Char"/>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2 Char1 Char Char"/>
    <w:basedOn w:val="DefaultParagraphFont"/>
    <w:link w:val="BodyText"/>
    <w:uiPriority w:val="99"/>
    <w:rsid w:val="005637E0"/>
    <w:rPr>
      <w:sz w:val="26"/>
    </w:rPr>
  </w:style>
  <w:style w:type="character" w:customStyle="1" w:styleId="Heading3Char">
    <w:name w:val="Heading 3 Char"/>
    <w:basedOn w:val="DefaultParagraphFont"/>
    <w:link w:val="Heading3"/>
    <w:rsid w:val="005637E0"/>
    <w:rPr>
      <w:rFonts w:ascii="Arial" w:hAnsi="Arial"/>
      <w:b/>
      <w:sz w:val="26"/>
    </w:rPr>
  </w:style>
  <w:style w:type="character" w:customStyle="1" w:styleId="Heading4Char">
    <w:name w:val="Heading 4 Char"/>
    <w:basedOn w:val="DefaultParagraphFont"/>
    <w:link w:val="Heading4"/>
    <w:uiPriority w:val="9"/>
    <w:rsid w:val="005637E0"/>
    <w:rPr>
      <w:rFonts w:ascii="Arial" w:hAnsi="Arial"/>
      <w:i/>
      <w:sz w:val="24"/>
    </w:rPr>
  </w:style>
  <w:style w:type="character" w:customStyle="1" w:styleId="createdate">
    <w:name w:val="createdate"/>
    <w:basedOn w:val="DefaultParagraphFont"/>
    <w:rsid w:val="005637E0"/>
  </w:style>
  <w:style w:type="paragraph" w:styleId="CommentSubject">
    <w:name w:val="annotation subject"/>
    <w:basedOn w:val="CommentText"/>
    <w:next w:val="CommentText"/>
    <w:link w:val="CommentSubjectChar"/>
    <w:rsid w:val="0092427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92427C"/>
    <w:rPr>
      <w:szCs w:val="24"/>
    </w:rPr>
  </w:style>
  <w:style w:type="character" w:customStyle="1" w:styleId="CommentSubjectChar">
    <w:name w:val="Comment Subject Char"/>
    <w:basedOn w:val="CommentTextChar"/>
    <w:link w:val="CommentSubject"/>
    <w:rsid w:val="0092427C"/>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1.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oleObject" Target="NULL" TargetMode="External"/><Relationship Id="rId2" Type="http://schemas.openxmlformats.org/officeDocument/2006/relationships/image" Target="../media/image2.png"/><Relationship Id="rId1" Type="http://schemas.openxmlformats.org/officeDocument/2006/relationships/themeOverride" Target="../theme/themeOverride3.xml"/><Relationship Id="rId4" Type="http://schemas.openxmlformats.org/officeDocument/2006/relationships/chartUserShapes" Target="../drawings/drawing1.xml"/></Relationships>
</file>

<file path=word/charts/_rels/chart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6825185185185191E-2"/>
          <c:y val="4.8506944444444443E-2"/>
          <c:w val="0.89730444444444446"/>
          <c:h val="0.53605763888888891"/>
        </c:manualLayout>
      </c:layout>
      <c:lineChart>
        <c:grouping val="standard"/>
        <c:varyColors val="0"/>
        <c:ser>
          <c:idx val="0"/>
          <c:order val="0"/>
          <c:tx>
            <c:strRef>
              <c:f>'Financial year 2011-12 prices'!$B$1</c:f>
              <c:strCache>
                <c:ptCount val="1"/>
                <c:pt idx="0">
                  <c:v>Gold, silver and base metals</c:v>
                </c:pt>
              </c:strCache>
            </c:strRef>
          </c:tx>
          <c:spPr>
            <a:ln>
              <a:solidFill>
                <a:schemeClr val="tx1"/>
              </a:solidFill>
            </a:ln>
          </c:spPr>
          <c:marker>
            <c:spPr>
              <a:solidFill>
                <a:schemeClr val="tx1"/>
              </a:solidFill>
              <a:ln>
                <a:solidFill>
                  <a:schemeClr val="tx1"/>
                </a:solidFill>
              </a:ln>
            </c:spPr>
          </c:marker>
          <c:cat>
            <c:strRef>
              <c:f>'Financial year 2011-12 prices'!$A$2:$A$25</c:f>
              <c:strCache>
                <c:ptCount val="24"/>
                <c:pt idx="0">
                  <c:v>88-89</c:v>
                </c:pt>
                <c:pt idx="1">
                  <c:v>89-90</c:v>
                </c:pt>
                <c:pt idx="2">
                  <c:v>90-91</c:v>
                </c:pt>
                <c:pt idx="3">
                  <c:v>91-92</c:v>
                </c:pt>
                <c:pt idx="4">
                  <c:v>92-93</c:v>
                </c:pt>
                <c:pt idx="5">
                  <c:v>93-94</c:v>
                </c:pt>
                <c:pt idx="6">
                  <c:v>94-95</c:v>
                </c:pt>
                <c:pt idx="7">
                  <c:v>95-96</c:v>
                </c:pt>
                <c:pt idx="8">
                  <c:v>96-97</c:v>
                </c:pt>
                <c:pt idx="9">
                  <c:v>97-98</c:v>
                </c:pt>
                <c:pt idx="10">
                  <c:v>98-99</c:v>
                </c:pt>
                <c:pt idx="11">
                  <c:v>99-00</c:v>
                </c:pt>
                <c:pt idx="12">
                  <c:v>00-01</c:v>
                </c:pt>
                <c:pt idx="13">
                  <c:v>01-02</c:v>
                </c:pt>
                <c:pt idx="14">
                  <c:v>02-03</c:v>
                </c:pt>
                <c:pt idx="15">
                  <c:v>03-04</c:v>
                </c:pt>
                <c:pt idx="16">
                  <c:v>04-05</c:v>
                </c:pt>
                <c:pt idx="17">
                  <c:v>05-06</c:v>
                </c:pt>
                <c:pt idx="18">
                  <c:v>06-07</c:v>
                </c:pt>
                <c:pt idx="19">
                  <c:v>07-08</c:v>
                </c:pt>
                <c:pt idx="20">
                  <c:v>08-09</c:v>
                </c:pt>
                <c:pt idx="21">
                  <c:v>09-10</c:v>
                </c:pt>
                <c:pt idx="22">
                  <c:v>10-11</c:v>
                </c:pt>
                <c:pt idx="23">
                  <c:v>12-13</c:v>
                </c:pt>
              </c:strCache>
            </c:strRef>
          </c:cat>
          <c:val>
            <c:numRef>
              <c:f>'Financial year 2011-12 prices'!$B$2:$B$25</c:f>
              <c:numCache>
                <c:formatCode>General</c:formatCode>
                <c:ptCount val="24"/>
                <c:pt idx="0">
                  <c:v>1.0650784337343053</c:v>
                </c:pt>
                <c:pt idx="1">
                  <c:v>0.83694878083494695</c:v>
                </c:pt>
                <c:pt idx="2">
                  <c:v>0.83690091756782525</c:v>
                </c:pt>
                <c:pt idx="3">
                  <c:v>0.78551499881206499</c:v>
                </c:pt>
                <c:pt idx="4">
                  <c:v>0.87204464876770815</c:v>
                </c:pt>
                <c:pt idx="5">
                  <c:v>1.1069915467879834</c:v>
                </c:pt>
                <c:pt idx="6">
                  <c:v>1.26736228957092</c:v>
                </c:pt>
                <c:pt idx="7">
                  <c:v>1.305310136813624</c:v>
                </c:pt>
                <c:pt idx="8">
                  <c:v>1.5122268599004087</c:v>
                </c:pt>
                <c:pt idx="9">
                  <c:v>1.397458553239455</c:v>
                </c:pt>
                <c:pt idx="10">
                  <c:v>1.052736865319577</c:v>
                </c:pt>
                <c:pt idx="11">
                  <c:v>0.82215005592066426</c:v>
                </c:pt>
                <c:pt idx="12">
                  <c:v>0.79142475526702072</c:v>
                </c:pt>
                <c:pt idx="13">
                  <c:v>0.66719108302657015</c:v>
                </c:pt>
                <c:pt idx="14">
                  <c:v>0.72825282331412466</c:v>
                </c:pt>
                <c:pt idx="15">
                  <c:v>0.74279433735899325</c:v>
                </c:pt>
                <c:pt idx="16">
                  <c:v>0.85314869058375997</c:v>
                </c:pt>
                <c:pt idx="17">
                  <c:v>0.94142094332991078</c:v>
                </c:pt>
                <c:pt idx="18">
                  <c:v>1.2001237370771882</c:v>
                </c:pt>
                <c:pt idx="19">
                  <c:v>1.5610217798837218</c:v>
                </c:pt>
                <c:pt idx="20">
                  <c:v>1.0306219250023945</c:v>
                </c:pt>
                <c:pt idx="21">
                  <c:v>1.1030959864553174</c:v>
                </c:pt>
                <c:pt idx="22">
                  <c:v>1.3343038303604002</c:v>
                </c:pt>
                <c:pt idx="23">
                  <c:v>1.5545056876635892</c:v>
                </c:pt>
              </c:numCache>
            </c:numRef>
          </c:val>
          <c:smooth val="0"/>
        </c:ser>
        <c:ser>
          <c:idx val="1"/>
          <c:order val="1"/>
          <c:tx>
            <c:strRef>
              <c:f>'Financial year 2011-12 prices'!$C$1</c:f>
              <c:strCache>
                <c:ptCount val="1"/>
                <c:pt idx="0">
                  <c:v>Petroleum</c:v>
                </c:pt>
              </c:strCache>
            </c:strRef>
          </c:tx>
          <c:spPr>
            <a:ln>
              <a:solidFill>
                <a:sysClr val="window" lastClr="FFFFFF">
                  <a:lumMod val="50000"/>
                </a:sysClr>
              </a:solidFill>
              <a:prstDash val="solid"/>
            </a:ln>
            <a:effectLst/>
          </c:spPr>
          <c:marker>
            <c:symbol val="square"/>
            <c:size val="5"/>
            <c:spPr>
              <a:solidFill>
                <a:schemeClr val="bg1">
                  <a:lumMod val="50000"/>
                </a:schemeClr>
              </a:solidFill>
              <a:ln>
                <a:solidFill>
                  <a:schemeClr val="bg1">
                    <a:lumMod val="50000"/>
                  </a:schemeClr>
                </a:solidFill>
              </a:ln>
              <a:effectLst/>
            </c:spPr>
          </c:marker>
          <c:cat>
            <c:strRef>
              <c:f>'Financial year 2011-12 prices'!$A$2:$A$25</c:f>
              <c:strCache>
                <c:ptCount val="24"/>
                <c:pt idx="0">
                  <c:v>88-89</c:v>
                </c:pt>
                <c:pt idx="1">
                  <c:v>89-90</c:v>
                </c:pt>
                <c:pt idx="2">
                  <c:v>90-91</c:v>
                </c:pt>
                <c:pt idx="3">
                  <c:v>91-92</c:v>
                </c:pt>
                <c:pt idx="4">
                  <c:v>92-93</c:v>
                </c:pt>
                <c:pt idx="5">
                  <c:v>93-94</c:v>
                </c:pt>
                <c:pt idx="6">
                  <c:v>94-95</c:v>
                </c:pt>
                <c:pt idx="7">
                  <c:v>95-96</c:v>
                </c:pt>
                <c:pt idx="8">
                  <c:v>96-97</c:v>
                </c:pt>
                <c:pt idx="9">
                  <c:v>97-98</c:v>
                </c:pt>
                <c:pt idx="10">
                  <c:v>98-99</c:v>
                </c:pt>
                <c:pt idx="11">
                  <c:v>99-00</c:v>
                </c:pt>
                <c:pt idx="12">
                  <c:v>00-01</c:v>
                </c:pt>
                <c:pt idx="13">
                  <c:v>01-02</c:v>
                </c:pt>
                <c:pt idx="14">
                  <c:v>02-03</c:v>
                </c:pt>
                <c:pt idx="15">
                  <c:v>03-04</c:v>
                </c:pt>
                <c:pt idx="16">
                  <c:v>04-05</c:v>
                </c:pt>
                <c:pt idx="17">
                  <c:v>05-06</c:v>
                </c:pt>
                <c:pt idx="18">
                  <c:v>06-07</c:v>
                </c:pt>
                <c:pt idx="19">
                  <c:v>07-08</c:v>
                </c:pt>
                <c:pt idx="20">
                  <c:v>08-09</c:v>
                </c:pt>
                <c:pt idx="21">
                  <c:v>09-10</c:v>
                </c:pt>
                <c:pt idx="22">
                  <c:v>10-11</c:v>
                </c:pt>
                <c:pt idx="23">
                  <c:v>12-13</c:v>
                </c:pt>
              </c:strCache>
            </c:strRef>
          </c:cat>
          <c:val>
            <c:numRef>
              <c:f>'Financial year 2011-12 prices'!$C$2:$C$25</c:f>
              <c:numCache>
                <c:formatCode>General</c:formatCode>
                <c:ptCount val="24"/>
                <c:pt idx="0">
                  <c:v>1.2273381186973549</c:v>
                </c:pt>
                <c:pt idx="1">
                  <c:v>1.061203257256357</c:v>
                </c:pt>
                <c:pt idx="2">
                  <c:v>1.0317998366255872</c:v>
                </c:pt>
                <c:pt idx="3">
                  <c:v>0.82817818805785448</c:v>
                </c:pt>
                <c:pt idx="4">
                  <c:v>1.0600127811218669</c:v>
                </c:pt>
                <c:pt idx="5">
                  <c:v>0.86925307406391694</c:v>
                </c:pt>
                <c:pt idx="6">
                  <c:v>1.1287240800362863</c:v>
                </c:pt>
                <c:pt idx="7">
                  <c:v>1.1266657521141705</c:v>
                </c:pt>
                <c:pt idx="8">
                  <c:v>1.3086022887531603</c:v>
                </c:pt>
                <c:pt idx="9">
                  <c:v>1.4654759781816664</c:v>
                </c:pt>
                <c:pt idx="10">
                  <c:v>1.3519279724805109</c:v>
                </c:pt>
                <c:pt idx="11">
                  <c:v>1.0845163573184566</c:v>
                </c:pt>
                <c:pt idx="12">
                  <c:v>1.51331826390313</c:v>
                </c:pt>
                <c:pt idx="13">
                  <c:v>1.269805901132411</c:v>
                </c:pt>
                <c:pt idx="14">
                  <c:v>1.3910780957046167</c:v>
                </c:pt>
                <c:pt idx="15">
                  <c:v>1.2792193008344164</c:v>
                </c:pt>
                <c:pt idx="16">
                  <c:v>1.3643503722552779</c:v>
                </c:pt>
                <c:pt idx="17">
                  <c:v>1.5700842492821632</c:v>
                </c:pt>
                <c:pt idx="18">
                  <c:v>2.6411185207567733</c:v>
                </c:pt>
                <c:pt idx="19">
                  <c:v>3.4429280641734215</c:v>
                </c:pt>
                <c:pt idx="20">
                  <c:v>4.1135287020421689</c:v>
                </c:pt>
                <c:pt idx="21">
                  <c:v>3.7328470518411034</c:v>
                </c:pt>
                <c:pt idx="22">
                  <c:v>3.3494288392795757</c:v>
                </c:pt>
                <c:pt idx="23">
                  <c:v>3.1777909285180099</c:v>
                </c:pt>
              </c:numCache>
            </c:numRef>
          </c:val>
          <c:smooth val="0"/>
        </c:ser>
        <c:ser>
          <c:idx val="2"/>
          <c:order val="2"/>
          <c:tx>
            <c:strRef>
              <c:f>'Financial year 2011-12 prices'!$D$1</c:f>
              <c:strCache>
                <c:ptCount val="1"/>
                <c:pt idx="0">
                  <c:v>Iron ore</c:v>
                </c:pt>
              </c:strCache>
            </c:strRef>
          </c:tx>
          <c:spPr>
            <a:ln>
              <a:solidFill>
                <a:sysClr val="windowText" lastClr="000000"/>
              </a:solidFill>
              <a:prstDash val="sysDot"/>
            </a:ln>
            <a:effectLst/>
          </c:spPr>
          <c:marker>
            <c:symbol val="none"/>
          </c:marker>
          <c:cat>
            <c:strRef>
              <c:f>'Financial year 2011-12 prices'!$A$2:$A$25</c:f>
              <c:strCache>
                <c:ptCount val="24"/>
                <c:pt idx="0">
                  <c:v>88-89</c:v>
                </c:pt>
                <c:pt idx="1">
                  <c:v>89-90</c:v>
                </c:pt>
                <c:pt idx="2">
                  <c:v>90-91</c:v>
                </c:pt>
                <c:pt idx="3">
                  <c:v>91-92</c:v>
                </c:pt>
                <c:pt idx="4">
                  <c:v>92-93</c:v>
                </c:pt>
                <c:pt idx="5">
                  <c:v>93-94</c:v>
                </c:pt>
                <c:pt idx="6">
                  <c:v>94-95</c:v>
                </c:pt>
                <c:pt idx="7">
                  <c:v>95-96</c:v>
                </c:pt>
                <c:pt idx="8">
                  <c:v>96-97</c:v>
                </c:pt>
                <c:pt idx="9">
                  <c:v>97-98</c:v>
                </c:pt>
                <c:pt idx="10">
                  <c:v>98-99</c:v>
                </c:pt>
                <c:pt idx="11">
                  <c:v>99-00</c:v>
                </c:pt>
                <c:pt idx="12">
                  <c:v>00-01</c:v>
                </c:pt>
                <c:pt idx="13">
                  <c:v>01-02</c:v>
                </c:pt>
                <c:pt idx="14">
                  <c:v>02-03</c:v>
                </c:pt>
                <c:pt idx="15">
                  <c:v>03-04</c:v>
                </c:pt>
                <c:pt idx="16">
                  <c:v>04-05</c:v>
                </c:pt>
                <c:pt idx="17">
                  <c:v>05-06</c:v>
                </c:pt>
                <c:pt idx="18">
                  <c:v>06-07</c:v>
                </c:pt>
                <c:pt idx="19">
                  <c:v>07-08</c:v>
                </c:pt>
                <c:pt idx="20">
                  <c:v>08-09</c:v>
                </c:pt>
                <c:pt idx="21">
                  <c:v>09-10</c:v>
                </c:pt>
                <c:pt idx="22">
                  <c:v>10-11</c:v>
                </c:pt>
                <c:pt idx="23">
                  <c:v>12-13</c:v>
                </c:pt>
              </c:strCache>
            </c:strRef>
          </c:cat>
          <c:val>
            <c:numRef>
              <c:f>'Financial year 2011-12 prices'!$D$2:$D$25</c:f>
              <c:numCache>
                <c:formatCode>General</c:formatCode>
                <c:ptCount val="24"/>
                <c:pt idx="0">
                  <c:v>1.380365391517622E-2</c:v>
                </c:pt>
                <c:pt idx="1">
                  <c:v>2.054685672139803E-2</c:v>
                </c:pt>
                <c:pt idx="2">
                  <c:v>1.9853007421801207E-2</c:v>
                </c:pt>
                <c:pt idx="3">
                  <c:v>6.4464547325152916E-2</c:v>
                </c:pt>
                <c:pt idx="4">
                  <c:v>4.1649732844882215E-2</c:v>
                </c:pt>
                <c:pt idx="5">
                  <c:v>3.2303257988871438E-2</c:v>
                </c:pt>
                <c:pt idx="6">
                  <c:v>2.0093448897382848E-2</c:v>
                </c:pt>
                <c:pt idx="7">
                  <c:v>2.3066344527561147E-2</c:v>
                </c:pt>
                <c:pt idx="8">
                  <c:v>4.1688002892352194E-2</c:v>
                </c:pt>
                <c:pt idx="9">
                  <c:v>4.7879467056000172E-2</c:v>
                </c:pt>
                <c:pt idx="10">
                  <c:v>6.6083443157483296E-2</c:v>
                </c:pt>
                <c:pt idx="11">
                  <c:v>4.1528146004843731E-2</c:v>
                </c:pt>
                <c:pt idx="12">
                  <c:v>3.4635575339571442E-2</c:v>
                </c:pt>
                <c:pt idx="13">
                  <c:v>3.6191776499317409E-2</c:v>
                </c:pt>
                <c:pt idx="14">
                  <c:v>6.2211615648982574E-2</c:v>
                </c:pt>
                <c:pt idx="15">
                  <c:v>8.6212216383001333E-2</c:v>
                </c:pt>
                <c:pt idx="16">
                  <c:v>0.17995875819206794</c:v>
                </c:pt>
                <c:pt idx="17">
                  <c:v>0.20069709126479643</c:v>
                </c:pt>
                <c:pt idx="18">
                  <c:v>0.33895301267879824</c:v>
                </c:pt>
                <c:pt idx="19">
                  <c:v>0.50983566246354306</c:v>
                </c:pt>
                <c:pt idx="20">
                  <c:v>0.63467592351679336</c:v>
                </c:pt>
                <c:pt idx="21">
                  <c:v>0.5608794926814189</c:v>
                </c:pt>
                <c:pt idx="22">
                  <c:v>0.67078903251390287</c:v>
                </c:pt>
                <c:pt idx="23">
                  <c:v>1.144192567276894</c:v>
                </c:pt>
              </c:numCache>
            </c:numRef>
          </c:val>
          <c:smooth val="0"/>
        </c:ser>
        <c:ser>
          <c:idx val="3"/>
          <c:order val="3"/>
          <c:tx>
            <c:strRef>
              <c:f>'Financial year 2011-12 prices'!$E$1</c:f>
              <c:strCache>
                <c:ptCount val="1"/>
                <c:pt idx="0">
                  <c:v>Coal</c:v>
                </c:pt>
              </c:strCache>
            </c:strRef>
          </c:tx>
          <c:spPr>
            <a:ln cmpd="sng">
              <a:solidFill>
                <a:schemeClr val="bg1">
                  <a:lumMod val="50000"/>
                </a:schemeClr>
              </a:solidFill>
            </a:ln>
          </c:spPr>
          <c:marker>
            <c:symbol val="none"/>
          </c:marker>
          <c:cat>
            <c:strRef>
              <c:f>'Financial year 2011-12 prices'!$A$2:$A$25</c:f>
              <c:strCache>
                <c:ptCount val="24"/>
                <c:pt idx="0">
                  <c:v>88-89</c:v>
                </c:pt>
                <c:pt idx="1">
                  <c:v>89-90</c:v>
                </c:pt>
                <c:pt idx="2">
                  <c:v>90-91</c:v>
                </c:pt>
                <c:pt idx="3">
                  <c:v>91-92</c:v>
                </c:pt>
                <c:pt idx="4">
                  <c:v>92-93</c:v>
                </c:pt>
                <c:pt idx="5">
                  <c:v>93-94</c:v>
                </c:pt>
                <c:pt idx="6">
                  <c:v>94-95</c:v>
                </c:pt>
                <c:pt idx="7">
                  <c:v>95-96</c:v>
                </c:pt>
                <c:pt idx="8">
                  <c:v>96-97</c:v>
                </c:pt>
                <c:pt idx="9">
                  <c:v>97-98</c:v>
                </c:pt>
                <c:pt idx="10">
                  <c:v>98-99</c:v>
                </c:pt>
                <c:pt idx="11">
                  <c:v>99-00</c:v>
                </c:pt>
                <c:pt idx="12">
                  <c:v>00-01</c:v>
                </c:pt>
                <c:pt idx="13">
                  <c:v>01-02</c:v>
                </c:pt>
                <c:pt idx="14">
                  <c:v>02-03</c:v>
                </c:pt>
                <c:pt idx="15">
                  <c:v>03-04</c:v>
                </c:pt>
                <c:pt idx="16">
                  <c:v>04-05</c:v>
                </c:pt>
                <c:pt idx="17">
                  <c:v>05-06</c:v>
                </c:pt>
                <c:pt idx="18">
                  <c:v>06-07</c:v>
                </c:pt>
                <c:pt idx="19">
                  <c:v>07-08</c:v>
                </c:pt>
                <c:pt idx="20">
                  <c:v>08-09</c:v>
                </c:pt>
                <c:pt idx="21">
                  <c:v>09-10</c:v>
                </c:pt>
                <c:pt idx="22">
                  <c:v>10-11</c:v>
                </c:pt>
                <c:pt idx="23">
                  <c:v>12-13</c:v>
                </c:pt>
              </c:strCache>
            </c:strRef>
          </c:cat>
          <c:val>
            <c:numRef>
              <c:f>'Financial year 2011-12 prices'!$E$2:$E$25</c:f>
              <c:numCache>
                <c:formatCode>General</c:formatCode>
                <c:ptCount val="24"/>
                <c:pt idx="0">
                  <c:v>5.615590443403852E-2</c:v>
                </c:pt>
                <c:pt idx="1">
                  <c:v>6.0992809692492149E-2</c:v>
                </c:pt>
                <c:pt idx="2">
                  <c:v>4.0934845572262388E-2</c:v>
                </c:pt>
                <c:pt idx="3">
                  <c:v>4.8005340893311065E-2</c:v>
                </c:pt>
                <c:pt idx="4">
                  <c:v>4.1944876646512579E-2</c:v>
                </c:pt>
                <c:pt idx="5">
                  <c:v>4.7341566311599449E-2</c:v>
                </c:pt>
                <c:pt idx="6">
                  <c:v>6.3803489710980946E-2</c:v>
                </c:pt>
                <c:pt idx="7">
                  <c:v>8.6087035195501094E-2</c:v>
                </c:pt>
                <c:pt idx="8">
                  <c:v>0.11398284332579477</c:v>
                </c:pt>
                <c:pt idx="9">
                  <c:v>0.10341953842550372</c:v>
                </c:pt>
                <c:pt idx="10">
                  <c:v>6.3302140354743894E-2</c:v>
                </c:pt>
                <c:pt idx="11">
                  <c:v>5.4619184387277531E-2</c:v>
                </c:pt>
                <c:pt idx="12">
                  <c:v>6.081460922320258E-2</c:v>
                </c:pt>
                <c:pt idx="13">
                  <c:v>7.2443965730271079E-2</c:v>
                </c:pt>
                <c:pt idx="14">
                  <c:v>0.10871473167005923</c:v>
                </c:pt>
                <c:pt idx="15">
                  <c:v>0.11040592256897461</c:v>
                </c:pt>
                <c:pt idx="16">
                  <c:v>0.16554165301926929</c:v>
                </c:pt>
                <c:pt idx="17">
                  <c:v>0.20697647340976455</c:v>
                </c:pt>
                <c:pt idx="18">
                  <c:v>0.22982130361543687</c:v>
                </c:pt>
                <c:pt idx="19">
                  <c:v>0.26613191064955827</c:v>
                </c:pt>
                <c:pt idx="20">
                  <c:v>0.32080654528713465</c:v>
                </c:pt>
                <c:pt idx="21">
                  <c:v>0.34357521669082008</c:v>
                </c:pt>
                <c:pt idx="22">
                  <c:v>0.52325045965407957</c:v>
                </c:pt>
                <c:pt idx="23">
                  <c:v>0.82931692559145465</c:v>
                </c:pt>
              </c:numCache>
            </c:numRef>
          </c:val>
          <c:smooth val="0"/>
        </c:ser>
        <c:ser>
          <c:idx val="4"/>
          <c:order val="4"/>
          <c:tx>
            <c:strRef>
              <c:f>'Financial year 2011-12 prices'!$F$1</c:f>
              <c:strCache>
                <c:ptCount val="1"/>
                <c:pt idx="0">
                  <c:v>Total mining</c:v>
                </c:pt>
              </c:strCache>
            </c:strRef>
          </c:tx>
          <c:spPr>
            <a:ln w="34925">
              <a:solidFill>
                <a:sysClr val="windowText" lastClr="000000"/>
              </a:solidFill>
              <a:prstDash val="solid"/>
            </a:ln>
          </c:spPr>
          <c:marker>
            <c:symbol val="none"/>
          </c:marker>
          <c:cat>
            <c:strRef>
              <c:f>'Financial year 2011-12 prices'!$A$2:$A$25</c:f>
              <c:strCache>
                <c:ptCount val="24"/>
                <c:pt idx="0">
                  <c:v>88-89</c:v>
                </c:pt>
                <c:pt idx="1">
                  <c:v>89-90</c:v>
                </c:pt>
                <c:pt idx="2">
                  <c:v>90-91</c:v>
                </c:pt>
                <c:pt idx="3">
                  <c:v>91-92</c:v>
                </c:pt>
                <c:pt idx="4">
                  <c:v>92-93</c:v>
                </c:pt>
                <c:pt idx="5">
                  <c:v>93-94</c:v>
                </c:pt>
                <c:pt idx="6">
                  <c:v>94-95</c:v>
                </c:pt>
                <c:pt idx="7">
                  <c:v>95-96</c:v>
                </c:pt>
                <c:pt idx="8">
                  <c:v>96-97</c:v>
                </c:pt>
                <c:pt idx="9">
                  <c:v>97-98</c:v>
                </c:pt>
                <c:pt idx="10">
                  <c:v>98-99</c:v>
                </c:pt>
                <c:pt idx="11">
                  <c:v>99-00</c:v>
                </c:pt>
                <c:pt idx="12">
                  <c:v>00-01</c:v>
                </c:pt>
                <c:pt idx="13">
                  <c:v>01-02</c:v>
                </c:pt>
                <c:pt idx="14">
                  <c:v>02-03</c:v>
                </c:pt>
                <c:pt idx="15">
                  <c:v>03-04</c:v>
                </c:pt>
                <c:pt idx="16">
                  <c:v>04-05</c:v>
                </c:pt>
                <c:pt idx="17">
                  <c:v>05-06</c:v>
                </c:pt>
                <c:pt idx="18">
                  <c:v>06-07</c:v>
                </c:pt>
                <c:pt idx="19">
                  <c:v>07-08</c:v>
                </c:pt>
                <c:pt idx="20">
                  <c:v>08-09</c:v>
                </c:pt>
                <c:pt idx="21">
                  <c:v>09-10</c:v>
                </c:pt>
                <c:pt idx="22">
                  <c:v>10-11</c:v>
                </c:pt>
                <c:pt idx="23">
                  <c:v>12-13</c:v>
                </c:pt>
              </c:strCache>
            </c:strRef>
          </c:cat>
          <c:val>
            <c:numRef>
              <c:f>'Financial year 2011-12 prices'!$F$2:$F$25</c:f>
              <c:numCache>
                <c:formatCode>General</c:formatCode>
                <c:ptCount val="24"/>
                <c:pt idx="0">
                  <c:v>2.5807925016633764</c:v>
                </c:pt>
                <c:pt idx="1">
                  <c:v>2.1676406608334848</c:v>
                </c:pt>
                <c:pt idx="2">
                  <c:v>2.0974664504446352</c:v>
                </c:pt>
                <c:pt idx="3">
                  <c:v>1.8833937142565451</c:v>
                </c:pt>
                <c:pt idx="4">
                  <c:v>2.1545967645159458</c:v>
                </c:pt>
                <c:pt idx="5">
                  <c:v>2.2286742340041497</c:v>
                </c:pt>
                <c:pt idx="6">
                  <c:v>2.6271099115778016</c:v>
                </c:pt>
                <c:pt idx="7">
                  <c:v>2.6808153004191202</c:v>
                </c:pt>
                <c:pt idx="8">
                  <c:v>3.1659833125637826</c:v>
                </c:pt>
                <c:pt idx="9">
                  <c:v>3.1684053392856231</c:v>
                </c:pt>
                <c:pt idx="10">
                  <c:v>2.6825647854911931</c:v>
                </c:pt>
                <c:pt idx="11">
                  <c:v>2.1187387951114687</c:v>
                </c:pt>
                <c:pt idx="12">
                  <c:v>2.511369265775877</c:v>
                </c:pt>
                <c:pt idx="13">
                  <c:v>2.1906201593947996</c:v>
                </c:pt>
                <c:pt idx="14">
                  <c:v>2.416104360195733</c:v>
                </c:pt>
                <c:pt idx="15">
                  <c:v>2.3443590442605942</c:v>
                </c:pt>
                <c:pt idx="16">
                  <c:v>2.7076629248976665</c:v>
                </c:pt>
                <c:pt idx="17">
                  <c:v>3.114736423761884</c:v>
                </c:pt>
                <c:pt idx="18">
                  <c:v>4.677454266748442</c:v>
                </c:pt>
                <c:pt idx="19">
                  <c:v>6.2339812682688684</c:v>
                </c:pt>
                <c:pt idx="20">
                  <c:v>6.5095175617364855</c:v>
                </c:pt>
                <c:pt idx="21">
                  <c:v>6.1144578709614743</c:v>
                </c:pt>
                <c:pt idx="22">
                  <c:v>6.3196816440724266</c:v>
                </c:pt>
                <c:pt idx="23">
                  <c:v>7.1012835747495302</c:v>
                </c:pt>
              </c:numCache>
            </c:numRef>
          </c:val>
          <c:smooth val="0"/>
        </c:ser>
        <c:dLbls>
          <c:showLegendKey val="0"/>
          <c:showVal val="0"/>
          <c:showCatName val="0"/>
          <c:showSerName val="0"/>
          <c:showPercent val="0"/>
          <c:showBubbleSize val="0"/>
        </c:dLbls>
        <c:marker val="1"/>
        <c:smooth val="0"/>
        <c:axId val="159071232"/>
        <c:axId val="159077120"/>
      </c:lineChart>
      <c:catAx>
        <c:axId val="159071232"/>
        <c:scaling>
          <c:orientation val="minMax"/>
        </c:scaling>
        <c:delete val="0"/>
        <c:axPos val="b"/>
        <c:majorTickMark val="out"/>
        <c:minorTickMark val="none"/>
        <c:tickLblPos val="nextTo"/>
        <c:crossAx val="159077120"/>
        <c:crosses val="autoZero"/>
        <c:auto val="1"/>
        <c:lblAlgn val="ctr"/>
        <c:lblOffset val="100"/>
        <c:noMultiLvlLbl val="0"/>
      </c:catAx>
      <c:valAx>
        <c:axId val="159077120"/>
        <c:scaling>
          <c:orientation val="minMax"/>
        </c:scaling>
        <c:delete val="0"/>
        <c:axPos val="l"/>
        <c:majorGridlines/>
        <c:title>
          <c:tx>
            <c:rich>
              <a:bodyPr rot="-5400000" vert="horz"/>
              <a:lstStyle/>
              <a:p>
                <a:pPr>
                  <a:defRPr/>
                </a:pPr>
                <a:r>
                  <a:rPr lang="en-AU"/>
                  <a:t>$b</a:t>
                </a:r>
              </a:p>
            </c:rich>
          </c:tx>
          <c:overlay val="0"/>
        </c:title>
        <c:numFmt formatCode="General" sourceLinked="1"/>
        <c:majorTickMark val="out"/>
        <c:minorTickMark val="none"/>
        <c:tickLblPos val="nextTo"/>
        <c:spPr>
          <a:ln>
            <a:solidFill>
              <a:schemeClr val="tx1"/>
            </a:solidFill>
          </a:ln>
        </c:spPr>
        <c:crossAx val="159071232"/>
        <c:crosses val="autoZero"/>
        <c:crossBetween val="between"/>
      </c:valAx>
      <c:spPr>
        <a:noFill/>
        <a:ln>
          <a:solidFill>
            <a:schemeClr val="tx1"/>
          </a:solidFill>
        </a:ln>
      </c:spPr>
    </c:plotArea>
    <c:legend>
      <c:legendPos val="b"/>
      <c:layout>
        <c:manualLayout>
          <c:xMode val="edge"/>
          <c:yMode val="edge"/>
          <c:x val="0"/>
          <c:y val="0.82056979166666666"/>
          <c:w val="0.98853037037037039"/>
          <c:h val="0.15297187499999998"/>
        </c:manualLayout>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Sheet1!$B$3</c:f>
              <c:strCache>
                <c:ptCount val="1"/>
                <c:pt idx="0">
                  <c:v>Offshore petroleum (lhs)</c:v>
                </c:pt>
              </c:strCache>
            </c:strRef>
          </c:tx>
          <c:spPr>
            <a:ln w="44450">
              <a:solidFill>
                <a:sysClr val="window" lastClr="FFFFFF">
                  <a:lumMod val="65000"/>
                </a:sysClr>
              </a:solidFill>
              <a:prstDash val="solid"/>
            </a:ln>
          </c:spPr>
          <c:marker>
            <c:symbol val="none"/>
          </c:marker>
          <c:cat>
            <c:numRef>
              <c:f>Sheet1!$A$4:$A$28</c:f>
              <c:numCache>
                <c:formatCode>General</c:formatCode>
                <c:ptCount val="25"/>
                <c:pt idx="0">
                  <c:v>1988</c:v>
                </c:pt>
                <c:pt idx="1">
                  <c:v>1989</c:v>
                </c:pt>
                <c:pt idx="2">
                  <c:v>1990</c:v>
                </c:pt>
                <c:pt idx="3">
                  <c:v>1991</c:v>
                </c:pt>
                <c:pt idx="4">
                  <c:v>1992</c:v>
                </c:pt>
                <c:pt idx="5">
                  <c:v>1993</c:v>
                </c:pt>
                <c:pt idx="6">
                  <c:v>1994</c:v>
                </c:pt>
                <c:pt idx="7">
                  <c:v>1995</c:v>
                </c:pt>
                <c:pt idx="8">
                  <c:v>1996</c:v>
                </c:pt>
                <c:pt idx="9">
                  <c:v>1997</c:v>
                </c:pt>
                <c:pt idx="10">
                  <c:v>1998</c:v>
                </c:pt>
                <c:pt idx="11">
                  <c:v>1999</c:v>
                </c:pt>
                <c:pt idx="12">
                  <c:v>2000</c:v>
                </c:pt>
                <c:pt idx="13">
                  <c:v>2001</c:v>
                </c:pt>
                <c:pt idx="14">
                  <c:v>2002</c:v>
                </c:pt>
                <c:pt idx="15">
                  <c:v>2003</c:v>
                </c:pt>
                <c:pt idx="16">
                  <c:v>2004</c:v>
                </c:pt>
                <c:pt idx="17">
                  <c:v>2005</c:v>
                </c:pt>
                <c:pt idx="18">
                  <c:v>2006</c:v>
                </c:pt>
                <c:pt idx="19">
                  <c:v>2007</c:v>
                </c:pt>
                <c:pt idx="20">
                  <c:v>2008</c:v>
                </c:pt>
                <c:pt idx="21">
                  <c:v>2009</c:v>
                </c:pt>
                <c:pt idx="22">
                  <c:v>2010</c:v>
                </c:pt>
                <c:pt idx="23">
                  <c:v>2011</c:v>
                </c:pt>
                <c:pt idx="24">
                  <c:v>2012</c:v>
                </c:pt>
              </c:numCache>
            </c:numRef>
          </c:cat>
          <c:val>
            <c:numRef>
              <c:f>Sheet1!$B$4:$B$28</c:f>
              <c:numCache>
                <c:formatCode>General</c:formatCode>
                <c:ptCount val="25"/>
                <c:pt idx="7">
                  <c:v>4324.3621301819594</c:v>
                </c:pt>
                <c:pt idx="8">
                  <c:v>4228.4392841908048</c:v>
                </c:pt>
                <c:pt idx="9">
                  <c:v>4692.6900527342405</c:v>
                </c:pt>
                <c:pt idx="10">
                  <c:v>3777.7785503296286</c:v>
                </c:pt>
                <c:pt idx="11">
                  <c:v>5191.6952988084449</c:v>
                </c:pt>
                <c:pt idx="12">
                  <c:v>3573.6153247673988</c:v>
                </c:pt>
                <c:pt idx="13">
                  <c:v>5461.5748829700033</c:v>
                </c:pt>
                <c:pt idx="14">
                  <c:v>5532.8427998238794</c:v>
                </c:pt>
                <c:pt idx="15">
                  <c:v>5182.3208401875936</c:v>
                </c:pt>
                <c:pt idx="16">
                  <c:v>3834.034419777181</c:v>
                </c:pt>
                <c:pt idx="17">
                  <c:v>3665.3493078248721</c:v>
                </c:pt>
                <c:pt idx="18">
                  <c:v>3456.579566901115</c:v>
                </c:pt>
                <c:pt idx="19">
                  <c:v>6780.5925987515138</c:v>
                </c:pt>
                <c:pt idx="20">
                  <c:v>8643.2192615281983</c:v>
                </c:pt>
                <c:pt idx="21">
                  <c:v>10962.823670845206</c:v>
                </c:pt>
              </c:numCache>
            </c:numRef>
          </c:val>
          <c:smooth val="0"/>
        </c:ser>
        <c:ser>
          <c:idx val="1"/>
          <c:order val="1"/>
          <c:tx>
            <c:strRef>
              <c:f>Sheet1!$C$3</c:f>
              <c:strCache>
                <c:ptCount val="1"/>
                <c:pt idx="0">
                  <c:v>Onshore petroleum (lhs)</c:v>
                </c:pt>
              </c:strCache>
            </c:strRef>
          </c:tx>
          <c:spPr>
            <a:ln w="38100">
              <a:solidFill>
                <a:sysClr val="windowText" lastClr="000000"/>
              </a:solidFill>
              <a:prstDash val="solid"/>
            </a:ln>
            <a:effectLst/>
          </c:spPr>
          <c:marker>
            <c:symbol val="none"/>
          </c:marker>
          <c:cat>
            <c:numRef>
              <c:f>Sheet1!$A$4:$A$28</c:f>
              <c:numCache>
                <c:formatCode>General</c:formatCode>
                <c:ptCount val="25"/>
                <c:pt idx="0">
                  <c:v>1988</c:v>
                </c:pt>
                <c:pt idx="1">
                  <c:v>1989</c:v>
                </c:pt>
                <c:pt idx="2">
                  <c:v>1990</c:v>
                </c:pt>
                <c:pt idx="3">
                  <c:v>1991</c:v>
                </c:pt>
                <c:pt idx="4">
                  <c:v>1992</c:v>
                </c:pt>
                <c:pt idx="5">
                  <c:v>1993</c:v>
                </c:pt>
                <c:pt idx="6">
                  <c:v>1994</c:v>
                </c:pt>
                <c:pt idx="7">
                  <c:v>1995</c:v>
                </c:pt>
                <c:pt idx="8">
                  <c:v>1996</c:v>
                </c:pt>
                <c:pt idx="9">
                  <c:v>1997</c:v>
                </c:pt>
                <c:pt idx="10">
                  <c:v>1998</c:v>
                </c:pt>
                <c:pt idx="11">
                  <c:v>1999</c:v>
                </c:pt>
                <c:pt idx="12">
                  <c:v>2000</c:v>
                </c:pt>
                <c:pt idx="13">
                  <c:v>2001</c:v>
                </c:pt>
                <c:pt idx="14">
                  <c:v>2002</c:v>
                </c:pt>
                <c:pt idx="15">
                  <c:v>2003</c:v>
                </c:pt>
                <c:pt idx="16">
                  <c:v>2004</c:v>
                </c:pt>
                <c:pt idx="17">
                  <c:v>2005</c:v>
                </c:pt>
                <c:pt idx="18">
                  <c:v>2006</c:v>
                </c:pt>
                <c:pt idx="19">
                  <c:v>2007</c:v>
                </c:pt>
                <c:pt idx="20">
                  <c:v>2008</c:v>
                </c:pt>
                <c:pt idx="21">
                  <c:v>2009</c:v>
                </c:pt>
                <c:pt idx="22">
                  <c:v>2010</c:v>
                </c:pt>
                <c:pt idx="23">
                  <c:v>2011</c:v>
                </c:pt>
                <c:pt idx="24">
                  <c:v>2012</c:v>
                </c:pt>
              </c:numCache>
            </c:numRef>
          </c:cat>
          <c:val>
            <c:numRef>
              <c:f>Sheet1!$C$4:$C$28</c:f>
              <c:numCache>
                <c:formatCode>General</c:formatCode>
                <c:ptCount val="25"/>
                <c:pt idx="7">
                  <c:v>812.62176658075464</c:v>
                </c:pt>
                <c:pt idx="8">
                  <c:v>785.03629736569928</c:v>
                </c:pt>
                <c:pt idx="9">
                  <c:v>1162.1341493637447</c:v>
                </c:pt>
                <c:pt idx="10">
                  <c:v>1287.9211163416005</c:v>
                </c:pt>
                <c:pt idx="11">
                  <c:v>1822.7181899645375</c:v>
                </c:pt>
                <c:pt idx="12">
                  <c:v>1083.3555508480381</c:v>
                </c:pt>
                <c:pt idx="13">
                  <c:v>904.37713570636629</c:v>
                </c:pt>
                <c:pt idx="14">
                  <c:v>1513.2191624099487</c:v>
                </c:pt>
                <c:pt idx="15">
                  <c:v>1598.0873265224602</c:v>
                </c:pt>
                <c:pt idx="16">
                  <c:v>895.76496784948438</c:v>
                </c:pt>
                <c:pt idx="17">
                  <c:v>1276.5619583113371</c:v>
                </c:pt>
                <c:pt idx="18">
                  <c:v>1094.5060274728555</c:v>
                </c:pt>
                <c:pt idx="19">
                  <c:v>1408.4213391843457</c:v>
                </c:pt>
                <c:pt idx="20">
                  <c:v>2927.2293845520694</c:v>
                </c:pt>
                <c:pt idx="21">
                  <c:v>4778.9538361781242</c:v>
                </c:pt>
              </c:numCache>
            </c:numRef>
          </c:val>
          <c:smooth val="0"/>
        </c:ser>
        <c:dLbls>
          <c:showLegendKey val="0"/>
          <c:showVal val="0"/>
          <c:showCatName val="0"/>
          <c:showSerName val="0"/>
          <c:showPercent val="0"/>
          <c:showBubbleSize val="0"/>
        </c:dLbls>
        <c:marker val="1"/>
        <c:smooth val="0"/>
        <c:axId val="159115136"/>
        <c:axId val="159116672"/>
      </c:lineChart>
      <c:lineChart>
        <c:grouping val="standard"/>
        <c:varyColors val="0"/>
        <c:ser>
          <c:idx val="2"/>
          <c:order val="2"/>
          <c:tx>
            <c:strRef>
              <c:f>Sheet1!$D$3</c:f>
              <c:strCache>
                <c:ptCount val="1"/>
                <c:pt idx="0">
                  <c:v>Minerals and Coal (rhs)</c:v>
                </c:pt>
              </c:strCache>
            </c:strRef>
          </c:tx>
          <c:spPr>
            <a:ln w="44450">
              <a:solidFill>
                <a:sysClr val="windowText" lastClr="000000"/>
              </a:solidFill>
              <a:prstDash val="sysDot"/>
            </a:ln>
            <a:effectLst/>
          </c:spPr>
          <c:marker>
            <c:symbol val="none"/>
          </c:marker>
          <c:cat>
            <c:numRef>
              <c:f>Sheet1!$A$4:$A$28</c:f>
              <c:numCache>
                <c:formatCode>General</c:formatCode>
                <c:ptCount val="25"/>
                <c:pt idx="0">
                  <c:v>1988</c:v>
                </c:pt>
                <c:pt idx="1">
                  <c:v>1989</c:v>
                </c:pt>
                <c:pt idx="2">
                  <c:v>1990</c:v>
                </c:pt>
                <c:pt idx="3">
                  <c:v>1991</c:v>
                </c:pt>
                <c:pt idx="4">
                  <c:v>1992</c:v>
                </c:pt>
                <c:pt idx="5">
                  <c:v>1993</c:v>
                </c:pt>
                <c:pt idx="6">
                  <c:v>1994</c:v>
                </c:pt>
                <c:pt idx="7">
                  <c:v>1995</c:v>
                </c:pt>
                <c:pt idx="8">
                  <c:v>1996</c:v>
                </c:pt>
                <c:pt idx="9">
                  <c:v>1997</c:v>
                </c:pt>
                <c:pt idx="10">
                  <c:v>1998</c:v>
                </c:pt>
                <c:pt idx="11">
                  <c:v>1999</c:v>
                </c:pt>
                <c:pt idx="12">
                  <c:v>2000</c:v>
                </c:pt>
                <c:pt idx="13">
                  <c:v>2001</c:v>
                </c:pt>
                <c:pt idx="14">
                  <c:v>2002</c:v>
                </c:pt>
                <c:pt idx="15">
                  <c:v>2003</c:v>
                </c:pt>
                <c:pt idx="16">
                  <c:v>2004</c:v>
                </c:pt>
                <c:pt idx="17">
                  <c:v>2005</c:v>
                </c:pt>
                <c:pt idx="18">
                  <c:v>2006</c:v>
                </c:pt>
                <c:pt idx="19">
                  <c:v>2007</c:v>
                </c:pt>
                <c:pt idx="20">
                  <c:v>2008</c:v>
                </c:pt>
                <c:pt idx="21">
                  <c:v>2009</c:v>
                </c:pt>
                <c:pt idx="22">
                  <c:v>2010</c:v>
                </c:pt>
                <c:pt idx="23">
                  <c:v>2011</c:v>
                </c:pt>
                <c:pt idx="24">
                  <c:v>2012</c:v>
                </c:pt>
              </c:numCache>
            </c:numRef>
          </c:cat>
          <c:val>
            <c:numRef>
              <c:f>Sheet1!$D$4:$D$28</c:f>
              <c:numCache>
                <c:formatCode>0</c:formatCode>
                <c:ptCount val="25"/>
                <c:pt idx="0">
                  <c:v>203.4764127471388</c:v>
                </c:pt>
                <c:pt idx="1">
                  <c:v>206.24060277397658</c:v>
                </c:pt>
                <c:pt idx="2">
                  <c:v>175.77684034563998</c:v>
                </c:pt>
                <c:pt idx="3">
                  <c:v>172.17833288037502</c:v>
                </c:pt>
                <c:pt idx="4">
                  <c:v>180.13446640588015</c:v>
                </c:pt>
                <c:pt idx="5">
                  <c:v>157.0251758607923</c:v>
                </c:pt>
                <c:pt idx="6">
                  <c:v>142.33201231378933</c:v>
                </c:pt>
                <c:pt idx="7">
                  <c:v>145.54494388335831</c:v>
                </c:pt>
                <c:pt idx="8">
                  <c:v>150.00872622910552</c:v>
                </c:pt>
                <c:pt idx="9">
                  <c:v>145.14431029283861</c:v>
                </c:pt>
                <c:pt idx="10">
                  <c:v>152.37178173252587</c:v>
                </c:pt>
                <c:pt idx="11">
                  <c:v>164.79514658684357</c:v>
                </c:pt>
                <c:pt idx="12">
                  <c:v>175.1236139378139</c:v>
                </c:pt>
                <c:pt idx="13">
                  <c:v>174.16328987271189</c:v>
                </c:pt>
                <c:pt idx="14">
                  <c:v>191.32953737882102</c:v>
                </c:pt>
                <c:pt idx="15">
                  <c:v>199.46833794933991</c:v>
                </c:pt>
                <c:pt idx="16">
                  <c:v>188.66289128476041</c:v>
                </c:pt>
                <c:pt idx="17">
                  <c:v>198.78138127185537</c:v>
                </c:pt>
                <c:pt idx="18">
                  <c:v>227.12194296016941</c:v>
                </c:pt>
                <c:pt idx="19">
                  <c:v>241.88349562547711</c:v>
                </c:pt>
                <c:pt idx="20">
                  <c:v>287.74265521249458</c:v>
                </c:pt>
                <c:pt idx="21">
                  <c:v>306.30022473664638</c:v>
                </c:pt>
                <c:pt idx="22">
                  <c:v>289.56411412635691</c:v>
                </c:pt>
                <c:pt idx="23">
                  <c:v>308.84388564123191</c:v>
                </c:pt>
                <c:pt idx="24">
                  <c:v>346.49299651140365</c:v>
                </c:pt>
              </c:numCache>
            </c:numRef>
          </c:val>
          <c:smooth val="0"/>
        </c:ser>
        <c:dLbls>
          <c:showLegendKey val="0"/>
          <c:showVal val="0"/>
          <c:showCatName val="0"/>
          <c:showSerName val="0"/>
          <c:showPercent val="0"/>
          <c:showBubbleSize val="0"/>
        </c:dLbls>
        <c:marker val="1"/>
        <c:smooth val="0"/>
        <c:axId val="159120768"/>
        <c:axId val="159118848"/>
      </c:lineChart>
      <c:catAx>
        <c:axId val="159115136"/>
        <c:scaling>
          <c:orientation val="minMax"/>
        </c:scaling>
        <c:delete val="0"/>
        <c:axPos val="b"/>
        <c:numFmt formatCode="General" sourceLinked="1"/>
        <c:majorTickMark val="out"/>
        <c:minorTickMark val="none"/>
        <c:tickLblPos val="nextTo"/>
        <c:crossAx val="159116672"/>
        <c:crosses val="autoZero"/>
        <c:auto val="1"/>
        <c:lblAlgn val="ctr"/>
        <c:lblOffset val="100"/>
        <c:noMultiLvlLbl val="0"/>
      </c:catAx>
      <c:valAx>
        <c:axId val="159116672"/>
        <c:scaling>
          <c:orientation val="minMax"/>
          <c:max val="12000"/>
        </c:scaling>
        <c:delete val="0"/>
        <c:axPos val="l"/>
        <c:majorGridlines/>
        <c:title>
          <c:tx>
            <c:rich>
              <a:bodyPr rot="-5400000" vert="horz"/>
              <a:lstStyle/>
              <a:p>
                <a:pPr>
                  <a:defRPr/>
                </a:pPr>
                <a:r>
                  <a:rPr lang="en-AU"/>
                  <a:t>petroleum</a:t>
                </a:r>
              </a:p>
            </c:rich>
          </c:tx>
          <c:overlay val="0"/>
        </c:title>
        <c:numFmt formatCode="General" sourceLinked="1"/>
        <c:majorTickMark val="out"/>
        <c:minorTickMark val="none"/>
        <c:tickLblPos val="nextTo"/>
        <c:spPr>
          <a:ln>
            <a:solidFill>
              <a:schemeClr val="tx1"/>
            </a:solidFill>
          </a:ln>
        </c:spPr>
        <c:crossAx val="159115136"/>
        <c:crosses val="autoZero"/>
        <c:crossBetween val="between"/>
        <c:majorUnit val="3000"/>
      </c:valAx>
      <c:valAx>
        <c:axId val="159118848"/>
        <c:scaling>
          <c:orientation val="minMax"/>
        </c:scaling>
        <c:delete val="0"/>
        <c:axPos val="r"/>
        <c:title>
          <c:tx>
            <c:rich>
              <a:bodyPr rot="-5400000" vert="horz"/>
              <a:lstStyle/>
              <a:p>
                <a:pPr>
                  <a:defRPr/>
                </a:pPr>
                <a:r>
                  <a:rPr lang="en-AU" baseline="0"/>
                  <a:t>minerals and coal</a:t>
                </a:r>
                <a:endParaRPr lang="en-AU"/>
              </a:p>
            </c:rich>
          </c:tx>
          <c:overlay val="0"/>
        </c:title>
        <c:numFmt formatCode="0" sourceLinked="1"/>
        <c:majorTickMark val="out"/>
        <c:minorTickMark val="none"/>
        <c:tickLblPos val="nextTo"/>
        <c:crossAx val="159120768"/>
        <c:crosses val="max"/>
        <c:crossBetween val="between"/>
        <c:majorUnit val="100"/>
      </c:valAx>
      <c:catAx>
        <c:axId val="159120768"/>
        <c:scaling>
          <c:orientation val="minMax"/>
        </c:scaling>
        <c:delete val="1"/>
        <c:axPos val="b"/>
        <c:numFmt formatCode="General" sourceLinked="1"/>
        <c:majorTickMark val="out"/>
        <c:minorTickMark val="none"/>
        <c:tickLblPos val="nextTo"/>
        <c:crossAx val="159118848"/>
        <c:crosses val="autoZero"/>
        <c:auto val="1"/>
        <c:lblAlgn val="ctr"/>
        <c:lblOffset val="100"/>
        <c:noMultiLvlLbl val="0"/>
      </c:catAx>
      <c:spPr>
        <a:noFill/>
        <a:ln>
          <a:solidFill>
            <a:schemeClr val="tx1"/>
          </a:solidFill>
        </a:ln>
      </c:spPr>
    </c:plotArea>
    <c:legend>
      <c:legendPos val="b"/>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'Discoveries (trial for Les)'!$M$45</c:f>
              <c:strCache>
                <c:ptCount val="1"/>
                <c:pt idx="0">
                  <c:v>Giant</c:v>
                </c:pt>
              </c:strCache>
            </c:strRef>
          </c:tx>
          <c:spPr>
            <a:solidFill>
              <a:sysClr val="window" lastClr="FFFFFF"/>
            </a:solidFill>
            <a:ln>
              <a:solidFill>
                <a:sysClr val="windowText" lastClr="000000"/>
              </a:solidFill>
            </a:ln>
          </c:spPr>
          <c:invertIfNegative val="0"/>
          <c:cat>
            <c:strRef>
              <c:f>'Discoveries (trial for Les)'!$L$46:$L$50</c:f>
              <c:strCache>
                <c:ptCount val="5"/>
                <c:pt idx="0">
                  <c:v>88-92</c:v>
                </c:pt>
                <c:pt idx="1">
                  <c:v>93-97</c:v>
                </c:pt>
                <c:pt idx="2">
                  <c:v>98-02</c:v>
                </c:pt>
                <c:pt idx="3">
                  <c:v>03-07</c:v>
                </c:pt>
                <c:pt idx="4">
                  <c:v>08-12</c:v>
                </c:pt>
              </c:strCache>
            </c:strRef>
          </c:cat>
          <c:val>
            <c:numRef>
              <c:f>'Discoveries (trial for Les)'!$M$46:$M$50</c:f>
              <c:numCache>
                <c:formatCode>General</c:formatCode>
                <c:ptCount val="5"/>
                <c:pt idx="0">
                  <c:v>7</c:v>
                </c:pt>
                <c:pt idx="1">
                  <c:v>7</c:v>
                </c:pt>
                <c:pt idx="2">
                  <c:v>3</c:v>
                </c:pt>
                <c:pt idx="3">
                  <c:v>3</c:v>
                </c:pt>
                <c:pt idx="4">
                  <c:v>0</c:v>
                </c:pt>
              </c:numCache>
            </c:numRef>
          </c:val>
        </c:ser>
        <c:ser>
          <c:idx val="1"/>
          <c:order val="1"/>
          <c:tx>
            <c:strRef>
              <c:f>'Discoveries (trial for Les)'!$N$45</c:f>
              <c:strCache>
                <c:ptCount val="1"/>
                <c:pt idx="0">
                  <c:v>Major</c:v>
                </c:pt>
              </c:strCache>
            </c:strRef>
          </c:tx>
          <c:spPr>
            <a:pattFill prst="wdUpDiag">
              <a:fgClr>
                <a:schemeClr val="tx1"/>
              </a:fgClr>
              <a:bgClr>
                <a:schemeClr val="bg1"/>
              </a:bgClr>
            </a:pattFill>
            <a:ln>
              <a:solidFill>
                <a:sysClr val="windowText" lastClr="000000"/>
              </a:solidFill>
            </a:ln>
          </c:spPr>
          <c:invertIfNegative val="0"/>
          <c:cat>
            <c:strRef>
              <c:f>'Discoveries (trial for Les)'!$L$46:$L$50</c:f>
              <c:strCache>
                <c:ptCount val="5"/>
                <c:pt idx="0">
                  <c:v>88-92</c:v>
                </c:pt>
                <c:pt idx="1">
                  <c:v>93-97</c:v>
                </c:pt>
                <c:pt idx="2">
                  <c:v>98-02</c:v>
                </c:pt>
                <c:pt idx="3">
                  <c:v>03-07</c:v>
                </c:pt>
                <c:pt idx="4">
                  <c:v>08-12</c:v>
                </c:pt>
              </c:strCache>
            </c:strRef>
          </c:cat>
          <c:val>
            <c:numRef>
              <c:f>'Discoveries (trial for Les)'!$N$46:$N$50</c:f>
              <c:numCache>
                <c:formatCode>General</c:formatCode>
                <c:ptCount val="5"/>
                <c:pt idx="0">
                  <c:v>18</c:v>
                </c:pt>
                <c:pt idx="1">
                  <c:v>19</c:v>
                </c:pt>
                <c:pt idx="2">
                  <c:v>13</c:v>
                </c:pt>
                <c:pt idx="3">
                  <c:v>10</c:v>
                </c:pt>
                <c:pt idx="4">
                  <c:v>10</c:v>
                </c:pt>
              </c:numCache>
            </c:numRef>
          </c:val>
        </c:ser>
        <c:ser>
          <c:idx val="2"/>
          <c:order val="2"/>
          <c:tx>
            <c:strRef>
              <c:f>'Discoveries (trial for Les)'!$O$45</c:f>
              <c:strCache>
                <c:ptCount val="1"/>
                <c:pt idx="0">
                  <c:v>Moderate</c:v>
                </c:pt>
              </c:strCache>
            </c:strRef>
          </c:tx>
          <c:spPr>
            <a:solidFill>
              <a:schemeClr val="bg1">
                <a:lumMod val="50000"/>
              </a:schemeClr>
            </a:solidFill>
            <a:ln>
              <a:solidFill>
                <a:sysClr val="windowText" lastClr="000000"/>
              </a:solidFill>
            </a:ln>
          </c:spPr>
          <c:invertIfNegative val="0"/>
          <c:cat>
            <c:strRef>
              <c:f>'Discoveries (trial for Les)'!$L$46:$L$50</c:f>
              <c:strCache>
                <c:ptCount val="5"/>
                <c:pt idx="0">
                  <c:v>88-92</c:v>
                </c:pt>
                <c:pt idx="1">
                  <c:v>93-97</c:v>
                </c:pt>
                <c:pt idx="2">
                  <c:v>98-02</c:v>
                </c:pt>
                <c:pt idx="3">
                  <c:v>03-07</c:v>
                </c:pt>
                <c:pt idx="4">
                  <c:v>08-12</c:v>
                </c:pt>
              </c:strCache>
            </c:strRef>
          </c:cat>
          <c:val>
            <c:numRef>
              <c:f>'Discoveries (trial for Les)'!$O$46:$O$50</c:f>
              <c:numCache>
                <c:formatCode>General</c:formatCode>
                <c:ptCount val="5"/>
                <c:pt idx="0">
                  <c:v>31</c:v>
                </c:pt>
                <c:pt idx="1">
                  <c:v>47</c:v>
                </c:pt>
                <c:pt idx="2">
                  <c:v>21</c:v>
                </c:pt>
                <c:pt idx="3">
                  <c:v>25</c:v>
                </c:pt>
                <c:pt idx="4">
                  <c:v>30</c:v>
                </c:pt>
              </c:numCache>
            </c:numRef>
          </c:val>
        </c:ser>
        <c:dLbls>
          <c:showLegendKey val="0"/>
          <c:showVal val="0"/>
          <c:showCatName val="0"/>
          <c:showSerName val="0"/>
          <c:showPercent val="0"/>
          <c:showBubbleSize val="0"/>
        </c:dLbls>
        <c:gapWidth val="150"/>
        <c:axId val="161463296"/>
        <c:axId val="161473280"/>
      </c:barChart>
      <c:lineChart>
        <c:grouping val="standard"/>
        <c:varyColors val="0"/>
        <c:ser>
          <c:idx val="3"/>
          <c:order val="3"/>
          <c:tx>
            <c:strRef>
              <c:f>'Discoveries (trial for Les)'!$P$45</c:f>
              <c:strCache>
                <c:ptCount val="1"/>
                <c:pt idx="0">
                  <c:v>Expenditure</c:v>
                </c:pt>
              </c:strCache>
            </c:strRef>
          </c:tx>
          <c:spPr>
            <a:ln>
              <a:noFill/>
            </a:ln>
          </c:spPr>
          <c:marker>
            <c:symbol val="picture"/>
            <c:spPr>
              <a:blipFill>
                <a:blip xmlns:r="http://schemas.openxmlformats.org/officeDocument/2006/relationships" r:embed="rId2"/>
                <a:stretch>
                  <a:fillRect/>
                </a:stretch>
              </a:blipFill>
              <a:ln w="25400">
                <a:noFill/>
              </a:ln>
            </c:spPr>
          </c:marker>
          <c:dPt>
            <c:idx val="6"/>
            <c:marker>
              <c:spPr>
                <a:blipFill>
                  <a:blip xmlns:r="http://schemas.openxmlformats.org/officeDocument/2006/relationships" r:embed="rId2"/>
                  <a:stretch>
                    <a:fillRect/>
                  </a:stretch>
                </a:blipFill>
                <a:ln w="9525">
                  <a:noFill/>
                </a:ln>
              </c:spPr>
            </c:marker>
            <c:bubble3D val="0"/>
          </c:dPt>
          <c:cat>
            <c:strRef>
              <c:f>'Discoveries (trial for Les)'!$L$46:$L$50</c:f>
              <c:strCache>
                <c:ptCount val="5"/>
                <c:pt idx="0">
                  <c:v>88-92</c:v>
                </c:pt>
                <c:pt idx="1">
                  <c:v>93-97</c:v>
                </c:pt>
                <c:pt idx="2">
                  <c:v>98-02</c:v>
                </c:pt>
                <c:pt idx="3">
                  <c:v>03-07</c:v>
                </c:pt>
                <c:pt idx="4">
                  <c:v>08-12</c:v>
                </c:pt>
              </c:strCache>
            </c:strRef>
          </c:cat>
          <c:val>
            <c:numRef>
              <c:f>'Discoveries (trial for Les)'!$P$46:$P$50</c:f>
              <c:numCache>
                <c:formatCode>General</c:formatCode>
                <c:ptCount val="5"/>
                <c:pt idx="0">
                  <c:v>5.892064285195028</c:v>
                </c:pt>
                <c:pt idx="1">
                  <c:v>6.8908515043884693</c:v>
                </c:pt>
                <c:pt idx="2">
                  <c:v>5.4452502335698449</c:v>
                </c:pt>
                <c:pt idx="3">
                  <c:v>5.3493874546017874</c:v>
                </c:pt>
                <c:pt idx="4">
                  <c:v>8.7342726988039008</c:v>
                </c:pt>
              </c:numCache>
            </c:numRef>
          </c:val>
          <c:smooth val="0"/>
        </c:ser>
        <c:dLbls>
          <c:showLegendKey val="0"/>
          <c:showVal val="0"/>
          <c:showCatName val="0"/>
          <c:showSerName val="0"/>
          <c:showPercent val="0"/>
          <c:showBubbleSize val="0"/>
        </c:dLbls>
        <c:marker val="1"/>
        <c:smooth val="0"/>
        <c:axId val="162870016"/>
        <c:axId val="161475200"/>
      </c:lineChart>
      <c:catAx>
        <c:axId val="161463296"/>
        <c:scaling>
          <c:orientation val="minMax"/>
        </c:scaling>
        <c:delete val="0"/>
        <c:axPos val="b"/>
        <c:majorTickMark val="out"/>
        <c:minorTickMark val="none"/>
        <c:tickLblPos val="nextTo"/>
        <c:crossAx val="161473280"/>
        <c:crosses val="autoZero"/>
        <c:auto val="1"/>
        <c:lblAlgn val="ctr"/>
        <c:lblOffset val="100"/>
        <c:noMultiLvlLbl val="0"/>
      </c:catAx>
      <c:valAx>
        <c:axId val="161473280"/>
        <c:scaling>
          <c:orientation val="minMax"/>
        </c:scaling>
        <c:delete val="0"/>
        <c:axPos val="l"/>
        <c:majorGridlines/>
        <c:title>
          <c:tx>
            <c:rich>
              <a:bodyPr rot="-5400000" vert="horz"/>
              <a:lstStyle/>
              <a:p>
                <a:pPr>
                  <a:defRPr/>
                </a:pPr>
                <a:r>
                  <a:rPr lang="en-AU"/>
                  <a:t>Discoveries</a:t>
                </a:r>
              </a:p>
            </c:rich>
          </c:tx>
          <c:overlay val="0"/>
        </c:title>
        <c:numFmt formatCode="General" sourceLinked="1"/>
        <c:majorTickMark val="out"/>
        <c:minorTickMark val="none"/>
        <c:tickLblPos val="nextTo"/>
        <c:spPr>
          <a:ln>
            <a:solidFill>
              <a:schemeClr val="tx1"/>
            </a:solidFill>
          </a:ln>
        </c:spPr>
        <c:crossAx val="161463296"/>
        <c:crosses val="autoZero"/>
        <c:crossBetween val="between"/>
        <c:majorUnit val="10"/>
      </c:valAx>
      <c:valAx>
        <c:axId val="161475200"/>
        <c:scaling>
          <c:orientation val="minMax"/>
          <c:max val="10"/>
          <c:min val="0"/>
        </c:scaling>
        <c:delete val="0"/>
        <c:axPos val="r"/>
        <c:title>
          <c:tx>
            <c:rich>
              <a:bodyPr rot="-5400000" vert="horz"/>
              <a:lstStyle/>
              <a:p>
                <a:pPr>
                  <a:defRPr/>
                </a:pPr>
                <a:r>
                  <a:rPr lang="en-AU"/>
                  <a:t>$ billion (2011-12 prices)</a:t>
                </a:r>
              </a:p>
            </c:rich>
          </c:tx>
          <c:overlay val="0"/>
        </c:title>
        <c:numFmt formatCode="General" sourceLinked="1"/>
        <c:majorTickMark val="out"/>
        <c:minorTickMark val="none"/>
        <c:tickLblPos val="nextTo"/>
        <c:crossAx val="162870016"/>
        <c:crosses val="max"/>
        <c:crossBetween val="between"/>
        <c:majorUnit val="2"/>
      </c:valAx>
      <c:catAx>
        <c:axId val="162870016"/>
        <c:scaling>
          <c:orientation val="minMax"/>
        </c:scaling>
        <c:delete val="1"/>
        <c:axPos val="b"/>
        <c:majorTickMark val="out"/>
        <c:minorTickMark val="none"/>
        <c:tickLblPos val="nextTo"/>
        <c:crossAx val="161475200"/>
        <c:crosses val="autoZero"/>
        <c:auto val="1"/>
        <c:lblAlgn val="ctr"/>
        <c:lblOffset val="100"/>
        <c:noMultiLvlLbl val="0"/>
      </c:catAx>
      <c:spPr>
        <a:noFill/>
        <a:ln>
          <a:solidFill>
            <a:schemeClr val="tx1"/>
          </a:solid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baseline="0">
          <a:latin typeface="Arial" pitchFamily="34" charset="0"/>
        </a:defRPr>
      </a:pPr>
      <a:endParaRPr lang="en-US"/>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646625421822272"/>
          <c:y val="3.5105242194920186E-2"/>
          <c:w val="0.75754368203974498"/>
          <c:h val="0.72748326988927714"/>
        </c:manualLayout>
      </c:layout>
      <c:barChart>
        <c:barDir val="col"/>
        <c:grouping val="clustered"/>
        <c:varyColors val="0"/>
        <c:ser>
          <c:idx val="0"/>
          <c:order val="0"/>
          <c:tx>
            <c:strRef>
              <c:f>'MEG data Aust share'!$B$37</c:f>
              <c:strCache>
                <c:ptCount val="1"/>
                <c:pt idx="0">
                  <c:v>World</c:v>
                </c:pt>
              </c:strCache>
            </c:strRef>
          </c:tx>
          <c:spPr>
            <a:solidFill>
              <a:schemeClr val="tx1">
                <a:lumMod val="50000"/>
                <a:lumOff val="50000"/>
              </a:schemeClr>
            </a:solidFill>
            <a:ln>
              <a:solidFill>
                <a:schemeClr val="tx1"/>
              </a:solidFill>
            </a:ln>
          </c:spPr>
          <c:invertIfNegative val="0"/>
          <c:cat>
            <c:numRef>
              <c:f>'MEG data Aust share'!$A$38:$A$58</c:f>
              <c:numCache>
                <c:formatCode>General</c:formatCode>
                <c:ptCount val="21"/>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numCache>
            </c:numRef>
          </c:cat>
          <c:val>
            <c:numRef>
              <c:f>'MEG data Aust share'!$B$38:$B$58</c:f>
              <c:numCache>
                <c:formatCode>General</c:formatCode>
                <c:ptCount val="21"/>
                <c:pt idx="0">
                  <c:v>2.2999999999999998</c:v>
                </c:pt>
                <c:pt idx="1">
                  <c:v>2.2000000000000002</c:v>
                </c:pt>
                <c:pt idx="2">
                  <c:v>2.5</c:v>
                </c:pt>
                <c:pt idx="3">
                  <c:v>2.9</c:v>
                </c:pt>
                <c:pt idx="4">
                  <c:v>3.5</c:v>
                </c:pt>
                <c:pt idx="5">
                  <c:v>4.5999999999999996</c:v>
                </c:pt>
                <c:pt idx="6">
                  <c:v>5.2</c:v>
                </c:pt>
                <c:pt idx="7">
                  <c:v>3.7</c:v>
                </c:pt>
                <c:pt idx="8">
                  <c:v>2.8</c:v>
                </c:pt>
                <c:pt idx="9">
                  <c:v>2.6</c:v>
                </c:pt>
                <c:pt idx="10">
                  <c:v>2.2000000000000002</c:v>
                </c:pt>
                <c:pt idx="11">
                  <c:v>1.9</c:v>
                </c:pt>
                <c:pt idx="12">
                  <c:v>2.4</c:v>
                </c:pt>
                <c:pt idx="13">
                  <c:v>3.8</c:v>
                </c:pt>
                <c:pt idx="14">
                  <c:v>5.0999999999999996</c:v>
                </c:pt>
                <c:pt idx="15">
                  <c:v>7.5</c:v>
                </c:pt>
                <c:pt idx="16">
                  <c:v>10.5</c:v>
                </c:pt>
                <c:pt idx="17">
                  <c:v>13.2</c:v>
                </c:pt>
                <c:pt idx="18">
                  <c:v>7.98</c:v>
                </c:pt>
                <c:pt idx="19">
                  <c:v>11.2</c:v>
                </c:pt>
                <c:pt idx="20">
                  <c:v>17.3</c:v>
                </c:pt>
              </c:numCache>
            </c:numRef>
          </c:val>
        </c:ser>
        <c:ser>
          <c:idx val="1"/>
          <c:order val="1"/>
          <c:tx>
            <c:strRef>
              <c:f>'MEG data Aust share'!$C$37</c:f>
              <c:strCache>
                <c:ptCount val="1"/>
                <c:pt idx="0">
                  <c:v>Australia</c:v>
                </c:pt>
              </c:strCache>
            </c:strRef>
          </c:tx>
          <c:spPr>
            <a:pattFill prst="pct25">
              <a:fgClr>
                <a:schemeClr val="tx1"/>
              </a:fgClr>
              <a:bgClr>
                <a:schemeClr val="bg2"/>
              </a:bgClr>
            </a:pattFill>
            <a:ln>
              <a:solidFill>
                <a:schemeClr val="tx1"/>
              </a:solidFill>
            </a:ln>
          </c:spPr>
          <c:invertIfNegative val="0"/>
          <c:cat>
            <c:numRef>
              <c:f>'MEG data Aust share'!$A$38:$A$58</c:f>
              <c:numCache>
                <c:formatCode>General</c:formatCode>
                <c:ptCount val="21"/>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numCache>
            </c:numRef>
          </c:cat>
          <c:val>
            <c:numRef>
              <c:f>'MEG data Aust share'!$C$38:$C$58</c:f>
              <c:numCache>
                <c:formatCode>0.00</c:formatCode>
                <c:ptCount val="21"/>
                <c:pt idx="0">
                  <c:v>0.43328124999999995</c:v>
                </c:pt>
                <c:pt idx="1">
                  <c:v>0.38735294117647062</c:v>
                </c:pt>
                <c:pt idx="2">
                  <c:v>0.39108843537414961</c:v>
                </c:pt>
                <c:pt idx="3">
                  <c:v>0.53905109489051084</c:v>
                </c:pt>
                <c:pt idx="4">
                  <c:v>0.6187407407407407</c:v>
                </c:pt>
                <c:pt idx="5">
                  <c:v>0.68265624999999996</c:v>
                </c:pt>
                <c:pt idx="6">
                  <c:v>0.76977777777777767</c:v>
                </c:pt>
                <c:pt idx="7">
                  <c:v>0.59742138364779873</c:v>
                </c:pt>
                <c:pt idx="8">
                  <c:v>0.47812903225806452</c:v>
                </c:pt>
                <c:pt idx="9">
                  <c:v>0.34372093023255812</c:v>
                </c:pt>
                <c:pt idx="10">
                  <c:v>0.31165803108808293</c:v>
                </c:pt>
                <c:pt idx="11">
                  <c:v>0.30228260869565216</c:v>
                </c:pt>
                <c:pt idx="12">
                  <c:v>0.39201298701298698</c:v>
                </c:pt>
                <c:pt idx="13">
                  <c:v>0.46404411764705872</c:v>
                </c:pt>
                <c:pt idx="14">
                  <c:v>0.56694656488549622</c:v>
                </c:pt>
                <c:pt idx="15">
                  <c:v>0.64443609022556381</c:v>
                </c:pt>
                <c:pt idx="16">
                  <c:v>0.93500000000000005</c:v>
                </c:pt>
                <c:pt idx="17">
                  <c:v>1.2983193277310925</c:v>
                </c:pt>
                <c:pt idx="18">
                  <c:v>0.89976562500000001</c:v>
                </c:pt>
                <c:pt idx="19">
                  <c:v>1.1120366972477063</c:v>
                </c:pt>
                <c:pt idx="20">
                  <c:v>1.5928659793814435</c:v>
                </c:pt>
              </c:numCache>
            </c:numRef>
          </c:val>
        </c:ser>
        <c:dLbls>
          <c:showLegendKey val="0"/>
          <c:showVal val="0"/>
          <c:showCatName val="0"/>
          <c:showSerName val="0"/>
          <c:showPercent val="0"/>
          <c:showBubbleSize val="0"/>
        </c:dLbls>
        <c:gapWidth val="55"/>
        <c:axId val="162883456"/>
        <c:axId val="162889728"/>
      </c:barChart>
      <c:lineChart>
        <c:grouping val="standard"/>
        <c:varyColors val="0"/>
        <c:ser>
          <c:idx val="2"/>
          <c:order val="2"/>
          <c:tx>
            <c:strRef>
              <c:f>'MEG data Aust share'!$D$37</c:f>
              <c:strCache>
                <c:ptCount val="1"/>
                <c:pt idx="0">
                  <c:v>Share (RHS)</c:v>
                </c:pt>
              </c:strCache>
            </c:strRef>
          </c:tx>
          <c:spPr>
            <a:ln w="15875">
              <a:solidFill>
                <a:schemeClr val="tx1"/>
              </a:solidFill>
            </a:ln>
          </c:spPr>
          <c:marker>
            <c:symbol val="circle"/>
            <c:size val="5"/>
            <c:spPr>
              <a:solidFill>
                <a:schemeClr val="tx1"/>
              </a:solidFill>
            </c:spPr>
          </c:marker>
          <c:cat>
            <c:numRef>
              <c:f>'MEG data Aust share'!$A$38:$A$58</c:f>
              <c:numCache>
                <c:formatCode>General</c:formatCode>
                <c:ptCount val="21"/>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numCache>
            </c:numRef>
          </c:cat>
          <c:val>
            <c:numRef>
              <c:f>'MEG data Aust share'!$D$38:$D$58</c:f>
              <c:numCache>
                <c:formatCode>0.0</c:formatCode>
                <c:ptCount val="21"/>
                <c:pt idx="0">
                  <c:v>18.838315217391301</c:v>
                </c:pt>
                <c:pt idx="1">
                  <c:v>17.606951871657756</c:v>
                </c:pt>
                <c:pt idx="2">
                  <c:v>15.643537414965985</c:v>
                </c:pt>
                <c:pt idx="3">
                  <c:v>18.587968789327959</c:v>
                </c:pt>
                <c:pt idx="4">
                  <c:v>17.678306878306877</c:v>
                </c:pt>
                <c:pt idx="5">
                  <c:v>14.840353260869566</c:v>
                </c:pt>
                <c:pt idx="6">
                  <c:v>14.803418803418799</c:v>
                </c:pt>
                <c:pt idx="7">
                  <c:v>16.146523882372939</c:v>
                </c:pt>
                <c:pt idx="8">
                  <c:v>17.076036866359448</c:v>
                </c:pt>
                <c:pt idx="9">
                  <c:v>13.220035778175314</c:v>
                </c:pt>
                <c:pt idx="10">
                  <c:v>14.166274140367406</c:v>
                </c:pt>
                <c:pt idx="11">
                  <c:v>15.909610983981693</c:v>
                </c:pt>
                <c:pt idx="12">
                  <c:v>16.333874458874458</c:v>
                </c:pt>
                <c:pt idx="13">
                  <c:v>12.211687306501545</c:v>
                </c:pt>
                <c:pt idx="14">
                  <c:v>11.116599311480318</c:v>
                </c:pt>
                <c:pt idx="15">
                  <c:v>8.5924812030075177</c:v>
                </c:pt>
                <c:pt idx="16">
                  <c:v>8.9047619047619051</c:v>
                </c:pt>
                <c:pt idx="17">
                  <c:v>9.8357524828113085</c:v>
                </c:pt>
                <c:pt idx="18">
                  <c:v>11.275258458646617</c:v>
                </c:pt>
                <c:pt idx="19">
                  <c:v>9.9288990825688064</c:v>
                </c:pt>
                <c:pt idx="20">
                  <c:v>9.2073177998927367</c:v>
                </c:pt>
              </c:numCache>
            </c:numRef>
          </c:val>
          <c:smooth val="0"/>
        </c:ser>
        <c:dLbls>
          <c:showLegendKey val="0"/>
          <c:showVal val="0"/>
          <c:showCatName val="0"/>
          <c:showSerName val="0"/>
          <c:showPercent val="0"/>
          <c:showBubbleSize val="0"/>
        </c:dLbls>
        <c:marker val="1"/>
        <c:smooth val="0"/>
        <c:axId val="162893824"/>
        <c:axId val="162891648"/>
      </c:lineChart>
      <c:catAx>
        <c:axId val="162883456"/>
        <c:scaling>
          <c:orientation val="minMax"/>
        </c:scaling>
        <c:delete val="0"/>
        <c:axPos val="b"/>
        <c:numFmt formatCode="General" sourceLinked="1"/>
        <c:majorTickMark val="out"/>
        <c:minorTickMark val="none"/>
        <c:tickLblPos val="nextTo"/>
        <c:crossAx val="162889728"/>
        <c:crosses val="autoZero"/>
        <c:auto val="1"/>
        <c:lblAlgn val="ctr"/>
        <c:lblOffset val="100"/>
        <c:noMultiLvlLbl val="0"/>
      </c:catAx>
      <c:valAx>
        <c:axId val="162889728"/>
        <c:scaling>
          <c:orientation val="minMax"/>
        </c:scaling>
        <c:delete val="0"/>
        <c:axPos val="l"/>
        <c:majorGridlines/>
        <c:title>
          <c:tx>
            <c:rich>
              <a:bodyPr rot="-5400000" vert="horz"/>
              <a:lstStyle/>
              <a:p>
                <a:pPr>
                  <a:defRPr/>
                </a:pPr>
                <a:r>
                  <a:rPr lang="en-US"/>
                  <a:t>Exploration budgets (US$ billion)</a:t>
                </a:r>
              </a:p>
            </c:rich>
          </c:tx>
          <c:overlay val="0"/>
        </c:title>
        <c:numFmt formatCode="General" sourceLinked="1"/>
        <c:majorTickMark val="out"/>
        <c:minorTickMark val="none"/>
        <c:tickLblPos val="nextTo"/>
        <c:crossAx val="162883456"/>
        <c:crosses val="autoZero"/>
        <c:crossBetween val="between"/>
      </c:valAx>
      <c:valAx>
        <c:axId val="162891648"/>
        <c:scaling>
          <c:orientation val="minMax"/>
        </c:scaling>
        <c:delete val="0"/>
        <c:axPos val="r"/>
        <c:title>
          <c:tx>
            <c:rich>
              <a:bodyPr rot="-5400000" vert="horz"/>
              <a:lstStyle/>
              <a:p>
                <a:pPr>
                  <a:defRPr/>
                </a:pPr>
                <a:r>
                  <a:rPr lang="en-US"/>
                  <a:t>Share of world exploration budgets (%)</a:t>
                </a:r>
              </a:p>
            </c:rich>
          </c:tx>
          <c:overlay val="0"/>
        </c:title>
        <c:numFmt formatCode="0" sourceLinked="0"/>
        <c:majorTickMark val="out"/>
        <c:minorTickMark val="none"/>
        <c:tickLblPos val="nextTo"/>
        <c:crossAx val="162893824"/>
        <c:crosses val="max"/>
        <c:crossBetween val="between"/>
      </c:valAx>
      <c:catAx>
        <c:axId val="162893824"/>
        <c:scaling>
          <c:orientation val="minMax"/>
        </c:scaling>
        <c:delete val="1"/>
        <c:axPos val="b"/>
        <c:numFmt formatCode="General" sourceLinked="1"/>
        <c:majorTickMark val="out"/>
        <c:minorTickMark val="none"/>
        <c:tickLblPos val="nextTo"/>
        <c:crossAx val="162891648"/>
        <c:crosses val="autoZero"/>
        <c:auto val="1"/>
        <c:lblAlgn val="ctr"/>
        <c:lblOffset val="100"/>
        <c:noMultiLvlLbl val="0"/>
      </c:catAx>
      <c:spPr>
        <a:noFill/>
      </c:spPr>
    </c:plotArea>
    <c:legend>
      <c:legendPos val="b"/>
      <c:layout>
        <c:manualLayout>
          <c:xMode val="edge"/>
          <c:yMode val="edge"/>
          <c:x val="0.24303995748311213"/>
          <c:y val="0.90691870469833658"/>
          <c:w val="0.51391989855619735"/>
          <c:h val="7.9836262189080673E-2"/>
        </c:manualLayout>
      </c:layout>
      <c:overlay val="0"/>
    </c:legend>
    <c:plotVisOnly val="1"/>
    <c:dispBlanksAs val="gap"/>
    <c:showDLblsOverMax val="0"/>
  </c:chart>
  <c:spPr>
    <a:noFill/>
    <a:ln>
      <a:noFill/>
    </a:ln>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0.59068</cdr:x>
      <cdr:y>0.93386</cdr:y>
    </cdr:from>
    <cdr:to>
      <cdr:x>0.61317</cdr:x>
      <cdr:y>0.93386</cdr:y>
    </cdr:to>
    <cdr:cxnSp macro="">
      <cdr:nvCxnSpPr>
        <cdr:cNvPr id="5" name="Straight Connector 4"/>
        <cdr:cNvCxnSpPr/>
      </cdr:nvCxnSpPr>
      <cdr:spPr>
        <a:xfrm xmlns:a="http://schemas.openxmlformats.org/drawingml/2006/main">
          <a:off x="3205554" y="2635929"/>
          <a:ext cx="122055" cy="0"/>
        </a:xfrm>
        <a:prstGeom xmlns:a="http://schemas.openxmlformats.org/drawingml/2006/main" prst="line">
          <a:avLst/>
        </a:prstGeom>
        <a:ln xmlns:a="http://schemas.openxmlformats.org/drawingml/2006/main" w="28575">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5AA2C-2AFF-4910-BD27-17447EE0E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17</TotalTime>
  <Pages>25</Pages>
  <Words>6711</Words>
  <Characters>39686</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Overview</vt:lpstr>
    </vt:vector>
  </TitlesOfParts>
  <Company>Productivity Commission</Company>
  <LinksUpToDate>false</LinksUpToDate>
  <CharactersWithSpaces>46305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dc:title>
  <dc:subject>Resource Exploration</dc:subject>
  <dc:creator>Productivity Commission</dc:creator>
  <dc:description>1.</dc:description>
  <cp:lastModifiedBy>Productivity Commission</cp:lastModifiedBy>
  <cp:revision>9</cp:revision>
  <cp:lastPrinted>2013-05-23T03:16:00Z</cp:lastPrinted>
  <dcterms:created xsi:type="dcterms:W3CDTF">2013-05-22T23:47:00Z</dcterms:created>
  <dcterms:modified xsi:type="dcterms:W3CDTF">2015-05-08T02:13:00Z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-1524121050</vt:i4>
  </property>
  <property fmtid="{D5CDD505-2E9C-101B-9397-08002B2CF9AE}" pid="3" name="_NewReviewCycle">
    <vt:lpwstr/>
  </property>
  <property fmtid="{D5CDD505-2E9C-101B-9397-08002B2CF9AE}" pid="4" name="_EmailSubject">
    <vt:lpwstr>web files - minerals draft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