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D4421" w:rsidP="002D4421">
      <w:pPr>
        <w:pStyle w:val="Heading1"/>
        <w:spacing w:before="0" w:after="1200"/>
      </w:pPr>
      <w:bookmarkStart w:id="0" w:name="ChapterNumber"/>
      <w:bookmarkStart w:id="1" w:name="_GoBack"/>
      <w:bookmarkEnd w:id="1"/>
      <w:r>
        <w:t>2</w:t>
      </w:r>
      <w:bookmarkEnd w:id="0"/>
      <w:r>
        <w:tab/>
      </w:r>
      <w:bookmarkStart w:id="2" w:name="ChapterTitle"/>
      <w:r>
        <w:t>The nature of resource exploration and the role of government</w:t>
      </w:r>
      <w:bookmarkEnd w:id="2"/>
    </w:p>
    <w:p w:rsidR="007A6E1A" w:rsidRPr="00785DA5" w:rsidRDefault="007A6E1A" w:rsidP="007A6E1A">
      <w:pPr>
        <w:keepNext/>
        <w:spacing w:before="360" w:line="80" w:lineRule="exact"/>
        <w:rPr>
          <w:szCs w:val="20"/>
        </w:rPr>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A6E1A" w:rsidRPr="00785DA5" w:rsidTr="00A11FA9">
        <w:tc>
          <w:tcPr>
            <w:tcW w:w="8771" w:type="dxa"/>
            <w:tcBorders>
              <w:top w:val="single" w:sz="6" w:space="0" w:color="auto"/>
              <w:bottom w:val="nil"/>
            </w:tcBorders>
          </w:tcPr>
          <w:p w:rsidR="00455AD0" w:rsidRPr="001A433E" w:rsidRDefault="00455AD0" w:rsidP="001A433E">
            <w:pPr>
              <w:pStyle w:val="BoxListBullet"/>
              <w:numPr>
                <w:ilvl w:val="0"/>
                <w:numId w:val="0"/>
              </w:numPr>
              <w:ind w:left="284"/>
              <w:rPr>
                <w:b/>
              </w:rPr>
            </w:pPr>
            <w:r w:rsidRPr="001A433E">
              <w:rPr>
                <w:b/>
              </w:rPr>
              <w:t>Key points</w:t>
            </w:r>
          </w:p>
          <w:p w:rsidR="007A6E1A" w:rsidRDefault="007A6E1A" w:rsidP="00A11FA9">
            <w:pPr>
              <w:pStyle w:val="BoxListBullet"/>
            </w:pPr>
            <w:r>
              <w:t xml:space="preserve">Minerals and energy resources exploration </w:t>
            </w:r>
            <w:r w:rsidR="007B2B83">
              <w:t xml:space="preserve">represents a small share </w:t>
            </w:r>
            <w:r>
              <w:t>of the economy</w:t>
            </w:r>
            <w:r w:rsidR="007B2B83">
              <w:t xml:space="preserve"> (</w:t>
            </w:r>
            <w:r>
              <w:t>0.</w:t>
            </w:r>
            <w:r w:rsidR="0001185C">
              <w:t xml:space="preserve">5 </w:t>
            </w:r>
            <w:r>
              <w:t xml:space="preserve">per cent </w:t>
            </w:r>
            <w:r w:rsidR="007B2B83">
              <w:t xml:space="preserve">of GDP </w:t>
            </w:r>
            <w:r>
              <w:t xml:space="preserve">in </w:t>
            </w:r>
            <w:r w:rsidR="0001185C">
              <w:t>2011</w:t>
            </w:r>
            <w:r>
              <w:noBreakHyphen/>
            </w:r>
            <w:r w:rsidR="0001185C">
              <w:t>12</w:t>
            </w:r>
            <w:r w:rsidR="007B2B83">
              <w:t>), but i</w:t>
            </w:r>
            <w:r>
              <w:t>s a</w:t>
            </w:r>
            <w:r w:rsidR="007B2B83">
              <w:t>n essential</w:t>
            </w:r>
            <w:r>
              <w:t xml:space="preserve"> prerequisite for mining </w:t>
            </w:r>
            <w:r w:rsidR="007B2B83">
              <w:t>and energy resource extraction</w:t>
            </w:r>
            <w:r w:rsidR="000B5C2B">
              <w:t xml:space="preserve"> (9 per cent of GDP in 2011</w:t>
            </w:r>
            <w:r w:rsidR="00800824">
              <w:noBreakHyphen/>
            </w:r>
            <w:r w:rsidR="000B5C2B">
              <w:t>12)</w:t>
            </w:r>
            <w:r>
              <w:t>.</w:t>
            </w:r>
          </w:p>
          <w:p w:rsidR="004B6639" w:rsidRDefault="007A6E1A" w:rsidP="00A11FA9">
            <w:pPr>
              <w:pStyle w:val="BoxListBullet"/>
            </w:pPr>
            <w:r>
              <w:t>Expenditure on exploration has increased substantially over the last half decade</w:t>
            </w:r>
            <w:r w:rsidR="00B20CAA">
              <w:t>, to reach</w:t>
            </w:r>
            <w:r>
              <w:t xml:space="preserve"> $7 billion </w:t>
            </w:r>
            <w:r w:rsidR="00B20CAA">
              <w:t>in 20</w:t>
            </w:r>
            <w:r w:rsidR="00650993">
              <w:t>11</w:t>
            </w:r>
            <w:r w:rsidR="00650993">
              <w:noBreakHyphen/>
            </w:r>
            <w:r w:rsidR="00B20CAA">
              <w:t>12</w:t>
            </w:r>
            <w:r>
              <w:t xml:space="preserve">. </w:t>
            </w:r>
          </w:p>
          <w:p w:rsidR="004B6639" w:rsidRDefault="007A6E1A" w:rsidP="00650993">
            <w:pPr>
              <w:pStyle w:val="BoxListBullet2"/>
              <w:rPr>
                <w:szCs w:val="24"/>
              </w:rPr>
            </w:pPr>
            <w:r>
              <w:t>Much of this increase has been driven by brownfield exploration (exploration in established reserves)</w:t>
            </w:r>
            <w:r w:rsidR="00DC12F2">
              <w:t>.</w:t>
            </w:r>
          </w:p>
          <w:p w:rsidR="004B6639" w:rsidRDefault="004B6639" w:rsidP="00650993">
            <w:pPr>
              <w:pStyle w:val="BoxListBullet2"/>
              <w:rPr>
                <w:szCs w:val="24"/>
              </w:rPr>
            </w:pPr>
            <w:r>
              <w:t>G</w:t>
            </w:r>
            <w:r w:rsidR="007A6E1A">
              <w:t>reenfield exploration (exploration in unexplored and incompletely explored areas)</w:t>
            </w:r>
            <w:r>
              <w:t xml:space="preserve"> has remained stable</w:t>
            </w:r>
            <w:r w:rsidR="007A6E1A">
              <w:t>.</w:t>
            </w:r>
          </w:p>
          <w:p w:rsidR="007A6E1A" w:rsidRDefault="00ED0E10">
            <w:pPr>
              <w:pStyle w:val="BoxListBullet"/>
              <w:rPr>
                <w:szCs w:val="24"/>
              </w:rPr>
            </w:pPr>
            <w:r>
              <w:t>The economic performance of</w:t>
            </w:r>
            <w:r w:rsidR="00903917">
              <w:t xml:space="preserve"> resource explorers</w:t>
            </w:r>
            <w:r w:rsidR="007A6E1A">
              <w:t xml:space="preserve"> has been </w:t>
            </w:r>
            <w:r w:rsidR="00550210">
              <w:t>falling</w:t>
            </w:r>
            <w:r w:rsidR="004F7CFC">
              <w:t xml:space="preserve"> due to higher costs and lower rates of discoveries</w:t>
            </w:r>
            <w:r>
              <w:t>.</w:t>
            </w:r>
            <w:r w:rsidR="007A6E1A">
              <w:t xml:space="preserve"> </w:t>
            </w:r>
            <w:r w:rsidR="004F7CFC">
              <w:t>One indication of the decline in exploration productivity is that</w:t>
            </w:r>
            <w:r w:rsidR="00550210">
              <w:t xml:space="preserve"> </w:t>
            </w:r>
            <w:r>
              <w:t>the</w:t>
            </w:r>
            <w:r w:rsidR="00066ACF">
              <w:t xml:space="preserve"> cost</w:t>
            </w:r>
            <w:r w:rsidR="00903917">
              <w:t xml:space="preserve"> </w:t>
            </w:r>
            <w:r w:rsidR="00066ACF">
              <w:t>per</w:t>
            </w:r>
            <w:r w:rsidR="00903917">
              <w:t xml:space="preserve"> </w:t>
            </w:r>
            <w:r w:rsidR="007A6E1A">
              <w:t xml:space="preserve">metre drilled </w:t>
            </w:r>
            <w:r>
              <w:t xml:space="preserve">(in real terms) </w:t>
            </w:r>
            <w:r w:rsidR="004F7CFC">
              <w:t>has</w:t>
            </w:r>
            <w:r w:rsidR="00550210">
              <w:t xml:space="preserve"> </w:t>
            </w:r>
            <w:r w:rsidR="00903917">
              <w:t>increased</w:t>
            </w:r>
            <w:r w:rsidR="007A6E1A">
              <w:t xml:space="preserve">. </w:t>
            </w:r>
            <w:r w:rsidR="00550210">
              <w:t xml:space="preserve">Moreover, </w:t>
            </w:r>
            <w:r w:rsidR="007A6E1A">
              <w:t xml:space="preserve">exploration expenditures have not led to </w:t>
            </w:r>
            <w:r w:rsidR="00550210">
              <w:t xml:space="preserve">as many </w:t>
            </w:r>
            <w:r w:rsidR="007A6E1A">
              <w:t xml:space="preserve">discoveries over the last decade as in previous periods. This is particularly the case </w:t>
            </w:r>
            <w:r w:rsidR="00093BBC">
              <w:t xml:space="preserve">for </w:t>
            </w:r>
            <w:r w:rsidR="007A6E1A">
              <w:t xml:space="preserve">the discovery of </w:t>
            </w:r>
            <w:r w:rsidR="00650993">
              <w:t xml:space="preserve">‘giant’ </w:t>
            </w:r>
            <w:r w:rsidR="007A6E1A">
              <w:t>deposits.</w:t>
            </w:r>
            <w:r w:rsidR="004B6639">
              <w:t xml:space="preserve"> </w:t>
            </w:r>
          </w:p>
          <w:p w:rsidR="00993BE6" w:rsidRDefault="00993BE6">
            <w:pPr>
              <w:pStyle w:val="BoxListBullet"/>
              <w:rPr>
                <w:szCs w:val="24"/>
              </w:rPr>
            </w:pPr>
            <w:r>
              <w:t xml:space="preserve">If the downward trend in significant discoveries continues, </w:t>
            </w:r>
            <w:r w:rsidR="00903917">
              <w:t xml:space="preserve">resource extraction </w:t>
            </w:r>
            <w:r>
              <w:t xml:space="preserve">will increasingly rely on deposits which may be of lower grade, deeper in the ground and require more ‘effort’ to </w:t>
            </w:r>
            <w:r w:rsidR="0001185C">
              <w:t>extract</w:t>
            </w:r>
            <w:r>
              <w:t xml:space="preserve">. This will </w:t>
            </w:r>
            <w:r w:rsidR="00F96C0E">
              <w:t>impact adversely on</w:t>
            </w:r>
            <w:r>
              <w:t xml:space="preserve"> </w:t>
            </w:r>
            <w:r w:rsidR="000B5C2B">
              <w:t xml:space="preserve">Australia’s </w:t>
            </w:r>
            <w:r>
              <w:t xml:space="preserve">competitiveness </w:t>
            </w:r>
            <w:r w:rsidR="000B5C2B">
              <w:t xml:space="preserve">in </w:t>
            </w:r>
            <w:r w:rsidR="004421B7">
              <w:t>resource extraction</w:t>
            </w:r>
            <w:r>
              <w:t>.</w:t>
            </w:r>
          </w:p>
          <w:p w:rsidR="007A6E1A" w:rsidRPr="007B2B83" w:rsidRDefault="007B2B83">
            <w:pPr>
              <w:pStyle w:val="BoxListBullet"/>
              <w:rPr>
                <w:szCs w:val="24"/>
              </w:rPr>
            </w:pPr>
            <w:r>
              <w:t>The exploration sector is increasingly globalised, with ‘frontier’ countries gaining a rising share of global exploration expenditures. While Australia</w:t>
            </w:r>
            <w:r w:rsidR="008B36B4">
              <w:t>’s</w:t>
            </w:r>
            <w:r>
              <w:t xml:space="preserve"> share of exploration expenditures ranks second, behind Canada, Australia is seen increasingly </w:t>
            </w:r>
            <w:r w:rsidR="004B6639">
              <w:t>as a ‘mature environment’ with less prospectivity</w:t>
            </w:r>
            <w:r>
              <w:t>.</w:t>
            </w:r>
            <w:r w:rsidR="007A6E1A">
              <w:t xml:space="preserve"> </w:t>
            </w:r>
          </w:p>
          <w:p w:rsidR="007A6E1A" w:rsidRDefault="000B5C2B" w:rsidP="00A11FA9">
            <w:pPr>
              <w:pStyle w:val="BoxListBullet"/>
            </w:pPr>
            <w:r>
              <w:t>The rationale for g</w:t>
            </w:r>
            <w:r w:rsidR="007A6E1A">
              <w:t xml:space="preserve">overnment involvement in </w:t>
            </w:r>
            <w:r w:rsidR="004421B7">
              <w:t>resource</w:t>
            </w:r>
            <w:r w:rsidR="007A6E1A">
              <w:t xml:space="preserve"> exploration stems from</w:t>
            </w:r>
            <w:r w:rsidR="00993BE6">
              <w:t>:</w:t>
            </w:r>
            <w:r w:rsidR="007A6E1A">
              <w:t xml:space="preserve"> </w:t>
            </w:r>
          </w:p>
          <w:p w:rsidR="007A6E1A" w:rsidRDefault="00993BE6" w:rsidP="00803663">
            <w:pPr>
              <w:pStyle w:val="BoxListBullet2"/>
              <w:rPr>
                <w:szCs w:val="24"/>
              </w:rPr>
            </w:pPr>
            <w:r>
              <w:t>i</w:t>
            </w:r>
            <w:r w:rsidR="007A6E1A">
              <w:t>ts ownership of the mineral and energy resources</w:t>
            </w:r>
          </w:p>
          <w:p w:rsidR="007A6E1A" w:rsidRDefault="00993BE6" w:rsidP="00803663">
            <w:pPr>
              <w:pStyle w:val="BoxListBullet2"/>
              <w:rPr>
                <w:szCs w:val="24"/>
              </w:rPr>
            </w:pPr>
            <w:r>
              <w:t>t</w:t>
            </w:r>
            <w:r w:rsidR="007A6E1A">
              <w:t xml:space="preserve">he need to balance competing land uses </w:t>
            </w:r>
          </w:p>
          <w:p w:rsidR="007A6E1A" w:rsidRDefault="00993BE6" w:rsidP="00803663">
            <w:pPr>
              <w:pStyle w:val="BoxListBullet2"/>
              <w:rPr>
                <w:szCs w:val="24"/>
              </w:rPr>
            </w:pPr>
            <w:r>
              <w:t>t</w:t>
            </w:r>
            <w:r w:rsidR="007A6E1A">
              <w:t>he requirement to manage spill</w:t>
            </w:r>
            <w:r w:rsidR="00800824">
              <w:noBreakHyphen/>
            </w:r>
            <w:r w:rsidR="007A6E1A">
              <w:t>overs from exploration</w:t>
            </w:r>
          </w:p>
          <w:p w:rsidR="007A6E1A" w:rsidRPr="00EE76CF" w:rsidRDefault="007A6E1A" w:rsidP="000410E6">
            <w:pPr>
              <w:pStyle w:val="BoxListBullet"/>
              <w:rPr>
                <w:szCs w:val="24"/>
              </w:rPr>
            </w:pPr>
            <w:r w:rsidRPr="00EE76CF">
              <w:t xml:space="preserve">There is a growing </w:t>
            </w:r>
            <w:r w:rsidR="00665E0E">
              <w:t>belief within</w:t>
            </w:r>
            <w:r w:rsidRPr="00EE76CF">
              <w:t xml:space="preserve"> </w:t>
            </w:r>
            <w:r w:rsidR="000B5C2B">
              <w:t xml:space="preserve">the </w:t>
            </w:r>
            <w:r w:rsidR="004421B7">
              <w:t xml:space="preserve">resource </w:t>
            </w:r>
            <w:r w:rsidRPr="00EE76CF">
              <w:t xml:space="preserve">exploration </w:t>
            </w:r>
            <w:r w:rsidR="000410E6">
              <w:t xml:space="preserve">industry </w:t>
            </w:r>
            <w:r w:rsidRPr="00EE76CF">
              <w:t>that regulatory change</w:t>
            </w:r>
            <w:r w:rsidR="00665E0E">
              <w:t>s</w:t>
            </w:r>
            <w:r w:rsidRPr="00EE76CF">
              <w:t xml:space="preserve"> are </w:t>
            </w:r>
            <w:r w:rsidR="00665E0E">
              <w:t>contributing to</w:t>
            </w:r>
            <w:r w:rsidR="00665E0E" w:rsidRPr="00EE76CF">
              <w:t xml:space="preserve"> </w:t>
            </w:r>
            <w:r w:rsidRPr="00EE76CF">
              <w:t>the decline in attractiveness of many Australian jurisdictions as destinations for exploration.</w:t>
            </w:r>
          </w:p>
        </w:tc>
      </w:tr>
      <w:tr w:rsidR="007A6E1A" w:rsidRPr="00785DA5" w:rsidTr="00A11FA9">
        <w:trPr>
          <w:cantSplit/>
        </w:trPr>
        <w:tc>
          <w:tcPr>
            <w:tcW w:w="8771" w:type="dxa"/>
            <w:tcBorders>
              <w:top w:val="nil"/>
              <w:left w:val="single" w:sz="6" w:space="0" w:color="auto"/>
              <w:bottom w:val="single" w:sz="6" w:space="0" w:color="auto"/>
              <w:right w:val="single" w:sz="6" w:space="0" w:color="auto"/>
            </w:tcBorders>
          </w:tcPr>
          <w:p w:rsidR="007A6E1A" w:rsidRPr="00785DA5" w:rsidRDefault="007A6E1A" w:rsidP="00A11FA9">
            <w:pPr>
              <w:keepNext/>
              <w:spacing w:line="120" w:lineRule="exact"/>
              <w:jc w:val="both"/>
              <w:rPr>
                <w:rFonts w:ascii="Arial" w:hAnsi="Arial"/>
                <w:sz w:val="22"/>
                <w:szCs w:val="20"/>
              </w:rPr>
            </w:pPr>
          </w:p>
        </w:tc>
      </w:tr>
      <w:tr w:rsidR="007A6E1A" w:rsidRPr="00785DA5" w:rsidTr="00A11FA9">
        <w:tc>
          <w:tcPr>
            <w:tcW w:w="8771" w:type="dxa"/>
            <w:tcBorders>
              <w:top w:val="nil"/>
              <w:left w:val="nil"/>
              <w:bottom w:val="nil"/>
              <w:right w:val="nil"/>
            </w:tcBorders>
          </w:tcPr>
          <w:p w:rsidR="007A6E1A" w:rsidRPr="00F450D3" w:rsidRDefault="007A6E1A" w:rsidP="00A11FA9">
            <w:pPr>
              <w:spacing w:before="60" w:after="60" w:line="80" w:lineRule="exact"/>
              <w:jc w:val="both"/>
              <w:rPr>
                <w:rFonts w:ascii="Arial" w:hAnsi="Arial"/>
                <w:sz w:val="14"/>
                <w:szCs w:val="20"/>
              </w:rPr>
            </w:pPr>
            <w:r w:rsidRPr="00F450D3">
              <w:rPr>
                <w:b/>
                <w:color w:val="FF00FF"/>
                <w:sz w:val="14"/>
                <w:szCs w:val="20"/>
              </w:rPr>
              <w:t>.</w:t>
            </w:r>
          </w:p>
        </w:tc>
      </w:tr>
    </w:tbl>
    <w:p w:rsidR="007A6E1A" w:rsidRDefault="007A6E1A" w:rsidP="003B1807">
      <w:pPr>
        <w:pStyle w:val="BodyText"/>
      </w:pPr>
      <w:r w:rsidRPr="008C66B1">
        <w:t xml:space="preserve">This chapter </w:t>
      </w:r>
      <w:r w:rsidR="000B5C2B">
        <w:t>describes the role of</w:t>
      </w:r>
      <w:r w:rsidRPr="008C66B1">
        <w:t xml:space="preserve"> mineral and energy </w:t>
      </w:r>
      <w:r w:rsidR="00903917">
        <w:t xml:space="preserve">resource </w:t>
      </w:r>
      <w:r w:rsidRPr="008C66B1">
        <w:t>exploration in Australia</w:t>
      </w:r>
      <w:r w:rsidR="001F2B5D" w:rsidDel="001F2B5D">
        <w:t xml:space="preserve"> </w:t>
      </w:r>
      <w:r w:rsidR="001F2B5D">
        <w:t xml:space="preserve">and overviews the </w:t>
      </w:r>
      <w:r w:rsidR="000410E6">
        <w:t>industry’s</w:t>
      </w:r>
      <w:r w:rsidRPr="008C66B1">
        <w:t xml:space="preserve"> size</w:t>
      </w:r>
      <w:r w:rsidR="001F2B5D">
        <w:t>,</w:t>
      </w:r>
      <w:r w:rsidRPr="008C66B1">
        <w:t xml:space="preserve"> structure and </w:t>
      </w:r>
      <w:r w:rsidR="001F2B5D">
        <w:t xml:space="preserve">recent </w:t>
      </w:r>
      <w:r w:rsidR="00903917">
        <w:t>performance.</w:t>
      </w:r>
      <w:r w:rsidR="005C7377">
        <w:t xml:space="preserve"> </w:t>
      </w:r>
      <w:r w:rsidRPr="008C66B1">
        <w:t xml:space="preserve">It also </w:t>
      </w:r>
      <w:r w:rsidR="00A11FA9">
        <w:t>discusses</w:t>
      </w:r>
      <w:r w:rsidR="00A11FA9" w:rsidRPr="008C66B1">
        <w:t xml:space="preserve"> </w:t>
      </w:r>
      <w:r w:rsidRPr="008C66B1">
        <w:t xml:space="preserve">the </w:t>
      </w:r>
      <w:r w:rsidRPr="008C66B1">
        <w:lastRenderedPageBreak/>
        <w:t xml:space="preserve">rationale for government involvement in </w:t>
      </w:r>
      <w:r w:rsidR="004421B7">
        <w:t>resource exploration</w:t>
      </w:r>
      <w:r w:rsidR="00A11FA9">
        <w:t>,</w:t>
      </w:r>
      <w:r w:rsidRPr="008C66B1">
        <w:t xml:space="preserve"> </w:t>
      </w:r>
      <w:r w:rsidR="005C7377">
        <w:t>and provides an overview of</w:t>
      </w:r>
      <w:r w:rsidR="005C7377" w:rsidRPr="008C66B1">
        <w:t xml:space="preserve"> </w:t>
      </w:r>
      <w:r w:rsidRPr="008C66B1">
        <w:t xml:space="preserve">the regulatory environment in which </w:t>
      </w:r>
      <w:r w:rsidR="004421B7">
        <w:t>exploration</w:t>
      </w:r>
      <w:r w:rsidRPr="008C66B1">
        <w:t xml:space="preserve"> operates.</w:t>
      </w:r>
    </w:p>
    <w:p w:rsidR="007A6E1A" w:rsidRDefault="002D4421" w:rsidP="007D4385">
      <w:pPr>
        <w:pStyle w:val="Heading2"/>
        <w:spacing w:before="560"/>
      </w:pPr>
      <w:r>
        <w:t>2.</w:t>
      </w:r>
      <w:r>
        <w:rPr>
          <w:noProof/>
        </w:rPr>
        <w:t>1</w:t>
      </w:r>
      <w:r w:rsidR="007A6E1A">
        <w:tab/>
        <w:t xml:space="preserve">Role and structure of </w:t>
      </w:r>
      <w:r w:rsidR="00903917">
        <w:t>resource exploration</w:t>
      </w:r>
    </w:p>
    <w:p w:rsidR="007A6E1A" w:rsidRDefault="00903917" w:rsidP="007D4385">
      <w:pPr>
        <w:pStyle w:val="Heading3"/>
        <w:spacing w:before="520"/>
      </w:pPr>
      <w:r>
        <w:t>The i</w:t>
      </w:r>
      <w:r w:rsidR="007A6E1A">
        <w:t>mportance of exploration</w:t>
      </w:r>
    </w:p>
    <w:p w:rsidR="004C301F" w:rsidRDefault="004421B7" w:rsidP="003B1807">
      <w:pPr>
        <w:pStyle w:val="BodyText"/>
      </w:pPr>
      <w:r>
        <w:t>T</w:t>
      </w:r>
      <w:r w:rsidR="004C301F">
        <w:t>he Australian and New Zealand Standard Industrial Classification (</w:t>
      </w:r>
      <w:proofErr w:type="spellStart"/>
      <w:r w:rsidR="004C301F">
        <w:t>ANZSIC</w:t>
      </w:r>
      <w:proofErr w:type="spellEnd"/>
      <w:r w:rsidR="004C301F">
        <w:t xml:space="preserve">) </w:t>
      </w:r>
      <w:r>
        <w:t>relating to resource exploration activities and firms engaged in those activities are set out in box</w:t>
      </w:r>
      <w:r w:rsidR="004C301F">
        <w:t> 2.1</w:t>
      </w:r>
      <w:r w:rsidR="008844C4">
        <w:rPr>
          <w:rStyle w:val="FootnoteReference"/>
        </w:rPr>
        <w:footnoteReference w:id="1"/>
      </w:r>
      <w:r w:rsidR="004C301F">
        <w:t>. On this basis, mineral and energy resource exploration in Australia is a small part of the economy, equivalent to 0.</w:t>
      </w:r>
      <w:r w:rsidR="007D4AAE">
        <w:t xml:space="preserve">5 </w:t>
      </w:r>
      <w:r w:rsidR="004C301F">
        <w:t>per cent of GDP</w:t>
      </w:r>
      <w:r w:rsidR="007D4AAE">
        <w:t xml:space="preserve"> in 2011</w:t>
      </w:r>
      <w:r w:rsidR="007D4AAE">
        <w:noBreakHyphen/>
        <w:t>12</w:t>
      </w:r>
      <w:r w:rsidR="004C301F">
        <w:t xml:space="preserve"> and accounting for just 0.2 per cent of employment since the mid</w:t>
      </w:r>
      <w:r w:rsidR="00800824">
        <w:noBreakHyphen/>
      </w:r>
      <w:proofErr w:type="spellStart"/>
      <w:r w:rsidR="004C301F">
        <w:t>1980s</w:t>
      </w:r>
      <w:proofErr w:type="spellEnd"/>
      <w:r w:rsidR="00ED0E10">
        <w:t xml:space="preserve"> (ABS</w:t>
      </w:r>
      <w:r w:rsidR="003561CB">
        <w:t xml:space="preserve"> </w:t>
      </w:r>
      <w:proofErr w:type="spellStart"/>
      <w:r w:rsidR="003561CB">
        <w:t>2012c</w:t>
      </w:r>
      <w:proofErr w:type="spellEnd"/>
      <w:r w:rsidR="00ED0E10">
        <w:t>)</w:t>
      </w:r>
      <w:r w:rsidR="004C301F">
        <w:t>.</w:t>
      </w:r>
      <w:r w:rsidR="009D2E06">
        <w:t xml:space="preserve"> </w:t>
      </w:r>
    </w:p>
    <w:p w:rsidR="007D4385" w:rsidRDefault="007D438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4385">
        <w:tc>
          <w:tcPr>
            <w:tcW w:w="8771" w:type="dxa"/>
            <w:tcBorders>
              <w:top w:val="single" w:sz="6" w:space="0" w:color="auto"/>
              <w:bottom w:val="nil"/>
            </w:tcBorders>
          </w:tcPr>
          <w:p w:rsidR="007D4385" w:rsidRDefault="007D4385">
            <w:pPr>
              <w:pStyle w:val="BoxTitle"/>
            </w:pPr>
            <w:r>
              <w:rPr>
                <w:b w:val="0"/>
              </w:rPr>
              <w:t xml:space="preserve">Box </w:t>
            </w:r>
            <w:r w:rsidR="002D4421">
              <w:rPr>
                <w:b w:val="0"/>
              </w:rPr>
              <w:t>2.</w:t>
            </w:r>
            <w:r w:rsidR="002D4421">
              <w:rPr>
                <w:b w:val="0"/>
                <w:noProof/>
              </w:rPr>
              <w:t>1</w:t>
            </w:r>
            <w:r>
              <w:tab/>
            </w:r>
            <w:proofErr w:type="spellStart"/>
            <w:r w:rsidRPr="007D4385">
              <w:t>ANZSIC</w:t>
            </w:r>
            <w:proofErr w:type="spellEnd"/>
            <w:r w:rsidRPr="007D4385">
              <w:t xml:space="preserve"> classifications surrounding exploration</w:t>
            </w:r>
          </w:p>
        </w:tc>
      </w:tr>
      <w:tr w:rsidR="007D4385">
        <w:trPr>
          <w:cantSplit/>
        </w:trPr>
        <w:tc>
          <w:tcPr>
            <w:tcW w:w="8771" w:type="dxa"/>
            <w:tcBorders>
              <w:top w:val="nil"/>
              <w:left w:val="single" w:sz="6" w:space="0" w:color="auto"/>
              <w:bottom w:val="nil"/>
              <w:right w:val="single" w:sz="6" w:space="0" w:color="auto"/>
            </w:tcBorders>
          </w:tcPr>
          <w:p w:rsidR="007D4385" w:rsidRPr="007D4385" w:rsidRDefault="007D4385" w:rsidP="007D4385">
            <w:pPr>
              <w:pStyle w:val="Box"/>
              <w:rPr>
                <w:sz w:val="21"/>
                <w:szCs w:val="21"/>
              </w:rPr>
            </w:pPr>
            <w:r w:rsidRPr="007D4385">
              <w:rPr>
                <w:sz w:val="21"/>
                <w:szCs w:val="21"/>
              </w:rPr>
              <w:t>Mining activities are identified in Division B of the Australian Bureau of Statistics (ABS) Australian and New Zealand Standard Industrial Classification (</w:t>
            </w:r>
            <w:proofErr w:type="spellStart"/>
            <w:r w:rsidRPr="007D4385">
              <w:rPr>
                <w:sz w:val="21"/>
                <w:szCs w:val="21"/>
              </w:rPr>
              <w:t>ANZSIC</w:t>
            </w:r>
            <w:proofErr w:type="spellEnd"/>
            <w:r w:rsidRPr="007D4385">
              <w:rPr>
                <w:sz w:val="21"/>
                <w:szCs w:val="21"/>
              </w:rPr>
              <w:t xml:space="preserve">). The </w:t>
            </w:r>
            <w:proofErr w:type="spellStart"/>
            <w:r w:rsidRPr="007D4385">
              <w:rPr>
                <w:sz w:val="21"/>
                <w:szCs w:val="21"/>
              </w:rPr>
              <w:t>ANZSIC</w:t>
            </w:r>
            <w:proofErr w:type="spellEnd"/>
            <w:r w:rsidRPr="007D4385">
              <w:rPr>
                <w:sz w:val="21"/>
                <w:szCs w:val="21"/>
              </w:rPr>
              <w:t xml:space="preserve"> divides mining into two basic activities — mining operations and exploration and other mining support services.</w:t>
            </w:r>
          </w:p>
          <w:p w:rsidR="007D4385" w:rsidRPr="007D4385" w:rsidRDefault="007D4385" w:rsidP="007D4385">
            <w:pPr>
              <w:pStyle w:val="Box"/>
              <w:rPr>
                <w:sz w:val="21"/>
                <w:szCs w:val="21"/>
              </w:rPr>
            </w:pPr>
            <w:r w:rsidRPr="007D4385">
              <w:rPr>
                <w:sz w:val="21"/>
                <w:szCs w:val="21"/>
              </w:rPr>
              <w:t xml:space="preserve">Firms engaged primarily in exploration — or providing services to other resources or other exploration companies — are in subdivision 10 of Division B. Exploration activities (group 101) are further divided into petroleum exploration and mineral exploration. </w:t>
            </w:r>
          </w:p>
          <w:p w:rsidR="007D4385" w:rsidRPr="007D4385" w:rsidRDefault="007D4385" w:rsidP="007D4385">
            <w:pPr>
              <w:pStyle w:val="Box"/>
              <w:rPr>
                <w:sz w:val="21"/>
                <w:szCs w:val="21"/>
              </w:rPr>
            </w:pPr>
            <w:r w:rsidRPr="007D4385">
              <w:rPr>
                <w:sz w:val="21"/>
                <w:szCs w:val="21"/>
              </w:rPr>
              <w:t>Petroleum exploration (class 1011) includes units engaged in:</w:t>
            </w:r>
          </w:p>
          <w:p w:rsidR="007D4385" w:rsidRPr="007D4385" w:rsidRDefault="007D4385" w:rsidP="007D4385">
            <w:pPr>
              <w:pStyle w:val="BoxListBullet"/>
              <w:rPr>
                <w:sz w:val="21"/>
                <w:szCs w:val="21"/>
              </w:rPr>
            </w:pPr>
            <w:r w:rsidRPr="007D4385">
              <w:rPr>
                <w:sz w:val="21"/>
                <w:szCs w:val="21"/>
              </w:rPr>
              <w:t>natural gas exploration</w:t>
            </w:r>
          </w:p>
          <w:p w:rsidR="007D4385" w:rsidRPr="007D4385" w:rsidRDefault="007D4385" w:rsidP="007D4385">
            <w:pPr>
              <w:pStyle w:val="BoxListBullet"/>
              <w:rPr>
                <w:sz w:val="21"/>
                <w:szCs w:val="21"/>
              </w:rPr>
            </w:pPr>
            <w:r w:rsidRPr="007D4385">
              <w:rPr>
                <w:sz w:val="21"/>
                <w:szCs w:val="21"/>
              </w:rPr>
              <w:t>petroleum exploration</w:t>
            </w:r>
          </w:p>
          <w:p w:rsidR="007D4385" w:rsidRPr="007D4385" w:rsidRDefault="007D4385" w:rsidP="007D4385">
            <w:pPr>
              <w:pStyle w:val="Box"/>
              <w:rPr>
                <w:sz w:val="21"/>
                <w:szCs w:val="21"/>
              </w:rPr>
            </w:pPr>
            <w:r w:rsidRPr="007D4385">
              <w:rPr>
                <w:sz w:val="21"/>
                <w:szCs w:val="21"/>
              </w:rPr>
              <w:t>Minerals exploration (class 1012) consists of units mainly engaged in exploring for minerals (except for crude petroleum or natural gas).</w:t>
            </w:r>
          </w:p>
          <w:p w:rsidR="007D4385" w:rsidRPr="007D4385" w:rsidRDefault="007D4385" w:rsidP="007D4385">
            <w:pPr>
              <w:pStyle w:val="Box"/>
              <w:rPr>
                <w:sz w:val="21"/>
                <w:szCs w:val="21"/>
              </w:rPr>
            </w:pPr>
            <w:r w:rsidRPr="007D4385">
              <w:rPr>
                <w:sz w:val="21"/>
                <w:szCs w:val="21"/>
              </w:rPr>
              <w:t xml:space="preserve">There are also companies primarily engaged in resource production who undertake exploration activities. These companies will be found under the following </w:t>
            </w:r>
            <w:proofErr w:type="spellStart"/>
            <w:r w:rsidRPr="007D4385">
              <w:rPr>
                <w:sz w:val="21"/>
                <w:szCs w:val="21"/>
              </w:rPr>
              <w:t>ANZSIC</w:t>
            </w:r>
            <w:proofErr w:type="spellEnd"/>
            <w:r w:rsidRPr="007D4385">
              <w:rPr>
                <w:sz w:val="21"/>
                <w:szCs w:val="21"/>
              </w:rPr>
              <w:t xml:space="preserve"> subdivisions:</w:t>
            </w:r>
          </w:p>
          <w:p w:rsidR="007D4385" w:rsidRPr="007D4385" w:rsidRDefault="007D4385" w:rsidP="007D4385">
            <w:pPr>
              <w:pStyle w:val="BoxListBullet"/>
              <w:rPr>
                <w:sz w:val="21"/>
                <w:szCs w:val="21"/>
              </w:rPr>
            </w:pPr>
            <w:r w:rsidRPr="007D4385">
              <w:rPr>
                <w:sz w:val="21"/>
                <w:szCs w:val="21"/>
              </w:rPr>
              <w:t>subdivision 06 coal mining</w:t>
            </w:r>
          </w:p>
          <w:p w:rsidR="007D4385" w:rsidRPr="007D4385" w:rsidRDefault="007D4385" w:rsidP="007D4385">
            <w:pPr>
              <w:pStyle w:val="BoxListBullet"/>
              <w:rPr>
                <w:sz w:val="21"/>
                <w:szCs w:val="21"/>
              </w:rPr>
            </w:pPr>
            <w:r w:rsidRPr="007D4385">
              <w:rPr>
                <w:sz w:val="21"/>
                <w:szCs w:val="21"/>
              </w:rPr>
              <w:t>subdivision 07 oil and gas extraction</w:t>
            </w:r>
          </w:p>
          <w:p w:rsidR="007D4385" w:rsidRDefault="007D4385" w:rsidP="007D4385">
            <w:pPr>
              <w:pStyle w:val="BoxListBullet"/>
            </w:pPr>
            <w:r w:rsidRPr="007D4385">
              <w:t>subdivision 08 metal ore mining</w:t>
            </w:r>
          </w:p>
        </w:tc>
      </w:tr>
      <w:tr w:rsidR="007D4385">
        <w:trPr>
          <w:cantSplit/>
        </w:trPr>
        <w:tc>
          <w:tcPr>
            <w:tcW w:w="8771" w:type="dxa"/>
            <w:tcBorders>
              <w:top w:val="nil"/>
              <w:left w:val="single" w:sz="6" w:space="0" w:color="auto"/>
              <w:bottom w:val="nil"/>
              <w:right w:val="single" w:sz="6" w:space="0" w:color="auto"/>
            </w:tcBorders>
          </w:tcPr>
          <w:p w:rsidR="007D4385" w:rsidRDefault="007D4385" w:rsidP="007D4385">
            <w:pPr>
              <w:pStyle w:val="BoxSource"/>
            </w:pPr>
            <w:r>
              <w:rPr>
                <w:i/>
              </w:rPr>
              <w:t>Source</w:t>
            </w:r>
            <w:r w:rsidRPr="00167F06">
              <w:t xml:space="preserve">: </w:t>
            </w:r>
            <w:r>
              <w:t>ABS (2008).</w:t>
            </w:r>
          </w:p>
        </w:tc>
      </w:tr>
      <w:tr w:rsidR="007D4385">
        <w:trPr>
          <w:cantSplit/>
        </w:trPr>
        <w:tc>
          <w:tcPr>
            <w:tcW w:w="8771" w:type="dxa"/>
            <w:tcBorders>
              <w:top w:val="nil"/>
              <w:left w:val="single" w:sz="6" w:space="0" w:color="auto"/>
              <w:bottom w:val="single" w:sz="6" w:space="0" w:color="auto"/>
              <w:right w:val="single" w:sz="6" w:space="0" w:color="auto"/>
            </w:tcBorders>
          </w:tcPr>
          <w:p w:rsidR="007D4385" w:rsidRDefault="007D4385">
            <w:pPr>
              <w:pStyle w:val="Box"/>
              <w:spacing w:before="0" w:line="120" w:lineRule="exact"/>
            </w:pPr>
          </w:p>
        </w:tc>
      </w:tr>
      <w:tr w:rsidR="007D4385" w:rsidRPr="000863A5">
        <w:tc>
          <w:tcPr>
            <w:tcW w:w="8771" w:type="dxa"/>
            <w:tcBorders>
              <w:top w:val="nil"/>
              <w:left w:val="nil"/>
              <w:bottom w:val="nil"/>
              <w:right w:val="nil"/>
            </w:tcBorders>
          </w:tcPr>
          <w:p w:rsidR="007D4385" w:rsidRPr="00626D32" w:rsidRDefault="007D4385" w:rsidP="00537BB4">
            <w:pPr>
              <w:pStyle w:val="BoxSpaceBelow"/>
            </w:pPr>
          </w:p>
        </w:tc>
      </w:tr>
    </w:tbl>
    <w:p w:rsidR="00210A74" w:rsidRDefault="00AF149B" w:rsidP="003B1807">
      <w:pPr>
        <w:pStyle w:val="BodyText"/>
      </w:pPr>
      <w:r>
        <w:t>However, t</w:t>
      </w:r>
      <w:r w:rsidR="004C301F">
        <w:t>hese</w:t>
      </w:r>
      <w:r>
        <w:t xml:space="preserve"> statistics </w:t>
      </w:r>
      <w:r w:rsidR="00210A74">
        <w:t>fail to</w:t>
      </w:r>
      <w:r>
        <w:t xml:space="preserve"> fully capture the importance of exploration. Exploration is a prerequisite for </w:t>
      </w:r>
      <w:r w:rsidRPr="00526564">
        <w:t xml:space="preserve">the </w:t>
      </w:r>
      <w:r w:rsidR="000B5C2B">
        <w:t xml:space="preserve">extraction </w:t>
      </w:r>
      <w:r>
        <w:t>of</w:t>
      </w:r>
      <w:r w:rsidR="004C301F">
        <w:t xml:space="preserve"> commercially valuable </w:t>
      </w:r>
      <w:r w:rsidR="0001185C">
        <w:t xml:space="preserve">mineral and energy </w:t>
      </w:r>
      <w:r w:rsidR="004C301F">
        <w:t xml:space="preserve">resources. </w:t>
      </w:r>
      <w:r w:rsidR="0001185C">
        <w:lastRenderedPageBreak/>
        <w:t>R</w:t>
      </w:r>
      <w:r w:rsidR="00A47D16">
        <w:t>esource extraction</w:t>
      </w:r>
      <w:r w:rsidR="0001185C">
        <w:t xml:space="preserve"> </w:t>
      </w:r>
      <w:r w:rsidR="00A47D16">
        <w:t>is</w:t>
      </w:r>
      <w:r w:rsidR="007A6E1A">
        <w:t xml:space="preserve"> a major contributor to Australia’s overall economic activity, accounting for 9 per cent of GDP </w:t>
      </w:r>
      <w:r w:rsidR="00803663">
        <w:t>in 2011</w:t>
      </w:r>
      <w:r w:rsidR="00803663">
        <w:noBreakHyphen/>
        <w:t>12</w:t>
      </w:r>
      <w:r w:rsidR="00C603C5">
        <w:t xml:space="preserve">. </w:t>
      </w:r>
      <w:r w:rsidR="00210A74" w:rsidRPr="008C66B1">
        <w:t>As current reserves are depleted, the long term viability of resource</w:t>
      </w:r>
      <w:r w:rsidR="00903917">
        <w:t xml:space="preserve"> extraction</w:t>
      </w:r>
      <w:r w:rsidR="00210A74" w:rsidRPr="008C66B1">
        <w:t xml:space="preserve"> and its contribution to Australia’s economic growth will be underpinned by the </w:t>
      </w:r>
      <w:r w:rsidR="00B9517F">
        <w:t xml:space="preserve">ongoing </w:t>
      </w:r>
      <w:r w:rsidR="00210A74" w:rsidRPr="008C66B1">
        <w:t>discovery of high quality deposits</w:t>
      </w:r>
      <w:r w:rsidR="00210A74">
        <w:t>.</w:t>
      </w:r>
    </w:p>
    <w:p w:rsidR="00903917" w:rsidRDefault="00903917" w:rsidP="003B1807">
      <w:pPr>
        <w:pStyle w:val="BodyText"/>
      </w:pPr>
      <w:r>
        <w:t>The Minerals Council of Australia highlighted the importance of exploration by referring to comments by the chief of Geoscience Australia’s Energy and Mineral Division:</w:t>
      </w:r>
    </w:p>
    <w:p w:rsidR="00903917" w:rsidRDefault="00903917" w:rsidP="00903917">
      <w:pPr>
        <w:pStyle w:val="Quote"/>
      </w:pPr>
      <w:r>
        <w:t>While Australia’s resource stocks are healthy overall, the country’s position as a premier minerals producer is dependent on continuing investment in exploration to locate high quality resources and upgrade known deposits to make them competitive on the world market</w:t>
      </w:r>
      <w:r w:rsidR="00B85519">
        <w:t>.</w:t>
      </w:r>
      <w:r>
        <w:t xml:space="preserve"> (sub. 27 p. 17)</w:t>
      </w:r>
    </w:p>
    <w:p w:rsidR="007A6E1A" w:rsidRDefault="00B9517F">
      <w:pPr>
        <w:pStyle w:val="Heading3"/>
      </w:pPr>
      <w:r>
        <w:t>The scope of e</w:t>
      </w:r>
      <w:r w:rsidR="00434CA2">
        <w:t>xploration activity</w:t>
      </w:r>
    </w:p>
    <w:p w:rsidR="007A6E1A" w:rsidRDefault="007A6E1A" w:rsidP="007A6E1A">
      <w:pPr>
        <w:pStyle w:val="Heading4"/>
      </w:pPr>
      <w:r>
        <w:t>Resource type</w:t>
      </w:r>
    </w:p>
    <w:p w:rsidR="00A16ECE" w:rsidRPr="003B1807" w:rsidRDefault="007A6E1A" w:rsidP="003B1807">
      <w:pPr>
        <w:pStyle w:val="BodyText"/>
      </w:pPr>
      <w:r w:rsidRPr="003B1807">
        <w:t>Australia is endowed with a wide range of mineral and energy resources, with active exploration occurring across the spectrum of resources.</w:t>
      </w:r>
      <w:r w:rsidR="001A3E03" w:rsidRPr="003B1807">
        <w:t xml:space="preserve"> Expenditure on mineral and petroleum exploration has tripled over the past decade to reach $7</w:t>
      </w:r>
      <w:r w:rsidR="00901E8A">
        <w:t> </w:t>
      </w:r>
      <w:r w:rsidR="001A3E03" w:rsidRPr="003B1807">
        <w:t>billion in 2011</w:t>
      </w:r>
      <w:r w:rsidR="003271AC">
        <w:noBreakHyphen/>
      </w:r>
      <w:r w:rsidR="001A3E03" w:rsidRPr="003B1807">
        <w:t xml:space="preserve">12 (figure 2.1). Petroleum exploration is the largest component and, until 2008, was the main driver for the substantial increase in overall exploration expenditure. </w:t>
      </w:r>
    </w:p>
    <w:p w:rsidR="001A3E03" w:rsidRDefault="001A3E03" w:rsidP="003B1807">
      <w:pPr>
        <w:pStyle w:val="BodyText"/>
      </w:pPr>
      <w:r>
        <w:t xml:space="preserve">Expenditure on exploration for gold, silver and base metals has recently returned to the peak level experienced prior to the global financial crisis. Exploration spending on iron ore and coal has also substantially increased in recent years, albeit from a low base. </w:t>
      </w:r>
    </w:p>
    <w:p w:rsidR="001A3E03" w:rsidRPr="001A433E" w:rsidRDefault="001A3E03" w:rsidP="001A3E03">
      <w:pPr>
        <w:pStyle w:val="FigureTitle"/>
        <w:rPr>
          <w:rStyle w:val="NoteLabel"/>
        </w:rPr>
      </w:pPr>
      <w:r>
        <w:rPr>
          <w:b w:val="0"/>
        </w:rPr>
        <w:lastRenderedPageBreak/>
        <w:t xml:space="preserve">Figure </w:t>
      </w:r>
      <w:r w:rsidR="002D4421">
        <w:rPr>
          <w:b w:val="0"/>
        </w:rPr>
        <w:t>2.</w:t>
      </w:r>
      <w:r w:rsidR="002D4421">
        <w:rPr>
          <w:b w:val="0"/>
          <w:noProof/>
        </w:rPr>
        <w:t>1</w:t>
      </w:r>
      <w:r>
        <w:tab/>
        <w:t>Exploration expenditures have increased substantially</w:t>
      </w:r>
      <w:r w:rsidR="00B42117">
        <w:rPr>
          <w:rStyle w:val="NoteLabel"/>
        </w:rPr>
        <w:t>a</w:t>
      </w:r>
    </w:p>
    <w:p w:rsidR="001A3E03" w:rsidRDefault="00B85519" w:rsidP="00DC12F2">
      <w:pPr>
        <w:pStyle w:val="Subtitle"/>
      </w:pPr>
      <w:r>
        <w:t>1988</w:t>
      </w:r>
      <w:r>
        <w:noBreakHyphen/>
        <w:t>89 to 2010</w:t>
      </w:r>
      <w:r w:rsidR="001D531C">
        <w:t>–</w:t>
      </w:r>
      <w:r>
        <w:t>12, $billion (</w:t>
      </w:r>
      <w:r w:rsidR="001A3E03">
        <w:t>2011</w:t>
      </w:r>
      <w:r w:rsidR="001A3E03">
        <w:noBreakHyphen/>
        <w:t>12 prices</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1 Exploration expenditures have increased substantially"/>
        <w:tblDescription w:val="This figure indicates that exploration expenditures increased during the mid 1990s before declining at the end of that decade. Subsequently, there has been substantial growth in coal and iron ore exploration. For Petroleum *the largest exploration item), more than doubled between 2005-06 and 2008-09 before declining. For gold and silver, there have been two small increase in exploration expenditure around 2007-08 and in 2011-12."/>
      </w:tblPr>
      <w:tblGrid>
        <w:gridCol w:w="8777"/>
      </w:tblGrid>
      <w:tr w:rsidR="001A3E03" w:rsidTr="00EB6078">
        <w:tc>
          <w:tcPr>
            <w:tcW w:w="8777" w:type="dxa"/>
          </w:tcPr>
          <w:p w:rsidR="001A3E03" w:rsidRDefault="00EB6078" w:rsidP="00AB1BD4">
            <w:pPr>
              <w:pStyle w:val="Figure"/>
            </w:pPr>
            <w:r>
              <w:rPr>
                <w:noProof/>
              </w:rPr>
              <w:drawing>
                <wp:inline distT="0" distB="0" distL="0" distR="0" wp14:anchorId="1608DA1A" wp14:editId="6CA3CE24">
                  <wp:extent cx="5400000" cy="2880000"/>
                  <wp:effectExtent l="0" t="0" r="0" b="0"/>
                  <wp:docPr id="7" name="Chart 7" descr="Figure 2.1 Exploration expenditures have increased substantially. This chart compares the exploration expenditures of gold, silver and base metals, iron ore, petroleum and coal from 1988 to 20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D2ABA" w:rsidRPr="003B1807" w:rsidRDefault="006D2ABA">
      <w:pPr>
        <w:pStyle w:val="Note"/>
      </w:pPr>
      <w:proofErr w:type="spellStart"/>
      <w:r w:rsidRPr="001A433E">
        <w:rPr>
          <w:rStyle w:val="NoteLabel"/>
        </w:rPr>
        <w:t>a</w:t>
      </w:r>
      <w:proofErr w:type="spellEnd"/>
      <w:r>
        <w:rPr>
          <w:rStyle w:val="NoteLabel"/>
        </w:rPr>
        <w:t> </w:t>
      </w:r>
      <w:r w:rsidR="00B85519">
        <w:t>Exploration expenditure</w:t>
      </w:r>
      <w:r>
        <w:t xml:space="preserve"> for coal seam gas is included within coal exploration expenditures.</w:t>
      </w:r>
    </w:p>
    <w:p w:rsidR="00C603C5" w:rsidRPr="00C603C5" w:rsidRDefault="001A3E03">
      <w:pPr>
        <w:pStyle w:val="Note"/>
      </w:pPr>
      <w:r w:rsidRPr="003B1807">
        <w:rPr>
          <w:i/>
        </w:rPr>
        <w:t>Data source</w:t>
      </w:r>
      <w:r w:rsidRPr="00C603C5">
        <w:t>: ABS (</w:t>
      </w:r>
      <w:proofErr w:type="spellStart"/>
      <w:r w:rsidRPr="00C603C5">
        <w:t>2012</w:t>
      </w:r>
      <w:r w:rsidR="00664D96">
        <w:t>a</w:t>
      </w:r>
      <w:proofErr w:type="spellEnd"/>
      <w:r w:rsidRPr="00C603C5">
        <w:t>) (Time Series Workbooks for tables 5 and 6).</w:t>
      </w:r>
      <w:r w:rsidR="00C603C5" w:rsidRPr="00C603C5">
        <w:t xml:space="preserve"> </w:t>
      </w:r>
    </w:p>
    <w:p w:rsidR="007A6E1A" w:rsidRPr="003B1807" w:rsidRDefault="007A6E1A" w:rsidP="003B1807">
      <w:pPr>
        <w:pStyle w:val="Heading4"/>
      </w:pPr>
      <w:r w:rsidRPr="003B1807">
        <w:t>Location</w:t>
      </w:r>
    </w:p>
    <w:p w:rsidR="007A6E1A" w:rsidRPr="008C66B1" w:rsidRDefault="00B9517F" w:rsidP="003B1807">
      <w:pPr>
        <w:pStyle w:val="BodyText"/>
      </w:pPr>
      <w:r>
        <w:t>E</w:t>
      </w:r>
      <w:r w:rsidR="007A6E1A" w:rsidRPr="00D3479A">
        <w:t>xploration activity is unevenly distributed</w:t>
      </w:r>
      <w:r>
        <w:t xml:space="preserve"> across Australia</w:t>
      </w:r>
      <w:r w:rsidR="007A6E1A" w:rsidRPr="00D3479A">
        <w:t xml:space="preserve"> (figure</w:t>
      </w:r>
      <w:r w:rsidR="007A6E1A">
        <w:t> </w:t>
      </w:r>
      <w:r w:rsidR="007A6E1A" w:rsidRPr="00D3479A">
        <w:t xml:space="preserve">2.2). Western Australia </w:t>
      </w:r>
      <w:r w:rsidR="000668DE">
        <w:t xml:space="preserve">and Queensland </w:t>
      </w:r>
      <w:r w:rsidR="007A6E1A" w:rsidRPr="00D3479A">
        <w:t>dominate</w:t>
      </w:r>
      <w:r w:rsidR="005D4D5C">
        <w:t>,</w:t>
      </w:r>
      <w:r w:rsidR="007A6E1A" w:rsidRPr="00D3479A">
        <w:t xml:space="preserve"> accounting </w:t>
      </w:r>
      <w:r w:rsidR="000668DE">
        <w:t xml:space="preserve">respectively </w:t>
      </w:r>
      <w:r w:rsidR="007A6E1A" w:rsidRPr="00D3479A">
        <w:t xml:space="preserve">for around </w:t>
      </w:r>
      <w:r w:rsidR="000668DE">
        <w:t xml:space="preserve">a half and a quarter </w:t>
      </w:r>
      <w:r w:rsidR="007A6E1A" w:rsidRPr="00D3479A">
        <w:t xml:space="preserve">of </w:t>
      </w:r>
      <w:r w:rsidR="000668DE">
        <w:t xml:space="preserve">total </w:t>
      </w:r>
      <w:r w:rsidR="007A6E1A" w:rsidRPr="00D3479A">
        <w:t xml:space="preserve">spending. Tasmania </w:t>
      </w:r>
      <w:r w:rsidR="000668DE">
        <w:t xml:space="preserve">is at the other extreme, with </w:t>
      </w:r>
      <w:r w:rsidR="007A6E1A" w:rsidRPr="00D3479A">
        <w:t xml:space="preserve">the smallest share, </w:t>
      </w:r>
      <w:r w:rsidR="005D4D5C">
        <w:t>at</w:t>
      </w:r>
      <w:r w:rsidR="007A6E1A" w:rsidRPr="00D3479A">
        <w:t xml:space="preserve"> around 1 per cent. While the disproportionate share</w:t>
      </w:r>
      <w:r w:rsidR="000668DE">
        <w:t>s</w:t>
      </w:r>
      <w:r w:rsidR="007A6E1A" w:rsidRPr="00D3479A">
        <w:t xml:space="preserve"> of exploration expenditure </w:t>
      </w:r>
      <w:r w:rsidR="000668DE">
        <w:t xml:space="preserve">across states primarily </w:t>
      </w:r>
      <w:r w:rsidR="007A6E1A" w:rsidRPr="00D3479A">
        <w:t>reflect</w:t>
      </w:r>
      <w:r w:rsidR="005D4D5C">
        <w:t>s</w:t>
      </w:r>
      <w:r w:rsidR="007A6E1A" w:rsidRPr="00D3479A">
        <w:t xml:space="preserve"> disparities in mineral endowments, differences in policies and regulatory practices may also play a part.</w:t>
      </w:r>
    </w:p>
    <w:p w:rsidR="007A6E1A" w:rsidRDefault="007A6E1A" w:rsidP="007A6E1A">
      <w:pPr>
        <w:pStyle w:val="FigureTitle"/>
      </w:pPr>
      <w:r>
        <w:rPr>
          <w:b w:val="0"/>
        </w:rPr>
        <w:lastRenderedPageBreak/>
        <w:t xml:space="preserve">Figure </w:t>
      </w:r>
      <w:r w:rsidR="002D4421">
        <w:rPr>
          <w:b w:val="0"/>
        </w:rPr>
        <w:t>2.</w:t>
      </w:r>
      <w:r w:rsidR="002D4421">
        <w:rPr>
          <w:b w:val="0"/>
          <w:noProof/>
        </w:rPr>
        <w:t>2</w:t>
      </w:r>
      <w:r>
        <w:tab/>
      </w:r>
      <w:r w:rsidR="00B9517F">
        <w:t>E</w:t>
      </w:r>
      <w:r w:rsidR="00AB1BD4">
        <w:t>xploration expenditure</w:t>
      </w:r>
      <w:r w:rsidR="00103E2D">
        <w:t xml:space="preserve"> </w:t>
      </w:r>
      <w:r w:rsidR="00B9517F">
        <w:t>across Australia</w:t>
      </w:r>
      <w:r w:rsidR="00B85519">
        <w:rPr>
          <w:rStyle w:val="NoteLabel"/>
        </w:rPr>
        <w:t>a</w:t>
      </w:r>
    </w:p>
    <w:p w:rsidR="007A6E1A" w:rsidRDefault="00B85519" w:rsidP="007A6E1A">
      <w:pPr>
        <w:pStyle w:val="Subtitle"/>
      </w:pPr>
      <w:r>
        <w:t>P</w:t>
      </w:r>
      <w:r w:rsidR="007A6E1A">
        <w:t>er cent of total Australian exploration expenditure and land area</w:t>
      </w:r>
      <w:r w:rsidR="00103E2D">
        <w:t xml:space="preserve"> in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2 Exploration expenditure across Australia"/>
        <w:tblDescription w:val="This figure shows the share of land area and exploration expenditure in each state and the Northern Territory in 2012. Western Australia had the highest share of exploration expenditure (53%) compared to a third of land area. Queensland had the next highest share of exploration expenditure (24%) which is slightly higher than the proportion of land. The Northern Territory, South Australia, New South Wales and Victoria have the next highest levels of exploration expenditure and land area (in that order). All of these jurisdictions have a lower share of exploration expenditure than land area. While Tasmania has slightly more than 1 per cent of exploration expenditure, this is larger than the share of land area. No exploration or mining occurs in the ACT."/>
      </w:tblPr>
      <w:tblGrid>
        <w:gridCol w:w="8777"/>
      </w:tblGrid>
      <w:tr w:rsidR="007A6E1A" w:rsidTr="00BD3F3A">
        <w:tc>
          <w:tcPr>
            <w:tcW w:w="8777" w:type="dxa"/>
          </w:tcPr>
          <w:p w:rsidR="007A6E1A" w:rsidRDefault="00BD3F3A" w:rsidP="00A11FA9">
            <w:pPr>
              <w:pStyle w:val="Figure"/>
            </w:pPr>
            <w:r>
              <w:rPr>
                <w:noProof/>
              </w:rPr>
              <w:drawing>
                <wp:inline distT="0" distB="0" distL="0" distR="0" wp14:anchorId="63282BD8" wp14:editId="1726E58C">
                  <wp:extent cx="5400000" cy="2880000"/>
                  <wp:effectExtent l="0" t="0" r="0" b="0"/>
                  <wp:docPr id="8" name="Chart 8" descr="Figure 2.2 Exploration expenditure across Australia. This chart compares the percentage of land area and expenditure dedicated to exploration in New South Wales, Victoria, Queensland, South Australia, Western Australia, Tasmania and the Northern Territory."/>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A6E1A" w:rsidRDefault="007A6E1A" w:rsidP="007A6E1A">
      <w:pPr>
        <w:pStyle w:val="Note"/>
      </w:pPr>
      <w:r>
        <w:rPr>
          <w:rStyle w:val="NoteLabel"/>
        </w:rPr>
        <w:t>a</w:t>
      </w:r>
      <w:r>
        <w:t xml:space="preserve"> Sales and service income.</w:t>
      </w:r>
    </w:p>
    <w:p w:rsidR="007A6E1A" w:rsidRDefault="007A6E1A" w:rsidP="007A6E1A">
      <w:pPr>
        <w:pStyle w:val="Source"/>
      </w:pPr>
      <w:r>
        <w:rPr>
          <w:i/>
        </w:rPr>
        <w:t>Data source</w:t>
      </w:r>
      <w:r w:rsidR="00FA7986">
        <w:rPr>
          <w:i/>
        </w:rPr>
        <w:t>s</w:t>
      </w:r>
      <w:r w:rsidRPr="00167F06">
        <w:t xml:space="preserve">: </w:t>
      </w:r>
      <w:r w:rsidRPr="00D3479A">
        <w:t>ABS (</w:t>
      </w:r>
      <w:proofErr w:type="spellStart"/>
      <w:r w:rsidRPr="00D3479A">
        <w:t>2012</w:t>
      </w:r>
      <w:r w:rsidR="00664D96">
        <w:t>a</w:t>
      </w:r>
      <w:proofErr w:type="spellEnd"/>
      <w:r w:rsidR="00664D96">
        <w:t xml:space="preserve">, </w:t>
      </w:r>
      <w:proofErr w:type="spellStart"/>
      <w:r w:rsidR="00664D96">
        <w:t>2012b</w:t>
      </w:r>
      <w:proofErr w:type="spellEnd"/>
      <w:r w:rsidRPr="00D3479A">
        <w:t>)</w:t>
      </w:r>
      <w:r>
        <w:t>.</w:t>
      </w:r>
    </w:p>
    <w:p w:rsidR="007A6E1A" w:rsidRDefault="00BF5032" w:rsidP="007A6E1A">
      <w:pPr>
        <w:pStyle w:val="Heading4"/>
      </w:pPr>
      <w:r>
        <w:t xml:space="preserve">The structure of </w:t>
      </w:r>
      <w:r w:rsidR="00782EBC">
        <w:t xml:space="preserve">exploration </w:t>
      </w:r>
      <w:r>
        <w:t>firms</w:t>
      </w:r>
    </w:p>
    <w:p w:rsidR="007A6E1A" w:rsidRDefault="00A47D16" w:rsidP="003B1807">
      <w:pPr>
        <w:pStyle w:val="BodyText"/>
      </w:pPr>
      <w:r>
        <w:t>M</w:t>
      </w:r>
      <w:r w:rsidR="007A6E1A">
        <w:t>ineral and energy</w:t>
      </w:r>
      <w:r>
        <w:t xml:space="preserve"> resource </w:t>
      </w:r>
      <w:r w:rsidR="00526564">
        <w:t>explorers are</w:t>
      </w:r>
      <w:r w:rsidR="007A6E1A">
        <w:t xml:space="preserve"> </w:t>
      </w:r>
      <w:r w:rsidR="00903917">
        <w:t xml:space="preserve">businesses </w:t>
      </w:r>
      <w:r w:rsidR="00E13E23">
        <w:t xml:space="preserve">of all sizes. At one end of the spectrum are companies </w:t>
      </w:r>
      <w:r w:rsidR="007A6E1A">
        <w:t xml:space="preserve">with established production operations, billions </w:t>
      </w:r>
      <w:r w:rsidR="00E13E23">
        <w:t xml:space="preserve">of dollars </w:t>
      </w:r>
      <w:r w:rsidR="007A6E1A">
        <w:t>in assets and multinational operations</w:t>
      </w:r>
      <w:r w:rsidR="00E13E23">
        <w:t>. At the other end are small</w:t>
      </w:r>
      <w:r w:rsidR="001643A4">
        <w:t xml:space="preserve"> </w:t>
      </w:r>
      <w:r w:rsidR="007A6E1A">
        <w:t>exploration firms</w:t>
      </w:r>
      <w:r w:rsidR="00E13E23">
        <w:t xml:space="preserve"> with only a few million dollars of capital</w:t>
      </w:r>
      <w:r w:rsidR="007A6E1A">
        <w:t xml:space="preserve">. It is common practice to divide </w:t>
      </w:r>
      <w:r w:rsidR="00E13E23">
        <w:t xml:space="preserve">these </w:t>
      </w:r>
      <w:r w:rsidR="007A6E1A">
        <w:t xml:space="preserve">companies into those which </w:t>
      </w:r>
      <w:r w:rsidR="00526564">
        <w:t xml:space="preserve">primarily </w:t>
      </w:r>
      <w:r w:rsidR="007A6E1A">
        <w:t>source</w:t>
      </w:r>
      <w:r w:rsidR="00B42117">
        <w:t xml:space="preserve"> their </w:t>
      </w:r>
      <w:r w:rsidR="007A6E1A">
        <w:t xml:space="preserve">exploration funding from income derived from established mines or wells (the </w:t>
      </w:r>
      <w:r w:rsidR="007D4AAE">
        <w:t>‘</w:t>
      </w:r>
      <w:r w:rsidR="007A6E1A">
        <w:t>senior</w:t>
      </w:r>
      <w:r w:rsidR="007D4AAE">
        <w:t xml:space="preserve">’ </w:t>
      </w:r>
      <w:r w:rsidR="007A6E1A">
        <w:t>miners</w:t>
      </w:r>
      <w:r w:rsidR="007D4AAE">
        <w:rPr>
          <w:rStyle w:val="FootnoteReference"/>
        </w:rPr>
        <w:footnoteReference w:id="2"/>
      </w:r>
      <w:r w:rsidR="007A6E1A">
        <w:t xml:space="preserve">) and those which raise their exploration funding </w:t>
      </w:r>
      <w:r w:rsidR="00526564">
        <w:t xml:space="preserve">more directly </w:t>
      </w:r>
      <w:r w:rsidR="007A6E1A">
        <w:t xml:space="preserve">through the stock market (the </w:t>
      </w:r>
      <w:r w:rsidR="007D4AAE">
        <w:t>‘</w:t>
      </w:r>
      <w:r w:rsidR="007A6E1A">
        <w:t>junior</w:t>
      </w:r>
      <w:r w:rsidR="007D4AAE">
        <w:t xml:space="preserve">’ </w:t>
      </w:r>
      <w:r w:rsidR="007A6E1A">
        <w:t xml:space="preserve">explorers). </w:t>
      </w:r>
    </w:p>
    <w:p w:rsidR="007A6E1A" w:rsidRDefault="007A6E1A" w:rsidP="003B1807">
      <w:pPr>
        <w:pStyle w:val="BodyText"/>
      </w:pPr>
      <w:r>
        <w:t>A recent review of resources companies listed on the stock exchange (table 2.</w:t>
      </w:r>
      <w:r w:rsidR="001446B5">
        <w:t>1</w:t>
      </w:r>
      <w:r>
        <w:t xml:space="preserve">) highlights that even though junior explorers far outnumber the </w:t>
      </w:r>
      <w:r w:rsidR="0001185C">
        <w:t xml:space="preserve">senior </w:t>
      </w:r>
      <w:r>
        <w:t xml:space="preserve">miners, the </w:t>
      </w:r>
      <w:r w:rsidR="00782EBC">
        <w:t>latter</w:t>
      </w:r>
      <w:r>
        <w:t xml:space="preserve"> account for the vast majority of resource company market capitalisation.</w:t>
      </w:r>
      <w:r w:rsidR="00103E2D">
        <w:t xml:space="preserve"> </w:t>
      </w:r>
    </w:p>
    <w:p w:rsidR="007A6E1A" w:rsidRDefault="007A6E1A" w:rsidP="007A6E1A">
      <w:pPr>
        <w:pStyle w:val="TableTitle"/>
      </w:pPr>
      <w:r>
        <w:rPr>
          <w:b w:val="0"/>
        </w:rPr>
        <w:lastRenderedPageBreak/>
        <w:t xml:space="preserve">Table </w:t>
      </w:r>
      <w:r w:rsidR="002D4421">
        <w:rPr>
          <w:b w:val="0"/>
        </w:rPr>
        <w:t>2.</w:t>
      </w:r>
      <w:r w:rsidR="002D4421">
        <w:rPr>
          <w:b w:val="0"/>
          <w:noProof/>
        </w:rPr>
        <w:t>1</w:t>
      </w:r>
      <w:r>
        <w:tab/>
      </w:r>
      <w:r w:rsidR="000B3628">
        <w:t>Junior explorers are numerous, but have limited capitalisation</w:t>
      </w:r>
    </w:p>
    <w:p w:rsidR="007A6E1A" w:rsidRDefault="000B3628" w:rsidP="007A6E1A">
      <w:pPr>
        <w:pStyle w:val="Subtitle"/>
      </w:pPr>
      <w:r>
        <w:t xml:space="preserve">Resource explorers </w:t>
      </w:r>
      <w:r w:rsidR="007A6E1A">
        <w:t>listed on the Australian Stock Exchange in June 2012</w:t>
      </w:r>
    </w:p>
    <w:tbl>
      <w:tblPr>
        <w:tblW w:w="5000" w:type="pct"/>
        <w:tblCellMar>
          <w:left w:w="0" w:type="dxa"/>
          <w:right w:w="0" w:type="dxa"/>
        </w:tblCellMar>
        <w:tblLook w:val="0000" w:firstRow="0" w:lastRow="0" w:firstColumn="0" w:lastColumn="0" w:noHBand="0" w:noVBand="0"/>
      </w:tblPr>
      <w:tblGrid>
        <w:gridCol w:w="1985"/>
        <w:gridCol w:w="1561"/>
        <w:gridCol w:w="1557"/>
        <w:gridCol w:w="1754"/>
        <w:gridCol w:w="1932"/>
      </w:tblGrid>
      <w:tr w:rsidR="007A6E1A" w:rsidTr="00CA6835">
        <w:tc>
          <w:tcPr>
            <w:tcW w:w="1129" w:type="pct"/>
            <w:tcBorders>
              <w:top w:val="single" w:sz="6" w:space="0" w:color="auto"/>
              <w:bottom w:val="single" w:sz="6" w:space="0" w:color="auto"/>
            </w:tcBorders>
            <w:shd w:val="clear" w:color="auto" w:fill="auto"/>
          </w:tcPr>
          <w:p w:rsidR="007A6E1A" w:rsidRDefault="007A6E1A" w:rsidP="00A11FA9">
            <w:pPr>
              <w:pStyle w:val="TableColumnHeading"/>
              <w:jc w:val="left"/>
            </w:pPr>
            <w:r>
              <w:t>Sector</w:t>
            </w:r>
          </w:p>
        </w:tc>
        <w:tc>
          <w:tcPr>
            <w:tcW w:w="888" w:type="pct"/>
            <w:tcBorders>
              <w:top w:val="single" w:sz="6" w:space="0" w:color="auto"/>
              <w:bottom w:val="single" w:sz="6" w:space="0" w:color="auto"/>
            </w:tcBorders>
            <w:shd w:val="clear" w:color="auto" w:fill="auto"/>
          </w:tcPr>
          <w:p w:rsidR="007A6E1A" w:rsidRDefault="004F7CFC" w:rsidP="001D531C">
            <w:pPr>
              <w:pStyle w:val="TableColumnHeading"/>
            </w:pPr>
            <w:r>
              <w:t>J</w:t>
            </w:r>
            <w:r w:rsidR="007A6E1A">
              <w:t>unior</w:t>
            </w:r>
            <w:r w:rsidR="007A6E1A" w:rsidRPr="00041B85">
              <w:rPr>
                <w:rStyle w:val="NoteLabel"/>
              </w:rPr>
              <w:t>a</w:t>
            </w:r>
            <w:r w:rsidR="007A6E1A">
              <w:t xml:space="preserve"> explorers</w:t>
            </w:r>
          </w:p>
        </w:tc>
        <w:tc>
          <w:tcPr>
            <w:tcW w:w="886" w:type="pct"/>
            <w:tcBorders>
              <w:top w:val="single" w:sz="6" w:space="0" w:color="auto"/>
              <w:bottom w:val="single" w:sz="6" w:space="0" w:color="auto"/>
            </w:tcBorders>
          </w:tcPr>
          <w:p w:rsidR="007A6E1A" w:rsidRDefault="004F7CFC" w:rsidP="001D531C">
            <w:pPr>
              <w:pStyle w:val="TableColumnHeading"/>
            </w:pPr>
            <w:r>
              <w:t>S</w:t>
            </w:r>
            <w:r w:rsidR="007A6E1A">
              <w:t>enior explorers</w:t>
            </w:r>
          </w:p>
        </w:tc>
        <w:tc>
          <w:tcPr>
            <w:tcW w:w="998" w:type="pct"/>
            <w:tcBorders>
              <w:top w:val="single" w:sz="6" w:space="0" w:color="auto"/>
              <w:bottom w:val="single" w:sz="6" w:space="0" w:color="auto"/>
            </w:tcBorders>
          </w:tcPr>
          <w:p w:rsidR="007A6E1A" w:rsidRDefault="007A6E1A" w:rsidP="001D531C">
            <w:pPr>
              <w:pStyle w:val="TableColumnHeading"/>
            </w:pPr>
            <w:r>
              <w:t>Junior explorers’ share of all listed resource companies</w:t>
            </w:r>
          </w:p>
        </w:tc>
        <w:tc>
          <w:tcPr>
            <w:tcW w:w="1099" w:type="pct"/>
            <w:tcBorders>
              <w:top w:val="single" w:sz="6" w:space="0" w:color="auto"/>
              <w:bottom w:val="single" w:sz="6" w:space="0" w:color="auto"/>
            </w:tcBorders>
            <w:shd w:val="clear" w:color="auto" w:fill="auto"/>
          </w:tcPr>
          <w:p w:rsidR="007A6E1A" w:rsidRDefault="007A6E1A" w:rsidP="001D531C">
            <w:pPr>
              <w:pStyle w:val="TableColumnHeading"/>
              <w:ind w:right="28"/>
            </w:pPr>
            <w:r>
              <w:t>Junior explorers’ share of total resource company market capitalisation</w:t>
            </w:r>
          </w:p>
        </w:tc>
      </w:tr>
      <w:tr w:rsidR="004F7CFC" w:rsidTr="00CA6835">
        <w:tc>
          <w:tcPr>
            <w:tcW w:w="1129" w:type="pct"/>
            <w:tcBorders>
              <w:top w:val="single" w:sz="6" w:space="0" w:color="auto"/>
            </w:tcBorders>
            <w:shd w:val="clear" w:color="auto" w:fill="auto"/>
          </w:tcPr>
          <w:p w:rsidR="004F7CFC" w:rsidRDefault="004F7CFC" w:rsidP="004F7CFC">
            <w:pPr>
              <w:pStyle w:val="TableUnitsRow"/>
              <w:jc w:val="left"/>
            </w:pPr>
          </w:p>
        </w:tc>
        <w:tc>
          <w:tcPr>
            <w:tcW w:w="888" w:type="pct"/>
            <w:tcBorders>
              <w:top w:val="single" w:sz="6" w:space="0" w:color="auto"/>
            </w:tcBorders>
            <w:shd w:val="clear" w:color="auto" w:fill="auto"/>
          </w:tcPr>
          <w:p w:rsidR="004F7CFC" w:rsidRDefault="004F7CFC" w:rsidP="001D531C">
            <w:pPr>
              <w:pStyle w:val="TableUnitsRow"/>
            </w:pPr>
            <w:r>
              <w:t>number</w:t>
            </w:r>
          </w:p>
        </w:tc>
        <w:tc>
          <w:tcPr>
            <w:tcW w:w="886" w:type="pct"/>
            <w:tcBorders>
              <w:top w:val="single" w:sz="6" w:space="0" w:color="auto"/>
            </w:tcBorders>
          </w:tcPr>
          <w:p w:rsidR="004F7CFC" w:rsidRDefault="004F7CFC" w:rsidP="001D531C">
            <w:pPr>
              <w:pStyle w:val="TableUnitsRow"/>
            </w:pPr>
            <w:r>
              <w:t>number</w:t>
            </w:r>
          </w:p>
        </w:tc>
        <w:tc>
          <w:tcPr>
            <w:tcW w:w="998" w:type="pct"/>
            <w:tcBorders>
              <w:top w:val="single" w:sz="6" w:space="0" w:color="auto"/>
            </w:tcBorders>
          </w:tcPr>
          <w:p w:rsidR="004F7CFC" w:rsidRDefault="004F7CFC" w:rsidP="001D531C">
            <w:pPr>
              <w:pStyle w:val="TableUnitsRow"/>
            </w:pPr>
            <w:r>
              <w:t>per cent</w:t>
            </w:r>
          </w:p>
        </w:tc>
        <w:tc>
          <w:tcPr>
            <w:tcW w:w="1099" w:type="pct"/>
            <w:tcBorders>
              <w:top w:val="single" w:sz="6" w:space="0" w:color="auto"/>
            </w:tcBorders>
            <w:shd w:val="clear" w:color="auto" w:fill="auto"/>
          </w:tcPr>
          <w:p w:rsidR="004F7CFC" w:rsidRDefault="004F7CFC" w:rsidP="001D531C">
            <w:pPr>
              <w:pStyle w:val="TableUnitsRow"/>
              <w:ind w:right="28"/>
            </w:pPr>
            <w:r>
              <w:t>per cent</w:t>
            </w:r>
          </w:p>
        </w:tc>
      </w:tr>
      <w:tr w:rsidR="007A6E1A" w:rsidTr="00CA6835">
        <w:trPr>
          <w:trHeight w:val="340"/>
        </w:trPr>
        <w:tc>
          <w:tcPr>
            <w:tcW w:w="1129" w:type="pct"/>
          </w:tcPr>
          <w:p w:rsidR="007A6E1A" w:rsidRDefault="007A6E1A" w:rsidP="00A11FA9">
            <w:pPr>
              <w:pStyle w:val="TableBodyText"/>
              <w:spacing w:before="40"/>
              <w:jc w:val="left"/>
            </w:pPr>
            <w:r>
              <w:t>Oil and gas</w:t>
            </w:r>
          </w:p>
        </w:tc>
        <w:tc>
          <w:tcPr>
            <w:tcW w:w="888" w:type="pct"/>
          </w:tcPr>
          <w:p w:rsidR="007A6E1A" w:rsidRDefault="007A6E1A" w:rsidP="001D531C">
            <w:pPr>
              <w:pStyle w:val="TableBodyText"/>
              <w:spacing w:before="40"/>
            </w:pPr>
            <w:r>
              <w:t>110</w:t>
            </w:r>
          </w:p>
        </w:tc>
        <w:tc>
          <w:tcPr>
            <w:tcW w:w="886" w:type="pct"/>
          </w:tcPr>
          <w:p w:rsidR="007A6E1A" w:rsidRDefault="007A6E1A" w:rsidP="001D531C">
            <w:pPr>
              <w:pStyle w:val="TableBodyText"/>
              <w:spacing w:before="40"/>
            </w:pPr>
            <w:r>
              <w:t>17</w:t>
            </w:r>
          </w:p>
        </w:tc>
        <w:tc>
          <w:tcPr>
            <w:tcW w:w="998" w:type="pct"/>
          </w:tcPr>
          <w:p w:rsidR="007A6E1A" w:rsidRDefault="007A6E1A" w:rsidP="001D531C">
            <w:pPr>
              <w:pStyle w:val="TableBodyText"/>
              <w:spacing w:before="40"/>
            </w:pPr>
            <w:r>
              <w:t>87</w:t>
            </w:r>
          </w:p>
        </w:tc>
        <w:tc>
          <w:tcPr>
            <w:tcW w:w="1099" w:type="pct"/>
          </w:tcPr>
          <w:p w:rsidR="007A6E1A" w:rsidRDefault="007A6E1A" w:rsidP="001D531C">
            <w:pPr>
              <w:pStyle w:val="TableBodyText"/>
              <w:spacing w:before="40"/>
              <w:ind w:right="28"/>
            </w:pPr>
            <w:r>
              <w:t>8</w:t>
            </w:r>
          </w:p>
        </w:tc>
      </w:tr>
      <w:tr w:rsidR="007A6E1A" w:rsidTr="00B84EC2">
        <w:tc>
          <w:tcPr>
            <w:tcW w:w="1129" w:type="pct"/>
            <w:shd w:val="clear" w:color="auto" w:fill="auto"/>
          </w:tcPr>
          <w:p w:rsidR="007A6E1A" w:rsidRDefault="007A6E1A" w:rsidP="00A11FA9">
            <w:pPr>
              <w:pStyle w:val="TableBodyText"/>
              <w:jc w:val="left"/>
            </w:pPr>
            <w:r>
              <w:t>Coal and consumable fuels</w:t>
            </w:r>
          </w:p>
        </w:tc>
        <w:tc>
          <w:tcPr>
            <w:tcW w:w="888" w:type="pct"/>
            <w:shd w:val="clear" w:color="auto" w:fill="auto"/>
          </w:tcPr>
          <w:p w:rsidR="007A6E1A" w:rsidRDefault="007A6E1A" w:rsidP="001D531C">
            <w:pPr>
              <w:pStyle w:val="TableBodyText"/>
            </w:pPr>
            <w:r>
              <w:t>63</w:t>
            </w:r>
          </w:p>
        </w:tc>
        <w:tc>
          <w:tcPr>
            <w:tcW w:w="886" w:type="pct"/>
          </w:tcPr>
          <w:p w:rsidR="007A6E1A" w:rsidRDefault="007A6E1A" w:rsidP="001D531C">
            <w:pPr>
              <w:pStyle w:val="TableBodyText"/>
            </w:pPr>
            <w:r>
              <w:t>21</w:t>
            </w:r>
          </w:p>
        </w:tc>
        <w:tc>
          <w:tcPr>
            <w:tcW w:w="998" w:type="pct"/>
          </w:tcPr>
          <w:p w:rsidR="007A6E1A" w:rsidRDefault="007A6E1A" w:rsidP="001D531C">
            <w:pPr>
              <w:pStyle w:val="TableBodyText"/>
            </w:pPr>
            <w:r>
              <w:t>75</w:t>
            </w:r>
          </w:p>
        </w:tc>
        <w:tc>
          <w:tcPr>
            <w:tcW w:w="1099" w:type="pct"/>
            <w:shd w:val="clear" w:color="auto" w:fill="auto"/>
          </w:tcPr>
          <w:p w:rsidR="007A6E1A" w:rsidRDefault="007A6E1A" w:rsidP="001D531C">
            <w:pPr>
              <w:pStyle w:val="TableBodyText"/>
              <w:ind w:right="28"/>
            </w:pPr>
            <w:r>
              <w:t>22</w:t>
            </w:r>
          </w:p>
        </w:tc>
      </w:tr>
      <w:tr w:rsidR="007A6E1A" w:rsidTr="00B84EC2">
        <w:tc>
          <w:tcPr>
            <w:tcW w:w="1129" w:type="pct"/>
            <w:shd w:val="clear" w:color="auto" w:fill="auto"/>
          </w:tcPr>
          <w:p w:rsidR="00792202" w:rsidRPr="00B84EC2" w:rsidRDefault="007A6E1A" w:rsidP="00B84EC2">
            <w:pPr>
              <w:pStyle w:val="TableBodyText"/>
              <w:jc w:val="left"/>
            </w:pPr>
            <w:r>
              <w:t>Aluminium, steel and</w:t>
            </w:r>
          </w:p>
          <w:p w:rsidR="007A6E1A" w:rsidRDefault="007A6E1A" w:rsidP="00B84EC2">
            <w:pPr>
              <w:pStyle w:val="TableBodyText"/>
              <w:jc w:val="left"/>
              <w:rPr>
                <w:szCs w:val="24"/>
              </w:rPr>
            </w:pPr>
            <w:r>
              <w:t xml:space="preserve"> diversified miners</w:t>
            </w:r>
            <w:r w:rsidR="00902947" w:rsidRPr="00035D09">
              <w:rPr>
                <w:rStyle w:val="NoteLabel"/>
              </w:rPr>
              <w:t>b</w:t>
            </w:r>
          </w:p>
        </w:tc>
        <w:tc>
          <w:tcPr>
            <w:tcW w:w="888" w:type="pct"/>
            <w:shd w:val="clear" w:color="auto" w:fill="auto"/>
          </w:tcPr>
          <w:p w:rsidR="007A6E1A" w:rsidRDefault="007A6E1A" w:rsidP="001D531C">
            <w:pPr>
              <w:pStyle w:val="TableBodyText"/>
            </w:pPr>
            <w:r>
              <w:t>275</w:t>
            </w:r>
          </w:p>
        </w:tc>
        <w:tc>
          <w:tcPr>
            <w:tcW w:w="886" w:type="pct"/>
          </w:tcPr>
          <w:p w:rsidR="007A6E1A" w:rsidRDefault="007A6E1A" w:rsidP="001D531C">
            <w:pPr>
              <w:pStyle w:val="TableBodyText"/>
            </w:pPr>
            <w:r>
              <w:t>78</w:t>
            </w:r>
          </w:p>
        </w:tc>
        <w:tc>
          <w:tcPr>
            <w:tcW w:w="998" w:type="pct"/>
          </w:tcPr>
          <w:p w:rsidR="007A6E1A" w:rsidRDefault="007A6E1A" w:rsidP="001D531C">
            <w:pPr>
              <w:pStyle w:val="TableBodyText"/>
            </w:pPr>
            <w:r>
              <w:t>78</w:t>
            </w:r>
          </w:p>
        </w:tc>
        <w:tc>
          <w:tcPr>
            <w:tcW w:w="1099" w:type="pct"/>
            <w:shd w:val="clear" w:color="auto" w:fill="auto"/>
          </w:tcPr>
          <w:p w:rsidR="007A6E1A" w:rsidRDefault="007A6E1A" w:rsidP="001D531C">
            <w:pPr>
              <w:pStyle w:val="TableBodyText"/>
              <w:ind w:right="28"/>
            </w:pPr>
            <w:r>
              <w:t>5</w:t>
            </w:r>
          </w:p>
        </w:tc>
      </w:tr>
      <w:tr w:rsidR="007A6E1A" w:rsidTr="00B84EC2">
        <w:tc>
          <w:tcPr>
            <w:tcW w:w="1129" w:type="pct"/>
            <w:shd w:val="clear" w:color="auto" w:fill="auto"/>
          </w:tcPr>
          <w:p w:rsidR="007A6E1A" w:rsidRDefault="007A6E1A" w:rsidP="00A11FA9">
            <w:pPr>
              <w:pStyle w:val="TableBodyText"/>
              <w:jc w:val="left"/>
            </w:pPr>
            <w:r>
              <w:t>Gold and other precious metals</w:t>
            </w:r>
          </w:p>
        </w:tc>
        <w:tc>
          <w:tcPr>
            <w:tcW w:w="888" w:type="pct"/>
            <w:shd w:val="clear" w:color="auto" w:fill="auto"/>
          </w:tcPr>
          <w:p w:rsidR="007A6E1A" w:rsidRDefault="007A6E1A" w:rsidP="001D531C">
            <w:pPr>
              <w:pStyle w:val="TableBodyText"/>
            </w:pPr>
            <w:r>
              <w:t>189</w:t>
            </w:r>
          </w:p>
        </w:tc>
        <w:tc>
          <w:tcPr>
            <w:tcW w:w="886" w:type="pct"/>
          </w:tcPr>
          <w:p w:rsidR="007A6E1A" w:rsidRDefault="007A6E1A" w:rsidP="001D531C">
            <w:pPr>
              <w:pStyle w:val="TableBodyText"/>
            </w:pPr>
            <w:r>
              <w:t>64</w:t>
            </w:r>
          </w:p>
        </w:tc>
        <w:tc>
          <w:tcPr>
            <w:tcW w:w="998" w:type="pct"/>
          </w:tcPr>
          <w:p w:rsidR="007A6E1A" w:rsidRDefault="007A6E1A" w:rsidP="001D531C">
            <w:pPr>
              <w:pStyle w:val="TableBodyText"/>
            </w:pPr>
            <w:r>
              <w:t>75</w:t>
            </w:r>
          </w:p>
        </w:tc>
        <w:tc>
          <w:tcPr>
            <w:tcW w:w="1099" w:type="pct"/>
            <w:shd w:val="clear" w:color="auto" w:fill="auto"/>
          </w:tcPr>
          <w:p w:rsidR="007A6E1A" w:rsidRDefault="007A6E1A" w:rsidP="001D531C">
            <w:pPr>
              <w:pStyle w:val="TableBodyText"/>
              <w:ind w:right="28"/>
            </w:pPr>
            <w:r>
              <w:t>19</w:t>
            </w:r>
          </w:p>
        </w:tc>
      </w:tr>
      <w:tr w:rsidR="007A6E1A" w:rsidTr="00B84EC2">
        <w:tc>
          <w:tcPr>
            <w:tcW w:w="1129" w:type="pct"/>
            <w:shd w:val="clear" w:color="auto" w:fill="auto"/>
          </w:tcPr>
          <w:p w:rsidR="007A6E1A" w:rsidRDefault="007A6E1A" w:rsidP="00A11FA9">
            <w:pPr>
              <w:pStyle w:val="TableBodyText"/>
              <w:jc w:val="left"/>
            </w:pPr>
          </w:p>
        </w:tc>
        <w:tc>
          <w:tcPr>
            <w:tcW w:w="888" w:type="pct"/>
            <w:shd w:val="clear" w:color="auto" w:fill="auto"/>
          </w:tcPr>
          <w:p w:rsidR="007A6E1A" w:rsidRDefault="007A6E1A" w:rsidP="001D531C">
            <w:pPr>
              <w:pStyle w:val="TableBodyText"/>
            </w:pPr>
          </w:p>
        </w:tc>
        <w:tc>
          <w:tcPr>
            <w:tcW w:w="886" w:type="pct"/>
          </w:tcPr>
          <w:p w:rsidR="007A6E1A" w:rsidRDefault="007A6E1A" w:rsidP="001D531C">
            <w:pPr>
              <w:pStyle w:val="TableBodyText"/>
            </w:pPr>
          </w:p>
        </w:tc>
        <w:tc>
          <w:tcPr>
            <w:tcW w:w="998" w:type="pct"/>
          </w:tcPr>
          <w:p w:rsidR="007A6E1A" w:rsidRDefault="007A6E1A" w:rsidP="001D531C">
            <w:pPr>
              <w:pStyle w:val="TableBodyText"/>
            </w:pPr>
          </w:p>
        </w:tc>
        <w:tc>
          <w:tcPr>
            <w:tcW w:w="1099" w:type="pct"/>
            <w:shd w:val="clear" w:color="auto" w:fill="auto"/>
          </w:tcPr>
          <w:p w:rsidR="007A6E1A" w:rsidRDefault="007A6E1A" w:rsidP="001D531C">
            <w:pPr>
              <w:pStyle w:val="TableBodyText"/>
              <w:ind w:right="28"/>
            </w:pPr>
          </w:p>
        </w:tc>
      </w:tr>
      <w:tr w:rsidR="007A6E1A" w:rsidRPr="00041B85" w:rsidTr="00B84EC2">
        <w:tc>
          <w:tcPr>
            <w:tcW w:w="1129" w:type="pct"/>
            <w:tcBorders>
              <w:bottom w:val="single" w:sz="6" w:space="0" w:color="auto"/>
            </w:tcBorders>
            <w:shd w:val="clear" w:color="auto" w:fill="auto"/>
          </w:tcPr>
          <w:p w:rsidR="007A6E1A" w:rsidRPr="00041B85" w:rsidRDefault="007A6E1A" w:rsidP="00A11FA9">
            <w:pPr>
              <w:pStyle w:val="TableBodyText"/>
              <w:jc w:val="left"/>
              <w:rPr>
                <w:b/>
              </w:rPr>
            </w:pPr>
            <w:r w:rsidRPr="00041B85">
              <w:rPr>
                <w:b/>
              </w:rPr>
              <w:t>Total</w:t>
            </w:r>
          </w:p>
        </w:tc>
        <w:tc>
          <w:tcPr>
            <w:tcW w:w="888" w:type="pct"/>
            <w:tcBorders>
              <w:bottom w:val="single" w:sz="6" w:space="0" w:color="auto"/>
            </w:tcBorders>
            <w:shd w:val="clear" w:color="auto" w:fill="auto"/>
          </w:tcPr>
          <w:p w:rsidR="007A6E1A" w:rsidRPr="00041B85" w:rsidRDefault="007A6E1A" w:rsidP="001D531C">
            <w:pPr>
              <w:pStyle w:val="TableBodyText"/>
              <w:rPr>
                <w:b/>
              </w:rPr>
            </w:pPr>
            <w:r w:rsidRPr="00041B85">
              <w:rPr>
                <w:b/>
              </w:rPr>
              <w:t>637</w:t>
            </w:r>
          </w:p>
        </w:tc>
        <w:tc>
          <w:tcPr>
            <w:tcW w:w="886" w:type="pct"/>
            <w:tcBorders>
              <w:bottom w:val="single" w:sz="6" w:space="0" w:color="auto"/>
            </w:tcBorders>
          </w:tcPr>
          <w:p w:rsidR="007A6E1A" w:rsidRPr="00041B85" w:rsidRDefault="007A6E1A" w:rsidP="001D531C">
            <w:pPr>
              <w:pStyle w:val="TableBodyText"/>
              <w:rPr>
                <w:b/>
              </w:rPr>
            </w:pPr>
            <w:r w:rsidRPr="00041B85">
              <w:rPr>
                <w:b/>
              </w:rPr>
              <w:t>180</w:t>
            </w:r>
          </w:p>
        </w:tc>
        <w:tc>
          <w:tcPr>
            <w:tcW w:w="998" w:type="pct"/>
            <w:tcBorders>
              <w:bottom w:val="single" w:sz="6" w:space="0" w:color="auto"/>
            </w:tcBorders>
          </w:tcPr>
          <w:p w:rsidR="007A6E1A" w:rsidRPr="00041B85" w:rsidRDefault="007A6E1A" w:rsidP="001D531C">
            <w:pPr>
              <w:pStyle w:val="TableBodyText"/>
              <w:rPr>
                <w:b/>
              </w:rPr>
            </w:pPr>
            <w:r w:rsidRPr="00041B85">
              <w:rPr>
                <w:b/>
              </w:rPr>
              <w:t>78</w:t>
            </w:r>
          </w:p>
        </w:tc>
        <w:tc>
          <w:tcPr>
            <w:tcW w:w="1099" w:type="pct"/>
            <w:tcBorders>
              <w:bottom w:val="single" w:sz="6" w:space="0" w:color="auto"/>
            </w:tcBorders>
            <w:shd w:val="clear" w:color="auto" w:fill="auto"/>
          </w:tcPr>
          <w:p w:rsidR="007A6E1A" w:rsidRPr="00041B85" w:rsidRDefault="007A6E1A" w:rsidP="001D531C">
            <w:pPr>
              <w:pStyle w:val="TableBodyText"/>
              <w:ind w:right="28"/>
              <w:rPr>
                <w:b/>
              </w:rPr>
            </w:pPr>
            <w:r w:rsidRPr="00041B85">
              <w:rPr>
                <w:b/>
              </w:rPr>
              <w:t>7</w:t>
            </w:r>
          </w:p>
        </w:tc>
      </w:tr>
    </w:tbl>
    <w:p w:rsidR="00902947" w:rsidRPr="00035D09" w:rsidRDefault="007A6E1A" w:rsidP="00035D09">
      <w:pPr>
        <w:pStyle w:val="Note"/>
      </w:pPr>
      <w:proofErr w:type="spellStart"/>
      <w:r w:rsidRPr="008E77FE">
        <w:rPr>
          <w:rStyle w:val="NoteLabel"/>
        </w:rPr>
        <w:t>a</w:t>
      </w:r>
      <w:proofErr w:type="spellEnd"/>
      <w:r>
        <w:t xml:space="preserve"> The cut</w:t>
      </w:r>
      <w:r>
        <w:noBreakHyphen/>
        <w:t>off between junior and senior companies is based upon a market valuation of $200 million.</w:t>
      </w:r>
      <w:r w:rsidR="00902947">
        <w:t xml:space="preserve"> </w:t>
      </w:r>
      <w:r w:rsidR="00792202">
        <w:t xml:space="preserve"> </w:t>
      </w:r>
      <w:r w:rsidR="00902947" w:rsidRPr="001A433E">
        <w:rPr>
          <w:rStyle w:val="NoteLabel"/>
        </w:rPr>
        <w:t>b</w:t>
      </w:r>
      <w:r w:rsidR="00792202">
        <w:t xml:space="preserve"> Description used by source material.</w:t>
      </w:r>
    </w:p>
    <w:p w:rsidR="007A6E1A" w:rsidRDefault="007A6E1A" w:rsidP="007A6E1A">
      <w:pPr>
        <w:pStyle w:val="Source"/>
      </w:pPr>
      <w:r>
        <w:rPr>
          <w:i/>
        </w:rPr>
        <w:t>Source</w:t>
      </w:r>
      <w:r>
        <w:t>: Williams (</w:t>
      </w:r>
      <w:r w:rsidRPr="00041B85">
        <w:t>2012</w:t>
      </w:r>
      <w:r>
        <w:t>).</w:t>
      </w:r>
    </w:p>
    <w:p w:rsidR="007A6E1A" w:rsidRDefault="007A6E1A" w:rsidP="003B1807">
      <w:pPr>
        <w:pStyle w:val="BodyText"/>
      </w:pPr>
      <w:r>
        <w:t xml:space="preserve">While the market capitalisation of junior explorers </w:t>
      </w:r>
      <w:r w:rsidR="00F045A7">
        <w:t xml:space="preserve">is only </w:t>
      </w:r>
      <w:r w:rsidR="00932B02">
        <w:t>seven</w:t>
      </w:r>
      <w:r w:rsidR="00F045A7">
        <w:t xml:space="preserve"> per cent of </w:t>
      </w:r>
      <w:r w:rsidR="000B3628">
        <w:t>all explorers listed on the Australian Stock Exchange</w:t>
      </w:r>
      <w:r w:rsidR="00F045A7">
        <w:t>,</w:t>
      </w:r>
      <w:r>
        <w:t xml:space="preserve"> they </w:t>
      </w:r>
      <w:r w:rsidR="00932B02">
        <w:t xml:space="preserve">make </w:t>
      </w:r>
      <w:r>
        <w:t xml:space="preserve">important </w:t>
      </w:r>
      <w:r w:rsidR="00932B02">
        <w:t xml:space="preserve">contributions </w:t>
      </w:r>
      <w:r>
        <w:t>to exploration. The Australian Petroleum Production and Exploration Association (</w:t>
      </w:r>
      <w:proofErr w:type="spellStart"/>
      <w:r>
        <w:t>APPEA</w:t>
      </w:r>
      <w:proofErr w:type="spellEnd"/>
      <w:r>
        <w:t>) state:</w:t>
      </w:r>
    </w:p>
    <w:p w:rsidR="007A6E1A" w:rsidRDefault="007A6E1A" w:rsidP="007A6E1A">
      <w:pPr>
        <w:pStyle w:val="Quote"/>
      </w:pPr>
      <w:r>
        <w:t>A number of Australia’s major oil and gas discoveries have resulted from the innovative and pioneering work undertaken by junior exploration companies, while the prospectivity of some basins has been established by the work undertaken by small independent companies at the frontier stage of the exploration cycle. Of more recent times, junior explorers have underpinned the emergence of coal seam gas as an important energy source and the growth of shale gas activities. (sub. 22 pp. 5</w:t>
      </w:r>
      <w:r w:rsidR="00800824">
        <w:t>–</w:t>
      </w:r>
      <w:r>
        <w:t>6)</w:t>
      </w:r>
    </w:p>
    <w:p w:rsidR="006D2ABA" w:rsidRDefault="00526564" w:rsidP="003B1807">
      <w:pPr>
        <w:pStyle w:val="BodyText"/>
        <w:rPr>
          <w:rStyle w:val="NoteLabel"/>
          <w:b w:val="0"/>
        </w:rPr>
      </w:pPr>
      <w:r>
        <w:t>Further, junior explorers accounted for just over half of all exploration expenditure for non</w:t>
      </w:r>
      <w:r w:rsidR="00800824">
        <w:noBreakHyphen/>
      </w:r>
      <w:r>
        <w:t>ferrous metals over the last half decade (</w:t>
      </w:r>
      <w:proofErr w:type="spellStart"/>
      <w:r>
        <w:t>Schodde</w:t>
      </w:r>
      <w:proofErr w:type="spellEnd"/>
      <w:r>
        <w:t xml:space="preserve"> 2011).</w:t>
      </w:r>
    </w:p>
    <w:p w:rsidR="007A6E1A" w:rsidRDefault="002D4421" w:rsidP="007A6E1A">
      <w:pPr>
        <w:pStyle w:val="Heading2"/>
      </w:pPr>
      <w:r>
        <w:t>2.</w:t>
      </w:r>
      <w:r>
        <w:rPr>
          <w:noProof/>
        </w:rPr>
        <w:t>2</w:t>
      </w:r>
      <w:r w:rsidR="007A6E1A">
        <w:tab/>
      </w:r>
      <w:r w:rsidR="00E625C9">
        <w:t xml:space="preserve">How the </w:t>
      </w:r>
      <w:r w:rsidR="00984018">
        <w:t xml:space="preserve">resource </w:t>
      </w:r>
      <w:r w:rsidR="00E625C9">
        <w:t>explor</w:t>
      </w:r>
      <w:r w:rsidR="00984018">
        <w:t>ers</w:t>
      </w:r>
      <w:r w:rsidR="00E625C9">
        <w:t xml:space="preserve"> operate</w:t>
      </w:r>
    </w:p>
    <w:p w:rsidR="0079057C" w:rsidRDefault="007A6E1A" w:rsidP="003B1807">
      <w:pPr>
        <w:pStyle w:val="BodyText"/>
      </w:pPr>
      <w:r>
        <w:t xml:space="preserve">Mineral and energy </w:t>
      </w:r>
      <w:r w:rsidR="00103E2D">
        <w:t xml:space="preserve">resources </w:t>
      </w:r>
      <w:r w:rsidR="00EE62D6">
        <w:t xml:space="preserve">need to be </w:t>
      </w:r>
      <w:r>
        <w:t>locat</w:t>
      </w:r>
      <w:r w:rsidR="00EE62D6">
        <w:t>ed</w:t>
      </w:r>
      <w:r>
        <w:t xml:space="preserve"> and assess</w:t>
      </w:r>
      <w:r w:rsidR="00EE62D6">
        <w:t>ed</w:t>
      </w:r>
      <w:r>
        <w:t xml:space="preserve"> </w:t>
      </w:r>
      <w:r w:rsidR="007D4AAE">
        <w:t xml:space="preserve">in order </w:t>
      </w:r>
      <w:r>
        <w:t xml:space="preserve">to identify their extent and quality. This requires geological expertise, capital to fund exploration and a measure of luck. </w:t>
      </w:r>
    </w:p>
    <w:p w:rsidR="0079057C" w:rsidRDefault="007A6E1A" w:rsidP="003B1807">
      <w:pPr>
        <w:pStyle w:val="BodyText"/>
      </w:pPr>
      <w:r>
        <w:t>Explorers rely on geological theories</w:t>
      </w:r>
      <w:r w:rsidR="008A6776">
        <w:t>, together with</w:t>
      </w:r>
      <w:r>
        <w:t xml:space="preserve"> evidence of the physical, geological, electromagnetic and chemical characteristics of locations</w:t>
      </w:r>
      <w:r w:rsidR="008A6776">
        <w:t xml:space="preserve"> (including data from</w:t>
      </w:r>
      <w:r>
        <w:t xml:space="preserve"> </w:t>
      </w:r>
      <w:r w:rsidR="008A6776">
        <w:t xml:space="preserve">previous </w:t>
      </w:r>
      <w:r>
        <w:t xml:space="preserve">exploration and </w:t>
      </w:r>
      <w:r w:rsidR="00B42117">
        <w:t>extraction activities</w:t>
      </w:r>
      <w:r w:rsidR="008A6776">
        <w:t>), to identify likely sites for investigation</w:t>
      </w:r>
      <w:r>
        <w:t xml:space="preserve">. These theories </w:t>
      </w:r>
      <w:r w:rsidR="00EE62D6">
        <w:t xml:space="preserve">and data </w:t>
      </w:r>
      <w:r w:rsidR="00B84EC2">
        <w:t>provide</w:t>
      </w:r>
      <w:r w:rsidR="00EE62D6">
        <w:t xml:space="preserve"> the basis for preliminary</w:t>
      </w:r>
      <w:r>
        <w:t xml:space="preserve"> assess</w:t>
      </w:r>
      <w:r w:rsidR="00EE62D6">
        <w:t>ments of</w:t>
      </w:r>
      <w:r>
        <w:t xml:space="preserve"> the relative geological potential (or prospectivity) of different possible exploration locations.</w:t>
      </w:r>
      <w:r w:rsidR="00A3434B">
        <w:t xml:space="preserve"> </w:t>
      </w:r>
      <w:r w:rsidR="0079057C">
        <w:t>Geological theories are re</w:t>
      </w:r>
      <w:r w:rsidR="00800824">
        <w:noBreakHyphen/>
      </w:r>
      <w:r w:rsidR="0079057C">
        <w:t>evaluated and adapted in light of the success or otherwise from exploration activity.</w:t>
      </w:r>
    </w:p>
    <w:p w:rsidR="00CC0ED8" w:rsidRDefault="007A6E1A" w:rsidP="003B1807">
      <w:pPr>
        <w:pStyle w:val="BodyText"/>
      </w:pPr>
      <w:r w:rsidRPr="0085572A">
        <w:lastRenderedPageBreak/>
        <w:t xml:space="preserve">There are </w:t>
      </w:r>
      <w:r w:rsidR="00786FAE">
        <w:t>several</w:t>
      </w:r>
      <w:r w:rsidRPr="0085572A">
        <w:t xml:space="preserve"> interrelated</w:t>
      </w:r>
      <w:r w:rsidR="00786FAE">
        <w:t>, and usually sequential,</w:t>
      </w:r>
      <w:r w:rsidRPr="0085572A">
        <w:t xml:space="preserve"> stages in the </w:t>
      </w:r>
      <w:r w:rsidRPr="00E625C9">
        <w:t>mineral</w:t>
      </w:r>
      <w:r w:rsidRPr="0085572A">
        <w:t xml:space="preserve"> exploration process</w:t>
      </w:r>
      <w:r w:rsidR="00786FAE">
        <w:t>.</w:t>
      </w:r>
      <w:r w:rsidRPr="0085572A">
        <w:t xml:space="preserve"> </w:t>
      </w:r>
      <w:r w:rsidR="00AE42E9">
        <w:t xml:space="preserve">Exploration usually begins with a review of existing </w:t>
      </w:r>
      <w:r w:rsidR="00602A09">
        <w:t xml:space="preserve">geoscientific data to identify appropriate locations to explore (generative stage). Once broad areas have been identified, techniques such as aerial surveys, surface level chemical testing and geological mapping are used to identify </w:t>
      </w:r>
      <w:r w:rsidR="00CC0ED8">
        <w:t>the most prospective areas for drilling</w:t>
      </w:r>
      <w:r w:rsidR="00602A09">
        <w:t>.</w:t>
      </w:r>
    </w:p>
    <w:p w:rsidR="00602A09" w:rsidRDefault="00CC0ED8" w:rsidP="003B1807">
      <w:pPr>
        <w:pStyle w:val="BodyText"/>
      </w:pPr>
      <w:r>
        <w:t xml:space="preserve">The next stage is usually target drilling — which is an attempt to </w:t>
      </w:r>
      <w:r w:rsidR="00273A43">
        <w:t>intersect with a mineral or energy resource</w:t>
      </w:r>
      <w:r>
        <w:t xml:space="preserve">. Even though the location for target drilling is based on the results of initial testing, the probability of successfully identifying resources is low. </w:t>
      </w:r>
      <w:r w:rsidR="00273A43">
        <w:t>As such, target drilling usually involves lower cost drilling activities (such as drilling to limited depths and/or dispersed drilling).</w:t>
      </w:r>
    </w:p>
    <w:p w:rsidR="00273A43" w:rsidRDefault="00273A43" w:rsidP="003B1807">
      <w:pPr>
        <w:pStyle w:val="BodyText"/>
      </w:pPr>
      <w:r>
        <w:t xml:space="preserve">If target drilling identifies the existence of a resource, explorers may move on to the evaluation stage. This would involve more concentrated drilling (known as pattern drilling) and/or to </w:t>
      </w:r>
      <w:r w:rsidR="00525F44">
        <w:t>deeper drilling</w:t>
      </w:r>
      <w:r>
        <w:t xml:space="preserve"> along with drilling techniques that enable better estimates about the depth, grade and consistency of the deposit. If the results of drilling during the evaluation stage are positive, explorers will then begin feasibility studies to determine if a profitable mine or well can be established.</w:t>
      </w:r>
    </w:p>
    <w:p w:rsidR="007A6E1A" w:rsidRDefault="007A6E1A" w:rsidP="003B1807">
      <w:pPr>
        <w:pStyle w:val="BodyText"/>
      </w:pPr>
      <w:r w:rsidRPr="0085572A">
        <w:t>At each stage, explorers use the information they have gathered to make judgements about the risk</w:t>
      </w:r>
      <w:r>
        <w:noBreakHyphen/>
      </w:r>
      <w:r w:rsidRPr="0085572A">
        <w:t xml:space="preserve">weighted costs and benefits of continuing to the next exploration stage and about whether they should hold or relinquish </w:t>
      </w:r>
      <w:r w:rsidR="00786FAE">
        <w:t>tenements</w:t>
      </w:r>
      <w:r w:rsidR="00786FAE" w:rsidRPr="0085572A">
        <w:t xml:space="preserve"> </w:t>
      </w:r>
      <w:r w:rsidRPr="0085572A">
        <w:t>or delay their exploration and development activities.</w:t>
      </w:r>
      <w:r>
        <w:t xml:space="preserve"> </w:t>
      </w:r>
      <w:r w:rsidR="0079057C">
        <w:t xml:space="preserve">A particular site may be explored multiple times using different techniques and approaches before a discovery is made. </w:t>
      </w:r>
    </w:p>
    <w:p w:rsidR="00FC072C" w:rsidRDefault="00FC072C" w:rsidP="00FC072C">
      <w:pPr>
        <w:pStyle w:val="BodyText"/>
      </w:pPr>
      <w:r>
        <w:t>Most exploration activities can be categorised into greenfield or brownfield exploration</w:t>
      </w:r>
      <w:r w:rsidR="00B203B6">
        <w:t>:</w:t>
      </w:r>
      <w:r>
        <w:t xml:space="preserve"> </w:t>
      </w:r>
    </w:p>
    <w:p w:rsidR="00FC072C" w:rsidRDefault="00FC072C" w:rsidP="00025614">
      <w:pPr>
        <w:pStyle w:val="ListBullet"/>
      </w:pPr>
      <w:r w:rsidRPr="0085572A">
        <w:rPr>
          <w:i/>
        </w:rPr>
        <w:t>Greenfield exploration</w:t>
      </w:r>
      <w:r>
        <w:t xml:space="preserve"> occurs in unexplored or incompletely explored areas and is directed at discovering new resource deposits. This exploration is a high risk, </w:t>
      </w:r>
      <w:r w:rsidR="004F7CFC">
        <w:t xml:space="preserve">and potentially </w:t>
      </w:r>
      <w:r>
        <w:t xml:space="preserve">high reward venture with large returns </w:t>
      </w:r>
      <w:r w:rsidR="004F7CFC">
        <w:t>possible for</w:t>
      </w:r>
      <w:r>
        <w:t xml:space="preserve"> those </w:t>
      </w:r>
      <w:r w:rsidR="004F7CFC">
        <w:t xml:space="preserve">which </w:t>
      </w:r>
      <w:r>
        <w:t xml:space="preserve">successfully discover </w:t>
      </w:r>
      <w:r w:rsidR="00BD7109">
        <w:t xml:space="preserve">substantial </w:t>
      </w:r>
      <w:r>
        <w:t>viable deposits. This approach appeals to junior mining companies which often on</w:t>
      </w:r>
      <w:r>
        <w:noBreakHyphen/>
        <w:t xml:space="preserve">sell significant commercial discoveries, or form joint ventures to exploit the resources. </w:t>
      </w:r>
    </w:p>
    <w:p w:rsidR="00FC072C" w:rsidRDefault="00FC072C" w:rsidP="00025614">
      <w:pPr>
        <w:pStyle w:val="ListBullet"/>
      </w:pPr>
      <w:r w:rsidRPr="0085572A">
        <w:rPr>
          <w:i/>
        </w:rPr>
        <w:t>Brownfield exploration</w:t>
      </w:r>
      <w:r>
        <w:t xml:space="preserve"> relates to activity in areas with established reserves. This is </w:t>
      </w:r>
      <w:r w:rsidR="00611387">
        <w:t>often</w:t>
      </w:r>
      <w:r>
        <w:t xml:space="preserve"> undertaken by major companies adjacent to their existing mines to better define the quantity or quality of known resources. This may enable them to extend the operating life of an existing mine and better utilise their infrastructure or use it for longer.</w:t>
      </w:r>
    </w:p>
    <w:p w:rsidR="007A6E1A" w:rsidRDefault="002D4421" w:rsidP="007A6E1A">
      <w:pPr>
        <w:pStyle w:val="Heading2"/>
      </w:pPr>
      <w:r>
        <w:t>2.</w:t>
      </w:r>
      <w:r>
        <w:rPr>
          <w:noProof/>
        </w:rPr>
        <w:t>3</w:t>
      </w:r>
      <w:r w:rsidR="007A6E1A">
        <w:tab/>
        <w:t xml:space="preserve">Performance of </w:t>
      </w:r>
      <w:r w:rsidR="00903917">
        <w:t>resource explorers</w:t>
      </w:r>
    </w:p>
    <w:p w:rsidR="009D005D" w:rsidRDefault="00AB7474" w:rsidP="003B1807">
      <w:pPr>
        <w:pStyle w:val="BodyText"/>
      </w:pPr>
      <w:r>
        <w:t>I</w:t>
      </w:r>
      <w:r w:rsidR="007D4AAE">
        <w:t>ndustry group</w:t>
      </w:r>
      <w:r>
        <w:t xml:space="preserve"> </w:t>
      </w:r>
      <w:r w:rsidR="007D4AAE">
        <w:t>submissions</w:t>
      </w:r>
      <w:r>
        <w:t xml:space="preserve"> have raised a number of concerns about</w:t>
      </w:r>
      <w:r w:rsidR="00800824">
        <w:t xml:space="preserve"> </w:t>
      </w:r>
      <w:r>
        <w:t xml:space="preserve">the economic performance of resource explorers in Australia </w:t>
      </w:r>
      <w:r w:rsidR="007D4AAE">
        <w:t>(</w:t>
      </w:r>
      <w:proofErr w:type="spellStart"/>
      <w:r w:rsidR="007D4AAE">
        <w:t>QRC</w:t>
      </w:r>
      <w:r w:rsidR="007D4AAE">
        <w:noBreakHyphen/>
        <w:t>QEC</w:t>
      </w:r>
      <w:proofErr w:type="spellEnd"/>
      <w:r w:rsidR="007D4AAE">
        <w:t xml:space="preserve">, sub. 13; </w:t>
      </w:r>
      <w:proofErr w:type="spellStart"/>
      <w:r w:rsidR="007D4AAE">
        <w:t>APPEA</w:t>
      </w:r>
      <w:proofErr w:type="spellEnd"/>
      <w:r w:rsidR="007D4AAE">
        <w:t xml:space="preserve">, sub. 22; AMEC, sub. 24; </w:t>
      </w:r>
      <w:proofErr w:type="spellStart"/>
      <w:r w:rsidR="007D4AAE">
        <w:t>AMMA</w:t>
      </w:r>
      <w:proofErr w:type="spellEnd"/>
      <w:r w:rsidR="007D4AAE">
        <w:t xml:space="preserve">, sub. 32) </w:t>
      </w:r>
      <w:r w:rsidR="009D005D">
        <w:t>includ</w:t>
      </w:r>
      <w:r w:rsidR="00525F44">
        <w:t>ing</w:t>
      </w:r>
      <w:r w:rsidR="009D005D">
        <w:t>:</w:t>
      </w:r>
    </w:p>
    <w:p w:rsidR="009D005D" w:rsidRDefault="009D005D" w:rsidP="001A433E">
      <w:pPr>
        <w:pStyle w:val="ListBullet"/>
      </w:pPr>
      <w:r>
        <w:lastRenderedPageBreak/>
        <w:t>that the cost of undertaking exploration is rising too rapidly (subs. 13, 22</w:t>
      </w:r>
      <w:r w:rsidR="00DA4629">
        <w:t>, 24</w:t>
      </w:r>
      <w:r>
        <w:t>, 32)</w:t>
      </w:r>
    </w:p>
    <w:p w:rsidR="009D005D" w:rsidRDefault="009D005D" w:rsidP="001A433E">
      <w:pPr>
        <w:pStyle w:val="ListBullet"/>
      </w:pPr>
      <w:r>
        <w:t>the rate of discover</w:t>
      </w:r>
      <w:r w:rsidR="00903917">
        <w:t>y</w:t>
      </w:r>
      <w:r>
        <w:t xml:space="preserve"> </w:t>
      </w:r>
      <w:r w:rsidR="00903917">
        <w:t xml:space="preserve">of </w:t>
      </w:r>
      <w:r>
        <w:t>significant new resources is declining</w:t>
      </w:r>
      <w:r w:rsidR="00DA4629">
        <w:t xml:space="preserve"> (sub</w:t>
      </w:r>
      <w:r w:rsidR="008144C0">
        <w:t>s</w:t>
      </w:r>
      <w:r w:rsidR="00DA4629">
        <w:t>. 22, 24)</w:t>
      </w:r>
      <w:r w:rsidR="00651DCA">
        <w:t xml:space="preserve"> resulting in </w:t>
      </w:r>
      <w:r>
        <w:t>doubts over the long term sustainability of resource extraction (sub</w:t>
      </w:r>
      <w:r w:rsidR="00DA4629">
        <w:t>s</w:t>
      </w:r>
      <w:r>
        <w:t>. 13</w:t>
      </w:r>
      <w:r w:rsidR="00DA4629">
        <w:t>, 22</w:t>
      </w:r>
      <w:r>
        <w:t xml:space="preserve">) </w:t>
      </w:r>
    </w:p>
    <w:p w:rsidR="009E598C" w:rsidRDefault="009E598C" w:rsidP="001A433E">
      <w:pPr>
        <w:pStyle w:val="ListBullet"/>
      </w:pPr>
      <w:r>
        <w:t xml:space="preserve">a decrease </w:t>
      </w:r>
      <w:r w:rsidR="0037721E">
        <w:t>in</w:t>
      </w:r>
      <w:r>
        <w:t xml:space="preserve"> greenfield exploration </w:t>
      </w:r>
      <w:r w:rsidR="0037721E">
        <w:t xml:space="preserve">as a share of the total </w:t>
      </w:r>
      <w:r>
        <w:t>(subs. 22, 27)</w:t>
      </w:r>
    </w:p>
    <w:p w:rsidR="009D005D" w:rsidRDefault="009D005D" w:rsidP="001A433E">
      <w:pPr>
        <w:pStyle w:val="ListBullet"/>
      </w:pPr>
      <w:r>
        <w:t xml:space="preserve">that exploration activity in Australia is not keeping pace with overseas </w:t>
      </w:r>
      <w:r w:rsidR="00651DCA">
        <w:t>activity</w:t>
      </w:r>
      <w:r>
        <w:t xml:space="preserve"> (sub</w:t>
      </w:r>
      <w:r w:rsidR="00DA4629">
        <w:t>s</w:t>
      </w:r>
      <w:r>
        <w:t>. </w:t>
      </w:r>
      <w:r w:rsidR="00DA4629">
        <w:t xml:space="preserve">22, </w:t>
      </w:r>
      <w:r>
        <w:t>32)</w:t>
      </w:r>
      <w:r w:rsidR="00DC12F2">
        <w:t>.</w:t>
      </w:r>
    </w:p>
    <w:p w:rsidR="007A6E1A" w:rsidRDefault="001B11C1" w:rsidP="003B1807">
      <w:pPr>
        <w:pStyle w:val="BodyText"/>
      </w:pPr>
      <w:r>
        <w:t xml:space="preserve">Each of these concerns </w:t>
      </w:r>
      <w:r w:rsidR="00AB7474">
        <w:t>are</w:t>
      </w:r>
      <w:r>
        <w:t xml:space="preserve"> examined</w:t>
      </w:r>
      <w:r w:rsidR="00AB7474">
        <w:t xml:space="preserve"> below</w:t>
      </w:r>
      <w:r>
        <w:t xml:space="preserve">. </w:t>
      </w:r>
    </w:p>
    <w:p w:rsidR="007A6E1A" w:rsidRDefault="007A6E1A" w:rsidP="007A6E1A">
      <w:pPr>
        <w:pStyle w:val="Heading4"/>
      </w:pPr>
      <w:r>
        <w:t>Exploration has become increasingly costly</w:t>
      </w:r>
    </w:p>
    <w:p w:rsidR="007A6E1A" w:rsidRDefault="005D257C" w:rsidP="003B1807">
      <w:pPr>
        <w:pStyle w:val="BodyText"/>
      </w:pPr>
      <w:r>
        <w:t xml:space="preserve">The </w:t>
      </w:r>
      <w:r w:rsidR="005A6EA0">
        <w:t>competitiveness</w:t>
      </w:r>
      <w:r>
        <w:t xml:space="preserve"> of resource e</w:t>
      </w:r>
      <w:r w:rsidR="007A6E1A">
        <w:t xml:space="preserve">xploration is a key factor in attracting investment and </w:t>
      </w:r>
      <w:r>
        <w:t>improving the potential for discovering resources</w:t>
      </w:r>
      <w:r w:rsidR="007A6E1A">
        <w:t xml:space="preserve">. Australia has always been a costly location to explore due to high transport costs, a harsh and limited exploration season in many places and a very weathered terrain which </w:t>
      </w:r>
      <w:r w:rsidR="00BC0836">
        <w:t>can result in</w:t>
      </w:r>
      <w:r w:rsidR="007A6E1A">
        <w:t xml:space="preserve"> deposits </w:t>
      </w:r>
      <w:r w:rsidR="00BC0836">
        <w:t>being covered</w:t>
      </w:r>
      <w:r w:rsidR="007A6E1A">
        <w:t xml:space="preserve"> by a large overburden. Offshore petroleum exploration also suffers from Australia’s distance from the world’s major petroleum centres which inflates the costs of mobilising drilling rigs and equipment. </w:t>
      </w:r>
    </w:p>
    <w:p w:rsidR="007A6E1A" w:rsidRDefault="007A6E1A" w:rsidP="003B1807">
      <w:pPr>
        <w:pStyle w:val="BodyText"/>
      </w:pPr>
      <w:r>
        <w:t xml:space="preserve">A simple partial measure of the cost competitiveness of exploration activity is the cost per metre drilled. In this regard, </w:t>
      </w:r>
      <w:r w:rsidR="00DF3C32">
        <w:t xml:space="preserve">as noted earlier, </w:t>
      </w:r>
      <w:r>
        <w:t xml:space="preserve">exploration expenditure </w:t>
      </w:r>
      <w:r w:rsidR="00AB7474">
        <w:t xml:space="preserve">in real terms </w:t>
      </w:r>
      <w:r>
        <w:t xml:space="preserve">has increased significantly over the past decade, </w:t>
      </w:r>
      <w:r w:rsidR="00DF3C32">
        <w:t xml:space="preserve">but </w:t>
      </w:r>
      <w:r>
        <w:t>the actual metres drilled ha</w:t>
      </w:r>
      <w:r w:rsidR="006835AE">
        <w:t>ve</w:t>
      </w:r>
      <w:r>
        <w:t xml:space="preserve"> not increased at the same rate</w:t>
      </w:r>
      <w:r w:rsidR="00DF3C32">
        <w:t>.</w:t>
      </w:r>
      <w:r>
        <w:t xml:space="preserve"> The </w:t>
      </w:r>
      <w:r w:rsidR="00B02925">
        <w:t xml:space="preserve">cost per </w:t>
      </w:r>
      <w:r>
        <w:t xml:space="preserve">metre drilled for minerals and coal has </w:t>
      </w:r>
      <w:r w:rsidR="00B02925">
        <w:t>risen</w:t>
      </w:r>
      <w:r>
        <w:t xml:space="preserve"> since 1997</w:t>
      </w:r>
      <w:r w:rsidR="006835AE">
        <w:t>,</w:t>
      </w:r>
      <w:r>
        <w:t xml:space="preserve"> </w:t>
      </w:r>
      <w:r w:rsidR="00ED775E">
        <w:t xml:space="preserve">and </w:t>
      </w:r>
      <w:r>
        <w:t xml:space="preserve">for petroleum exploration </w:t>
      </w:r>
      <w:r w:rsidR="006835AE">
        <w:t>it</w:t>
      </w:r>
      <w:r>
        <w:t xml:space="preserve"> has been </w:t>
      </w:r>
      <w:r w:rsidR="00B02925">
        <w:t xml:space="preserve">rising </w:t>
      </w:r>
      <w:r>
        <w:t>since the mid</w:t>
      </w:r>
      <w:r w:rsidR="00901E8A">
        <w:t> </w:t>
      </w:r>
      <w:proofErr w:type="spellStart"/>
      <w:r>
        <w:t>2000s</w:t>
      </w:r>
      <w:proofErr w:type="spellEnd"/>
      <w:r>
        <w:t xml:space="preserve"> (figure</w:t>
      </w:r>
      <w:r w:rsidR="009D2E06">
        <w:t> </w:t>
      </w:r>
      <w:r>
        <w:t>2.</w:t>
      </w:r>
      <w:r w:rsidR="00DC12F2">
        <w:t>3</w:t>
      </w:r>
      <w:r>
        <w:t xml:space="preserve">). </w:t>
      </w:r>
      <w:r w:rsidR="00DF3C32">
        <w:t xml:space="preserve">This points to a decline in </w:t>
      </w:r>
      <w:r w:rsidR="006835AE">
        <w:t xml:space="preserve">exploration sector </w:t>
      </w:r>
      <w:r w:rsidR="00DF3C32">
        <w:t>productivity.</w:t>
      </w:r>
      <w:r w:rsidR="005D257C">
        <w:t xml:space="preserve"> </w:t>
      </w:r>
      <w:r>
        <w:t xml:space="preserve">AMEC also </w:t>
      </w:r>
      <w:r w:rsidR="00ED775E">
        <w:t xml:space="preserve">refers </w:t>
      </w:r>
      <w:r>
        <w:t>to the declining cost competitiveness of exploration against international counterparts (sub. 24 p. 5).</w:t>
      </w:r>
    </w:p>
    <w:p w:rsidR="007A6E1A" w:rsidRDefault="007A6E1A" w:rsidP="007A6E1A">
      <w:pPr>
        <w:pStyle w:val="FigureTitle"/>
      </w:pPr>
      <w:r>
        <w:rPr>
          <w:b w:val="0"/>
        </w:rPr>
        <w:lastRenderedPageBreak/>
        <w:t xml:space="preserve">Figure </w:t>
      </w:r>
      <w:r w:rsidR="002D4421">
        <w:rPr>
          <w:b w:val="0"/>
        </w:rPr>
        <w:t>2.</w:t>
      </w:r>
      <w:r w:rsidR="002D4421">
        <w:rPr>
          <w:b w:val="0"/>
          <w:noProof/>
        </w:rPr>
        <w:t>3</w:t>
      </w:r>
      <w:r>
        <w:tab/>
      </w:r>
      <w:r w:rsidR="00A80941">
        <w:t>The c</w:t>
      </w:r>
      <w:r>
        <w:t xml:space="preserve">ost of drilling </w:t>
      </w:r>
      <w:r w:rsidR="00A80941">
        <w:t xml:space="preserve">is </w:t>
      </w:r>
      <w:r w:rsidR="00581438">
        <w:t>increasing</w:t>
      </w:r>
    </w:p>
    <w:p w:rsidR="007A6E1A" w:rsidRDefault="00525F44" w:rsidP="007A6E1A">
      <w:pPr>
        <w:pStyle w:val="Subtitle"/>
      </w:pPr>
      <w:r>
        <w:t>1988</w:t>
      </w:r>
      <w:r w:rsidR="00CF333F">
        <w:t xml:space="preserve"> – 2012 </w:t>
      </w:r>
      <w:r w:rsidR="00B02925">
        <w:t>$ per metre drilled</w:t>
      </w:r>
      <w:r w:rsidR="00CF333F">
        <w:t xml:space="preserve"> (2012 prices)</w:t>
      </w:r>
      <w:r w:rsidR="007A6E1A">
        <w:t>, year ending June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3 The cost of drilling is increasing"/>
        <w:tblDescription w:val="This figure shows the cost of drilling one metre for onshore and offshore petroleum and for minerals and coal. The cost per metre for exploration drilling trippled for onshore petroleum and doubled for offshore petroleum between 2007 and 2009  (which is the most recent data for petroleum). For minerals and coal, the cost of drilling has increased by around 50% between 2005 and 2012."/>
      </w:tblPr>
      <w:tblGrid>
        <w:gridCol w:w="8777"/>
      </w:tblGrid>
      <w:tr w:rsidR="007A6E1A" w:rsidTr="003C6229">
        <w:tc>
          <w:tcPr>
            <w:tcW w:w="8777" w:type="dxa"/>
          </w:tcPr>
          <w:p w:rsidR="007A6E1A" w:rsidRDefault="003C6229" w:rsidP="00A11FA9">
            <w:pPr>
              <w:pStyle w:val="Figure"/>
            </w:pPr>
            <w:r>
              <w:rPr>
                <w:noProof/>
              </w:rPr>
              <w:drawing>
                <wp:inline distT="0" distB="0" distL="0" distR="0" wp14:anchorId="4A40EACD" wp14:editId="377C8421">
                  <wp:extent cx="5400000" cy="2918100"/>
                  <wp:effectExtent l="0" t="0" r="0" b="0"/>
                  <wp:docPr id="1" name="Chart 1" descr="Figure 2.3 The cost of drilling is increasing. This chart shows the cost per metre drilled from 1988 to 2012 for offshore petroleum, onshore petroleum and minerals and coal."/>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7A6E1A" w:rsidRDefault="007A6E1A" w:rsidP="007A6E1A">
      <w:pPr>
        <w:pStyle w:val="Source"/>
      </w:pPr>
      <w:r>
        <w:rPr>
          <w:i/>
        </w:rPr>
        <w:t>Data source</w:t>
      </w:r>
      <w:r w:rsidR="00664D96">
        <w:rPr>
          <w:i/>
        </w:rPr>
        <w:t>s</w:t>
      </w:r>
      <w:r w:rsidRPr="00167F06">
        <w:t xml:space="preserve">: </w:t>
      </w:r>
      <w:r>
        <w:t>ABS (</w:t>
      </w:r>
      <w:proofErr w:type="spellStart"/>
      <w:r w:rsidR="00664D96">
        <w:t>2012a</w:t>
      </w:r>
      <w:proofErr w:type="spellEnd"/>
      <w:r>
        <w:t>)</w:t>
      </w:r>
      <w:r w:rsidR="00664D96">
        <w:t>;</w:t>
      </w:r>
      <w:r>
        <w:t xml:space="preserve"> </w:t>
      </w:r>
      <w:bookmarkStart w:id="4" w:name="OLE_LINK1"/>
      <w:bookmarkStart w:id="5" w:name="OLE_LINK2"/>
      <w:r w:rsidR="0001185C" w:rsidRPr="0001185C">
        <w:t xml:space="preserve">Geoscience Australia </w:t>
      </w:r>
      <w:bookmarkEnd w:id="4"/>
      <w:bookmarkEnd w:id="5"/>
      <w:r w:rsidR="0001185C" w:rsidRPr="001A433E">
        <w:t>(</w:t>
      </w:r>
      <w:proofErr w:type="spellStart"/>
      <w:r w:rsidR="0001185C" w:rsidRPr="001A433E">
        <w:t>201</w:t>
      </w:r>
      <w:r w:rsidR="00664D96">
        <w:t>1</w:t>
      </w:r>
      <w:r w:rsidR="00FB7EE6">
        <w:t>a</w:t>
      </w:r>
      <w:proofErr w:type="spellEnd"/>
      <w:r w:rsidR="0001185C" w:rsidRPr="001A433E">
        <w:t>)</w:t>
      </w:r>
      <w:r>
        <w:t>.</w:t>
      </w:r>
    </w:p>
    <w:p w:rsidR="007A6E1A" w:rsidRDefault="00D57122" w:rsidP="007A6E1A">
      <w:pPr>
        <w:pStyle w:val="Heading4"/>
      </w:pPr>
      <w:r>
        <w:t>The rate of significant new resource discoveries is declining</w:t>
      </w:r>
    </w:p>
    <w:p w:rsidR="007A6E1A" w:rsidRDefault="007A6E1A" w:rsidP="003B1807">
      <w:pPr>
        <w:pStyle w:val="BodyText"/>
      </w:pPr>
      <w:r>
        <w:t xml:space="preserve">An indicator of successful exploration activity is the number and size of discoveries that </w:t>
      </w:r>
      <w:r w:rsidR="005313C2">
        <w:t xml:space="preserve">result from </w:t>
      </w:r>
      <w:r w:rsidR="00CF333F">
        <w:t>exploration</w:t>
      </w:r>
      <w:r>
        <w:t xml:space="preserve"> expenditure. In this regard the performance of the sector has been declining. The Minerals Council of Australia state:</w:t>
      </w:r>
    </w:p>
    <w:p w:rsidR="007A6E1A" w:rsidRDefault="007A6E1A" w:rsidP="007A6E1A">
      <w:pPr>
        <w:pStyle w:val="Quote"/>
      </w:pPr>
      <w:r>
        <w:t xml:space="preserve">Whereas in the </w:t>
      </w:r>
      <w:proofErr w:type="spellStart"/>
      <w:r>
        <w:t>1980s</w:t>
      </w:r>
      <w:proofErr w:type="spellEnd"/>
      <w:r>
        <w:t xml:space="preserve"> and </w:t>
      </w:r>
      <w:proofErr w:type="spellStart"/>
      <w:r>
        <w:t>1990s</w:t>
      </w:r>
      <w:proofErr w:type="spellEnd"/>
      <w:r>
        <w:t xml:space="preserve"> more than 10 significant deposits were found each year on average, only 43 significant deposits were found over the decade between 2000 and 2010. Excluding bulk commodities, Australia’s discovery rate has roughly halved over the decade despite increased exploration expenditures. (sub. 27 p. 17)</w:t>
      </w:r>
    </w:p>
    <w:p w:rsidR="009A42C7" w:rsidRDefault="00B633FC" w:rsidP="003B1807">
      <w:pPr>
        <w:pStyle w:val="BodyText"/>
      </w:pPr>
      <w:r>
        <w:t>The d</w:t>
      </w:r>
      <w:r w:rsidR="009A42C7">
        <w:t xml:space="preserve">ecline in giant and major mineral discoveries </w:t>
      </w:r>
      <w:r>
        <w:t xml:space="preserve">has been particularly marked over the most recent decade </w:t>
      </w:r>
      <w:r w:rsidR="009A42C7">
        <w:t>(figure 2.4).</w:t>
      </w:r>
      <w:r>
        <w:t xml:space="preserve"> This decline in discoveries has occurred despite a sharp increase in exploration expenditure.</w:t>
      </w:r>
    </w:p>
    <w:p w:rsidR="007A6E1A" w:rsidRDefault="007A6E1A" w:rsidP="007A6E1A">
      <w:pPr>
        <w:pStyle w:val="FigureTitle"/>
      </w:pPr>
      <w:r>
        <w:rPr>
          <w:b w:val="0"/>
        </w:rPr>
        <w:lastRenderedPageBreak/>
        <w:t xml:space="preserve">Figure </w:t>
      </w:r>
      <w:r w:rsidR="002D4421">
        <w:rPr>
          <w:b w:val="0"/>
        </w:rPr>
        <w:t>2.</w:t>
      </w:r>
      <w:r w:rsidR="002D4421">
        <w:rPr>
          <w:b w:val="0"/>
          <w:noProof/>
        </w:rPr>
        <w:t>4</w:t>
      </w:r>
      <w:r>
        <w:tab/>
      </w:r>
      <w:r w:rsidR="00BA594F">
        <w:t>The number of g</w:t>
      </w:r>
      <w:r w:rsidR="009A42C7">
        <w:t xml:space="preserve">iant and major discoveries </w:t>
      </w:r>
      <w:r w:rsidR="00BA594F">
        <w:t>is</w:t>
      </w:r>
      <w:r w:rsidR="009A42C7">
        <w:t xml:space="preserve"> falling as exploration expenditure has risen</w:t>
      </w:r>
    </w:p>
    <w:p w:rsidR="00B51213" w:rsidRPr="00455AD0" w:rsidRDefault="009A42C7" w:rsidP="001A433E">
      <w:pPr>
        <w:pStyle w:val="Subtitle"/>
      </w:pPr>
      <w:r>
        <w:t xml:space="preserve">Number of giant, major and moderate mineral </w:t>
      </w:r>
      <w:proofErr w:type="spellStart"/>
      <w:r>
        <w:t>discoveries</w:t>
      </w:r>
      <w:r>
        <w:rPr>
          <w:vertAlign w:val="superscript"/>
        </w:rPr>
        <w:t>a</w:t>
      </w:r>
      <w:proofErr w:type="spellEnd"/>
      <w:r>
        <w:t xml:space="preserve"> and</w:t>
      </w:r>
      <w:r w:rsidR="00B51213" w:rsidRPr="008B23B6">
        <w:t xml:space="preserve"> </w:t>
      </w:r>
      <w:proofErr w:type="spellStart"/>
      <w:r>
        <w:t>exploration</w:t>
      </w:r>
      <w:r>
        <w:rPr>
          <w:vertAlign w:val="superscript"/>
        </w:rPr>
        <w:t>b</w:t>
      </w:r>
      <w:proofErr w:type="spellEnd"/>
      <w:r>
        <w:t xml:space="preserve"> </w:t>
      </w:r>
      <w:r w:rsidR="00B51213" w:rsidRPr="008B23B6">
        <w:t>expenditure</w:t>
      </w:r>
      <w:r>
        <w:t>: 19</w:t>
      </w:r>
      <w:r w:rsidR="004936E1">
        <w:t>8</w:t>
      </w:r>
      <w:r>
        <w:t>8</w:t>
      </w:r>
      <w:r w:rsidR="003271AC">
        <w:t>–</w:t>
      </w:r>
      <w:r>
        <w:t>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4 Rate of discoveries is declining"/>
        <w:tblDescription w:val="This figure indicates the rate of giant. major and moderate discoveries in Australia in five year increments from 1988 to 2012. It indicates that the rate of giant and major dicvoeries is slowing even though the cost of exploraiton (in real terms) has accelerated."/>
      </w:tblPr>
      <w:tblGrid>
        <w:gridCol w:w="8777"/>
      </w:tblGrid>
      <w:tr w:rsidR="004936E1" w:rsidTr="006538C3">
        <w:tc>
          <w:tcPr>
            <w:tcW w:w="8777" w:type="dxa"/>
          </w:tcPr>
          <w:p w:rsidR="004936E1" w:rsidRDefault="006538C3" w:rsidP="00A11FA9">
            <w:pPr>
              <w:pStyle w:val="Figure"/>
            </w:pPr>
            <w:r>
              <w:rPr>
                <w:noProof/>
              </w:rPr>
              <w:drawing>
                <wp:inline distT="0" distB="0" distL="0" distR="0" wp14:anchorId="3EE5AEAB" wp14:editId="0C6AB74E">
                  <wp:extent cx="5426894" cy="2822626"/>
                  <wp:effectExtent l="0" t="0" r="2540" b="0"/>
                  <wp:docPr id="2" name="Chart 2" descr="Figure 2.4 The number of giant and major discoveries is falling as exploration expenditure has risen. This figure shows the number of mineral discoveries and the expenditure on each from 1988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9A42C7" w:rsidRPr="009A42C7" w:rsidRDefault="009A42C7" w:rsidP="007A6E1A">
      <w:pPr>
        <w:pStyle w:val="Source"/>
        <w:rPr>
          <w:i/>
        </w:rPr>
      </w:pPr>
      <w:r w:rsidRPr="008E77FE">
        <w:rPr>
          <w:rStyle w:val="NoteLabel"/>
        </w:rPr>
        <w:t>a</w:t>
      </w:r>
      <w:r>
        <w:t xml:space="preserve"> </w:t>
      </w:r>
      <w:r w:rsidRPr="009A42C7">
        <w:t xml:space="preserve">Moderate — Greater than: </w:t>
      </w:r>
      <w:proofErr w:type="spellStart"/>
      <w:r w:rsidRPr="009A42C7">
        <w:t>100koz</w:t>
      </w:r>
      <w:proofErr w:type="spellEnd"/>
      <w:r w:rsidRPr="009A42C7">
        <w:t xml:space="preserve"> Au; </w:t>
      </w:r>
      <w:proofErr w:type="spellStart"/>
      <w:r w:rsidRPr="009A42C7">
        <w:t>10kt</w:t>
      </w:r>
      <w:proofErr w:type="spellEnd"/>
      <w:r w:rsidRPr="009A42C7">
        <w:t xml:space="preserve"> Ni; </w:t>
      </w:r>
      <w:proofErr w:type="spellStart"/>
      <w:r w:rsidRPr="009A42C7">
        <w:t>100kt</w:t>
      </w:r>
      <w:proofErr w:type="spellEnd"/>
      <w:r w:rsidRPr="009A42C7">
        <w:t xml:space="preserve"> Cu equivalent or </w:t>
      </w:r>
      <w:proofErr w:type="spellStart"/>
      <w:r w:rsidRPr="009A42C7">
        <w:t>5kt</w:t>
      </w:r>
      <w:proofErr w:type="spellEnd"/>
      <w:r w:rsidRPr="009A42C7">
        <w:t xml:space="preserve"> </w:t>
      </w:r>
      <w:proofErr w:type="spellStart"/>
      <w:r w:rsidRPr="009A42C7">
        <w:t>U3O8</w:t>
      </w:r>
      <w:proofErr w:type="spellEnd"/>
      <w:r w:rsidRPr="009A42C7">
        <w:t>.</w:t>
      </w:r>
      <w:r>
        <w:t>;</w:t>
      </w:r>
      <w:r w:rsidRPr="009A42C7">
        <w:t xml:space="preserve"> Major — Greater than: 1 million </w:t>
      </w:r>
      <w:proofErr w:type="spellStart"/>
      <w:r w:rsidRPr="009A42C7">
        <w:t>oz</w:t>
      </w:r>
      <w:proofErr w:type="spellEnd"/>
      <w:r w:rsidRPr="009A42C7">
        <w:t xml:space="preserve"> Au; </w:t>
      </w:r>
      <w:proofErr w:type="spellStart"/>
      <w:r w:rsidRPr="009A42C7">
        <w:t>100kt</w:t>
      </w:r>
      <w:proofErr w:type="spellEnd"/>
      <w:r w:rsidRPr="009A42C7">
        <w:t xml:space="preserve"> Ni; 1 million tonnes Cu equivalent or </w:t>
      </w:r>
      <w:proofErr w:type="spellStart"/>
      <w:r w:rsidRPr="009A42C7">
        <w:t>25kt</w:t>
      </w:r>
      <w:proofErr w:type="spellEnd"/>
      <w:r w:rsidRPr="009A42C7">
        <w:t xml:space="preserve"> </w:t>
      </w:r>
      <w:proofErr w:type="spellStart"/>
      <w:r w:rsidRPr="009A42C7">
        <w:t>U3O8</w:t>
      </w:r>
      <w:proofErr w:type="spellEnd"/>
      <w:r>
        <w:t>;</w:t>
      </w:r>
      <w:r w:rsidRPr="009A42C7">
        <w:t xml:space="preserve"> Giant — Greater than: 6 million </w:t>
      </w:r>
      <w:proofErr w:type="spellStart"/>
      <w:r w:rsidRPr="009A42C7">
        <w:t>oz</w:t>
      </w:r>
      <w:proofErr w:type="spellEnd"/>
      <w:r w:rsidRPr="009A42C7">
        <w:t xml:space="preserve"> Au; 1 million tonnes Ni; 5 million tonnes Cu equivalent or </w:t>
      </w:r>
      <w:proofErr w:type="spellStart"/>
      <w:r w:rsidRPr="009A42C7">
        <w:t>125kt</w:t>
      </w:r>
      <w:proofErr w:type="spellEnd"/>
      <w:r w:rsidRPr="009A42C7">
        <w:t xml:space="preserve"> </w:t>
      </w:r>
      <w:proofErr w:type="spellStart"/>
      <w:r w:rsidRPr="009A42C7">
        <w:t>U3O8</w:t>
      </w:r>
      <w:proofErr w:type="spellEnd"/>
      <w:r w:rsidRPr="009A42C7">
        <w:t>.</w:t>
      </w:r>
      <w:r>
        <w:t xml:space="preserve"> </w:t>
      </w:r>
      <w:r>
        <w:rPr>
          <w:rStyle w:val="NoteLabel"/>
        </w:rPr>
        <w:t xml:space="preserve">b  </w:t>
      </w:r>
      <w:r w:rsidRPr="00E01660">
        <w:t xml:space="preserve">Excludes </w:t>
      </w:r>
      <w:r>
        <w:t>iron ore, coal and petroleum.</w:t>
      </w:r>
    </w:p>
    <w:p w:rsidR="007A6E1A" w:rsidRDefault="00B51213" w:rsidP="007A6E1A">
      <w:pPr>
        <w:pStyle w:val="Source"/>
      </w:pPr>
      <w:r>
        <w:rPr>
          <w:i/>
        </w:rPr>
        <w:t>S</w:t>
      </w:r>
      <w:r w:rsidR="007A6E1A">
        <w:rPr>
          <w:i/>
        </w:rPr>
        <w:t>ource</w:t>
      </w:r>
      <w:r w:rsidR="00A714E1">
        <w:rPr>
          <w:i/>
        </w:rPr>
        <w:t>s</w:t>
      </w:r>
      <w:r w:rsidR="007A6E1A" w:rsidRPr="00167F06">
        <w:t>:</w:t>
      </w:r>
      <w:r w:rsidR="009D2E06">
        <w:t xml:space="preserve"> </w:t>
      </w:r>
      <w:r w:rsidR="00A714E1">
        <w:t>ABS (</w:t>
      </w:r>
      <w:proofErr w:type="spellStart"/>
      <w:r w:rsidR="00A714E1">
        <w:t>2012a</w:t>
      </w:r>
      <w:proofErr w:type="spellEnd"/>
      <w:r w:rsidR="00A714E1">
        <w:t xml:space="preserve">); </w:t>
      </w:r>
      <w:proofErr w:type="spellStart"/>
      <w:r w:rsidR="00A714E1">
        <w:t>Schodde</w:t>
      </w:r>
      <w:proofErr w:type="spellEnd"/>
      <w:r w:rsidR="00A714E1">
        <w:t xml:space="preserve"> and </w:t>
      </w:r>
      <w:proofErr w:type="spellStart"/>
      <w:r w:rsidR="00A714E1">
        <w:t>Guj</w:t>
      </w:r>
      <w:proofErr w:type="spellEnd"/>
      <w:r w:rsidR="00A714E1">
        <w:t xml:space="preserve"> (2012)</w:t>
      </w:r>
      <w:r w:rsidR="00F450D3">
        <w:t>.</w:t>
      </w:r>
    </w:p>
    <w:p w:rsidR="00B633FC" w:rsidRDefault="00B633FC" w:rsidP="00B633FC">
      <w:pPr>
        <w:pStyle w:val="BodyText"/>
      </w:pPr>
      <w:r>
        <w:t>The Minerals Council submission presents evidence that the de</w:t>
      </w:r>
      <w:r w:rsidR="000F7550">
        <w:t>c</w:t>
      </w:r>
      <w:r>
        <w:t xml:space="preserve">line in discoveries is not a global trend. According to the </w:t>
      </w:r>
      <w:proofErr w:type="spellStart"/>
      <w:r>
        <w:t>MinEx</w:t>
      </w:r>
      <w:proofErr w:type="spellEnd"/>
      <w:r>
        <w:t xml:space="preserve"> analysis (quoted in the Minerals Council of Australia submission: sub. 27), Australia’s share of </w:t>
      </w:r>
      <w:r w:rsidR="00BD7109">
        <w:t xml:space="preserve">the Western World’s </w:t>
      </w:r>
      <w:r>
        <w:t xml:space="preserve">giant discoveries has fallen from around 17 per cent in the </w:t>
      </w:r>
      <w:proofErr w:type="spellStart"/>
      <w:r>
        <w:t>1980s</w:t>
      </w:r>
      <w:proofErr w:type="spellEnd"/>
      <w:r>
        <w:t xml:space="preserve"> to around 6 per cent in the </w:t>
      </w:r>
      <w:proofErr w:type="spellStart"/>
      <w:r>
        <w:t>1990s</w:t>
      </w:r>
      <w:proofErr w:type="spellEnd"/>
      <w:r>
        <w:t xml:space="preserve">. Given the increasing emphasis in recent decades on exploration in such regions as Africa and central Asia, it is likely that the </w:t>
      </w:r>
      <w:proofErr w:type="spellStart"/>
      <w:r>
        <w:t>MinEx</w:t>
      </w:r>
      <w:proofErr w:type="spellEnd"/>
      <w:r>
        <w:t xml:space="preserve"> analysis understates the relative decline in discoveries in Australia.</w:t>
      </w:r>
    </w:p>
    <w:p w:rsidR="00FA6768" w:rsidRDefault="00903917" w:rsidP="003B1807">
      <w:pPr>
        <w:pStyle w:val="BodyText"/>
      </w:pPr>
      <w:r>
        <w:t xml:space="preserve">This decline in the rate of discovery has implications for </w:t>
      </w:r>
      <w:r w:rsidR="005313C2">
        <w:t xml:space="preserve">future </w:t>
      </w:r>
      <w:r>
        <w:t>resource extraction</w:t>
      </w:r>
      <w:r w:rsidR="008144C0">
        <w:t xml:space="preserve">. </w:t>
      </w:r>
      <w:r w:rsidR="00FA6768">
        <w:t xml:space="preserve">Based on current </w:t>
      </w:r>
      <w:r>
        <w:t>extraction</w:t>
      </w:r>
      <w:r w:rsidR="00FA6768">
        <w:t xml:space="preserve"> levels, nearly half of the larger operating mineral mines — those mines with </w:t>
      </w:r>
      <w:r>
        <w:t xml:space="preserve">extraction </w:t>
      </w:r>
      <w:r w:rsidR="00B42117">
        <w:t xml:space="preserve">levels </w:t>
      </w:r>
      <w:r w:rsidR="00FA6768">
        <w:t>of over one million tonnes per year (18 of 41 mines) — would exhaust their resource deposits by 2025 (</w:t>
      </w:r>
      <w:proofErr w:type="spellStart"/>
      <w:r w:rsidR="00FA6768">
        <w:t>Schodde</w:t>
      </w:r>
      <w:proofErr w:type="spellEnd"/>
      <w:r w:rsidR="00FA6768">
        <w:t xml:space="preserve"> 2011). This pattern is more pronounced in sectors such as gold</w:t>
      </w:r>
      <w:r w:rsidR="005313C2">
        <w:t xml:space="preserve"> and</w:t>
      </w:r>
      <w:r w:rsidR="00FA6768">
        <w:t xml:space="preserve"> less in sectors such as coal or bauxite</w:t>
      </w:r>
      <w:r w:rsidR="005313C2">
        <w:t>. The</w:t>
      </w:r>
      <w:r w:rsidR="00A55E99">
        <w:t xml:space="preserve"> significant</w:t>
      </w:r>
      <w:r w:rsidR="006835AE">
        <w:t xml:space="preserve"> new gas discoveries</w:t>
      </w:r>
      <w:r w:rsidR="005313C2">
        <w:t xml:space="preserve"> would not be exhausted by that date</w:t>
      </w:r>
      <w:r w:rsidR="00A55E99">
        <w:t>.</w:t>
      </w:r>
    </w:p>
    <w:p w:rsidR="007A6E1A" w:rsidRPr="00417900" w:rsidRDefault="007A6E1A" w:rsidP="003B1807">
      <w:pPr>
        <w:pStyle w:val="BodyText"/>
      </w:pPr>
      <w:r>
        <w:t>The life of reserves does not represent an absolute limit to economic viability</w:t>
      </w:r>
      <w:r w:rsidR="006B1AD6">
        <w:t>.</w:t>
      </w:r>
      <w:r>
        <w:t xml:space="preserve"> </w:t>
      </w:r>
      <w:r w:rsidR="006B1AD6">
        <w:t xml:space="preserve">While reserves may last many years, remaining deposits may be of lower grade, in more remote locations, deeper in the ground, mixed with greater impurities and require more difficult extraction techniques. </w:t>
      </w:r>
      <w:r>
        <w:t xml:space="preserve">This </w:t>
      </w:r>
      <w:r w:rsidR="00BD7109">
        <w:t xml:space="preserve">trend in </w:t>
      </w:r>
      <w:r>
        <w:t>fall</w:t>
      </w:r>
      <w:r w:rsidR="00BD7109">
        <w:t>ing</w:t>
      </w:r>
      <w:r>
        <w:t xml:space="preserve"> ore grades across several metals is demonstrated in figure 2.</w:t>
      </w:r>
      <w:r w:rsidR="00DC12F2">
        <w:t>5</w:t>
      </w:r>
      <w:r>
        <w:t>.</w:t>
      </w:r>
    </w:p>
    <w:p w:rsidR="007A6E1A" w:rsidRDefault="007A6E1A" w:rsidP="007A6E1A">
      <w:pPr>
        <w:pStyle w:val="FigureTitle"/>
      </w:pPr>
      <w:r>
        <w:rPr>
          <w:b w:val="0"/>
        </w:rPr>
        <w:lastRenderedPageBreak/>
        <w:t xml:space="preserve">Figure </w:t>
      </w:r>
      <w:r w:rsidR="002D4421">
        <w:rPr>
          <w:b w:val="0"/>
        </w:rPr>
        <w:t>2.</w:t>
      </w:r>
      <w:r w:rsidR="00DC12F2">
        <w:rPr>
          <w:b w:val="0"/>
        </w:rPr>
        <w:t>5</w:t>
      </w:r>
      <w:r>
        <w:tab/>
        <w:t>Combined average ore grades over time for base and precious metals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Figure 2.5 Combined average ore grades over time for base and precious metals"/>
        <w:tblDescription w:val="This figure shows the grade of ore from discoveries of copper, gold, lead, zinc, nickel and silver in Australia, dating back to the late 1800s. It shows that there has been a clear downward trend in the quality of new ore discoveries over time."/>
      </w:tblPr>
      <w:tblGrid>
        <w:gridCol w:w="8777"/>
      </w:tblGrid>
      <w:tr w:rsidR="007A6E1A" w:rsidTr="00A11FA9">
        <w:tc>
          <w:tcPr>
            <w:tcW w:w="8777" w:type="dxa"/>
          </w:tcPr>
          <w:p w:rsidR="007A6E1A" w:rsidRDefault="007A6E1A" w:rsidP="00A11FA9">
            <w:pPr>
              <w:pStyle w:val="Figure"/>
            </w:pPr>
            <w:r w:rsidRPr="00684E3D">
              <w:rPr>
                <w:b/>
                <w:noProof/>
              </w:rPr>
              <w:drawing>
                <wp:inline distT="0" distB="0" distL="0" distR="0" wp14:anchorId="7506F55D" wp14:editId="26FFDC4F">
                  <wp:extent cx="5153660" cy="3089275"/>
                  <wp:effectExtent l="0" t="0" r="0" b="0"/>
                  <wp:docPr id="20" name="Picture 20" descr="Figure 2.5 Combined average ore grades over time for base and precious metals. This figure shows the ore grades of precious metals from 1840 to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3660" cy="3089275"/>
                          </a:xfrm>
                          <a:prstGeom prst="rect">
                            <a:avLst/>
                          </a:prstGeom>
                          <a:noFill/>
                          <a:ln>
                            <a:noFill/>
                          </a:ln>
                        </pic:spPr>
                      </pic:pic>
                    </a:graphicData>
                  </a:graphic>
                </wp:inline>
              </w:drawing>
            </w:r>
          </w:p>
        </w:tc>
      </w:tr>
    </w:tbl>
    <w:p w:rsidR="007A6E1A" w:rsidRDefault="007A6E1A" w:rsidP="007A6E1A">
      <w:pPr>
        <w:pStyle w:val="Source"/>
      </w:pPr>
      <w:r>
        <w:rPr>
          <w:i/>
        </w:rPr>
        <w:t>Data source</w:t>
      </w:r>
      <w:r w:rsidRPr="00167F06">
        <w:t xml:space="preserve">: </w:t>
      </w:r>
      <w:r>
        <w:t xml:space="preserve">Adapted from </w:t>
      </w:r>
      <w:proofErr w:type="spellStart"/>
      <w:r>
        <w:t>Mudd</w:t>
      </w:r>
      <w:proofErr w:type="spellEnd"/>
      <w:r>
        <w:t xml:space="preserve"> (2007, p. 119).</w:t>
      </w:r>
    </w:p>
    <w:p w:rsidR="008844C4" w:rsidRDefault="006B1AD6" w:rsidP="008844C4">
      <w:pPr>
        <w:pStyle w:val="BodyText"/>
      </w:pPr>
      <w:r>
        <w:t>M</w:t>
      </w:r>
      <w:r w:rsidR="007A6E1A">
        <w:t xml:space="preserve">ore </w:t>
      </w:r>
      <w:r w:rsidR="005313C2">
        <w:t xml:space="preserve">input </w:t>
      </w:r>
      <w:r w:rsidR="007A6E1A">
        <w:t>‘effort’ is needed to produce a unit of output</w:t>
      </w:r>
      <w:r>
        <w:t xml:space="preserve"> from lower grade reserves</w:t>
      </w:r>
      <w:r w:rsidR="007A6E1A">
        <w:t xml:space="preserve">. This has been identified as one reason for the fall in productivity growth in Australian mining over the last decade (Topp et al. 2008). </w:t>
      </w:r>
    </w:p>
    <w:p w:rsidR="0037747E" w:rsidRDefault="0037747E" w:rsidP="008844C4">
      <w:pPr>
        <w:pStyle w:val="BodyText"/>
      </w:pPr>
      <w:r>
        <w:t>The main factor put forward to explain the decline in the rate of discoveries is Australia’s mature exploration environment. The Policy Transition Group (</w:t>
      </w:r>
      <w:proofErr w:type="spellStart"/>
      <w:r>
        <w:t>PTG</w:t>
      </w:r>
      <w:proofErr w:type="spellEnd"/>
      <w:r>
        <w:t xml:space="preserve"> 2010) observed: </w:t>
      </w:r>
    </w:p>
    <w:p w:rsidR="0037747E" w:rsidRDefault="0037747E" w:rsidP="0037747E">
      <w:pPr>
        <w:pStyle w:val="Quote"/>
      </w:pPr>
      <w:r>
        <w:t>In Australia there has been a decline in the success rates and average size and quality of deposits discovered. This could reflect Australia’s ‘mature’ environment, with very few major near</w:t>
      </w:r>
      <w:r>
        <w:noBreakHyphen/>
        <w:t>surface mineral deposits remaining, and new ‘buried’ deposits involving a lower chance of discovery and a higher cost of extraction. (p. 10)</w:t>
      </w:r>
    </w:p>
    <w:p w:rsidR="0037747E" w:rsidRDefault="0037747E" w:rsidP="0037747E">
      <w:pPr>
        <w:pStyle w:val="BodyText"/>
      </w:pPr>
      <w:r>
        <w:t>Cory (2012) explained the decline in exploration success in similar terms:</w:t>
      </w:r>
    </w:p>
    <w:p w:rsidR="0037747E" w:rsidRDefault="0037747E" w:rsidP="0037747E">
      <w:pPr>
        <w:pStyle w:val="Quote"/>
      </w:pPr>
      <w:r>
        <w:t>The decline in exploration success is in large part due to the difficulty in exploring what lies beneath the regions of highly weathered rock (known as regolith) and sedimentary basins that cover approximately 80 per cent of Australia. (p. </w:t>
      </w:r>
      <w:proofErr w:type="spellStart"/>
      <w:r>
        <w:t>i</w:t>
      </w:r>
      <w:proofErr w:type="spellEnd"/>
      <w:r>
        <w:t>).</w:t>
      </w:r>
    </w:p>
    <w:p w:rsidR="0037747E" w:rsidRDefault="0037747E" w:rsidP="0037747E">
      <w:pPr>
        <w:pStyle w:val="BodyText"/>
      </w:pPr>
      <w:r>
        <w:t>AMEC support this view of Australia’s declining prospectivity:</w:t>
      </w:r>
    </w:p>
    <w:p w:rsidR="0037747E" w:rsidRDefault="0037747E" w:rsidP="0037747E">
      <w:pPr>
        <w:pStyle w:val="Quote"/>
      </w:pPr>
      <w:r>
        <w:t>The industry is also facing an environment where discoveries are reducing, getting deeper and harder to find … (sub. 24 p. 5)</w:t>
      </w:r>
    </w:p>
    <w:p w:rsidR="0037747E" w:rsidRDefault="0037747E" w:rsidP="0037747E">
      <w:pPr>
        <w:pStyle w:val="BodyText"/>
      </w:pPr>
      <w:r>
        <w:t xml:space="preserve">As does </w:t>
      </w:r>
      <w:proofErr w:type="spellStart"/>
      <w:r>
        <w:t>APPEA</w:t>
      </w:r>
      <w:proofErr w:type="spellEnd"/>
      <w:r w:rsidR="005313C2">
        <w:t xml:space="preserve"> in relation to petroleum</w:t>
      </w:r>
      <w:r>
        <w:t>:</w:t>
      </w:r>
    </w:p>
    <w:p w:rsidR="0037747E" w:rsidRDefault="0037747E" w:rsidP="0037747E">
      <w:pPr>
        <w:pStyle w:val="Quote"/>
      </w:pPr>
      <w:r>
        <w:t xml:space="preserve">Australia is generally perceived to offer low prospectivity for oil, with relatively low discovery rates and small average field sizes. Gas prospectivity is good, but Australia has many large </w:t>
      </w:r>
      <w:r>
        <w:lastRenderedPageBreak/>
        <w:t>undeveloped gas fields and resources, and new gas discoveries are often remote from markets and infrastructure, and are becoming increasingly difficult to commercialise</w:t>
      </w:r>
      <w:r w:rsidR="00CF333F">
        <w:t>. (sub. 22 p</w:t>
      </w:r>
      <w:r w:rsidR="00267D19">
        <w:t>p</w:t>
      </w:r>
      <w:r w:rsidR="00CF333F">
        <w:t>. </w:t>
      </w:r>
      <w:r w:rsidR="00267D19">
        <w:t>4</w:t>
      </w:r>
      <w:r w:rsidR="00267D19">
        <w:noBreakHyphen/>
      </w:r>
      <w:r w:rsidR="00CF333F">
        <w:t>5)</w:t>
      </w:r>
    </w:p>
    <w:p w:rsidR="00651DCA" w:rsidRDefault="009E598C" w:rsidP="001A433E">
      <w:pPr>
        <w:pStyle w:val="Heading4"/>
      </w:pPr>
      <w:r>
        <w:t>A decreas</w:t>
      </w:r>
      <w:r w:rsidR="001D0324">
        <w:t>ing</w:t>
      </w:r>
      <w:r>
        <w:t xml:space="preserve"> share of greenfield exploration</w:t>
      </w:r>
    </w:p>
    <w:p w:rsidR="00651DCA" w:rsidRDefault="00651DCA" w:rsidP="001A433E">
      <w:pPr>
        <w:pStyle w:val="BodyText"/>
      </w:pPr>
      <w:r>
        <w:t xml:space="preserve">Concerns have been raised about the </w:t>
      </w:r>
      <w:r w:rsidR="00A86CC7">
        <w:t xml:space="preserve">relative </w:t>
      </w:r>
      <w:r>
        <w:t>shift to brownfield exploration (figure 2.</w:t>
      </w:r>
      <w:r w:rsidR="00DC12F2">
        <w:t>6</w:t>
      </w:r>
      <w:r>
        <w:t>)</w:t>
      </w:r>
      <w:r w:rsidR="00651169">
        <w:t>. Some participants consider that this will</w:t>
      </w:r>
      <w:r w:rsidR="00096A3B">
        <w:t xml:space="preserve"> reduce the likelihood of making major resource discoveries.</w:t>
      </w:r>
      <w:r>
        <w:t xml:space="preserve"> </w:t>
      </w:r>
      <w:proofErr w:type="spellStart"/>
      <w:r>
        <w:t>APPEA</w:t>
      </w:r>
      <w:proofErr w:type="spellEnd"/>
      <w:r>
        <w:t xml:space="preserve"> state:</w:t>
      </w:r>
    </w:p>
    <w:p w:rsidR="00651DCA" w:rsidRDefault="00651DCA" w:rsidP="00651DCA">
      <w:pPr>
        <w:pStyle w:val="Quote"/>
      </w:pPr>
      <w:r>
        <w:t>By not exploring or drilling wells in more remote and frontier areas, companies are much less likely to find the larger and material discoveries. Overall, this will lead to a longer term decline in field development and production through the discovery of smaller and smaller fields. (sub. 22 p .9)</w:t>
      </w:r>
    </w:p>
    <w:p w:rsidR="00651DCA" w:rsidRDefault="00651DCA" w:rsidP="00AF01F9">
      <w:pPr>
        <w:pStyle w:val="BodyText"/>
      </w:pPr>
      <w:r>
        <w:t>The Minerals Council of Australia refers to ‘</w:t>
      </w:r>
      <w:r w:rsidR="00DC12F2">
        <w:t>a profound decrease’</w:t>
      </w:r>
      <w:r>
        <w:t xml:space="preserve"> in the ratio of exploration dollars committed to greenfield compared to brownfield programs’ (sub. 27 p. 18). The Council goes on to quote </w:t>
      </w:r>
      <w:proofErr w:type="spellStart"/>
      <w:r>
        <w:t>Schodde</w:t>
      </w:r>
      <w:proofErr w:type="spellEnd"/>
      <w:r>
        <w:t xml:space="preserve"> and </w:t>
      </w:r>
      <w:proofErr w:type="spellStart"/>
      <w:r>
        <w:t>Guj</w:t>
      </w:r>
      <w:proofErr w:type="spellEnd"/>
      <w:r>
        <w:t xml:space="preserve"> (2012) stating:</w:t>
      </w:r>
    </w:p>
    <w:p w:rsidR="00651DCA" w:rsidRDefault="00651DCA" w:rsidP="00651DCA">
      <w:pPr>
        <w:pStyle w:val="Quote"/>
      </w:pPr>
      <w:r>
        <w:t>The gradual shift of funding from greenfield to brownfield expl</w:t>
      </w:r>
      <w:r w:rsidR="00876452">
        <w:t>o</w:t>
      </w:r>
      <w:r>
        <w:t>ration, while understandable in terms of short</w:t>
      </w:r>
      <w:r>
        <w:noBreakHyphen/>
        <w:t>term profitability, is worrying as in the long</w:t>
      </w:r>
      <w:r>
        <w:noBreakHyphen/>
        <w:t>run it will affect the metal contribution to the national resource inventory and with it the sustainability of the Australian mining industry</w:t>
      </w:r>
      <w:r w:rsidR="00CF333F">
        <w:t>.</w:t>
      </w:r>
      <w:r>
        <w:t xml:space="preserve"> (p. 2</w:t>
      </w:r>
      <w:r w:rsidR="0082322D">
        <w:t>3</w:t>
      </w:r>
      <w:r>
        <w:t>)</w:t>
      </w:r>
    </w:p>
    <w:p w:rsidR="00651DCA" w:rsidRDefault="00096A3B" w:rsidP="00AF01F9">
      <w:pPr>
        <w:pStyle w:val="BodyText"/>
      </w:pPr>
      <w:r>
        <w:t xml:space="preserve">While the share of greenfield exploration expenditures has been declining, </w:t>
      </w:r>
      <w:r w:rsidR="00651DCA">
        <w:t xml:space="preserve">there has been no appreciable </w:t>
      </w:r>
      <w:r w:rsidR="00D57122">
        <w:t xml:space="preserve">fall </w:t>
      </w:r>
      <w:r w:rsidR="00651DCA">
        <w:t xml:space="preserve">in expenditure or activity in greenfield exploration </w:t>
      </w:r>
      <w:r w:rsidR="006461AA">
        <w:t xml:space="preserve">in recent years </w:t>
      </w:r>
      <w:r w:rsidR="00651DCA">
        <w:t>(figure 2.</w:t>
      </w:r>
      <w:r w:rsidR="00014789">
        <w:t>7</w:t>
      </w:r>
      <w:r w:rsidR="00651DCA">
        <w:t>). Indeed</w:t>
      </w:r>
      <w:r w:rsidR="00D57122">
        <w:t>,</w:t>
      </w:r>
      <w:r w:rsidR="00651DCA">
        <w:t xml:space="preserve"> greenfield </w:t>
      </w:r>
      <w:r w:rsidR="008C2C95">
        <w:t xml:space="preserve">exploration </w:t>
      </w:r>
      <w:r w:rsidR="00651DCA">
        <w:t>expenditure is higher in real terms than a decade ago.</w:t>
      </w:r>
    </w:p>
    <w:p w:rsidR="00663F2F" w:rsidRDefault="00663F2F" w:rsidP="00AF01F9">
      <w:pPr>
        <w:pStyle w:val="BodyText"/>
      </w:pPr>
      <w:r>
        <w:t xml:space="preserve">Moreover, the recent </w:t>
      </w:r>
      <w:r w:rsidR="00651169">
        <w:t>increase in</w:t>
      </w:r>
      <w:r>
        <w:t xml:space="preserve"> brownfield exploration may </w:t>
      </w:r>
      <w:r w:rsidR="00651169">
        <w:t xml:space="preserve">have been primarily driven by </w:t>
      </w:r>
      <w:r>
        <w:t xml:space="preserve">higher commodity prices </w:t>
      </w:r>
      <w:r w:rsidR="008844C4">
        <w:t>during the last decade</w:t>
      </w:r>
      <w:r w:rsidR="005906ED">
        <w:t>, and may be short lived</w:t>
      </w:r>
      <w:r>
        <w:t xml:space="preserve">. As Whiting and </w:t>
      </w:r>
      <w:proofErr w:type="spellStart"/>
      <w:r>
        <w:t>Schodde</w:t>
      </w:r>
      <w:proofErr w:type="spellEnd"/>
      <w:r>
        <w:t xml:space="preserve"> (2006) have hypothesised, given the long lead times for developing a new mine, it is difficult for miners to exploit booms in commodity prices by making new greenfield discoveries:</w:t>
      </w:r>
    </w:p>
    <w:p w:rsidR="00663F2F" w:rsidRDefault="00663F2F" w:rsidP="00663F2F">
      <w:pPr>
        <w:pStyle w:val="Quote"/>
      </w:pPr>
      <w:r>
        <w:t>Given that the average business cycle is of the order of five to seven years, it is very difficult to confidently schedule the start of a grassroots exploration program to deliver metal into the market at the top of the business cycle. (p. 48)</w:t>
      </w:r>
    </w:p>
    <w:p w:rsidR="00663F2F" w:rsidRDefault="00663F2F" w:rsidP="00AF01F9">
      <w:pPr>
        <w:pStyle w:val="BodyText"/>
      </w:pPr>
    </w:p>
    <w:p w:rsidR="00651DCA" w:rsidRDefault="00651DCA" w:rsidP="00651DCA">
      <w:pPr>
        <w:pStyle w:val="FigureTitle"/>
      </w:pPr>
      <w:r>
        <w:rPr>
          <w:b w:val="0"/>
        </w:rPr>
        <w:lastRenderedPageBreak/>
        <w:t xml:space="preserve">Figure </w:t>
      </w:r>
      <w:r w:rsidR="002D4421">
        <w:rPr>
          <w:b w:val="0"/>
        </w:rPr>
        <w:t>2.</w:t>
      </w:r>
      <w:r w:rsidR="00DC12F2">
        <w:rPr>
          <w:b w:val="0"/>
        </w:rPr>
        <w:t>6</w:t>
      </w:r>
      <w:r>
        <w:tab/>
      </w:r>
      <w:r w:rsidR="005906ED">
        <w:t>M</w:t>
      </w:r>
      <w:r>
        <w:t>ineral exploration</w:t>
      </w:r>
      <w:r w:rsidRPr="00CF333F">
        <w:rPr>
          <w:rStyle w:val="NoteLabel"/>
        </w:rPr>
        <w:t>a</w:t>
      </w:r>
      <w:r>
        <w:t xml:space="preserve"> — greenfield and brownfield</w:t>
      </w:r>
      <w:r w:rsidRPr="00CF333F">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6 Mineral exploration - greenfield and brownfield"/>
        <w:tblDescription w:val="This figure shows the change in the real value of exploration expenditure and metres drilled in greenfield and brownfield exploration sites between 2003-04 and 2011-12. It indicates that there has been an increase in brownfield exploration expenditure and metres drilled. Greenfield exploration has been relatively flat in expenditure and metre drilled over this period, except for a spike in activity in 2007-08. The figures also indicate that the cost per metre drilled is increasing."/>
      </w:tblPr>
      <w:tblGrid>
        <w:gridCol w:w="8777"/>
      </w:tblGrid>
      <w:tr w:rsidR="00651DCA" w:rsidTr="0040452A">
        <w:tc>
          <w:tcPr>
            <w:tcW w:w="8777" w:type="dxa"/>
          </w:tcPr>
          <w:p w:rsidR="00651DCA" w:rsidRPr="009B497D" w:rsidDel="002407B1" w:rsidRDefault="00651DCA" w:rsidP="0040452A">
            <w:pPr>
              <w:pStyle w:val="Figure"/>
              <w:rPr>
                <w:rFonts w:ascii="Verdana" w:hAnsi="Verdana"/>
                <w:noProof/>
                <w:color w:val="17524E"/>
                <w:sz w:val="19"/>
              </w:rPr>
            </w:pPr>
            <w:r w:rsidRPr="0096541B">
              <w:rPr>
                <w:rFonts w:ascii="Arial" w:hAnsi="Arial" w:cs="Arial"/>
                <w:sz w:val="20"/>
              </w:rPr>
              <w:t>exploration expenditure</w:t>
            </w:r>
          </w:p>
        </w:tc>
      </w:tr>
      <w:tr w:rsidR="00651DCA" w:rsidTr="005F0558">
        <w:tc>
          <w:tcPr>
            <w:tcW w:w="8777" w:type="dxa"/>
          </w:tcPr>
          <w:p w:rsidR="00651DCA" w:rsidRDefault="005F0558" w:rsidP="0040452A">
            <w:pPr>
              <w:pStyle w:val="Figure"/>
            </w:pPr>
            <w:r>
              <w:rPr>
                <w:noProof/>
              </w:rPr>
              <w:drawing>
                <wp:inline distT="0" distB="0" distL="0" distR="0" wp14:anchorId="40B38F5A" wp14:editId="438F4291">
                  <wp:extent cx="5400000" cy="2697120"/>
                  <wp:effectExtent l="0" t="0" r="0" b="8255"/>
                  <wp:docPr id="11" name="Chart 11" descr="Figure 2.6 Mineral exploration - greenfield and brownfield. This figure comprises of two charts. This first chart compares greenfield and brownfield expenditure from 2003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651DCA" w:rsidTr="0040452A">
        <w:tblPrEx>
          <w:tblCellMar>
            <w:left w:w="0" w:type="dxa"/>
            <w:right w:w="0" w:type="dxa"/>
          </w:tblCellMar>
        </w:tblPrEx>
        <w:tc>
          <w:tcPr>
            <w:tcW w:w="8777" w:type="dxa"/>
          </w:tcPr>
          <w:p w:rsidR="00651DCA" w:rsidRPr="005B0AA5" w:rsidRDefault="00651DCA" w:rsidP="0040452A">
            <w:pPr>
              <w:pStyle w:val="Figure"/>
              <w:rPr>
                <w:rFonts w:ascii="Arial" w:hAnsi="Arial" w:cs="Arial"/>
                <w:sz w:val="20"/>
              </w:rPr>
            </w:pPr>
            <w:r w:rsidRPr="005B0AA5">
              <w:rPr>
                <w:rFonts w:ascii="Arial" w:hAnsi="Arial" w:cs="Arial"/>
                <w:sz w:val="20"/>
              </w:rPr>
              <w:t>metres drilled</w:t>
            </w:r>
          </w:p>
        </w:tc>
      </w:tr>
      <w:tr w:rsidR="00651DCA" w:rsidTr="005F0558">
        <w:tc>
          <w:tcPr>
            <w:tcW w:w="8777" w:type="dxa"/>
          </w:tcPr>
          <w:p w:rsidR="00651DCA" w:rsidRDefault="005F0558" w:rsidP="0040452A">
            <w:pPr>
              <w:pStyle w:val="Figure"/>
            </w:pPr>
            <w:r>
              <w:rPr>
                <w:noProof/>
              </w:rPr>
              <w:drawing>
                <wp:inline distT="0" distB="0" distL="0" distR="0" wp14:anchorId="69F98A77" wp14:editId="2541F69C">
                  <wp:extent cx="5400000" cy="2880000"/>
                  <wp:effectExtent l="0" t="0" r="0" b="0"/>
                  <wp:docPr id="9" name="Chart 9" descr="Figure 2.6 Mineral exploration - greenfield and brownfield. This figure comprises of two charts. This second chart compares greenfield and brownfield metres drilled from 2003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51DCA" w:rsidRDefault="00651DCA" w:rsidP="00651DCA">
      <w:pPr>
        <w:pStyle w:val="Note"/>
      </w:pPr>
      <w:proofErr w:type="spellStart"/>
      <w:r>
        <w:rPr>
          <w:rStyle w:val="NoteLabel"/>
        </w:rPr>
        <w:t>a</w:t>
      </w:r>
      <w:proofErr w:type="spellEnd"/>
      <w:r>
        <w:t xml:space="preserve"> ABS data on metres drilled is not available for petroleum exploration. </w:t>
      </w:r>
      <w:r>
        <w:rPr>
          <w:rStyle w:val="NoteLabel"/>
        </w:rPr>
        <w:t>b</w:t>
      </w:r>
      <w:r>
        <w:t xml:space="preserve"> Exploration in existing areas includes evaluation drilling on production leases.</w:t>
      </w:r>
    </w:p>
    <w:p w:rsidR="00651DCA" w:rsidRDefault="00651DCA" w:rsidP="00651DCA">
      <w:pPr>
        <w:pStyle w:val="Source"/>
      </w:pPr>
      <w:r>
        <w:rPr>
          <w:i/>
        </w:rPr>
        <w:t>Data source</w:t>
      </w:r>
      <w:r w:rsidR="001F3B3C">
        <w:rPr>
          <w:i/>
        </w:rPr>
        <w:t>s</w:t>
      </w:r>
      <w:r w:rsidRPr="00167F06">
        <w:t xml:space="preserve">: </w:t>
      </w:r>
      <w:r>
        <w:t xml:space="preserve">ABS </w:t>
      </w:r>
      <w:r w:rsidR="001F3B3C">
        <w:t>(</w:t>
      </w:r>
      <w:proofErr w:type="spellStart"/>
      <w:r w:rsidR="001F3B3C">
        <w:t>201</w:t>
      </w:r>
      <w:r w:rsidR="00664D96">
        <w:t>2a</w:t>
      </w:r>
      <w:proofErr w:type="spellEnd"/>
      <w:r w:rsidR="001F3B3C">
        <w:t>); Geoscience Australia (</w:t>
      </w:r>
      <w:proofErr w:type="spellStart"/>
      <w:r w:rsidR="001F3B3C">
        <w:t>201</w:t>
      </w:r>
      <w:r w:rsidR="00664D96">
        <w:t>1</w:t>
      </w:r>
      <w:r w:rsidR="00FB7EE6">
        <w:t>a</w:t>
      </w:r>
      <w:proofErr w:type="spellEnd"/>
      <w:r w:rsidR="001F3B3C">
        <w:t>)</w:t>
      </w:r>
      <w:r>
        <w:t>.</w:t>
      </w:r>
    </w:p>
    <w:p w:rsidR="006F3C43" w:rsidRDefault="006F3C43">
      <w:pPr>
        <w:rPr>
          <w:rFonts w:ascii="Arial" w:hAnsi="Arial"/>
          <w:i/>
          <w:szCs w:val="20"/>
        </w:rPr>
      </w:pPr>
      <w:r>
        <w:br w:type="page"/>
      </w:r>
    </w:p>
    <w:p w:rsidR="00651DCA" w:rsidRDefault="00651DCA" w:rsidP="00651DCA">
      <w:pPr>
        <w:pStyle w:val="Heading4"/>
      </w:pPr>
      <w:r>
        <w:lastRenderedPageBreak/>
        <w:t>International competition for exploration expenditure and activity</w:t>
      </w:r>
    </w:p>
    <w:p w:rsidR="00663F2F" w:rsidRDefault="00651DCA" w:rsidP="003B1807">
      <w:pPr>
        <w:pStyle w:val="BodyText"/>
      </w:pPr>
      <w:r>
        <w:t xml:space="preserve">Australia accounted for the second largest share of </w:t>
      </w:r>
      <w:r w:rsidR="00BD7109">
        <w:t>exploration expenditure for non</w:t>
      </w:r>
      <w:r w:rsidR="00BD7109">
        <w:noBreakHyphen/>
        <w:t xml:space="preserve">ferrous minerals </w:t>
      </w:r>
      <w:r>
        <w:t>in 2012 (figure 2.</w:t>
      </w:r>
      <w:r w:rsidR="00DC12F2">
        <w:t>7</w:t>
      </w:r>
      <w:r>
        <w:t xml:space="preserve">). </w:t>
      </w:r>
      <w:r w:rsidR="00663F2F">
        <w:t xml:space="preserve">Despite </w:t>
      </w:r>
      <w:r w:rsidR="00FD4702">
        <w:t xml:space="preserve">this </w:t>
      </w:r>
      <w:r w:rsidR="00663F2F">
        <w:t xml:space="preserve">high ranking, there is evidence that Australia has become a relatively less attractive region to explore over the last decade. </w:t>
      </w:r>
      <w:r w:rsidR="00FD4702">
        <w:t>F</w:t>
      </w:r>
      <w:r w:rsidR="00663F2F">
        <w:t xml:space="preserve">or example, Australia’s share of world </w:t>
      </w:r>
      <w:r w:rsidR="00BD7109">
        <w:t>non</w:t>
      </w:r>
      <w:r w:rsidR="00BD7109">
        <w:noBreakHyphen/>
        <w:t xml:space="preserve">ferrous mineral </w:t>
      </w:r>
      <w:r w:rsidR="00663F2F">
        <w:t xml:space="preserve">exploration expenditure </w:t>
      </w:r>
      <w:r w:rsidR="00FD4702">
        <w:t xml:space="preserve">has fallen </w:t>
      </w:r>
      <w:r w:rsidR="00663F2F">
        <w:t>from around 20 per cent in the mid</w:t>
      </w:r>
      <w:r w:rsidR="00663F2F">
        <w:noBreakHyphen/>
      </w:r>
      <w:proofErr w:type="spellStart"/>
      <w:r w:rsidR="00663F2F">
        <w:t>1990s</w:t>
      </w:r>
      <w:proofErr w:type="spellEnd"/>
      <w:r w:rsidR="00663F2F">
        <w:t xml:space="preserve"> to 13</w:t>
      </w:r>
      <w:r w:rsidR="00BD7109">
        <w:t> </w:t>
      </w:r>
      <w:r w:rsidR="00663F2F">
        <w:t>per cent in 2011 in non</w:t>
      </w:r>
      <w:r w:rsidR="00663F2F">
        <w:noBreakHyphen/>
        <w:t>ferrous mineral exploration (figure 2.</w:t>
      </w:r>
      <w:r w:rsidR="00DC12F2">
        <w:t>8</w:t>
      </w:r>
      <w:r w:rsidR="00663F2F">
        <w:t xml:space="preserve">). </w:t>
      </w:r>
    </w:p>
    <w:p w:rsidR="00663F2F" w:rsidRDefault="00663F2F" w:rsidP="003B1807">
      <w:pPr>
        <w:pStyle w:val="BodyText"/>
      </w:pPr>
      <w:r>
        <w:t xml:space="preserve">The Policy Transition Group (2010) </w:t>
      </w:r>
      <w:r w:rsidR="00CF49A0">
        <w:t xml:space="preserve">also </w:t>
      </w:r>
      <w:r>
        <w:t>noted a trend towards overseas exploration rather than explor</w:t>
      </w:r>
      <w:r w:rsidR="00FD4702">
        <w:t>ation</w:t>
      </w:r>
      <w:r>
        <w:t xml:space="preserve"> in Australia. They refer to perceptions that Australia was becoming less prospective relative to ‘frontier’ countries and that the higher cost of doing business in Australia was due in part to higher operating costs and to an increasing regulatory burden (</w:t>
      </w:r>
      <w:proofErr w:type="spellStart"/>
      <w:r>
        <w:t>PTG</w:t>
      </w:r>
      <w:proofErr w:type="spellEnd"/>
      <w:r>
        <w:t xml:space="preserve"> 2010). </w:t>
      </w:r>
    </w:p>
    <w:p w:rsidR="00651DCA" w:rsidRDefault="00651DCA" w:rsidP="00651DCA">
      <w:pPr>
        <w:pStyle w:val="FigureTitle"/>
      </w:pPr>
      <w:r>
        <w:rPr>
          <w:b w:val="0"/>
        </w:rPr>
        <w:t xml:space="preserve">Figure </w:t>
      </w:r>
      <w:r w:rsidR="002D4421">
        <w:rPr>
          <w:b w:val="0"/>
        </w:rPr>
        <w:t>2.</w:t>
      </w:r>
      <w:r w:rsidR="00DC12F2">
        <w:rPr>
          <w:b w:val="0"/>
        </w:rPr>
        <w:t>7</w:t>
      </w:r>
      <w:r>
        <w:tab/>
        <w:t xml:space="preserve">Canada and Australia </w:t>
      </w:r>
      <w:r w:rsidR="00DB4555">
        <w:t xml:space="preserve">are global </w:t>
      </w:r>
      <w:r>
        <w:t>lead</w:t>
      </w:r>
      <w:r w:rsidR="00DB4555">
        <w:t>ers in</w:t>
      </w:r>
      <w:r>
        <w:t xml:space="preserve"> mineral exploration</w:t>
      </w:r>
    </w:p>
    <w:p w:rsidR="00651DCA" w:rsidRDefault="00651DCA" w:rsidP="00651DCA">
      <w:pPr>
        <w:pStyle w:val="Subtitle"/>
      </w:pPr>
      <w:r>
        <w:t>Share of world non</w:t>
      </w:r>
      <w:r w:rsidR="00800824">
        <w:noBreakHyphen/>
      </w:r>
      <w:r>
        <w:t>ferrous mineral exploration budgets,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7 Canada and Australia are global leader in mineral exploration"/>
        <w:tblDescription w:val="This figure compares the share of exploration expenditure for non ferrous minerals by country or regional group in 2012. Canada has the highest share (18%) followed by Australia (13%), USA and Sub-Saharan Africa (8%)."/>
      </w:tblPr>
      <w:tblGrid>
        <w:gridCol w:w="8777"/>
      </w:tblGrid>
      <w:tr w:rsidR="00651DCA" w:rsidTr="00FF3905">
        <w:tc>
          <w:tcPr>
            <w:tcW w:w="8777" w:type="dxa"/>
          </w:tcPr>
          <w:p w:rsidR="00651DCA" w:rsidRDefault="00FF3905" w:rsidP="0040452A">
            <w:pPr>
              <w:pStyle w:val="Figure"/>
            </w:pPr>
            <w:r>
              <w:rPr>
                <w:noProof/>
              </w:rPr>
              <w:drawing>
                <wp:inline distT="0" distB="0" distL="0" distR="0" wp14:anchorId="6E9E906B" wp14:editId="5417393A">
                  <wp:extent cx="5400000" cy="2880000"/>
                  <wp:effectExtent l="0" t="0" r="0" b="0"/>
                  <wp:docPr id="12" name="Chart 12" descr="Figure 2.7 Canada and Australia are global leaders in mineral exploration. This figure compares the percentage share of the world's mineral exploration budgets for selected count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51DCA" w:rsidRDefault="00651DCA" w:rsidP="00651DCA">
      <w:pPr>
        <w:pStyle w:val="Source"/>
      </w:pPr>
      <w:r>
        <w:rPr>
          <w:i/>
        </w:rPr>
        <w:t>Data source</w:t>
      </w:r>
      <w:r w:rsidRPr="00167F06">
        <w:t xml:space="preserve">: </w:t>
      </w:r>
      <w:r>
        <w:t>Marshall (2012).</w:t>
      </w:r>
    </w:p>
    <w:p w:rsidR="00651DCA" w:rsidRDefault="00651DCA" w:rsidP="00651DCA">
      <w:pPr>
        <w:pStyle w:val="FigureTitle"/>
      </w:pPr>
      <w:r>
        <w:rPr>
          <w:b w:val="0"/>
        </w:rPr>
        <w:lastRenderedPageBreak/>
        <w:t xml:space="preserve">Figure </w:t>
      </w:r>
      <w:r w:rsidR="002D4421">
        <w:rPr>
          <w:b w:val="0"/>
        </w:rPr>
        <w:t>2.</w:t>
      </w:r>
      <w:r w:rsidR="00DC12F2">
        <w:rPr>
          <w:b w:val="0"/>
        </w:rPr>
        <w:t>8</w:t>
      </w:r>
      <w:r>
        <w:tab/>
        <w:t>Australia’s share of global non</w:t>
      </w:r>
      <w:r>
        <w:noBreakHyphen/>
        <w:t>ferrous mineral exploration</w:t>
      </w:r>
    </w:p>
    <w:p w:rsidR="00651DCA" w:rsidRDefault="00CF333F" w:rsidP="00651DCA">
      <w:pPr>
        <w:pStyle w:val="Subtitle"/>
      </w:pPr>
      <w:r>
        <w:t>1991–2011, e</w:t>
      </w:r>
      <w:r w:rsidR="00651DCA">
        <w:t>xcludes iron</w:t>
      </w:r>
      <w:r w:rsidR="00651DCA">
        <w:noBreakHyphen/>
        <w:t>ore and uranium</w:t>
      </w:r>
      <w:r w:rsidR="00651DCA" w:rsidRPr="00417900">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Figure 2.8 Australia's share of global non-ferrous mineral exploration"/>
        <w:tblDescription w:val="This figure provides a timeline of Australia's share of non-ferrous mineral exploration expenditure between 1991 and 2011. It shows there has been a clear decline in Australia's share of exploration between 1996 and 2005. There has been a slight recovery in Australia's share since that time."/>
      </w:tblPr>
      <w:tblGrid>
        <w:gridCol w:w="8777"/>
      </w:tblGrid>
      <w:tr w:rsidR="00651DCA" w:rsidTr="0026569A">
        <w:tc>
          <w:tcPr>
            <w:tcW w:w="8777" w:type="dxa"/>
          </w:tcPr>
          <w:p w:rsidR="00651DCA" w:rsidRDefault="0026569A" w:rsidP="0040452A">
            <w:pPr>
              <w:pStyle w:val="Figure"/>
            </w:pPr>
            <w:r>
              <w:rPr>
                <w:noProof/>
              </w:rPr>
              <w:drawing>
                <wp:inline distT="0" distB="0" distL="0" distR="0" wp14:anchorId="19FB568A" wp14:editId="5A33B842">
                  <wp:extent cx="5362575" cy="2876550"/>
                  <wp:effectExtent l="0" t="0" r="0" b="0"/>
                  <wp:docPr id="4" name="Chart 4" descr="Figure 2.8 Australia's share of global non-ferrous mineral exploration. This figure expands on Figure 2.7 to show how Australia's percentage of world share has changed from 1991 to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651DCA" w:rsidRDefault="00651DCA" w:rsidP="00651DCA">
      <w:pPr>
        <w:pStyle w:val="Note"/>
      </w:pPr>
      <w:r>
        <w:rPr>
          <w:rStyle w:val="NoteLabel"/>
        </w:rPr>
        <w:t>a</w:t>
      </w:r>
      <w:r>
        <w:t xml:space="preserve"> </w:t>
      </w:r>
      <w:r w:rsidRPr="00417900">
        <w:t xml:space="preserve">2011 </w:t>
      </w:r>
      <w:r w:rsidR="000051ED">
        <w:t xml:space="preserve">world </w:t>
      </w:r>
      <w:r w:rsidRPr="00417900">
        <w:t>expenditure estimated as 50 per cent higher than in 2010 (figure from World Exploration Trends 2012</w:t>
      </w:r>
      <w:r>
        <w:t>).</w:t>
      </w:r>
    </w:p>
    <w:p w:rsidR="00651DCA" w:rsidRDefault="00651DCA" w:rsidP="00651DCA">
      <w:pPr>
        <w:pStyle w:val="Source"/>
      </w:pPr>
      <w:r>
        <w:rPr>
          <w:i/>
        </w:rPr>
        <w:t>Data sources</w:t>
      </w:r>
      <w:r w:rsidRPr="00167F06">
        <w:t xml:space="preserve">: </w:t>
      </w:r>
      <w:r>
        <w:t>ABS (</w:t>
      </w:r>
      <w:proofErr w:type="spellStart"/>
      <w:r>
        <w:t>2012</w:t>
      </w:r>
      <w:r w:rsidR="00664D96">
        <w:t>a</w:t>
      </w:r>
      <w:proofErr w:type="spellEnd"/>
      <w:r>
        <w:t>) (Time Series Workbooks for tables 5 and 6);</w:t>
      </w:r>
      <w:r w:rsidRPr="00417900">
        <w:t xml:space="preserve"> </w:t>
      </w:r>
      <w:proofErr w:type="spellStart"/>
      <w:r w:rsidRPr="00417900">
        <w:t>Huleatt</w:t>
      </w:r>
      <w:proofErr w:type="spellEnd"/>
      <w:r w:rsidRPr="00417900">
        <w:t xml:space="preserve"> and </w:t>
      </w:r>
      <w:proofErr w:type="spellStart"/>
      <w:r w:rsidRPr="00417900">
        <w:t>Jaques</w:t>
      </w:r>
      <w:proofErr w:type="spellEnd"/>
      <w:r w:rsidRPr="00417900">
        <w:t xml:space="preserve"> (2009)</w:t>
      </w:r>
      <w:r>
        <w:t>;</w:t>
      </w:r>
      <w:r w:rsidRPr="0001185C">
        <w:t xml:space="preserve"> </w:t>
      </w:r>
      <w:r w:rsidRPr="00417900">
        <w:t>MEG (various years).</w:t>
      </w:r>
    </w:p>
    <w:p w:rsidR="00663F2F" w:rsidRDefault="00663F2F" w:rsidP="00AF01F9">
      <w:pPr>
        <w:pStyle w:val="BodyText"/>
      </w:pPr>
      <w:r>
        <w:t xml:space="preserve">Australian exploration companies have </w:t>
      </w:r>
      <w:r w:rsidR="00CF49A0">
        <w:t xml:space="preserve">themselves </w:t>
      </w:r>
      <w:r>
        <w:t>become more involved in overseas locations, as junior explorers consider they have increased ‘stock market appeal’ if they are seen to be active in Africa or South America (</w:t>
      </w:r>
      <w:proofErr w:type="spellStart"/>
      <w:r>
        <w:t>EIGWG</w:t>
      </w:r>
      <w:proofErr w:type="spellEnd"/>
      <w:r>
        <w:t xml:space="preserve"> 2012). The Minerals Council of Australia estimate</w:t>
      </w:r>
      <w:r w:rsidR="00FD4702">
        <w:t>s</w:t>
      </w:r>
      <w:r>
        <w:t xml:space="preserve"> that half of the locally raised exploration funds are now spent overseas, particularly in developing countries that have stable governments and attractive mining and taxation policies (sub. 27, p 19).</w:t>
      </w:r>
    </w:p>
    <w:p w:rsidR="007A6E1A" w:rsidRDefault="002D4421" w:rsidP="007A6E1A">
      <w:pPr>
        <w:pStyle w:val="Heading2"/>
      </w:pPr>
      <w:r>
        <w:t>2.</w:t>
      </w:r>
      <w:r>
        <w:rPr>
          <w:noProof/>
        </w:rPr>
        <w:t>4</w:t>
      </w:r>
      <w:r w:rsidR="007A6E1A">
        <w:tab/>
        <w:t>Government involvement in the exploration sector</w:t>
      </w:r>
    </w:p>
    <w:p w:rsidR="007A6E1A" w:rsidRDefault="003A0850" w:rsidP="007A6E1A">
      <w:pPr>
        <w:pStyle w:val="Heading3"/>
      </w:pPr>
      <w:r>
        <w:t>R</w:t>
      </w:r>
      <w:r w:rsidR="00FD4702">
        <w:t xml:space="preserve">ationale for </w:t>
      </w:r>
      <w:r w:rsidR="007A6E1A">
        <w:t xml:space="preserve">government </w:t>
      </w:r>
      <w:r w:rsidR="005B2933">
        <w:t>regulat</w:t>
      </w:r>
      <w:r w:rsidR="00FD4702">
        <w:t>ion of</w:t>
      </w:r>
      <w:r w:rsidR="007A6E1A">
        <w:t xml:space="preserve"> exploration</w:t>
      </w:r>
    </w:p>
    <w:p w:rsidR="007A6E1A" w:rsidRDefault="007A6E1A" w:rsidP="007A6E1A">
      <w:pPr>
        <w:pStyle w:val="Heading4"/>
      </w:pPr>
      <w:r>
        <w:t>Resources are owned by the Crown</w:t>
      </w:r>
    </w:p>
    <w:p w:rsidR="007A6E1A" w:rsidRDefault="007A6E1A" w:rsidP="00AF01F9">
      <w:pPr>
        <w:pStyle w:val="BodyText"/>
      </w:pPr>
      <w:r>
        <w:t xml:space="preserve">Governments in Australia have a fundamental reason to be involved in exploration — they are the representatives of the owners of mineral and energy resources — the Australian people. As such, the </w:t>
      </w:r>
      <w:r w:rsidR="007B44B1">
        <w:t>Australian</w:t>
      </w:r>
      <w:r>
        <w:t>, state and territory governments have a responsibility to ensure that the nation</w:t>
      </w:r>
      <w:r w:rsidR="007B44B1">
        <w:t>’</w:t>
      </w:r>
      <w:r>
        <w:t>s mineral and energy resources are managed in a manner that promotes the community’s wellbeing.</w:t>
      </w:r>
    </w:p>
    <w:p w:rsidR="007A6E1A" w:rsidRDefault="00A15F6D" w:rsidP="00AF01F9">
      <w:pPr>
        <w:pStyle w:val="BodyText"/>
      </w:pPr>
      <w:r>
        <w:lastRenderedPageBreak/>
        <w:t>G</w:t>
      </w:r>
      <w:r w:rsidR="007A6E1A">
        <w:t>overnment</w:t>
      </w:r>
      <w:r>
        <w:t>s</w:t>
      </w:r>
      <w:r w:rsidR="007A6E1A">
        <w:t xml:space="preserve"> require information about the location and nature of these resources in order to make informed decisions about the</w:t>
      </w:r>
      <w:r w:rsidR="003A0850">
        <w:t>ir</w:t>
      </w:r>
      <w:r w:rsidR="007A6E1A">
        <w:t xml:space="preserve"> best use. </w:t>
      </w:r>
      <w:r w:rsidR="006A53BF">
        <w:t>Consequently, g</w:t>
      </w:r>
      <w:r w:rsidR="007A6E1A">
        <w:t xml:space="preserve">overnments have established legal frameworks outlining when and where exploration can occur, and on what basis. </w:t>
      </w:r>
    </w:p>
    <w:p w:rsidR="007A6E1A" w:rsidRDefault="007A6E1A" w:rsidP="007A6E1A">
      <w:pPr>
        <w:pStyle w:val="Heading4"/>
      </w:pPr>
      <w:r>
        <w:t>Competing land uses</w:t>
      </w:r>
    </w:p>
    <w:p w:rsidR="007A6E1A" w:rsidRDefault="007A6E1A" w:rsidP="00AF01F9">
      <w:pPr>
        <w:pStyle w:val="BodyText"/>
      </w:pPr>
      <w:r>
        <w:t>Exploration licences provide explorers with exclusive rights to search an area for the presence of (typically sub</w:t>
      </w:r>
      <w:r>
        <w:noBreakHyphen/>
        <w:t>surface) mineral or energy deposits. Exploration often occurs on land that is currently being used for other purposes</w:t>
      </w:r>
      <w:r w:rsidR="00A15F6D">
        <w:t>,</w:t>
      </w:r>
      <w:r>
        <w:t xml:space="preserve"> such as farming</w:t>
      </w:r>
      <w:r w:rsidR="008144C0">
        <w:t>,</w:t>
      </w:r>
      <w:r w:rsidR="006B1AD6">
        <w:t xml:space="preserve"> or has heritage and environmental importance</w:t>
      </w:r>
      <w:r>
        <w:t xml:space="preserve">. </w:t>
      </w:r>
    </w:p>
    <w:p w:rsidR="007A6E1A" w:rsidRDefault="007A6E1A" w:rsidP="00AF01F9">
      <w:pPr>
        <w:pStyle w:val="BodyText"/>
      </w:pPr>
      <w:r>
        <w:t xml:space="preserve">While some exploration activities are minimally invasive (most notably satellite or aerial analysis), more intensive exploration activities </w:t>
      </w:r>
      <w:r w:rsidR="00AC469F">
        <w:t xml:space="preserve">can </w:t>
      </w:r>
      <w:r>
        <w:t xml:space="preserve">impinge on </w:t>
      </w:r>
      <w:r w:rsidR="00971C48">
        <w:t xml:space="preserve">local communities and on </w:t>
      </w:r>
      <w:r>
        <w:t xml:space="preserve">the activities of other land </w:t>
      </w:r>
      <w:r w:rsidR="00971C48">
        <w:t>users</w:t>
      </w:r>
      <w:r>
        <w:t xml:space="preserve">. For example, </w:t>
      </w:r>
      <w:r w:rsidR="00074B5C">
        <w:t xml:space="preserve">exploration </w:t>
      </w:r>
      <w:r>
        <w:t xml:space="preserve">activities </w:t>
      </w:r>
      <w:r w:rsidR="003A0850">
        <w:t xml:space="preserve">can temporarily </w:t>
      </w:r>
      <w:r>
        <w:t xml:space="preserve">disturb </w:t>
      </w:r>
      <w:r w:rsidR="00AC469F">
        <w:t xml:space="preserve">agricultural </w:t>
      </w:r>
      <w:r>
        <w:t xml:space="preserve">soil </w:t>
      </w:r>
      <w:r w:rsidR="00AC469F">
        <w:t>in the</w:t>
      </w:r>
      <w:r w:rsidR="00A15F6D">
        <w:t>ir</w:t>
      </w:r>
      <w:r w:rsidR="00AC469F">
        <w:t xml:space="preserve"> immediate vicinity</w:t>
      </w:r>
      <w:r>
        <w:t xml:space="preserve"> </w:t>
      </w:r>
      <w:r w:rsidR="00074B5C">
        <w:t>or</w:t>
      </w:r>
      <w:r>
        <w:t xml:space="preserve"> can increase the level of dust that is lodged in grain and fibre, which could lower </w:t>
      </w:r>
      <w:r w:rsidR="00074B5C">
        <w:t xml:space="preserve">the </w:t>
      </w:r>
      <w:r>
        <w:t>grade</w:t>
      </w:r>
      <w:r w:rsidR="00074B5C">
        <w:t xml:space="preserve"> and</w:t>
      </w:r>
      <w:r>
        <w:t xml:space="preserve"> price</w:t>
      </w:r>
      <w:r w:rsidR="00074B5C">
        <w:t xml:space="preserve"> of the produce</w:t>
      </w:r>
      <w:r>
        <w:t xml:space="preserve">. </w:t>
      </w:r>
    </w:p>
    <w:p w:rsidR="007A6E1A" w:rsidRDefault="007A6E1A" w:rsidP="00AF01F9">
      <w:pPr>
        <w:pStyle w:val="BodyText"/>
      </w:pPr>
      <w:r>
        <w:t xml:space="preserve">Governments have established regulations and procedures to </w:t>
      </w:r>
      <w:r w:rsidR="00AC469F">
        <w:t xml:space="preserve">resolve </w:t>
      </w:r>
      <w:r w:rsidR="00A15F6D">
        <w:t xml:space="preserve">or arbitrate on </w:t>
      </w:r>
      <w:r w:rsidR="00AC469F">
        <w:t>issues arising from</w:t>
      </w:r>
      <w:r>
        <w:t xml:space="preserve"> competing land use</w:t>
      </w:r>
      <w:r w:rsidR="00A15F6D">
        <w:t>s</w:t>
      </w:r>
      <w:r>
        <w:t xml:space="preserve">. </w:t>
      </w:r>
    </w:p>
    <w:p w:rsidR="007A6E1A" w:rsidRDefault="007A6E1A" w:rsidP="007A6E1A">
      <w:pPr>
        <w:pStyle w:val="Heading4"/>
      </w:pPr>
      <w:r>
        <w:t xml:space="preserve">Negative </w:t>
      </w:r>
      <w:r w:rsidR="00663F2F">
        <w:t>s</w:t>
      </w:r>
      <w:r>
        <w:t>pill over effects</w:t>
      </w:r>
    </w:p>
    <w:p w:rsidR="007A6E1A" w:rsidRDefault="00AC469F" w:rsidP="00AF01F9">
      <w:pPr>
        <w:pStyle w:val="BodyText"/>
      </w:pPr>
      <w:r>
        <w:t>E</w:t>
      </w:r>
      <w:r w:rsidR="007A6E1A">
        <w:t>xplor</w:t>
      </w:r>
      <w:r>
        <w:t>ation</w:t>
      </w:r>
      <w:r w:rsidR="007A6E1A">
        <w:t xml:space="preserve"> for mineral and energy products can have undesirable unintended consequences</w:t>
      </w:r>
      <w:r w:rsidR="00A15F6D">
        <w:t>,</w:t>
      </w:r>
      <w:r w:rsidR="007A6E1A">
        <w:t xml:space="preserve"> or spill over effects</w:t>
      </w:r>
      <w:r w:rsidR="000E769E">
        <w:t>,</w:t>
      </w:r>
      <w:r w:rsidR="006B1AD6">
        <w:t xml:space="preserve"> beyond the immediate area of exploration</w:t>
      </w:r>
      <w:r w:rsidR="00CF333F">
        <w:t>,</w:t>
      </w:r>
      <w:r w:rsidR="007A6E1A">
        <w:t xml:space="preserve"> includ</w:t>
      </w:r>
      <w:r w:rsidR="000E769E">
        <w:t>ing</w:t>
      </w:r>
      <w:r w:rsidR="007A6E1A">
        <w:t>:</w:t>
      </w:r>
    </w:p>
    <w:p w:rsidR="007A6E1A" w:rsidRDefault="007A6E1A" w:rsidP="007A6E1A">
      <w:pPr>
        <w:pStyle w:val="ListBullet"/>
      </w:pPr>
      <w:r>
        <w:t>environmental damage</w:t>
      </w:r>
    </w:p>
    <w:p w:rsidR="007A6E1A" w:rsidRDefault="007A6E1A" w:rsidP="007A6E1A">
      <w:pPr>
        <w:pStyle w:val="ListBullet"/>
      </w:pPr>
      <w:r>
        <w:t>reduc</w:t>
      </w:r>
      <w:r w:rsidR="000E769E">
        <w:t>ed</w:t>
      </w:r>
      <w:r>
        <w:t xml:space="preserve"> amenity value </w:t>
      </w:r>
      <w:r w:rsidR="000E769E">
        <w:t xml:space="preserve">for </w:t>
      </w:r>
      <w:r>
        <w:t>nearby residents</w:t>
      </w:r>
    </w:p>
    <w:p w:rsidR="007A6E1A" w:rsidRDefault="007A6E1A" w:rsidP="007A6E1A">
      <w:pPr>
        <w:pStyle w:val="ListBullet"/>
      </w:pPr>
      <w:r>
        <w:t>damag</w:t>
      </w:r>
      <w:r w:rsidR="000E769E">
        <w:t>e to</w:t>
      </w:r>
      <w:r>
        <w:t xml:space="preserve"> items of heritage value</w:t>
      </w:r>
    </w:p>
    <w:p w:rsidR="007A6E1A" w:rsidRDefault="007A6E1A" w:rsidP="007A6E1A">
      <w:pPr>
        <w:pStyle w:val="ListBullet"/>
      </w:pPr>
      <w:r>
        <w:t>adverse impact</w:t>
      </w:r>
      <w:r w:rsidR="000E769E">
        <w:t>s</w:t>
      </w:r>
      <w:r>
        <w:t xml:space="preserve"> on the operation of other commercial enterprises</w:t>
      </w:r>
      <w:r w:rsidR="000E769E">
        <w:t>.</w:t>
      </w:r>
    </w:p>
    <w:p w:rsidR="007A6E1A" w:rsidRDefault="007A6E1A" w:rsidP="00AF01F9">
      <w:pPr>
        <w:pStyle w:val="BodyText"/>
      </w:pPr>
      <w:r>
        <w:t xml:space="preserve">The likelihood and extent of unintended outcomes from exploration </w:t>
      </w:r>
      <w:r w:rsidR="00A8626E">
        <w:t>are</w:t>
      </w:r>
      <w:r>
        <w:t xml:space="preserve"> likely to vary </w:t>
      </w:r>
      <w:r w:rsidR="00A8626E">
        <w:t>according to</w:t>
      </w:r>
      <w:r>
        <w:t xml:space="preserve"> the</w:t>
      </w:r>
      <w:r w:rsidR="00663F2F">
        <w:t xml:space="preserve"> </w:t>
      </w:r>
      <w:r w:rsidR="00A8626E">
        <w:t>flora, fauna and geological</w:t>
      </w:r>
      <w:r>
        <w:t xml:space="preserve"> characteristics of each potential exploration site. The proximity to human habitation or businesses will alter the likely impact on amenity values </w:t>
      </w:r>
      <w:r w:rsidR="00876452">
        <w:t xml:space="preserve">(such as noise and dust </w:t>
      </w:r>
      <w:r w:rsidR="00074B5C">
        <w:t>emissions</w:t>
      </w:r>
      <w:r w:rsidR="00876452">
        <w:t xml:space="preserve">) </w:t>
      </w:r>
      <w:r>
        <w:t>and/or the risk of interrupting other business activities. Much of the regulatory framework under which exploration activity occurs is designed to address, avoid and rectify such unintended consequences.</w:t>
      </w:r>
    </w:p>
    <w:p w:rsidR="007A6E1A" w:rsidRDefault="00A00F7A" w:rsidP="007A6E1A">
      <w:pPr>
        <w:pStyle w:val="Heading3"/>
      </w:pPr>
      <w:r>
        <w:lastRenderedPageBreak/>
        <w:t>P</w:t>
      </w:r>
      <w:r w:rsidR="007A6E1A">
        <w:t xml:space="preserve">olicy levers </w:t>
      </w:r>
      <w:r>
        <w:t>available to</w:t>
      </w:r>
      <w:r w:rsidR="007A6E1A">
        <w:t xml:space="preserve"> government</w:t>
      </w:r>
      <w:r w:rsidR="005B2933">
        <w:t>s</w:t>
      </w:r>
    </w:p>
    <w:p w:rsidR="007A6E1A" w:rsidRDefault="007A6E1A" w:rsidP="00AF01F9">
      <w:pPr>
        <w:pStyle w:val="BodyText"/>
      </w:pPr>
      <w:r>
        <w:t xml:space="preserve">Governments have a number of </w:t>
      </w:r>
      <w:r w:rsidR="00A15F6D">
        <w:t xml:space="preserve">policy </w:t>
      </w:r>
      <w:r>
        <w:t xml:space="preserve">levers </w:t>
      </w:r>
      <w:r w:rsidR="00A15F6D">
        <w:t>to</w:t>
      </w:r>
      <w:r>
        <w:t xml:space="preserve"> influence the overall level </w:t>
      </w:r>
      <w:r w:rsidR="000E769E">
        <w:t xml:space="preserve">and nature </w:t>
      </w:r>
      <w:r>
        <w:t>of exploration. These levers can act to either increase or lower the ‘reward to risk ratio’ for exploration activities</w:t>
      </w:r>
      <w:r w:rsidR="000E769E">
        <w:t>. The levers</w:t>
      </w:r>
      <w:r>
        <w:t xml:space="preserve"> include:</w:t>
      </w:r>
    </w:p>
    <w:p w:rsidR="007A6E1A" w:rsidRDefault="008C3EA7" w:rsidP="007A6E1A">
      <w:pPr>
        <w:pStyle w:val="ListBullet"/>
      </w:pPr>
      <w:r>
        <w:rPr>
          <w:i/>
        </w:rPr>
        <w:t>A</w:t>
      </w:r>
      <w:r w:rsidR="007A6E1A" w:rsidRPr="00DB7E7B">
        <w:rPr>
          <w:i/>
        </w:rPr>
        <w:t>vailability of</w:t>
      </w:r>
      <w:r w:rsidR="000E769E">
        <w:rPr>
          <w:i/>
        </w:rPr>
        <w:t>,</w:t>
      </w:r>
      <w:r w:rsidR="007A6E1A" w:rsidRPr="00DB7E7B">
        <w:rPr>
          <w:i/>
        </w:rPr>
        <w:t xml:space="preserve"> and access to</w:t>
      </w:r>
      <w:r w:rsidR="000E769E">
        <w:rPr>
          <w:i/>
        </w:rPr>
        <w:t>,</w:t>
      </w:r>
      <w:r>
        <w:rPr>
          <w:i/>
        </w:rPr>
        <w:t xml:space="preserve"> </w:t>
      </w:r>
      <w:r w:rsidR="007A6E1A" w:rsidRPr="00DB7E7B">
        <w:rPr>
          <w:i/>
        </w:rPr>
        <w:t>land</w:t>
      </w:r>
      <w:r>
        <w:t>.</w:t>
      </w:r>
      <w:r w:rsidR="007A6E1A">
        <w:t xml:space="preserve"> Governments, in controlling large tracts of Crown land and in regulating </w:t>
      </w:r>
      <w:r>
        <w:t>the</w:t>
      </w:r>
      <w:r w:rsidR="007A6E1A">
        <w:t xml:space="preserve"> use</w:t>
      </w:r>
      <w:r>
        <w:t xml:space="preserve"> of private land</w:t>
      </w:r>
      <w:r w:rsidR="007A6E1A">
        <w:t xml:space="preserve">, can influence what land is available for exploration activity and what conditions apply where exploration is allowed. There are also legislative requirements set by governments relating to access to land where native title exists. </w:t>
      </w:r>
    </w:p>
    <w:p w:rsidR="007A6E1A" w:rsidRDefault="008C3EA7" w:rsidP="007A6E1A">
      <w:pPr>
        <w:pStyle w:val="ListBullet"/>
      </w:pPr>
      <w:r>
        <w:rPr>
          <w:i/>
        </w:rPr>
        <w:t>R</w:t>
      </w:r>
      <w:r w:rsidR="007A6E1A" w:rsidRPr="00DB7E7B">
        <w:rPr>
          <w:i/>
        </w:rPr>
        <w:t>egulation of exploration</w:t>
      </w:r>
      <w:r>
        <w:t>.</w:t>
      </w:r>
      <w:r w:rsidR="007A6E1A">
        <w:t xml:space="preserve"> This involves providing licences to undertake exploration and establishing the terms and conditions of these licences. </w:t>
      </w:r>
      <w:r>
        <w:t>Increasingly,</w:t>
      </w:r>
      <w:r w:rsidR="007A6E1A">
        <w:t xml:space="preserve"> the regulation of exploration activities </w:t>
      </w:r>
      <w:r>
        <w:t xml:space="preserve">focusses on </w:t>
      </w:r>
      <w:r w:rsidR="007A6E1A">
        <w:t>environmental</w:t>
      </w:r>
      <w:r w:rsidR="00A00F7A">
        <w:t xml:space="preserve"> </w:t>
      </w:r>
      <w:r w:rsidR="00D46BAD">
        <w:t>impacts</w:t>
      </w:r>
      <w:r w:rsidR="007A6E1A">
        <w:t>, native title and heritage</w:t>
      </w:r>
      <w:r w:rsidR="00A00F7A">
        <w:t xml:space="preserve"> protection</w:t>
      </w:r>
      <w:r w:rsidR="007A6E1A">
        <w:t xml:space="preserve">. </w:t>
      </w:r>
    </w:p>
    <w:p w:rsidR="007A6E1A" w:rsidRDefault="008C3EA7" w:rsidP="007A6E1A">
      <w:pPr>
        <w:pStyle w:val="ListBullet"/>
      </w:pPr>
      <w:r>
        <w:rPr>
          <w:i/>
        </w:rPr>
        <w:t>G</w:t>
      </w:r>
      <w:r w:rsidR="007A6E1A" w:rsidRPr="00DB7E7B">
        <w:rPr>
          <w:i/>
        </w:rPr>
        <w:t>eoscience</w:t>
      </w:r>
      <w:r>
        <w:t>.</w:t>
      </w:r>
      <w:r w:rsidR="007A6E1A">
        <w:t xml:space="preserve"> Government provision of pre</w:t>
      </w:r>
      <w:r w:rsidR="007A6E1A">
        <w:noBreakHyphen/>
        <w:t xml:space="preserve">competitive geological information such as geoscience maps, databases and information systems can </w:t>
      </w:r>
      <w:r w:rsidR="004656F2">
        <w:t>facilitate exploration by</w:t>
      </w:r>
      <w:r w:rsidR="007A6E1A">
        <w:t xml:space="preserve"> identifying potentially </w:t>
      </w:r>
      <w:r w:rsidR="004656F2">
        <w:t xml:space="preserve">prospective </w:t>
      </w:r>
      <w:r w:rsidR="007A6E1A">
        <w:t>locations.</w:t>
      </w:r>
    </w:p>
    <w:p w:rsidR="007A6E1A" w:rsidRDefault="00A00F7A" w:rsidP="007A6E1A">
      <w:pPr>
        <w:pStyle w:val="ListBullet"/>
      </w:pPr>
      <w:r>
        <w:rPr>
          <w:i/>
        </w:rPr>
        <w:t>Skilled l</w:t>
      </w:r>
      <w:r w:rsidR="007A6E1A" w:rsidRPr="00DB7E7B">
        <w:rPr>
          <w:i/>
        </w:rPr>
        <w:t>abour</w:t>
      </w:r>
      <w:r w:rsidR="008C3EA7">
        <w:t>.</w:t>
      </w:r>
      <w:r w:rsidR="007A6E1A">
        <w:t xml:space="preserve"> Governments can </w:t>
      </w:r>
      <w:r w:rsidR="00A15F6D">
        <w:t>influence</w:t>
      </w:r>
      <w:r w:rsidR="007A6E1A">
        <w:t xml:space="preserve"> the provision of skilled labour through the tertiary education system and migration programs.</w:t>
      </w:r>
    </w:p>
    <w:p w:rsidR="007A6E1A" w:rsidRDefault="008C3EA7" w:rsidP="007A6E1A">
      <w:pPr>
        <w:pStyle w:val="ListBullet"/>
      </w:pPr>
      <w:r>
        <w:rPr>
          <w:i/>
        </w:rPr>
        <w:t>T</w:t>
      </w:r>
      <w:r w:rsidR="007A6E1A" w:rsidRPr="00DB7E7B">
        <w:rPr>
          <w:i/>
        </w:rPr>
        <w:t>he taxation treatment of exploration activities</w:t>
      </w:r>
      <w:r>
        <w:t>.</w:t>
      </w:r>
      <w:r w:rsidR="007A6E1A">
        <w:t xml:space="preserve"> Tax deductions </w:t>
      </w:r>
      <w:r w:rsidR="00DC5C29">
        <w:t xml:space="preserve">and incentives </w:t>
      </w:r>
      <w:r w:rsidR="007A6E1A">
        <w:t>relating to exploration activit</w:t>
      </w:r>
      <w:r w:rsidR="004656F2">
        <w:t>ies</w:t>
      </w:r>
      <w:r w:rsidR="007A6E1A">
        <w:t xml:space="preserve"> </w:t>
      </w:r>
      <w:r w:rsidR="00DC5C29">
        <w:t xml:space="preserve">reduce the cost and raise </w:t>
      </w:r>
      <w:r w:rsidR="007A6E1A">
        <w:t>expected return</w:t>
      </w:r>
      <w:r w:rsidR="00DC5C29">
        <w:t>s</w:t>
      </w:r>
      <w:r w:rsidR="00A00F7A">
        <w:t>, whereas taxation of extraction may have an upstream dampening effect on exploration</w:t>
      </w:r>
      <w:r w:rsidR="007A6E1A">
        <w:t xml:space="preserve">. </w:t>
      </w:r>
    </w:p>
    <w:p w:rsidR="007A6E1A" w:rsidRDefault="008C3EA7" w:rsidP="007A6E1A">
      <w:pPr>
        <w:pStyle w:val="ListBullet"/>
      </w:pPr>
      <w:r>
        <w:rPr>
          <w:i/>
        </w:rPr>
        <w:t>S</w:t>
      </w:r>
      <w:r w:rsidR="007A6E1A" w:rsidRPr="00DB7E7B">
        <w:rPr>
          <w:i/>
        </w:rPr>
        <w:t>ubsidies to exploration activities</w:t>
      </w:r>
      <w:r>
        <w:t>.</w:t>
      </w:r>
      <w:r w:rsidR="007A6E1A">
        <w:t xml:space="preserve"> Governments can provide direct subsidies to exploration activities, for example, through government funded drilling programs and co</w:t>
      </w:r>
      <w:r w:rsidR="007A6E1A">
        <w:noBreakHyphen/>
        <w:t>drilling programs in partnership with exploration companies.</w:t>
      </w:r>
    </w:p>
    <w:p w:rsidR="007A6E1A" w:rsidRDefault="008C3EA7" w:rsidP="007A6E1A">
      <w:pPr>
        <w:pStyle w:val="ListBullet"/>
      </w:pPr>
      <w:r>
        <w:rPr>
          <w:i/>
        </w:rPr>
        <w:t>S</w:t>
      </w:r>
      <w:r w:rsidR="007A6E1A" w:rsidRPr="00DB7E7B">
        <w:rPr>
          <w:i/>
        </w:rPr>
        <w:t>upport for innovation</w:t>
      </w:r>
      <w:r>
        <w:t>.</w:t>
      </w:r>
      <w:r w:rsidR="007A6E1A">
        <w:t xml:space="preserve"> Government</w:t>
      </w:r>
      <w:r w:rsidR="00A00F7A">
        <w:t>s</w:t>
      </w:r>
      <w:r w:rsidR="007A6E1A">
        <w:t xml:space="preserve"> can provide support for innovation in exploration activities</w:t>
      </w:r>
      <w:r w:rsidR="00DC5C29">
        <w:t>,</w:t>
      </w:r>
      <w:r w:rsidR="007A6E1A">
        <w:t xml:space="preserve"> such as through the funding of Cooperative Research Centres associated with developing exploration technologies.</w:t>
      </w:r>
    </w:p>
    <w:p w:rsidR="000870C9" w:rsidRDefault="00A00F7A" w:rsidP="00555DB1">
      <w:pPr>
        <w:pStyle w:val="Heading3"/>
      </w:pPr>
      <w:r>
        <w:t>E</w:t>
      </w:r>
      <w:r w:rsidR="005B2933">
        <w:t>xplorers view</w:t>
      </w:r>
      <w:r>
        <w:t>s of</w:t>
      </w:r>
      <w:r w:rsidR="005B2933">
        <w:t xml:space="preserve"> regulation</w:t>
      </w:r>
    </w:p>
    <w:p w:rsidR="00A00F7A" w:rsidRDefault="007A6E1A" w:rsidP="00AF01F9">
      <w:pPr>
        <w:pStyle w:val="BodyText"/>
      </w:pPr>
      <w:r>
        <w:t xml:space="preserve">The nature of the regulatory </w:t>
      </w:r>
      <w:r w:rsidR="00CA7CF7">
        <w:t xml:space="preserve">framework </w:t>
      </w:r>
      <w:r>
        <w:t>and regulator</w:t>
      </w:r>
      <w:r w:rsidR="000870C9">
        <w:t xml:space="preserve"> behaviour</w:t>
      </w:r>
      <w:r>
        <w:t xml:space="preserve"> can play an important role in shaping the structure of incentives faced by explorers. </w:t>
      </w:r>
      <w:r w:rsidR="00A00F7A">
        <w:t>Equally, other stakeholders have views on the adequacy of regulation to deliver on a range of other social, economic and environmental objectives.</w:t>
      </w:r>
      <w:r w:rsidR="00595412">
        <w:t xml:space="preserve"> These views are canvassed in the relevant chapters in this report.</w:t>
      </w:r>
    </w:p>
    <w:p w:rsidR="007A6E1A" w:rsidRDefault="00A00F7A" w:rsidP="00AF01F9">
      <w:pPr>
        <w:pStyle w:val="BodyText"/>
      </w:pPr>
      <w:r>
        <w:lastRenderedPageBreak/>
        <w:t xml:space="preserve">A </w:t>
      </w:r>
      <w:r w:rsidR="007A6E1A">
        <w:t>Canadian research group — the Fraser Institute — has been undertaking annual surveys of mining companies to examine the relative attractiveness of different jurisdictions</w:t>
      </w:r>
      <w:r w:rsidR="000870C9">
        <w:t xml:space="preserve"> and has developed a Policy Potential Index (PPI)</w:t>
      </w:r>
      <w:r w:rsidR="000870C9">
        <w:rPr>
          <w:rStyle w:val="FootnoteReference"/>
        </w:rPr>
        <w:footnoteReference w:id="3"/>
      </w:r>
      <w:r w:rsidR="007A6E1A">
        <w:t xml:space="preserve"> (Wilson et. al 2013). </w:t>
      </w:r>
    </w:p>
    <w:p w:rsidR="00DD3C9D" w:rsidRDefault="007A6E1A" w:rsidP="00153F3F">
      <w:pPr>
        <w:pStyle w:val="BodyText"/>
      </w:pPr>
      <w:r>
        <w:t xml:space="preserve">The Fraser Institute surveys suggest that regulatory change and governance in Australia are </w:t>
      </w:r>
      <w:r w:rsidR="00406AC8">
        <w:t xml:space="preserve">impinging on </w:t>
      </w:r>
      <w:r w:rsidR="00663F2F">
        <w:t>the</w:t>
      </w:r>
      <w:r>
        <w:t xml:space="preserve"> attractiveness of many Australian jurisdictions as destinations for exploration. Compared to the 60 jurisdictions that have been included in every Fraser Institute survey, New South Wales (ranked 33/60 in 2012</w:t>
      </w:r>
      <w:r>
        <w:noBreakHyphen/>
        <w:t>13), South Australia (18/60) and Tasmania (38/60) have failed to maintain their relative attractiveness for mining companies over recent years</w:t>
      </w:r>
      <w:r w:rsidR="00406AC8">
        <w:t>. O</w:t>
      </w:r>
      <w:r>
        <w:t>nly Western Australia (13/60) has unambiguously improved its ranking. The rankings of the Northern Territory (20/60 in 2012</w:t>
      </w:r>
      <w:r>
        <w:noBreakHyphen/>
        <w:t>13) and Queensland (27/60) show no trend over recent time.</w:t>
      </w:r>
    </w:p>
    <w:p w:rsidR="007A6E1A" w:rsidRDefault="007A6E1A" w:rsidP="00AF01F9">
      <w:pPr>
        <w:pStyle w:val="BodyText"/>
      </w:pPr>
      <w:r>
        <w:t xml:space="preserve">The Fraser Institute highlights the following quote </w:t>
      </w:r>
      <w:r w:rsidR="000870C9">
        <w:t xml:space="preserve">about </w:t>
      </w:r>
      <w:r w:rsidR="00663F2F">
        <w:t xml:space="preserve">resource exploration </w:t>
      </w:r>
      <w:r>
        <w:t>in Australia:</w:t>
      </w:r>
    </w:p>
    <w:p w:rsidR="007A6E1A" w:rsidRDefault="007A6E1A" w:rsidP="007A6E1A">
      <w:pPr>
        <w:pStyle w:val="Quote"/>
      </w:pPr>
      <w:r>
        <w:t xml:space="preserve">Across Australia, political and regulatory panic is seriously impacting the quality and timeliness of decisions, and certainty about access to land is very concerning. The </w:t>
      </w:r>
      <w:r w:rsidR="00800824">
        <w:t>‘</w:t>
      </w:r>
      <w:r>
        <w:t>Twitter</w:t>
      </w:r>
      <w:r w:rsidR="00800824">
        <w:t>’</w:t>
      </w:r>
      <w:r>
        <w:t xml:space="preserve"> factor is determining political attitudes and actions, and regulators are reacting to minimize the perceived </w:t>
      </w:r>
      <w:r w:rsidR="00800824">
        <w:t>‘</w:t>
      </w:r>
      <w:r>
        <w:t>risk exposure</w:t>
      </w:r>
      <w:r w:rsidR="00800824">
        <w:t>’</w:t>
      </w:r>
      <w:r>
        <w:t xml:space="preserve"> of their ministers.</w:t>
      </w:r>
    </w:p>
    <w:p w:rsidR="007A6E1A" w:rsidRDefault="007A6E1A" w:rsidP="00595412">
      <w:pPr>
        <w:pStyle w:val="Quote"/>
      </w:pPr>
      <w:r>
        <w:t>—</w:t>
      </w:r>
      <w:r w:rsidR="00F450D3">
        <w:t xml:space="preserve"> </w:t>
      </w:r>
      <w:r>
        <w:t>An exploration company, Company president</w:t>
      </w:r>
      <w:r w:rsidR="00595412">
        <w:t>. (Wilson et al. 2013 p</w:t>
      </w:r>
      <w:r w:rsidR="00D46BAD">
        <w:t>. 39</w:t>
      </w:r>
      <w:r w:rsidR="00595412">
        <w:t>)</w:t>
      </w:r>
    </w:p>
    <w:p w:rsidR="007A6E1A" w:rsidRDefault="007A6E1A" w:rsidP="00AF01F9">
      <w:pPr>
        <w:pStyle w:val="BodyText"/>
      </w:pPr>
      <w:r>
        <w:t>Industry concerns with the regulatory framework are echoed in several submissions from explorer peak bodies:</w:t>
      </w:r>
    </w:p>
    <w:p w:rsidR="007A6E1A" w:rsidRPr="00417900" w:rsidRDefault="007A6E1A" w:rsidP="007A6E1A">
      <w:pPr>
        <w:pStyle w:val="Quote"/>
      </w:pPr>
      <w:r>
        <w:t>The underlying theme in AMEC’s submission is that regulatory barriers through time and cost reduce the quantity of minerals exploration in Australia. If governments can reduce these barriers Australia would be able to increase efficiency and productivity and ultimately the amount of exploration</w:t>
      </w:r>
      <w:r w:rsidR="00DC12F2">
        <w:t>.</w:t>
      </w:r>
      <w:r>
        <w:t xml:space="preserve"> (AMEC 2013 sub. 24 p. 7).</w:t>
      </w:r>
    </w:p>
    <w:p w:rsidR="007A6E1A" w:rsidRDefault="007A6E1A" w:rsidP="007A6E1A">
      <w:pPr>
        <w:pStyle w:val="Quote"/>
      </w:pPr>
      <w:r>
        <w:t>Recent years have brought NSW explorers a significant increase in legislative and policy requirements, as well as administrative expense. There is evidence that these issues have already deterred exploration in NSW, with explorers moving to other states and more favourable international jurisdictions</w:t>
      </w:r>
      <w:r w:rsidR="00DC12F2">
        <w:t>.</w:t>
      </w:r>
      <w:r>
        <w:t xml:space="preserve"> (NSW Minerals Council sub. 3 p. 3)</w:t>
      </w:r>
    </w:p>
    <w:p w:rsidR="007A6E1A" w:rsidRDefault="007A6E1A" w:rsidP="007A6E1A">
      <w:pPr>
        <w:pStyle w:val="Quote"/>
      </w:pPr>
      <w:r>
        <w:t>There is considerable opportunity to update Australian regulatory practice to reflect the significant advances in industry performance and capability that have occurred in recent decades. (</w:t>
      </w:r>
      <w:proofErr w:type="spellStart"/>
      <w:r>
        <w:t>AusIMM</w:t>
      </w:r>
      <w:proofErr w:type="spellEnd"/>
      <w:r>
        <w:t xml:space="preserve"> sub. 12, p. 5)</w:t>
      </w:r>
    </w:p>
    <w:p w:rsidR="007A6E1A" w:rsidRDefault="007A6E1A" w:rsidP="00AF01F9">
      <w:pPr>
        <w:pStyle w:val="BodyText"/>
      </w:pPr>
      <w:r>
        <w:t xml:space="preserve">The Minerals Council of Australia referred to a number of other </w:t>
      </w:r>
      <w:r w:rsidR="00663F2F">
        <w:t xml:space="preserve">business </w:t>
      </w:r>
      <w:r>
        <w:t xml:space="preserve">surveys of the mining sector </w:t>
      </w:r>
      <w:r w:rsidR="00311E8B">
        <w:t xml:space="preserve">reiterating </w:t>
      </w:r>
      <w:r>
        <w:t>the view that regulatory burdens have increased:</w:t>
      </w:r>
    </w:p>
    <w:p w:rsidR="007A6E1A" w:rsidRDefault="007A6E1A" w:rsidP="007A6E1A">
      <w:pPr>
        <w:pStyle w:val="Quote"/>
      </w:pPr>
      <w:r>
        <w:t xml:space="preserve">Grant Thornton’s </w:t>
      </w:r>
      <w:r w:rsidRPr="00DB7E7B">
        <w:rPr>
          <w:i/>
        </w:rPr>
        <w:t>Mining Business Outlook Report 2013</w:t>
      </w:r>
      <w:r>
        <w:rPr>
          <w:i/>
        </w:rPr>
        <w:t xml:space="preserve"> </w:t>
      </w:r>
      <w:r>
        <w:t xml:space="preserve">… concluded that increased regulation has </w:t>
      </w:r>
      <w:r w:rsidR="00800824">
        <w:t>‘</w:t>
      </w:r>
      <w:r>
        <w:t>dampened the enthusiasm</w:t>
      </w:r>
      <w:r w:rsidR="00800824">
        <w:t>’</w:t>
      </w:r>
      <w:r>
        <w:t xml:space="preserve"> of international investors in the Australian mining sector. (sub. 27 p. 21)</w:t>
      </w:r>
    </w:p>
    <w:p w:rsidR="007A6E1A" w:rsidRDefault="007A6E1A" w:rsidP="007A6E1A">
      <w:pPr>
        <w:pStyle w:val="Quote"/>
      </w:pPr>
      <w:r>
        <w:lastRenderedPageBreak/>
        <w:t xml:space="preserve">Baker &amp; McKenzie’s report, </w:t>
      </w:r>
      <w:r w:rsidRPr="00DB7E7B">
        <w:rPr>
          <w:i/>
        </w:rPr>
        <w:t xml:space="preserve">Mining investment: local challenges </w:t>
      </w:r>
      <w:r>
        <w:rPr>
          <w:i/>
        </w:rPr>
        <w:noBreakHyphen/>
      </w:r>
      <w:r w:rsidRPr="00DB7E7B">
        <w:rPr>
          <w:i/>
        </w:rPr>
        <w:t xml:space="preserve"> global implications</w:t>
      </w:r>
      <w:r>
        <w:t xml:space="preserve">, similarly reported </w:t>
      </w:r>
      <w:r w:rsidR="00800824">
        <w:t>‘</w:t>
      </w:r>
      <w:r>
        <w:t>a growing perception amongst the industry of a complex maze of green and red tape</w:t>
      </w:r>
      <w:r w:rsidR="00800824">
        <w:t>’</w:t>
      </w:r>
      <w:r>
        <w:t xml:space="preserve"> in Australia</w:t>
      </w:r>
      <w:r w:rsidR="00DC12F2">
        <w:t>.</w:t>
      </w:r>
      <w:r>
        <w:t xml:space="preserve"> (sub. 27 p. 21)</w:t>
      </w:r>
    </w:p>
    <w:p w:rsidR="00BA6ED6" w:rsidRDefault="00A07133" w:rsidP="00E01660">
      <w:pPr>
        <w:pStyle w:val="BodyText"/>
      </w:pPr>
      <w:r>
        <w:t>Explorers have identified a range of regulatory barriers that they see as impinging on the efficiency and effectiveness of the exploration industry.</w:t>
      </w:r>
      <w:r w:rsidR="000F7550">
        <w:t xml:space="preserve"> T</w:t>
      </w:r>
      <w:r>
        <w:t xml:space="preserve">his report examines the impact of these </w:t>
      </w:r>
      <w:r w:rsidR="00FB7EE6">
        <w:t>non-financial</w:t>
      </w:r>
      <w:r>
        <w:t xml:space="preserve"> regulations o</w:t>
      </w:r>
      <w:r w:rsidR="000F7550">
        <w:t>n</w:t>
      </w:r>
      <w:r>
        <w:t xml:space="preserve"> exploration to determine if existing regulations are consistent with the principles of best practice regulation </w:t>
      </w:r>
      <w:r w:rsidR="00C429DB">
        <w:t>or,</w:t>
      </w:r>
      <w:r>
        <w:t xml:space="preserve"> if they are inconsistent, to examine the scope for beneficial reforms.</w:t>
      </w:r>
    </w:p>
    <w:p w:rsidR="007A6E1A" w:rsidRDefault="007A6E1A" w:rsidP="007A6E1A">
      <w:pPr>
        <w:rPr>
          <w:szCs w:val="20"/>
        </w:rPr>
      </w:pPr>
    </w:p>
    <w:sectPr w:rsidR="007A6E1A" w:rsidSect="002D4421">
      <w:headerReference w:type="even" r:id="rId18"/>
      <w:headerReference w:type="default" r:id="rId19"/>
      <w:footerReference w:type="even" r:id="rId20"/>
      <w:footerReference w:type="default" r:id="rId21"/>
      <w:headerReference w:type="first" r:id="rId22"/>
      <w:footerReference w:type="first" r:id="rId23"/>
      <w:pgSz w:w="11907" w:h="16840" w:code="9"/>
      <w:pgMar w:top="1985" w:right="1304" w:bottom="1418" w:left="1814" w:header="1701" w:footer="567" w:gutter="0"/>
      <w:pgNumType w:start="4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2D" w:rsidRDefault="0082322D">
      <w:r>
        <w:separator/>
      </w:r>
    </w:p>
  </w:endnote>
  <w:endnote w:type="continuationSeparator" w:id="0">
    <w:p w:rsidR="0082322D" w:rsidRDefault="0082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2322D">
      <w:trPr>
        <w:trHeight w:hRule="exact" w:val="740"/>
      </w:trPr>
      <w:tc>
        <w:tcPr>
          <w:tcW w:w="510" w:type="dxa"/>
          <w:tcBorders>
            <w:top w:val="single" w:sz="6" w:space="0" w:color="auto"/>
          </w:tcBorders>
        </w:tcPr>
        <w:p w:rsidR="0082322D" w:rsidRDefault="0082322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04F38">
            <w:rPr>
              <w:rStyle w:val="PageNumber"/>
              <w:noProof/>
            </w:rPr>
            <w:t>60</w:t>
          </w:r>
          <w:r>
            <w:rPr>
              <w:rStyle w:val="PageNumber"/>
            </w:rPr>
            <w:fldChar w:fldCharType="end"/>
          </w:r>
        </w:p>
      </w:tc>
      <w:tc>
        <w:tcPr>
          <w:tcW w:w="1644" w:type="dxa"/>
          <w:tcBorders>
            <w:top w:val="single" w:sz="6" w:space="0" w:color="auto"/>
          </w:tcBorders>
        </w:tcPr>
        <w:p w:rsidR="0082322D" w:rsidRDefault="00FB1621" w:rsidP="0019293B">
          <w:pPr>
            <w:pStyle w:val="Footer"/>
          </w:pPr>
          <w:fldSimple w:instr=" SUBJECT  \* MERGEFORMAT ">
            <w:r w:rsidR="002D4421">
              <w:t>Resource Exploration</w:t>
            </w:r>
          </w:fldSimple>
        </w:p>
      </w:tc>
      <w:tc>
        <w:tcPr>
          <w:tcW w:w="6634" w:type="dxa"/>
        </w:tcPr>
        <w:p w:rsidR="0082322D" w:rsidRDefault="0082322D" w:rsidP="0019293B">
          <w:pPr>
            <w:pStyle w:val="Footer"/>
          </w:pPr>
        </w:p>
      </w:tc>
    </w:tr>
  </w:tbl>
  <w:p w:rsidR="0082322D" w:rsidRDefault="0082322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2322D">
      <w:trPr>
        <w:trHeight w:hRule="exact" w:val="740"/>
      </w:trPr>
      <w:tc>
        <w:tcPr>
          <w:tcW w:w="6634" w:type="dxa"/>
        </w:tcPr>
        <w:p w:rsidR="0082322D" w:rsidRDefault="0082322D">
          <w:pPr>
            <w:pStyle w:val="Footer"/>
            <w:ind w:right="360" w:firstLine="360"/>
          </w:pPr>
        </w:p>
      </w:tc>
      <w:tc>
        <w:tcPr>
          <w:tcW w:w="1644" w:type="dxa"/>
          <w:tcBorders>
            <w:top w:val="single" w:sz="6" w:space="0" w:color="auto"/>
          </w:tcBorders>
        </w:tcPr>
        <w:p w:rsidR="0082322D" w:rsidRDefault="00FB1621" w:rsidP="00C91AE3">
          <w:pPr>
            <w:pStyle w:val="Footer"/>
          </w:pPr>
          <w:fldSimple w:instr=" TITLE  \* MERGEFORMAT ">
            <w:r w:rsidR="002D4421">
              <w:t>Nature of the industry</w:t>
            </w:r>
          </w:fldSimple>
        </w:p>
      </w:tc>
      <w:tc>
        <w:tcPr>
          <w:tcW w:w="510" w:type="dxa"/>
          <w:tcBorders>
            <w:top w:val="single" w:sz="6" w:space="0" w:color="auto"/>
          </w:tcBorders>
        </w:tcPr>
        <w:p w:rsidR="0082322D" w:rsidRDefault="0082322D">
          <w:pPr>
            <w:pStyle w:val="Footer"/>
            <w:jc w:val="right"/>
          </w:pPr>
          <w:r>
            <w:rPr>
              <w:rStyle w:val="PageNumber"/>
            </w:rPr>
            <w:fldChar w:fldCharType="begin"/>
          </w:r>
          <w:r>
            <w:rPr>
              <w:rStyle w:val="PageNumber"/>
            </w:rPr>
            <w:instrText xml:space="preserve">PAGE  </w:instrText>
          </w:r>
          <w:r>
            <w:rPr>
              <w:rStyle w:val="PageNumber"/>
            </w:rPr>
            <w:fldChar w:fldCharType="separate"/>
          </w:r>
          <w:r w:rsidR="00F04F38">
            <w:rPr>
              <w:rStyle w:val="PageNumber"/>
              <w:noProof/>
            </w:rPr>
            <w:t>61</w:t>
          </w:r>
          <w:r>
            <w:rPr>
              <w:rStyle w:val="PageNumber"/>
            </w:rPr>
            <w:fldChar w:fldCharType="end"/>
          </w:r>
        </w:p>
      </w:tc>
    </w:tr>
  </w:tbl>
  <w:p w:rsidR="0082322D" w:rsidRDefault="0082322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8" w:rsidRDefault="00F04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2D" w:rsidRDefault="0082322D">
      <w:r>
        <w:separator/>
      </w:r>
    </w:p>
  </w:footnote>
  <w:footnote w:type="continuationSeparator" w:id="0">
    <w:p w:rsidR="0082322D" w:rsidRDefault="0082322D">
      <w:r>
        <w:continuationSeparator/>
      </w:r>
    </w:p>
  </w:footnote>
  <w:footnote w:id="1">
    <w:p w:rsidR="0082322D" w:rsidRDefault="0082322D">
      <w:pPr>
        <w:pStyle w:val="FootnoteText"/>
      </w:pPr>
      <w:r>
        <w:rPr>
          <w:rStyle w:val="FootnoteReference"/>
        </w:rPr>
        <w:footnoteRef/>
      </w:r>
      <w:r>
        <w:t xml:space="preserve"> For the purposes of this inquiry, extractive and quarrying industries (</w:t>
      </w:r>
      <w:proofErr w:type="spellStart"/>
      <w:r>
        <w:t>ANZSIC</w:t>
      </w:r>
      <w:proofErr w:type="spellEnd"/>
      <w:r>
        <w:t xml:space="preserve"> subdivision 09) are out of scope and have been excluded from the statistical analysis.</w:t>
      </w:r>
    </w:p>
  </w:footnote>
  <w:footnote w:id="2">
    <w:p w:rsidR="0082322D" w:rsidRDefault="0082322D">
      <w:pPr>
        <w:pStyle w:val="FootnoteText"/>
      </w:pPr>
      <w:r>
        <w:rPr>
          <w:rStyle w:val="FootnoteReference"/>
        </w:rPr>
        <w:footnoteRef/>
      </w:r>
      <w:r>
        <w:t xml:space="preserve"> While senior miners also obtain funding through the stock market, this is typically for developing new mines or acquiring other companies rather than to fund an exploration program.</w:t>
      </w:r>
    </w:p>
  </w:footnote>
  <w:footnote w:id="3">
    <w:p w:rsidR="0082322D" w:rsidRDefault="0082322D" w:rsidP="000870C9">
      <w:pPr>
        <w:pStyle w:val="FootnoteText"/>
      </w:pPr>
      <w:r>
        <w:rPr>
          <w:rStyle w:val="FootnoteReference"/>
        </w:rPr>
        <w:footnoteRef/>
      </w:r>
      <w:r>
        <w:t xml:space="preserve"> </w:t>
      </w:r>
      <w:r>
        <w:tab/>
      </w:r>
      <w:r w:rsidRPr="00DB7E7B">
        <w:t xml:space="preserve">The PPI is a composite index </w:t>
      </w:r>
      <w:r>
        <w:t>that</w:t>
      </w:r>
      <w:r w:rsidRPr="00DB7E7B">
        <w:t xml:space="preserve"> captures the opinions of managers and executives of mining companies on issues such as uncertainty concerning the administration, interpretation, and enforcement of existing regulations, environmental regulations, regulatory duplication and inconsistencies, taxation, uncertainty concerning disputed land claims and protected areas, infrastructure, socio economic agreements, political stability, labour issues, </w:t>
      </w:r>
      <w:r>
        <w:t xml:space="preserve">the </w:t>
      </w:r>
      <w:r w:rsidRPr="00DB7E7B">
        <w:t>geological data base, and security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2322D">
      <w:tc>
        <w:tcPr>
          <w:tcW w:w="2155" w:type="dxa"/>
          <w:tcBorders>
            <w:top w:val="single" w:sz="24" w:space="0" w:color="auto"/>
          </w:tcBorders>
        </w:tcPr>
        <w:p w:rsidR="0082322D" w:rsidRDefault="00F04F38"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63375" o:spid="_x0000_s116738"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82322D" w:rsidRDefault="0099133A" w:rsidP="0019293B">
          <w:pPr>
            <w:pStyle w:val="HeaderEven"/>
          </w:pPr>
          <w:r>
            <w:rPr>
              <w:color w:val="FF0000"/>
              <w:sz w:val="14"/>
              <w:szCs w:val="14"/>
            </w:rPr>
            <w:t>draft report: For final outcomes of this project refer to the inquiry report.</w:t>
          </w:r>
        </w:p>
      </w:tc>
    </w:tr>
  </w:tbl>
  <w:p w:rsidR="0082322D" w:rsidRDefault="0082322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2322D">
      <w:tc>
        <w:tcPr>
          <w:tcW w:w="6634" w:type="dxa"/>
          <w:tcBorders>
            <w:top w:val="single" w:sz="6" w:space="0" w:color="auto"/>
          </w:tcBorders>
        </w:tcPr>
        <w:p w:rsidR="0082322D" w:rsidRDefault="00F04F38"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63376" o:spid="_x0000_s116739"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99133A">
            <w:rPr>
              <w:color w:val="FF0000"/>
              <w:sz w:val="14"/>
              <w:szCs w:val="14"/>
            </w:rPr>
            <w:t>draft report: For final outcomes of this project refer to the inquiry report.</w:t>
          </w:r>
        </w:p>
      </w:tc>
      <w:tc>
        <w:tcPr>
          <w:tcW w:w="2155" w:type="dxa"/>
          <w:tcBorders>
            <w:top w:val="single" w:sz="24" w:space="0" w:color="auto"/>
          </w:tcBorders>
        </w:tcPr>
        <w:p w:rsidR="0082322D" w:rsidRDefault="0082322D" w:rsidP="00E669E2">
          <w:pPr>
            <w:pStyle w:val="HeaderOdd"/>
          </w:pPr>
        </w:p>
      </w:tc>
    </w:tr>
  </w:tbl>
  <w:p w:rsidR="0082322D" w:rsidRDefault="0082322D"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8" w:rsidRDefault="00F04F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263374" o:spid="_x0000_s116737"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7"/>
  </w:num>
  <w:num w:numId="4">
    <w:abstractNumId w:val="0"/>
  </w:num>
  <w:num w:numId="5">
    <w:abstractNumId w:val="11"/>
  </w:num>
  <w:num w:numId="6">
    <w:abstractNumId w:val="1"/>
  </w:num>
  <w:num w:numId="7">
    <w:abstractNumId w:val="16"/>
  </w:num>
  <w:num w:numId="8">
    <w:abstractNumId w:val="13"/>
  </w:num>
  <w:num w:numId="9">
    <w:abstractNumId w:val="18"/>
  </w:num>
  <w:num w:numId="10">
    <w:abstractNumId w:val="7"/>
  </w:num>
  <w:num w:numId="11">
    <w:abstractNumId w:val="5"/>
  </w:num>
  <w:num w:numId="12">
    <w:abstractNumId w:val="12"/>
  </w:num>
  <w:num w:numId="13">
    <w:abstractNumId w:val="4"/>
  </w:num>
  <w:num w:numId="14">
    <w:abstractNumId w:val="3"/>
  </w:num>
  <w:num w:numId="15">
    <w:abstractNumId w:val="8"/>
  </w:num>
  <w:num w:numId="16">
    <w:abstractNumId w:val="10"/>
  </w:num>
  <w:num w:numId="17">
    <w:abstractNumId w:val="14"/>
  </w:num>
  <w:num w:numId="18">
    <w:abstractNumId w:val="15"/>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6740"/>
    <o:shapelayout v:ext="edit">
      <o:idmap v:ext="edit" data="11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ature of the industry"/>
    <w:docVar w:name="ShortReportTitle" w:val="Resource Exploration"/>
  </w:docVars>
  <w:rsids>
    <w:rsidRoot w:val="008C66B1"/>
    <w:rsid w:val="000051ED"/>
    <w:rsid w:val="00006F28"/>
    <w:rsid w:val="0001185C"/>
    <w:rsid w:val="00014789"/>
    <w:rsid w:val="00015F70"/>
    <w:rsid w:val="000227D5"/>
    <w:rsid w:val="000245AA"/>
    <w:rsid w:val="00025614"/>
    <w:rsid w:val="0002564A"/>
    <w:rsid w:val="00035D09"/>
    <w:rsid w:val="0003664B"/>
    <w:rsid w:val="000410E6"/>
    <w:rsid w:val="0004111F"/>
    <w:rsid w:val="00041B85"/>
    <w:rsid w:val="00041F74"/>
    <w:rsid w:val="00043D37"/>
    <w:rsid w:val="000522B6"/>
    <w:rsid w:val="000565B3"/>
    <w:rsid w:val="000668DE"/>
    <w:rsid w:val="00066ACF"/>
    <w:rsid w:val="00070BE0"/>
    <w:rsid w:val="0007150B"/>
    <w:rsid w:val="00074B5C"/>
    <w:rsid w:val="000870C9"/>
    <w:rsid w:val="0009004C"/>
    <w:rsid w:val="000938F5"/>
    <w:rsid w:val="00093BBC"/>
    <w:rsid w:val="00096A3B"/>
    <w:rsid w:val="00096E55"/>
    <w:rsid w:val="000B3628"/>
    <w:rsid w:val="000B5C2B"/>
    <w:rsid w:val="000B601B"/>
    <w:rsid w:val="000C207E"/>
    <w:rsid w:val="000D4664"/>
    <w:rsid w:val="000E07BC"/>
    <w:rsid w:val="000E769E"/>
    <w:rsid w:val="000F0035"/>
    <w:rsid w:val="000F420B"/>
    <w:rsid w:val="000F7550"/>
    <w:rsid w:val="00101812"/>
    <w:rsid w:val="00101D0C"/>
    <w:rsid w:val="00103E2D"/>
    <w:rsid w:val="00110116"/>
    <w:rsid w:val="00114626"/>
    <w:rsid w:val="00120072"/>
    <w:rsid w:val="00126EB8"/>
    <w:rsid w:val="001274D4"/>
    <w:rsid w:val="00134F1D"/>
    <w:rsid w:val="001363AA"/>
    <w:rsid w:val="001446B5"/>
    <w:rsid w:val="00153F3F"/>
    <w:rsid w:val="0016157D"/>
    <w:rsid w:val="001643A4"/>
    <w:rsid w:val="00172139"/>
    <w:rsid w:val="00183E82"/>
    <w:rsid w:val="001867A8"/>
    <w:rsid w:val="001878BB"/>
    <w:rsid w:val="00191AE0"/>
    <w:rsid w:val="0019293B"/>
    <w:rsid w:val="00192A96"/>
    <w:rsid w:val="0019426B"/>
    <w:rsid w:val="001A3257"/>
    <w:rsid w:val="001A3E03"/>
    <w:rsid w:val="001A433E"/>
    <w:rsid w:val="001B11C1"/>
    <w:rsid w:val="001B6ED3"/>
    <w:rsid w:val="001C0865"/>
    <w:rsid w:val="001C17DB"/>
    <w:rsid w:val="001C370B"/>
    <w:rsid w:val="001C3ABA"/>
    <w:rsid w:val="001C4AD1"/>
    <w:rsid w:val="001C6055"/>
    <w:rsid w:val="001D0324"/>
    <w:rsid w:val="001D531C"/>
    <w:rsid w:val="001D67AF"/>
    <w:rsid w:val="001E7BE8"/>
    <w:rsid w:val="001F0248"/>
    <w:rsid w:val="001F2B5D"/>
    <w:rsid w:val="001F3B3C"/>
    <w:rsid w:val="001F3EB3"/>
    <w:rsid w:val="001F4F86"/>
    <w:rsid w:val="00202C2C"/>
    <w:rsid w:val="002070D7"/>
    <w:rsid w:val="00210A74"/>
    <w:rsid w:val="002135AB"/>
    <w:rsid w:val="002144BE"/>
    <w:rsid w:val="002316EC"/>
    <w:rsid w:val="002407B1"/>
    <w:rsid w:val="00242279"/>
    <w:rsid w:val="002426E7"/>
    <w:rsid w:val="00245C82"/>
    <w:rsid w:val="0024691B"/>
    <w:rsid w:val="0025278D"/>
    <w:rsid w:val="0026569A"/>
    <w:rsid w:val="00267D19"/>
    <w:rsid w:val="00267EE2"/>
    <w:rsid w:val="00270917"/>
    <w:rsid w:val="00273A43"/>
    <w:rsid w:val="00286C94"/>
    <w:rsid w:val="00287977"/>
    <w:rsid w:val="00291B40"/>
    <w:rsid w:val="00292239"/>
    <w:rsid w:val="002A518E"/>
    <w:rsid w:val="002B11EE"/>
    <w:rsid w:val="002B3ABF"/>
    <w:rsid w:val="002B4008"/>
    <w:rsid w:val="002C7AF9"/>
    <w:rsid w:val="002D0E8E"/>
    <w:rsid w:val="002D4421"/>
    <w:rsid w:val="00301189"/>
    <w:rsid w:val="00311E8B"/>
    <w:rsid w:val="003157BE"/>
    <w:rsid w:val="00323E09"/>
    <w:rsid w:val="003271AC"/>
    <w:rsid w:val="00330292"/>
    <w:rsid w:val="00333932"/>
    <w:rsid w:val="00346BC6"/>
    <w:rsid w:val="003518AA"/>
    <w:rsid w:val="00352165"/>
    <w:rsid w:val="00353182"/>
    <w:rsid w:val="003561CB"/>
    <w:rsid w:val="003565D9"/>
    <w:rsid w:val="00356BDC"/>
    <w:rsid w:val="003602E1"/>
    <w:rsid w:val="00361FAB"/>
    <w:rsid w:val="0037026F"/>
    <w:rsid w:val="00371240"/>
    <w:rsid w:val="00371B9D"/>
    <w:rsid w:val="00374731"/>
    <w:rsid w:val="00374FBE"/>
    <w:rsid w:val="00376E59"/>
    <w:rsid w:val="0037721E"/>
    <w:rsid w:val="0037747E"/>
    <w:rsid w:val="003919F9"/>
    <w:rsid w:val="00392DFC"/>
    <w:rsid w:val="003A0850"/>
    <w:rsid w:val="003A3A05"/>
    <w:rsid w:val="003B0127"/>
    <w:rsid w:val="003B1807"/>
    <w:rsid w:val="003C38B5"/>
    <w:rsid w:val="003C47A2"/>
    <w:rsid w:val="003C5D99"/>
    <w:rsid w:val="003C6229"/>
    <w:rsid w:val="003E2F59"/>
    <w:rsid w:val="003F0789"/>
    <w:rsid w:val="00401882"/>
    <w:rsid w:val="0040452A"/>
    <w:rsid w:val="00406AC8"/>
    <w:rsid w:val="004100C8"/>
    <w:rsid w:val="00411DBD"/>
    <w:rsid w:val="00412ACE"/>
    <w:rsid w:val="00417900"/>
    <w:rsid w:val="00420EF9"/>
    <w:rsid w:val="00431249"/>
    <w:rsid w:val="00434C19"/>
    <w:rsid w:val="00434CA2"/>
    <w:rsid w:val="004421B7"/>
    <w:rsid w:val="00443AD6"/>
    <w:rsid w:val="00450810"/>
    <w:rsid w:val="00455AD0"/>
    <w:rsid w:val="004651BE"/>
    <w:rsid w:val="004656F2"/>
    <w:rsid w:val="004673FC"/>
    <w:rsid w:val="00470A53"/>
    <w:rsid w:val="00477144"/>
    <w:rsid w:val="00491380"/>
    <w:rsid w:val="004936E1"/>
    <w:rsid w:val="0049459F"/>
    <w:rsid w:val="00497DE4"/>
    <w:rsid w:val="004A38DD"/>
    <w:rsid w:val="004A54FE"/>
    <w:rsid w:val="004B43AE"/>
    <w:rsid w:val="004B6639"/>
    <w:rsid w:val="004C301F"/>
    <w:rsid w:val="004C30ED"/>
    <w:rsid w:val="004D4DF5"/>
    <w:rsid w:val="004D53C0"/>
    <w:rsid w:val="004D5675"/>
    <w:rsid w:val="004F0C8D"/>
    <w:rsid w:val="004F4F09"/>
    <w:rsid w:val="004F65BB"/>
    <w:rsid w:val="004F7CFC"/>
    <w:rsid w:val="00523639"/>
    <w:rsid w:val="00525F44"/>
    <w:rsid w:val="00526564"/>
    <w:rsid w:val="00530484"/>
    <w:rsid w:val="00531100"/>
    <w:rsid w:val="005313C2"/>
    <w:rsid w:val="00531FE5"/>
    <w:rsid w:val="005402FA"/>
    <w:rsid w:val="00550210"/>
    <w:rsid w:val="00555DB1"/>
    <w:rsid w:val="00564917"/>
    <w:rsid w:val="00567531"/>
    <w:rsid w:val="00580895"/>
    <w:rsid w:val="00581438"/>
    <w:rsid w:val="00581D8C"/>
    <w:rsid w:val="00581FE9"/>
    <w:rsid w:val="00583C39"/>
    <w:rsid w:val="00584271"/>
    <w:rsid w:val="00587F28"/>
    <w:rsid w:val="005906ED"/>
    <w:rsid w:val="005909CF"/>
    <w:rsid w:val="00591E71"/>
    <w:rsid w:val="00595412"/>
    <w:rsid w:val="005A0D41"/>
    <w:rsid w:val="005A6EA0"/>
    <w:rsid w:val="005B2933"/>
    <w:rsid w:val="005C7377"/>
    <w:rsid w:val="005D257C"/>
    <w:rsid w:val="005D4D5C"/>
    <w:rsid w:val="005D7872"/>
    <w:rsid w:val="005F0558"/>
    <w:rsid w:val="00602A09"/>
    <w:rsid w:val="00607BF1"/>
    <w:rsid w:val="00611387"/>
    <w:rsid w:val="00611E3D"/>
    <w:rsid w:val="00630D4D"/>
    <w:rsid w:val="006311FA"/>
    <w:rsid w:val="00632A74"/>
    <w:rsid w:val="00642194"/>
    <w:rsid w:val="006461AA"/>
    <w:rsid w:val="00650993"/>
    <w:rsid w:val="00650B4E"/>
    <w:rsid w:val="00651169"/>
    <w:rsid w:val="00651DCA"/>
    <w:rsid w:val="006538C3"/>
    <w:rsid w:val="00663F2F"/>
    <w:rsid w:val="00664553"/>
    <w:rsid w:val="00664D96"/>
    <w:rsid w:val="006656DF"/>
    <w:rsid w:val="00665E0E"/>
    <w:rsid w:val="00674F12"/>
    <w:rsid w:val="006835AE"/>
    <w:rsid w:val="0069137F"/>
    <w:rsid w:val="006A13E5"/>
    <w:rsid w:val="006A4655"/>
    <w:rsid w:val="006A53BF"/>
    <w:rsid w:val="006A5BBA"/>
    <w:rsid w:val="006A5BE8"/>
    <w:rsid w:val="006B1AD6"/>
    <w:rsid w:val="006B2B3C"/>
    <w:rsid w:val="006C1D81"/>
    <w:rsid w:val="006C4446"/>
    <w:rsid w:val="006C5B05"/>
    <w:rsid w:val="006C7038"/>
    <w:rsid w:val="006D2ABA"/>
    <w:rsid w:val="006D779F"/>
    <w:rsid w:val="006E73EF"/>
    <w:rsid w:val="006F3C43"/>
    <w:rsid w:val="00705134"/>
    <w:rsid w:val="007053D3"/>
    <w:rsid w:val="0071133C"/>
    <w:rsid w:val="00714D4D"/>
    <w:rsid w:val="00716D88"/>
    <w:rsid w:val="00737297"/>
    <w:rsid w:val="007604BB"/>
    <w:rsid w:val="00777BCA"/>
    <w:rsid w:val="00782EBC"/>
    <w:rsid w:val="00785232"/>
    <w:rsid w:val="00786667"/>
    <w:rsid w:val="007866CD"/>
    <w:rsid w:val="00786FAE"/>
    <w:rsid w:val="0079057C"/>
    <w:rsid w:val="00792202"/>
    <w:rsid w:val="007936B3"/>
    <w:rsid w:val="007A21EB"/>
    <w:rsid w:val="007A6E1A"/>
    <w:rsid w:val="007B1A93"/>
    <w:rsid w:val="007B2B83"/>
    <w:rsid w:val="007B3602"/>
    <w:rsid w:val="007B44B1"/>
    <w:rsid w:val="007C36C9"/>
    <w:rsid w:val="007C3A95"/>
    <w:rsid w:val="007D4385"/>
    <w:rsid w:val="007D4AAE"/>
    <w:rsid w:val="007D6401"/>
    <w:rsid w:val="007E01E4"/>
    <w:rsid w:val="007F19A5"/>
    <w:rsid w:val="007F2A8A"/>
    <w:rsid w:val="007F7107"/>
    <w:rsid w:val="00800824"/>
    <w:rsid w:val="00800D4C"/>
    <w:rsid w:val="00803663"/>
    <w:rsid w:val="0081030F"/>
    <w:rsid w:val="008144C0"/>
    <w:rsid w:val="00815F08"/>
    <w:rsid w:val="0082087D"/>
    <w:rsid w:val="0082322D"/>
    <w:rsid w:val="00835771"/>
    <w:rsid w:val="00842933"/>
    <w:rsid w:val="0085572A"/>
    <w:rsid w:val="0086082C"/>
    <w:rsid w:val="00864ADC"/>
    <w:rsid w:val="00872CF4"/>
    <w:rsid w:val="00876452"/>
    <w:rsid w:val="00880153"/>
    <w:rsid w:val="00880F97"/>
    <w:rsid w:val="0088133A"/>
    <w:rsid w:val="008844C4"/>
    <w:rsid w:val="0089285E"/>
    <w:rsid w:val="0089436C"/>
    <w:rsid w:val="00897139"/>
    <w:rsid w:val="008A6776"/>
    <w:rsid w:val="008B23B6"/>
    <w:rsid w:val="008B36B4"/>
    <w:rsid w:val="008C2C95"/>
    <w:rsid w:val="008C3EA7"/>
    <w:rsid w:val="008C66B1"/>
    <w:rsid w:val="008D2F6F"/>
    <w:rsid w:val="008D365C"/>
    <w:rsid w:val="008D3E93"/>
    <w:rsid w:val="008D5AB6"/>
    <w:rsid w:val="00901E8A"/>
    <w:rsid w:val="00902947"/>
    <w:rsid w:val="009030BF"/>
    <w:rsid w:val="00903917"/>
    <w:rsid w:val="00907048"/>
    <w:rsid w:val="0091032F"/>
    <w:rsid w:val="00914368"/>
    <w:rsid w:val="009203E5"/>
    <w:rsid w:val="00931076"/>
    <w:rsid w:val="00932B02"/>
    <w:rsid w:val="009345D9"/>
    <w:rsid w:val="00934B15"/>
    <w:rsid w:val="00940C87"/>
    <w:rsid w:val="00942B62"/>
    <w:rsid w:val="0095323B"/>
    <w:rsid w:val="00956A0C"/>
    <w:rsid w:val="00956BD9"/>
    <w:rsid w:val="00962489"/>
    <w:rsid w:val="0096541B"/>
    <w:rsid w:val="00971C48"/>
    <w:rsid w:val="00973F6E"/>
    <w:rsid w:val="00984018"/>
    <w:rsid w:val="00984CE9"/>
    <w:rsid w:val="00990C2C"/>
    <w:rsid w:val="0099133A"/>
    <w:rsid w:val="00993BE6"/>
    <w:rsid w:val="009A42C7"/>
    <w:rsid w:val="009D005D"/>
    <w:rsid w:val="009D2E06"/>
    <w:rsid w:val="009E1844"/>
    <w:rsid w:val="009E51B0"/>
    <w:rsid w:val="009E598C"/>
    <w:rsid w:val="009F0D1B"/>
    <w:rsid w:val="009F0E7A"/>
    <w:rsid w:val="009F696D"/>
    <w:rsid w:val="009F6BC6"/>
    <w:rsid w:val="00A00F7A"/>
    <w:rsid w:val="00A07133"/>
    <w:rsid w:val="00A11FA9"/>
    <w:rsid w:val="00A15F6D"/>
    <w:rsid w:val="00A16ECE"/>
    <w:rsid w:val="00A17328"/>
    <w:rsid w:val="00A2045E"/>
    <w:rsid w:val="00A23A20"/>
    <w:rsid w:val="00A268B9"/>
    <w:rsid w:val="00A2703A"/>
    <w:rsid w:val="00A30B0C"/>
    <w:rsid w:val="00A33DFF"/>
    <w:rsid w:val="00A3434B"/>
    <w:rsid w:val="00A35115"/>
    <w:rsid w:val="00A36077"/>
    <w:rsid w:val="00A36D9A"/>
    <w:rsid w:val="00A44734"/>
    <w:rsid w:val="00A46317"/>
    <w:rsid w:val="00A47D16"/>
    <w:rsid w:val="00A503E4"/>
    <w:rsid w:val="00A549C7"/>
    <w:rsid w:val="00A554AB"/>
    <w:rsid w:val="00A55E99"/>
    <w:rsid w:val="00A57062"/>
    <w:rsid w:val="00A714E1"/>
    <w:rsid w:val="00A74157"/>
    <w:rsid w:val="00A80941"/>
    <w:rsid w:val="00A83350"/>
    <w:rsid w:val="00A8626E"/>
    <w:rsid w:val="00A86CC7"/>
    <w:rsid w:val="00A908BF"/>
    <w:rsid w:val="00A92B53"/>
    <w:rsid w:val="00A93CEE"/>
    <w:rsid w:val="00A94FA6"/>
    <w:rsid w:val="00AA0F73"/>
    <w:rsid w:val="00AA49A0"/>
    <w:rsid w:val="00AA6710"/>
    <w:rsid w:val="00AB0681"/>
    <w:rsid w:val="00AB1BD4"/>
    <w:rsid w:val="00AB2B6D"/>
    <w:rsid w:val="00AB4518"/>
    <w:rsid w:val="00AB7474"/>
    <w:rsid w:val="00AC469F"/>
    <w:rsid w:val="00AD520B"/>
    <w:rsid w:val="00AE42E9"/>
    <w:rsid w:val="00AE466F"/>
    <w:rsid w:val="00AF01F9"/>
    <w:rsid w:val="00AF149B"/>
    <w:rsid w:val="00AF6D18"/>
    <w:rsid w:val="00B02925"/>
    <w:rsid w:val="00B04AFB"/>
    <w:rsid w:val="00B203B6"/>
    <w:rsid w:val="00B20CAA"/>
    <w:rsid w:val="00B2748B"/>
    <w:rsid w:val="00B3109B"/>
    <w:rsid w:val="00B34965"/>
    <w:rsid w:val="00B42117"/>
    <w:rsid w:val="00B425C3"/>
    <w:rsid w:val="00B440AD"/>
    <w:rsid w:val="00B479BB"/>
    <w:rsid w:val="00B51213"/>
    <w:rsid w:val="00B53E7E"/>
    <w:rsid w:val="00B633FC"/>
    <w:rsid w:val="00B6342E"/>
    <w:rsid w:val="00B705AC"/>
    <w:rsid w:val="00B7113F"/>
    <w:rsid w:val="00B7288F"/>
    <w:rsid w:val="00B76640"/>
    <w:rsid w:val="00B84EC2"/>
    <w:rsid w:val="00B85519"/>
    <w:rsid w:val="00B9517F"/>
    <w:rsid w:val="00BA594F"/>
    <w:rsid w:val="00BA6ED6"/>
    <w:rsid w:val="00BA73B6"/>
    <w:rsid w:val="00BA7E27"/>
    <w:rsid w:val="00BB2603"/>
    <w:rsid w:val="00BB4FCD"/>
    <w:rsid w:val="00BC04E9"/>
    <w:rsid w:val="00BC0836"/>
    <w:rsid w:val="00BC1905"/>
    <w:rsid w:val="00BC6621"/>
    <w:rsid w:val="00BD13EA"/>
    <w:rsid w:val="00BD3F3A"/>
    <w:rsid w:val="00BD7109"/>
    <w:rsid w:val="00BE3808"/>
    <w:rsid w:val="00BE6EDC"/>
    <w:rsid w:val="00BF5032"/>
    <w:rsid w:val="00C04297"/>
    <w:rsid w:val="00C062E9"/>
    <w:rsid w:val="00C07B64"/>
    <w:rsid w:val="00C13721"/>
    <w:rsid w:val="00C14FE4"/>
    <w:rsid w:val="00C3066D"/>
    <w:rsid w:val="00C429DB"/>
    <w:rsid w:val="00C52416"/>
    <w:rsid w:val="00C543F4"/>
    <w:rsid w:val="00C603C5"/>
    <w:rsid w:val="00C6291C"/>
    <w:rsid w:val="00C633CB"/>
    <w:rsid w:val="00C736B7"/>
    <w:rsid w:val="00C81D4A"/>
    <w:rsid w:val="00C8762C"/>
    <w:rsid w:val="00C91AE3"/>
    <w:rsid w:val="00CA00F9"/>
    <w:rsid w:val="00CA2961"/>
    <w:rsid w:val="00CA50ED"/>
    <w:rsid w:val="00CA6835"/>
    <w:rsid w:val="00CA73E8"/>
    <w:rsid w:val="00CA7946"/>
    <w:rsid w:val="00CA7CF7"/>
    <w:rsid w:val="00CB1769"/>
    <w:rsid w:val="00CB50D7"/>
    <w:rsid w:val="00CB7177"/>
    <w:rsid w:val="00CC0ED8"/>
    <w:rsid w:val="00CC1998"/>
    <w:rsid w:val="00CC4946"/>
    <w:rsid w:val="00CE0B86"/>
    <w:rsid w:val="00CE3216"/>
    <w:rsid w:val="00CF333F"/>
    <w:rsid w:val="00CF49A0"/>
    <w:rsid w:val="00D05869"/>
    <w:rsid w:val="00D270A4"/>
    <w:rsid w:val="00D31FE9"/>
    <w:rsid w:val="00D3479A"/>
    <w:rsid w:val="00D34E1B"/>
    <w:rsid w:val="00D368B9"/>
    <w:rsid w:val="00D376BA"/>
    <w:rsid w:val="00D41AF8"/>
    <w:rsid w:val="00D45634"/>
    <w:rsid w:val="00D46BAD"/>
    <w:rsid w:val="00D51036"/>
    <w:rsid w:val="00D5568A"/>
    <w:rsid w:val="00D57122"/>
    <w:rsid w:val="00D63D73"/>
    <w:rsid w:val="00D64452"/>
    <w:rsid w:val="00D64AF0"/>
    <w:rsid w:val="00D66E1E"/>
    <w:rsid w:val="00D75722"/>
    <w:rsid w:val="00D77E3B"/>
    <w:rsid w:val="00D80CF5"/>
    <w:rsid w:val="00D93620"/>
    <w:rsid w:val="00D95362"/>
    <w:rsid w:val="00DA4629"/>
    <w:rsid w:val="00DA5BBA"/>
    <w:rsid w:val="00DB26D2"/>
    <w:rsid w:val="00DB4555"/>
    <w:rsid w:val="00DB67C9"/>
    <w:rsid w:val="00DB7E7B"/>
    <w:rsid w:val="00DC0C95"/>
    <w:rsid w:val="00DC12F2"/>
    <w:rsid w:val="00DC5C29"/>
    <w:rsid w:val="00DD3C9D"/>
    <w:rsid w:val="00DD6580"/>
    <w:rsid w:val="00DE1374"/>
    <w:rsid w:val="00DF0FB2"/>
    <w:rsid w:val="00DF3C32"/>
    <w:rsid w:val="00E01660"/>
    <w:rsid w:val="00E13E23"/>
    <w:rsid w:val="00E17C72"/>
    <w:rsid w:val="00E21FC6"/>
    <w:rsid w:val="00E431A9"/>
    <w:rsid w:val="00E4792B"/>
    <w:rsid w:val="00E51BEA"/>
    <w:rsid w:val="00E614CC"/>
    <w:rsid w:val="00E617A5"/>
    <w:rsid w:val="00E625C9"/>
    <w:rsid w:val="00E6445F"/>
    <w:rsid w:val="00E669E2"/>
    <w:rsid w:val="00E76135"/>
    <w:rsid w:val="00E82F4F"/>
    <w:rsid w:val="00E83740"/>
    <w:rsid w:val="00E91B98"/>
    <w:rsid w:val="00E94732"/>
    <w:rsid w:val="00EB0E0B"/>
    <w:rsid w:val="00EB6078"/>
    <w:rsid w:val="00EC2844"/>
    <w:rsid w:val="00EC5500"/>
    <w:rsid w:val="00ED0E10"/>
    <w:rsid w:val="00ED18F8"/>
    <w:rsid w:val="00ED193F"/>
    <w:rsid w:val="00ED775E"/>
    <w:rsid w:val="00EE3437"/>
    <w:rsid w:val="00EE62D6"/>
    <w:rsid w:val="00EF233A"/>
    <w:rsid w:val="00EF3907"/>
    <w:rsid w:val="00EF6C6C"/>
    <w:rsid w:val="00F045A7"/>
    <w:rsid w:val="00F0492C"/>
    <w:rsid w:val="00F04F38"/>
    <w:rsid w:val="00F056FC"/>
    <w:rsid w:val="00F10437"/>
    <w:rsid w:val="00F10476"/>
    <w:rsid w:val="00F135D8"/>
    <w:rsid w:val="00F145FF"/>
    <w:rsid w:val="00F15425"/>
    <w:rsid w:val="00F159E9"/>
    <w:rsid w:val="00F31299"/>
    <w:rsid w:val="00F31561"/>
    <w:rsid w:val="00F3534A"/>
    <w:rsid w:val="00F44A90"/>
    <w:rsid w:val="00F450D3"/>
    <w:rsid w:val="00F51609"/>
    <w:rsid w:val="00F72570"/>
    <w:rsid w:val="00F73405"/>
    <w:rsid w:val="00F75E5E"/>
    <w:rsid w:val="00F77E91"/>
    <w:rsid w:val="00F81006"/>
    <w:rsid w:val="00F85325"/>
    <w:rsid w:val="00F96C0E"/>
    <w:rsid w:val="00FA6768"/>
    <w:rsid w:val="00FA7986"/>
    <w:rsid w:val="00FB142D"/>
    <w:rsid w:val="00FB1621"/>
    <w:rsid w:val="00FB7EE6"/>
    <w:rsid w:val="00FC072C"/>
    <w:rsid w:val="00FC5C8E"/>
    <w:rsid w:val="00FD22B1"/>
    <w:rsid w:val="00FD4702"/>
    <w:rsid w:val="00FE5397"/>
    <w:rsid w:val="00FF3905"/>
    <w:rsid w:val="00FF5C87"/>
    <w:rsid w:val="00FF66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133A"/>
    <w:rPr>
      <w:sz w:val="24"/>
      <w:szCs w:val="24"/>
    </w:rPr>
  </w:style>
  <w:style w:type="paragraph" w:styleId="Heading1">
    <w:name w:val="heading 1"/>
    <w:basedOn w:val="BodyText"/>
    <w:next w:val="BodyText"/>
    <w:rsid w:val="0099133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9133A"/>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9133A"/>
    <w:pPr>
      <w:spacing w:before="560" w:line="320" w:lineRule="exact"/>
      <w:ind w:left="0" w:firstLine="0"/>
      <w:outlineLvl w:val="2"/>
    </w:pPr>
    <w:rPr>
      <w:sz w:val="26"/>
    </w:rPr>
  </w:style>
  <w:style w:type="paragraph" w:styleId="Heading4">
    <w:name w:val="heading 4"/>
    <w:basedOn w:val="Heading3"/>
    <w:next w:val="BodyText"/>
    <w:qFormat/>
    <w:rsid w:val="0099133A"/>
    <w:pPr>
      <w:spacing w:before="480"/>
      <w:outlineLvl w:val="3"/>
    </w:pPr>
    <w:rPr>
      <w:b w:val="0"/>
      <w:sz w:val="24"/>
    </w:rPr>
  </w:style>
  <w:style w:type="paragraph" w:styleId="Heading5">
    <w:name w:val="heading 5"/>
    <w:basedOn w:val="Heading4"/>
    <w:next w:val="BodyText"/>
    <w:link w:val="Heading5Char"/>
    <w:qFormat/>
    <w:rsid w:val="0099133A"/>
    <w:pPr>
      <w:outlineLvl w:val="4"/>
    </w:pPr>
    <w:rPr>
      <w:i/>
      <w:sz w:val="22"/>
    </w:rPr>
  </w:style>
  <w:style w:type="paragraph" w:styleId="Heading6">
    <w:name w:val="heading 6"/>
    <w:basedOn w:val="BodyText"/>
    <w:next w:val="BodyText"/>
    <w:rsid w:val="0099133A"/>
    <w:pPr>
      <w:spacing w:after="60"/>
      <w:jc w:val="left"/>
      <w:outlineLvl w:val="5"/>
    </w:pPr>
    <w:rPr>
      <w:i/>
      <w:sz w:val="22"/>
    </w:rPr>
  </w:style>
  <w:style w:type="paragraph" w:styleId="Heading7">
    <w:name w:val="heading 7"/>
    <w:basedOn w:val="BodyText"/>
    <w:next w:val="BodyText"/>
    <w:rsid w:val="0099133A"/>
    <w:pPr>
      <w:spacing w:after="60" w:line="240" w:lineRule="auto"/>
      <w:jc w:val="left"/>
      <w:outlineLvl w:val="6"/>
    </w:pPr>
    <w:rPr>
      <w:rFonts w:ascii="Arial" w:hAnsi="Arial"/>
      <w:sz w:val="20"/>
    </w:rPr>
  </w:style>
  <w:style w:type="paragraph" w:styleId="Heading8">
    <w:name w:val="heading 8"/>
    <w:basedOn w:val="BodyText"/>
    <w:next w:val="BodyText"/>
    <w:rsid w:val="0099133A"/>
    <w:pPr>
      <w:spacing w:after="60" w:line="240" w:lineRule="auto"/>
      <w:jc w:val="left"/>
      <w:outlineLvl w:val="7"/>
    </w:pPr>
    <w:rPr>
      <w:rFonts w:ascii="Arial" w:hAnsi="Arial"/>
      <w:i/>
      <w:sz w:val="20"/>
    </w:rPr>
  </w:style>
  <w:style w:type="paragraph" w:styleId="Heading9">
    <w:name w:val="heading 9"/>
    <w:basedOn w:val="BodyText"/>
    <w:next w:val="BodyText"/>
    <w:rsid w:val="0099133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13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33A"/>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99133A"/>
    <w:pPr>
      <w:spacing w:before="240" w:line="300" w:lineRule="atLeast"/>
      <w:jc w:val="both"/>
    </w:pPr>
    <w:rPr>
      <w:sz w:val="24"/>
    </w:rPr>
  </w:style>
  <w:style w:type="paragraph" w:styleId="Footer">
    <w:name w:val="footer"/>
    <w:basedOn w:val="BodyText"/>
    <w:link w:val="FooterChar"/>
    <w:semiHidden/>
    <w:rsid w:val="0099133A"/>
    <w:pPr>
      <w:spacing w:before="80" w:line="200" w:lineRule="exact"/>
      <w:ind w:right="6"/>
      <w:jc w:val="left"/>
    </w:pPr>
    <w:rPr>
      <w:rFonts w:ascii="Arial" w:hAnsi="Arial"/>
      <w:caps/>
      <w:spacing w:val="-4"/>
      <w:sz w:val="16"/>
    </w:rPr>
  </w:style>
  <w:style w:type="paragraph" w:customStyle="1" w:styleId="FooterEnd">
    <w:name w:val="Footer End"/>
    <w:basedOn w:val="Footer"/>
    <w:rsid w:val="0099133A"/>
    <w:pPr>
      <w:spacing w:before="0" w:line="20" w:lineRule="exact"/>
    </w:pPr>
  </w:style>
  <w:style w:type="paragraph" w:styleId="Header">
    <w:name w:val="header"/>
    <w:basedOn w:val="BodyText"/>
    <w:rsid w:val="0099133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133A"/>
    <w:pPr>
      <w:spacing w:line="20" w:lineRule="exact"/>
    </w:pPr>
    <w:rPr>
      <w:sz w:val="16"/>
    </w:rPr>
  </w:style>
  <w:style w:type="paragraph" w:customStyle="1" w:styleId="HeaderEven">
    <w:name w:val="Header Even"/>
    <w:basedOn w:val="Header"/>
    <w:semiHidden/>
    <w:rsid w:val="0099133A"/>
  </w:style>
  <w:style w:type="paragraph" w:customStyle="1" w:styleId="HeaderOdd">
    <w:name w:val="Header Odd"/>
    <w:basedOn w:val="Header"/>
    <w:semiHidden/>
    <w:rsid w:val="0099133A"/>
  </w:style>
  <w:style w:type="character" w:styleId="PageNumber">
    <w:name w:val="page number"/>
    <w:basedOn w:val="DefaultParagraphFont"/>
    <w:rsid w:val="0099133A"/>
    <w:rPr>
      <w:rFonts w:ascii="Arial" w:hAnsi="Arial"/>
      <w:b/>
      <w:sz w:val="16"/>
    </w:rPr>
  </w:style>
  <w:style w:type="paragraph" w:customStyle="1" w:styleId="Abbreviation">
    <w:name w:val="Abbreviation"/>
    <w:basedOn w:val="BodyText"/>
    <w:rsid w:val="0099133A"/>
    <w:pPr>
      <w:spacing w:before="120"/>
      <w:ind w:left="2381" w:hanging="2381"/>
      <w:jc w:val="left"/>
    </w:pPr>
  </w:style>
  <w:style w:type="paragraph" w:customStyle="1" w:styleId="Box">
    <w:name w:val="Box"/>
    <w:basedOn w:val="BodyText"/>
    <w:qFormat/>
    <w:rsid w:val="0099133A"/>
    <w:pPr>
      <w:keepNext/>
      <w:spacing w:before="120" w:line="260" w:lineRule="atLeast"/>
    </w:pPr>
    <w:rPr>
      <w:rFonts w:ascii="Arial" w:hAnsi="Arial"/>
      <w:sz w:val="20"/>
    </w:rPr>
  </w:style>
  <w:style w:type="paragraph" w:customStyle="1" w:styleId="BoxContinued">
    <w:name w:val="Box Continued"/>
    <w:basedOn w:val="BodyText"/>
    <w:next w:val="BodyText"/>
    <w:semiHidden/>
    <w:rsid w:val="0099133A"/>
    <w:pPr>
      <w:spacing w:before="180" w:line="220" w:lineRule="exact"/>
      <w:jc w:val="right"/>
    </w:pPr>
    <w:rPr>
      <w:rFonts w:ascii="Arial" w:hAnsi="Arial"/>
      <w:sz w:val="18"/>
    </w:rPr>
  </w:style>
  <w:style w:type="paragraph" w:customStyle="1" w:styleId="BoxHeading1">
    <w:name w:val="Box Heading 1"/>
    <w:basedOn w:val="BodyText"/>
    <w:next w:val="Box"/>
    <w:rsid w:val="0099133A"/>
    <w:pPr>
      <w:keepNext/>
      <w:spacing w:before="200" w:line="280" w:lineRule="atLeast"/>
    </w:pPr>
    <w:rPr>
      <w:rFonts w:ascii="Arial" w:hAnsi="Arial"/>
      <w:b/>
      <w:sz w:val="22"/>
    </w:rPr>
  </w:style>
  <w:style w:type="paragraph" w:customStyle="1" w:styleId="BoxHeading2">
    <w:name w:val="Box Heading 2"/>
    <w:basedOn w:val="BoxHeading1"/>
    <w:next w:val="Normal"/>
    <w:rsid w:val="0099133A"/>
    <w:rPr>
      <w:b w:val="0"/>
      <w:i/>
    </w:rPr>
  </w:style>
  <w:style w:type="paragraph" w:customStyle="1" w:styleId="BoxListBullet">
    <w:name w:val="Box List Bullet"/>
    <w:basedOn w:val="BodyText"/>
    <w:rsid w:val="0099133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9133A"/>
    <w:pPr>
      <w:numPr>
        <w:numId w:val="2"/>
      </w:numPr>
      <w:ind w:left="568" w:hanging="284"/>
    </w:pPr>
  </w:style>
  <w:style w:type="paragraph" w:customStyle="1" w:styleId="BoxListNumber">
    <w:name w:val="Box List Number"/>
    <w:basedOn w:val="BodyText"/>
    <w:rsid w:val="0099133A"/>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9133A"/>
    <w:pPr>
      <w:numPr>
        <w:ilvl w:val="1"/>
      </w:numPr>
      <w:ind w:left="681" w:hanging="397"/>
    </w:pPr>
  </w:style>
  <w:style w:type="paragraph" w:customStyle="1" w:styleId="BoxQuote">
    <w:name w:val="Box Quote"/>
    <w:basedOn w:val="BodyText"/>
    <w:next w:val="Box"/>
    <w:qFormat/>
    <w:rsid w:val="0099133A"/>
    <w:pPr>
      <w:keepNext/>
      <w:spacing w:before="60" w:line="240" w:lineRule="exact"/>
      <w:ind w:left="284"/>
    </w:pPr>
    <w:rPr>
      <w:rFonts w:ascii="Arial" w:hAnsi="Arial"/>
      <w:sz w:val="18"/>
    </w:rPr>
  </w:style>
  <w:style w:type="paragraph" w:customStyle="1" w:styleId="Note">
    <w:name w:val="Note"/>
    <w:basedOn w:val="BodyText"/>
    <w:next w:val="BodyText"/>
    <w:rsid w:val="0099133A"/>
    <w:pPr>
      <w:keepLines/>
      <w:spacing w:before="80" w:line="220" w:lineRule="exact"/>
    </w:pPr>
    <w:rPr>
      <w:rFonts w:ascii="Arial" w:hAnsi="Arial"/>
      <w:sz w:val="18"/>
    </w:rPr>
  </w:style>
  <w:style w:type="paragraph" w:customStyle="1" w:styleId="Source">
    <w:name w:val="Source"/>
    <w:basedOn w:val="Normal"/>
    <w:next w:val="BodyText"/>
    <w:rsid w:val="0099133A"/>
    <w:pPr>
      <w:keepLines/>
      <w:spacing w:before="80" w:line="220" w:lineRule="exact"/>
      <w:jc w:val="both"/>
    </w:pPr>
    <w:rPr>
      <w:rFonts w:ascii="Arial" w:hAnsi="Arial"/>
      <w:sz w:val="18"/>
      <w:szCs w:val="20"/>
    </w:rPr>
  </w:style>
  <w:style w:type="paragraph" w:customStyle="1" w:styleId="BoxSource">
    <w:name w:val="Box Source"/>
    <w:basedOn w:val="Source"/>
    <w:next w:val="BodyText"/>
    <w:rsid w:val="0099133A"/>
    <w:pPr>
      <w:spacing w:before="120"/>
    </w:pPr>
  </w:style>
  <w:style w:type="paragraph" w:customStyle="1" w:styleId="BoxSpaceAbove">
    <w:name w:val="Box Space Above"/>
    <w:basedOn w:val="BodyText"/>
    <w:rsid w:val="0099133A"/>
    <w:pPr>
      <w:keepNext/>
      <w:spacing w:before="360" w:line="80" w:lineRule="exact"/>
      <w:jc w:val="left"/>
    </w:pPr>
  </w:style>
  <w:style w:type="paragraph" w:styleId="Caption">
    <w:name w:val="caption"/>
    <w:basedOn w:val="Normal"/>
    <w:next w:val="BodyText"/>
    <w:rsid w:val="0099133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133A"/>
    <w:pPr>
      <w:spacing w:before="120" w:after="0"/>
    </w:pPr>
  </w:style>
  <w:style w:type="paragraph" w:customStyle="1" w:styleId="BoxSubtitle">
    <w:name w:val="Box Subtitle"/>
    <w:basedOn w:val="BoxTitle"/>
    <w:next w:val="Normal"/>
    <w:rsid w:val="0099133A"/>
    <w:pPr>
      <w:spacing w:after="80" w:line="200" w:lineRule="exact"/>
      <w:ind w:firstLine="0"/>
    </w:pPr>
    <w:rPr>
      <w:b w:val="0"/>
      <w:sz w:val="20"/>
    </w:rPr>
  </w:style>
  <w:style w:type="paragraph" w:customStyle="1" w:styleId="Chapter">
    <w:name w:val="Chapter"/>
    <w:basedOn w:val="Heading1"/>
    <w:next w:val="BodyText"/>
    <w:semiHidden/>
    <w:rsid w:val="0099133A"/>
    <w:pPr>
      <w:ind w:left="0" w:firstLine="0"/>
      <w:outlineLvl w:val="9"/>
    </w:pPr>
  </w:style>
  <w:style w:type="paragraph" w:customStyle="1" w:styleId="ChapterSummary">
    <w:name w:val="Chapter Summary"/>
    <w:basedOn w:val="BodyText"/>
    <w:rsid w:val="0099133A"/>
    <w:pPr>
      <w:spacing w:line="280" w:lineRule="atLeast"/>
      <w:ind w:left="907"/>
    </w:pPr>
    <w:rPr>
      <w:rFonts w:ascii="Arial" w:hAnsi="Arial"/>
      <w:b/>
      <w:sz w:val="20"/>
    </w:rPr>
  </w:style>
  <w:style w:type="character" w:styleId="CommentReference">
    <w:name w:val="annotation reference"/>
    <w:basedOn w:val="DefaultParagraphFont"/>
    <w:semiHidden/>
    <w:rsid w:val="0099133A"/>
    <w:rPr>
      <w:b/>
      <w:vanish/>
      <w:color w:val="FF00FF"/>
      <w:sz w:val="20"/>
    </w:rPr>
  </w:style>
  <w:style w:type="paragraph" w:styleId="CommentText">
    <w:name w:val="annotation text"/>
    <w:basedOn w:val="Normal"/>
    <w:link w:val="CommentTextChar"/>
    <w:semiHidden/>
    <w:rsid w:val="0099133A"/>
    <w:pPr>
      <w:spacing w:before="120" w:line="240" w:lineRule="atLeast"/>
      <w:ind w:left="567" w:hanging="567"/>
    </w:pPr>
    <w:rPr>
      <w:sz w:val="20"/>
    </w:rPr>
  </w:style>
  <w:style w:type="paragraph" w:customStyle="1" w:styleId="Continued">
    <w:name w:val="Continued"/>
    <w:basedOn w:val="BoxContinued"/>
    <w:next w:val="BodyText"/>
    <w:rsid w:val="0099133A"/>
  </w:style>
  <w:style w:type="character" w:customStyle="1" w:styleId="DocumentInfo">
    <w:name w:val="Document Info"/>
    <w:basedOn w:val="DefaultParagraphFont"/>
    <w:semiHidden/>
    <w:rsid w:val="0099133A"/>
    <w:rPr>
      <w:rFonts w:ascii="Arial" w:hAnsi="Arial"/>
      <w:sz w:val="14"/>
    </w:rPr>
  </w:style>
  <w:style w:type="character" w:customStyle="1" w:styleId="DraftingNote">
    <w:name w:val="Drafting Note"/>
    <w:basedOn w:val="DefaultParagraphFont"/>
    <w:rsid w:val="0099133A"/>
    <w:rPr>
      <w:b/>
      <w:color w:val="FF0000"/>
      <w:sz w:val="24"/>
      <w:u w:val="dotted"/>
    </w:rPr>
  </w:style>
  <w:style w:type="paragraph" w:customStyle="1" w:styleId="Figure">
    <w:name w:val="Figure"/>
    <w:basedOn w:val="BodyText"/>
    <w:rsid w:val="0099133A"/>
    <w:pPr>
      <w:keepNext/>
      <w:spacing w:before="120" w:after="120" w:line="240" w:lineRule="atLeast"/>
      <w:jc w:val="center"/>
    </w:pPr>
  </w:style>
  <w:style w:type="paragraph" w:customStyle="1" w:styleId="FigureTitle">
    <w:name w:val="Figure Title"/>
    <w:basedOn w:val="Caption"/>
    <w:next w:val="Subtitle"/>
    <w:rsid w:val="0099133A"/>
    <w:pPr>
      <w:spacing w:before="120"/>
    </w:pPr>
  </w:style>
  <w:style w:type="paragraph" w:styleId="Subtitle">
    <w:name w:val="Subtitle"/>
    <w:basedOn w:val="Caption"/>
    <w:link w:val="SubtitleChar"/>
    <w:qFormat/>
    <w:rsid w:val="0099133A"/>
    <w:pPr>
      <w:spacing w:before="0" w:line="200" w:lineRule="exact"/>
      <w:ind w:firstLine="0"/>
    </w:pPr>
    <w:rPr>
      <w:b w:val="0"/>
      <w:sz w:val="20"/>
    </w:rPr>
  </w:style>
  <w:style w:type="paragraph" w:customStyle="1" w:styleId="Finding">
    <w:name w:val="Finding"/>
    <w:basedOn w:val="BodyText"/>
    <w:rsid w:val="0099133A"/>
    <w:pPr>
      <w:keepLines/>
      <w:spacing w:before="120" w:line="280" w:lineRule="atLeast"/>
    </w:pPr>
    <w:rPr>
      <w:rFonts w:ascii="Arial" w:hAnsi="Arial"/>
      <w:sz w:val="22"/>
    </w:rPr>
  </w:style>
  <w:style w:type="paragraph" w:customStyle="1" w:styleId="FindingBullet">
    <w:name w:val="Finding Bullet"/>
    <w:basedOn w:val="Finding"/>
    <w:rsid w:val="0099133A"/>
    <w:pPr>
      <w:numPr>
        <w:numId w:val="3"/>
      </w:numPr>
      <w:spacing w:before="80"/>
    </w:pPr>
  </w:style>
  <w:style w:type="paragraph" w:customStyle="1" w:styleId="FindingNoTitle">
    <w:name w:val="Finding NoTitle"/>
    <w:basedOn w:val="Finding"/>
    <w:semiHidden/>
    <w:rsid w:val="0099133A"/>
    <w:pPr>
      <w:spacing w:before="240"/>
    </w:pPr>
  </w:style>
  <w:style w:type="paragraph" w:customStyle="1" w:styleId="RecTitle">
    <w:name w:val="Rec Title"/>
    <w:basedOn w:val="BodyText"/>
    <w:next w:val="Rec"/>
    <w:qFormat/>
    <w:rsid w:val="0099133A"/>
    <w:pPr>
      <w:keepNext/>
      <w:keepLines/>
      <w:spacing w:line="280" w:lineRule="atLeast"/>
    </w:pPr>
    <w:rPr>
      <w:rFonts w:ascii="Arial" w:hAnsi="Arial"/>
      <w:caps/>
      <w:sz w:val="18"/>
    </w:rPr>
  </w:style>
  <w:style w:type="paragraph" w:customStyle="1" w:styleId="FindingTitle">
    <w:name w:val="Finding Title"/>
    <w:basedOn w:val="RecTitle"/>
    <w:next w:val="Finding"/>
    <w:rsid w:val="0099133A"/>
  </w:style>
  <w:style w:type="character" w:styleId="FootnoteReference">
    <w:name w:val="footnote reference"/>
    <w:basedOn w:val="DefaultParagraphFont"/>
    <w:semiHidden/>
    <w:rsid w:val="0099133A"/>
    <w:rPr>
      <w:rFonts w:ascii="Times New Roman" w:hAnsi="Times New Roman"/>
      <w:position w:val="6"/>
      <w:sz w:val="20"/>
      <w:vertAlign w:val="baseline"/>
    </w:rPr>
  </w:style>
  <w:style w:type="paragraph" w:styleId="FootnoteText">
    <w:name w:val="footnote text"/>
    <w:basedOn w:val="BodyText"/>
    <w:rsid w:val="0099133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9133A"/>
    <w:rPr>
      <w:i/>
    </w:rPr>
  </w:style>
  <w:style w:type="paragraph" w:customStyle="1" w:styleId="Jurisdictioncommentsbodytext">
    <w:name w:val="Jurisdiction comments body text"/>
    <w:rsid w:val="0099133A"/>
    <w:pPr>
      <w:spacing w:after="140"/>
      <w:jc w:val="both"/>
    </w:pPr>
    <w:rPr>
      <w:rFonts w:ascii="Arial" w:hAnsi="Arial"/>
      <w:sz w:val="24"/>
      <w:lang w:eastAsia="en-US"/>
    </w:rPr>
  </w:style>
  <w:style w:type="paragraph" w:customStyle="1" w:styleId="Jurisdictioncommentsheading">
    <w:name w:val="Jurisdiction comments heading"/>
    <w:rsid w:val="0099133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133A"/>
    <w:pPr>
      <w:numPr>
        <w:numId w:val="4"/>
      </w:numPr>
      <w:spacing w:after="140"/>
      <w:jc w:val="both"/>
    </w:pPr>
    <w:rPr>
      <w:rFonts w:ascii="Arial" w:hAnsi="Arial"/>
      <w:sz w:val="24"/>
      <w:lang w:eastAsia="en-US"/>
    </w:rPr>
  </w:style>
  <w:style w:type="paragraph" w:styleId="ListBullet">
    <w:name w:val="List Bullet"/>
    <w:basedOn w:val="BodyText"/>
    <w:rsid w:val="0099133A"/>
    <w:pPr>
      <w:numPr>
        <w:numId w:val="5"/>
      </w:numPr>
      <w:spacing w:before="120"/>
    </w:pPr>
  </w:style>
  <w:style w:type="paragraph" w:styleId="ListBullet2">
    <w:name w:val="List Bullet 2"/>
    <w:basedOn w:val="BodyText"/>
    <w:rsid w:val="0099133A"/>
    <w:pPr>
      <w:numPr>
        <w:numId w:val="6"/>
      </w:numPr>
      <w:spacing w:before="120"/>
    </w:pPr>
  </w:style>
  <w:style w:type="paragraph" w:styleId="ListBullet3">
    <w:name w:val="List Bullet 3"/>
    <w:basedOn w:val="BodyText"/>
    <w:rsid w:val="0099133A"/>
    <w:pPr>
      <w:numPr>
        <w:numId w:val="7"/>
      </w:numPr>
      <w:spacing w:before="120"/>
      <w:ind w:left="1020" w:hanging="340"/>
    </w:pPr>
  </w:style>
  <w:style w:type="paragraph" w:styleId="ListNumber">
    <w:name w:val="List Number"/>
    <w:basedOn w:val="BodyText"/>
    <w:rsid w:val="0099133A"/>
    <w:pPr>
      <w:numPr>
        <w:numId w:val="13"/>
      </w:numPr>
      <w:spacing w:before="120"/>
    </w:pPr>
  </w:style>
  <w:style w:type="paragraph" w:styleId="ListNumber2">
    <w:name w:val="List Number 2"/>
    <w:basedOn w:val="ListNumber"/>
    <w:rsid w:val="0099133A"/>
    <w:pPr>
      <w:numPr>
        <w:ilvl w:val="1"/>
      </w:numPr>
    </w:pPr>
  </w:style>
  <w:style w:type="paragraph" w:styleId="ListNumber3">
    <w:name w:val="List Number 3"/>
    <w:basedOn w:val="ListNumber2"/>
    <w:rsid w:val="0099133A"/>
    <w:pPr>
      <w:numPr>
        <w:ilvl w:val="2"/>
      </w:numPr>
    </w:pPr>
  </w:style>
  <w:style w:type="character" w:customStyle="1" w:styleId="NoteLabel">
    <w:name w:val="Note Label"/>
    <w:basedOn w:val="DefaultParagraphFont"/>
    <w:rsid w:val="0099133A"/>
    <w:rPr>
      <w:rFonts w:ascii="Arial" w:hAnsi="Arial"/>
      <w:b/>
      <w:position w:val="6"/>
      <w:sz w:val="18"/>
    </w:rPr>
  </w:style>
  <w:style w:type="paragraph" w:customStyle="1" w:styleId="PartDivider">
    <w:name w:val="Part Divider"/>
    <w:basedOn w:val="BodyText"/>
    <w:next w:val="BodyText"/>
    <w:semiHidden/>
    <w:rsid w:val="0099133A"/>
    <w:pPr>
      <w:spacing w:before="0" w:line="40" w:lineRule="exact"/>
      <w:jc w:val="right"/>
    </w:pPr>
    <w:rPr>
      <w:smallCaps/>
      <w:sz w:val="16"/>
    </w:rPr>
  </w:style>
  <w:style w:type="paragraph" w:customStyle="1" w:styleId="PartNumber">
    <w:name w:val="Part Number"/>
    <w:basedOn w:val="BodyText"/>
    <w:next w:val="BodyText"/>
    <w:semiHidden/>
    <w:rsid w:val="0099133A"/>
    <w:pPr>
      <w:spacing w:before="4000" w:line="320" w:lineRule="exact"/>
      <w:ind w:left="6634"/>
      <w:jc w:val="right"/>
    </w:pPr>
    <w:rPr>
      <w:smallCaps/>
      <w:spacing w:val="60"/>
      <w:sz w:val="32"/>
    </w:rPr>
  </w:style>
  <w:style w:type="paragraph" w:customStyle="1" w:styleId="PartTitle">
    <w:name w:val="Part Title"/>
    <w:basedOn w:val="BodyText"/>
    <w:semiHidden/>
    <w:rsid w:val="0099133A"/>
    <w:pPr>
      <w:spacing w:before="160" w:after="1360" w:line="520" w:lineRule="exact"/>
      <w:ind w:right="2381"/>
      <w:jc w:val="right"/>
    </w:pPr>
    <w:rPr>
      <w:smallCaps/>
      <w:sz w:val="52"/>
    </w:rPr>
  </w:style>
  <w:style w:type="paragraph" w:styleId="Quote">
    <w:name w:val="Quote"/>
    <w:basedOn w:val="BodyText"/>
    <w:next w:val="BodyText"/>
    <w:qFormat/>
    <w:rsid w:val="0099133A"/>
    <w:pPr>
      <w:spacing w:before="120" w:line="280" w:lineRule="exact"/>
      <w:ind w:left="340"/>
    </w:pPr>
    <w:rPr>
      <w:sz w:val="22"/>
    </w:rPr>
  </w:style>
  <w:style w:type="paragraph" w:customStyle="1" w:styleId="QuoteBullet">
    <w:name w:val="Quote Bullet"/>
    <w:basedOn w:val="Quote"/>
    <w:rsid w:val="0099133A"/>
    <w:pPr>
      <w:numPr>
        <w:numId w:val="8"/>
      </w:numPr>
    </w:pPr>
  </w:style>
  <w:style w:type="paragraph" w:customStyle="1" w:styleId="Rec">
    <w:name w:val="Rec"/>
    <w:basedOn w:val="BodyText"/>
    <w:qFormat/>
    <w:rsid w:val="0099133A"/>
    <w:pPr>
      <w:keepLines/>
      <w:spacing w:before="120" w:line="280" w:lineRule="atLeast"/>
    </w:pPr>
    <w:rPr>
      <w:rFonts w:ascii="Arial" w:hAnsi="Arial"/>
      <w:sz w:val="22"/>
    </w:rPr>
  </w:style>
  <w:style w:type="paragraph" w:customStyle="1" w:styleId="RecBullet">
    <w:name w:val="Rec Bullet"/>
    <w:basedOn w:val="Rec"/>
    <w:rsid w:val="0099133A"/>
    <w:pPr>
      <w:numPr>
        <w:numId w:val="9"/>
      </w:numPr>
      <w:spacing w:before="80"/>
    </w:pPr>
  </w:style>
  <w:style w:type="paragraph" w:customStyle="1" w:styleId="RecB">
    <w:name w:val="RecB"/>
    <w:basedOn w:val="Normal"/>
    <w:semiHidden/>
    <w:rsid w:val="0099133A"/>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9133A"/>
    <w:pPr>
      <w:numPr>
        <w:numId w:val="10"/>
      </w:numPr>
      <w:spacing w:before="80"/>
    </w:pPr>
  </w:style>
  <w:style w:type="paragraph" w:customStyle="1" w:styleId="RecBNoTitle">
    <w:name w:val="RecB NoTitle"/>
    <w:basedOn w:val="RecB"/>
    <w:semiHidden/>
    <w:rsid w:val="0099133A"/>
    <w:pPr>
      <w:spacing w:before="240"/>
    </w:pPr>
  </w:style>
  <w:style w:type="paragraph" w:customStyle="1" w:styleId="Reference">
    <w:name w:val="Reference"/>
    <w:basedOn w:val="BodyText"/>
    <w:rsid w:val="0099133A"/>
    <w:pPr>
      <w:spacing w:before="120"/>
      <w:ind w:left="340" w:hanging="340"/>
    </w:pPr>
  </w:style>
  <w:style w:type="paragraph" w:customStyle="1" w:styleId="SequenceInfo">
    <w:name w:val="Sequence Info"/>
    <w:basedOn w:val="BodyText"/>
    <w:semiHidden/>
    <w:rsid w:val="0099133A"/>
    <w:rPr>
      <w:vanish/>
      <w:sz w:val="16"/>
    </w:rPr>
  </w:style>
  <w:style w:type="paragraph" w:customStyle="1" w:styleId="SideNote">
    <w:name w:val="Side Note"/>
    <w:basedOn w:val="BodyText"/>
    <w:next w:val="BodyText"/>
    <w:semiHidden/>
    <w:rsid w:val="0099133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9133A"/>
    <w:pPr>
      <w:framePr w:wrap="around"/>
      <w:numPr>
        <w:numId w:val="11"/>
      </w:numPr>
      <w:tabs>
        <w:tab w:val="left" w:pos="227"/>
      </w:tabs>
    </w:pPr>
  </w:style>
  <w:style w:type="paragraph" w:customStyle="1" w:styleId="SideNoteGraphic">
    <w:name w:val="Side Note Graphic"/>
    <w:basedOn w:val="SideNote"/>
    <w:next w:val="BodyText"/>
    <w:semiHidden/>
    <w:rsid w:val="0099133A"/>
    <w:pPr>
      <w:framePr w:wrap="around"/>
    </w:pPr>
  </w:style>
  <w:style w:type="paragraph" w:customStyle="1" w:styleId="TableBodyText">
    <w:name w:val="Table Body Text"/>
    <w:basedOn w:val="BodyText"/>
    <w:rsid w:val="0099133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9133A"/>
    <w:pPr>
      <w:numPr>
        <w:numId w:val="12"/>
      </w:numPr>
      <w:jc w:val="left"/>
    </w:pPr>
  </w:style>
  <w:style w:type="paragraph" w:customStyle="1" w:styleId="TableColumnHeading">
    <w:name w:val="Table Column Heading"/>
    <w:basedOn w:val="TableBodyText"/>
    <w:rsid w:val="0099133A"/>
    <w:pPr>
      <w:spacing w:before="80" w:after="80"/>
    </w:pPr>
    <w:rPr>
      <w:i/>
    </w:rPr>
  </w:style>
  <w:style w:type="paragraph" w:styleId="TOC2">
    <w:name w:val="toc 2"/>
    <w:basedOn w:val="TOC1"/>
    <w:rsid w:val="0099133A"/>
    <w:pPr>
      <w:ind w:left="1134" w:hanging="624"/>
    </w:pPr>
    <w:rPr>
      <w:b w:val="0"/>
    </w:rPr>
  </w:style>
  <w:style w:type="paragraph" w:styleId="TOC3">
    <w:name w:val="toc 3"/>
    <w:basedOn w:val="TOC2"/>
    <w:rsid w:val="0099133A"/>
    <w:pPr>
      <w:spacing w:before="60"/>
      <w:ind w:left="1190" w:hanging="680"/>
    </w:pPr>
  </w:style>
  <w:style w:type="paragraph" w:styleId="TableofFigures">
    <w:name w:val="table of figures"/>
    <w:basedOn w:val="TOC3"/>
    <w:next w:val="BodyText"/>
    <w:semiHidden/>
    <w:rsid w:val="0099133A"/>
    <w:pPr>
      <w:ind w:left="737" w:hanging="737"/>
    </w:pPr>
  </w:style>
  <w:style w:type="paragraph" w:customStyle="1" w:styleId="TableTitle">
    <w:name w:val="Table Title"/>
    <w:basedOn w:val="Caption"/>
    <w:next w:val="Subtitle"/>
    <w:qFormat/>
    <w:rsid w:val="0099133A"/>
    <w:pPr>
      <w:spacing w:before="120"/>
    </w:pPr>
  </w:style>
  <w:style w:type="paragraph" w:customStyle="1" w:styleId="TableUnitsRow">
    <w:name w:val="Table Units Row"/>
    <w:basedOn w:val="TableBodyText"/>
    <w:rsid w:val="0099133A"/>
    <w:pPr>
      <w:spacing w:before="40"/>
    </w:pPr>
  </w:style>
  <w:style w:type="paragraph" w:styleId="TOC1">
    <w:name w:val="toc 1"/>
    <w:basedOn w:val="Normal"/>
    <w:next w:val="TOC2"/>
    <w:link w:val="TOC1Char"/>
    <w:rsid w:val="0099133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9133A"/>
    <w:pPr>
      <w:ind w:left="1191" w:firstLine="0"/>
    </w:pPr>
  </w:style>
  <w:style w:type="paragraph" w:customStyle="1" w:styleId="RecBBullet2">
    <w:name w:val="RecB Bullet 2"/>
    <w:basedOn w:val="ListBullet2"/>
    <w:semiHidden/>
    <w:rsid w:val="0099133A"/>
    <w:pPr>
      <w:pBdr>
        <w:left w:val="single" w:sz="24" w:space="29" w:color="C0C0C0"/>
      </w:pBdr>
    </w:pPr>
    <w:rPr>
      <w:b/>
      <w:i/>
    </w:rPr>
  </w:style>
  <w:style w:type="paragraph" w:styleId="BalloonText">
    <w:name w:val="Balloon Text"/>
    <w:basedOn w:val="Normal"/>
    <w:link w:val="BalloonTextChar"/>
    <w:rsid w:val="0099133A"/>
    <w:rPr>
      <w:rFonts w:ascii="Tahoma" w:hAnsi="Tahoma" w:cs="Tahoma"/>
      <w:sz w:val="16"/>
      <w:szCs w:val="16"/>
    </w:rPr>
  </w:style>
  <w:style w:type="character" w:customStyle="1" w:styleId="BalloonTextChar">
    <w:name w:val="Balloon Text Char"/>
    <w:basedOn w:val="DefaultParagraphFont"/>
    <w:link w:val="BalloonText"/>
    <w:rsid w:val="0099133A"/>
    <w:rPr>
      <w:rFonts w:ascii="Tahoma" w:hAnsi="Tahoma" w:cs="Tahoma"/>
      <w:sz w:val="16"/>
      <w:szCs w:val="16"/>
    </w:rPr>
  </w:style>
  <w:style w:type="character" w:customStyle="1" w:styleId="SubtitleChar">
    <w:name w:val="Subtitle Char"/>
    <w:basedOn w:val="DefaultParagraphFont"/>
    <w:link w:val="Subtitle"/>
    <w:rsid w:val="0099133A"/>
    <w:rPr>
      <w:rFonts w:ascii="Arial" w:hAnsi="Arial"/>
      <w:szCs w:val="24"/>
    </w:rPr>
  </w:style>
  <w:style w:type="paragraph" w:customStyle="1" w:styleId="BoxListBullet3">
    <w:name w:val="Box List Bullet 3"/>
    <w:basedOn w:val="ListBullet3"/>
    <w:rsid w:val="0099133A"/>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9133A"/>
    <w:rPr>
      <w:i/>
      <w:iCs/>
    </w:rPr>
  </w:style>
  <w:style w:type="paragraph" w:customStyle="1" w:styleId="BoxQuoteBullet">
    <w:name w:val="Box Quote Bullet"/>
    <w:basedOn w:val="BoxQuote"/>
    <w:next w:val="Box"/>
    <w:rsid w:val="0099133A"/>
    <w:pPr>
      <w:numPr>
        <w:numId w:val="15"/>
      </w:numPr>
      <w:ind w:left="568" w:hanging="284"/>
    </w:pPr>
  </w:style>
  <w:style w:type="paragraph" w:customStyle="1" w:styleId="InformationRequestBullet">
    <w:name w:val="Information Request Bullet"/>
    <w:basedOn w:val="ListBullet"/>
    <w:next w:val="BodyText"/>
    <w:rsid w:val="0099133A"/>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9133A"/>
    <w:pPr>
      <w:keepNext w:val="0"/>
      <w:spacing w:before="60" w:after="60" w:line="80" w:lineRule="exact"/>
    </w:pPr>
    <w:rPr>
      <w:sz w:val="14"/>
    </w:rPr>
  </w:style>
  <w:style w:type="paragraph" w:styleId="CommentSubject">
    <w:name w:val="annotation subject"/>
    <w:basedOn w:val="CommentText"/>
    <w:next w:val="CommentText"/>
    <w:link w:val="CommentSubjectChar"/>
    <w:rsid w:val="004179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17900"/>
    <w:rPr>
      <w:szCs w:val="24"/>
    </w:rPr>
  </w:style>
  <w:style w:type="character" w:customStyle="1" w:styleId="CommentSubjectChar">
    <w:name w:val="Comment Subject Char"/>
    <w:basedOn w:val="CommentTextChar"/>
    <w:link w:val="CommentSubject"/>
    <w:rsid w:val="00417900"/>
    <w:rPr>
      <w:b/>
      <w:bCs/>
      <w:szCs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rsid w:val="0099133A"/>
    <w:rPr>
      <w:sz w:val="24"/>
    </w:rPr>
  </w:style>
  <w:style w:type="character" w:customStyle="1" w:styleId="Heading2Char">
    <w:name w:val="Heading 2 Char"/>
    <w:link w:val="Heading2"/>
    <w:rsid w:val="00DB7E7B"/>
    <w:rPr>
      <w:rFonts w:ascii="Arial" w:hAnsi="Arial"/>
      <w:b/>
      <w:sz w:val="32"/>
    </w:rPr>
  </w:style>
  <w:style w:type="paragraph" w:styleId="Revision">
    <w:name w:val="Revision"/>
    <w:hidden/>
    <w:uiPriority w:val="99"/>
    <w:semiHidden/>
    <w:rsid w:val="00A3434B"/>
    <w:rPr>
      <w:sz w:val="26"/>
      <w:szCs w:val="24"/>
    </w:rPr>
  </w:style>
  <w:style w:type="character" w:styleId="Hyperlink">
    <w:name w:val="Hyperlink"/>
    <w:basedOn w:val="DefaultParagraphFont"/>
    <w:rsid w:val="003561CB"/>
    <w:rPr>
      <w:color w:val="0000FF" w:themeColor="hyperlink"/>
      <w:u w:val="single"/>
    </w:rPr>
  </w:style>
  <w:style w:type="paragraph" w:customStyle="1" w:styleId="KeyPointsListBullet">
    <w:name w:val="Key Points List Bullet"/>
    <w:basedOn w:val="Normal"/>
    <w:qFormat/>
    <w:rsid w:val="0099133A"/>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9133A"/>
    <w:pPr>
      <w:numPr>
        <w:numId w:val="19"/>
      </w:numPr>
      <w:ind w:left="568" w:hanging="284"/>
    </w:pPr>
  </w:style>
  <w:style w:type="paragraph" w:customStyle="1" w:styleId="InformationRequestTitle">
    <w:name w:val="Information Request Title"/>
    <w:basedOn w:val="FindingTitle"/>
    <w:next w:val="InformationRequest"/>
    <w:rsid w:val="0099133A"/>
    <w:rPr>
      <w:i/>
    </w:rPr>
  </w:style>
  <w:style w:type="paragraph" w:customStyle="1" w:styleId="Space">
    <w:name w:val="Space"/>
    <w:basedOn w:val="Normal"/>
    <w:rsid w:val="0099133A"/>
    <w:pPr>
      <w:keepNext/>
      <w:spacing w:line="120" w:lineRule="exact"/>
      <w:jc w:val="both"/>
    </w:pPr>
    <w:rPr>
      <w:rFonts w:ascii="Arial" w:hAnsi="Arial"/>
      <w:sz w:val="20"/>
      <w:szCs w:val="20"/>
    </w:rPr>
  </w:style>
  <w:style w:type="paragraph" w:customStyle="1" w:styleId="Heading1nochapterno">
    <w:name w:val="Heading 1 (no chapter no.)"/>
    <w:basedOn w:val="Heading1"/>
    <w:rsid w:val="0099133A"/>
    <w:pPr>
      <w:spacing w:before="0"/>
      <w:ind w:left="0" w:firstLine="0"/>
    </w:pPr>
  </w:style>
  <w:style w:type="paragraph" w:customStyle="1" w:styleId="Heading2nosectionno">
    <w:name w:val="Heading 2 (no section no.)"/>
    <w:basedOn w:val="Heading2"/>
    <w:rsid w:val="0099133A"/>
    <w:pPr>
      <w:ind w:left="0" w:firstLine="0"/>
    </w:pPr>
  </w:style>
  <w:style w:type="character" w:customStyle="1" w:styleId="Heading5Char">
    <w:name w:val="Heading 5 Char"/>
    <w:basedOn w:val="DefaultParagraphFont"/>
    <w:link w:val="Heading5"/>
    <w:rsid w:val="0099133A"/>
    <w:rPr>
      <w:rFonts w:ascii="Arial" w:hAnsi="Arial"/>
      <w:i/>
      <w:sz w:val="22"/>
    </w:rPr>
  </w:style>
  <w:style w:type="paragraph" w:customStyle="1" w:styleId="Figurespace">
    <w:name w:val="Figure space"/>
    <w:basedOn w:val="Box"/>
    <w:rsid w:val="0099133A"/>
    <w:pPr>
      <w:spacing w:before="0" w:line="120" w:lineRule="exact"/>
    </w:pPr>
  </w:style>
  <w:style w:type="paragraph" w:customStyle="1" w:styleId="FooterDraftReport">
    <w:name w:val="FooterDraftReport"/>
    <w:basedOn w:val="Footer"/>
    <w:link w:val="FooterDraftReportChar"/>
    <w:rsid w:val="0099133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99133A"/>
    <w:rPr>
      <w:rFonts w:ascii="Arial" w:hAnsi="Arial"/>
      <w:caps/>
      <w:spacing w:val="-4"/>
      <w:sz w:val="16"/>
    </w:rPr>
  </w:style>
  <w:style w:type="character" w:customStyle="1" w:styleId="FooterDraftReportChar">
    <w:name w:val="FooterDraftReport Char"/>
    <w:basedOn w:val="FooterChar"/>
    <w:link w:val="FooterDraftReport"/>
    <w:rsid w:val="0099133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91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9133A"/>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133A"/>
    <w:rPr>
      <w:sz w:val="24"/>
      <w:szCs w:val="24"/>
    </w:rPr>
  </w:style>
  <w:style w:type="paragraph" w:styleId="Heading1">
    <w:name w:val="heading 1"/>
    <w:basedOn w:val="BodyText"/>
    <w:next w:val="BodyText"/>
    <w:rsid w:val="0099133A"/>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9133A"/>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9133A"/>
    <w:pPr>
      <w:spacing w:before="560" w:line="320" w:lineRule="exact"/>
      <w:ind w:left="0" w:firstLine="0"/>
      <w:outlineLvl w:val="2"/>
    </w:pPr>
    <w:rPr>
      <w:sz w:val="26"/>
    </w:rPr>
  </w:style>
  <w:style w:type="paragraph" w:styleId="Heading4">
    <w:name w:val="heading 4"/>
    <w:basedOn w:val="Heading3"/>
    <w:next w:val="BodyText"/>
    <w:qFormat/>
    <w:rsid w:val="0099133A"/>
    <w:pPr>
      <w:spacing w:before="480"/>
      <w:outlineLvl w:val="3"/>
    </w:pPr>
    <w:rPr>
      <w:b w:val="0"/>
      <w:sz w:val="24"/>
    </w:rPr>
  </w:style>
  <w:style w:type="paragraph" w:styleId="Heading5">
    <w:name w:val="heading 5"/>
    <w:basedOn w:val="Heading4"/>
    <w:next w:val="BodyText"/>
    <w:link w:val="Heading5Char"/>
    <w:qFormat/>
    <w:rsid w:val="0099133A"/>
    <w:pPr>
      <w:outlineLvl w:val="4"/>
    </w:pPr>
    <w:rPr>
      <w:i/>
      <w:sz w:val="22"/>
    </w:rPr>
  </w:style>
  <w:style w:type="paragraph" w:styleId="Heading6">
    <w:name w:val="heading 6"/>
    <w:basedOn w:val="BodyText"/>
    <w:next w:val="BodyText"/>
    <w:rsid w:val="0099133A"/>
    <w:pPr>
      <w:spacing w:after="60"/>
      <w:jc w:val="left"/>
      <w:outlineLvl w:val="5"/>
    </w:pPr>
    <w:rPr>
      <w:i/>
      <w:sz w:val="22"/>
    </w:rPr>
  </w:style>
  <w:style w:type="paragraph" w:styleId="Heading7">
    <w:name w:val="heading 7"/>
    <w:basedOn w:val="BodyText"/>
    <w:next w:val="BodyText"/>
    <w:rsid w:val="0099133A"/>
    <w:pPr>
      <w:spacing w:after="60" w:line="240" w:lineRule="auto"/>
      <w:jc w:val="left"/>
      <w:outlineLvl w:val="6"/>
    </w:pPr>
    <w:rPr>
      <w:rFonts w:ascii="Arial" w:hAnsi="Arial"/>
      <w:sz w:val="20"/>
    </w:rPr>
  </w:style>
  <w:style w:type="paragraph" w:styleId="Heading8">
    <w:name w:val="heading 8"/>
    <w:basedOn w:val="BodyText"/>
    <w:next w:val="BodyText"/>
    <w:rsid w:val="0099133A"/>
    <w:pPr>
      <w:spacing w:after="60" w:line="240" w:lineRule="auto"/>
      <w:jc w:val="left"/>
      <w:outlineLvl w:val="7"/>
    </w:pPr>
    <w:rPr>
      <w:rFonts w:ascii="Arial" w:hAnsi="Arial"/>
      <w:i/>
      <w:sz w:val="20"/>
    </w:rPr>
  </w:style>
  <w:style w:type="paragraph" w:styleId="Heading9">
    <w:name w:val="heading 9"/>
    <w:basedOn w:val="BodyText"/>
    <w:next w:val="BodyText"/>
    <w:rsid w:val="0099133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13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133A"/>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99133A"/>
    <w:pPr>
      <w:spacing w:before="240" w:line="300" w:lineRule="atLeast"/>
      <w:jc w:val="both"/>
    </w:pPr>
    <w:rPr>
      <w:sz w:val="24"/>
    </w:rPr>
  </w:style>
  <w:style w:type="paragraph" w:styleId="Footer">
    <w:name w:val="footer"/>
    <w:basedOn w:val="BodyText"/>
    <w:link w:val="FooterChar"/>
    <w:semiHidden/>
    <w:rsid w:val="0099133A"/>
    <w:pPr>
      <w:spacing w:before="80" w:line="200" w:lineRule="exact"/>
      <w:ind w:right="6"/>
      <w:jc w:val="left"/>
    </w:pPr>
    <w:rPr>
      <w:rFonts w:ascii="Arial" w:hAnsi="Arial"/>
      <w:caps/>
      <w:spacing w:val="-4"/>
      <w:sz w:val="16"/>
    </w:rPr>
  </w:style>
  <w:style w:type="paragraph" w:customStyle="1" w:styleId="FooterEnd">
    <w:name w:val="Footer End"/>
    <w:basedOn w:val="Footer"/>
    <w:rsid w:val="0099133A"/>
    <w:pPr>
      <w:spacing w:before="0" w:line="20" w:lineRule="exact"/>
    </w:pPr>
  </w:style>
  <w:style w:type="paragraph" w:styleId="Header">
    <w:name w:val="header"/>
    <w:basedOn w:val="BodyText"/>
    <w:rsid w:val="0099133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133A"/>
    <w:pPr>
      <w:spacing w:line="20" w:lineRule="exact"/>
    </w:pPr>
    <w:rPr>
      <w:sz w:val="16"/>
    </w:rPr>
  </w:style>
  <w:style w:type="paragraph" w:customStyle="1" w:styleId="HeaderEven">
    <w:name w:val="Header Even"/>
    <w:basedOn w:val="Header"/>
    <w:semiHidden/>
    <w:rsid w:val="0099133A"/>
  </w:style>
  <w:style w:type="paragraph" w:customStyle="1" w:styleId="HeaderOdd">
    <w:name w:val="Header Odd"/>
    <w:basedOn w:val="Header"/>
    <w:semiHidden/>
    <w:rsid w:val="0099133A"/>
  </w:style>
  <w:style w:type="character" w:styleId="PageNumber">
    <w:name w:val="page number"/>
    <w:basedOn w:val="DefaultParagraphFont"/>
    <w:rsid w:val="0099133A"/>
    <w:rPr>
      <w:rFonts w:ascii="Arial" w:hAnsi="Arial"/>
      <w:b/>
      <w:sz w:val="16"/>
    </w:rPr>
  </w:style>
  <w:style w:type="paragraph" w:customStyle="1" w:styleId="Abbreviation">
    <w:name w:val="Abbreviation"/>
    <w:basedOn w:val="BodyText"/>
    <w:rsid w:val="0099133A"/>
    <w:pPr>
      <w:spacing w:before="120"/>
      <w:ind w:left="2381" w:hanging="2381"/>
      <w:jc w:val="left"/>
    </w:pPr>
  </w:style>
  <w:style w:type="paragraph" w:customStyle="1" w:styleId="Box">
    <w:name w:val="Box"/>
    <w:basedOn w:val="BodyText"/>
    <w:qFormat/>
    <w:rsid w:val="0099133A"/>
    <w:pPr>
      <w:keepNext/>
      <w:spacing w:before="120" w:line="260" w:lineRule="atLeast"/>
    </w:pPr>
    <w:rPr>
      <w:rFonts w:ascii="Arial" w:hAnsi="Arial"/>
      <w:sz w:val="20"/>
    </w:rPr>
  </w:style>
  <w:style w:type="paragraph" w:customStyle="1" w:styleId="BoxContinued">
    <w:name w:val="Box Continued"/>
    <w:basedOn w:val="BodyText"/>
    <w:next w:val="BodyText"/>
    <w:semiHidden/>
    <w:rsid w:val="0099133A"/>
    <w:pPr>
      <w:spacing w:before="180" w:line="220" w:lineRule="exact"/>
      <w:jc w:val="right"/>
    </w:pPr>
    <w:rPr>
      <w:rFonts w:ascii="Arial" w:hAnsi="Arial"/>
      <w:sz w:val="18"/>
    </w:rPr>
  </w:style>
  <w:style w:type="paragraph" w:customStyle="1" w:styleId="BoxHeading1">
    <w:name w:val="Box Heading 1"/>
    <w:basedOn w:val="BodyText"/>
    <w:next w:val="Box"/>
    <w:rsid w:val="0099133A"/>
    <w:pPr>
      <w:keepNext/>
      <w:spacing w:before="200" w:line="280" w:lineRule="atLeast"/>
    </w:pPr>
    <w:rPr>
      <w:rFonts w:ascii="Arial" w:hAnsi="Arial"/>
      <w:b/>
      <w:sz w:val="22"/>
    </w:rPr>
  </w:style>
  <w:style w:type="paragraph" w:customStyle="1" w:styleId="BoxHeading2">
    <w:name w:val="Box Heading 2"/>
    <w:basedOn w:val="BoxHeading1"/>
    <w:next w:val="Normal"/>
    <w:rsid w:val="0099133A"/>
    <w:rPr>
      <w:b w:val="0"/>
      <w:i/>
    </w:rPr>
  </w:style>
  <w:style w:type="paragraph" w:customStyle="1" w:styleId="BoxListBullet">
    <w:name w:val="Box List Bullet"/>
    <w:basedOn w:val="BodyText"/>
    <w:rsid w:val="0099133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9133A"/>
    <w:pPr>
      <w:numPr>
        <w:numId w:val="2"/>
      </w:numPr>
      <w:ind w:left="568" w:hanging="284"/>
    </w:pPr>
  </w:style>
  <w:style w:type="paragraph" w:customStyle="1" w:styleId="BoxListNumber">
    <w:name w:val="Box List Number"/>
    <w:basedOn w:val="BodyText"/>
    <w:rsid w:val="0099133A"/>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9133A"/>
    <w:pPr>
      <w:numPr>
        <w:ilvl w:val="1"/>
      </w:numPr>
      <w:ind w:left="681" w:hanging="397"/>
    </w:pPr>
  </w:style>
  <w:style w:type="paragraph" w:customStyle="1" w:styleId="BoxQuote">
    <w:name w:val="Box Quote"/>
    <w:basedOn w:val="BodyText"/>
    <w:next w:val="Box"/>
    <w:qFormat/>
    <w:rsid w:val="0099133A"/>
    <w:pPr>
      <w:keepNext/>
      <w:spacing w:before="60" w:line="240" w:lineRule="exact"/>
      <w:ind w:left="284"/>
    </w:pPr>
    <w:rPr>
      <w:rFonts w:ascii="Arial" w:hAnsi="Arial"/>
      <w:sz w:val="18"/>
    </w:rPr>
  </w:style>
  <w:style w:type="paragraph" w:customStyle="1" w:styleId="Note">
    <w:name w:val="Note"/>
    <w:basedOn w:val="BodyText"/>
    <w:next w:val="BodyText"/>
    <w:rsid w:val="0099133A"/>
    <w:pPr>
      <w:keepLines/>
      <w:spacing w:before="80" w:line="220" w:lineRule="exact"/>
    </w:pPr>
    <w:rPr>
      <w:rFonts w:ascii="Arial" w:hAnsi="Arial"/>
      <w:sz w:val="18"/>
    </w:rPr>
  </w:style>
  <w:style w:type="paragraph" w:customStyle="1" w:styleId="Source">
    <w:name w:val="Source"/>
    <w:basedOn w:val="Normal"/>
    <w:next w:val="BodyText"/>
    <w:rsid w:val="0099133A"/>
    <w:pPr>
      <w:keepLines/>
      <w:spacing w:before="80" w:line="220" w:lineRule="exact"/>
      <w:jc w:val="both"/>
    </w:pPr>
    <w:rPr>
      <w:rFonts w:ascii="Arial" w:hAnsi="Arial"/>
      <w:sz w:val="18"/>
      <w:szCs w:val="20"/>
    </w:rPr>
  </w:style>
  <w:style w:type="paragraph" w:customStyle="1" w:styleId="BoxSource">
    <w:name w:val="Box Source"/>
    <w:basedOn w:val="Source"/>
    <w:next w:val="BodyText"/>
    <w:rsid w:val="0099133A"/>
    <w:pPr>
      <w:spacing w:before="120"/>
    </w:pPr>
  </w:style>
  <w:style w:type="paragraph" w:customStyle="1" w:styleId="BoxSpaceAbove">
    <w:name w:val="Box Space Above"/>
    <w:basedOn w:val="BodyText"/>
    <w:rsid w:val="0099133A"/>
    <w:pPr>
      <w:keepNext/>
      <w:spacing w:before="360" w:line="80" w:lineRule="exact"/>
      <w:jc w:val="left"/>
    </w:pPr>
  </w:style>
  <w:style w:type="paragraph" w:styleId="Caption">
    <w:name w:val="caption"/>
    <w:basedOn w:val="Normal"/>
    <w:next w:val="BodyText"/>
    <w:rsid w:val="0099133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133A"/>
    <w:pPr>
      <w:spacing w:before="120" w:after="0"/>
    </w:pPr>
  </w:style>
  <w:style w:type="paragraph" w:customStyle="1" w:styleId="BoxSubtitle">
    <w:name w:val="Box Subtitle"/>
    <w:basedOn w:val="BoxTitle"/>
    <w:next w:val="Normal"/>
    <w:rsid w:val="0099133A"/>
    <w:pPr>
      <w:spacing w:after="80" w:line="200" w:lineRule="exact"/>
      <w:ind w:firstLine="0"/>
    </w:pPr>
    <w:rPr>
      <w:b w:val="0"/>
      <w:sz w:val="20"/>
    </w:rPr>
  </w:style>
  <w:style w:type="paragraph" w:customStyle="1" w:styleId="Chapter">
    <w:name w:val="Chapter"/>
    <w:basedOn w:val="Heading1"/>
    <w:next w:val="BodyText"/>
    <w:semiHidden/>
    <w:rsid w:val="0099133A"/>
    <w:pPr>
      <w:ind w:left="0" w:firstLine="0"/>
      <w:outlineLvl w:val="9"/>
    </w:pPr>
  </w:style>
  <w:style w:type="paragraph" w:customStyle="1" w:styleId="ChapterSummary">
    <w:name w:val="Chapter Summary"/>
    <w:basedOn w:val="BodyText"/>
    <w:rsid w:val="0099133A"/>
    <w:pPr>
      <w:spacing w:line="280" w:lineRule="atLeast"/>
      <w:ind w:left="907"/>
    </w:pPr>
    <w:rPr>
      <w:rFonts w:ascii="Arial" w:hAnsi="Arial"/>
      <w:b/>
      <w:sz w:val="20"/>
    </w:rPr>
  </w:style>
  <w:style w:type="character" w:styleId="CommentReference">
    <w:name w:val="annotation reference"/>
    <w:basedOn w:val="DefaultParagraphFont"/>
    <w:semiHidden/>
    <w:rsid w:val="0099133A"/>
    <w:rPr>
      <w:b/>
      <w:vanish/>
      <w:color w:val="FF00FF"/>
      <w:sz w:val="20"/>
    </w:rPr>
  </w:style>
  <w:style w:type="paragraph" w:styleId="CommentText">
    <w:name w:val="annotation text"/>
    <w:basedOn w:val="Normal"/>
    <w:link w:val="CommentTextChar"/>
    <w:semiHidden/>
    <w:rsid w:val="0099133A"/>
    <w:pPr>
      <w:spacing w:before="120" w:line="240" w:lineRule="atLeast"/>
      <w:ind w:left="567" w:hanging="567"/>
    </w:pPr>
    <w:rPr>
      <w:sz w:val="20"/>
    </w:rPr>
  </w:style>
  <w:style w:type="paragraph" w:customStyle="1" w:styleId="Continued">
    <w:name w:val="Continued"/>
    <w:basedOn w:val="BoxContinued"/>
    <w:next w:val="BodyText"/>
    <w:rsid w:val="0099133A"/>
  </w:style>
  <w:style w:type="character" w:customStyle="1" w:styleId="DocumentInfo">
    <w:name w:val="Document Info"/>
    <w:basedOn w:val="DefaultParagraphFont"/>
    <w:semiHidden/>
    <w:rsid w:val="0099133A"/>
    <w:rPr>
      <w:rFonts w:ascii="Arial" w:hAnsi="Arial"/>
      <w:sz w:val="14"/>
    </w:rPr>
  </w:style>
  <w:style w:type="character" w:customStyle="1" w:styleId="DraftingNote">
    <w:name w:val="Drafting Note"/>
    <w:basedOn w:val="DefaultParagraphFont"/>
    <w:rsid w:val="0099133A"/>
    <w:rPr>
      <w:b/>
      <w:color w:val="FF0000"/>
      <w:sz w:val="24"/>
      <w:u w:val="dotted"/>
    </w:rPr>
  </w:style>
  <w:style w:type="paragraph" w:customStyle="1" w:styleId="Figure">
    <w:name w:val="Figure"/>
    <w:basedOn w:val="BodyText"/>
    <w:rsid w:val="0099133A"/>
    <w:pPr>
      <w:keepNext/>
      <w:spacing w:before="120" w:after="120" w:line="240" w:lineRule="atLeast"/>
      <w:jc w:val="center"/>
    </w:pPr>
  </w:style>
  <w:style w:type="paragraph" w:customStyle="1" w:styleId="FigureTitle">
    <w:name w:val="Figure Title"/>
    <w:basedOn w:val="Caption"/>
    <w:next w:val="Subtitle"/>
    <w:rsid w:val="0099133A"/>
    <w:pPr>
      <w:spacing w:before="120"/>
    </w:pPr>
  </w:style>
  <w:style w:type="paragraph" w:styleId="Subtitle">
    <w:name w:val="Subtitle"/>
    <w:basedOn w:val="Caption"/>
    <w:link w:val="SubtitleChar"/>
    <w:qFormat/>
    <w:rsid w:val="0099133A"/>
    <w:pPr>
      <w:spacing w:before="0" w:line="200" w:lineRule="exact"/>
      <w:ind w:firstLine="0"/>
    </w:pPr>
    <w:rPr>
      <w:b w:val="0"/>
      <w:sz w:val="20"/>
    </w:rPr>
  </w:style>
  <w:style w:type="paragraph" w:customStyle="1" w:styleId="Finding">
    <w:name w:val="Finding"/>
    <w:basedOn w:val="BodyText"/>
    <w:rsid w:val="0099133A"/>
    <w:pPr>
      <w:keepLines/>
      <w:spacing w:before="120" w:line="280" w:lineRule="atLeast"/>
    </w:pPr>
    <w:rPr>
      <w:rFonts w:ascii="Arial" w:hAnsi="Arial"/>
      <w:sz w:val="22"/>
    </w:rPr>
  </w:style>
  <w:style w:type="paragraph" w:customStyle="1" w:styleId="FindingBullet">
    <w:name w:val="Finding Bullet"/>
    <w:basedOn w:val="Finding"/>
    <w:rsid w:val="0099133A"/>
    <w:pPr>
      <w:numPr>
        <w:numId w:val="3"/>
      </w:numPr>
      <w:spacing w:before="80"/>
    </w:pPr>
  </w:style>
  <w:style w:type="paragraph" w:customStyle="1" w:styleId="FindingNoTitle">
    <w:name w:val="Finding NoTitle"/>
    <w:basedOn w:val="Finding"/>
    <w:semiHidden/>
    <w:rsid w:val="0099133A"/>
    <w:pPr>
      <w:spacing w:before="240"/>
    </w:pPr>
  </w:style>
  <w:style w:type="paragraph" w:customStyle="1" w:styleId="RecTitle">
    <w:name w:val="Rec Title"/>
    <w:basedOn w:val="BodyText"/>
    <w:next w:val="Rec"/>
    <w:qFormat/>
    <w:rsid w:val="0099133A"/>
    <w:pPr>
      <w:keepNext/>
      <w:keepLines/>
      <w:spacing w:line="280" w:lineRule="atLeast"/>
    </w:pPr>
    <w:rPr>
      <w:rFonts w:ascii="Arial" w:hAnsi="Arial"/>
      <w:caps/>
      <w:sz w:val="18"/>
    </w:rPr>
  </w:style>
  <w:style w:type="paragraph" w:customStyle="1" w:styleId="FindingTitle">
    <w:name w:val="Finding Title"/>
    <w:basedOn w:val="RecTitle"/>
    <w:next w:val="Finding"/>
    <w:rsid w:val="0099133A"/>
  </w:style>
  <w:style w:type="character" w:styleId="FootnoteReference">
    <w:name w:val="footnote reference"/>
    <w:basedOn w:val="DefaultParagraphFont"/>
    <w:semiHidden/>
    <w:rsid w:val="0099133A"/>
    <w:rPr>
      <w:rFonts w:ascii="Times New Roman" w:hAnsi="Times New Roman"/>
      <w:position w:val="6"/>
      <w:sz w:val="20"/>
      <w:vertAlign w:val="baseline"/>
    </w:rPr>
  </w:style>
  <w:style w:type="paragraph" w:styleId="FootnoteText">
    <w:name w:val="footnote text"/>
    <w:basedOn w:val="BodyText"/>
    <w:rsid w:val="0099133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9133A"/>
    <w:rPr>
      <w:i/>
    </w:rPr>
  </w:style>
  <w:style w:type="paragraph" w:customStyle="1" w:styleId="Jurisdictioncommentsbodytext">
    <w:name w:val="Jurisdiction comments body text"/>
    <w:rsid w:val="0099133A"/>
    <w:pPr>
      <w:spacing w:after="140"/>
      <w:jc w:val="both"/>
    </w:pPr>
    <w:rPr>
      <w:rFonts w:ascii="Arial" w:hAnsi="Arial"/>
      <w:sz w:val="24"/>
      <w:lang w:eastAsia="en-US"/>
    </w:rPr>
  </w:style>
  <w:style w:type="paragraph" w:customStyle="1" w:styleId="Jurisdictioncommentsheading">
    <w:name w:val="Jurisdiction comments heading"/>
    <w:rsid w:val="0099133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133A"/>
    <w:pPr>
      <w:numPr>
        <w:numId w:val="4"/>
      </w:numPr>
      <w:spacing w:after="140"/>
      <w:jc w:val="both"/>
    </w:pPr>
    <w:rPr>
      <w:rFonts w:ascii="Arial" w:hAnsi="Arial"/>
      <w:sz w:val="24"/>
      <w:lang w:eastAsia="en-US"/>
    </w:rPr>
  </w:style>
  <w:style w:type="paragraph" w:styleId="ListBullet">
    <w:name w:val="List Bullet"/>
    <w:basedOn w:val="BodyText"/>
    <w:rsid w:val="0099133A"/>
    <w:pPr>
      <w:numPr>
        <w:numId w:val="5"/>
      </w:numPr>
      <w:spacing w:before="120"/>
    </w:pPr>
  </w:style>
  <w:style w:type="paragraph" w:styleId="ListBullet2">
    <w:name w:val="List Bullet 2"/>
    <w:basedOn w:val="BodyText"/>
    <w:rsid w:val="0099133A"/>
    <w:pPr>
      <w:numPr>
        <w:numId w:val="6"/>
      </w:numPr>
      <w:spacing w:before="120"/>
    </w:pPr>
  </w:style>
  <w:style w:type="paragraph" w:styleId="ListBullet3">
    <w:name w:val="List Bullet 3"/>
    <w:basedOn w:val="BodyText"/>
    <w:rsid w:val="0099133A"/>
    <w:pPr>
      <w:numPr>
        <w:numId w:val="7"/>
      </w:numPr>
      <w:spacing w:before="120"/>
      <w:ind w:left="1020" w:hanging="340"/>
    </w:pPr>
  </w:style>
  <w:style w:type="paragraph" w:styleId="ListNumber">
    <w:name w:val="List Number"/>
    <w:basedOn w:val="BodyText"/>
    <w:rsid w:val="0099133A"/>
    <w:pPr>
      <w:numPr>
        <w:numId w:val="13"/>
      </w:numPr>
      <w:spacing w:before="120"/>
    </w:pPr>
  </w:style>
  <w:style w:type="paragraph" w:styleId="ListNumber2">
    <w:name w:val="List Number 2"/>
    <w:basedOn w:val="ListNumber"/>
    <w:rsid w:val="0099133A"/>
    <w:pPr>
      <w:numPr>
        <w:ilvl w:val="1"/>
      </w:numPr>
    </w:pPr>
  </w:style>
  <w:style w:type="paragraph" w:styleId="ListNumber3">
    <w:name w:val="List Number 3"/>
    <w:basedOn w:val="ListNumber2"/>
    <w:rsid w:val="0099133A"/>
    <w:pPr>
      <w:numPr>
        <w:ilvl w:val="2"/>
      </w:numPr>
    </w:pPr>
  </w:style>
  <w:style w:type="character" w:customStyle="1" w:styleId="NoteLabel">
    <w:name w:val="Note Label"/>
    <w:basedOn w:val="DefaultParagraphFont"/>
    <w:rsid w:val="0099133A"/>
    <w:rPr>
      <w:rFonts w:ascii="Arial" w:hAnsi="Arial"/>
      <w:b/>
      <w:position w:val="6"/>
      <w:sz w:val="18"/>
    </w:rPr>
  </w:style>
  <w:style w:type="paragraph" w:customStyle="1" w:styleId="PartDivider">
    <w:name w:val="Part Divider"/>
    <w:basedOn w:val="BodyText"/>
    <w:next w:val="BodyText"/>
    <w:semiHidden/>
    <w:rsid w:val="0099133A"/>
    <w:pPr>
      <w:spacing w:before="0" w:line="40" w:lineRule="exact"/>
      <w:jc w:val="right"/>
    </w:pPr>
    <w:rPr>
      <w:smallCaps/>
      <w:sz w:val="16"/>
    </w:rPr>
  </w:style>
  <w:style w:type="paragraph" w:customStyle="1" w:styleId="PartNumber">
    <w:name w:val="Part Number"/>
    <w:basedOn w:val="BodyText"/>
    <w:next w:val="BodyText"/>
    <w:semiHidden/>
    <w:rsid w:val="0099133A"/>
    <w:pPr>
      <w:spacing w:before="4000" w:line="320" w:lineRule="exact"/>
      <w:ind w:left="6634"/>
      <w:jc w:val="right"/>
    </w:pPr>
    <w:rPr>
      <w:smallCaps/>
      <w:spacing w:val="60"/>
      <w:sz w:val="32"/>
    </w:rPr>
  </w:style>
  <w:style w:type="paragraph" w:customStyle="1" w:styleId="PartTitle">
    <w:name w:val="Part Title"/>
    <w:basedOn w:val="BodyText"/>
    <w:semiHidden/>
    <w:rsid w:val="0099133A"/>
    <w:pPr>
      <w:spacing w:before="160" w:after="1360" w:line="520" w:lineRule="exact"/>
      <w:ind w:right="2381"/>
      <w:jc w:val="right"/>
    </w:pPr>
    <w:rPr>
      <w:smallCaps/>
      <w:sz w:val="52"/>
    </w:rPr>
  </w:style>
  <w:style w:type="paragraph" w:styleId="Quote">
    <w:name w:val="Quote"/>
    <w:basedOn w:val="BodyText"/>
    <w:next w:val="BodyText"/>
    <w:qFormat/>
    <w:rsid w:val="0099133A"/>
    <w:pPr>
      <w:spacing w:before="120" w:line="280" w:lineRule="exact"/>
      <w:ind w:left="340"/>
    </w:pPr>
    <w:rPr>
      <w:sz w:val="22"/>
    </w:rPr>
  </w:style>
  <w:style w:type="paragraph" w:customStyle="1" w:styleId="QuoteBullet">
    <w:name w:val="Quote Bullet"/>
    <w:basedOn w:val="Quote"/>
    <w:rsid w:val="0099133A"/>
    <w:pPr>
      <w:numPr>
        <w:numId w:val="8"/>
      </w:numPr>
    </w:pPr>
  </w:style>
  <w:style w:type="paragraph" w:customStyle="1" w:styleId="Rec">
    <w:name w:val="Rec"/>
    <w:basedOn w:val="BodyText"/>
    <w:qFormat/>
    <w:rsid w:val="0099133A"/>
    <w:pPr>
      <w:keepLines/>
      <w:spacing w:before="120" w:line="280" w:lineRule="atLeast"/>
    </w:pPr>
    <w:rPr>
      <w:rFonts w:ascii="Arial" w:hAnsi="Arial"/>
      <w:sz w:val="22"/>
    </w:rPr>
  </w:style>
  <w:style w:type="paragraph" w:customStyle="1" w:styleId="RecBullet">
    <w:name w:val="Rec Bullet"/>
    <w:basedOn w:val="Rec"/>
    <w:rsid w:val="0099133A"/>
    <w:pPr>
      <w:numPr>
        <w:numId w:val="9"/>
      </w:numPr>
      <w:spacing w:before="80"/>
    </w:pPr>
  </w:style>
  <w:style w:type="paragraph" w:customStyle="1" w:styleId="RecB">
    <w:name w:val="RecB"/>
    <w:basedOn w:val="Normal"/>
    <w:semiHidden/>
    <w:rsid w:val="0099133A"/>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9133A"/>
    <w:pPr>
      <w:numPr>
        <w:numId w:val="10"/>
      </w:numPr>
      <w:spacing w:before="80"/>
    </w:pPr>
  </w:style>
  <w:style w:type="paragraph" w:customStyle="1" w:styleId="RecBNoTitle">
    <w:name w:val="RecB NoTitle"/>
    <w:basedOn w:val="RecB"/>
    <w:semiHidden/>
    <w:rsid w:val="0099133A"/>
    <w:pPr>
      <w:spacing w:before="240"/>
    </w:pPr>
  </w:style>
  <w:style w:type="paragraph" w:customStyle="1" w:styleId="Reference">
    <w:name w:val="Reference"/>
    <w:basedOn w:val="BodyText"/>
    <w:rsid w:val="0099133A"/>
    <w:pPr>
      <w:spacing w:before="120"/>
      <w:ind w:left="340" w:hanging="340"/>
    </w:pPr>
  </w:style>
  <w:style w:type="paragraph" w:customStyle="1" w:styleId="SequenceInfo">
    <w:name w:val="Sequence Info"/>
    <w:basedOn w:val="BodyText"/>
    <w:semiHidden/>
    <w:rsid w:val="0099133A"/>
    <w:rPr>
      <w:vanish/>
      <w:sz w:val="16"/>
    </w:rPr>
  </w:style>
  <w:style w:type="paragraph" w:customStyle="1" w:styleId="SideNote">
    <w:name w:val="Side Note"/>
    <w:basedOn w:val="BodyText"/>
    <w:next w:val="BodyText"/>
    <w:semiHidden/>
    <w:rsid w:val="0099133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9133A"/>
    <w:pPr>
      <w:framePr w:wrap="around"/>
      <w:numPr>
        <w:numId w:val="11"/>
      </w:numPr>
      <w:tabs>
        <w:tab w:val="left" w:pos="227"/>
      </w:tabs>
    </w:pPr>
  </w:style>
  <w:style w:type="paragraph" w:customStyle="1" w:styleId="SideNoteGraphic">
    <w:name w:val="Side Note Graphic"/>
    <w:basedOn w:val="SideNote"/>
    <w:next w:val="BodyText"/>
    <w:semiHidden/>
    <w:rsid w:val="0099133A"/>
    <w:pPr>
      <w:framePr w:wrap="around"/>
    </w:pPr>
  </w:style>
  <w:style w:type="paragraph" w:customStyle="1" w:styleId="TableBodyText">
    <w:name w:val="Table Body Text"/>
    <w:basedOn w:val="BodyText"/>
    <w:rsid w:val="0099133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9133A"/>
    <w:pPr>
      <w:numPr>
        <w:numId w:val="12"/>
      </w:numPr>
      <w:jc w:val="left"/>
    </w:pPr>
  </w:style>
  <w:style w:type="paragraph" w:customStyle="1" w:styleId="TableColumnHeading">
    <w:name w:val="Table Column Heading"/>
    <w:basedOn w:val="TableBodyText"/>
    <w:rsid w:val="0099133A"/>
    <w:pPr>
      <w:spacing w:before="80" w:after="80"/>
    </w:pPr>
    <w:rPr>
      <w:i/>
    </w:rPr>
  </w:style>
  <w:style w:type="paragraph" w:styleId="TOC2">
    <w:name w:val="toc 2"/>
    <w:basedOn w:val="TOC1"/>
    <w:rsid w:val="0099133A"/>
    <w:pPr>
      <w:ind w:left="1134" w:hanging="624"/>
    </w:pPr>
    <w:rPr>
      <w:b w:val="0"/>
    </w:rPr>
  </w:style>
  <w:style w:type="paragraph" w:styleId="TOC3">
    <w:name w:val="toc 3"/>
    <w:basedOn w:val="TOC2"/>
    <w:rsid w:val="0099133A"/>
    <w:pPr>
      <w:spacing w:before="60"/>
      <w:ind w:left="1190" w:hanging="680"/>
    </w:pPr>
  </w:style>
  <w:style w:type="paragraph" w:styleId="TableofFigures">
    <w:name w:val="table of figures"/>
    <w:basedOn w:val="TOC3"/>
    <w:next w:val="BodyText"/>
    <w:semiHidden/>
    <w:rsid w:val="0099133A"/>
    <w:pPr>
      <w:ind w:left="737" w:hanging="737"/>
    </w:pPr>
  </w:style>
  <w:style w:type="paragraph" w:customStyle="1" w:styleId="TableTitle">
    <w:name w:val="Table Title"/>
    <w:basedOn w:val="Caption"/>
    <w:next w:val="Subtitle"/>
    <w:qFormat/>
    <w:rsid w:val="0099133A"/>
    <w:pPr>
      <w:spacing w:before="120"/>
    </w:pPr>
  </w:style>
  <w:style w:type="paragraph" w:customStyle="1" w:styleId="TableUnitsRow">
    <w:name w:val="Table Units Row"/>
    <w:basedOn w:val="TableBodyText"/>
    <w:rsid w:val="0099133A"/>
    <w:pPr>
      <w:spacing w:before="40"/>
    </w:pPr>
  </w:style>
  <w:style w:type="paragraph" w:styleId="TOC1">
    <w:name w:val="toc 1"/>
    <w:basedOn w:val="Normal"/>
    <w:next w:val="TOC2"/>
    <w:link w:val="TOC1Char"/>
    <w:rsid w:val="0099133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9133A"/>
    <w:pPr>
      <w:ind w:left="1191" w:firstLine="0"/>
    </w:pPr>
  </w:style>
  <w:style w:type="paragraph" w:customStyle="1" w:styleId="RecBBullet2">
    <w:name w:val="RecB Bullet 2"/>
    <w:basedOn w:val="ListBullet2"/>
    <w:semiHidden/>
    <w:rsid w:val="0099133A"/>
    <w:pPr>
      <w:pBdr>
        <w:left w:val="single" w:sz="24" w:space="29" w:color="C0C0C0"/>
      </w:pBdr>
    </w:pPr>
    <w:rPr>
      <w:b/>
      <w:i/>
    </w:rPr>
  </w:style>
  <w:style w:type="paragraph" w:styleId="BalloonText">
    <w:name w:val="Balloon Text"/>
    <w:basedOn w:val="Normal"/>
    <w:link w:val="BalloonTextChar"/>
    <w:rsid w:val="0099133A"/>
    <w:rPr>
      <w:rFonts w:ascii="Tahoma" w:hAnsi="Tahoma" w:cs="Tahoma"/>
      <w:sz w:val="16"/>
      <w:szCs w:val="16"/>
    </w:rPr>
  </w:style>
  <w:style w:type="character" w:customStyle="1" w:styleId="BalloonTextChar">
    <w:name w:val="Balloon Text Char"/>
    <w:basedOn w:val="DefaultParagraphFont"/>
    <w:link w:val="BalloonText"/>
    <w:rsid w:val="0099133A"/>
    <w:rPr>
      <w:rFonts w:ascii="Tahoma" w:hAnsi="Tahoma" w:cs="Tahoma"/>
      <w:sz w:val="16"/>
      <w:szCs w:val="16"/>
    </w:rPr>
  </w:style>
  <w:style w:type="character" w:customStyle="1" w:styleId="SubtitleChar">
    <w:name w:val="Subtitle Char"/>
    <w:basedOn w:val="DefaultParagraphFont"/>
    <w:link w:val="Subtitle"/>
    <w:rsid w:val="0099133A"/>
    <w:rPr>
      <w:rFonts w:ascii="Arial" w:hAnsi="Arial"/>
      <w:szCs w:val="24"/>
    </w:rPr>
  </w:style>
  <w:style w:type="paragraph" w:customStyle="1" w:styleId="BoxListBullet3">
    <w:name w:val="Box List Bullet 3"/>
    <w:basedOn w:val="ListBullet3"/>
    <w:rsid w:val="0099133A"/>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9133A"/>
    <w:rPr>
      <w:i/>
      <w:iCs/>
    </w:rPr>
  </w:style>
  <w:style w:type="paragraph" w:customStyle="1" w:styleId="BoxQuoteBullet">
    <w:name w:val="Box Quote Bullet"/>
    <w:basedOn w:val="BoxQuote"/>
    <w:next w:val="Box"/>
    <w:rsid w:val="0099133A"/>
    <w:pPr>
      <w:numPr>
        <w:numId w:val="15"/>
      </w:numPr>
      <w:ind w:left="568" w:hanging="284"/>
    </w:pPr>
  </w:style>
  <w:style w:type="paragraph" w:customStyle="1" w:styleId="InformationRequestBullet">
    <w:name w:val="Information Request Bullet"/>
    <w:basedOn w:val="ListBullet"/>
    <w:next w:val="BodyText"/>
    <w:rsid w:val="0099133A"/>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9133A"/>
    <w:pPr>
      <w:keepNext w:val="0"/>
      <w:spacing w:before="60" w:after="60" w:line="80" w:lineRule="exact"/>
    </w:pPr>
    <w:rPr>
      <w:sz w:val="14"/>
    </w:rPr>
  </w:style>
  <w:style w:type="paragraph" w:styleId="CommentSubject">
    <w:name w:val="annotation subject"/>
    <w:basedOn w:val="CommentText"/>
    <w:next w:val="CommentText"/>
    <w:link w:val="CommentSubjectChar"/>
    <w:rsid w:val="004179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17900"/>
    <w:rPr>
      <w:szCs w:val="24"/>
    </w:rPr>
  </w:style>
  <w:style w:type="character" w:customStyle="1" w:styleId="CommentSubjectChar">
    <w:name w:val="Comment Subject Char"/>
    <w:basedOn w:val="CommentTextChar"/>
    <w:link w:val="CommentSubject"/>
    <w:rsid w:val="00417900"/>
    <w:rPr>
      <w:b/>
      <w:bCs/>
      <w:szCs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rsid w:val="0099133A"/>
    <w:rPr>
      <w:sz w:val="24"/>
    </w:rPr>
  </w:style>
  <w:style w:type="character" w:customStyle="1" w:styleId="Heading2Char">
    <w:name w:val="Heading 2 Char"/>
    <w:link w:val="Heading2"/>
    <w:rsid w:val="00DB7E7B"/>
    <w:rPr>
      <w:rFonts w:ascii="Arial" w:hAnsi="Arial"/>
      <w:b/>
      <w:sz w:val="32"/>
    </w:rPr>
  </w:style>
  <w:style w:type="paragraph" w:styleId="Revision">
    <w:name w:val="Revision"/>
    <w:hidden/>
    <w:uiPriority w:val="99"/>
    <w:semiHidden/>
    <w:rsid w:val="00A3434B"/>
    <w:rPr>
      <w:sz w:val="26"/>
      <w:szCs w:val="24"/>
    </w:rPr>
  </w:style>
  <w:style w:type="character" w:styleId="Hyperlink">
    <w:name w:val="Hyperlink"/>
    <w:basedOn w:val="DefaultParagraphFont"/>
    <w:rsid w:val="003561CB"/>
    <w:rPr>
      <w:color w:val="0000FF" w:themeColor="hyperlink"/>
      <w:u w:val="single"/>
    </w:rPr>
  </w:style>
  <w:style w:type="paragraph" w:customStyle="1" w:styleId="KeyPointsListBullet">
    <w:name w:val="Key Points List Bullet"/>
    <w:basedOn w:val="Normal"/>
    <w:qFormat/>
    <w:rsid w:val="0099133A"/>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9133A"/>
    <w:pPr>
      <w:numPr>
        <w:numId w:val="19"/>
      </w:numPr>
      <w:ind w:left="568" w:hanging="284"/>
    </w:pPr>
  </w:style>
  <w:style w:type="paragraph" w:customStyle="1" w:styleId="InformationRequestTitle">
    <w:name w:val="Information Request Title"/>
    <w:basedOn w:val="FindingTitle"/>
    <w:next w:val="InformationRequest"/>
    <w:rsid w:val="0099133A"/>
    <w:rPr>
      <w:i/>
    </w:rPr>
  </w:style>
  <w:style w:type="paragraph" w:customStyle="1" w:styleId="Space">
    <w:name w:val="Space"/>
    <w:basedOn w:val="Normal"/>
    <w:rsid w:val="0099133A"/>
    <w:pPr>
      <w:keepNext/>
      <w:spacing w:line="120" w:lineRule="exact"/>
      <w:jc w:val="both"/>
    </w:pPr>
    <w:rPr>
      <w:rFonts w:ascii="Arial" w:hAnsi="Arial"/>
      <w:sz w:val="20"/>
      <w:szCs w:val="20"/>
    </w:rPr>
  </w:style>
  <w:style w:type="paragraph" w:customStyle="1" w:styleId="Heading1nochapterno">
    <w:name w:val="Heading 1 (no chapter no.)"/>
    <w:basedOn w:val="Heading1"/>
    <w:rsid w:val="0099133A"/>
    <w:pPr>
      <w:spacing w:before="0"/>
      <w:ind w:left="0" w:firstLine="0"/>
    </w:pPr>
  </w:style>
  <w:style w:type="paragraph" w:customStyle="1" w:styleId="Heading2nosectionno">
    <w:name w:val="Heading 2 (no section no.)"/>
    <w:basedOn w:val="Heading2"/>
    <w:rsid w:val="0099133A"/>
    <w:pPr>
      <w:ind w:left="0" w:firstLine="0"/>
    </w:pPr>
  </w:style>
  <w:style w:type="character" w:customStyle="1" w:styleId="Heading5Char">
    <w:name w:val="Heading 5 Char"/>
    <w:basedOn w:val="DefaultParagraphFont"/>
    <w:link w:val="Heading5"/>
    <w:rsid w:val="0099133A"/>
    <w:rPr>
      <w:rFonts w:ascii="Arial" w:hAnsi="Arial"/>
      <w:i/>
      <w:sz w:val="22"/>
    </w:rPr>
  </w:style>
  <w:style w:type="paragraph" w:customStyle="1" w:styleId="Figurespace">
    <w:name w:val="Figure space"/>
    <w:basedOn w:val="Box"/>
    <w:rsid w:val="0099133A"/>
    <w:pPr>
      <w:spacing w:before="0" w:line="120" w:lineRule="exact"/>
    </w:pPr>
  </w:style>
  <w:style w:type="paragraph" w:customStyle="1" w:styleId="FooterDraftReport">
    <w:name w:val="FooterDraftReport"/>
    <w:basedOn w:val="Footer"/>
    <w:link w:val="FooterDraftReportChar"/>
    <w:rsid w:val="0099133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99133A"/>
    <w:rPr>
      <w:rFonts w:ascii="Arial" w:hAnsi="Arial"/>
      <w:caps/>
      <w:spacing w:val="-4"/>
      <w:sz w:val="16"/>
    </w:rPr>
  </w:style>
  <w:style w:type="character" w:customStyle="1" w:styleId="FooterDraftReportChar">
    <w:name w:val="FooterDraftReport Char"/>
    <w:basedOn w:val="FooterChar"/>
    <w:link w:val="FooterDraftReport"/>
    <w:rsid w:val="0099133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991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99133A"/>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62382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8.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3.xml"/><Relationship Id="rId10" Type="http://schemas.openxmlformats.org/officeDocument/2006/relationships/chart" Target="charts/chart2.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oleObject" Target="NULL" TargetMode="External"/><Relationship Id="rId2" Type="http://schemas.openxmlformats.org/officeDocument/2006/relationships/image" Target="../media/image1.png"/><Relationship Id="rId1" Type="http://schemas.openxmlformats.org/officeDocument/2006/relationships/themeOverride" Target="../theme/themeOverrid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6825185185185191E-2"/>
          <c:y val="4.8506944444444443E-2"/>
          <c:w val="0.89730444444444446"/>
          <c:h val="0.53605763888888891"/>
        </c:manualLayout>
      </c:layout>
      <c:lineChart>
        <c:grouping val="standard"/>
        <c:varyColors val="0"/>
        <c:ser>
          <c:idx val="0"/>
          <c:order val="0"/>
          <c:tx>
            <c:strRef>
              <c:f>'Financial year 2011-12 prices'!$B$1</c:f>
              <c:strCache>
                <c:ptCount val="1"/>
                <c:pt idx="0">
                  <c:v>Gold, silver and base metals</c:v>
                </c:pt>
              </c:strCache>
            </c:strRef>
          </c:tx>
          <c:spPr>
            <a:ln>
              <a:solidFill>
                <a:schemeClr val="tx1"/>
              </a:solidFill>
            </a:ln>
          </c:spPr>
          <c:marker>
            <c:spPr>
              <a:solidFill>
                <a:schemeClr val="tx1"/>
              </a:solidFill>
              <a:ln>
                <a:solidFill>
                  <a:schemeClr val="tx1"/>
                </a:solidFill>
              </a:ln>
            </c:spPr>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prices'!$B$2:$B$25</c:f>
              <c:numCache>
                <c:formatCode>General</c:formatCode>
                <c:ptCount val="24"/>
                <c:pt idx="0">
                  <c:v>1.0650784337343053</c:v>
                </c:pt>
                <c:pt idx="1">
                  <c:v>0.83694878083494695</c:v>
                </c:pt>
                <c:pt idx="2">
                  <c:v>0.83690091756782525</c:v>
                </c:pt>
                <c:pt idx="3">
                  <c:v>0.78551499881206499</c:v>
                </c:pt>
                <c:pt idx="4">
                  <c:v>0.87204464876770815</c:v>
                </c:pt>
                <c:pt idx="5">
                  <c:v>1.1069915467879834</c:v>
                </c:pt>
                <c:pt idx="6">
                  <c:v>1.26736228957092</c:v>
                </c:pt>
                <c:pt idx="7">
                  <c:v>1.305310136813624</c:v>
                </c:pt>
                <c:pt idx="8">
                  <c:v>1.5122268599004087</c:v>
                </c:pt>
                <c:pt idx="9">
                  <c:v>1.397458553239455</c:v>
                </c:pt>
                <c:pt idx="10">
                  <c:v>1.052736865319577</c:v>
                </c:pt>
                <c:pt idx="11">
                  <c:v>0.82215005592066426</c:v>
                </c:pt>
                <c:pt idx="12">
                  <c:v>0.79142475526702072</c:v>
                </c:pt>
                <c:pt idx="13">
                  <c:v>0.66719108302657015</c:v>
                </c:pt>
                <c:pt idx="14">
                  <c:v>0.72825282331412466</c:v>
                </c:pt>
                <c:pt idx="15">
                  <c:v>0.74279433735899325</c:v>
                </c:pt>
                <c:pt idx="16">
                  <c:v>0.85314869058375997</c:v>
                </c:pt>
                <c:pt idx="17">
                  <c:v>0.94142094332991078</c:v>
                </c:pt>
                <c:pt idx="18">
                  <c:v>1.2001237370771882</c:v>
                </c:pt>
                <c:pt idx="19">
                  <c:v>1.5610217798837218</c:v>
                </c:pt>
                <c:pt idx="20">
                  <c:v>1.0306219250023945</c:v>
                </c:pt>
                <c:pt idx="21">
                  <c:v>1.1030959864553174</c:v>
                </c:pt>
                <c:pt idx="22">
                  <c:v>1.3343038303604002</c:v>
                </c:pt>
                <c:pt idx="23">
                  <c:v>1.5545056876635892</c:v>
                </c:pt>
              </c:numCache>
            </c:numRef>
          </c:val>
          <c:smooth val="0"/>
        </c:ser>
        <c:ser>
          <c:idx val="1"/>
          <c:order val="1"/>
          <c:tx>
            <c:strRef>
              <c:f>'Financial year 2011-12 prices'!$C$1</c:f>
              <c:strCache>
                <c:ptCount val="1"/>
                <c:pt idx="0">
                  <c:v>Petroleum</c:v>
                </c:pt>
              </c:strCache>
            </c:strRef>
          </c:tx>
          <c:spPr>
            <a:ln>
              <a:solidFill>
                <a:sysClr val="window" lastClr="FFFFFF">
                  <a:lumMod val="50000"/>
                </a:sysClr>
              </a:solidFill>
              <a:prstDash val="solid"/>
            </a:ln>
            <a:effectLst/>
          </c:spPr>
          <c:marker>
            <c:symbol val="square"/>
            <c:size val="5"/>
            <c:spPr>
              <a:solidFill>
                <a:schemeClr val="bg1">
                  <a:lumMod val="50000"/>
                </a:schemeClr>
              </a:solidFill>
              <a:ln>
                <a:solidFill>
                  <a:schemeClr val="bg1">
                    <a:lumMod val="50000"/>
                  </a:schemeClr>
                </a:solidFill>
              </a:ln>
              <a:effectLst/>
            </c:spPr>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prices'!$C$2:$C$25</c:f>
              <c:numCache>
                <c:formatCode>General</c:formatCode>
                <c:ptCount val="24"/>
                <c:pt idx="0">
                  <c:v>1.2273381186973549</c:v>
                </c:pt>
                <c:pt idx="1">
                  <c:v>1.061203257256357</c:v>
                </c:pt>
                <c:pt idx="2">
                  <c:v>1.0317998366255872</c:v>
                </c:pt>
                <c:pt idx="3">
                  <c:v>0.82817818805785448</c:v>
                </c:pt>
                <c:pt idx="4">
                  <c:v>1.0600127811218669</c:v>
                </c:pt>
                <c:pt idx="5">
                  <c:v>0.86925307406391694</c:v>
                </c:pt>
                <c:pt idx="6">
                  <c:v>1.1287240800362863</c:v>
                </c:pt>
                <c:pt idx="7">
                  <c:v>1.1266657521141705</c:v>
                </c:pt>
                <c:pt idx="8">
                  <c:v>1.3086022887531603</c:v>
                </c:pt>
                <c:pt idx="9">
                  <c:v>1.4654759781816664</c:v>
                </c:pt>
                <c:pt idx="10">
                  <c:v>1.3519279724805109</c:v>
                </c:pt>
                <c:pt idx="11">
                  <c:v>1.0845163573184566</c:v>
                </c:pt>
                <c:pt idx="12">
                  <c:v>1.51331826390313</c:v>
                </c:pt>
                <c:pt idx="13">
                  <c:v>1.269805901132411</c:v>
                </c:pt>
                <c:pt idx="14">
                  <c:v>1.3910780957046167</c:v>
                </c:pt>
                <c:pt idx="15">
                  <c:v>1.2792193008344164</c:v>
                </c:pt>
                <c:pt idx="16">
                  <c:v>1.3643503722552779</c:v>
                </c:pt>
                <c:pt idx="17">
                  <c:v>1.5700842492821632</c:v>
                </c:pt>
                <c:pt idx="18">
                  <c:v>2.6411185207567733</c:v>
                </c:pt>
                <c:pt idx="19">
                  <c:v>3.4429280641734215</c:v>
                </c:pt>
                <c:pt idx="20">
                  <c:v>4.1135287020421689</c:v>
                </c:pt>
                <c:pt idx="21">
                  <c:v>3.7328470518411034</c:v>
                </c:pt>
                <c:pt idx="22">
                  <c:v>3.3494288392795757</c:v>
                </c:pt>
                <c:pt idx="23">
                  <c:v>3.1777909285180099</c:v>
                </c:pt>
              </c:numCache>
            </c:numRef>
          </c:val>
          <c:smooth val="0"/>
        </c:ser>
        <c:ser>
          <c:idx val="2"/>
          <c:order val="2"/>
          <c:tx>
            <c:strRef>
              <c:f>'Financial year 2011-12 prices'!$D$1</c:f>
              <c:strCache>
                <c:ptCount val="1"/>
                <c:pt idx="0">
                  <c:v>Iron ore</c:v>
                </c:pt>
              </c:strCache>
            </c:strRef>
          </c:tx>
          <c:spPr>
            <a:ln>
              <a:solidFill>
                <a:sysClr val="windowText" lastClr="000000"/>
              </a:solidFill>
              <a:prstDash val="sysDot"/>
            </a:ln>
            <a:effectLst/>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prices'!$D$2:$D$25</c:f>
              <c:numCache>
                <c:formatCode>General</c:formatCode>
                <c:ptCount val="24"/>
                <c:pt idx="0">
                  <c:v>1.380365391517622E-2</c:v>
                </c:pt>
                <c:pt idx="1">
                  <c:v>2.054685672139803E-2</c:v>
                </c:pt>
                <c:pt idx="2">
                  <c:v>1.9853007421801207E-2</c:v>
                </c:pt>
                <c:pt idx="3">
                  <c:v>6.4464547325152916E-2</c:v>
                </c:pt>
                <c:pt idx="4">
                  <c:v>4.1649732844882215E-2</c:v>
                </c:pt>
                <c:pt idx="5">
                  <c:v>3.2303257988871438E-2</c:v>
                </c:pt>
                <c:pt idx="6">
                  <c:v>2.0093448897382848E-2</c:v>
                </c:pt>
                <c:pt idx="7">
                  <c:v>2.3066344527561147E-2</c:v>
                </c:pt>
                <c:pt idx="8">
                  <c:v>4.1688002892352194E-2</c:v>
                </c:pt>
                <c:pt idx="9">
                  <c:v>4.7879467056000172E-2</c:v>
                </c:pt>
                <c:pt idx="10">
                  <c:v>6.6083443157483296E-2</c:v>
                </c:pt>
                <c:pt idx="11">
                  <c:v>4.1528146004843731E-2</c:v>
                </c:pt>
                <c:pt idx="12">
                  <c:v>3.4635575339571442E-2</c:v>
                </c:pt>
                <c:pt idx="13">
                  <c:v>3.6191776499317409E-2</c:v>
                </c:pt>
                <c:pt idx="14">
                  <c:v>6.2211615648982574E-2</c:v>
                </c:pt>
                <c:pt idx="15">
                  <c:v>8.6212216383001333E-2</c:v>
                </c:pt>
                <c:pt idx="16">
                  <c:v>0.17995875819206794</c:v>
                </c:pt>
                <c:pt idx="17">
                  <c:v>0.20069709126479643</c:v>
                </c:pt>
                <c:pt idx="18">
                  <c:v>0.33895301267879824</c:v>
                </c:pt>
                <c:pt idx="19">
                  <c:v>0.50983566246354306</c:v>
                </c:pt>
                <c:pt idx="20">
                  <c:v>0.63467592351679336</c:v>
                </c:pt>
                <c:pt idx="21">
                  <c:v>0.5608794926814189</c:v>
                </c:pt>
                <c:pt idx="22">
                  <c:v>0.67078903251390287</c:v>
                </c:pt>
                <c:pt idx="23">
                  <c:v>1.144192567276894</c:v>
                </c:pt>
              </c:numCache>
            </c:numRef>
          </c:val>
          <c:smooth val="0"/>
        </c:ser>
        <c:ser>
          <c:idx val="3"/>
          <c:order val="3"/>
          <c:tx>
            <c:strRef>
              <c:f>'Financial year 2011-12 prices'!$E$1</c:f>
              <c:strCache>
                <c:ptCount val="1"/>
                <c:pt idx="0">
                  <c:v>Coal</c:v>
                </c:pt>
              </c:strCache>
            </c:strRef>
          </c:tx>
          <c:spPr>
            <a:ln cmpd="sng">
              <a:solidFill>
                <a:schemeClr val="bg1">
                  <a:lumMod val="50000"/>
                </a:schemeClr>
              </a:solidFill>
            </a:ln>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prices'!$E$2:$E$25</c:f>
              <c:numCache>
                <c:formatCode>General</c:formatCode>
                <c:ptCount val="24"/>
                <c:pt idx="0">
                  <c:v>5.615590443403852E-2</c:v>
                </c:pt>
                <c:pt idx="1">
                  <c:v>6.0992809692492149E-2</c:v>
                </c:pt>
                <c:pt idx="2">
                  <c:v>4.0934845572262388E-2</c:v>
                </c:pt>
                <c:pt idx="3">
                  <c:v>4.8005340893311065E-2</c:v>
                </c:pt>
                <c:pt idx="4">
                  <c:v>4.1944876646512579E-2</c:v>
                </c:pt>
                <c:pt idx="5">
                  <c:v>4.7341566311599449E-2</c:v>
                </c:pt>
                <c:pt idx="6">
                  <c:v>6.3803489710980946E-2</c:v>
                </c:pt>
                <c:pt idx="7">
                  <c:v>8.6087035195501094E-2</c:v>
                </c:pt>
                <c:pt idx="8">
                  <c:v>0.11398284332579477</c:v>
                </c:pt>
                <c:pt idx="9">
                  <c:v>0.10341953842550372</c:v>
                </c:pt>
                <c:pt idx="10">
                  <c:v>6.3302140354743894E-2</c:v>
                </c:pt>
                <c:pt idx="11">
                  <c:v>5.4619184387277531E-2</c:v>
                </c:pt>
                <c:pt idx="12">
                  <c:v>6.081460922320258E-2</c:v>
                </c:pt>
                <c:pt idx="13">
                  <c:v>7.2443965730271079E-2</c:v>
                </c:pt>
                <c:pt idx="14">
                  <c:v>0.10871473167005923</c:v>
                </c:pt>
                <c:pt idx="15">
                  <c:v>0.11040592256897461</c:v>
                </c:pt>
                <c:pt idx="16">
                  <c:v>0.16554165301926929</c:v>
                </c:pt>
                <c:pt idx="17">
                  <c:v>0.20697647340976455</c:v>
                </c:pt>
                <c:pt idx="18">
                  <c:v>0.22982130361543687</c:v>
                </c:pt>
                <c:pt idx="19">
                  <c:v>0.26613191064955827</c:v>
                </c:pt>
                <c:pt idx="20">
                  <c:v>0.32080654528713465</c:v>
                </c:pt>
                <c:pt idx="21">
                  <c:v>0.34357521669082008</c:v>
                </c:pt>
                <c:pt idx="22">
                  <c:v>0.52325045965407957</c:v>
                </c:pt>
                <c:pt idx="23">
                  <c:v>0.82931692559145465</c:v>
                </c:pt>
              </c:numCache>
            </c:numRef>
          </c:val>
          <c:smooth val="0"/>
        </c:ser>
        <c:ser>
          <c:idx val="4"/>
          <c:order val="4"/>
          <c:tx>
            <c:strRef>
              <c:f>'Financial year 2011-12 prices'!$F$1</c:f>
              <c:strCache>
                <c:ptCount val="1"/>
                <c:pt idx="0">
                  <c:v>Total mining</c:v>
                </c:pt>
              </c:strCache>
            </c:strRef>
          </c:tx>
          <c:spPr>
            <a:ln w="34925">
              <a:solidFill>
                <a:sysClr val="windowText" lastClr="000000"/>
              </a:solidFill>
              <a:prstDash val="solid"/>
            </a:ln>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prices'!$F$2:$F$25</c:f>
              <c:numCache>
                <c:formatCode>General</c:formatCode>
                <c:ptCount val="24"/>
                <c:pt idx="0">
                  <c:v>2.5807925016633764</c:v>
                </c:pt>
                <c:pt idx="1">
                  <c:v>2.1676406608334848</c:v>
                </c:pt>
                <c:pt idx="2">
                  <c:v>2.0974664504446352</c:v>
                </c:pt>
                <c:pt idx="3">
                  <c:v>1.8833937142565451</c:v>
                </c:pt>
                <c:pt idx="4">
                  <c:v>2.1545967645159458</c:v>
                </c:pt>
                <c:pt idx="5">
                  <c:v>2.2286742340041497</c:v>
                </c:pt>
                <c:pt idx="6">
                  <c:v>2.6271099115778016</c:v>
                </c:pt>
                <c:pt idx="7">
                  <c:v>2.6808153004191202</c:v>
                </c:pt>
                <c:pt idx="8">
                  <c:v>3.1659833125637826</c:v>
                </c:pt>
                <c:pt idx="9">
                  <c:v>3.1684053392856231</c:v>
                </c:pt>
                <c:pt idx="10">
                  <c:v>2.6825647854911931</c:v>
                </c:pt>
                <c:pt idx="11">
                  <c:v>2.1187387951114687</c:v>
                </c:pt>
                <c:pt idx="12">
                  <c:v>2.511369265775877</c:v>
                </c:pt>
                <c:pt idx="13">
                  <c:v>2.1906201593947996</c:v>
                </c:pt>
                <c:pt idx="14">
                  <c:v>2.416104360195733</c:v>
                </c:pt>
                <c:pt idx="15">
                  <c:v>2.3443590442605942</c:v>
                </c:pt>
                <c:pt idx="16">
                  <c:v>2.7076629248976665</c:v>
                </c:pt>
                <c:pt idx="17">
                  <c:v>3.114736423761884</c:v>
                </c:pt>
                <c:pt idx="18">
                  <c:v>4.677454266748442</c:v>
                </c:pt>
                <c:pt idx="19">
                  <c:v>6.2339812682688684</c:v>
                </c:pt>
                <c:pt idx="20">
                  <c:v>6.5095175617364855</c:v>
                </c:pt>
                <c:pt idx="21">
                  <c:v>6.1144578709614743</c:v>
                </c:pt>
                <c:pt idx="22">
                  <c:v>6.3196816440724266</c:v>
                </c:pt>
                <c:pt idx="23">
                  <c:v>7.1012835747495302</c:v>
                </c:pt>
              </c:numCache>
            </c:numRef>
          </c:val>
          <c:smooth val="0"/>
        </c:ser>
        <c:dLbls>
          <c:showLegendKey val="0"/>
          <c:showVal val="0"/>
          <c:showCatName val="0"/>
          <c:showSerName val="0"/>
          <c:showPercent val="0"/>
          <c:showBubbleSize val="0"/>
        </c:dLbls>
        <c:marker val="1"/>
        <c:smooth val="0"/>
        <c:axId val="158874624"/>
        <c:axId val="158884224"/>
      </c:lineChart>
      <c:catAx>
        <c:axId val="158874624"/>
        <c:scaling>
          <c:orientation val="minMax"/>
        </c:scaling>
        <c:delete val="0"/>
        <c:axPos val="b"/>
        <c:majorTickMark val="out"/>
        <c:minorTickMark val="none"/>
        <c:tickLblPos val="nextTo"/>
        <c:crossAx val="158884224"/>
        <c:crosses val="autoZero"/>
        <c:auto val="1"/>
        <c:lblAlgn val="ctr"/>
        <c:lblOffset val="100"/>
        <c:noMultiLvlLbl val="0"/>
      </c:catAx>
      <c:valAx>
        <c:axId val="158884224"/>
        <c:scaling>
          <c:orientation val="minMax"/>
        </c:scaling>
        <c:delete val="0"/>
        <c:axPos val="l"/>
        <c:majorGridlines/>
        <c:title>
          <c:tx>
            <c:rich>
              <a:bodyPr rot="-5400000" vert="horz"/>
              <a:lstStyle/>
              <a:p>
                <a:pPr>
                  <a:defRPr/>
                </a:pPr>
                <a:r>
                  <a:rPr lang="en-AU"/>
                  <a:t>$b</a:t>
                </a:r>
              </a:p>
            </c:rich>
          </c:tx>
          <c:layout/>
          <c:overlay val="0"/>
        </c:title>
        <c:numFmt formatCode="General" sourceLinked="1"/>
        <c:majorTickMark val="out"/>
        <c:minorTickMark val="none"/>
        <c:tickLblPos val="nextTo"/>
        <c:spPr>
          <a:ln>
            <a:solidFill>
              <a:schemeClr val="tx1"/>
            </a:solidFill>
          </a:ln>
        </c:spPr>
        <c:crossAx val="158874624"/>
        <c:crosses val="autoZero"/>
        <c:crossBetween val="between"/>
      </c:valAx>
      <c:spPr>
        <a:noFill/>
        <a:ln>
          <a:solidFill>
            <a:schemeClr val="tx1"/>
          </a:solidFill>
        </a:ln>
      </c:spPr>
    </c:plotArea>
    <c:legend>
      <c:legendPos val="b"/>
      <c:layout>
        <c:manualLayout>
          <c:xMode val="edge"/>
          <c:yMode val="edge"/>
          <c:x val="0"/>
          <c:y val="0.82056979166666666"/>
          <c:w val="0.98853037037037039"/>
          <c:h val="0.1529718749999999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Sheet1!$A$17</c:f>
              <c:strCache>
                <c:ptCount val="1"/>
                <c:pt idx="0">
                  <c:v>% of land area</c:v>
                </c:pt>
              </c:strCache>
            </c:strRef>
          </c:tx>
          <c:spPr>
            <a:pattFill prst="wdUpDiag">
              <a:fgClr>
                <a:schemeClr val="tx1"/>
              </a:fgClr>
              <a:bgClr>
                <a:schemeClr val="bg1"/>
              </a:bgClr>
            </a:pattFill>
            <a:ln>
              <a:solidFill>
                <a:sysClr val="windowText" lastClr="000000"/>
              </a:solidFill>
            </a:ln>
          </c:spPr>
          <c:invertIfNegative val="0"/>
          <c:cat>
            <c:strRef>
              <c:f>Sheet1!$B$15:$H$15</c:f>
              <c:strCache>
                <c:ptCount val="7"/>
                <c:pt idx="0">
                  <c:v>NSW</c:v>
                </c:pt>
                <c:pt idx="1">
                  <c:v>Victoria</c:v>
                </c:pt>
                <c:pt idx="2">
                  <c:v>Queensland</c:v>
                </c:pt>
                <c:pt idx="3">
                  <c:v>South Australia</c:v>
                </c:pt>
                <c:pt idx="4">
                  <c:v>Western Australia</c:v>
                </c:pt>
                <c:pt idx="5">
                  <c:v>Tasmania</c:v>
                </c:pt>
                <c:pt idx="6">
                  <c:v>Northern Territory</c:v>
                </c:pt>
              </c:strCache>
            </c:strRef>
          </c:cat>
          <c:val>
            <c:numRef>
              <c:f>Sheet1!$B$17:$H$17</c:f>
              <c:numCache>
                <c:formatCode>0</c:formatCode>
                <c:ptCount val="7"/>
                <c:pt idx="0">
                  <c:v>10.408729873957752</c:v>
                </c:pt>
                <c:pt idx="1">
                  <c:v>2.9565170363483007</c:v>
                </c:pt>
                <c:pt idx="2">
                  <c:v>22.499253772479129</c:v>
                </c:pt>
                <c:pt idx="3">
                  <c:v>12.785737538000403</c:v>
                </c:pt>
                <c:pt idx="4">
                  <c:v>32.889587968004257</c:v>
                </c:pt>
                <c:pt idx="5">
                  <c:v>0.88924579538493376</c:v>
                </c:pt>
                <c:pt idx="6">
                  <c:v>17.539323850263596</c:v>
                </c:pt>
              </c:numCache>
            </c:numRef>
          </c:val>
        </c:ser>
        <c:ser>
          <c:idx val="0"/>
          <c:order val="1"/>
          <c:tx>
            <c:strRef>
              <c:f>Sheet1!$A$16</c:f>
              <c:strCache>
                <c:ptCount val="1"/>
                <c:pt idx="0">
                  <c:v>% of exploration expenditure</c:v>
                </c:pt>
              </c:strCache>
            </c:strRef>
          </c:tx>
          <c:spPr>
            <a:solidFill>
              <a:srgbClr val="333333"/>
            </a:solidFill>
          </c:spPr>
          <c:invertIfNegative val="0"/>
          <c:cat>
            <c:strRef>
              <c:f>Sheet1!$B$15:$H$15</c:f>
              <c:strCache>
                <c:ptCount val="7"/>
                <c:pt idx="0">
                  <c:v>NSW</c:v>
                </c:pt>
                <c:pt idx="1">
                  <c:v>Victoria</c:v>
                </c:pt>
                <c:pt idx="2">
                  <c:v>Queensland</c:v>
                </c:pt>
                <c:pt idx="3">
                  <c:v>South Australia</c:v>
                </c:pt>
                <c:pt idx="4">
                  <c:v>Western Australia</c:v>
                </c:pt>
                <c:pt idx="5">
                  <c:v>Tasmania</c:v>
                </c:pt>
                <c:pt idx="6">
                  <c:v>Northern Territory</c:v>
                </c:pt>
              </c:strCache>
            </c:strRef>
          </c:cat>
          <c:val>
            <c:numRef>
              <c:f>Sheet1!$B$16:$H$16</c:f>
              <c:numCache>
                <c:formatCode>0</c:formatCode>
                <c:ptCount val="7"/>
                <c:pt idx="0">
                  <c:v>6.1</c:v>
                </c:pt>
                <c:pt idx="1">
                  <c:v>1.5</c:v>
                </c:pt>
                <c:pt idx="2">
                  <c:v>24.5</c:v>
                </c:pt>
                <c:pt idx="3">
                  <c:v>8.3000000000000007</c:v>
                </c:pt>
                <c:pt idx="4">
                  <c:v>53.3</c:v>
                </c:pt>
                <c:pt idx="5">
                  <c:v>1</c:v>
                </c:pt>
                <c:pt idx="6">
                  <c:v>5.3</c:v>
                </c:pt>
              </c:numCache>
            </c:numRef>
          </c:val>
        </c:ser>
        <c:dLbls>
          <c:showLegendKey val="0"/>
          <c:showVal val="0"/>
          <c:showCatName val="0"/>
          <c:showSerName val="0"/>
          <c:showPercent val="0"/>
          <c:showBubbleSize val="0"/>
        </c:dLbls>
        <c:gapWidth val="150"/>
        <c:axId val="158915584"/>
        <c:axId val="158917376"/>
      </c:barChart>
      <c:catAx>
        <c:axId val="158915584"/>
        <c:scaling>
          <c:orientation val="minMax"/>
        </c:scaling>
        <c:delete val="0"/>
        <c:axPos val="b"/>
        <c:majorTickMark val="out"/>
        <c:minorTickMark val="none"/>
        <c:tickLblPos val="nextTo"/>
        <c:crossAx val="158917376"/>
        <c:crosses val="autoZero"/>
        <c:auto val="1"/>
        <c:lblAlgn val="ctr"/>
        <c:lblOffset val="100"/>
        <c:noMultiLvlLbl val="0"/>
      </c:catAx>
      <c:valAx>
        <c:axId val="158917376"/>
        <c:scaling>
          <c:orientation val="minMax"/>
        </c:scaling>
        <c:delete val="0"/>
        <c:axPos val="l"/>
        <c:majorGridlines/>
        <c:numFmt formatCode="0" sourceLinked="1"/>
        <c:majorTickMark val="out"/>
        <c:minorTickMark val="none"/>
        <c:tickLblPos val="nextTo"/>
        <c:spPr>
          <a:ln>
            <a:solidFill>
              <a:schemeClr val="tx1"/>
            </a:solidFill>
          </a:ln>
        </c:spPr>
        <c:crossAx val="158915584"/>
        <c:crosses val="autoZero"/>
        <c:crossBetween val="between"/>
      </c:valAx>
      <c:spPr>
        <a:noFill/>
        <a:ln>
          <a:solidFill>
            <a:schemeClr val="tx1"/>
          </a:solidFill>
        </a:ln>
      </c:spPr>
    </c:plotArea>
    <c:legend>
      <c:legendPos val="b"/>
      <c:layout/>
      <c:overlay val="0"/>
      <c:spPr>
        <a:ln>
          <a:noFill/>
        </a:ln>
      </c:sp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Sheet1!$B$3</c:f>
              <c:strCache>
                <c:ptCount val="1"/>
                <c:pt idx="0">
                  <c:v>Offshore petroleum (lhs)</c:v>
                </c:pt>
              </c:strCache>
            </c:strRef>
          </c:tx>
          <c:spPr>
            <a:ln w="44450">
              <a:solidFill>
                <a:sysClr val="window" lastClr="FFFFFF">
                  <a:lumMod val="65000"/>
                </a:sysClr>
              </a:solidFill>
              <a:prstDash val="solid"/>
            </a:ln>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Sheet1!$B$4:$B$28</c:f>
              <c:numCache>
                <c:formatCode>General</c:formatCode>
                <c:ptCount val="25"/>
                <c:pt idx="7">
                  <c:v>4324.3621301819594</c:v>
                </c:pt>
                <c:pt idx="8">
                  <c:v>4228.4392841908048</c:v>
                </c:pt>
                <c:pt idx="9">
                  <c:v>4692.6900527342405</c:v>
                </c:pt>
                <c:pt idx="10">
                  <c:v>3777.7785503296286</c:v>
                </c:pt>
                <c:pt idx="11">
                  <c:v>5191.6952988084449</c:v>
                </c:pt>
                <c:pt idx="12">
                  <c:v>3573.6153247673988</c:v>
                </c:pt>
                <c:pt idx="13">
                  <c:v>5461.5748829700033</c:v>
                </c:pt>
                <c:pt idx="14">
                  <c:v>5532.8427998238794</c:v>
                </c:pt>
                <c:pt idx="15">
                  <c:v>5182.3208401875936</c:v>
                </c:pt>
                <c:pt idx="16">
                  <c:v>3834.034419777181</c:v>
                </c:pt>
                <c:pt idx="17">
                  <c:v>3665.3493078248721</c:v>
                </c:pt>
                <c:pt idx="18">
                  <c:v>3456.579566901115</c:v>
                </c:pt>
                <c:pt idx="19">
                  <c:v>6780.5925987515138</c:v>
                </c:pt>
                <c:pt idx="20">
                  <c:v>8643.2192615281983</c:v>
                </c:pt>
                <c:pt idx="21">
                  <c:v>10962.823670845206</c:v>
                </c:pt>
              </c:numCache>
            </c:numRef>
          </c:val>
          <c:smooth val="0"/>
        </c:ser>
        <c:ser>
          <c:idx val="1"/>
          <c:order val="1"/>
          <c:tx>
            <c:strRef>
              <c:f>Sheet1!$C$3</c:f>
              <c:strCache>
                <c:ptCount val="1"/>
                <c:pt idx="0">
                  <c:v>Onshore petroleum (lhs)</c:v>
                </c:pt>
              </c:strCache>
            </c:strRef>
          </c:tx>
          <c:spPr>
            <a:ln w="38100">
              <a:solidFill>
                <a:sysClr val="windowText" lastClr="000000"/>
              </a:solidFill>
              <a:prstDash val="solid"/>
            </a:ln>
            <a:effectLst/>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Sheet1!$C$4:$C$28</c:f>
              <c:numCache>
                <c:formatCode>General</c:formatCode>
                <c:ptCount val="25"/>
                <c:pt idx="7">
                  <c:v>812.62176658075464</c:v>
                </c:pt>
                <c:pt idx="8">
                  <c:v>785.03629736569928</c:v>
                </c:pt>
                <c:pt idx="9">
                  <c:v>1162.1341493637447</c:v>
                </c:pt>
                <c:pt idx="10">
                  <c:v>1287.9211163416005</c:v>
                </c:pt>
                <c:pt idx="11">
                  <c:v>1822.7181899645375</c:v>
                </c:pt>
                <c:pt idx="12">
                  <c:v>1083.3555508480381</c:v>
                </c:pt>
                <c:pt idx="13">
                  <c:v>904.37713570636629</c:v>
                </c:pt>
                <c:pt idx="14">
                  <c:v>1513.2191624099487</c:v>
                </c:pt>
                <c:pt idx="15">
                  <c:v>1598.0873265224602</c:v>
                </c:pt>
                <c:pt idx="16">
                  <c:v>895.76496784948438</c:v>
                </c:pt>
                <c:pt idx="17">
                  <c:v>1276.5619583113371</c:v>
                </c:pt>
                <c:pt idx="18">
                  <c:v>1094.5060274728555</c:v>
                </c:pt>
                <c:pt idx="19">
                  <c:v>1408.4213391843457</c:v>
                </c:pt>
                <c:pt idx="20">
                  <c:v>2927.2293845520694</c:v>
                </c:pt>
                <c:pt idx="21">
                  <c:v>4778.9538361781242</c:v>
                </c:pt>
              </c:numCache>
            </c:numRef>
          </c:val>
          <c:smooth val="0"/>
        </c:ser>
        <c:dLbls>
          <c:showLegendKey val="0"/>
          <c:showVal val="0"/>
          <c:showCatName val="0"/>
          <c:showSerName val="0"/>
          <c:showPercent val="0"/>
          <c:showBubbleSize val="0"/>
        </c:dLbls>
        <c:marker val="1"/>
        <c:smooth val="0"/>
        <c:axId val="181636480"/>
        <c:axId val="181642368"/>
      </c:lineChart>
      <c:lineChart>
        <c:grouping val="standard"/>
        <c:varyColors val="0"/>
        <c:ser>
          <c:idx val="2"/>
          <c:order val="2"/>
          <c:tx>
            <c:strRef>
              <c:f>Sheet1!$D$3</c:f>
              <c:strCache>
                <c:ptCount val="1"/>
                <c:pt idx="0">
                  <c:v>Minerals and Coal (rhs)</c:v>
                </c:pt>
              </c:strCache>
            </c:strRef>
          </c:tx>
          <c:spPr>
            <a:ln w="44450">
              <a:solidFill>
                <a:sysClr val="windowText" lastClr="000000"/>
              </a:solidFill>
              <a:prstDash val="sysDot"/>
            </a:ln>
            <a:effectLst/>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Sheet1!$D$4:$D$28</c:f>
              <c:numCache>
                <c:formatCode>0</c:formatCode>
                <c:ptCount val="25"/>
                <c:pt idx="0">
                  <c:v>203.4764127471388</c:v>
                </c:pt>
                <c:pt idx="1">
                  <c:v>206.24060277397658</c:v>
                </c:pt>
                <c:pt idx="2">
                  <c:v>175.77684034563998</c:v>
                </c:pt>
                <c:pt idx="3">
                  <c:v>172.17833288037502</c:v>
                </c:pt>
                <c:pt idx="4">
                  <c:v>180.13446640588015</c:v>
                </c:pt>
                <c:pt idx="5">
                  <c:v>157.0251758607923</c:v>
                </c:pt>
                <c:pt idx="6">
                  <c:v>142.33201231378933</c:v>
                </c:pt>
                <c:pt idx="7">
                  <c:v>145.54494388335831</c:v>
                </c:pt>
                <c:pt idx="8">
                  <c:v>150.00872622910552</c:v>
                </c:pt>
                <c:pt idx="9">
                  <c:v>145.14431029283861</c:v>
                </c:pt>
                <c:pt idx="10">
                  <c:v>152.37178173252587</c:v>
                </c:pt>
                <c:pt idx="11">
                  <c:v>164.79514658684357</c:v>
                </c:pt>
                <c:pt idx="12">
                  <c:v>175.1236139378139</c:v>
                </c:pt>
                <c:pt idx="13">
                  <c:v>174.16328987271189</c:v>
                </c:pt>
                <c:pt idx="14">
                  <c:v>191.32953737882102</c:v>
                </c:pt>
                <c:pt idx="15">
                  <c:v>199.46833794933991</c:v>
                </c:pt>
                <c:pt idx="16">
                  <c:v>188.66289128476041</c:v>
                </c:pt>
                <c:pt idx="17">
                  <c:v>198.78138127185537</c:v>
                </c:pt>
                <c:pt idx="18">
                  <c:v>227.12194296016941</c:v>
                </c:pt>
                <c:pt idx="19">
                  <c:v>241.88349562547711</c:v>
                </c:pt>
                <c:pt idx="20">
                  <c:v>287.74265521249458</c:v>
                </c:pt>
                <c:pt idx="21">
                  <c:v>306.30022473664638</c:v>
                </c:pt>
                <c:pt idx="22">
                  <c:v>289.56411412635691</c:v>
                </c:pt>
                <c:pt idx="23">
                  <c:v>308.84388564123191</c:v>
                </c:pt>
                <c:pt idx="24">
                  <c:v>346.49299651140365</c:v>
                </c:pt>
              </c:numCache>
            </c:numRef>
          </c:val>
          <c:smooth val="0"/>
        </c:ser>
        <c:dLbls>
          <c:showLegendKey val="0"/>
          <c:showVal val="0"/>
          <c:showCatName val="0"/>
          <c:showSerName val="0"/>
          <c:showPercent val="0"/>
          <c:showBubbleSize val="0"/>
        </c:dLbls>
        <c:marker val="1"/>
        <c:smooth val="0"/>
        <c:axId val="181646464"/>
        <c:axId val="181644288"/>
      </c:lineChart>
      <c:catAx>
        <c:axId val="181636480"/>
        <c:scaling>
          <c:orientation val="minMax"/>
        </c:scaling>
        <c:delete val="0"/>
        <c:axPos val="b"/>
        <c:numFmt formatCode="General" sourceLinked="1"/>
        <c:majorTickMark val="out"/>
        <c:minorTickMark val="none"/>
        <c:tickLblPos val="nextTo"/>
        <c:crossAx val="181642368"/>
        <c:crosses val="autoZero"/>
        <c:auto val="1"/>
        <c:lblAlgn val="ctr"/>
        <c:lblOffset val="100"/>
        <c:noMultiLvlLbl val="0"/>
      </c:catAx>
      <c:valAx>
        <c:axId val="181642368"/>
        <c:scaling>
          <c:orientation val="minMax"/>
          <c:max val="12000"/>
        </c:scaling>
        <c:delete val="0"/>
        <c:axPos val="l"/>
        <c:majorGridlines/>
        <c:title>
          <c:tx>
            <c:rich>
              <a:bodyPr rot="-5400000" vert="horz"/>
              <a:lstStyle/>
              <a:p>
                <a:pPr>
                  <a:defRPr/>
                </a:pPr>
                <a:r>
                  <a:rPr lang="en-AU"/>
                  <a:t>petroleum</a:t>
                </a:r>
              </a:p>
            </c:rich>
          </c:tx>
          <c:overlay val="0"/>
        </c:title>
        <c:numFmt formatCode="General" sourceLinked="1"/>
        <c:majorTickMark val="out"/>
        <c:minorTickMark val="none"/>
        <c:tickLblPos val="nextTo"/>
        <c:spPr>
          <a:ln>
            <a:solidFill>
              <a:schemeClr val="tx1"/>
            </a:solidFill>
          </a:ln>
        </c:spPr>
        <c:crossAx val="181636480"/>
        <c:crosses val="autoZero"/>
        <c:crossBetween val="between"/>
        <c:majorUnit val="3000"/>
      </c:valAx>
      <c:valAx>
        <c:axId val="181644288"/>
        <c:scaling>
          <c:orientation val="minMax"/>
        </c:scaling>
        <c:delete val="0"/>
        <c:axPos val="r"/>
        <c:title>
          <c:tx>
            <c:rich>
              <a:bodyPr rot="-5400000" vert="horz"/>
              <a:lstStyle/>
              <a:p>
                <a:pPr>
                  <a:defRPr/>
                </a:pPr>
                <a:r>
                  <a:rPr lang="en-AU" baseline="0"/>
                  <a:t>minerals and coal</a:t>
                </a:r>
                <a:endParaRPr lang="en-AU"/>
              </a:p>
            </c:rich>
          </c:tx>
          <c:overlay val="0"/>
        </c:title>
        <c:numFmt formatCode="0" sourceLinked="1"/>
        <c:majorTickMark val="out"/>
        <c:minorTickMark val="none"/>
        <c:tickLblPos val="nextTo"/>
        <c:crossAx val="181646464"/>
        <c:crosses val="max"/>
        <c:crossBetween val="between"/>
        <c:majorUnit val="100"/>
      </c:valAx>
      <c:catAx>
        <c:axId val="181646464"/>
        <c:scaling>
          <c:orientation val="minMax"/>
        </c:scaling>
        <c:delete val="1"/>
        <c:axPos val="b"/>
        <c:numFmt formatCode="General" sourceLinked="1"/>
        <c:majorTickMark val="out"/>
        <c:minorTickMark val="none"/>
        <c:tickLblPos val="nextTo"/>
        <c:crossAx val="181644288"/>
        <c:crosses val="autoZero"/>
        <c:auto val="1"/>
        <c:lblAlgn val="ctr"/>
        <c:lblOffset val="100"/>
        <c:noMultiLvlLbl val="0"/>
      </c:catAx>
      <c:spPr>
        <a:noFill/>
        <a:ln>
          <a:solidFill>
            <a:schemeClr val="tx1"/>
          </a:solidFill>
        </a:ln>
      </c:spPr>
    </c:plotArea>
    <c:legend>
      <c:legendPos val="b"/>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'Discoveries (trial for Les)'!$M$45</c:f>
              <c:strCache>
                <c:ptCount val="1"/>
                <c:pt idx="0">
                  <c:v>Giant</c:v>
                </c:pt>
              </c:strCache>
            </c:strRef>
          </c:tx>
          <c:spPr>
            <a:solidFill>
              <a:sysClr val="window" lastClr="FFFFFF"/>
            </a:solid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Les)'!$M$46:$M$50</c:f>
              <c:numCache>
                <c:formatCode>General</c:formatCode>
                <c:ptCount val="5"/>
                <c:pt idx="0">
                  <c:v>7</c:v>
                </c:pt>
                <c:pt idx="1">
                  <c:v>7</c:v>
                </c:pt>
                <c:pt idx="2">
                  <c:v>3</c:v>
                </c:pt>
                <c:pt idx="3">
                  <c:v>3</c:v>
                </c:pt>
                <c:pt idx="4">
                  <c:v>0</c:v>
                </c:pt>
              </c:numCache>
            </c:numRef>
          </c:val>
        </c:ser>
        <c:ser>
          <c:idx val="1"/>
          <c:order val="1"/>
          <c:tx>
            <c:strRef>
              <c:f>'Discoveries (trial for Les)'!$N$45</c:f>
              <c:strCache>
                <c:ptCount val="1"/>
                <c:pt idx="0">
                  <c:v>Major</c:v>
                </c:pt>
              </c:strCache>
            </c:strRef>
          </c:tx>
          <c:spPr>
            <a:pattFill prst="wdUpDiag">
              <a:fgClr>
                <a:schemeClr val="tx1"/>
              </a:fgClr>
              <a:bgClr>
                <a:schemeClr val="bg1"/>
              </a:bgClr>
            </a:patt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Les)'!$N$46:$N$50</c:f>
              <c:numCache>
                <c:formatCode>General</c:formatCode>
                <c:ptCount val="5"/>
                <c:pt idx="0">
                  <c:v>18</c:v>
                </c:pt>
                <c:pt idx="1">
                  <c:v>19</c:v>
                </c:pt>
                <c:pt idx="2">
                  <c:v>13</c:v>
                </c:pt>
                <c:pt idx="3">
                  <c:v>10</c:v>
                </c:pt>
                <c:pt idx="4">
                  <c:v>10</c:v>
                </c:pt>
              </c:numCache>
            </c:numRef>
          </c:val>
        </c:ser>
        <c:ser>
          <c:idx val="2"/>
          <c:order val="2"/>
          <c:tx>
            <c:strRef>
              <c:f>'Discoveries (trial for Les)'!$O$45</c:f>
              <c:strCache>
                <c:ptCount val="1"/>
                <c:pt idx="0">
                  <c:v>Moderate</c:v>
                </c:pt>
              </c:strCache>
            </c:strRef>
          </c:tx>
          <c:spPr>
            <a:solidFill>
              <a:schemeClr val="bg1">
                <a:lumMod val="50000"/>
              </a:schemeClr>
            </a:solid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Les)'!$O$46:$O$50</c:f>
              <c:numCache>
                <c:formatCode>General</c:formatCode>
                <c:ptCount val="5"/>
                <c:pt idx="0">
                  <c:v>31</c:v>
                </c:pt>
                <c:pt idx="1">
                  <c:v>47</c:v>
                </c:pt>
                <c:pt idx="2">
                  <c:v>21</c:v>
                </c:pt>
                <c:pt idx="3">
                  <c:v>25</c:v>
                </c:pt>
                <c:pt idx="4">
                  <c:v>30</c:v>
                </c:pt>
              </c:numCache>
            </c:numRef>
          </c:val>
        </c:ser>
        <c:dLbls>
          <c:showLegendKey val="0"/>
          <c:showVal val="0"/>
          <c:showCatName val="0"/>
          <c:showSerName val="0"/>
          <c:showPercent val="0"/>
          <c:showBubbleSize val="0"/>
        </c:dLbls>
        <c:gapWidth val="150"/>
        <c:axId val="159016064"/>
        <c:axId val="159017600"/>
      </c:barChart>
      <c:lineChart>
        <c:grouping val="standard"/>
        <c:varyColors val="0"/>
        <c:ser>
          <c:idx val="3"/>
          <c:order val="3"/>
          <c:tx>
            <c:strRef>
              <c:f>'Discoveries (trial for Les)'!$P$45</c:f>
              <c:strCache>
                <c:ptCount val="1"/>
                <c:pt idx="0">
                  <c:v>Expenditure</c:v>
                </c:pt>
              </c:strCache>
            </c:strRef>
          </c:tx>
          <c:spPr>
            <a:ln>
              <a:noFill/>
            </a:ln>
          </c:spPr>
          <c:marker>
            <c:symbol val="picture"/>
            <c:spPr>
              <a:blipFill>
                <a:blip xmlns:r="http://schemas.openxmlformats.org/officeDocument/2006/relationships" r:embed="rId2"/>
                <a:stretch>
                  <a:fillRect/>
                </a:stretch>
              </a:blipFill>
              <a:ln w="25400">
                <a:noFill/>
              </a:ln>
            </c:spPr>
          </c:marker>
          <c:dPt>
            <c:idx val="6"/>
            <c:marker>
              <c:spPr>
                <a:blipFill>
                  <a:blip xmlns:r="http://schemas.openxmlformats.org/officeDocument/2006/relationships" r:embed="rId2"/>
                  <a:stretch>
                    <a:fillRect/>
                  </a:stretch>
                </a:blipFill>
                <a:ln w="9525">
                  <a:noFill/>
                </a:ln>
              </c:spPr>
            </c:marker>
            <c:bubble3D val="0"/>
          </c:dPt>
          <c:cat>
            <c:strRef>
              <c:f>'Discoveries (trial for Les)'!$L$46:$L$50</c:f>
              <c:strCache>
                <c:ptCount val="5"/>
                <c:pt idx="0">
                  <c:v>88-92</c:v>
                </c:pt>
                <c:pt idx="1">
                  <c:v>93-97</c:v>
                </c:pt>
                <c:pt idx="2">
                  <c:v>98-02</c:v>
                </c:pt>
                <c:pt idx="3">
                  <c:v>03-07</c:v>
                </c:pt>
                <c:pt idx="4">
                  <c:v>08-12</c:v>
                </c:pt>
              </c:strCache>
            </c:strRef>
          </c:cat>
          <c:val>
            <c:numRef>
              <c:f>'Discoveries (trial for Les)'!$P$46:$P$50</c:f>
              <c:numCache>
                <c:formatCode>General</c:formatCode>
                <c:ptCount val="5"/>
                <c:pt idx="0">
                  <c:v>5.892064285195028</c:v>
                </c:pt>
                <c:pt idx="1">
                  <c:v>6.8908515043884693</c:v>
                </c:pt>
                <c:pt idx="2">
                  <c:v>5.4452502335698449</c:v>
                </c:pt>
                <c:pt idx="3">
                  <c:v>5.3493874546017874</c:v>
                </c:pt>
                <c:pt idx="4">
                  <c:v>8.7342726988039008</c:v>
                </c:pt>
              </c:numCache>
            </c:numRef>
          </c:val>
          <c:smooth val="0"/>
        </c:ser>
        <c:dLbls>
          <c:showLegendKey val="0"/>
          <c:showVal val="0"/>
          <c:showCatName val="0"/>
          <c:showSerName val="0"/>
          <c:showPercent val="0"/>
          <c:showBubbleSize val="0"/>
        </c:dLbls>
        <c:marker val="1"/>
        <c:smooth val="0"/>
        <c:axId val="159021696"/>
        <c:axId val="159019776"/>
      </c:lineChart>
      <c:catAx>
        <c:axId val="159016064"/>
        <c:scaling>
          <c:orientation val="minMax"/>
        </c:scaling>
        <c:delete val="0"/>
        <c:axPos val="b"/>
        <c:majorTickMark val="out"/>
        <c:minorTickMark val="none"/>
        <c:tickLblPos val="nextTo"/>
        <c:crossAx val="159017600"/>
        <c:crosses val="autoZero"/>
        <c:auto val="1"/>
        <c:lblAlgn val="ctr"/>
        <c:lblOffset val="100"/>
        <c:noMultiLvlLbl val="0"/>
      </c:catAx>
      <c:valAx>
        <c:axId val="159017600"/>
        <c:scaling>
          <c:orientation val="minMax"/>
        </c:scaling>
        <c:delete val="0"/>
        <c:axPos val="l"/>
        <c:majorGridlines/>
        <c:title>
          <c:tx>
            <c:rich>
              <a:bodyPr rot="-5400000" vert="horz"/>
              <a:lstStyle/>
              <a:p>
                <a:pPr>
                  <a:defRPr/>
                </a:pPr>
                <a:r>
                  <a:rPr lang="en-AU"/>
                  <a:t>Discoveries</a:t>
                </a:r>
              </a:p>
            </c:rich>
          </c:tx>
          <c:overlay val="0"/>
        </c:title>
        <c:numFmt formatCode="General" sourceLinked="1"/>
        <c:majorTickMark val="out"/>
        <c:minorTickMark val="none"/>
        <c:tickLblPos val="nextTo"/>
        <c:spPr>
          <a:ln>
            <a:solidFill>
              <a:schemeClr val="tx1"/>
            </a:solidFill>
          </a:ln>
        </c:spPr>
        <c:crossAx val="159016064"/>
        <c:crosses val="autoZero"/>
        <c:crossBetween val="between"/>
        <c:majorUnit val="10"/>
      </c:valAx>
      <c:valAx>
        <c:axId val="159019776"/>
        <c:scaling>
          <c:orientation val="minMax"/>
          <c:max val="10"/>
          <c:min val="0"/>
        </c:scaling>
        <c:delete val="0"/>
        <c:axPos val="r"/>
        <c:title>
          <c:tx>
            <c:rich>
              <a:bodyPr rot="-5400000" vert="horz"/>
              <a:lstStyle/>
              <a:p>
                <a:pPr>
                  <a:defRPr/>
                </a:pPr>
                <a:r>
                  <a:rPr lang="en-AU"/>
                  <a:t>$ billion (2011-12 prices)</a:t>
                </a:r>
              </a:p>
            </c:rich>
          </c:tx>
          <c:overlay val="0"/>
        </c:title>
        <c:numFmt formatCode="General" sourceLinked="1"/>
        <c:majorTickMark val="out"/>
        <c:minorTickMark val="none"/>
        <c:tickLblPos val="nextTo"/>
        <c:crossAx val="159021696"/>
        <c:crosses val="max"/>
        <c:crossBetween val="between"/>
        <c:majorUnit val="2"/>
      </c:valAx>
      <c:catAx>
        <c:axId val="159021696"/>
        <c:scaling>
          <c:orientation val="minMax"/>
        </c:scaling>
        <c:delete val="1"/>
        <c:axPos val="b"/>
        <c:majorTickMark val="out"/>
        <c:minorTickMark val="none"/>
        <c:tickLblPos val="nextTo"/>
        <c:crossAx val="159019776"/>
        <c:crosses val="autoZero"/>
        <c:auto val="1"/>
        <c:lblAlgn val="ctr"/>
        <c:lblOffset val="100"/>
        <c:noMultiLvlLbl val="0"/>
      </c:catAx>
      <c:spPr>
        <a:noFill/>
        <a:ln>
          <a:solidFill>
            <a:schemeClr val="tx1"/>
          </a:solid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baseline="0">
          <a:latin typeface="Arial" pitchFamily="34" charset="0"/>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75777777777778"/>
          <c:y val="0.10142361111111112"/>
          <c:w val="0.85337185185185183"/>
          <c:h val="0.70113124999999998"/>
        </c:manualLayout>
      </c:layout>
      <c:lineChart>
        <c:grouping val="standard"/>
        <c:varyColors val="0"/>
        <c:ser>
          <c:idx val="0"/>
          <c:order val="0"/>
          <c:tx>
            <c:strRef>
              <c:f>'Financial year'!$G$5</c:f>
              <c:strCache>
                <c:ptCount val="1"/>
                <c:pt idx="0">
                  <c:v>Greenfield</c:v>
                </c:pt>
              </c:strCache>
            </c:strRef>
          </c:tx>
          <c:spPr>
            <a:ln>
              <a:solidFill>
                <a:schemeClr val="tx1"/>
              </a:solidFill>
            </a:ln>
          </c:spPr>
          <c:marker>
            <c:spPr>
              <a:solidFill>
                <a:schemeClr val="tx1"/>
              </a:solidFill>
              <a:ln>
                <a:solidFill>
                  <a:schemeClr val="tx1"/>
                </a:solidFill>
              </a:ln>
            </c:spPr>
          </c:marker>
          <c:cat>
            <c:strRef>
              <c:f>'Financial year'!$F$6:$F$14</c:f>
              <c:strCache>
                <c:ptCount val="9"/>
                <c:pt idx="0">
                  <c:v>2003-04</c:v>
                </c:pt>
                <c:pt idx="1">
                  <c:v>2004-05</c:v>
                </c:pt>
                <c:pt idx="2">
                  <c:v>2005-06</c:v>
                </c:pt>
                <c:pt idx="3">
                  <c:v>2006-07</c:v>
                </c:pt>
                <c:pt idx="4">
                  <c:v>2007-08</c:v>
                </c:pt>
                <c:pt idx="5">
                  <c:v>2008-09</c:v>
                </c:pt>
                <c:pt idx="6">
                  <c:v>2009-10</c:v>
                </c:pt>
                <c:pt idx="7">
                  <c:v>2010-11</c:v>
                </c:pt>
                <c:pt idx="8">
                  <c:v>2011-12</c:v>
                </c:pt>
              </c:strCache>
            </c:strRef>
          </c:cat>
          <c:val>
            <c:numRef>
              <c:f>'Financial year'!$G$6:$G$14</c:f>
              <c:numCache>
                <c:formatCode>General</c:formatCode>
                <c:ptCount val="9"/>
                <c:pt idx="0">
                  <c:v>423.84765100671143</c:v>
                </c:pt>
                <c:pt idx="1">
                  <c:v>530.58010335917311</c:v>
                </c:pt>
                <c:pt idx="2">
                  <c:v>572.58014796547479</c:v>
                </c:pt>
                <c:pt idx="3">
                  <c:v>727.43654524089311</c:v>
                </c:pt>
                <c:pt idx="4">
                  <c:v>1154.9331460674157</c:v>
                </c:pt>
                <c:pt idx="5">
                  <c:v>911.97858672376867</c:v>
                </c:pt>
                <c:pt idx="6">
                  <c:v>918.55885471898182</c:v>
                </c:pt>
                <c:pt idx="7">
                  <c:v>1053.0625</c:v>
                </c:pt>
                <c:pt idx="8">
                  <c:v>1243</c:v>
                </c:pt>
              </c:numCache>
            </c:numRef>
          </c:val>
          <c:smooth val="0"/>
        </c:ser>
        <c:ser>
          <c:idx val="1"/>
          <c:order val="1"/>
          <c:tx>
            <c:strRef>
              <c:f>'Financial year'!$H$5</c:f>
              <c:strCache>
                <c:ptCount val="1"/>
                <c:pt idx="0">
                  <c:v>Brownfield</c:v>
                </c:pt>
              </c:strCache>
            </c:strRef>
          </c:tx>
          <c:spPr>
            <a:ln>
              <a:solidFill>
                <a:schemeClr val="bg1">
                  <a:lumMod val="50000"/>
                </a:schemeClr>
              </a:solidFill>
              <a:prstDash val="dashDot"/>
            </a:ln>
            <a:effectLst/>
          </c:spPr>
          <c:marker>
            <c:symbol val="square"/>
            <c:size val="7"/>
            <c:spPr>
              <a:solidFill>
                <a:schemeClr val="bg1">
                  <a:lumMod val="50000"/>
                </a:schemeClr>
              </a:solidFill>
              <a:ln>
                <a:solidFill>
                  <a:schemeClr val="bg1">
                    <a:lumMod val="50000"/>
                  </a:schemeClr>
                </a:solidFill>
              </a:ln>
              <a:effectLst/>
            </c:spPr>
          </c:marker>
          <c:cat>
            <c:strRef>
              <c:f>'Financial year'!$F$6:$F$14</c:f>
              <c:strCache>
                <c:ptCount val="9"/>
                <c:pt idx="0">
                  <c:v>2003-04</c:v>
                </c:pt>
                <c:pt idx="1">
                  <c:v>2004-05</c:v>
                </c:pt>
                <c:pt idx="2">
                  <c:v>2005-06</c:v>
                </c:pt>
                <c:pt idx="3">
                  <c:v>2006-07</c:v>
                </c:pt>
                <c:pt idx="4">
                  <c:v>2007-08</c:v>
                </c:pt>
                <c:pt idx="5">
                  <c:v>2008-09</c:v>
                </c:pt>
                <c:pt idx="6">
                  <c:v>2009-10</c:v>
                </c:pt>
                <c:pt idx="7">
                  <c:v>2010-11</c:v>
                </c:pt>
                <c:pt idx="8">
                  <c:v>2011-12</c:v>
                </c:pt>
              </c:strCache>
            </c:strRef>
          </c:cat>
          <c:val>
            <c:numRef>
              <c:f>'Financial year'!$H$6:$H$14</c:f>
              <c:numCache>
                <c:formatCode>General</c:formatCode>
                <c:ptCount val="9"/>
                <c:pt idx="0">
                  <c:v>647.82885906040269</c:v>
                </c:pt>
                <c:pt idx="1">
                  <c:v>818.03229974160206</c:v>
                </c:pt>
                <c:pt idx="2">
                  <c:v>980.45745992601724</c:v>
                </c:pt>
                <c:pt idx="3">
                  <c:v>1317.4723854289073</c:v>
                </c:pt>
                <c:pt idx="4">
                  <c:v>1652.0550561797752</c:v>
                </c:pt>
                <c:pt idx="5">
                  <c:v>1503.9170235546037</c:v>
                </c:pt>
                <c:pt idx="6">
                  <c:v>1484.2895015906679</c:v>
                </c:pt>
                <c:pt idx="7">
                  <c:v>1942.5070000000001</c:v>
                </c:pt>
                <c:pt idx="8">
                  <c:v>2710</c:v>
                </c:pt>
              </c:numCache>
            </c:numRef>
          </c:val>
          <c:smooth val="0"/>
        </c:ser>
        <c:dLbls>
          <c:showLegendKey val="0"/>
          <c:showVal val="0"/>
          <c:showCatName val="0"/>
          <c:showSerName val="0"/>
          <c:showPercent val="0"/>
          <c:showBubbleSize val="0"/>
        </c:dLbls>
        <c:marker val="1"/>
        <c:smooth val="0"/>
        <c:axId val="155263744"/>
        <c:axId val="155265280"/>
      </c:lineChart>
      <c:catAx>
        <c:axId val="155263744"/>
        <c:scaling>
          <c:orientation val="minMax"/>
        </c:scaling>
        <c:delete val="0"/>
        <c:axPos val="b"/>
        <c:majorTickMark val="out"/>
        <c:minorTickMark val="none"/>
        <c:tickLblPos val="nextTo"/>
        <c:crossAx val="155265280"/>
        <c:crosses val="autoZero"/>
        <c:auto val="1"/>
        <c:lblAlgn val="ctr"/>
        <c:lblOffset val="100"/>
        <c:noMultiLvlLbl val="0"/>
      </c:catAx>
      <c:valAx>
        <c:axId val="155265280"/>
        <c:scaling>
          <c:orientation val="minMax"/>
        </c:scaling>
        <c:delete val="0"/>
        <c:axPos val="l"/>
        <c:majorGridlines/>
        <c:title>
          <c:tx>
            <c:rich>
              <a:bodyPr rot="-5400000" vert="horz"/>
              <a:lstStyle/>
              <a:p>
                <a:pPr>
                  <a:defRPr/>
                </a:pPr>
                <a:r>
                  <a:rPr lang="en-US"/>
                  <a:t>$m 2011-12 prices</a:t>
                </a:r>
              </a:p>
            </c:rich>
          </c:tx>
          <c:layout/>
          <c:overlay val="0"/>
        </c:title>
        <c:numFmt formatCode="General" sourceLinked="1"/>
        <c:majorTickMark val="out"/>
        <c:minorTickMark val="none"/>
        <c:tickLblPos val="nextTo"/>
        <c:spPr>
          <a:ln>
            <a:solidFill>
              <a:schemeClr val="tx1"/>
            </a:solidFill>
          </a:ln>
        </c:spPr>
        <c:crossAx val="155263744"/>
        <c:crosses val="autoZero"/>
        <c:crossBetween val="between"/>
      </c:valAx>
      <c:spPr>
        <a:noFill/>
        <a:ln>
          <a:solidFill>
            <a:schemeClr val="tx1"/>
          </a:solidFill>
        </a:ln>
      </c:spPr>
    </c:plotArea>
    <c:legend>
      <c:legendPos val="b"/>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35037037037036"/>
          <c:y val="0.10142361111111112"/>
          <c:w val="0.86277925925925925"/>
          <c:h val="0.70113124999999998"/>
        </c:manualLayout>
      </c:layout>
      <c:lineChart>
        <c:grouping val="standard"/>
        <c:varyColors val="0"/>
        <c:ser>
          <c:idx val="0"/>
          <c:order val="0"/>
          <c:tx>
            <c:strRef>
              <c:f>'Financial year'!$B$5</c:f>
              <c:strCache>
                <c:ptCount val="1"/>
                <c:pt idx="0">
                  <c:v>Greenfield</c:v>
                </c:pt>
              </c:strCache>
            </c:strRef>
          </c:tx>
          <c:spPr>
            <a:ln>
              <a:solidFill>
                <a:schemeClr val="tx1"/>
              </a:solidFill>
            </a:ln>
          </c:spPr>
          <c:marker>
            <c:spPr>
              <a:solidFill>
                <a:schemeClr val="tx1"/>
              </a:solidFill>
              <a:ln>
                <a:solidFill>
                  <a:schemeClr val="tx1"/>
                </a:solidFill>
              </a:ln>
            </c:spPr>
          </c:marker>
          <c:cat>
            <c:strRef>
              <c:f>'Financial year'!$A$6:$A$14</c:f>
              <c:strCache>
                <c:ptCount val="9"/>
                <c:pt idx="0">
                  <c:v>2003-04</c:v>
                </c:pt>
                <c:pt idx="1">
                  <c:v>2004-05</c:v>
                </c:pt>
                <c:pt idx="2">
                  <c:v>2005-06</c:v>
                </c:pt>
                <c:pt idx="3">
                  <c:v>2006-07</c:v>
                </c:pt>
                <c:pt idx="4">
                  <c:v>2007-08</c:v>
                </c:pt>
                <c:pt idx="5">
                  <c:v>2008-09</c:v>
                </c:pt>
                <c:pt idx="6">
                  <c:v>2009-10</c:v>
                </c:pt>
                <c:pt idx="7">
                  <c:v>2010-11</c:v>
                </c:pt>
                <c:pt idx="8">
                  <c:v>2011-12</c:v>
                </c:pt>
              </c:strCache>
            </c:strRef>
          </c:cat>
          <c:val>
            <c:numRef>
              <c:f>'Financial year'!$B$6:$B$14</c:f>
              <c:numCache>
                <c:formatCode>General</c:formatCode>
                <c:ptCount val="9"/>
                <c:pt idx="0">
                  <c:v>2681</c:v>
                </c:pt>
                <c:pt idx="1">
                  <c:v>2783.4</c:v>
                </c:pt>
                <c:pt idx="2">
                  <c:v>2617.6999999999998</c:v>
                </c:pt>
                <c:pt idx="3">
                  <c:v>3240.1</c:v>
                </c:pt>
                <c:pt idx="4">
                  <c:v>3920</c:v>
                </c:pt>
                <c:pt idx="5">
                  <c:v>2720.3999999999996</c:v>
                </c:pt>
                <c:pt idx="6">
                  <c:v>3054.5</c:v>
                </c:pt>
                <c:pt idx="7">
                  <c:v>3436.3</c:v>
                </c:pt>
                <c:pt idx="8">
                  <c:v>3700.0999999999995</c:v>
                </c:pt>
              </c:numCache>
            </c:numRef>
          </c:val>
          <c:smooth val="0"/>
        </c:ser>
        <c:ser>
          <c:idx val="1"/>
          <c:order val="1"/>
          <c:tx>
            <c:strRef>
              <c:f>'Financial year'!$C$5</c:f>
              <c:strCache>
                <c:ptCount val="1"/>
                <c:pt idx="0">
                  <c:v>Brownfield</c:v>
                </c:pt>
              </c:strCache>
            </c:strRef>
          </c:tx>
          <c:spPr>
            <a:ln>
              <a:solidFill>
                <a:schemeClr val="bg1">
                  <a:lumMod val="50000"/>
                </a:schemeClr>
              </a:solidFill>
              <a:prstDash val="dashDot"/>
            </a:ln>
            <a:effectLst/>
          </c:spPr>
          <c:marker>
            <c:symbol val="square"/>
            <c:size val="7"/>
            <c:spPr>
              <a:solidFill>
                <a:schemeClr val="bg1">
                  <a:lumMod val="50000"/>
                </a:schemeClr>
              </a:solidFill>
              <a:ln>
                <a:solidFill>
                  <a:schemeClr val="bg1">
                    <a:lumMod val="50000"/>
                  </a:schemeClr>
                </a:solidFill>
              </a:ln>
              <a:effectLst/>
            </c:spPr>
          </c:marker>
          <c:cat>
            <c:strRef>
              <c:f>'Financial year'!$A$6:$A$14</c:f>
              <c:strCache>
                <c:ptCount val="9"/>
                <c:pt idx="0">
                  <c:v>2003-04</c:v>
                </c:pt>
                <c:pt idx="1">
                  <c:v>2004-05</c:v>
                </c:pt>
                <c:pt idx="2">
                  <c:v>2005-06</c:v>
                </c:pt>
                <c:pt idx="3">
                  <c:v>2006-07</c:v>
                </c:pt>
                <c:pt idx="4">
                  <c:v>2007-08</c:v>
                </c:pt>
                <c:pt idx="5">
                  <c:v>2008-09</c:v>
                </c:pt>
                <c:pt idx="6">
                  <c:v>2009-10</c:v>
                </c:pt>
                <c:pt idx="7">
                  <c:v>2010-11</c:v>
                </c:pt>
                <c:pt idx="8">
                  <c:v>2011-12</c:v>
                </c:pt>
              </c:strCache>
            </c:strRef>
          </c:cat>
          <c:val>
            <c:numRef>
              <c:f>'Financial year'!$C$6:$C$14</c:f>
              <c:numCache>
                <c:formatCode>General</c:formatCode>
                <c:ptCount val="9"/>
                <c:pt idx="0">
                  <c:v>3000.6</c:v>
                </c:pt>
                <c:pt idx="1">
                  <c:v>4001</c:v>
                </c:pt>
                <c:pt idx="2">
                  <c:v>4219.1000000000004</c:v>
                </c:pt>
                <c:pt idx="3">
                  <c:v>5214.5</c:v>
                </c:pt>
                <c:pt idx="4">
                  <c:v>5835.4000000000005</c:v>
                </c:pt>
                <c:pt idx="5">
                  <c:v>5167.3999999999996</c:v>
                </c:pt>
                <c:pt idx="6">
                  <c:v>5244.5</c:v>
                </c:pt>
                <c:pt idx="7">
                  <c:v>6263.1</c:v>
                </c:pt>
                <c:pt idx="8">
                  <c:v>7708.7000000000007</c:v>
                </c:pt>
              </c:numCache>
            </c:numRef>
          </c:val>
          <c:smooth val="0"/>
        </c:ser>
        <c:dLbls>
          <c:showLegendKey val="0"/>
          <c:showVal val="0"/>
          <c:showCatName val="0"/>
          <c:showSerName val="0"/>
          <c:showPercent val="0"/>
          <c:showBubbleSize val="0"/>
        </c:dLbls>
        <c:marker val="1"/>
        <c:smooth val="0"/>
        <c:axId val="155290624"/>
        <c:axId val="155309184"/>
      </c:lineChart>
      <c:catAx>
        <c:axId val="155290624"/>
        <c:scaling>
          <c:orientation val="minMax"/>
        </c:scaling>
        <c:delete val="0"/>
        <c:axPos val="b"/>
        <c:majorTickMark val="out"/>
        <c:minorTickMark val="none"/>
        <c:tickLblPos val="nextTo"/>
        <c:crossAx val="155309184"/>
        <c:crosses val="autoZero"/>
        <c:auto val="1"/>
        <c:lblAlgn val="ctr"/>
        <c:lblOffset val="100"/>
        <c:noMultiLvlLbl val="0"/>
      </c:catAx>
      <c:valAx>
        <c:axId val="155309184"/>
        <c:scaling>
          <c:orientation val="minMax"/>
          <c:max val="8000"/>
        </c:scaling>
        <c:delete val="0"/>
        <c:axPos val="l"/>
        <c:majorGridlines/>
        <c:title>
          <c:tx>
            <c:rich>
              <a:bodyPr rot="-5400000" vert="horz"/>
              <a:lstStyle/>
              <a:p>
                <a:pPr>
                  <a:defRPr/>
                </a:pPr>
                <a:r>
                  <a:rPr lang="en-US"/>
                  <a:t>'000 metres</a:t>
                </a:r>
              </a:p>
            </c:rich>
          </c:tx>
          <c:layout/>
          <c:overlay val="0"/>
        </c:title>
        <c:numFmt formatCode="General" sourceLinked="1"/>
        <c:majorTickMark val="out"/>
        <c:minorTickMark val="none"/>
        <c:tickLblPos val="nextTo"/>
        <c:spPr>
          <a:ln>
            <a:solidFill>
              <a:schemeClr val="tx1"/>
            </a:solidFill>
          </a:ln>
        </c:spPr>
        <c:crossAx val="155290624"/>
        <c:crosses val="autoZero"/>
        <c:crossBetween val="between"/>
        <c:majorUnit val="2000"/>
      </c:valAx>
      <c:spPr>
        <a:noFill/>
        <a:ln>
          <a:solidFill>
            <a:schemeClr val="tx1"/>
          </a:solidFill>
        </a:ln>
      </c:spPr>
    </c:plotArea>
    <c:legend>
      <c:legendPos val="b"/>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333333"/>
            </a:solidFill>
            <a:ln>
              <a:solidFill>
                <a:sysClr val="windowText" lastClr="000000"/>
              </a:solidFill>
            </a:ln>
          </c:spPr>
          <c:invertIfNegative val="0"/>
          <c:dPt>
            <c:idx val="1"/>
            <c:invertIfNegative val="0"/>
            <c:bubble3D val="0"/>
            <c:spPr>
              <a:pattFill prst="wdUpDiag">
                <a:fgClr>
                  <a:srgbClr val="333333"/>
                </a:fgClr>
                <a:bgClr>
                  <a:sysClr val="window" lastClr="FFFFFF"/>
                </a:bgClr>
              </a:pattFill>
              <a:ln>
                <a:solidFill>
                  <a:sysClr val="windowText" lastClr="000000"/>
                </a:solidFill>
              </a:ln>
            </c:spPr>
          </c:dPt>
          <c:cat>
            <c:strRef>
              <c:f>Sheet1!$A$3:$A$19</c:f>
              <c:strCache>
                <c:ptCount val="17"/>
                <c:pt idx="0">
                  <c:v>Canada</c:v>
                </c:pt>
                <c:pt idx="1">
                  <c:v>Australia</c:v>
                </c:pt>
                <c:pt idx="2">
                  <c:v>United States</c:v>
                </c:pt>
                <c:pt idx="3">
                  <c:v>Sub-saharan Africa</c:v>
                </c:pt>
                <c:pt idx="4">
                  <c:v>Mexico</c:v>
                </c:pt>
                <c:pt idx="5">
                  <c:v>West Africa</c:v>
                </c:pt>
                <c:pt idx="6">
                  <c:v>Chile</c:v>
                </c:pt>
                <c:pt idx="7">
                  <c:v>Pacific Islands</c:v>
                </c:pt>
                <c:pt idx="8">
                  <c:v>China</c:v>
                </c:pt>
                <c:pt idx="9">
                  <c:v>Peru</c:v>
                </c:pt>
                <c:pt idx="10">
                  <c:v>Europe</c:v>
                </c:pt>
                <c:pt idx="11">
                  <c:v>Russia</c:v>
                </c:pt>
                <c:pt idx="12">
                  <c:v>Brazil</c:v>
                </c:pt>
                <c:pt idx="13">
                  <c:v>FSU/ Mongolia</c:v>
                </c:pt>
                <c:pt idx="14">
                  <c:v>Colombia</c:v>
                </c:pt>
                <c:pt idx="15">
                  <c:v>Argentina</c:v>
                </c:pt>
                <c:pt idx="16">
                  <c:v>Rest of World</c:v>
                </c:pt>
              </c:strCache>
            </c:strRef>
          </c:cat>
          <c:val>
            <c:numRef>
              <c:f>Sheet1!$B$3:$B$19</c:f>
              <c:numCache>
                <c:formatCode>General</c:formatCode>
                <c:ptCount val="17"/>
                <c:pt idx="0">
                  <c:v>18</c:v>
                </c:pt>
                <c:pt idx="1">
                  <c:v>13</c:v>
                </c:pt>
                <c:pt idx="2">
                  <c:v>8</c:v>
                </c:pt>
                <c:pt idx="3">
                  <c:v>8</c:v>
                </c:pt>
                <c:pt idx="4">
                  <c:v>6</c:v>
                </c:pt>
                <c:pt idx="5">
                  <c:v>6</c:v>
                </c:pt>
                <c:pt idx="6">
                  <c:v>5</c:v>
                </c:pt>
                <c:pt idx="7">
                  <c:v>5</c:v>
                </c:pt>
                <c:pt idx="8">
                  <c:v>4</c:v>
                </c:pt>
                <c:pt idx="9">
                  <c:v>4</c:v>
                </c:pt>
                <c:pt idx="10">
                  <c:v>4</c:v>
                </c:pt>
                <c:pt idx="11">
                  <c:v>3</c:v>
                </c:pt>
                <c:pt idx="12">
                  <c:v>3</c:v>
                </c:pt>
                <c:pt idx="13">
                  <c:v>3</c:v>
                </c:pt>
                <c:pt idx="14">
                  <c:v>2</c:v>
                </c:pt>
                <c:pt idx="15">
                  <c:v>2</c:v>
                </c:pt>
                <c:pt idx="16">
                  <c:v>6</c:v>
                </c:pt>
              </c:numCache>
            </c:numRef>
          </c:val>
        </c:ser>
        <c:dLbls>
          <c:showLegendKey val="0"/>
          <c:showVal val="0"/>
          <c:showCatName val="0"/>
          <c:showSerName val="0"/>
          <c:showPercent val="0"/>
          <c:showBubbleSize val="0"/>
        </c:dLbls>
        <c:gapWidth val="150"/>
        <c:axId val="182155136"/>
        <c:axId val="182156672"/>
      </c:barChart>
      <c:catAx>
        <c:axId val="182155136"/>
        <c:scaling>
          <c:orientation val="minMax"/>
        </c:scaling>
        <c:delete val="0"/>
        <c:axPos val="b"/>
        <c:majorTickMark val="out"/>
        <c:minorTickMark val="none"/>
        <c:tickLblPos val="nextTo"/>
        <c:crossAx val="182156672"/>
        <c:crosses val="autoZero"/>
        <c:auto val="1"/>
        <c:lblAlgn val="ctr"/>
        <c:lblOffset val="100"/>
        <c:noMultiLvlLbl val="0"/>
      </c:catAx>
      <c:valAx>
        <c:axId val="182156672"/>
        <c:scaling>
          <c:orientation val="minMax"/>
        </c:scaling>
        <c:delete val="0"/>
        <c:axPos val="l"/>
        <c:majorGridlines/>
        <c:title>
          <c:tx>
            <c:rich>
              <a:bodyPr rot="-5400000" vert="horz"/>
              <a:lstStyle/>
              <a:p>
                <a:pPr>
                  <a:defRPr/>
                </a:pPr>
                <a:r>
                  <a:rPr lang="en-AU"/>
                  <a:t>per cent</a:t>
                </a:r>
              </a:p>
            </c:rich>
          </c:tx>
          <c:layout/>
          <c:overlay val="0"/>
        </c:title>
        <c:numFmt formatCode="General" sourceLinked="1"/>
        <c:majorTickMark val="out"/>
        <c:minorTickMark val="none"/>
        <c:tickLblPos val="nextTo"/>
        <c:spPr>
          <a:ln>
            <a:solidFill>
              <a:schemeClr val="tx1"/>
            </a:solidFill>
          </a:ln>
        </c:spPr>
        <c:crossAx val="182155136"/>
        <c:crosses val="autoZero"/>
        <c:crossBetween val="between"/>
        <c:majorUnit val="5"/>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646625421822272"/>
          <c:y val="3.5105242194920186E-2"/>
          <c:w val="0.75754368203974498"/>
          <c:h val="0.72748326988927714"/>
        </c:manualLayout>
      </c:layout>
      <c:barChart>
        <c:barDir val="col"/>
        <c:grouping val="clustered"/>
        <c:varyColors val="0"/>
        <c:ser>
          <c:idx val="0"/>
          <c:order val="0"/>
          <c:tx>
            <c:strRef>
              <c:f>'MEG data Aust share'!$B$37</c:f>
              <c:strCache>
                <c:ptCount val="1"/>
                <c:pt idx="0">
                  <c:v>World</c:v>
                </c:pt>
              </c:strCache>
            </c:strRef>
          </c:tx>
          <c:spPr>
            <a:solidFill>
              <a:schemeClr val="tx1">
                <a:lumMod val="50000"/>
                <a:lumOff val="50000"/>
              </a:schemeClr>
            </a:solidFill>
            <a:ln>
              <a:solidFill>
                <a:schemeClr val="tx1"/>
              </a:solidFill>
            </a:ln>
          </c:spPr>
          <c:invertIfNegative val="0"/>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share'!$B$38:$B$58</c:f>
              <c:numCache>
                <c:formatCode>General</c:formatCode>
                <c:ptCount val="21"/>
                <c:pt idx="0">
                  <c:v>2.2999999999999998</c:v>
                </c:pt>
                <c:pt idx="1">
                  <c:v>2.2000000000000002</c:v>
                </c:pt>
                <c:pt idx="2">
                  <c:v>2.5</c:v>
                </c:pt>
                <c:pt idx="3">
                  <c:v>2.9</c:v>
                </c:pt>
                <c:pt idx="4">
                  <c:v>3.5</c:v>
                </c:pt>
                <c:pt idx="5">
                  <c:v>4.5999999999999996</c:v>
                </c:pt>
                <c:pt idx="6">
                  <c:v>5.2</c:v>
                </c:pt>
                <c:pt idx="7">
                  <c:v>3.7</c:v>
                </c:pt>
                <c:pt idx="8">
                  <c:v>2.8</c:v>
                </c:pt>
                <c:pt idx="9">
                  <c:v>2.6</c:v>
                </c:pt>
                <c:pt idx="10">
                  <c:v>2.2000000000000002</c:v>
                </c:pt>
                <c:pt idx="11">
                  <c:v>1.9</c:v>
                </c:pt>
                <c:pt idx="12">
                  <c:v>2.4</c:v>
                </c:pt>
                <c:pt idx="13">
                  <c:v>3.8</c:v>
                </c:pt>
                <c:pt idx="14">
                  <c:v>5.0999999999999996</c:v>
                </c:pt>
                <c:pt idx="15">
                  <c:v>7.5</c:v>
                </c:pt>
                <c:pt idx="16">
                  <c:v>10.5</c:v>
                </c:pt>
                <c:pt idx="17">
                  <c:v>13.2</c:v>
                </c:pt>
                <c:pt idx="18">
                  <c:v>7.98</c:v>
                </c:pt>
                <c:pt idx="19">
                  <c:v>11.2</c:v>
                </c:pt>
                <c:pt idx="20">
                  <c:v>17.3</c:v>
                </c:pt>
              </c:numCache>
            </c:numRef>
          </c:val>
        </c:ser>
        <c:ser>
          <c:idx val="1"/>
          <c:order val="1"/>
          <c:tx>
            <c:strRef>
              <c:f>'MEG data Aust share'!$C$37</c:f>
              <c:strCache>
                <c:ptCount val="1"/>
                <c:pt idx="0">
                  <c:v>Australia</c:v>
                </c:pt>
              </c:strCache>
            </c:strRef>
          </c:tx>
          <c:spPr>
            <a:pattFill prst="pct25">
              <a:fgClr>
                <a:schemeClr val="tx1"/>
              </a:fgClr>
              <a:bgClr>
                <a:schemeClr val="bg2"/>
              </a:bgClr>
            </a:pattFill>
            <a:ln>
              <a:solidFill>
                <a:schemeClr val="tx1"/>
              </a:solidFill>
            </a:ln>
          </c:spPr>
          <c:invertIfNegative val="0"/>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share'!$C$38:$C$58</c:f>
              <c:numCache>
                <c:formatCode>0.00</c:formatCode>
                <c:ptCount val="21"/>
                <c:pt idx="0">
                  <c:v>0.43328124999999995</c:v>
                </c:pt>
                <c:pt idx="1">
                  <c:v>0.38735294117647062</c:v>
                </c:pt>
                <c:pt idx="2">
                  <c:v>0.39108843537414961</c:v>
                </c:pt>
                <c:pt idx="3">
                  <c:v>0.53905109489051084</c:v>
                </c:pt>
                <c:pt idx="4">
                  <c:v>0.6187407407407407</c:v>
                </c:pt>
                <c:pt idx="5">
                  <c:v>0.68265624999999996</c:v>
                </c:pt>
                <c:pt idx="6">
                  <c:v>0.76977777777777767</c:v>
                </c:pt>
                <c:pt idx="7">
                  <c:v>0.59742138364779873</c:v>
                </c:pt>
                <c:pt idx="8">
                  <c:v>0.47812903225806452</c:v>
                </c:pt>
                <c:pt idx="9">
                  <c:v>0.34372093023255812</c:v>
                </c:pt>
                <c:pt idx="10">
                  <c:v>0.31165803108808293</c:v>
                </c:pt>
                <c:pt idx="11">
                  <c:v>0.30228260869565216</c:v>
                </c:pt>
                <c:pt idx="12">
                  <c:v>0.39201298701298698</c:v>
                </c:pt>
                <c:pt idx="13">
                  <c:v>0.46404411764705872</c:v>
                </c:pt>
                <c:pt idx="14">
                  <c:v>0.56694656488549622</c:v>
                </c:pt>
                <c:pt idx="15">
                  <c:v>0.64443609022556381</c:v>
                </c:pt>
                <c:pt idx="16">
                  <c:v>0.93500000000000005</c:v>
                </c:pt>
                <c:pt idx="17">
                  <c:v>1.2983193277310925</c:v>
                </c:pt>
                <c:pt idx="18">
                  <c:v>0.89976562500000001</c:v>
                </c:pt>
                <c:pt idx="19">
                  <c:v>1.1120366972477063</c:v>
                </c:pt>
                <c:pt idx="20">
                  <c:v>1.5928659793814435</c:v>
                </c:pt>
              </c:numCache>
            </c:numRef>
          </c:val>
        </c:ser>
        <c:dLbls>
          <c:showLegendKey val="0"/>
          <c:showVal val="0"/>
          <c:showCatName val="0"/>
          <c:showSerName val="0"/>
          <c:showPercent val="0"/>
          <c:showBubbleSize val="0"/>
        </c:dLbls>
        <c:gapWidth val="55"/>
        <c:axId val="185352576"/>
        <c:axId val="185354496"/>
      </c:barChart>
      <c:lineChart>
        <c:grouping val="standard"/>
        <c:varyColors val="0"/>
        <c:ser>
          <c:idx val="2"/>
          <c:order val="2"/>
          <c:tx>
            <c:strRef>
              <c:f>'MEG data Aust share'!$D$37</c:f>
              <c:strCache>
                <c:ptCount val="1"/>
                <c:pt idx="0">
                  <c:v>Share (RHS)</c:v>
                </c:pt>
              </c:strCache>
            </c:strRef>
          </c:tx>
          <c:spPr>
            <a:ln w="15875">
              <a:solidFill>
                <a:schemeClr val="tx1"/>
              </a:solidFill>
            </a:ln>
          </c:spPr>
          <c:marker>
            <c:symbol val="circle"/>
            <c:size val="5"/>
            <c:spPr>
              <a:solidFill>
                <a:schemeClr val="tx1"/>
              </a:solidFill>
            </c:spPr>
          </c:marker>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share'!$D$38:$D$58</c:f>
              <c:numCache>
                <c:formatCode>0.0</c:formatCode>
                <c:ptCount val="21"/>
                <c:pt idx="0">
                  <c:v>18.838315217391301</c:v>
                </c:pt>
                <c:pt idx="1">
                  <c:v>17.606951871657756</c:v>
                </c:pt>
                <c:pt idx="2">
                  <c:v>15.643537414965985</c:v>
                </c:pt>
                <c:pt idx="3">
                  <c:v>18.587968789327959</c:v>
                </c:pt>
                <c:pt idx="4">
                  <c:v>17.678306878306877</c:v>
                </c:pt>
                <c:pt idx="5">
                  <c:v>14.840353260869566</c:v>
                </c:pt>
                <c:pt idx="6">
                  <c:v>14.803418803418799</c:v>
                </c:pt>
                <c:pt idx="7">
                  <c:v>16.146523882372939</c:v>
                </c:pt>
                <c:pt idx="8">
                  <c:v>17.076036866359448</c:v>
                </c:pt>
                <c:pt idx="9">
                  <c:v>13.220035778175314</c:v>
                </c:pt>
                <c:pt idx="10">
                  <c:v>14.166274140367406</c:v>
                </c:pt>
                <c:pt idx="11">
                  <c:v>15.909610983981693</c:v>
                </c:pt>
                <c:pt idx="12">
                  <c:v>16.333874458874458</c:v>
                </c:pt>
                <c:pt idx="13">
                  <c:v>12.211687306501545</c:v>
                </c:pt>
                <c:pt idx="14">
                  <c:v>11.116599311480318</c:v>
                </c:pt>
                <c:pt idx="15">
                  <c:v>8.5924812030075177</c:v>
                </c:pt>
                <c:pt idx="16">
                  <c:v>8.9047619047619051</c:v>
                </c:pt>
                <c:pt idx="17">
                  <c:v>9.8357524828113085</c:v>
                </c:pt>
                <c:pt idx="18">
                  <c:v>11.275258458646617</c:v>
                </c:pt>
                <c:pt idx="19">
                  <c:v>9.9288990825688064</c:v>
                </c:pt>
                <c:pt idx="20">
                  <c:v>9.2073177998927367</c:v>
                </c:pt>
              </c:numCache>
            </c:numRef>
          </c:val>
          <c:smooth val="0"/>
        </c:ser>
        <c:dLbls>
          <c:showLegendKey val="0"/>
          <c:showVal val="0"/>
          <c:showCatName val="0"/>
          <c:showSerName val="0"/>
          <c:showPercent val="0"/>
          <c:showBubbleSize val="0"/>
        </c:dLbls>
        <c:marker val="1"/>
        <c:smooth val="0"/>
        <c:axId val="185362688"/>
        <c:axId val="185360768"/>
      </c:lineChart>
      <c:catAx>
        <c:axId val="185352576"/>
        <c:scaling>
          <c:orientation val="minMax"/>
        </c:scaling>
        <c:delete val="0"/>
        <c:axPos val="b"/>
        <c:numFmt formatCode="General" sourceLinked="1"/>
        <c:majorTickMark val="out"/>
        <c:minorTickMark val="none"/>
        <c:tickLblPos val="nextTo"/>
        <c:crossAx val="185354496"/>
        <c:crosses val="autoZero"/>
        <c:auto val="1"/>
        <c:lblAlgn val="ctr"/>
        <c:lblOffset val="100"/>
        <c:noMultiLvlLbl val="0"/>
      </c:catAx>
      <c:valAx>
        <c:axId val="185354496"/>
        <c:scaling>
          <c:orientation val="minMax"/>
        </c:scaling>
        <c:delete val="0"/>
        <c:axPos val="l"/>
        <c:majorGridlines/>
        <c:title>
          <c:tx>
            <c:rich>
              <a:bodyPr rot="-5400000" vert="horz"/>
              <a:lstStyle/>
              <a:p>
                <a:pPr>
                  <a:defRPr/>
                </a:pPr>
                <a:r>
                  <a:rPr lang="en-US"/>
                  <a:t>Exploration budgets (US$ billion)</a:t>
                </a:r>
              </a:p>
            </c:rich>
          </c:tx>
          <c:layout/>
          <c:overlay val="0"/>
        </c:title>
        <c:numFmt formatCode="General" sourceLinked="1"/>
        <c:majorTickMark val="out"/>
        <c:minorTickMark val="none"/>
        <c:tickLblPos val="nextTo"/>
        <c:crossAx val="185352576"/>
        <c:crosses val="autoZero"/>
        <c:crossBetween val="between"/>
      </c:valAx>
      <c:valAx>
        <c:axId val="185360768"/>
        <c:scaling>
          <c:orientation val="minMax"/>
        </c:scaling>
        <c:delete val="0"/>
        <c:axPos val="r"/>
        <c:title>
          <c:tx>
            <c:rich>
              <a:bodyPr rot="-5400000" vert="horz"/>
              <a:lstStyle/>
              <a:p>
                <a:pPr>
                  <a:defRPr/>
                </a:pPr>
                <a:r>
                  <a:rPr lang="en-US"/>
                  <a:t>Share of world exploration budgets (%)</a:t>
                </a:r>
              </a:p>
            </c:rich>
          </c:tx>
          <c:layout/>
          <c:overlay val="0"/>
        </c:title>
        <c:numFmt formatCode="0" sourceLinked="0"/>
        <c:majorTickMark val="out"/>
        <c:minorTickMark val="none"/>
        <c:tickLblPos val="nextTo"/>
        <c:crossAx val="185362688"/>
        <c:crosses val="max"/>
        <c:crossBetween val="between"/>
      </c:valAx>
      <c:catAx>
        <c:axId val="185362688"/>
        <c:scaling>
          <c:orientation val="minMax"/>
        </c:scaling>
        <c:delete val="1"/>
        <c:axPos val="b"/>
        <c:numFmt formatCode="General" sourceLinked="1"/>
        <c:majorTickMark val="out"/>
        <c:minorTickMark val="none"/>
        <c:tickLblPos val="nextTo"/>
        <c:crossAx val="185360768"/>
        <c:crosses val="autoZero"/>
        <c:auto val="1"/>
        <c:lblAlgn val="ctr"/>
        <c:lblOffset val="100"/>
        <c:noMultiLvlLbl val="0"/>
      </c:catAx>
      <c:spPr>
        <a:noFill/>
      </c:spPr>
    </c:plotArea>
    <c:legend>
      <c:legendPos val="b"/>
      <c:layout>
        <c:manualLayout>
          <c:xMode val="edge"/>
          <c:yMode val="edge"/>
          <c:x val="0.24303995748311213"/>
          <c:y val="0.90691870469833658"/>
          <c:w val="0.51391989855619735"/>
          <c:h val="7.9836262189080673E-2"/>
        </c:manualLayout>
      </c:layout>
      <c:overlay val="0"/>
    </c:legend>
    <c:plotVisOnly val="1"/>
    <c:dispBlanksAs val="gap"/>
    <c:showDLblsOverMax val="0"/>
  </c:chart>
  <c:spPr>
    <a:noFill/>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0.59068</cdr:x>
      <cdr:y>0.93386</cdr:y>
    </cdr:from>
    <cdr:to>
      <cdr:x>0.61317</cdr:x>
      <cdr:y>0.93386</cdr:y>
    </cdr:to>
    <cdr:cxnSp macro="">
      <cdr:nvCxnSpPr>
        <cdr:cNvPr id="5" name="Straight Connector 4"/>
        <cdr:cNvCxnSpPr/>
      </cdr:nvCxnSpPr>
      <cdr:spPr>
        <a:xfrm xmlns:a="http://schemas.openxmlformats.org/drawingml/2006/main">
          <a:off x="3205554" y="2635929"/>
          <a:ext cx="122055" cy="0"/>
        </a:xfrm>
        <a:prstGeom xmlns:a="http://schemas.openxmlformats.org/drawingml/2006/main" prst="line">
          <a:avLst/>
        </a:prstGeom>
        <a:ln xmlns:a="http://schemas.openxmlformats.org/drawingml/2006/main" w="285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0DC56-C191-419F-A4AB-CBB07C18A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19</Pages>
  <Words>4697</Words>
  <Characters>27062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Nature of the industry</vt:lpstr>
    </vt:vector>
  </TitlesOfParts>
  <Company>Productivity Commission</Company>
  <LinksUpToDate>false</LinksUpToDate>
  <CharactersWithSpaces>31696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of the industry</dc:title>
  <dc:creator>Productivity Commission</dc:creator>
  <dc:description>2.</dc:description>
  <cp:lastModifiedBy>Productivity Commission</cp:lastModifiedBy>
  <cp:revision>4</cp:revision>
  <cp:lastPrinted>2013-05-22T01:22:00Z</cp:lastPrinted>
  <dcterms:created xsi:type="dcterms:W3CDTF">2013-05-29T02:39:00Z</dcterms:created>
  <dcterms:modified xsi:type="dcterms:W3CDTF">2015-05-08T02:15:00Z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-1580818711</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