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962DB80" w14:textId="5337BD42" w:rsidR="00A33DFF" w:rsidRDefault="009A44B4" w:rsidP="009A44B4">
      <w:pPr>
        <w:pStyle w:val="Heading1"/>
        <w:spacing w:before="0"/>
      </w:pPr>
      <w:bookmarkStart w:id="0" w:name="ChapterNumber"/>
      <w:r>
        <w:t>5</w:t>
      </w:r>
      <w:bookmarkEnd w:id="0"/>
      <w:r>
        <w:tab/>
      </w:r>
      <w:bookmarkStart w:id="1" w:name="ChapterTitle"/>
      <w:r>
        <w:t>Heritage protection</w:t>
      </w:r>
      <w:bookmarkEnd w:id="1"/>
    </w:p>
    <w:p w14:paraId="008B7EEB" w14:textId="4AFEC926" w:rsidR="00404CF8" w:rsidRDefault="00404C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404CF8" w14:paraId="0167C2D5" w14:textId="77777777">
        <w:tc>
          <w:tcPr>
            <w:tcW w:w="8771" w:type="dxa"/>
            <w:tcBorders>
              <w:top w:val="single" w:sz="6" w:space="0" w:color="auto"/>
              <w:bottom w:val="nil"/>
            </w:tcBorders>
          </w:tcPr>
          <w:p w14:paraId="0290A071" w14:textId="77777777" w:rsidR="00404CF8" w:rsidRDefault="00404CF8" w:rsidP="00404CF8">
            <w:pPr>
              <w:pStyle w:val="BoxTitle"/>
            </w:pPr>
            <w:r>
              <w:t>Key points</w:t>
            </w:r>
          </w:p>
        </w:tc>
      </w:tr>
      <w:tr w:rsidR="00404CF8" w14:paraId="6DE8FDFE" w14:textId="77777777">
        <w:trPr>
          <w:cantSplit/>
        </w:trPr>
        <w:tc>
          <w:tcPr>
            <w:tcW w:w="8771" w:type="dxa"/>
            <w:tcBorders>
              <w:top w:val="nil"/>
              <w:left w:val="single" w:sz="6" w:space="0" w:color="auto"/>
              <w:bottom w:val="nil"/>
              <w:right w:val="single" w:sz="6" w:space="0" w:color="auto"/>
            </w:tcBorders>
          </w:tcPr>
          <w:p w14:paraId="04AA11B3" w14:textId="6BA43FA4" w:rsidR="008D449E" w:rsidRDefault="00806A1E" w:rsidP="00FC6ACE">
            <w:pPr>
              <w:pStyle w:val="BoxListBullet"/>
            </w:pPr>
            <w:r>
              <w:t>While all forms of her</w:t>
            </w:r>
            <w:r w:rsidR="00F42D0A">
              <w:t>itage (historical, natural and I</w:t>
            </w:r>
            <w:r>
              <w:t xml:space="preserve">ndigenous) can </w:t>
            </w:r>
            <w:r w:rsidR="0073007F">
              <w:t>be impacted by exploration</w:t>
            </w:r>
            <w:r>
              <w:t xml:space="preserve">, </w:t>
            </w:r>
            <w:r w:rsidR="00DB3CD3">
              <w:t xml:space="preserve">Indigenous heritage </w:t>
            </w:r>
            <w:r>
              <w:t xml:space="preserve">policy challenges are </w:t>
            </w:r>
            <w:r w:rsidR="00DB3CD3">
              <w:t xml:space="preserve">the </w:t>
            </w:r>
            <w:r>
              <w:t>most pronounced.</w:t>
            </w:r>
          </w:p>
          <w:p w14:paraId="0B75C097" w14:textId="4F4605A5" w:rsidR="00806A1E" w:rsidRDefault="00806A1E" w:rsidP="00FC6ACE">
            <w:pPr>
              <w:pStyle w:val="BoxListBullet"/>
            </w:pPr>
            <w:r>
              <w:t xml:space="preserve">All states and territories </w:t>
            </w:r>
            <w:r w:rsidR="00C7464B">
              <w:t xml:space="preserve">have dedicated legislation to </w:t>
            </w:r>
            <w:r>
              <w:t xml:space="preserve">protect Indigenous </w:t>
            </w:r>
            <w:r>
              <w:rPr>
                <w:lang w:val="en"/>
              </w:rPr>
              <w:t xml:space="preserve">heritage. However, </w:t>
            </w:r>
            <w:r>
              <w:t xml:space="preserve">there is variation in </w:t>
            </w:r>
            <w:r w:rsidR="00E22CFA">
              <w:t xml:space="preserve">how Indigenous heritage is defined, </w:t>
            </w:r>
            <w:r>
              <w:t xml:space="preserve">how it is protected </w:t>
            </w:r>
            <w:r w:rsidR="009E781F">
              <w:t xml:space="preserve">from resource exploration </w:t>
            </w:r>
            <w:r>
              <w:t xml:space="preserve">and who </w:t>
            </w:r>
            <w:r w:rsidR="0073007F">
              <w:t xml:space="preserve">makes </w:t>
            </w:r>
            <w:r>
              <w:t>deci</w:t>
            </w:r>
            <w:r w:rsidR="0073007F">
              <w:t>sions</w:t>
            </w:r>
            <w:r w:rsidR="00966802">
              <w:t xml:space="preserve"> on heritage matters</w:t>
            </w:r>
            <w:r>
              <w:t>.</w:t>
            </w:r>
          </w:p>
          <w:p w14:paraId="3F6A1775" w14:textId="38C530EE" w:rsidR="00F23848" w:rsidRDefault="002010AC" w:rsidP="00FC6ACE">
            <w:pPr>
              <w:pStyle w:val="BoxListBullet"/>
            </w:pPr>
            <w:r>
              <w:t xml:space="preserve">Participants raised </w:t>
            </w:r>
            <w:r w:rsidR="00966802">
              <w:t xml:space="preserve">a number of </w:t>
            </w:r>
            <w:r w:rsidR="00F00D4A">
              <w:t>concerns</w:t>
            </w:r>
            <w:r w:rsidR="00707A58">
              <w:t xml:space="preserve">, at times conflicting, </w:t>
            </w:r>
            <w:r>
              <w:t>including:</w:t>
            </w:r>
          </w:p>
          <w:p w14:paraId="6412A72A" w14:textId="77777777" w:rsidR="005F1AEE" w:rsidRDefault="005F1AEE" w:rsidP="005F1AEE">
            <w:pPr>
              <w:pStyle w:val="BoxListBullet2"/>
            </w:pPr>
            <w:r>
              <w:t>inadequate protection of Indigenous heritage</w:t>
            </w:r>
          </w:p>
          <w:p w14:paraId="3AA3D0EC" w14:textId="4C536E4C" w:rsidR="0077142F" w:rsidRDefault="00687908" w:rsidP="0077142F">
            <w:pPr>
              <w:pStyle w:val="BoxListBullet2"/>
            </w:pPr>
            <w:r>
              <w:t>overlap between Commonwealth and state/territory legislation</w:t>
            </w:r>
          </w:p>
          <w:p w14:paraId="3992BF55" w14:textId="3BA8CDA9" w:rsidR="0077142F" w:rsidRDefault="0077142F" w:rsidP="0077142F">
            <w:pPr>
              <w:pStyle w:val="BoxListBullet2"/>
            </w:pPr>
            <w:r>
              <w:t xml:space="preserve">inadequate </w:t>
            </w:r>
            <w:r w:rsidR="00B34C8D">
              <w:t xml:space="preserve">heritage </w:t>
            </w:r>
            <w:r>
              <w:t>registers and associated information problems</w:t>
            </w:r>
          </w:p>
          <w:p w14:paraId="4DC2F24D" w14:textId="0E30DB7A" w:rsidR="00855017" w:rsidRDefault="00C46984" w:rsidP="002010AC">
            <w:pPr>
              <w:pStyle w:val="BoxListBullet2"/>
            </w:pPr>
            <w:r>
              <w:t>c</w:t>
            </w:r>
            <w:r w:rsidR="0030057C">
              <w:t>ost</w:t>
            </w:r>
            <w:r w:rsidR="00C90AF6">
              <w:t>s</w:t>
            </w:r>
            <w:r w:rsidR="0030057C">
              <w:t xml:space="preserve"> </w:t>
            </w:r>
            <w:r w:rsidR="00C90AF6">
              <w:t>of</w:t>
            </w:r>
            <w:r w:rsidR="00855017">
              <w:t xml:space="preserve"> </w:t>
            </w:r>
            <w:r w:rsidR="0077142F">
              <w:t>conducting cultural heritage surveys</w:t>
            </w:r>
            <w:r w:rsidR="004742D0">
              <w:t>, particularly when the area has been surveyed previously</w:t>
            </w:r>
          </w:p>
          <w:p w14:paraId="4AD64652" w14:textId="44DE2F54" w:rsidR="00043FF9" w:rsidRDefault="00043FF9" w:rsidP="00043FF9">
            <w:pPr>
              <w:pStyle w:val="BoxListBullet2"/>
            </w:pPr>
            <w:r>
              <w:t>d</w:t>
            </w:r>
            <w:r w:rsidR="008E70DE">
              <w:t>elays</w:t>
            </w:r>
            <w:r>
              <w:t xml:space="preserve"> in identifying</w:t>
            </w:r>
            <w:r w:rsidR="008E70DE">
              <w:t xml:space="preserve">, </w:t>
            </w:r>
            <w:r>
              <w:t xml:space="preserve">consulting </w:t>
            </w:r>
            <w:r w:rsidR="008E70DE">
              <w:t xml:space="preserve">and negotiating </w:t>
            </w:r>
            <w:r>
              <w:t>with Indigenous parties</w:t>
            </w:r>
            <w:r w:rsidR="00C90AF6">
              <w:t>.</w:t>
            </w:r>
          </w:p>
          <w:p w14:paraId="1954832B" w14:textId="04C0E5D8" w:rsidR="00FC6ACE" w:rsidRDefault="00B925AD" w:rsidP="00FC6ACE">
            <w:pPr>
              <w:pStyle w:val="BoxListBullet"/>
            </w:pPr>
            <w:r>
              <w:t>Recent r</w:t>
            </w:r>
            <w:r w:rsidR="00C46984">
              <w:t>eform</w:t>
            </w:r>
            <w:r w:rsidR="00966802">
              <w:t>s</w:t>
            </w:r>
            <w:r w:rsidR="00AF0BDF">
              <w:t xml:space="preserve"> </w:t>
            </w:r>
            <w:r w:rsidR="0099372F">
              <w:t xml:space="preserve">by various jurisdictions </w:t>
            </w:r>
            <w:r w:rsidR="00C46984">
              <w:t xml:space="preserve">include </w:t>
            </w:r>
            <w:r w:rsidR="001B53F4">
              <w:t xml:space="preserve">increased </w:t>
            </w:r>
            <w:r w:rsidR="00723906">
              <w:t xml:space="preserve">consultation and </w:t>
            </w:r>
            <w:r w:rsidR="00E712B7">
              <w:t>involvement of</w:t>
            </w:r>
            <w:r w:rsidR="00C46984">
              <w:t xml:space="preserve"> Indigenous </w:t>
            </w:r>
            <w:r w:rsidR="00E712B7">
              <w:t>representatives</w:t>
            </w:r>
            <w:r w:rsidR="001B53F4">
              <w:t xml:space="preserve"> </w:t>
            </w:r>
            <w:r w:rsidR="000830B5">
              <w:t>in heritage decision making</w:t>
            </w:r>
            <w:r w:rsidR="00C46984">
              <w:t>, alignment of heritage legislation with native title and increased fines for unintentional damage.</w:t>
            </w:r>
          </w:p>
          <w:p w14:paraId="5A38D81E" w14:textId="7702DA51" w:rsidR="00B3262E" w:rsidRDefault="004A34C8" w:rsidP="00FC6ACE">
            <w:pPr>
              <w:pStyle w:val="BoxListBullet"/>
            </w:pPr>
            <w:r>
              <w:rPr>
                <w:lang w:val="en"/>
              </w:rPr>
              <w:t xml:space="preserve">Overlap between the </w:t>
            </w:r>
            <w:r w:rsidR="00B3262E" w:rsidRPr="00636CEE">
              <w:rPr>
                <w:lang w:val="en"/>
              </w:rPr>
              <w:t xml:space="preserve">Commonwealth </w:t>
            </w:r>
            <w:r w:rsidR="00B3262E" w:rsidRPr="009A6847">
              <w:rPr>
                <w:i/>
              </w:rPr>
              <w:t>Aboriginal and Torres Strait Islander Heritage Protection Act 1984</w:t>
            </w:r>
            <w:r w:rsidR="00B3262E">
              <w:t xml:space="preserve"> </w:t>
            </w:r>
            <w:r>
              <w:t>and state/territory legislation needs to be addressed</w:t>
            </w:r>
            <w:r w:rsidR="0099372F">
              <w:t xml:space="preserve">. </w:t>
            </w:r>
            <w:r w:rsidR="004742D0">
              <w:t>Accreditation of</w:t>
            </w:r>
            <w:r w:rsidR="00553248">
              <w:t xml:space="preserve"> state and territory </w:t>
            </w:r>
            <w:r w:rsidR="004742D0">
              <w:t>regimes can resolve the issue</w:t>
            </w:r>
            <w:r>
              <w:t>.</w:t>
            </w:r>
          </w:p>
          <w:p w14:paraId="51C7EC63" w14:textId="5F8B3FF6" w:rsidR="00FC6ACE" w:rsidRPr="0073007F" w:rsidRDefault="00553248" w:rsidP="00FC6ACE">
            <w:pPr>
              <w:pStyle w:val="BoxListBullet"/>
            </w:pPr>
            <w:r>
              <w:rPr>
                <w:lang w:val="en"/>
              </w:rPr>
              <w:t xml:space="preserve">Building better Indigenous heritage registers is </w:t>
            </w:r>
            <w:r w:rsidR="00B34C8D">
              <w:rPr>
                <w:lang w:val="en"/>
              </w:rPr>
              <w:t>necessary</w:t>
            </w:r>
            <w:r w:rsidR="00FC6ACE" w:rsidRPr="002370E5">
              <w:rPr>
                <w:lang w:val="en"/>
              </w:rPr>
              <w:t xml:space="preserve"> for </w:t>
            </w:r>
            <w:r w:rsidR="004742D0">
              <w:rPr>
                <w:lang w:val="en"/>
              </w:rPr>
              <w:t xml:space="preserve">greater </w:t>
            </w:r>
            <w:r w:rsidR="00FC6ACE" w:rsidRPr="002370E5">
              <w:rPr>
                <w:lang w:val="en"/>
              </w:rPr>
              <w:t xml:space="preserve">expediency in </w:t>
            </w:r>
            <w:r w:rsidR="00FC6ACE">
              <w:rPr>
                <w:lang w:val="en"/>
              </w:rPr>
              <w:t xml:space="preserve">heritage decisions and </w:t>
            </w:r>
            <w:r w:rsidR="00B34C8D">
              <w:rPr>
                <w:lang w:val="en"/>
              </w:rPr>
              <w:t xml:space="preserve">for </w:t>
            </w:r>
            <w:r w:rsidR="00FC6ACE">
              <w:rPr>
                <w:lang w:val="en"/>
              </w:rPr>
              <w:t>avoiding unnecessary cost.</w:t>
            </w:r>
          </w:p>
          <w:p w14:paraId="7DC4649B" w14:textId="77777777" w:rsidR="0073007F" w:rsidRPr="009828E6" w:rsidRDefault="0073007F" w:rsidP="00FC6ACE">
            <w:pPr>
              <w:pStyle w:val="BoxListBullet"/>
            </w:pPr>
            <w:r>
              <w:rPr>
                <w:lang w:val="en"/>
              </w:rPr>
              <w:t xml:space="preserve">Indigenous heritage protection </w:t>
            </w:r>
            <w:r>
              <w:t>should be based on risk management processes.</w:t>
            </w:r>
          </w:p>
          <w:p w14:paraId="72549BEC" w14:textId="7508480C" w:rsidR="00FC6ACE" w:rsidRDefault="00FC6ACE" w:rsidP="0073007F">
            <w:pPr>
              <w:pStyle w:val="BoxListBullet2"/>
              <w:rPr>
                <w:lang w:val="en"/>
              </w:rPr>
            </w:pPr>
            <w:r>
              <w:rPr>
                <w:lang w:val="en"/>
              </w:rPr>
              <w:t xml:space="preserve">Where risk of harming heritage </w:t>
            </w:r>
            <w:r w:rsidR="00B3262E">
              <w:rPr>
                <w:lang w:val="en"/>
              </w:rPr>
              <w:t>is low</w:t>
            </w:r>
            <w:r w:rsidR="0099372F">
              <w:rPr>
                <w:lang w:val="en"/>
              </w:rPr>
              <w:t>,</w:t>
            </w:r>
            <w:r w:rsidR="00B3262E">
              <w:rPr>
                <w:lang w:val="en"/>
              </w:rPr>
              <w:t xml:space="preserve"> a </w:t>
            </w:r>
            <w:r w:rsidRPr="001F3889">
              <w:rPr>
                <w:lang w:val="en"/>
              </w:rPr>
              <w:t>s</w:t>
            </w:r>
            <w:r>
              <w:rPr>
                <w:lang w:val="en"/>
              </w:rPr>
              <w:t>treamlined</w:t>
            </w:r>
            <w:r w:rsidRPr="001F3889">
              <w:rPr>
                <w:lang w:val="en"/>
              </w:rPr>
              <w:t xml:space="preserve"> </w:t>
            </w:r>
            <w:r w:rsidR="00D4066C">
              <w:rPr>
                <w:lang w:val="en"/>
              </w:rPr>
              <w:t xml:space="preserve">‘duty of care’ or ‘due diligence’ </w:t>
            </w:r>
            <w:r w:rsidRPr="001F3889">
              <w:rPr>
                <w:lang w:val="en"/>
              </w:rPr>
              <w:t>process</w:t>
            </w:r>
            <w:r>
              <w:rPr>
                <w:lang w:val="en"/>
              </w:rPr>
              <w:t xml:space="preserve"> will prevent </w:t>
            </w:r>
            <w:r w:rsidR="0099372F">
              <w:rPr>
                <w:lang w:val="en"/>
              </w:rPr>
              <w:t xml:space="preserve">an </w:t>
            </w:r>
            <w:r>
              <w:rPr>
                <w:lang w:val="en"/>
              </w:rPr>
              <w:t>unnecessary regulatory burden</w:t>
            </w:r>
            <w:r w:rsidR="00B3262E">
              <w:rPr>
                <w:lang w:val="en"/>
              </w:rPr>
              <w:t xml:space="preserve"> for explorers</w:t>
            </w:r>
            <w:r>
              <w:rPr>
                <w:lang w:val="en"/>
              </w:rPr>
              <w:t>.</w:t>
            </w:r>
          </w:p>
          <w:p w14:paraId="32EE9243" w14:textId="1EFE80CB" w:rsidR="0073007F" w:rsidRPr="0073007F" w:rsidRDefault="00FC6ACE" w:rsidP="0073007F">
            <w:pPr>
              <w:pStyle w:val="BoxListBullet2"/>
            </w:pPr>
            <w:r w:rsidRPr="006B395A">
              <w:rPr>
                <w:lang w:val="en"/>
              </w:rPr>
              <w:t>Where Indigenous heritage is of high significance</w:t>
            </w:r>
            <w:r w:rsidR="0099372F">
              <w:rPr>
                <w:lang w:val="en"/>
              </w:rPr>
              <w:t>,</w:t>
            </w:r>
            <w:r w:rsidRPr="006B395A">
              <w:rPr>
                <w:lang w:val="en"/>
              </w:rPr>
              <w:t xml:space="preserve"> expediency in approvals and agreements is not </w:t>
            </w:r>
            <w:r w:rsidR="00966802">
              <w:rPr>
                <w:lang w:val="en"/>
              </w:rPr>
              <w:t xml:space="preserve">the </w:t>
            </w:r>
            <w:r w:rsidR="00B925AD">
              <w:rPr>
                <w:lang w:val="en"/>
              </w:rPr>
              <w:t xml:space="preserve">primary goal. </w:t>
            </w:r>
            <w:r w:rsidR="00966802">
              <w:rPr>
                <w:lang w:val="en"/>
              </w:rPr>
              <w:t>Rather, t</w:t>
            </w:r>
            <w:r w:rsidR="00B925AD">
              <w:rPr>
                <w:lang w:val="en"/>
              </w:rPr>
              <w:t>he objective is to protect Indigenous heritage</w:t>
            </w:r>
            <w:r w:rsidR="0099372F">
              <w:rPr>
                <w:lang w:val="en"/>
              </w:rPr>
              <w:t xml:space="preserve"> while facilitating exploration</w:t>
            </w:r>
            <w:r w:rsidR="004742D0">
              <w:rPr>
                <w:lang w:val="en"/>
              </w:rPr>
              <w:t xml:space="preserve"> to the extent possible</w:t>
            </w:r>
            <w:r w:rsidR="00B925AD">
              <w:rPr>
                <w:lang w:val="en"/>
              </w:rPr>
              <w:t>.</w:t>
            </w:r>
          </w:p>
          <w:p w14:paraId="056DF2FA" w14:textId="77777777" w:rsidR="006B395A" w:rsidRDefault="004A34C8" w:rsidP="00904F3E">
            <w:pPr>
              <w:pStyle w:val="BoxListBullet"/>
            </w:pPr>
            <w:r>
              <w:rPr>
                <w:lang w:val="en"/>
              </w:rPr>
              <w:t>N</w:t>
            </w:r>
            <w:r w:rsidR="00B925AD">
              <w:rPr>
                <w:lang w:val="en"/>
              </w:rPr>
              <w:t xml:space="preserve">egotiated agreements between explorers and Indigenous parties </w:t>
            </w:r>
            <w:r w:rsidR="00904F3E">
              <w:rPr>
                <w:lang w:val="en"/>
              </w:rPr>
              <w:t xml:space="preserve">(or third parties) </w:t>
            </w:r>
            <w:r w:rsidR="00B925AD">
              <w:rPr>
                <w:lang w:val="en"/>
              </w:rPr>
              <w:t xml:space="preserve">are likely to produce better outcomes for heritage protection than systems which rely on ministerial </w:t>
            </w:r>
            <w:r w:rsidR="00904F3E">
              <w:rPr>
                <w:lang w:val="en"/>
              </w:rPr>
              <w:t>or departmental</w:t>
            </w:r>
            <w:r w:rsidR="00B925AD">
              <w:rPr>
                <w:lang w:val="en"/>
              </w:rPr>
              <w:t xml:space="preserve"> </w:t>
            </w:r>
            <w:proofErr w:type="spellStart"/>
            <w:r w:rsidR="00B925AD">
              <w:rPr>
                <w:lang w:val="en"/>
              </w:rPr>
              <w:t>authorisation</w:t>
            </w:r>
            <w:proofErr w:type="spellEnd"/>
            <w:r w:rsidR="00B925AD">
              <w:rPr>
                <w:lang w:val="en"/>
              </w:rPr>
              <w:t xml:space="preserve"> for exploration</w:t>
            </w:r>
            <w:r w:rsidR="003B7B8D">
              <w:rPr>
                <w:lang w:val="en"/>
              </w:rPr>
              <w:t>.</w:t>
            </w:r>
          </w:p>
          <w:p w14:paraId="660F241B" w14:textId="2C2389FA" w:rsidR="00806A1E" w:rsidRDefault="00FC6ACE" w:rsidP="00C90AF6">
            <w:pPr>
              <w:pStyle w:val="BoxListBullet"/>
            </w:pPr>
            <w:r w:rsidRPr="006B395A">
              <w:rPr>
                <w:lang w:val="en"/>
              </w:rPr>
              <w:t>When harm to heritage cannot be avoided and/or management plans cannot be agreed upon</w:t>
            </w:r>
            <w:r w:rsidR="0099372F">
              <w:rPr>
                <w:lang w:val="en"/>
              </w:rPr>
              <w:t>,</w:t>
            </w:r>
            <w:r w:rsidRPr="006B395A">
              <w:rPr>
                <w:lang w:val="en"/>
              </w:rPr>
              <w:t xml:space="preserve"> ministerial </w:t>
            </w:r>
            <w:r w:rsidR="0099372F">
              <w:rPr>
                <w:lang w:val="en"/>
              </w:rPr>
              <w:t>(</w:t>
            </w:r>
            <w:r w:rsidRPr="006B395A">
              <w:rPr>
                <w:lang w:val="en"/>
              </w:rPr>
              <w:t xml:space="preserve">or departmental) decisions to allow exploration to go ahead should be based on </w:t>
            </w:r>
            <w:r w:rsidR="00083169">
              <w:rPr>
                <w:lang w:val="en"/>
              </w:rPr>
              <w:t xml:space="preserve">clear decision making criteria, transparency and </w:t>
            </w:r>
            <w:r w:rsidR="005877C0">
              <w:rPr>
                <w:lang w:val="en"/>
              </w:rPr>
              <w:t xml:space="preserve">consultation with all parties that have a </w:t>
            </w:r>
            <w:r w:rsidR="00835DD3">
              <w:rPr>
                <w:lang w:val="en"/>
              </w:rPr>
              <w:t>direct</w:t>
            </w:r>
            <w:r w:rsidR="00C90AF6">
              <w:rPr>
                <w:lang w:val="en"/>
              </w:rPr>
              <w:t>-</w:t>
            </w:r>
            <w:r w:rsidR="005877C0">
              <w:rPr>
                <w:lang w:val="en"/>
              </w:rPr>
              <w:t>interest</w:t>
            </w:r>
            <w:r w:rsidRPr="006B395A">
              <w:rPr>
                <w:lang w:val="en"/>
              </w:rPr>
              <w:t>.</w:t>
            </w:r>
          </w:p>
        </w:tc>
      </w:tr>
      <w:tr w:rsidR="00404CF8" w14:paraId="1EDE1BDF" w14:textId="77777777">
        <w:trPr>
          <w:cantSplit/>
        </w:trPr>
        <w:tc>
          <w:tcPr>
            <w:tcW w:w="8771" w:type="dxa"/>
            <w:tcBorders>
              <w:top w:val="nil"/>
              <w:left w:val="single" w:sz="6" w:space="0" w:color="auto"/>
              <w:bottom w:val="single" w:sz="6" w:space="0" w:color="auto"/>
              <w:right w:val="single" w:sz="6" w:space="0" w:color="auto"/>
            </w:tcBorders>
          </w:tcPr>
          <w:p w14:paraId="1E64DF7A" w14:textId="77777777" w:rsidR="00404CF8" w:rsidRDefault="00404CF8">
            <w:pPr>
              <w:pStyle w:val="Box"/>
              <w:spacing w:before="0" w:line="120" w:lineRule="exact"/>
            </w:pPr>
          </w:p>
        </w:tc>
      </w:tr>
      <w:tr w:rsidR="00404CF8" w:rsidRPr="000863A5" w14:paraId="302AB4A0" w14:textId="77777777">
        <w:tc>
          <w:tcPr>
            <w:tcW w:w="8771" w:type="dxa"/>
            <w:tcBorders>
              <w:top w:val="nil"/>
              <w:left w:val="nil"/>
              <w:bottom w:val="nil"/>
              <w:right w:val="nil"/>
            </w:tcBorders>
          </w:tcPr>
          <w:p w14:paraId="49DFF79A" w14:textId="2B779CEF" w:rsidR="00404CF8" w:rsidRPr="00626D32" w:rsidRDefault="00404CF8" w:rsidP="00116A2F">
            <w:pPr>
              <w:pStyle w:val="BoxSpaceBelow"/>
            </w:pPr>
          </w:p>
        </w:tc>
      </w:tr>
    </w:tbl>
    <w:p w14:paraId="09F8C5F9" w14:textId="5F855ED8" w:rsidR="000869ED" w:rsidRDefault="0020784A" w:rsidP="000869ED">
      <w:pPr>
        <w:pStyle w:val="BodyText"/>
        <w:rPr>
          <w:lang w:val="en"/>
        </w:rPr>
      </w:pPr>
      <w:bookmarkStart w:id="2" w:name="begin"/>
      <w:bookmarkEnd w:id="2"/>
      <w:r>
        <w:rPr>
          <w:lang w:val="en"/>
        </w:rPr>
        <w:lastRenderedPageBreak/>
        <w:t>This chapter</w:t>
      </w:r>
      <w:r w:rsidR="007E18B7">
        <w:rPr>
          <w:lang w:val="en"/>
        </w:rPr>
        <w:t xml:space="preserve"> </w:t>
      </w:r>
      <w:r w:rsidR="00826BB1">
        <w:rPr>
          <w:lang w:val="en"/>
        </w:rPr>
        <w:t xml:space="preserve">commences with a summary of </w:t>
      </w:r>
      <w:r w:rsidR="007E18B7">
        <w:rPr>
          <w:lang w:val="en"/>
        </w:rPr>
        <w:t xml:space="preserve">the </w:t>
      </w:r>
      <w:r w:rsidR="00350B8E">
        <w:rPr>
          <w:lang w:val="en"/>
        </w:rPr>
        <w:t>types</w:t>
      </w:r>
      <w:r w:rsidR="007E18B7">
        <w:rPr>
          <w:lang w:val="en"/>
        </w:rPr>
        <w:t xml:space="preserve"> of heritage and </w:t>
      </w:r>
      <w:r w:rsidR="00826BB1">
        <w:rPr>
          <w:lang w:val="en"/>
        </w:rPr>
        <w:t>their</w:t>
      </w:r>
      <w:r w:rsidR="007E18B7">
        <w:rPr>
          <w:lang w:val="en"/>
        </w:rPr>
        <w:t xml:space="preserve"> regulatory framework. </w:t>
      </w:r>
      <w:r w:rsidR="002919C0">
        <w:rPr>
          <w:lang w:val="en"/>
        </w:rPr>
        <w:t xml:space="preserve">The main focus of the chapter is on </w:t>
      </w:r>
      <w:r w:rsidR="008956E1">
        <w:rPr>
          <w:lang w:val="en"/>
        </w:rPr>
        <w:t xml:space="preserve">Indigenous heritage </w:t>
      </w:r>
      <w:r w:rsidR="002919C0">
        <w:rPr>
          <w:lang w:val="en"/>
        </w:rPr>
        <w:t xml:space="preserve">issues </w:t>
      </w:r>
      <w:r w:rsidR="005C2353">
        <w:rPr>
          <w:lang w:val="en"/>
        </w:rPr>
        <w:t xml:space="preserve">that </w:t>
      </w:r>
      <w:r w:rsidR="002919C0">
        <w:rPr>
          <w:lang w:val="en"/>
        </w:rPr>
        <w:t>relat</w:t>
      </w:r>
      <w:r w:rsidR="005C2353">
        <w:rPr>
          <w:lang w:val="en"/>
        </w:rPr>
        <w:t>e</w:t>
      </w:r>
      <w:r w:rsidR="002919C0">
        <w:rPr>
          <w:lang w:val="en"/>
        </w:rPr>
        <w:t xml:space="preserve"> to </w:t>
      </w:r>
      <w:r w:rsidR="004742D0">
        <w:rPr>
          <w:lang w:val="en"/>
        </w:rPr>
        <w:t>exploration</w:t>
      </w:r>
      <w:r w:rsidR="00B34C8D">
        <w:rPr>
          <w:lang w:val="en"/>
        </w:rPr>
        <w:t>.</w:t>
      </w:r>
      <w:r w:rsidR="008956E1">
        <w:rPr>
          <w:lang w:val="en"/>
        </w:rPr>
        <w:t xml:space="preserve"> </w:t>
      </w:r>
      <w:r w:rsidR="00350B8E">
        <w:rPr>
          <w:lang w:val="en"/>
        </w:rPr>
        <w:t>T</w:t>
      </w:r>
      <w:r>
        <w:rPr>
          <w:lang w:val="en"/>
        </w:rPr>
        <w:t xml:space="preserve">he chapter </w:t>
      </w:r>
      <w:r w:rsidR="00350B8E">
        <w:rPr>
          <w:lang w:val="en"/>
        </w:rPr>
        <w:t xml:space="preserve">also </w:t>
      </w:r>
      <w:r w:rsidR="004F49DE">
        <w:rPr>
          <w:lang w:val="en"/>
        </w:rPr>
        <w:t xml:space="preserve">discusses </w:t>
      </w:r>
      <w:r w:rsidR="000869ED">
        <w:rPr>
          <w:lang w:val="en"/>
        </w:rPr>
        <w:t>historic</w:t>
      </w:r>
      <w:r w:rsidR="004F49DE">
        <w:rPr>
          <w:lang w:val="en"/>
        </w:rPr>
        <w:t xml:space="preserve"> heritage </w:t>
      </w:r>
      <w:r w:rsidR="004742D0">
        <w:rPr>
          <w:lang w:val="en"/>
        </w:rPr>
        <w:t>issues</w:t>
      </w:r>
      <w:r w:rsidR="004F49DE">
        <w:rPr>
          <w:lang w:val="en"/>
        </w:rPr>
        <w:t>.</w:t>
      </w:r>
      <w:r w:rsidR="00E76E38">
        <w:rPr>
          <w:lang w:val="en"/>
        </w:rPr>
        <w:t xml:space="preserve"> </w:t>
      </w:r>
      <w:r w:rsidR="004742D0">
        <w:rPr>
          <w:lang w:val="en"/>
        </w:rPr>
        <w:t>N</w:t>
      </w:r>
      <w:r w:rsidR="000869ED">
        <w:rPr>
          <w:lang w:val="en"/>
        </w:rPr>
        <w:t xml:space="preserve">atural heritage </w:t>
      </w:r>
      <w:r w:rsidR="004742D0">
        <w:rPr>
          <w:lang w:val="en"/>
        </w:rPr>
        <w:t xml:space="preserve">issues </w:t>
      </w:r>
      <w:r w:rsidR="00E76E38">
        <w:rPr>
          <w:lang w:val="en"/>
        </w:rPr>
        <w:t>are</w:t>
      </w:r>
      <w:r w:rsidR="000869ED">
        <w:rPr>
          <w:lang w:val="en"/>
        </w:rPr>
        <w:t xml:space="preserve"> dis</w:t>
      </w:r>
      <w:r w:rsidR="00E76E38">
        <w:rPr>
          <w:lang w:val="en"/>
        </w:rPr>
        <w:t>cussed in chapter</w:t>
      </w:r>
      <w:r w:rsidR="00504C8F">
        <w:rPr>
          <w:lang w:val="en"/>
        </w:rPr>
        <w:t> </w:t>
      </w:r>
      <w:r w:rsidR="00E76E38">
        <w:rPr>
          <w:lang w:val="en"/>
        </w:rPr>
        <w:t>4 (exploration in national parks</w:t>
      </w:r>
      <w:r w:rsidR="000869ED">
        <w:rPr>
          <w:lang w:val="en"/>
        </w:rPr>
        <w:t>) and chapter</w:t>
      </w:r>
      <w:r w:rsidR="00504C8F">
        <w:rPr>
          <w:lang w:val="en"/>
        </w:rPr>
        <w:t> </w:t>
      </w:r>
      <w:r w:rsidR="008C319F">
        <w:rPr>
          <w:lang w:val="en"/>
        </w:rPr>
        <w:t>6</w:t>
      </w:r>
      <w:r w:rsidR="000869ED">
        <w:rPr>
          <w:lang w:val="en"/>
        </w:rPr>
        <w:t xml:space="preserve"> (</w:t>
      </w:r>
      <w:r w:rsidR="00364BA4">
        <w:rPr>
          <w:lang w:val="en"/>
        </w:rPr>
        <w:t xml:space="preserve">in relation to </w:t>
      </w:r>
      <w:r w:rsidR="00C079C2">
        <w:rPr>
          <w:lang w:val="en"/>
        </w:rPr>
        <w:t xml:space="preserve">the </w:t>
      </w:r>
      <w:r w:rsidR="00941AEB" w:rsidRPr="002C53CE">
        <w:rPr>
          <w:i/>
          <w:lang w:val="en"/>
        </w:rPr>
        <w:t>E</w:t>
      </w:r>
      <w:r w:rsidR="002C53CE" w:rsidRPr="002C53CE">
        <w:rPr>
          <w:i/>
          <w:lang w:val="en"/>
        </w:rPr>
        <w:t xml:space="preserve">nvironment </w:t>
      </w:r>
      <w:r w:rsidR="00941AEB" w:rsidRPr="002C53CE">
        <w:rPr>
          <w:i/>
          <w:lang w:val="en"/>
        </w:rPr>
        <w:t>P</w:t>
      </w:r>
      <w:r w:rsidR="002C53CE" w:rsidRPr="002C53CE">
        <w:rPr>
          <w:i/>
          <w:lang w:val="en"/>
        </w:rPr>
        <w:t xml:space="preserve">rotection and </w:t>
      </w:r>
      <w:r w:rsidR="00941AEB" w:rsidRPr="002C53CE">
        <w:rPr>
          <w:i/>
          <w:lang w:val="en"/>
        </w:rPr>
        <w:t>B</w:t>
      </w:r>
      <w:r w:rsidR="002C53CE" w:rsidRPr="002C53CE">
        <w:rPr>
          <w:i/>
          <w:lang w:val="en"/>
        </w:rPr>
        <w:t xml:space="preserve">iodiversity </w:t>
      </w:r>
      <w:r w:rsidR="002C53CE">
        <w:rPr>
          <w:i/>
          <w:lang w:val="en"/>
        </w:rPr>
        <w:t xml:space="preserve">Conservation </w:t>
      </w:r>
      <w:r w:rsidR="002C53CE" w:rsidRPr="002C53CE">
        <w:rPr>
          <w:i/>
          <w:lang w:val="en"/>
        </w:rPr>
        <w:t>Act 1999</w:t>
      </w:r>
      <w:r w:rsidR="00941AEB">
        <w:rPr>
          <w:lang w:val="en"/>
        </w:rPr>
        <w:t>)</w:t>
      </w:r>
      <w:r w:rsidR="00E76E38">
        <w:rPr>
          <w:lang w:val="en"/>
        </w:rPr>
        <w:t>.</w:t>
      </w:r>
    </w:p>
    <w:p w14:paraId="27CF8832" w14:textId="791F13C5" w:rsidR="00C973B7" w:rsidRDefault="009A44B4" w:rsidP="00357531">
      <w:pPr>
        <w:pStyle w:val="Heading2"/>
      </w:pPr>
      <w:r>
        <w:t>5.</w:t>
      </w:r>
      <w:r>
        <w:rPr>
          <w:noProof/>
        </w:rPr>
        <w:t>1</w:t>
      </w:r>
      <w:r w:rsidR="00630662">
        <w:tab/>
      </w:r>
      <w:r w:rsidR="00D82C7B">
        <w:t>The broad regulatory framework</w:t>
      </w:r>
    </w:p>
    <w:p w14:paraId="7D83EE17" w14:textId="4951DA9F" w:rsidR="002554F5" w:rsidRPr="00D045C8" w:rsidRDefault="002554F5" w:rsidP="00583518">
      <w:pPr>
        <w:pStyle w:val="Heading3"/>
      </w:pPr>
      <w:r w:rsidRPr="00D045C8">
        <w:t>What is heritage?</w:t>
      </w:r>
    </w:p>
    <w:p w14:paraId="06A763A5" w14:textId="35F845E6" w:rsidR="00CB5E14" w:rsidRDefault="00CB5E14" w:rsidP="00CB5E14">
      <w:pPr>
        <w:pStyle w:val="BodyText"/>
        <w:rPr>
          <w:lang w:val="en"/>
        </w:rPr>
      </w:pPr>
      <w:r>
        <w:t>Heritage includes art</w:t>
      </w:r>
      <w:r w:rsidR="000D45EF">
        <w:t>e</w:t>
      </w:r>
      <w:r>
        <w:t>facts, tools, historical sites, myths surrounding natural features, stories, traditions, languages, events and experiences inherited from the past</w:t>
      </w:r>
      <w:r w:rsidR="0099372F">
        <w:t>.</w:t>
      </w:r>
      <w:r>
        <w:t xml:space="preserve"> </w:t>
      </w:r>
      <w:r w:rsidR="0099372F">
        <w:t>I</w:t>
      </w:r>
      <w:r>
        <w:t>t comprises both natural and cultural places with tangible and intangible values.</w:t>
      </w:r>
      <w:r w:rsidRPr="000837C6">
        <w:rPr>
          <w:lang w:val="en"/>
        </w:rPr>
        <w:t xml:space="preserve"> </w:t>
      </w:r>
      <w:r w:rsidR="0099372F">
        <w:rPr>
          <w:lang w:val="en"/>
        </w:rPr>
        <w:t>Resource e</w:t>
      </w:r>
      <w:r w:rsidRPr="000837C6">
        <w:rPr>
          <w:lang w:val="en"/>
        </w:rPr>
        <w:t xml:space="preserve">xploration </w:t>
      </w:r>
      <w:r w:rsidR="005C2353">
        <w:rPr>
          <w:lang w:val="en"/>
        </w:rPr>
        <w:t>has the potential to</w:t>
      </w:r>
      <w:r w:rsidR="005C2353" w:rsidRPr="000837C6">
        <w:rPr>
          <w:lang w:val="en"/>
        </w:rPr>
        <w:t xml:space="preserve"> </w:t>
      </w:r>
      <w:r>
        <w:rPr>
          <w:lang w:val="en"/>
        </w:rPr>
        <w:t>damage</w:t>
      </w:r>
      <w:r w:rsidR="005C2353">
        <w:rPr>
          <w:lang w:val="en"/>
        </w:rPr>
        <w:t>,</w:t>
      </w:r>
      <w:r>
        <w:rPr>
          <w:lang w:val="en"/>
        </w:rPr>
        <w:t xml:space="preserve"> destroy </w:t>
      </w:r>
      <w:r w:rsidR="005C2353">
        <w:rPr>
          <w:lang w:val="en"/>
        </w:rPr>
        <w:t xml:space="preserve">or lead to the relocation of some features of </w:t>
      </w:r>
      <w:r>
        <w:rPr>
          <w:lang w:val="en"/>
        </w:rPr>
        <w:t>heritage</w:t>
      </w:r>
      <w:r w:rsidR="005C2353">
        <w:rPr>
          <w:lang w:val="en"/>
        </w:rPr>
        <w:t xml:space="preserve"> </w:t>
      </w:r>
      <w:r w:rsidRPr="000837C6">
        <w:rPr>
          <w:lang w:val="en"/>
        </w:rPr>
        <w:t xml:space="preserve">or cause indirect pressures, such as loss of access to </w:t>
      </w:r>
      <w:r w:rsidR="0008086A">
        <w:rPr>
          <w:lang w:val="en"/>
        </w:rPr>
        <w:t>a</w:t>
      </w:r>
      <w:r w:rsidR="0008086A" w:rsidRPr="000837C6">
        <w:rPr>
          <w:lang w:val="en"/>
        </w:rPr>
        <w:t xml:space="preserve"> </w:t>
      </w:r>
      <w:r w:rsidR="00E80181">
        <w:rPr>
          <w:lang w:val="en"/>
        </w:rPr>
        <w:t>heritage place.</w:t>
      </w:r>
    </w:p>
    <w:p w14:paraId="5FA8BC7B" w14:textId="3666B370" w:rsidR="00204E5D" w:rsidRDefault="00204E5D" w:rsidP="00357531">
      <w:pPr>
        <w:pStyle w:val="BodyText"/>
        <w:spacing w:before="120"/>
        <w:rPr>
          <w:lang w:val="en"/>
        </w:rPr>
      </w:pPr>
      <w:r>
        <w:rPr>
          <w:lang w:val="en"/>
        </w:rPr>
        <w:t xml:space="preserve">The Australian heritage system identifies three </w:t>
      </w:r>
      <w:r w:rsidR="005D6517">
        <w:rPr>
          <w:lang w:val="en"/>
        </w:rPr>
        <w:t>types</w:t>
      </w:r>
      <w:r>
        <w:rPr>
          <w:lang w:val="en"/>
        </w:rPr>
        <w:t xml:space="preserve"> — </w:t>
      </w:r>
      <w:r w:rsidR="00AC1DD5">
        <w:rPr>
          <w:lang w:val="en"/>
        </w:rPr>
        <w:t>I</w:t>
      </w:r>
      <w:r>
        <w:rPr>
          <w:lang w:val="en"/>
        </w:rPr>
        <w:t>nd</w:t>
      </w:r>
      <w:r w:rsidR="007C4B3F">
        <w:rPr>
          <w:lang w:val="en"/>
        </w:rPr>
        <w:t>igenous</w:t>
      </w:r>
      <w:r>
        <w:rPr>
          <w:lang w:val="en"/>
        </w:rPr>
        <w:t>, historical and natural heritage</w:t>
      </w:r>
      <w:r w:rsidR="00826BB1">
        <w:rPr>
          <w:lang w:val="en"/>
        </w:rPr>
        <w:t xml:space="preserve"> (</w:t>
      </w:r>
      <w:r w:rsidR="002B321E">
        <w:t xml:space="preserve">State of the Environment 2011 Committee </w:t>
      </w:r>
      <w:r w:rsidR="00826BB1">
        <w:t>2011</w:t>
      </w:r>
      <w:r w:rsidR="003976BB">
        <w:t>, p. 700</w:t>
      </w:r>
      <w:r w:rsidR="00826BB1">
        <w:t>)</w:t>
      </w:r>
      <w:r>
        <w:rPr>
          <w:lang w:val="en"/>
        </w:rPr>
        <w:t>.</w:t>
      </w:r>
    </w:p>
    <w:p w14:paraId="67539E1D" w14:textId="1D3A135E" w:rsidR="001E361C" w:rsidRDefault="001E361C" w:rsidP="001E361C">
      <w:pPr>
        <w:pStyle w:val="ListBullet"/>
        <w:spacing w:before="80"/>
      </w:pPr>
      <w:r>
        <w:t xml:space="preserve">Indigenous </w:t>
      </w:r>
      <w:r w:rsidRPr="007C16CE">
        <w:t>Aboriginal and Torres Strait Islander heritage extends</w:t>
      </w:r>
      <w:r>
        <w:t xml:space="preserve"> </w:t>
      </w:r>
      <w:r w:rsidRPr="007C16CE">
        <w:t>over tens of thousands of years</w:t>
      </w:r>
      <w:r>
        <w:t>.</w:t>
      </w:r>
      <w:r w:rsidRPr="007C16CE">
        <w:t xml:space="preserve"> </w:t>
      </w:r>
      <w:r>
        <w:t>As well as being historically important</w:t>
      </w:r>
      <w:r w:rsidR="00EA4CD1">
        <w:t>,</w:t>
      </w:r>
      <w:r>
        <w:t xml:space="preserve"> Indigenous heritage </w:t>
      </w:r>
      <w:r w:rsidRPr="007C16CE">
        <w:t>is of</w:t>
      </w:r>
      <w:r>
        <w:t xml:space="preserve"> </w:t>
      </w:r>
      <w:r w:rsidRPr="007C16CE">
        <w:t xml:space="preserve">continuing </w:t>
      </w:r>
      <w:r w:rsidR="00EA4CD1">
        <w:t xml:space="preserve">cultural </w:t>
      </w:r>
      <w:r w:rsidRPr="007C16CE">
        <w:t>significance.</w:t>
      </w:r>
      <w:r w:rsidR="00D626F1">
        <w:t xml:space="preserve"> </w:t>
      </w:r>
      <w:r w:rsidR="00826BB1">
        <w:t>It</w:t>
      </w:r>
      <w:r w:rsidR="00D626F1">
        <w:t xml:space="preserve"> has</w:t>
      </w:r>
      <w:r>
        <w:t xml:space="preserve"> both tan</w:t>
      </w:r>
      <w:r w:rsidR="00D07875">
        <w:t>gible and intangible dimensions:</w:t>
      </w:r>
    </w:p>
    <w:p w14:paraId="0DE599CD" w14:textId="7D9079C5" w:rsidR="001E361C" w:rsidRDefault="00D07875" w:rsidP="001E361C">
      <w:pPr>
        <w:pStyle w:val="ListBullet2"/>
      </w:pPr>
      <w:r>
        <w:t>t</w:t>
      </w:r>
      <w:r w:rsidR="001E361C">
        <w:t xml:space="preserve">angible Indigenous heritage includes material manifestations of </w:t>
      </w:r>
      <w:r w:rsidR="000D45EF">
        <w:t xml:space="preserve">life </w:t>
      </w:r>
      <w:r w:rsidR="001E361C" w:rsidRPr="007C16CE">
        <w:t>includ</w:t>
      </w:r>
      <w:r w:rsidR="001E361C">
        <w:t>ing</w:t>
      </w:r>
      <w:r w:rsidR="001E361C" w:rsidRPr="007C16CE">
        <w:t xml:space="preserve"> </w:t>
      </w:r>
      <w:r w:rsidR="001E361C">
        <w:t xml:space="preserve">burial sites, </w:t>
      </w:r>
      <w:r w:rsidR="001E361C" w:rsidRPr="007C16CE">
        <w:t xml:space="preserve">rock art, carved trees, </w:t>
      </w:r>
      <w:r w:rsidR="001E361C">
        <w:t xml:space="preserve">middens </w:t>
      </w:r>
      <w:r>
        <w:t>and scatters of stone tools</w:t>
      </w:r>
    </w:p>
    <w:p w14:paraId="3C4A0A17" w14:textId="6033C2E6" w:rsidR="001E361C" w:rsidRPr="004F03B0" w:rsidRDefault="00D07875" w:rsidP="001E361C">
      <w:pPr>
        <w:pStyle w:val="ListBullet2"/>
        <w:spacing w:before="80"/>
        <w:rPr>
          <w:lang w:val="en"/>
        </w:rPr>
      </w:pPr>
      <w:r>
        <w:t>i</w:t>
      </w:r>
      <w:r w:rsidR="001E361C">
        <w:t xml:space="preserve">ntangible </w:t>
      </w:r>
      <w:r w:rsidR="005D6517">
        <w:t xml:space="preserve">Indigenous </w:t>
      </w:r>
      <w:r w:rsidR="001E361C">
        <w:t xml:space="preserve">heritage relates to places </w:t>
      </w:r>
      <w:r w:rsidR="001E361C" w:rsidRPr="00190014">
        <w:t>where there may be no physical evidence of past cultural activities</w:t>
      </w:r>
      <w:r w:rsidR="001E361C">
        <w:t>. It include</w:t>
      </w:r>
      <w:r w:rsidR="00C22DAC">
        <w:t>s</w:t>
      </w:r>
      <w:r w:rsidR="001E361C">
        <w:t xml:space="preserve"> places of spiritual and</w:t>
      </w:r>
      <w:r w:rsidR="001E361C" w:rsidRPr="00190014">
        <w:t xml:space="preserve"> ceremonial si</w:t>
      </w:r>
      <w:r w:rsidR="001E361C">
        <w:t>gnificance, landscapes, important waters and</w:t>
      </w:r>
      <w:r w:rsidR="001E361C" w:rsidRPr="00190014">
        <w:t xml:space="preserve"> trade and travel routes. </w:t>
      </w:r>
      <w:r w:rsidR="001E361C">
        <w:t>Significant sites are often associated with stories of the dreamtime or with initiation, mortuary and other ceremonies. Generally, i</w:t>
      </w:r>
      <w:r w:rsidR="001E361C" w:rsidRPr="00190014">
        <w:t xml:space="preserve">nformation about such places </w:t>
      </w:r>
      <w:r w:rsidR="001E361C">
        <w:t>is</w:t>
      </w:r>
      <w:r>
        <w:t xml:space="preserve"> </w:t>
      </w:r>
      <w:r w:rsidR="001E361C" w:rsidRPr="00190014">
        <w:t xml:space="preserve">passed down </w:t>
      </w:r>
      <w:r w:rsidR="000D45EF">
        <w:t xml:space="preserve">orally </w:t>
      </w:r>
      <w:r w:rsidR="001E361C" w:rsidRPr="00190014">
        <w:t>from one generation to t</w:t>
      </w:r>
      <w:r w:rsidR="001E361C">
        <w:t>he next.</w:t>
      </w:r>
    </w:p>
    <w:p w14:paraId="7F71EC2B" w14:textId="77777777" w:rsidR="001E361C" w:rsidRDefault="001E361C" w:rsidP="001E361C">
      <w:pPr>
        <w:pStyle w:val="ListBullet"/>
        <w:spacing w:before="80"/>
      </w:pPr>
      <w:r>
        <w:t xml:space="preserve">Historical places </w:t>
      </w:r>
      <w:r w:rsidRPr="00574D37">
        <w:t>relate particularly to the occupation and</w:t>
      </w:r>
      <w:r>
        <w:t xml:space="preserve"> </w:t>
      </w:r>
      <w:r w:rsidRPr="00574D37">
        <w:t xml:space="preserve">use of the </w:t>
      </w:r>
      <w:r w:rsidR="00206120">
        <w:t xml:space="preserve">Australian </w:t>
      </w:r>
      <w:r w:rsidRPr="00574D37">
        <w:t>continent since the arrival of European</w:t>
      </w:r>
      <w:r>
        <w:t xml:space="preserve"> </w:t>
      </w:r>
      <w:r w:rsidRPr="00574D37">
        <w:t>and other migrants.</w:t>
      </w:r>
      <w:r>
        <w:t xml:space="preserve"> It includes</w:t>
      </w:r>
      <w:r w:rsidRPr="00574D37">
        <w:t xml:space="preserve"> remnants of early convict history, pastoral properties</w:t>
      </w:r>
      <w:r>
        <w:t xml:space="preserve"> </w:t>
      </w:r>
      <w:r w:rsidRPr="00574D37">
        <w:t>and small remote settlements, as well as large urban</w:t>
      </w:r>
      <w:r>
        <w:t xml:space="preserve"> </w:t>
      </w:r>
      <w:r w:rsidRPr="00574D37">
        <w:t xml:space="preserve">areas, engineering </w:t>
      </w:r>
      <w:r>
        <w:t xml:space="preserve">and mining </w:t>
      </w:r>
      <w:r w:rsidRPr="00574D37">
        <w:t>works, factories and defence</w:t>
      </w:r>
      <w:r>
        <w:t xml:space="preserve"> </w:t>
      </w:r>
      <w:r w:rsidRPr="00574D37">
        <w:t>facilities.</w:t>
      </w:r>
    </w:p>
    <w:p w14:paraId="507E2954" w14:textId="2C707AFB" w:rsidR="001E361C" w:rsidRPr="00670382" w:rsidRDefault="001E361C" w:rsidP="001E361C">
      <w:pPr>
        <w:pStyle w:val="ListBullet"/>
        <w:spacing w:before="80"/>
      </w:pPr>
      <w:r w:rsidRPr="00B41096">
        <w:lastRenderedPageBreak/>
        <w:t xml:space="preserve">Natural heritage </w:t>
      </w:r>
      <w:r>
        <w:t xml:space="preserve">refers to land and environmental heritage. It </w:t>
      </w:r>
      <w:r w:rsidRPr="00B41096">
        <w:t>includes areas of land which have aesthetic, historical, scientific or social significance, or other special value</w:t>
      </w:r>
      <w:r w:rsidR="002B3DF2">
        <w:t>s</w:t>
      </w:r>
      <w:r w:rsidRPr="00B41096">
        <w:t xml:space="preserve"> for the present and future community. Such places may include national parks, reserves, botanic gardens and private conservancies, as well as significant fauna and flora habitats or geological sites. </w:t>
      </w:r>
    </w:p>
    <w:p w14:paraId="643CDFC0" w14:textId="0E60A85D" w:rsidR="002554F5" w:rsidRDefault="002554F5" w:rsidP="00D4530F">
      <w:pPr>
        <w:pStyle w:val="Heading3"/>
      </w:pPr>
      <w:r>
        <w:t>Laws and regulations protecting heritage</w:t>
      </w:r>
    </w:p>
    <w:p w14:paraId="161BAFF3" w14:textId="3CA86581" w:rsidR="00CB5E14" w:rsidRDefault="009B44D9" w:rsidP="00CB5E14">
      <w:pPr>
        <w:pStyle w:val="BodyText"/>
      </w:pPr>
      <w:r>
        <w:t>Australia has a complex set of la</w:t>
      </w:r>
      <w:r w:rsidR="0031469A">
        <w:t xml:space="preserve">ws governing </w:t>
      </w:r>
      <w:r w:rsidR="00D045C8">
        <w:t xml:space="preserve">heritage </w:t>
      </w:r>
      <w:r w:rsidR="0031469A">
        <w:t>protection</w:t>
      </w:r>
      <w:r>
        <w:t xml:space="preserve">. As well as Commonwealth heritage statutes there are heritage </w:t>
      </w:r>
      <w:r w:rsidR="002B321E">
        <w:t>A</w:t>
      </w:r>
      <w:r>
        <w:t xml:space="preserve">cts in each state and territory. There are also </w:t>
      </w:r>
      <w:r w:rsidR="00007270">
        <w:t xml:space="preserve">state </w:t>
      </w:r>
      <w:r>
        <w:t>environmental</w:t>
      </w:r>
      <w:r w:rsidR="004C2175">
        <w:t xml:space="preserve"> </w:t>
      </w:r>
      <w:r w:rsidR="00007270">
        <w:t>and</w:t>
      </w:r>
      <w:r>
        <w:t xml:space="preserve"> development </w:t>
      </w:r>
      <w:r w:rsidR="004C2175">
        <w:t xml:space="preserve">laws </w:t>
      </w:r>
      <w:r>
        <w:t xml:space="preserve">and local government </w:t>
      </w:r>
      <w:r w:rsidR="004C2175">
        <w:t>by</w:t>
      </w:r>
      <w:r w:rsidR="004C2175">
        <w:noBreakHyphen/>
      </w:r>
      <w:r>
        <w:t>laws that allow for the protection of heritage places and objects.</w:t>
      </w:r>
      <w:r w:rsidR="00477AEB">
        <w:t xml:space="preserve"> </w:t>
      </w:r>
      <w:r w:rsidR="00CB5E14">
        <w:t xml:space="preserve">While all forms of heritage — </w:t>
      </w:r>
      <w:r w:rsidR="005C2353">
        <w:t xml:space="preserve">Indigenous, </w:t>
      </w:r>
      <w:r w:rsidR="00CB5E14">
        <w:t>historical</w:t>
      </w:r>
      <w:r w:rsidR="005C2353">
        <w:t xml:space="preserve"> and</w:t>
      </w:r>
      <w:r w:rsidR="00CB5E14">
        <w:t xml:space="preserve"> natural</w:t>
      </w:r>
      <w:r w:rsidR="005C2353">
        <w:t xml:space="preserve"> </w:t>
      </w:r>
      <w:r w:rsidR="00CB5E14">
        <w:t xml:space="preserve">— can be impacted by exploration activities, policy challenges are most pronounced </w:t>
      </w:r>
      <w:r w:rsidR="00D045C8">
        <w:t>for</w:t>
      </w:r>
      <w:r w:rsidR="00CB5E14">
        <w:t xml:space="preserve"> Indigenous heritage — the primary focus of this chapter.</w:t>
      </w:r>
    </w:p>
    <w:p w14:paraId="73D3519F" w14:textId="423BF73E" w:rsidR="0016310D" w:rsidRDefault="00451B63" w:rsidP="006B147C">
      <w:pPr>
        <w:pStyle w:val="BodyText"/>
      </w:pPr>
      <w:r>
        <w:t xml:space="preserve">Heritage protection is primarily the responsibility of the states and territories. </w:t>
      </w:r>
      <w:r w:rsidR="008773F2">
        <w:t xml:space="preserve">Most </w:t>
      </w:r>
      <w:r w:rsidR="0016310D">
        <w:t>jurisdictions</w:t>
      </w:r>
      <w:r w:rsidR="00AC1DD5">
        <w:t xml:space="preserve"> have both </w:t>
      </w:r>
      <w:r w:rsidR="005C4920">
        <w:t>historical</w:t>
      </w:r>
      <w:r w:rsidR="00AC1DD5">
        <w:t xml:space="preserve"> and I</w:t>
      </w:r>
      <w:r w:rsidR="008773F2">
        <w:t xml:space="preserve">ndigenous heritage </w:t>
      </w:r>
      <w:r w:rsidR="002B321E">
        <w:t>A</w:t>
      </w:r>
      <w:r w:rsidR="008773F2">
        <w:t xml:space="preserve">cts while regulation relating to natural heritage is </w:t>
      </w:r>
      <w:r w:rsidR="006350E9">
        <w:t>often</w:t>
      </w:r>
      <w:r w:rsidR="008773F2">
        <w:t xml:space="preserve"> embodied in </w:t>
      </w:r>
      <w:r w:rsidR="008773F2" w:rsidRPr="00165E8A">
        <w:t xml:space="preserve">environmental protection </w:t>
      </w:r>
      <w:r w:rsidR="002B321E">
        <w:t>A</w:t>
      </w:r>
      <w:r w:rsidR="008773F2" w:rsidRPr="00165E8A">
        <w:t>cts</w:t>
      </w:r>
      <w:r w:rsidR="008773F2">
        <w:t>.</w:t>
      </w:r>
      <w:r w:rsidR="006B147C">
        <w:t xml:space="preserve"> </w:t>
      </w:r>
    </w:p>
    <w:p w14:paraId="428FF727" w14:textId="2FED6207" w:rsidR="002F3130" w:rsidRDefault="006B147C" w:rsidP="006B147C">
      <w:pPr>
        <w:pStyle w:val="BodyText"/>
      </w:pPr>
      <w:r w:rsidRPr="006B147C">
        <w:t>New South Wales and the ACT are the only two jurisdiction</w:t>
      </w:r>
      <w:r w:rsidR="00FB0DF5">
        <w:t xml:space="preserve">s </w:t>
      </w:r>
      <w:r w:rsidR="002B3DF2">
        <w:t>that</w:t>
      </w:r>
      <w:r w:rsidR="00FB0DF5">
        <w:t xml:space="preserve"> do not have a specific a</w:t>
      </w:r>
      <w:r w:rsidRPr="006B147C">
        <w:t xml:space="preserve">ct dedicated to Indigenous heritage. In New South Wales, the </w:t>
      </w:r>
      <w:r w:rsidRPr="002B3DF2">
        <w:rPr>
          <w:i/>
        </w:rPr>
        <w:t>Heritage Act 1977</w:t>
      </w:r>
      <w:r w:rsidRPr="006B147C">
        <w:t xml:space="preserve"> allows for Indigenous places to be nominated to the </w:t>
      </w:r>
      <w:r w:rsidR="00380F37">
        <w:t>N</w:t>
      </w:r>
      <w:r w:rsidR="002B321E">
        <w:t>ew South Wales</w:t>
      </w:r>
      <w:r w:rsidR="00380F37">
        <w:t xml:space="preserve"> Heritage Register. Indigenous h</w:t>
      </w:r>
      <w:r w:rsidRPr="006B147C">
        <w:t xml:space="preserve">eritage is also incorporated into sections dealing with archaeological materials in the </w:t>
      </w:r>
      <w:r w:rsidRPr="00F928AA">
        <w:rPr>
          <w:i/>
        </w:rPr>
        <w:t>National Parks and Wildlife Act 1974</w:t>
      </w:r>
      <w:r w:rsidR="000E72BD">
        <w:rPr>
          <w:i/>
        </w:rPr>
        <w:t>.</w:t>
      </w:r>
      <w:r w:rsidR="00A82023">
        <w:t xml:space="preserve"> In the ACT</w:t>
      </w:r>
      <w:r w:rsidR="002B3DF2">
        <w:t>,</w:t>
      </w:r>
      <w:r w:rsidR="00A82023">
        <w:t xml:space="preserve"> Indigenous heritage is incorporated into the ACT </w:t>
      </w:r>
      <w:r w:rsidR="00A82023">
        <w:rPr>
          <w:i/>
        </w:rPr>
        <w:t>Heritage Act</w:t>
      </w:r>
      <w:r w:rsidR="002B321E">
        <w:rPr>
          <w:i/>
        </w:rPr>
        <w:t xml:space="preserve"> 2004</w:t>
      </w:r>
      <w:r w:rsidRPr="006B147C">
        <w:t xml:space="preserve"> (</w:t>
      </w:r>
      <w:r w:rsidR="009834CB">
        <w:t>table</w:t>
      </w:r>
      <w:r w:rsidR="00504C8F">
        <w:t> </w:t>
      </w:r>
      <w:r w:rsidR="008C319F">
        <w:t>5</w:t>
      </w:r>
      <w:r>
        <w:t>.1)</w:t>
      </w:r>
      <w:r w:rsidRPr="006B147C">
        <w:t>.</w:t>
      </w:r>
    </w:p>
    <w:p w14:paraId="0717B1F6" w14:textId="196357C9" w:rsidR="005B590E" w:rsidRDefault="005B590E">
      <w:pPr>
        <w:rPr>
          <w:szCs w:val="20"/>
        </w:rPr>
      </w:pPr>
      <w:r>
        <w:br w:type="page"/>
      </w:r>
    </w:p>
    <w:p w14:paraId="28095ACD" w14:textId="28CEF7A3" w:rsidR="00165E8A" w:rsidRDefault="00165E8A" w:rsidP="00B910CF">
      <w:pPr>
        <w:pStyle w:val="TableTitle"/>
        <w:keepNext w:val="0"/>
        <w:keepLines w:val="0"/>
        <w:widowControl w:val="0"/>
      </w:pPr>
      <w:r>
        <w:rPr>
          <w:b w:val="0"/>
        </w:rPr>
        <w:lastRenderedPageBreak/>
        <w:t xml:space="preserve">Table </w:t>
      </w:r>
      <w:r w:rsidR="009A44B4">
        <w:rPr>
          <w:b w:val="0"/>
        </w:rPr>
        <w:t>5.</w:t>
      </w:r>
      <w:r w:rsidR="009A44B4">
        <w:rPr>
          <w:b w:val="0"/>
          <w:noProof/>
        </w:rPr>
        <w:t>1</w:t>
      </w:r>
      <w:r>
        <w:tab/>
        <w:t>Principal state and territory heritage legislation</w:t>
      </w:r>
    </w:p>
    <w:tbl>
      <w:tblPr>
        <w:tblW w:w="5000" w:type="pct"/>
        <w:tblCellMar>
          <w:left w:w="0" w:type="dxa"/>
          <w:right w:w="0" w:type="dxa"/>
        </w:tblCellMar>
        <w:tblLook w:val="0000" w:firstRow="0" w:lastRow="0" w:firstColumn="0" w:lastColumn="0" w:noHBand="0" w:noVBand="0"/>
      </w:tblPr>
      <w:tblGrid>
        <w:gridCol w:w="1984"/>
        <w:gridCol w:w="3827"/>
        <w:gridCol w:w="2978"/>
      </w:tblGrid>
      <w:tr w:rsidR="00165E8A" w14:paraId="2175ACBE" w14:textId="77777777" w:rsidTr="007E3927">
        <w:tc>
          <w:tcPr>
            <w:tcW w:w="1129" w:type="pct"/>
            <w:tcBorders>
              <w:top w:val="single" w:sz="6" w:space="0" w:color="auto"/>
              <w:bottom w:val="single" w:sz="6" w:space="0" w:color="auto"/>
            </w:tcBorders>
            <w:shd w:val="clear" w:color="auto" w:fill="auto"/>
          </w:tcPr>
          <w:p w14:paraId="09ED36D4" w14:textId="77777777" w:rsidR="00165E8A" w:rsidRDefault="00165E8A" w:rsidP="00B910CF">
            <w:pPr>
              <w:pStyle w:val="TableColumnHeading"/>
              <w:keepNext w:val="0"/>
              <w:keepLines w:val="0"/>
              <w:widowControl w:val="0"/>
              <w:jc w:val="left"/>
            </w:pPr>
            <w:r>
              <w:t>Jurisdiction</w:t>
            </w:r>
          </w:p>
        </w:tc>
        <w:tc>
          <w:tcPr>
            <w:tcW w:w="2177" w:type="pct"/>
            <w:tcBorders>
              <w:top w:val="single" w:sz="6" w:space="0" w:color="auto"/>
              <w:bottom w:val="single" w:sz="6" w:space="0" w:color="auto"/>
            </w:tcBorders>
            <w:shd w:val="clear" w:color="auto" w:fill="auto"/>
          </w:tcPr>
          <w:p w14:paraId="6C5D1A03" w14:textId="77777777" w:rsidR="00165E8A" w:rsidRDefault="00165E8A" w:rsidP="00B910CF">
            <w:pPr>
              <w:pStyle w:val="TableColumnHeading"/>
              <w:keepNext w:val="0"/>
              <w:keepLines w:val="0"/>
              <w:widowControl w:val="0"/>
              <w:jc w:val="center"/>
            </w:pPr>
            <w:r>
              <w:t>Principal legislation</w:t>
            </w:r>
          </w:p>
        </w:tc>
        <w:tc>
          <w:tcPr>
            <w:tcW w:w="1694" w:type="pct"/>
            <w:tcBorders>
              <w:top w:val="single" w:sz="6" w:space="0" w:color="auto"/>
              <w:bottom w:val="single" w:sz="6" w:space="0" w:color="auto"/>
            </w:tcBorders>
            <w:shd w:val="clear" w:color="auto" w:fill="auto"/>
          </w:tcPr>
          <w:p w14:paraId="4ABBCB5E" w14:textId="77777777" w:rsidR="00165E8A" w:rsidRDefault="00165E8A" w:rsidP="00B910CF">
            <w:pPr>
              <w:pStyle w:val="TableColumnHeading"/>
              <w:keepNext w:val="0"/>
              <w:keepLines w:val="0"/>
              <w:widowControl w:val="0"/>
              <w:ind w:right="28"/>
              <w:jc w:val="center"/>
            </w:pPr>
            <w:r>
              <w:t>Administered</w:t>
            </w:r>
            <w:r w:rsidR="007548CA">
              <w:t xml:space="preserve"> by</w:t>
            </w:r>
          </w:p>
        </w:tc>
      </w:tr>
      <w:tr w:rsidR="00165E8A" w14:paraId="27812A52" w14:textId="77777777" w:rsidTr="007E3927">
        <w:tc>
          <w:tcPr>
            <w:tcW w:w="1129" w:type="pct"/>
            <w:tcBorders>
              <w:top w:val="single" w:sz="6" w:space="0" w:color="auto"/>
            </w:tcBorders>
            <w:shd w:val="pct5" w:color="auto" w:fill="auto"/>
          </w:tcPr>
          <w:p w14:paraId="3A70B576" w14:textId="77777777" w:rsidR="00165E8A" w:rsidRDefault="00165E8A" w:rsidP="00B910CF">
            <w:pPr>
              <w:pStyle w:val="TableUnitsRow"/>
              <w:keepNext w:val="0"/>
              <w:keepLines w:val="0"/>
              <w:widowControl w:val="0"/>
              <w:jc w:val="left"/>
            </w:pPr>
            <w:r>
              <w:t>New South Wales</w:t>
            </w:r>
          </w:p>
        </w:tc>
        <w:tc>
          <w:tcPr>
            <w:tcW w:w="2177" w:type="pct"/>
            <w:tcBorders>
              <w:top w:val="single" w:sz="6" w:space="0" w:color="auto"/>
            </w:tcBorders>
            <w:shd w:val="pct5" w:color="auto" w:fill="auto"/>
          </w:tcPr>
          <w:p w14:paraId="10EE51CD" w14:textId="77777777" w:rsidR="00165E8A" w:rsidRPr="00345A7F" w:rsidRDefault="00165E8A" w:rsidP="00A1511C">
            <w:pPr>
              <w:pStyle w:val="TableUnitsRow"/>
              <w:keepNext w:val="0"/>
              <w:keepLines w:val="0"/>
              <w:widowControl w:val="0"/>
              <w:spacing w:after="40"/>
              <w:jc w:val="left"/>
              <w:rPr>
                <w:i/>
                <w:lang w:val="en"/>
              </w:rPr>
            </w:pPr>
            <w:r w:rsidRPr="00345A7F">
              <w:rPr>
                <w:i/>
                <w:lang w:val="en"/>
              </w:rPr>
              <w:t>National Parks and Wildlife Amendment (Aborig</w:t>
            </w:r>
            <w:r>
              <w:rPr>
                <w:i/>
                <w:lang w:val="en"/>
              </w:rPr>
              <w:t>i</w:t>
            </w:r>
            <w:r w:rsidRPr="00345A7F">
              <w:rPr>
                <w:i/>
                <w:lang w:val="en"/>
              </w:rPr>
              <w:t>nal Ownership) Act 1996</w:t>
            </w:r>
          </w:p>
          <w:p w14:paraId="21C4E876" w14:textId="77777777" w:rsidR="00165E8A" w:rsidRPr="00345A7F" w:rsidRDefault="00165E8A" w:rsidP="00B910CF">
            <w:pPr>
              <w:pStyle w:val="TableUnitsRow"/>
              <w:keepNext w:val="0"/>
              <w:keepLines w:val="0"/>
              <w:widowControl w:val="0"/>
              <w:jc w:val="left"/>
              <w:rPr>
                <w:i/>
                <w:lang w:val="en"/>
              </w:rPr>
            </w:pPr>
            <w:r w:rsidRPr="00345A7F">
              <w:rPr>
                <w:i/>
                <w:lang w:val="en"/>
              </w:rPr>
              <w:t>National Parks and Wildlife Act 1974</w:t>
            </w:r>
          </w:p>
          <w:p w14:paraId="1A16B92E" w14:textId="77777777" w:rsidR="00165E8A" w:rsidRPr="00345A7F" w:rsidRDefault="00165E8A" w:rsidP="00A1511C">
            <w:pPr>
              <w:pStyle w:val="TableUnitsRow"/>
              <w:keepNext w:val="0"/>
              <w:keepLines w:val="0"/>
              <w:widowControl w:val="0"/>
              <w:jc w:val="left"/>
              <w:rPr>
                <w:i/>
                <w:lang w:val="en"/>
              </w:rPr>
            </w:pPr>
            <w:r w:rsidRPr="00345A7F">
              <w:rPr>
                <w:i/>
                <w:lang w:val="en"/>
              </w:rPr>
              <w:t>Heritage Act 1977</w:t>
            </w:r>
          </w:p>
        </w:tc>
        <w:tc>
          <w:tcPr>
            <w:tcW w:w="1694" w:type="pct"/>
            <w:tcBorders>
              <w:top w:val="single" w:sz="6" w:space="0" w:color="auto"/>
            </w:tcBorders>
            <w:shd w:val="pct5" w:color="auto" w:fill="auto"/>
          </w:tcPr>
          <w:p w14:paraId="74CAEA08" w14:textId="77777777" w:rsidR="00165E8A" w:rsidRPr="00194D15" w:rsidRDefault="00165E8A" w:rsidP="00B910CF">
            <w:pPr>
              <w:pStyle w:val="TableUnitsRow"/>
              <w:keepNext w:val="0"/>
              <w:keepLines w:val="0"/>
              <w:widowControl w:val="0"/>
              <w:ind w:right="28"/>
              <w:jc w:val="left"/>
            </w:pPr>
            <w:r w:rsidRPr="00194D15">
              <w:t>Office of Environment and Heritage</w:t>
            </w:r>
          </w:p>
        </w:tc>
      </w:tr>
      <w:tr w:rsidR="00165E8A" w14:paraId="551DE4C4" w14:textId="77777777" w:rsidTr="007E3927">
        <w:trPr>
          <w:trHeight w:val="420"/>
        </w:trPr>
        <w:tc>
          <w:tcPr>
            <w:tcW w:w="1129" w:type="pct"/>
          </w:tcPr>
          <w:p w14:paraId="2141578B" w14:textId="77777777" w:rsidR="00165E8A" w:rsidRDefault="00165E8A" w:rsidP="000B711F">
            <w:pPr>
              <w:pStyle w:val="TableBodyText"/>
              <w:keepNext w:val="0"/>
              <w:keepLines w:val="0"/>
              <w:widowControl w:val="0"/>
              <w:spacing w:before="80"/>
              <w:jc w:val="left"/>
            </w:pPr>
            <w:r>
              <w:t>Victoria</w:t>
            </w:r>
          </w:p>
        </w:tc>
        <w:tc>
          <w:tcPr>
            <w:tcW w:w="2177" w:type="pct"/>
          </w:tcPr>
          <w:p w14:paraId="62C83B79" w14:textId="77777777" w:rsidR="00165E8A" w:rsidRPr="00345A7F" w:rsidRDefault="00165E8A" w:rsidP="00A1511C">
            <w:pPr>
              <w:pStyle w:val="TableBodyText"/>
              <w:keepNext w:val="0"/>
              <w:keepLines w:val="0"/>
              <w:widowControl w:val="0"/>
              <w:spacing w:before="80"/>
              <w:jc w:val="left"/>
              <w:rPr>
                <w:i/>
                <w:lang w:val="en"/>
              </w:rPr>
            </w:pPr>
            <w:r w:rsidRPr="00345A7F">
              <w:rPr>
                <w:i/>
                <w:lang w:val="en"/>
              </w:rPr>
              <w:t>Aboriginal Heritage Act 2006</w:t>
            </w:r>
          </w:p>
          <w:p w14:paraId="369E71D7" w14:textId="77777777" w:rsidR="00165E8A" w:rsidRPr="00345A7F" w:rsidRDefault="00165E8A" w:rsidP="00A1511C">
            <w:pPr>
              <w:pStyle w:val="TableBodyText"/>
              <w:keepNext w:val="0"/>
              <w:keepLines w:val="0"/>
              <w:widowControl w:val="0"/>
              <w:spacing w:before="80" w:after="80"/>
              <w:jc w:val="left"/>
              <w:rPr>
                <w:i/>
                <w:lang w:val="en"/>
              </w:rPr>
            </w:pPr>
            <w:r w:rsidRPr="00345A7F">
              <w:rPr>
                <w:i/>
                <w:lang w:val="en"/>
              </w:rPr>
              <w:t>Heritage Act 199</w:t>
            </w:r>
            <w:r>
              <w:rPr>
                <w:i/>
                <w:lang w:val="en"/>
              </w:rPr>
              <w:t>5</w:t>
            </w:r>
          </w:p>
        </w:tc>
        <w:tc>
          <w:tcPr>
            <w:tcW w:w="1694" w:type="pct"/>
          </w:tcPr>
          <w:p w14:paraId="7782199F" w14:textId="77777777" w:rsidR="00165E8A" w:rsidRDefault="00165E8A" w:rsidP="00A1511C">
            <w:pPr>
              <w:pStyle w:val="TableBodyText"/>
              <w:keepNext w:val="0"/>
              <w:keepLines w:val="0"/>
              <w:widowControl w:val="0"/>
              <w:spacing w:before="80"/>
              <w:jc w:val="left"/>
            </w:pPr>
            <w:r>
              <w:t>Department of Planning and Community Development</w:t>
            </w:r>
          </w:p>
        </w:tc>
      </w:tr>
      <w:tr w:rsidR="00165E8A" w14:paraId="07CF531C" w14:textId="77777777" w:rsidTr="007E3927">
        <w:tc>
          <w:tcPr>
            <w:tcW w:w="1129" w:type="pct"/>
            <w:shd w:val="pct5" w:color="auto" w:fill="auto"/>
          </w:tcPr>
          <w:p w14:paraId="76DE24B7" w14:textId="77777777" w:rsidR="00165E8A" w:rsidRDefault="00165E8A" w:rsidP="000B711F">
            <w:pPr>
              <w:pStyle w:val="TableBodyText"/>
              <w:keepNext w:val="0"/>
              <w:keepLines w:val="0"/>
              <w:widowControl w:val="0"/>
              <w:spacing w:before="80"/>
              <w:jc w:val="left"/>
            </w:pPr>
            <w:r>
              <w:t>Queensland</w:t>
            </w:r>
          </w:p>
        </w:tc>
        <w:tc>
          <w:tcPr>
            <w:tcW w:w="2177" w:type="pct"/>
            <w:shd w:val="pct5" w:color="auto" w:fill="auto"/>
          </w:tcPr>
          <w:p w14:paraId="433387CD" w14:textId="77777777" w:rsidR="00165E8A" w:rsidRPr="00345A7F" w:rsidRDefault="00165E8A" w:rsidP="00A1511C">
            <w:pPr>
              <w:pStyle w:val="TableBodyText"/>
              <w:keepNext w:val="0"/>
              <w:keepLines w:val="0"/>
              <w:widowControl w:val="0"/>
              <w:spacing w:before="80"/>
              <w:jc w:val="left"/>
              <w:rPr>
                <w:i/>
                <w:lang w:val="en"/>
              </w:rPr>
            </w:pPr>
            <w:r w:rsidRPr="00345A7F">
              <w:rPr>
                <w:i/>
                <w:lang w:val="en"/>
              </w:rPr>
              <w:t>Aboriginal Cultural Heritage Act 2003</w:t>
            </w:r>
          </w:p>
          <w:p w14:paraId="2AED9F1D" w14:textId="07E2BBB3" w:rsidR="00165E8A" w:rsidRPr="00345A7F" w:rsidRDefault="00165E8A" w:rsidP="00B910CF">
            <w:pPr>
              <w:pStyle w:val="TableBodyText"/>
              <w:keepNext w:val="0"/>
              <w:keepLines w:val="0"/>
              <w:widowControl w:val="0"/>
              <w:ind w:right="28"/>
              <w:jc w:val="left"/>
              <w:rPr>
                <w:i/>
                <w:lang w:val="en"/>
              </w:rPr>
            </w:pPr>
            <w:r w:rsidRPr="00345A7F">
              <w:rPr>
                <w:i/>
                <w:lang w:val="en"/>
              </w:rPr>
              <w:t>Torres Strait Islander Cultural Heritage</w:t>
            </w:r>
            <w:r w:rsidR="00A1511C">
              <w:rPr>
                <w:i/>
                <w:lang w:val="en"/>
              </w:rPr>
              <w:br/>
            </w:r>
            <w:r w:rsidRPr="00345A7F">
              <w:rPr>
                <w:i/>
                <w:lang w:val="en"/>
              </w:rPr>
              <w:t>Act 2003</w:t>
            </w:r>
          </w:p>
          <w:p w14:paraId="78FDD4A1" w14:textId="77777777" w:rsidR="00165E8A" w:rsidRPr="00345A7F" w:rsidRDefault="00165E8A" w:rsidP="00A1511C">
            <w:pPr>
              <w:pStyle w:val="TableBodyText"/>
              <w:keepNext w:val="0"/>
              <w:keepLines w:val="0"/>
              <w:widowControl w:val="0"/>
              <w:spacing w:before="80" w:after="80"/>
              <w:jc w:val="left"/>
              <w:rPr>
                <w:i/>
                <w:lang w:val="en"/>
              </w:rPr>
            </w:pPr>
            <w:r w:rsidRPr="00345A7F">
              <w:rPr>
                <w:i/>
                <w:lang w:val="en"/>
              </w:rPr>
              <w:t>Queensland Heritage Act 1992</w:t>
            </w:r>
          </w:p>
        </w:tc>
        <w:tc>
          <w:tcPr>
            <w:tcW w:w="1694" w:type="pct"/>
            <w:shd w:val="pct5" w:color="auto" w:fill="auto"/>
          </w:tcPr>
          <w:p w14:paraId="3CD30E10" w14:textId="77777777" w:rsidR="00165E8A" w:rsidRPr="00F8237A" w:rsidRDefault="00165E8A" w:rsidP="00A1511C">
            <w:pPr>
              <w:pStyle w:val="TableBodyText"/>
              <w:keepNext w:val="0"/>
              <w:keepLines w:val="0"/>
              <w:widowControl w:val="0"/>
              <w:spacing w:before="80"/>
              <w:jc w:val="left"/>
            </w:pPr>
            <w:r w:rsidRPr="00F8237A">
              <w:rPr>
                <w:lang w:val="en"/>
              </w:rPr>
              <w:t>Department of Environment and Heritage Protection</w:t>
            </w:r>
          </w:p>
        </w:tc>
      </w:tr>
      <w:tr w:rsidR="00165E8A" w14:paraId="0EB95588" w14:textId="77777777" w:rsidTr="007E3927">
        <w:tc>
          <w:tcPr>
            <w:tcW w:w="1129" w:type="pct"/>
          </w:tcPr>
          <w:p w14:paraId="37B3FDBD" w14:textId="77777777" w:rsidR="00165E8A" w:rsidRDefault="00165E8A" w:rsidP="000B711F">
            <w:pPr>
              <w:pStyle w:val="TableBodyText"/>
              <w:keepNext w:val="0"/>
              <w:keepLines w:val="0"/>
              <w:widowControl w:val="0"/>
              <w:spacing w:before="80"/>
              <w:jc w:val="left"/>
            </w:pPr>
            <w:r>
              <w:t>Western Australia</w:t>
            </w:r>
          </w:p>
        </w:tc>
        <w:tc>
          <w:tcPr>
            <w:tcW w:w="2177" w:type="pct"/>
          </w:tcPr>
          <w:p w14:paraId="0F1A07B7" w14:textId="77777777" w:rsidR="00165E8A" w:rsidRDefault="00165E8A" w:rsidP="00A1511C">
            <w:pPr>
              <w:pStyle w:val="TableBodyText"/>
              <w:keepNext w:val="0"/>
              <w:keepLines w:val="0"/>
              <w:widowControl w:val="0"/>
              <w:spacing w:before="80"/>
              <w:jc w:val="left"/>
              <w:rPr>
                <w:i/>
                <w:lang w:val="en"/>
              </w:rPr>
            </w:pPr>
            <w:r w:rsidRPr="00345A7F">
              <w:rPr>
                <w:i/>
                <w:lang w:val="en"/>
              </w:rPr>
              <w:t>Heritage of Western Australia Act 1990</w:t>
            </w:r>
          </w:p>
          <w:p w14:paraId="74A6B8F7" w14:textId="77777777" w:rsidR="0082027B" w:rsidRPr="00345A7F" w:rsidRDefault="0082027B" w:rsidP="00B910CF">
            <w:pPr>
              <w:pStyle w:val="TableBodyText"/>
              <w:keepNext w:val="0"/>
              <w:keepLines w:val="0"/>
              <w:widowControl w:val="0"/>
              <w:jc w:val="left"/>
              <w:rPr>
                <w:i/>
                <w:lang w:val="en"/>
              </w:rPr>
            </w:pPr>
            <w:r>
              <w:rPr>
                <w:i/>
                <w:lang w:val="en"/>
              </w:rPr>
              <w:t>Maritime Archaeology Act 1973</w:t>
            </w:r>
          </w:p>
          <w:p w14:paraId="3B12D27E" w14:textId="77777777" w:rsidR="00165E8A" w:rsidRPr="00345A7F" w:rsidRDefault="00165E8A" w:rsidP="00A1511C">
            <w:pPr>
              <w:pStyle w:val="TableBodyText"/>
              <w:keepNext w:val="0"/>
              <w:keepLines w:val="0"/>
              <w:widowControl w:val="0"/>
              <w:spacing w:before="80" w:after="80"/>
              <w:jc w:val="left"/>
              <w:rPr>
                <w:i/>
              </w:rPr>
            </w:pPr>
            <w:r w:rsidRPr="00345A7F">
              <w:rPr>
                <w:i/>
                <w:lang w:val="en"/>
              </w:rPr>
              <w:t>Aboriginal Heritage Act 1972</w:t>
            </w:r>
          </w:p>
        </w:tc>
        <w:tc>
          <w:tcPr>
            <w:tcW w:w="1694" w:type="pct"/>
          </w:tcPr>
          <w:p w14:paraId="5C2201DD" w14:textId="77777777" w:rsidR="00165E8A" w:rsidRDefault="00165E8A" w:rsidP="00A1511C">
            <w:pPr>
              <w:pStyle w:val="TableBodyText"/>
              <w:keepNext w:val="0"/>
              <w:keepLines w:val="0"/>
              <w:widowControl w:val="0"/>
              <w:spacing w:before="80"/>
              <w:jc w:val="left"/>
            </w:pPr>
            <w:r>
              <w:t>State Heritage Office</w:t>
            </w:r>
          </w:p>
          <w:p w14:paraId="1FAE702D" w14:textId="77777777" w:rsidR="0082027B" w:rsidRDefault="0082027B" w:rsidP="00B910CF">
            <w:pPr>
              <w:pStyle w:val="TableBodyText"/>
              <w:keepNext w:val="0"/>
              <w:keepLines w:val="0"/>
              <w:widowControl w:val="0"/>
              <w:ind w:right="28"/>
              <w:jc w:val="left"/>
            </w:pPr>
            <w:r>
              <w:t>Western Australian Museum</w:t>
            </w:r>
          </w:p>
          <w:p w14:paraId="02122F9D" w14:textId="77777777" w:rsidR="00165E8A" w:rsidRDefault="00165E8A" w:rsidP="00B910CF">
            <w:pPr>
              <w:pStyle w:val="TableBodyText"/>
              <w:keepNext w:val="0"/>
              <w:keepLines w:val="0"/>
              <w:widowControl w:val="0"/>
              <w:ind w:right="28"/>
              <w:jc w:val="left"/>
            </w:pPr>
            <w:r>
              <w:t>Department of Indigenous Affairs</w:t>
            </w:r>
          </w:p>
        </w:tc>
      </w:tr>
      <w:tr w:rsidR="00165E8A" w14:paraId="058BDC43" w14:textId="77777777" w:rsidTr="007E3927">
        <w:tc>
          <w:tcPr>
            <w:tcW w:w="1129" w:type="pct"/>
            <w:shd w:val="pct5" w:color="auto" w:fill="auto"/>
          </w:tcPr>
          <w:p w14:paraId="7712FE6C" w14:textId="77777777" w:rsidR="00165E8A" w:rsidRDefault="00165E8A" w:rsidP="000B711F">
            <w:pPr>
              <w:pStyle w:val="TableBodyText"/>
              <w:keepNext w:val="0"/>
              <w:keepLines w:val="0"/>
              <w:widowControl w:val="0"/>
              <w:spacing w:before="80"/>
              <w:jc w:val="left"/>
            </w:pPr>
            <w:r>
              <w:t>South Australia</w:t>
            </w:r>
          </w:p>
        </w:tc>
        <w:tc>
          <w:tcPr>
            <w:tcW w:w="2177" w:type="pct"/>
            <w:shd w:val="pct5" w:color="auto" w:fill="auto"/>
          </w:tcPr>
          <w:p w14:paraId="2EB77909" w14:textId="77777777" w:rsidR="00165E8A" w:rsidRDefault="00165E8A" w:rsidP="00A1511C">
            <w:pPr>
              <w:pStyle w:val="TableBodyText"/>
              <w:keepNext w:val="0"/>
              <w:keepLines w:val="0"/>
              <w:widowControl w:val="0"/>
              <w:spacing w:before="80"/>
              <w:jc w:val="left"/>
              <w:rPr>
                <w:i/>
                <w:lang w:val="en"/>
              </w:rPr>
            </w:pPr>
            <w:r w:rsidRPr="00345A7F">
              <w:rPr>
                <w:i/>
                <w:lang w:val="en"/>
              </w:rPr>
              <w:t>Heritage Act 1993</w:t>
            </w:r>
          </w:p>
          <w:p w14:paraId="4FAB153A" w14:textId="77777777" w:rsidR="0082027B" w:rsidRPr="00345A7F" w:rsidRDefault="0082027B" w:rsidP="00B910CF">
            <w:pPr>
              <w:pStyle w:val="TableBodyText"/>
              <w:keepNext w:val="0"/>
              <w:keepLines w:val="0"/>
              <w:widowControl w:val="0"/>
              <w:jc w:val="left"/>
              <w:rPr>
                <w:i/>
                <w:lang w:val="en"/>
              </w:rPr>
            </w:pPr>
            <w:r>
              <w:rPr>
                <w:i/>
                <w:lang w:val="en"/>
              </w:rPr>
              <w:t>Historic Shipwrecks Act 1981</w:t>
            </w:r>
          </w:p>
          <w:p w14:paraId="715A2C6E" w14:textId="77777777" w:rsidR="00165E8A" w:rsidRPr="00345A7F" w:rsidRDefault="00165E8A" w:rsidP="00AA0F14">
            <w:pPr>
              <w:pStyle w:val="TableBodyText"/>
              <w:keepNext w:val="0"/>
              <w:keepLines w:val="0"/>
              <w:widowControl w:val="0"/>
              <w:spacing w:after="120"/>
              <w:jc w:val="left"/>
              <w:rPr>
                <w:i/>
                <w:lang w:val="en"/>
              </w:rPr>
            </w:pPr>
            <w:r w:rsidRPr="00345A7F">
              <w:rPr>
                <w:i/>
                <w:lang w:val="en"/>
              </w:rPr>
              <w:t>National Parks and Wildlife Act 1972</w:t>
            </w:r>
          </w:p>
          <w:p w14:paraId="2B677A6A" w14:textId="77777777" w:rsidR="00165E8A" w:rsidRPr="00345A7F" w:rsidRDefault="00165E8A" w:rsidP="00B910CF">
            <w:pPr>
              <w:pStyle w:val="TableBodyText"/>
              <w:keepNext w:val="0"/>
              <w:keepLines w:val="0"/>
              <w:widowControl w:val="0"/>
              <w:jc w:val="left"/>
              <w:rPr>
                <w:i/>
              </w:rPr>
            </w:pPr>
            <w:r w:rsidRPr="00345A7F">
              <w:rPr>
                <w:i/>
                <w:lang w:val="en"/>
              </w:rPr>
              <w:t>Aboriginal Heritage Act 1988</w:t>
            </w:r>
          </w:p>
        </w:tc>
        <w:tc>
          <w:tcPr>
            <w:tcW w:w="1694" w:type="pct"/>
            <w:shd w:val="pct5" w:color="auto" w:fill="auto"/>
          </w:tcPr>
          <w:p w14:paraId="3BCFF120" w14:textId="77777777" w:rsidR="00165E8A" w:rsidRDefault="00165E8A" w:rsidP="00A1511C">
            <w:pPr>
              <w:pStyle w:val="TableBodyText"/>
              <w:keepNext w:val="0"/>
              <w:keepLines w:val="0"/>
              <w:widowControl w:val="0"/>
              <w:spacing w:before="80"/>
              <w:jc w:val="left"/>
            </w:pPr>
            <w:r>
              <w:t>Department for Environment and Heritage</w:t>
            </w:r>
          </w:p>
          <w:p w14:paraId="33623071" w14:textId="77777777" w:rsidR="0082027B" w:rsidRDefault="0082027B" w:rsidP="00AA0F14">
            <w:pPr>
              <w:pStyle w:val="TableBodyText"/>
              <w:keepNext w:val="0"/>
              <w:keepLines w:val="0"/>
              <w:widowControl w:val="0"/>
              <w:spacing w:after="120"/>
              <w:jc w:val="left"/>
            </w:pPr>
          </w:p>
          <w:p w14:paraId="58E93465" w14:textId="77777777" w:rsidR="00165E8A" w:rsidRDefault="00165E8A" w:rsidP="00A1511C">
            <w:pPr>
              <w:pStyle w:val="TableBodyText"/>
              <w:keepNext w:val="0"/>
              <w:keepLines w:val="0"/>
              <w:widowControl w:val="0"/>
              <w:spacing w:before="80" w:after="80"/>
              <w:jc w:val="left"/>
            </w:pPr>
            <w:r>
              <w:t>Department of the Premier and Cabinet, Aboriginal Affairs and Reconciliation Division</w:t>
            </w:r>
          </w:p>
        </w:tc>
      </w:tr>
      <w:tr w:rsidR="00165E8A" w14:paraId="3E69CD65" w14:textId="77777777" w:rsidTr="007E3927">
        <w:tc>
          <w:tcPr>
            <w:tcW w:w="1129" w:type="pct"/>
          </w:tcPr>
          <w:p w14:paraId="618DBA73" w14:textId="77777777" w:rsidR="00165E8A" w:rsidRDefault="00165E8A" w:rsidP="000B711F">
            <w:pPr>
              <w:pStyle w:val="TableBodyText"/>
              <w:keepNext w:val="0"/>
              <w:keepLines w:val="0"/>
              <w:widowControl w:val="0"/>
              <w:spacing w:before="80"/>
              <w:jc w:val="left"/>
            </w:pPr>
            <w:r>
              <w:t>Tasmania</w:t>
            </w:r>
          </w:p>
        </w:tc>
        <w:tc>
          <w:tcPr>
            <w:tcW w:w="2177" w:type="pct"/>
          </w:tcPr>
          <w:p w14:paraId="1536ABE4" w14:textId="71315EFF" w:rsidR="00165E8A" w:rsidRPr="00345A7F" w:rsidRDefault="00165E8A" w:rsidP="00A1511C">
            <w:pPr>
              <w:pStyle w:val="TableBodyText"/>
              <w:keepNext w:val="0"/>
              <w:keepLines w:val="0"/>
              <w:widowControl w:val="0"/>
              <w:spacing w:before="80"/>
              <w:jc w:val="left"/>
              <w:rPr>
                <w:i/>
                <w:lang w:val="en"/>
              </w:rPr>
            </w:pPr>
            <w:r w:rsidRPr="00345A7F">
              <w:rPr>
                <w:i/>
                <w:lang w:val="en"/>
              </w:rPr>
              <w:t>Tasmanian Historic Cultural Heritage</w:t>
            </w:r>
            <w:r w:rsidR="00A1511C">
              <w:rPr>
                <w:i/>
                <w:lang w:val="en"/>
              </w:rPr>
              <w:br/>
            </w:r>
            <w:r w:rsidRPr="00345A7F">
              <w:rPr>
                <w:i/>
                <w:lang w:val="en"/>
              </w:rPr>
              <w:t>Act 1995</w:t>
            </w:r>
          </w:p>
          <w:p w14:paraId="6D6D02B2" w14:textId="77777777" w:rsidR="00165E8A" w:rsidRPr="00345A7F" w:rsidRDefault="00165E8A" w:rsidP="00A1511C">
            <w:pPr>
              <w:pStyle w:val="TableBodyText"/>
              <w:keepNext w:val="0"/>
              <w:keepLines w:val="0"/>
              <w:widowControl w:val="0"/>
              <w:spacing w:before="80" w:after="80"/>
              <w:jc w:val="left"/>
              <w:rPr>
                <w:i/>
              </w:rPr>
            </w:pPr>
            <w:r w:rsidRPr="00345A7F">
              <w:rPr>
                <w:i/>
                <w:lang w:val="en"/>
              </w:rPr>
              <w:t>Aboriginal Relics Act 1975</w:t>
            </w:r>
          </w:p>
        </w:tc>
        <w:tc>
          <w:tcPr>
            <w:tcW w:w="1694" w:type="pct"/>
          </w:tcPr>
          <w:p w14:paraId="0A0D61B3" w14:textId="77777777" w:rsidR="00165E8A" w:rsidRDefault="00165E8A" w:rsidP="00A1511C">
            <w:pPr>
              <w:pStyle w:val="TableBodyText"/>
              <w:keepNext w:val="0"/>
              <w:keepLines w:val="0"/>
              <w:widowControl w:val="0"/>
              <w:spacing w:before="80"/>
              <w:jc w:val="left"/>
            </w:pPr>
            <w:r>
              <w:t>Department of Primary Industries, Parks, Water and Environment</w:t>
            </w:r>
          </w:p>
        </w:tc>
      </w:tr>
      <w:tr w:rsidR="00165E8A" w14:paraId="40280735" w14:textId="77777777" w:rsidTr="007E3927">
        <w:tc>
          <w:tcPr>
            <w:tcW w:w="1129" w:type="pct"/>
            <w:shd w:val="pct5" w:color="auto" w:fill="auto"/>
          </w:tcPr>
          <w:p w14:paraId="7BF96C76" w14:textId="77777777" w:rsidR="00165E8A" w:rsidRDefault="00165E8A" w:rsidP="000B711F">
            <w:pPr>
              <w:pStyle w:val="TableBodyText"/>
              <w:keepNext w:val="0"/>
              <w:keepLines w:val="0"/>
              <w:widowControl w:val="0"/>
              <w:spacing w:before="80"/>
              <w:jc w:val="left"/>
            </w:pPr>
            <w:r>
              <w:t>Northern Territory</w:t>
            </w:r>
          </w:p>
        </w:tc>
        <w:tc>
          <w:tcPr>
            <w:tcW w:w="2177" w:type="pct"/>
            <w:shd w:val="pct5" w:color="auto" w:fill="auto"/>
          </w:tcPr>
          <w:p w14:paraId="2AC2E3BA" w14:textId="59C9678E" w:rsidR="00165E8A" w:rsidRDefault="005C4920" w:rsidP="00A1511C">
            <w:pPr>
              <w:pStyle w:val="TableBodyText"/>
              <w:keepNext w:val="0"/>
              <w:keepLines w:val="0"/>
              <w:widowControl w:val="0"/>
              <w:spacing w:before="80"/>
              <w:jc w:val="left"/>
              <w:rPr>
                <w:i/>
                <w:lang w:val="en"/>
              </w:rPr>
            </w:pPr>
            <w:r>
              <w:rPr>
                <w:i/>
                <w:lang w:val="en"/>
              </w:rPr>
              <w:t xml:space="preserve">The Heritage Act 2012 </w:t>
            </w:r>
          </w:p>
          <w:p w14:paraId="11A72FF7" w14:textId="77777777" w:rsidR="00165E8A" w:rsidRPr="00345A7F" w:rsidRDefault="00165E8A" w:rsidP="00B910CF">
            <w:pPr>
              <w:pStyle w:val="TableBodyText"/>
              <w:keepNext w:val="0"/>
              <w:keepLines w:val="0"/>
              <w:widowControl w:val="0"/>
              <w:jc w:val="left"/>
              <w:rPr>
                <w:i/>
                <w:lang w:val="en"/>
              </w:rPr>
            </w:pPr>
          </w:p>
          <w:p w14:paraId="55E7BE97" w14:textId="77777777" w:rsidR="00165E8A" w:rsidRPr="00345A7F" w:rsidRDefault="00165E8A" w:rsidP="00B910CF">
            <w:pPr>
              <w:pStyle w:val="TableBodyText"/>
              <w:keepNext w:val="0"/>
              <w:keepLines w:val="0"/>
              <w:widowControl w:val="0"/>
              <w:jc w:val="left"/>
              <w:rPr>
                <w:i/>
              </w:rPr>
            </w:pPr>
            <w:r w:rsidRPr="00345A7F">
              <w:rPr>
                <w:i/>
                <w:lang w:val="en"/>
              </w:rPr>
              <w:t>Aboriginal Sacred Sites Act 1989</w:t>
            </w:r>
          </w:p>
        </w:tc>
        <w:tc>
          <w:tcPr>
            <w:tcW w:w="1694" w:type="pct"/>
            <w:shd w:val="pct5" w:color="auto" w:fill="auto"/>
          </w:tcPr>
          <w:p w14:paraId="368798F9" w14:textId="137C6142" w:rsidR="00165E8A" w:rsidRPr="003A658E" w:rsidRDefault="00165E8A" w:rsidP="00A1511C">
            <w:pPr>
              <w:pStyle w:val="TableBodyText"/>
              <w:keepNext w:val="0"/>
              <w:keepLines w:val="0"/>
              <w:widowControl w:val="0"/>
              <w:spacing w:before="80"/>
              <w:jc w:val="left"/>
            </w:pPr>
            <w:r w:rsidRPr="003A658E">
              <w:t xml:space="preserve">Department </w:t>
            </w:r>
            <w:r w:rsidR="004C6D2F">
              <w:t xml:space="preserve">of </w:t>
            </w:r>
            <w:r>
              <w:t>Lands, Planning and Environment</w:t>
            </w:r>
          </w:p>
          <w:p w14:paraId="0B045470" w14:textId="77777777" w:rsidR="00165E8A" w:rsidRPr="000C28D5" w:rsidRDefault="00165E8A" w:rsidP="00A1511C">
            <w:pPr>
              <w:pStyle w:val="TableBodyText"/>
              <w:keepNext w:val="0"/>
              <w:keepLines w:val="0"/>
              <w:widowControl w:val="0"/>
              <w:spacing w:before="80" w:after="80"/>
              <w:jc w:val="left"/>
            </w:pPr>
            <w:r w:rsidRPr="000C28D5">
              <w:t>Aboriginal Areas Protection Authority</w:t>
            </w:r>
          </w:p>
        </w:tc>
      </w:tr>
      <w:tr w:rsidR="00165E8A" w14:paraId="125C6BAD" w14:textId="77777777" w:rsidTr="002F4896">
        <w:tc>
          <w:tcPr>
            <w:tcW w:w="1129" w:type="pct"/>
            <w:tcBorders>
              <w:bottom w:val="single" w:sz="6" w:space="0" w:color="auto"/>
            </w:tcBorders>
            <w:shd w:val="clear" w:color="auto" w:fill="auto"/>
          </w:tcPr>
          <w:p w14:paraId="5AA950C6" w14:textId="77777777" w:rsidR="00165E8A" w:rsidRDefault="00165E8A" w:rsidP="000B711F">
            <w:pPr>
              <w:pStyle w:val="TableBodyText"/>
              <w:keepNext w:val="0"/>
              <w:keepLines w:val="0"/>
              <w:widowControl w:val="0"/>
              <w:spacing w:before="80" w:after="80"/>
              <w:jc w:val="left"/>
            </w:pPr>
            <w:r>
              <w:t>ACT</w:t>
            </w:r>
          </w:p>
        </w:tc>
        <w:tc>
          <w:tcPr>
            <w:tcW w:w="2177" w:type="pct"/>
            <w:tcBorders>
              <w:bottom w:val="single" w:sz="6" w:space="0" w:color="auto"/>
            </w:tcBorders>
            <w:shd w:val="clear" w:color="auto" w:fill="auto"/>
          </w:tcPr>
          <w:p w14:paraId="2C8C9193" w14:textId="77777777" w:rsidR="00165E8A" w:rsidRPr="00345A7F" w:rsidRDefault="00165E8A" w:rsidP="000B711F">
            <w:pPr>
              <w:pStyle w:val="TableBodyText"/>
              <w:keepNext w:val="0"/>
              <w:keepLines w:val="0"/>
              <w:widowControl w:val="0"/>
              <w:spacing w:before="80" w:after="80"/>
              <w:jc w:val="left"/>
              <w:rPr>
                <w:i/>
                <w:lang w:val="en"/>
              </w:rPr>
            </w:pPr>
            <w:r w:rsidRPr="00345A7F">
              <w:rPr>
                <w:i/>
                <w:lang w:val="en"/>
              </w:rPr>
              <w:t>Heritage Act 2004</w:t>
            </w:r>
          </w:p>
        </w:tc>
        <w:tc>
          <w:tcPr>
            <w:tcW w:w="1694" w:type="pct"/>
            <w:tcBorders>
              <w:bottom w:val="single" w:sz="6" w:space="0" w:color="auto"/>
            </w:tcBorders>
            <w:shd w:val="clear" w:color="auto" w:fill="auto"/>
          </w:tcPr>
          <w:p w14:paraId="27B97F7B" w14:textId="77777777" w:rsidR="00165E8A" w:rsidRPr="008642D2" w:rsidRDefault="00165E8A" w:rsidP="000B711F">
            <w:pPr>
              <w:pStyle w:val="TableBodyText"/>
              <w:keepNext w:val="0"/>
              <w:keepLines w:val="0"/>
              <w:widowControl w:val="0"/>
              <w:spacing w:before="80" w:after="80"/>
              <w:jc w:val="left"/>
            </w:pPr>
            <w:r w:rsidRPr="008642D2">
              <w:t>ACT Heritage</w:t>
            </w:r>
          </w:p>
        </w:tc>
      </w:tr>
    </w:tbl>
    <w:p w14:paraId="09FC90A1" w14:textId="4B727E47" w:rsidR="00840BC1" w:rsidRDefault="002919C0" w:rsidP="002919C0">
      <w:pPr>
        <w:pStyle w:val="BodyText"/>
        <w:rPr>
          <w:lang w:val="en"/>
        </w:rPr>
      </w:pPr>
      <w:r>
        <w:t xml:space="preserve">The Australian Government’s role predominantly relates to listing and protecting places with world and national heritage significance. </w:t>
      </w:r>
      <w:r w:rsidR="00840BC1">
        <w:t>Principal Commonwealth heritage legislation of relevance</w:t>
      </w:r>
      <w:r w:rsidR="004C6D2F">
        <w:t xml:space="preserve"> to resource</w:t>
      </w:r>
      <w:r w:rsidR="00840BC1">
        <w:t xml:space="preserve"> exploration is summarised in box</w:t>
      </w:r>
      <w:r w:rsidR="00504C8F">
        <w:t> </w:t>
      </w:r>
      <w:r w:rsidR="00840BC1">
        <w:t>5.1</w:t>
      </w:r>
      <w:r w:rsidR="00840BC1">
        <w:rPr>
          <w:lang w:val="en"/>
        </w:rPr>
        <w:t>.</w:t>
      </w:r>
    </w:p>
    <w:p w14:paraId="5D0EF002" w14:textId="3E6EAF80" w:rsidR="002919C0" w:rsidRDefault="00032197" w:rsidP="002919C0">
      <w:pPr>
        <w:pStyle w:val="BodyText"/>
        <w:rPr>
          <w:lang w:val="en"/>
        </w:rPr>
      </w:pPr>
      <w:r w:rsidRPr="00F928AA">
        <w:t xml:space="preserve">The </w:t>
      </w:r>
      <w:r w:rsidRPr="00DC19B8">
        <w:rPr>
          <w:i/>
        </w:rPr>
        <w:t xml:space="preserve">Aboriginal and Torres Strait Islander Heritage Protection Act </w:t>
      </w:r>
      <w:r w:rsidR="009E0DCC" w:rsidRPr="00DC19B8">
        <w:rPr>
          <w:i/>
        </w:rPr>
        <w:t>1984</w:t>
      </w:r>
      <w:r w:rsidR="009E0DCC" w:rsidRPr="004C6D2F">
        <w:t xml:space="preserve"> </w:t>
      </w:r>
      <w:r w:rsidR="0016310D" w:rsidRPr="004C6D2F">
        <w:t>(ATSIHP</w:t>
      </w:r>
      <w:r w:rsidR="004C6D2F" w:rsidRPr="004C6D2F">
        <w:t xml:space="preserve"> Act</w:t>
      </w:r>
      <w:r w:rsidR="0016310D" w:rsidRPr="004C6D2F">
        <w:t>)</w:t>
      </w:r>
      <w:r w:rsidR="001466C4">
        <w:t xml:space="preserve"> </w:t>
      </w:r>
      <w:r w:rsidR="002919C0">
        <w:t xml:space="preserve">enables the Australian Government to act as a ‘protector of last resort’ </w:t>
      </w:r>
      <w:r w:rsidR="00A8642B">
        <w:t xml:space="preserve">for Indigenous heritage </w:t>
      </w:r>
      <w:r w:rsidR="002919C0">
        <w:t>by responding to requests to pr</w:t>
      </w:r>
      <w:r w:rsidR="00F1026E">
        <w:t>eserve</w:t>
      </w:r>
      <w:r w:rsidR="002919C0">
        <w:t xml:space="preserve"> important </w:t>
      </w:r>
      <w:r w:rsidR="00A8642B">
        <w:t xml:space="preserve">Indigenous </w:t>
      </w:r>
      <w:r w:rsidR="002919C0">
        <w:t>areas and objects where it is perceived that state or territory laws have not</w:t>
      </w:r>
      <w:r w:rsidR="00390AA8">
        <w:t xml:space="preserve"> provided effective protection.</w:t>
      </w:r>
    </w:p>
    <w:p w14:paraId="4B7C1613" w14:textId="26CC4668" w:rsidR="002919C0" w:rsidRDefault="002919C0" w:rsidP="002919C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919C0" w14:paraId="102AACBB" w14:textId="77777777" w:rsidTr="002919C0">
        <w:tc>
          <w:tcPr>
            <w:tcW w:w="8771" w:type="dxa"/>
            <w:tcBorders>
              <w:top w:val="single" w:sz="6" w:space="0" w:color="auto"/>
              <w:bottom w:val="nil"/>
            </w:tcBorders>
          </w:tcPr>
          <w:p w14:paraId="7267B8D5" w14:textId="16F6DC15" w:rsidR="002919C0" w:rsidRDefault="002919C0" w:rsidP="002919C0">
            <w:pPr>
              <w:pStyle w:val="BoxTitle"/>
            </w:pPr>
            <w:r>
              <w:rPr>
                <w:b w:val="0"/>
              </w:rPr>
              <w:t xml:space="preserve">Box </w:t>
            </w:r>
            <w:r w:rsidR="009A44B4">
              <w:rPr>
                <w:b w:val="0"/>
              </w:rPr>
              <w:t>5.</w:t>
            </w:r>
            <w:r w:rsidR="009A44B4">
              <w:rPr>
                <w:b w:val="0"/>
                <w:noProof/>
              </w:rPr>
              <w:t>1</w:t>
            </w:r>
            <w:r>
              <w:tab/>
              <w:t>Principal Commonwealth heritage legislation</w:t>
            </w:r>
          </w:p>
        </w:tc>
      </w:tr>
      <w:tr w:rsidR="002919C0" w14:paraId="051EE715" w14:textId="77777777" w:rsidTr="002919C0">
        <w:trPr>
          <w:cantSplit/>
        </w:trPr>
        <w:tc>
          <w:tcPr>
            <w:tcW w:w="8771" w:type="dxa"/>
            <w:tcBorders>
              <w:top w:val="nil"/>
              <w:left w:val="single" w:sz="6" w:space="0" w:color="auto"/>
              <w:bottom w:val="nil"/>
              <w:right w:val="single" w:sz="6" w:space="0" w:color="auto"/>
            </w:tcBorders>
          </w:tcPr>
          <w:p w14:paraId="5031443F" w14:textId="511C8E50" w:rsidR="002919C0" w:rsidRPr="000867E3" w:rsidRDefault="002919C0" w:rsidP="002919C0">
            <w:pPr>
              <w:pStyle w:val="Box"/>
              <w:rPr>
                <w:lang w:val="en"/>
              </w:rPr>
            </w:pPr>
            <w:r w:rsidRPr="000501B4">
              <w:rPr>
                <w:i/>
              </w:rPr>
              <w:t xml:space="preserve">The </w:t>
            </w:r>
            <w:r w:rsidRPr="00E93A06">
              <w:rPr>
                <w:b/>
                <w:i/>
              </w:rPr>
              <w:t>Aboriginal and Torres Strait Islander Heritage Protection Act 1984</w:t>
            </w:r>
            <w:r>
              <w:t xml:space="preserve"> allows </w:t>
            </w:r>
            <w:r w:rsidRPr="00145A0D">
              <w:t xml:space="preserve">the </w:t>
            </w:r>
            <w:r w:rsidR="00FB5AD2">
              <w:t xml:space="preserve">responsible </w:t>
            </w:r>
            <w:r>
              <w:t xml:space="preserve">Commonwealth </w:t>
            </w:r>
            <w:r w:rsidRPr="00145A0D">
              <w:t>Minister</w:t>
            </w:r>
            <w:r>
              <w:t xml:space="preserve"> </w:t>
            </w:r>
            <w:r w:rsidRPr="00145A0D">
              <w:t>to make a declaration to preserve or protect an area from injury or desecration if satisfied that ‘the area is a significant Aboriginal area’ and there is a ‘serious and immediate threat’.</w:t>
            </w:r>
            <w:r>
              <w:t xml:space="preserve"> The Act allows for intervention if state and territory laws do not provide effective protection. </w:t>
            </w:r>
          </w:p>
          <w:p w14:paraId="0D13F537" w14:textId="3E4C2F40" w:rsidR="002919C0" w:rsidRPr="00CA31F3" w:rsidRDefault="002919C0" w:rsidP="002919C0">
            <w:pPr>
              <w:pStyle w:val="Box"/>
              <w:rPr>
                <w:lang w:val="en"/>
              </w:rPr>
            </w:pPr>
            <w:r>
              <w:t xml:space="preserve">The Minister cannot make a declaration unless an </w:t>
            </w:r>
            <w:r w:rsidR="00843BC4">
              <w:t>Indigenous</w:t>
            </w:r>
            <w:r>
              <w:t xml:space="preserve"> person or representative has made an application. In making a decision, consideration is given to all </w:t>
            </w:r>
            <w:r>
              <w:rPr>
                <w:lang w:val="en"/>
              </w:rPr>
              <w:t xml:space="preserve">relevant information presented by the applicant, affected parties and the relevant state or territory government. </w:t>
            </w:r>
            <w:r>
              <w:t xml:space="preserve">The Minister can take into account the financial impact </w:t>
            </w:r>
            <w:r w:rsidR="00E85CC7">
              <w:t>on</w:t>
            </w:r>
            <w:r>
              <w:t xml:space="preserve"> affected parties if a declaration is made and what is in the national interest. The Minister has discretion and is not required to make a declaration, even if a significant area or object is under threat of injury or desecration.</w:t>
            </w:r>
          </w:p>
          <w:p w14:paraId="51B2E7AA" w14:textId="0E2FA5EE" w:rsidR="002919C0" w:rsidRDefault="002919C0" w:rsidP="002919C0">
            <w:pPr>
              <w:pStyle w:val="Box"/>
            </w:pPr>
            <w:r>
              <w:t>Any party whose interests might be adversely affected by a declaration (including explorers) must have a reasonable opportunity to comment.</w:t>
            </w:r>
            <w:r w:rsidRPr="00340FA1">
              <w:rPr>
                <w:sz w:val="15"/>
                <w:szCs w:val="15"/>
              </w:rPr>
              <w:t xml:space="preserve"> </w:t>
            </w:r>
            <w:r>
              <w:t>If this opportunity is not provided, a person who is adversely affected may seek a judicial review of the Minister</w:t>
            </w:r>
            <w:r w:rsidR="00504C8F">
              <w:t>’</w:t>
            </w:r>
            <w:r>
              <w:t xml:space="preserve">s decision in the </w:t>
            </w:r>
            <w:r w:rsidRPr="00512E2A">
              <w:t>Federal Court.</w:t>
            </w:r>
            <w:r>
              <w:t xml:space="preserve"> </w:t>
            </w:r>
          </w:p>
          <w:p w14:paraId="576E56CC" w14:textId="77777777" w:rsidR="002919C0" w:rsidRDefault="002919C0" w:rsidP="002919C0">
            <w:pPr>
              <w:pStyle w:val="Box"/>
            </w:pPr>
            <w:r>
              <w:t xml:space="preserve">In 2004 heritage provisions were introduced in the </w:t>
            </w:r>
            <w:r w:rsidRPr="00E93A06">
              <w:rPr>
                <w:b/>
                <w:i/>
              </w:rPr>
              <w:t>Environment Protection and Biodiversity Conservation Act 1999</w:t>
            </w:r>
            <w:r>
              <w:t xml:space="preserve"> (</w:t>
            </w:r>
            <w:proofErr w:type="spellStart"/>
            <w:r>
              <w:t>EPBC</w:t>
            </w:r>
            <w:proofErr w:type="spellEnd"/>
            <w:r>
              <w:t xml:space="preserve"> Act), replacing the </w:t>
            </w:r>
            <w:r>
              <w:rPr>
                <w:i/>
              </w:rPr>
              <w:t>Australian Heritage Commission Act 1975.</w:t>
            </w:r>
            <w:r>
              <w:t xml:space="preserve"> The legislation is administered by the</w:t>
            </w:r>
            <w:r w:rsidRPr="00082368">
              <w:t xml:space="preserve"> Department of Sustainability, Environment, Water, Population and Communities</w:t>
            </w:r>
            <w:r>
              <w:t>.</w:t>
            </w:r>
          </w:p>
          <w:p w14:paraId="3F04BB7B" w14:textId="77777777" w:rsidR="002919C0" w:rsidRDefault="002919C0" w:rsidP="002919C0">
            <w:pPr>
              <w:pStyle w:val="Box"/>
            </w:pPr>
            <w:r>
              <w:t xml:space="preserve">The </w:t>
            </w:r>
            <w:proofErr w:type="spellStart"/>
            <w:r>
              <w:t>EPBC</w:t>
            </w:r>
            <w:proofErr w:type="spellEnd"/>
            <w:r>
              <w:t xml:space="preserve"> Act allows natural, historic and Indigenous places of significance to be recognised under the National and Commonwealth Heritage Lists. </w:t>
            </w:r>
            <w:r w:rsidRPr="00AE7874">
              <w:t>The Australian Heritage Council</w:t>
            </w:r>
            <w:r>
              <w:t xml:space="preserve"> — an independent body of heritage experts advising the Minister on heritage matters — </w:t>
            </w:r>
            <w:r w:rsidRPr="00AE7874">
              <w:t xml:space="preserve">is constituted under the </w:t>
            </w:r>
            <w:proofErr w:type="spellStart"/>
            <w:r w:rsidRPr="00AE7874">
              <w:t>EPBC</w:t>
            </w:r>
            <w:proofErr w:type="spellEnd"/>
            <w:r w:rsidRPr="00AE7874">
              <w:t xml:space="preserve"> Act</w:t>
            </w:r>
            <w:r>
              <w:t>.</w:t>
            </w:r>
          </w:p>
          <w:p w14:paraId="339942B0" w14:textId="77777777" w:rsidR="002919C0" w:rsidRDefault="002919C0" w:rsidP="002919C0">
            <w:pPr>
              <w:pStyle w:val="Box"/>
            </w:pPr>
            <w:r w:rsidRPr="00B67402">
              <w:t xml:space="preserve">The Minister </w:t>
            </w:r>
            <w:r>
              <w:t xml:space="preserve">for </w:t>
            </w:r>
            <w:r w:rsidRPr="00082368">
              <w:t>Sustainability, Environment, Water, Population and Communities</w:t>
            </w:r>
            <w:r>
              <w:t xml:space="preserve"> </w:t>
            </w:r>
            <w:r w:rsidRPr="00B67402">
              <w:t xml:space="preserve">decides whether </w:t>
            </w:r>
            <w:r>
              <w:t xml:space="preserve">to include a place on the list by </w:t>
            </w:r>
            <w:r w:rsidRPr="00B67402">
              <w:t>follow</w:t>
            </w:r>
            <w:r>
              <w:t>ing</w:t>
            </w:r>
            <w:r w:rsidRPr="00B67402">
              <w:t xml:space="preserve"> the consultation </w:t>
            </w:r>
            <w:r>
              <w:t>process set out in the Act.</w:t>
            </w:r>
            <w:r w:rsidRPr="00051542">
              <w:t xml:space="preserve"> The Minister can </w:t>
            </w:r>
            <w:r>
              <w:t xml:space="preserve">also </w:t>
            </w:r>
            <w:r w:rsidRPr="00051542">
              <w:t xml:space="preserve">make an emergency listing </w:t>
            </w:r>
            <w:r>
              <w:t xml:space="preserve">if an unlisted </w:t>
            </w:r>
            <w:r w:rsidRPr="00051542">
              <w:t>place which is capable</w:t>
            </w:r>
            <w:r>
              <w:t xml:space="preserve"> </w:t>
            </w:r>
            <w:r w:rsidRPr="00051542">
              <w:t>of meeting the criteria for National H</w:t>
            </w:r>
            <w:r>
              <w:t>eritage listing is under threat</w:t>
            </w:r>
            <w:r w:rsidRPr="00051542">
              <w:t>.</w:t>
            </w:r>
          </w:p>
          <w:p w14:paraId="19A02E16" w14:textId="049747B1" w:rsidR="002919C0" w:rsidRDefault="002919C0" w:rsidP="002919C0">
            <w:pPr>
              <w:pStyle w:val="Box"/>
            </w:pPr>
            <w:r>
              <w:t>Once a site is listed</w:t>
            </w:r>
            <w:r w:rsidR="00956FC8">
              <w:t>,</w:t>
            </w:r>
            <w:r>
              <w:t xml:space="preserve"> a referral to the Minister must be made under the </w:t>
            </w:r>
            <w:proofErr w:type="spellStart"/>
            <w:r>
              <w:t>EPBC</w:t>
            </w:r>
            <w:proofErr w:type="spellEnd"/>
            <w:r>
              <w:t xml:space="preserve"> Act for actions that are likely to have a significant impact on a declared world, national or Commonwealth </w:t>
            </w:r>
            <w:r w:rsidR="00EF79D7">
              <w:t xml:space="preserve">heritage </w:t>
            </w:r>
            <w:r>
              <w:t xml:space="preserve">site. </w:t>
            </w:r>
          </w:p>
          <w:p w14:paraId="3114B4CB" w14:textId="072A5FFA" w:rsidR="002919C0" w:rsidRDefault="002919C0" w:rsidP="002919C0">
            <w:pPr>
              <w:pStyle w:val="Box"/>
              <w:rPr>
                <w:lang w:val="en"/>
              </w:rPr>
            </w:pPr>
            <w:r w:rsidRPr="00E93A06">
              <w:t xml:space="preserve">The </w:t>
            </w:r>
            <w:r w:rsidRPr="00E93A06">
              <w:rPr>
                <w:b/>
                <w:i/>
              </w:rPr>
              <w:t>Historic Shipwrecks Act 1976</w:t>
            </w:r>
            <w:r w:rsidRPr="00E93A06">
              <w:t xml:space="preserve">, protects historic </w:t>
            </w:r>
            <w:r w:rsidR="00EF79D7">
              <w:t>ship</w:t>
            </w:r>
            <w:r w:rsidRPr="00E93A06">
              <w:t>wr</w:t>
            </w:r>
            <w:r w:rsidR="00843BC4">
              <w:t>ecks and associated relics</w:t>
            </w:r>
            <w:r w:rsidRPr="00E93A06">
              <w:t xml:space="preserve"> that are more than 75 years old and in Commonwealth waters. Each of the </w:t>
            </w:r>
            <w:r>
              <w:t>s</w:t>
            </w:r>
            <w:r w:rsidRPr="00E93A06">
              <w:t>tates and the Northern Territory has complementary legislation which protects historic shipwrecks in</w:t>
            </w:r>
            <w:r>
              <w:t xml:space="preserve"> s</w:t>
            </w:r>
            <w:r w:rsidRPr="00E93A06">
              <w:t xml:space="preserve">tate waters, such as bays, harbours and rivers. The Minister can also make a declaration to protect any historically significant </w:t>
            </w:r>
            <w:r w:rsidR="00EF79D7">
              <w:t>ship</w:t>
            </w:r>
            <w:r w:rsidRPr="00E93A06">
              <w:t xml:space="preserve">wrecks or articles and relics </w:t>
            </w:r>
            <w:r w:rsidR="00E85CC7">
              <w:t>that</w:t>
            </w:r>
            <w:r w:rsidRPr="00E93A06">
              <w:t xml:space="preserve"> are less than 75</w:t>
            </w:r>
            <w:r w:rsidRPr="00BF5825">
              <w:rPr>
                <w:lang w:val="en"/>
              </w:rPr>
              <w:t xml:space="preserve"> years old.</w:t>
            </w:r>
          </w:p>
          <w:p w14:paraId="0268AF6F" w14:textId="1998C687" w:rsidR="002919C0" w:rsidRPr="00717A24" w:rsidRDefault="002919C0" w:rsidP="002B321E">
            <w:pPr>
              <w:pStyle w:val="BoxSource"/>
            </w:pPr>
            <w:r w:rsidRPr="00717A24">
              <w:t xml:space="preserve">Source: </w:t>
            </w:r>
            <w:proofErr w:type="spellStart"/>
            <w:r w:rsidR="002B321E">
              <w:t>SEWPaC</w:t>
            </w:r>
            <w:proofErr w:type="spellEnd"/>
            <w:r w:rsidR="002B321E">
              <w:t xml:space="preserve"> (</w:t>
            </w:r>
            <w:proofErr w:type="spellStart"/>
            <w:r w:rsidR="002B321E">
              <w:t>2012</w:t>
            </w:r>
            <w:r w:rsidR="002F0A9E">
              <w:t>a</w:t>
            </w:r>
            <w:proofErr w:type="spellEnd"/>
            <w:r w:rsidR="002B321E">
              <w:t>).</w:t>
            </w:r>
          </w:p>
        </w:tc>
      </w:tr>
      <w:tr w:rsidR="002919C0" w14:paraId="76984257" w14:textId="77777777" w:rsidTr="002919C0">
        <w:trPr>
          <w:cantSplit/>
        </w:trPr>
        <w:tc>
          <w:tcPr>
            <w:tcW w:w="8771" w:type="dxa"/>
            <w:tcBorders>
              <w:top w:val="nil"/>
              <w:left w:val="single" w:sz="6" w:space="0" w:color="auto"/>
              <w:bottom w:val="single" w:sz="6" w:space="0" w:color="auto"/>
              <w:right w:val="single" w:sz="6" w:space="0" w:color="auto"/>
            </w:tcBorders>
          </w:tcPr>
          <w:p w14:paraId="0D93B520" w14:textId="77777777" w:rsidR="002919C0" w:rsidRDefault="002919C0" w:rsidP="002919C0">
            <w:pPr>
              <w:pStyle w:val="Box"/>
              <w:spacing w:before="0" w:line="120" w:lineRule="exact"/>
            </w:pPr>
          </w:p>
        </w:tc>
      </w:tr>
      <w:tr w:rsidR="002919C0" w:rsidRPr="000863A5" w14:paraId="15744371" w14:textId="77777777" w:rsidTr="002919C0">
        <w:tc>
          <w:tcPr>
            <w:tcW w:w="8771" w:type="dxa"/>
            <w:tcBorders>
              <w:top w:val="nil"/>
              <w:left w:val="nil"/>
              <w:bottom w:val="nil"/>
              <w:right w:val="nil"/>
            </w:tcBorders>
          </w:tcPr>
          <w:p w14:paraId="4A360540" w14:textId="05B5C57F" w:rsidR="002919C0" w:rsidRPr="00626D32" w:rsidRDefault="002919C0" w:rsidP="002919C0">
            <w:pPr>
              <w:pStyle w:val="BoxSpaceBelow"/>
            </w:pPr>
          </w:p>
        </w:tc>
      </w:tr>
    </w:tbl>
    <w:p w14:paraId="62F2B390" w14:textId="5EBDDDC7" w:rsidR="00F97C38" w:rsidRDefault="009C4756" w:rsidP="00600552">
      <w:pPr>
        <w:pStyle w:val="BodyText"/>
        <w:spacing w:after="160"/>
        <w:rPr>
          <w:lang w:val="en"/>
        </w:rPr>
      </w:pPr>
      <w:r>
        <w:lastRenderedPageBreak/>
        <w:t xml:space="preserve">Heritage legislation </w:t>
      </w:r>
      <w:r w:rsidR="00D54F7A">
        <w:t xml:space="preserve">at all levels </w:t>
      </w:r>
      <w:r w:rsidR="00D507FE">
        <w:t xml:space="preserve">of government </w:t>
      </w:r>
      <w:r w:rsidR="00D54F7A">
        <w:t>provide</w:t>
      </w:r>
      <w:r>
        <w:t>s</w:t>
      </w:r>
      <w:r w:rsidR="00D54F7A">
        <w:t xml:space="preserve"> for a listing process — the process of identifying and recording significant heritage sites. The overwhelming majority of listing</w:t>
      </w:r>
      <w:r w:rsidR="00771FBD">
        <w:t>s</w:t>
      </w:r>
      <w:r w:rsidR="00D54F7A">
        <w:t xml:space="preserve"> occur at the state level, often in response to perceived threats. </w:t>
      </w:r>
      <w:r w:rsidR="00FB7C70">
        <w:rPr>
          <w:lang w:val="en"/>
        </w:rPr>
        <w:t>The main implication of a site being placed on a heritage list is that restrictions apply as to what works can be carried out on the site (section</w:t>
      </w:r>
      <w:r w:rsidR="00504C8F">
        <w:rPr>
          <w:lang w:val="en"/>
        </w:rPr>
        <w:t> </w:t>
      </w:r>
      <w:r w:rsidR="00FB7C70">
        <w:rPr>
          <w:lang w:val="en"/>
        </w:rPr>
        <w:t xml:space="preserve">5.4). </w:t>
      </w:r>
      <w:r w:rsidR="00D54F7A">
        <w:rPr>
          <w:lang w:val="en"/>
        </w:rPr>
        <w:t>In addition to statutory listings</w:t>
      </w:r>
      <w:r w:rsidR="00D742AA">
        <w:rPr>
          <w:lang w:val="en"/>
        </w:rPr>
        <w:t>,</w:t>
      </w:r>
      <w:r w:rsidR="00D54F7A">
        <w:rPr>
          <w:lang w:val="en"/>
        </w:rPr>
        <w:t xml:space="preserve"> some unofficial lists are recorded by non-government organisation</w:t>
      </w:r>
      <w:r w:rsidR="008C319F">
        <w:rPr>
          <w:lang w:val="en"/>
        </w:rPr>
        <w:t>s (box</w:t>
      </w:r>
      <w:r w:rsidR="00504C8F">
        <w:rPr>
          <w:lang w:val="en"/>
        </w:rPr>
        <w:t> </w:t>
      </w:r>
      <w:r w:rsidR="008C319F">
        <w:rPr>
          <w:lang w:val="en"/>
        </w:rPr>
        <w:t>5</w:t>
      </w:r>
      <w:r w:rsidR="00D54F7A">
        <w:rPr>
          <w:lang w:val="en"/>
        </w:rPr>
        <w:t>.</w:t>
      </w:r>
      <w:r w:rsidR="009834CB">
        <w:rPr>
          <w:lang w:val="en"/>
        </w:rPr>
        <w:t>2</w:t>
      </w:r>
      <w:r w:rsidR="00D54F7A">
        <w:rPr>
          <w:lang w:val="en"/>
        </w:rPr>
        <w:t>).</w:t>
      </w:r>
    </w:p>
    <w:p w14:paraId="2AEC4A2A" w14:textId="564DC0EB" w:rsidR="004F5FE4" w:rsidRDefault="004F5FE4" w:rsidP="004F5FE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6350E9" w14:paraId="1E0F8FB5" w14:textId="77777777" w:rsidTr="002F4896">
        <w:tc>
          <w:tcPr>
            <w:tcW w:w="8771" w:type="dxa"/>
            <w:tcBorders>
              <w:top w:val="single" w:sz="6" w:space="0" w:color="auto"/>
              <w:bottom w:val="nil"/>
            </w:tcBorders>
          </w:tcPr>
          <w:p w14:paraId="5406A5B2" w14:textId="28A3C398" w:rsidR="006350E9" w:rsidRDefault="006350E9" w:rsidP="002F4896">
            <w:pPr>
              <w:pStyle w:val="BoxTitle"/>
            </w:pPr>
            <w:r>
              <w:rPr>
                <w:b w:val="0"/>
              </w:rPr>
              <w:t xml:space="preserve">Box </w:t>
            </w:r>
            <w:r w:rsidR="009A44B4">
              <w:rPr>
                <w:b w:val="0"/>
              </w:rPr>
              <w:t>5.</w:t>
            </w:r>
            <w:r w:rsidR="009A44B4">
              <w:rPr>
                <w:b w:val="0"/>
                <w:noProof/>
              </w:rPr>
              <w:t>2</w:t>
            </w:r>
            <w:r w:rsidR="00CB5622">
              <w:tab/>
              <w:t>Lists of significant heritage sites</w:t>
            </w:r>
          </w:p>
        </w:tc>
      </w:tr>
      <w:tr w:rsidR="006350E9" w14:paraId="453E4439" w14:textId="77777777" w:rsidTr="00590A64">
        <w:trPr>
          <w:cantSplit/>
        </w:trPr>
        <w:tc>
          <w:tcPr>
            <w:tcW w:w="8771" w:type="dxa"/>
            <w:tcBorders>
              <w:top w:val="nil"/>
              <w:left w:val="single" w:sz="6" w:space="0" w:color="auto"/>
              <w:bottom w:val="nil"/>
              <w:right w:val="single" w:sz="6" w:space="0" w:color="auto"/>
            </w:tcBorders>
          </w:tcPr>
          <w:p w14:paraId="5608D7C3" w14:textId="3D43AD0A" w:rsidR="006350E9" w:rsidRPr="00936A8C" w:rsidRDefault="006350E9" w:rsidP="002F4896">
            <w:pPr>
              <w:pStyle w:val="Box"/>
            </w:pPr>
            <w:r>
              <w:t xml:space="preserve">The </w:t>
            </w:r>
            <w:r w:rsidRPr="00975937">
              <w:rPr>
                <w:b/>
              </w:rPr>
              <w:t>World Heritage List</w:t>
            </w:r>
            <w:r>
              <w:t xml:space="preserve"> </w:t>
            </w:r>
            <w:r w:rsidR="00D742AA">
              <w:t>(</w:t>
            </w:r>
            <w:r w:rsidR="00FF2A74">
              <w:t>maintained by the United Nations Educational, Scientific and Cultural Organisation</w:t>
            </w:r>
            <w:r w:rsidR="00C67A0A">
              <w:t xml:space="preserve"> (UNESCO</w:t>
            </w:r>
            <w:r w:rsidR="00FF2A74">
              <w:t xml:space="preserve">) </w:t>
            </w:r>
            <w:r>
              <w:t xml:space="preserve">includes places of cultural </w:t>
            </w:r>
            <w:r w:rsidRPr="007606AD">
              <w:t>and natural</w:t>
            </w:r>
            <w:r>
              <w:t xml:space="preserve"> heritage which </w:t>
            </w:r>
            <w:r w:rsidR="00C67A0A">
              <w:t xml:space="preserve">UNESCO’s </w:t>
            </w:r>
            <w:r>
              <w:t xml:space="preserve">World Heritage Committee considers </w:t>
            </w:r>
            <w:r w:rsidR="00C05BDE">
              <w:t>to have</w:t>
            </w:r>
            <w:r>
              <w:t xml:space="preserve"> ‘outstanding universal value’</w:t>
            </w:r>
            <w:r w:rsidR="00504C8F">
              <w:t>.</w:t>
            </w:r>
            <w:r>
              <w:t xml:space="preserve"> </w:t>
            </w:r>
          </w:p>
          <w:p w14:paraId="2C4A38D8" w14:textId="28E8895B" w:rsidR="006350E9" w:rsidRDefault="006350E9" w:rsidP="002F4896">
            <w:pPr>
              <w:pStyle w:val="Box"/>
            </w:pPr>
            <w:r w:rsidRPr="00DC3D99">
              <w:t>The</w:t>
            </w:r>
            <w:r>
              <w:t xml:space="preserve"> </w:t>
            </w:r>
            <w:r w:rsidRPr="00E20581">
              <w:rPr>
                <w:b/>
              </w:rPr>
              <w:t>National Heritage list</w:t>
            </w:r>
            <w:r>
              <w:t xml:space="preserve"> </w:t>
            </w:r>
            <w:r w:rsidR="00E510A3">
              <w:t xml:space="preserve">established under the </w:t>
            </w:r>
            <w:proofErr w:type="spellStart"/>
            <w:r w:rsidR="00E510A3">
              <w:t>EPBC</w:t>
            </w:r>
            <w:proofErr w:type="spellEnd"/>
            <w:r w:rsidR="00E510A3">
              <w:t xml:space="preserve"> Act</w:t>
            </w:r>
            <w:r w:rsidRPr="007606AD">
              <w:t xml:space="preserve"> includes </w:t>
            </w:r>
            <w:r w:rsidR="00BA790E" w:rsidRPr="007606AD">
              <w:t>Indigenous</w:t>
            </w:r>
            <w:r w:rsidR="00BA790E">
              <w:t xml:space="preserve">, </w:t>
            </w:r>
            <w:r w:rsidR="00BA790E" w:rsidRPr="007606AD">
              <w:t xml:space="preserve">historic and </w:t>
            </w:r>
            <w:r w:rsidRPr="007606AD">
              <w:t>natural places that are of national heritage value to Australia.</w:t>
            </w:r>
          </w:p>
          <w:p w14:paraId="36738A9D" w14:textId="18E9164E" w:rsidR="006350E9" w:rsidRDefault="006350E9" w:rsidP="002F4896">
            <w:pPr>
              <w:pStyle w:val="Box"/>
            </w:pPr>
            <w:r>
              <w:t xml:space="preserve">The </w:t>
            </w:r>
            <w:r w:rsidRPr="00907896">
              <w:rPr>
                <w:b/>
              </w:rPr>
              <w:t>Commonwealth Heritage List</w:t>
            </w:r>
            <w:r>
              <w:t xml:space="preserve"> also</w:t>
            </w:r>
            <w:r w:rsidRPr="007606AD">
              <w:t xml:space="preserve"> established under the </w:t>
            </w:r>
            <w:proofErr w:type="spellStart"/>
            <w:r w:rsidRPr="007606AD">
              <w:t>EPBC</w:t>
            </w:r>
            <w:proofErr w:type="spellEnd"/>
            <w:r w:rsidRPr="007606AD">
              <w:t xml:space="preserve"> Act, includes Indigenous</w:t>
            </w:r>
            <w:r w:rsidR="00BA790E">
              <w:t>, historic and natural</w:t>
            </w:r>
            <w:r w:rsidRPr="007606AD">
              <w:t xml:space="preserve"> heritage places that are within a Commonwealth area, or are owned or leased by </w:t>
            </w:r>
            <w:r w:rsidR="00161156">
              <w:t xml:space="preserve">the </w:t>
            </w:r>
            <w:r w:rsidRPr="007606AD">
              <w:t>Australian Government.</w:t>
            </w:r>
          </w:p>
          <w:p w14:paraId="09998234" w14:textId="2570A08B" w:rsidR="006350E9" w:rsidRPr="00907896" w:rsidRDefault="006350E9" w:rsidP="002F4896">
            <w:pPr>
              <w:pStyle w:val="Box"/>
            </w:pPr>
            <w:r>
              <w:t xml:space="preserve">The </w:t>
            </w:r>
            <w:r w:rsidRPr="00907896">
              <w:rPr>
                <w:b/>
              </w:rPr>
              <w:t>Register of the National Estate</w:t>
            </w:r>
            <w:r>
              <w:t xml:space="preserve"> lists significant natural, Indigenous and historic heritage places in Australia (originally established under the </w:t>
            </w:r>
            <w:r>
              <w:rPr>
                <w:i/>
              </w:rPr>
              <w:t xml:space="preserve">Australian Heritage Commission Act 1975). </w:t>
            </w:r>
            <w:r w:rsidRPr="00907896">
              <w:t xml:space="preserve">In February </w:t>
            </w:r>
            <w:r>
              <w:t xml:space="preserve">2012, superseded by the National Heritage List and </w:t>
            </w:r>
            <w:r w:rsidR="00DF7E7A">
              <w:t xml:space="preserve">the </w:t>
            </w:r>
            <w:r>
              <w:t>Commonwealth Heritage list</w:t>
            </w:r>
            <w:r w:rsidR="00DF7E7A">
              <w:t>,</w:t>
            </w:r>
            <w:r>
              <w:t xml:space="preserve"> the register ceased operating as a statutory register but remains as a publicly available archive.</w:t>
            </w:r>
          </w:p>
          <w:p w14:paraId="6124BE36" w14:textId="48325288" w:rsidR="006350E9" w:rsidRDefault="006350E9" w:rsidP="002F4896">
            <w:pPr>
              <w:pStyle w:val="Box"/>
            </w:pPr>
            <w:r>
              <w:t xml:space="preserve">The </w:t>
            </w:r>
            <w:r w:rsidRPr="00907896">
              <w:rPr>
                <w:b/>
              </w:rPr>
              <w:t>Australian Shipwrecks Database</w:t>
            </w:r>
            <w:r>
              <w:t xml:space="preserve"> commenced in 2009 and includes all known shipwrecks in Australian waters.</w:t>
            </w:r>
          </w:p>
          <w:p w14:paraId="59A1F5BB" w14:textId="312B42E0" w:rsidR="006350E9" w:rsidRPr="006242A0" w:rsidRDefault="006350E9" w:rsidP="002F4896">
            <w:pPr>
              <w:pStyle w:val="Box"/>
            </w:pPr>
            <w:r w:rsidRPr="006C1241">
              <w:rPr>
                <w:b/>
              </w:rPr>
              <w:t>State heritage registers</w:t>
            </w:r>
            <w:r>
              <w:rPr>
                <w:b/>
              </w:rPr>
              <w:t xml:space="preserve"> </w:t>
            </w:r>
            <w:r w:rsidR="00590A64">
              <w:t>vary</w:t>
            </w:r>
            <w:r>
              <w:t xml:space="preserve"> between jurisdictions. All states and territories have national parks and reserves. Each state and territory has a statutory list of historic places but the criteria and threshold</w:t>
            </w:r>
            <w:r w:rsidR="00C05BDE">
              <w:t>s</w:t>
            </w:r>
            <w:r>
              <w:t xml:space="preserve"> for listing vary. In addition</w:t>
            </w:r>
            <w:r w:rsidR="00361742">
              <w:t>,</w:t>
            </w:r>
            <w:r>
              <w:t xml:space="preserve"> </w:t>
            </w:r>
            <w:r w:rsidR="00590A64">
              <w:t xml:space="preserve">all </w:t>
            </w:r>
            <w:r>
              <w:t>jurisdictions have registers of Indigenous sites</w:t>
            </w:r>
            <w:r w:rsidR="00FB1068">
              <w:t xml:space="preserve"> which </w:t>
            </w:r>
            <w:r w:rsidR="00EC4DC0">
              <w:t xml:space="preserve">generally </w:t>
            </w:r>
            <w:r w:rsidR="00FB1068">
              <w:t xml:space="preserve">include </w:t>
            </w:r>
            <w:r w:rsidR="00EC4DC0">
              <w:t xml:space="preserve">information about objects and places that have been declared as significant to Indigenous culture and </w:t>
            </w:r>
            <w:r w:rsidR="00FB1068">
              <w:t>information from heritage surveys such as reports, photographs and maps</w:t>
            </w:r>
            <w:r>
              <w:t>.</w:t>
            </w:r>
          </w:p>
          <w:p w14:paraId="355CF827" w14:textId="09599792" w:rsidR="006350E9" w:rsidRDefault="006350E9" w:rsidP="002F4896">
            <w:pPr>
              <w:pStyle w:val="Box"/>
            </w:pPr>
            <w:r w:rsidRPr="00271AB9">
              <w:rPr>
                <w:b/>
              </w:rPr>
              <w:t xml:space="preserve">Local heritage </w:t>
            </w:r>
            <w:r>
              <w:t xml:space="preserve">identification is highly variable. There are many managed local reserves </w:t>
            </w:r>
            <w:r w:rsidR="00DF7E7A">
              <w:t xml:space="preserve">that </w:t>
            </w:r>
            <w:r>
              <w:t>identified because they have natural heritage significance</w:t>
            </w:r>
            <w:r w:rsidR="00C05BDE">
              <w:t>. S</w:t>
            </w:r>
            <w:r>
              <w:t xml:space="preserve">ome buildings are protected and </w:t>
            </w:r>
            <w:r w:rsidR="00DF7E7A">
              <w:t>some</w:t>
            </w:r>
            <w:r>
              <w:t xml:space="preserve"> Indigenous places </w:t>
            </w:r>
            <w:r w:rsidR="00DF7E7A">
              <w:t xml:space="preserve">are </w:t>
            </w:r>
            <w:r>
              <w:t>managed by local g</w:t>
            </w:r>
            <w:r w:rsidR="00361742">
              <w:t xml:space="preserve">overnments. Generally, </w:t>
            </w:r>
            <w:r>
              <w:t>Indigenous heritage is not protected at the local government level.</w:t>
            </w:r>
          </w:p>
          <w:p w14:paraId="4AA8B540" w14:textId="7C54E200" w:rsidR="006350E9" w:rsidRPr="00936A8C" w:rsidRDefault="006350E9" w:rsidP="00901470">
            <w:pPr>
              <w:pStyle w:val="Box"/>
            </w:pPr>
            <w:r w:rsidRPr="00F7049D">
              <w:rPr>
                <w:b/>
              </w:rPr>
              <w:t>Non-statutory heritage lists</w:t>
            </w:r>
            <w:r>
              <w:t xml:space="preserve"> are recorded by non-government organisations including the National Trust of Australia, the Institution of Engineers and the Royal Australian Institute of Architects. Despite </w:t>
            </w:r>
            <w:r w:rsidR="00BD546F">
              <w:t xml:space="preserve">having </w:t>
            </w:r>
            <w:r w:rsidR="00600552">
              <w:t>no</w:t>
            </w:r>
            <w:r>
              <w:t xml:space="preserve"> statutory </w:t>
            </w:r>
            <w:r w:rsidR="00840BC1">
              <w:t>basis</w:t>
            </w:r>
            <w:r w:rsidR="00BD546F">
              <w:t>,</w:t>
            </w:r>
            <w:r>
              <w:t xml:space="preserve"> they can be used in decision-making processes.</w:t>
            </w:r>
          </w:p>
        </w:tc>
      </w:tr>
      <w:tr w:rsidR="004F5FE4" w14:paraId="29E0AD72" w14:textId="77777777" w:rsidTr="00494C53">
        <w:trPr>
          <w:cantSplit/>
        </w:trPr>
        <w:tc>
          <w:tcPr>
            <w:tcW w:w="8771" w:type="dxa"/>
            <w:tcBorders>
              <w:top w:val="nil"/>
              <w:left w:val="single" w:sz="6" w:space="0" w:color="auto"/>
              <w:bottom w:val="nil"/>
              <w:right w:val="single" w:sz="6" w:space="0" w:color="auto"/>
            </w:tcBorders>
          </w:tcPr>
          <w:p w14:paraId="2918722B" w14:textId="5F2BB1FD" w:rsidR="004F5FE4" w:rsidRDefault="004F5FE4" w:rsidP="00F578EF">
            <w:pPr>
              <w:pStyle w:val="BoxSource"/>
            </w:pPr>
            <w:r>
              <w:rPr>
                <w:i/>
              </w:rPr>
              <w:t>Source</w:t>
            </w:r>
            <w:r w:rsidR="002B321E" w:rsidRPr="00167F06">
              <w:t>:</w:t>
            </w:r>
            <w:r w:rsidR="002B321E">
              <w:t> </w:t>
            </w:r>
            <w:r w:rsidR="00F578EF" w:rsidRPr="00763B85">
              <w:t>State of the</w:t>
            </w:r>
            <w:r w:rsidR="00F578EF">
              <w:t xml:space="preserve"> Environment 2011 Committee</w:t>
            </w:r>
            <w:r w:rsidR="002B321E">
              <w:t> (2011, </w:t>
            </w:r>
            <w:r>
              <w:t>pp. 697</w:t>
            </w:r>
            <w:r w:rsidR="00504C8F">
              <w:t>–</w:t>
            </w:r>
            <w:r>
              <w:t>699</w:t>
            </w:r>
            <w:r w:rsidR="002B321E">
              <w:t>).</w:t>
            </w:r>
          </w:p>
        </w:tc>
      </w:tr>
      <w:tr w:rsidR="004F5FE4" w14:paraId="36D6E239" w14:textId="77777777" w:rsidTr="00494C53">
        <w:trPr>
          <w:cantSplit/>
        </w:trPr>
        <w:tc>
          <w:tcPr>
            <w:tcW w:w="8771" w:type="dxa"/>
            <w:tcBorders>
              <w:top w:val="nil"/>
              <w:left w:val="single" w:sz="6" w:space="0" w:color="auto"/>
              <w:bottom w:val="single" w:sz="6" w:space="0" w:color="auto"/>
              <w:right w:val="single" w:sz="6" w:space="0" w:color="auto"/>
            </w:tcBorders>
          </w:tcPr>
          <w:p w14:paraId="2B6AAF61" w14:textId="77777777" w:rsidR="004F5FE4" w:rsidRDefault="004F5FE4" w:rsidP="00494C53">
            <w:pPr>
              <w:pStyle w:val="Box"/>
              <w:spacing w:before="0" w:line="120" w:lineRule="exact"/>
            </w:pPr>
          </w:p>
        </w:tc>
      </w:tr>
      <w:tr w:rsidR="004F5FE4" w:rsidRPr="000863A5" w14:paraId="6E50E98C" w14:textId="77777777" w:rsidTr="00494C53">
        <w:tc>
          <w:tcPr>
            <w:tcW w:w="8771" w:type="dxa"/>
            <w:tcBorders>
              <w:top w:val="nil"/>
              <w:left w:val="nil"/>
              <w:bottom w:val="nil"/>
              <w:right w:val="nil"/>
            </w:tcBorders>
          </w:tcPr>
          <w:p w14:paraId="6CB17135" w14:textId="7FEEE669" w:rsidR="004F5FE4" w:rsidRPr="00626D32" w:rsidRDefault="004F5FE4" w:rsidP="00494C53">
            <w:pPr>
              <w:pStyle w:val="BoxSpaceBelow"/>
            </w:pPr>
          </w:p>
        </w:tc>
      </w:tr>
    </w:tbl>
    <w:p w14:paraId="68AE1745" w14:textId="18FA1E85" w:rsidR="00477AEB" w:rsidRDefault="00477AEB" w:rsidP="00EC290F">
      <w:pPr>
        <w:pStyle w:val="BodyText"/>
        <w:rPr>
          <w:lang w:val="en"/>
        </w:rPr>
      </w:pPr>
      <w:r>
        <w:lastRenderedPageBreak/>
        <w:t>Indigenous Australians can also</w:t>
      </w:r>
      <w:r w:rsidR="00306413">
        <w:t xml:space="preserve"> obtain </w:t>
      </w:r>
      <w:r>
        <w:t>protect</w:t>
      </w:r>
      <w:r w:rsidR="00306413">
        <w:t xml:space="preserve">ion for </w:t>
      </w:r>
      <w:r>
        <w:t xml:space="preserve">heritage through registered Indigenous land use agreements under the </w:t>
      </w:r>
      <w:r w:rsidRPr="00477AEB">
        <w:rPr>
          <w:i/>
        </w:rPr>
        <w:t>Native Title Act 1993</w:t>
      </w:r>
      <w:r>
        <w:t xml:space="preserve"> and under land rights legislation in each state and territory. </w:t>
      </w:r>
      <w:r w:rsidR="002D381F">
        <w:t>The</w:t>
      </w:r>
      <w:r>
        <w:t xml:space="preserve"> </w:t>
      </w:r>
      <w:r w:rsidR="00B84614">
        <w:t>processes under native ti</w:t>
      </w:r>
      <w:r w:rsidR="008C0D80">
        <w:t>tle and Indigenous land rights A</w:t>
      </w:r>
      <w:r w:rsidR="00B84614">
        <w:t>cts</w:t>
      </w:r>
      <w:r w:rsidR="002D381F">
        <w:t>, however,</w:t>
      </w:r>
      <w:r w:rsidR="00B84614">
        <w:t xml:space="preserve"> are outside the terms of reference for this inquiry.</w:t>
      </w:r>
    </w:p>
    <w:p w14:paraId="79BFB3D7" w14:textId="6C1684A3" w:rsidR="00D82C7B" w:rsidRDefault="009A44B4" w:rsidP="00886598">
      <w:pPr>
        <w:pStyle w:val="Heading2"/>
        <w:tabs>
          <w:tab w:val="left" w:pos="720"/>
          <w:tab w:val="left" w:pos="1440"/>
          <w:tab w:val="left" w:pos="2160"/>
          <w:tab w:val="left" w:pos="2880"/>
          <w:tab w:val="left" w:pos="3600"/>
          <w:tab w:val="left" w:pos="4320"/>
          <w:tab w:val="left" w:pos="5040"/>
          <w:tab w:val="left" w:pos="5760"/>
          <w:tab w:val="left" w:pos="6810"/>
        </w:tabs>
      </w:pPr>
      <w:r>
        <w:t>5.</w:t>
      </w:r>
      <w:r>
        <w:rPr>
          <w:noProof/>
        </w:rPr>
        <w:t>2</w:t>
      </w:r>
      <w:r w:rsidR="00D82C7B">
        <w:tab/>
        <w:t>Indigenous heritage requirements</w:t>
      </w:r>
      <w:r w:rsidR="008D3068">
        <w:t xml:space="preserve"> and processes</w:t>
      </w:r>
    </w:p>
    <w:p w14:paraId="55960DC3" w14:textId="4D18785B" w:rsidR="00901470" w:rsidRDefault="00115BE7" w:rsidP="00180BE8">
      <w:pPr>
        <w:pStyle w:val="BodyText"/>
      </w:pPr>
      <w:r>
        <w:t xml:space="preserve">While all states and territories </w:t>
      </w:r>
      <w:r w:rsidR="00A40DD4">
        <w:t xml:space="preserve">have enacted legislation to </w:t>
      </w:r>
      <w:r>
        <w:t xml:space="preserve">protect </w:t>
      </w:r>
      <w:r w:rsidR="00A40DD4">
        <w:t xml:space="preserve">Indigenous </w:t>
      </w:r>
      <w:r w:rsidR="00475A0B">
        <w:rPr>
          <w:lang w:val="en"/>
        </w:rPr>
        <w:t>heritage sites and objects</w:t>
      </w:r>
      <w:r w:rsidR="00901470">
        <w:rPr>
          <w:lang w:val="en"/>
        </w:rPr>
        <w:t>,</w:t>
      </w:r>
      <w:r w:rsidR="00475A0B">
        <w:rPr>
          <w:lang w:val="en"/>
        </w:rPr>
        <w:t xml:space="preserve"> </w:t>
      </w:r>
      <w:r w:rsidR="00E860D8">
        <w:t>there is substantial</w:t>
      </w:r>
      <w:r w:rsidR="00AC27A2">
        <w:t xml:space="preserve"> variation in </w:t>
      </w:r>
      <w:r w:rsidR="00DF3B1C">
        <w:t>how Indigenous heritage is defined</w:t>
      </w:r>
      <w:r w:rsidR="00AC27A2">
        <w:t xml:space="preserve">, how it is protected and who decides </w:t>
      </w:r>
      <w:r w:rsidR="00A50B42">
        <w:t xml:space="preserve">whether </w:t>
      </w:r>
      <w:r w:rsidR="00C05BDE">
        <w:t xml:space="preserve">an </w:t>
      </w:r>
      <w:r w:rsidR="00AC27A2">
        <w:t xml:space="preserve">activity can go ahead if harm to an Indigenous heritage site cannot </w:t>
      </w:r>
      <w:r w:rsidR="00B47D12">
        <w:t xml:space="preserve">otherwise </w:t>
      </w:r>
      <w:r w:rsidR="00AC27A2">
        <w:t xml:space="preserve">be avoided. </w:t>
      </w:r>
    </w:p>
    <w:p w14:paraId="5A3625D4" w14:textId="2A604F92" w:rsidR="00180BE8" w:rsidRDefault="00901470" w:rsidP="00180BE8">
      <w:pPr>
        <w:pStyle w:val="BodyText"/>
      </w:pPr>
      <w:r>
        <w:t xml:space="preserve">There are penalties for unauthorised damage or destruction of Indigenous heritage. </w:t>
      </w:r>
      <w:r w:rsidR="00DF3B1C" w:rsidRPr="00DF3B1C">
        <w:t>In order to avoid prosecution, explorers need to identify whether the area for the proposed activity has heritage significance and, if so, what the appropriate management options are in the relevant jurisdiction.</w:t>
      </w:r>
      <w:r w:rsidR="00D17524">
        <w:t xml:space="preserve"> </w:t>
      </w:r>
      <w:r w:rsidR="00180BE8">
        <w:t>Table</w:t>
      </w:r>
      <w:r w:rsidR="00504C8F">
        <w:t> </w:t>
      </w:r>
      <w:r w:rsidR="008C319F">
        <w:t>5</w:t>
      </w:r>
      <w:r w:rsidR="00180BE8">
        <w:t xml:space="preserve">.2 provides a snapshot of Indigenous heritage </w:t>
      </w:r>
      <w:r w:rsidR="001C37A8">
        <w:t>requirement</w:t>
      </w:r>
      <w:r w:rsidR="00180BE8">
        <w:t>s for exploration in each state and territory.</w:t>
      </w:r>
    </w:p>
    <w:p w14:paraId="6A561313" w14:textId="77777777" w:rsidR="00180BE8" w:rsidRDefault="00115BE7" w:rsidP="00115BE7">
      <w:pPr>
        <w:pStyle w:val="Heading3"/>
      </w:pPr>
      <w:r>
        <w:t>What is protected?</w:t>
      </w:r>
    </w:p>
    <w:p w14:paraId="6C1727EF" w14:textId="299FE08E" w:rsidR="002E7DAB" w:rsidRDefault="00743EE0" w:rsidP="00391388">
      <w:pPr>
        <w:pStyle w:val="BodyText"/>
        <w:rPr>
          <w:lang w:val="en"/>
        </w:rPr>
      </w:pPr>
      <w:r>
        <w:rPr>
          <w:lang w:val="en"/>
        </w:rPr>
        <w:t>T</w:t>
      </w:r>
      <w:r w:rsidR="00180BE8">
        <w:rPr>
          <w:lang w:val="en"/>
        </w:rPr>
        <w:t xml:space="preserve">he definition of </w:t>
      </w:r>
      <w:r w:rsidR="00D17524">
        <w:rPr>
          <w:lang w:val="en"/>
        </w:rPr>
        <w:t xml:space="preserve">protected </w:t>
      </w:r>
      <w:r w:rsidR="00475A0B">
        <w:rPr>
          <w:lang w:val="en"/>
        </w:rPr>
        <w:t xml:space="preserve">Indigenous heritage </w:t>
      </w:r>
      <w:r w:rsidR="00180BE8">
        <w:rPr>
          <w:lang w:val="en"/>
        </w:rPr>
        <w:t>varies between jurisdictions</w:t>
      </w:r>
      <w:r w:rsidR="00D66B91">
        <w:rPr>
          <w:lang w:val="en"/>
        </w:rPr>
        <w:t xml:space="preserve"> (</w:t>
      </w:r>
      <w:r w:rsidR="002B321E">
        <w:rPr>
          <w:lang w:val="en"/>
        </w:rPr>
        <w:t>table </w:t>
      </w:r>
      <w:r w:rsidR="008C319F">
        <w:rPr>
          <w:lang w:val="en"/>
        </w:rPr>
        <w:t>5</w:t>
      </w:r>
      <w:r w:rsidR="00D66B91">
        <w:rPr>
          <w:lang w:val="en"/>
        </w:rPr>
        <w:t>.2)</w:t>
      </w:r>
      <w:r w:rsidR="00180BE8">
        <w:rPr>
          <w:lang w:val="en"/>
        </w:rPr>
        <w:t>. For example, in South Australia protected Aboriginal heritage i</w:t>
      </w:r>
      <w:r w:rsidR="00B47D12">
        <w:rPr>
          <w:lang w:val="en"/>
        </w:rPr>
        <w:t xml:space="preserve">s broadly defined and includes </w:t>
      </w:r>
      <w:r w:rsidR="00180BE8">
        <w:rPr>
          <w:lang w:val="en"/>
        </w:rPr>
        <w:t>all Aboriginal sites, objects and remains in South Australia that are of sign</w:t>
      </w:r>
      <w:r w:rsidR="00B47D12">
        <w:rPr>
          <w:lang w:val="en"/>
        </w:rPr>
        <w:t xml:space="preserve">ificance to </w:t>
      </w:r>
      <w:r w:rsidR="00306413">
        <w:rPr>
          <w:lang w:val="en"/>
        </w:rPr>
        <w:t>Indigenous prehistory and tradition</w:t>
      </w:r>
      <w:r w:rsidR="00180BE8">
        <w:rPr>
          <w:lang w:val="en"/>
        </w:rPr>
        <w:t>, archaeology</w:t>
      </w:r>
      <w:r w:rsidR="00306413">
        <w:rPr>
          <w:lang w:val="en"/>
        </w:rPr>
        <w:t xml:space="preserve"> and</w:t>
      </w:r>
      <w:r w:rsidR="00180BE8">
        <w:rPr>
          <w:lang w:val="en"/>
        </w:rPr>
        <w:t xml:space="preserve"> anthropol</w:t>
      </w:r>
      <w:r w:rsidR="001E2CD5">
        <w:rPr>
          <w:lang w:val="en"/>
        </w:rPr>
        <w:t>o</w:t>
      </w:r>
      <w:r w:rsidR="00AB5E56">
        <w:rPr>
          <w:lang w:val="en"/>
        </w:rPr>
        <w:t>gy</w:t>
      </w:r>
      <w:r w:rsidR="00180BE8">
        <w:rPr>
          <w:lang w:val="en"/>
        </w:rPr>
        <w:t xml:space="preserve"> (</w:t>
      </w:r>
      <w:r w:rsidR="002B321E">
        <w:rPr>
          <w:lang w:val="en"/>
        </w:rPr>
        <w:t xml:space="preserve">SA </w:t>
      </w:r>
      <w:proofErr w:type="spellStart"/>
      <w:r w:rsidR="00180BE8">
        <w:rPr>
          <w:lang w:val="en"/>
        </w:rPr>
        <w:t>DPC</w:t>
      </w:r>
      <w:proofErr w:type="spellEnd"/>
      <w:r w:rsidR="00063619">
        <w:rPr>
          <w:lang w:val="en"/>
        </w:rPr>
        <w:t xml:space="preserve"> 2007)</w:t>
      </w:r>
      <w:r w:rsidR="00A66653">
        <w:rPr>
          <w:lang w:val="en"/>
        </w:rPr>
        <w:t>.</w:t>
      </w:r>
    </w:p>
    <w:p w14:paraId="3B3BA1AE" w14:textId="2FB0E6DD" w:rsidR="00391388" w:rsidRPr="00391388" w:rsidRDefault="00063619" w:rsidP="00391388">
      <w:pPr>
        <w:pStyle w:val="BodyText"/>
        <w:rPr>
          <w:lang w:val="en"/>
        </w:rPr>
      </w:pPr>
      <w:r>
        <w:rPr>
          <w:lang w:val="en"/>
        </w:rPr>
        <w:t>I</w:t>
      </w:r>
      <w:r w:rsidR="00180BE8">
        <w:rPr>
          <w:lang w:val="en"/>
        </w:rPr>
        <w:t>n New South Wales</w:t>
      </w:r>
      <w:r w:rsidR="00610821">
        <w:rPr>
          <w:lang w:val="en"/>
        </w:rPr>
        <w:t>,</w:t>
      </w:r>
      <w:r w:rsidR="00180BE8">
        <w:rPr>
          <w:lang w:val="en"/>
        </w:rPr>
        <w:t xml:space="preserve"> protected </w:t>
      </w:r>
      <w:r w:rsidR="00FB5AD2">
        <w:rPr>
          <w:lang w:val="en"/>
        </w:rPr>
        <w:t>Indigenous</w:t>
      </w:r>
      <w:r w:rsidR="00180BE8">
        <w:rPr>
          <w:lang w:val="en"/>
        </w:rPr>
        <w:t xml:space="preserve"> heritage is defined as all Aboriginal objects and </w:t>
      </w:r>
      <w:r w:rsidR="005A1FA6">
        <w:rPr>
          <w:lang w:val="en"/>
        </w:rPr>
        <w:t xml:space="preserve">declared </w:t>
      </w:r>
      <w:r w:rsidR="00180BE8">
        <w:rPr>
          <w:lang w:val="en"/>
        </w:rPr>
        <w:t>Aboriginal places</w:t>
      </w:r>
      <w:r w:rsidR="005A1FA6">
        <w:rPr>
          <w:lang w:val="en"/>
        </w:rPr>
        <w:t>.</w:t>
      </w:r>
      <w:r w:rsidR="00180BE8">
        <w:rPr>
          <w:lang w:val="en"/>
        </w:rPr>
        <w:t xml:space="preserve"> </w:t>
      </w:r>
      <w:r w:rsidR="002E7DAB">
        <w:rPr>
          <w:lang w:val="en"/>
        </w:rPr>
        <w:t xml:space="preserve">More specifically, </w:t>
      </w:r>
      <w:r w:rsidR="00391388" w:rsidRPr="00391388">
        <w:rPr>
          <w:lang w:val="en"/>
        </w:rPr>
        <w:t xml:space="preserve">Aboriginal objects are </w:t>
      </w:r>
      <w:r w:rsidR="002E7DAB">
        <w:rPr>
          <w:lang w:val="en"/>
        </w:rPr>
        <w:t xml:space="preserve">defined as </w:t>
      </w:r>
      <w:r w:rsidR="00391388" w:rsidRPr="00391388">
        <w:rPr>
          <w:lang w:val="en"/>
        </w:rPr>
        <w:t>physical evidence of the use o</w:t>
      </w:r>
      <w:r w:rsidR="002E7DAB">
        <w:rPr>
          <w:lang w:val="en"/>
        </w:rPr>
        <w:t>f an area by Aboriginal people</w:t>
      </w:r>
      <w:r w:rsidR="00391388" w:rsidRPr="00391388">
        <w:rPr>
          <w:lang w:val="en"/>
        </w:rPr>
        <w:t xml:space="preserve"> includ</w:t>
      </w:r>
      <w:r w:rsidR="002E7DAB">
        <w:rPr>
          <w:lang w:val="en"/>
        </w:rPr>
        <w:t>ing</w:t>
      </w:r>
      <w:r w:rsidR="00391388" w:rsidRPr="00391388">
        <w:rPr>
          <w:lang w:val="en"/>
        </w:rPr>
        <w:t>:</w:t>
      </w:r>
    </w:p>
    <w:p w14:paraId="79B662DB" w14:textId="2ECAFA89" w:rsidR="00391388" w:rsidRPr="00391388" w:rsidRDefault="00391388" w:rsidP="002E7DAB">
      <w:pPr>
        <w:pStyle w:val="ListBullet"/>
        <w:rPr>
          <w:lang w:val="en"/>
        </w:rPr>
      </w:pPr>
      <w:r w:rsidRPr="00391388">
        <w:rPr>
          <w:lang w:val="en"/>
        </w:rPr>
        <w:t>physical objects, such as stone tools, Aboriginal-built fences and stockyards, scarred trees and the remains of fringe camps</w:t>
      </w:r>
    </w:p>
    <w:p w14:paraId="64FB52CF" w14:textId="67D2E394" w:rsidR="00391388" w:rsidRPr="00391388" w:rsidRDefault="00391388" w:rsidP="002E7DAB">
      <w:pPr>
        <w:pStyle w:val="ListBullet"/>
        <w:rPr>
          <w:lang w:val="en"/>
        </w:rPr>
      </w:pPr>
      <w:r w:rsidRPr="00391388">
        <w:rPr>
          <w:lang w:val="en"/>
        </w:rPr>
        <w:t xml:space="preserve">material deposited on the land, such as </w:t>
      </w:r>
      <w:proofErr w:type="spellStart"/>
      <w:r w:rsidRPr="00391388">
        <w:rPr>
          <w:lang w:val="en"/>
        </w:rPr>
        <w:t>middens</w:t>
      </w:r>
      <w:proofErr w:type="spellEnd"/>
    </w:p>
    <w:p w14:paraId="18A4B494" w14:textId="0D0A7EFE" w:rsidR="00391388" w:rsidRDefault="00391388" w:rsidP="002E7DAB">
      <w:pPr>
        <w:pStyle w:val="ListBullet"/>
        <w:rPr>
          <w:lang w:val="en"/>
        </w:rPr>
      </w:pPr>
      <w:r w:rsidRPr="00391388">
        <w:rPr>
          <w:lang w:val="en"/>
        </w:rPr>
        <w:t>the ancestral remains of Aboriginal people</w:t>
      </w:r>
      <w:r w:rsidR="00224260">
        <w:rPr>
          <w:lang w:val="en"/>
        </w:rPr>
        <w:t>.</w:t>
      </w:r>
    </w:p>
    <w:p w14:paraId="169335DC" w14:textId="77777777" w:rsidR="00F239CE" w:rsidRDefault="00F239CE" w:rsidP="00AC7F43">
      <w:pPr>
        <w:pStyle w:val="BodyText"/>
      </w:pPr>
    </w:p>
    <w:p w14:paraId="09911B9A" w14:textId="77777777" w:rsidR="00292616" w:rsidRDefault="00292616" w:rsidP="008A3D26">
      <w:pPr>
        <w:pStyle w:val="BodyText"/>
        <w:spacing w:before="0"/>
        <w:sectPr w:rsidR="00292616" w:rsidSect="009A44B4">
          <w:headerReference w:type="even" r:id="rId9"/>
          <w:headerReference w:type="default" r:id="rId10"/>
          <w:footerReference w:type="even" r:id="rId11"/>
          <w:footerReference w:type="default" r:id="rId12"/>
          <w:headerReference w:type="first" r:id="rId13"/>
          <w:footerReference w:type="first" r:id="rId14"/>
          <w:pgSz w:w="11907" w:h="16840" w:code="9"/>
          <w:pgMar w:top="1985" w:right="1304" w:bottom="1418" w:left="1814" w:header="1701" w:footer="567" w:gutter="0"/>
          <w:pgNumType w:start="131" w:chapSep="period"/>
          <w:cols w:space="720"/>
        </w:sectPr>
      </w:pPr>
    </w:p>
    <w:p w14:paraId="1EDCA15D" w14:textId="195C8CEB" w:rsidR="004A032C" w:rsidRDefault="00051ADF" w:rsidP="002C5270">
      <w:pPr>
        <w:pStyle w:val="TableTitle"/>
        <w:spacing w:before="0" w:after="40" w:line="260" w:lineRule="exact"/>
        <w:ind w:left="0" w:firstLine="0"/>
      </w:pPr>
      <w:r w:rsidRPr="00C05C3D">
        <w:rPr>
          <w:b w:val="0"/>
        </w:rPr>
        <w:lastRenderedPageBreak/>
        <w:t xml:space="preserve">Table </w:t>
      </w:r>
      <w:r w:rsidR="009A44B4">
        <w:rPr>
          <w:b w:val="0"/>
        </w:rPr>
        <w:t>5.</w:t>
      </w:r>
      <w:r w:rsidR="009A44B4">
        <w:rPr>
          <w:b w:val="0"/>
          <w:noProof/>
        </w:rPr>
        <w:t>2</w:t>
      </w:r>
      <w:r>
        <w:tab/>
      </w:r>
      <w:r w:rsidR="004A032C">
        <w:t>A snapshot of Indigenous heritage approval systems for exploration</w:t>
      </w:r>
    </w:p>
    <w:tbl>
      <w:tblPr>
        <w:tblW w:w="5000" w:type="pct"/>
        <w:tblCellMar>
          <w:left w:w="0" w:type="dxa"/>
          <w:right w:w="0" w:type="dxa"/>
        </w:tblCellMar>
        <w:tblLook w:val="0000" w:firstRow="0" w:lastRow="0" w:firstColumn="0" w:lastColumn="0" w:noHBand="0" w:noVBand="0"/>
      </w:tblPr>
      <w:tblGrid>
        <w:gridCol w:w="1134"/>
        <w:gridCol w:w="2126"/>
        <w:gridCol w:w="3972"/>
        <w:gridCol w:w="2975"/>
        <w:gridCol w:w="3230"/>
      </w:tblGrid>
      <w:tr w:rsidR="004A032C" w:rsidRPr="00A36C06" w14:paraId="51870F58" w14:textId="77777777" w:rsidTr="00ED7904">
        <w:tc>
          <w:tcPr>
            <w:tcW w:w="422" w:type="pct"/>
            <w:tcBorders>
              <w:top w:val="single" w:sz="6" w:space="0" w:color="auto"/>
            </w:tcBorders>
            <w:shd w:val="clear" w:color="auto" w:fill="auto"/>
          </w:tcPr>
          <w:p w14:paraId="11272C07" w14:textId="77777777" w:rsidR="004A032C" w:rsidRPr="00A36C06" w:rsidRDefault="004A032C" w:rsidP="002F4896">
            <w:pPr>
              <w:pStyle w:val="TableColumnHeading"/>
              <w:jc w:val="left"/>
              <w:rPr>
                <w:sz w:val="18"/>
                <w:szCs w:val="18"/>
              </w:rPr>
            </w:pPr>
            <w:r w:rsidRPr="00A36C06">
              <w:rPr>
                <w:sz w:val="18"/>
                <w:szCs w:val="18"/>
              </w:rPr>
              <w:t>Jurisdiction</w:t>
            </w:r>
          </w:p>
        </w:tc>
        <w:tc>
          <w:tcPr>
            <w:tcW w:w="791" w:type="pct"/>
            <w:tcBorders>
              <w:top w:val="single" w:sz="6" w:space="0" w:color="auto"/>
            </w:tcBorders>
            <w:shd w:val="clear" w:color="auto" w:fill="auto"/>
          </w:tcPr>
          <w:p w14:paraId="26D0C7B6" w14:textId="77777777" w:rsidR="004A032C" w:rsidRPr="00A36C06" w:rsidRDefault="000E65F4" w:rsidP="000E65F4">
            <w:pPr>
              <w:pStyle w:val="TableColumnHeading"/>
              <w:jc w:val="center"/>
              <w:rPr>
                <w:sz w:val="18"/>
                <w:szCs w:val="18"/>
              </w:rPr>
            </w:pPr>
            <w:r>
              <w:rPr>
                <w:sz w:val="18"/>
                <w:szCs w:val="18"/>
              </w:rPr>
              <w:t>What</w:t>
            </w:r>
            <w:r w:rsidR="004A032C" w:rsidRPr="00A36C06">
              <w:rPr>
                <w:sz w:val="18"/>
                <w:szCs w:val="18"/>
              </w:rPr>
              <w:t xml:space="preserve"> is protected</w:t>
            </w:r>
          </w:p>
        </w:tc>
        <w:tc>
          <w:tcPr>
            <w:tcW w:w="1478" w:type="pct"/>
            <w:tcBorders>
              <w:top w:val="single" w:sz="6" w:space="0" w:color="auto"/>
            </w:tcBorders>
            <w:shd w:val="clear" w:color="auto" w:fill="auto"/>
          </w:tcPr>
          <w:p w14:paraId="328A4951" w14:textId="77777777" w:rsidR="004A032C" w:rsidRPr="00A36C06" w:rsidRDefault="00DB496B" w:rsidP="002F4896">
            <w:pPr>
              <w:pStyle w:val="TableColumnHeading"/>
              <w:jc w:val="center"/>
              <w:rPr>
                <w:sz w:val="18"/>
                <w:szCs w:val="18"/>
              </w:rPr>
            </w:pPr>
            <w:r>
              <w:rPr>
                <w:sz w:val="18"/>
                <w:szCs w:val="18"/>
              </w:rPr>
              <w:t xml:space="preserve">Heritage management </w:t>
            </w:r>
            <w:r w:rsidR="004A032C" w:rsidRPr="00A36C06">
              <w:rPr>
                <w:sz w:val="18"/>
                <w:szCs w:val="18"/>
              </w:rPr>
              <w:t>process</w:t>
            </w:r>
            <w:r w:rsidR="00354EAB">
              <w:rPr>
                <w:sz w:val="18"/>
                <w:szCs w:val="18"/>
              </w:rPr>
              <w:t xml:space="preserve"> for exploration</w:t>
            </w:r>
          </w:p>
        </w:tc>
        <w:tc>
          <w:tcPr>
            <w:tcW w:w="1107" w:type="pct"/>
            <w:tcBorders>
              <w:top w:val="single" w:sz="6" w:space="0" w:color="auto"/>
            </w:tcBorders>
            <w:shd w:val="clear" w:color="auto" w:fill="auto"/>
          </w:tcPr>
          <w:p w14:paraId="7E2B64BD" w14:textId="74E19011" w:rsidR="004A032C" w:rsidRPr="00A36C06" w:rsidRDefault="004A032C" w:rsidP="00225C4C">
            <w:pPr>
              <w:pStyle w:val="TableColumnHeading"/>
              <w:jc w:val="center"/>
              <w:rPr>
                <w:sz w:val="18"/>
                <w:szCs w:val="18"/>
              </w:rPr>
            </w:pPr>
            <w:r>
              <w:rPr>
                <w:sz w:val="18"/>
                <w:szCs w:val="18"/>
              </w:rPr>
              <w:t xml:space="preserve">Consultation </w:t>
            </w:r>
            <w:r w:rsidR="00225C4C">
              <w:rPr>
                <w:sz w:val="18"/>
                <w:szCs w:val="18"/>
              </w:rPr>
              <w:t>with</w:t>
            </w:r>
            <w:r w:rsidRPr="00A36C06">
              <w:rPr>
                <w:sz w:val="18"/>
                <w:szCs w:val="18"/>
              </w:rPr>
              <w:t xml:space="preserve"> Aboriginal parties</w:t>
            </w:r>
          </w:p>
        </w:tc>
        <w:tc>
          <w:tcPr>
            <w:tcW w:w="1202" w:type="pct"/>
            <w:tcBorders>
              <w:top w:val="single" w:sz="6" w:space="0" w:color="auto"/>
            </w:tcBorders>
            <w:shd w:val="clear" w:color="auto" w:fill="auto"/>
          </w:tcPr>
          <w:p w14:paraId="61C4AF54" w14:textId="77777777" w:rsidR="004A032C" w:rsidRPr="00A36C06" w:rsidRDefault="004A032C" w:rsidP="002F4896">
            <w:pPr>
              <w:pStyle w:val="TableColumnHeading"/>
              <w:jc w:val="center"/>
              <w:rPr>
                <w:sz w:val="18"/>
                <w:szCs w:val="18"/>
              </w:rPr>
            </w:pPr>
            <w:r w:rsidRPr="00A36C06">
              <w:rPr>
                <w:sz w:val="18"/>
                <w:szCs w:val="18"/>
              </w:rPr>
              <w:t>Decision making</w:t>
            </w:r>
          </w:p>
        </w:tc>
      </w:tr>
      <w:tr w:rsidR="004A032C" w:rsidRPr="00340F13" w14:paraId="608083BC" w14:textId="77777777" w:rsidTr="00ED7904">
        <w:tc>
          <w:tcPr>
            <w:tcW w:w="422" w:type="pct"/>
            <w:shd w:val="pct5" w:color="auto" w:fill="FFFFFF" w:themeFill="background1"/>
          </w:tcPr>
          <w:p w14:paraId="4564770A" w14:textId="77777777" w:rsidR="004A032C" w:rsidRPr="00844AD3" w:rsidRDefault="004A032C" w:rsidP="002F4896">
            <w:pPr>
              <w:pStyle w:val="TableBodyText"/>
              <w:jc w:val="left"/>
              <w:rPr>
                <w:sz w:val="18"/>
                <w:szCs w:val="18"/>
              </w:rPr>
            </w:pPr>
            <w:r w:rsidRPr="00844AD3">
              <w:rPr>
                <w:sz w:val="18"/>
                <w:szCs w:val="18"/>
              </w:rPr>
              <w:t>New South Wales</w:t>
            </w:r>
          </w:p>
        </w:tc>
        <w:tc>
          <w:tcPr>
            <w:tcW w:w="791" w:type="pct"/>
            <w:shd w:val="pct5" w:color="auto" w:fill="FFFFFF" w:themeFill="background1"/>
          </w:tcPr>
          <w:p w14:paraId="3A378CD4" w14:textId="36C994FA" w:rsidR="00356E63" w:rsidRDefault="00D36BB3" w:rsidP="00C15252">
            <w:pPr>
              <w:pStyle w:val="TableBodyText"/>
              <w:ind w:left="57"/>
              <w:jc w:val="left"/>
              <w:rPr>
                <w:sz w:val="18"/>
                <w:szCs w:val="18"/>
              </w:rPr>
            </w:pPr>
            <w:r>
              <w:rPr>
                <w:sz w:val="18"/>
                <w:szCs w:val="18"/>
              </w:rPr>
              <w:t xml:space="preserve">Aboriginal objects </w:t>
            </w:r>
            <w:r w:rsidR="00723F0D">
              <w:rPr>
                <w:sz w:val="18"/>
                <w:szCs w:val="18"/>
              </w:rPr>
              <w:t>and</w:t>
            </w:r>
          </w:p>
          <w:p w14:paraId="002284D3" w14:textId="34892394" w:rsidR="004A032C" w:rsidRPr="00340F13" w:rsidRDefault="00723F0D" w:rsidP="00C15252">
            <w:pPr>
              <w:pStyle w:val="TableBodyText"/>
              <w:ind w:left="57"/>
              <w:jc w:val="left"/>
              <w:rPr>
                <w:b/>
                <w:sz w:val="18"/>
                <w:szCs w:val="18"/>
              </w:rPr>
            </w:pPr>
            <w:r>
              <w:rPr>
                <w:sz w:val="18"/>
                <w:szCs w:val="18"/>
              </w:rPr>
              <w:t>d</w:t>
            </w:r>
            <w:r w:rsidR="00D36BB3">
              <w:rPr>
                <w:sz w:val="18"/>
                <w:szCs w:val="18"/>
              </w:rPr>
              <w:t xml:space="preserve">eclared </w:t>
            </w:r>
            <w:r w:rsidR="006111E0">
              <w:rPr>
                <w:sz w:val="18"/>
                <w:szCs w:val="18"/>
              </w:rPr>
              <w:t>‘</w:t>
            </w:r>
            <w:r w:rsidR="00D36BB3">
              <w:rPr>
                <w:sz w:val="18"/>
                <w:szCs w:val="18"/>
              </w:rPr>
              <w:t>Aboriginal places</w:t>
            </w:r>
            <w:r w:rsidR="006111E0">
              <w:rPr>
                <w:sz w:val="18"/>
                <w:szCs w:val="18"/>
              </w:rPr>
              <w:t>’</w:t>
            </w:r>
            <w:r w:rsidR="00D36BB3">
              <w:rPr>
                <w:sz w:val="18"/>
                <w:szCs w:val="18"/>
              </w:rPr>
              <w:t>.</w:t>
            </w:r>
          </w:p>
        </w:tc>
        <w:tc>
          <w:tcPr>
            <w:tcW w:w="1478" w:type="pct"/>
            <w:shd w:val="pct5" w:color="auto" w:fill="FFFFFF" w:themeFill="background1"/>
          </w:tcPr>
          <w:p w14:paraId="474E4408" w14:textId="77777777" w:rsidR="004A032C" w:rsidRPr="008F60A6" w:rsidRDefault="004A032C" w:rsidP="00C15252">
            <w:pPr>
              <w:pStyle w:val="TableBodyText"/>
              <w:ind w:left="57"/>
              <w:jc w:val="left"/>
              <w:rPr>
                <w:sz w:val="18"/>
                <w:szCs w:val="18"/>
              </w:rPr>
            </w:pPr>
            <w:r w:rsidRPr="008F60A6">
              <w:rPr>
                <w:sz w:val="18"/>
                <w:szCs w:val="18"/>
              </w:rPr>
              <w:t>Due diligence</w:t>
            </w:r>
            <w:r>
              <w:rPr>
                <w:sz w:val="18"/>
                <w:szCs w:val="18"/>
              </w:rPr>
              <w:t xml:space="preserve"> code of practice</w:t>
            </w:r>
            <w:r w:rsidRPr="008F60A6">
              <w:rPr>
                <w:sz w:val="18"/>
                <w:szCs w:val="18"/>
              </w:rPr>
              <w:t xml:space="preserve"> with penalties for non-compliance.</w:t>
            </w:r>
            <w:r w:rsidR="002C5270">
              <w:rPr>
                <w:sz w:val="18"/>
                <w:szCs w:val="18"/>
              </w:rPr>
              <w:t xml:space="preserve"> </w:t>
            </w:r>
            <w:r w:rsidRPr="008F60A6">
              <w:rPr>
                <w:sz w:val="18"/>
                <w:szCs w:val="18"/>
              </w:rPr>
              <w:t>Permits can be issued where harm to an Aboriginal object or place cannot be avoided.</w:t>
            </w:r>
          </w:p>
        </w:tc>
        <w:tc>
          <w:tcPr>
            <w:tcW w:w="1107" w:type="pct"/>
            <w:shd w:val="pct5" w:color="auto" w:fill="FFFFFF" w:themeFill="background1"/>
          </w:tcPr>
          <w:p w14:paraId="2094B549" w14:textId="1AF344BC" w:rsidR="004A032C" w:rsidRPr="008F60A6" w:rsidRDefault="008C61B4" w:rsidP="00C15252">
            <w:pPr>
              <w:pStyle w:val="TableBodyText"/>
              <w:ind w:left="113"/>
              <w:jc w:val="left"/>
              <w:rPr>
                <w:sz w:val="18"/>
                <w:szCs w:val="18"/>
              </w:rPr>
            </w:pPr>
            <w:r>
              <w:rPr>
                <w:sz w:val="18"/>
                <w:szCs w:val="18"/>
              </w:rPr>
              <w:t>C</w:t>
            </w:r>
            <w:r w:rsidR="004A032C" w:rsidRPr="008F60A6">
              <w:rPr>
                <w:sz w:val="18"/>
                <w:szCs w:val="18"/>
              </w:rPr>
              <w:t>onsultation with tradi</w:t>
            </w:r>
            <w:r w:rsidR="00F21231">
              <w:rPr>
                <w:sz w:val="18"/>
                <w:szCs w:val="18"/>
              </w:rPr>
              <w:t>tional owners, custodians</w:t>
            </w:r>
            <w:r w:rsidR="00E510A3">
              <w:rPr>
                <w:sz w:val="18"/>
                <w:szCs w:val="18"/>
              </w:rPr>
              <w:t xml:space="preserve"> and</w:t>
            </w:r>
            <w:r w:rsidR="004A032C" w:rsidRPr="008F60A6">
              <w:rPr>
                <w:sz w:val="18"/>
                <w:szCs w:val="18"/>
              </w:rPr>
              <w:t xml:space="preserve"> people </w:t>
            </w:r>
            <w:r w:rsidR="002C5270">
              <w:rPr>
                <w:sz w:val="18"/>
                <w:szCs w:val="18"/>
              </w:rPr>
              <w:t>with</w:t>
            </w:r>
            <w:r w:rsidR="004A032C" w:rsidRPr="008F60A6">
              <w:rPr>
                <w:sz w:val="18"/>
                <w:szCs w:val="18"/>
              </w:rPr>
              <w:t xml:space="preserve"> ties to a site.</w:t>
            </w:r>
          </w:p>
        </w:tc>
        <w:tc>
          <w:tcPr>
            <w:tcW w:w="1202" w:type="pct"/>
            <w:shd w:val="pct5" w:color="auto" w:fill="FFFFFF" w:themeFill="background1"/>
          </w:tcPr>
          <w:p w14:paraId="03FB733C" w14:textId="77777777" w:rsidR="004A032C" w:rsidRPr="00340F13" w:rsidRDefault="002C5270" w:rsidP="00C15252">
            <w:pPr>
              <w:pStyle w:val="TableBodyText"/>
              <w:ind w:left="113" w:right="0"/>
              <w:jc w:val="left"/>
              <w:rPr>
                <w:b/>
                <w:sz w:val="18"/>
                <w:szCs w:val="18"/>
              </w:rPr>
            </w:pPr>
            <w:r>
              <w:rPr>
                <w:sz w:val="18"/>
                <w:szCs w:val="18"/>
              </w:rPr>
              <w:t>Permit d</w:t>
            </w:r>
            <w:r w:rsidR="004A032C" w:rsidRPr="008F60A6">
              <w:rPr>
                <w:sz w:val="18"/>
                <w:szCs w:val="18"/>
              </w:rPr>
              <w:t xml:space="preserve">ecisions rest with the Director General </w:t>
            </w:r>
            <w:r w:rsidR="004A032C">
              <w:rPr>
                <w:sz w:val="18"/>
                <w:szCs w:val="18"/>
              </w:rPr>
              <w:t>of the NSW Office of Environment and Heritage</w:t>
            </w:r>
            <w:r w:rsidR="004A032C" w:rsidRPr="008F60A6">
              <w:rPr>
                <w:sz w:val="18"/>
                <w:szCs w:val="18"/>
              </w:rPr>
              <w:t>.</w:t>
            </w:r>
            <w:r>
              <w:rPr>
                <w:sz w:val="18"/>
                <w:szCs w:val="18"/>
              </w:rPr>
              <w:t xml:space="preserve"> </w:t>
            </w:r>
            <w:r w:rsidR="00A0635B">
              <w:rPr>
                <w:sz w:val="18"/>
                <w:szCs w:val="18"/>
              </w:rPr>
              <w:t>Appeals can be taken to the Land and Environment Court.</w:t>
            </w:r>
          </w:p>
        </w:tc>
      </w:tr>
      <w:tr w:rsidR="004A032C" w:rsidRPr="00A36C06" w14:paraId="3C25C87A" w14:textId="77777777" w:rsidTr="00ED7904">
        <w:tc>
          <w:tcPr>
            <w:tcW w:w="422" w:type="pct"/>
            <w:shd w:val="clear" w:color="auto" w:fill="FFFFFF" w:themeFill="background1"/>
          </w:tcPr>
          <w:p w14:paraId="3D4AB351" w14:textId="77777777" w:rsidR="004A032C" w:rsidRPr="00A36C06" w:rsidRDefault="004A032C" w:rsidP="002F4896">
            <w:pPr>
              <w:pStyle w:val="TableBodyText"/>
              <w:jc w:val="left"/>
              <w:rPr>
                <w:sz w:val="18"/>
                <w:szCs w:val="18"/>
              </w:rPr>
            </w:pPr>
            <w:r w:rsidRPr="00A36C06">
              <w:rPr>
                <w:sz w:val="18"/>
                <w:szCs w:val="18"/>
              </w:rPr>
              <w:t>Victoria</w:t>
            </w:r>
          </w:p>
        </w:tc>
        <w:tc>
          <w:tcPr>
            <w:tcW w:w="791" w:type="pct"/>
            <w:shd w:val="clear" w:color="auto" w:fill="FFFFFF" w:themeFill="background1"/>
          </w:tcPr>
          <w:p w14:paraId="75CDF31A" w14:textId="77777777" w:rsidR="004A032C" w:rsidRPr="00A36C06" w:rsidRDefault="00356E63" w:rsidP="00C15252">
            <w:pPr>
              <w:pStyle w:val="TableBodyText"/>
              <w:ind w:left="57"/>
              <w:jc w:val="left"/>
              <w:rPr>
                <w:sz w:val="18"/>
                <w:szCs w:val="18"/>
              </w:rPr>
            </w:pPr>
            <w:r>
              <w:rPr>
                <w:sz w:val="18"/>
                <w:szCs w:val="18"/>
              </w:rPr>
              <w:t>A</w:t>
            </w:r>
            <w:r w:rsidR="000E65F4">
              <w:rPr>
                <w:sz w:val="18"/>
                <w:szCs w:val="18"/>
              </w:rPr>
              <w:t xml:space="preserve">ll </w:t>
            </w:r>
            <w:r w:rsidR="004A032C" w:rsidRPr="00A36C06">
              <w:rPr>
                <w:sz w:val="18"/>
                <w:szCs w:val="18"/>
              </w:rPr>
              <w:t>Aboriginal places,</w:t>
            </w:r>
            <w:r w:rsidR="000E65F4">
              <w:rPr>
                <w:sz w:val="18"/>
                <w:szCs w:val="18"/>
              </w:rPr>
              <w:t xml:space="preserve"> </w:t>
            </w:r>
            <w:r w:rsidR="00C44897">
              <w:rPr>
                <w:sz w:val="18"/>
                <w:szCs w:val="18"/>
              </w:rPr>
              <w:t xml:space="preserve">Aboriginal </w:t>
            </w:r>
            <w:r w:rsidR="004A032C" w:rsidRPr="00A36C06">
              <w:rPr>
                <w:sz w:val="18"/>
                <w:szCs w:val="18"/>
              </w:rPr>
              <w:t xml:space="preserve">objects and </w:t>
            </w:r>
            <w:r w:rsidR="00C44897">
              <w:rPr>
                <w:sz w:val="18"/>
                <w:szCs w:val="18"/>
              </w:rPr>
              <w:t xml:space="preserve">Aboriginal </w:t>
            </w:r>
            <w:r w:rsidR="004A032C" w:rsidRPr="00A36C06">
              <w:rPr>
                <w:sz w:val="18"/>
                <w:szCs w:val="18"/>
              </w:rPr>
              <w:t>human remains.</w:t>
            </w:r>
          </w:p>
        </w:tc>
        <w:tc>
          <w:tcPr>
            <w:tcW w:w="1478" w:type="pct"/>
            <w:shd w:val="clear" w:color="auto" w:fill="FFFFFF" w:themeFill="background1"/>
          </w:tcPr>
          <w:p w14:paraId="78F433FD" w14:textId="7D2C5F54" w:rsidR="004A032C" w:rsidRPr="00A36C06" w:rsidRDefault="004A032C" w:rsidP="00434962">
            <w:pPr>
              <w:pStyle w:val="TableBodyText"/>
              <w:ind w:left="57"/>
              <w:jc w:val="left"/>
              <w:rPr>
                <w:sz w:val="18"/>
                <w:szCs w:val="18"/>
              </w:rPr>
            </w:pPr>
            <w:r w:rsidRPr="00A36C06">
              <w:rPr>
                <w:sz w:val="18"/>
                <w:szCs w:val="18"/>
              </w:rPr>
              <w:t>Cultura</w:t>
            </w:r>
            <w:r w:rsidR="00BA3A41">
              <w:rPr>
                <w:sz w:val="18"/>
                <w:szCs w:val="18"/>
              </w:rPr>
              <w:t xml:space="preserve">l Heritage </w:t>
            </w:r>
            <w:r w:rsidR="007606AD">
              <w:rPr>
                <w:sz w:val="18"/>
                <w:szCs w:val="18"/>
              </w:rPr>
              <w:t>M</w:t>
            </w:r>
            <w:r w:rsidR="00BA3A41">
              <w:rPr>
                <w:sz w:val="18"/>
                <w:szCs w:val="18"/>
              </w:rPr>
              <w:t xml:space="preserve">anagement Plans </w:t>
            </w:r>
            <w:r w:rsidRPr="00A36C06">
              <w:rPr>
                <w:sz w:val="18"/>
                <w:szCs w:val="18"/>
              </w:rPr>
              <w:t>required for ‘high impact’ exploration activities.</w:t>
            </w:r>
            <w:r w:rsidR="00BA3A41">
              <w:rPr>
                <w:sz w:val="18"/>
                <w:szCs w:val="18"/>
              </w:rPr>
              <w:t xml:space="preserve"> Cultural Heritage Permits </w:t>
            </w:r>
            <w:r w:rsidRPr="00A36C06">
              <w:rPr>
                <w:sz w:val="18"/>
                <w:szCs w:val="18"/>
              </w:rPr>
              <w:t>required for ‘low impact’ activities.</w:t>
            </w:r>
            <w:r w:rsidR="00BA3A41">
              <w:rPr>
                <w:sz w:val="18"/>
                <w:szCs w:val="18"/>
              </w:rPr>
              <w:t xml:space="preserve"> </w:t>
            </w:r>
            <w:r w:rsidRPr="00A36C06">
              <w:rPr>
                <w:sz w:val="18"/>
                <w:szCs w:val="18"/>
              </w:rPr>
              <w:t>When a heritage plan or permit is not required a volunt</w:t>
            </w:r>
            <w:r w:rsidR="00434962">
              <w:rPr>
                <w:sz w:val="18"/>
                <w:szCs w:val="18"/>
              </w:rPr>
              <w:t>ary Cultural Heritage Agreement</w:t>
            </w:r>
            <w:r w:rsidRPr="00A36C06">
              <w:rPr>
                <w:sz w:val="18"/>
                <w:szCs w:val="18"/>
              </w:rPr>
              <w:t xml:space="preserve"> between the explorer and </w:t>
            </w:r>
            <w:r w:rsidR="00A441CE">
              <w:rPr>
                <w:sz w:val="18"/>
                <w:szCs w:val="18"/>
              </w:rPr>
              <w:t>Aboriginal party(</w:t>
            </w:r>
            <w:proofErr w:type="spellStart"/>
            <w:r w:rsidR="00A441CE">
              <w:rPr>
                <w:sz w:val="18"/>
                <w:szCs w:val="18"/>
              </w:rPr>
              <w:t>ies</w:t>
            </w:r>
            <w:proofErr w:type="spellEnd"/>
            <w:r w:rsidR="00A441CE">
              <w:rPr>
                <w:sz w:val="18"/>
                <w:szCs w:val="18"/>
              </w:rPr>
              <w:t>)</w:t>
            </w:r>
            <w:r w:rsidRPr="00A36C06">
              <w:rPr>
                <w:sz w:val="18"/>
                <w:szCs w:val="18"/>
              </w:rPr>
              <w:t xml:space="preserve"> can be </w:t>
            </w:r>
            <w:r w:rsidR="00306413">
              <w:rPr>
                <w:sz w:val="18"/>
                <w:szCs w:val="18"/>
              </w:rPr>
              <w:t>c</w:t>
            </w:r>
            <w:r w:rsidR="00434962">
              <w:rPr>
                <w:sz w:val="18"/>
                <w:szCs w:val="18"/>
              </w:rPr>
              <w:t>reated</w:t>
            </w:r>
            <w:r w:rsidR="00306413">
              <w:rPr>
                <w:sz w:val="18"/>
                <w:szCs w:val="18"/>
              </w:rPr>
              <w:t>.</w:t>
            </w:r>
          </w:p>
        </w:tc>
        <w:tc>
          <w:tcPr>
            <w:tcW w:w="1107" w:type="pct"/>
            <w:shd w:val="clear" w:color="auto" w:fill="FFFFFF" w:themeFill="background1"/>
          </w:tcPr>
          <w:p w14:paraId="4B7B6161" w14:textId="77777777" w:rsidR="004A032C" w:rsidRPr="00A36C06" w:rsidRDefault="004A032C" w:rsidP="00C15252">
            <w:pPr>
              <w:pStyle w:val="TableBodyText"/>
              <w:ind w:left="113"/>
              <w:jc w:val="left"/>
              <w:rPr>
                <w:sz w:val="18"/>
                <w:szCs w:val="18"/>
              </w:rPr>
            </w:pPr>
            <w:r w:rsidRPr="00A36C06">
              <w:rPr>
                <w:sz w:val="18"/>
                <w:szCs w:val="18"/>
              </w:rPr>
              <w:t>Traditional owners or people with historical attachment to an area may be recognised as Registered Aboriginal Parties.</w:t>
            </w:r>
          </w:p>
        </w:tc>
        <w:tc>
          <w:tcPr>
            <w:tcW w:w="1202" w:type="pct"/>
            <w:shd w:val="clear" w:color="auto" w:fill="FFFFFF" w:themeFill="background1"/>
          </w:tcPr>
          <w:p w14:paraId="57539270" w14:textId="6E410A81" w:rsidR="004A032C" w:rsidRPr="00A36C06" w:rsidRDefault="00BA3A41" w:rsidP="00C15252">
            <w:pPr>
              <w:pStyle w:val="TableBodyText"/>
              <w:ind w:left="113" w:right="0"/>
              <w:jc w:val="left"/>
              <w:rPr>
                <w:sz w:val="18"/>
                <w:szCs w:val="18"/>
              </w:rPr>
            </w:pPr>
            <w:r>
              <w:rPr>
                <w:sz w:val="18"/>
                <w:szCs w:val="18"/>
              </w:rPr>
              <w:t>Permits &amp;</w:t>
            </w:r>
            <w:r w:rsidR="004A032C" w:rsidRPr="00A36C06">
              <w:rPr>
                <w:sz w:val="18"/>
                <w:szCs w:val="18"/>
              </w:rPr>
              <w:t xml:space="preserve"> plan</w:t>
            </w:r>
            <w:r>
              <w:rPr>
                <w:sz w:val="18"/>
                <w:szCs w:val="18"/>
              </w:rPr>
              <w:t>s</w:t>
            </w:r>
            <w:r w:rsidR="004A032C" w:rsidRPr="00A36C06">
              <w:rPr>
                <w:sz w:val="18"/>
                <w:szCs w:val="18"/>
              </w:rPr>
              <w:t xml:space="preserve"> must be approved by the relevant Registered Aboriginal Party (RAP). Where no RAP exists, the Secretary of the Department of Planning and Community Development, or </w:t>
            </w:r>
            <w:r w:rsidR="004A032C" w:rsidRPr="00F21231">
              <w:rPr>
                <w:sz w:val="18"/>
                <w:szCs w:val="18"/>
              </w:rPr>
              <w:t>the Aboriginal Heritage Council, may approve the permit or plan</w:t>
            </w:r>
            <w:r w:rsidR="004A032C" w:rsidRPr="00A36C06">
              <w:rPr>
                <w:sz w:val="18"/>
                <w:szCs w:val="18"/>
              </w:rPr>
              <w:t>.</w:t>
            </w:r>
            <w:r w:rsidR="00F11440">
              <w:rPr>
                <w:sz w:val="18"/>
                <w:szCs w:val="18"/>
              </w:rPr>
              <w:t xml:space="preserve"> </w:t>
            </w:r>
            <w:r>
              <w:rPr>
                <w:sz w:val="18"/>
                <w:szCs w:val="18"/>
              </w:rPr>
              <w:t>Decisions</w:t>
            </w:r>
            <w:r w:rsidR="004A032C" w:rsidRPr="00A36C06">
              <w:rPr>
                <w:sz w:val="18"/>
                <w:szCs w:val="18"/>
              </w:rPr>
              <w:t xml:space="preserve"> may be appealed at the Victorian Civil and Administrative Tribunal.</w:t>
            </w:r>
          </w:p>
        </w:tc>
      </w:tr>
      <w:tr w:rsidR="004A032C" w:rsidRPr="00A36C06" w14:paraId="47DE8F67" w14:textId="77777777" w:rsidTr="00ED7904">
        <w:tc>
          <w:tcPr>
            <w:tcW w:w="422" w:type="pct"/>
            <w:shd w:val="pct5" w:color="auto" w:fill="FFFFFF" w:themeFill="background1"/>
          </w:tcPr>
          <w:p w14:paraId="1088B87B" w14:textId="77777777" w:rsidR="004A032C" w:rsidRPr="00A36C06" w:rsidRDefault="004A032C" w:rsidP="002F4896">
            <w:pPr>
              <w:pStyle w:val="TableBodyText"/>
              <w:jc w:val="left"/>
              <w:rPr>
                <w:sz w:val="18"/>
                <w:szCs w:val="18"/>
              </w:rPr>
            </w:pPr>
            <w:r w:rsidRPr="00A36C06">
              <w:rPr>
                <w:sz w:val="18"/>
                <w:szCs w:val="18"/>
              </w:rPr>
              <w:t>Queensland</w:t>
            </w:r>
          </w:p>
        </w:tc>
        <w:tc>
          <w:tcPr>
            <w:tcW w:w="791" w:type="pct"/>
            <w:shd w:val="pct5" w:color="auto" w:fill="FFFFFF" w:themeFill="background1"/>
          </w:tcPr>
          <w:p w14:paraId="6819F716" w14:textId="77777777" w:rsidR="004A032C" w:rsidRPr="00A36C06" w:rsidRDefault="00A6279B" w:rsidP="00C15252">
            <w:pPr>
              <w:pStyle w:val="TableBodyText"/>
              <w:ind w:left="57"/>
              <w:jc w:val="left"/>
              <w:rPr>
                <w:sz w:val="18"/>
                <w:szCs w:val="18"/>
              </w:rPr>
            </w:pPr>
            <w:r>
              <w:rPr>
                <w:sz w:val="18"/>
                <w:szCs w:val="18"/>
              </w:rPr>
              <w:t>Blanket protection for a</w:t>
            </w:r>
            <w:r w:rsidR="004A032C" w:rsidRPr="00A36C06">
              <w:rPr>
                <w:sz w:val="18"/>
                <w:szCs w:val="18"/>
              </w:rPr>
              <w:t>reas and objects of traditional, customary and archaeological significance.</w:t>
            </w:r>
          </w:p>
        </w:tc>
        <w:tc>
          <w:tcPr>
            <w:tcW w:w="1478" w:type="pct"/>
            <w:shd w:val="pct5" w:color="auto" w:fill="FFFFFF" w:themeFill="background1"/>
          </w:tcPr>
          <w:p w14:paraId="4728EDDE" w14:textId="2E0FBC87" w:rsidR="004A032C" w:rsidRPr="00A36C06" w:rsidRDefault="004A032C" w:rsidP="00ED7904">
            <w:pPr>
              <w:pStyle w:val="TableBodyText"/>
              <w:spacing w:after="0"/>
              <w:ind w:left="57"/>
              <w:jc w:val="left"/>
              <w:rPr>
                <w:sz w:val="18"/>
                <w:szCs w:val="18"/>
              </w:rPr>
            </w:pPr>
            <w:r w:rsidRPr="00A36C06">
              <w:rPr>
                <w:sz w:val="18"/>
                <w:szCs w:val="18"/>
              </w:rPr>
              <w:t>Mandatory for major developments</w:t>
            </w:r>
            <w:r w:rsidR="00504C8F">
              <w:rPr>
                <w:sz w:val="18"/>
                <w:szCs w:val="18"/>
              </w:rPr>
              <w:t xml:space="preserve"> </w:t>
            </w:r>
            <w:r w:rsidRPr="00A36C06">
              <w:rPr>
                <w:sz w:val="18"/>
                <w:szCs w:val="18"/>
              </w:rPr>
              <w:t>which have an Environmental Impact Statement</w:t>
            </w:r>
            <w:r w:rsidR="00F21231">
              <w:rPr>
                <w:sz w:val="18"/>
                <w:szCs w:val="18"/>
              </w:rPr>
              <w:t xml:space="preserve"> (</w:t>
            </w:r>
            <w:proofErr w:type="spellStart"/>
            <w:r w:rsidR="00F21231">
              <w:rPr>
                <w:sz w:val="18"/>
                <w:szCs w:val="18"/>
              </w:rPr>
              <w:t>EIS</w:t>
            </w:r>
            <w:proofErr w:type="spellEnd"/>
            <w:r w:rsidR="00F21231">
              <w:rPr>
                <w:sz w:val="18"/>
                <w:szCs w:val="18"/>
              </w:rPr>
              <w:t>)</w:t>
            </w:r>
            <w:r w:rsidRPr="00A36C06">
              <w:rPr>
                <w:sz w:val="18"/>
                <w:szCs w:val="18"/>
              </w:rPr>
              <w:t xml:space="preserve"> to carry out heritage assessments and Cultural Heritage Management Plans</w:t>
            </w:r>
            <w:r>
              <w:rPr>
                <w:sz w:val="18"/>
                <w:szCs w:val="18"/>
              </w:rPr>
              <w:t xml:space="preserve"> </w:t>
            </w:r>
            <w:r w:rsidRPr="00A36C06">
              <w:rPr>
                <w:sz w:val="18"/>
                <w:szCs w:val="18"/>
              </w:rPr>
              <w:t>(</w:t>
            </w:r>
            <w:proofErr w:type="spellStart"/>
            <w:r w:rsidRPr="00A36C06">
              <w:rPr>
                <w:sz w:val="18"/>
                <w:szCs w:val="18"/>
              </w:rPr>
              <w:t>CHMP</w:t>
            </w:r>
            <w:proofErr w:type="spellEnd"/>
            <w:r w:rsidRPr="00A36C06">
              <w:rPr>
                <w:sz w:val="18"/>
                <w:szCs w:val="18"/>
              </w:rPr>
              <w:t>).</w:t>
            </w:r>
            <w:r w:rsidR="00F21231">
              <w:rPr>
                <w:sz w:val="18"/>
                <w:szCs w:val="18"/>
              </w:rPr>
              <w:t xml:space="preserve"> </w:t>
            </w:r>
            <w:r w:rsidRPr="00A36C06">
              <w:rPr>
                <w:sz w:val="18"/>
                <w:szCs w:val="18"/>
              </w:rPr>
              <w:t xml:space="preserve">When an </w:t>
            </w:r>
            <w:proofErr w:type="spellStart"/>
            <w:r w:rsidR="00F21231">
              <w:rPr>
                <w:sz w:val="18"/>
                <w:szCs w:val="18"/>
              </w:rPr>
              <w:t>EIS</w:t>
            </w:r>
            <w:proofErr w:type="spellEnd"/>
            <w:r w:rsidRPr="00A36C06">
              <w:rPr>
                <w:sz w:val="18"/>
                <w:szCs w:val="18"/>
              </w:rPr>
              <w:t xml:space="preserve"> is not required </w:t>
            </w:r>
            <w:r w:rsidR="006F0C26">
              <w:rPr>
                <w:sz w:val="18"/>
                <w:szCs w:val="18"/>
              </w:rPr>
              <w:t>explorers</w:t>
            </w:r>
            <w:r w:rsidRPr="00A36C06">
              <w:rPr>
                <w:sz w:val="18"/>
                <w:szCs w:val="18"/>
              </w:rPr>
              <w:t xml:space="preserve"> can:</w:t>
            </w:r>
          </w:p>
          <w:p w14:paraId="083A468D" w14:textId="77777777" w:rsidR="004A032C" w:rsidRPr="00ED7904" w:rsidRDefault="004A032C" w:rsidP="00ED7904">
            <w:pPr>
              <w:pStyle w:val="TableBullet"/>
              <w:spacing w:after="0"/>
              <w:rPr>
                <w:sz w:val="18"/>
                <w:szCs w:val="18"/>
              </w:rPr>
            </w:pPr>
            <w:r w:rsidRPr="00ED7904">
              <w:rPr>
                <w:sz w:val="18"/>
                <w:szCs w:val="18"/>
              </w:rPr>
              <w:t>comply with gazetted duty of care guidelines</w:t>
            </w:r>
          </w:p>
          <w:p w14:paraId="3EB14E17" w14:textId="77777777" w:rsidR="004A032C" w:rsidRPr="00ED7904" w:rsidRDefault="004A032C" w:rsidP="00ED7904">
            <w:pPr>
              <w:pStyle w:val="TableBullet"/>
              <w:spacing w:after="0"/>
              <w:rPr>
                <w:sz w:val="18"/>
                <w:szCs w:val="18"/>
              </w:rPr>
            </w:pPr>
            <w:r w:rsidRPr="00ED7904">
              <w:rPr>
                <w:sz w:val="18"/>
                <w:szCs w:val="18"/>
              </w:rPr>
              <w:t xml:space="preserve">negotiate a voluntary </w:t>
            </w:r>
            <w:proofErr w:type="spellStart"/>
            <w:r w:rsidRPr="00ED7904">
              <w:rPr>
                <w:sz w:val="18"/>
                <w:szCs w:val="18"/>
              </w:rPr>
              <w:t>CHMP</w:t>
            </w:r>
            <w:proofErr w:type="spellEnd"/>
            <w:r w:rsidRPr="00ED7904">
              <w:rPr>
                <w:sz w:val="18"/>
                <w:szCs w:val="18"/>
              </w:rPr>
              <w:t xml:space="preserve"> (statutory process) with relevant Indigenous group</w:t>
            </w:r>
          </w:p>
          <w:p w14:paraId="330D8B0B" w14:textId="77777777" w:rsidR="004A032C" w:rsidRPr="00ED7904" w:rsidRDefault="004A032C" w:rsidP="00ED7904">
            <w:pPr>
              <w:pStyle w:val="TableBullet"/>
              <w:spacing w:after="0"/>
              <w:rPr>
                <w:sz w:val="18"/>
                <w:szCs w:val="18"/>
              </w:rPr>
            </w:pPr>
            <w:r w:rsidRPr="00ED7904">
              <w:rPr>
                <w:sz w:val="18"/>
                <w:szCs w:val="18"/>
              </w:rPr>
              <w:t xml:space="preserve">negotiate other cultural heritage agreement with relevant Indigenous party </w:t>
            </w:r>
          </w:p>
          <w:p w14:paraId="299BF1CD" w14:textId="4A6E2601" w:rsidR="004A032C" w:rsidRPr="00A36C06" w:rsidRDefault="004A032C" w:rsidP="00ED7904">
            <w:pPr>
              <w:pStyle w:val="TableBullet"/>
            </w:pPr>
            <w:r w:rsidRPr="00ED7904">
              <w:rPr>
                <w:sz w:val="18"/>
                <w:szCs w:val="18"/>
              </w:rPr>
              <w:t>proceed in complian</w:t>
            </w:r>
            <w:r w:rsidR="00C15252" w:rsidRPr="00ED7904">
              <w:rPr>
                <w:sz w:val="18"/>
                <w:szCs w:val="18"/>
              </w:rPr>
              <w:t>ce with native title protection conditions</w:t>
            </w:r>
            <w:r w:rsidRPr="00ED7904">
              <w:rPr>
                <w:sz w:val="18"/>
                <w:szCs w:val="18"/>
              </w:rPr>
              <w:t>.</w:t>
            </w:r>
          </w:p>
        </w:tc>
        <w:tc>
          <w:tcPr>
            <w:tcW w:w="1107" w:type="pct"/>
            <w:shd w:val="pct5" w:color="auto" w:fill="FFFFFF" w:themeFill="background1"/>
          </w:tcPr>
          <w:p w14:paraId="5E97FFEA" w14:textId="77777777" w:rsidR="004A032C" w:rsidRPr="00A36C06" w:rsidRDefault="004A032C" w:rsidP="00C15252">
            <w:pPr>
              <w:pStyle w:val="TableBodyText"/>
              <w:ind w:left="113"/>
              <w:jc w:val="left"/>
              <w:rPr>
                <w:sz w:val="18"/>
                <w:szCs w:val="18"/>
              </w:rPr>
            </w:pPr>
            <w:r>
              <w:rPr>
                <w:sz w:val="18"/>
                <w:szCs w:val="18"/>
              </w:rPr>
              <w:t>Aboriginal parties are identified v</w:t>
            </w:r>
            <w:r w:rsidRPr="00A36C06">
              <w:rPr>
                <w:sz w:val="18"/>
                <w:szCs w:val="18"/>
              </w:rPr>
              <w:t>ia the native title system — Registered Native Title Holders, then Claimants, then ‘failed claimants’ are identified and notified of proposed activities. If there is no native title party, Aboriginal people with a ‘particular knowledge’ can be identified.</w:t>
            </w:r>
            <w:r>
              <w:rPr>
                <w:sz w:val="18"/>
                <w:szCs w:val="18"/>
              </w:rPr>
              <w:t xml:space="preserve"> </w:t>
            </w:r>
          </w:p>
        </w:tc>
        <w:tc>
          <w:tcPr>
            <w:tcW w:w="1202" w:type="pct"/>
            <w:shd w:val="pct5" w:color="auto" w:fill="FFFFFF" w:themeFill="background1"/>
          </w:tcPr>
          <w:p w14:paraId="0841A7ED" w14:textId="77777777" w:rsidR="004A032C" w:rsidRPr="00A36C06" w:rsidRDefault="004A032C" w:rsidP="00C15252">
            <w:pPr>
              <w:pStyle w:val="TableBodyText"/>
              <w:ind w:left="113" w:right="0"/>
              <w:jc w:val="left"/>
              <w:rPr>
                <w:sz w:val="18"/>
                <w:szCs w:val="18"/>
              </w:rPr>
            </w:pPr>
            <w:r w:rsidRPr="00A36C06">
              <w:rPr>
                <w:sz w:val="18"/>
                <w:szCs w:val="18"/>
              </w:rPr>
              <w:t>Agreement-making with Indigenous groups is a key approach to meeting duty of care.</w:t>
            </w:r>
          </w:p>
          <w:p w14:paraId="59D3E27F" w14:textId="68FBAAAC" w:rsidR="004A032C" w:rsidRPr="00A36C06" w:rsidRDefault="004A032C" w:rsidP="00C15252">
            <w:pPr>
              <w:pStyle w:val="TableBodyText"/>
              <w:ind w:left="113" w:right="0"/>
              <w:jc w:val="left"/>
              <w:rPr>
                <w:sz w:val="18"/>
                <w:szCs w:val="18"/>
              </w:rPr>
            </w:pPr>
            <w:r w:rsidRPr="00A36C06">
              <w:rPr>
                <w:sz w:val="18"/>
                <w:szCs w:val="18"/>
              </w:rPr>
              <w:t xml:space="preserve">When agreement cannot be reached a proposed </w:t>
            </w:r>
            <w:proofErr w:type="spellStart"/>
            <w:r w:rsidRPr="00A36C06">
              <w:rPr>
                <w:sz w:val="18"/>
                <w:szCs w:val="18"/>
              </w:rPr>
              <w:t>CHMP</w:t>
            </w:r>
            <w:proofErr w:type="spellEnd"/>
            <w:r w:rsidRPr="00A36C06">
              <w:rPr>
                <w:sz w:val="18"/>
                <w:szCs w:val="18"/>
              </w:rPr>
              <w:t xml:space="preserve"> can </w:t>
            </w:r>
            <w:r w:rsidR="00BA3A41">
              <w:rPr>
                <w:sz w:val="18"/>
                <w:szCs w:val="18"/>
              </w:rPr>
              <w:t>be referred to the Land Court. T</w:t>
            </w:r>
            <w:r w:rsidRPr="00A36C06">
              <w:rPr>
                <w:sz w:val="18"/>
                <w:szCs w:val="18"/>
              </w:rPr>
              <w:t xml:space="preserve">he tribunal will make a recommendation to the </w:t>
            </w:r>
            <w:r w:rsidR="00697857">
              <w:rPr>
                <w:sz w:val="18"/>
                <w:szCs w:val="18"/>
              </w:rPr>
              <w:t>responsible Mi</w:t>
            </w:r>
            <w:r w:rsidRPr="00A36C06">
              <w:rPr>
                <w:sz w:val="18"/>
                <w:szCs w:val="18"/>
              </w:rPr>
              <w:t>nister</w:t>
            </w:r>
            <w:r w:rsidR="00504C8F">
              <w:rPr>
                <w:sz w:val="18"/>
                <w:szCs w:val="18"/>
              </w:rPr>
              <w:t xml:space="preserve"> </w:t>
            </w:r>
            <w:r w:rsidRPr="00A36C06">
              <w:rPr>
                <w:sz w:val="18"/>
                <w:szCs w:val="18"/>
              </w:rPr>
              <w:t>who makes the decision.</w:t>
            </w:r>
          </w:p>
          <w:p w14:paraId="30A51334" w14:textId="77777777" w:rsidR="004A032C" w:rsidRPr="00A36C06" w:rsidRDefault="004A032C" w:rsidP="00C15252">
            <w:pPr>
              <w:pStyle w:val="TableBodyText"/>
              <w:ind w:left="113" w:right="0"/>
              <w:jc w:val="left"/>
              <w:rPr>
                <w:sz w:val="18"/>
                <w:szCs w:val="18"/>
              </w:rPr>
            </w:pPr>
          </w:p>
        </w:tc>
      </w:tr>
      <w:tr w:rsidR="00EB6B67" w:rsidRPr="00A36C06" w14:paraId="37F7D304" w14:textId="77777777" w:rsidTr="00ED7904">
        <w:tc>
          <w:tcPr>
            <w:tcW w:w="422" w:type="pct"/>
            <w:tcBorders>
              <w:bottom w:val="single" w:sz="4" w:space="0" w:color="auto"/>
            </w:tcBorders>
            <w:shd w:val="clear" w:color="auto" w:fill="auto"/>
          </w:tcPr>
          <w:p w14:paraId="40303045" w14:textId="77777777" w:rsidR="002C5270" w:rsidRPr="00A36C06" w:rsidRDefault="002C5270" w:rsidP="005977E3">
            <w:pPr>
              <w:pStyle w:val="TableBodyText"/>
              <w:jc w:val="left"/>
              <w:rPr>
                <w:sz w:val="18"/>
                <w:szCs w:val="18"/>
              </w:rPr>
            </w:pPr>
            <w:r w:rsidRPr="00A36C06">
              <w:rPr>
                <w:sz w:val="18"/>
                <w:szCs w:val="18"/>
              </w:rPr>
              <w:t>Western Australia</w:t>
            </w:r>
          </w:p>
        </w:tc>
        <w:tc>
          <w:tcPr>
            <w:tcW w:w="791" w:type="pct"/>
            <w:tcBorders>
              <w:bottom w:val="single" w:sz="4" w:space="0" w:color="auto"/>
            </w:tcBorders>
            <w:shd w:val="clear" w:color="auto" w:fill="auto"/>
          </w:tcPr>
          <w:p w14:paraId="2B6C6831" w14:textId="04DDB700" w:rsidR="002C5270" w:rsidRPr="00A36C06" w:rsidRDefault="00610E6C" w:rsidP="00ED7904">
            <w:pPr>
              <w:pStyle w:val="TableBodyText"/>
              <w:ind w:left="57"/>
              <w:jc w:val="left"/>
              <w:rPr>
                <w:sz w:val="18"/>
                <w:szCs w:val="18"/>
                <w:lang w:val="en"/>
              </w:rPr>
            </w:pPr>
            <w:r>
              <w:rPr>
                <w:sz w:val="18"/>
                <w:szCs w:val="18"/>
                <w:lang w:val="en"/>
              </w:rPr>
              <w:t>A</w:t>
            </w:r>
            <w:r w:rsidRPr="00610E6C">
              <w:rPr>
                <w:sz w:val="18"/>
                <w:szCs w:val="18"/>
                <w:lang w:val="en"/>
              </w:rPr>
              <w:t>utomatic protectio</w:t>
            </w:r>
            <w:r>
              <w:rPr>
                <w:sz w:val="18"/>
                <w:szCs w:val="18"/>
                <w:lang w:val="en"/>
              </w:rPr>
              <w:t>n for all places and objects that a</w:t>
            </w:r>
            <w:r w:rsidRPr="00610E6C">
              <w:rPr>
                <w:sz w:val="18"/>
                <w:szCs w:val="18"/>
                <w:lang w:val="en"/>
              </w:rPr>
              <w:t>re important to Aboriginal people because o</w:t>
            </w:r>
            <w:r w:rsidR="00ED7904">
              <w:rPr>
                <w:sz w:val="18"/>
                <w:szCs w:val="18"/>
                <w:lang w:val="en"/>
              </w:rPr>
              <w:t>f connections to their culture.</w:t>
            </w:r>
          </w:p>
        </w:tc>
        <w:tc>
          <w:tcPr>
            <w:tcW w:w="1478" w:type="pct"/>
            <w:tcBorders>
              <w:bottom w:val="single" w:sz="4" w:space="0" w:color="auto"/>
            </w:tcBorders>
            <w:shd w:val="clear" w:color="auto" w:fill="auto"/>
          </w:tcPr>
          <w:p w14:paraId="78E5D872" w14:textId="111F44A2" w:rsidR="002C5270" w:rsidRPr="00A36C06" w:rsidRDefault="002C5270" w:rsidP="00C15252">
            <w:pPr>
              <w:pStyle w:val="TableBodyText"/>
              <w:ind w:left="57"/>
              <w:jc w:val="left"/>
              <w:rPr>
                <w:sz w:val="18"/>
                <w:szCs w:val="18"/>
              </w:rPr>
            </w:pPr>
            <w:r w:rsidRPr="00A36C06">
              <w:rPr>
                <w:sz w:val="18"/>
                <w:szCs w:val="18"/>
              </w:rPr>
              <w:t>Due</w:t>
            </w:r>
            <w:r w:rsidR="00ED7904">
              <w:rPr>
                <w:sz w:val="18"/>
                <w:szCs w:val="18"/>
              </w:rPr>
              <w:t xml:space="preserve"> diligence guidelines (</w:t>
            </w:r>
            <w:r w:rsidRPr="00A36C06">
              <w:rPr>
                <w:sz w:val="18"/>
                <w:szCs w:val="18"/>
              </w:rPr>
              <w:t>not statutory) may be used to identify activities which may impact on heri</w:t>
            </w:r>
            <w:r w:rsidR="006D0F19">
              <w:rPr>
                <w:sz w:val="18"/>
                <w:szCs w:val="18"/>
              </w:rPr>
              <w:t>tage and to assist in</w:t>
            </w:r>
            <w:r w:rsidRPr="00A36C06">
              <w:rPr>
                <w:sz w:val="18"/>
                <w:szCs w:val="18"/>
              </w:rPr>
              <w:t xml:space="preserve"> compl</w:t>
            </w:r>
            <w:r w:rsidR="006D0F19">
              <w:rPr>
                <w:sz w:val="18"/>
                <w:szCs w:val="18"/>
              </w:rPr>
              <w:t>iance</w:t>
            </w:r>
            <w:r w:rsidRPr="00A36C06">
              <w:rPr>
                <w:sz w:val="18"/>
                <w:szCs w:val="18"/>
              </w:rPr>
              <w:t xml:space="preserve"> with </w:t>
            </w:r>
            <w:r>
              <w:rPr>
                <w:sz w:val="18"/>
                <w:szCs w:val="18"/>
              </w:rPr>
              <w:t>legislation</w:t>
            </w:r>
            <w:r w:rsidRPr="00A36C06">
              <w:rPr>
                <w:sz w:val="18"/>
                <w:szCs w:val="18"/>
              </w:rPr>
              <w:t>.</w:t>
            </w:r>
            <w:r w:rsidR="006D0F19">
              <w:rPr>
                <w:sz w:val="18"/>
                <w:szCs w:val="18"/>
              </w:rPr>
              <w:t xml:space="preserve"> </w:t>
            </w:r>
            <w:r>
              <w:rPr>
                <w:sz w:val="18"/>
                <w:szCs w:val="18"/>
              </w:rPr>
              <w:t>Consent from</w:t>
            </w:r>
            <w:r w:rsidRPr="00A36C06">
              <w:rPr>
                <w:sz w:val="18"/>
                <w:szCs w:val="18"/>
              </w:rPr>
              <w:t xml:space="preserve"> the </w:t>
            </w:r>
            <w:r w:rsidR="006D0F19">
              <w:rPr>
                <w:sz w:val="18"/>
                <w:szCs w:val="18"/>
              </w:rPr>
              <w:t>Minister for Aboriginal Affairs is required to harm</w:t>
            </w:r>
            <w:r w:rsidRPr="00A36C06">
              <w:rPr>
                <w:sz w:val="18"/>
                <w:szCs w:val="18"/>
              </w:rPr>
              <w:t xml:space="preserve"> any </w:t>
            </w:r>
            <w:r w:rsidR="00504C8F">
              <w:rPr>
                <w:sz w:val="18"/>
                <w:szCs w:val="18"/>
              </w:rPr>
              <w:t>‘</w:t>
            </w:r>
            <w:r w:rsidRPr="00A36C06">
              <w:rPr>
                <w:sz w:val="18"/>
                <w:szCs w:val="18"/>
              </w:rPr>
              <w:t>Aborigina</w:t>
            </w:r>
            <w:r>
              <w:rPr>
                <w:sz w:val="18"/>
                <w:szCs w:val="18"/>
              </w:rPr>
              <w:t>l site</w:t>
            </w:r>
            <w:r w:rsidR="00504C8F">
              <w:rPr>
                <w:sz w:val="18"/>
                <w:szCs w:val="18"/>
              </w:rPr>
              <w:t>’</w:t>
            </w:r>
            <w:r>
              <w:rPr>
                <w:sz w:val="18"/>
                <w:szCs w:val="18"/>
              </w:rPr>
              <w:t xml:space="preserve">. </w:t>
            </w:r>
            <w:r w:rsidRPr="00A36C06">
              <w:rPr>
                <w:sz w:val="18"/>
                <w:szCs w:val="18"/>
              </w:rPr>
              <w:t>An application for consent requires an Aboriginal Heritage Survey report.</w:t>
            </w:r>
          </w:p>
          <w:p w14:paraId="24AD738B" w14:textId="77777777" w:rsidR="002C5270" w:rsidRPr="00A36C06" w:rsidRDefault="002C5270" w:rsidP="00C15252">
            <w:pPr>
              <w:pStyle w:val="TableBodyText"/>
              <w:ind w:left="57"/>
              <w:jc w:val="left"/>
              <w:rPr>
                <w:sz w:val="18"/>
                <w:szCs w:val="18"/>
                <w:lang w:val="en"/>
              </w:rPr>
            </w:pPr>
          </w:p>
        </w:tc>
        <w:tc>
          <w:tcPr>
            <w:tcW w:w="1107" w:type="pct"/>
            <w:tcBorders>
              <w:bottom w:val="single" w:sz="4" w:space="0" w:color="auto"/>
            </w:tcBorders>
            <w:shd w:val="clear" w:color="auto" w:fill="auto"/>
          </w:tcPr>
          <w:p w14:paraId="2D366527" w14:textId="0CC93971" w:rsidR="002C5270" w:rsidRPr="00A36C06" w:rsidRDefault="000B0653" w:rsidP="00C15252">
            <w:pPr>
              <w:pStyle w:val="TableBodyText"/>
              <w:ind w:left="113"/>
              <w:jc w:val="left"/>
              <w:rPr>
                <w:sz w:val="18"/>
                <w:szCs w:val="18"/>
                <w:lang w:val="en"/>
              </w:rPr>
            </w:pPr>
            <w:r>
              <w:rPr>
                <w:sz w:val="18"/>
                <w:szCs w:val="18"/>
              </w:rPr>
              <w:t>N</w:t>
            </w:r>
            <w:r w:rsidR="002C5270" w:rsidRPr="00A36C06">
              <w:rPr>
                <w:sz w:val="18"/>
                <w:szCs w:val="18"/>
              </w:rPr>
              <w:t xml:space="preserve">o definitive list </w:t>
            </w:r>
            <w:r w:rsidR="00C15252">
              <w:rPr>
                <w:sz w:val="18"/>
                <w:szCs w:val="18"/>
              </w:rPr>
              <w:t xml:space="preserve">for </w:t>
            </w:r>
            <w:r w:rsidR="002C5270">
              <w:rPr>
                <w:sz w:val="18"/>
                <w:szCs w:val="18"/>
              </w:rPr>
              <w:t>consult</w:t>
            </w:r>
            <w:r w:rsidR="00C15252">
              <w:rPr>
                <w:sz w:val="18"/>
                <w:szCs w:val="18"/>
              </w:rPr>
              <w:t>ation. T</w:t>
            </w:r>
            <w:r w:rsidR="002C5270" w:rsidRPr="00A36C06">
              <w:rPr>
                <w:sz w:val="18"/>
                <w:szCs w:val="18"/>
              </w:rPr>
              <w:t xml:space="preserve">he </w:t>
            </w:r>
            <w:r w:rsidR="002C5270" w:rsidRPr="00A36C06">
              <w:rPr>
                <w:sz w:val="18"/>
                <w:szCs w:val="18"/>
                <w:lang w:val="en"/>
              </w:rPr>
              <w:t>Aboriginal Cultural Material Committee</w:t>
            </w:r>
            <w:r w:rsidR="002C5270" w:rsidRPr="00A36C06">
              <w:rPr>
                <w:sz w:val="18"/>
                <w:szCs w:val="18"/>
              </w:rPr>
              <w:t xml:space="preserve"> suggests</w:t>
            </w:r>
            <w:r w:rsidR="002C5270">
              <w:rPr>
                <w:sz w:val="18"/>
                <w:szCs w:val="18"/>
              </w:rPr>
              <w:t>:</w:t>
            </w:r>
            <w:r>
              <w:rPr>
                <w:sz w:val="18"/>
                <w:szCs w:val="18"/>
              </w:rPr>
              <w:t xml:space="preserve"> </w:t>
            </w:r>
            <w:r w:rsidR="002C5270">
              <w:rPr>
                <w:sz w:val="18"/>
                <w:szCs w:val="18"/>
              </w:rPr>
              <w:t>d</w:t>
            </w:r>
            <w:r>
              <w:rPr>
                <w:sz w:val="18"/>
                <w:szCs w:val="18"/>
              </w:rPr>
              <w:t xml:space="preserve">etermined native title holders; </w:t>
            </w:r>
            <w:r w:rsidR="002C5270">
              <w:rPr>
                <w:sz w:val="18"/>
                <w:szCs w:val="18"/>
              </w:rPr>
              <w:t>r</w:t>
            </w:r>
            <w:r w:rsidR="002C5270" w:rsidRPr="00A36C06">
              <w:rPr>
                <w:sz w:val="18"/>
                <w:szCs w:val="18"/>
              </w:rPr>
              <w:t>e</w:t>
            </w:r>
            <w:r>
              <w:rPr>
                <w:sz w:val="18"/>
                <w:szCs w:val="18"/>
              </w:rPr>
              <w:t xml:space="preserve">gistered native title claimants; </w:t>
            </w:r>
            <w:r w:rsidR="002C5270">
              <w:rPr>
                <w:sz w:val="18"/>
                <w:szCs w:val="18"/>
              </w:rPr>
              <w:t>i</w:t>
            </w:r>
            <w:r w:rsidR="002C5270" w:rsidRPr="00A36C06">
              <w:rPr>
                <w:sz w:val="18"/>
                <w:szCs w:val="18"/>
              </w:rPr>
              <w:t>nformants record</w:t>
            </w:r>
            <w:r>
              <w:rPr>
                <w:sz w:val="18"/>
                <w:szCs w:val="18"/>
              </w:rPr>
              <w:t xml:space="preserve">ed on the </w:t>
            </w:r>
            <w:r w:rsidR="002C5270" w:rsidRPr="00A36C06">
              <w:rPr>
                <w:sz w:val="18"/>
                <w:szCs w:val="18"/>
              </w:rPr>
              <w:t>Register</w:t>
            </w:r>
            <w:r>
              <w:rPr>
                <w:sz w:val="18"/>
                <w:szCs w:val="18"/>
              </w:rPr>
              <w:t xml:space="preserve">; and </w:t>
            </w:r>
            <w:r w:rsidR="002C5270">
              <w:rPr>
                <w:sz w:val="18"/>
                <w:szCs w:val="18"/>
              </w:rPr>
              <w:t>o</w:t>
            </w:r>
            <w:r w:rsidR="002C5270" w:rsidRPr="00A36C06">
              <w:rPr>
                <w:sz w:val="18"/>
                <w:szCs w:val="18"/>
              </w:rPr>
              <w:t>ther Aboriginal persons who demonstrate relevant knowledge.</w:t>
            </w:r>
          </w:p>
        </w:tc>
        <w:tc>
          <w:tcPr>
            <w:tcW w:w="1202" w:type="pct"/>
            <w:tcBorders>
              <w:bottom w:val="single" w:sz="4" w:space="0" w:color="auto"/>
            </w:tcBorders>
            <w:shd w:val="clear" w:color="auto" w:fill="auto"/>
          </w:tcPr>
          <w:p w14:paraId="1AD351DA" w14:textId="77777777" w:rsidR="002C5270" w:rsidRPr="00A36C06" w:rsidRDefault="002C5270" w:rsidP="00C15252">
            <w:pPr>
              <w:pStyle w:val="TableBodyText"/>
              <w:ind w:left="113" w:right="0"/>
              <w:jc w:val="left"/>
              <w:rPr>
                <w:sz w:val="18"/>
                <w:szCs w:val="18"/>
              </w:rPr>
            </w:pPr>
            <w:r w:rsidRPr="00A36C06">
              <w:rPr>
                <w:sz w:val="18"/>
                <w:szCs w:val="18"/>
                <w:lang w:val="en"/>
              </w:rPr>
              <w:t>Decisions on the protection, disturbance or destruction of Aboriginal sites rest with the Minister for Indigenous Affairs after considering recommendations from the Aboriginal Cultural Material Committee.</w:t>
            </w:r>
          </w:p>
        </w:tc>
      </w:tr>
    </w:tbl>
    <w:p w14:paraId="39670A7C" w14:textId="079924BA" w:rsidR="004A032C" w:rsidRDefault="004A032C" w:rsidP="00F413EC">
      <w:pPr>
        <w:pStyle w:val="TableTitle"/>
        <w:spacing w:before="0" w:line="260" w:lineRule="exact"/>
      </w:pPr>
      <w:r>
        <w:rPr>
          <w:b w:val="0"/>
        </w:rPr>
        <w:lastRenderedPageBreak/>
        <w:t>Table</w:t>
      </w:r>
      <w:r w:rsidR="00E81021">
        <w:rPr>
          <w:b w:val="0"/>
        </w:rPr>
        <w:t xml:space="preserve"> </w:t>
      </w:r>
      <w:r w:rsidR="002A15E7">
        <w:rPr>
          <w:b w:val="0"/>
        </w:rPr>
        <w:t>5</w:t>
      </w:r>
      <w:r w:rsidR="00E81021">
        <w:rPr>
          <w:b w:val="0"/>
        </w:rPr>
        <w:t>.2</w:t>
      </w:r>
      <w:r>
        <w:tab/>
        <w:t>Continued</w:t>
      </w:r>
    </w:p>
    <w:tbl>
      <w:tblPr>
        <w:tblW w:w="5000" w:type="pct"/>
        <w:tblCellMar>
          <w:left w:w="0" w:type="dxa"/>
          <w:right w:w="0" w:type="dxa"/>
        </w:tblCellMar>
        <w:tblLook w:val="0000" w:firstRow="0" w:lastRow="0" w:firstColumn="0" w:lastColumn="0" w:noHBand="0" w:noVBand="0"/>
      </w:tblPr>
      <w:tblGrid>
        <w:gridCol w:w="1021"/>
        <w:gridCol w:w="2241"/>
        <w:gridCol w:w="3827"/>
        <w:gridCol w:w="3260"/>
        <w:gridCol w:w="3088"/>
      </w:tblGrid>
      <w:tr w:rsidR="004A032C" w:rsidRPr="00A36C06" w14:paraId="071E290F" w14:textId="77777777" w:rsidTr="006158EC">
        <w:trPr>
          <w:trHeight w:val="348"/>
        </w:trPr>
        <w:tc>
          <w:tcPr>
            <w:tcW w:w="380" w:type="pct"/>
            <w:tcBorders>
              <w:top w:val="single" w:sz="6" w:space="0" w:color="auto"/>
            </w:tcBorders>
            <w:shd w:val="clear" w:color="auto" w:fill="auto"/>
          </w:tcPr>
          <w:p w14:paraId="4109FC35" w14:textId="77777777" w:rsidR="004A032C" w:rsidRPr="00A36C06" w:rsidRDefault="004A032C" w:rsidP="002F4896">
            <w:pPr>
              <w:pStyle w:val="TableColumnHeading"/>
              <w:jc w:val="left"/>
              <w:rPr>
                <w:sz w:val="18"/>
                <w:szCs w:val="18"/>
              </w:rPr>
            </w:pPr>
            <w:r w:rsidRPr="00A36C06">
              <w:rPr>
                <w:sz w:val="18"/>
                <w:szCs w:val="18"/>
              </w:rPr>
              <w:t>Jurisdiction</w:t>
            </w:r>
          </w:p>
        </w:tc>
        <w:tc>
          <w:tcPr>
            <w:tcW w:w="834" w:type="pct"/>
            <w:tcBorders>
              <w:top w:val="single" w:sz="6" w:space="0" w:color="auto"/>
            </w:tcBorders>
            <w:shd w:val="clear" w:color="auto" w:fill="auto"/>
          </w:tcPr>
          <w:p w14:paraId="371D49D5" w14:textId="77777777" w:rsidR="004A032C" w:rsidRPr="00A36C06" w:rsidRDefault="0056102E" w:rsidP="0056102E">
            <w:pPr>
              <w:pStyle w:val="TableColumnHeading"/>
              <w:jc w:val="center"/>
              <w:rPr>
                <w:sz w:val="18"/>
                <w:szCs w:val="18"/>
              </w:rPr>
            </w:pPr>
            <w:r>
              <w:rPr>
                <w:sz w:val="18"/>
                <w:szCs w:val="18"/>
              </w:rPr>
              <w:t xml:space="preserve">What </w:t>
            </w:r>
            <w:r w:rsidR="004A032C" w:rsidRPr="00A36C06">
              <w:rPr>
                <w:sz w:val="18"/>
                <w:szCs w:val="18"/>
              </w:rPr>
              <w:t>is protected</w:t>
            </w:r>
            <w:r>
              <w:rPr>
                <w:sz w:val="18"/>
                <w:szCs w:val="18"/>
              </w:rPr>
              <w:t>?</w:t>
            </w:r>
          </w:p>
        </w:tc>
        <w:tc>
          <w:tcPr>
            <w:tcW w:w="1424" w:type="pct"/>
            <w:tcBorders>
              <w:top w:val="single" w:sz="6" w:space="0" w:color="auto"/>
            </w:tcBorders>
            <w:shd w:val="clear" w:color="auto" w:fill="auto"/>
          </w:tcPr>
          <w:p w14:paraId="79A63C47" w14:textId="77777777" w:rsidR="004A032C" w:rsidRPr="00A36C06" w:rsidRDefault="00DB496B" w:rsidP="002F4896">
            <w:pPr>
              <w:pStyle w:val="TableColumnHeading"/>
              <w:jc w:val="center"/>
              <w:rPr>
                <w:sz w:val="18"/>
                <w:szCs w:val="18"/>
              </w:rPr>
            </w:pPr>
            <w:r>
              <w:rPr>
                <w:sz w:val="18"/>
                <w:szCs w:val="18"/>
              </w:rPr>
              <w:t>Heritage management</w:t>
            </w:r>
            <w:r w:rsidR="004A032C" w:rsidRPr="00A36C06">
              <w:rPr>
                <w:sz w:val="18"/>
                <w:szCs w:val="18"/>
              </w:rPr>
              <w:t xml:space="preserve"> process</w:t>
            </w:r>
            <w:r w:rsidR="0032497B">
              <w:rPr>
                <w:sz w:val="18"/>
                <w:szCs w:val="18"/>
              </w:rPr>
              <w:t xml:space="preserve"> for exploration</w:t>
            </w:r>
          </w:p>
        </w:tc>
        <w:tc>
          <w:tcPr>
            <w:tcW w:w="1213" w:type="pct"/>
            <w:tcBorders>
              <w:top w:val="single" w:sz="6" w:space="0" w:color="auto"/>
            </w:tcBorders>
            <w:shd w:val="clear" w:color="auto" w:fill="auto"/>
          </w:tcPr>
          <w:p w14:paraId="79637011" w14:textId="14CC6174" w:rsidR="004A032C" w:rsidRPr="00A36C06" w:rsidRDefault="004A032C" w:rsidP="00225C4C">
            <w:pPr>
              <w:pStyle w:val="TableColumnHeading"/>
              <w:jc w:val="center"/>
              <w:rPr>
                <w:sz w:val="18"/>
                <w:szCs w:val="18"/>
              </w:rPr>
            </w:pPr>
            <w:r>
              <w:rPr>
                <w:sz w:val="18"/>
                <w:szCs w:val="18"/>
              </w:rPr>
              <w:t xml:space="preserve">Consultation </w:t>
            </w:r>
            <w:r w:rsidR="00225C4C">
              <w:rPr>
                <w:sz w:val="18"/>
                <w:szCs w:val="18"/>
              </w:rPr>
              <w:t>with</w:t>
            </w:r>
            <w:r w:rsidRPr="00A36C06">
              <w:rPr>
                <w:sz w:val="18"/>
                <w:szCs w:val="18"/>
              </w:rPr>
              <w:t xml:space="preserve"> Aboriginal parties</w:t>
            </w:r>
          </w:p>
        </w:tc>
        <w:tc>
          <w:tcPr>
            <w:tcW w:w="1149" w:type="pct"/>
            <w:tcBorders>
              <w:top w:val="single" w:sz="6" w:space="0" w:color="auto"/>
            </w:tcBorders>
            <w:shd w:val="clear" w:color="auto" w:fill="auto"/>
          </w:tcPr>
          <w:p w14:paraId="76CF3B2D" w14:textId="77777777" w:rsidR="004A032C" w:rsidRPr="00A36C06" w:rsidRDefault="004A032C" w:rsidP="002F4896">
            <w:pPr>
              <w:pStyle w:val="TableColumnHeading"/>
              <w:jc w:val="center"/>
              <w:rPr>
                <w:sz w:val="18"/>
                <w:szCs w:val="18"/>
              </w:rPr>
            </w:pPr>
            <w:r w:rsidRPr="00A36C06">
              <w:rPr>
                <w:sz w:val="18"/>
                <w:szCs w:val="18"/>
              </w:rPr>
              <w:t>Decision making</w:t>
            </w:r>
          </w:p>
        </w:tc>
      </w:tr>
      <w:tr w:rsidR="004A032C" w:rsidRPr="00A36C06" w14:paraId="5384FB83" w14:textId="77777777" w:rsidTr="006158EC">
        <w:tc>
          <w:tcPr>
            <w:tcW w:w="380" w:type="pct"/>
            <w:shd w:val="pct5" w:color="auto" w:fill="auto"/>
          </w:tcPr>
          <w:p w14:paraId="2B19D3BB" w14:textId="77777777" w:rsidR="004A032C" w:rsidRPr="00A36C06" w:rsidRDefault="004A032C" w:rsidP="002F4896">
            <w:pPr>
              <w:pStyle w:val="TableBodyText"/>
              <w:jc w:val="left"/>
              <w:rPr>
                <w:sz w:val="18"/>
                <w:szCs w:val="18"/>
              </w:rPr>
            </w:pPr>
            <w:r w:rsidRPr="00A36C06">
              <w:rPr>
                <w:sz w:val="18"/>
                <w:szCs w:val="18"/>
              </w:rPr>
              <w:t>South Australia</w:t>
            </w:r>
          </w:p>
        </w:tc>
        <w:tc>
          <w:tcPr>
            <w:tcW w:w="834" w:type="pct"/>
            <w:shd w:val="pct5" w:color="auto" w:fill="auto"/>
          </w:tcPr>
          <w:p w14:paraId="18DC7804" w14:textId="01A0A815" w:rsidR="004A032C" w:rsidRPr="00A36C06" w:rsidRDefault="0056102E" w:rsidP="00ED7904">
            <w:pPr>
              <w:pStyle w:val="TableBodyText"/>
              <w:ind w:left="57"/>
              <w:jc w:val="left"/>
              <w:rPr>
                <w:sz w:val="18"/>
                <w:szCs w:val="18"/>
                <w:lang w:val="en"/>
              </w:rPr>
            </w:pPr>
            <w:r>
              <w:rPr>
                <w:sz w:val="18"/>
                <w:szCs w:val="18"/>
              </w:rPr>
              <w:t>Blanket protection of</w:t>
            </w:r>
            <w:r w:rsidR="00504C8F">
              <w:rPr>
                <w:sz w:val="18"/>
                <w:szCs w:val="18"/>
              </w:rPr>
              <w:t xml:space="preserve"> </w:t>
            </w:r>
            <w:r w:rsidR="004A032C" w:rsidRPr="00A36C06">
              <w:rPr>
                <w:sz w:val="18"/>
                <w:szCs w:val="18"/>
              </w:rPr>
              <w:t>Aboriginal s</w:t>
            </w:r>
            <w:r w:rsidR="004A032C">
              <w:rPr>
                <w:sz w:val="18"/>
                <w:szCs w:val="18"/>
              </w:rPr>
              <w:t>ites, objects</w:t>
            </w:r>
            <w:r>
              <w:rPr>
                <w:sz w:val="18"/>
                <w:szCs w:val="18"/>
              </w:rPr>
              <w:t xml:space="preserve"> </w:t>
            </w:r>
            <w:r w:rsidR="004A032C">
              <w:rPr>
                <w:sz w:val="18"/>
                <w:szCs w:val="18"/>
              </w:rPr>
              <w:t xml:space="preserve">and remains </w:t>
            </w:r>
            <w:r w:rsidR="004A032C" w:rsidRPr="00A36C06">
              <w:rPr>
                <w:sz w:val="18"/>
                <w:szCs w:val="18"/>
              </w:rPr>
              <w:t>that are significan</w:t>
            </w:r>
            <w:r w:rsidR="004A032C">
              <w:rPr>
                <w:sz w:val="18"/>
                <w:szCs w:val="18"/>
              </w:rPr>
              <w:t>t</w:t>
            </w:r>
            <w:r w:rsidR="004A032C" w:rsidRPr="00A36C06">
              <w:rPr>
                <w:sz w:val="18"/>
                <w:szCs w:val="18"/>
              </w:rPr>
              <w:t xml:space="preserve"> to Aboriginal tradition, archaeolog</w:t>
            </w:r>
            <w:r w:rsidR="004A032C">
              <w:rPr>
                <w:sz w:val="18"/>
                <w:szCs w:val="18"/>
              </w:rPr>
              <w:t>y, anthropology and/or history</w:t>
            </w:r>
            <w:r w:rsidR="00E510A3">
              <w:rPr>
                <w:sz w:val="18"/>
                <w:szCs w:val="18"/>
              </w:rPr>
              <w:t>.</w:t>
            </w:r>
          </w:p>
        </w:tc>
        <w:tc>
          <w:tcPr>
            <w:tcW w:w="1424" w:type="pct"/>
            <w:shd w:val="pct5" w:color="auto" w:fill="auto"/>
            <w:tcMar>
              <w:right w:w="57" w:type="dxa"/>
            </w:tcMar>
          </w:tcPr>
          <w:p w14:paraId="5CF4E514" w14:textId="5D7B1F41" w:rsidR="004A032C" w:rsidRPr="000C15CB" w:rsidRDefault="00A441CE" w:rsidP="00C15252">
            <w:pPr>
              <w:autoSpaceDE w:val="0"/>
              <w:autoSpaceDN w:val="0"/>
              <w:adjustRightInd w:val="0"/>
              <w:ind w:left="113" w:right="113"/>
              <w:rPr>
                <w:rFonts w:ascii="Arial" w:hAnsi="Arial"/>
                <w:sz w:val="18"/>
                <w:szCs w:val="18"/>
              </w:rPr>
            </w:pPr>
            <w:r>
              <w:rPr>
                <w:rFonts w:ascii="Arial" w:hAnsi="Arial"/>
                <w:sz w:val="18"/>
                <w:szCs w:val="18"/>
              </w:rPr>
              <w:t>A</w:t>
            </w:r>
            <w:r w:rsidR="004A032C" w:rsidRPr="000C15CB">
              <w:rPr>
                <w:rFonts w:ascii="Arial" w:hAnsi="Arial"/>
                <w:sz w:val="18"/>
                <w:szCs w:val="18"/>
              </w:rPr>
              <w:t xml:space="preserve"> determination</w:t>
            </w:r>
            <w:r w:rsidR="00B36A16">
              <w:rPr>
                <w:rFonts w:ascii="Arial" w:hAnsi="Arial"/>
                <w:sz w:val="18"/>
                <w:szCs w:val="18"/>
              </w:rPr>
              <w:t xml:space="preserve"> decision</w:t>
            </w:r>
            <w:r w:rsidR="004A032C" w:rsidRPr="000C15CB">
              <w:rPr>
                <w:rFonts w:ascii="Arial" w:hAnsi="Arial"/>
                <w:sz w:val="18"/>
                <w:szCs w:val="18"/>
              </w:rPr>
              <w:t xml:space="preserve"> from the </w:t>
            </w:r>
            <w:r w:rsidR="00DF36D8">
              <w:rPr>
                <w:rFonts w:ascii="Arial" w:hAnsi="Arial"/>
                <w:sz w:val="18"/>
                <w:szCs w:val="18"/>
              </w:rPr>
              <w:t xml:space="preserve">responsible </w:t>
            </w:r>
            <w:r w:rsidR="004A032C" w:rsidRPr="000C15CB">
              <w:rPr>
                <w:rFonts w:ascii="Arial" w:hAnsi="Arial"/>
                <w:sz w:val="18"/>
                <w:szCs w:val="18"/>
              </w:rPr>
              <w:t>Minister</w:t>
            </w:r>
            <w:r w:rsidR="00DF36D8">
              <w:rPr>
                <w:rFonts w:ascii="Arial" w:hAnsi="Arial"/>
                <w:sz w:val="18"/>
                <w:szCs w:val="18"/>
              </w:rPr>
              <w:t xml:space="preserve"> </w:t>
            </w:r>
            <w:r w:rsidR="004A032C" w:rsidRPr="000C15CB">
              <w:rPr>
                <w:rFonts w:ascii="Arial" w:hAnsi="Arial"/>
                <w:sz w:val="18"/>
                <w:szCs w:val="18"/>
              </w:rPr>
              <w:t xml:space="preserve">(whether a site is an Aboriginal site as defined by </w:t>
            </w:r>
            <w:r w:rsidR="004A032C">
              <w:rPr>
                <w:rFonts w:ascii="Arial" w:hAnsi="Arial"/>
                <w:sz w:val="18"/>
                <w:szCs w:val="18"/>
              </w:rPr>
              <w:t>legislation</w:t>
            </w:r>
            <w:r w:rsidR="004A032C" w:rsidRPr="000C15CB">
              <w:rPr>
                <w:rFonts w:ascii="Arial" w:hAnsi="Arial"/>
                <w:sz w:val="18"/>
                <w:szCs w:val="18"/>
              </w:rPr>
              <w:t>) is required</w:t>
            </w:r>
            <w:r>
              <w:rPr>
                <w:rFonts w:ascii="Arial" w:hAnsi="Arial"/>
                <w:sz w:val="18"/>
                <w:szCs w:val="18"/>
              </w:rPr>
              <w:t xml:space="preserve"> before undertaking exploration</w:t>
            </w:r>
            <w:r w:rsidR="004A032C" w:rsidRPr="000C15CB">
              <w:rPr>
                <w:rFonts w:ascii="Arial" w:hAnsi="Arial"/>
                <w:sz w:val="18"/>
                <w:szCs w:val="18"/>
              </w:rPr>
              <w:t>.</w:t>
            </w:r>
            <w:r w:rsidR="00B36A16">
              <w:rPr>
                <w:rFonts w:ascii="Arial" w:hAnsi="Arial"/>
                <w:sz w:val="18"/>
                <w:szCs w:val="18"/>
              </w:rPr>
              <w:t xml:space="preserve"> </w:t>
            </w:r>
            <w:r w:rsidR="004A032C" w:rsidRPr="000C15CB">
              <w:rPr>
                <w:rFonts w:ascii="Arial" w:hAnsi="Arial"/>
                <w:sz w:val="18"/>
                <w:szCs w:val="18"/>
              </w:rPr>
              <w:t xml:space="preserve">The Minister </w:t>
            </w:r>
            <w:r w:rsidR="00B36A16">
              <w:rPr>
                <w:rFonts w:ascii="Arial" w:hAnsi="Arial"/>
                <w:sz w:val="18"/>
                <w:szCs w:val="18"/>
              </w:rPr>
              <w:t xml:space="preserve">generally bases the decision on </w:t>
            </w:r>
            <w:r w:rsidR="004A032C" w:rsidRPr="000C15CB">
              <w:rPr>
                <w:rFonts w:ascii="Arial" w:hAnsi="Arial"/>
                <w:sz w:val="18"/>
                <w:szCs w:val="18"/>
              </w:rPr>
              <w:t>a cultural heritage survey and/or anthropological opinion</w:t>
            </w:r>
            <w:r w:rsidR="004A032C">
              <w:rPr>
                <w:rFonts w:ascii="Arial" w:hAnsi="Arial"/>
                <w:sz w:val="18"/>
                <w:szCs w:val="18"/>
              </w:rPr>
              <w:t>.</w:t>
            </w:r>
          </w:p>
          <w:p w14:paraId="6F3ED585" w14:textId="0B93402B" w:rsidR="006F0C26" w:rsidRPr="00132F28" w:rsidRDefault="004A032C" w:rsidP="00C15252">
            <w:pPr>
              <w:pStyle w:val="TableBodyText"/>
              <w:ind w:left="113"/>
              <w:jc w:val="left"/>
              <w:rPr>
                <w:sz w:val="18"/>
                <w:szCs w:val="18"/>
              </w:rPr>
            </w:pPr>
            <w:r w:rsidRPr="000C15CB">
              <w:rPr>
                <w:sz w:val="18"/>
                <w:szCs w:val="18"/>
              </w:rPr>
              <w:t>Following a determination a proponent can seek authorisation from the Minister to damage, destroy or interfere with an Aboriginal site or object. This process is separate from the determination process.</w:t>
            </w:r>
          </w:p>
        </w:tc>
        <w:tc>
          <w:tcPr>
            <w:tcW w:w="1213" w:type="pct"/>
            <w:shd w:val="pct5" w:color="auto" w:fill="auto"/>
          </w:tcPr>
          <w:p w14:paraId="589244A7" w14:textId="63BDC0EB" w:rsidR="004A032C" w:rsidRPr="005C36E1" w:rsidRDefault="004A032C" w:rsidP="00D148B3">
            <w:pPr>
              <w:pStyle w:val="TableBodyText"/>
              <w:ind w:left="57"/>
              <w:jc w:val="left"/>
              <w:rPr>
                <w:sz w:val="18"/>
                <w:szCs w:val="18"/>
              </w:rPr>
            </w:pPr>
            <w:r>
              <w:rPr>
                <w:sz w:val="18"/>
                <w:szCs w:val="18"/>
              </w:rPr>
              <w:t xml:space="preserve">These groups must be </w:t>
            </w:r>
            <w:r w:rsidRPr="005C36E1">
              <w:rPr>
                <w:sz w:val="18"/>
                <w:szCs w:val="18"/>
              </w:rPr>
              <w:t>consulted by the Minister before</w:t>
            </w:r>
            <w:r>
              <w:rPr>
                <w:sz w:val="18"/>
                <w:szCs w:val="18"/>
              </w:rPr>
              <w:t xml:space="preserve"> </w:t>
            </w:r>
            <w:r w:rsidRPr="005C36E1">
              <w:rPr>
                <w:sz w:val="18"/>
                <w:szCs w:val="18"/>
              </w:rPr>
              <w:t>making a determina</w:t>
            </w:r>
            <w:r w:rsidR="00E510A3">
              <w:rPr>
                <w:sz w:val="18"/>
                <w:szCs w:val="18"/>
              </w:rPr>
              <w:t>tion or authorisation.</w:t>
            </w:r>
          </w:p>
          <w:p w14:paraId="7E60A5E3" w14:textId="2CE34430" w:rsidR="004A032C" w:rsidRPr="005C36E1" w:rsidRDefault="004A032C" w:rsidP="00DA76C4">
            <w:pPr>
              <w:pStyle w:val="TableBullet"/>
              <w:spacing w:after="0"/>
              <w:rPr>
                <w:sz w:val="18"/>
                <w:szCs w:val="18"/>
              </w:rPr>
            </w:pPr>
            <w:r>
              <w:rPr>
                <w:sz w:val="18"/>
                <w:szCs w:val="18"/>
              </w:rPr>
              <w:t>T</w:t>
            </w:r>
            <w:r w:rsidRPr="005C36E1">
              <w:rPr>
                <w:sz w:val="18"/>
                <w:szCs w:val="18"/>
              </w:rPr>
              <w:t>he Ab</w:t>
            </w:r>
            <w:r>
              <w:rPr>
                <w:sz w:val="18"/>
                <w:szCs w:val="18"/>
              </w:rPr>
              <w:t>original Heritage Committee</w:t>
            </w:r>
            <w:r w:rsidR="00446E04">
              <w:rPr>
                <w:sz w:val="18"/>
                <w:szCs w:val="18"/>
              </w:rPr>
              <w:t>.</w:t>
            </w:r>
          </w:p>
          <w:p w14:paraId="5CC8F2E5" w14:textId="25BBB2EA" w:rsidR="004A032C" w:rsidRPr="005C36E1" w:rsidRDefault="004A032C" w:rsidP="00DA76C4">
            <w:pPr>
              <w:pStyle w:val="TableBullet"/>
              <w:spacing w:after="0"/>
              <w:rPr>
                <w:sz w:val="18"/>
                <w:szCs w:val="18"/>
              </w:rPr>
            </w:pPr>
            <w:r>
              <w:rPr>
                <w:sz w:val="18"/>
                <w:szCs w:val="18"/>
              </w:rPr>
              <w:t>A</w:t>
            </w:r>
            <w:r w:rsidRPr="005C36E1">
              <w:rPr>
                <w:sz w:val="18"/>
                <w:szCs w:val="18"/>
              </w:rPr>
              <w:t>ny Aboriginal organisation with a particular interest in the matter</w:t>
            </w:r>
            <w:r w:rsidR="00446E04">
              <w:rPr>
                <w:sz w:val="18"/>
                <w:szCs w:val="18"/>
              </w:rPr>
              <w:t>.</w:t>
            </w:r>
          </w:p>
          <w:p w14:paraId="241B17BB" w14:textId="4A7743B4" w:rsidR="004A032C" w:rsidRPr="00F946B2" w:rsidRDefault="004A032C" w:rsidP="00DA76C4">
            <w:pPr>
              <w:pStyle w:val="TableBullet"/>
              <w:spacing w:after="0"/>
              <w:rPr>
                <w:sz w:val="18"/>
                <w:szCs w:val="18"/>
              </w:rPr>
            </w:pPr>
            <w:r>
              <w:rPr>
                <w:sz w:val="18"/>
                <w:szCs w:val="18"/>
              </w:rPr>
              <w:t>Any traditional owners and</w:t>
            </w:r>
            <w:r w:rsidRPr="005C36E1">
              <w:rPr>
                <w:sz w:val="18"/>
                <w:szCs w:val="18"/>
              </w:rPr>
              <w:t xml:space="preserve"> other Aboriginal persons who in the Minister’s opinion, have a</w:t>
            </w:r>
            <w:r>
              <w:rPr>
                <w:sz w:val="18"/>
                <w:szCs w:val="18"/>
              </w:rPr>
              <w:t xml:space="preserve"> </w:t>
            </w:r>
            <w:r w:rsidRPr="005C36E1">
              <w:rPr>
                <w:sz w:val="18"/>
                <w:szCs w:val="18"/>
              </w:rPr>
              <w:t>particular interest in the matter.</w:t>
            </w:r>
          </w:p>
        </w:tc>
        <w:tc>
          <w:tcPr>
            <w:tcW w:w="1149" w:type="pct"/>
            <w:shd w:val="pct5" w:color="auto" w:fill="auto"/>
          </w:tcPr>
          <w:p w14:paraId="3E6A20EC" w14:textId="41FD5202" w:rsidR="004A032C" w:rsidRDefault="004A032C" w:rsidP="00D148B3">
            <w:pPr>
              <w:pStyle w:val="TableBodyText"/>
              <w:ind w:left="0"/>
              <w:jc w:val="left"/>
              <w:rPr>
                <w:sz w:val="18"/>
                <w:szCs w:val="18"/>
              </w:rPr>
            </w:pPr>
            <w:r>
              <w:rPr>
                <w:sz w:val="18"/>
                <w:szCs w:val="18"/>
              </w:rPr>
              <w:t>Decisions to</w:t>
            </w:r>
            <w:r w:rsidRPr="00F946B2">
              <w:rPr>
                <w:sz w:val="18"/>
                <w:szCs w:val="18"/>
              </w:rPr>
              <w:t xml:space="preserve"> damage or disturb an Aboriginal site, object or remain</w:t>
            </w:r>
            <w:r>
              <w:rPr>
                <w:sz w:val="18"/>
                <w:szCs w:val="18"/>
              </w:rPr>
              <w:t xml:space="preserve">s rest with the </w:t>
            </w:r>
            <w:r w:rsidR="005377A2">
              <w:rPr>
                <w:sz w:val="18"/>
                <w:szCs w:val="18"/>
              </w:rPr>
              <w:t xml:space="preserve">responsible </w:t>
            </w:r>
            <w:r>
              <w:rPr>
                <w:sz w:val="18"/>
                <w:szCs w:val="18"/>
              </w:rPr>
              <w:t>Minister.</w:t>
            </w:r>
          </w:p>
          <w:p w14:paraId="087DDC39" w14:textId="1B0FAFC9" w:rsidR="004A032C" w:rsidRDefault="00A441CE" w:rsidP="00D148B3">
            <w:pPr>
              <w:pStyle w:val="TableBodyText"/>
              <w:ind w:left="0"/>
              <w:jc w:val="left"/>
              <w:rPr>
                <w:sz w:val="18"/>
                <w:szCs w:val="18"/>
              </w:rPr>
            </w:pPr>
            <w:r>
              <w:rPr>
                <w:sz w:val="18"/>
                <w:szCs w:val="18"/>
              </w:rPr>
              <w:t xml:space="preserve">Decisions can only be appealed through </w:t>
            </w:r>
            <w:r w:rsidR="004A032C" w:rsidRPr="00E70136">
              <w:rPr>
                <w:sz w:val="18"/>
                <w:szCs w:val="18"/>
              </w:rPr>
              <w:t>the Supreme Court of</w:t>
            </w:r>
            <w:r w:rsidR="004A032C">
              <w:rPr>
                <w:sz w:val="18"/>
                <w:szCs w:val="18"/>
              </w:rPr>
              <w:t xml:space="preserve"> </w:t>
            </w:r>
            <w:r w:rsidR="004A032C" w:rsidRPr="00E70136">
              <w:rPr>
                <w:sz w:val="18"/>
                <w:szCs w:val="18"/>
              </w:rPr>
              <w:t>South Australia</w:t>
            </w:r>
            <w:r>
              <w:rPr>
                <w:sz w:val="18"/>
                <w:szCs w:val="18"/>
              </w:rPr>
              <w:t>.</w:t>
            </w:r>
          </w:p>
          <w:p w14:paraId="5F762C0E" w14:textId="77777777" w:rsidR="004A032C" w:rsidRPr="00A36C06" w:rsidRDefault="004A032C" w:rsidP="00D148B3">
            <w:pPr>
              <w:pStyle w:val="TableBodyText"/>
              <w:ind w:left="0"/>
              <w:jc w:val="left"/>
              <w:rPr>
                <w:sz w:val="18"/>
                <w:szCs w:val="18"/>
                <w:lang w:val="en"/>
              </w:rPr>
            </w:pPr>
          </w:p>
        </w:tc>
      </w:tr>
      <w:tr w:rsidR="004A032C" w:rsidRPr="004E52C3" w14:paraId="5E98CD82" w14:textId="77777777" w:rsidTr="006158EC">
        <w:trPr>
          <w:trHeight w:val="1692"/>
        </w:trPr>
        <w:tc>
          <w:tcPr>
            <w:tcW w:w="380" w:type="pct"/>
            <w:shd w:val="clear" w:color="auto" w:fill="auto"/>
          </w:tcPr>
          <w:p w14:paraId="2FB1B60B" w14:textId="77777777" w:rsidR="004A032C" w:rsidRPr="004E52C3" w:rsidRDefault="004A032C" w:rsidP="002F4896">
            <w:pPr>
              <w:pStyle w:val="TableBodyText"/>
              <w:jc w:val="left"/>
              <w:rPr>
                <w:sz w:val="18"/>
                <w:szCs w:val="18"/>
              </w:rPr>
            </w:pPr>
            <w:r w:rsidRPr="004E52C3">
              <w:rPr>
                <w:sz w:val="18"/>
                <w:szCs w:val="18"/>
              </w:rPr>
              <w:t>Tasmania</w:t>
            </w:r>
          </w:p>
        </w:tc>
        <w:tc>
          <w:tcPr>
            <w:tcW w:w="834" w:type="pct"/>
            <w:shd w:val="clear" w:color="auto" w:fill="auto"/>
          </w:tcPr>
          <w:p w14:paraId="4FA19B96" w14:textId="019ED67F" w:rsidR="004A032C" w:rsidRPr="004E52C3" w:rsidRDefault="00617459" w:rsidP="00ED7904">
            <w:pPr>
              <w:pStyle w:val="TableBodyText"/>
              <w:ind w:left="57"/>
              <w:jc w:val="left"/>
              <w:rPr>
                <w:sz w:val="18"/>
                <w:szCs w:val="18"/>
                <w:lang w:val="en"/>
              </w:rPr>
            </w:pPr>
            <w:r>
              <w:rPr>
                <w:sz w:val="18"/>
                <w:szCs w:val="18"/>
              </w:rPr>
              <w:t>Blanket protection o</w:t>
            </w:r>
            <w:r w:rsidR="003514E9">
              <w:rPr>
                <w:sz w:val="18"/>
                <w:szCs w:val="18"/>
              </w:rPr>
              <w:t>f</w:t>
            </w:r>
            <w:r>
              <w:rPr>
                <w:sz w:val="18"/>
                <w:szCs w:val="18"/>
              </w:rPr>
              <w:t xml:space="preserve"> Aboriginal</w:t>
            </w:r>
            <w:r w:rsidR="00504C8F">
              <w:rPr>
                <w:sz w:val="18"/>
                <w:szCs w:val="18"/>
              </w:rPr>
              <w:t xml:space="preserve"> </w:t>
            </w:r>
            <w:r w:rsidR="003514E9">
              <w:rPr>
                <w:sz w:val="18"/>
                <w:szCs w:val="18"/>
              </w:rPr>
              <w:t xml:space="preserve">relics </w:t>
            </w:r>
            <w:r>
              <w:rPr>
                <w:sz w:val="18"/>
                <w:szCs w:val="18"/>
              </w:rPr>
              <w:t>prior to European arrival in 1876</w:t>
            </w:r>
            <w:r w:rsidR="004A032C" w:rsidRPr="004E52C3">
              <w:rPr>
                <w:sz w:val="18"/>
                <w:szCs w:val="18"/>
              </w:rPr>
              <w:t xml:space="preserve"> </w:t>
            </w:r>
            <w:r w:rsidR="00E510A3">
              <w:rPr>
                <w:sz w:val="18"/>
                <w:szCs w:val="18"/>
              </w:rPr>
              <w:t xml:space="preserve">for </w:t>
            </w:r>
            <w:r w:rsidR="00504C8F">
              <w:rPr>
                <w:sz w:val="18"/>
                <w:szCs w:val="18"/>
              </w:rPr>
              <w:t>‘</w:t>
            </w:r>
            <w:r w:rsidR="004A032C" w:rsidRPr="004E52C3">
              <w:rPr>
                <w:sz w:val="18"/>
                <w:szCs w:val="18"/>
              </w:rPr>
              <w:t>protected sites</w:t>
            </w:r>
            <w:r w:rsidR="00504C8F">
              <w:rPr>
                <w:sz w:val="18"/>
                <w:szCs w:val="18"/>
              </w:rPr>
              <w:t>’</w:t>
            </w:r>
            <w:r w:rsidR="004A032C" w:rsidRPr="004E52C3">
              <w:rPr>
                <w:sz w:val="18"/>
                <w:szCs w:val="18"/>
              </w:rPr>
              <w:t xml:space="preserve"> and </w:t>
            </w:r>
            <w:r w:rsidR="00504C8F">
              <w:rPr>
                <w:sz w:val="18"/>
                <w:szCs w:val="18"/>
              </w:rPr>
              <w:t>‘</w:t>
            </w:r>
            <w:r w:rsidR="004A032C" w:rsidRPr="004E52C3">
              <w:rPr>
                <w:sz w:val="18"/>
                <w:szCs w:val="18"/>
              </w:rPr>
              <w:t>protected objects</w:t>
            </w:r>
            <w:r w:rsidR="00504C8F">
              <w:rPr>
                <w:sz w:val="18"/>
                <w:szCs w:val="18"/>
              </w:rPr>
              <w:t>’</w:t>
            </w:r>
            <w:r w:rsidR="004A032C" w:rsidRPr="004E52C3">
              <w:rPr>
                <w:sz w:val="18"/>
                <w:szCs w:val="18"/>
              </w:rPr>
              <w:t>.</w:t>
            </w:r>
          </w:p>
        </w:tc>
        <w:tc>
          <w:tcPr>
            <w:tcW w:w="1424" w:type="pct"/>
            <w:shd w:val="clear" w:color="auto" w:fill="auto"/>
          </w:tcPr>
          <w:p w14:paraId="05DAB04C" w14:textId="77777777" w:rsidR="004A032C" w:rsidRPr="004E52C3" w:rsidRDefault="004A032C" w:rsidP="00C15252">
            <w:pPr>
              <w:pStyle w:val="TableBodyText"/>
              <w:ind w:left="113"/>
              <w:jc w:val="left"/>
              <w:rPr>
                <w:sz w:val="18"/>
                <w:szCs w:val="18"/>
                <w:lang w:val="en"/>
              </w:rPr>
            </w:pPr>
            <w:r w:rsidRPr="004E52C3">
              <w:rPr>
                <w:sz w:val="18"/>
                <w:szCs w:val="18"/>
                <w:lang w:val="en"/>
              </w:rPr>
              <w:t>Aboriginal heritage assessments are undertaken for exploration activities to determine whether a site has Aboriginal heritage significance.</w:t>
            </w:r>
          </w:p>
          <w:p w14:paraId="31AA0F2E" w14:textId="687B6E05" w:rsidR="004A032C" w:rsidRPr="004E52C3" w:rsidRDefault="004A032C" w:rsidP="004076F8">
            <w:pPr>
              <w:pStyle w:val="TableBodyText"/>
              <w:ind w:left="113"/>
              <w:jc w:val="left"/>
              <w:rPr>
                <w:sz w:val="18"/>
                <w:szCs w:val="18"/>
                <w:lang w:val="en"/>
              </w:rPr>
            </w:pPr>
            <w:r w:rsidRPr="004E52C3">
              <w:rPr>
                <w:sz w:val="18"/>
                <w:szCs w:val="18"/>
                <w:lang w:val="en"/>
              </w:rPr>
              <w:t xml:space="preserve">Permits are </w:t>
            </w:r>
            <w:r w:rsidR="004076F8">
              <w:rPr>
                <w:sz w:val="18"/>
                <w:szCs w:val="18"/>
                <w:lang w:val="en"/>
              </w:rPr>
              <w:t xml:space="preserve">required prior </w:t>
            </w:r>
            <w:r w:rsidRPr="004E52C3">
              <w:rPr>
                <w:sz w:val="18"/>
                <w:szCs w:val="18"/>
                <w:lang w:val="en"/>
              </w:rPr>
              <w:t xml:space="preserve">to </w:t>
            </w:r>
            <w:r w:rsidR="004076F8">
              <w:rPr>
                <w:sz w:val="18"/>
                <w:szCs w:val="18"/>
                <w:lang w:val="en"/>
              </w:rPr>
              <w:t xml:space="preserve">any </w:t>
            </w:r>
            <w:r w:rsidRPr="004E52C3">
              <w:rPr>
                <w:sz w:val="18"/>
                <w:szCs w:val="18"/>
                <w:lang w:val="en"/>
              </w:rPr>
              <w:t>interfere</w:t>
            </w:r>
            <w:r w:rsidR="004076F8">
              <w:rPr>
                <w:sz w:val="18"/>
                <w:szCs w:val="18"/>
                <w:lang w:val="en"/>
              </w:rPr>
              <w:t>nce</w:t>
            </w:r>
            <w:r w:rsidRPr="004E52C3">
              <w:rPr>
                <w:sz w:val="18"/>
                <w:szCs w:val="18"/>
                <w:lang w:val="en"/>
              </w:rPr>
              <w:t xml:space="preserve"> with sites of Aboriginal heritage significance.</w:t>
            </w:r>
          </w:p>
        </w:tc>
        <w:tc>
          <w:tcPr>
            <w:tcW w:w="1213" w:type="pct"/>
            <w:shd w:val="clear" w:color="auto" w:fill="auto"/>
          </w:tcPr>
          <w:p w14:paraId="18AE0757" w14:textId="5974FED0" w:rsidR="004A032C" w:rsidRPr="004E52C3" w:rsidRDefault="004E2FCE" w:rsidP="00D148B3">
            <w:pPr>
              <w:autoSpaceDE w:val="0"/>
              <w:autoSpaceDN w:val="0"/>
              <w:adjustRightInd w:val="0"/>
              <w:ind w:left="57" w:right="113"/>
              <w:rPr>
                <w:sz w:val="18"/>
                <w:szCs w:val="18"/>
                <w:lang w:val="en"/>
              </w:rPr>
            </w:pPr>
            <w:r w:rsidRPr="004E2FCE">
              <w:rPr>
                <w:rFonts w:ascii="Arial" w:hAnsi="Arial"/>
                <w:sz w:val="18"/>
                <w:szCs w:val="18"/>
              </w:rPr>
              <w:t>The interim Ab</w:t>
            </w:r>
            <w:r>
              <w:rPr>
                <w:rFonts w:ascii="Arial" w:hAnsi="Arial"/>
                <w:sz w:val="18"/>
                <w:szCs w:val="18"/>
              </w:rPr>
              <w:t xml:space="preserve">original Heritage Council </w:t>
            </w:r>
            <w:r w:rsidRPr="004E2FCE">
              <w:rPr>
                <w:rFonts w:ascii="Arial" w:hAnsi="Arial"/>
                <w:sz w:val="18"/>
                <w:szCs w:val="18"/>
              </w:rPr>
              <w:t>was established in 2012 to provide a view to the Minister on new permit applications, development proposals and policies, as well as provide advice and recommendations on the protection and management of Aboriginal heritage.</w:t>
            </w:r>
          </w:p>
        </w:tc>
        <w:tc>
          <w:tcPr>
            <w:tcW w:w="1149" w:type="pct"/>
            <w:shd w:val="clear" w:color="auto" w:fill="auto"/>
          </w:tcPr>
          <w:p w14:paraId="675C64ED" w14:textId="77777777" w:rsidR="004A032C" w:rsidRPr="004E52C3" w:rsidRDefault="00B36A16" w:rsidP="00D148B3">
            <w:pPr>
              <w:pStyle w:val="TableBodyText"/>
              <w:ind w:left="0"/>
              <w:jc w:val="left"/>
              <w:rPr>
                <w:sz w:val="18"/>
                <w:szCs w:val="18"/>
                <w:lang w:val="en"/>
              </w:rPr>
            </w:pPr>
            <w:r>
              <w:rPr>
                <w:sz w:val="18"/>
                <w:szCs w:val="18"/>
              </w:rPr>
              <w:t>A</w:t>
            </w:r>
            <w:r w:rsidR="004A032C" w:rsidRPr="004E52C3">
              <w:rPr>
                <w:sz w:val="18"/>
                <w:szCs w:val="18"/>
              </w:rPr>
              <w:t>ll recommendations and considerations are presented to the Director of National Parks and Wildlife who then makes a recommendation to the Minister for Heritage. Decisions can only be appealed through the Supreme Court of Tasmania</w:t>
            </w:r>
            <w:r w:rsidR="004A032C">
              <w:rPr>
                <w:sz w:val="18"/>
                <w:szCs w:val="18"/>
              </w:rPr>
              <w:t>.</w:t>
            </w:r>
          </w:p>
        </w:tc>
      </w:tr>
      <w:tr w:rsidR="00C60132" w:rsidRPr="00C60132" w14:paraId="1D99A5D1" w14:textId="77777777" w:rsidTr="006158EC">
        <w:tc>
          <w:tcPr>
            <w:tcW w:w="380" w:type="pct"/>
            <w:shd w:val="pct5" w:color="auto" w:fill="auto"/>
          </w:tcPr>
          <w:p w14:paraId="2710E645" w14:textId="77777777" w:rsidR="002C5270" w:rsidRPr="00C60132" w:rsidRDefault="002C5270" w:rsidP="005977E3">
            <w:pPr>
              <w:pStyle w:val="TableBodyText"/>
              <w:jc w:val="left"/>
              <w:rPr>
                <w:sz w:val="18"/>
                <w:szCs w:val="18"/>
              </w:rPr>
            </w:pPr>
            <w:r w:rsidRPr="00C60132">
              <w:rPr>
                <w:sz w:val="18"/>
                <w:szCs w:val="18"/>
              </w:rPr>
              <w:t>Northern Territory</w:t>
            </w:r>
          </w:p>
        </w:tc>
        <w:tc>
          <w:tcPr>
            <w:tcW w:w="834" w:type="pct"/>
            <w:shd w:val="pct5" w:color="auto" w:fill="auto"/>
          </w:tcPr>
          <w:p w14:paraId="4E5EAA13" w14:textId="77777777" w:rsidR="002C5270" w:rsidRPr="00C60132" w:rsidRDefault="002C5270" w:rsidP="00ED7904">
            <w:pPr>
              <w:pStyle w:val="TableBodyText"/>
              <w:ind w:left="57"/>
              <w:jc w:val="left"/>
              <w:rPr>
                <w:sz w:val="18"/>
                <w:szCs w:val="18"/>
              </w:rPr>
            </w:pPr>
            <w:r w:rsidRPr="00C60132">
              <w:rPr>
                <w:sz w:val="18"/>
                <w:szCs w:val="18"/>
              </w:rPr>
              <w:t>Blanket protection for sites that are sacred or significant according to Aboriginal tradition.</w:t>
            </w:r>
          </w:p>
        </w:tc>
        <w:tc>
          <w:tcPr>
            <w:tcW w:w="1424" w:type="pct"/>
            <w:shd w:val="pct5" w:color="auto" w:fill="auto"/>
          </w:tcPr>
          <w:p w14:paraId="4600417A" w14:textId="09E15E05" w:rsidR="003D3783" w:rsidRPr="00C60132" w:rsidRDefault="003D3783" w:rsidP="00C15252">
            <w:pPr>
              <w:pStyle w:val="TableBodyText"/>
              <w:ind w:left="113"/>
              <w:jc w:val="left"/>
              <w:rPr>
                <w:sz w:val="18"/>
                <w:szCs w:val="18"/>
              </w:rPr>
            </w:pPr>
            <w:r>
              <w:rPr>
                <w:sz w:val="18"/>
                <w:szCs w:val="18"/>
              </w:rPr>
              <w:t xml:space="preserve">On non-sacred sites a </w:t>
            </w:r>
            <w:r w:rsidRPr="00916A7E">
              <w:rPr>
                <w:sz w:val="18"/>
                <w:szCs w:val="18"/>
              </w:rPr>
              <w:t>permit is required</w:t>
            </w:r>
            <w:r w:rsidR="00504C8F">
              <w:rPr>
                <w:sz w:val="18"/>
                <w:szCs w:val="18"/>
              </w:rPr>
              <w:t xml:space="preserve"> </w:t>
            </w:r>
            <w:r w:rsidRPr="00916A7E">
              <w:rPr>
                <w:sz w:val="18"/>
                <w:szCs w:val="18"/>
              </w:rPr>
              <w:t>to harm Aboriginal heritage</w:t>
            </w:r>
            <w:r>
              <w:rPr>
                <w:sz w:val="18"/>
                <w:szCs w:val="18"/>
              </w:rPr>
              <w:t>.</w:t>
            </w:r>
          </w:p>
          <w:p w14:paraId="20AF7FE8" w14:textId="77777777" w:rsidR="002C5270" w:rsidRPr="00C60132" w:rsidRDefault="002C5270" w:rsidP="00C15252">
            <w:pPr>
              <w:pStyle w:val="TableBodyText"/>
              <w:ind w:left="113"/>
              <w:jc w:val="left"/>
              <w:rPr>
                <w:sz w:val="18"/>
                <w:szCs w:val="18"/>
              </w:rPr>
            </w:pPr>
            <w:r w:rsidRPr="00C60132">
              <w:rPr>
                <w:sz w:val="18"/>
                <w:szCs w:val="18"/>
              </w:rPr>
              <w:t>An Authority Certificate must be obtained to undertake work on a sacred site.</w:t>
            </w:r>
          </w:p>
          <w:p w14:paraId="07851DC4" w14:textId="77777777" w:rsidR="002C5270" w:rsidRPr="00C60132" w:rsidRDefault="002C5270" w:rsidP="00C15252">
            <w:pPr>
              <w:pStyle w:val="TableBodyText"/>
              <w:ind w:left="113"/>
              <w:jc w:val="left"/>
              <w:rPr>
                <w:sz w:val="18"/>
                <w:szCs w:val="18"/>
              </w:rPr>
            </w:pPr>
          </w:p>
        </w:tc>
        <w:tc>
          <w:tcPr>
            <w:tcW w:w="1213" w:type="pct"/>
            <w:shd w:val="pct5" w:color="auto" w:fill="auto"/>
          </w:tcPr>
          <w:p w14:paraId="18D3A187" w14:textId="045C2D58" w:rsidR="002C5270" w:rsidRPr="00C60132" w:rsidRDefault="00ED7904" w:rsidP="00D148B3">
            <w:pPr>
              <w:pStyle w:val="TableBodyText"/>
              <w:ind w:left="57"/>
              <w:jc w:val="left"/>
              <w:rPr>
                <w:sz w:val="18"/>
                <w:szCs w:val="18"/>
              </w:rPr>
            </w:pPr>
            <w:r>
              <w:rPr>
                <w:sz w:val="18"/>
                <w:szCs w:val="18"/>
              </w:rPr>
              <w:t>The h</w:t>
            </w:r>
            <w:r w:rsidR="00D337A3">
              <w:rPr>
                <w:sz w:val="18"/>
                <w:szCs w:val="18"/>
              </w:rPr>
              <w:t xml:space="preserve">eritage branch requires </w:t>
            </w:r>
            <w:r>
              <w:rPr>
                <w:sz w:val="18"/>
                <w:szCs w:val="18"/>
              </w:rPr>
              <w:t xml:space="preserve">that </w:t>
            </w:r>
            <w:r w:rsidR="00D337A3">
              <w:rPr>
                <w:sz w:val="18"/>
                <w:szCs w:val="18"/>
              </w:rPr>
              <w:t xml:space="preserve">Traditional Owners are notified of </w:t>
            </w:r>
            <w:r w:rsidR="003D3783">
              <w:rPr>
                <w:sz w:val="18"/>
                <w:szCs w:val="18"/>
              </w:rPr>
              <w:t>proposed survey work,</w:t>
            </w:r>
            <w:r w:rsidR="00D337A3">
              <w:rPr>
                <w:sz w:val="18"/>
                <w:szCs w:val="18"/>
              </w:rPr>
              <w:t xml:space="preserve"> where possible involved in fieldwork, consulted and acknowledged for their contribution. On sacred sites, the</w:t>
            </w:r>
            <w:r w:rsidR="001C3E1C">
              <w:rPr>
                <w:sz w:val="18"/>
                <w:szCs w:val="18"/>
              </w:rPr>
              <w:t xml:space="preserve"> </w:t>
            </w:r>
            <w:r w:rsidR="001C3E1C" w:rsidRPr="00C60132">
              <w:rPr>
                <w:sz w:val="18"/>
                <w:szCs w:val="18"/>
              </w:rPr>
              <w:t xml:space="preserve">Aboriginal Areas Protection Authority </w:t>
            </w:r>
            <w:r w:rsidR="001C3E1C">
              <w:rPr>
                <w:sz w:val="18"/>
                <w:szCs w:val="18"/>
              </w:rPr>
              <w:t>(</w:t>
            </w:r>
            <w:proofErr w:type="spellStart"/>
            <w:r w:rsidR="001C3E1C">
              <w:rPr>
                <w:sz w:val="18"/>
                <w:szCs w:val="18"/>
              </w:rPr>
              <w:t>AAPA</w:t>
            </w:r>
            <w:proofErr w:type="spellEnd"/>
            <w:r w:rsidR="001C3E1C">
              <w:rPr>
                <w:sz w:val="18"/>
                <w:szCs w:val="18"/>
              </w:rPr>
              <w:t>) consults and works directly with custodians.</w:t>
            </w:r>
          </w:p>
        </w:tc>
        <w:tc>
          <w:tcPr>
            <w:tcW w:w="1149" w:type="pct"/>
            <w:shd w:val="pct5" w:color="auto" w:fill="auto"/>
          </w:tcPr>
          <w:p w14:paraId="52F7A729" w14:textId="77777777" w:rsidR="003D3783" w:rsidRDefault="00916A7E" w:rsidP="00D148B3">
            <w:pPr>
              <w:pStyle w:val="TableBodyText"/>
              <w:ind w:left="0"/>
              <w:jc w:val="left"/>
              <w:rPr>
                <w:sz w:val="18"/>
                <w:szCs w:val="18"/>
              </w:rPr>
            </w:pPr>
            <w:r>
              <w:rPr>
                <w:sz w:val="18"/>
                <w:szCs w:val="18"/>
              </w:rPr>
              <w:t>P</w:t>
            </w:r>
            <w:r w:rsidRPr="00916A7E">
              <w:rPr>
                <w:sz w:val="18"/>
                <w:szCs w:val="18"/>
              </w:rPr>
              <w:t>ermit</w:t>
            </w:r>
            <w:r w:rsidR="000D0FD5">
              <w:rPr>
                <w:sz w:val="18"/>
                <w:szCs w:val="18"/>
              </w:rPr>
              <w:t xml:space="preserve"> decisions on non-</w:t>
            </w:r>
            <w:r>
              <w:rPr>
                <w:sz w:val="18"/>
                <w:szCs w:val="18"/>
              </w:rPr>
              <w:t>sacred sites rest with the Minister</w:t>
            </w:r>
            <w:r w:rsidRPr="00916A7E">
              <w:rPr>
                <w:sz w:val="18"/>
                <w:szCs w:val="18"/>
              </w:rPr>
              <w:t>.</w:t>
            </w:r>
            <w:r w:rsidR="003D3783" w:rsidRPr="00C60132">
              <w:rPr>
                <w:sz w:val="18"/>
                <w:szCs w:val="18"/>
              </w:rPr>
              <w:t xml:space="preserve"> </w:t>
            </w:r>
          </w:p>
          <w:p w14:paraId="342F81F7" w14:textId="01D4C41D" w:rsidR="00916A7E" w:rsidRPr="00C60132" w:rsidRDefault="003D3783" w:rsidP="00D148B3">
            <w:pPr>
              <w:pStyle w:val="TableBodyText"/>
              <w:ind w:left="0"/>
              <w:jc w:val="left"/>
              <w:rPr>
                <w:sz w:val="18"/>
                <w:szCs w:val="18"/>
              </w:rPr>
            </w:pPr>
            <w:r w:rsidRPr="00C60132">
              <w:rPr>
                <w:sz w:val="18"/>
                <w:szCs w:val="18"/>
              </w:rPr>
              <w:t xml:space="preserve">The </w:t>
            </w:r>
            <w:proofErr w:type="spellStart"/>
            <w:r w:rsidRPr="00C60132">
              <w:rPr>
                <w:sz w:val="18"/>
                <w:szCs w:val="18"/>
              </w:rPr>
              <w:t>AAPA</w:t>
            </w:r>
            <w:proofErr w:type="spellEnd"/>
            <w:r w:rsidRPr="00C60132">
              <w:rPr>
                <w:sz w:val="18"/>
                <w:szCs w:val="18"/>
              </w:rPr>
              <w:t xml:space="preserve"> issues Authority Certificates on sacred sites. A Minister’s Certificate can override non-certification by the </w:t>
            </w:r>
            <w:proofErr w:type="spellStart"/>
            <w:r w:rsidRPr="00C60132">
              <w:rPr>
                <w:sz w:val="18"/>
                <w:szCs w:val="18"/>
              </w:rPr>
              <w:t>AAP</w:t>
            </w:r>
            <w:r>
              <w:rPr>
                <w:sz w:val="18"/>
                <w:szCs w:val="18"/>
              </w:rPr>
              <w:t>A</w:t>
            </w:r>
            <w:proofErr w:type="spellEnd"/>
            <w:r w:rsidRPr="00C60132">
              <w:rPr>
                <w:sz w:val="18"/>
                <w:szCs w:val="18"/>
              </w:rPr>
              <w:t>.</w:t>
            </w:r>
          </w:p>
        </w:tc>
      </w:tr>
      <w:tr w:rsidR="004A032C" w:rsidRPr="00A36C06" w14:paraId="0FD2F5B9" w14:textId="77777777" w:rsidTr="006158EC">
        <w:tc>
          <w:tcPr>
            <w:tcW w:w="380" w:type="pct"/>
            <w:tcBorders>
              <w:bottom w:val="single" w:sz="6" w:space="0" w:color="auto"/>
            </w:tcBorders>
            <w:shd w:val="clear" w:color="auto" w:fill="auto"/>
          </w:tcPr>
          <w:p w14:paraId="2A7B0889" w14:textId="77777777" w:rsidR="004A032C" w:rsidRPr="00A36C06" w:rsidRDefault="004A032C" w:rsidP="002F4896">
            <w:pPr>
              <w:pStyle w:val="TableBodyText"/>
              <w:jc w:val="left"/>
              <w:rPr>
                <w:sz w:val="18"/>
                <w:szCs w:val="18"/>
              </w:rPr>
            </w:pPr>
            <w:r w:rsidRPr="00A36C06">
              <w:rPr>
                <w:sz w:val="18"/>
                <w:szCs w:val="18"/>
              </w:rPr>
              <w:t>ACT</w:t>
            </w:r>
          </w:p>
        </w:tc>
        <w:tc>
          <w:tcPr>
            <w:tcW w:w="834" w:type="pct"/>
            <w:tcBorders>
              <w:bottom w:val="single" w:sz="6" w:space="0" w:color="auto"/>
            </w:tcBorders>
            <w:shd w:val="clear" w:color="auto" w:fill="auto"/>
          </w:tcPr>
          <w:p w14:paraId="4D033FCB" w14:textId="77777777" w:rsidR="004A032C" w:rsidRPr="00A36C06" w:rsidRDefault="00B71090" w:rsidP="00ED7904">
            <w:pPr>
              <w:pStyle w:val="TableBodyText"/>
              <w:ind w:left="57"/>
              <w:jc w:val="left"/>
              <w:rPr>
                <w:sz w:val="18"/>
                <w:szCs w:val="18"/>
                <w:lang w:val="en"/>
              </w:rPr>
            </w:pPr>
            <w:r>
              <w:rPr>
                <w:sz w:val="18"/>
                <w:szCs w:val="18"/>
                <w:lang w:val="en"/>
              </w:rPr>
              <w:t>A</w:t>
            </w:r>
            <w:r w:rsidR="004A032C">
              <w:rPr>
                <w:sz w:val="18"/>
                <w:szCs w:val="18"/>
                <w:lang w:val="en"/>
              </w:rPr>
              <w:t>ll Aboriginal places and objects.</w:t>
            </w:r>
          </w:p>
        </w:tc>
        <w:tc>
          <w:tcPr>
            <w:tcW w:w="1424" w:type="pct"/>
            <w:tcBorders>
              <w:bottom w:val="single" w:sz="6" w:space="0" w:color="auto"/>
            </w:tcBorders>
            <w:shd w:val="clear" w:color="auto" w:fill="auto"/>
            <w:tcMar>
              <w:right w:w="57" w:type="dxa"/>
            </w:tcMar>
          </w:tcPr>
          <w:p w14:paraId="10B3284A" w14:textId="0B169D9A" w:rsidR="004A032C" w:rsidRPr="00A36C06" w:rsidRDefault="004A032C" w:rsidP="00935FC2">
            <w:pPr>
              <w:autoSpaceDE w:val="0"/>
              <w:autoSpaceDN w:val="0"/>
              <w:adjustRightInd w:val="0"/>
              <w:ind w:left="113" w:right="113"/>
              <w:rPr>
                <w:sz w:val="18"/>
                <w:szCs w:val="18"/>
                <w:lang w:val="en"/>
              </w:rPr>
            </w:pPr>
            <w:r w:rsidRPr="006A5CA9">
              <w:rPr>
                <w:rFonts w:ascii="Arial" w:hAnsi="Arial"/>
                <w:sz w:val="18"/>
                <w:szCs w:val="18"/>
              </w:rPr>
              <w:t xml:space="preserve">If development </w:t>
            </w:r>
            <w:r w:rsidR="00935FC2">
              <w:rPr>
                <w:rFonts w:ascii="Arial" w:hAnsi="Arial"/>
                <w:sz w:val="18"/>
                <w:szCs w:val="18"/>
              </w:rPr>
              <w:t>is likely to</w:t>
            </w:r>
            <w:r w:rsidRPr="006A5CA9">
              <w:rPr>
                <w:rFonts w:ascii="Arial" w:hAnsi="Arial"/>
                <w:sz w:val="18"/>
                <w:szCs w:val="18"/>
              </w:rPr>
              <w:t xml:space="preserve"> impact </w:t>
            </w:r>
            <w:r w:rsidR="00E935D6">
              <w:rPr>
                <w:rFonts w:ascii="Arial" w:hAnsi="Arial"/>
                <w:sz w:val="18"/>
                <w:szCs w:val="18"/>
              </w:rPr>
              <w:t xml:space="preserve">upon </w:t>
            </w:r>
            <w:r w:rsidR="001E22C7">
              <w:rPr>
                <w:rFonts w:ascii="Arial" w:hAnsi="Arial"/>
                <w:sz w:val="18"/>
                <w:szCs w:val="18"/>
              </w:rPr>
              <w:t>heritage</w:t>
            </w:r>
            <w:r w:rsidR="00935FC2">
              <w:rPr>
                <w:rFonts w:ascii="Arial" w:hAnsi="Arial"/>
                <w:sz w:val="18"/>
                <w:szCs w:val="18"/>
              </w:rPr>
              <w:t xml:space="preserve"> </w:t>
            </w:r>
            <w:r w:rsidRPr="006A5CA9">
              <w:rPr>
                <w:rFonts w:ascii="Arial" w:hAnsi="Arial"/>
                <w:sz w:val="18"/>
                <w:szCs w:val="18"/>
              </w:rPr>
              <w:t>a cultural heritage</w:t>
            </w:r>
            <w:r>
              <w:rPr>
                <w:rFonts w:ascii="Arial" w:hAnsi="Arial"/>
                <w:sz w:val="18"/>
                <w:szCs w:val="18"/>
              </w:rPr>
              <w:t xml:space="preserve"> </w:t>
            </w:r>
            <w:r w:rsidRPr="006A5CA9">
              <w:rPr>
                <w:rFonts w:ascii="Arial" w:hAnsi="Arial"/>
                <w:sz w:val="18"/>
                <w:szCs w:val="18"/>
              </w:rPr>
              <w:t>specialist</w:t>
            </w:r>
            <w:r w:rsidR="00A402EB">
              <w:rPr>
                <w:rFonts w:ascii="Arial" w:hAnsi="Arial"/>
                <w:sz w:val="18"/>
                <w:szCs w:val="18"/>
              </w:rPr>
              <w:t xml:space="preserve"> is employed to </w:t>
            </w:r>
            <w:r w:rsidRPr="006A5CA9">
              <w:rPr>
                <w:rFonts w:ascii="Arial" w:hAnsi="Arial"/>
                <w:sz w:val="18"/>
                <w:szCs w:val="18"/>
              </w:rPr>
              <w:t xml:space="preserve">consult with each </w:t>
            </w:r>
            <w:r w:rsidR="00100EDE" w:rsidRPr="003D6987">
              <w:rPr>
                <w:rFonts w:ascii="Arial" w:hAnsi="Arial" w:cs="Arial"/>
                <w:sz w:val="18"/>
                <w:szCs w:val="18"/>
                <w:lang w:val="en"/>
              </w:rPr>
              <w:t>Represe</w:t>
            </w:r>
            <w:r w:rsidR="001E22C7">
              <w:rPr>
                <w:rFonts w:ascii="Arial" w:hAnsi="Arial" w:cs="Arial"/>
                <w:sz w:val="18"/>
                <w:szCs w:val="18"/>
                <w:lang w:val="en"/>
              </w:rPr>
              <w:t xml:space="preserve">ntative Aboriginal </w:t>
            </w:r>
            <w:proofErr w:type="spellStart"/>
            <w:r w:rsidR="001E22C7">
              <w:rPr>
                <w:rFonts w:ascii="Arial" w:hAnsi="Arial" w:cs="Arial"/>
                <w:sz w:val="18"/>
                <w:szCs w:val="18"/>
                <w:lang w:val="en"/>
              </w:rPr>
              <w:t>Organisation</w:t>
            </w:r>
            <w:proofErr w:type="spellEnd"/>
            <w:r w:rsidR="00100EDE">
              <w:rPr>
                <w:rFonts w:ascii="Arial" w:hAnsi="Arial" w:cs="Arial"/>
                <w:sz w:val="18"/>
                <w:szCs w:val="18"/>
                <w:lang w:val="en"/>
              </w:rPr>
              <w:t xml:space="preserve"> </w:t>
            </w:r>
            <w:r w:rsidR="00100EDE">
              <w:rPr>
                <w:sz w:val="18"/>
                <w:szCs w:val="18"/>
                <w:lang w:val="en"/>
              </w:rPr>
              <w:t>(</w:t>
            </w:r>
            <w:r w:rsidRPr="006A5CA9">
              <w:rPr>
                <w:rFonts w:ascii="Arial" w:hAnsi="Arial"/>
                <w:sz w:val="18"/>
                <w:szCs w:val="18"/>
              </w:rPr>
              <w:t>RAO</w:t>
            </w:r>
            <w:r w:rsidR="00100EDE">
              <w:rPr>
                <w:rFonts w:ascii="Arial" w:hAnsi="Arial"/>
                <w:sz w:val="18"/>
                <w:szCs w:val="18"/>
              </w:rPr>
              <w:t>)</w:t>
            </w:r>
            <w:r w:rsidRPr="006A5CA9">
              <w:rPr>
                <w:rFonts w:ascii="Arial" w:hAnsi="Arial"/>
                <w:sz w:val="18"/>
                <w:szCs w:val="18"/>
              </w:rPr>
              <w:t xml:space="preserve">. </w:t>
            </w:r>
            <w:r>
              <w:rPr>
                <w:rFonts w:ascii="Arial" w:hAnsi="Arial"/>
                <w:sz w:val="18"/>
                <w:szCs w:val="18"/>
              </w:rPr>
              <w:t>Voluntary h</w:t>
            </w:r>
            <w:r w:rsidRPr="006A5CA9">
              <w:rPr>
                <w:rFonts w:ascii="Arial" w:hAnsi="Arial"/>
                <w:sz w:val="18"/>
                <w:szCs w:val="18"/>
              </w:rPr>
              <w:t>eritage agreements are encouraged</w:t>
            </w:r>
            <w:r w:rsidR="00A402EB">
              <w:rPr>
                <w:rFonts w:ascii="Arial" w:hAnsi="Arial"/>
                <w:sz w:val="18"/>
                <w:szCs w:val="18"/>
              </w:rPr>
              <w:t>.</w:t>
            </w:r>
          </w:p>
        </w:tc>
        <w:tc>
          <w:tcPr>
            <w:tcW w:w="1213" w:type="pct"/>
            <w:tcBorders>
              <w:bottom w:val="single" w:sz="6" w:space="0" w:color="auto"/>
            </w:tcBorders>
            <w:shd w:val="clear" w:color="auto" w:fill="auto"/>
          </w:tcPr>
          <w:p w14:paraId="441D54AE" w14:textId="2DAEE15F" w:rsidR="004A032C" w:rsidRPr="00A36C06" w:rsidRDefault="004A032C" w:rsidP="00D148B3">
            <w:pPr>
              <w:pStyle w:val="TableBodyText"/>
              <w:ind w:left="57"/>
              <w:jc w:val="left"/>
              <w:rPr>
                <w:sz w:val="18"/>
                <w:szCs w:val="18"/>
                <w:lang w:val="en"/>
              </w:rPr>
            </w:pPr>
            <w:r w:rsidRPr="00A36C06">
              <w:rPr>
                <w:sz w:val="18"/>
                <w:szCs w:val="18"/>
                <w:lang w:val="en"/>
              </w:rPr>
              <w:t xml:space="preserve">The ACT Heritage Council </w:t>
            </w:r>
            <w:r>
              <w:rPr>
                <w:sz w:val="18"/>
                <w:szCs w:val="18"/>
                <w:lang w:val="en"/>
              </w:rPr>
              <w:t xml:space="preserve">is required to </w:t>
            </w:r>
            <w:r w:rsidRPr="00A36C06">
              <w:rPr>
                <w:sz w:val="18"/>
                <w:szCs w:val="18"/>
                <w:lang w:val="en"/>
              </w:rPr>
              <w:t xml:space="preserve">consult with </w:t>
            </w:r>
            <w:proofErr w:type="spellStart"/>
            <w:r w:rsidRPr="00A36C06">
              <w:rPr>
                <w:sz w:val="18"/>
                <w:szCs w:val="18"/>
                <w:lang w:val="en"/>
              </w:rPr>
              <w:t>R</w:t>
            </w:r>
            <w:r w:rsidR="001E22C7">
              <w:rPr>
                <w:sz w:val="18"/>
                <w:szCs w:val="18"/>
                <w:lang w:val="en"/>
              </w:rPr>
              <w:t>AOs</w:t>
            </w:r>
            <w:proofErr w:type="spellEnd"/>
            <w:r w:rsidRPr="00A36C06">
              <w:rPr>
                <w:sz w:val="18"/>
                <w:szCs w:val="18"/>
                <w:lang w:val="en"/>
              </w:rPr>
              <w:t>.</w:t>
            </w:r>
          </w:p>
        </w:tc>
        <w:tc>
          <w:tcPr>
            <w:tcW w:w="1149" w:type="pct"/>
            <w:tcBorders>
              <w:bottom w:val="single" w:sz="6" w:space="0" w:color="auto"/>
            </w:tcBorders>
            <w:shd w:val="clear" w:color="auto" w:fill="auto"/>
          </w:tcPr>
          <w:p w14:paraId="34468116" w14:textId="5FAB4780" w:rsidR="004A032C" w:rsidRPr="00A36C06" w:rsidRDefault="00E510A3" w:rsidP="00935FC2">
            <w:pPr>
              <w:pStyle w:val="TableBodyText"/>
              <w:ind w:left="0"/>
              <w:jc w:val="left"/>
              <w:rPr>
                <w:sz w:val="18"/>
                <w:szCs w:val="18"/>
                <w:lang w:val="en"/>
              </w:rPr>
            </w:pPr>
            <w:r>
              <w:rPr>
                <w:sz w:val="18"/>
                <w:szCs w:val="18"/>
                <w:lang w:val="en"/>
              </w:rPr>
              <w:t>The Heritage Council</w:t>
            </w:r>
            <w:r w:rsidR="004A032C">
              <w:rPr>
                <w:sz w:val="18"/>
                <w:szCs w:val="18"/>
                <w:lang w:val="en"/>
              </w:rPr>
              <w:t xml:space="preserve"> advises the Minister for Heritage on heritage places and objects.</w:t>
            </w:r>
          </w:p>
        </w:tc>
      </w:tr>
    </w:tbl>
    <w:p w14:paraId="5D0E18A4" w14:textId="4DC0FCD5" w:rsidR="00D63E80" w:rsidRDefault="002B321E" w:rsidP="006D1C84">
      <w:pPr>
        <w:pStyle w:val="Source"/>
      </w:pPr>
      <w:r>
        <w:rPr>
          <w:i/>
        </w:rPr>
        <w:t>Sources</w:t>
      </w:r>
      <w:r>
        <w:t xml:space="preserve">: </w:t>
      </w:r>
      <w:r w:rsidR="000319CC">
        <w:t xml:space="preserve">NSW </w:t>
      </w:r>
      <w:proofErr w:type="spellStart"/>
      <w:r w:rsidR="009C4681">
        <w:t>OEH</w:t>
      </w:r>
      <w:proofErr w:type="spellEnd"/>
      <w:r w:rsidR="000319CC">
        <w:t xml:space="preserve"> (2011, </w:t>
      </w:r>
      <w:proofErr w:type="spellStart"/>
      <w:r w:rsidR="000319CC">
        <w:t>2012a</w:t>
      </w:r>
      <w:proofErr w:type="spellEnd"/>
      <w:r w:rsidR="000319CC">
        <w:t>, b);</w:t>
      </w:r>
      <w:r w:rsidR="00A50AF8">
        <w:t xml:space="preserve"> </w:t>
      </w:r>
      <w:r w:rsidR="002F0A9E">
        <w:t xml:space="preserve">Vic </w:t>
      </w:r>
      <w:proofErr w:type="spellStart"/>
      <w:r w:rsidR="00A50AF8">
        <w:t>DPCD</w:t>
      </w:r>
      <w:proofErr w:type="spellEnd"/>
      <w:r w:rsidR="00A50AF8">
        <w:t xml:space="preserve"> (2013); </w:t>
      </w:r>
      <w:r w:rsidR="002F0A9E">
        <w:t xml:space="preserve">Qld </w:t>
      </w:r>
      <w:proofErr w:type="spellStart"/>
      <w:r w:rsidR="000319CC">
        <w:t>DATSIMA</w:t>
      </w:r>
      <w:proofErr w:type="spellEnd"/>
      <w:r w:rsidR="000319CC">
        <w:t xml:space="preserve"> (2012); </w:t>
      </w:r>
      <w:r w:rsidR="00B26D16">
        <w:t xml:space="preserve">WA </w:t>
      </w:r>
      <w:proofErr w:type="spellStart"/>
      <w:r w:rsidR="00A50AF8">
        <w:t>DAA</w:t>
      </w:r>
      <w:proofErr w:type="spellEnd"/>
      <w:r w:rsidR="00A50AF8">
        <w:t xml:space="preserve"> (2011, </w:t>
      </w:r>
      <w:proofErr w:type="spellStart"/>
      <w:r w:rsidR="00A50AF8">
        <w:t>2012a</w:t>
      </w:r>
      <w:proofErr w:type="spellEnd"/>
      <w:r w:rsidR="00A50AF8">
        <w:t>,</w:t>
      </w:r>
      <w:r w:rsidR="00B26D16">
        <w:t> </w:t>
      </w:r>
      <w:r w:rsidR="00A50AF8">
        <w:t xml:space="preserve">b); </w:t>
      </w:r>
      <w:r w:rsidR="00B26D16">
        <w:t xml:space="preserve">WA </w:t>
      </w:r>
      <w:proofErr w:type="spellStart"/>
      <w:r w:rsidR="000319CC">
        <w:t>DIA</w:t>
      </w:r>
      <w:proofErr w:type="spellEnd"/>
      <w:r w:rsidR="000319CC">
        <w:t>/</w:t>
      </w:r>
      <w:proofErr w:type="spellStart"/>
      <w:r w:rsidR="000319CC">
        <w:t>DPC</w:t>
      </w:r>
      <w:proofErr w:type="spellEnd"/>
      <w:r w:rsidR="000319CC">
        <w:t xml:space="preserve"> (2013); </w:t>
      </w:r>
      <w:r w:rsidR="00A50AF8">
        <w:t xml:space="preserve">SA </w:t>
      </w:r>
      <w:proofErr w:type="spellStart"/>
      <w:r w:rsidR="002F0A9E">
        <w:t>DPC</w:t>
      </w:r>
      <w:proofErr w:type="spellEnd"/>
      <w:r w:rsidR="002F0A9E">
        <w:t xml:space="preserve"> </w:t>
      </w:r>
      <w:r w:rsidR="00A50AF8">
        <w:t xml:space="preserve">(2007); </w:t>
      </w:r>
      <w:r w:rsidR="00D108FD">
        <w:t>Transport SA (1999)</w:t>
      </w:r>
      <w:r w:rsidR="00A50AF8">
        <w:t xml:space="preserve">; </w:t>
      </w:r>
      <w:r w:rsidR="00A50AF8" w:rsidRPr="00A50AF8">
        <w:t>Aboriginal Heritage Tasmania 2012, Aboriginal Heritage Council 2013</w:t>
      </w:r>
      <w:r w:rsidR="00A50AF8">
        <w:t xml:space="preserve">; </w:t>
      </w:r>
      <w:r w:rsidR="002F0A9E">
        <w:t xml:space="preserve">NT </w:t>
      </w:r>
      <w:proofErr w:type="spellStart"/>
      <w:r w:rsidR="00A50AF8" w:rsidRPr="00A50AF8">
        <w:t>DLPE</w:t>
      </w:r>
      <w:proofErr w:type="spellEnd"/>
      <w:r w:rsidR="00A50AF8" w:rsidRPr="00A50AF8">
        <w:t xml:space="preserve"> (</w:t>
      </w:r>
      <w:proofErr w:type="spellStart"/>
      <w:r w:rsidR="00A50AF8" w:rsidRPr="00A50AF8">
        <w:t>2012</w:t>
      </w:r>
      <w:r w:rsidR="002F0A9E">
        <w:t>a</w:t>
      </w:r>
      <w:proofErr w:type="spellEnd"/>
      <w:r w:rsidR="00A50AF8" w:rsidRPr="00A50AF8">
        <w:t xml:space="preserve">) and </w:t>
      </w:r>
      <w:proofErr w:type="spellStart"/>
      <w:r w:rsidR="00A50AF8" w:rsidRPr="00A50AF8">
        <w:t>AAPA</w:t>
      </w:r>
      <w:proofErr w:type="spellEnd"/>
      <w:r w:rsidR="00A50AF8" w:rsidRPr="00A50AF8">
        <w:t xml:space="preserve"> (2013)</w:t>
      </w:r>
      <w:r w:rsidR="00A50AF8">
        <w:t xml:space="preserve">; </w:t>
      </w:r>
      <w:r w:rsidR="00A50AF8" w:rsidRPr="00A50AF8">
        <w:t xml:space="preserve">ACT </w:t>
      </w:r>
      <w:proofErr w:type="spellStart"/>
      <w:r w:rsidR="00B26D16">
        <w:t>ESDD</w:t>
      </w:r>
      <w:proofErr w:type="spellEnd"/>
      <w:r w:rsidR="00B26D16">
        <w:t xml:space="preserve"> </w:t>
      </w:r>
      <w:r w:rsidR="002721A3">
        <w:t>(</w:t>
      </w:r>
      <w:r w:rsidR="00A50AF8">
        <w:t>2011</w:t>
      </w:r>
      <w:r w:rsidR="002721A3">
        <w:t>)</w:t>
      </w:r>
      <w:r w:rsidR="00A50AF8">
        <w:t>.</w:t>
      </w:r>
    </w:p>
    <w:p w14:paraId="00D44258" w14:textId="77777777" w:rsidR="00D63E80" w:rsidRDefault="00D63E80" w:rsidP="008C61B4">
      <w:pPr>
        <w:pStyle w:val="Source"/>
        <w:spacing w:before="0" w:after="0"/>
        <w:sectPr w:rsidR="00D63E80">
          <w:headerReference w:type="even" r:id="rId15"/>
          <w:headerReference w:type="default" r:id="rId16"/>
          <w:footerReference w:type="even" r:id="rId17"/>
          <w:footerReference w:type="default" r:id="rId18"/>
          <w:headerReference w:type="first" r:id="rId19"/>
          <w:pgSz w:w="16840" w:h="11907" w:orient="landscape" w:code="9"/>
          <w:pgMar w:top="1814" w:right="1985" w:bottom="1304" w:left="1418" w:header="1701" w:footer="567" w:gutter="0"/>
          <w:pgNumType w:chapSep="period"/>
          <w:cols w:space="720"/>
        </w:sectPr>
      </w:pPr>
    </w:p>
    <w:p w14:paraId="5D9C2505" w14:textId="7FB05D0E" w:rsidR="001651B8" w:rsidRDefault="001651B8" w:rsidP="001651B8">
      <w:pPr>
        <w:pStyle w:val="BodyText"/>
      </w:pPr>
      <w:r>
        <w:rPr>
          <w:lang w:val="en"/>
        </w:rPr>
        <w:lastRenderedPageBreak/>
        <w:t>In New South Wales</w:t>
      </w:r>
      <w:r w:rsidR="00C05BDE">
        <w:rPr>
          <w:lang w:val="en"/>
        </w:rPr>
        <w:t>,</w:t>
      </w:r>
      <w:r>
        <w:rPr>
          <w:lang w:val="en"/>
        </w:rPr>
        <w:t xml:space="preserve"> t</w:t>
      </w:r>
      <w:r w:rsidRPr="00391388">
        <w:rPr>
          <w:lang w:val="en"/>
        </w:rPr>
        <w:t xml:space="preserve">he Minister </w:t>
      </w:r>
      <w:r>
        <w:rPr>
          <w:lang w:val="en"/>
        </w:rPr>
        <w:t>can</w:t>
      </w:r>
      <w:r w:rsidRPr="00391388">
        <w:rPr>
          <w:lang w:val="en"/>
        </w:rPr>
        <w:t xml:space="preserve"> </w:t>
      </w:r>
      <w:r>
        <w:rPr>
          <w:lang w:val="en"/>
        </w:rPr>
        <w:t xml:space="preserve">also </w:t>
      </w:r>
      <w:r w:rsidRPr="00391388">
        <w:rPr>
          <w:lang w:val="en"/>
        </w:rPr>
        <w:t xml:space="preserve">declare an area to be an </w:t>
      </w:r>
      <w:r>
        <w:rPr>
          <w:lang w:val="en"/>
        </w:rPr>
        <w:t>‘</w:t>
      </w:r>
      <w:r w:rsidRPr="00391388">
        <w:rPr>
          <w:lang w:val="en"/>
        </w:rPr>
        <w:t>Aboriginal place</w:t>
      </w:r>
      <w:r>
        <w:rPr>
          <w:lang w:val="en"/>
        </w:rPr>
        <w:t>’</w:t>
      </w:r>
      <w:r w:rsidRPr="00391388">
        <w:rPr>
          <w:lang w:val="en"/>
        </w:rPr>
        <w:t xml:space="preserve"> if the Minister believes that the place is or was of </w:t>
      </w:r>
      <w:r>
        <w:rPr>
          <w:lang w:val="en"/>
        </w:rPr>
        <w:t>‘</w:t>
      </w:r>
      <w:r w:rsidRPr="00391388">
        <w:rPr>
          <w:lang w:val="en"/>
        </w:rPr>
        <w:t>special significance</w:t>
      </w:r>
      <w:r>
        <w:rPr>
          <w:lang w:val="en"/>
        </w:rPr>
        <w:t>’</w:t>
      </w:r>
      <w:r w:rsidRPr="00391388">
        <w:rPr>
          <w:lang w:val="en"/>
        </w:rPr>
        <w:t xml:space="preserve"> to Aboriginal culture. An area can have spiritual, natural resource usage, historical, social, educational or </w:t>
      </w:r>
      <w:r>
        <w:rPr>
          <w:lang w:val="en"/>
        </w:rPr>
        <w:t>an</w:t>
      </w:r>
      <w:r w:rsidRPr="00391388">
        <w:rPr>
          <w:lang w:val="en"/>
        </w:rPr>
        <w:t>other type of significance</w:t>
      </w:r>
      <w:r>
        <w:rPr>
          <w:lang w:val="en"/>
        </w:rPr>
        <w:t xml:space="preserve"> (</w:t>
      </w:r>
      <w:r w:rsidR="0091412E">
        <w:t xml:space="preserve">NSW </w:t>
      </w:r>
      <w:proofErr w:type="spellStart"/>
      <w:r w:rsidR="0091412E">
        <w:t>OEH</w:t>
      </w:r>
      <w:proofErr w:type="spellEnd"/>
      <w:r>
        <w:t xml:space="preserve"> </w:t>
      </w:r>
      <w:proofErr w:type="spellStart"/>
      <w:r>
        <w:t>2012</w:t>
      </w:r>
      <w:r w:rsidR="002F0A9E">
        <w:t>b</w:t>
      </w:r>
      <w:proofErr w:type="spellEnd"/>
      <w:r>
        <w:t>).</w:t>
      </w:r>
    </w:p>
    <w:p w14:paraId="4A450F73" w14:textId="196551E3" w:rsidR="001651B8" w:rsidRDefault="001651B8" w:rsidP="001651B8">
      <w:pPr>
        <w:pStyle w:val="BodyText"/>
      </w:pPr>
      <w:r>
        <w:t>In all states and territories</w:t>
      </w:r>
      <w:r w:rsidR="00C05BDE">
        <w:t>,</w:t>
      </w:r>
      <w:r>
        <w:t xml:space="preserve"> the significance of Indigenous heritage is generally determined through heritage surveys and/or consultation with Indigenous parties on a case</w:t>
      </w:r>
      <w:r w:rsidR="00E510A3">
        <w:t>-</w:t>
      </w:r>
      <w:r>
        <w:t>by</w:t>
      </w:r>
      <w:r w:rsidR="00E510A3">
        <w:t>-</w:t>
      </w:r>
      <w:r>
        <w:t>case basis.</w:t>
      </w:r>
    </w:p>
    <w:p w14:paraId="0FE6DE48" w14:textId="77777777" w:rsidR="00DE5EEE" w:rsidRDefault="00DE5EEE" w:rsidP="00211FB1">
      <w:pPr>
        <w:pStyle w:val="Heading3"/>
        <w:rPr>
          <w:rStyle w:val="BodyTextChar"/>
        </w:rPr>
      </w:pPr>
      <w:r>
        <w:rPr>
          <w:rStyle w:val="BodyTextChar"/>
        </w:rPr>
        <w:t>Indigenous heritage surveys</w:t>
      </w:r>
    </w:p>
    <w:p w14:paraId="7D9E1CD9" w14:textId="0DBF811C" w:rsidR="00F92F38" w:rsidRDefault="00185FAF" w:rsidP="00793F7C">
      <w:pPr>
        <w:pStyle w:val="BodyText"/>
      </w:pPr>
      <w:r>
        <w:rPr>
          <w:rStyle w:val="BodyTextChar"/>
        </w:rPr>
        <w:t>In most jurisdictions</w:t>
      </w:r>
      <w:r w:rsidR="00C05BDE">
        <w:rPr>
          <w:rStyle w:val="BodyTextChar"/>
        </w:rPr>
        <w:t>,</w:t>
      </w:r>
      <w:r>
        <w:rPr>
          <w:rStyle w:val="BodyTextChar"/>
        </w:rPr>
        <w:t xml:space="preserve"> h</w:t>
      </w:r>
      <w:r w:rsidR="00747FF6" w:rsidRPr="00747FF6">
        <w:rPr>
          <w:rStyle w:val="BodyTextChar"/>
        </w:rPr>
        <w:t xml:space="preserve">eritage surveys and assessments are a significant factor in Indigenous heritage decision making. </w:t>
      </w:r>
      <w:r w:rsidR="00B910CF">
        <w:t>Generally, to identify and understand the heritage significance of an area</w:t>
      </w:r>
      <w:r w:rsidR="00D66B91">
        <w:t>,</w:t>
      </w:r>
      <w:r w:rsidR="00B910CF">
        <w:t xml:space="preserve"> an explorer will </w:t>
      </w:r>
      <w:r w:rsidR="00610821">
        <w:t xml:space="preserve">contact the relevant government department or authority </w:t>
      </w:r>
      <w:r w:rsidR="00772883">
        <w:t>which maintains the heritage register for the proposed area.</w:t>
      </w:r>
      <w:r w:rsidR="00B910CF">
        <w:t xml:space="preserve"> </w:t>
      </w:r>
    </w:p>
    <w:p w14:paraId="7DAB2370" w14:textId="3694C429" w:rsidR="00613A82" w:rsidRDefault="00AC466A" w:rsidP="00793F7C">
      <w:pPr>
        <w:pStyle w:val="BodyText"/>
      </w:pPr>
      <w:r>
        <w:t xml:space="preserve">When </w:t>
      </w:r>
      <w:r w:rsidR="00C05BDE">
        <w:t>a</w:t>
      </w:r>
      <w:r>
        <w:t xml:space="preserve"> tenement has not previously been surveyed</w:t>
      </w:r>
      <w:r w:rsidR="0037408D">
        <w:t xml:space="preserve">, only </w:t>
      </w:r>
      <w:r w:rsidR="002C0778">
        <w:t xml:space="preserve">been </w:t>
      </w:r>
      <w:r w:rsidR="0037408D">
        <w:t>partially surveyed or</w:t>
      </w:r>
      <w:r w:rsidR="00A618B9">
        <w:t xml:space="preserve"> there are no </w:t>
      </w:r>
      <w:r>
        <w:t xml:space="preserve">accessible </w:t>
      </w:r>
      <w:r w:rsidR="00A618B9">
        <w:t>records o</w:t>
      </w:r>
      <w:r w:rsidR="003A24F6">
        <w:t>f previous surveys</w:t>
      </w:r>
      <w:r w:rsidR="00D66B91">
        <w:t>,</w:t>
      </w:r>
      <w:r w:rsidR="003A24F6">
        <w:t xml:space="preserve"> </w:t>
      </w:r>
      <w:r w:rsidR="00A618B9">
        <w:t>e</w:t>
      </w:r>
      <w:r w:rsidR="003C4973">
        <w:t xml:space="preserve">xplorers </w:t>
      </w:r>
      <w:r w:rsidR="00292C8A">
        <w:t xml:space="preserve">may be </w:t>
      </w:r>
      <w:r w:rsidR="003C4973">
        <w:t xml:space="preserve">required to conduct </w:t>
      </w:r>
      <w:r w:rsidR="00793F7C">
        <w:t>heritage survey</w:t>
      </w:r>
      <w:r w:rsidR="003C4973">
        <w:t>s</w:t>
      </w:r>
      <w:r w:rsidR="000F7416">
        <w:t xml:space="preserve"> </w:t>
      </w:r>
      <w:r>
        <w:t xml:space="preserve">or </w:t>
      </w:r>
      <w:r w:rsidR="000F7416">
        <w:t>assessments</w:t>
      </w:r>
      <w:r w:rsidR="00772883">
        <w:t>.</w:t>
      </w:r>
      <w:r w:rsidR="00955FAD">
        <w:t xml:space="preserve"> T</w:t>
      </w:r>
      <w:r w:rsidR="003C4973">
        <w:t xml:space="preserve">his </w:t>
      </w:r>
      <w:r w:rsidR="00211FB1">
        <w:t>may</w:t>
      </w:r>
      <w:r w:rsidR="00AB5E56">
        <w:t xml:space="preserve"> </w:t>
      </w:r>
      <w:r w:rsidR="00172EBF">
        <w:t>involve</w:t>
      </w:r>
      <w:r w:rsidR="00DB3CD3">
        <w:t>,</w:t>
      </w:r>
      <w:r w:rsidR="003C4973">
        <w:t xml:space="preserve"> </w:t>
      </w:r>
      <w:r w:rsidR="00955FAD">
        <w:t>to varying degrees</w:t>
      </w:r>
      <w:r w:rsidR="00DB3CD3">
        <w:t>,</w:t>
      </w:r>
      <w:r w:rsidR="00955FAD">
        <w:t xml:space="preserve"> </w:t>
      </w:r>
      <w:r w:rsidR="00793F7C">
        <w:t>engag</w:t>
      </w:r>
      <w:r w:rsidR="003C4973">
        <w:t>ement</w:t>
      </w:r>
      <w:r w:rsidR="00793F7C">
        <w:t xml:space="preserve"> with </w:t>
      </w:r>
      <w:r w:rsidR="00211FB1">
        <w:t xml:space="preserve">government departments, </w:t>
      </w:r>
      <w:r w:rsidR="00D66B91">
        <w:t xml:space="preserve">Indigenous representatives for ‘country’, third parties such as Aboriginal Land Councils, and </w:t>
      </w:r>
      <w:r w:rsidR="00793F7C">
        <w:t xml:space="preserve">heritage </w:t>
      </w:r>
      <w:r w:rsidR="00211FB1">
        <w:t xml:space="preserve">professionals </w:t>
      </w:r>
      <w:r w:rsidR="00793F7C">
        <w:t>such as archaeologist</w:t>
      </w:r>
      <w:r w:rsidR="00D619FE">
        <w:t>s</w:t>
      </w:r>
      <w:r w:rsidR="00211FB1">
        <w:t xml:space="preserve"> and</w:t>
      </w:r>
      <w:r w:rsidR="00793F7C">
        <w:t xml:space="preserve"> anthropologist</w:t>
      </w:r>
      <w:r w:rsidR="00D619FE">
        <w:t>s</w:t>
      </w:r>
      <w:r w:rsidR="003C4973">
        <w:t>.</w:t>
      </w:r>
      <w:r w:rsidR="00955FAD">
        <w:t xml:space="preserve"> </w:t>
      </w:r>
      <w:r w:rsidR="00613A82">
        <w:t xml:space="preserve">For example, Western Australia </w:t>
      </w:r>
      <w:r w:rsidR="00C552DC">
        <w:t xml:space="preserve">requires both archaeological and ethnographic research </w:t>
      </w:r>
      <w:r w:rsidR="00613A82">
        <w:t xml:space="preserve">to identify the significance of </w:t>
      </w:r>
      <w:r w:rsidR="00065516">
        <w:t>Indigenous</w:t>
      </w:r>
      <w:r w:rsidR="00613A82">
        <w:t xml:space="preserve"> heritage on a proposed exploration site</w:t>
      </w:r>
      <w:r w:rsidR="00172EBF">
        <w:t>.</w:t>
      </w:r>
    </w:p>
    <w:p w14:paraId="297B6DE9" w14:textId="77777777" w:rsidR="00172EBF" w:rsidRDefault="0009265D" w:rsidP="0009265D">
      <w:pPr>
        <w:pStyle w:val="ListBullet"/>
      </w:pPr>
      <w:r>
        <w:t xml:space="preserve">Archaeological research involves </w:t>
      </w:r>
      <w:r w:rsidR="002037EA">
        <w:t>determining whether a site contains physical evidence of past occupation by Indigenous groups</w:t>
      </w:r>
      <w:r w:rsidR="00451A51">
        <w:t xml:space="preserve"> through inspection of the ground surface of a site</w:t>
      </w:r>
      <w:r w:rsidR="002037EA">
        <w:t>.</w:t>
      </w:r>
    </w:p>
    <w:p w14:paraId="7F343E9C" w14:textId="77777777" w:rsidR="002037EA" w:rsidRDefault="002037EA" w:rsidP="0009265D">
      <w:pPr>
        <w:pStyle w:val="ListBullet"/>
      </w:pPr>
      <w:r>
        <w:t xml:space="preserve">Ethnographic research is about identifying and recording significant Indigenous heritage sites through interviews and site </w:t>
      </w:r>
      <w:r w:rsidR="0029061B">
        <w:t>inspections with Indigenous groups.</w:t>
      </w:r>
    </w:p>
    <w:p w14:paraId="5717B63B" w14:textId="0DD7ABD7" w:rsidR="00C552DC" w:rsidRPr="00AA3C58" w:rsidRDefault="00D94707" w:rsidP="00AA3C58">
      <w:pPr>
        <w:pStyle w:val="BodyText"/>
        <w:rPr>
          <w:rStyle w:val="BodyTextChar"/>
        </w:rPr>
      </w:pPr>
      <w:r w:rsidRPr="00AA3C58">
        <w:rPr>
          <w:rStyle w:val="BodyTextChar"/>
        </w:rPr>
        <w:t>Box</w:t>
      </w:r>
      <w:r>
        <w:rPr>
          <w:rStyle w:val="BodyTextChar"/>
        </w:rPr>
        <w:t> </w:t>
      </w:r>
      <w:r w:rsidR="008C319F">
        <w:rPr>
          <w:rStyle w:val="BodyTextChar"/>
        </w:rPr>
        <w:t>5</w:t>
      </w:r>
      <w:r w:rsidR="00E87CE5" w:rsidRPr="00AA3C58">
        <w:rPr>
          <w:rStyle w:val="BodyTextChar"/>
        </w:rPr>
        <w:t xml:space="preserve">.3 </w:t>
      </w:r>
      <w:r w:rsidR="00AD65CA" w:rsidRPr="00AA3C58">
        <w:rPr>
          <w:rStyle w:val="BodyTextChar"/>
        </w:rPr>
        <w:t xml:space="preserve">lists </w:t>
      </w:r>
      <w:r w:rsidR="00387261" w:rsidRPr="00AA3C58">
        <w:rPr>
          <w:rStyle w:val="BodyTextChar"/>
        </w:rPr>
        <w:t>g</w:t>
      </w:r>
      <w:r w:rsidR="00172EBF" w:rsidRPr="00AA3C58">
        <w:rPr>
          <w:rStyle w:val="BodyTextChar"/>
        </w:rPr>
        <w:t xml:space="preserve">uidelines </w:t>
      </w:r>
      <w:r w:rsidR="00694BBA" w:rsidRPr="00AA3C58">
        <w:rPr>
          <w:rStyle w:val="BodyTextChar"/>
        </w:rPr>
        <w:t>developed</w:t>
      </w:r>
      <w:r w:rsidR="001474F6" w:rsidRPr="00AA3C58">
        <w:rPr>
          <w:rStyle w:val="BodyTextChar"/>
        </w:rPr>
        <w:t xml:space="preserve"> by the Western Australian Department of Indigenous Affairs </w:t>
      </w:r>
      <w:r w:rsidR="00387261" w:rsidRPr="00AA3C58">
        <w:rPr>
          <w:rStyle w:val="BodyTextChar"/>
        </w:rPr>
        <w:t xml:space="preserve">on preparing an </w:t>
      </w:r>
      <w:r w:rsidR="00FB5AD2">
        <w:rPr>
          <w:rStyle w:val="BodyTextChar"/>
        </w:rPr>
        <w:t>Indigenous</w:t>
      </w:r>
      <w:r w:rsidR="00387261" w:rsidRPr="00AA3C58">
        <w:rPr>
          <w:rStyle w:val="BodyTextChar"/>
        </w:rPr>
        <w:t xml:space="preserve"> heritage survey in Western Australia</w:t>
      </w:r>
      <w:r w:rsidR="00BD7ED4">
        <w:rPr>
          <w:rStyle w:val="BodyTextChar"/>
        </w:rPr>
        <w:t>.</w:t>
      </w:r>
      <w:r w:rsidR="00A90542">
        <w:rPr>
          <w:rStyle w:val="BodyTextChar"/>
        </w:rPr>
        <w:t xml:space="preserve"> </w:t>
      </w:r>
      <w:r w:rsidR="00C552DC">
        <w:rPr>
          <w:rStyle w:val="BodyTextChar"/>
        </w:rPr>
        <w:t>Explorers</w:t>
      </w:r>
      <w:r w:rsidR="00EF1BE6" w:rsidRPr="00AA3C58">
        <w:rPr>
          <w:rStyle w:val="BodyTextChar"/>
        </w:rPr>
        <w:t xml:space="preserve"> are </w:t>
      </w:r>
      <w:r w:rsidR="00211FB1" w:rsidRPr="00AA3C58">
        <w:rPr>
          <w:rStyle w:val="BodyTextChar"/>
        </w:rPr>
        <w:t xml:space="preserve">responsible for </w:t>
      </w:r>
      <w:r w:rsidR="00EF1BE6" w:rsidRPr="00AA3C58">
        <w:rPr>
          <w:rStyle w:val="BodyTextChar"/>
        </w:rPr>
        <w:t xml:space="preserve">meeting </w:t>
      </w:r>
      <w:r w:rsidR="00211FB1" w:rsidRPr="00AA3C58">
        <w:rPr>
          <w:rStyle w:val="BodyTextChar"/>
        </w:rPr>
        <w:t>the cost of survey work</w:t>
      </w:r>
      <w:r w:rsidR="00A90542">
        <w:rPr>
          <w:rStyle w:val="BodyTextChar"/>
        </w:rPr>
        <w:t>,</w:t>
      </w:r>
      <w:r w:rsidR="00211FB1" w:rsidRPr="00AA3C58">
        <w:rPr>
          <w:rStyle w:val="BodyTextChar"/>
        </w:rPr>
        <w:t xml:space="preserve"> which may include</w:t>
      </w:r>
      <w:r w:rsidR="00CE4876" w:rsidRPr="00AA3C58">
        <w:rPr>
          <w:rStyle w:val="BodyTextChar"/>
        </w:rPr>
        <w:t xml:space="preserve"> the fees of </w:t>
      </w:r>
      <w:r w:rsidR="00EF1BE6" w:rsidRPr="00AA3C58">
        <w:rPr>
          <w:rStyle w:val="BodyTextChar"/>
        </w:rPr>
        <w:t>archaeologist</w:t>
      </w:r>
      <w:r w:rsidR="00C048A0" w:rsidRPr="00AA3C58">
        <w:rPr>
          <w:rStyle w:val="BodyTextChar"/>
        </w:rPr>
        <w:t>s</w:t>
      </w:r>
      <w:r w:rsidR="00EF1BE6" w:rsidRPr="00AA3C58">
        <w:rPr>
          <w:rStyle w:val="BodyTextChar"/>
        </w:rPr>
        <w:t>, anthropologist</w:t>
      </w:r>
      <w:r w:rsidR="00C048A0" w:rsidRPr="00AA3C58">
        <w:rPr>
          <w:rStyle w:val="BodyTextChar"/>
        </w:rPr>
        <w:t>s</w:t>
      </w:r>
      <w:r w:rsidR="00EF1BE6" w:rsidRPr="00AA3C58">
        <w:rPr>
          <w:rStyle w:val="BodyTextChar"/>
        </w:rPr>
        <w:t xml:space="preserve"> and other professionals</w:t>
      </w:r>
      <w:r w:rsidR="00CE4876" w:rsidRPr="00AA3C58">
        <w:rPr>
          <w:rStyle w:val="BodyTextChar"/>
        </w:rPr>
        <w:t xml:space="preserve">, </w:t>
      </w:r>
      <w:r w:rsidR="00C552DC">
        <w:rPr>
          <w:rStyle w:val="BodyTextChar"/>
        </w:rPr>
        <w:t xml:space="preserve">expenses for </w:t>
      </w:r>
      <w:r w:rsidR="00FC686E" w:rsidRPr="00AA3C58">
        <w:rPr>
          <w:rStyle w:val="BodyTextChar"/>
        </w:rPr>
        <w:t>survey team</w:t>
      </w:r>
      <w:r w:rsidR="00C552DC">
        <w:rPr>
          <w:rStyle w:val="BodyTextChar"/>
        </w:rPr>
        <w:t>s</w:t>
      </w:r>
      <w:r w:rsidR="00CE4876" w:rsidRPr="00AA3C58">
        <w:rPr>
          <w:rStyle w:val="BodyTextChar"/>
        </w:rPr>
        <w:t xml:space="preserve"> and transport (</w:t>
      </w:r>
      <w:proofErr w:type="spellStart"/>
      <w:r w:rsidR="00CE4876" w:rsidRPr="00AA3C58">
        <w:rPr>
          <w:rStyle w:val="BodyTextChar"/>
        </w:rPr>
        <w:t>4WDs</w:t>
      </w:r>
      <w:proofErr w:type="spellEnd"/>
      <w:r w:rsidR="00CE4876" w:rsidRPr="00AA3C58">
        <w:rPr>
          <w:rStyle w:val="BodyTextChar"/>
        </w:rPr>
        <w:t xml:space="preserve">, helicopters etc.), </w:t>
      </w:r>
      <w:r w:rsidR="00FC686E" w:rsidRPr="00AA3C58">
        <w:rPr>
          <w:rStyle w:val="BodyTextChar"/>
        </w:rPr>
        <w:t>daily rate</w:t>
      </w:r>
      <w:r w:rsidR="00F57660" w:rsidRPr="00AA3C58">
        <w:rPr>
          <w:rStyle w:val="BodyTextChar"/>
        </w:rPr>
        <w:t>s</w:t>
      </w:r>
      <w:r w:rsidR="00FC686E" w:rsidRPr="00AA3C58">
        <w:rPr>
          <w:rStyle w:val="BodyTextChar"/>
        </w:rPr>
        <w:t xml:space="preserve"> for Indigenous parties involved in </w:t>
      </w:r>
      <w:r w:rsidR="00EF1BE6" w:rsidRPr="00AA3C58">
        <w:rPr>
          <w:rStyle w:val="BodyTextChar"/>
        </w:rPr>
        <w:t xml:space="preserve">consultation and </w:t>
      </w:r>
      <w:r w:rsidR="00FC686E" w:rsidRPr="00AA3C58">
        <w:rPr>
          <w:rStyle w:val="BodyTextChar"/>
        </w:rPr>
        <w:t>survey work</w:t>
      </w:r>
      <w:r w:rsidR="00CE4876" w:rsidRPr="00AA3C58">
        <w:rPr>
          <w:rStyle w:val="BodyTextChar"/>
        </w:rPr>
        <w:t xml:space="preserve"> and </w:t>
      </w:r>
      <w:r w:rsidR="00C552DC">
        <w:rPr>
          <w:rStyle w:val="BodyTextChar"/>
        </w:rPr>
        <w:t xml:space="preserve">fees for </w:t>
      </w:r>
      <w:r w:rsidR="00F01C4C" w:rsidRPr="00AA3C58">
        <w:rPr>
          <w:rStyle w:val="BodyTextChar"/>
        </w:rPr>
        <w:t>Aboriginal Land Council</w:t>
      </w:r>
      <w:r w:rsidR="00C552DC">
        <w:rPr>
          <w:rStyle w:val="BodyTextChar"/>
        </w:rPr>
        <w:t>s</w:t>
      </w:r>
      <w:r w:rsidR="00CE4876" w:rsidRPr="00AA3C58">
        <w:rPr>
          <w:rStyle w:val="BodyTextChar"/>
        </w:rPr>
        <w:t>.</w:t>
      </w:r>
    </w:p>
    <w:p w14:paraId="7FED9FF0" w14:textId="25ECBD68" w:rsidR="0018222A" w:rsidRDefault="0018222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8222A" w14:paraId="411724FD" w14:textId="77777777">
        <w:tc>
          <w:tcPr>
            <w:tcW w:w="8771" w:type="dxa"/>
            <w:tcBorders>
              <w:top w:val="single" w:sz="6" w:space="0" w:color="auto"/>
              <w:bottom w:val="nil"/>
            </w:tcBorders>
          </w:tcPr>
          <w:p w14:paraId="5A1DB78B" w14:textId="2045E9EC" w:rsidR="0018222A" w:rsidRDefault="0018222A" w:rsidP="00065516">
            <w:pPr>
              <w:pStyle w:val="BoxTitle"/>
            </w:pPr>
            <w:r>
              <w:rPr>
                <w:b w:val="0"/>
              </w:rPr>
              <w:t xml:space="preserve">Box </w:t>
            </w:r>
            <w:r w:rsidR="009A44B4">
              <w:rPr>
                <w:b w:val="0"/>
              </w:rPr>
              <w:t>5.</w:t>
            </w:r>
            <w:r w:rsidR="009A44B4">
              <w:rPr>
                <w:b w:val="0"/>
                <w:noProof/>
              </w:rPr>
              <w:t>3</w:t>
            </w:r>
            <w:r>
              <w:tab/>
            </w:r>
            <w:r w:rsidR="00065516">
              <w:t>Aboriginal</w:t>
            </w:r>
            <w:r>
              <w:t xml:space="preserve"> heritage survey guidelines, Western Australia</w:t>
            </w:r>
          </w:p>
        </w:tc>
      </w:tr>
      <w:tr w:rsidR="0018222A" w14:paraId="599B43FF" w14:textId="77777777">
        <w:trPr>
          <w:cantSplit/>
        </w:trPr>
        <w:tc>
          <w:tcPr>
            <w:tcW w:w="8771" w:type="dxa"/>
            <w:tcBorders>
              <w:top w:val="nil"/>
              <w:left w:val="single" w:sz="6" w:space="0" w:color="auto"/>
              <w:bottom w:val="nil"/>
              <w:right w:val="single" w:sz="6" w:space="0" w:color="auto"/>
            </w:tcBorders>
          </w:tcPr>
          <w:p w14:paraId="2FF2E16B" w14:textId="5F033772" w:rsidR="003D44EB" w:rsidRPr="008D5D39" w:rsidRDefault="003D44EB" w:rsidP="008D5D39">
            <w:pPr>
              <w:pStyle w:val="Box"/>
            </w:pPr>
            <w:r w:rsidRPr="008D5D39">
              <w:t xml:space="preserve">The Western Australian Department of Indigenous Affairs has designed a set of guidelines for land owners and users including explorers, consultants and researchers to follow when undertaking heritage surveys. </w:t>
            </w:r>
            <w:r w:rsidR="009F1C80" w:rsidRPr="008D5D39">
              <w:t>T</w:t>
            </w:r>
            <w:r w:rsidR="00F276FE" w:rsidRPr="008D5D39">
              <w:t>hese</w:t>
            </w:r>
            <w:r w:rsidRPr="008D5D39">
              <w:t xml:space="preserve"> </w:t>
            </w:r>
            <w:r w:rsidR="00E510A3">
              <w:t xml:space="preserve">guidelines </w:t>
            </w:r>
            <w:r w:rsidRPr="008D5D39">
              <w:t>include:</w:t>
            </w:r>
          </w:p>
          <w:p w14:paraId="13BE81BE" w14:textId="135D9E65" w:rsidR="00F276FE" w:rsidRDefault="00065516" w:rsidP="00F276FE">
            <w:pPr>
              <w:pStyle w:val="BoxListBullet"/>
            </w:pPr>
            <w:r>
              <w:t>c</w:t>
            </w:r>
            <w:r w:rsidR="003D44EB">
              <w:t>opyright</w:t>
            </w:r>
            <w:r w:rsidR="00F276FE">
              <w:t>:</w:t>
            </w:r>
            <w:r w:rsidR="003D44EB">
              <w:t xml:space="preserve"> </w:t>
            </w:r>
            <w:r w:rsidR="00E510A3">
              <w:t>licens</w:t>
            </w:r>
            <w:r w:rsidR="00970708">
              <w:t>ing</w:t>
            </w:r>
            <w:r w:rsidR="00E96C7C">
              <w:t xml:space="preserve"> the d</w:t>
            </w:r>
            <w:r w:rsidR="00F276FE">
              <w:t xml:space="preserve">epartment to use the </w:t>
            </w:r>
            <w:r>
              <w:t>report for specified purposes</w:t>
            </w:r>
          </w:p>
          <w:p w14:paraId="0E840E86" w14:textId="50E5C397" w:rsidR="00F276FE" w:rsidRDefault="00065516" w:rsidP="00F276FE">
            <w:pPr>
              <w:pStyle w:val="BoxListBullet"/>
            </w:pPr>
            <w:r>
              <w:t>s</w:t>
            </w:r>
            <w:r w:rsidR="00F276FE">
              <w:t>patial accuracy statement</w:t>
            </w:r>
          </w:p>
          <w:p w14:paraId="7B2DDC81" w14:textId="03A44CA7" w:rsidR="00F276FE" w:rsidRDefault="00065516" w:rsidP="00F276FE">
            <w:pPr>
              <w:pStyle w:val="BoxListBullet"/>
            </w:pPr>
            <w:r>
              <w:t>a</w:t>
            </w:r>
            <w:r w:rsidR="00F276FE" w:rsidRPr="00F276FE">
              <w:t>cknowledgements and list of survey participants</w:t>
            </w:r>
          </w:p>
          <w:p w14:paraId="2971390D" w14:textId="09923AAC" w:rsidR="00F276FE" w:rsidRDefault="00065516" w:rsidP="00065516">
            <w:pPr>
              <w:pStyle w:val="BoxListBullet"/>
            </w:pPr>
            <w:r>
              <w:t>p</w:t>
            </w:r>
            <w:r w:rsidRPr="00065516">
              <w:t>urpose of the heritage survey report</w:t>
            </w:r>
            <w:r w:rsidR="00E510A3">
              <w:t>,</w:t>
            </w:r>
            <w:r w:rsidR="004F6950">
              <w:t xml:space="preserve"> </w:t>
            </w:r>
            <w:r w:rsidR="00970708">
              <w:t>including</w:t>
            </w:r>
            <w:r>
              <w:t xml:space="preserve"> proposed development</w:t>
            </w:r>
          </w:p>
          <w:p w14:paraId="77A668AF" w14:textId="30E3FBF9" w:rsidR="00065516" w:rsidRDefault="00065516" w:rsidP="00065516">
            <w:pPr>
              <w:pStyle w:val="BoxListBullet"/>
            </w:pPr>
            <w:r>
              <w:t>desktop study: previously reported Aboriginal sites, identification and review of previous heritage survey reports, identification of Aboriginal people and organisations affected by the proposed use of the land and a summary of the main findings of the heritage survey</w:t>
            </w:r>
          </w:p>
          <w:p w14:paraId="460AEDEC" w14:textId="404C3979" w:rsidR="003F225D" w:rsidRDefault="003F225D" w:rsidP="00065516">
            <w:pPr>
              <w:pStyle w:val="BoxListBullet"/>
            </w:pPr>
            <w:r>
              <w:t>methodology: type of survey, field methodology</w:t>
            </w:r>
            <w:r w:rsidR="007A7FBF">
              <w:t xml:space="preserve"> and</w:t>
            </w:r>
            <w:r>
              <w:t xml:space="preserve"> consultation </w:t>
            </w:r>
            <w:r w:rsidR="007A7FBF">
              <w:t>(</w:t>
            </w:r>
            <w:r>
              <w:t xml:space="preserve">including how Aboriginal </w:t>
            </w:r>
            <w:r w:rsidR="00955FAD">
              <w:t xml:space="preserve">advisors </w:t>
            </w:r>
            <w:r>
              <w:t>were selected</w:t>
            </w:r>
            <w:r w:rsidR="007A7FBF">
              <w:t>)</w:t>
            </w:r>
          </w:p>
          <w:p w14:paraId="2C564363" w14:textId="1D6B0E5F" w:rsidR="003F225D" w:rsidRDefault="004F6950" w:rsidP="00065516">
            <w:pPr>
              <w:pStyle w:val="BoxListBullet"/>
            </w:pPr>
            <w:r>
              <w:t xml:space="preserve">survey area </w:t>
            </w:r>
            <w:r w:rsidR="003F225D">
              <w:t>wi</w:t>
            </w:r>
            <w:r>
              <w:t>th supporting maps and diagrams</w:t>
            </w:r>
          </w:p>
          <w:p w14:paraId="0463FFD7" w14:textId="0EB5F721" w:rsidR="003F225D" w:rsidRDefault="003F225D" w:rsidP="00065516">
            <w:pPr>
              <w:pStyle w:val="BoxListBullet"/>
            </w:pPr>
            <w:r>
              <w:t>field survey: location, survey dates, perso</w:t>
            </w:r>
            <w:r w:rsidR="00D94B36">
              <w:t>ns involved, archaeological and ethnographic survey</w:t>
            </w:r>
            <w:r w:rsidR="00133499">
              <w:t>s</w:t>
            </w:r>
            <w:r w:rsidR="00D94B36">
              <w:t>, evaluation of significance for each Aboriginal site</w:t>
            </w:r>
          </w:p>
          <w:p w14:paraId="0B5A8A8A" w14:textId="08738DF0" w:rsidR="00D94B36" w:rsidRDefault="003F225D" w:rsidP="00D94B36">
            <w:pPr>
              <w:pStyle w:val="BoxListBullet"/>
            </w:pPr>
            <w:r>
              <w:t>potential effects</w:t>
            </w:r>
            <w:r w:rsidR="00D94B36">
              <w:t xml:space="preserve">: strategies to avoid or minimise the effect of the proposed </w:t>
            </w:r>
            <w:r w:rsidR="009F1C80">
              <w:t xml:space="preserve">land use </w:t>
            </w:r>
            <w:r w:rsidR="00D94B36">
              <w:t>on any Aboriginal site</w:t>
            </w:r>
            <w:r w:rsidR="00133499">
              <w:t xml:space="preserve"> and</w:t>
            </w:r>
            <w:r w:rsidR="00970708">
              <w:t>,</w:t>
            </w:r>
            <w:r w:rsidR="009F1C80">
              <w:t xml:space="preserve"> where a proposed land use will affect an Aboriginal site</w:t>
            </w:r>
            <w:r w:rsidR="00D94B36">
              <w:t>, identif</w:t>
            </w:r>
            <w:r w:rsidR="00970708">
              <w:t>ication of</w:t>
            </w:r>
            <w:r w:rsidR="00D94B36">
              <w:t xml:space="preserve"> any site affected, </w:t>
            </w:r>
            <w:r w:rsidR="009F1C80">
              <w:t>why the site cannot be avoided and the type and degree of effect on the site</w:t>
            </w:r>
          </w:p>
          <w:p w14:paraId="2B8182C9" w14:textId="78F58D04" w:rsidR="003F225D" w:rsidRDefault="003F225D" w:rsidP="00065516">
            <w:pPr>
              <w:pStyle w:val="BoxListBullet"/>
            </w:pPr>
            <w:r>
              <w:t>discussion and conclusions</w:t>
            </w:r>
          </w:p>
          <w:p w14:paraId="03D33B6C" w14:textId="35B96564" w:rsidR="0018222A" w:rsidRDefault="003F225D" w:rsidP="00E33869">
            <w:pPr>
              <w:pStyle w:val="BoxListBullet"/>
            </w:pPr>
            <w:r>
              <w:t>recommendations</w:t>
            </w:r>
            <w:r w:rsidR="009F1C80">
              <w:t xml:space="preserve">: </w:t>
            </w:r>
            <w:r w:rsidR="00133499">
              <w:t>includ</w:t>
            </w:r>
            <w:r w:rsidR="00970708">
              <w:t>ing</w:t>
            </w:r>
            <w:r w:rsidR="00133499">
              <w:t xml:space="preserve"> </w:t>
            </w:r>
            <w:r w:rsidR="009F1C80">
              <w:t>the mitigation of any potential effects on Aboriginal sites, a statement as to whether an opportunity has been provided to the Aboriginal people involved in the survey to comment on the contents of the report and whether further consultation with Aboriginal people is required or more information about the proposed use of the land and its effects is needed</w:t>
            </w:r>
            <w:r w:rsidR="00970708">
              <w:t>.</w:t>
            </w:r>
          </w:p>
        </w:tc>
      </w:tr>
      <w:tr w:rsidR="0018222A" w14:paraId="0C8F60C9" w14:textId="77777777">
        <w:trPr>
          <w:cantSplit/>
        </w:trPr>
        <w:tc>
          <w:tcPr>
            <w:tcW w:w="8771" w:type="dxa"/>
            <w:tcBorders>
              <w:top w:val="nil"/>
              <w:left w:val="single" w:sz="6" w:space="0" w:color="auto"/>
              <w:bottom w:val="nil"/>
              <w:right w:val="single" w:sz="6" w:space="0" w:color="auto"/>
            </w:tcBorders>
          </w:tcPr>
          <w:p w14:paraId="348C7C75" w14:textId="71DD6B51" w:rsidR="0018222A" w:rsidRDefault="0018222A" w:rsidP="002F0A9E">
            <w:pPr>
              <w:pStyle w:val="BoxSource"/>
            </w:pPr>
            <w:r>
              <w:rPr>
                <w:i/>
              </w:rPr>
              <w:t>Source</w:t>
            </w:r>
            <w:r w:rsidRPr="00167F06">
              <w:t>:</w:t>
            </w:r>
            <w:r w:rsidR="001149B8">
              <w:t xml:space="preserve"> </w:t>
            </w:r>
            <w:r w:rsidR="00D94707">
              <w:t xml:space="preserve">WA </w:t>
            </w:r>
            <w:proofErr w:type="spellStart"/>
            <w:r w:rsidR="001149B8">
              <w:t>DIA</w:t>
            </w:r>
            <w:proofErr w:type="spellEnd"/>
            <w:r w:rsidR="001149B8">
              <w:t xml:space="preserve"> </w:t>
            </w:r>
            <w:r w:rsidR="00D94707">
              <w:t>(</w:t>
            </w:r>
            <w:r w:rsidR="001149B8">
              <w:t>2010</w:t>
            </w:r>
            <w:r w:rsidR="00D94707">
              <w:t>).</w:t>
            </w:r>
          </w:p>
        </w:tc>
      </w:tr>
      <w:tr w:rsidR="0018222A" w14:paraId="2AC849C2" w14:textId="77777777">
        <w:trPr>
          <w:cantSplit/>
        </w:trPr>
        <w:tc>
          <w:tcPr>
            <w:tcW w:w="8771" w:type="dxa"/>
            <w:tcBorders>
              <w:top w:val="nil"/>
              <w:left w:val="single" w:sz="6" w:space="0" w:color="auto"/>
              <w:bottom w:val="single" w:sz="6" w:space="0" w:color="auto"/>
              <w:right w:val="single" w:sz="6" w:space="0" w:color="auto"/>
            </w:tcBorders>
          </w:tcPr>
          <w:p w14:paraId="7380AF0C" w14:textId="77777777" w:rsidR="0018222A" w:rsidRDefault="0018222A">
            <w:pPr>
              <w:pStyle w:val="Box"/>
              <w:spacing w:before="0" w:line="120" w:lineRule="exact"/>
            </w:pPr>
          </w:p>
        </w:tc>
      </w:tr>
      <w:tr w:rsidR="0018222A" w:rsidRPr="000863A5" w14:paraId="1E1A86C1" w14:textId="77777777">
        <w:tc>
          <w:tcPr>
            <w:tcW w:w="8771" w:type="dxa"/>
            <w:tcBorders>
              <w:top w:val="nil"/>
              <w:left w:val="nil"/>
              <w:bottom w:val="nil"/>
              <w:right w:val="nil"/>
            </w:tcBorders>
          </w:tcPr>
          <w:p w14:paraId="60C26E9E" w14:textId="062B0AEA" w:rsidR="0018222A" w:rsidRPr="00626D32" w:rsidRDefault="0018222A" w:rsidP="00805BCF">
            <w:pPr>
              <w:pStyle w:val="BoxSpaceBelow"/>
            </w:pPr>
          </w:p>
        </w:tc>
      </w:tr>
    </w:tbl>
    <w:p w14:paraId="33B19C8A" w14:textId="3FCF2044" w:rsidR="00651B31" w:rsidRDefault="00651B31" w:rsidP="00651B31">
      <w:pPr>
        <w:pStyle w:val="BodyText"/>
      </w:pPr>
      <w:r>
        <w:t>In contrast, in Queensland the focus of heritage decision making is on consultation and agreement making between explorers and Indigenous parties prior to exploration. Heritage surveys based on archaeological and anthropological research are generally not conducted.</w:t>
      </w:r>
    </w:p>
    <w:p w14:paraId="5D8872E2" w14:textId="22D8B274" w:rsidR="00CC7065" w:rsidRDefault="00BF6556" w:rsidP="00AD1B18">
      <w:pPr>
        <w:pStyle w:val="Heading3"/>
      </w:pPr>
      <w:r>
        <w:t>Indigenous h</w:t>
      </w:r>
      <w:r w:rsidR="00491217">
        <w:t>eritage management</w:t>
      </w:r>
      <w:r w:rsidR="00007D95">
        <w:t xml:space="preserve"> processes</w:t>
      </w:r>
      <w:r w:rsidR="005458C3">
        <w:t xml:space="preserve"> for exploration</w:t>
      </w:r>
    </w:p>
    <w:p w14:paraId="56AC1F8B" w14:textId="4745BA9D" w:rsidR="00E56030" w:rsidRDefault="00E56030" w:rsidP="008D32F3">
      <w:pPr>
        <w:pStyle w:val="BodyText"/>
      </w:pPr>
      <w:r>
        <w:t xml:space="preserve">When </w:t>
      </w:r>
      <w:r w:rsidR="00BF6556">
        <w:t xml:space="preserve">Indigenous </w:t>
      </w:r>
      <w:r w:rsidR="00804679">
        <w:t xml:space="preserve">heritage </w:t>
      </w:r>
      <w:r w:rsidR="008050A1">
        <w:t xml:space="preserve">of </w:t>
      </w:r>
      <w:r w:rsidR="0078763A">
        <w:t xml:space="preserve">significance </w:t>
      </w:r>
      <w:r w:rsidR="006A6E16">
        <w:t xml:space="preserve">is </w:t>
      </w:r>
      <w:r w:rsidR="00804679">
        <w:t>discovered</w:t>
      </w:r>
      <w:r w:rsidR="007A7FBF">
        <w:t>,</w:t>
      </w:r>
      <w:r w:rsidR="00804679">
        <w:t xml:space="preserve"> there are </w:t>
      </w:r>
      <w:r w:rsidR="008050A1">
        <w:t xml:space="preserve">requirements </w:t>
      </w:r>
      <w:r w:rsidR="00C552DC">
        <w:t xml:space="preserve">on </w:t>
      </w:r>
      <w:r w:rsidR="00804679">
        <w:t>explorer</w:t>
      </w:r>
      <w:r w:rsidR="00F63D7C">
        <w:t>s</w:t>
      </w:r>
      <w:r w:rsidR="00804679">
        <w:t xml:space="preserve"> </w:t>
      </w:r>
      <w:r w:rsidR="00C674CB">
        <w:t>to manage the site</w:t>
      </w:r>
      <w:r w:rsidR="00C552DC">
        <w:t>,</w:t>
      </w:r>
      <w:r w:rsidR="00C674CB">
        <w:t xml:space="preserve"> depending on the nature of the activity and the legislatio</w:t>
      </w:r>
      <w:r w:rsidR="00962AC4">
        <w:t>n in the relevant jurisdiction.</w:t>
      </w:r>
      <w:r w:rsidR="00877B32" w:rsidRPr="00877B32">
        <w:t xml:space="preserve"> </w:t>
      </w:r>
      <w:r w:rsidR="00D94707">
        <w:t>Table </w:t>
      </w:r>
      <w:r w:rsidR="008C319F">
        <w:t>5</w:t>
      </w:r>
      <w:r w:rsidR="00877B32">
        <w:t xml:space="preserve">.2 provides a snapshot of </w:t>
      </w:r>
      <w:r w:rsidR="00F245DC">
        <w:t xml:space="preserve">the </w:t>
      </w:r>
      <w:r w:rsidR="00877B32">
        <w:t>heritage management requirements in each jurisdiction.</w:t>
      </w:r>
    </w:p>
    <w:p w14:paraId="2442F05D" w14:textId="5914E2D7" w:rsidR="00C674CB" w:rsidRDefault="00C674CB" w:rsidP="00C674CB">
      <w:pPr>
        <w:pStyle w:val="BodyText"/>
      </w:pPr>
      <w:r>
        <w:lastRenderedPageBreak/>
        <w:t>Some jurisdictions</w:t>
      </w:r>
      <w:r w:rsidR="00F63D7C">
        <w:t>,</w:t>
      </w:r>
      <w:r>
        <w:t xml:space="preserve"> </w:t>
      </w:r>
      <w:r w:rsidR="00F63D7C">
        <w:t xml:space="preserve">including New South Wales, Victoria and Queensland, </w:t>
      </w:r>
      <w:r>
        <w:t>provide exemptions for activities considered ‘low impact’</w:t>
      </w:r>
      <w:r w:rsidR="00150EED">
        <w:t>.</w:t>
      </w:r>
      <w:r w:rsidR="00F1184F">
        <w:t xml:space="preserve"> </w:t>
      </w:r>
      <w:r w:rsidR="00C61748">
        <w:t>I</w:t>
      </w:r>
      <w:r>
        <w:t xml:space="preserve">n some </w:t>
      </w:r>
      <w:r w:rsidR="003D7D13">
        <w:t>cases</w:t>
      </w:r>
      <w:r w:rsidR="007A7FBF">
        <w:t>,</w:t>
      </w:r>
      <w:r>
        <w:t xml:space="preserve"> heritage obligations </w:t>
      </w:r>
      <w:r w:rsidR="00F1184F">
        <w:t xml:space="preserve">may be met </w:t>
      </w:r>
      <w:r>
        <w:t>by avoiding sensitive areas</w:t>
      </w:r>
      <w:r w:rsidR="00CF4A04">
        <w:t xml:space="preserve"> on the exploration site</w:t>
      </w:r>
      <w:r w:rsidR="00F1184F">
        <w:t xml:space="preserve">. Sensitive areas </w:t>
      </w:r>
      <w:r w:rsidR="000A4854">
        <w:t>may</w:t>
      </w:r>
      <w:r w:rsidR="00F245DC">
        <w:t xml:space="preserve"> include sand dunes</w:t>
      </w:r>
      <w:r w:rsidR="00F1184F">
        <w:t>, rock outcrops and stone arrangements, scatters of stone art</w:t>
      </w:r>
      <w:r w:rsidR="00AC0729">
        <w:t>e</w:t>
      </w:r>
      <w:r w:rsidR="00F1184F">
        <w:t>facts</w:t>
      </w:r>
      <w:r w:rsidR="00C552DC">
        <w:t>,</w:t>
      </w:r>
      <w:r w:rsidR="00F1184F">
        <w:t xml:space="preserve"> middens, scarred trees and the edges of lakes, rivers and </w:t>
      </w:r>
      <w:proofErr w:type="spellStart"/>
      <w:r w:rsidR="00F1184F">
        <w:t>claypans</w:t>
      </w:r>
      <w:proofErr w:type="spellEnd"/>
      <w:r w:rsidR="00F1184F">
        <w:t>.</w:t>
      </w:r>
    </w:p>
    <w:p w14:paraId="370BE399" w14:textId="114F28BA" w:rsidR="007D66CF" w:rsidRDefault="000A4854" w:rsidP="008D32F3">
      <w:pPr>
        <w:pStyle w:val="BodyText"/>
      </w:pPr>
      <w:r>
        <w:t>In most instances</w:t>
      </w:r>
      <w:r w:rsidR="007A7FBF">
        <w:t>,</w:t>
      </w:r>
      <w:r w:rsidR="00E53E17">
        <w:t xml:space="preserve"> </w:t>
      </w:r>
      <w:r w:rsidR="00470A04">
        <w:t xml:space="preserve">Indigenous </w:t>
      </w:r>
      <w:r w:rsidR="00E53E17">
        <w:t xml:space="preserve">heritage </w:t>
      </w:r>
      <w:r w:rsidR="00D66CBE">
        <w:t xml:space="preserve">is managed during </w:t>
      </w:r>
      <w:r w:rsidR="00E53E17">
        <w:t xml:space="preserve">exploration through duty of care processes, agreed cultural management plans </w:t>
      </w:r>
      <w:r w:rsidR="00C66707">
        <w:t xml:space="preserve">or land </w:t>
      </w:r>
      <w:r w:rsidR="00F57660">
        <w:t xml:space="preserve">use </w:t>
      </w:r>
      <w:r w:rsidR="00C66707">
        <w:t xml:space="preserve">agreements </w:t>
      </w:r>
      <w:r w:rsidR="00E53E17">
        <w:t xml:space="preserve">and </w:t>
      </w:r>
      <w:r w:rsidR="00E9011E">
        <w:t>authorisation</w:t>
      </w:r>
      <w:r w:rsidR="00E53E17">
        <w:t xml:space="preserve"> systems.</w:t>
      </w:r>
      <w:r w:rsidR="00D66CBE">
        <w:t xml:space="preserve"> In brief:</w:t>
      </w:r>
    </w:p>
    <w:p w14:paraId="5E2726D1" w14:textId="77777777" w:rsidR="007D66CF" w:rsidRDefault="007D66CF" w:rsidP="007D66CF">
      <w:pPr>
        <w:pStyle w:val="ListBullet"/>
      </w:pPr>
      <w:r>
        <w:t>‘</w:t>
      </w:r>
      <w:r w:rsidR="00EA44C4">
        <w:t>d</w:t>
      </w:r>
      <w:r w:rsidR="00CA651D">
        <w:t>u</w:t>
      </w:r>
      <w:r>
        <w:t>ty of care’</w:t>
      </w:r>
      <w:r w:rsidR="006837BA">
        <w:t xml:space="preserve"> </w:t>
      </w:r>
      <w:r>
        <w:t xml:space="preserve">(Queensland) or ‘due diligence’ (New South Wales) processes require </w:t>
      </w:r>
      <w:r w:rsidR="00D66CBE">
        <w:t>explorers</w:t>
      </w:r>
      <w:r>
        <w:t xml:space="preserve"> to take all reasonab</w:t>
      </w:r>
      <w:r w:rsidR="00521F2E">
        <w:t xml:space="preserve">le and practicable measures to </w:t>
      </w:r>
      <w:r w:rsidR="00D66CBE">
        <w:t xml:space="preserve">prevent harm to </w:t>
      </w:r>
      <w:r w:rsidR="00CA651D">
        <w:t>Indigenous cultural heritage</w:t>
      </w:r>
    </w:p>
    <w:p w14:paraId="1F090FA5" w14:textId="325B8F84" w:rsidR="00E53E17" w:rsidRDefault="00CA651D" w:rsidP="007D66CF">
      <w:pPr>
        <w:pStyle w:val="ListBullet"/>
      </w:pPr>
      <w:r>
        <w:t>i</w:t>
      </w:r>
      <w:r w:rsidR="00E33859">
        <w:t>n some instances c</w:t>
      </w:r>
      <w:r w:rsidR="00E53E17">
        <w:t>u</w:t>
      </w:r>
      <w:r w:rsidR="00E33859">
        <w:t>ltu</w:t>
      </w:r>
      <w:r w:rsidR="00E53E17">
        <w:t xml:space="preserve">ral heritage </w:t>
      </w:r>
      <w:r w:rsidR="00E33859">
        <w:t xml:space="preserve">management </w:t>
      </w:r>
      <w:r w:rsidR="00CA1F4B">
        <w:t>agreements</w:t>
      </w:r>
      <w:r w:rsidR="00D66CBE">
        <w:t xml:space="preserve"> </w:t>
      </w:r>
      <w:r w:rsidR="00E33859">
        <w:t xml:space="preserve">are made </w:t>
      </w:r>
      <w:r w:rsidR="00D66CBE">
        <w:t>bet</w:t>
      </w:r>
      <w:r w:rsidR="00141E86">
        <w:t xml:space="preserve">ween </w:t>
      </w:r>
      <w:r w:rsidR="00F245DC">
        <w:t>Indigenous</w:t>
      </w:r>
      <w:r w:rsidR="000D710F">
        <w:t xml:space="preserve"> part</w:t>
      </w:r>
      <w:r w:rsidR="00141E86">
        <w:t>ies</w:t>
      </w:r>
      <w:r w:rsidR="000D710F">
        <w:t xml:space="preserve"> and explorer</w:t>
      </w:r>
      <w:r w:rsidR="00141E86">
        <w:t>s</w:t>
      </w:r>
      <w:r w:rsidR="00D66CBE">
        <w:t xml:space="preserve"> </w:t>
      </w:r>
      <w:r w:rsidR="003E4DAC">
        <w:t>to allow exploration to take place in heritage area</w:t>
      </w:r>
      <w:r w:rsidR="00E33859">
        <w:t>s</w:t>
      </w:r>
      <w:r w:rsidR="00024C17">
        <w:t>.</w:t>
      </w:r>
      <w:r w:rsidR="00E33859">
        <w:t xml:space="preserve"> </w:t>
      </w:r>
      <w:r w:rsidR="00E53E17">
        <w:t xml:space="preserve">The content of an agreement is </w:t>
      </w:r>
      <w:r w:rsidR="000155A1">
        <w:t xml:space="preserve">generally </w:t>
      </w:r>
      <w:r w:rsidR="00E53E17">
        <w:t>not prescriptive and may include the protection</w:t>
      </w:r>
      <w:r w:rsidR="00F92F38">
        <w:t xml:space="preserve"> </w:t>
      </w:r>
      <w:r w:rsidR="00C552DC">
        <w:t>or</w:t>
      </w:r>
      <w:r w:rsidR="00E53E17">
        <w:t xml:space="preserve"> maintenance of a</w:t>
      </w:r>
      <w:r w:rsidR="004B28FE">
        <w:t xml:space="preserve"> heritage</w:t>
      </w:r>
      <w:r w:rsidR="00E53E17">
        <w:t xml:space="preserve"> site or object, right to access the site by </w:t>
      </w:r>
      <w:r w:rsidR="00604A48">
        <w:t>Indigenous</w:t>
      </w:r>
      <w:r w:rsidR="00E53E17">
        <w:t xml:space="preserve"> people and the rehabilitation </w:t>
      </w:r>
      <w:r>
        <w:t xml:space="preserve">of </w:t>
      </w:r>
      <w:r w:rsidR="00604A48">
        <w:t>Indigenous</w:t>
      </w:r>
      <w:r>
        <w:t xml:space="preserve"> places or objects</w:t>
      </w:r>
    </w:p>
    <w:p w14:paraId="39AA001D" w14:textId="3134F2B1" w:rsidR="007D66CF" w:rsidRDefault="00CA651D" w:rsidP="007D66CF">
      <w:pPr>
        <w:pStyle w:val="ListBullet"/>
      </w:pPr>
      <w:r>
        <w:t>i</w:t>
      </w:r>
      <w:r w:rsidR="007D66CF">
        <w:t>n most jurisdictions (</w:t>
      </w:r>
      <w:r w:rsidR="007F4902">
        <w:t>except Queensland</w:t>
      </w:r>
      <w:r w:rsidR="007D66CF">
        <w:t xml:space="preserve">) </w:t>
      </w:r>
      <w:r w:rsidR="00B5218F">
        <w:t xml:space="preserve">explorers can apply for </w:t>
      </w:r>
      <w:r w:rsidR="007D66CF">
        <w:t xml:space="preserve">a permit </w:t>
      </w:r>
      <w:r w:rsidR="00E53E17">
        <w:t>or c</w:t>
      </w:r>
      <w:r w:rsidR="00D42AC5">
        <w:t>onsent</w:t>
      </w:r>
      <w:r w:rsidR="00E53E17">
        <w:t xml:space="preserve"> (from a Minister or </w:t>
      </w:r>
      <w:r w:rsidR="00D42AC5">
        <w:t>department</w:t>
      </w:r>
      <w:r w:rsidR="00E53E17">
        <w:t xml:space="preserve">) </w:t>
      </w:r>
      <w:r w:rsidR="00047C63">
        <w:t xml:space="preserve">to proceed </w:t>
      </w:r>
      <w:r w:rsidR="007D66CF">
        <w:t>w</w:t>
      </w:r>
      <w:r w:rsidR="00047C63">
        <w:t xml:space="preserve">ith exploration when it is </w:t>
      </w:r>
      <w:r w:rsidR="007D66CF">
        <w:t>likely</w:t>
      </w:r>
      <w:r w:rsidR="00E53E17">
        <w:t xml:space="preserve"> to </w:t>
      </w:r>
      <w:r w:rsidR="004104BA">
        <w:t xml:space="preserve">destroy </w:t>
      </w:r>
      <w:r w:rsidR="00E53E17">
        <w:t>Indigenous heritage</w:t>
      </w:r>
      <w:r w:rsidR="00521F2E">
        <w:t>.</w:t>
      </w:r>
    </w:p>
    <w:p w14:paraId="712AA104" w14:textId="77777777" w:rsidR="005C1074" w:rsidRDefault="005C1074" w:rsidP="005C1074">
      <w:pPr>
        <w:pStyle w:val="Heading3"/>
      </w:pPr>
      <w:r>
        <w:t>Consultation with Indigenous parties</w:t>
      </w:r>
    </w:p>
    <w:p w14:paraId="0B701BAE" w14:textId="75C97635" w:rsidR="007944DD" w:rsidRDefault="00C26200" w:rsidP="00440143">
      <w:pPr>
        <w:pStyle w:val="BodyText"/>
      </w:pPr>
      <w:r>
        <w:t>W</w:t>
      </w:r>
      <w:r w:rsidR="009951C1">
        <w:t xml:space="preserve">hen </w:t>
      </w:r>
      <w:r w:rsidR="00196AA8">
        <w:t xml:space="preserve">Indigenous </w:t>
      </w:r>
      <w:r w:rsidR="009951C1">
        <w:t>heritage is discovered</w:t>
      </w:r>
      <w:r w:rsidR="00196AA8">
        <w:t xml:space="preserve"> on a</w:t>
      </w:r>
      <w:r w:rsidR="00B025C8">
        <w:t>n</w:t>
      </w:r>
      <w:r w:rsidR="00196AA8">
        <w:t xml:space="preserve"> exploration site</w:t>
      </w:r>
      <w:r>
        <w:t>,</w:t>
      </w:r>
      <w:r w:rsidR="009951C1">
        <w:t xml:space="preserve"> </w:t>
      </w:r>
      <w:r w:rsidR="00196AA8">
        <w:t>it is considered best practi</w:t>
      </w:r>
      <w:r w:rsidR="00EA762D">
        <w:t>c</w:t>
      </w:r>
      <w:r w:rsidR="00196AA8">
        <w:t xml:space="preserve">e in heritage management for </w:t>
      </w:r>
      <w:r w:rsidR="009951C1">
        <w:t xml:space="preserve">explorers to consult with Indigenous parties </w:t>
      </w:r>
      <w:r w:rsidR="006837BA">
        <w:t>that</w:t>
      </w:r>
      <w:r w:rsidR="00440143">
        <w:t xml:space="preserve"> have</w:t>
      </w:r>
      <w:r w:rsidR="00135C0F">
        <w:t xml:space="preserve"> been identified as </w:t>
      </w:r>
      <w:r w:rsidR="00D33D88">
        <w:t>having authority</w:t>
      </w:r>
      <w:r w:rsidR="00C35501">
        <w:t xml:space="preserve"> to speak for </w:t>
      </w:r>
      <w:r w:rsidR="00135C0F">
        <w:t>country</w:t>
      </w:r>
      <w:r w:rsidR="008C319F">
        <w:t xml:space="preserve"> (box</w:t>
      </w:r>
      <w:r w:rsidR="00504C8F">
        <w:t> </w:t>
      </w:r>
      <w:r w:rsidR="008C319F">
        <w:t>5</w:t>
      </w:r>
      <w:r w:rsidR="00196AA8">
        <w:t>.4)</w:t>
      </w:r>
      <w:r w:rsidR="00756720">
        <w:t>.</w:t>
      </w:r>
    </w:p>
    <w:p w14:paraId="62A4A07D" w14:textId="77777777" w:rsidR="009A0548" w:rsidRDefault="009A0548" w:rsidP="009A0548">
      <w:pPr>
        <w:pStyle w:val="BodyText"/>
      </w:pPr>
      <w:proofErr w:type="spellStart"/>
      <w:r>
        <w:t>NTSCORP</w:t>
      </w:r>
      <w:proofErr w:type="spellEnd"/>
      <w:r>
        <w:t xml:space="preserve"> commented that effective consultation first requires the identification of the correct Traditional Owners for the proposed area.</w:t>
      </w:r>
    </w:p>
    <w:p w14:paraId="4DEBA590" w14:textId="42263F6F" w:rsidR="009A0548" w:rsidRDefault="009A0548" w:rsidP="009A0548">
      <w:pPr>
        <w:pStyle w:val="Quote"/>
      </w:pPr>
      <w:r>
        <w:t>Effective consultation with Traditional Owners requires proponents to do more than simply establish a dialogue with local Aboriginal organisations. Effective consultation can only be achieved by identifying the correct Traditional Owners of the project area, and ensuring that these are the people speaking for their traditional country. (sub.</w:t>
      </w:r>
      <w:r w:rsidR="00504C8F">
        <w:t> </w:t>
      </w:r>
      <w:r>
        <w:t>31, p. 5)</w:t>
      </w:r>
    </w:p>
    <w:p w14:paraId="66E29430" w14:textId="3C4E551A" w:rsidR="007944DD" w:rsidRDefault="007944DD" w:rsidP="00B4334C">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944DD" w14:paraId="670EBE3F" w14:textId="77777777">
        <w:tc>
          <w:tcPr>
            <w:tcW w:w="8771" w:type="dxa"/>
            <w:tcBorders>
              <w:top w:val="single" w:sz="6" w:space="0" w:color="auto"/>
              <w:bottom w:val="nil"/>
            </w:tcBorders>
          </w:tcPr>
          <w:p w14:paraId="1D5BD533" w14:textId="15CF2C17" w:rsidR="007944DD" w:rsidRDefault="007944DD" w:rsidP="00B4334C">
            <w:pPr>
              <w:pStyle w:val="BoxTitle"/>
              <w:spacing w:before="80"/>
            </w:pPr>
            <w:r>
              <w:rPr>
                <w:b w:val="0"/>
              </w:rPr>
              <w:t xml:space="preserve">Box </w:t>
            </w:r>
            <w:r w:rsidR="009A44B4">
              <w:rPr>
                <w:b w:val="0"/>
              </w:rPr>
              <w:t>5.</w:t>
            </w:r>
            <w:r w:rsidR="009A44B4">
              <w:rPr>
                <w:b w:val="0"/>
                <w:noProof/>
              </w:rPr>
              <w:t>4</w:t>
            </w:r>
            <w:r>
              <w:tab/>
            </w:r>
            <w:r w:rsidR="00196AA8">
              <w:t>Consultation with Indigenous people is best practice</w:t>
            </w:r>
          </w:p>
        </w:tc>
      </w:tr>
      <w:tr w:rsidR="007944DD" w14:paraId="0905F21C" w14:textId="77777777" w:rsidTr="00B4334C">
        <w:trPr>
          <w:cantSplit/>
        </w:trPr>
        <w:tc>
          <w:tcPr>
            <w:tcW w:w="8771" w:type="dxa"/>
            <w:tcBorders>
              <w:top w:val="nil"/>
              <w:left w:val="single" w:sz="6" w:space="0" w:color="auto"/>
              <w:bottom w:val="nil"/>
              <w:right w:val="single" w:sz="6" w:space="0" w:color="auto"/>
            </w:tcBorders>
          </w:tcPr>
          <w:p w14:paraId="3BA563FC" w14:textId="24DA1A26" w:rsidR="00705A75" w:rsidRPr="00F26946" w:rsidRDefault="00705A75" w:rsidP="00B4334C">
            <w:pPr>
              <w:pStyle w:val="Box"/>
              <w:spacing w:before="80"/>
            </w:pPr>
            <w:r w:rsidRPr="00F26946">
              <w:t xml:space="preserve">In 2002 the Australian Heritage Commission’s </w:t>
            </w:r>
            <w:r w:rsidRPr="004D7215">
              <w:rPr>
                <w:i/>
              </w:rPr>
              <w:t>Ask First</w:t>
            </w:r>
            <w:r w:rsidRPr="00F26946">
              <w:t xml:space="preserve"> publication identified consultation with </w:t>
            </w:r>
            <w:r w:rsidR="00196AA8">
              <w:t>Indigenous</w:t>
            </w:r>
            <w:r w:rsidRPr="00F26946">
              <w:t xml:space="preserve"> people as best pract</w:t>
            </w:r>
            <w:r>
              <w:t xml:space="preserve">ice in </w:t>
            </w:r>
            <w:r w:rsidR="00196AA8">
              <w:t xml:space="preserve">Indigenous </w:t>
            </w:r>
            <w:r>
              <w:t xml:space="preserve">heritage management. This </w:t>
            </w:r>
            <w:r w:rsidRPr="00F26946">
              <w:t>guide</w:t>
            </w:r>
            <w:r>
              <w:t xml:space="preserve">, designed for use by heritage professionals and </w:t>
            </w:r>
            <w:r w:rsidRPr="00F26946">
              <w:t xml:space="preserve">land users </w:t>
            </w:r>
            <w:r>
              <w:t>such as exploration companie</w:t>
            </w:r>
            <w:r w:rsidRPr="00F26946">
              <w:t>s</w:t>
            </w:r>
            <w:r>
              <w:t>,</w:t>
            </w:r>
            <w:r w:rsidRPr="00F26946">
              <w:t xml:space="preserve"> identifies Indigenous people as the ‘primary source of information on the value of their heritag</w:t>
            </w:r>
            <w:r>
              <w:t>e and how it is best conserved’ and states that Indigenous people</w:t>
            </w:r>
            <w:r w:rsidR="007A7FBF">
              <w:t xml:space="preserve"> must have</w:t>
            </w:r>
            <w:r>
              <w:t>:</w:t>
            </w:r>
          </w:p>
          <w:p w14:paraId="52F98001" w14:textId="5E5046F3" w:rsidR="00705A75" w:rsidRPr="005039D9" w:rsidRDefault="00705A75" w:rsidP="00705A75">
            <w:pPr>
              <w:pStyle w:val="BoxListBullet"/>
            </w:pPr>
            <w:r w:rsidRPr="005039D9">
              <w:t>an active role in any Indige</w:t>
            </w:r>
            <w:r>
              <w:t>nous heritage planning process</w:t>
            </w:r>
          </w:p>
          <w:p w14:paraId="48B08ED0" w14:textId="2E26594D" w:rsidR="00705A75" w:rsidRPr="005039D9" w:rsidRDefault="00705A75" w:rsidP="00705A75">
            <w:pPr>
              <w:pStyle w:val="BoxListBullet"/>
            </w:pPr>
            <w:r w:rsidRPr="005039D9">
              <w:t>input into primary decision</w:t>
            </w:r>
            <w:r w:rsidRPr="005039D9">
              <w:rPr>
                <w:rFonts w:ascii="Cambria Math" w:hAnsi="Cambria Math" w:cs="Cambria Math"/>
              </w:rPr>
              <w:t>‐</w:t>
            </w:r>
            <w:r w:rsidRPr="005039D9">
              <w:t>making in relation to Indigenous heritage so they can continue to fulfil their obligat</w:t>
            </w:r>
            <w:r>
              <w:t>ions towards this heritage …</w:t>
            </w:r>
          </w:p>
          <w:p w14:paraId="3863A358" w14:textId="77777777" w:rsidR="00705A75" w:rsidRDefault="00705A75" w:rsidP="00B4334C">
            <w:pPr>
              <w:pStyle w:val="Box"/>
              <w:spacing w:before="80"/>
            </w:pPr>
            <w:r>
              <w:t>In identifying and managing this heritage the guide also states:</w:t>
            </w:r>
          </w:p>
          <w:p w14:paraId="617E4261" w14:textId="0F7CF3D1" w:rsidR="00705A75" w:rsidRPr="001813D0" w:rsidRDefault="00705A75" w:rsidP="00705A75">
            <w:pPr>
              <w:pStyle w:val="BoxListBullet"/>
            </w:pPr>
            <w:r w:rsidRPr="001813D0">
              <w:t>uncertainty about Indigenous heritage values at a place should not be</w:t>
            </w:r>
            <w:r>
              <w:t xml:space="preserve"> </w:t>
            </w:r>
            <w:r w:rsidRPr="001813D0">
              <w:t>used to justify activities that might da</w:t>
            </w:r>
            <w:r w:rsidR="001A16C9">
              <w:t>mage or desecrate this heritage</w:t>
            </w:r>
          </w:p>
          <w:p w14:paraId="43C57428" w14:textId="77777777" w:rsidR="007944DD" w:rsidRDefault="00705A75" w:rsidP="00705A75">
            <w:pPr>
              <w:pStyle w:val="BoxListBullet"/>
            </w:pPr>
            <w:r w:rsidRPr="001813D0">
              <w:t>all parties having relevant interests should be consulted on</w:t>
            </w:r>
            <w:r>
              <w:t xml:space="preserve"> Indigenous heritage matters.</w:t>
            </w:r>
          </w:p>
        </w:tc>
      </w:tr>
      <w:tr w:rsidR="004F5FE4" w14:paraId="232A602A" w14:textId="77777777" w:rsidTr="00494C53">
        <w:trPr>
          <w:cantSplit/>
        </w:trPr>
        <w:tc>
          <w:tcPr>
            <w:tcW w:w="8771" w:type="dxa"/>
            <w:tcBorders>
              <w:top w:val="nil"/>
              <w:left w:val="single" w:sz="6" w:space="0" w:color="auto"/>
              <w:bottom w:val="nil"/>
              <w:right w:val="single" w:sz="6" w:space="0" w:color="auto"/>
            </w:tcBorders>
          </w:tcPr>
          <w:p w14:paraId="053025E4" w14:textId="5BA7F52A" w:rsidR="004F5FE4" w:rsidRDefault="004F5FE4" w:rsidP="003E6446">
            <w:pPr>
              <w:pStyle w:val="BoxSource"/>
            </w:pPr>
            <w:r>
              <w:rPr>
                <w:i/>
              </w:rPr>
              <w:t>Source</w:t>
            </w:r>
            <w:r>
              <w:t>: Australian Heritage Commission</w:t>
            </w:r>
            <w:r w:rsidR="003E6446">
              <w:t xml:space="preserve"> (</w:t>
            </w:r>
            <w:r>
              <w:t>2002, p.</w:t>
            </w:r>
            <w:r w:rsidR="00504C8F">
              <w:t> </w:t>
            </w:r>
            <w:r>
              <w:t>6</w:t>
            </w:r>
            <w:r w:rsidR="003E6446">
              <w:t>)</w:t>
            </w:r>
            <w:r>
              <w:t>.</w:t>
            </w:r>
          </w:p>
        </w:tc>
      </w:tr>
      <w:tr w:rsidR="004F5FE4" w14:paraId="4BAE7884" w14:textId="77777777" w:rsidTr="00494C53">
        <w:trPr>
          <w:cantSplit/>
        </w:trPr>
        <w:tc>
          <w:tcPr>
            <w:tcW w:w="8771" w:type="dxa"/>
            <w:tcBorders>
              <w:top w:val="nil"/>
              <w:left w:val="single" w:sz="6" w:space="0" w:color="auto"/>
              <w:bottom w:val="single" w:sz="6" w:space="0" w:color="auto"/>
              <w:right w:val="single" w:sz="6" w:space="0" w:color="auto"/>
            </w:tcBorders>
          </w:tcPr>
          <w:p w14:paraId="2BB7F7E9" w14:textId="77777777" w:rsidR="004F5FE4" w:rsidRDefault="004F5FE4" w:rsidP="00494C53">
            <w:pPr>
              <w:pStyle w:val="Box"/>
              <w:spacing w:before="0" w:line="120" w:lineRule="exact"/>
            </w:pPr>
          </w:p>
        </w:tc>
      </w:tr>
      <w:tr w:rsidR="004F5FE4" w:rsidRPr="000863A5" w14:paraId="0FE4B968" w14:textId="77777777" w:rsidTr="00494C53">
        <w:tc>
          <w:tcPr>
            <w:tcW w:w="8771" w:type="dxa"/>
            <w:tcBorders>
              <w:top w:val="nil"/>
              <w:left w:val="nil"/>
              <w:bottom w:val="nil"/>
              <w:right w:val="nil"/>
            </w:tcBorders>
          </w:tcPr>
          <w:p w14:paraId="7F5235BE" w14:textId="242392B9" w:rsidR="004F5FE4" w:rsidRPr="00626D32" w:rsidRDefault="004F5FE4" w:rsidP="00494C53">
            <w:pPr>
              <w:pStyle w:val="BoxSpaceBelow"/>
            </w:pPr>
          </w:p>
        </w:tc>
      </w:tr>
    </w:tbl>
    <w:p w14:paraId="08966D3F" w14:textId="76B70923" w:rsidR="00D451AF" w:rsidRDefault="00C35501" w:rsidP="00D451AF">
      <w:pPr>
        <w:pStyle w:val="BodyText"/>
      </w:pPr>
      <w:r>
        <w:t>The Chamber of Minerals and Energy of Western Australia (</w:t>
      </w:r>
      <w:proofErr w:type="spellStart"/>
      <w:r w:rsidR="003E6446">
        <w:t>CMEWA</w:t>
      </w:r>
      <w:proofErr w:type="spellEnd"/>
      <w:r w:rsidR="003E6446">
        <w:t xml:space="preserve"> </w:t>
      </w:r>
      <w:r>
        <w:t>2012, p.</w:t>
      </w:r>
      <w:r w:rsidR="00504C8F">
        <w:t> </w:t>
      </w:r>
      <w:r>
        <w:t>1) notes that t</w:t>
      </w:r>
      <w:r w:rsidR="00D451AF">
        <w:t xml:space="preserve">he process of identifying and consulting with Indigenous parties for Indigenous heritage matters </w:t>
      </w:r>
      <w:r>
        <w:t xml:space="preserve">in Western Australia </w:t>
      </w:r>
      <w:r w:rsidR="00D451AF">
        <w:t>is not a native title process. Heritage, although somewhat related to native title</w:t>
      </w:r>
      <w:r w:rsidR="00E33869">
        <w:t>,</w:t>
      </w:r>
      <w:r w:rsidR="00D451AF">
        <w:t xml:space="preserve"> is a separate issue. Native title and Indigenous heritage parties are likely to have common members but are not always the same people. </w:t>
      </w:r>
      <w:r>
        <w:t>The Chamber also notes that t</w:t>
      </w:r>
      <w:r w:rsidR="00D451AF">
        <w:t xml:space="preserve">he native title claimant group is usually larger than the group of Indigenous people </w:t>
      </w:r>
      <w:r w:rsidR="00750872">
        <w:t>that is</w:t>
      </w:r>
      <w:r w:rsidR="00D451AF">
        <w:t xml:space="preserve"> consulted on heritage matters.</w:t>
      </w:r>
    </w:p>
    <w:p w14:paraId="0DE9C7DB" w14:textId="77777777" w:rsidR="009B1FC2" w:rsidRDefault="009B1FC2" w:rsidP="00440143">
      <w:pPr>
        <w:pStyle w:val="BodyText"/>
      </w:pPr>
      <w:r>
        <w:t>The process of identifying the appropriate Indigenous parties for consultation on heritage matters varies between jurisdictions. For example:</w:t>
      </w:r>
    </w:p>
    <w:p w14:paraId="5CA4D85A" w14:textId="77777777" w:rsidR="00A25B27" w:rsidRDefault="00440143" w:rsidP="00A25B27">
      <w:pPr>
        <w:pStyle w:val="ListBullet"/>
      </w:pPr>
      <w:r w:rsidRPr="00440143">
        <w:t xml:space="preserve">Queensland </w:t>
      </w:r>
      <w:r w:rsidR="00C26200">
        <w:t>legislation</w:t>
      </w:r>
      <w:r w:rsidRPr="00440143">
        <w:t xml:space="preserve"> provides a chain of preferences as to who should be the </w:t>
      </w:r>
      <w:r w:rsidR="00D37E6E">
        <w:t>Indigenous</w:t>
      </w:r>
      <w:r w:rsidRPr="00440143">
        <w:t xml:space="preserve"> party consulted for an area, drawing heavily on the native title process.</w:t>
      </w:r>
    </w:p>
    <w:p w14:paraId="3B0CCC96" w14:textId="1A133C17" w:rsidR="002C13E2" w:rsidRDefault="00A25B27" w:rsidP="002C13E2">
      <w:pPr>
        <w:pStyle w:val="ListBullet"/>
      </w:pPr>
      <w:r>
        <w:t>In New South Wales</w:t>
      </w:r>
      <w:r w:rsidR="00040A4C">
        <w:t>,</w:t>
      </w:r>
      <w:r w:rsidR="008C1801">
        <w:t xml:space="preserve"> at sites</w:t>
      </w:r>
      <w:r>
        <w:t xml:space="preserve"> not </w:t>
      </w:r>
      <w:r w:rsidR="008C1801">
        <w:t xml:space="preserve">covered </w:t>
      </w:r>
      <w:r>
        <w:t>by the native title process</w:t>
      </w:r>
      <w:r w:rsidR="00040A4C">
        <w:t>,</w:t>
      </w:r>
      <w:r>
        <w:t xml:space="preserve"> explorers are required to attempt to contact </w:t>
      </w:r>
      <w:r w:rsidR="00CE6B87">
        <w:t>Indigenous</w:t>
      </w:r>
      <w:r>
        <w:t xml:space="preserve"> people who may have knowledge of heritage within the area of a planned activity. Generally this requirement is satisfied by the placement of a public notice about t</w:t>
      </w:r>
      <w:r w:rsidR="00CE6B87">
        <w:t>he activity, to which Indigenous</w:t>
      </w:r>
      <w:r>
        <w:t xml:space="preserve"> people may respond.</w:t>
      </w:r>
    </w:p>
    <w:p w14:paraId="751172CD" w14:textId="52EB3BD4" w:rsidR="00356698" w:rsidRDefault="00356698" w:rsidP="00440143">
      <w:pPr>
        <w:pStyle w:val="ListBullet"/>
      </w:pPr>
      <w:r>
        <w:t xml:space="preserve">In </w:t>
      </w:r>
      <w:r w:rsidR="00D14A96">
        <w:t>Western Australia</w:t>
      </w:r>
      <w:r>
        <w:t>, the he</w:t>
      </w:r>
      <w:r w:rsidR="009C4756">
        <w:t>ritage A</w:t>
      </w:r>
      <w:r>
        <w:t xml:space="preserve">ct predates the Commonwealth </w:t>
      </w:r>
      <w:r w:rsidRPr="00A25B27">
        <w:rPr>
          <w:i/>
        </w:rPr>
        <w:t xml:space="preserve">Native </w:t>
      </w:r>
      <w:r w:rsidR="00D14A96" w:rsidRPr="00A25B27">
        <w:rPr>
          <w:i/>
        </w:rPr>
        <w:t>Title Act</w:t>
      </w:r>
      <w:r w:rsidR="003E6446">
        <w:rPr>
          <w:i/>
        </w:rPr>
        <w:t xml:space="preserve"> 1993</w:t>
      </w:r>
      <w:r w:rsidR="00D14A96">
        <w:t xml:space="preserve"> and there is no definitive list of </w:t>
      </w:r>
      <w:r w:rsidR="00CE3041">
        <w:t xml:space="preserve">which </w:t>
      </w:r>
      <w:r w:rsidR="00700EF3">
        <w:t>Indigenous</w:t>
      </w:r>
      <w:r w:rsidR="00CE3041">
        <w:t xml:space="preserve"> people should be consulted in</w:t>
      </w:r>
      <w:r w:rsidR="00D14A96">
        <w:t xml:space="preserve"> Western Australian </w:t>
      </w:r>
      <w:r w:rsidR="00104B74">
        <w:t>legisl</w:t>
      </w:r>
      <w:r w:rsidR="00CE3041">
        <w:t>ation</w:t>
      </w:r>
      <w:r w:rsidR="006837BA">
        <w:t xml:space="preserve"> (table</w:t>
      </w:r>
      <w:r w:rsidR="00504C8F">
        <w:t> </w:t>
      </w:r>
      <w:r w:rsidR="008C319F">
        <w:t>5</w:t>
      </w:r>
      <w:r w:rsidR="006837BA">
        <w:t>.2)</w:t>
      </w:r>
      <w:r w:rsidR="00CE3041">
        <w:t>.</w:t>
      </w:r>
    </w:p>
    <w:p w14:paraId="4FF32714" w14:textId="6459540D" w:rsidR="00CC7065" w:rsidRDefault="00CC7065" w:rsidP="00FB5AD2">
      <w:pPr>
        <w:pStyle w:val="Heading3"/>
      </w:pPr>
      <w:r>
        <w:lastRenderedPageBreak/>
        <w:t>Who makes heritage decisions?</w:t>
      </w:r>
    </w:p>
    <w:p w14:paraId="3E2F0BD3" w14:textId="4231A2E6" w:rsidR="00CC7065" w:rsidRPr="008D4699" w:rsidRDefault="00581A66" w:rsidP="00CC7065">
      <w:pPr>
        <w:pStyle w:val="BodyText"/>
      </w:pPr>
      <w:r>
        <w:t>I</w:t>
      </w:r>
      <w:r w:rsidR="00CC7065">
        <w:t>n Western Australia, Sout</w:t>
      </w:r>
      <w:r w:rsidR="004B305E">
        <w:t>h Australia and Tasmani</w:t>
      </w:r>
      <w:r w:rsidR="00C63F61">
        <w:t>a</w:t>
      </w:r>
      <w:r w:rsidR="00CA7617">
        <w:t>,</w:t>
      </w:r>
      <w:r w:rsidR="00CC7065">
        <w:t xml:space="preserve"> heritage decisions rest with the relevant Minister</w:t>
      </w:r>
      <w:r w:rsidR="00A32E93">
        <w:t>.</w:t>
      </w:r>
      <w:r w:rsidR="00CC7065">
        <w:t xml:space="preserve"> </w:t>
      </w:r>
      <w:r w:rsidR="00A32E93">
        <w:t>I</w:t>
      </w:r>
      <w:r w:rsidR="00CC7065">
        <w:t>n New South Wales</w:t>
      </w:r>
      <w:r w:rsidR="00CA7617">
        <w:t>,</w:t>
      </w:r>
      <w:r w:rsidR="00CC7065">
        <w:t xml:space="preserve"> </w:t>
      </w:r>
      <w:r w:rsidR="00A32E93">
        <w:t xml:space="preserve">decisions rest </w:t>
      </w:r>
      <w:r w:rsidR="00CC7065">
        <w:t xml:space="preserve">with the head of the department which administers heritage. In the </w:t>
      </w:r>
      <w:r w:rsidR="00CC7065" w:rsidRPr="00022D1F">
        <w:t>N</w:t>
      </w:r>
      <w:r w:rsidR="00CC7065">
        <w:t>orthern Territory</w:t>
      </w:r>
      <w:r w:rsidR="00A32E93">
        <w:t>,</w:t>
      </w:r>
      <w:r w:rsidR="00CC7065">
        <w:t xml:space="preserve"> the independent authority — the </w:t>
      </w:r>
      <w:r w:rsidR="00CC7065" w:rsidRPr="00022D1F">
        <w:t>A</w:t>
      </w:r>
      <w:r w:rsidR="006E3ED9">
        <w:t xml:space="preserve">boriginal </w:t>
      </w:r>
      <w:r w:rsidR="003E6446">
        <w:t>A</w:t>
      </w:r>
      <w:r w:rsidR="006E3ED9">
        <w:t xml:space="preserve">reas </w:t>
      </w:r>
      <w:r w:rsidR="003E6446">
        <w:t>P</w:t>
      </w:r>
      <w:r w:rsidR="006E3ED9">
        <w:t xml:space="preserve">rotection </w:t>
      </w:r>
      <w:r w:rsidR="003E6446">
        <w:t>A</w:t>
      </w:r>
      <w:r w:rsidR="006E3ED9">
        <w:t>uthority (</w:t>
      </w:r>
      <w:proofErr w:type="spellStart"/>
      <w:r w:rsidR="006E3ED9">
        <w:t>AAPA</w:t>
      </w:r>
      <w:proofErr w:type="spellEnd"/>
      <w:r w:rsidR="006E3ED9">
        <w:t>)</w:t>
      </w:r>
      <w:r w:rsidR="00CC7065" w:rsidRPr="00022D1F">
        <w:t xml:space="preserve"> </w:t>
      </w:r>
      <w:r w:rsidR="00CC7065">
        <w:t xml:space="preserve">— </w:t>
      </w:r>
      <w:r w:rsidR="00CC7065" w:rsidRPr="00022D1F">
        <w:t>issues Authority Certificates</w:t>
      </w:r>
      <w:r w:rsidR="00CC7065">
        <w:t xml:space="preserve"> for access and activity near sacred sites. </w:t>
      </w:r>
      <w:r w:rsidR="00CC7065" w:rsidRPr="008D4699">
        <w:t xml:space="preserve">However, a Minister’s Certificate can override non-certification by the </w:t>
      </w:r>
      <w:r w:rsidR="00857B6F">
        <w:t>a</w:t>
      </w:r>
      <w:r w:rsidR="00CC7065" w:rsidRPr="008D4699">
        <w:t>uthority</w:t>
      </w:r>
      <w:r>
        <w:t xml:space="preserve"> (table</w:t>
      </w:r>
      <w:r w:rsidR="00504C8F">
        <w:t> </w:t>
      </w:r>
      <w:r w:rsidR="008C319F">
        <w:t>5</w:t>
      </w:r>
      <w:r>
        <w:t>.2)</w:t>
      </w:r>
      <w:r w:rsidR="00CC7065" w:rsidRPr="008D4699">
        <w:t>.</w:t>
      </w:r>
    </w:p>
    <w:p w14:paraId="2DE56429" w14:textId="51904E90" w:rsidR="00D116A0" w:rsidRDefault="00CC7065" w:rsidP="001A1864">
      <w:pPr>
        <w:pStyle w:val="BodyText"/>
      </w:pPr>
      <w:r w:rsidRPr="001A1864">
        <w:t>In contrast to Ministerial and departmental approval processes, in Victoria</w:t>
      </w:r>
      <w:r w:rsidR="004B305E" w:rsidRPr="001A1864">
        <w:t>,</w:t>
      </w:r>
      <w:r w:rsidRPr="001A1864">
        <w:t xml:space="preserve"> heritage plans and permits</w:t>
      </w:r>
      <w:r w:rsidR="001376F9" w:rsidRPr="001A1864">
        <w:t xml:space="preserve"> for exploration must be approved by the </w:t>
      </w:r>
      <w:r w:rsidR="004B75F5" w:rsidRPr="001A1864">
        <w:t xml:space="preserve">relevant </w:t>
      </w:r>
      <w:r w:rsidRPr="001A1864">
        <w:t>Registered Aboriginal Part</w:t>
      </w:r>
      <w:r w:rsidR="004B75F5" w:rsidRPr="001A1864">
        <w:t>y</w:t>
      </w:r>
      <w:r w:rsidR="001376F9" w:rsidRPr="001A1864">
        <w:t xml:space="preserve"> (RAP). </w:t>
      </w:r>
      <w:r w:rsidR="00BC57D8" w:rsidRPr="001A1864">
        <w:t>Traditional Owners must apply to the Victorian Aboriginal Heritage Council to be appointed as a RAP</w:t>
      </w:r>
      <w:r w:rsidR="00C63F61">
        <w:t>.</w:t>
      </w:r>
      <w:r w:rsidR="00521F2E">
        <w:t xml:space="preserve"> </w:t>
      </w:r>
      <w:r w:rsidR="001A1864" w:rsidRPr="001A1864">
        <w:t>W</w:t>
      </w:r>
      <w:r w:rsidR="001376F9" w:rsidRPr="001A1864">
        <w:t xml:space="preserve">hen </w:t>
      </w:r>
      <w:r w:rsidR="00995225" w:rsidRPr="001A1864">
        <w:t>a</w:t>
      </w:r>
      <w:r w:rsidR="001376F9" w:rsidRPr="001A1864">
        <w:t xml:space="preserve"> proposed exploration area does not have a RAP</w:t>
      </w:r>
      <w:r w:rsidR="00FB5AD2">
        <w:t>,</w:t>
      </w:r>
      <w:r w:rsidR="001376F9" w:rsidRPr="001A1864">
        <w:t xml:space="preserve"> the Secretary of the Department of Planning and Community Development, or </w:t>
      </w:r>
      <w:r w:rsidR="00C63F61">
        <w:t xml:space="preserve">in some instances </w:t>
      </w:r>
      <w:r w:rsidR="001376F9" w:rsidRPr="001A1864">
        <w:t>the Aboriginal Heritage Council, may approve the permit or plan.</w:t>
      </w:r>
    </w:p>
    <w:p w14:paraId="54404FCF" w14:textId="1358FD1F" w:rsidR="000027B1" w:rsidRDefault="000027B1" w:rsidP="001A1864">
      <w:pPr>
        <w:pStyle w:val="BodyText"/>
      </w:pPr>
      <w:r>
        <w:t xml:space="preserve">The duty of care and agreement making model in Queensland minimises government involvement in decision making. </w:t>
      </w:r>
      <w:r w:rsidR="00322E17">
        <w:t>However, w</w:t>
      </w:r>
      <w:r>
        <w:t xml:space="preserve">hen </w:t>
      </w:r>
      <w:r w:rsidR="00322E17">
        <w:t>cultural heritage agreements</w:t>
      </w:r>
      <w:r>
        <w:t xml:space="preserve"> cannot be </w:t>
      </w:r>
      <w:r w:rsidR="00A67E5E">
        <w:t>negotiated</w:t>
      </w:r>
      <w:r w:rsidR="00C35501">
        <w:t>,</w:t>
      </w:r>
      <w:r w:rsidR="00322E17">
        <w:t xml:space="preserve"> </w:t>
      </w:r>
      <w:r>
        <w:t>a proposed cultural heritage management plan can be referred to the Land Court. The</w:t>
      </w:r>
      <w:r w:rsidR="00BF6556">
        <w:t xml:space="preserve"> </w:t>
      </w:r>
      <w:r w:rsidR="00476001">
        <w:t>c</w:t>
      </w:r>
      <w:r w:rsidR="00BF6556">
        <w:t>ourt</w:t>
      </w:r>
      <w:r>
        <w:t xml:space="preserve"> will make a recommendation to the Minister (for the Department of Environment and Resource Management) who makes the decision.</w:t>
      </w:r>
    </w:p>
    <w:p w14:paraId="4242AD03" w14:textId="00BB9203" w:rsidR="00CC7065" w:rsidRDefault="00CC7065" w:rsidP="00CC7065">
      <w:pPr>
        <w:pStyle w:val="BodyText"/>
      </w:pPr>
      <w:r w:rsidRPr="00022D1F">
        <w:t>Appeal</w:t>
      </w:r>
      <w:r w:rsidR="00686347">
        <w:t>s systems also vary by jurisdiction</w:t>
      </w:r>
      <w:r w:rsidRPr="00022D1F">
        <w:t xml:space="preserve">. </w:t>
      </w:r>
      <w:r>
        <w:t>For example, i</w:t>
      </w:r>
      <w:r w:rsidRPr="00022D1F">
        <w:t xml:space="preserve">n Victoria, </w:t>
      </w:r>
      <w:r w:rsidR="00C35501">
        <w:t xml:space="preserve">an </w:t>
      </w:r>
      <w:r w:rsidRPr="00022D1F">
        <w:t xml:space="preserve">administrative review of </w:t>
      </w:r>
      <w:r w:rsidR="00C35501">
        <w:t xml:space="preserve">a </w:t>
      </w:r>
      <w:r w:rsidRPr="00022D1F">
        <w:t>decision is</w:t>
      </w:r>
      <w:r>
        <w:t xml:space="preserve"> </w:t>
      </w:r>
      <w:r w:rsidRPr="00022D1F">
        <w:t>available through the Victorian Civil and Administrative Tribunal. In Queensland</w:t>
      </w:r>
      <w:r w:rsidR="000E34B4">
        <w:t>,</w:t>
      </w:r>
      <w:r w:rsidRPr="00022D1F">
        <w:t xml:space="preserve"> the Land Court</w:t>
      </w:r>
      <w:r>
        <w:t xml:space="preserve"> </w:t>
      </w:r>
      <w:r w:rsidRPr="00022D1F">
        <w:t>is responsible for reviewing decisions, while in South Australia</w:t>
      </w:r>
      <w:r>
        <w:t xml:space="preserve"> and Tasmania</w:t>
      </w:r>
      <w:r w:rsidR="00CA7617">
        <w:t>,</w:t>
      </w:r>
      <w:r w:rsidRPr="00022D1F">
        <w:t xml:space="preserve"> recourse to the </w:t>
      </w:r>
      <w:r>
        <w:t xml:space="preserve">relevant </w:t>
      </w:r>
      <w:r w:rsidRPr="00022D1F">
        <w:t>Supreme Court is the only avenue for review</w:t>
      </w:r>
      <w:r>
        <w:t xml:space="preserve"> (table</w:t>
      </w:r>
      <w:r w:rsidR="00504C8F">
        <w:t> </w:t>
      </w:r>
      <w:r w:rsidR="008C319F">
        <w:t>5</w:t>
      </w:r>
      <w:r>
        <w:t>.2)</w:t>
      </w:r>
      <w:r w:rsidRPr="00022D1F">
        <w:t>.</w:t>
      </w:r>
    </w:p>
    <w:p w14:paraId="12F42CC0" w14:textId="77777777" w:rsidR="005215C7" w:rsidRDefault="00DB59B8" w:rsidP="005215C7">
      <w:pPr>
        <w:pStyle w:val="Heading3"/>
      </w:pPr>
      <w:r w:rsidRPr="0020614E">
        <w:t>The</w:t>
      </w:r>
      <w:r w:rsidR="00432A9A" w:rsidRPr="0020614E">
        <w:t xml:space="preserve"> e</w:t>
      </w:r>
      <w:r w:rsidR="005215C7" w:rsidRPr="0020614E">
        <w:t xml:space="preserve">nforcement of </w:t>
      </w:r>
      <w:r w:rsidR="001A2D25" w:rsidRPr="0020614E">
        <w:t xml:space="preserve">Indigenous </w:t>
      </w:r>
      <w:r w:rsidR="005215C7" w:rsidRPr="0020614E">
        <w:t>heritage regulation</w:t>
      </w:r>
    </w:p>
    <w:p w14:paraId="3C65815D" w14:textId="37CAFA57" w:rsidR="003D3E43" w:rsidRDefault="00330DAC" w:rsidP="00323F16">
      <w:pPr>
        <w:pStyle w:val="BodyText"/>
        <w:rPr>
          <w:lang w:val="en"/>
        </w:rPr>
      </w:pPr>
      <w:r>
        <w:t xml:space="preserve">Enforcement mechanisms are a key aspect </w:t>
      </w:r>
      <w:r w:rsidR="0046649F">
        <w:t xml:space="preserve">of any </w:t>
      </w:r>
      <w:r>
        <w:t xml:space="preserve">regulatory </w:t>
      </w:r>
      <w:r w:rsidR="0046649F">
        <w:t>system</w:t>
      </w:r>
      <w:r>
        <w:t>.</w:t>
      </w:r>
      <w:r w:rsidR="00EB7EF8">
        <w:t xml:space="preserve"> </w:t>
      </w:r>
      <w:r w:rsidR="00C35501">
        <w:t xml:space="preserve">As noted </w:t>
      </w:r>
      <w:r w:rsidR="0062629B">
        <w:t>above</w:t>
      </w:r>
      <w:r w:rsidR="00C35501">
        <w:t xml:space="preserve">, </w:t>
      </w:r>
      <w:r w:rsidR="0046649F">
        <w:t>Indigenous heritage l</w:t>
      </w:r>
      <w:r w:rsidR="00323F16">
        <w:t>egislation in all states and territories includes penalties to provide a dete</w:t>
      </w:r>
      <w:r w:rsidR="00EB7EF8">
        <w:t>rrent against harming protected places and relics</w:t>
      </w:r>
      <w:r w:rsidR="00423825">
        <w:t>.</w:t>
      </w:r>
      <w:r w:rsidR="00323F16">
        <w:t xml:space="preserve"> </w:t>
      </w:r>
      <w:r w:rsidR="00F14F2E">
        <w:t xml:space="preserve">For example, </w:t>
      </w:r>
      <w:r w:rsidR="00EC52DC">
        <w:t>in New South Wales t</w:t>
      </w:r>
      <w:r w:rsidR="00EC52DC">
        <w:rPr>
          <w:lang w:val="en"/>
        </w:rPr>
        <w:t>he maximum penalty for harm to an Aboriginal object o</w:t>
      </w:r>
      <w:r w:rsidR="00CF2C2E">
        <w:rPr>
          <w:lang w:val="en"/>
        </w:rPr>
        <w:t>r</w:t>
      </w:r>
      <w:r w:rsidR="00EC52DC">
        <w:rPr>
          <w:lang w:val="en"/>
        </w:rPr>
        <w:t xml:space="preserve"> Aboriginal place is $550 000 and/or two years imprisonment for an individual or $1.1 million for a corporation</w:t>
      </w:r>
      <w:r w:rsidR="009C4756">
        <w:rPr>
          <w:lang w:val="en"/>
        </w:rPr>
        <w:t xml:space="preserve"> </w:t>
      </w:r>
      <w:r w:rsidR="000659F6">
        <w:rPr>
          <w:lang w:val="en"/>
        </w:rPr>
        <w:t>(</w:t>
      </w:r>
      <w:r w:rsidR="000659F6">
        <w:t xml:space="preserve">NSW </w:t>
      </w:r>
      <w:proofErr w:type="spellStart"/>
      <w:r w:rsidR="000659F6">
        <w:t>OEH</w:t>
      </w:r>
      <w:proofErr w:type="spellEnd"/>
      <w:r w:rsidR="000659F6">
        <w:t xml:space="preserve"> 2010).</w:t>
      </w:r>
    </w:p>
    <w:p w14:paraId="1D20AECB" w14:textId="3758FBDE" w:rsidR="003D3E43" w:rsidRPr="00DB59B8" w:rsidRDefault="00C94629" w:rsidP="003D3E43">
      <w:pPr>
        <w:pStyle w:val="BodyText"/>
      </w:pPr>
      <w:r>
        <w:t>The monitoring of compliance with permit conditions and agreements</w:t>
      </w:r>
      <w:r w:rsidR="009B1E6F">
        <w:t xml:space="preserve"> is also a feature of heritage A</w:t>
      </w:r>
      <w:r>
        <w:t>cts and enforcement systems i</w:t>
      </w:r>
      <w:r w:rsidR="003D3E43">
        <w:t>n some jurisdictions</w:t>
      </w:r>
      <w:r>
        <w:t xml:space="preserve">. </w:t>
      </w:r>
      <w:r w:rsidR="003D3E43">
        <w:t>In particular</w:t>
      </w:r>
      <w:r w:rsidR="002A15E7">
        <w:t>:</w:t>
      </w:r>
    </w:p>
    <w:p w14:paraId="09DE6BB4" w14:textId="6749A558" w:rsidR="003D3E43" w:rsidRDefault="003D3E43" w:rsidP="003D3E43">
      <w:pPr>
        <w:pStyle w:val="ListBullet"/>
      </w:pPr>
      <w:r>
        <w:lastRenderedPageBreak/>
        <w:t>Victoria</w:t>
      </w:r>
      <w:r w:rsidR="002A15E7">
        <w:t>n</w:t>
      </w:r>
      <w:r>
        <w:t xml:space="preserve"> inspectors have </w:t>
      </w:r>
      <w:r w:rsidR="002A15E7">
        <w:t xml:space="preserve">extensive </w:t>
      </w:r>
      <w:r>
        <w:t>powers of entry, search and seizure and are responsible for overseeing Cultural Heritage Audits (these are ordered by the Minister when it is suspected that a Cultural Heritage Management Plan or Permit has been breached) and have the power to issue Stop Orders in emergency situations (</w:t>
      </w:r>
      <w:r w:rsidR="003E6446">
        <w:t>Vic</w:t>
      </w:r>
      <w:r w:rsidR="002F0A9E">
        <w:t xml:space="preserve"> </w:t>
      </w:r>
      <w:proofErr w:type="spellStart"/>
      <w:r>
        <w:t>DPCD</w:t>
      </w:r>
      <w:proofErr w:type="spellEnd"/>
      <w:r>
        <w:t xml:space="preserve"> 2013).</w:t>
      </w:r>
    </w:p>
    <w:p w14:paraId="34D69695" w14:textId="0AEBD339" w:rsidR="003D3E43" w:rsidRDefault="003D3E43" w:rsidP="003D3E43">
      <w:pPr>
        <w:pStyle w:val="ListBullet"/>
      </w:pPr>
      <w:r>
        <w:t>Similarly, in South Australia</w:t>
      </w:r>
      <w:r w:rsidR="00CA7617">
        <w:t>,</w:t>
      </w:r>
      <w:r>
        <w:t xml:space="preserve"> </w:t>
      </w:r>
      <w:r w:rsidR="002A15E7">
        <w:t>i</w:t>
      </w:r>
      <w:r w:rsidRPr="00F3506A">
        <w:t>nspectors appointed by the Minister have powers of entry, search and seizure</w:t>
      </w:r>
      <w:r>
        <w:t>.</w:t>
      </w:r>
    </w:p>
    <w:p w14:paraId="275BA2D4" w14:textId="264A9E35" w:rsidR="003D3E43" w:rsidRDefault="003D3E43" w:rsidP="003D3E43">
      <w:pPr>
        <w:pStyle w:val="ListBullet"/>
      </w:pPr>
      <w:r w:rsidRPr="000B67E1">
        <w:t>In Western Australia</w:t>
      </w:r>
      <w:r w:rsidR="00805B1B">
        <w:t>,</w:t>
      </w:r>
      <w:r w:rsidRPr="000B67E1">
        <w:t xml:space="preserve"> office</w:t>
      </w:r>
      <w:r w:rsidR="00CA7617">
        <w:t>r</w:t>
      </w:r>
      <w:r w:rsidRPr="000B67E1">
        <w:t>s of the department responsible for heritage and honorary wardens (appointed by the Minister) have powers to ente</w:t>
      </w:r>
      <w:r>
        <w:t>r and inspect Aboriginal sites.</w:t>
      </w:r>
    </w:p>
    <w:p w14:paraId="01826A8C" w14:textId="36B22DEF" w:rsidR="003D3E43" w:rsidRDefault="000F7E7E" w:rsidP="003D3E43">
      <w:pPr>
        <w:pStyle w:val="ListBullet"/>
      </w:pPr>
      <w:r>
        <w:t>I</w:t>
      </w:r>
      <w:r w:rsidR="003D3E43">
        <w:t xml:space="preserve">n Queensland, heritage </w:t>
      </w:r>
      <w:r w:rsidR="003E6446">
        <w:t>A</w:t>
      </w:r>
      <w:r w:rsidR="003D3E43">
        <w:t xml:space="preserve">cts provide for ‘authorised officers’ to investigate and monitor compliance with the </w:t>
      </w:r>
      <w:r w:rsidR="003E6446">
        <w:t>A</w:t>
      </w:r>
      <w:r w:rsidR="003D3E43">
        <w:t xml:space="preserve">cts. However their powers are not as extensive as in Victoria and South Australia and an officer can only gain access to land with a warrant or </w:t>
      </w:r>
      <w:r w:rsidR="009B0F94">
        <w:t xml:space="preserve">the </w:t>
      </w:r>
      <w:r w:rsidR="003D3E43">
        <w:t>conse</w:t>
      </w:r>
      <w:r w:rsidR="00D727C5">
        <w:t>nt of the land owner</w:t>
      </w:r>
      <w:r w:rsidR="003D3E43">
        <w:t>.</w:t>
      </w:r>
    </w:p>
    <w:p w14:paraId="033E33F0" w14:textId="77777777" w:rsidR="000A00E0" w:rsidRDefault="009C4756" w:rsidP="000A00E0">
      <w:pPr>
        <w:pStyle w:val="BodyText"/>
      </w:pPr>
      <w:r>
        <w:t>T</w:t>
      </w:r>
      <w:r w:rsidR="000A00E0">
        <w:t xml:space="preserve">here have been very few prosecutions for unauthorised harm </w:t>
      </w:r>
      <w:r w:rsidR="00EF0A48">
        <w:t>under Indigenous heritage legislation</w:t>
      </w:r>
      <w:r w:rsidR="000A00E0">
        <w:t>.</w:t>
      </w:r>
    </w:p>
    <w:p w14:paraId="045B1EB6" w14:textId="3990344D" w:rsidR="000A00E0" w:rsidRDefault="000A00E0" w:rsidP="0018036F">
      <w:pPr>
        <w:pStyle w:val="Quote"/>
      </w:pPr>
      <w:r w:rsidRPr="0018036F">
        <w:t xml:space="preserve">Information available indicates there have been a very small number of prosecutions for unlawful </w:t>
      </w:r>
      <w:r w:rsidR="00A75EF4">
        <w:t xml:space="preserve">[destruction of] </w:t>
      </w:r>
      <w:r w:rsidRPr="0018036F">
        <w:t xml:space="preserve">Indigenous heritage, including one prosecution in Victoria since the operation of the </w:t>
      </w:r>
      <w:r w:rsidRPr="0062629B">
        <w:rPr>
          <w:i/>
        </w:rPr>
        <w:t>Aboriginal Heritage Act 2006</w:t>
      </w:r>
      <w:r w:rsidRPr="0018036F">
        <w:t xml:space="preserve"> (Vic) and four stop work orders, an average of one investigation per year in Tasmania over the reporting period and none in the Northern Territory. (</w:t>
      </w:r>
      <w:proofErr w:type="spellStart"/>
      <w:r w:rsidRPr="0018036F">
        <w:t>Schnierer</w:t>
      </w:r>
      <w:proofErr w:type="spellEnd"/>
      <w:r w:rsidR="003E6446">
        <w:t xml:space="preserve"> et al.</w:t>
      </w:r>
      <w:r w:rsidRPr="0018036F">
        <w:t xml:space="preserve"> 2011, p.</w:t>
      </w:r>
      <w:r w:rsidR="00504C8F">
        <w:t> </w:t>
      </w:r>
      <w:r w:rsidRPr="0018036F">
        <w:t>60)</w:t>
      </w:r>
    </w:p>
    <w:p w14:paraId="36B5E4A6" w14:textId="66E63CAD" w:rsidR="00522D04" w:rsidRDefault="004F2074" w:rsidP="00522D04">
      <w:pPr>
        <w:pStyle w:val="Heading3"/>
        <w:rPr>
          <w:lang w:val="en"/>
        </w:rPr>
      </w:pPr>
      <w:r>
        <w:rPr>
          <w:lang w:val="en"/>
        </w:rPr>
        <w:t>Many reviews are</w:t>
      </w:r>
      <w:r w:rsidR="00522D04">
        <w:rPr>
          <w:lang w:val="en"/>
        </w:rPr>
        <w:t xml:space="preserve"> underway</w:t>
      </w:r>
    </w:p>
    <w:p w14:paraId="5E5D0A8B" w14:textId="76FF8975" w:rsidR="004F2074" w:rsidRDefault="00522D04" w:rsidP="00522D04">
      <w:pPr>
        <w:pStyle w:val="BodyText"/>
      </w:pPr>
      <w:r>
        <w:t xml:space="preserve">In recent years </w:t>
      </w:r>
      <w:r w:rsidR="00134780">
        <w:t xml:space="preserve">Indigenous </w:t>
      </w:r>
      <w:r>
        <w:t>heritage legislation in all jurisdictions has been under review</w:t>
      </w:r>
      <w:r w:rsidR="005165D3">
        <w:t xml:space="preserve"> although</w:t>
      </w:r>
      <w:r w:rsidR="00173772">
        <w:t>,</w:t>
      </w:r>
      <w:r w:rsidR="005165D3">
        <w:t xml:space="preserve"> in most jurisdictions, the </w:t>
      </w:r>
      <w:r w:rsidR="004F2074">
        <w:t>reviews remain inconclusive</w:t>
      </w:r>
      <w:r w:rsidR="005165D3">
        <w:t xml:space="preserve"> or proposed reforms have yet to be implemented (box</w:t>
      </w:r>
      <w:r w:rsidR="00504C8F">
        <w:t> </w:t>
      </w:r>
      <w:r w:rsidR="005165D3">
        <w:t>5.5)</w:t>
      </w:r>
      <w:r>
        <w:t>.</w:t>
      </w:r>
    </w:p>
    <w:p w14:paraId="49C5E081" w14:textId="03C0999A" w:rsidR="004F5FE4" w:rsidRDefault="004F5FE4" w:rsidP="004F5FE4">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22D04" w14:paraId="244E27D7" w14:textId="77777777" w:rsidTr="00747FF6">
        <w:tc>
          <w:tcPr>
            <w:tcW w:w="8771" w:type="dxa"/>
            <w:tcBorders>
              <w:top w:val="single" w:sz="6" w:space="0" w:color="auto"/>
              <w:bottom w:val="nil"/>
            </w:tcBorders>
          </w:tcPr>
          <w:p w14:paraId="716E01F6" w14:textId="0BF27594" w:rsidR="00522D04" w:rsidRDefault="00522D04" w:rsidP="00747FF6">
            <w:pPr>
              <w:pStyle w:val="BoxTitle"/>
              <w:keepLines w:val="0"/>
              <w:widowControl w:val="0"/>
            </w:pPr>
            <w:r>
              <w:rPr>
                <w:b w:val="0"/>
              </w:rPr>
              <w:t xml:space="preserve">Box </w:t>
            </w:r>
            <w:r w:rsidR="009A44B4">
              <w:rPr>
                <w:b w:val="0"/>
              </w:rPr>
              <w:t>5.</w:t>
            </w:r>
            <w:r w:rsidR="009A44B4">
              <w:rPr>
                <w:b w:val="0"/>
                <w:noProof/>
              </w:rPr>
              <w:t>5</w:t>
            </w:r>
            <w:r>
              <w:tab/>
              <w:t>State and territory reform of Indigenous heritage</w:t>
            </w:r>
          </w:p>
        </w:tc>
      </w:tr>
      <w:tr w:rsidR="00522D04" w14:paraId="3D9CAA28" w14:textId="77777777" w:rsidTr="00747FF6">
        <w:trPr>
          <w:cantSplit/>
        </w:trPr>
        <w:tc>
          <w:tcPr>
            <w:tcW w:w="8771" w:type="dxa"/>
            <w:tcBorders>
              <w:top w:val="nil"/>
              <w:left w:val="single" w:sz="6" w:space="0" w:color="auto"/>
              <w:bottom w:val="nil"/>
              <w:right w:val="single" w:sz="6" w:space="0" w:color="auto"/>
            </w:tcBorders>
          </w:tcPr>
          <w:p w14:paraId="655B251E" w14:textId="77777777" w:rsidR="00522D04" w:rsidRDefault="00522D04" w:rsidP="00747FF6">
            <w:pPr>
              <w:pStyle w:val="Box"/>
              <w:keepNext w:val="0"/>
              <w:widowControl w:val="0"/>
            </w:pPr>
            <w:r w:rsidRPr="009B60C3">
              <w:rPr>
                <w:b/>
              </w:rPr>
              <w:t>New South Wales</w:t>
            </w:r>
            <w:r>
              <w:rPr>
                <w:b/>
              </w:rPr>
              <w:t xml:space="preserve">: </w:t>
            </w:r>
            <w:r w:rsidRPr="009B60C3">
              <w:t>In 2010 an Aboriginal Cultural and Heritage Working Party was formed to advise the NSW Government on options for the protection and management of Aboriginal culture and heritage in NSW.</w:t>
            </w:r>
            <w:r>
              <w:t xml:space="preserve"> A discussion paper was released to identify key issues and seek ideas on the way forward.</w:t>
            </w:r>
          </w:p>
          <w:p w14:paraId="31287A00" w14:textId="115F38C2" w:rsidR="00094E68" w:rsidRDefault="00522D04" w:rsidP="00094E68">
            <w:pPr>
              <w:pStyle w:val="Box"/>
              <w:keepNext w:val="0"/>
              <w:widowControl w:val="0"/>
            </w:pPr>
            <w:r w:rsidRPr="009B60C3">
              <w:rPr>
                <w:b/>
              </w:rPr>
              <w:t>Victoria</w:t>
            </w:r>
            <w:r>
              <w:rPr>
                <w:b/>
              </w:rPr>
              <w:t xml:space="preserve">: </w:t>
            </w:r>
            <w:r w:rsidRPr="00EB7773">
              <w:t xml:space="preserve">The review of the </w:t>
            </w:r>
            <w:r w:rsidRPr="0062629B">
              <w:rPr>
                <w:i/>
              </w:rPr>
              <w:t xml:space="preserve">Aboriginal Heritage Act </w:t>
            </w:r>
            <w:r w:rsidR="0062629B" w:rsidRPr="0062629B">
              <w:rPr>
                <w:i/>
              </w:rPr>
              <w:t>2006</w:t>
            </w:r>
            <w:r w:rsidR="0062629B">
              <w:t xml:space="preserve"> </w:t>
            </w:r>
            <w:r w:rsidRPr="00EB7773">
              <w:t>was completed in 201</w:t>
            </w:r>
            <w:r>
              <w:t>2. The Victorian Government is due to</w:t>
            </w:r>
            <w:r w:rsidR="000B5C21">
              <w:t xml:space="preserve"> respond in </w:t>
            </w:r>
            <w:r w:rsidRPr="00EB7773">
              <w:t>2013</w:t>
            </w:r>
            <w:r w:rsidR="000B5C21">
              <w:t>.</w:t>
            </w:r>
          </w:p>
          <w:p w14:paraId="20CDC6E0" w14:textId="62ADE591" w:rsidR="00522D04" w:rsidRDefault="00522D04" w:rsidP="00747FF6">
            <w:pPr>
              <w:pStyle w:val="Box"/>
              <w:keepNext w:val="0"/>
              <w:widowControl w:val="0"/>
            </w:pPr>
            <w:r w:rsidRPr="009B60C3">
              <w:rPr>
                <w:b/>
              </w:rPr>
              <w:t>Queensland</w:t>
            </w:r>
            <w:r>
              <w:rPr>
                <w:b/>
              </w:rPr>
              <w:t xml:space="preserve">: </w:t>
            </w:r>
            <w:r w:rsidRPr="009B60C3">
              <w:t>The Department of Environment and Resource Management (</w:t>
            </w:r>
            <w:proofErr w:type="spellStart"/>
            <w:r w:rsidRPr="009B60C3">
              <w:t>DERM</w:t>
            </w:r>
            <w:proofErr w:type="spellEnd"/>
            <w:r w:rsidRPr="009B60C3">
              <w:t>) has finalised the review of the </w:t>
            </w:r>
            <w:r w:rsidRPr="0062629B">
              <w:rPr>
                <w:rStyle w:val="Emphasis"/>
                <w:iCs w:val="0"/>
              </w:rPr>
              <w:t>Aboriginal Cultural Heritage Act 2003</w:t>
            </w:r>
            <w:r w:rsidRPr="00AF2F49">
              <w:t xml:space="preserve"> </w:t>
            </w:r>
            <w:r w:rsidRPr="009B60C3">
              <w:t>and</w:t>
            </w:r>
            <w:r>
              <w:t xml:space="preserve"> </w:t>
            </w:r>
            <w:r w:rsidRPr="0062629B">
              <w:rPr>
                <w:rStyle w:val="Emphasis"/>
                <w:iCs w:val="0"/>
              </w:rPr>
              <w:t>Torres Strait Islander Cultural Heritage Act 2003</w:t>
            </w:r>
            <w:r w:rsidRPr="009B60C3">
              <w:t>.</w:t>
            </w:r>
            <w:r>
              <w:t xml:space="preserve"> Amendments were introduced into the </w:t>
            </w:r>
            <w:r w:rsidRPr="009B60C3">
              <w:t>Queensland Parliament</w:t>
            </w:r>
            <w:r w:rsidRPr="009B60C3">
              <w:rPr>
                <w:rStyle w:val="Strong"/>
                <w:b w:val="0"/>
                <w:bCs w:val="0"/>
              </w:rPr>
              <w:t> </w:t>
            </w:r>
            <w:r w:rsidRPr="009B60C3">
              <w:t>on 29</w:t>
            </w:r>
            <w:r w:rsidR="00504C8F">
              <w:t> </w:t>
            </w:r>
            <w:r w:rsidRPr="009B60C3">
              <w:t>November 2011 by the Minister for Finance, Natural Resources and the Arts</w:t>
            </w:r>
            <w:r>
              <w:t>.</w:t>
            </w:r>
          </w:p>
          <w:p w14:paraId="42C6A4DB" w14:textId="429A570B" w:rsidR="00522D04" w:rsidRDefault="00522D04" w:rsidP="00747FF6">
            <w:pPr>
              <w:pStyle w:val="Box"/>
              <w:keepNext w:val="0"/>
              <w:widowControl w:val="0"/>
            </w:pPr>
            <w:r w:rsidRPr="009B60C3">
              <w:rPr>
                <w:b/>
              </w:rPr>
              <w:t>Western Australia</w:t>
            </w:r>
            <w:r>
              <w:rPr>
                <w:b/>
              </w:rPr>
              <w:t xml:space="preserve">: </w:t>
            </w:r>
            <w:r w:rsidRPr="009B60C3">
              <w:t xml:space="preserve">In 2011 the Government announced its intention to amend the </w:t>
            </w:r>
            <w:r w:rsidRPr="0062629B">
              <w:rPr>
                <w:i/>
              </w:rPr>
              <w:t>Aboriginal Heritage Act 1972</w:t>
            </w:r>
            <w:r w:rsidRPr="009B60C3">
              <w:t>. In April 2012 a discussion paper</w:t>
            </w:r>
            <w:r w:rsidR="009908CA">
              <w:t xml:space="preserve"> was released</w:t>
            </w:r>
            <w:r>
              <w:t>,</w:t>
            </w:r>
            <w:r w:rsidRPr="009B60C3">
              <w:t xml:space="preserve"> </w:t>
            </w:r>
            <w:r w:rsidR="000F7E7E">
              <w:t>containing s</w:t>
            </w:r>
            <w:r w:rsidRPr="009B60C3">
              <w:t>even proposals to regulate and amend the Act for improved clarity, compliance, effectiveness and certainty. Submissions to the review closed in June 2012. To date no legislati</w:t>
            </w:r>
            <w:r w:rsidR="00173772">
              <w:t xml:space="preserve">ve changes </w:t>
            </w:r>
            <w:r w:rsidRPr="009B60C3">
              <w:t>ha</w:t>
            </w:r>
            <w:r w:rsidR="00173772">
              <w:t>ve</w:t>
            </w:r>
            <w:r w:rsidRPr="009B60C3">
              <w:t xml:space="preserve"> been </w:t>
            </w:r>
            <w:r w:rsidR="00173772">
              <w:t>made following the review</w:t>
            </w:r>
            <w:r w:rsidRPr="009B60C3">
              <w:t>.</w:t>
            </w:r>
          </w:p>
          <w:p w14:paraId="319BEF30" w14:textId="71C755E6" w:rsidR="00522D04" w:rsidRDefault="00522D04" w:rsidP="00747FF6">
            <w:pPr>
              <w:pStyle w:val="Box"/>
              <w:keepNext w:val="0"/>
              <w:widowControl w:val="0"/>
            </w:pPr>
            <w:r w:rsidRPr="009B60C3">
              <w:rPr>
                <w:b/>
              </w:rPr>
              <w:t>South Australia</w:t>
            </w:r>
            <w:r>
              <w:rPr>
                <w:b/>
              </w:rPr>
              <w:t xml:space="preserve">: </w:t>
            </w:r>
            <w:r w:rsidR="0062629B">
              <w:t>In 2008 t</w:t>
            </w:r>
            <w:r w:rsidRPr="009B60C3">
              <w:t xml:space="preserve">he Minister for Aboriginal Affairs and Reconciliation announced a review of the </w:t>
            </w:r>
            <w:r w:rsidRPr="0062629B">
              <w:rPr>
                <w:i/>
              </w:rPr>
              <w:t>Aboriginal Heritage Act 1988</w:t>
            </w:r>
            <w:r w:rsidRPr="009B60C3">
              <w:t xml:space="preserve">. In September 2010, a consultation report, </w:t>
            </w:r>
            <w:r w:rsidRPr="009A0548">
              <w:rPr>
                <w:i/>
              </w:rPr>
              <w:t>It’s Not Just About Sacred Sites</w:t>
            </w:r>
            <w:r w:rsidRPr="009B60C3">
              <w:t xml:space="preserve">, was released. </w:t>
            </w:r>
            <w:r w:rsidR="00173772" w:rsidRPr="009B60C3">
              <w:t>To date</w:t>
            </w:r>
            <w:r w:rsidR="0062629B">
              <w:t>,</w:t>
            </w:r>
            <w:r w:rsidR="00173772" w:rsidRPr="009B60C3">
              <w:t xml:space="preserve"> no legislati</w:t>
            </w:r>
            <w:r w:rsidR="00173772">
              <w:t xml:space="preserve">ve changes </w:t>
            </w:r>
            <w:r w:rsidR="00173772" w:rsidRPr="009B60C3">
              <w:t>ha</w:t>
            </w:r>
            <w:r w:rsidR="00173772">
              <w:t>ve</w:t>
            </w:r>
            <w:r w:rsidR="00173772" w:rsidRPr="009B60C3">
              <w:t xml:space="preserve"> been </w:t>
            </w:r>
            <w:r w:rsidR="00173772">
              <w:t>made following the review</w:t>
            </w:r>
            <w:r w:rsidR="00173772" w:rsidRPr="009B60C3">
              <w:t>.</w:t>
            </w:r>
          </w:p>
          <w:p w14:paraId="4BF4DD38" w14:textId="3994A102" w:rsidR="00522D04" w:rsidRDefault="00522D04" w:rsidP="00747FF6">
            <w:pPr>
              <w:pStyle w:val="Box"/>
              <w:keepNext w:val="0"/>
              <w:widowControl w:val="0"/>
            </w:pPr>
            <w:r w:rsidRPr="009B60C3">
              <w:rPr>
                <w:b/>
              </w:rPr>
              <w:t>Tasmania</w:t>
            </w:r>
            <w:r>
              <w:rPr>
                <w:b/>
              </w:rPr>
              <w:t xml:space="preserve">: </w:t>
            </w:r>
            <w:r w:rsidRPr="009B60C3">
              <w:t>In the 2012</w:t>
            </w:r>
            <w:r w:rsidR="00504C8F">
              <w:noBreakHyphen/>
            </w:r>
            <w:r w:rsidRPr="009B60C3">
              <w:t>13 State Budget the Government committed additional funding to continue the development of contemporary Aboriginal heritage legislation.</w:t>
            </w:r>
            <w:r>
              <w:t xml:space="preserve"> C</w:t>
            </w:r>
            <w:r w:rsidRPr="009B60C3">
              <w:t xml:space="preserve">onsultation with the Aboriginal community and other key stakeholders occurred from July </w:t>
            </w:r>
            <w:r>
              <w:t xml:space="preserve">2011 </w:t>
            </w:r>
            <w:r w:rsidRPr="009B60C3">
              <w:t xml:space="preserve">to September 2011. A draft of the Aboriginal Heritage Protection Bill 2012 has been released with public consultation closing in December 2012. </w:t>
            </w:r>
            <w:r w:rsidR="0062629B">
              <w:t>It is expected that a new B</w:t>
            </w:r>
            <w:r>
              <w:t xml:space="preserve">ill will be introduced </w:t>
            </w:r>
            <w:r w:rsidR="0062629B">
              <w:t>in</w:t>
            </w:r>
            <w:r>
              <w:t xml:space="preserve"> </w:t>
            </w:r>
            <w:r w:rsidR="0062629B">
              <w:t>P</w:t>
            </w:r>
            <w:r>
              <w:t>arliament in 2013.</w:t>
            </w:r>
          </w:p>
          <w:p w14:paraId="217FC45B" w14:textId="7366C2F3" w:rsidR="00522D04" w:rsidRPr="00DA2072" w:rsidRDefault="00522D04" w:rsidP="00DA2072">
            <w:pPr>
              <w:pStyle w:val="Box"/>
              <w:keepNext w:val="0"/>
              <w:widowControl w:val="0"/>
              <w:rPr>
                <w:szCs w:val="22"/>
              </w:rPr>
            </w:pPr>
            <w:r w:rsidRPr="009B60C3">
              <w:rPr>
                <w:b/>
              </w:rPr>
              <w:t>Northern Territory</w:t>
            </w:r>
            <w:r>
              <w:rPr>
                <w:b/>
              </w:rPr>
              <w:t xml:space="preserve">: </w:t>
            </w:r>
            <w:r w:rsidRPr="0062629B">
              <w:rPr>
                <w:i/>
                <w:szCs w:val="22"/>
              </w:rPr>
              <w:t xml:space="preserve">The Heritage Act </w:t>
            </w:r>
            <w:r w:rsidR="0062629B" w:rsidRPr="0062629B">
              <w:rPr>
                <w:i/>
                <w:szCs w:val="22"/>
              </w:rPr>
              <w:t>2012</w:t>
            </w:r>
            <w:r w:rsidR="0062629B">
              <w:rPr>
                <w:szCs w:val="22"/>
              </w:rPr>
              <w:t xml:space="preserve"> </w:t>
            </w:r>
            <w:r>
              <w:rPr>
                <w:szCs w:val="22"/>
              </w:rPr>
              <w:t>commenced on 1</w:t>
            </w:r>
            <w:r w:rsidR="00504C8F">
              <w:rPr>
                <w:szCs w:val="22"/>
              </w:rPr>
              <w:t> </w:t>
            </w:r>
            <w:r>
              <w:rPr>
                <w:szCs w:val="22"/>
              </w:rPr>
              <w:t xml:space="preserve">October 2012, replacing the old </w:t>
            </w:r>
            <w:r w:rsidRPr="0062629B">
              <w:rPr>
                <w:i/>
                <w:szCs w:val="22"/>
              </w:rPr>
              <w:t>Heritage Conservation Act</w:t>
            </w:r>
            <w:r w:rsidR="0062629B" w:rsidRPr="0062629B">
              <w:rPr>
                <w:i/>
                <w:szCs w:val="22"/>
              </w:rPr>
              <w:t xml:space="preserve"> 1991</w:t>
            </w:r>
            <w:r>
              <w:rPr>
                <w:szCs w:val="22"/>
              </w:rPr>
              <w:t>.</w:t>
            </w:r>
          </w:p>
        </w:tc>
      </w:tr>
      <w:tr w:rsidR="003E6446" w14:paraId="41D07BEF" w14:textId="77777777" w:rsidTr="003E6446">
        <w:trPr>
          <w:cantSplit/>
        </w:trPr>
        <w:tc>
          <w:tcPr>
            <w:tcW w:w="8771" w:type="dxa"/>
            <w:tcBorders>
              <w:top w:val="nil"/>
              <w:left w:val="single" w:sz="6" w:space="0" w:color="auto"/>
              <w:bottom w:val="nil"/>
              <w:right w:val="single" w:sz="6" w:space="0" w:color="auto"/>
            </w:tcBorders>
          </w:tcPr>
          <w:p w14:paraId="70AD422C" w14:textId="12772F8E" w:rsidR="003E6446" w:rsidRDefault="003E6446" w:rsidP="00947D60">
            <w:pPr>
              <w:pStyle w:val="BoxSource"/>
              <w:rPr>
                <w:i/>
              </w:rPr>
            </w:pPr>
            <w:r>
              <w:rPr>
                <w:i/>
              </w:rPr>
              <w:t>Sources</w:t>
            </w:r>
            <w:r w:rsidRPr="00167F06">
              <w:t>:</w:t>
            </w:r>
            <w:r w:rsidR="002721A3">
              <w:t xml:space="preserve"> </w:t>
            </w:r>
            <w:r w:rsidR="002721A3" w:rsidRPr="002721A3">
              <w:t xml:space="preserve">NSW </w:t>
            </w:r>
            <w:proofErr w:type="spellStart"/>
            <w:r w:rsidR="0091412E">
              <w:t>OEH</w:t>
            </w:r>
            <w:proofErr w:type="spellEnd"/>
            <w:r w:rsidR="002721A3" w:rsidRPr="002721A3">
              <w:t xml:space="preserve"> </w:t>
            </w:r>
            <w:r w:rsidR="003A3241">
              <w:t>(</w:t>
            </w:r>
            <w:proofErr w:type="spellStart"/>
            <w:r w:rsidR="002721A3" w:rsidRPr="002721A3">
              <w:t>2012</w:t>
            </w:r>
            <w:r w:rsidR="002F0A9E">
              <w:t>b</w:t>
            </w:r>
            <w:proofErr w:type="spellEnd"/>
            <w:r w:rsidR="003A3241">
              <w:t>)</w:t>
            </w:r>
            <w:r w:rsidR="002721A3">
              <w:t>;</w:t>
            </w:r>
            <w:r w:rsidR="003A3241">
              <w:t xml:space="preserve"> </w:t>
            </w:r>
            <w:r w:rsidR="002F0A9E">
              <w:t xml:space="preserve">Vic </w:t>
            </w:r>
            <w:proofErr w:type="spellStart"/>
            <w:r w:rsidR="005C3421">
              <w:t>DPCD</w:t>
            </w:r>
            <w:proofErr w:type="spellEnd"/>
            <w:r w:rsidR="005C3421">
              <w:t xml:space="preserve"> (2012)</w:t>
            </w:r>
            <w:r w:rsidR="00F62C17">
              <w:t xml:space="preserve">; </w:t>
            </w:r>
            <w:r w:rsidR="002F0A9E">
              <w:t xml:space="preserve">Qld </w:t>
            </w:r>
            <w:proofErr w:type="spellStart"/>
            <w:r w:rsidR="00F62C17">
              <w:t>DATSIMA</w:t>
            </w:r>
            <w:proofErr w:type="spellEnd"/>
            <w:r w:rsidR="00F62C17">
              <w:t xml:space="preserve"> (2012); </w:t>
            </w:r>
            <w:r w:rsidR="002F0A9E">
              <w:t xml:space="preserve">WA </w:t>
            </w:r>
            <w:proofErr w:type="spellStart"/>
            <w:r w:rsidR="00F62C17">
              <w:t>DAA</w:t>
            </w:r>
            <w:proofErr w:type="spellEnd"/>
            <w:r w:rsidR="00F62C17">
              <w:t xml:space="preserve"> (2012); </w:t>
            </w:r>
            <w:proofErr w:type="spellStart"/>
            <w:r w:rsidR="002F0A9E">
              <w:t>Tas</w:t>
            </w:r>
            <w:proofErr w:type="spellEnd"/>
            <w:r w:rsidR="002F0A9E">
              <w:t xml:space="preserve"> </w:t>
            </w:r>
            <w:proofErr w:type="spellStart"/>
            <w:r w:rsidR="00F62C17">
              <w:t>DPIW</w:t>
            </w:r>
            <w:proofErr w:type="spellEnd"/>
            <w:r w:rsidR="00F62C17">
              <w:t xml:space="preserve"> (2013);</w:t>
            </w:r>
            <w:r w:rsidR="002F0A9E">
              <w:t xml:space="preserve"> NT</w:t>
            </w:r>
            <w:r w:rsidR="00F62C17">
              <w:t xml:space="preserve"> </w:t>
            </w:r>
            <w:proofErr w:type="spellStart"/>
            <w:r w:rsidR="00F62C17">
              <w:t>DLPE</w:t>
            </w:r>
            <w:proofErr w:type="spellEnd"/>
            <w:r w:rsidR="00F62C17">
              <w:t xml:space="preserve"> (</w:t>
            </w:r>
            <w:proofErr w:type="spellStart"/>
            <w:r w:rsidR="00F62C17">
              <w:t>2012</w:t>
            </w:r>
            <w:r w:rsidR="002F0A9E">
              <w:t>b</w:t>
            </w:r>
            <w:proofErr w:type="spellEnd"/>
            <w:r w:rsidR="00F62C17">
              <w:t>)</w:t>
            </w:r>
            <w:r w:rsidR="00836257">
              <w:t>.</w:t>
            </w:r>
          </w:p>
        </w:tc>
      </w:tr>
      <w:tr w:rsidR="00522D04" w14:paraId="194E054E" w14:textId="77777777" w:rsidTr="00747FF6">
        <w:trPr>
          <w:cantSplit/>
        </w:trPr>
        <w:tc>
          <w:tcPr>
            <w:tcW w:w="8771" w:type="dxa"/>
            <w:tcBorders>
              <w:top w:val="nil"/>
              <w:left w:val="single" w:sz="6" w:space="0" w:color="auto"/>
              <w:bottom w:val="single" w:sz="6" w:space="0" w:color="auto"/>
              <w:right w:val="single" w:sz="6" w:space="0" w:color="auto"/>
            </w:tcBorders>
          </w:tcPr>
          <w:p w14:paraId="3E3884DE" w14:textId="77777777" w:rsidR="00522D04" w:rsidRDefault="00522D04" w:rsidP="00747FF6">
            <w:pPr>
              <w:pStyle w:val="Box"/>
              <w:keepNext w:val="0"/>
              <w:widowControl w:val="0"/>
              <w:spacing w:before="0" w:line="120" w:lineRule="exact"/>
            </w:pPr>
          </w:p>
        </w:tc>
      </w:tr>
      <w:tr w:rsidR="00522D04" w:rsidRPr="000863A5" w14:paraId="43A18D43" w14:textId="77777777" w:rsidTr="00747FF6">
        <w:tc>
          <w:tcPr>
            <w:tcW w:w="8771" w:type="dxa"/>
            <w:tcBorders>
              <w:top w:val="nil"/>
              <w:left w:val="nil"/>
              <w:bottom w:val="nil"/>
              <w:right w:val="nil"/>
            </w:tcBorders>
          </w:tcPr>
          <w:p w14:paraId="612E2DD7" w14:textId="0ED16CFC" w:rsidR="00522D04" w:rsidRPr="00626D32" w:rsidRDefault="00522D04" w:rsidP="00747FF6">
            <w:pPr>
              <w:pStyle w:val="BoxSpaceBelow"/>
              <w:widowControl w:val="0"/>
            </w:pPr>
          </w:p>
        </w:tc>
      </w:tr>
    </w:tbl>
    <w:p w14:paraId="4C0C865A" w14:textId="2AF5DB7F" w:rsidR="00A81AC9" w:rsidRDefault="00A81AC9" w:rsidP="00A81AC9">
      <w:pPr>
        <w:pStyle w:val="BodyText"/>
      </w:pPr>
      <w:r>
        <w:t xml:space="preserve">While there is no uniformity to the changes or </w:t>
      </w:r>
      <w:r w:rsidR="00D91757">
        <w:t>recommended</w:t>
      </w:r>
      <w:r>
        <w:t xml:space="preserve"> changes in each state and territory, a number of trends are apparent.</w:t>
      </w:r>
    </w:p>
    <w:p w14:paraId="178AF6E6" w14:textId="77777777" w:rsidR="00A81AC9" w:rsidRDefault="00A81AC9" w:rsidP="00A81AC9">
      <w:pPr>
        <w:pStyle w:val="ListBullet"/>
      </w:pPr>
      <w:r>
        <w:t>Changes appear to be entrenching a consultation model with, in some instances, some measure of Indigenous decision-making power and recognition of custodianship of Indigenous heritage.</w:t>
      </w:r>
    </w:p>
    <w:p w14:paraId="492EA4FA" w14:textId="05CC86C9" w:rsidR="00A81AC9" w:rsidRDefault="00A81AC9" w:rsidP="00A81AC9">
      <w:pPr>
        <w:pStyle w:val="ListBullet"/>
      </w:pPr>
      <w:r>
        <w:t>There is increasing recognition of the primacy of Traditional Owners and alignment of heritage legislation with Native Title in terms of</w:t>
      </w:r>
      <w:r w:rsidR="009B1E6F">
        <w:t xml:space="preserve"> determining who may speak for c</w:t>
      </w:r>
      <w:r>
        <w:t xml:space="preserve">ountry. </w:t>
      </w:r>
    </w:p>
    <w:p w14:paraId="1D7BF958" w14:textId="4502EF0D" w:rsidR="00A81AC9" w:rsidRDefault="00A81AC9" w:rsidP="00A81AC9">
      <w:pPr>
        <w:pStyle w:val="ListBullet"/>
      </w:pPr>
      <w:r>
        <w:lastRenderedPageBreak/>
        <w:t>The fines in some jurisdictions have increased and there are more enforcement mechanisms for damage to heritage, including unintentional damage (</w:t>
      </w:r>
      <w:proofErr w:type="spellStart"/>
      <w:r>
        <w:t>Schnierer</w:t>
      </w:r>
      <w:proofErr w:type="spellEnd"/>
      <w:r>
        <w:t xml:space="preserve"> et al. 2011, p.</w:t>
      </w:r>
      <w:r w:rsidR="00504C8F">
        <w:t> </w:t>
      </w:r>
      <w:r>
        <w:t>27).</w:t>
      </w:r>
    </w:p>
    <w:p w14:paraId="38195560" w14:textId="3EE6B7FE" w:rsidR="00A81AC9" w:rsidRDefault="00A81AC9" w:rsidP="00A81AC9">
      <w:pPr>
        <w:pStyle w:val="BodyText"/>
      </w:pPr>
      <w:r>
        <w:t>T</w:t>
      </w:r>
      <w:r w:rsidRPr="005F09FE">
        <w:t>he Commonwealth</w:t>
      </w:r>
      <w:r>
        <w:t>’s ATSIHP Act has also been under review s</w:t>
      </w:r>
      <w:r w:rsidRPr="004338C3">
        <w:t>ince 2009</w:t>
      </w:r>
      <w:r>
        <w:t xml:space="preserve"> when the Australian Government released a discussion paper on proposed reforms. At that time, it was stated that the reforms would aim to improve the opportunities for Indigenous Australians to protect their heritage and decrease duplication and red tape in Indigenous heritage processes (</w:t>
      </w:r>
      <w:proofErr w:type="spellStart"/>
      <w:r>
        <w:t>DEWHA</w:t>
      </w:r>
      <w:proofErr w:type="spellEnd"/>
      <w:r>
        <w:t xml:space="preserve"> </w:t>
      </w:r>
      <w:proofErr w:type="spellStart"/>
      <w:r>
        <w:t>2009</w:t>
      </w:r>
      <w:r w:rsidR="002F62C7">
        <w:t>b</w:t>
      </w:r>
      <w:proofErr w:type="spellEnd"/>
      <w:r>
        <w:t>, p. 3).</w:t>
      </w:r>
    </w:p>
    <w:p w14:paraId="77FBB0B1" w14:textId="0CC3C087" w:rsidR="001651B8" w:rsidRDefault="001651B8" w:rsidP="001651B8">
      <w:pPr>
        <w:pStyle w:val="BodyText"/>
      </w:pPr>
      <w:r>
        <w:t xml:space="preserve">In addition, in </w:t>
      </w:r>
      <w:r w:rsidR="00F0097E">
        <w:t>2011, the Australian Government</w:t>
      </w:r>
      <w:r>
        <w:t xml:space="preserve"> Department of Sustainability, Environment, Water, Population and Communities </w:t>
      </w:r>
      <w:r w:rsidR="00F0097E">
        <w:t xml:space="preserve">(SEWPaC) </w:t>
      </w:r>
      <w:r>
        <w:t>began the process of developing an Australian heritage strategy (SEWPaC 2013).</w:t>
      </w:r>
      <w:r w:rsidRPr="00AF322F">
        <w:t xml:space="preserve"> </w:t>
      </w:r>
    </w:p>
    <w:p w14:paraId="0DB66666" w14:textId="4C701C80" w:rsidR="001651B8" w:rsidRDefault="001651B8" w:rsidP="001651B8">
      <w:pPr>
        <w:pStyle w:val="BodyText"/>
      </w:pPr>
      <w:r>
        <w:t>However, there has been c</w:t>
      </w:r>
      <w:r w:rsidR="00F0090B">
        <w:t>oncern</w:t>
      </w:r>
      <w:r>
        <w:t xml:space="preserve"> that reform is taking too long. For example, </w:t>
      </w:r>
      <w:r w:rsidR="008F1123">
        <w:t xml:space="preserve">the </w:t>
      </w:r>
      <w:r w:rsidR="008F1123" w:rsidRPr="00176996">
        <w:rPr>
          <w:i/>
        </w:rPr>
        <w:t xml:space="preserve">Australia </w:t>
      </w:r>
      <w:r w:rsidR="00AE75FF">
        <w:rPr>
          <w:i/>
        </w:rPr>
        <w:t>S</w:t>
      </w:r>
      <w:r w:rsidR="008F1123" w:rsidRPr="00176996">
        <w:rPr>
          <w:i/>
        </w:rPr>
        <w:t>tate o</w:t>
      </w:r>
      <w:r w:rsidR="008F1123" w:rsidRPr="00F0097E">
        <w:rPr>
          <w:i/>
        </w:rPr>
        <w:t xml:space="preserve">f the </w:t>
      </w:r>
      <w:r w:rsidR="00AE75FF">
        <w:rPr>
          <w:i/>
        </w:rPr>
        <w:t>E</w:t>
      </w:r>
      <w:r w:rsidR="008F1123" w:rsidRPr="00F0097E">
        <w:rPr>
          <w:i/>
        </w:rPr>
        <w:t>nvironment</w:t>
      </w:r>
      <w:r w:rsidR="008F1123" w:rsidRPr="00F0097E">
        <w:t xml:space="preserve"> </w:t>
      </w:r>
      <w:r w:rsidR="002F62C7" w:rsidRPr="002F62C7">
        <w:rPr>
          <w:i/>
        </w:rPr>
        <w:t>2011</w:t>
      </w:r>
      <w:r w:rsidR="002F62C7">
        <w:t xml:space="preserve"> </w:t>
      </w:r>
      <w:r w:rsidR="008F1123">
        <w:t>report</w:t>
      </w:r>
      <w:r w:rsidR="00504B65">
        <w:t xml:space="preserve"> discussed the</w:t>
      </w:r>
      <w:r>
        <w:t xml:space="preserve"> consequences of delay in reforming the ATSIHP Act.</w:t>
      </w:r>
    </w:p>
    <w:p w14:paraId="29830058" w14:textId="5FC461A5" w:rsidR="001651B8" w:rsidRDefault="001651B8" w:rsidP="001651B8">
      <w:pPr>
        <w:pStyle w:val="Quote"/>
      </w:pPr>
      <w:r>
        <w:t xml:space="preserve">In 2009, the Australian Government released a discussion paper on proposed reforms to the ATSIHP Act. The reforms aim to improve the protection of the traditional heritage of Indigenous Australians in all jurisdictions through accreditation of state and territory laws that meet a set of rigorous standards. This would enable the Australian Government to take a more active and coordinated approach in the protection of sacred sites and objects. However, the delay in reforming the Act is prolonging uncertainty, especially for the states and territories, most of which are reviewing their Indigenous heritage legislation. </w:t>
      </w:r>
      <w:r w:rsidR="00F0090B">
        <w:t>(</w:t>
      </w:r>
      <w:r w:rsidR="00AE75FF">
        <w:t xml:space="preserve">State of the Environment </w:t>
      </w:r>
      <w:r w:rsidR="00F0090B">
        <w:t>2011</w:t>
      </w:r>
      <w:r w:rsidR="00AE75FF">
        <w:t xml:space="preserve"> Committee</w:t>
      </w:r>
      <w:r w:rsidR="00F0090B">
        <w:t>, p. 750)</w:t>
      </w:r>
    </w:p>
    <w:p w14:paraId="27B51C5B" w14:textId="310FA634" w:rsidR="00C335AB" w:rsidRDefault="009A44B4" w:rsidP="00C335AB">
      <w:pPr>
        <w:pStyle w:val="Heading2"/>
      </w:pPr>
      <w:r>
        <w:t>5.</w:t>
      </w:r>
      <w:r>
        <w:rPr>
          <w:noProof/>
        </w:rPr>
        <w:t>3</w:t>
      </w:r>
      <w:r w:rsidR="005D4460">
        <w:tab/>
      </w:r>
      <w:r w:rsidR="00C55CEF">
        <w:t xml:space="preserve">What are the key </w:t>
      </w:r>
      <w:r w:rsidR="0006241A">
        <w:t>Indigenous heritage i</w:t>
      </w:r>
      <w:r w:rsidR="00C335AB">
        <w:t>ssues</w:t>
      </w:r>
      <w:r w:rsidR="00C55CEF">
        <w:t>?</w:t>
      </w:r>
    </w:p>
    <w:p w14:paraId="6A0DA0CE" w14:textId="5AE9251D" w:rsidR="0078386E" w:rsidRDefault="0078386E" w:rsidP="0078386E">
      <w:pPr>
        <w:pStyle w:val="BodyText"/>
      </w:pPr>
      <w:r>
        <w:t>This section address</w:t>
      </w:r>
      <w:r w:rsidR="009908CA">
        <w:t>es</w:t>
      </w:r>
      <w:r>
        <w:t xml:space="preserve"> </w:t>
      </w:r>
      <w:r w:rsidR="009908CA">
        <w:t>options for reforming</w:t>
      </w:r>
      <w:r>
        <w:t xml:space="preserve"> </w:t>
      </w:r>
      <w:r w:rsidR="009908CA">
        <w:t xml:space="preserve">heritage </w:t>
      </w:r>
      <w:r>
        <w:t xml:space="preserve">legislation and processes </w:t>
      </w:r>
      <w:r w:rsidR="009908CA">
        <w:t>(such as consultation, regulation and administration</w:t>
      </w:r>
      <w:r w:rsidR="00AC0E50">
        <w:t>)</w:t>
      </w:r>
      <w:r w:rsidR="009908CA">
        <w:t xml:space="preserve"> so as to </w:t>
      </w:r>
      <w:r w:rsidR="00AC0E50">
        <w:t xml:space="preserve">achieve an appropriate balance between </w:t>
      </w:r>
      <w:r>
        <w:t xml:space="preserve">heritage protection and </w:t>
      </w:r>
      <w:r w:rsidR="00600849">
        <w:t xml:space="preserve">resource </w:t>
      </w:r>
      <w:r>
        <w:t>exploration</w:t>
      </w:r>
      <w:r w:rsidR="008209F6">
        <w:t>, efficiently and cost effectively</w:t>
      </w:r>
      <w:r>
        <w:t>.</w:t>
      </w:r>
    </w:p>
    <w:p w14:paraId="27DEDF32" w14:textId="77777777" w:rsidR="005D4538" w:rsidRDefault="005D4538" w:rsidP="005D4538">
      <w:pPr>
        <w:pStyle w:val="Heading3"/>
      </w:pPr>
      <w:r w:rsidRPr="00AE64F0">
        <w:t>The protection of heritage</w:t>
      </w:r>
    </w:p>
    <w:p w14:paraId="28EEAB4B" w14:textId="6BDAC5F1" w:rsidR="00AC0E50" w:rsidRDefault="00AC0E50" w:rsidP="005D4538">
      <w:pPr>
        <w:pStyle w:val="BodyText"/>
      </w:pPr>
      <w:r>
        <w:t xml:space="preserve">The fundamental question of balance comes to the fore in deciding on applications from explorers which seek </w:t>
      </w:r>
      <w:r w:rsidR="009B1E6F">
        <w:t xml:space="preserve">permission </w:t>
      </w:r>
      <w:r w:rsidR="005D4538">
        <w:t>to harm or destroy Indigenous heritage</w:t>
      </w:r>
      <w:r>
        <w:t>. Understandably, it</w:t>
      </w:r>
      <w:r w:rsidR="005D4538">
        <w:t xml:space="preserve"> is a highly contentious </w:t>
      </w:r>
      <w:r w:rsidR="009908CA">
        <w:t xml:space="preserve">matter </w:t>
      </w:r>
      <w:r w:rsidR="005D4538">
        <w:t xml:space="preserve">and in many jurisdictions </w:t>
      </w:r>
      <w:r w:rsidR="009908CA">
        <w:t xml:space="preserve">it </w:t>
      </w:r>
      <w:r w:rsidR="005D4538">
        <w:t>is an ongoing source of conflict between</w:t>
      </w:r>
      <w:r w:rsidR="00751B76">
        <w:t xml:space="preserve"> explor</w:t>
      </w:r>
      <w:r w:rsidR="0010662D">
        <w:t>ers</w:t>
      </w:r>
      <w:r w:rsidR="00751B76">
        <w:t>,</w:t>
      </w:r>
      <w:r w:rsidR="005D4538">
        <w:t xml:space="preserve"> Indigenous communities, archaeologists and government agencies</w:t>
      </w:r>
      <w:r w:rsidR="009B10AA">
        <w:t>.</w:t>
      </w:r>
    </w:p>
    <w:p w14:paraId="2C254B45" w14:textId="342D645D" w:rsidR="005D4538" w:rsidRDefault="00F0097E" w:rsidP="005D4538">
      <w:pPr>
        <w:pStyle w:val="BodyText"/>
      </w:pPr>
      <w:r>
        <w:lastRenderedPageBreak/>
        <w:t xml:space="preserve">The </w:t>
      </w:r>
      <w:r w:rsidR="00AE75FF">
        <w:rPr>
          <w:i/>
        </w:rPr>
        <w:t>Australia S</w:t>
      </w:r>
      <w:r w:rsidR="005D4538" w:rsidRPr="00176996">
        <w:rPr>
          <w:i/>
        </w:rPr>
        <w:t>tate o</w:t>
      </w:r>
      <w:r w:rsidR="005D4538" w:rsidRPr="00F0097E">
        <w:rPr>
          <w:i/>
        </w:rPr>
        <w:t xml:space="preserve">f the </w:t>
      </w:r>
      <w:r w:rsidR="00AE75FF">
        <w:rPr>
          <w:i/>
        </w:rPr>
        <w:t>E</w:t>
      </w:r>
      <w:r w:rsidR="005D4538" w:rsidRPr="00F0097E">
        <w:rPr>
          <w:i/>
        </w:rPr>
        <w:t xml:space="preserve">nvironment </w:t>
      </w:r>
      <w:r w:rsidR="002F62C7">
        <w:rPr>
          <w:i/>
        </w:rPr>
        <w:t xml:space="preserve">2011 </w:t>
      </w:r>
      <w:r w:rsidR="00176996">
        <w:t>r</w:t>
      </w:r>
      <w:r w:rsidR="005D4538" w:rsidRPr="00F0097E">
        <w:t>eport</w:t>
      </w:r>
      <w:r w:rsidR="005D4538">
        <w:t xml:space="preserve"> explained</w:t>
      </w:r>
      <w:r w:rsidR="00AC0E50">
        <w:t xml:space="preserve"> the issue in the following terms</w:t>
      </w:r>
      <w:r w:rsidR="005D4538">
        <w:t>:</w:t>
      </w:r>
    </w:p>
    <w:p w14:paraId="2DC56232" w14:textId="3761768E" w:rsidR="005D4538" w:rsidRDefault="005D4538" w:rsidP="005D4538">
      <w:pPr>
        <w:pStyle w:val="Quote"/>
      </w:pPr>
      <w:r>
        <w:t>One of the main threats to Indigenous heritage places is conscious destruction through government-approved development — that is, development for which decision-makers are aware of (or obliged to be informed about) Indigenous heritage impacts, yet choose to authorise the destruction of Indigenous heritage. This widespread process, combined with a general lack of understanding of physical Indigenous heritage, means that individual decisions on assessment and development result in progressive, cumulative destruction of the Indigenous cultural resource. (</w:t>
      </w:r>
      <w:r w:rsidR="003E6446">
        <w:t xml:space="preserve">State of the Environment 2011 Committee </w:t>
      </w:r>
      <w:r>
        <w:t>2011, p.</w:t>
      </w:r>
      <w:r w:rsidR="00504C8F">
        <w:t> </w:t>
      </w:r>
      <w:r>
        <w:t>721)</w:t>
      </w:r>
    </w:p>
    <w:p w14:paraId="0854E0A0" w14:textId="646C5BFC" w:rsidR="009A1D6A" w:rsidRDefault="00AC0E50" w:rsidP="009A1D6A">
      <w:pPr>
        <w:pStyle w:val="BodyText"/>
      </w:pPr>
      <w:r>
        <w:t xml:space="preserve">Several submissions argued that </w:t>
      </w:r>
      <w:r w:rsidR="004F7B8F">
        <w:t>current regime</w:t>
      </w:r>
      <w:r w:rsidR="00F333DB">
        <w:t>s</w:t>
      </w:r>
      <w:r w:rsidR="004F7B8F">
        <w:t xml:space="preserve"> do not adequately protect Indigenous heritage. </w:t>
      </w:r>
      <w:proofErr w:type="spellStart"/>
      <w:r w:rsidR="009A1D6A">
        <w:t>NTSCORP</w:t>
      </w:r>
      <w:proofErr w:type="spellEnd"/>
      <w:r w:rsidR="009A1D6A">
        <w:t xml:space="preserve"> </w:t>
      </w:r>
      <w:r w:rsidR="00F74798">
        <w:t>expressed concern</w:t>
      </w:r>
      <w:r w:rsidR="009A1D6A">
        <w:t xml:space="preserve"> that economic values are given a higher value than Indigenous cultural values in making decisions about heritage</w:t>
      </w:r>
      <w:r w:rsidR="003E6446">
        <w:t>:</w:t>
      </w:r>
    </w:p>
    <w:p w14:paraId="3B3A000A" w14:textId="00C49691" w:rsidR="003E5A0C" w:rsidRPr="003E5A0C" w:rsidRDefault="009A1D6A" w:rsidP="00F45026">
      <w:pPr>
        <w:pStyle w:val="Quote"/>
      </w:pPr>
      <w:r>
        <w:t>There is a perception that Aboriginal cultural values are consistently overridden by economic considerations and decisions are frequently made in favour of development at the expense of intangibly valuable Aboriginal culture and heritage sites, obje</w:t>
      </w:r>
      <w:r w:rsidR="00DF2E87">
        <w:t>cts and places. (sub.</w:t>
      </w:r>
      <w:r w:rsidR="00504C8F">
        <w:t> </w:t>
      </w:r>
      <w:r w:rsidR="00DF2E87">
        <w:t>31, p.</w:t>
      </w:r>
      <w:r w:rsidR="00504C8F">
        <w:t> </w:t>
      </w:r>
      <w:r w:rsidR="00DF2E87">
        <w:t>4)</w:t>
      </w:r>
    </w:p>
    <w:p w14:paraId="07D7A833" w14:textId="3CAEC054" w:rsidR="004F7B8F" w:rsidRDefault="004F7B8F" w:rsidP="004F7B8F">
      <w:pPr>
        <w:pStyle w:val="BodyText"/>
      </w:pPr>
      <w:r>
        <w:t>Some archaeologists have also expressed concern about the inadequate protection of heritage. For example, Melissa Hetherington, based on her experience undertaking archaeological research in Western Australia</w:t>
      </w:r>
      <w:r w:rsidR="0002007F">
        <w:t>,</w:t>
      </w:r>
      <w:r>
        <w:t xml:space="preserve"> commented:</w:t>
      </w:r>
    </w:p>
    <w:p w14:paraId="775C507D" w14:textId="38C713F0" w:rsidR="004F7B8F" w:rsidRDefault="004F7B8F" w:rsidP="004F7B8F">
      <w:pPr>
        <w:pStyle w:val="Quote"/>
      </w:pPr>
      <w:r w:rsidRPr="004F5A5D">
        <w:t>Heritage legislation needs be restructured in a way that facilitates effective, quality archaeological research. However, this doesn’t seem to be happening in an effective manner. In fact, current cultural heritage management practices seem to be facilitating the destruction of archaeological sites, even sites which have been classified and registered as highly significant and which have the potential to contribute valuable information to research goals</w:t>
      </w:r>
      <w:r>
        <w:t>. (sub.</w:t>
      </w:r>
      <w:r w:rsidR="00504C8F">
        <w:t> </w:t>
      </w:r>
      <w:r>
        <w:t>16, p.</w:t>
      </w:r>
      <w:r w:rsidR="00504C8F">
        <w:t> </w:t>
      </w:r>
      <w:r>
        <w:t>3)</w:t>
      </w:r>
    </w:p>
    <w:p w14:paraId="7A11FC06" w14:textId="17153887" w:rsidR="0015201C" w:rsidRDefault="00F05DC6" w:rsidP="0015201C">
      <w:pPr>
        <w:pStyle w:val="BodyText"/>
      </w:pPr>
      <w:r>
        <w:t>I</w:t>
      </w:r>
      <w:r w:rsidRPr="00B5768B">
        <w:t>n a number of jurisdicti</w:t>
      </w:r>
      <w:r>
        <w:t xml:space="preserve">ons, </w:t>
      </w:r>
      <w:r w:rsidR="0002007F">
        <w:t xml:space="preserve">inquiry </w:t>
      </w:r>
      <w:r>
        <w:t xml:space="preserve">participants commented that there is </w:t>
      </w:r>
      <w:r w:rsidRPr="00B5768B">
        <w:t xml:space="preserve">a lack of confidence in the ability of </w:t>
      </w:r>
      <w:r w:rsidR="008209F6">
        <w:t xml:space="preserve">state </w:t>
      </w:r>
      <w:r w:rsidRPr="00B5768B">
        <w:t>legislation to adequately protect Indigenous heritage</w:t>
      </w:r>
      <w:r>
        <w:t>.</w:t>
      </w:r>
      <w:r w:rsidR="00F333DB">
        <w:t xml:space="preserve"> </w:t>
      </w:r>
      <w:r>
        <w:t xml:space="preserve">For example, </w:t>
      </w:r>
      <w:r w:rsidR="0015201C" w:rsidRPr="00B5768B">
        <w:t xml:space="preserve">in </w:t>
      </w:r>
      <w:r w:rsidR="0015201C">
        <w:t>Western Australia</w:t>
      </w:r>
      <w:r w:rsidR="00DB3CD3">
        <w:t>,</w:t>
      </w:r>
      <w:r w:rsidR="0015201C">
        <w:t xml:space="preserve"> </w:t>
      </w:r>
      <w:r>
        <w:t xml:space="preserve">Indigenous heritage legislation has </w:t>
      </w:r>
      <w:r w:rsidR="0015201C">
        <w:t xml:space="preserve">persisted largely unchanged since </w:t>
      </w:r>
      <w:r>
        <w:t>its</w:t>
      </w:r>
      <w:r w:rsidR="0015201C">
        <w:t xml:space="preserve"> introduction in the </w:t>
      </w:r>
      <w:proofErr w:type="spellStart"/>
      <w:r w:rsidR="0015201C">
        <w:t>1970s</w:t>
      </w:r>
      <w:proofErr w:type="spellEnd"/>
      <w:r>
        <w:t>,</w:t>
      </w:r>
      <w:r w:rsidR="0015201C">
        <w:t xml:space="preserve"> despite the introduction of native title. </w:t>
      </w:r>
      <w:proofErr w:type="spellStart"/>
      <w:r w:rsidR="0015201C">
        <w:t>Yamatji</w:t>
      </w:r>
      <w:proofErr w:type="spellEnd"/>
      <w:r w:rsidR="0015201C">
        <w:t xml:space="preserve"> </w:t>
      </w:r>
      <w:proofErr w:type="spellStart"/>
      <w:r w:rsidR="0015201C">
        <w:t>Marlpa</w:t>
      </w:r>
      <w:proofErr w:type="spellEnd"/>
      <w:r w:rsidR="0015201C">
        <w:t xml:space="preserve"> Aboriginal Corporation (</w:t>
      </w:r>
      <w:proofErr w:type="spellStart"/>
      <w:r w:rsidR="0015201C">
        <w:t>YMAC</w:t>
      </w:r>
      <w:proofErr w:type="spellEnd"/>
      <w:r w:rsidR="0015201C">
        <w:t>) commented:</w:t>
      </w:r>
    </w:p>
    <w:p w14:paraId="1EFE6858" w14:textId="75206671" w:rsidR="0015201C" w:rsidRPr="001E15F5" w:rsidRDefault="0015201C" w:rsidP="0015201C">
      <w:pPr>
        <w:pStyle w:val="Quote"/>
      </w:pPr>
      <w:r>
        <w:t xml:space="preserve">A major challenge for </w:t>
      </w:r>
      <w:proofErr w:type="spellStart"/>
      <w:r>
        <w:t>YMAC</w:t>
      </w:r>
      <w:proofErr w:type="spellEnd"/>
      <w:r>
        <w:t xml:space="preserve"> and our clients is that the </w:t>
      </w:r>
      <w:r>
        <w:rPr>
          <w:i/>
        </w:rPr>
        <w:t>Aboriginal Heritage Act 1972</w:t>
      </w:r>
      <w:r>
        <w:t xml:space="preserve"> (WA) has not been amended to recognise the introduction of the </w:t>
      </w:r>
      <w:r w:rsidRPr="00F20B0C">
        <w:rPr>
          <w:i/>
        </w:rPr>
        <w:t>Native Title Act</w:t>
      </w:r>
      <w:r>
        <w:t xml:space="preserve"> and therefore offers no direction on how the two pieces of legislation should properly interact. (sub.</w:t>
      </w:r>
      <w:r w:rsidR="00504C8F">
        <w:t> </w:t>
      </w:r>
      <w:r>
        <w:t>34, p.</w:t>
      </w:r>
      <w:r w:rsidR="00504C8F">
        <w:t> </w:t>
      </w:r>
      <w:r>
        <w:t>3)</w:t>
      </w:r>
    </w:p>
    <w:p w14:paraId="0E542858" w14:textId="51A224EF" w:rsidR="0015201C" w:rsidRDefault="00C84CA1" w:rsidP="0015201C">
      <w:pPr>
        <w:pStyle w:val="BodyText"/>
      </w:pPr>
      <w:proofErr w:type="spellStart"/>
      <w:r>
        <w:t>YMAC</w:t>
      </w:r>
      <w:proofErr w:type="spellEnd"/>
      <w:r w:rsidR="0015201C">
        <w:t xml:space="preserve"> </w:t>
      </w:r>
      <w:r w:rsidR="00F05DC6">
        <w:t xml:space="preserve">also </w:t>
      </w:r>
      <w:r w:rsidR="0015201C">
        <w:t>reported:</w:t>
      </w:r>
    </w:p>
    <w:p w14:paraId="4D9C763C" w14:textId="0E2CB220" w:rsidR="0015201C" w:rsidRDefault="0015201C" w:rsidP="0015201C">
      <w:pPr>
        <w:pStyle w:val="Quote"/>
      </w:pPr>
      <w:r>
        <w:t xml:space="preserve">The Native Title Tribunal has acknowledged that the ‘protective regime’ of the </w:t>
      </w:r>
      <w:r w:rsidRPr="00F20B0C">
        <w:rPr>
          <w:i/>
        </w:rPr>
        <w:t>Aboriginal Heritage Act</w:t>
      </w:r>
      <w:r>
        <w:t xml:space="preserve"> [Western Australia] is sometimes insufficient to protect </w:t>
      </w:r>
      <w:r>
        <w:lastRenderedPageBreak/>
        <w:t>Aboriginal heritage … The Auditor General of Western Australia has also criticised the heritage regime, noting the State Government ‘has not actively monitored if operators are meeting</w:t>
      </w:r>
      <w:r w:rsidR="00504C8F">
        <w:t xml:space="preserve"> </w:t>
      </w:r>
      <w:r>
        <w:t>… [heritage] conditions… Aboriginal heritage sites could have been lost or destroyed without the</w:t>
      </w:r>
      <w:r w:rsidR="00F20B0C">
        <w:t xml:space="preserve"> State knowing or taking action</w:t>
      </w:r>
      <w:r>
        <w:t>.</w:t>
      </w:r>
      <w:r w:rsidR="00F20B0C">
        <w:t xml:space="preserve"> </w:t>
      </w:r>
      <w:r>
        <w:t>(sub.</w:t>
      </w:r>
      <w:r w:rsidR="00504C8F">
        <w:t> </w:t>
      </w:r>
      <w:r>
        <w:t>34, p.</w:t>
      </w:r>
      <w:r w:rsidR="00504C8F">
        <w:t> </w:t>
      </w:r>
      <w:r>
        <w:t>4)</w:t>
      </w:r>
    </w:p>
    <w:p w14:paraId="0670B378" w14:textId="02D8D135" w:rsidR="0015201C" w:rsidRDefault="0015201C" w:rsidP="0015201C">
      <w:pPr>
        <w:pStyle w:val="BodyText"/>
      </w:pPr>
      <w:r>
        <w:t xml:space="preserve">Similarly, in New South Wales, the NSW Aboriginal Land Council </w:t>
      </w:r>
      <w:r w:rsidR="000343F9">
        <w:t>stated</w:t>
      </w:r>
      <w:r>
        <w:t>:</w:t>
      </w:r>
    </w:p>
    <w:p w14:paraId="2CA1A3A3" w14:textId="7D6B5EAD" w:rsidR="0015201C" w:rsidRDefault="0015201C" w:rsidP="0015201C">
      <w:pPr>
        <w:pStyle w:val="Quote"/>
      </w:pPr>
      <w:r>
        <w:t>… Aboriginal culture and heritage laws, at least in New South Wales, are failing to provide the appropriate protections for Aboriginal culture and heritage. (sub.</w:t>
      </w:r>
      <w:r w:rsidR="00504C8F">
        <w:t> </w:t>
      </w:r>
      <w:r>
        <w:t>10, p.</w:t>
      </w:r>
      <w:r w:rsidR="00504C8F">
        <w:t> </w:t>
      </w:r>
      <w:r>
        <w:t>1)</w:t>
      </w:r>
    </w:p>
    <w:p w14:paraId="500F8206" w14:textId="3A486089" w:rsidR="0015201C" w:rsidRDefault="009B1E6F" w:rsidP="0015201C">
      <w:pPr>
        <w:pStyle w:val="BodyText"/>
      </w:pPr>
      <w:r>
        <w:rPr>
          <w:lang w:val="en"/>
        </w:rPr>
        <w:t xml:space="preserve">And </w:t>
      </w:r>
      <w:proofErr w:type="spellStart"/>
      <w:r>
        <w:rPr>
          <w:lang w:val="en"/>
        </w:rPr>
        <w:t>NTSCORP</w:t>
      </w:r>
      <w:proofErr w:type="spellEnd"/>
      <w:r w:rsidR="0015201C">
        <w:rPr>
          <w:lang w:val="en"/>
        </w:rPr>
        <w:t xml:space="preserve"> argued for stand-alone heritage legislation</w:t>
      </w:r>
      <w:r w:rsidR="003E6446">
        <w:rPr>
          <w:lang w:val="en"/>
        </w:rPr>
        <w:t>:</w:t>
      </w:r>
    </w:p>
    <w:p w14:paraId="7DFC09E6" w14:textId="4A5F94E2" w:rsidR="0015201C" w:rsidRDefault="0015201C" w:rsidP="0015201C">
      <w:pPr>
        <w:pStyle w:val="Quote"/>
        <w:rPr>
          <w:lang w:val="en"/>
        </w:rPr>
      </w:pPr>
      <w:r>
        <w:rPr>
          <w:lang w:val="en"/>
        </w:rPr>
        <w:t>The current framework for culture and heritage NSW consists of a plethora of overlapping regulations and guidelines</w:t>
      </w:r>
      <w:r w:rsidR="00504C8F">
        <w:rPr>
          <w:lang w:val="en"/>
        </w:rPr>
        <w:t xml:space="preserve"> </w:t>
      </w:r>
      <w:r>
        <w:rPr>
          <w:lang w:val="en"/>
        </w:rPr>
        <w:t>…</w:t>
      </w:r>
    </w:p>
    <w:p w14:paraId="139958E2" w14:textId="03D14D9E" w:rsidR="002C0543" w:rsidRDefault="0015201C" w:rsidP="00F05DC6">
      <w:pPr>
        <w:pStyle w:val="Quote"/>
      </w:pPr>
      <w:r>
        <w:rPr>
          <w:lang w:val="en"/>
        </w:rPr>
        <w:t>There is concern and confusion amongst Traditional Owners regarding their rights and obligations, and the rights and obligations of exploration proponents</w:t>
      </w:r>
      <w:r w:rsidR="00D51567">
        <w:rPr>
          <w:lang w:val="en"/>
        </w:rPr>
        <w:t>…</w:t>
      </w:r>
      <w:r>
        <w:rPr>
          <w:lang w:val="en"/>
        </w:rPr>
        <w:t xml:space="preserve"> We believe consolidating these regulations and guidelines would result in a clearer, more streamlined and more accessible process for both Aboriginal stakeholders and exploration proponents. (sub.</w:t>
      </w:r>
      <w:r w:rsidR="00504C8F">
        <w:rPr>
          <w:lang w:val="en"/>
        </w:rPr>
        <w:t> </w:t>
      </w:r>
      <w:r>
        <w:rPr>
          <w:lang w:val="en"/>
        </w:rPr>
        <w:t>31, p.</w:t>
      </w:r>
      <w:r w:rsidR="00504C8F">
        <w:rPr>
          <w:lang w:val="en"/>
        </w:rPr>
        <w:t> </w:t>
      </w:r>
      <w:r>
        <w:rPr>
          <w:lang w:val="en"/>
        </w:rPr>
        <w:t>3)</w:t>
      </w:r>
    </w:p>
    <w:p w14:paraId="3B205607" w14:textId="7F32BF4A" w:rsidR="005D4538" w:rsidRDefault="005D4538" w:rsidP="005D4538">
      <w:pPr>
        <w:pStyle w:val="BodyText"/>
      </w:pPr>
      <w:r>
        <w:t>The NSW Aboriginal Land Council</w:t>
      </w:r>
      <w:r w:rsidR="002D3C62">
        <w:t>’s</w:t>
      </w:r>
      <w:r>
        <w:t xml:space="preserve"> </w:t>
      </w:r>
      <w:r w:rsidR="004A7519">
        <w:t xml:space="preserve">submission contained </w:t>
      </w:r>
      <w:r>
        <w:t xml:space="preserve">recommendations </w:t>
      </w:r>
      <w:r w:rsidR="004F7B8F">
        <w:t xml:space="preserve">for a process </w:t>
      </w:r>
      <w:r w:rsidR="000343F9">
        <w:t>that</w:t>
      </w:r>
      <w:r w:rsidR="004A7519">
        <w:t xml:space="preserve"> </w:t>
      </w:r>
      <w:r w:rsidR="004F2074">
        <w:t>seeks</w:t>
      </w:r>
      <w:r w:rsidR="004F7B8F">
        <w:t xml:space="preserve"> to achieve a balance between often competing interests</w:t>
      </w:r>
      <w:r w:rsidR="00446022">
        <w:t>:</w:t>
      </w:r>
    </w:p>
    <w:p w14:paraId="62910E93" w14:textId="77777777" w:rsidR="005D4538" w:rsidRDefault="005D4538" w:rsidP="00F20B0C">
      <w:pPr>
        <w:pStyle w:val="Quote"/>
      </w:pPr>
      <w:r>
        <w:t>Aboriginal people in New South Wales must have their inherent right to control and manage Aboriginal culture and heritage recognised.</w:t>
      </w:r>
    </w:p>
    <w:p w14:paraId="71E91AE8" w14:textId="77777777" w:rsidR="005D4538" w:rsidRDefault="005D4538" w:rsidP="00F20B0C">
      <w:pPr>
        <w:pStyle w:val="Quote"/>
      </w:pPr>
      <w:r>
        <w:t>Any legislative system must effect a practical balance between:</w:t>
      </w:r>
    </w:p>
    <w:p w14:paraId="16BA19A4" w14:textId="6CAF2636" w:rsidR="005D4538" w:rsidRDefault="00F20B0C" w:rsidP="007A7FBF">
      <w:pPr>
        <w:pStyle w:val="QuoteBullet"/>
        <w:numPr>
          <w:ilvl w:val="0"/>
          <w:numId w:val="2"/>
        </w:numPr>
      </w:pPr>
      <w:r>
        <w:t>t</w:t>
      </w:r>
      <w:r w:rsidR="005D4538">
        <w:t>he recognised need to preserve and enhance</w:t>
      </w:r>
      <w:r>
        <w:t xml:space="preserve"> Aboriginal cultural traditions</w:t>
      </w:r>
    </w:p>
    <w:p w14:paraId="7C7656A8" w14:textId="4973D7B6" w:rsidR="005D4538" w:rsidRDefault="00F20B0C" w:rsidP="007A7FBF">
      <w:pPr>
        <w:pStyle w:val="QuoteBullet"/>
        <w:numPr>
          <w:ilvl w:val="0"/>
          <w:numId w:val="2"/>
        </w:numPr>
      </w:pPr>
      <w:r>
        <w:t>t</w:t>
      </w:r>
      <w:r w:rsidR="005D4538">
        <w:t>he need to deliver social justice to Aboriginal peoples in New South Wales to redress the significant cultural, economic and social dispo</w:t>
      </w:r>
      <w:r w:rsidR="00B43C0A">
        <w:t>ssession they have suffered</w:t>
      </w:r>
    </w:p>
    <w:p w14:paraId="62E76011" w14:textId="7C2742D2" w:rsidR="005D4538" w:rsidRPr="006D3228" w:rsidRDefault="00F20B0C" w:rsidP="007A7FBF">
      <w:pPr>
        <w:pStyle w:val="QuoteBullet"/>
        <w:numPr>
          <w:ilvl w:val="0"/>
          <w:numId w:val="2"/>
        </w:numPr>
      </w:pPr>
      <w:r>
        <w:t>t</w:t>
      </w:r>
      <w:r w:rsidR="005D4538">
        <w:t>he need for the economic, social and cultural advancement of other non-Aboriginal interests in New South Wales</w:t>
      </w:r>
      <w:r w:rsidR="00B43C0A">
        <w:t>.</w:t>
      </w:r>
      <w:r w:rsidR="005D4538">
        <w:t xml:space="preserve"> (sub.</w:t>
      </w:r>
      <w:r w:rsidR="00504C8F">
        <w:t> </w:t>
      </w:r>
      <w:r w:rsidR="005D4538">
        <w:t>10, p.</w:t>
      </w:r>
      <w:r w:rsidR="00504C8F">
        <w:t> </w:t>
      </w:r>
      <w:r w:rsidR="005D4538">
        <w:t>3)</w:t>
      </w:r>
    </w:p>
    <w:p w14:paraId="4BE3451B" w14:textId="47057684" w:rsidR="00F907D9" w:rsidRDefault="00F907D9" w:rsidP="00F907D9">
      <w:pPr>
        <w:pStyle w:val="BodyText"/>
      </w:pPr>
      <w:r w:rsidRPr="008C4DBA">
        <w:t xml:space="preserve">The Commission is mindful of the current reviews and reforms being undertaken in Indigenous heritage protection </w:t>
      </w:r>
      <w:r w:rsidR="004F2074">
        <w:t>and also</w:t>
      </w:r>
      <w:r w:rsidR="004F2074" w:rsidRPr="008C4DBA">
        <w:t xml:space="preserve"> </w:t>
      </w:r>
      <w:r w:rsidRPr="008C4DBA">
        <w:t xml:space="preserve">that the focus of this inquiry is on exploration, not heritage. This inquiry cannot offer a comprehensive analysis of the effectiveness of all jurisdictional heritage legislation and processes. For example, to answer the question, ‘Is the </w:t>
      </w:r>
      <w:r w:rsidR="0052658E">
        <w:t xml:space="preserve">level of </w:t>
      </w:r>
      <w:r w:rsidRPr="008C4DBA">
        <w:t>protection of Indigenous heritage adequate?’ a more extensive inquiry into Indigenous heritage would be required.</w:t>
      </w:r>
    </w:p>
    <w:p w14:paraId="4B77533E" w14:textId="14D5D01E" w:rsidR="004F2074" w:rsidRDefault="004F2074" w:rsidP="00F907D9">
      <w:pPr>
        <w:pStyle w:val="BodyText"/>
      </w:pPr>
      <w:r>
        <w:t xml:space="preserve">In terms of exploration issues, however, the Commission </w:t>
      </w:r>
      <w:r w:rsidR="00F8267D">
        <w:t>has considered options to</w:t>
      </w:r>
      <w:r>
        <w:t xml:space="preserve"> </w:t>
      </w:r>
      <w:r w:rsidR="00C84CA1">
        <w:t xml:space="preserve">achieve a balance which </w:t>
      </w:r>
      <w:r>
        <w:t>minimis</w:t>
      </w:r>
      <w:r w:rsidR="008D7891">
        <w:t>e</w:t>
      </w:r>
      <w:r w:rsidR="00C84CA1">
        <w:t>s</w:t>
      </w:r>
      <w:r>
        <w:t xml:space="preserve"> costs and delays for explorers within the framework of </w:t>
      </w:r>
      <w:r w:rsidRPr="008C4DBA">
        <w:t>efficient and effective Indigenous heritage legislation</w:t>
      </w:r>
      <w:r w:rsidR="00600849">
        <w:t>.</w:t>
      </w:r>
      <w:r w:rsidRPr="008C4DBA">
        <w:t xml:space="preserve"> </w:t>
      </w:r>
    </w:p>
    <w:p w14:paraId="68DF093A" w14:textId="53B27896" w:rsidR="00536C9B" w:rsidRDefault="002033B4" w:rsidP="00536C9B">
      <w:pPr>
        <w:pStyle w:val="Heading3"/>
        <w:rPr>
          <w:lang w:val="en"/>
        </w:rPr>
      </w:pPr>
      <w:r>
        <w:rPr>
          <w:lang w:val="en"/>
        </w:rPr>
        <w:lastRenderedPageBreak/>
        <w:t>Overlap in Commonwealth legislation</w:t>
      </w:r>
    </w:p>
    <w:p w14:paraId="0DFF69A3" w14:textId="7C6FE5D3" w:rsidR="00F026E8" w:rsidRDefault="000F14A6" w:rsidP="00F026E8">
      <w:pPr>
        <w:pStyle w:val="BodyText"/>
      </w:pPr>
      <w:r>
        <w:t xml:space="preserve">Many participants in the </w:t>
      </w:r>
      <w:proofErr w:type="spellStart"/>
      <w:r w:rsidR="00EA13CC">
        <w:t>above</w:t>
      </w:r>
      <w:r w:rsidR="00965718">
        <w:t>-</w:t>
      </w:r>
      <w:r w:rsidR="00EA13CC">
        <w:t>mentioned</w:t>
      </w:r>
      <w:proofErr w:type="spellEnd"/>
      <w:r w:rsidR="00EA13CC">
        <w:t xml:space="preserve"> </w:t>
      </w:r>
      <w:r>
        <w:t xml:space="preserve">review of the ATSIHP Act </w:t>
      </w:r>
      <w:r w:rsidR="003229FA">
        <w:t xml:space="preserve">observed that the Act </w:t>
      </w:r>
      <w:r w:rsidR="0052038B">
        <w:t>o</w:t>
      </w:r>
      <w:r w:rsidR="00F026E8">
        <w:t>verlap</w:t>
      </w:r>
      <w:r w:rsidR="003229FA">
        <w:t>ped with</w:t>
      </w:r>
      <w:r w:rsidR="00F026E8">
        <w:t xml:space="preserve"> state and territory Indigenous heritage legislation</w:t>
      </w:r>
      <w:r w:rsidR="003229FA">
        <w:t>,</w:t>
      </w:r>
      <w:r w:rsidR="00F026E8">
        <w:t xml:space="preserve"> </w:t>
      </w:r>
      <w:r w:rsidR="003229FA">
        <w:t>creating</w:t>
      </w:r>
      <w:r w:rsidR="00F026E8">
        <w:t xml:space="preserve"> an unnecessary burden </w:t>
      </w:r>
      <w:r w:rsidR="003229FA">
        <w:t>through</w:t>
      </w:r>
      <w:r w:rsidR="00F026E8">
        <w:t xml:space="preserve"> duplication in processes and delays for explorers. Concern was also expressed that the Act has been ineffective</w:t>
      </w:r>
      <w:r w:rsidR="00FC5351">
        <w:t>.</w:t>
      </w:r>
    </w:p>
    <w:p w14:paraId="1A844099" w14:textId="3E850363" w:rsidR="00F026E8" w:rsidRDefault="00F026E8" w:rsidP="00F026E8">
      <w:pPr>
        <w:pStyle w:val="Quote"/>
      </w:pPr>
      <w:r>
        <w:t>The ATSIHP Act has not been effective in meeting its purpose, which was to provide a direct and immediate means for the Commonwealth to protect traditional areas and objects when there are gaps in state and territory legislation. Instead it has created uncertainty about decisions made under other laws, provoked disputes and led to duplication of decisions, with increased cos</w:t>
      </w:r>
      <w:r w:rsidR="002F62C7">
        <w:t>ts for all parties involved. (</w:t>
      </w:r>
      <w:proofErr w:type="spellStart"/>
      <w:r w:rsidR="002F62C7">
        <w:t>DEWHA</w:t>
      </w:r>
      <w:proofErr w:type="spellEnd"/>
      <w:r>
        <w:t xml:space="preserve"> 2009, p.</w:t>
      </w:r>
      <w:r w:rsidR="00504C8F">
        <w:t> </w:t>
      </w:r>
      <w:r>
        <w:t>4</w:t>
      </w:r>
      <w:r w:rsidRPr="00073D5C">
        <w:t>)</w:t>
      </w:r>
    </w:p>
    <w:p w14:paraId="5EAEF1C4" w14:textId="0AFB81C3" w:rsidR="00F026E8" w:rsidRDefault="00F026E8" w:rsidP="00F026E8">
      <w:pPr>
        <w:pStyle w:val="BodyText"/>
      </w:pPr>
      <w:r>
        <w:t xml:space="preserve">Moreover, only </w:t>
      </w:r>
      <w:r w:rsidR="003E3C72">
        <w:t>five</w:t>
      </w:r>
      <w:r w:rsidRPr="00411EDD">
        <w:t xml:space="preserve"> per cent of the 394 valid applications received since the Act commenced in 19</w:t>
      </w:r>
      <w:r>
        <w:t xml:space="preserve">84 have resulted in </w:t>
      </w:r>
      <w:r w:rsidR="00C61748">
        <w:t xml:space="preserve">emergency protection </w:t>
      </w:r>
      <w:r>
        <w:t>declarations (</w:t>
      </w:r>
      <w:proofErr w:type="spellStart"/>
      <w:r w:rsidRPr="00411EDD">
        <w:t>Schnierer</w:t>
      </w:r>
      <w:proofErr w:type="spellEnd"/>
      <w:r w:rsidR="00F03E97">
        <w:t xml:space="preserve"> et al.</w:t>
      </w:r>
      <w:r w:rsidRPr="00411EDD">
        <w:t xml:space="preserve"> 2011, p.</w:t>
      </w:r>
      <w:r w:rsidR="00504C8F">
        <w:t> </w:t>
      </w:r>
      <w:r w:rsidRPr="00411EDD">
        <w:t>48)</w:t>
      </w:r>
      <w:r>
        <w:t>.</w:t>
      </w:r>
    </w:p>
    <w:p w14:paraId="787DD147" w14:textId="5A03233B" w:rsidR="00F026E8" w:rsidRDefault="00F026E8" w:rsidP="00F026E8">
      <w:pPr>
        <w:pStyle w:val="BodyText"/>
        <w:rPr>
          <w:lang w:val="en"/>
        </w:rPr>
      </w:pPr>
      <w:r>
        <w:rPr>
          <w:lang w:val="en"/>
        </w:rPr>
        <w:t xml:space="preserve">The primary concern for explorers is that the ATSIHP Act provides an opportunity for Indigenous ‘forum shopping’. </w:t>
      </w:r>
      <w:r w:rsidR="00965718">
        <w:rPr>
          <w:lang w:val="en"/>
        </w:rPr>
        <w:t>In this regard, t</w:t>
      </w:r>
      <w:r>
        <w:rPr>
          <w:lang w:val="en"/>
        </w:rPr>
        <w:t>he Minerals Council of Australia (MCA) commented:</w:t>
      </w:r>
    </w:p>
    <w:p w14:paraId="0DD29246" w14:textId="4ABD63AF" w:rsidR="00F026E8" w:rsidRDefault="00F026E8" w:rsidP="00F026E8">
      <w:pPr>
        <w:pStyle w:val="Quote"/>
      </w:pPr>
      <w:r w:rsidRPr="00651942">
        <w:t>Dual and parallel layers of Commonwealth and State heritage legislation encourage ‘forum shopping’ – where a group dissatisfied with the outcomes of a state based cultural heritage approval process may then move to utilise the Aboriginal and Torres Strait Islander Heritage Protection Act to overturn the State decision.</w:t>
      </w:r>
      <w:r>
        <w:t xml:space="preserve"> (sub.</w:t>
      </w:r>
      <w:r w:rsidR="00504C8F">
        <w:t> </w:t>
      </w:r>
      <w:r>
        <w:t>27, p.</w:t>
      </w:r>
      <w:r w:rsidR="00504C8F">
        <w:t> </w:t>
      </w:r>
      <w:r>
        <w:t>30)</w:t>
      </w:r>
    </w:p>
    <w:p w14:paraId="6242361C" w14:textId="45663242" w:rsidR="00F026E8" w:rsidRDefault="00965718" w:rsidP="00F026E8">
      <w:pPr>
        <w:pStyle w:val="BodyText"/>
      </w:pPr>
      <w:r>
        <w:t>The MCA suggested</w:t>
      </w:r>
      <w:r w:rsidR="00F026E8">
        <w:t xml:space="preserve"> that th</w:t>
      </w:r>
      <w:r w:rsidR="00540ED2">
        <w:t>is</w:t>
      </w:r>
      <w:r w:rsidR="00F026E8">
        <w:t xml:space="preserve"> problem could be overcome by merging the ATSIHP Act into the </w:t>
      </w:r>
      <w:proofErr w:type="spellStart"/>
      <w:r w:rsidR="00F026E8">
        <w:t>EPBC</w:t>
      </w:r>
      <w:proofErr w:type="spellEnd"/>
      <w:r w:rsidR="00F026E8">
        <w:t xml:space="preserve"> Act</w:t>
      </w:r>
      <w:r w:rsidR="004D52D6">
        <w:t>.</w:t>
      </w:r>
    </w:p>
    <w:p w14:paraId="2122B03B" w14:textId="22467D8E" w:rsidR="00F026E8" w:rsidRDefault="00F026E8" w:rsidP="00F026E8">
      <w:pPr>
        <w:pStyle w:val="Quote"/>
      </w:pPr>
      <w:r w:rsidRPr="0078223D">
        <w:t>At the Commonwealth level, the MCA considers there is significant value in rolling the Aboriginal and Torres Strait</w:t>
      </w:r>
      <w:r>
        <w:t xml:space="preserve"> </w:t>
      </w:r>
      <w:r w:rsidRPr="0078223D">
        <w:t>Islander Heritage Protection Act into the Environment Protection Biodiversity Conservation Act (</w:t>
      </w:r>
      <w:proofErr w:type="spellStart"/>
      <w:r w:rsidRPr="0078223D">
        <w:t>EPBC</w:t>
      </w:r>
      <w:proofErr w:type="spellEnd"/>
      <w:r w:rsidRPr="0078223D">
        <w:t xml:space="preserve"> Act). Following</w:t>
      </w:r>
      <w:r>
        <w:t xml:space="preserve"> </w:t>
      </w:r>
      <w:r w:rsidRPr="0078223D">
        <w:t xml:space="preserve">this, and in line with the broader </w:t>
      </w:r>
      <w:proofErr w:type="spellStart"/>
      <w:r w:rsidRPr="0078223D">
        <w:t>EPBC</w:t>
      </w:r>
      <w:proofErr w:type="spellEnd"/>
      <w:r w:rsidRPr="0078223D">
        <w:t xml:space="preserve"> reforms, </w:t>
      </w:r>
      <w:r>
        <w:t>s</w:t>
      </w:r>
      <w:r w:rsidRPr="0078223D">
        <w:t>tate processes could then be accredited by the Commonwealth as</w:t>
      </w:r>
      <w:r>
        <w:t xml:space="preserve"> they meet pre-determined n</w:t>
      </w:r>
      <w:r w:rsidRPr="0078223D">
        <w:t>ational standards. This amendment would streamline the legislative requirements around</w:t>
      </w:r>
      <w:r>
        <w:t xml:space="preserve"> </w:t>
      </w:r>
      <w:r w:rsidRPr="0078223D">
        <w:t xml:space="preserve">cultural heritage and would prevent the current practice of “forum shopping” between </w:t>
      </w:r>
      <w:r>
        <w:t>state and f</w:t>
      </w:r>
      <w:r w:rsidRPr="0078223D">
        <w:t>ederal processes on</w:t>
      </w:r>
      <w:r>
        <w:t xml:space="preserve"> </w:t>
      </w:r>
      <w:r w:rsidRPr="0078223D">
        <w:t>this matter.</w:t>
      </w:r>
      <w:r>
        <w:t xml:space="preserve"> </w:t>
      </w:r>
      <w:r w:rsidR="009B1E6F">
        <w:t>(</w:t>
      </w:r>
      <w:r>
        <w:t>sub.</w:t>
      </w:r>
      <w:r w:rsidR="00504C8F">
        <w:t> </w:t>
      </w:r>
      <w:r>
        <w:t>27, p.</w:t>
      </w:r>
      <w:r w:rsidR="00504C8F">
        <w:t> </w:t>
      </w:r>
      <w:r>
        <w:t>30)</w:t>
      </w:r>
    </w:p>
    <w:p w14:paraId="4ACF9C07" w14:textId="2C340871" w:rsidR="00F026E8" w:rsidRPr="00073D5C" w:rsidRDefault="00C15C91" w:rsidP="00F026E8">
      <w:pPr>
        <w:pStyle w:val="BodyText"/>
        <w:rPr>
          <w:rFonts w:ascii="Frutiger 45 Light" w:hAnsi="Frutiger 45 Light" w:cs="Frutiger 45 Light"/>
          <w:color w:val="000000"/>
          <w:sz w:val="24"/>
        </w:rPr>
      </w:pPr>
      <w:r>
        <w:t xml:space="preserve">However, </w:t>
      </w:r>
      <w:r w:rsidR="00E36C28">
        <w:t xml:space="preserve">the Commission supports the view </w:t>
      </w:r>
      <w:r w:rsidR="007F0032">
        <w:t>that Indigenous heritage and environmental protection are separate issues</w:t>
      </w:r>
      <w:r w:rsidR="00E36C28">
        <w:t xml:space="preserve">. Given that the ATSIHP Act was designed as a short-term measure two decades ago, to operate where Indigenous heritage protection by state or territory jurisdictions fail, </w:t>
      </w:r>
      <w:r w:rsidR="007F0032">
        <w:t>a</w:t>
      </w:r>
      <w:r w:rsidR="00F026E8">
        <w:t xml:space="preserve"> </w:t>
      </w:r>
      <w:r w:rsidR="007F0032">
        <w:t>prefe</w:t>
      </w:r>
      <w:r w:rsidR="006B5FBC">
        <w:t>rr</w:t>
      </w:r>
      <w:r w:rsidR="007F0032">
        <w:t>ed</w:t>
      </w:r>
      <w:r w:rsidR="00F026E8">
        <w:t xml:space="preserve"> </w:t>
      </w:r>
      <w:r w:rsidR="00E36C28">
        <w:t>interim solution</w:t>
      </w:r>
      <w:r w:rsidR="00F026E8">
        <w:t xml:space="preserve"> </w:t>
      </w:r>
      <w:r w:rsidR="00E36C28">
        <w:t xml:space="preserve">would be </w:t>
      </w:r>
      <w:r w:rsidR="00F026E8">
        <w:t>to introduce</w:t>
      </w:r>
      <w:r>
        <w:t xml:space="preserve"> state and territory </w:t>
      </w:r>
      <w:r w:rsidR="00F026E8">
        <w:t xml:space="preserve">accreditation into the ATSIHP Act. This was </w:t>
      </w:r>
      <w:r w:rsidR="00FA6DFD">
        <w:t>a proposal</w:t>
      </w:r>
      <w:r w:rsidR="00F026E8">
        <w:t xml:space="preserve"> in </w:t>
      </w:r>
      <w:r w:rsidR="00E36C28">
        <w:t>SEWP</w:t>
      </w:r>
      <w:r w:rsidR="00F03E97">
        <w:t>a</w:t>
      </w:r>
      <w:r w:rsidR="00E36C28">
        <w:t xml:space="preserve">C’s </w:t>
      </w:r>
      <w:r w:rsidR="00F026E8">
        <w:t>discussion paper on Indigenous heritage law reform:</w:t>
      </w:r>
    </w:p>
    <w:p w14:paraId="19A19528" w14:textId="27826EEC" w:rsidR="00F026E8" w:rsidRDefault="00F026E8" w:rsidP="00F026E8">
      <w:pPr>
        <w:pStyle w:val="Quote"/>
      </w:pPr>
      <w:r w:rsidRPr="00073D5C">
        <w:lastRenderedPageBreak/>
        <w:t>The ATSIHP Act was intended to fill gaps in protection when state and territory laws were inadequate or not applied. Accreditation can promote high standards of protection across all states and territories and minimise overlaps in responsibilities. To make this idea work, the reformed legislation could set standards for state</w:t>
      </w:r>
      <w:r w:rsidR="00523188">
        <w:t xml:space="preserve"> and territory laws …</w:t>
      </w:r>
      <w:r w:rsidRPr="00073D5C">
        <w:t xml:space="preserve"> and enable the Minister to accredit laws that meet the standards. The opportunity to gain accreditation could be an incentive for each state and territory to make sure its laws are effective, provided it is clear that by gaining accreditation a state or territory could stop the Australian Government from overriding its decisions.</w:t>
      </w:r>
      <w:r>
        <w:t xml:space="preserve"> (</w:t>
      </w:r>
      <w:proofErr w:type="spellStart"/>
      <w:r w:rsidR="00F03E97">
        <w:t>DEWHA</w:t>
      </w:r>
      <w:proofErr w:type="spellEnd"/>
      <w:r>
        <w:t xml:space="preserve"> </w:t>
      </w:r>
      <w:proofErr w:type="spellStart"/>
      <w:r w:rsidRPr="00073D5C">
        <w:t>2009</w:t>
      </w:r>
      <w:r w:rsidR="00E6774D">
        <w:t>b</w:t>
      </w:r>
      <w:proofErr w:type="spellEnd"/>
      <w:r w:rsidRPr="00073D5C">
        <w:t>, p.</w:t>
      </w:r>
      <w:r w:rsidR="00504C8F">
        <w:t> </w:t>
      </w:r>
      <w:r w:rsidRPr="00073D5C">
        <w:t>15)</w:t>
      </w:r>
    </w:p>
    <w:p w14:paraId="66E3E67C" w14:textId="7581A2DF" w:rsidR="0052038B" w:rsidRPr="0052038B" w:rsidRDefault="0094798E" w:rsidP="0052038B">
      <w:pPr>
        <w:pStyle w:val="BodyText"/>
      </w:pPr>
      <w:r>
        <w:t>As noted above, a</w:t>
      </w:r>
      <w:r w:rsidR="0052038B">
        <w:t xml:space="preserve">ll states and territories have </w:t>
      </w:r>
      <w:r w:rsidR="00E36C28">
        <w:t xml:space="preserve">now </w:t>
      </w:r>
      <w:r w:rsidR="0052038B">
        <w:t xml:space="preserve">enacted </w:t>
      </w:r>
      <w:r w:rsidR="00E36C28">
        <w:t xml:space="preserve">some form of </w:t>
      </w:r>
      <w:r w:rsidR="00D6645D">
        <w:t>Indigenous heritage legislation</w:t>
      </w:r>
      <w:r w:rsidR="00E36C28">
        <w:t xml:space="preserve"> but some </w:t>
      </w:r>
      <w:r w:rsidR="00C45697">
        <w:t>A</w:t>
      </w:r>
      <w:r w:rsidR="00E36C28">
        <w:t xml:space="preserve">cts are </w:t>
      </w:r>
      <w:r>
        <w:t>out</w:t>
      </w:r>
      <w:r w:rsidR="00F37E92">
        <w:t xml:space="preserve">dated and some </w:t>
      </w:r>
      <w:r w:rsidR="00E36C28">
        <w:t>reviews have not been conclude</w:t>
      </w:r>
      <w:r w:rsidR="00FC12E6">
        <w:t>d</w:t>
      </w:r>
      <w:r w:rsidR="00F37E92">
        <w:t>.</w:t>
      </w:r>
      <w:r w:rsidR="00E36C28">
        <w:t xml:space="preserve"> Accreditation of complying legislative regimes would be a positive first step </w:t>
      </w:r>
      <w:r>
        <w:t xml:space="preserve">for the </w:t>
      </w:r>
      <w:r w:rsidR="00E36C28">
        <w:t>avoid</w:t>
      </w:r>
      <w:r>
        <w:t>ance of</w:t>
      </w:r>
      <w:r w:rsidR="00E36C28">
        <w:t xml:space="preserve"> unnecessary overlap. This should then be followed by the repeal of </w:t>
      </w:r>
      <w:r w:rsidR="0052038B">
        <w:t>the ATSIHP Act</w:t>
      </w:r>
      <w:r w:rsidR="00E36C28">
        <w:t xml:space="preserve"> when all state and territory regimes comply, so as </w:t>
      </w:r>
      <w:r w:rsidR="0052038B">
        <w:t>to eliminate duplication and increase certainty in state and territory decision making.</w:t>
      </w:r>
    </w:p>
    <w:p w14:paraId="727D51EE" w14:textId="77777777" w:rsidR="00390AA8" w:rsidRPr="00390AA8" w:rsidRDefault="00390AA8" w:rsidP="00CB5787">
      <w:pPr>
        <w:pStyle w:val="RecTitle"/>
      </w:pPr>
      <w:r w:rsidRPr="00390AA8">
        <w:t>Draft Recommendation 5.1</w:t>
      </w:r>
    </w:p>
    <w:p w14:paraId="4CBD1185" w14:textId="4735957C" w:rsidR="00390AA8" w:rsidRPr="00390AA8" w:rsidRDefault="009E0DCC" w:rsidP="00390AA8">
      <w:pPr>
        <w:pStyle w:val="Rec"/>
      </w:pPr>
      <w:r w:rsidRPr="009E0DCC">
        <w:rPr>
          <w:lang w:val="en"/>
        </w:rPr>
        <w:t>Until concerns with state and territory legislation have been fully addressed, the Commonwealth should retain the Aboriginal and Torres Strait Islander Heritage Protection Act 1984 (ATSIHP Act) and amend it to allow state and territory regimes to be accredited if Commonwealth standards are met. Once all jurisdictional regimes are operating satisfactorily to Commonwealth standards, the Commonwealth should repeal the ATSIHP Act.</w:t>
      </w:r>
    </w:p>
    <w:p w14:paraId="6273B987" w14:textId="3137A96F" w:rsidR="00453559" w:rsidRDefault="00881069" w:rsidP="00453559">
      <w:pPr>
        <w:pStyle w:val="Heading3"/>
      </w:pPr>
      <w:r>
        <w:t>Multiple</w:t>
      </w:r>
      <w:r w:rsidR="00FC12E6">
        <w:t xml:space="preserve"> heritage </w:t>
      </w:r>
      <w:r>
        <w:t>surveys of the same tenement</w:t>
      </w:r>
    </w:p>
    <w:p w14:paraId="0CA16B9A" w14:textId="112A3AD6" w:rsidR="00453559" w:rsidRDefault="005D1530" w:rsidP="00453559">
      <w:pPr>
        <w:pStyle w:val="BodyText"/>
        <w:rPr>
          <w:rStyle w:val="BodyTextChar"/>
        </w:rPr>
      </w:pPr>
      <w:r>
        <w:rPr>
          <w:lang w:val="en"/>
        </w:rPr>
        <w:t xml:space="preserve">In practice, </w:t>
      </w:r>
      <w:r>
        <w:rPr>
          <w:rStyle w:val="BodyTextChar"/>
        </w:rPr>
        <w:t xml:space="preserve">while </w:t>
      </w:r>
      <w:r w:rsidR="00453559">
        <w:rPr>
          <w:rStyle w:val="BodyTextChar"/>
        </w:rPr>
        <w:t>all jurisdictions maintain</w:t>
      </w:r>
      <w:r w:rsidR="00453559" w:rsidRPr="0005193A">
        <w:rPr>
          <w:rStyle w:val="BodyTextChar"/>
        </w:rPr>
        <w:t xml:space="preserve"> </w:t>
      </w:r>
      <w:r w:rsidR="00C260CB">
        <w:rPr>
          <w:rStyle w:val="BodyTextChar"/>
        </w:rPr>
        <w:t>records</w:t>
      </w:r>
      <w:r w:rsidR="00453559" w:rsidRPr="0005193A">
        <w:rPr>
          <w:rStyle w:val="BodyTextChar"/>
        </w:rPr>
        <w:t xml:space="preserve"> of Aboriginal sites and objects</w:t>
      </w:r>
      <w:r w:rsidR="0094798E">
        <w:rPr>
          <w:rStyle w:val="BodyTextChar"/>
        </w:rPr>
        <w:t>,</w:t>
      </w:r>
      <w:r w:rsidR="00453559" w:rsidRPr="0005193A">
        <w:rPr>
          <w:rStyle w:val="BodyTextChar"/>
        </w:rPr>
        <w:t xml:space="preserve"> </w:t>
      </w:r>
      <w:r w:rsidR="00453559">
        <w:rPr>
          <w:rStyle w:val="BodyTextChar"/>
        </w:rPr>
        <w:t xml:space="preserve">the listing of Indigenous heritage is </w:t>
      </w:r>
      <w:r w:rsidR="000F42A2">
        <w:rPr>
          <w:rStyle w:val="BodyTextChar"/>
        </w:rPr>
        <w:t xml:space="preserve">widely </w:t>
      </w:r>
      <w:r w:rsidR="00453559">
        <w:rPr>
          <w:rStyle w:val="BodyTextChar"/>
        </w:rPr>
        <w:t>viewed as inadequate.</w:t>
      </w:r>
    </w:p>
    <w:p w14:paraId="27A9BA94" w14:textId="107FE198" w:rsidR="00453559" w:rsidRDefault="00453559" w:rsidP="00453559">
      <w:pPr>
        <w:pStyle w:val="BodyText"/>
      </w:pPr>
      <w:r>
        <w:t xml:space="preserve">In jurisdictions </w:t>
      </w:r>
      <w:r w:rsidR="008058F9">
        <w:t>such as Western Australia</w:t>
      </w:r>
      <w:r w:rsidR="007F3E3E">
        <w:t>,</w:t>
      </w:r>
      <w:r w:rsidR="008058F9">
        <w:t xml:space="preserve"> where explorers may be required to undertake heritage surveys, </w:t>
      </w:r>
      <w:r>
        <w:t xml:space="preserve">inquiry participants reported that the inconsistent and inadequate listing of heritage </w:t>
      </w:r>
      <w:r w:rsidR="00C260CB">
        <w:t xml:space="preserve">surveys </w:t>
      </w:r>
      <w:r>
        <w:t xml:space="preserve">is leading to </w:t>
      </w:r>
      <w:r w:rsidR="006D33E7">
        <w:t xml:space="preserve">repeat surveys </w:t>
      </w:r>
      <w:r w:rsidR="007F3E3E">
        <w:t>of the same site. T</w:t>
      </w:r>
      <w:r w:rsidR="001C2E62">
        <w:t>he Australasian Institute of Mining and Metallurgy (</w:t>
      </w:r>
      <w:proofErr w:type="spellStart"/>
      <w:r>
        <w:t>AusIMM</w:t>
      </w:r>
      <w:proofErr w:type="spellEnd"/>
      <w:r w:rsidR="001C2E62">
        <w:t>)</w:t>
      </w:r>
      <w:r>
        <w:t xml:space="preserve"> commented:</w:t>
      </w:r>
    </w:p>
    <w:p w14:paraId="35678C1E" w14:textId="18E7F145" w:rsidR="00453559" w:rsidRDefault="00C45697" w:rsidP="00453559">
      <w:pPr>
        <w:pStyle w:val="Quote"/>
      </w:pPr>
      <w:r>
        <w:t>Conducting I</w:t>
      </w:r>
      <w:r w:rsidR="00453559" w:rsidRPr="00165DF6">
        <w:t xml:space="preserve">ndigenous heritage surveys or reviews and negotiating native title are </w:t>
      </w:r>
      <w:r w:rsidR="00453559">
        <w:t>important issues for minerals</w:t>
      </w:r>
      <w:r w:rsidR="00453559" w:rsidRPr="00165DF6">
        <w:t xml:space="preserve"> explor</w:t>
      </w:r>
      <w:r w:rsidR="00453559">
        <w:t xml:space="preserve">ation. </w:t>
      </w:r>
      <w:r w:rsidR="00453559" w:rsidRPr="00165DF6">
        <w:t xml:space="preserve">All </w:t>
      </w:r>
      <w:r w:rsidR="00453559">
        <w:t xml:space="preserve">Australian </w:t>
      </w:r>
      <w:r w:rsidR="00453559" w:rsidRPr="00165DF6">
        <w:t xml:space="preserve">States and Territories have different enquiry and notification systems that an explorer must navigate if they require information about whether a known Aboriginal heritage site or parcel of land subject to native title is situated on </w:t>
      </w:r>
      <w:r w:rsidR="00453559">
        <w:t xml:space="preserve">an </w:t>
      </w:r>
      <w:r w:rsidR="00453559" w:rsidRPr="00165DF6">
        <w:t xml:space="preserve">area of interest. </w:t>
      </w:r>
      <w:r w:rsidR="00453559">
        <w:t xml:space="preserve">These systems are not comprehensive and </w:t>
      </w:r>
      <w:r w:rsidR="00453559" w:rsidRPr="00165DF6">
        <w:t>not all jurisdictions keep a register of heritage surveys</w:t>
      </w:r>
      <w:r w:rsidR="00453559">
        <w:t xml:space="preserve">, meaning </w:t>
      </w:r>
      <w:r w:rsidR="00453559" w:rsidRPr="00165DF6">
        <w:t xml:space="preserve">surveys </w:t>
      </w:r>
      <w:r w:rsidR="00453559">
        <w:t>can be unnecessarily</w:t>
      </w:r>
      <w:r w:rsidR="00453559" w:rsidRPr="00165DF6">
        <w:t xml:space="preserve"> repeated where an area is explored by a different company.</w:t>
      </w:r>
      <w:r w:rsidR="00453559" w:rsidRPr="000C4DCF">
        <w:t xml:space="preserve"> </w:t>
      </w:r>
      <w:r w:rsidR="00453559">
        <w:t>(sub.</w:t>
      </w:r>
      <w:r w:rsidR="00504C8F">
        <w:t> </w:t>
      </w:r>
      <w:r w:rsidR="00453559">
        <w:t>12, p.</w:t>
      </w:r>
      <w:r w:rsidR="00504C8F">
        <w:t> </w:t>
      </w:r>
      <w:r w:rsidR="00453559">
        <w:t>6)</w:t>
      </w:r>
    </w:p>
    <w:p w14:paraId="60773842" w14:textId="767DF2E0" w:rsidR="00453559" w:rsidRDefault="00442A53" w:rsidP="00544B05">
      <w:pPr>
        <w:pStyle w:val="BodyText"/>
      </w:pPr>
      <w:r>
        <w:rPr>
          <w:lang w:val="en"/>
        </w:rPr>
        <w:lastRenderedPageBreak/>
        <w:t>Registers with up</w:t>
      </w:r>
      <w:r w:rsidR="00365C27">
        <w:rPr>
          <w:lang w:val="en"/>
        </w:rPr>
        <w:t>-</w:t>
      </w:r>
      <w:r>
        <w:rPr>
          <w:lang w:val="en"/>
        </w:rPr>
        <w:t>to</w:t>
      </w:r>
      <w:r w:rsidR="00365C27">
        <w:rPr>
          <w:lang w:val="en"/>
        </w:rPr>
        <w:t>-</w:t>
      </w:r>
      <w:r>
        <w:rPr>
          <w:lang w:val="en"/>
        </w:rPr>
        <w:t xml:space="preserve">date information about all known Indigenous heritage sites and previously completed surveys could avoid multiple surveys of the same land by explorers. </w:t>
      </w:r>
      <w:r w:rsidR="00365C27">
        <w:rPr>
          <w:lang w:val="en"/>
        </w:rPr>
        <w:t xml:space="preserve">In 2008 </w:t>
      </w:r>
      <w:proofErr w:type="spellStart"/>
      <w:r w:rsidR="00453559">
        <w:t>AusIMM</w:t>
      </w:r>
      <w:proofErr w:type="spellEnd"/>
      <w:r w:rsidR="00453559">
        <w:t xml:space="preserve"> recommended</w:t>
      </w:r>
      <w:r w:rsidR="00C260CB">
        <w:t xml:space="preserve"> to the Ministerial Council on Mineral and Petroleum Resources, </w:t>
      </w:r>
      <w:r w:rsidR="00453559">
        <w:t>that</w:t>
      </w:r>
      <w:r w:rsidR="009C17CD">
        <w:t>:</w:t>
      </w:r>
    </w:p>
    <w:p w14:paraId="22F7D560" w14:textId="6BEB18CA" w:rsidR="006D33E7" w:rsidRDefault="00453559" w:rsidP="00453559">
      <w:pPr>
        <w:pStyle w:val="Quote"/>
      </w:pPr>
      <w:r w:rsidRPr="00165DF6">
        <w:t>Jurisdictions maintain a heritage survey database containing all the surveys conducted and which is accessible by relevant interested parties (those holding rights to the tenement</w:t>
      </w:r>
      <w:r>
        <w:t xml:space="preserve">). </w:t>
      </w:r>
      <w:r w:rsidR="006D33E7">
        <w:t>(sub.</w:t>
      </w:r>
      <w:r w:rsidR="00504C8F">
        <w:t> </w:t>
      </w:r>
      <w:r w:rsidR="006D33E7">
        <w:t>12</w:t>
      </w:r>
      <w:r w:rsidR="00C45697">
        <w:t>,</w:t>
      </w:r>
      <w:r w:rsidR="006D33E7">
        <w:t xml:space="preserve"> p.</w:t>
      </w:r>
      <w:r w:rsidR="00504C8F">
        <w:t> </w:t>
      </w:r>
      <w:r w:rsidR="006D33E7">
        <w:t>7)</w:t>
      </w:r>
    </w:p>
    <w:p w14:paraId="5E4CEF21" w14:textId="7FEC414B" w:rsidR="00453559" w:rsidRDefault="00881069" w:rsidP="00453559">
      <w:pPr>
        <w:pStyle w:val="BodyText"/>
      </w:pPr>
      <w:r>
        <w:rPr>
          <w:lang w:val="en"/>
        </w:rPr>
        <w:t>One</w:t>
      </w:r>
      <w:r w:rsidR="00C260CB">
        <w:rPr>
          <w:lang w:val="en"/>
        </w:rPr>
        <w:t xml:space="preserve"> issue</w:t>
      </w:r>
      <w:r w:rsidR="006D33E7">
        <w:rPr>
          <w:lang w:val="en"/>
        </w:rPr>
        <w:t xml:space="preserve"> </w:t>
      </w:r>
      <w:r w:rsidR="005D1530">
        <w:rPr>
          <w:lang w:val="en"/>
        </w:rPr>
        <w:t xml:space="preserve">preventing the </w:t>
      </w:r>
      <w:r w:rsidR="00CB6904">
        <w:rPr>
          <w:lang w:val="en"/>
        </w:rPr>
        <w:t xml:space="preserve">establishment of heritage survey registers </w:t>
      </w:r>
      <w:r w:rsidR="00E27E1A">
        <w:rPr>
          <w:lang w:val="en"/>
        </w:rPr>
        <w:t>(</w:t>
      </w:r>
      <w:r w:rsidR="00CB6904">
        <w:rPr>
          <w:lang w:val="en"/>
        </w:rPr>
        <w:t xml:space="preserve">or the </w:t>
      </w:r>
      <w:r w:rsidR="00A81838">
        <w:rPr>
          <w:lang w:val="en"/>
        </w:rPr>
        <w:t xml:space="preserve">inclusion of heritage survey information in </w:t>
      </w:r>
      <w:r w:rsidR="00CB6904">
        <w:rPr>
          <w:lang w:val="en"/>
        </w:rPr>
        <w:t xml:space="preserve">existing </w:t>
      </w:r>
      <w:r w:rsidR="00365123">
        <w:rPr>
          <w:lang w:val="en"/>
        </w:rPr>
        <w:t>I</w:t>
      </w:r>
      <w:r w:rsidR="005D1530">
        <w:rPr>
          <w:lang w:val="en"/>
        </w:rPr>
        <w:t>ndigenous heritage registers</w:t>
      </w:r>
      <w:r w:rsidR="00E27E1A">
        <w:rPr>
          <w:lang w:val="en"/>
        </w:rPr>
        <w:t>)</w:t>
      </w:r>
      <w:r w:rsidR="005D1530">
        <w:rPr>
          <w:lang w:val="en"/>
        </w:rPr>
        <w:t xml:space="preserve"> </w:t>
      </w:r>
      <w:r w:rsidR="006D33E7">
        <w:rPr>
          <w:lang w:val="en"/>
        </w:rPr>
        <w:t xml:space="preserve">is </w:t>
      </w:r>
      <w:r w:rsidR="0097350B">
        <w:rPr>
          <w:lang w:val="en"/>
        </w:rPr>
        <w:t xml:space="preserve">that </w:t>
      </w:r>
      <w:r w:rsidR="006D33E7">
        <w:rPr>
          <w:lang w:val="en"/>
        </w:rPr>
        <w:t xml:space="preserve">the </w:t>
      </w:r>
      <w:r w:rsidR="00C260CB">
        <w:rPr>
          <w:lang w:val="en"/>
        </w:rPr>
        <w:t>copyright</w:t>
      </w:r>
      <w:r w:rsidR="005D1530">
        <w:rPr>
          <w:lang w:val="en"/>
        </w:rPr>
        <w:t xml:space="preserve"> of heritage </w:t>
      </w:r>
      <w:r w:rsidR="00C260CB">
        <w:rPr>
          <w:lang w:val="en"/>
        </w:rPr>
        <w:t>surveys</w:t>
      </w:r>
      <w:r w:rsidRPr="00881069">
        <w:rPr>
          <w:lang w:val="en"/>
        </w:rPr>
        <w:t xml:space="preserve"> </w:t>
      </w:r>
      <w:r>
        <w:rPr>
          <w:lang w:val="en"/>
        </w:rPr>
        <w:t xml:space="preserve">commissioned by the explorer is usually owned </w:t>
      </w:r>
      <w:r w:rsidR="005D1530">
        <w:rPr>
          <w:lang w:val="en"/>
        </w:rPr>
        <w:t>by the consultant</w:t>
      </w:r>
      <w:r w:rsidR="007A5BFA">
        <w:rPr>
          <w:lang w:val="en"/>
        </w:rPr>
        <w:t xml:space="preserve"> that undertook the survey</w:t>
      </w:r>
      <w:r w:rsidR="005D1530">
        <w:rPr>
          <w:lang w:val="en"/>
        </w:rPr>
        <w:t xml:space="preserve">. A notable exception is </w:t>
      </w:r>
      <w:r w:rsidR="00353400">
        <w:t xml:space="preserve">the </w:t>
      </w:r>
      <w:r w:rsidR="00C260CB">
        <w:t>Northern Territory</w:t>
      </w:r>
      <w:r w:rsidR="00353400">
        <w:t xml:space="preserve"> w</w:t>
      </w:r>
      <w:r w:rsidR="00F90E8D">
        <w:t>h</w:t>
      </w:r>
      <w:r w:rsidR="00353400">
        <w:t xml:space="preserve">ere </w:t>
      </w:r>
      <w:r w:rsidR="005D1530">
        <w:t>m</w:t>
      </w:r>
      <w:r w:rsidR="00453559">
        <w:t xml:space="preserve">ining and exploration companies are required to lodge all heritage </w:t>
      </w:r>
      <w:r w:rsidR="00CB6904">
        <w:t xml:space="preserve">and archaeological </w:t>
      </w:r>
      <w:r w:rsidR="00453559">
        <w:t xml:space="preserve">surveys with </w:t>
      </w:r>
      <w:r w:rsidR="005D1530">
        <w:t xml:space="preserve">the </w:t>
      </w:r>
      <w:r w:rsidR="006D33E7">
        <w:t xml:space="preserve">Northern Territory </w:t>
      </w:r>
      <w:r w:rsidR="00453559">
        <w:t xml:space="preserve">Department of Lands, Planning and the Environment for inclusion in the heritage </w:t>
      </w:r>
      <w:r w:rsidR="00CB6904">
        <w:t>library. Sites are then entered into the Northern Territory Archaeological Sites Database</w:t>
      </w:r>
      <w:r w:rsidR="00453559">
        <w:t>.</w:t>
      </w:r>
      <w:r w:rsidR="00353400">
        <w:t xml:space="preserve"> </w:t>
      </w:r>
    </w:p>
    <w:p w14:paraId="44CEBCB6" w14:textId="3045A1BC" w:rsidR="00442A53" w:rsidRDefault="00442A53" w:rsidP="00442A53">
      <w:pPr>
        <w:pStyle w:val="BodyText"/>
      </w:pPr>
      <w:r>
        <w:t>In Queensland and Victoria</w:t>
      </w:r>
      <w:r w:rsidR="00BD132C">
        <w:t>,</w:t>
      </w:r>
      <w:r>
        <w:t xml:space="preserve"> </w:t>
      </w:r>
      <w:r w:rsidR="000B0EE6">
        <w:t xml:space="preserve">listing of heritage surveys </w:t>
      </w:r>
      <w:r w:rsidR="00455693">
        <w:t>is also n</w:t>
      </w:r>
      <w:r w:rsidR="000B0EE6">
        <w:t>ot an issue</w:t>
      </w:r>
      <w:r>
        <w:t>.</w:t>
      </w:r>
    </w:p>
    <w:p w14:paraId="1D953461" w14:textId="080324D2" w:rsidR="00442A53" w:rsidRDefault="00442A53" w:rsidP="00F86F96">
      <w:pPr>
        <w:pStyle w:val="Quote"/>
      </w:pPr>
      <w:r w:rsidRPr="008058F9">
        <w:t xml:space="preserve">Commonly, each state maintains a central register of Aboriginal sites and objects. While the site registers are important, they appear to be less significant in Queensland and Victoria where the primary objective is consultation with Traditional Owners before development </w:t>
      </w:r>
      <w:r>
        <w:t xml:space="preserve">[and exploration] </w:t>
      </w:r>
      <w:r w:rsidRPr="008058F9">
        <w:t>commences.</w:t>
      </w:r>
      <w:r>
        <w:t xml:space="preserve"> (N</w:t>
      </w:r>
      <w:r w:rsidR="00E6774D">
        <w:t xml:space="preserve">ew </w:t>
      </w:r>
      <w:r>
        <w:t>S</w:t>
      </w:r>
      <w:r w:rsidR="00E6774D">
        <w:t xml:space="preserve">outh </w:t>
      </w:r>
      <w:r>
        <w:t>W</w:t>
      </w:r>
      <w:r w:rsidR="00E6774D">
        <w:t>ales</w:t>
      </w:r>
      <w:r>
        <w:t xml:space="preserve"> Aboriginal Land Council, 2010</w:t>
      </w:r>
      <w:r w:rsidR="00D51567">
        <w:t>, p.</w:t>
      </w:r>
      <w:r w:rsidR="00E6774D">
        <w:t xml:space="preserve"> </w:t>
      </w:r>
      <w:r w:rsidR="00D51567">
        <w:t>40</w:t>
      </w:r>
      <w:r>
        <w:t>)</w:t>
      </w:r>
    </w:p>
    <w:p w14:paraId="000739F8" w14:textId="6F98883B" w:rsidR="00442A53" w:rsidRDefault="000B0EE6" w:rsidP="00453559">
      <w:pPr>
        <w:pStyle w:val="BodyText"/>
      </w:pPr>
      <w:r>
        <w:rPr>
          <w:lang w:val="en"/>
        </w:rPr>
        <w:t>That said, in all jurisdictions</w:t>
      </w:r>
      <w:r w:rsidR="00E27E1A">
        <w:rPr>
          <w:lang w:val="en"/>
        </w:rPr>
        <w:t>,</w:t>
      </w:r>
      <w:r>
        <w:rPr>
          <w:lang w:val="en"/>
        </w:rPr>
        <w:t xml:space="preserve"> </w:t>
      </w:r>
      <w:r w:rsidR="00C54A82">
        <w:rPr>
          <w:lang w:val="en"/>
        </w:rPr>
        <w:t xml:space="preserve">Indigenous </w:t>
      </w:r>
      <w:r>
        <w:rPr>
          <w:lang w:val="en"/>
        </w:rPr>
        <w:t>r</w:t>
      </w:r>
      <w:r w:rsidR="00C755C2">
        <w:rPr>
          <w:lang w:val="en"/>
        </w:rPr>
        <w:t>egisters wh</w:t>
      </w:r>
      <w:r w:rsidR="00C54A82">
        <w:rPr>
          <w:lang w:val="en"/>
        </w:rPr>
        <w:t>ich list up</w:t>
      </w:r>
      <w:r w:rsidR="00BD132C">
        <w:rPr>
          <w:lang w:val="en"/>
        </w:rPr>
        <w:t>-</w:t>
      </w:r>
      <w:r w:rsidR="00C54A82">
        <w:rPr>
          <w:lang w:val="en"/>
        </w:rPr>
        <w:t>to</w:t>
      </w:r>
      <w:r w:rsidR="00BD132C">
        <w:rPr>
          <w:lang w:val="en"/>
        </w:rPr>
        <w:t>-</w:t>
      </w:r>
      <w:r w:rsidR="00C54A82">
        <w:rPr>
          <w:lang w:val="en"/>
        </w:rPr>
        <w:t xml:space="preserve">date information — </w:t>
      </w:r>
      <w:r w:rsidR="00C755C2">
        <w:rPr>
          <w:lang w:val="en"/>
        </w:rPr>
        <w:t>about all known Indigenous heritage sites</w:t>
      </w:r>
      <w:r w:rsidR="002F7FC0">
        <w:rPr>
          <w:lang w:val="en"/>
        </w:rPr>
        <w:t xml:space="preserve">, </w:t>
      </w:r>
      <w:r w:rsidR="00532675">
        <w:rPr>
          <w:lang w:val="en"/>
        </w:rPr>
        <w:t xml:space="preserve">areas that have been the subject of cultural heritage management plans, </w:t>
      </w:r>
      <w:r w:rsidR="002F7FC0">
        <w:rPr>
          <w:lang w:val="en"/>
        </w:rPr>
        <w:t>wh</w:t>
      </w:r>
      <w:r w:rsidR="00C34693">
        <w:rPr>
          <w:lang w:val="en"/>
        </w:rPr>
        <w:t>o has been identified as responsible for country</w:t>
      </w:r>
      <w:r w:rsidR="00BD132C">
        <w:rPr>
          <w:lang w:val="en"/>
        </w:rPr>
        <w:t>,</w:t>
      </w:r>
      <w:r w:rsidR="00C755C2">
        <w:rPr>
          <w:lang w:val="en"/>
        </w:rPr>
        <w:t xml:space="preserve"> and previously completed surveys </w:t>
      </w:r>
      <w:r w:rsidR="00D96534">
        <w:rPr>
          <w:lang w:val="en"/>
        </w:rPr>
        <w:t xml:space="preserve">and assessments </w:t>
      </w:r>
      <w:r w:rsidR="00C54A82">
        <w:rPr>
          <w:lang w:val="en"/>
        </w:rPr>
        <w:t xml:space="preserve">— </w:t>
      </w:r>
      <w:r w:rsidR="00C755C2">
        <w:rPr>
          <w:lang w:val="en"/>
        </w:rPr>
        <w:t>can be efficient and timely sources of information for explorers about their tenements.</w:t>
      </w:r>
    </w:p>
    <w:p w14:paraId="487EA4D2" w14:textId="19AC82D5" w:rsidR="00453559" w:rsidRPr="000E75FD" w:rsidRDefault="00A1200A" w:rsidP="00453559">
      <w:pPr>
        <w:pStyle w:val="BodyText"/>
      </w:pPr>
      <w:r>
        <w:t>I</w:t>
      </w:r>
      <w:r w:rsidR="00453559">
        <w:t>ncomplete information on registers may be attributed to the unwillingness of Indigenous Australians to divulge sensitive information</w:t>
      </w:r>
      <w:r w:rsidR="00675878">
        <w:t>.</w:t>
      </w:r>
    </w:p>
    <w:p w14:paraId="3D85F258" w14:textId="3F1BC39E" w:rsidR="00453559" w:rsidRDefault="00453559" w:rsidP="00453559">
      <w:pPr>
        <w:pStyle w:val="Quote"/>
      </w:pPr>
      <w:r>
        <w:t>Inappropriate release of information about sites can … cause serious damage to Aboriginal people. Information may be released by mining companies or by government regulatory authorities that have become aware of it through their interaction with Aboriginal custodians. Alternatively, Aboriginal people may release information themselves because they are required to do so in order to seek protection under relevant legislation or agreement provisions, or more generally because they believe that only by highlighting the importance of a site have they any chance of protecting it. In this regard Aboriginal custodians face serious dilemmas. The public release of information that is supposed to be secret causes great anguish, and thus people are reluctant to release it unless a site is in imminent danger. (</w:t>
      </w:r>
      <w:proofErr w:type="spellStart"/>
      <w:r>
        <w:rPr>
          <w:color w:val="000000"/>
          <w:sz w:val="23"/>
          <w:szCs w:val="23"/>
        </w:rPr>
        <w:t>O'Faircheallaigh</w:t>
      </w:r>
      <w:proofErr w:type="spellEnd"/>
      <w:r>
        <w:rPr>
          <w:color w:val="000000"/>
          <w:sz w:val="23"/>
          <w:szCs w:val="23"/>
        </w:rPr>
        <w:t xml:space="preserve">, </w:t>
      </w:r>
      <w:r w:rsidRPr="00860A8D">
        <w:rPr>
          <w:color w:val="000000"/>
          <w:sz w:val="23"/>
          <w:szCs w:val="23"/>
        </w:rPr>
        <w:t>2008</w:t>
      </w:r>
      <w:r>
        <w:t>, p.</w:t>
      </w:r>
      <w:r w:rsidR="00504C8F">
        <w:t> </w:t>
      </w:r>
      <w:r>
        <w:t>8)</w:t>
      </w:r>
    </w:p>
    <w:p w14:paraId="69EB779B" w14:textId="3ED8933B" w:rsidR="00353400" w:rsidRDefault="00453559" w:rsidP="00453559">
      <w:pPr>
        <w:pStyle w:val="BodyText"/>
      </w:pPr>
      <w:r>
        <w:rPr>
          <w:lang w:val="en"/>
        </w:rPr>
        <w:lastRenderedPageBreak/>
        <w:t xml:space="preserve">In principle, it should be possible to develop </w:t>
      </w:r>
      <w:r w:rsidR="005C290E">
        <w:rPr>
          <w:lang w:val="en"/>
        </w:rPr>
        <w:t xml:space="preserve">registers containing </w:t>
      </w:r>
      <w:r>
        <w:rPr>
          <w:lang w:val="en"/>
        </w:rPr>
        <w:t>maps</w:t>
      </w:r>
      <w:r w:rsidR="008436E4">
        <w:rPr>
          <w:lang w:val="en"/>
        </w:rPr>
        <w:t xml:space="preserve"> of heritage significance</w:t>
      </w:r>
      <w:r>
        <w:rPr>
          <w:lang w:val="en"/>
        </w:rPr>
        <w:t xml:space="preserve"> </w:t>
      </w:r>
      <w:r w:rsidR="007B315D">
        <w:rPr>
          <w:lang w:val="en"/>
        </w:rPr>
        <w:t>and related information</w:t>
      </w:r>
      <w:r w:rsidR="00F239CE">
        <w:rPr>
          <w:lang w:val="en"/>
        </w:rPr>
        <w:t xml:space="preserve"> </w:t>
      </w:r>
      <w:r w:rsidR="004C5525">
        <w:rPr>
          <w:lang w:val="en"/>
        </w:rPr>
        <w:t>(</w:t>
      </w:r>
      <w:r w:rsidR="008436E4">
        <w:rPr>
          <w:lang w:val="en"/>
        </w:rPr>
        <w:t xml:space="preserve">such as </w:t>
      </w:r>
      <w:r w:rsidR="00F239CE">
        <w:rPr>
          <w:lang w:val="en"/>
        </w:rPr>
        <w:t xml:space="preserve">who </w:t>
      </w:r>
      <w:r w:rsidR="004C5525">
        <w:rPr>
          <w:lang w:val="en"/>
        </w:rPr>
        <w:t>has been</w:t>
      </w:r>
      <w:r w:rsidR="00F239CE">
        <w:rPr>
          <w:lang w:val="en"/>
        </w:rPr>
        <w:t xml:space="preserve"> identified as </w:t>
      </w:r>
      <w:r w:rsidR="004C5525">
        <w:rPr>
          <w:lang w:val="en"/>
        </w:rPr>
        <w:t>having authority to speak for country)</w:t>
      </w:r>
      <w:r w:rsidR="00A426E4">
        <w:rPr>
          <w:lang w:val="en"/>
        </w:rPr>
        <w:t xml:space="preserve"> that are </w:t>
      </w:r>
      <w:r w:rsidR="007B315D">
        <w:rPr>
          <w:lang w:val="en"/>
        </w:rPr>
        <w:t xml:space="preserve">regularly </w:t>
      </w:r>
      <w:r w:rsidR="00A426E4">
        <w:rPr>
          <w:lang w:val="en"/>
        </w:rPr>
        <w:t xml:space="preserve">updated with </w:t>
      </w:r>
      <w:r w:rsidR="00353400">
        <w:rPr>
          <w:lang w:val="en"/>
        </w:rPr>
        <w:t xml:space="preserve">new </w:t>
      </w:r>
      <w:r>
        <w:rPr>
          <w:lang w:val="en"/>
        </w:rPr>
        <w:t>details of Indigenous heritage</w:t>
      </w:r>
      <w:r w:rsidR="00A426E4">
        <w:rPr>
          <w:lang w:val="en"/>
        </w:rPr>
        <w:t>,</w:t>
      </w:r>
      <w:r>
        <w:rPr>
          <w:lang w:val="en"/>
        </w:rPr>
        <w:t xml:space="preserve"> </w:t>
      </w:r>
      <w:r w:rsidR="00A426E4">
        <w:rPr>
          <w:lang w:val="en"/>
        </w:rPr>
        <w:t>in much the same way as occurs</w:t>
      </w:r>
      <w:r>
        <w:rPr>
          <w:lang w:val="en"/>
        </w:rPr>
        <w:t xml:space="preserve"> for pre-competitive geoscien</w:t>
      </w:r>
      <w:r w:rsidR="00A426E4">
        <w:rPr>
          <w:lang w:val="en"/>
        </w:rPr>
        <w:t>tific information</w:t>
      </w:r>
      <w:r w:rsidR="005958D5">
        <w:rPr>
          <w:lang w:val="en"/>
        </w:rPr>
        <w:t>.</w:t>
      </w:r>
    </w:p>
    <w:p w14:paraId="5703F4A3" w14:textId="53717642" w:rsidR="0035477B" w:rsidRDefault="00353400" w:rsidP="00453559">
      <w:pPr>
        <w:pStyle w:val="BodyText"/>
        <w:rPr>
          <w:lang w:val="en"/>
        </w:rPr>
      </w:pPr>
      <w:r>
        <w:t>T</w:t>
      </w:r>
      <w:r w:rsidR="00A426E4">
        <w:t xml:space="preserve">here </w:t>
      </w:r>
      <w:r w:rsidR="00B34487">
        <w:t>sh</w:t>
      </w:r>
      <w:r w:rsidR="00A426E4">
        <w:t>ould be a risk management approach to the maintenance of the registers</w:t>
      </w:r>
      <w:r w:rsidR="006D33E7">
        <w:t>. Agreed protocols could be developed</w:t>
      </w:r>
      <w:r w:rsidR="00A426E4">
        <w:t xml:space="preserve"> such that sensitive information </w:t>
      </w:r>
      <w:r w:rsidR="00BD132C">
        <w:t>is</w:t>
      </w:r>
      <w:r w:rsidR="00A426E4">
        <w:t xml:space="preserve"> </w:t>
      </w:r>
      <w:r>
        <w:t>only</w:t>
      </w:r>
      <w:r w:rsidR="00A426E4">
        <w:t xml:space="preserve"> </w:t>
      </w:r>
      <w:r w:rsidR="006D33E7">
        <w:t>released</w:t>
      </w:r>
      <w:r w:rsidR="005C290E">
        <w:t xml:space="preserve"> to </w:t>
      </w:r>
      <w:r>
        <w:t>a</w:t>
      </w:r>
      <w:r w:rsidR="005C290E">
        <w:t xml:space="preserve">pproved persons, and only </w:t>
      </w:r>
      <w:r w:rsidR="006D33E7">
        <w:t>at a</w:t>
      </w:r>
      <w:r w:rsidR="005C290E">
        <w:t xml:space="preserve"> level of </w:t>
      </w:r>
      <w:r w:rsidR="00BD132C">
        <w:t>that is</w:t>
      </w:r>
      <w:r w:rsidR="005C290E">
        <w:t xml:space="preserve"> necessary for the conduct of the approved purpose. </w:t>
      </w:r>
      <w:r w:rsidR="006D33E7">
        <w:t xml:space="preserve">Under the protocols, </w:t>
      </w:r>
      <w:r w:rsidR="00A426E4">
        <w:rPr>
          <w:lang w:val="en"/>
        </w:rPr>
        <w:t>information could be made available to explorers on a tenement</w:t>
      </w:r>
      <w:r w:rsidR="00BD132C">
        <w:rPr>
          <w:lang w:val="en"/>
        </w:rPr>
        <w:t>-</w:t>
      </w:r>
      <w:r w:rsidR="00A426E4">
        <w:rPr>
          <w:lang w:val="en"/>
        </w:rPr>
        <w:t>by</w:t>
      </w:r>
      <w:r w:rsidR="00BD132C">
        <w:rPr>
          <w:lang w:val="en"/>
        </w:rPr>
        <w:t>-</w:t>
      </w:r>
      <w:r w:rsidR="00A426E4">
        <w:rPr>
          <w:lang w:val="en"/>
        </w:rPr>
        <w:t xml:space="preserve">tenement basis. </w:t>
      </w:r>
    </w:p>
    <w:p w14:paraId="0D5105F7" w14:textId="784597CB" w:rsidR="00453559" w:rsidRDefault="005C290E" w:rsidP="00453559">
      <w:pPr>
        <w:pStyle w:val="BodyText"/>
        <w:rPr>
          <w:lang w:val="en"/>
        </w:rPr>
      </w:pPr>
      <w:r>
        <w:rPr>
          <w:lang w:val="en"/>
        </w:rPr>
        <w:t xml:space="preserve">The protocols would </w:t>
      </w:r>
      <w:r w:rsidR="00353400">
        <w:rPr>
          <w:lang w:val="en"/>
        </w:rPr>
        <w:t xml:space="preserve">need to </w:t>
      </w:r>
      <w:proofErr w:type="spellStart"/>
      <w:r>
        <w:rPr>
          <w:lang w:val="en"/>
        </w:rPr>
        <w:t>recognise</w:t>
      </w:r>
      <w:proofErr w:type="spellEnd"/>
      <w:r>
        <w:rPr>
          <w:lang w:val="en"/>
        </w:rPr>
        <w:t xml:space="preserve"> that the registers relate to living cultures and that there may be a need, at times, to</w:t>
      </w:r>
      <w:r w:rsidR="00453559">
        <w:rPr>
          <w:lang w:val="en"/>
        </w:rPr>
        <w:t xml:space="preserve"> remove or redact </w:t>
      </w:r>
      <w:r>
        <w:rPr>
          <w:lang w:val="en"/>
        </w:rPr>
        <w:t xml:space="preserve">sensitive </w:t>
      </w:r>
      <w:r w:rsidR="00453559">
        <w:rPr>
          <w:lang w:val="en"/>
        </w:rPr>
        <w:t>cultural material from the maps</w:t>
      </w:r>
      <w:r>
        <w:rPr>
          <w:lang w:val="en"/>
        </w:rPr>
        <w:t xml:space="preserve"> and documentation</w:t>
      </w:r>
      <w:r w:rsidR="00453559">
        <w:rPr>
          <w:lang w:val="en"/>
        </w:rPr>
        <w:t>.</w:t>
      </w:r>
    </w:p>
    <w:p w14:paraId="4B4ED51A" w14:textId="77777777" w:rsidR="00390AA8" w:rsidRPr="007C6A2E" w:rsidRDefault="00390AA8" w:rsidP="00CB5787">
      <w:pPr>
        <w:pStyle w:val="RecTitle"/>
      </w:pPr>
      <w:r w:rsidRPr="007C6A2E">
        <w:t>Draft Recommendation 5.2</w:t>
      </w:r>
    </w:p>
    <w:p w14:paraId="411BDA9C" w14:textId="77777777" w:rsidR="009E0DCC" w:rsidRDefault="009E0DCC" w:rsidP="009E0DCC">
      <w:pPr>
        <w:pStyle w:val="Rec"/>
      </w:pPr>
      <w:r>
        <w:t xml:space="preserve">Governments should ensure that their heritage authorities: </w:t>
      </w:r>
    </w:p>
    <w:p w14:paraId="649E61B8" w14:textId="77777777" w:rsidR="009E0DCC" w:rsidRDefault="009E0DCC" w:rsidP="009E0DCC">
      <w:pPr>
        <w:pStyle w:val="RecBullet"/>
      </w:pPr>
      <w:r>
        <w:t xml:space="preserve">require that resource explorers or other parties lodge all heritage surveys with that authority </w:t>
      </w:r>
    </w:p>
    <w:p w14:paraId="2B17C1E3" w14:textId="77777777" w:rsidR="009E0DCC" w:rsidRDefault="009E0DCC" w:rsidP="009E0DCC">
      <w:pPr>
        <w:pStyle w:val="RecBullet"/>
      </w:pPr>
      <w:r>
        <w:t>maintain registers which map and list all known Indigenous heritage</w:t>
      </w:r>
    </w:p>
    <w:p w14:paraId="51BBF3A9" w14:textId="4975E679" w:rsidR="00390AA8" w:rsidRPr="00176B08" w:rsidRDefault="009E0DCC" w:rsidP="009E0DCC">
      <w:pPr>
        <w:pStyle w:val="RecBullet"/>
        <w:rPr>
          <w:sz w:val="24"/>
        </w:rPr>
      </w:pPr>
      <w:r>
        <w:t>adopt measures to ensure that sensitive information collected by a survey is only provided to approved parties (and only as necessary for the purposes of their activities), on the basis of agreed protocols.</w:t>
      </w:r>
    </w:p>
    <w:p w14:paraId="0B703E80" w14:textId="6E124848" w:rsidR="00491B73" w:rsidRPr="00DE3C17" w:rsidRDefault="00C459EE" w:rsidP="000765EA">
      <w:pPr>
        <w:pStyle w:val="Heading3"/>
      </w:pPr>
      <w:r>
        <w:t>Establishing who has a</w:t>
      </w:r>
      <w:r w:rsidR="001C11AD">
        <w:t>uthority to speak for country</w:t>
      </w:r>
    </w:p>
    <w:p w14:paraId="6C1A6A72" w14:textId="392D1F95" w:rsidR="00491B73" w:rsidRDefault="00742179" w:rsidP="00491B73">
      <w:pPr>
        <w:pStyle w:val="BodyText"/>
      </w:pPr>
      <w:r>
        <w:t>C</w:t>
      </w:r>
      <w:r w:rsidR="00491B73">
        <w:t>onsulting</w:t>
      </w:r>
      <w:r w:rsidR="0035477B">
        <w:t xml:space="preserve"> </w:t>
      </w:r>
      <w:r w:rsidR="00491B73">
        <w:t>and negotiating with Indigenous groups wh</w:t>
      </w:r>
      <w:r w:rsidR="00B36CE9">
        <w:t>o</w:t>
      </w:r>
      <w:r w:rsidR="00491B73">
        <w:t xml:space="preserve"> have responsibility and authority to speak for country is a fundamental aspect of heritage management.</w:t>
      </w:r>
      <w:r w:rsidR="005E473C">
        <w:t xml:space="preserve"> </w:t>
      </w:r>
      <w:r w:rsidR="00D33D88">
        <w:t xml:space="preserve">However, where </w:t>
      </w:r>
      <w:r>
        <w:t>it is not easy to identify the individual</w:t>
      </w:r>
      <w:r w:rsidR="00D33D88">
        <w:t>s and groups</w:t>
      </w:r>
      <w:r>
        <w:t xml:space="preserve"> who ha</w:t>
      </w:r>
      <w:r w:rsidR="00D33D88">
        <w:t>ve</w:t>
      </w:r>
      <w:r>
        <w:t xml:space="preserve"> authority to speak for country, consultation can be costly and time consuming. </w:t>
      </w:r>
    </w:p>
    <w:p w14:paraId="4C728F39" w14:textId="67381CA6" w:rsidR="00491B73" w:rsidRDefault="003C3B96" w:rsidP="00491B73">
      <w:pPr>
        <w:pStyle w:val="BodyText"/>
      </w:pPr>
      <w:r>
        <w:t>In the Northern Territory, t</w:t>
      </w:r>
      <w:r w:rsidR="00491B73">
        <w:t xml:space="preserve">he </w:t>
      </w:r>
      <w:proofErr w:type="spellStart"/>
      <w:r w:rsidR="00491B73">
        <w:t>AAPA</w:t>
      </w:r>
      <w:proofErr w:type="spellEnd"/>
      <w:r w:rsidR="00491B73">
        <w:t xml:space="preserve"> </w:t>
      </w:r>
      <w:r w:rsidR="00C24B5F">
        <w:t>advised that:</w:t>
      </w:r>
    </w:p>
    <w:p w14:paraId="61ED68A1" w14:textId="53483D7C" w:rsidR="00491B73" w:rsidRDefault="00491B73" w:rsidP="00491B73">
      <w:pPr>
        <w:pStyle w:val="Quote"/>
      </w:pPr>
      <w:proofErr w:type="spellStart"/>
      <w:r w:rsidRPr="006863E1">
        <w:t>AAPA</w:t>
      </w:r>
      <w:proofErr w:type="spellEnd"/>
      <w:r w:rsidRPr="006863E1">
        <w:t xml:space="preserve"> and various Land Councils regularly cooperate to ensure that </w:t>
      </w:r>
      <w:proofErr w:type="spellStart"/>
      <w:r w:rsidRPr="006863E1">
        <w:t>AAPA</w:t>
      </w:r>
      <w:proofErr w:type="spellEnd"/>
      <w:r>
        <w:t xml:space="preserve"> </w:t>
      </w:r>
      <w:r w:rsidRPr="006863E1">
        <w:t>Authority Certificates are in place but it raises a number of hurdles involving</w:t>
      </w:r>
      <w:r>
        <w:t xml:space="preserve"> </w:t>
      </w:r>
      <w:r w:rsidRPr="006863E1">
        <w:t>increased timeliness and costs.</w:t>
      </w:r>
      <w:r w:rsidR="007B4569">
        <w:t xml:space="preserve"> (sub.</w:t>
      </w:r>
      <w:r w:rsidR="00504C8F">
        <w:t> </w:t>
      </w:r>
      <w:r w:rsidR="007B4569">
        <w:t>23, p.</w:t>
      </w:r>
      <w:r w:rsidR="00504C8F">
        <w:t> </w:t>
      </w:r>
      <w:r w:rsidR="007B4569">
        <w:t>1)</w:t>
      </w:r>
    </w:p>
    <w:p w14:paraId="16856E86" w14:textId="77777777" w:rsidR="0007486A" w:rsidRDefault="0007486A" w:rsidP="0007486A">
      <w:pPr>
        <w:pStyle w:val="BodyText"/>
      </w:pPr>
      <w:r>
        <w:t>The Western Australian Government drew attention to circumstances where several Indigenous groups have responsibility for country.</w:t>
      </w:r>
    </w:p>
    <w:p w14:paraId="17EDDAA2" w14:textId="5B7DD355" w:rsidR="0007486A" w:rsidRDefault="0007486A" w:rsidP="0007486A">
      <w:pPr>
        <w:pStyle w:val="Quote"/>
      </w:pPr>
      <w:r>
        <w:t xml:space="preserve">Additional barriers can arise when there are multiple Traditional Owner groups that cover a single area. This increases the costs and time to consult with all groups and </w:t>
      </w:r>
      <w:r>
        <w:lastRenderedPageBreak/>
        <w:t>coordinate representatives from all groups to participate in surveys. (Western Australian Government, sub.</w:t>
      </w:r>
      <w:r w:rsidR="00504C8F">
        <w:t> </w:t>
      </w:r>
      <w:r>
        <w:t>29, p.</w:t>
      </w:r>
      <w:r w:rsidR="00504C8F">
        <w:t> </w:t>
      </w:r>
      <w:r>
        <w:t>13)</w:t>
      </w:r>
    </w:p>
    <w:p w14:paraId="6BD3CA0B" w14:textId="5F60B276" w:rsidR="00491B73" w:rsidRPr="009507C9" w:rsidRDefault="00C24B5F" w:rsidP="00491B73">
      <w:pPr>
        <w:pStyle w:val="BodyText"/>
      </w:pPr>
      <w:r>
        <w:t>Several i</w:t>
      </w:r>
      <w:r w:rsidR="009A0ACC">
        <w:t>nquiry p</w:t>
      </w:r>
      <w:r w:rsidR="00927761">
        <w:t xml:space="preserve">articipants </w:t>
      </w:r>
      <w:r>
        <w:t xml:space="preserve">noted </w:t>
      </w:r>
      <w:r w:rsidR="00927761">
        <w:t>that determin</w:t>
      </w:r>
      <w:r>
        <w:t>ing</w:t>
      </w:r>
      <w:r w:rsidR="00927761">
        <w:t xml:space="preserve"> who has culturally appropriate responsibilities for country and the authority to speak for country</w:t>
      </w:r>
      <w:r>
        <w:t xml:space="preserve"> could be more complex in non-native title areas</w:t>
      </w:r>
      <w:r w:rsidR="00927761">
        <w:t xml:space="preserve">. </w:t>
      </w:r>
      <w:r w:rsidR="00491B73">
        <w:t>The Australian Petroleum Production and Exploration Association</w:t>
      </w:r>
      <w:r w:rsidR="00927761">
        <w:t xml:space="preserve"> stated:</w:t>
      </w:r>
    </w:p>
    <w:p w14:paraId="36FAF4DE" w14:textId="2276C341" w:rsidR="00491B73" w:rsidRDefault="00491B73" w:rsidP="00491B73">
      <w:pPr>
        <w:pStyle w:val="Quote"/>
      </w:pPr>
      <w:r w:rsidRPr="00B560D7">
        <w:t>Companies have a record o</w:t>
      </w:r>
      <w:r w:rsidR="00FA1615">
        <w:t>f working collaboratively with I</w:t>
      </w:r>
      <w:r w:rsidRPr="00B560D7">
        <w:t>ndigenous groups, however difficulties can arise in the context of unrealistic expectations, the role played by ‘third parties</w:t>
      </w:r>
      <w:r w:rsidR="00FA1615">
        <w:t>’</w:t>
      </w:r>
      <w:r w:rsidRPr="00B560D7">
        <w:t xml:space="preserve"> and in determining the appropriate representative body or bodies. (sub.</w:t>
      </w:r>
      <w:r w:rsidR="00504C8F">
        <w:t> </w:t>
      </w:r>
      <w:r w:rsidRPr="00B560D7">
        <w:t>22, p.</w:t>
      </w:r>
      <w:r w:rsidR="00F11888">
        <w:t> </w:t>
      </w:r>
      <w:r w:rsidRPr="00B560D7">
        <w:t>18)</w:t>
      </w:r>
    </w:p>
    <w:p w14:paraId="102B6527" w14:textId="51EB0402" w:rsidR="00B2362D" w:rsidRDefault="00C47BB0" w:rsidP="00B2362D">
      <w:pPr>
        <w:pStyle w:val="BodyText"/>
        <w:rPr>
          <w:lang w:val="en"/>
        </w:rPr>
      </w:pPr>
      <w:r>
        <w:rPr>
          <w:lang w:val="en"/>
        </w:rPr>
        <w:t xml:space="preserve">The Commission supports the general intention underlying the view of </w:t>
      </w:r>
      <w:proofErr w:type="spellStart"/>
      <w:r w:rsidR="00B2362D">
        <w:rPr>
          <w:lang w:val="en"/>
        </w:rPr>
        <w:t>NTSCORP</w:t>
      </w:r>
      <w:proofErr w:type="spellEnd"/>
      <w:r w:rsidR="00B2362D">
        <w:rPr>
          <w:lang w:val="en"/>
        </w:rPr>
        <w:t xml:space="preserve"> </w:t>
      </w:r>
      <w:r>
        <w:rPr>
          <w:lang w:val="en"/>
        </w:rPr>
        <w:t>(which was directed specifically at N</w:t>
      </w:r>
      <w:r w:rsidR="003B78BE">
        <w:rPr>
          <w:lang w:val="en"/>
        </w:rPr>
        <w:t xml:space="preserve">ew </w:t>
      </w:r>
      <w:r>
        <w:rPr>
          <w:lang w:val="en"/>
        </w:rPr>
        <w:t>S</w:t>
      </w:r>
      <w:r w:rsidR="003B78BE">
        <w:rPr>
          <w:lang w:val="en"/>
        </w:rPr>
        <w:t xml:space="preserve">outh </w:t>
      </w:r>
      <w:r>
        <w:rPr>
          <w:lang w:val="en"/>
        </w:rPr>
        <w:t>W</w:t>
      </w:r>
      <w:r w:rsidR="003B78BE">
        <w:rPr>
          <w:lang w:val="en"/>
        </w:rPr>
        <w:t>ales</w:t>
      </w:r>
      <w:r>
        <w:rPr>
          <w:lang w:val="en"/>
        </w:rPr>
        <w:t xml:space="preserve">), </w:t>
      </w:r>
      <w:r w:rsidR="00B2362D">
        <w:rPr>
          <w:lang w:val="en"/>
        </w:rPr>
        <w:t>that</w:t>
      </w:r>
      <w:r w:rsidR="00EC2E01">
        <w:rPr>
          <w:lang w:val="en"/>
        </w:rPr>
        <w:t>:</w:t>
      </w:r>
    </w:p>
    <w:p w14:paraId="3F82ADBA" w14:textId="4989E032" w:rsidR="00EC2E01" w:rsidRPr="00EC2E01" w:rsidRDefault="00EC2E01" w:rsidP="00EC2E01">
      <w:pPr>
        <w:pStyle w:val="Quote"/>
        <w:rPr>
          <w:lang w:val="en"/>
        </w:rPr>
      </w:pPr>
      <w:r>
        <w:rPr>
          <w:lang w:val="en"/>
        </w:rPr>
        <w:t xml:space="preserve">A mechanism to identify the correct Traditional Owners and </w:t>
      </w:r>
      <w:proofErr w:type="spellStart"/>
      <w:r>
        <w:rPr>
          <w:lang w:val="en"/>
        </w:rPr>
        <w:t>RAPs</w:t>
      </w:r>
      <w:proofErr w:type="spellEnd"/>
      <w:r>
        <w:rPr>
          <w:lang w:val="en"/>
        </w:rPr>
        <w:t xml:space="preserve"> with authority to speak for country should be developed and applied to all exploration and assessment processes</w:t>
      </w:r>
      <w:r w:rsidR="009E0603">
        <w:rPr>
          <w:lang w:val="en"/>
        </w:rPr>
        <w:t>..</w:t>
      </w:r>
      <w:r w:rsidR="004A48A0">
        <w:rPr>
          <w:lang w:val="en"/>
        </w:rPr>
        <w:t>. (sub.</w:t>
      </w:r>
      <w:r w:rsidR="00504C8F">
        <w:rPr>
          <w:lang w:val="en"/>
        </w:rPr>
        <w:t> </w:t>
      </w:r>
      <w:r w:rsidR="004A48A0">
        <w:rPr>
          <w:lang w:val="en"/>
        </w:rPr>
        <w:t>31, p.</w:t>
      </w:r>
      <w:r w:rsidR="00504C8F">
        <w:rPr>
          <w:lang w:val="en"/>
        </w:rPr>
        <w:t> </w:t>
      </w:r>
      <w:r w:rsidR="004A48A0">
        <w:rPr>
          <w:lang w:val="en"/>
        </w:rPr>
        <w:t>6)</w:t>
      </w:r>
    </w:p>
    <w:p w14:paraId="7A188B27" w14:textId="77777777" w:rsidR="00CE4A6F" w:rsidRDefault="00CE4A6F" w:rsidP="00163AD0">
      <w:pPr>
        <w:pStyle w:val="Heading3"/>
      </w:pPr>
      <w:r>
        <w:t>Promoting good working relationships with Indigenous communities</w:t>
      </w:r>
    </w:p>
    <w:p w14:paraId="027A37B8" w14:textId="39884552" w:rsidR="006A3FB8" w:rsidRPr="008A61BF" w:rsidRDefault="005E0DDC" w:rsidP="006A3FB8">
      <w:pPr>
        <w:pStyle w:val="BodyText"/>
        <w:rPr>
          <w:lang w:val="en"/>
        </w:rPr>
      </w:pPr>
      <w:r>
        <w:rPr>
          <w:lang w:val="en"/>
        </w:rPr>
        <w:t xml:space="preserve">The value of </w:t>
      </w:r>
      <w:r w:rsidR="00C47BB0">
        <w:rPr>
          <w:lang w:val="en"/>
        </w:rPr>
        <w:t>constructive c</w:t>
      </w:r>
      <w:r w:rsidR="006A3FB8">
        <w:rPr>
          <w:lang w:val="en"/>
        </w:rPr>
        <w:t xml:space="preserve">onsultation and negotiation between explorers and Indigenous parties is </w:t>
      </w:r>
      <w:r w:rsidR="00C47BB0">
        <w:rPr>
          <w:lang w:val="en"/>
        </w:rPr>
        <w:t xml:space="preserve">well </w:t>
      </w:r>
      <w:proofErr w:type="spellStart"/>
      <w:r w:rsidR="00C47BB0">
        <w:rPr>
          <w:lang w:val="en"/>
        </w:rPr>
        <w:t>recognised</w:t>
      </w:r>
      <w:proofErr w:type="spellEnd"/>
      <w:r w:rsidR="00C47BB0">
        <w:rPr>
          <w:lang w:val="en"/>
        </w:rPr>
        <w:t xml:space="preserve"> and is </w:t>
      </w:r>
      <w:r w:rsidR="006A3FB8">
        <w:rPr>
          <w:lang w:val="en"/>
        </w:rPr>
        <w:t>central to effective outcomes in Indigenous heritage.</w:t>
      </w:r>
    </w:p>
    <w:p w14:paraId="25B833E9" w14:textId="4FDF8AA0" w:rsidR="006A3FB8" w:rsidRDefault="006A3FB8" w:rsidP="006A3FB8">
      <w:pPr>
        <w:pStyle w:val="Quote"/>
      </w:pPr>
      <w:r w:rsidRPr="00565F59">
        <w:t>With more than 60 per cent of Australian minerals operations neighbouring Indigenous communities, the development and maintenance of strong and positive relationships with Indigenous communities is critical to securing and maintaining the industry’s social licence to operate</w:t>
      </w:r>
      <w:r w:rsidR="00504C8F">
        <w:t xml:space="preserve"> </w:t>
      </w:r>
      <w:r>
        <w:t>…</w:t>
      </w:r>
    </w:p>
    <w:p w14:paraId="26AC2F9D" w14:textId="12F2F327" w:rsidR="006A3FB8" w:rsidRDefault="006A3FB8" w:rsidP="006A3FB8">
      <w:pPr>
        <w:pStyle w:val="Quote"/>
      </w:pPr>
      <w:r w:rsidRPr="00565F59">
        <w:t xml:space="preserve">Cultural heritage places are integral to Indigenous Australians’ connection with their traditional lands. </w:t>
      </w:r>
      <w:r w:rsidR="009E0603">
        <w:t>Therefore</w:t>
      </w:r>
      <w:r w:rsidRPr="00565F59">
        <w:t xml:space="preserve"> any successful relationship between a mining company and an Indigenous community will include recognition and respect for the community’s cultural heritage</w:t>
      </w:r>
      <w:r w:rsidR="00FA1615">
        <w:t>.</w:t>
      </w:r>
      <w:r w:rsidRPr="00565F59">
        <w:t xml:space="preserve"> (Department of Industry Tourism and Resources 2007</w:t>
      </w:r>
      <w:r>
        <w:t>, p.</w:t>
      </w:r>
      <w:r w:rsidR="00504C8F">
        <w:t> </w:t>
      </w:r>
      <w:r>
        <w:t>3</w:t>
      </w:r>
      <w:r w:rsidR="00F03E97">
        <w:t>,</w:t>
      </w:r>
      <w:r>
        <w:t xml:space="preserve"> 44</w:t>
      </w:r>
      <w:r w:rsidR="00FA1615">
        <w:t>)</w:t>
      </w:r>
    </w:p>
    <w:p w14:paraId="36AB6CD5" w14:textId="39351F55" w:rsidR="006A3FB8" w:rsidRDefault="006A3FB8" w:rsidP="006A3FB8">
      <w:pPr>
        <w:pStyle w:val="BodyText"/>
      </w:pPr>
      <w:r>
        <w:t>Similarly</w:t>
      </w:r>
      <w:r w:rsidR="00FA1615">
        <w:t>,</w:t>
      </w:r>
      <w:r>
        <w:t xml:space="preserve"> the MCA commented:</w:t>
      </w:r>
    </w:p>
    <w:p w14:paraId="697AF634" w14:textId="20183456" w:rsidR="006A3FB8" w:rsidRDefault="005E0DDC" w:rsidP="006A3FB8">
      <w:pPr>
        <w:pStyle w:val="Quote"/>
      </w:pPr>
      <w:r>
        <w:t xml:space="preserve">… </w:t>
      </w:r>
      <w:r w:rsidR="006A3FB8" w:rsidRPr="00BE524F">
        <w:t>the minerals industry has long recognised that engagement with Indigenous peoples needs to be founded in</w:t>
      </w:r>
      <w:r w:rsidR="006A3FB8">
        <w:t xml:space="preserve"> </w:t>
      </w:r>
      <w:r w:rsidR="006A3FB8" w:rsidRPr="00BE524F">
        <w:t>mutual respect and in the recognition of Indigenous Australians’ rights in law, interests and special connections to land and</w:t>
      </w:r>
      <w:r w:rsidR="006A3FB8">
        <w:t xml:space="preserve"> </w:t>
      </w:r>
      <w:r w:rsidR="006A3FB8" w:rsidRPr="00BE524F">
        <w:t>waters. This has been reflected in the multitude of arrangements made between the minerals industry and Indigenous</w:t>
      </w:r>
      <w:r w:rsidR="006A3FB8">
        <w:t xml:space="preserve"> </w:t>
      </w:r>
      <w:r w:rsidR="006A3FB8" w:rsidRPr="00BE524F">
        <w:t xml:space="preserve">peoples, including traditional owners, around industry contribution to the management of cultural heritage. </w:t>
      </w:r>
      <w:r w:rsidR="006A3FB8">
        <w:t>(sub.</w:t>
      </w:r>
      <w:r w:rsidR="00504C8F">
        <w:t> </w:t>
      </w:r>
      <w:r w:rsidR="006A3FB8">
        <w:t>27, p.</w:t>
      </w:r>
      <w:r w:rsidR="00504C8F">
        <w:t> </w:t>
      </w:r>
      <w:r w:rsidR="006A3FB8">
        <w:t>30)</w:t>
      </w:r>
    </w:p>
    <w:p w14:paraId="6FF982F3" w14:textId="28C6B823" w:rsidR="00CE4A6F" w:rsidRDefault="00C24B5F" w:rsidP="00491B73">
      <w:pPr>
        <w:pStyle w:val="BodyText"/>
      </w:pPr>
      <w:r>
        <w:t xml:space="preserve">The Commission found that </w:t>
      </w:r>
      <w:r w:rsidR="00BA200B">
        <w:t xml:space="preserve">in practice </w:t>
      </w:r>
      <w:r w:rsidR="00132553">
        <w:t>there were</w:t>
      </w:r>
      <w:r>
        <w:t xml:space="preserve"> </w:t>
      </w:r>
      <w:r w:rsidR="0035477B">
        <w:t xml:space="preserve">marked </w:t>
      </w:r>
      <w:r>
        <w:t>differences</w:t>
      </w:r>
      <w:r w:rsidR="00CE4A6F">
        <w:t xml:space="preserve"> </w:t>
      </w:r>
      <w:r>
        <w:t xml:space="preserve">of view about the negotiating </w:t>
      </w:r>
      <w:r w:rsidR="0035477B">
        <w:t>behaviour</w:t>
      </w:r>
      <w:r>
        <w:t xml:space="preserve"> of </w:t>
      </w:r>
      <w:r w:rsidR="00CE4A6F">
        <w:t>exploration companies, Indigenous parties and third party representatives.</w:t>
      </w:r>
    </w:p>
    <w:p w14:paraId="01418C68" w14:textId="3F6DA540" w:rsidR="00E70ACB" w:rsidRDefault="00256715" w:rsidP="00491B73">
      <w:pPr>
        <w:pStyle w:val="BodyText"/>
      </w:pPr>
      <w:r>
        <w:lastRenderedPageBreak/>
        <w:t>On the one hand</w:t>
      </w:r>
      <w:r w:rsidR="00132553">
        <w:t>,</w:t>
      </w:r>
      <w:r>
        <w:t xml:space="preserve"> some Indigenous groups claimed that consultation </w:t>
      </w:r>
      <w:r w:rsidR="0096720C">
        <w:t xml:space="preserve">with Indigenous parties on heritage matters </w:t>
      </w:r>
      <w:r w:rsidR="007E6D98">
        <w:t>can be</w:t>
      </w:r>
      <w:r w:rsidR="0096720C">
        <w:t xml:space="preserve"> insufficient or ‘tokenistic’</w:t>
      </w:r>
      <w:r w:rsidR="007F0AB8">
        <w:t>.</w:t>
      </w:r>
      <w:r w:rsidR="0096720C">
        <w:t xml:space="preserve"> </w:t>
      </w:r>
      <w:proofErr w:type="spellStart"/>
      <w:r w:rsidR="00E70ACB">
        <w:t>NTSCORP</w:t>
      </w:r>
      <w:proofErr w:type="spellEnd"/>
      <w:r w:rsidR="00E70ACB">
        <w:t xml:space="preserve"> asserted</w:t>
      </w:r>
      <w:r w:rsidR="0096720C">
        <w:t>:</w:t>
      </w:r>
    </w:p>
    <w:p w14:paraId="288867B4" w14:textId="203EB270" w:rsidR="002949A9" w:rsidRDefault="00E70ACB" w:rsidP="00E70ACB">
      <w:pPr>
        <w:pStyle w:val="Quote"/>
      </w:pPr>
      <w:r>
        <w:t xml:space="preserve">Proponents should be required to demonstrate a concerted effort to ensure that engagement with Traditional Owners and </w:t>
      </w:r>
      <w:proofErr w:type="spellStart"/>
      <w:r>
        <w:t>RAPs</w:t>
      </w:r>
      <w:proofErr w:type="spellEnd"/>
      <w:r>
        <w:t xml:space="preserve"> for culture and heritage management assessment processes is genuine and inclusive, rather than tokenistic.</w:t>
      </w:r>
      <w:r w:rsidR="0096720C">
        <w:t xml:space="preserve"> (sub.</w:t>
      </w:r>
      <w:r w:rsidR="00504C8F">
        <w:t> </w:t>
      </w:r>
      <w:r w:rsidR="0096720C">
        <w:t>31, p.</w:t>
      </w:r>
      <w:r w:rsidR="00504C8F">
        <w:t> </w:t>
      </w:r>
      <w:r w:rsidR="0096720C">
        <w:t>7)</w:t>
      </w:r>
    </w:p>
    <w:p w14:paraId="48E2D22C" w14:textId="164AB04C" w:rsidR="00491B73" w:rsidRDefault="00CE4A6F" w:rsidP="00491B73">
      <w:pPr>
        <w:pStyle w:val="BodyText"/>
      </w:pPr>
      <w:r>
        <w:t>On the other hand,</w:t>
      </w:r>
      <w:r w:rsidR="00491B73">
        <w:t xml:space="preserve"> the Australian Petroleum Production and </w:t>
      </w:r>
      <w:r w:rsidR="009A0ACC">
        <w:t>Exploration Association claimed</w:t>
      </w:r>
      <w:r w:rsidR="00491B73">
        <w:t>:</w:t>
      </w:r>
    </w:p>
    <w:p w14:paraId="24FBE049" w14:textId="3DEEC9C4" w:rsidR="00AB0A80" w:rsidRDefault="00491B73" w:rsidP="00BF3FFE">
      <w:pPr>
        <w:pStyle w:val="Quote"/>
      </w:pPr>
      <w:r>
        <w:t xml:space="preserve">The experience of the industry to date suggests that the behaviour of some negotiating representatives or groups is very </w:t>
      </w:r>
      <w:r w:rsidR="006B0E63">
        <w:t>‘</w:t>
      </w:r>
      <w:r>
        <w:t>tactical</w:t>
      </w:r>
      <w:r w:rsidR="006B0E63">
        <w:t>’</w:t>
      </w:r>
      <w:r>
        <w:t xml:space="preserve"> in nature, with a view to place considerable commercial pressure on explorers or developers. Such an approach is inconsistent with the policy intent of the negotiation process and leads to outcomes that impose sub-optimal outcomes for all parties. (sub.</w:t>
      </w:r>
      <w:r w:rsidR="00504C8F">
        <w:t> </w:t>
      </w:r>
      <w:r>
        <w:t>22, p.</w:t>
      </w:r>
      <w:r w:rsidR="00504C8F">
        <w:t> </w:t>
      </w:r>
      <w:r>
        <w:t>18)</w:t>
      </w:r>
    </w:p>
    <w:p w14:paraId="4D710D81" w14:textId="53DFE2E6" w:rsidR="00A42B9E" w:rsidRDefault="00E05F4A" w:rsidP="00A42B9E">
      <w:pPr>
        <w:pStyle w:val="BodyText"/>
      </w:pPr>
      <w:r>
        <w:t xml:space="preserve">While governments cannot tailor solutions to address the actions of negotiating parties, </w:t>
      </w:r>
      <w:r w:rsidR="00132553">
        <w:t>constructive</w:t>
      </w:r>
      <w:r>
        <w:t xml:space="preserve"> behaviour can be </w:t>
      </w:r>
      <w:r w:rsidR="00132553">
        <w:t>facilitated</w:t>
      </w:r>
      <w:r>
        <w:t xml:space="preserve"> through the dissemination of guidance and leading practices. </w:t>
      </w:r>
      <w:r w:rsidR="0008651C">
        <w:t xml:space="preserve">Several such </w:t>
      </w:r>
      <w:r w:rsidR="00A42B9E">
        <w:t xml:space="preserve">practices have been </w:t>
      </w:r>
      <w:r w:rsidR="00132553">
        <w:t>developed and published</w:t>
      </w:r>
      <w:r w:rsidR="00A42B9E">
        <w:t>. These include:</w:t>
      </w:r>
    </w:p>
    <w:p w14:paraId="2374B9CA" w14:textId="09F9EBF1" w:rsidR="00A42B9E" w:rsidRPr="003F4698" w:rsidRDefault="00A42B9E" w:rsidP="00A42B9E">
      <w:pPr>
        <w:pStyle w:val="ListBullet"/>
      </w:pPr>
      <w:r>
        <w:t>work with Indigenous parties</w:t>
      </w:r>
      <w:r w:rsidRPr="003F4698">
        <w:t xml:space="preserve"> as early as possible when exploration is being planned, to identify potential impacts and to try to agree on how to avoid damage to traditional areas and objects</w:t>
      </w:r>
      <w:r w:rsidR="00FA1615">
        <w:t>.</w:t>
      </w:r>
      <w:r>
        <w:t xml:space="preserve"> (</w:t>
      </w:r>
      <w:proofErr w:type="spellStart"/>
      <w:r w:rsidR="00F03E97">
        <w:t>DEWHA</w:t>
      </w:r>
      <w:proofErr w:type="spellEnd"/>
      <w:r>
        <w:t xml:space="preserve"> </w:t>
      </w:r>
      <w:proofErr w:type="spellStart"/>
      <w:r>
        <w:t>2009</w:t>
      </w:r>
      <w:r w:rsidR="003E74BF">
        <w:t>b</w:t>
      </w:r>
      <w:proofErr w:type="spellEnd"/>
      <w:r>
        <w:t>, p.</w:t>
      </w:r>
      <w:r w:rsidR="00504C8F">
        <w:t> </w:t>
      </w:r>
      <w:r>
        <w:t>1)</w:t>
      </w:r>
    </w:p>
    <w:p w14:paraId="64AEC446" w14:textId="7574F4A6" w:rsidR="00A42B9E" w:rsidRPr="003F4698" w:rsidRDefault="00A42B9E" w:rsidP="00A42B9E">
      <w:pPr>
        <w:pStyle w:val="ListBullet"/>
      </w:pPr>
      <w:r>
        <w:t>a</w:t>
      </w:r>
      <w:r w:rsidRPr="003F4698">
        <w:t>gree on the timing and the level of consultation required for the activity</w:t>
      </w:r>
      <w:r>
        <w:t xml:space="preserve"> (Australian Heritage Commission 2002, p.</w:t>
      </w:r>
      <w:r w:rsidR="00504C8F">
        <w:t> </w:t>
      </w:r>
      <w:r>
        <w:t>10)</w:t>
      </w:r>
      <w:r w:rsidRPr="003F4698">
        <w:t>.</w:t>
      </w:r>
    </w:p>
    <w:p w14:paraId="3B9DEE43" w14:textId="22DA8795" w:rsidR="00A42B9E" w:rsidRPr="003F4698" w:rsidRDefault="00A42B9E" w:rsidP="00A42B9E">
      <w:pPr>
        <w:pStyle w:val="ListBullet"/>
      </w:pPr>
      <w:r>
        <w:t>e</w:t>
      </w:r>
      <w:r w:rsidRPr="003F4698">
        <w:t>ngage with Indigenous communities (or a third party) to bu</w:t>
      </w:r>
      <w:r>
        <w:t>ild a social licence to operate (Department of Industry Tourism and Resources 2007, p.</w:t>
      </w:r>
      <w:r w:rsidR="00504C8F">
        <w:t> </w:t>
      </w:r>
      <w:r>
        <w:t>3).</w:t>
      </w:r>
    </w:p>
    <w:p w14:paraId="34CA5383" w14:textId="025059CE" w:rsidR="00A42B9E" w:rsidRPr="003F4698" w:rsidRDefault="00A42B9E" w:rsidP="00A42B9E">
      <w:pPr>
        <w:pStyle w:val="ListBullet"/>
      </w:pPr>
      <w:r>
        <w:t>i</w:t>
      </w:r>
      <w:r w:rsidRPr="003F4698">
        <w:t>nvestigate whether the interests of Indigenous people from surrounding areas may also be affected by an activity</w:t>
      </w:r>
      <w:r>
        <w:t xml:space="preserve"> (Australi</w:t>
      </w:r>
      <w:r w:rsidR="00572D8E">
        <w:t>an Heritage Commission 2002, p. </w:t>
      </w:r>
      <w:r>
        <w:t>8)</w:t>
      </w:r>
    </w:p>
    <w:p w14:paraId="052080BA" w14:textId="402CAD44" w:rsidR="00A42B9E" w:rsidRPr="003F4698" w:rsidRDefault="00A42B9E" w:rsidP="00A42B9E">
      <w:pPr>
        <w:pStyle w:val="ListBullet"/>
      </w:pPr>
      <w:r>
        <w:t>i</w:t>
      </w:r>
      <w:r w:rsidRPr="003F4698">
        <w:t>nvolve Indigenous people in decision</w:t>
      </w:r>
      <w:r w:rsidR="00EA002A">
        <w:t>-</w:t>
      </w:r>
      <w:r w:rsidRPr="003F4698">
        <w:t>making processes, not just consultation processes</w:t>
      </w:r>
      <w:r>
        <w:t xml:space="preserve"> (</w:t>
      </w:r>
      <w:proofErr w:type="spellStart"/>
      <w:r>
        <w:t>NTSCORP</w:t>
      </w:r>
      <w:proofErr w:type="spellEnd"/>
      <w:r>
        <w:t>, sub.</w:t>
      </w:r>
      <w:r w:rsidR="00504C8F">
        <w:t> </w:t>
      </w:r>
      <w:r>
        <w:t>31, p.</w:t>
      </w:r>
      <w:r w:rsidR="00504C8F">
        <w:t> </w:t>
      </w:r>
      <w:r w:rsidR="009E0603">
        <w:t>2</w:t>
      </w:r>
      <w:r>
        <w:t>)</w:t>
      </w:r>
      <w:r w:rsidRPr="003F4698">
        <w:t>.</w:t>
      </w:r>
    </w:p>
    <w:p w14:paraId="31006528" w14:textId="677D217F" w:rsidR="00EF66D7" w:rsidRDefault="00715241" w:rsidP="00E80679">
      <w:pPr>
        <w:pStyle w:val="Heading3"/>
        <w:rPr>
          <w:lang w:val="en"/>
        </w:rPr>
      </w:pPr>
      <w:r>
        <w:rPr>
          <w:lang w:val="en"/>
        </w:rPr>
        <w:t>Efficient and effective Indigenous heritage protection</w:t>
      </w:r>
    </w:p>
    <w:p w14:paraId="3D69DFD9" w14:textId="1DB2A4B5" w:rsidR="001C11AD" w:rsidRDefault="00715241" w:rsidP="001C11AD">
      <w:pPr>
        <w:pStyle w:val="BodyText"/>
      </w:pPr>
      <w:r>
        <w:t xml:space="preserve">State governments have adopted different models for protecting </w:t>
      </w:r>
      <w:r w:rsidR="00FA1615">
        <w:t>I</w:t>
      </w:r>
      <w:r>
        <w:t xml:space="preserve">ndigenous heritage. At one </w:t>
      </w:r>
      <w:r w:rsidR="00221018">
        <w:t xml:space="preserve">end </w:t>
      </w:r>
      <w:r>
        <w:t xml:space="preserve">of the spectrum, Western Australia relies on ministerial decisions </w:t>
      </w:r>
      <w:r w:rsidRPr="002965E3">
        <w:t xml:space="preserve">based on </w:t>
      </w:r>
      <w:r>
        <w:t xml:space="preserve">archaeological and anthropological heritage surveys. At the </w:t>
      </w:r>
      <w:r w:rsidR="00FA1615">
        <w:t>other end, the Queensland G</w:t>
      </w:r>
      <w:r>
        <w:t>overnment</w:t>
      </w:r>
      <w:r w:rsidR="00221018">
        <w:t xml:space="preserve"> has </w:t>
      </w:r>
      <w:r w:rsidR="002934FC">
        <w:t xml:space="preserve">adopted </w:t>
      </w:r>
      <w:r w:rsidR="001C11AD">
        <w:rPr>
          <w:lang w:val="en"/>
        </w:rPr>
        <w:t xml:space="preserve">a </w:t>
      </w:r>
      <w:r w:rsidR="001C11AD" w:rsidRPr="001F3889">
        <w:rPr>
          <w:lang w:val="en"/>
        </w:rPr>
        <w:t>s</w:t>
      </w:r>
      <w:r w:rsidR="001C11AD">
        <w:rPr>
          <w:lang w:val="en"/>
        </w:rPr>
        <w:t>treamlined</w:t>
      </w:r>
      <w:r w:rsidR="001C11AD" w:rsidRPr="001F3889">
        <w:rPr>
          <w:lang w:val="en"/>
        </w:rPr>
        <w:t xml:space="preserve"> </w:t>
      </w:r>
      <w:r w:rsidR="001C11AD">
        <w:rPr>
          <w:lang w:val="en"/>
        </w:rPr>
        <w:t>‘duty of care’ process</w:t>
      </w:r>
      <w:r w:rsidR="00EA002A">
        <w:rPr>
          <w:lang w:val="en"/>
        </w:rPr>
        <w:t xml:space="preserve"> </w:t>
      </w:r>
      <w:r w:rsidR="00EA002A">
        <w:t>for most cases.</w:t>
      </w:r>
    </w:p>
    <w:p w14:paraId="4DE8DF7A" w14:textId="20D71202" w:rsidR="00715241" w:rsidRDefault="00715241" w:rsidP="00715241">
      <w:pPr>
        <w:pStyle w:val="BodyText"/>
      </w:pPr>
      <w:r>
        <w:lastRenderedPageBreak/>
        <w:t xml:space="preserve">Many explorers </w:t>
      </w:r>
      <w:r w:rsidR="00221018">
        <w:t xml:space="preserve">have </w:t>
      </w:r>
      <w:r>
        <w:t xml:space="preserve">expressed concern about costs and delays </w:t>
      </w:r>
      <w:r w:rsidR="00221018">
        <w:t>associated with the Western Australian approach.</w:t>
      </w:r>
      <w:r>
        <w:t xml:space="preserve"> For example, the Association of Mining and Exploration Companies (AMEC) said:</w:t>
      </w:r>
    </w:p>
    <w:p w14:paraId="79D21FD6" w14:textId="49BA7C0C" w:rsidR="00715241" w:rsidRPr="0018036F" w:rsidRDefault="00715241" w:rsidP="00715241">
      <w:pPr>
        <w:pStyle w:val="Quote"/>
      </w:pPr>
      <w:r w:rsidRPr="0018036F">
        <w:t xml:space="preserve">AMEC members have consistently expressed deep concern with the time delays and increasing costs in undertaking a heritage survey, and in progressing Section 18 consents. Some progress has been made in respect of the latter through the administrative processes of the </w:t>
      </w:r>
      <w:proofErr w:type="spellStart"/>
      <w:r w:rsidRPr="0018036F">
        <w:t>ACMC</w:t>
      </w:r>
      <w:proofErr w:type="spellEnd"/>
      <w:r w:rsidRPr="0018036F">
        <w:t xml:space="preserve"> [Aboriginal Cultural Materials Committee] however, the high costs that are incurred by industry in obtaining a heritage survey continue unabated. (sub.</w:t>
      </w:r>
      <w:r w:rsidR="00504C8F">
        <w:t> </w:t>
      </w:r>
      <w:r w:rsidRPr="0018036F">
        <w:t>24, p.</w:t>
      </w:r>
      <w:r w:rsidR="00504C8F">
        <w:t> </w:t>
      </w:r>
      <w:r w:rsidRPr="0018036F">
        <w:t>14)</w:t>
      </w:r>
    </w:p>
    <w:p w14:paraId="0D1C50C0" w14:textId="5AE2ABA5" w:rsidR="00715241" w:rsidRPr="0018036F" w:rsidRDefault="00715241" w:rsidP="00715241">
      <w:pPr>
        <w:pStyle w:val="BodyText"/>
      </w:pPr>
      <w:r>
        <w:t xml:space="preserve">AMEC reported that costs have increased significantly since 2010 and that </w:t>
      </w:r>
      <w:r w:rsidR="00EA002A">
        <w:t>its members</w:t>
      </w:r>
      <w:r>
        <w:t xml:space="preserve"> have no ability to control the cost of heritage surveys.</w:t>
      </w:r>
    </w:p>
    <w:p w14:paraId="1252A0E8" w14:textId="2ED75929" w:rsidR="00715241" w:rsidRDefault="00715241" w:rsidP="00715241">
      <w:pPr>
        <w:pStyle w:val="Quote"/>
      </w:pPr>
      <w:r w:rsidRPr="0018036F">
        <w:t xml:space="preserve">Based on member feedback the average cost of a heritage survey has increased from $11,000 per day in 2010 to the current approximate cost of $15,000 per day. There have also been examples where the daily cost of undertaking the survey has exceeded $20,000. There is limited opportunity for exploration companies to negotiate these costs. </w:t>
      </w:r>
      <w:r>
        <w:t>(sub.</w:t>
      </w:r>
      <w:r w:rsidR="00504C8F">
        <w:t> </w:t>
      </w:r>
      <w:r>
        <w:t>24, p.</w:t>
      </w:r>
      <w:r w:rsidR="00504C8F">
        <w:t> </w:t>
      </w:r>
      <w:r>
        <w:t>14)</w:t>
      </w:r>
    </w:p>
    <w:p w14:paraId="06F39EE1" w14:textId="764C6507" w:rsidR="00715241" w:rsidRDefault="00715241" w:rsidP="00715241">
      <w:pPr>
        <w:pStyle w:val="BodyText"/>
      </w:pPr>
      <w:r>
        <w:t>Similarly, the W</w:t>
      </w:r>
      <w:r w:rsidR="00EA002A">
        <w:t xml:space="preserve">estern </w:t>
      </w:r>
      <w:r>
        <w:t>A</w:t>
      </w:r>
      <w:r w:rsidR="00EA002A">
        <w:t>ustralian</w:t>
      </w:r>
      <w:r>
        <w:t xml:space="preserve"> Government stated that ‘escalating costs of Aboriginal heritage surveys is a significant disincentive for exploration in </w:t>
      </w:r>
      <w:r w:rsidR="00AB2E47">
        <w:t>Western Australia’ (sub.</w:t>
      </w:r>
      <w:r w:rsidR="00504C8F">
        <w:t> </w:t>
      </w:r>
      <w:r w:rsidR="00AB2E47">
        <w:t>29, p. </w:t>
      </w:r>
      <w:r>
        <w:t xml:space="preserve">12). The Government provided a case study </w:t>
      </w:r>
      <w:r w:rsidR="00EA002A">
        <w:t>of</w:t>
      </w:r>
      <w:r>
        <w:t xml:space="preserve"> a company undertaking exploration in </w:t>
      </w:r>
      <w:proofErr w:type="spellStart"/>
      <w:r w:rsidR="00FA1615">
        <w:t>m</w:t>
      </w:r>
      <w:r>
        <w:t>idwest</w:t>
      </w:r>
      <w:proofErr w:type="spellEnd"/>
      <w:r>
        <w:t xml:space="preserve"> Western Australia. The study reported that:</w:t>
      </w:r>
    </w:p>
    <w:p w14:paraId="4B22D2DD" w14:textId="4DD604E0" w:rsidR="00715241" w:rsidRDefault="00715241" w:rsidP="00715241">
      <w:pPr>
        <w:pStyle w:val="QuoteBullet"/>
      </w:pPr>
      <w:r>
        <w:t>the onus is on the company to negotiate with Traditional Owners or Representative Bodies to reach an agreement which can include a fee just to meet to begin negotiations. Once an agreement has been reached to conduct a survey the company may be required to pay the following costs related to the process. The quantum of these costs depends on the size of the survey, location of the site and cooperation between all parties</w:t>
      </w:r>
      <w:r w:rsidR="00504C8F">
        <w:t xml:space="preserve"> </w:t>
      </w:r>
      <w:r>
        <w:t xml:space="preserve">… </w:t>
      </w:r>
    </w:p>
    <w:p w14:paraId="120039CF" w14:textId="27F161A3" w:rsidR="00715241" w:rsidRDefault="00715241" w:rsidP="00715241">
      <w:pPr>
        <w:pStyle w:val="QuoteBullet"/>
      </w:pPr>
      <w:r>
        <w:t>costs for an anthropological and ethnographic survey by an expert consultant including Aboriginal consultants</w:t>
      </w:r>
      <w:r w:rsidR="00504C8F">
        <w:t>…</w:t>
      </w:r>
      <w:r>
        <w:t xml:space="preserve"> ca</w:t>
      </w:r>
      <w:r w:rsidR="00FA1615">
        <w:t>n be $25,000 for a 2 day survey</w:t>
      </w:r>
    </w:p>
    <w:p w14:paraId="2DB685A7" w14:textId="6CD64654" w:rsidR="00715241" w:rsidRDefault="00715241" w:rsidP="00715241">
      <w:pPr>
        <w:pStyle w:val="QuoteBullet"/>
      </w:pPr>
      <w:r>
        <w:t>the quality of the survey and the methodology employed can vary c</w:t>
      </w:r>
      <w:r w:rsidR="00FA1615">
        <w:t>onsiderably between consultants</w:t>
      </w:r>
    </w:p>
    <w:p w14:paraId="4E322E22" w14:textId="2480F147" w:rsidR="00715241" w:rsidRDefault="00715241" w:rsidP="00715241">
      <w:pPr>
        <w:pStyle w:val="QuoteBullet"/>
      </w:pPr>
      <w:r w:rsidRPr="00F856D1">
        <w:t>… the company has had to wait 10 months between submitting a notice of intent to explore and receiving the final survey report. The cost of delays in the process can be $10,000 – $20,000 due to equipment on hire standing idle. The greater opportunity cost and internal costs to manage the process are not easily quantified. (sub.</w:t>
      </w:r>
      <w:r w:rsidR="00504C8F">
        <w:t> </w:t>
      </w:r>
      <w:r w:rsidRPr="00F856D1">
        <w:t>29, p.</w:t>
      </w:r>
      <w:r w:rsidR="00504C8F">
        <w:t> </w:t>
      </w:r>
      <w:r w:rsidRPr="00F856D1">
        <w:t>13)</w:t>
      </w:r>
    </w:p>
    <w:p w14:paraId="44D7B6FE" w14:textId="6487CF20" w:rsidR="00715241" w:rsidRPr="0039133A" w:rsidRDefault="00715241" w:rsidP="00715241">
      <w:pPr>
        <w:pStyle w:val="BodyText"/>
      </w:pPr>
      <w:r>
        <w:t xml:space="preserve">Some participants claimed that the market for heritage surveys has become ‘big business’ in Western Australia. For example, AMEC, commenting on the </w:t>
      </w:r>
      <w:r w:rsidRPr="006B140A">
        <w:rPr>
          <w:i/>
        </w:rPr>
        <w:t>Aboriginal Heritage Act 1972</w:t>
      </w:r>
      <w:r w:rsidRPr="0039133A">
        <w:t xml:space="preserve"> </w:t>
      </w:r>
      <w:r w:rsidR="00FA1615">
        <w:t xml:space="preserve">(Western Australia) </w:t>
      </w:r>
      <w:r w:rsidRPr="0039133A">
        <w:t>said:</w:t>
      </w:r>
    </w:p>
    <w:p w14:paraId="2293F588" w14:textId="79F68978" w:rsidR="00715241" w:rsidRDefault="00715241" w:rsidP="00715241">
      <w:pPr>
        <w:pStyle w:val="Quote"/>
      </w:pPr>
      <w:r>
        <w:t xml:space="preserve">A heritage survey industry has grown from this requirement for company due diligence and is now a significant ‘industry’ in its own right. Issues of supply and demand of </w:t>
      </w:r>
      <w:r>
        <w:lastRenderedPageBreak/>
        <w:t>qualified persons plus unrealistic expectations on the exploration industry’s capacity to pay have meant the industry sustains a large number of anthropologists, archaeologists and native title representatives. In combination the</w:t>
      </w:r>
      <w:r w:rsidR="00FA1615">
        <w:t>y are costing the industry $100 </w:t>
      </w:r>
      <w:r>
        <w:t>millions of dollars annually – money not being spent on the ground exploring.</w:t>
      </w:r>
      <w:r w:rsidR="00EA002A">
        <w:t xml:space="preserve"> (sub. 24, </w:t>
      </w:r>
      <w:proofErr w:type="spellStart"/>
      <w:r w:rsidR="00EA002A">
        <w:t>p.14</w:t>
      </w:r>
      <w:proofErr w:type="spellEnd"/>
      <w:r w:rsidR="00EA002A">
        <w:t>)</w:t>
      </w:r>
    </w:p>
    <w:p w14:paraId="213F3248" w14:textId="6D34FAB0" w:rsidR="00715241" w:rsidRDefault="00715241" w:rsidP="00715241">
      <w:pPr>
        <w:pStyle w:val="BodyText"/>
      </w:pPr>
      <w:r>
        <w:t>In a similar vein, Melissa Hetherington, who undertook archaeological research in the same jurisdiction</w:t>
      </w:r>
      <w:r w:rsidR="00EA002A">
        <w:t>,</w:t>
      </w:r>
      <w:r>
        <w:t xml:space="preserve"> commented:</w:t>
      </w:r>
    </w:p>
    <w:p w14:paraId="1078BFC3" w14:textId="18042A6F" w:rsidR="00715241" w:rsidRDefault="00715241" w:rsidP="00715241">
      <w:pPr>
        <w:pStyle w:val="Quote"/>
      </w:pPr>
      <w:r>
        <w:t>One notable impact of these current heritage legislation and cultural heritage management practices is that archaeology in north Western Australia has become big business over the past 20 years. (sub.</w:t>
      </w:r>
      <w:r w:rsidR="00504C8F">
        <w:t> </w:t>
      </w:r>
      <w:r>
        <w:t>16, p.</w:t>
      </w:r>
      <w:r w:rsidR="00504C8F">
        <w:t> </w:t>
      </w:r>
      <w:r>
        <w:t>2)</w:t>
      </w:r>
    </w:p>
    <w:p w14:paraId="4693F974" w14:textId="0A654F4B" w:rsidR="006B7842" w:rsidRDefault="00132553" w:rsidP="006B7842">
      <w:pPr>
        <w:pStyle w:val="BodyText"/>
      </w:pPr>
      <w:r>
        <w:t>In responding to the submission from th</w:t>
      </w:r>
      <w:r w:rsidR="006B7842">
        <w:t>e W</w:t>
      </w:r>
      <w:r w:rsidR="00FA1615">
        <w:t xml:space="preserve">estern </w:t>
      </w:r>
      <w:r w:rsidR="006B7842">
        <w:t>A</w:t>
      </w:r>
      <w:r w:rsidR="00FA1615">
        <w:t>ustralian</w:t>
      </w:r>
      <w:r w:rsidR="006B7842">
        <w:t xml:space="preserve"> Government</w:t>
      </w:r>
      <w:r w:rsidR="002A2FA9">
        <w:t>,</w:t>
      </w:r>
      <w:r w:rsidR="006B7842">
        <w:t xml:space="preserve"> </w:t>
      </w:r>
      <w:proofErr w:type="spellStart"/>
      <w:r w:rsidR="006B7842">
        <w:t>YMAC</w:t>
      </w:r>
      <w:proofErr w:type="spellEnd"/>
      <w:r w:rsidR="006B7842">
        <w:t xml:space="preserve"> asserted:</w:t>
      </w:r>
    </w:p>
    <w:p w14:paraId="2AD97B64" w14:textId="4CC10016" w:rsidR="00323E76" w:rsidRDefault="006B7842" w:rsidP="00DD1882">
      <w:pPr>
        <w:pStyle w:val="Quote"/>
      </w:pPr>
      <w:r>
        <w:t>The WA Government’s submission refers at length to the contemporaneous growth in expenditure and decline in minerals exploration activity and seeks to link this directly to heritage and native title related consultation and negotiations. However, the submission fails to provide strong evidence to support any direct correlation and does not sufficiently acknowledge the overall increase in the cost of doing business in remote areas of WA during a mining boom</w:t>
      </w:r>
      <w:r w:rsidR="00FA1615">
        <w:t>.</w:t>
      </w:r>
      <w:r>
        <w:t xml:space="preserve"> (sub.</w:t>
      </w:r>
      <w:r w:rsidR="00504C8F">
        <w:t> </w:t>
      </w:r>
      <w:r w:rsidR="00365A67">
        <w:t>34</w:t>
      </w:r>
      <w:r>
        <w:t>, p</w:t>
      </w:r>
      <w:r w:rsidR="009E0603">
        <w:t>p</w:t>
      </w:r>
      <w:r>
        <w:t>.</w:t>
      </w:r>
      <w:r w:rsidR="00504C8F">
        <w:t> </w:t>
      </w:r>
      <w:r>
        <w:t>1</w:t>
      </w:r>
      <w:r w:rsidR="009E0603">
        <w:t>-2</w:t>
      </w:r>
      <w:r>
        <w:t>)</w:t>
      </w:r>
    </w:p>
    <w:p w14:paraId="770482F3" w14:textId="04CF05B1" w:rsidR="00BA5020" w:rsidRDefault="00221018" w:rsidP="00BA5020">
      <w:pPr>
        <w:pStyle w:val="BodyText"/>
      </w:pPr>
      <w:r>
        <w:t>T</w:t>
      </w:r>
      <w:r w:rsidR="00EF66D7">
        <w:t>he Queensland heritage protection system</w:t>
      </w:r>
      <w:r>
        <w:t>,</w:t>
      </w:r>
      <w:r w:rsidRPr="00221018">
        <w:t xml:space="preserve"> </w:t>
      </w:r>
      <w:r>
        <w:t>which is based on cultural heritage agreements,</w:t>
      </w:r>
      <w:r w:rsidR="00EF66D7">
        <w:t xml:space="preserve"> </w:t>
      </w:r>
      <w:r>
        <w:t>is less vulnerable to these risks</w:t>
      </w:r>
      <w:r w:rsidR="00EF66D7">
        <w:t>.</w:t>
      </w:r>
      <w:r w:rsidR="002A1B29">
        <w:t xml:space="preserve"> </w:t>
      </w:r>
      <w:r w:rsidR="0025109F">
        <w:t>T</w:t>
      </w:r>
      <w:r w:rsidR="00BA5020">
        <w:t>he Queensland Resources Council (</w:t>
      </w:r>
      <w:proofErr w:type="spellStart"/>
      <w:r w:rsidR="00BA5020">
        <w:t>QRC</w:t>
      </w:r>
      <w:proofErr w:type="spellEnd"/>
      <w:r w:rsidR="00BA5020">
        <w:t xml:space="preserve"> 2012) reported:</w:t>
      </w:r>
    </w:p>
    <w:p w14:paraId="03209114" w14:textId="229D0049" w:rsidR="00BA5020" w:rsidRPr="000F7416" w:rsidRDefault="00BA5020" w:rsidP="00BA5020">
      <w:pPr>
        <w:pStyle w:val="Quote"/>
      </w:pPr>
      <w:proofErr w:type="spellStart"/>
      <w:r w:rsidRPr="000F7416">
        <w:t>QRC</w:t>
      </w:r>
      <w:proofErr w:type="spellEnd"/>
      <w:r w:rsidRPr="000F7416">
        <w:t xml:space="preserve"> members generally regard it </w:t>
      </w:r>
      <w:r>
        <w:t xml:space="preserve">[Queensland Indigenous heritage legislation] </w:t>
      </w:r>
      <w:r w:rsidRPr="000F7416">
        <w:t xml:space="preserve">as the best </w:t>
      </w:r>
      <w:r>
        <w:t>I</w:t>
      </w:r>
      <w:r w:rsidRPr="000F7416">
        <w:t xml:space="preserve">ndigenous cultural heritage legislation in Australia and that both the certainty and flexibility it provides are crucial, as is its focus on the development of direct relationships between proponents </w:t>
      </w:r>
      <w:r w:rsidR="00FA1615">
        <w:t>and the owners and managers of I</w:t>
      </w:r>
      <w:r w:rsidRPr="000F7416">
        <w:t>ndigenous cultural heritage being th</w:t>
      </w:r>
      <w:r>
        <w:t xml:space="preserve">e </w:t>
      </w:r>
      <w:r w:rsidR="00FA1615">
        <w:t>I</w:t>
      </w:r>
      <w:r>
        <w:t>ndigenous people themselves.</w:t>
      </w:r>
    </w:p>
    <w:p w14:paraId="5A5FC4A4" w14:textId="0BB02E18" w:rsidR="00EF66D7" w:rsidRPr="00DC49EA" w:rsidRDefault="00EF66D7" w:rsidP="00EF66D7">
      <w:pPr>
        <w:pStyle w:val="BodyText"/>
      </w:pPr>
      <w:r>
        <w:t>The Queensland Government described the merits of its legislation</w:t>
      </w:r>
      <w:r w:rsidR="003F7FBB">
        <w:t xml:space="preserve"> in the following terms</w:t>
      </w:r>
      <w:r>
        <w:t>.</w:t>
      </w:r>
    </w:p>
    <w:p w14:paraId="2707B44D" w14:textId="77777777" w:rsidR="00EF66D7" w:rsidRPr="00FF59C4" w:rsidRDefault="00EF66D7" w:rsidP="00EF66D7">
      <w:pPr>
        <w:pStyle w:val="Quote"/>
      </w:pPr>
      <w:r w:rsidRPr="00FF59C4">
        <w:t xml:space="preserve">The compliance framework established by the </w:t>
      </w:r>
      <w:r w:rsidRPr="002A2FA9">
        <w:rPr>
          <w:i/>
        </w:rPr>
        <w:t>Aboriginal Cultural Heritage Act 2003</w:t>
      </w:r>
      <w:r w:rsidRPr="00FF59C4">
        <w:t xml:space="preserve"> and the</w:t>
      </w:r>
      <w:r>
        <w:t xml:space="preserve"> </w:t>
      </w:r>
      <w:r w:rsidRPr="002A2FA9">
        <w:rPr>
          <w:i/>
        </w:rPr>
        <w:t>Torres Strait Islander Cultural Heritage Act 2003</w:t>
      </w:r>
      <w:r w:rsidRPr="00FF59C4">
        <w:t xml:space="preserve"> provides a streamlined and balanced process for</w:t>
      </w:r>
      <w:r>
        <w:t xml:space="preserve"> </w:t>
      </w:r>
      <w:r w:rsidRPr="00FF59C4">
        <w:t>managing cultural heritage arising from resource exploration activities. This is achieved by:</w:t>
      </w:r>
    </w:p>
    <w:p w14:paraId="6D9CB6F3" w14:textId="77777777" w:rsidR="00EF66D7" w:rsidRPr="00FF59C4" w:rsidRDefault="00EF66D7" w:rsidP="00EF66D7">
      <w:pPr>
        <w:pStyle w:val="QuoteBullet"/>
      </w:pPr>
      <w:r w:rsidRPr="00FF59C4">
        <w:t xml:space="preserve">minimising direct government involvement in the negotiation </w:t>
      </w:r>
      <w:r>
        <w:t>of cultural heritage agreements</w:t>
      </w:r>
    </w:p>
    <w:p w14:paraId="30238555" w14:textId="77777777" w:rsidR="00EF66D7" w:rsidRPr="00FF59C4" w:rsidRDefault="00EF66D7" w:rsidP="00EF66D7">
      <w:pPr>
        <w:pStyle w:val="QuoteBullet"/>
      </w:pPr>
      <w:r w:rsidRPr="00FF59C4">
        <w:t>eliminating the need for government approval of cultural heritage agreements (with the</w:t>
      </w:r>
      <w:r>
        <w:t xml:space="preserve"> </w:t>
      </w:r>
      <w:r w:rsidRPr="00FF59C4">
        <w:t>exception of activities that trigger E</w:t>
      </w:r>
      <w:r>
        <w:t>nvironmental Impact Statements)</w:t>
      </w:r>
    </w:p>
    <w:p w14:paraId="5DBEEDDC" w14:textId="77777777" w:rsidR="00EF66D7" w:rsidRPr="00FF59C4" w:rsidRDefault="00EF66D7" w:rsidP="00EF66D7">
      <w:pPr>
        <w:pStyle w:val="QuoteBullet"/>
      </w:pPr>
      <w:r w:rsidRPr="00FF59C4">
        <w:t>empowering Aboriginal and Torres Strait Islander people to determine the significance of</w:t>
      </w:r>
      <w:r>
        <w:t xml:space="preserve"> cultural heritage</w:t>
      </w:r>
    </w:p>
    <w:p w14:paraId="00B804EA" w14:textId="115F16F7" w:rsidR="00EF66D7" w:rsidRPr="00FF59C4" w:rsidRDefault="00EF66D7" w:rsidP="00EF66D7">
      <w:pPr>
        <w:pStyle w:val="QuoteBullet"/>
      </w:pPr>
      <w:r w:rsidRPr="00FF59C4">
        <w:lastRenderedPageBreak/>
        <w:t>enabling land users to liaise directly with the statutory Aboriginal or Torres Strait Islander party</w:t>
      </w:r>
      <w:r>
        <w:t xml:space="preserve"> </w:t>
      </w:r>
      <w:r w:rsidRPr="00FF59C4">
        <w:t>for an area to tailor specifi</w:t>
      </w:r>
      <w:r w:rsidR="00EA002A">
        <w:t>c agreements for their projects</w:t>
      </w:r>
    </w:p>
    <w:p w14:paraId="2EA13F61" w14:textId="77777777" w:rsidR="00EF66D7" w:rsidRPr="00FF59C4" w:rsidRDefault="00EF66D7" w:rsidP="00EF66D7">
      <w:pPr>
        <w:pStyle w:val="QuoteBullet"/>
      </w:pPr>
      <w:r w:rsidRPr="00FF59C4">
        <w:t xml:space="preserve">utilising provisions of the </w:t>
      </w:r>
      <w:r w:rsidRPr="00D927B7">
        <w:t>Commonwealth</w:t>
      </w:r>
      <w:r w:rsidRPr="002A2FA9">
        <w:rPr>
          <w:i/>
        </w:rPr>
        <w:t xml:space="preserve"> Native Title Act 1993</w:t>
      </w:r>
      <w:r w:rsidRPr="00FF59C4">
        <w:t xml:space="preserve"> where appropriate to eliminate</w:t>
      </w:r>
      <w:r>
        <w:t xml:space="preserve"> duplication</w:t>
      </w:r>
    </w:p>
    <w:p w14:paraId="7B0932D2" w14:textId="77777777" w:rsidR="00EF66D7" w:rsidRPr="00FF59C4" w:rsidRDefault="00EF66D7" w:rsidP="00EF66D7">
      <w:pPr>
        <w:pStyle w:val="QuoteBullet"/>
      </w:pPr>
      <w:r w:rsidRPr="00FF59C4">
        <w:t>reducing mandatory reporting</w:t>
      </w:r>
      <w:r>
        <w:t xml:space="preserve"> requirements to government</w:t>
      </w:r>
    </w:p>
    <w:p w14:paraId="2AEF8BAD" w14:textId="37309BEC" w:rsidR="00EF66D7" w:rsidRPr="00E97FC0" w:rsidRDefault="00EF66D7" w:rsidP="00EF66D7">
      <w:pPr>
        <w:pStyle w:val="QuoteBullet"/>
      </w:pPr>
      <w:r w:rsidRPr="00FF59C4">
        <w:t>encouraging flexible and non-prescriptive approaches to the management of cultural heritage.</w:t>
      </w:r>
      <w:r>
        <w:t xml:space="preserve"> (sub.</w:t>
      </w:r>
      <w:r w:rsidR="00504C8F">
        <w:t> </w:t>
      </w:r>
      <w:r>
        <w:t>25, p.</w:t>
      </w:r>
      <w:r w:rsidR="00504C8F">
        <w:t> </w:t>
      </w:r>
      <w:r>
        <w:t>20)</w:t>
      </w:r>
    </w:p>
    <w:p w14:paraId="7E31C428" w14:textId="5F37FEEF" w:rsidR="00EF66D7" w:rsidRDefault="00A2253B" w:rsidP="00EF66D7">
      <w:pPr>
        <w:pStyle w:val="BodyText"/>
        <w:rPr>
          <w:lang w:val="en"/>
        </w:rPr>
      </w:pPr>
      <w:r>
        <w:rPr>
          <w:lang w:val="en"/>
        </w:rPr>
        <w:t xml:space="preserve">Other reports also support </w:t>
      </w:r>
      <w:r w:rsidR="00EF66D7">
        <w:rPr>
          <w:lang w:val="en"/>
        </w:rPr>
        <w:t xml:space="preserve">negotiated agreements between explorers and Indigenous parties </w:t>
      </w:r>
      <w:r>
        <w:rPr>
          <w:lang w:val="en"/>
        </w:rPr>
        <w:t xml:space="preserve">as being </w:t>
      </w:r>
      <w:r w:rsidR="00EF66D7">
        <w:rPr>
          <w:lang w:val="en"/>
        </w:rPr>
        <w:t xml:space="preserve">likely to produce </w:t>
      </w:r>
      <w:r>
        <w:rPr>
          <w:lang w:val="en"/>
        </w:rPr>
        <w:t xml:space="preserve">sound </w:t>
      </w:r>
      <w:r w:rsidR="00EF66D7">
        <w:rPr>
          <w:lang w:val="en"/>
        </w:rPr>
        <w:t xml:space="preserve">outcomes for heritage protection </w:t>
      </w:r>
      <w:r w:rsidR="003F7FBB">
        <w:rPr>
          <w:lang w:val="en"/>
        </w:rPr>
        <w:t xml:space="preserve">and the </w:t>
      </w:r>
      <w:proofErr w:type="spellStart"/>
      <w:r w:rsidR="003F7FBB">
        <w:rPr>
          <w:lang w:val="en"/>
        </w:rPr>
        <w:t>authorisation</w:t>
      </w:r>
      <w:proofErr w:type="spellEnd"/>
      <w:r w:rsidR="003F7FBB">
        <w:rPr>
          <w:lang w:val="en"/>
        </w:rPr>
        <w:t xml:space="preserve"> of exploration. The basis for </w:t>
      </w:r>
      <w:r w:rsidR="00EA002A">
        <w:rPr>
          <w:lang w:val="en"/>
        </w:rPr>
        <w:t>such</w:t>
      </w:r>
      <w:r>
        <w:rPr>
          <w:lang w:val="en"/>
        </w:rPr>
        <w:t xml:space="preserve"> </w:t>
      </w:r>
      <w:r w:rsidR="003F7FBB">
        <w:rPr>
          <w:lang w:val="en"/>
        </w:rPr>
        <w:t>view</w:t>
      </w:r>
      <w:r w:rsidR="00EA002A">
        <w:rPr>
          <w:lang w:val="en"/>
        </w:rPr>
        <w:t>s</w:t>
      </w:r>
      <w:r w:rsidR="003F7FBB">
        <w:rPr>
          <w:lang w:val="en"/>
        </w:rPr>
        <w:t xml:space="preserve"> is </w:t>
      </w:r>
      <w:r w:rsidR="0035477B">
        <w:rPr>
          <w:lang w:val="en"/>
        </w:rPr>
        <w:t>that</w:t>
      </w:r>
      <w:r w:rsidR="00EF66D7">
        <w:rPr>
          <w:lang w:val="en"/>
        </w:rPr>
        <w:t>:</w:t>
      </w:r>
    </w:p>
    <w:p w14:paraId="563F3D5F" w14:textId="77777777" w:rsidR="00EF66D7" w:rsidRDefault="00EF66D7" w:rsidP="00EA002A">
      <w:pPr>
        <w:pStyle w:val="ListBullet"/>
      </w:pPr>
      <w:r>
        <w:t xml:space="preserve">agreements </w:t>
      </w:r>
      <w:r w:rsidRPr="00327EFD">
        <w:t xml:space="preserve">place the onus on the </w:t>
      </w:r>
      <w:r>
        <w:t>immediately affected parties — explorers and traditional owners —</w:t>
      </w:r>
      <w:r w:rsidRPr="00327EFD">
        <w:t xml:space="preserve"> rather than a government agency, to decide how to best protect heritage values f</w:t>
      </w:r>
      <w:r>
        <w:t>rom being damaged or destroyed.</w:t>
      </w:r>
    </w:p>
    <w:p w14:paraId="532255AE" w14:textId="77777777" w:rsidR="00EF66D7" w:rsidRDefault="00EF66D7" w:rsidP="00EA002A">
      <w:pPr>
        <w:pStyle w:val="ListBullet"/>
      </w:pPr>
      <w:r>
        <w:t xml:space="preserve">negotiated agreements </w:t>
      </w:r>
      <w:r w:rsidRPr="006C0DAB">
        <w:t>allow p</w:t>
      </w:r>
      <w:r>
        <w:t>arties</w:t>
      </w:r>
      <w:r w:rsidRPr="006C0DAB">
        <w:t xml:space="preserve"> to negotiate flexible, pragmatic agreements to suit their particular circumstances.</w:t>
      </w:r>
    </w:p>
    <w:p w14:paraId="4B6C5420" w14:textId="237E7A82" w:rsidR="005C1B1B" w:rsidRDefault="005674D9" w:rsidP="008214B3">
      <w:pPr>
        <w:pStyle w:val="BodyText"/>
      </w:pPr>
      <w:r>
        <w:t>For example,</w:t>
      </w:r>
      <w:r w:rsidR="005C1B1B">
        <w:t xml:space="preserve"> the Department of Industry</w:t>
      </w:r>
      <w:r w:rsidR="00005B98">
        <w:t>,</w:t>
      </w:r>
      <w:r w:rsidR="005C1B1B">
        <w:t xml:space="preserve"> Tourism and Resources in </w:t>
      </w:r>
      <w:r w:rsidR="00D927B7">
        <w:t>its</w:t>
      </w:r>
      <w:r w:rsidR="00AE6A1B">
        <w:t xml:space="preserve"> </w:t>
      </w:r>
      <w:r w:rsidR="00AE6A1B" w:rsidRPr="00AE6A1B">
        <w:rPr>
          <w:i/>
        </w:rPr>
        <w:t>W</w:t>
      </w:r>
      <w:r w:rsidR="005C1B1B" w:rsidRPr="00AE6A1B">
        <w:rPr>
          <w:i/>
        </w:rPr>
        <w:t xml:space="preserve">orking with Indigenous </w:t>
      </w:r>
      <w:r w:rsidR="00AE6A1B">
        <w:rPr>
          <w:i/>
        </w:rPr>
        <w:t>C</w:t>
      </w:r>
      <w:r w:rsidR="005C1B1B" w:rsidRPr="00AE6A1B">
        <w:rPr>
          <w:i/>
        </w:rPr>
        <w:t>ommunities</w:t>
      </w:r>
      <w:r w:rsidR="005C1B1B">
        <w:t xml:space="preserve"> </w:t>
      </w:r>
      <w:r w:rsidR="00AE6A1B">
        <w:t>handbook</w:t>
      </w:r>
      <w:r w:rsidR="00D927B7">
        <w:t>,</w:t>
      </w:r>
      <w:r w:rsidR="00AE6A1B">
        <w:t xml:space="preserve"> </w:t>
      </w:r>
      <w:r w:rsidR="00221018">
        <w:t>concluded</w:t>
      </w:r>
      <w:r w:rsidR="005C1B1B">
        <w:t>:</w:t>
      </w:r>
    </w:p>
    <w:p w14:paraId="6E763C1F" w14:textId="03C10BE6" w:rsidR="005C1B1B" w:rsidRPr="00AC7C6A" w:rsidRDefault="005C1B1B" w:rsidP="005C1B1B">
      <w:pPr>
        <w:pStyle w:val="Quote"/>
      </w:pPr>
      <w:r>
        <w:t>Agreements between mining companies and Indigenous people with rights and interests in land and waters are the most practical approach to finding ways to accommodate each other’s interests</w:t>
      </w:r>
      <w:r w:rsidR="00504C8F">
        <w:t xml:space="preserve"> </w:t>
      </w:r>
      <w:r w:rsidR="00AC7C6A">
        <w:t xml:space="preserve">… </w:t>
      </w:r>
      <w:r w:rsidR="00AC7C6A" w:rsidRPr="00AC7C6A">
        <w:t>Agreements provide mining companies with secure land access, which they need if they are to invest large sums in high-risk, long-term mining ventures. They also recognise the interests of Indigenous people who have maintained strong connections to the land and waters where, as a matter of law, their native title no longer exists, or only survives in a limited way</w:t>
      </w:r>
      <w:r w:rsidR="00D927B7">
        <w:t>.</w:t>
      </w:r>
      <w:r w:rsidR="00713DB0">
        <w:t xml:space="preserve"> (2007, p.</w:t>
      </w:r>
      <w:r w:rsidR="00504C8F">
        <w:t> </w:t>
      </w:r>
      <w:r w:rsidR="00713DB0">
        <w:t>32)</w:t>
      </w:r>
    </w:p>
    <w:p w14:paraId="15A18961" w14:textId="504CA3FA" w:rsidR="008214B3" w:rsidRDefault="005C1B1B" w:rsidP="008214B3">
      <w:pPr>
        <w:pStyle w:val="BodyText"/>
      </w:pPr>
      <w:r>
        <w:t xml:space="preserve">Similarly, </w:t>
      </w:r>
      <w:r w:rsidR="0010261D">
        <w:t xml:space="preserve">in a research paper on </w:t>
      </w:r>
      <w:r w:rsidR="00E6530A">
        <w:t xml:space="preserve">Indigenous </w:t>
      </w:r>
      <w:r w:rsidR="0010261D">
        <w:t>and mining company agreements</w:t>
      </w:r>
      <w:r w:rsidR="00005B98">
        <w:t>,</w:t>
      </w:r>
      <w:r w:rsidR="0010261D">
        <w:t xml:space="preserve"> </w:t>
      </w:r>
      <w:proofErr w:type="spellStart"/>
      <w:r w:rsidR="00005B98" w:rsidRPr="008214B3">
        <w:t>O'Faircheallaigh</w:t>
      </w:r>
      <w:proofErr w:type="spellEnd"/>
      <w:r w:rsidR="00005B98">
        <w:t xml:space="preserve"> </w:t>
      </w:r>
      <w:r w:rsidR="0010261D">
        <w:t>stated:</w:t>
      </w:r>
    </w:p>
    <w:p w14:paraId="350DF52C" w14:textId="66F82C5A" w:rsidR="00F733E2" w:rsidRDefault="008214B3" w:rsidP="008214B3">
      <w:pPr>
        <w:pStyle w:val="Quote"/>
      </w:pPr>
      <w:r>
        <w:t xml:space="preserve">In principle, such agreements could offer important advantages over legislation or direct political action as a means of protecting cultural heritage. They create, for the first time, an opportunity </w:t>
      </w:r>
      <w:r>
        <w:rPr>
          <w:i/>
          <w:iCs/>
        </w:rPr>
        <w:t xml:space="preserve">for Aboriginal people themselves </w:t>
      </w:r>
      <w:r>
        <w:t>to devise measures to protect their cultural heritage, and to negotiate acceptance of those measures by mining companies. Agreements could protect Aboriginal cultural knowledge, and could facilitate a proactive approach, allowing traditional owners to put systems in place designed to avoid damage. In addition, agreements could provide the resources required to support ongoing management and protection of sites over extended periods of time. (</w:t>
      </w:r>
      <w:r w:rsidRPr="008214B3">
        <w:t>2008, p</w:t>
      </w:r>
      <w:r>
        <w:t>p</w:t>
      </w:r>
      <w:r w:rsidRPr="008214B3">
        <w:t>.</w:t>
      </w:r>
      <w:r w:rsidR="00504C8F">
        <w:t> </w:t>
      </w:r>
      <w:r>
        <w:t>1</w:t>
      </w:r>
      <w:r w:rsidR="008A2351">
        <w:t>4</w:t>
      </w:r>
      <w:r w:rsidR="00504C8F">
        <w:t>–</w:t>
      </w:r>
      <w:r>
        <w:t>1</w:t>
      </w:r>
      <w:r w:rsidR="008A2351">
        <w:t>5</w:t>
      </w:r>
      <w:r w:rsidRPr="008214B3">
        <w:t>)</w:t>
      </w:r>
    </w:p>
    <w:p w14:paraId="77C60406" w14:textId="5B83A00B" w:rsidR="00B07054" w:rsidRDefault="00137190" w:rsidP="00EF66D7">
      <w:pPr>
        <w:pStyle w:val="BodyText"/>
        <w:rPr>
          <w:i/>
        </w:rPr>
      </w:pPr>
      <w:r>
        <w:t>T</w:t>
      </w:r>
      <w:r w:rsidR="00355454">
        <w:t>he preferred method for Indigenous heritage protection presented in SEWP</w:t>
      </w:r>
      <w:r w:rsidR="00804459">
        <w:t>a</w:t>
      </w:r>
      <w:r w:rsidR="00355454">
        <w:t xml:space="preserve">C’s 2009 discussion paper on Indigenous heritage law reform </w:t>
      </w:r>
      <w:r w:rsidR="00A34409">
        <w:t xml:space="preserve">was also centred on agreement making </w:t>
      </w:r>
      <w:r w:rsidR="00355454">
        <w:t>(figure</w:t>
      </w:r>
      <w:r w:rsidR="00504C8F">
        <w:t> </w:t>
      </w:r>
      <w:r w:rsidR="00355454">
        <w:t>5.1)</w:t>
      </w:r>
      <w:r w:rsidR="00355454">
        <w:rPr>
          <w:i/>
        </w:rPr>
        <w:t>.</w:t>
      </w:r>
    </w:p>
    <w:p w14:paraId="79234662" w14:textId="55CEE354" w:rsidR="00AE457D" w:rsidRDefault="00AE457D" w:rsidP="00355454">
      <w:pPr>
        <w:pStyle w:val="FigureTitle"/>
      </w:pPr>
      <w:r w:rsidRPr="00AF2F49">
        <w:rPr>
          <w:b w:val="0"/>
        </w:rPr>
        <w:lastRenderedPageBreak/>
        <w:t xml:space="preserve">Figure </w:t>
      </w:r>
      <w:r w:rsidR="009A44B4" w:rsidRPr="00AF2F49">
        <w:rPr>
          <w:b w:val="0"/>
        </w:rPr>
        <w:t>5.</w:t>
      </w:r>
      <w:r w:rsidR="009A44B4" w:rsidRPr="00AF2F49">
        <w:rPr>
          <w:b w:val="0"/>
          <w:noProof/>
        </w:rPr>
        <w:t>1</w:t>
      </w:r>
      <w:r>
        <w:tab/>
      </w:r>
      <w:r w:rsidR="00330F46" w:rsidRPr="00DE08F0">
        <w:t>Reaching decisions about protecting Indigenous heritage</w:t>
      </w:r>
    </w:p>
    <w:p w14:paraId="0308AAA1" w14:textId="51AE095D" w:rsidR="00330F46" w:rsidRPr="00330F46" w:rsidRDefault="00330F46" w:rsidP="0036264F">
      <w:pPr>
        <w:pStyle w:val="Subtitle"/>
        <w:spacing w:after="240"/>
      </w:pPr>
      <w:r>
        <w:t xml:space="preserve">Preferred method from the </w:t>
      </w:r>
      <w:r>
        <w:rPr>
          <w:i/>
        </w:rPr>
        <w:t xml:space="preserve">Indigenous </w:t>
      </w:r>
      <w:r w:rsidR="00D927B7">
        <w:rPr>
          <w:i/>
        </w:rPr>
        <w:t>H</w:t>
      </w:r>
      <w:r>
        <w:rPr>
          <w:i/>
        </w:rPr>
        <w:t xml:space="preserve">eritage </w:t>
      </w:r>
      <w:r w:rsidR="00D927B7">
        <w:rPr>
          <w:i/>
        </w:rPr>
        <w:t>Law R</w:t>
      </w:r>
      <w:r>
        <w:rPr>
          <w:i/>
        </w:rPr>
        <w:t xml:space="preserve">eform </w:t>
      </w:r>
      <w:r w:rsidR="00D927B7">
        <w:rPr>
          <w:i/>
        </w:rPr>
        <w:t>Discussion P</w:t>
      </w:r>
      <w:r>
        <w:rPr>
          <w:i/>
        </w:rPr>
        <w:t>aper</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Caption w:val="Reaching decisions about protecting Indigenous heritage"/>
        <w:tblDescription w:val="The flow chart depicts the preferred method for states and territories to make decisions on protecting heritage when a proponent, such as an explorer, plans to carry out an activity that could affect the Indigenous heritage values of a site."/>
      </w:tblPr>
      <w:tblGrid>
        <w:gridCol w:w="8777"/>
      </w:tblGrid>
      <w:tr w:rsidR="00AE457D" w14:paraId="6FCB2E11" w14:textId="77777777" w:rsidTr="00F1026E">
        <w:tc>
          <w:tcPr>
            <w:tcW w:w="8777" w:type="dxa"/>
          </w:tcPr>
          <w:p w14:paraId="595011E4" w14:textId="4DBDBD01" w:rsidR="00AE457D" w:rsidRDefault="00330F46" w:rsidP="00F1026E">
            <w:pPr>
              <w:pStyle w:val="Figure"/>
            </w:pPr>
            <w:r>
              <w:rPr>
                <w:noProof/>
              </w:rPr>
              <w:drawing>
                <wp:inline distT="0" distB="0" distL="0" distR="0" wp14:anchorId="06EA50F2" wp14:editId="798E7348">
                  <wp:extent cx="5486400" cy="5991225"/>
                  <wp:effectExtent l="0" t="0" r="0" b="9525"/>
                  <wp:docPr id="3" name="Picture 3" descr="Figure 5.1 Reaching decisions about protecting Indigenous heritage. This figure is a flowchart which shows the preferred method of reaching an agre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resource exploration\Draft Report\Third Draft\05 - Heritage\Heritage figure - preferred way to reach decisions.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86400" cy="5991225"/>
                          </a:xfrm>
                          <a:prstGeom prst="rect">
                            <a:avLst/>
                          </a:prstGeom>
                          <a:noFill/>
                          <a:ln>
                            <a:noFill/>
                          </a:ln>
                        </pic:spPr>
                      </pic:pic>
                    </a:graphicData>
                  </a:graphic>
                </wp:inline>
              </w:drawing>
            </w:r>
          </w:p>
        </w:tc>
      </w:tr>
    </w:tbl>
    <w:p w14:paraId="60B34500" w14:textId="53DD2DED" w:rsidR="00AE457D" w:rsidRDefault="00AE457D" w:rsidP="00AE457D">
      <w:pPr>
        <w:pStyle w:val="Source"/>
      </w:pPr>
      <w:r>
        <w:rPr>
          <w:i/>
        </w:rPr>
        <w:t>Source</w:t>
      </w:r>
      <w:r w:rsidRPr="00167F06">
        <w:t xml:space="preserve">: </w:t>
      </w:r>
      <w:proofErr w:type="spellStart"/>
      <w:r w:rsidR="00F03E97">
        <w:t>DEWHA</w:t>
      </w:r>
      <w:proofErr w:type="spellEnd"/>
      <w:r>
        <w:t xml:space="preserve"> </w:t>
      </w:r>
      <w:r w:rsidR="002A2FA9">
        <w:t>(</w:t>
      </w:r>
      <w:proofErr w:type="spellStart"/>
      <w:r>
        <w:t>2009</w:t>
      </w:r>
      <w:r w:rsidR="003E74BF">
        <w:t>b</w:t>
      </w:r>
      <w:proofErr w:type="spellEnd"/>
      <w:r>
        <w:t>, p.</w:t>
      </w:r>
      <w:r w:rsidR="00504C8F">
        <w:t> </w:t>
      </w:r>
      <w:r>
        <w:t>6</w:t>
      </w:r>
      <w:r w:rsidR="002A2FA9">
        <w:t>)</w:t>
      </w:r>
      <w:r>
        <w:t>.</w:t>
      </w:r>
    </w:p>
    <w:p w14:paraId="5A62DCDD" w14:textId="1DBFE9E5" w:rsidR="0036264F" w:rsidRDefault="0036264F">
      <w:r>
        <w:br w:type="page"/>
      </w:r>
    </w:p>
    <w:p w14:paraId="18A4CF10" w14:textId="77777777" w:rsidR="00390AA8" w:rsidRDefault="00390AA8" w:rsidP="00390AA8">
      <w:pPr>
        <w:pStyle w:val="BodyText"/>
      </w:pPr>
      <w:r>
        <w:rPr>
          <w:lang w:val="en"/>
        </w:rPr>
        <w:lastRenderedPageBreak/>
        <w:t xml:space="preserve">Efficient and effective Indigenous heritage protection </w:t>
      </w:r>
      <w:r>
        <w:t xml:space="preserve">should be based on sound risk management processes. Indigenous heritage regimes need to provide strong protection for areas that are considered to have high levels of heritage significance. Conversely, </w:t>
      </w:r>
      <w:r>
        <w:rPr>
          <w:lang w:val="en"/>
        </w:rPr>
        <w:t xml:space="preserve">where there is no heritage significance or there is only a low risk of harming heritage, a </w:t>
      </w:r>
      <w:r w:rsidRPr="001F3889">
        <w:rPr>
          <w:lang w:val="en"/>
        </w:rPr>
        <w:t>s</w:t>
      </w:r>
      <w:r>
        <w:rPr>
          <w:lang w:val="en"/>
        </w:rPr>
        <w:t>treamlined</w:t>
      </w:r>
      <w:r w:rsidRPr="001F3889">
        <w:rPr>
          <w:lang w:val="en"/>
        </w:rPr>
        <w:t xml:space="preserve"> </w:t>
      </w:r>
      <w:r>
        <w:rPr>
          <w:lang w:val="en"/>
        </w:rPr>
        <w:t>‘duty of care’ or ‘due diligence’ process can be more appropriate and reduce unnecessary costs and delays for explorers.</w:t>
      </w:r>
    </w:p>
    <w:p w14:paraId="05A85189" w14:textId="77777777" w:rsidR="00390AA8" w:rsidRDefault="00390AA8" w:rsidP="00390AA8">
      <w:pPr>
        <w:pStyle w:val="BodyText"/>
        <w:rPr>
          <w:lang w:val="en"/>
        </w:rPr>
      </w:pPr>
      <w:r>
        <w:t xml:space="preserve">The Commission considers that — when there is a high level of heritage significance and the exploration activity is likely to impact on the heritage values of a site — systems that rely on ministerial or departmental approval are less likely to produce sound outcomes than agreement making. Further, the latter is likely to be more effective when explorers consult and negotiate directly with Indigenous groups. However, when either party lacks the necessary financial resources or expertise to negotiate agreements, processes can be delayed and outcomes may be unsatisfactory. A third party (such as a government agency or land council) may be able to improve outcomes. Third party involvement may also have the additional benefit that Indigenous Australians may be more willing </w:t>
      </w:r>
      <w:r>
        <w:rPr>
          <w:lang w:val="en"/>
        </w:rPr>
        <w:t>to divulge sensitive information to them (when they have established a trusted working relationship) than to an explorer.</w:t>
      </w:r>
    </w:p>
    <w:p w14:paraId="254CBB81" w14:textId="77777777" w:rsidR="00390AA8" w:rsidRDefault="00390AA8" w:rsidP="00390AA8">
      <w:pPr>
        <w:pStyle w:val="BodyText"/>
      </w:pPr>
      <w:r>
        <w:rPr>
          <w:lang w:val="en"/>
        </w:rPr>
        <w:t xml:space="preserve">If negotiations fail and </w:t>
      </w:r>
      <w:r w:rsidRPr="00F24099">
        <w:rPr>
          <w:lang w:val="en"/>
        </w:rPr>
        <w:t>agree</w:t>
      </w:r>
      <w:r>
        <w:rPr>
          <w:lang w:val="en"/>
        </w:rPr>
        <w:t>ment cannot be reached,</w:t>
      </w:r>
      <w:r w:rsidRPr="00F24099">
        <w:rPr>
          <w:lang w:val="en"/>
        </w:rPr>
        <w:t xml:space="preserve"> </w:t>
      </w:r>
      <w:r>
        <w:t>it is then the government’s role to make informed decisions about whether or not Indigenous sites, artefacts, remains and objects are to be preserved, conserved and protected or are allowed to be damaged, destroyed or relocated. This involves clear decision-making criteria (including consideration of the economic and social benefits of the land and the impact that exploration is likely to have on the heritage value of the site),</w:t>
      </w:r>
      <w:r w:rsidRPr="00F0086D">
        <w:t xml:space="preserve"> </w:t>
      </w:r>
      <w:r>
        <w:t>transparency, and consultation with all parties that have a direct interest.</w:t>
      </w:r>
    </w:p>
    <w:p w14:paraId="43C7E4A4" w14:textId="77777777" w:rsidR="00390AA8" w:rsidRPr="00390AA8" w:rsidRDefault="00390AA8" w:rsidP="00CB5787">
      <w:pPr>
        <w:pStyle w:val="RecTitle"/>
      </w:pPr>
      <w:r w:rsidRPr="00390AA8">
        <w:t>Draft Recommendation 5.3</w:t>
      </w:r>
    </w:p>
    <w:p w14:paraId="352FB52A" w14:textId="77777777" w:rsidR="009E0DCC" w:rsidRDefault="009E0DCC" w:rsidP="009E0DCC">
      <w:pPr>
        <w:pStyle w:val="Rec"/>
      </w:pPr>
      <w:r>
        <w:t xml:space="preserve">State and territory governments should manage Indigenous heritage on a risk assessment basis. </w:t>
      </w:r>
    </w:p>
    <w:p w14:paraId="0245EB45" w14:textId="77777777" w:rsidR="009E0DCC" w:rsidRDefault="009E0DCC" w:rsidP="009E0DCC">
      <w:pPr>
        <w:pStyle w:val="RecBullet"/>
      </w:pPr>
      <w:r>
        <w:t>Where there is a low likelihood of heritage significance in a tenement and the exploration activity is low risk, a streamlined ‘duty of care’ or ‘due diligence’ process should be adopted.</w:t>
      </w:r>
    </w:p>
    <w:p w14:paraId="4F5F75D4" w14:textId="77777777" w:rsidR="009E0DCC" w:rsidRDefault="009E0DCC" w:rsidP="009E0DCC">
      <w:pPr>
        <w:pStyle w:val="RecBullet"/>
      </w:pPr>
      <w:r>
        <w:t>Where there is a high likelihood of heritage significance and the exploration activity is higher risk, models of agreement making should be adopted rather than a government authorisation system.</w:t>
      </w:r>
    </w:p>
    <w:p w14:paraId="7AE0E896" w14:textId="7D8058D8" w:rsidR="00390AA8" w:rsidRPr="00390AA8" w:rsidRDefault="009E0DCC" w:rsidP="00390AA8">
      <w:pPr>
        <w:pStyle w:val="RecBullet"/>
      </w:pPr>
      <w:r>
        <w:t>When negotiated agreements cannot be reached, governments should make decisions about heritage protection based on clear criteria, transparency and consultation with all parties that have a direct interest.</w:t>
      </w:r>
    </w:p>
    <w:p w14:paraId="218EAA86" w14:textId="77777777" w:rsidR="002A1B29" w:rsidRDefault="002A1B29" w:rsidP="002A1B29">
      <w:pPr>
        <w:pStyle w:val="Heading3"/>
      </w:pPr>
      <w:r w:rsidRPr="00670789">
        <w:lastRenderedPageBreak/>
        <w:t>Native title and Indigenous land rights regimes</w:t>
      </w:r>
    </w:p>
    <w:p w14:paraId="3A5C0F44" w14:textId="44309417" w:rsidR="006F7009" w:rsidRDefault="00733A5C" w:rsidP="00670789">
      <w:pPr>
        <w:pStyle w:val="BodyText"/>
      </w:pPr>
      <w:r w:rsidRPr="00670789">
        <w:t>Chapter</w:t>
      </w:r>
      <w:r w:rsidR="00504C8F">
        <w:t> </w:t>
      </w:r>
      <w:r w:rsidRPr="00670789">
        <w:t xml:space="preserve">4 </w:t>
      </w:r>
      <w:r w:rsidR="00A67A0D">
        <w:t>noted</w:t>
      </w:r>
      <w:r w:rsidRPr="00670789">
        <w:t xml:space="preserve"> participants</w:t>
      </w:r>
      <w:r w:rsidR="002C5782">
        <w:t>’</w:t>
      </w:r>
      <w:r w:rsidRPr="00670789">
        <w:t xml:space="preserve"> concerns </w:t>
      </w:r>
      <w:r w:rsidR="00F47EE4">
        <w:t>with the</w:t>
      </w:r>
      <w:r w:rsidRPr="00670789">
        <w:t xml:space="preserve"> costs and delays with native title regimes</w:t>
      </w:r>
      <w:r w:rsidR="002934FC">
        <w:t xml:space="preserve"> and </w:t>
      </w:r>
      <w:r w:rsidR="00F47EE4">
        <w:t>with</w:t>
      </w:r>
      <w:r w:rsidRPr="00670789">
        <w:t xml:space="preserve"> the interaction of native title and </w:t>
      </w:r>
      <w:r w:rsidR="00182BF3">
        <w:t xml:space="preserve">Indigenous </w:t>
      </w:r>
      <w:r w:rsidRPr="00670789">
        <w:t xml:space="preserve">land rights regimes with heritage processes. </w:t>
      </w:r>
      <w:r w:rsidR="006F7009" w:rsidRPr="00670789">
        <w:t>Box</w:t>
      </w:r>
      <w:r w:rsidR="00504C8F">
        <w:t> </w:t>
      </w:r>
      <w:r w:rsidR="00F61AAA">
        <w:t>5</w:t>
      </w:r>
      <w:r w:rsidR="006F7009" w:rsidRPr="00670789">
        <w:t>.</w:t>
      </w:r>
      <w:r w:rsidR="007C534C">
        <w:t>6</w:t>
      </w:r>
      <w:r w:rsidR="006F7009" w:rsidRPr="00670789">
        <w:t xml:space="preserve"> provides background on </w:t>
      </w:r>
      <w:r w:rsidR="009947D3">
        <w:t xml:space="preserve">the </w:t>
      </w:r>
      <w:r w:rsidR="009947D3" w:rsidRPr="00A67A0D">
        <w:rPr>
          <w:i/>
        </w:rPr>
        <w:t>N</w:t>
      </w:r>
      <w:r w:rsidR="006F7009" w:rsidRPr="00A67A0D">
        <w:rPr>
          <w:i/>
        </w:rPr>
        <w:t xml:space="preserve">ative </w:t>
      </w:r>
      <w:r w:rsidR="009947D3" w:rsidRPr="00A67A0D">
        <w:rPr>
          <w:i/>
        </w:rPr>
        <w:t>T</w:t>
      </w:r>
      <w:r w:rsidR="006F7009" w:rsidRPr="00A67A0D">
        <w:rPr>
          <w:i/>
        </w:rPr>
        <w:t>itle</w:t>
      </w:r>
      <w:r w:rsidR="009947D3" w:rsidRPr="00A67A0D">
        <w:rPr>
          <w:i/>
        </w:rPr>
        <w:t xml:space="preserve"> Act</w:t>
      </w:r>
      <w:r w:rsidR="00D927B7">
        <w:rPr>
          <w:i/>
        </w:rPr>
        <w:t xml:space="preserve"> 1993</w:t>
      </w:r>
      <w:r w:rsidR="006F7009" w:rsidRPr="00670789">
        <w:t xml:space="preserve"> and Indigenous heritage pro</w:t>
      </w:r>
      <w:r w:rsidR="009947D3">
        <w:t>tection</w:t>
      </w:r>
      <w:r w:rsidR="006F7009" w:rsidRPr="00670789">
        <w:t>.</w:t>
      </w:r>
    </w:p>
    <w:p w14:paraId="720F3BFA" w14:textId="77777777" w:rsidR="000E35BC" w:rsidRDefault="000E35BC" w:rsidP="000E35BC">
      <w:pPr>
        <w:pStyle w:val="BodyText"/>
      </w:pPr>
      <w:proofErr w:type="spellStart"/>
      <w:r>
        <w:t>NTSCORP</w:t>
      </w:r>
      <w:proofErr w:type="spellEnd"/>
      <w:r>
        <w:t xml:space="preserve"> commented:</w:t>
      </w:r>
    </w:p>
    <w:p w14:paraId="4D7CEC77" w14:textId="77777777" w:rsidR="000E35BC" w:rsidRDefault="000E35BC" w:rsidP="000E35BC">
      <w:pPr>
        <w:pStyle w:val="Quote"/>
      </w:pPr>
      <w:r>
        <w:t xml:space="preserve">We note that while consideration of the </w:t>
      </w:r>
      <w:r>
        <w:rPr>
          <w:i/>
        </w:rPr>
        <w:t>Native Title Act</w:t>
      </w:r>
      <w:r>
        <w:t xml:space="preserve"> is explicitly excluded from the Terms of Reference of the study, native title and culture and heritage are fundamentally interconnected concepts and processes. We believe that better integration of native title and culture and heritage processes in the mineral exploration realm would lead to a substantial amount of regulatory duplication being avoided. (sub. 31, p. 7)</w:t>
      </w:r>
    </w:p>
    <w:p w14:paraId="63CE155A" w14:textId="134EB054" w:rsidR="00733A5C" w:rsidRDefault="00733A5C" w:rsidP="00733A5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33A5C" w14:paraId="0A7B2C4C" w14:textId="77777777" w:rsidTr="003E1038">
        <w:tc>
          <w:tcPr>
            <w:tcW w:w="8771" w:type="dxa"/>
            <w:tcBorders>
              <w:top w:val="single" w:sz="6" w:space="0" w:color="auto"/>
              <w:bottom w:val="nil"/>
            </w:tcBorders>
          </w:tcPr>
          <w:p w14:paraId="7415FC41" w14:textId="16B08D7E" w:rsidR="00733A5C" w:rsidRDefault="00733A5C" w:rsidP="003E1038">
            <w:pPr>
              <w:pStyle w:val="BoxTitle"/>
            </w:pPr>
            <w:r>
              <w:rPr>
                <w:b w:val="0"/>
              </w:rPr>
              <w:t xml:space="preserve">Box </w:t>
            </w:r>
            <w:r w:rsidR="009A44B4">
              <w:rPr>
                <w:b w:val="0"/>
              </w:rPr>
              <w:t>5.</w:t>
            </w:r>
            <w:r w:rsidR="009A44B4">
              <w:rPr>
                <w:b w:val="0"/>
                <w:noProof/>
              </w:rPr>
              <w:t>6</w:t>
            </w:r>
            <w:r>
              <w:tab/>
              <w:t xml:space="preserve">Native title and </w:t>
            </w:r>
            <w:r w:rsidR="006F7009">
              <w:t xml:space="preserve">Indigenous </w:t>
            </w:r>
            <w:r>
              <w:t>heritage</w:t>
            </w:r>
          </w:p>
        </w:tc>
      </w:tr>
      <w:tr w:rsidR="00733A5C" w14:paraId="509B8972" w14:textId="77777777" w:rsidTr="003E1038">
        <w:trPr>
          <w:cantSplit/>
        </w:trPr>
        <w:tc>
          <w:tcPr>
            <w:tcW w:w="8771" w:type="dxa"/>
            <w:tcBorders>
              <w:top w:val="nil"/>
              <w:left w:val="single" w:sz="6" w:space="0" w:color="auto"/>
              <w:bottom w:val="nil"/>
              <w:right w:val="single" w:sz="6" w:space="0" w:color="auto"/>
            </w:tcBorders>
          </w:tcPr>
          <w:p w14:paraId="325F1BA1" w14:textId="55A5CC6F" w:rsidR="00733A5C" w:rsidRDefault="00733A5C" w:rsidP="003E1038">
            <w:pPr>
              <w:pStyle w:val="Box"/>
            </w:pPr>
            <w:r>
              <w:t xml:space="preserve">The </w:t>
            </w:r>
            <w:r w:rsidRPr="00804459">
              <w:rPr>
                <w:i/>
              </w:rPr>
              <w:t>Native Title Act 1993</w:t>
            </w:r>
            <w:r>
              <w:t xml:space="preserve"> (</w:t>
            </w:r>
            <w:proofErr w:type="spellStart"/>
            <w:r>
              <w:t>NTA</w:t>
            </w:r>
            <w:proofErr w:type="spellEnd"/>
            <w:r>
              <w:t>) commenced on 1</w:t>
            </w:r>
            <w:r w:rsidR="00504C8F">
              <w:t> </w:t>
            </w:r>
            <w:r>
              <w:t xml:space="preserve">January 1994 and has </w:t>
            </w:r>
            <w:r w:rsidR="00CD60FB">
              <w:t xml:space="preserve">since </w:t>
            </w:r>
            <w:r>
              <w:t>been subst</w:t>
            </w:r>
            <w:r w:rsidR="006E0858">
              <w:t>antially reviewed and amended</w:t>
            </w:r>
            <w:r>
              <w:t>. Native title is a set of rights that are possessed under the t</w:t>
            </w:r>
            <w:r w:rsidR="00D927B7">
              <w:t>raditional laws and customs of I</w:t>
            </w:r>
            <w:r>
              <w:t>ndigenous people that can provide them with exclusive possession of, or limited access to, their traditional lands for a wide range of purposes that could include hunting, fishing, medicine, accommodation, religion and culture.</w:t>
            </w:r>
          </w:p>
          <w:p w14:paraId="05B3B5ED" w14:textId="2780DED0" w:rsidR="00733A5C" w:rsidRDefault="00733A5C" w:rsidP="003E1038">
            <w:pPr>
              <w:pStyle w:val="Box"/>
            </w:pPr>
            <w:r>
              <w:t xml:space="preserve">The </w:t>
            </w:r>
            <w:proofErr w:type="spellStart"/>
            <w:r>
              <w:t>NTA</w:t>
            </w:r>
            <w:proofErr w:type="spellEnd"/>
            <w:r>
              <w:t xml:space="preserve"> provides a systematic legal framework to balance the common law native title rights and interests of Aboriginal and Torres Strait Islanders against the requirements of other land users (miners, pastoralists, tourist operators and others) who need land access and certainty of title while </w:t>
            </w:r>
            <w:r w:rsidR="00281D3D">
              <w:t xml:space="preserve">also </w:t>
            </w:r>
            <w:r>
              <w:t xml:space="preserve">ensuring that governments can continue to improve infrastructure and manage natural resources. More specifically, the objectives of the </w:t>
            </w:r>
            <w:proofErr w:type="spellStart"/>
            <w:r>
              <w:t>NTA</w:t>
            </w:r>
            <w:proofErr w:type="spellEnd"/>
            <w:r>
              <w:t xml:space="preserve"> are to:</w:t>
            </w:r>
          </w:p>
          <w:p w14:paraId="5A56EEAE" w14:textId="77777777" w:rsidR="00733A5C" w:rsidRDefault="00733A5C" w:rsidP="003E1038">
            <w:pPr>
              <w:pStyle w:val="BoxListBullet"/>
            </w:pPr>
            <w:r>
              <w:t>recognise and protect native tile as defined under the common law</w:t>
            </w:r>
          </w:p>
          <w:p w14:paraId="540F8225" w14:textId="5838A2D6" w:rsidR="00733A5C" w:rsidRDefault="00733A5C" w:rsidP="003E1038">
            <w:pPr>
              <w:pStyle w:val="BoxListBullet"/>
            </w:pPr>
            <w:r>
              <w:t>confer legal validity on ‘past acts’ (that is, legislative and administrative actions by governments and persons generally before 1</w:t>
            </w:r>
            <w:r w:rsidR="00504C8F">
              <w:t> </w:t>
            </w:r>
            <w:r>
              <w:t>January 1994) that may otherwise have been invalid because of the existence of native title</w:t>
            </w:r>
          </w:p>
          <w:p w14:paraId="7200A5B9" w14:textId="77777777" w:rsidR="00733A5C" w:rsidRDefault="00733A5C" w:rsidP="003E1038">
            <w:pPr>
              <w:pStyle w:val="BoxListBullet"/>
            </w:pPr>
            <w:r>
              <w:t>provide a framework for ‘future acts’ (that is, actions by governments and persons which affect native title and which are not past acts) and establish conditions, including a ‘right to negotiate’, by which future acts can proceed</w:t>
            </w:r>
          </w:p>
          <w:p w14:paraId="1DE293B5" w14:textId="54A0B336" w:rsidR="00733A5C" w:rsidRDefault="00733A5C" w:rsidP="003E1038">
            <w:pPr>
              <w:pStyle w:val="BoxListBullet"/>
            </w:pPr>
            <w:r>
              <w:t>establish a mechanism by which native title and compensation can be determined</w:t>
            </w:r>
            <w:r w:rsidR="00D927B7">
              <w:t>.</w:t>
            </w:r>
          </w:p>
          <w:p w14:paraId="18495701" w14:textId="53275AB3" w:rsidR="002F2DBE" w:rsidRDefault="00733A5C" w:rsidP="003E74BF">
            <w:pPr>
              <w:pStyle w:val="Box"/>
            </w:pPr>
            <w:r w:rsidRPr="00AC660E">
              <w:t xml:space="preserve">The </w:t>
            </w:r>
            <w:proofErr w:type="spellStart"/>
            <w:r w:rsidRPr="00AC660E">
              <w:t>NTA</w:t>
            </w:r>
            <w:proofErr w:type="spellEnd"/>
            <w:r w:rsidRPr="00AC660E">
              <w:t xml:space="preserve"> was a significant development for the management of Indigenous heritage. </w:t>
            </w:r>
            <w:r w:rsidR="00A561DB">
              <w:t>N</w:t>
            </w:r>
            <w:r w:rsidRPr="00AC660E">
              <w:t xml:space="preserve">ative title </w:t>
            </w:r>
            <w:r w:rsidR="00A561DB">
              <w:t xml:space="preserve">establishes </w:t>
            </w:r>
            <w:r w:rsidRPr="00AC660E">
              <w:t xml:space="preserve">processes of mediation and negotiation between native title parties, governments and proponents </w:t>
            </w:r>
            <w:r w:rsidR="00A561DB">
              <w:t>(</w:t>
            </w:r>
            <w:r w:rsidRPr="00AC660E">
              <w:t>including exploration and mining companies</w:t>
            </w:r>
            <w:r w:rsidR="00A561DB">
              <w:t>)</w:t>
            </w:r>
            <w:r w:rsidRPr="00AC660E">
              <w:t>, providing some Indigenous people the ability to negotiate the identification and care of their own heritage on more equitable terms</w:t>
            </w:r>
            <w:r>
              <w:t xml:space="preserve"> (</w:t>
            </w:r>
            <w:r w:rsidR="003E74BF">
              <w:t>Edelman et a</w:t>
            </w:r>
            <w:r w:rsidR="00D927B7">
              <w:t>l</w:t>
            </w:r>
            <w:r w:rsidR="00111DB3">
              <w:t xml:space="preserve"> 2010</w:t>
            </w:r>
            <w:r w:rsidR="001B5F90">
              <w:t>,</w:t>
            </w:r>
            <w:r w:rsidR="00111DB3">
              <w:t xml:space="preserve"> p. </w:t>
            </w:r>
            <w:r>
              <w:t>6)</w:t>
            </w:r>
            <w:r w:rsidRPr="00AC660E">
              <w:t>.</w:t>
            </w:r>
          </w:p>
        </w:tc>
      </w:tr>
      <w:tr w:rsidR="00733A5C" w14:paraId="3A32C49E" w14:textId="77777777" w:rsidTr="003E1038">
        <w:trPr>
          <w:cantSplit/>
        </w:trPr>
        <w:tc>
          <w:tcPr>
            <w:tcW w:w="8771" w:type="dxa"/>
            <w:tcBorders>
              <w:top w:val="nil"/>
              <w:left w:val="single" w:sz="6" w:space="0" w:color="auto"/>
              <w:bottom w:val="single" w:sz="6" w:space="0" w:color="auto"/>
              <w:right w:val="single" w:sz="6" w:space="0" w:color="auto"/>
            </w:tcBorders>
          </w:tcPr>
          <w:p w14:paraId="79F4AA36" w14:textId="77777777" w:rsidR="00733A5C" w:rsidRDefault="00733A5C" w:rsidP="003E1038">
            <w:pPr>
              <w:pStyle w:val="Box"/>
              <w:spacing w:before="0" w:line="120" w:lineRule="exact"/>
            </w:pPr>
          </w:p>
        </w:tc>
      </w:tr>
      <w:tr w:rsidR="00733A5C" w:rsidRPr="000863A5" w14:paraId="48688DB3" w14:textId="77777777" w:rsidTr="003E1038">
        <w:tc>
          <w:tcPr>
            <w:tcW w:w="8771" w:type="dxa"/>
            <w:tcBorders>
              <w:top w:val="nil"/>
              <w:left w:val="nil"/>
              <w:bottom w:val="nil"/>
              <w:right w:val="nil"/>
            </w:tcBorders>
          </w:tcPr>
          <w:p w14:paraId="48ADA38F" w14:textId="4CCF4382" w:rsidR="00733A5C" w:rsidRPr="00626D32" w:rsidRDefault="00733A5C" w:rsidP="003E1038">
            <w:pPr>
              <w:pStyle w:val="BoxSpaceBelow"/>
            </w:pPr>
          </w:p>
        </w:tc>
      </w:tr>
    </w:tbl>
    <w:p w14:paraId="45928E18" w14:textId="77777777" w:rsidR="00390AA8" w:rsidRPr="008C1611" w:rsidRDefault="00390AA8" w:rsidP="00390AA8">
      <w:pPr>
        <w:pStyle w:val="BodyText"/>
      </w:pPr>
      <w:r>
        <w:lastRenderedPageBreak/>
        <w:t xml:space="preserve">Similarly, the Northern Territory Department of Mines and Energy asserted that ‘the </w:t>
      </w:r>
      <w:r>
        <w:rPr>
          <w:i/>
        </w:rPr>
        <w:t>Aboriginal Land Rights Act 1976</w:t>
      </w:r>
      <w:r>
        <w:t xml:space="preserve"> is considered to be the foremost non-financial barrier to exploration in the Northern Territory’(sub. 2, p. 1).</w:t>
      </w:r>
    </w:p>
    <w:p w14:paraId="18ED8BB8" w14:textId="04CC1D84" w:rsidR="00733A5C" w:rsidRDefault="00FE043D" w:rsidP="00733A5C">
      <w:pPr>
        <w:pStyle w:val="BodyText"/>
      </w:pPr>
      <w:r>
        <w:t>Further, p</w:t>
      </w:r>
      <w:r w:rsidR="00733A5C">
        <w:t xml:space="preserve">articipants noted that heritage legislation may be confused with processes under native title and </w:t>
      </w:r>
      <w:r w:rsidR="00182BF3">
        <w:t xml:space="preserve">Indigenous </w:t>
      </w:r>
      <w:r w:rsidR="00733A5C">
        <w:t xml:space="preserve">land rights acts. The </w:t>
      </w:r>
      <w:proofErr w:type="spellStart"/>
      <w:r w:rsidR="00733A5C">
        <w:t>AAPA</w:t>
      </w:r>
      <w:proofErr w:type="spellEnd"/>
      <w:r w:rsidR="00733A5C">
        <w:t xml:space="preserve"> noted:</w:t>
      </w:r>
    </w:p>
    <w:p w14:paraId="6C15DDE5" w14:textId="6F22F44E" w:rsidR="00733A5C" w:rsidRDefault="00733A5C" w:rsidP="00733A5C">
      <w:pPr>
        <w:pStyle w:val="Quote"/>
      </w:pPr>
      <w:r>
        <w:t xml:space="preserve">… our Authority Certificate process for the protection of sacred sites is often confused with Land Councils' charter in forming agreements on land use. While sacred sites are taken into consideration during Land Council consultations, an </w:t>
      </w:r>
      <w:proofErr w:type="spellStart"/>
      <w:r>
        <w:t>AAPA</w:t>
      </w:r>
      <w:proofErr w:type="spellEnd"/>
      <w:r>
        <w:t xml:space="preserve"> certificate is the only document under the </w:t>
      </w:r>
      <w:r w:rsidRPr="00D927B7">
        <w:rPr>
          <w:i/>
        </w:rPr>
        <w:t>N</w:t>
      </w:r>
      <w:r w:rsidR="00D927B7" w:rsidRPr="00D927B7">
        <w:rPr>
          <w:i/>
        </w:rPr>
        <w:t xml:space="preserve">orthern </w:t>
      </w:r>
      <w:r w:rsidRPr="00D927B7">
        <w:rPr>
          <w:i/>
        </w:rPr>
        <w:t>T</w:t>
      </w:r>
      <w:r w:rsidR="00D927B7" w:rsidRPr="00D927B7">
        <w:rPr>
          <w:i/>
        </w:rPr>
        <w:t xml:space="preserve">erritory </w:t>
      </w:r>
      <w:r w:rsidRPr="00D927B7">
        <w:rPr>
          <w:i/>
        </w:rPr>
        <w:t>S</w:t>
      </w:r>
      <w:r w:rsidR="00D927B7" w:rsidRPr="00D927B7">
        <w:rPr>
          <w:i/>
        </w:rPr>
        <w:t xml:space="preserve">acred </w:t>
      </w:r>
      <w:r w:rsidRPr="00D927B7">
        <w:rPr>
          <w:i/>
        </w:rPr>
        <w:t>S</w:t>
      </w:r>
      <w:r w:rsidR="00D927B7" w:rsidRPr="00D927B7">
        <w:rPr>
          <w:i/>
        </w:rPr>
        <w:t xml:space="preserve">ites </w:t>
      </w:r>
      <w:r w:rsidRPr="00D927B7">
        <w:rPr>
          <w:i/>
        </w:rPr>
        <w:t>A</w:t>
      </w:r>
      <w:r w:rsidR="00D927B7" w:rsidRPr="00D927B7">
        <w:rPr>
          <w:i/>
        </w:rPr>
        <w:t>ct</w:t>
      </w:r>
      <w:r>
        <w:t xml:space="preserve"> legislation that provides indemnity against prosecution if damage to a sacred site occurs. (sub.</w:t>
      </w:r>
      <w:r w:rsidR="00504C8F">
        <w:t> </w:t>
      </w:r>
      <w:r>
        <w:t>23</w:t>
      </w:r>
      <w:r w:rsidR="00D927B7">
        <w:t>,</w:t>
      </w:r>
      <w:r>
        <w:t xml:space="preserve"> p.</w:t>
      </w:r>
      <w:r w:rsidR="00504C8F">
        <w:t> </w:t>
      </w:r>
      <w:r>
        <w:t>1)</w:t>
      </w:r>
    </w:p>
    <w:p w14:paraId="61FFB08B" w14:textId="3CF35490" w:rsidR="00733A5C" w:rsidRDefault="00733A5C" w:rsidP="00733A5C">
      <w:pPr>
        <w:pStyle w:val="BodyText"/>
      </w:pPr>
      <w:r>
        <w:t xml:space="preserve">Despite </w:t>
      </w:r>
      <w:r w:rsidR="00FE043D">
        <w:t xml:space="preserve">the close </w:t>
      </w:r>
      <w:r>
        <w:t xml:space="preserve">interaction between </w:t>
      </w:r>
      <w:r w:rsidR="00FE043D">
        <w:t xml:space="preserve">Indigenous </w:t>
      </w:r>
      <w:r>
        <w:t>heritage, native ti</w:t>
      </w:r>
      <w:r w:rsidR="00657045">
        <w:t>tle and Indigenous land rights A</w:t>
      </w:r>
      <w:r>
        <w:t>cts</w:t>
      </w:r>
      <w:r w:rsidR="001B5F90">
        <w:t>,</w:t>
      </w:r>
      <w:r>
        <w:t xml:space="preserve"> the examination of processes under the Commonwealth’s </w:t>
      </w:r>
      <w:r>
        <w:rPr>
          <w:i/>
        </w:rPr>
        <w:t>Native Title Act 1993</w:t>
      </w:r>
      <w:r>
        <w:t xml:space="preserve">, the </w:t>
      </w:r>
      <w:r>
        <w:rPr>
          <w:i/>
        </w:rPr>
        <w:t>Aboriginal Land Rights (Northern Territory) Act 1976</w:t>
      </w:r>
      <w:r>
        <w:t xml:space="preserve"> and state I</w:t>
      </w:r>
      <w:r w:rsidR="00B074F9">
        <w:t>ndigenous land rights regimes are</w:t>
      </w:r>
      <w:r>
        <w:t xml:space="preserve"> outside the terms of reference for this inquiry.</w:t>
      </w:r>
    </w:p>
    <w:p w14:paraId="24614756" w14:textId="0E62B0EE" w:rsidR="00E27685" w:rsidRDefault="009A44B4" w:rsidP="00E27685">
      <w:pPr>
        <w:keepNext/>
        <w:spacing w:before="600" w:line="400" w:lineRule="exact"/>
        <w:ind w:left="907" w:hanging="907"/>
        <w:outlineLvl w:val="1"/>
        <w:rPr>
          <w:rFonts w:ascii="Arial" w:hAnsi="Arial"/>
          <w:b/>
          <w:sz w:val="32"/>
          <w:szCs w:val="20"/>
          <w:lang w:val="en"/>
        </w:rPr>
      </w:pPr>
      <w:r>
        <w:rPr>
          <w:rFonts w:ascii="Arial" w:hAnsi="Arial"/>
          <w:b/>
          <w:sz w:val="32"/>
          <w:szCs w:val="20"/>
          <w:lang w:val="en"/>
        </w:rPr>
        <w:t>5.</w:t>
      </w:r>
      <w:r>
        <w:rPr>
          <w:rFonts w:ascii="Arial" w:hAnsi="Arial"/>
          <w:b/>
          <w:noProof/>
          <w:sz w:val="32"/>
          <w:szCs w:val="20"/>
          <w:lang w:val="en"/>
        </w:rPr>
        <w:t>4</w:t>
      </w:r>
      <w:r w:rsidR="00E27685" w:rsidRPr="00C91BC6">
        <w:rPr>
          <w:rFonts w:ascii="Arial" w:hAnsi="Arial"/>
          <w:b/>
          <w:sz w:val="32"/>
          <w:szCs w:val="20"/>
          <w:lang w:val="en"/>
        </w:rPr>
        <w:tab/>
        <w:t>Historic heritage</w:t>
      </w:r>
    </w:p>
    <w:p w14:paraId="07F50538" w14:textId="77777777" w:rsidR="00EE02AE" w:rsidRPr="00C91BC6" w:rsidRDefault="00EE02AE" w:rsidP="00EE02AE">
      <w:pPr>
        <w:spacing w:before="240" w:line="320" w:lineRule="atLeast"/>
        <w:jc w:val="both"/>
        <w:rPr>
          <w:szCs w:val="20"/>
          <w:lang w:val="en"/>
        </w:rPr>
      </w:pPr>
      <w:r w:rsidRPr="00C91BC6">
        <w:rPr>
          <w:szCs w:val="20"/>
          <w:lang w:val="en"/>
        </w:rPr>
        <w:t>Australia’s historical heritage consists of places that are important to Australia’s national identity and warrant protection from damage or modification. Historic heritage applies to a diverse range of sites — including shipwrecks, buildings, bridges, mines, farms, gardens and graves — that have been endorsed by an authorised body as having cultural value to Australia and/or the wider world.</w:t>
      </w:r>
    </w:p>
    <w:p w14:paraId="5DD5E705" w14:textId="77777777" w:rsidR="00EE02AE" w:rsidRPr="00C91BC6" w:rsidRDefault="00EE02AE" w:rsidP="00EE02AE">
      <w:pPr>
        <w:keepNext/>
        <w:spacing w:before="480" w:line="320" w:lineRule="exact"/>
        <w:outlineLvl w:val="3"/>
        <w:rPr>
          <w:rFonts w:ascii="Arial" w:hAnsi="Arial"/>
          <w:i/>
          <w:sz w:val="24"/>
          <w:szCs w:val="20"/>
        </w:rPr>
      </w:pPr>
      <w:r w:rsidRPr="00C91BC6">
        <w:rPr>
          <w:rFonts w:ascii="Arial" w:hAnsi="Arial"/>
          <w:i/>
          <w:sz w:val="24"/>
          <w:szCs w:val="20"/>
        </w:rPr>
        <w:t>Onshore historic heritage</w:t>
      </w:r>
    </w:p>
    <w:p w14:paraId="720C9510" w14:textId="77777777" w:rsidR="00EE02AE" w:rsidRPr="00C91BC6" w:rsidRDefault="00EE02AE" w:rsidP="00EE02AE">
      <w:pPr>
        <w:spacing w:before="240" w:line="320" w:lineRule="atLeast"/>
        <w:jc w:val="both"/>
        <w:rPr>
          <w:szCs w:val="20"/>
          <w:lang w:val="en"/>
        </w:rPr>
      </w:pPr>
      <w:r w:rsidRPr="00C91BC6">
        <w:rPr>
          <w:szCs w:val="20"/>
          <w:lang w:val="en"/>
        </w:rPr>
        <w:t>All three levels of governments contribute to the protection of Australia’s onshore historic heritage. Whether on a national, state or territory level, the basic regulatory framework is broadly similar. Each jurisdiction maintains a list or register of identified historic heritage places administered by a jurisdiction-specific Heritage Council. Depending on the jurisdiction, the decision as to what sites should be placed on these lists is either made by these Councils, or by the Minister (usually on the basis of advice from the Council).</w:t>
      </w:r>
    </w:p>
    <w:p w14:paraId="67BF7661" w14:textId="5DFFE0C4" w:rsidR="00EE02AE" w:rsidRPr="00C91BC6" w:rsidRDefault="00EE02AE" w:rsidP="00EE02AE">
      <w:pPr>
        <w:spacing w:before="240" w:line="320" w:lineRule="atLeast"/>
        <w:jc w:val="both"/>
        <w:rPr>
          <w:szCs w:val="20"/>
          <w:lang w:val="en"/>
        </w:rPr>
      </w:pPr>
      <w:r w:rsidRPr="00C91BC6">
        <w:rPr>
          <w:szCs w:val="20"/>
          <w:lang w:val="en"/>
        </w:rPr>
        <w:t xml:space="preserve">Local governments also identify places of local heritage value and regulate these through their planning schemes. All states, with the exception of Tasmania, have provisions or requirements for local governments to establish a register of locally </w:t>
      </w:r>
      <w:r w:rsidRPr="00C91BC6">
        <w:rPr>
          <w:szCs w:val="20"/>
          <w:lang w:val="en"/>
        </w:rPr>
        <w:lastRenderedPageBreak/>
        <w:t>significant places (PC 2006)</w:t>
      </w:r>
      <w:r>
        <w:rPr>
          <w:rStyle w:val="FootnoteReference"/>
          <w:szCs w:val="20"/>
          <w:lang w:val="en"/>
        </w:rPr>
        <w:footnoteReference w:id="1"/>
      </w:r>
      <w:r w:rsidRPr="00C91BC6">
        <w:rPr>
          <w:szCs w:val="20"/>
          <w:lang w:val="en"/>
        </w:rPr>
        <w:t xml:space="preserve">. In 2006, the Commission identified that there were over 147 000 </w:t>
      </w:r>
      <w:r w:rsidR="001B5F90">
        <w:rPr>
          <w:szCs w:val="20"/>
          <w:lang w:val="en"/>
        </w:rPr>
        <w:t xml:space="preserve">listed </w:t>
      </w:r>
      <w:r w:rsidRPr="00C91BC6">
        <w:rPr>
          <w:szCs w:val="20"/>
          <w:lang w:val="en"/>
        </w:rPr>
        <w:t xml:space="preserve">local government heritage places in Australia. </w:t>
      </w:r>
    </w:p>
    <w:p w14:paraId="372D52E9" w14:textId="77777777" w:rsidR="00EE02AE" w:rsidRPr="00C91BC6" w:rsidRDefault="00EE02AE" w:rsidP="00EE02AE">
      <w:pPr>
        <w:spacing w:before="240" w:line="320" w:lineRule="atLeast"/>
        <w:jc w:val="both"/>
        <w:rPr>
          <w:szCs w:val="20"/>
        </w:rPr>
      </w:pPr>
      <w:r w:rsidRPr="00C91BC6">
        <w:rPr>
          <w:szCs w:val="20"/>
          <w:lang w:val="en"/>
        </w:rPr>
        <w:t xml:space="preserve">The main implication of a site being placed on a heritage list is that restrictions apply as to what works can be carried out on the site — generally, anything beyond minor maintenance and upkeep requires prior approval from the appropriate government agency. Although exploratory activity may be restricted in and around listed sites, relative to other forms of heritage, the burdens caused by historical heritage are small. </w:t>
      </w:r>
      <w:r w:rsidRPr="00C91BC6">
        <w:rPr>
          <w:szCs w:val="20"/>
        </w:rPr>
        <w:t>This is because:</w:t>
      </w:r>
    </w:p>
    <w:p w14:paraId="60D28F28" w14:textId="77777777" w:rsidR="00EE02AE" w:rsidRPr="00C91BC6" w:rsidRDefault="00EE02AE" w:rsidP="00EE02AE">
      <w:pPr>
        <w:pStyle w:val="ListBullet"/>
        <w:rPr>
          <w:lang w:val="en"/>
        </w:rPr>
      </w:pPr>
      <w:r w:rsidRPr="00C91BC6">
        <w:rPr>
          <w:lang w:val="en"/>
        </w:rPr>
        <w:t xml:space="preserve">most historic heritage is concentrated in small pockets and often in locations where exploration is </w:t>
      </w:r>
      <w:r>
        <w:rPr>
          <w:lang w:val="en"/>
        </w:rPr>
        <w:t>un</w:t>
      </w:r>
      <w:r w:rsidRPr="00C91BC6">
        <w:rPr>
          <w:lang w:val="en"/>
        </w:rPr>
        <w:t>likely (for example, in residential or commercial districts of cities and towns)</w:t>
      </w:r>
    </w:p>
    <w:p w14:paraId="08CADB8F" w14:textId="77777777" w:rsidR="00EE02AE" w:rsidRPr="00C91BC6" w:rsidRDefault="00EE02AE" w:rsidP="00EE02AE">
      <w:pPr>
        <w:pStyle w:val="ListBullet"/>
        <w:rPr>
          <w:lang w:val="en"/>
        </w:rPr>
      </w:pPr>
      <w:r w:rsidRPr="00C91BC6">
        <w:rPr>
          <w:lang w:val="en"/>
        </w:rPr>
        <w:t>the maintenance of up-to-date heritage lists allows explorers to gauge the degree to which their planned exploration activities will impact on historic heritage sites prior to commencing their operations.</w:t>
      </w:r>
    </w:p>
    <w:p w14:paraId="6955B13F" w14:textId="77777777" w:rsidR="00EE02AE" w:rsidRPr="00C91BC6" w:rsidRDefault="00EE02AE" w:rsidP="00EE02AE">
      <w:pPr>
        <w:spacing w:before="240" w:line="320" w:lineRule="atLeast"/>
        <w:jc w:val="both"/>
        <w:rPr>
          <w:szCs w:val="20"/>
        </w:rPr>
      </w:pPr>
      <w:r w:rsidRPr="00C91BC6">
        <w:rPr>
          <w:szCs w:val="20"/>
        </w:rPr>
        <w:t>That said, the MCA noted that the need for companies to consult multiple lists is problematic:</w:t>
      </w:r>
    </w:p>
    <w:p w14:paraId="177DB5DA" w14:textId="3ACCAB9D" w:rsidR="00EE02AE" w:rsidRPr="00C91BC6" w:rsidRDefault="00EE02AE" w:rsidP="00EE02AE">
      <w:pPr>
        <w:spacing w:before="120" w:line="280" w:lineRule="exact"/>
        <w:ind w:left="340"/>
        <w:jc w:val="both"/>
        <w:rPr>
          <w:sz w:val="24"/>
          <w:szCs w:val="20"/>
        </w:rPr>
      </w:pPr>
      <w:r w:rsidRPr="00C91BC6">
        <w:rPr>
          <w:sz w:val="24"/>
          <w:szCs w:val="20"/>
        </w:rPr>
        <w:t>… MCA considers that significant opportunity exists to reduce the complexity of the Heritage processes through the consolidation of heritage listings in a National Heritage Register. A single Register would reduce the existing challenges of understanding the heritage values within a region by having to consult mult</w:t>
      </w:r>
      <w:r w:rsidR="00657045">
        <w:rPr>
          <w:sz w:val="24"/>
          <w:szCs w:val="20"/>
        </w:rPr>
        <w:t>iple registers. (sub.</w:t>
      </w:r>
      <w:r w:rsidR="00504C8F">
        <w:rPr>
          <w:sz w:val="24"/>
          <w:szCs w:val="20"/>
        </w:rPr>
        <w:t> </w:t>
      </w:r>
      <w:r w:rsidR="00657045">
        <w:rPr>
          <w:sz w:val="24"/>
          <w:szCs w:val="20"/>
        </w:rPr>
        <w:t>27, p.</w:t>
      </w:r>
      <w:r w:rsidR="00504C8F">
        <w:rPr>
          <w:sz w:val="24"/>
          <w:szCs w:val="20"/>
        </w:rPr>
        <w:t> </w:t>
      </w:r>
      <w:r w:rsidR="00657045">
        <w:rPr>
          <w:sz w:val="24"/>
          <w:szCs w:val="20"/>
        </w:rPr>
        <w:t>30)</w:t>
      </w:r>
    </w:p>
    <w:p w14:paraId="4CB61841" w14:textId="2085930F" w:rsidR="00EE02AE" w:rsidRPr="00C91BC6" w:rsidRDefault="00EE02AE" w:rsidP="00EE02AE">
      <w:pPr>
        <w:spacing w:before="240" w:line="320" w:lineRule="atLeast"/>
        <w:jc w:val="both"/>
        <w:rPr>
          <w:szCs w:val="20"/>
        </w:rPr>
      </w:pPr>
      <w:r w:rsidRPr="00C91BC6">
        <w:rPr>
          <w:szCs w:val="20"/>
        </w:rPr>
        <w:t xml:space="preserve">The establishment of a national heritage register which consolidates local, state and national heritage lists is likely to expedite searches by explorers (and others) as part of their approval processes, but the level of additional benefit is uncertain. </w:t>
      </w:r>
      <w:r>
        <w:rPr>
          <w:szCs w:val="20"/>
        </w:rPr>
        <w:t>O</w:t>
      </w:r>
      <w:r w:rsidRPr="00C91BC6">
        <w:rPr>
          <w:szCs w:val="20"/>
        </w:rPr>
        <w:t>nline, searchable database</w:t>
      </w:r>
      <w:r>
        <w:rPr>
          <w:szCs w:val="20"/>
        </w:rPr>
        <w:t>s</w:t>
      </w:r>
      <w:r w:rsidRPr="00C91BC6">
        <w:rPr>
          <w:szCs w:val="20"/>
        </w:rPr>
        <w:t xml:space="preserve"> of listed heritage places already exist for listings by the Australian Government and each State and Territory government. Some local governments publish their heritage lists online, while those that do not typically provide access through a public facility, such as a library (PC 2006). Further, developing a national list would also involve costs in establishing the list and maintaining its currency across all jurisdictions as heritage places are listed or delisted. On balance, it is </w:t>
      </w:r>
      <w:r>
        <w:rPr>
          <w:szCs w:val="20"/>
        </w:rPr>
        <w:t>unlikely</w:t>
      </w:r>
      <w:r w:rsidRPr="00C91BC6">
        <w:rPr>
          <w:szCs w:val="20"/>
        </w:rPr>
        <w:t xml:space="preserve"> the benefits of a national list would outweigh these costs.</w:t>
      </w:r>
    </w:p>
    <w:p w14:paraId="00CD47F7" w14:textId="17D981DD" w:rsidR="00EE02AE" w:rsidRDefault="00EE02AE" w:rsidP="00EE02AE">
      <w:pPr>
        <w:spacing w:before="240" w:line="320" w:lineRule="atLeast"/>
        <w:jc w:val="both"/>
        <w:rPr>
          <w:szCs w:val="20"/>
        </w:rPr>
      </w:pPr>
      <w:r w:rsidRPr="00C91BC6">
        <w:rPr>
          <w:szCs w:val="20"/>
        </w:rPr>
        <w:t>An alternat</w:t>
      </w:r>
      <w:r w:rsidR="001B5F90">
        <w:rPr>
          <w:szCs w:val="20"/>
        </w:rPr>
        <w:t>ive</w:t>
      </w:r>
      <w:r w:rsidRPr="00C91BC6">
        <w:rPr>
          <w:szCs w:val="20"/>
        </w:rPr>
        <w:t xml:space="preserve"> way to reduce the burden of having multiple heritage lists would be</w:t>
      </w:r>
      <w:r>
        <w:rPr>
          <w:szCs w:val="20"/>
        </w:rPr>
        <w:t xml:space="preserve"> for state governments</w:t>
      </w:r>
      <w:r w:rsidRPr="00C91BC6">
        <w:rPr>
          <w:szCs w:val="20"/>
        </w:rPr>
        <w:t xml:space="preserve"> to encourage </w:t>
      </w:r>
      <w:r>
        <w:rPr>
          <w:szCs w:val="20"/>
        </w:rPr>
        <w:t xml:space="preserve">those remaining </w:t>
      </w:r>
      <w:r w:rsidRPr="00C91BC6">
        <w:rPr>
          <w:szCs w:val="20"/>
        </w:rPr>
        <w:t xml:space="preserve">local governments </w:t>
      </w:r>
      <w:r w:rsidR="00A67A0D">
        <w:rPr>
          <w:szCs w:val="20"/>
        </w:rPr>
        <w:t>that</w:t>
      </w:r>
      <w:r>
        <w:rPr>
          <w:szCs w:val="20"/>
        </w:rPr>
        <w:t xml:space="preserve"> do not yet </w:t>
      </w:r>
      <w:r w:rsidRPr="00C91BC6">
        <w:rPr>
          <w:szCs w:val="20"/>
        </w:rPr>
        <w:t>publish databases of their historic heritage online</w:t>
      </w:r>
      <w:r>
        <w:rPr>
          <w:szCs w:val="20"/>
        </w:rPr>
        <w:t>, to do so.</w:t>
      </w:r>
      <w:r w:rsidRPr="00C91BC6">
        <w:rPr>
          <w:szCs w:val="20"/>
        </w:rPr>
        <w:t xml:space="preserve"> Explorers would be able to expediently search for local heritage places around their areas of operation, </w:t>
      </w:r>
      <w:r w:rsidRPr="00C91BC6">
        <w:rPr>
          <w:szCs w:val="20"/>
        </w:rPr>
        <w:lastRenderedPageBreak/>
        <w:t>reducing their costs of identifying heritage listed areas and possibly raising their level of compliance</w:t>
      </w:r>
      <w:r w:rsidR="00A67A0D">
        <w:rPr>
          <w:szCs w:val="20"/>
        </w:rPr>
        <w:t xml:space="preserve"> with regulatory requirements</w:t>
      </w:r>
      <w:r w:rsidRPr="00C91BC6">
        <w:rPr>
          <w:szCs w:val="20"/>
        </w:rPr>
        <w:t xml:space="preserve">. </w:t>
      </w:r>
    </w:p>
    <w:p w14:paraId="5E4E73BE" w14:textId="77777777" w:rsidR="00EE02AE" w:rsidRPr="00C91BC6" w:rsidRDefault="00EE02AE" w:rsidP="00EE02AE">
      <w:pPr>
        <w:spacing w:before="240" w:line="320" w:lineRule="atLeast"/>
        <w:jc w:val="both"/>
        <w:rPr>
          <w:szCs w:val="20"/>
        </w:rPr>
      </w:pPr>
      <w:r w:rsidRPr="00C91BC6">
        <w:rPr>
          <w:szCs w:val="20"/>
        </w:rPr>
        <w:t>Additionally, the MCA suggested that there is a lack of opportunity for stakeholders to comment on proposed heritage listings</w:t>
      </w:r>
      <w:r>
        <w:rPr>
          <w:szCs w:val="20"/>
        </w:rPr>
        <w:t xml:space="preserve">: </w:t>
      </w:r>
    </w:p>
    <w:p w14:paraId="02BB35E4" w14:textId="3831BF10" w:rsidR="00EE02AE" w:rsidRPr="00C91BC6" w:rsidRDefault="00EE02AE" w:rsidP="00EE02AE">
      <w:pPr>
        <w:spacing w:before="120" w:line="280" w:lineRule="exact"/>
        <w:ind w:left="340"/>
        <w:jc w:val="both"/>
        <w:rPr>
          <w:sz w:val="24"/>
          <w:szCs w:val="20"/>
        </w:rPr>
      </w:pPr>
      <w:r w:rsidRPr="00C91BC6">
        <w:rPr>
          <w:sz w:val="24"/>
          <w:szCs w:val="20"/>
        </w:rPr>
        <w:t>Property owners and those with interests in an area should be entitled to make submissions on listing proposals that fundamentally affect the value of, and use that can be made of,</w:t>
      </w:r>
      <w:r w:rsidR="00657045">
        <w:rPr>
          <w:sz w:val="24"/>
          <w:szCs w:val="20"/>
        </w:rPr>
        <w:t xml:space="preserve"> their assets. (sub.</w:t>
      </w:r>
      <w:r w:rsidR="00504C8F">
        <w:rPr>
          <w:sz w:val="24"/>
          <w:szCs w:val="20"/>
        </w:rPr>
        <w:t> </w:t>
      </w:r>
      <w:r w:rsidR="00657045">
        <w:rPr>
          <w:sz w:val="24"/>
          <w:szCs w:val="20"/>
        </w:rPr>
        <w:t>27, p.</w:t>
      </w:r>
      <w:r w:rsidR="00504C8F">
        <w:rPr>
          <w:sz w:val="24"/>
          <w:szCs w:val="20"/>
        </w:rPr>
        <w:t> </w:t>
      </w:r>
      <w:r w:rsidR="00657045">
        <w:rPr>
          <w:sz w:val="24"/>
          <w:szCs w:val="20"/>
        </w:rPr>
        <w:t>30)</w:t>
      </w:r>
    </w:p>
    <w:p w14:paraId="630F200D" w14:textId="42476C2A" w:rsidR="00EE02AE" w:rsidRPr="00C91BC6" w:rsidRDefault="00EE02AE" w:rsidP="00EE02AE">
      <w:pPr>
        <w:spacing w:before="240" w:line="320" w:lineRule="atLeast"/>
        <w:jc w:val="both"/>
        <w:rPr>
          <w:szCs w:val="20"/>
        </w:rPr>
      </w:pPr>
      <w:r w:rsidRPr="00C91BC6">
        <w:rPr>
          <w:szCs w:val="20"/>
        </w:rPr>
        <w:t xml:space="preserve">The Commission heard similar </w:t>
      </w:r>
      <w:r w:rsidR="00A67A0D">
        <w:rPr>
          <w:szCs w:val="20"/>
        </w:rPr>
        <w:t>suggestions</w:t>
      </w:r>
      <w:r w:rsidRPr="00C91BC6">
        <w:rPr>
          <w:szCs w:val="20"/>
        </w:rPr>
        <w:t xml:space="preserve"> in its 2006 inquiry on the conservation of Australia’s historic heritage. Recommendation 10.1 (p.</w:t>
      </w:r>
      <w:r w:rsidR="00504C8F">
        <w:rPr>
          <w:szCs w:val="20"/>
        </w:rPr>
        <w:t> </w:t>
      </w:r>
      <w:r w:rsidRPr="00C91BC6">
        <w:rPr>
          <w:szCs w:val="20"/>
        </w:rPr>
        <w:t>264) from that inquiry was directed at State and Territory governments and proposed, among other things, that they should:</w:t>
      </w:r>
    </w:p>
    <w:p w14:paraId="564D83B7" w14:textId="77777777" w:rsidR="00EE02AE" w:rsidRPr="00C91BC6" w:rsidRDefault="00EE02AE" w:rsidP="00EE02AE">
      <w:pPr>
        <w:pStyle w:val="ListBullet"/>
      </w:pPr>
      <w:r w:rsidRPr="00C91BC6">
        <w:t xml:space="preserve">require that listing authorities directly notify owners of any intention to add their place to the statutory list </w:t>
      </w:r>
    </w:p>
    <w:p w14:paraId="76C2F106" w14:textId="0E57BF53" w:rsidR="00EE02AE" w:rsidRPr="00C91BC6" w:rsidRDefault="00EE02AE" w:rsidP="00EE02AE">
      <w:pPr>
        <w:pStyle w:val="ListBullet"/>
      </w:pPr>
      <w:r w:rsidRPr="00C91BC6">
        <w:t>require that listing authorities make available a preliminary statement of significance to the owner and the public</w:t>
      </w:r>
      <w:r w:rsidR="001B5F90">
        <w:t>,</w:t>
      </w:r>
      <w:r w:rsidRPr="00C91BC6">
        <w:t xml:space="preserve"> prior to public consultation</w:t>
      </w:r>
    </w:p>
    <w:p w14:paraId="2FA56273" w14:textId="77777777" w:rsidR="00EE02AE" w:rsidRPr="00C91BC6" w:rsidRDefault="00EE02AE" w:rsidP="00EE02AE">
      <w:pPr>
        <w:pStyle w:val="ListBullet"/>
      </w:pPr>
      <w:r w:rsidRPr="00C91BC6">
        <w:t>require that listing authorities follow timely consultation procedures following a decision to consider a place for statutory listing.</w:t>
      </w:r>
    </w:p>
    <w:p w14:paraId="76BEA593" w14:textId="647E5723" w:rsidR="00EE02AE" w:rsidRPr="00C91BC6" w:rsidRDefault="00EE02AE" w:rsidP="00EE02AE">
      <w:pPr>
        <w:spacing w:before="240" w:line="320" w:lineRule="atLeast"/>
        <w:jc w:val="both"/>
        <w:rPr>
          <w:szCs w:val="20"/>
        </w:rPr>
      </w:pPr>
      <w:r w:rsidRPr="00C91BC6">
        <w:rPr>
          <w:szCs w:val="20"/>
        </w:rPr>
        <w:t>In its response to this recommendation, the Australian Government agreed that these points ‘encourage best practice in the management of privately-owned historic heritage places by state and local governments’ (Australian Government 2007, p.</w:t>
      </w:r>
      <w:r w:rsidR="00C33D7E">
        <w:t> </w:t>
      </w:r>
      <w:r w:rsidRPr="00C91BC6">
        <w:rPr>
          <w:szCs w:val="20"/>
        </w:rPr>
        <w:t>6). The response by Chairs of the State and Territory Heritage Councils also noted:</w:t>
      </w:r>
    </w:p>
    <w:p w14:paraId="0AE2E367" w14:textId="490D6E22" w:rsidR="00EE02AE" w:rsidRDefault="00EE02AE" w:rsidP="00EE02AE">
      <w:pPr>
        <w:spacing w:before="120" w:line="280" w:lineRule="exact"/>
        <w:ind w:left="340"/>
        <w:jc w:val="both"/>
        <w:rPr>
          <w:sz w:val="24"/>
          <w:szCs w:val="20"/>
        </w:rPr>
      </w:pPr>
      <w:r w:rsidRPr="00C91BC6">
        <w:rPr>
          <w:sz w:val="24"/>
          <w:szCs w:val="20"/>
        </w:rPr>
        <w:t>Statements of significance, and consultation with owners and the public, are already an integral part of the listing process in most jurisdictions</w:t>
      </w:r>
      <w:r w:rsidR="00A67A0D">
        <w:rPr>
          <w:sz w:val="24"/>
          <w:szCs w:val="20"/>
        </w:rPr>
        <w:t>.</w:t>
      </w:r>
    </w:p>
    <w:p w14:paraId="3D3AA895" w14:textId="77777777" w:rsidR="00EE02AE" w:rsidRDefault="00EE02AE" w:rsidP="00EE02AE">
      <w:pPr>
        <w:pStyle w:val="Abbreviation"/>
      </w:pPr>
      <w:r>
        <w:t>And:</w:t>
      </w:r>
    </w:p>
    <w:p w14:paraId="0E621E85" w14:textId="24A4F42B" w:rsidR="00EE02AE" w:rsidRPr="00C91BC6" w:rsidRDefault="00EE02AE" w:rsidP="00EE02AE">
      <w:pPr>
        <w:spacing w:before="120" w:line="280" w:lineRule="exact"/>
        <w:ind w:left="340"/>
        <w:jc w:val="both"/>
        <w:rPr>
          <w:sz w:val="24"/>
          <w:szCs w:val="20"/>
        </w:rPr>
      </w:pPr>
      <w:r w:rsidRPr="00C91BC6">
        <w:rPr>
          <w:sz w:val="24"/>
          <w:szCs w:val="20"/>
        </w:rPr>
        <w:t xml:space="preserve">The </w:t>
      </w:r>
      <w:r w:rsidRPr="00C91BC6">
        <w:rPr>
          <w:i/>
          <w:sz w:val="24"/>
          <w:szCs w:val="20"/>
        </w:rPr>
        <w:t xml:space="preserve">Cooperative National Heritage Agenda for Australia </w:t>
      </w:r>
      <w:r w:rsidRPr="00C91BC6">
        <w:rPr>
          <w:sz w:val="24"/>
          <w:szCs w:val="20"/>
        </w:rPr>
        <w:t>includes improved policy guidance on managing changes to heritage places. All jurisdictions are working to improve the level of information available to owners of heritage places</w:t>
      </w:r>
      <w:r w:rsidR="00657045">
        <w:rPr>
          <w:sz w:val="24"/>
          <w:szCs w:val="20"/>
        </w:rPr>
        <w:t>.</w:t>
      </w:r>
      <w:r w:rsidRPr="00C91BC6">
        <w:rPr>
          <w:sz w:val="24"/>
          <w:szCs w:val="20"/>
        </w:rPr>
        <w:t xml:space="preserve"> (Chairs of State and Territory Heritage Co</w:t>
      </w:r>
      <w:r w:rsidR="00657045">
        <w:rPr>
          <w:sz w:val="24"/>
          <w:szCs w:val="20"/>
        </w:rPr>
        <w:t>uncils of Australia 2006, p.</w:t>
      </w:r>
      <w:r w:rsidR="00504C8F">
        <w:rPr>
          <w:sz w:val="24"/>
          <w:szCs w:val="20"/>
        </w:rPr>
        <w:t> </w:t>
      </w:r>
      <w:r w:rsidR="00E62FBB">
        <w:rPr>
          <w:sz w:val="24"/>
          <w:szCs w:val="20"/>
        </w:rPr>
        <w:t>12</w:t>
      </w:r>
      <w:r w:rsidR="00657045">
        <w:rPr>
          <w:sz w:val="24"/>
          <w:szCs w:val="20"/>
        </w:rPr>
        <w:t>)</w:t>
      </w:r>
    </w:p>
    <w:p w14:paraId="6539853E" w14:textId="77777777" w:rsidR="00EE02AE" w:rsidRPr="00C91BC6" w:rsidRDefault="00EE02AE" w:rsidP="00EE02AE">
      <w:pPr>
        <w:spacing w:before="240" w:line="320" w:lineRule="atLeast"/>
        <w:jc w:val="both"/>
        <w:rPr>
          <w:szCs w:val="20"/>
        </w:rPr>
      </w:pPr>
      <w:r w:rsidRPr="00C91BC6">
        <w:rPr>
          <w:szCs w:val="20"/>
        </w:rPr>
        <w:t>The Commission encourages the continued implementation of this recommendation. By allowing sufficient time for public comment prior to listing a nominated site on a heritage register, regulators have greater scope to gauge the views of affected parties and will have more information to weigh the costs and benefits of the listing.</w:t>
      </w:r>
    </w:p>
    <w:p w14:paraId="6AB98CD0" w14:textId="3CBEA670" w:rsidR="00EE02AE" w:rsidRPr="00C91BC6" w:rsidRDefault="00EE02AE" w:rsidP="00EE02AE">
      <w:pPr>
        <w:spacing w:before="240" w:line="320" w:lineRule="atLeast"/>
        <w:jc w:val="both"/>
        <w:rPr>
          <w:szCs w:val="20"/>
        </w:rPr>
      </w:pPr>
      <w:r w:rsidRPr="00C91BC6">
        <w:rPr>
          <w:szCs w:val="20"/>
        </w:rPr>
        <w:t>The MCA also presented concerns that heritage decisions can be made without due consideration to wider social and economic factors and</w:t>
      </w:r>
      <w:r w:rsidR="00A67A0D">
        <w:rPr>
          <w:szCs w:val="20"/>
        </w:rPr>
        <w:t>,</w:t>
      </w:r>
      <w:r w:rsidRPr="00C91BC6">
        <w:rPr>
          <w:szCs w:val="20"/>
        </w:rPr>
        <w:t xml:space="preserve"> as such, listings can be made without fully assessing the impact</w:t>
      </w:r>
      <w:r w:rsidR="00A67A0D">
        <w:rPr>
          <w:szCs w:val="20"/>
        </w:rPr>
        <w:t>s</w:t>
      </w:r>
      <w:r w:rsidRPr="00C91BC6">
        <w:rPr>
          <w:szCs w:val="20"/>
        </w:rPr>
        <w:t xml:space="preserve"> on the local community or region. </w:t>
      </w:r>
    </w:p>
    <w:p w14:paraId="6B5BF9FA" w14:textId="575383EE" w:rsidR="00EE02AE" w:rsidRPr="00C91BC6" w:rsidRDefault="00EE02AE" w:rsidP="00EE02AE">
      <w:pPr>
        <w:spacing w:before="240" w:line="320" w:lineRule="atLeast"/>
        <w:jc w:val="both"/>
        <w:rPr>
          <w:szCs w:val="20"/>
        </w:rPr>
      </w:pPr>
      <w:r w:rsidRPr="00C91BC6">
        <w:rPr>
          <w:szCs w:val="20"/>
        </w:rPr>
        <w:lastRenderedPageBreak/>
        <w:t>There are costs associated with heritage listing a site. One of these costs is an opportunity cost because once a place is listed on a historic heritage register, it is difficult to convert the site to an alternate use. In its 2006 inquiry into historic heritage</w:t>
      </w:r>
      <w:r w:rsidR="001B5F90">
        <w:rPr>
          <w:szCs w:val="20"/>
        </w:rPr>
        <w:t>,</w:t>
      </w:r>
      <w:r w:rsidRPr="00C91BC6">
        <w:rPr>
          <w:szCs w:val="20"/>
        </w:rPr>
        <w:t xml:space="preserve"> the Commission found:</w:t>
      </w:r>
    </w:p>
    <w:p w14:paraId="4291D3AC" w14:textId="7903DB8B" w:rsidR="00EE02AE" w:rsidRPr="00C91BC6" w:rsidRDefault="00EE02AE" w:rsidP="00EE02AE">
      <w:pPr>
        <w:spacing w:before="120" w:line="280" w:lineRule="exact"/>
        <w:ind w:left="340"/>
        <w:jc w:val="both"/>
        <w:rPr>
          <w:sz w:val="24"/>
          <w:szCs w:val="20"/>
        </w:rPr>
      </w:pPr>
      <w:r w:rsidRPr="00C91BC6">
        <w:rPr>
          <w:sz w:val="24"/>
          <w:szCs w:val="20"/>
        </w:rPr>
        <w:t>Current methods of identifying historic heritage places for statutory listing focus on the benefits expected to accrue to the community. Typically, there is little, if any, consideration to the costs imposed either on the owner or the community more generally</w:t>
      </w:r>
      <w:r w:rsidR="00A67A0D">
        <w:rPr>
          <w:sz w:val="24"/>
          <w:szCs w:val="20"/>
        </w:rPr>
        <w:t>.</w:t>
      </w:r>
      <w:r w:rsidRPr="00C91BC6">
        <w:rPr>
          <w:sz w:val="24"/>
          <w:szCs w:val="20"/>
        </w:rPr>
        <w:t xml:space="preserve"> (p.</w:t>
      </w:r>
      <w:r w:rsidR="00504C8F">
        <w:rPr>
          <w:sz w:val="24"/>
          <w:szCs w:val="20"/>
        </w:rPr>
        <w:t> </w:t>
      </w:r>
      <w:r w:rsidRPr="00C91BC6">
        <w:rPr>
          <w:sz w:val="24"/>
          <w:szCs w:val="20"/>
        </w:rPr>
        <w:t xml:space="preserve">149) </w:t>
      </w:r>
    </w:p>
    <w:p w14:paraId="6F723DE1" w14:textId="77777777" w:rsidR="00EE02AE" w:rsidRPr="00C91BC6" w:rsidRDefault="00EE02AE" w:rsidP="00EE02AE">
      <w:pPr>
        <w:spacing w:before="240" w:line="320" w:lineRule="atLeast"/>
        <w:jc w:val="both"/>
        <w:rPr>
          <w:szCs w:val="20"/>
        </w:rPr>
      </w:pPr>
      <w:r w:rsidRPr="00C91BC6">
        <w:rPr>
          <w:szCs w:val="20"/>
        </w:rPr>
        <w:t xml:space="preserve">Within the specific domain of resource exploration, listing can result in forgone opportunities to explore for resources on a heritage listed site. However, as discussed above, the burdens imposed on the industry by complying with historic heritage are small and furthermore, changes to the criteria used by each jurisdiction to nominate and assess historic heritage places have policy implications far beyond the exploration industry alone. As such, the Commission will not be examining this issue further in this inquiry. </w:t>
      </w:r>
    </w:p>
    <w:p w14:paraId="0CBCDD1F" w14:textId="77777777" w:rsidR="00EE02AE" w:rsidRPr="00C91BC6" w:rsidRDefault="00EE02AE" w:rsidP="00EE02AE">
      <w:pPr>
        <w:keepNext/>
        <w:spacing w:before="480" w:line="320" w:lineRule="exact"/>
        <w:outlineLvl w:val="3"/>
        <w:rPr>
          <w:rFonts w:ascii="Arial" w:hAnsi="Arial"/>
          <w:i/>
          <w:sz w:val="24"/>
          <w:szCs w:val="20"/>
        </w:rPr>
      </w:pPr>
      <w:r w:rsidRPr="00C91BC6">
        <w:rPr>
          <w:rFonts w:ascii="Arial" w:hAnsi="Arial"/>
          <w:i/>
          <w:sz w:val="24"/>
          <w:szCs w:val="20"/>
        </w:rPr>
        <w:t>Offshore historic heritage</w:t>
      </w:r>
    </w:p>
    <w:p w14:paraId="447BB5D1" w14:textId="72C5ED79" w:rsidR="00EE02AE" w:rsidRPr="00C91BC6" w:rsidRDefault="00EE02AE" w:rsidP="00EE02AE">
      <w:pPr>
        <w:spacing w:before="240" w:line="320" w:lineRule="atLeast"/>
        <w:jc w:val="both"/>
        <w:rPr>
          <w:szCs w:val="20"/>
        </w:rPr>
      </w:pPr>
      <w:r w:rsidRPr="00C91BC6">
        <w:rPr>
          <w:szCs w:val="20"/>
        </w:rPr>
        <w:t xml:space="preserve">Australia’s offshore historic heritage consists predominately of shipwrecks and the relics in and around them. These shipwrecks are protected under the </w:t>
      </w:r>
      <w:r w:rsidRPr="00C91BC6">
        <w:rPr>
          <w:i/>
          <w:szCs w:val="20"/>
        </w:rPr>
        <w:t>Historic Shipwrecks Act 1976,</w:t>
      </w:r>
      <w:r w:rsidRPr="00C91BC6">
        <w:rPr>
          <w:szCs w:val="20"/>
        </w:rPr>
        <w:t xml:space="preserve"> although state and territory legislation has a role for wrecks not found in Commonwealth waters. The </w:t>
      </w:r>
      <w:r w:rsidRPr="00C91BC6">
        <w:rPr>
          <w:i/>
          <w:szCs w:val="20"/>
        </w:rPr>
        <w:t xml:space="preserve">Act </w:t>
      </w:r>
      <w:r w:rsidRPr="00C91BC6">
        <w:rPr>
          <w:szCs w:val="20"/>
        </w:rPr>
        <w:t>mandates that a historic shipwreck must not be damaged, destroyed or interfered with without a permit. The Act automatically protects shipwrecks that are 75 or more years old regardless of whether their location is known</w:t>
      </w:r>
      <w:r>
        <w:rPr>
          <w:szCs w:val="20"/>
        </w:rPr>
        <w:t>. S</w:t>
      </w:r>
      <w:r w:rsidRPr="00C91BC6">
        <w:rPr>
          <w:szCs w:val="20"/>
        </w:rPr>
        <w:t>hipwrecks less than 75 years old can also be protected under the Act by declaration of the Minster</w:t>
      </w:r>
      <w:r w:rsidRPr="00C91BC6">
        <w:rPr>
          <w:position w:val="6"/>
          <w:sz w:val="22"/>
          <w:szCs w:val="20"/>
        </w:rPr>
        <w:footnoteReference w:id="2"/>
      </w:r>
      <w:r w:rsidRPr="00C91BC6">
        <w:rPr>
          <w:szCs w:val="20"/>
        </w:rPr>
        <w:t xml:space="preserve"> (SEWP</w:t>
      </w:r>
      <w:r w:rsidR="00B2117E">
        <w:rPr>
          <w:szCs w:val="20"/>
        </w:rPr>
        <w:t>a</w:t>
      </w:r>
      <w:r w:rsidRPr="00C91BC6">
        <w:rPr>
          <w:szCs w:val="20"/>
        </w:rPr>
        <w:t>C 2009).</w:t>
      </w:r>
    </w:p>
    <w:p w14:paraId="58FAFEAC" w14:textId="04A2DD72" w:rsidR="00EE02AE" w:rsidRPr="00C91BC6" w:rsidRDefault="00EE02AE" w:rsidP="00EE02AE">
      <w:pPr>
        <w:spacing w:before="240" w:line="320" w:lineRule="atLeast"/>
        <w:jc w:val="both"/>
        <w:rPr>
          <w:szCs w:val="20"/>
        </w:rPr>
      </w:pPr>
      <w:r w:rsidRPr="00C91BC6">
        <w:rPr>
          <w:szCs w:val="20"/>
        </w:rPr>
        <w:t xml:space="preserve">In 2009, the Australian Government announced that the </w:t>
      </w:r>
      <w:r w:rsidRPr="00C91BC6">
        <w:rPr>
          <w:i/>
          <w:szCs w:val="20"/>
        </w:rPr>
        <w:t>Historic Shipwrecks Act</w:t>
      </w:r>
      <w:r w:rsidRPr="00C91BC6">
        <w:rPr>
          <w:szCs w:val="20"/>
        </w:rPr>
        <w:t xml:space="preserve"> would be review</w:t>
      </w:r>
      <w:r>
        <w:rPr>
          <w:szCs w:val="20"/>
        </w:rPr>
        <w:t>ed</w:t>
      </w:r>
      <w:r w:rsidRPr="00C91BC6">
        <w:rPr>
          <w:szCs w:val="20"/>
        </w:rPr>
        <w:t>. In the ensuing discussion paper, the ambiguity around the extent that shipwrecks could be disturbed for development purposes — including for oil a</w:t>
      </w:r>
      <w:r w:rsidR="00BD4E50">
        <w:rPr>
          <w:szCs w:val="20"/>
        </w:rPr>
        <w:t>nd gas exploration — was noted:</w:t>
      </w:r>
    </w:p>
    <w:p w14:paraId="3008EDF8" w14:textId="77777777" w:rsidR="00EE02AE" w:rsidRPr="00C91BC6" w:rsidRDefault="00EE02AE" w:rsidP="00EE02AE">
      <w:pPr>
        <w:spacing w:before="120" w:line="280" w:lineRule="exact"/>
        <w:ind w:left="340"/>
        <w:jc w:val="both"/>
        <w:rPr>
          <w:sz w:val="24"/>
          <w:szCs w:val="20"/>
        </w:rPr>
      </w:pPr>
      <w:r w:rsidRPr="00C91BC6">
        <w:rPr>
          <w:sz w:val="24"/>
          <w:szCs w:val="20"/>
        </w:rPr>
        <w:t>Since 1976 many shipwreck sites have been located in Australian waters. Some of the shipwrecks are currently being exploited for development, such as coastal developments, aquaculture or oil and gas exploration. While the Act clearly states that historic shipwrecks should not be damaged or interfered with, it is unclear how development proponents can ascertain what shipwrecks might be in their development area and how they should manage the sites if historic shipwrecks are located.</w:t>
      </w:r>
    </w:p>
    <w:p w14:paraId="619E02A2" w14:textId="15445A78" w:rsidR="00EE02AE" w:rsidRPr="00C91BC6" w:rsidRDefault="00EE02AE" w:rsidP="00EE02AE">
      <w:pPr>
        <w:spacing w:before="120" w:line="280" w:lineRule="exact"/>
        <w:ind w:left="340"/>
        <w:jc w:val="both"/>
        <w:rPr>
          <w:sz w:val="24"/>
          <w:szCs w:val="20"/>
        </w:rPr>
      </w:pPr>
      <w:r w:rsidRPr="00C91BC6">
        <w:rPr>
          <w:sz w:val="24"/>
          <w:szCs w:val="20"/>
        </w:rPr>
        <w:lastRenderedPageBreak/>
        <w:t>The Act contains no clear procedures that a developer should follow to assess the impact the development would have on historic shipwreck sites, to undertake mitigation activities, or to obtain approval for works prior to any actions that may damage historic shipwreck sites</w:t>
      </w:r>
      <w:r w:rsidR="001B5F90">
        <w:rPr>
          <w:sz w:val="24"/>
          <w:szCs w:val="20"/>
        </w:rPr>
        <w:t>.</w:t>
      </w:r>
      <w:r w:rsidRPr="00C91BC6">
        <w:rPr>
          <w:sz w:val="24"/>
          <w:szCs w:val="20"/>
        </w:rPr>
        <w:t xml:space="preserve"> (Australian Government 2009, p.</w:t>
      </w:r>
      <w:r w:rsidR="00504C8F">
        <w:rPr>
          <w:sz w:val="24"/>
          <w:szCs w:val="20"/>
        </w:rPr>
        <w:t> </w:t>
      </w:r>
      <w:r w:rsidR="001B5F90">
        <w:rPr>
          <w:sz w:val="24"/>
          <w:szCs w:val="20"/>
        </w:rPr>
        <w:t>14)</w:t>
      </w:r>
    </w:p>
    <w:p w14:paraId="05D7DBE5" w14:textId="224C03FC" w:rsidR="00EE02AE" w:rsidRPr="00C91BC6" w:rsidRDefault="00A67A0D" w:rsidP="00EE02AE">
      <w:pPr>
        <w:spacing w:before="240" w:line="320" w:lineRule="atLeast"/>
        <w:jc w:val="both"/>
        <w:rPr>
          <w:szCs w:val="20"/>
        </w:rPr>
      </w:pPr>
      <w:r>
        <w:rPr>
          <w:szCs w:val="20"/>
        </w:rPr>
        <w:t>T</w:t>
      </w:r>
      <w:r w:rsidR="00EE02AE" w:rsidRPr="00C91BC6">
        <w:rPr>
          <w:szCs w:val="20"/>
        </w:rPr>
        <w:t>he 2011</w:t>
      </w:r>
      <w:r w:rsidR="00504C8F">
        <w:rPr>
          <w:szCs w:val="20"/>
        </w:rPr>
        <w:noBreakHyphen/>
      </w:r>
      <w:r w:rsidR="00EE02AE" w:rsidRPr="00C91BC6">
        <w:rPr>
          <w:szCs w:val="20"/>
        </w:rPr>
        <w:t xml:space="preserve">12 Annual Report of </w:t>
      </w:r>
      <w:r w:rsidR="001B5F90">
        <w:rPr>
          <w:szCs w:val="20"/>
        </w:rPr>
        <w:t xml:space="preserve">SEWPaC </w:t>
      </w:r>
      <w:r w:rsidR="00EE02AE" w:rsidRPr="00C91BC6">
        <w:rPr>
          <w:szCs w:val="20"/>
        </w:rPr>
        <w:t>stated that the review of the Act is ‘ongoing’ (</w:t>
      </w:r>
      <w:proofErr w:type="spellStart"/>
      <w:r w:rsidR="00EE02AE" w:rsidRPr="00C91BC6">
        <w:rPr>
          <w:szCs w:val="20"/>
        </w:rPr>
        <w:t>SEWP</w:t>
      </w:r>
      <w:r w:rsidR="00B2117E">
        <w:rPr>
          <w:szCs w:val="20"/>
        </w:rPr>
        <w:t>a</w:t>
      </w:r>
      <w:r w:rsidR="00EE02AE" w:rsidRPr="00C91BC6">
        <w:rPr>
          <w:szCs w:val="20"/>
        </w:rPr>
        <w:t>C</w:t>
      </w:r>
      <w:proofErr w:type="spellEnd"/>
      <w:r w:rsidR="00EE02AE" w:rsidRPr="00C91BC6">
        <w:rPr>
          <w:szCs w:val="20"/>
        </w:rPr>
        <w:t xml:space="preserve"> </w:t>
      </w:r>
      <w:proofErr w:type="spellStart"/>
      <w:r w:rsidR="00EE02AE" w:rsidRPr="00C91BC6">
        <w:rPr>
          <w:szCs w:val="20"/>
        </w:rPr>
        <w:t>2012</w:t>
      </w:r>
      <w:r w:rsidR="003932F8">
        <w:rPr>
          <w:szCs w:val="20"/>
        </w:rPr>
        <w:t>d</w:t>
      </w:r>
      <w:proofErr w:type="spellEnd"/>
      <w:r w:rsidR="00EE02AE" w:rsidRPr="00C91BC6">
        <w:rPr>
          <w:szCs w:val="20"/>
        </w:rPr>
        <w:t xml:space="preserve"> p.</w:t>
      </w:r>
      <w:r w:rsidR="00504C8F">
        <w:rPr>
          <w:szCs w:val="20"/>
        </w:rPr>
        <w:t> </w:t>
      </w:r>
      <w:r w:rsidR="00EE02AE" w:rsidRPr="00C91BC6">
        <w:rPr>
          <w:szCs w:val="20"/>
        </w:rPr>
        <w:t xml:space="preserve">212). </w:t>
      </w:r>
    </w:p>
    <w:p w14:paraId="451B87E7" w14:textId="099AD627" w:rsidR="00EE02AE" w:rsidRPr="00C91BC6" w:rsidRDefault="00EE02AE" w:rsidP="00EE02AE">
      <w:pPr>
        <w:spacing w:before="240" w:line="320" w:lineRule="atLeast"/>
        <w:jc w:val="both"/>
        <w:rPr>
          <w:szCs w:val="20"/>
        </w:rPr>
      </w:pPr>
      <w:r w:rsidRPr="00C91BC6">
        <w:rPr>
          <w:szCs w:val="20"/>
        </w:rPr>
        <w:t xml:space="preserve">During this inquiry, the Commission has not heard </w:t>
      </w:r>
      <w:r>
        <w:rPr>
          <w:szCs w:val="20"/>
        </w:rPr>
        <w:t xml:space="preserve">of </w:t>
      </w:r>
      <w:r w:rsidRPr="00C91BC6">
        <w:rPr>
          <w:szCs w:val="20"/>
        </w:rPr>
        <w:t xml:space="preserve">any instances where the current regulations around historic shipwrecks have represented barriers for oil and gas exploration companies. </w:t>
      </w:r>
      <w:r w:rsidR="00A67A0D">
        <w:rPr>
          <w:szCs w:val="20"/>
        </w:rPr>
        <w:t>However</w:t>
      </w:r>
      <w:r w:rsidRPr="00C91BC6">
        <w:rPr>
          <w:szCs w:val="20"/>
        </w:rPr>
        <w:t xml:space="preserve">, further clarification on the processes and procedures explorers must meet when working around historic shipwrecks — as flagged in the review of the </w:t>
      </w:r>
      <w:r w:rsidRPr="00C91BC6">
        <w:rPr>
          <w:i/>
          <w:szCs w:val="20"/>
        </w:rPr>
        <w:t>Historic Shipwrecks Act</w:t>
      </w:r>
      <w:r w:rsidRPr="00C91BC6">
        <w:rPr>
          <w:szCs w:val="20"/>
        </w:rPr>
        <w:t xml:space="preserve"> — is likely to be of benefit to the industry.</w:t>
      </w:r>
    </w:p>
    <w:sectPr w:rsidR="00EE02AE" w:rsidRPr="00C91BC6" w:rsidSect="00F02A39">
      <w:headerReference w:type="even" r:id="rId21"/>
      <w:headerReference w:type="default" r:id="rId22"/>
      <w:footerReference w:type="even" r:id="rId23"/>
      <w:footerReference w:type="default" r:id="rId24"/>
      <w:headerReference w:type="first" r:id="rId25"/>
      <w:footerReference w:type="first" r:id="rId26"/>
      <w:pgSz w:w="11907" w:h="16840" w:code="9"/>
      <w:pgMar w:top="1701" w:right="1304" w:bottom="1418" w:left="1814" w:header="1701" w:footer="567" w:gutter="0"/>
      <w:pgNumType w:chapSep="period"/>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A9CF706" w14:textId="77777777" w:rsidR="00F0090B" w:rsidRDefault="00F0090B">
      <w:r>
        <w:separator/>
      </w:r>
    </w:p>
  </w:endnote>
  <w:endnote w:type="continuationSeparator" w:id="0">
    <w:p w14:paraId="4ED10AB0" w14:textId="77777777" w:rsidR="00F0090B" w:rsidRDefault="00F009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Frutiger 45 Light">
    <w:altName w:val="Frutiger 45 Light"/>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F0090B" w14:paraId="5351113E" w14:textId="77777777">
      <w:trPr>
        <w:trHeight w:hRule="exact" w:val="740"/>
      </w:trPr>
      <w:tc>
        <w:tcPr>
          <w:tcW w:w="510" w:type="dxa"/>
          <w:tcBorders>
            <w:top w:val="single" w:sz="6" w:space="0" w:color="auto"/>
          </w:tcBorders>
        </w:tcPr>
        <w:p w14:paraId="34713CC5" w14:textId="77777777" w:rsidR="00F0090B" w:rsidRDefault="00F0090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7F0357">
            <w:rPr>
              <w:rStyle w:val="PageNumber"/>
              <w:noProof/>
            </w:rPr>
            <w:t>136</w:t>
          </w:r>
          <w:r>
            <w:rPr>
              <w:rStyle w:val="PageNumber"/>
            </w:rPr>
            <w:fldChar w:fldCharType="end"/>
          </w:r>
        </w:p>
      </w:tc>
      <w:tc>
        <w:tcPr>
          <w:tcW w:w="1644" w:type="dxa"/>
          <w:tcBorders>
            <w:top w:val="single" w:sz="6" w:space="0" w:color="auto"/>
          </w:tcBorders>
        </w:tcPr>
        <w:p w14:paraId="77352BB4" w14:textId="77777777" w:rsidR="00F0090B" w:rsidRDefault="007F0357">
          <w:pPr>
            <w:pStyle w:val="Footer"/>
          </w:pPr>
          <w:r>
            <w:fldChar w:fldCharType="begin"/>
          </w:r>
          <w:r>
            <w:instrText xml:space="preserve"> SUBJECT  \* MERGEFORMAT </w:instrText>
          </w:r>
          <w:r>
            <w:fldChar w:fldCharType="separate"/>
          </w:r>
          <w:r w:rsidR="009A44B4">
            <w:t>Resource exploration</w:t>
          </w:r>
          <w:r>
            <w:fldChar w:fldCharType="end"/>
          </w:r>
        </w:p>
      </w:tc>
      <w:tc>
        <w:tcPr>
          <w:tcW w:w="6634" w:type="dxa"/>
        </w:tcPr>
        <w:p w14:paraId="4DDA85EF" w14:textId="77777777" w:rsidR="00F0090B" w:rsidRDefault="00F0090B">
          <w:pPr>
            <w:pStyle w:val="Footer"/>
          </w:pPr>
        </w:p>
      </w:tc>
    </w:tr>
  </w:tbl>
  <w:p w14:paraId="680F552F" w14:textId="77777777" w:rsidR="00F0090B" w:rsidRDefault="00F0090B">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F0090B" w14:paraId="49DFE855" w14:textId="77777777">
      <w:trPr>
        <w:trHeight w:hRule="exact" w:val="740"/>
      </w:trPr>
      <w:tc>
        <w:tcPr>
          <w:tcW w:w="6634" w:type="dxa"/>
        </w:tcPr>
        <w:p w14:paraId="56573051" w14:textId="77777777" w:rsidR="00F0090B" w:rsidRDefault="00F0090B">
          <w:pPr>
            <w:pStyle w:val="Footer"/>
            <w:ind w:right="360" w:firstLine="360"/>
          </w:pPr>
        </w:p>
      </w:tc>
      <w:tc>
        <w:tcPr>
          <w:tcW w:w="1644" w:type="dxa"/>
          <w:tcBorders>
            <w:top w:val="single" w:sz="6" w:space="0" w:color="auto"/>
          </w:tcBorders>
        </w:tcPr>
        <w:p w14:paraId="69E574C1" w14:textId="77777777" w:rsidR="00F0090B" w:rsidRDefault="007F0357">
          <w:pPr>
            <w:pStyle w:val="Footer"/>
          </w:pPr>
          <w:r>
            <w:fldChar w:fldCharType="begin"/>
          </w:r>
          <w:r>
            <w:instrText xml:space="preserve"> TITLE  \* MERGEFORMAT </w:instrText>
          </w:r>
          <w:r>
            <w:fldChar w:fldCharType="separate"/>
          </w:r>
          <w:r w:rsidR="009A44B4">
            <w:t>Heritage protection</w:t>
          </w:r>
          <w:r>
            <w:fldChar w:fldCharType="end"/>
          </w:r>
        </w:p>
      </w:tc>
      <w:tc>
        <w:tcPr>
          <w:tcW w:w="510" w:type="dxa"/>
          <w:tcBorders>
            <w:top w:val="single" w:sz="6" w:space="0" w:color="auto"/>
          </w:tcBorders>
        </w:tcPr>
        <w:p w14:paraId="22BD0E72" w14:textId="77777777" w:rsidR="00F0090B" w:rsidRDefault="00F0090B">
          <w:pPr>
            <w:pStyle w:val="Footer"/>
            <w:jc w:val="right"/>
          </w:pPr>
          <w:r>
            <w:rPr>
              <w:rStyle w:val="PageNumber"/>
            </w:rPr>
            <w:fldChar w:fldCharType="begin"/>
          </w:r>
          <w:r>
            <w:rPr>
              <w:rStyle w:val="PageNumber"/>
            </w:rPr>
            <w:instrText xml:space="preserve">PAGE  </w:instrText>
          </w:r>
          <w:r>
            <w:rPr>
              <w:rStyle w:val="PageNumber"/>
            </w:rPr>
            <w:fldChar w:fldCharType="separate"/>
          </w:r>
          <w:r w:rsidR="007F0357">
            <w:rPr>
              <w:rStyle w:val="PageNumber"/>
              <w:noProof/>
            </w:rPr>
            <w:t>137</w:t>
          </w:r>
          <w:r>
            <w:rPr>
              <w:rStyle w:val="PageNumber"/>
            </w:rPr>
            <w:fldChar w:fldCharType="end"/>
          </w:r>
        </w:p>
      </w:tc>
    </w:tr>
  </w:tbl>
  <w:p w14:paraId="2DE0D235" w14:textId="77777777" w:rsidR="00F0090B" w:rsidRDefault="00F0090B">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E6611F" w14:textId="77777777" w:rsidR="00932A0C" w:rsidRDefault="00932A0C">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CCEE6B" w14:textId="77777777" w:rsidR="00F0090B" w:rsidRDefault="00F0090B">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sidR="007F0357">
      <w:rPr>
        <w:rStyle w:val="PageNumber"/>
        <w:noProof/>
      </w:rPr>
      <w:t>138</w:t>
    </w:r>
    <w:r>
      <w:rPr>
        <w:rStyle w:val="PageNumber"/>
      </w:rPr>
      <w:fldChar w:fldCharType="end"/>
    </w:r>
  </w:p>
  <w:p w14:paraId="5EE36C57" w14:textId="77777777" w:rsidR="00F0090B" w:rsidRDefault="00F0090B">
    <w:pPr>
      <w:pStyle w:val="FooterEnd"/>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ADF120" w14:textId="77777777" w:rsidR="00F0090B" w:rsidRDefault="00F0090B">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sidR="007F0357">
      <w:rPr>
        <w:rStyle w:val="PageNumber"/>
        <w:noProof/>
      </w:rPr>
      <w:t>139</w:t>
    </w:r>
    <w:r>
      <w:rPr>
        <w:rStyle w:val="PageNumber"/>
      </w:rPr>
      <w:fldChar w:fldCharType="end"/>
    </w:r>
  </w:p>
  <w:p w14:paraId="54083C47" w14:textId="77777777" w:rsidR="00F0090B" w:rsidRDefault="00F0090B">
    <w:pPr>
      <w:pStyle w:val="Footer"/>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F0090B" w14:paraId="3EA4B5D3" w14:textId="77777777">
      <w:trPr>
        <w:trHeight w:hRule="exact" w:val="740"/>
      </w:trPr>
      <w:tc>
        <w:tcPr>
          <w:tcW w:w="510" w:type="dxa"/>
          <w:tcBorders>
            <w:top w:val="single" w:sz="6" w:space="0" w:color="auto"/>
          </w:tcBorders>
        </w:tcPr>
        <w:p w14:paraId="7D20E674" w14:textId="77777777" w:rsidR="00F0090B" w:rsidRDefault="00F0090B"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7F0357">
            <w:rPr>
              <w:rStyle w:val="PageNumber"/>
              <w:noProof/>
            </w:rPr>
            <w:t>140</w:t>
          </w:r>
          <w:r>
            <w:rPr>
              <w:rStyle w:val="PageNumber"/>
            </w:rPr>
            <w:fldChar w:fldCharType="end"/>
          </w:r>
        </w:p>
      </w:tc>
      <w:tc>
        <w:tcPr>
          <w:tcW w:w="1644" w:type="dxa"/>
          <w:tcBorders>
            <w:top w:val="single" w:sz="6" w:space="0" w:color="auto"/>
          </w:tcBorders>
        </w:tcPr>
        <w:p w14:paraId="7235F5E3" w14:textId="77777777" w:rsidR="00F0090B" w:rsidRDefault="007F0357" w:rsidP="0019293B">
          <w:pPr>
            <w:pStyle w:val="Footer"/>
          </w:pPr>
          <w:r>
            <w:fldChar w:fldCharType="begin"/>
          </w:r>
          <w:r>
            <w:instrText xml:space="preserve"> SUBJECT  \* MERGEFORMAT </w:instrText>
          </w:r>
          <w:r>
            <w:fldChar w:fldCharType="separate"/>
          </w:r>
          <w:r w:rsidR="009A44B4">
            <w:t>Resource exploration</w:t>
          </w:r>
          <w:r>
            <w:fldChar w:fldCharType="end"/>
          </w:r>
        </w:p>
      </w:tc>
      <w:tc>
        <w:tcPr>
          <w:tcW w:w="6634" w:type="dxa"/>
        </w:tcPr>
        <w:p w14:paraId="1B26E826" w14:textId="77777777" w:rsidR="00F0090B" w:rsidRDefault="00F0090B" w:rsidP="0019293B">
          <w:pPr>
            <w:pStyle w:val="Footer"/>
          </w:pPr>
        </w:p>
      </w:tc>
    </w:tr>
  </w:tbl>
  <w:p w14:paraId="4FE02616" w14:textId="77777777" w:rsidR="00F0090B" w:rsidRDefault="00F0090B" w:rsidP="0019293B">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F0090B" w14:paraId="4C5805E2" w14:textId="77777777">
      <w:trPr>
        <w:trHeight w:hRule="exact" w:val="740"/>
      </w:trPr>
      <w:tc>
        <w:tcPr>
          <w:tcW w:w="6634" w:type="dxa"/>
        </w:tcPr>
        <w:p w14:paraId="6118951F" w14:textId="77777777" w:rsidR="00F0090B" w:rsidRDefault="00F0090B">
          <w:pPr>
            <w:pStyle w:val="Footer"/>
            <w:ind w:right="360" w:firstLine="360"/>
          </w:pPr>
        </w:p>
      </w:tc>
      <w:tc>
        <w:tcPr>
          <w:tcW w:w="1644" w:type="dxa"/>
          <w:tcBorders>
            <w:top w:val="single" w:sz="6" w:space="0" w:color="auto"/>
          </w:tcBorders>
        </w:tcPr>
        <w:p w14:paraId="071DA68C" w14:textId="77777777" w:rsidR="00F0090B" w:rsidRDefault="007F0357">
          <w:pPr>
            <w:pStyle w:val="Footer"/>
          </w:pPr>
          <w:r>
            <w:fldChar w:fldCharType="begin"/>
          </w:r>
          <w:r>
            <w:instrText xml:space="preserve"> TITLE  \* MERGEFORMAT </w:instrText>
          </w:r>
          <w:r>
            <w:fldChar w:fldCharType="separate"/>
          </w:r>
          <w:r w:rsidR="009A44B4">
            <w:t>Heritage protection</w:t>
          </w:r>
          <w:r>
            <w:fldChar w:fldCharType="end"/>
          </w:r>
        </w:p>
      </w:tc>
      <w:tc>
        <w:tcPr>
          <w:tcW w:w="510" w:type="dxa"/>
          <w:tcBorders>
            <w:top w:val="single" w:sz="6" w:space="0" w:color="auto"/>
          </w:tcBorders>
        </w:tcPr>
        <w:p w14:paraId="178B0BFF" w14:textId="77777777" w:rsidR="00F0090B" w:rsidRDefault="00F0090B">
          <w:pPr>
            <w:pStyle w:val="Footer"/>
            <w:jc w:val="right"/>
          </w:pPr>
          <w:r>
            <w:rPr>
              <w:rStyle w:val="PageNumber"/>
            </w:rPr>
            <w:fldChar w:fldCharType="begin"/>
          </w:r>
          <w:r>
            <w:rPr>
              <w:rStyle w:val="PageNumber"/>
            </w:rPr>
            <w:instrText xml:space="preserve">PAGE  </w:instrText>
          </w:r>
          <w:r>
            <w:rPr>
              <w:rStyle w:val="PageNumber"/>
            </w:rPr>
            <w:fldChar w:fldCharType="separate"/>
          </w:r>
          <w:r w:rsidR="007F0357">
            <w:rPr>
              <w:rStyle w:val="PageNumber"/>
              <w:noProof/>
            </w:rPr>
            <w:t>165</w:t>
          </w:r>
          <w:r>
            <w:rPr>
              <w:rStyle w:val="PageNumber"/>
            </w:rPr>
            <w:fldChar w:fldCharType="end"/>
          </w:r>
        </w:p>
      </w:tc>
    </w:tr>
  </w:tbl>
  <w:p w14:paraId="67E69D8B" w14:textId="77777777" w:rsidR="00F0090B" w:rsidRDefault="00F0090B">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0A6D01" w14:textId="77777777" w:rsidR="00F0090B" w:rsidRDefault="00F0090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AD3DFB1" w14:textId="77777777" w:rsidR="00F0090B" w:rsidRDefault="00F0090B">
      <w:r>
        <w:separator/>
      </w:r>
    </w:p>
  </w:footnote>
  <w:footnote w:type="continuationSeparator" w:id="0">
    <w:p w14:paraId="3C7DBAAF" w14:textId="77777777" w:rsidR="00F0090B" w:rsidRDefault="00F0090B">
      <w:r>
        <w:continuationSeparator/>
      </w:r>
    </w:p>
  </w:footnote>
  <w:footnote w:id="1">
    <w:p w14:paraId="7AD83600" w14:textId="5E75A5C3" w:rsidR="00F0090B" w:rsidRDefault="00F0090B" w:rsidP="00EE02AE">
      <w:pPr>
        <w:pStyle w:val="FootnoteText"/>
      </w:pPr>
      <w:r>
        <w:rPr>
          <w:rStyle w:val="FootnoteReference"/>
        </w:rPr>
        <w:footnoteRef/>
      </w:r>
      <w:r>
        <w:t xml:space="preserve"> Historic heritage protection in the Northern Territory and the ACT is solely the responsibility of Territory governments.</w:t>
      </w:r>
    </w:p>
  </w:footnote>
  <w:footnote w:id="2">
    <w:p w14:paraId="539C8BB2" w14:textId="77777777" w:rsidR="00F0090B" w:rsidRDefault="00F0090B" w:rsidP="00EE02AE">
      <w:pPr>
        <w:pStyle w:val="FootnoteText"/>
      </w:pPr>
      <w:r>
        <w:rPr>
          <w:rStyle w:val="FootnoteReference"/>
        </w:rPr>
        <w:footnoteRef/>
      </w:r>
      <w:r>
        <w:t xml:space="preserve">The Minister currently responsible for this declaration is the Minister for Sustainability, Environment, Water, Population and Communities.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F0090B" w14:paraId="25B13DCA" w14:textId="77777777">
      <w:tc>
        <w:tcPr>
          <w:tcW w:w="2155" w:type="dxa"/>
          <w:tcBorders>
            <w:top w:val="single" w:sz="24" w:space="0" w:color="auto"/>
          </w:tcBorders>
        </w:tcPr>
        <w:p w14:paraId="791DDF0C" w14:textId="4F3D089C" w:rsidR="00F0090B" w:rsidRDefault="007F0357">
          <w:pPr>
            <w:pStyle w:val="HeaderEven"/>
          </w:pPr>
          <w:r>
            <w:rPr>
              <w:noProof/>
            </w:rPr>
            <w:pict w14:anchorId="01A5C32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474413" o:spid="_x0000_s111618" type="#_x0000_t136" style="position:absolute;margin-left:0;margin-top:0;width:442.55pt;height:177pt;rotation:315;z-index:-25165516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4" w:type="dxa"/>
          <w:tcBorders>
            <w:top w:val="single" w:sz="6" w:space="0" w:color="auto"/>
          </w:tcBorders>
        </w:tcPr>
        <w:p w14:paraId="0A02BA49" w14:textId="71D07B3C" w:rsidR="00F0090B" w:rsidRDefault="00932A0C">
          <w:pPr>
            <w:pStyle w:val="HeaderEven"/>
          </w:pPr>
          <w:r>
            <w:rPr>
              <w:color w:val="FF0000"/>
              <w:sz w:val="14"/>
              <w:szCs w:val="14"/>
            </w:rPr>
            <w:t>draft report: For final outcomes of this project refer to the inquiry report.</w:t>
          </w:r>
        </w:p>
      </w:tc>
    </w:tr>
  </w:tbl>
  <w:p w14:paraId="1B9C3BDC" w14:textId="77777777" w:rsidR="00F0090B" w:rsidRDefault="00F0090B">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F0090B" w14:paraId="41EF6459" w14:textId="77777777">
      <w:tc>
        <w:tcPr>
          <w:tcW w:w="6634" w:type="dxa"/>
          <w:tcBorders>
            <w:top w:val="single" w:sz="6" w:space="0" w:color="auto"/>
          </w:tcBorders>
        </w:tcPr>
        <w:p w14:paraId="510016AB" w14:textId="0E78D4D1" w:rsidR="00F0090B" w:rsidRDefault="007F0357">
          <w:pPr>
            <w:pStyle w:val="HeaderOdd"/>
          </w:pPr>
          <w:r>
            <w:rPr>
              <w:noProof/>
            </w:rPr>
            <w:pict w14:anchorId="7C38148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474414" o:spid="_x0000_s111619" type="#_x0000_t136" style="position:absolute;margin-left:0;margin-top:0;width:442.55pt;height:177pt;rotation:315;z-index:-251653120;mso-position-horizontal:center;mso-position-horizontal-relative:margin;mso-position-vertical:center;mso-position-vertical-relative:margin" o:allowincell="f" fillcolor="silver" stroked="f">
                <v:fill opacity=".5"/>
                <v:textpath style="font-family:&quot;arial&quot;;font-size:1pt" string="DRAFT"/>
              </v:shape>
            </w:pict>
          </w:r>
          <w:r w:rsidR="00932A0C">
            <w:rPr>
              <w:color w:val="FF0000"/>
              <w:sz w:val="14"/>
              <w:szCs w:val="14"/>
            </w:rPr>
            <w:t>draft report: For final outcomes of this project refer to the inquiry report.</w:t>
          </w:r>
        </w:p>
      </w:tc>
      <w:tc>
        <w:tcPr>
          <w:tcW w:w="2155" w:type="dxa"/>
          <w:tcBorders>
            <w:top w:val="single" w:sz="24" w:space="0" w:color="auto"/>
          </w:tcBorders>
        </w:tcPr>
        <w:p w14:paraId="0B727B43" w14:textId="77777777" w:rsidR="00F0090B" w:rsidRDefault="00F0090B">
          <w:pPr>
            <w:pStyle w:val="HeaderOdd"/>
          </w:pPr>
        </w:p>
      </w:tc>
    </w:tr>
  </w:tbl>
  <w:p w14:paraId="17E98E37" w14:textId="77777777" w:rsidR="00F0090B" w:rsidRDefault="00F0090B">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A8E926" w14:textId="0DBB3991" w:rsidR="00932A0C" w:rsidRDefault="007F0357">
    <w:pPr>
      <w:pStyle w:val="Header"/>
    </w:pPr>
    <w:r>
      <w:rPr>
        <w:noProof/>
      </w:rPr>
      <w:pict w14:anchorId="5ECA30B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474412" o:spid="_x0000_s111617" type="#_x0000_t136" style="position:absolute;margin-left:0;margin-top:0;width:442.55pt;height:177pt;rotation:315;z-index:-25165721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2A2F9A" w14:textId="73ACDC65" w:rsidR="00F0090B" w:rsidRDefault="007F0357">
    <w:pPr>
      <w:pStyle w:val="HeaderEnd"/>
    </w:pPr>
    <w:r>
      <w:rPr>
        <w:noProof/>
      </w:rPr>
      <w:pict w14:anchorId="78586F2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474416" o:spid="_x0000_s111621" type="#_x0000_t136" style="position:absolute;margin-left:0;margin-top:0;width:442.55pt;height:177pt;rotation:315;z-index:-25164902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99AC4C" w14:textId="5A88D19D" w:rsidR="00F0090B" w:rsidRDefault="007F0357">
    <w:pPr>
      <w:pStyle w:val="HeaderEnd"/>
    </w:pPr>
    <w:r>
      <w:rPr>
        <w:noProof/>
      </w:rPr>
      <w:pict w14:anchorId="553E85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474417" o:spid="_x0000_s111622" type="#_x0000_t136" style="position:absolute;margin-left:0;margin-top:0;width:442.55pt;height:177pt;rotation:315;z-index:-25164697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922148" w14:textId="4830D0B0" w:rsidR="007F0357" w:rsidRDefault="007F0357">
    <w:pPr>
      <w:pStyle w:val="Header"/>
    </w:pPr>
    <w:r>
      <w:rPr>
        <w:noProof/>
      </w:rPr>
      <w:pict w14:anchorId="4CCBF98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474415" o:spid="_x0000_s111620" type="#_x0000_t136" style="position:absolute;margin-left:0;margin-top:0;width:442.55pt;height:177pt;rotation:315;z-index:-25165107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F0090B" w14:paraId="1E019831" w14:textId="77777777">
      <w:tc>
        <w:tcPr>
          <w:tcW w:w="2155" w:type="dxa"/>
          <w:tcBorders>
            <w:top w:val="single" w:sz="24" w:space="0" w:color="auto"/>
          </w:tcBorders>
        </w:tcPr>
        <w:p w14:paraId="455736FC" w14:textId="52E5D385" w:rsidR="00F0090B" w:rsidRDefault="007F0357" w:rsidP="0019293B">
          <w:pPr>
            <w:pStyle w:val="HeaderEven"/>
          </w:pPr>
          <w:r>
            <w:rPr>
              <w:noProof/>
            </w:rPr>
            <w:pict w14:anchorId="10060B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474419" o:spid="_x0000_s111624" type="#_x0000_t136" style="position:absolute;margin-left:0;margin-top:0;width:442.55pt;height:177pt;rotation:315;z-index:-25164288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4" w:type="dxa"/>
          <w:tcBorders>
            <w:top w:val="single" w:sz="6" w:space="0" w:color="auto"/>
          </w:tcBorders>
        </w:tcPr>
        <w:p w14:paraId="3DE53A7D" w14:textId="7D3024FE" w:rsidR="00F0090B" w:rsidRDefault="00932A0C" w:rsidP="0019293B">
          <w:pPr>
            <w:pStyle w:val="HeaderEven"/>
          </w:pPr>
          <w:r>
            <w:rPr>
              <w:color w:val="FF0000"/>
              <w:sz w:val="14"/>
              <w:szCs w:val="14"/>
            </w:rPr>
            <w:t>draft report: For final outcomes of this project refer to the inquiry report.</w:t>
          </w:r>
          <w:bookmarkStart w:id="3" w:name="_GoBack"/>
          <w:bookmarkEnd w:id="3"/>
        </w:p>
      </w:tc>
    </w:tr>
  </w:tbl>
  <w:p w14:paraId="3E384DEB" w14:textId="77777777" w:rsidR="00F0090B" w:rsidRDefault="00F0090B" w:rsidP="0019293B">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F0090B" w14:paraId="70EC4335" w14:textId="77777777">
      <w:tc>
        <w:tcPr>
          <w:tcW w:w="6634" w:type="dxa"/>
          <w:tcBorders>
            <w:top w:val="single" w:sz="6" w:space="0" w:color="auto"/>
          </w:tcBorders>
        </w:tcPr>
        <w:p w14:paraId="79B48717" w14:textId="2202828D" w:rsidR="00F0090B" w:rsidRDefault="007F0357" w:rsidP="00E669E2">
          <w:pPr>
            <w:pStyle w:val="HeaderOdd"/>
          </w:pPr>
          <w:r>
            <w:rPr>
              <w:noProof/>
            </w:rPr>
            <w:pict w14:anchorId="2FEC945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474420" o:spid="_x0000_s111625" type="#_x0000_t136" style="position:absolute;margin-left:0;margin-top:0;width:442.55pt;height:177pt;rotation:315;z-index:-251640832;mso-position-horizontal:center;mso-position-horizontal-relative:margin;mso-position-vertical:center;mso-position-vertical-relative:margin" o:allowincell="f" fillcolor="silver" stroked="f">
                <v:fill opacity=".5"/>
                <v:textpath style="font-family:&quot;arial&quot;;font-size:1pt" string="DRAFT"/>
              </v:shape>
            </w:pict>
          </w:r>
          <w:r w:rsidR="00932A0C">
            <w:rPr>
              <w:color w:val="FF0000"/>
              <w:sz w:val="14"/>
              <w:szCs w:val="14"/>
            </w:rPr>
            <w:t>draft report: For final outcomes of this project refer to the inquiry report.</w:t>
          </w:r>
        </w:p>
      </w:tc>
      <w:tc>
        <w:tcPr>
          <w:tcW w:w="2155" w:type="dxa"/>
          <w:tcBorders>
            <w:top w:val="single" w:sz="24" w:space="0" w:color="auto"/>
          </w:tcBorders>
        </w:tcPr>
        <w:p w14:paraId="1DAF80C8" w14:textId="77777777" w:rsidR="00F0090B" w:rsidRDefault="00F0090B" w:rsidP="00E669E2">
          <w:pPr>
            <w:pStyle w:val="HeaderOdd"/>
          </w:pPr>
        </w:p>
      </w:tc>
    </w:tr>
  </w:tbl>
  <w:p w14:paraId="32DB3E31" w14:textId="77777777" w:rsidR="00F0090B" w:rsidRDefault="00F0090B" w:rsidP="00E669E2">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62BF07" w14:textId="21A04C59" w:rsidR="00F0090B" w:rsidRDefault="007F0357">
    <w:pPr>
      <w:pStyle w:val="Header"/>
    </w:pPr>
    <w:r>
      <w:rPr>
        <w:noProof/>
      </w:rPr>
      <w:pict w14:anchorId="07FD75E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474418" o:spid="_x0000_s111623" type="#_x0000_t136" style="position:absolute;margin-left:0;margin-top:0;width:442.55pt;height:177pt;rotation:315;z-index:-25164492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6">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7">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8">
    <w:nsid w:val="2C2667B5"/>
    <w:multiLevelType w:val="hybridMultilevel"/>
    <w:tmpl w:val="B62C2EAA"/>
    <w:lvl w:ilvl="0" w:tplc="B7FCE484">
      <w:start w:val="5"/>
      <w:numFmt w:val="bullet"/>
      <w:pStyle w:val="ListParagraphforEl"/>
      <w:lvlText w:val=""/>
      <w:lvlJc w:val="left"/>
      <w:pPr>
        <w:ind w:left="360" w:hanging="360"/>
      </w:pPr>
      <w:rPr>
        <w:rFonts w:ascii="Symbol" w:hAnsi="Symbol" w:hint="default"/>
        <w:sz w:val="20"/>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0">
    <w:nsid w:val="444B2CB9"/>
    <w:multiLevelType w:val="hybridMultilevel"/>
    <w:tmpl w:val="C6C0714C"/>
    <w:lvl w:ilvl="0" w:tplc="0C090019">
      <w:start w:val="1"/>
      <w:numFmt w:val="lowerLetter"/>
      <w:lvlText w:val="%1."/>
      <w:lvlJc w:val="left"/>
      <w:pPr>
        <w:ind w:left="1040" w:hanging="360"/>
      </w:pPr>
    </w:lvl>
    <w:lvl w:ilvl="1" w:tplc="0C090019" w:tentative="1">
      <w:start w:val="1"/>
      <w:numFmt w:val="lowerLetter"/>
      <w:lvlText w:val="%2."/>
      <w:lvlJc w:val="left"/>
      <w:pPr>
        <w:ind w:left="1760" w:hanging="360"/>
      </w:pPr>
    </w:lvl>
    <w:lvl w:ilvl="2" w:tplc="0C09001B" w:tentative="1">
      <w:start w:val="1"/>
      <w:numFmt w:val="lowerRoman"/>
      <w:lvlText w:val="%3."/>
      <w:lvlJc w:val="right"/>
      <w:pPr>
        <w:ind w:left="2480" w:hanging="180"/>
      </w:pPr>
    </w:lvl>
    <w:lvl w:ilvl="3" w:tplc="0C09000F" w:tentative="1">
      <w:start w:val="1"/>
      <w:numFmt w:val="decimal"/>
      <w:lvlText w:val="%4."/>
      <w:lvlJc w:val="left"/>
      <w:pPr>
        <w:ind w:left="3200" w:hanging="360"/>
      </w:pPr>
    </w:lvl>
    <w:lvl w:ilvl="4" w:tplc="0C090019" w:tentative="1">
      <w:start w:val="1"/>
      <w:numFmt w:val="lowerLetter"/>
      <w:lvlText w:val="%5."/>
      <w:lvlJc w:val="left"/>
      <w:pPr>
        <w:ind w:left="3920" w:hanging="360"/>
      </w:pPr>
    </w:lvl>
    <w:lvl w:ilvl="5" w:tplc="0C09001B" w:tentative="1">
      <w:start w:val="1"/>
      <w:numFmt w:val="lowerRoman"/>
      <w:lvlText w:val="%6."/>
      <w:lvlJc w:val="right"/>
      <w:pPr>
        <w:ind w:left="4640" w:hanging="180"/>
      </w:pPr>
    </w:lvl>
    <w:lvl w:ilvl="6" w:tplc="0C09000F" w:tentative="1">
      <w:start w:val="1"/>
      <w:numFmt w:val="decimal"/>
      <w:lvlText w:val="%7."/>
      <w:lvlJc w:val="left"/>
      <w:pPr>
        <w:ind w:left="5360" w:hanging="360"/>
      </w:pPr>
    </w:lvl>
    <w:lvl w:ilvl="7" w:tplc="0C090019" w:tentative="1">
      <w:start w:val="1"/>
      <w:numFmt w:val="lowerLetter"/>
      <w:lvlText w:val="%8."/>
      <w:lvlJc w:val="left"/>
      <w:pPr>
        <w:ind w:left="6080" w:hanging="360"/>
      </w:pPr>
    </w:lvl>
    <w:lvl w:ilvl="8" w:tplc="0C09001B" w:tentative="1">
      <w:start w:val="1"/>
      <w:numFmt w:val="lowerRoman"/>
      <w:lvlText w:val="%9."/>
      <w:lvlJc w:val="right"/>
      <w:pPr>
        <w:ind w:left="6800" w:hanging="180"/>
      </w:pPr>
    </w:lvl>
  </w:abstractNum>
  <w:abstractNum w:abstractNumId="11">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3">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4">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5">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6">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7">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18">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8"/>
  </w:num>
  <w:num w:numId="2">
    <w:abstractNumId w:val="10"/>
  </w:num>
  <w:num w:numId="3">
    <w:abstractNumId w:val="9"/>
  </w:num>
  <w:num w:numId="4">
    <w:abstractNumId w:val="2"/>
  </w:num>
  <w:num w:numId="5">
    <w:abstractNumId w:val="16"/>
  </w:num>
  <w:num w:numId="6">
    <w:abstractNumId w:val="15"/>
  </w:num>
  <w:num w:numId="7">
    <w:abstractNumId w:val="3"/>
  </w:num>
  <w:num w:numId="8">
    <w:abstractNumId w:val="7"/>
  </w:num>
  <w:num w:numId="9">
    <w:abstractNumId w:val="17"/>
  </w:num>
  <w:num w:numId="10">
    <w:abstractNumId w:val="12"/>
  </w:num>
  <w:num w:numId="11">
    <w:abstractNumId w:val="11"/>
  </w:num>
  <w:num w:numId="12">
    <w:abstractNumId w:val="0"/>
  </w:num>
  <w:num w:numId="13">
    <w:abstractNumId w:val="1"/>
  </w:num>
  <w:num w:numId="14">
    <w:abstractNumId w:val="4"/>
  </w:num>
  <w:num w:numId="15">
    <w:abstractNumId w:val="14"/>
  </w:num>
  <w:num w:numId="16">
    <w:abstractNumId w:val="18"/>
  </w:num>
  <w:num w:numId="17">
    <w:abstractNumId w:val="6"/>
  </w:num>
  <w:num w:numId="18">
    <w:abstractNumId w:val="5"/>
  </w:num>
  <w:num w:numId="19">
    <w:abstractNumId w:val="1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11626"/>
    <o:shapelayout v:ext="edit">
      <o:idmap v:ext="edit" data="109"/>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Heritage protection"/>
    <w:docVar w:name="ShortReportTitle" w:val="Resource exploration"/>
  </w:docVars>
  <w:rsids>
    <w:rsidRoot w:val="00C973B7"/>
    <w:rsid w:val="000012BA"/>
    <w:rsid w:val="000012EC"/>
    <w:rsid w:val="00002213"/>
    <w:rsid w:val="000027B1"/>
    <w:rsid w:val="00002DAD"/>
    <w:rsid w:val="0000374F"/>
    <w:rsid w:val="0000415D"/>
    <w:rsid w:val="00004597"/>
    <w:rsid w:val="000048F4"/>
    <w:rsid w:val="00004BCD"/>
    <w:rsid w:val="00005B98"/>
    <w:rsid w:val="00006034"/>
    <w:rsid w:val="00007270"/>
    <w:rsid w:val="00007D95"/>
    <w:rsid w:val="00010AB8"/>
    <w:rsid w:val="000111C5"/>
    <w:rsid w:val="00011353"/>
    <w:rsid w:val="00012BC7"/>
    <w:rsid w:val="0001308D"/>
    <w:rsid w:val="00013258"/>
    <w:rsid w:val="000136BD"/>
    <w:rsid w:val="00013B32"/>
    <w:rsid w:val="00013BE8"/>
    <w:rsid w:val="00013C97"/>
    <w:rsid w:val="00013E83"/>
    <w:rsid w:val="00014302"/>
    <w:rsid w:val="000143E1"/>
    <w:rsid w:val="00014843"/>
    <w:rsid w:val="000155A1"/>
    <w:rsid w:val="00016141"/>
    <w:rsid w:val="0002007F"/>
    <w:rsid w:val="000203D7"/>
    <w:rsid w:val="0002063D"/>
    <w:rsid w:val="00020E36"/>
    <w:rsid w:val="00021057"/>
    <w:rsid w:val="000212F6"/>
    <w:rsid w:val="000227D5"/>
    <w:rsid w:val="00022997"/>
    <w:rsid w:val="00022B49"/>
    <w:rsid w:val="00022D1F"/>
    <w:rsid w:val="00023022"/>
    <w:rsid w:val="000245AA"/>
    <w:rsid w:val="00024C17"/>
    <w:rsid w:val="00027067"/>
    <w:rsid w:val="00027DF1"/>
    <w:rsid w:val="0003079D"/>
    <w:rsid w:val="000307BD"/>
    <w:rsid w:val="0003098A"/>
    <w:rsid w:val="0003101C"/>
    <w:rsid w:val="000319CC"/>
    <w:rsid w:val="00031FC6"/>
    <w:rsid w:val="00032197"/>
    <w:rsid w:val="00032336"/>
    <w:rsid w:val="000325C4"/>
    <w:rsid w:val="000343F9"/>
    <w:rsid w:val="00034A9F"/>
    <w:rsid w:val="00034F47"/>
    <w:rsid w:val="00035875"/>
    <w:rsid w:val="00035EAE"/>
    <w:rsid w:val="00035ED8"/>
    <w:rsid w:val="0003664B"/>
    <w:rsid w:val="00036901"/>
    <w:rsid w:val="000375CE"/>
    <w:rsid w:val="0004026B"/>
    <w:rsid w:val="00040606"/>
    <w:rsid w:val="00040769"/>
    <w:rsid w:val="00040799"/>
    <w:rsid w:val="00040A19"/>
    <w:rsid w:val="00040A4C"/>
    <w:rsid w:val="0004111F"/>
    <w:rsid w:val="0004377D"/>
    <w:rsid w:val="00043979"/>
    <w:rsid w:val="00043FF9"/>
    <w:rsid w:val="0004421C"/>
    <w:rsid w:val="00044695"/>
    <w:rsid w:val="00044C2D"/>
    <w:rsid w:val="00044D1C"/>
    <w:rsid w:val="0004553F"/>
    <w:rsid w:val="00045E6C"/>
    <w:rsid w:val="00047799"/>
    <w:rsid w:val="00047846"/>
    <w:rsid w:val="00047C63"/>
    <w:rsid w:val="0005018F"/>
    <w:rsid w:val="000501B4"/>
    <w:rsid w:val="0005037C"/>
    <w:rsid w:val="00050724"/>
    <w:rsid w:val="00050DEA"/>
    <w:rsid w:val="00051542"/>
    <w:rsid w:val="0005193A"/>
    <w:rsid w:val="00051ADF"/>
    <w:rsid w:val="000536AA"/>
    <w:rsid w:val="00054AFD"/>
    <w:rsid w:val="000551E8"/>
    <w:rsid w:val="00055D0D"/>
    <w:rsid w:val="000565B3"/>
    <w:rsid w:val="00057ABA"/>
    <w:rsid w:val="00057D8A"/>
    <w:rsid w:val="00060826"/>
    <w:rsid w:val="000614E6"/>
    <w:rsid w:val="00061760"/>
    <w:rsid w:val="00061998"/>
    <w:rsid w:val="00061A51"/>
    <w:rsid w:val="0006241A"/>
    <w:rsid w:val="00063619"/>
    <w:rsid w:val="00064022"/>
    <w:rsid w:val="00064086"/>
    <w:rsid w:val="00065516"/>
    <w:rsid w:val="000656DA"/>
    <w:rsid w:val="000659F6"/>
    <w:rsid w:val="00065DA5"/>
    <w:rsid w:val="000673D1"/>
    <w:rsid w:val="000676C9"/>
    <w:rsid w:val="00070109"/>
    <w:rsid w:val="00070910"/>
    <w:rsid w:val="00070CFD"/>
    <w:rsid w:val="0007142D"/>
    <w:rsid w:val="0007148C"/>
    <w:rsid w:val="0007150B"/>
    <w:rsid w:val="0007174A"/>
    <w:rsid w:val="00071C55"/>
    <w:rsid w:val="000722AD"/>
    <w:rsid w:val="000734AF"/>
    <w:rsid w:val="00073D5C"/>
    <w:rsid w:val="0007486A"/>
    <w:rsid w:val="00075A64"/>
    <w:rsid w:val="000765EA"/>
    <w:rsid w:val="0007699C"/>
    <w:rsid w:val="00076BF2"/>
    <w:rsid w:val="00077751"/>
    <w:rsid w:val="0008031C"/>
    <w:rsid w:val="0008086A"/>
    <w:rsid w:val="0008123E"/>
    <w:rsid w:val="0008209F"/>
    <w:rsid w:val="00082368"/>
    <w:rsid w:val="000830B5"/>
    <w:rsid w:val="00083169"/>
    <w:rsid w:val="000837C6"/>
    <w:rsid w:val="000843E8"/>
    <w:rsid w:val="000858BC"/>
    <w:rsid w:val="00086234"/>
    <w:rsid w:val="000863F4"/>
    <w:rsid w:val="00086467"/>
    <w:rsid w:val="0008651C"/>
    <w:rsid w:val="000867E3"/>
    <w:rsid w:val="000869ED"/>
    <w:rsid w:val="00086BCC"/>
    <w:rsid w:val="000870A0"/>
    <w:rsid w:val="000877CF"/>
    <w:rsid w:val="000903AC"/>
    <w:rsid w:val="000915F2"/>
    <w:rsid w:val="00091AA8"/>
    <w:rsid w:val="0009265D"/>
    <w:rsid w:val="0009329F"/>
    <w:rsid w:val="000937F8"/>
    <w:rsid w:val="000938F5"/>
    <w:rsid w:val="00093F63"/>
    <w:rsid w:val="00094148"/>
    <w:rsid w:val="00094220"/>
    <w:rsid w:val="000943D9"/>
    <w:rsid w:val="00094E68"/>
    <w:rsid w:val="00094E6B"/>
    <w:rsid w:val="00095406"/>
    <w:rsid w:val="00095C5A"/>
    <w:rsid w:val="0009631B"/>
    <w:rsid w:val="00096E55"/>
    <w:rsid w:val="000976AA"/>
    <w:rsid w:val="00097D70"/>
    <w:rsid w:val="000A00E0"/>
    <w:rsid w:val="000A01CA"/>
    <w:rsid w:val="000A050D"/>
    <w:rsid w:val="000A0AD4"/>
    <w:rsid w:val="000A1AE2"/>
    <w:rsid w:val="000A1ED7"/>
    <w:rsid w:val="000A2057"/>
    <w:rsid w:val="000A2739"/>
    <w:rsid w:val="000A312D"/>
    <w:rsid w:val="000A360B"/>
    <w:rsid w:val="000A375F"/>
    <w:rsid w:val="000A3AFA"/>
    <w:rsid w:val="000A3DAD"/>
    <w:rsid w:val="000A3F7F"/>
    <w:rsid w:val="000A4854"/>
    <w:rsid w:val="000A4A5D"/>
    <w:rsid w:val="000A69D5"/>
    <w:rsid w:val="000A7740"/>
    <w:rsid w:val="000A7977"/>
    <w:rsid w:val="000B0387"/>
    <w:rsid w:val="000B0653"/>
    <w:rsid w:val="000B0751"/>
    <w:rsid w:val="000B0EE6"/>
    <w:rsid w:val="000B158D"/>
    <w:rsid w:val="000B187D"/>
    <w:rsid w:val="000B26FB"/>
    <w:rsid w:val="000B5750"/>
    <w:rsid w:val="000B5C21"/>
    <w:rsid w:val="000B601B"/>
    <w:rsid w:val="000B67E1"/>
    <w:rsid w:val="000B711F"/>
    <w:rsid w:val="000B749B"/>
    <w:rsid w:val="000B7C01"/>
    <w:rsid w:val="000C049A"/>
    <w:rsid w:val="000C179D"/>
    <w:rsid w:val="000C207E"/>
    <w:rsid w:val="000C21C4"/>
    <w:rsid w:val="000C268D"/>
    <w:rsid w:val="000C28D5"/>
    <w:rsid w:val="000C2A49"/>
    <w:rsid w:val="000C3564"/>
    <w:rsid w:val="000C3571"/>
    <w:rsid w:val="000C4270"/>
    <w:rsid w:val="000C44BA"/>
    <w:rsid w:val="000C4888"/>
    <w:rsid w:val="000C4DCF"/>
    <w:rsid w:val="000C5518"/>
    <w:rsid w:val="000C5E45"/>
    <w:rsid w:val="000C7F66"/>
    <w:rsid w:val="000D0E98"/>
    <w:rsid w:val="000D0FD5"/>
    <w:rsid w:val="000D1B19"/>
    <w:rsid w:val="000D216C"/>
    <w:rsid w:val="000D45EF"/>
    <w:rsid w:val="000D525F"/>
    <w:rsid w:val="000D5F52"/>
    <w:rsid w:val="000D6D2D"/>
    <w:rsid w:val="000D703E"/>
    <w:rsid w:val="000D710F"/>
    <w:rsid w:val="000D7CF1"/>
    <w:rsid w:val="000E0019"/>
    <w:rsid w:val="000E02F0"/>
    <w:rsid w:val="000E0445"/>
    <w:rsid w:val="000E09C9"/>
    <w:rsid w:val="000E1891"/>
    <w:rsid w:val="000E2496"/>
    <w:rsid w:val="000E34B4"/>
    <w:rsid w:val="000E35BC"/>
    <w:rsid w:val="000E36F2"/>
    <w:rsid w:val="000E550B"/>
    <w:rsid w:val="000E5FEE"/>
    <w:rsid w:val="000E65F4"/>
    <w:rsid w:val="000E72BD"/>
    <w:rsid w:val="000E75FD"/>
    <w:rsid w:val="000E7D75"/>
    <w:rsid w:val="000F0035"/>
    <w:rsid w:val="000F14A6"/>
    <w:rsid w:val="000F171F"/>
    <w:rsid w:val="000F20B9"/>
    <w:rsid w:val="000F2A45"/>
    <w:rsid w:val="000F2FEA"/>
    <w:rsid w:val="000F420B"/>
    <w:rsid w:val="000F42A2"/>
    <w:rsid w:val="000F646D"/>
    <w:rsid w:val="000F7416"/>
    <w:rsid w:val="000F7E7E"/>
    <w:rsid w:val="00100EDE"/>
    <w:rsid w:val="0010119C"/>
    <w:rsid w:val="0010261D"/>
    <w:rsid w:val="00104B74"/>
    <w:rsid w:val="001056F3"/>
    <w:rsid w:val="0010662D"/>
    <w:rsid w:val="00110116"/>
    <w:rsid w:val="001109AF"/>
    <w:rsid w:val="001112BA"/>
    <w:rsid w:val="001117E1"/>
    <w:rsid w:val="00111DB3"/>
    <w:rsid w:val="001129E5"/>
    <w:rsid w:val="00112BD2"/>
    <w:rsid w:val="00113D43"/>
    <w:rsid w:val="001149B8"/>
    <w:rsid w:val="00114F60"/>
    <w:rsid w:val="00115BE7"/>
    <w:rsid w:val="00115F3D"/>
    <w:rsid w:val="001164A7"/>
    <w:rsid w:val="00116875"/>
    <w:rsid w:val="00116A2F"/>
    <w:rsid w:val="00116A3F"/>
    <w:rsid w:val="00116F71"/>
    <w:rsid w:val="0011701B"/>
    <w:rsid w:val="00117F2D"/>
    <w:rsid w:val="00120072"/>
    <w:rsid w:val="00120AA3"/>
    <w:rsid w:val="0012129E"/>
    <w:rsid w:val="001213DD"/>
    <w:rsid w:val="00121608"/>
    <w:rsid w:val="0012179A"/>
    <w:rsid w:val="00121F5A"/>
    <w:rsid w:val="00121FD9"/>
    <w:rsid w:val="0012282D"/>
    <w:rsid w:val="001231F8"/>
    <w:rsid w:val="00123B44"/>
    <w:rsid w:val="00124C7C"/>
    <w:rsid w:val="00124E43"/>
    <w:rsid w:val="00126682"/>
    <w:rsid w:val="00126BE2"/>
    <w:rsid w:val="00126EB8"/>
    <w:rsid w:val="001274D4"/>
    <w:rsid w:val="001276A3"/>
    <w:rsid w:val="00130D77"/>
    <w:rsid w:val="001313AC"/>
    <w:rsid w:val="00131ED8"/>
    <w:rsid w:val="00132553"/>
    <w:rsid w:val="00132736"/>
    <w:rsid w:val="00132F28"/>
    <w:rsid w:val="0013323F"/>
    <w:rsid w:val="00133499"/>
    <w:rsid w:val="00133899"/>
    <w:rsid w:val="00133A2C"/>
    <w:rsid w:val="00134780"/>
    <w:rsid w:val="00134D14"/>
    <w:rsid w:val="00135803"/>
    <w:rsid w:val="00135C0F"/>
    <w:rsid w:val="001363AA"/>
    <w:rsid w:val="00137190"/>
    <w:rsid w:val="0013755A"/>
    <w:rsid w:val="001376F9"/>
    <w:rsid w:val="00140B8D"/>
    <w:rsid w:val="0014183C"/>
    <w:rsid w:val="00141E86"/>
    <w:rsid w:val="001426C8"/>
    <w:rsid w:val="00142996"/>
    <w:rsid w:val="00143A51"/>
    <w:rsid w:val="001445C5"/>
    <w:rsid w:val="00144D1B"/>
    <w:rsid w:val="00145C11"/>
    <w:rsid w:val="001460EC"/>
    <w:rsid w:val="001466C4"/>
    <w:rsid w:val="00146C71"/>
    <w:rsid w:val="001474F6"/>
    <w:rsid w:val="00150EED"/>
    <w:rsid w:val="001512F2"/>
    <w:rsid w:val="00151793"/>
    <w:rsid w:val="001519B1"/>
    <w:rsid w:val="00151B45"/>
    <w:rsid w:val="00151BCE"/>
    <w:rsid w:val="0015201C"/>
    <w:rsid w:val="001527FC"/>
    <w:rsid w:val="00153913"/>
    <w:rsid w:val="00153961"/>
    <w:rsid w:val="00153C75"/>
    <w:rsid w:val="00155093"/>
    <w:rsid w:val="00155219"/>
    <w:rsid w:val="00160F89"/>
    <w:rsid w:val="00161156"/>
    <w:rsid w:val="00161516"/>
    <w:rsid w:val="00161E78"/>
    <w:rsid w:val="0016310D"/>
    <w:rsid w:val="00163AD0"/>
    <w:rsid w:val="00164A88"/>
    <w:rsid w:val="001651B8"/>
    <w:rsid w:val="00165B77"/>
    <w:rsid w:val="00165E25"/>
    <w:rsid w:val="00165E8A"/>
    <w:rsid w:val="00166B52"/>
    <w:rsid w:val="00166CE8"/>
    <w:rsid w:val="00166DDF"/>
    <w:rsid w:val="001675D2"/>
    <w:rsid w:val="00170086"/>
    <w:rsid w:val="001718E7"/>
    <w:rsid w:val="00171CC1"/>
    <w:rsid w:val="00172EBF"/>
    <w:rsid w:val="00173772"/>
    <w:rsid w:val="00173E90"/>
    <w:rsid w:val="00176996"/>
    <w:rsid w:val="00176B08"/>
    <w:rsid w:val="001775F5"/>
    <w:rsid w:val="0018036F"/>
    <w:rsid w:val="00180BE8"/>
    <w:rsid w:val="001813D0"/>
    <w:rsid w:val="0018222A"/>
    <w:rsid w:val="00182BF3"/>
    <w:rsid w:val="00183E82"/>
    <w:rsid w:val="0018411F"/>
    <w:rsid w:val="00185FAF"/>
    <w:rsid w:val="00186889"/>
    <w:rsid w:val="001878BB"/>
    <w:rsid w:val="00190014"/>
    <w:rsid w:val="001901F2"/>
    <w:rsid w:val="00190333"/>
    <w:rsid w:val="001916C0"/>
    <w:rsid w:val="00191AE0"/>
    <w:rsid w:val="00192769"/>
    <w:rsid w:val="0019293B"/>
    <w:rsid w:val="00192C14"/>
    <w:rsid w:val="00194D15"/>
    <w:rsid w:val="00195945"/>
    <w:rsid w:val="00195EA3"/>
    <w:rsid w:val="00195FF1"/>
    <w:rsid w:val="00196AA8"/>
    <w:rsid w:val="00196CB8"/>
    <w:rsid w:val="00197B7E"/>
    <w:rsid w:val="001A0E16"/>
    <w:rsid w:val="001A16C9"/>
    <w:rsid w:val="001A1864"/>
    <w:rsid w:val="001A2542"/>
    <w:rsid w:val="001A2C8A"/>
    <w:rsid w:val="001A2D25"/>
    <w:rsid w:val="001A681F"/>
    <w:rsid w:val="001A6DF1"/>
    <w:rsid w:val="001B0B56"/>
    <w:rsid w:val="001B170C"/>
    <w:rsid w:val="001B3184"/>
    <w:rsid w:val="001B3FE9"/>
    <w:rsid w:val="001B47F8"/>
    <w:rsid w:val="001B487D"/>
    <w:rsid w:val="001B53F4"/>
    <w:rsid w:val="001B59A0"/>
    <w:rsid w:val="001B5F90"/>
    <w:rsid w:val="001B600D"/>
    <w:rsid w:val="001B62AA"/>
    <w:rsid w:val="001B69A3"/>
    <w:rsid w:val="001C0865"/>
    <w:rsid w:val="001C11AD"/>
    <w:rsid w:val="001C2E62"/>
    <w:rsid w:val="001C33FC"/>
    <w:rsid w:val="001C37A8"/>
    <w:rsid w:val="001C3ABA"/>
    <w:rsid w:val="001C3D19"/>
    <w:rsid w:val="001C3E1C"/>
    <w:rsid w:val="001C3E36"/>
    <w:rsid w:val="001C4E23"/>
    <w:rsid w:val="001C6373"/>
    <w:rsid w:val="001C6A88"/>
    <w:rsid w:val="001D0085"/>
    <w:rsid w:val="001D11FD"/>
    <w:rsid w:val="001D2B6A"/>
    <w:rsid w:val="001D3301"/>
    <w:rsid w:val="001D3967"/>
    <w:rsid w:val="001D4B33"/>
    <w:rsid w:val="001D53A4"/>
    <w:rsid w:val="001D5933"/>
    <w:rsid w:val="001E0413"/>
    <w:rsid w:val="001E06FE"/>
    <w:rsid w:val="001E15F5"/>
    <w:rsid w:val="001E22C7"/>
    <w:rsid w:val="001E2446"/>
    <w:rsid w:val="001E283C"/>
    <w:rsid w:val="001E2CD5"/>
    <w:rsid w:val="001E361C"/>
    <w:rsid w:val="001E3D39"/>
    <w:rsid w:val="001E5535"/>
    <w:rsid w:val="001E62B6"/>
    <w:rsid w:val="001E7BE8"/>
    <w:rsid w:val="001F0248"/>
    <w:rsid w:val="001F055C"/>
    <w:rsid w:val="001F0956"/>
    <w:rsid w:val="001F1444"/>
    <w:rsid w:val="001F1558"/>
    <w:rsid w:val="001F174C"/>
    <w:rsid w:val="001F3EB3"/>
    <w:rsid w:val="001F4F86"/>
    <w:rsid w:val="001F6A7F"/>
    <w:rsid w:val="001F6F34"/>
    <w:rsid w:val="001F7463"/>
    <w:rsid w:val="002010AC"/>
    <w:rsid w:val="002011CC"/>
    <w:rsid w:val="00201651"/>
    <w:rsid w:val="00202C2C"/>
    <w:rsid w:val="002033B4"/>
    <w:rsid w:val="0020351F"/>
    <w:rsid w:val="002037EA"/>
    <w:rsid w:val="0020387F"/>
    <w:rsid w:val="00203DFB"/>
    <w:rsid w:val="00204BEC"/>
    <w:rsid w:val="00204E5D"/>
    <w:rsid w:val="002054C3"/>
    <w:rsid w:val="00206120"/>
    <w:rsid w:val="0020614E"/>
    <w:rsid w:val="00207476"/>
    <w:rsid w:val="00207511"/>
    <w:rsid w:val="00207563"/>
    <w:rsid w:val="0020784A"/>
    <w:rsid w:val="00207C42"/>
    <w:rsid w:val="00207DE1"/>
    <w:rsid w:val="00210460"/>
    <w:rsid w:val="00211AC3"/>
    <w:rsid w:val="00211FB1"/>
    <w:rsid w:val="002135AB"/>
    <w:rsid w:val="002144BE"/>
    <w:rsid w:val="00214B38"/>
    <w:rsid w:val="0021551A"/>
    <w:rsid w:val="0021601D"/>
    <w:rsid w:val="00216C5D"/>
    <w:rsid w:val="00216D33"/>
    <w:rsid w:val="00220A2E"/>
    <w:rsid w:val="00221018"/>
    <w:rsid w:val="002211BF"/>
    <w:rsid w:val="002219D7"/>
    <w:rsid w:val="0022399A"/>
    <w:rsid w:val="00224260"/>
    <w:rsid w:val="00224694"/>
    <w:rsid w:val="00225B77"/>
    <w:rsid w:val="00225C4C"/>
    <w:rsid w:val="002274CA"/>
    <w:rsid w:val="002316E3"/>
    <w:rsid w:val="00232290"/>
    <w:rsid w:val="0023349B"/>
    <w:rsid w:val="00233B9D"/>
    <w:rsid w:val="00233BAF"/>
    <w:rsid w:val="0023415E"/>
    <w:rsid w:val="0023505A"/>
    <w:rsid w:val="002353F4"/>
    <w:rsid w:val="0023569A"/>
    <w:rsid w:val="00236AE8"/>
    <w:rsid w:val="002370E5"/>
    <w:rsid w:val="00237826"/>
    <w:rsid w:val="0023792E"/>
    <w:rsid w:val="00237EF8"/>
    <w:rsid w:val="00237F03"/>
    <w:rsid w:val="002418DF"/>
    <w:rsid w:val="00241B6D"/>
    <w:rsid w:val="00242279"/>
    <w:rsid w:val="00243495"/>
    <w:rsid w:val="00243C75"/>
    <w:rsid w:val="002459E8"/>
    <w:rsid w:val="00245C82"/>
    <w:rsid w:val="00245E78"/>
    <w:rsid w:val="002464F6"/>
    <w:rsid w:val="00246ACC"/>
    <w:rsid w:val="0024743E"/>
    <w:rsid w:val="0025109F"/>
    <w:rsid w:val="00252A5E"/>
    <w:rsid w:val="002531FE"/>
    <w:rsid w:val="00253F7B"/>
    <w:rsid w:val="00254062"/>
    <w:rsid w:val="00254135"/>
    <w:rsid w:val="00255080"/>
    <w:rsid w:val="002553C4"/>
    <w:rsid w:val="002554F5"/>
    <w:rsid w:val="00256568"/>
    <w:rsid w:val="00256715"/>
    <w:rsid w:val="002574CC"/>
    <w:rsid w:val="00257555"/>
    <w:rsid w:val="00257641"/>
    <w:rsid w:val="00257BD4"/>
    <w:rsid w:val="00257EA2"/>
    <w:rsid w:val="00260208"/>
    <w:rsid w:val="00260462"/>
    <w:rsid w:val="00260AA8"/>
    <w:rsid w:val="00260F38"/>
    <w:rsid w:val="0026194E"/>
    <w:rsid w:val="00261E29"/>
    <w:rsid w:val="002626EE"/>
    <w:rsid w:val="002631DF"/>
    <w:rsid w:val="00263BDF"/>
    <w:rsid w:val="00264C2B"/>
    <w:rsid w:val="00265167"/>
    <w:rsid w:val="002657F5"/>
    <w:rsid w:val="002659FD"/>
    <w:rsid w:val="00265F67"/>
    <w:rsid w:val="00267010"/>
    <w:rsid w:val="00267EFB"/>
    <w:rsid w:val="0027031B"/>
    <w:rsid w:val="00270574"/>
    <w:rsid w:val="00270955"/>
    <w:rsid w:val="002714B6"/>
    <w:rsid w:val="00271AB9"/>
    <w:rsid w:val="00271B9D"/>
    <w:rsid w:val="00271E7B"/>
    <w:rsid w:val="002721A3"/>
    <w:rsid w:val="0027301C"/>
    <w:rsid w:val="00273C39"/>
    <w:rsid w:val="00273EEB"/>
    <w:rsid w:val="002745C9"/>
    <w:rsid w:val="0027494B"/>
    <w:rsid w:val="002749EF"/>
    <w:rsid w:val="00274FA9"/>
    <w:rsid w:val="00275593"/>
    <w:rsid w:val="002761A0"/>
    <w:rsid w:val="0027773D"/>
    <w:rsid w:val="00281929"/>
    <w:rsid w:val="00281D3D"/>
    <w:rsid w:val="00282C27"/>
    <w:rsid w:val="002839B2"/>
    <w:rsid w:val="002846A2"/>
    <w:rsid w:val="00285108"/>
    <w:rsid w:val="002875B0"/>
    <w:rsid w:val="00290586"/>
    <w:rsid w:val="0029061B"/>
    <w:rsid w:val="00290796"/>
    <w:rsid w:val="002919C0"/>
    <w:rsid w:val="00291AD7"/>
    <w:rsid w:val="00291B40"/>
    <w:rsid w:val="00291E42"/>
    <w:rsid w:val="00291F4F"/>
    <w:rsid w:val="00292616"/>
    <w:rsid w:val="00292C8A"/>
    <w:rsid w:val="00292E6A"/>
    <w:rsid w:val="00292E7D"/>
    <w:rsid w:val="002934FC"/>
    <w:rsid w:val="00293ECE"/>
    <w:rsid w:val="002949A9"/>
    <w:rsid w:val="002965E3"/>
    <w:rsid w:val="0029697A"/>
    <w:rsid w:val="00297DDD"/>
    <w:rsid w:val="002A0367"/>
    <w:rsid w:val="002A0947"/>
    <w:rsid w:val="002A0AA8"/>
    <w:rsid w:val="002A122C"/>
    <w:rsid w:val="002A1366"/>
    <w:rsid w:val="002A15E7"/>
    <w:rsid w:val="002A1947"/>
    <w:rsid w:val="002A1B29"/>
    <w:rsid w:val="002A23E1"/>
    <w:rsid w:val="002A2644"/>
    <w:rsid w:val="002A2FA9"/>
    <w:rsid w:val="002A356C"/>
    <w:rsid w:val="002A3CF7"/>
    <w:rsid w:val="002A43E8"/>
    <w:rsid w:val="002A5626"/>
    <w:rsid w:val="002A7626"/>
    <w:rsid w:val="002A7CFC"/>
    <w:rsid w:val="002B12F7"/>
    <w:rsid w:val="002B1E1E"/>
    <w:rsid w:val="002B1FB5"/>
    <w:rsid w:val="002B2196"/>
    <w:rsid w:val="002B321E"/>
    <w:rsid w:val="002B3272"/>
    <w:rsid w:val="002B3DF2"/>
    <w:rsid w:val="002B4008"/>
    <w:rsid w:val="002B5FB8"/>
    <w:rsid w:val="002B7D19"/>
    <w:rsid w:val="002C0543"/>
    <w:rsid w:val="002C0778"/>
    <w:rsid w:val="002C13E2"/>
    <w:rsid w:val="002C1DDA"/>
    <w:rsid w:val="002C2244"/>
    <w:rsid w:val="002C25BA"/>
    <w:rsid w:val="002C27C7"/>
    <w:rsid w:val="002C2DC0"/>
    <w:rsid w:val="002C3448"/>
    <w:rsid w:val="002C3940"/>
    <w:rsid w:val="002C50B2"/>
    <w:rsid w:val="002C5270"/>
    <w:rsid w:val="002C53CE"/>
    <w:rsid w:val="002C5782"/>
    <w:rsid w:val="002C6321"/>
    <w:rsid w:val="002C6CF3"/>
    <w:rsid w:val="002C6FAB"/>
    <w:rsid w:val="002D0D9F"/>
    <w:rsid w:val="002D0E8E"/>
    <w:rsid w:val="002D1C2E"/>
    <w:rsid w:val="002D1D91"/>
    <w:rsid w:val="002D298F"/>
    <w:rsid w:val="002D2B6A"/>
    <w:rsid w:val="002D3224"/>
    <w:rsid w:val="002D34EC"/>
    <w:rsid w:val="002D381F"/>
    <w:rsid w:val="002D3B5B"/>
    <w:rsid w:val="002D3C62"/>
    <w:rsid w:val="002D440A"/>
    <w:rsid w:val="002D48D3"/>
    <w:rsid w:val="002D4D35"/>
    <w:rsid w:val="002D5390"/>
    <w:rsid w:val="002D61D9"/>
    <w:rsid w:val="002D679C"/>
    <w:rsid w:val="002D67B6"/>
    <w:rsid w:val="002D77DB"/>
    <w:rsid w:val="002D7F42"/>
    <w:rsid w:val="002E1D8C"/>
    <w:rsid w:val="002E237E"/>
    <w:rsid w:val="002E297A"/>
    <w:rsid w:val="002E2A6C"/>
    <w:rsid w:val="002E2B44"/>
    <w:rsid w:val="002E3FCC"/>
    <w:rsid w:val="002E4441"/>
    <w:rsid w:val="002E4AF4"/>
    <w:rsid w:val="002E50AF"/>
    <w:rsid w:val="002E5F52"/>
    <w:rsid w:val="002E6780"/>
    <w:rsid w:val="002E6D69"/>
    <w:rsid w:val="002E7DAB"/>
    <w:rsid w:val="002F0739"/>
    <w:rsid w:val="002F0A9E"/>
    <w:rsid w:val="002F1B61"/>
    <w:rsid w:val="002F1D28"/>
    <w:rsid w:val="002F2DBE"/>
    <w:rsid w:val="002F3130"/>
    <w:rsid w:val="002F3154"/>
    <w:rsid w:val="002F4896"/>
    <w:rsid w:val="002F623B"/>
    <w:rsid w:val="002F62C7"/>
    <w:rsid w:val="002F6386"/>
    <w:rsid w:val="002F7FC0"/>
    <w:rsid w:val="0030057C"/>
    <w:rsid w:val="003008CA"/>
    <w:rsid w:val="00301189"/>
    <w:rsid w:val="003015CF"/>
    <w:rsid w:val="00301AFB"/>
    <w:rsid w:val="00302591"/>
    <w:rsid w:val="003027A3"/>
    <w:rsid w:val="00302802"/>
    <w:rsid w:val="00303149"/>
    <w:rsid w:val="00303E30"/>
    <w:rsid w:val="0030499E"/>
    <w:rsid w:val="00304B39"/>
    <w:rsid w:val="00306413"/>
    <w:rsid w:val="00306C7B"/>
    <w:rsid w:val="00307E79"/>
    <w:rsid w:val="00310339"/>
    <w:rsid w:val="00311800"/>
    <w:rsid w:val="00311F1C"/>
    <w:rsid w:val="003141D6"/>
    <w:rsid w:val="0031469A"/>
    <w:rsid w:val="00314F93"/>
    <w:rsid w:val="00315568"/>
    <w:rsid w:val="00315A7E"/>
    <w:rsid w:val="00316C9A"/>
    <w:rsid w:val="00316E9F"/>
    <w:rsid w:val="0031744F"/>
    <w:rsid w:val="00317492"/>
    <w:rsid w:val="0032043F"/>
    <w:rsid w:val="003229FA"/>
    <w:rsid w:val="00322E17"/>
    <w:rsid w:val="003237B1"/>
    <w:rsid w:val="00323985"/>
    <w:rsid w:val="00323E09"/>
    <w:rsid w:val="00323E76"/>
    <w:rsid w:val="00323F16"/>
    <w:rsid w:val="00324427"/>
    <w:rsid w:val="0032493D"/>
    <w:rsid w:val="0032497B"/>
    <w:rsid w:val="00324AF8"/>
    <w:rsid w:val="00324EBA"/>
    <w:rsid w:val="00325110"/>
    <w:rsid w:val="00325561"/>
    <w:rsid w:val="003257B3"/>
    <w:rsid w:val="003276FD"/>
    <w:rsid w:val="003279BB"/>
    <w:rsid w:val="00327AFF"/>
    <w:rsid w:val="00327EFD"/>
    <w:rsid w:val="00330BB5"/>
    <w:rsid w:val="00330C08"/>
    <w:rsid w:val="00330D93"/>
    <w:rsid w:val="00330DAC"/>
    <w:rsid w:val="00330F46"/>
    <w:rsid w:val="003310F2"/>
    <w:rsid w:val="00331BD6"/>
    <w:rsid w:val="00332E00"/>
    <w:rsid w:val="00333932"/>
    <w:rsid w:val="00334A9F"/>
    <w:rsid w:val="00334BFD"/>
    <w:rsid w:val="0033524A"/>
    <w:rsid w:val="0033599E"/>
    <w:rsid w:val="0033621A"/>
    <w:rsid w:val="00336AA4"/>
    <w:rsid w:val="00340326"/>
    <w:rsid w:val="003409B0"/>
    <w:rsid w:val="00340BD8"/>
    <w:rsid w:val="00340E88"/>
    <w:rsid w:val="00340FA1"/>
    <w:rsid w:val="0034135E"/>
    <w:rsid w:val="003419F9"/>
    <w:rsid w:val="003423C5"/>
    <w:rsid w:val="0034265F"/>
    <w:rsid w:val="003437E7"/>
    <w:rsid w:val="00343E8C"/>
    <w:rsid w:val="00344B8F"/>
    <w:rsid w:val="003456FC"/>
    <w:rsid w:val="00345A7F"/>
    <w:rsid w:val="00346F49"/>
    <w:rsid w:val="00347C44"/>
    <w:rsid w:val="003503F8"/>
    <w:rsid w:val="0035070B"/>
    <w:rsid w:val="00350B8E"/>
    <w:rsid w:val="003511B6"/>
    <w:rsid w:val="003514E9"/>
    <w:rsid w:val="003518AA"/>
    <w:rsid w:val="00351938"/>
    <w:rsid w:val="00351CC0"/>
    <w:rsid w:val="00352165"/>
    <w:rsid w:val="00352D3A"/>
    <w:rsid w:val="00353182"/>
    <w:rsid w:val="00353400"/>
    <w:rsid w:val="003536E2"/>
    <w:rsid w:val="00353D57"/>
    <w:rsid w:val="0035477B"/>
    <w:rsid w:val="00354EAB"/>
    <w:rsid w:val="00355454"/>
    <w:rsid w:val="0035612F"/>
    <w:rsid w:val="003565D9"/>
    <w:rsid w:val="00356698"/>
    <w:rsid w:val="00356785"/>
    <w:rsid w:val="00356AF1"/>
    <w:rsid w:val="00356E63"/>
    <w:rsid w:val="00357531"/>
    <w:rsid w:val="003602E1"/>
    <w:rsid w:val="00361742"/>
    <w:rsid w:val="0036264F"/>
    <w:rsid w:val="00362CE5"/>
    <w:rsid w:val="00363B0F"/>
    <w:rsid w:val="00363B53"/>
    <w:rsid w:val="00363CD1"/>
    <w:rsid w:val="00364998"/>
    <w:rsid w:val="00364BA4"/>
    <w:rsid w:val="00364F70"/>
    <w:rsid w:val="00365123"/>
    <w:rsid w:val="00365820"/>
    <w:rsid w:val="00365A67"/>
    <w:rsid w:val="00365C27"/>
    <w:rsid w:val="00366798"/>
    <w:rsid w:val="00367710"/>
    <w:rsid w:val="0037026F"/>
    <w:rsid w:val="00371240"/>
    <w:rsid w:val="00372C95"/>
    <w:rsid w:val="00372FFF"/>
    <w:rsid w:val="0037311E"/>
    <w:rsid w:val="00373121"/>
    <w:rsid w:val="00373706"/>
    <w:rsid w:val="00373B16"/>
    <w:rsid w:val="0037408D"/>
    <w:rsid w:val="00374731"/>
    <w:rsid w:val="0037590C"/>
    <w:rsid w:val="0037599B"/>
    <w:rsid w:val="00375DAA"/>
    <w:rsid w:val="00376397"/>
    <w:rsid w:val="003764CA"/>
    <w:rsid w:val="00376E59"/>
    <w:rsid w:val="003770F8"/>
    <w:rsid w:val="00377D69"/>
    <w:rsid w:val="0038003F"/>
    <w:rsid w:val="00380F37"/>
    <w:rsid w:val="003810A8"/>
    <w:rsid w:val="00383234"/>
    <w:rsid w:val="0038328E"/>
    <w:rsid w:val="003853C0"/>
    <w:rsid w:val="003853CD"/>
    <w:rsid w:val="0038554F"/>
    <w:rsid w:val="003870FA"/>
    <w:rsid w:val="00387261"/>
    <w:rsid w:val="00387E33"/>
    <w:rsid w:val="00387ECE"/>
    <w:rsid w:val="00390AA8"/>
    <w:rsid w:val="00390D46"/>
    <w:rsid w:val="0039113F"/>
    <w:rsid w:val="0039133A"/>
    <w:rsid w:val="00391388"/>
    <w:rsid w:val="003919F9"/>
    <w:rsid w:val="00391DF0"/>
    <w:rsid w:val="00392241"/>
    <w:rsid w:val="003928FD"/>
    <w:rsid w:val="0039327B"/>
    <w:rsid w:val="003932F8"/>
    <w:rsid w:val="0039359C"/>
    <w:rsid w:val="003935A6"/>
    <w:rsid w:val="00393B00"/>
    <w:rsid w:val="00394465"/>
    <w:rsid w:val="00394839"/>
    <w:rsid w:val="003949A3"/>
    <w:rsid w:val="0039530B"/>
    <w:rsid w:val="00395332"/>
    <w:rsid w:val="0039748D"/>
    <w:rsid w:val="003976BB"/>
    <w:rsid w:val="003A06C5"/>
    <w:rsid w:val="003A198B"/>
    <w:rsid w:val="003A24F6"/>
    <w:rsid w:val="003A25B0"/>
    <w:rsid w:val="003A29D5"/>
    <w:rsid w:val="003A3241"/>
    <w:rsid w:val="003A35C8"/>
    <w:rsid w:val="003A381F"/>
    <w:rsid w:val="003A3CD7"/>
    <w:rsid w:val="003A4858"/>
    <w:rsid w:val="003A5D74"/>
    <w:rsid w:val="003A5ED8"/>
    <w:rsid w:val="003A61B7"/>
    <w:rsid w:val="003A63B2"/>
    <w:rsid w:val="003A658E"/>
    <w:rsid w:val="003A70B5"/>
    <w:rsid w:val="003A7BF0"/>
    <w:rsid w:val="003A7F96"/>
    <w:rsid w:val="003A7FE7"/>
    <w:rsid w:val="003B0070"/>
    <w:rsid w:val="003B2232"/>
    <w:rsid w:val="003B2767"/>
    <w:rsid w:val="003B288F"/>
    <w:rsid w:val="003B3470"/>
    <w:rsid w:val="003B4B9B"/>
    <w:rsid w:val="003B5435"/>
    <w:rsid w:val="003B57F8"/>
    <w:rsid w:val="003B7809"/>
    <w:rsid w:val="003B78BE"/>
    <w:rsid w:val="003B7A1B"/>
    <w:rsid w:val="003B7AF4"/>
    <w:rsid w:val="003B7B8D"/>
    <w:rsid w:val="003C051C"/>
    <w:rsid w:val="003C1F03"/>
    <w:rsid w:val="003C2064"/>
    <w:rsid w:val="003C34F5"/>
    <w:rsid w:val="003C38B5"/>
    <w:rsid w:val="003C3B96"/>
    <w:rsid w:val="003C45D8"/>
    <w:rsid w:val="003C46D1"/>
    <w:rsid w:val="003C4973"/>
    <w:rsid w:val="003C4D84"/>
    <w:rsid w:val="003C5D99"/>
    <w:rsid w:val="003C6705"/>
    <w:rsid w:val="003D0F8D"/>
    <w:rsid w:val="003D15DB"/>
    <w:rsid w:val="003D1C02"/>
    <w:rsid w:val="003D2AD7"/>
    <w:rsid w:val="003D302D"/>
    <w:rsid w:val="003D36D4"/>
    <w:rsid w:val="003D3783"/>
    <w:rsid w:val="003D3E43"/>
    <w:rsid w:val="003D44EB"/>
    <w:rsid w:val="003D46B5"/>
    <w:rsid w:val="003D4811"/>
    <w:rsid w:val="003D6987"/>
    <w:rsid w:val="003D7D13"/>
    <w:rsid w:val="003E1038"/>
    <w:rsid w:val="003E1187"/>
    <w:rsid w:val="003E147D"/>
    <w:rsid w:val="003E2E80"/>
    <w:rsid w:val="003E2F59"/>
    <w:rsid w:val="003E3207"/>
    <w:rsid w:val="003E3C72"/>
    <w:rsid w:val="003E3FFE"/>
    <w:rsid w:val="003E439E"/>
    <w:rsid w:val="003E4463"/>
    <w:rsid w:val="003E44BA"/>
    <w:rsid w:val="003E4819"/>
    <w:rsid w:val="003E4843"/>
    <w:rsid w:val="003E4D6B"/>
    <w:rsid w:val="003E4DAC"/>
    <w:rsid w:val="003E5A0C"/>
    <w:rsid w:val="003E5A39"/>
    <w:rsid w:val="003E6446"/>
    <w:rsid w:val="003E74BF"/>
    <w:rsid w:val="003E74F5"/>
    <w:rsid w:val="003E7DEE"/>
    <w:rsid w:val="003F0613"/>
    <w:rsid w:val="003F0789"/>
    <w:rsid w:val="003F0B54"/>
    <w:rsid w:val="003F0BB5"/>
    <w:rsid w:val="003F225D"/>
    <w:rsid w:val="003F2D77"/>
    <w:rsid w:val="003F3E20"/>
    <w:rsid w:val="003F3FB2"/>
    <w:rsid w:val="003F4698"/>
    <w:rsid w:val="003F5026"/>
    <w:rsid w:val="003F679B"/>
    <w:rsid w:val="003F7AC0"/>
    <w:rsid w:val="003F7FBB"/>
    <w:rsid w:val="004006AF"/>
    <w:rsid w:val="00401446"/>
    <w:rsid w:val="00401882"/>
    <w:rsid w:val="00402156"/>
    <w:rsid w:val="004028E8"/>
    <w:rsid w:val="00402C0A"/>
    <w:rsid w:val="00402D95"/>
    <w:rsid w:val="004034B1"/>
    <w:rsid w:val="00404428"/>
    <w:rsid w:val="00404CF8"/>
    <w:rsid w:val="0040574F"/>
    <w:rsid w:val="00405880"/>
    <w:rsid w:val="004076F8"/>
    <w:rsid w:val="00407DF4"/>
    <w:rsid w:val="004100C8"/>
    <w:rsid w:val="004104BA"/>
    <w:rsid w:val="00410ADE"/>
    <w:rsid w:val="00410B52"/>
    <w:rsid w:val="00410DEA"/>
    <w:rsid w:val="0041127F"/>
    <w:rsid w:val="00411C17"/>
    <w:rsid w:val="00411DBD"/>
    <w:rsid w:val="00411EDD"/>
    <w:rsid w:val="00412ACE"/>
    <w:rsid w:val="0041322C"/>
    <w:rsid w:val="00413350"/>
    <w:rsid w:val="0041338B"/>
    <w:rsid w:val="004136CF"/>
    <w:rsid w:val="00414BFE"/>
    <w:rsid w:val="00414F33"/>
    <w:rsid w:val="004169E4"/>
    <w:rsid w:val="00417CFF"/>
    <w:rsid w:val="00420E4C"/>
    <w:rsid w:val="004217C5"/>
    <w:rsid w:val="00422C1C"/>
    <w:rsid w:val="00422E6C"/>
    <w:rsid w:val="00423825"/>
    <w:rsid w:val="00423961"/>
    <w:rsid w:val="0042597A"/>
    <w:rsid w:val="00426AFB"/>
    <w:rsid w:val="00426BF0"/>
    <w:rsid w:val="00427749"/>
    <w:rsid w:val="0043095C"/>
    <w:rsid w:val="00430A9F"/>
    <w:rsid w:val="00431249"/>
    <w:rsid w:val="0043135E"/>
    <w:rsid w:val="0043148D"/>
    <w:rsid w:val="004319FC"/>
    <w:rsid w:val="00431EA3"/>
    <w:rsid w:val="004320A3"/>
    <w:rsid w:val="00432A9A"/>
    <w:rsid w:val="00432CA9"/>
    <w:rsid w:val="00432FF8"/>
    <w:rsid w:val="004338C3"/>
    <w:rsid w:val="00434962"/>
    <w:rsid w:val="00434C19"/>
    <w:rsid w:val="00434C5E"/>
    <w:rsid w:val="00435A16"/>
    <w:rsid w:val="004369D6"/>
    <w:rsid w:val="00436F00"/>
    <w:rsid w:val="0043769F"/>
    <w:rsid w:val="0043792B"/>
    <w:rsid w:val="00440143"/>
    <w:rsid w:val="004403F6"/>
    <w:rsid w:val="004414B0"/>
    <w:rsid w:val="0044178E"/>
    <w:rsid w:val="00441B56"/>
    <w:rsid w:val="00441EF6"/>
    <w:rsid w:val="0044207B"/>
    <w:rsid w:val="004424FE"/>
    <w:rsid w:val="00442A53"/>
    <w:rsid w:val="00442ACA"/>
    <w:rsid w:val="0044473C"/>
    <w:rsid w:val="004458EA"/>
    <w:rsid w:val="00446022"/>
    <w:rsid w:val="00446E04"/>
    <w:rsid w:val="004475FF"/>
    <w:rsid w:val="004478EA"/>
    <w:rsid w:val="00450810"/>
    <w:rsid w:val="004510F6"/>
    <w:rsid w:val="004516B1"/>
    <w:rsid w:val="00451A51"/>
    <w:rsid w:val="00451A70"/>
    <w:rsid w:val="00451B63"/>
    <w:rsid w:val="004522EF"/>
    <w:rsid w:val="004531FF"/>
    <w:rsid w:val="00453559"/>
    <w:rsid w:val="00455693"/>
    <w:rsid w:val="00455F39"/>
    <w:rsid w:val="004576FB"/>
    <w:rsid w:val="00457F7B"/>
    <w:rsid w:val="004600F2"/>
    <w:rsid w:val="004600F3"/>
    <w:rsid w:val="00460617"/>
    <w:rsid w:val="004615F5"/>
    <w:rsid w:val="00461901"/>
    <w:rsid w:val="00461A15"/>
    <w:rsid w:val="00462899"/>
    <w:rsid w:val="00462EF3"/>
    <w:rsid w:val="00463324"/>
    <w:rsid w:val="004642B7"/>
    <w:rsid w:val="0046649F"/>
    <w:rsid w:val="004671EA"/>
    <w:rsid w:val="0046738A"/>
    <w:rsid w:val="00467526"/>
    <w:rsid w:val="00467EAD"/>
    <w:rsid w:val="00470A04"/>
    <w:rsid w:val="0047197E"/>
    <w:rsid w:val="004722CF"/>
    <w:rsid w:val="004737D9"/>
    <w:rsid w:val="004742D0"/>
    <w:rsid w:val="00475A0B"/>
    <w:rsid w:val="00476001"/>
    <w:rsid w:val="00476A1B"/>
    <w:rsid w:val="00476B88"/>
    <w:rsid w:val="00477144"/>
    <w:rsid w:val="0047731F"/>
    <w:rsid w:val="00477AEB"/>
    <w:rsid w:val="00477DF5"/>
    <w:rsid w:val="00477E7A"/>
    <w:rsid w:val="00480421"/>
    <w:rsid w:val="004809C8"/>
    <w:rsid w:val="00480A45"/>
    <w:rsid w:val="00484EB0"/>
    <w:rsid w:val="0048587B"/>
    <w:rsid w:val="0048588B"/>
    <w:rsid w:val="00485E7A"/>
    <w:rsid w:val="00486183"/>
    <w:rsid w:val="0048646A"/>
    <w:rsid w:val="0048723F"/>
    <w:rsid w:val="0048757E"/>
    <w:rsid w:val="0049060B"/>
    <w:rsid w:val="00491217"/>
    <w:rsid w:val="00491380"/>
    <w:rsid w:val="004916AB"/>
    <w:rsid w:val="004916B9"/>
    <w:rsid w:val="00491B73"/>
    <w:rsid w:val="00492DC8"/>
    <w:rsid w:val="00493126"/>
    <w:rsid w:val="0049327B"/>
    <w:rsid w:val="00493ED2"/>
    <w:rsid w:val="00494581"/>
    <w:rsid w:val="0049459F"/>
    <w:rsid w:val="00494C53"/>
    <w:rsid w:val="004956E8"/>
    <w:rsid w:val="004963E2"/>
    <w:rsid w:val="004972BF"/>
    <w:rsid w:val="00497630"/>
    <w:rsid w:val="004A021C"/>
    <w:rsid w:val="004A032C"/>
    <w:rsid w:val="004A072D"/>
    <w:rsid w:val="004A0796"/>
    <w:rsid w:val="004A1EFF"/>
    <w:rsid w:val="004A2530"/>
    <w:rsid w:val="004A283B"/>
    <w:rsid w:val="004A34C8"/>
    <w:rsid w:val="004A36C2"/>
    <w:rsid w:val="004A38DD"/>
    <w:rsid w:val="004A46C0"/>
    <w:rsid w:val="004A48A0"/>
    <w:rsid w:val="004A4BFD"/>
    <w:rsid w:val="004A4D22"/>
    <w:rsid w:val="004A4E5B"/>
    <w:rsid w:val="004A54FF"/>
    <w:rsid w:val="004A616F"/>
    <w:rsid w:val="004A6E9C"/>
    <w:rsid w:val="004A7519"/>
    <w:rsid w:val="004B0A4D"/>
    <w:rsid w:val="004B162B"/>
    <w:rsid w:val="004B1833"/>
    <w:rsid w:val="004B2121"/>
    <w:rsid w:val="004B2663"/>
    <w:rsid w:val="004B28FE"/>
    <w:rsid w:val="004B2A4D"/>
    <w:rsid w:val="004B305E"/>
    <w:rsid w:val="004B418B"/>
    <w:rsid w:val="004B4245"/>
    <w:rsid w:val="004B43AE"/>
    <w:rsid w:val="004B4CA0"/>
    <w:rsid w:val="004B4EE5"/>
    <w:rsid w:val="004B5082"/>
    <w:rsid w:val="004B5A0E"/>
    <w:rsid w:val="004B5BCE"/>
    <w:rsid w:val="004B717F"/>
    <w:rsid w:val="004B75F5"/>
    <w:rsid w:val="004C02D6"/>
    <w:rsid w:val="004C08D4"/>
    <w:rsid w:val="004C15AC"/>
    <w:rsid w:val="004C1BBD"/>
    <w:rsid w:val="004C2175"/>
    <w:rsid w:val="004C25C9"/>
    <w:rsid w:val="004C30ED"/>
    <w:rsid w:val="004C324B"/>
    <w:rsid w:val="004C4936"/>
    <w:rsid w:val="004C5525"/>
    <w:rsid w:val="004C5695"/>
    <w:rsid w:val="004C6524"/>
    <w:rsid w:val="004C65EC"/>
    <w:rsid w:val="004C6B53"/>
    <w:rsid w:val="004C6D2F"/>
    <w:rsid w:val="004C7703"/>
    <w:rsid w:val="004C7E2A"/>
    <w:rsid w:val="004D0A2C"/>
    <w:rsid w:val="004D10B8"/>
    <w:rsid w:val="004D16A8"/>
    <w:rsid w:val="004D2982"/>
    <w:rsid w:val="004D2DCC"/>
    <w:rsid w:val="004D2ECF"/>
    <w:rsid w:val="004D33E0"/>
    <w:rsid w:val="004D3BCD"/>
    <w:rsid w:val="004D432E"/>
    <w:rsid w:val="004D52D6"/>
    <w:rsid w:val="004D5675"/>
    <w:rsid w:val="004D5B20"/>
    <w:rsid w:val="004D6D9F"/>
    <w:rsid w:val="004D7215"/>
    <w:rsid w:val="004E0B70"/>
    <w:rsid w:val="004E114C"/>
    <w:rsid w:val="004E1452"/>
    <w:rsid w:val="004E1D13"/>
    <w:rsid w:val="004E2FCE"/>
    <w:rsid w:val="004E3200"/>
    <w:rsid w:val="004E3267"/>
    <w:rsid w:val="004E3BFD"/>
    <w:rsid w:val="004E54CE"/>
    <w:rsid w:val="004E6E81"/>
    <w:rsid w:val="004E7617"/>
    <w:rsid w:val="004E761D"/>
    <w:rsid w:val="004E7B2F"/>
    <w:rsid w:val="004F03B0"/>
    <w:rsid w:val="004F0402"/>
    <w:rsid w:val="004F10BF"/>
    <w:rsid w:val="004F2074"/>
    <w:rsid w:val="004F3185"/>
    <w:rsid w:val="004F49DE"/>
    <w:rsid w:val="004F4BAE"/>
    <w:rsid w:val="004F4D91"/>
    <w:rsid w:val="004F541E"/>
    <w:rsid w:val="004F5A5D"/>
    <w:rsid w:val="004F5FE4"/>
    <w:rsid w:val="004F6950"/>
    <w:rsid w:val="004F7B8F"/>
    <w:rsid w:val="0050016C"/>
    <w:rsid w:val="00500B77"/>
    <w:rsid w:val="00500F2C"/>
    <w:rsid w:val="0050160B"/>
    <w:rsid w:val="00502952"/>
    <w:rsid w:val="00502B54"/>
    <w:rsid w:val="00502B62"/>
    <w:rsid w:val="005033EF"/>
    <w:rsid w:val="005039D9"/>
    <w:rsid w:val="00503EF2"/>
    <w:rsid w:val="0050427A"/>
    <w:rsid w:val="00504B65"/>
    <w:rsid w:val="00504C8F"/>
    <w:rsid w:val="00504F0F"/>
    <w:rsid w:val="005057EF"/>
    <w:rsid w:val="00507801"/>
    <w:rsid w:val="00510304"/>
    <w:rsid w:val="005108A5"/>
    <w:rsid w:val="00512038"/>
    <w:rsid w:val="00512D37"/>
    <w:rsid w:val="00512E2A"/>
    <w:rsid w:val="0051352C"/>
    <w:rsid w:val="00513B91"/>
    <w:rsid w:val="00513EB2"/>
    <w:rsid w:val="0051517C"/>
    <w:rsid w:val="00515225"/>
    <w:rsid w:val="00515242"/>
    <w:rsid w:val="00516042"/>
    <w:rsid w:val="005165D3"/>
    <w:rsid w:val="00516B3A"/>
    <w:rsid w:val="00517B04"/>
    <w:rsid w:val="0052038B"/>
    <w:rsid w:val="005206FC"/>
    <w:rsid w:val="00520D14"/>
    <w:rsid w:val="005215C7"/>
    <w:rsid w:val="00521F2E"/>
    <w:rsid w:val="00522D04"/>
    <w:rsid w:val="00522F73"/>
    <w:rsid w:val="0052304E"/>
    <w:rsid w:val="005230F9"/>
    <w:rsid w:val="00523188"/>
    <w:rsid w:val="00523639"/>
    <w:rsid w:val="00524715"/>
    <w:rsid w:val="00524755"/>
    <w:rsid w:val="0052658E"/>
    <w:rsid w:val="00526620"/>
    <w:rsid w:val="0052725E"/>
    <w:rsid w:val="005279A7"/>
    <w:rsid w:val="00530576"/>
    <w:rsid w:val="00530580"/>
    <w:rsid w:val="0053083D"/>
    <w:rsid w:val="00531FE5"/>
    <w:rsid w:val="0053244C"/>
    <w:rsid w:val="005324BB"/>
    <w:rsid w:val="00532675"/>
    <w:rsid w:val="00533F87"/>
    <w:rsid w:val="005354E1"/>
    <w:rsid w:val="00536C9B"/>
    <w:rsid w:val="005377A2"/>
    <w:rsid w:val="005402FA"/>
    <w:rsid w:val="0054035F"/>
    <w:rsid w:val="00540ED2"/>
    <w:rsid w:val="0054219E"/>
    <w:rsid w:val="00542BF2"/>
    <w:rsid w:val="00544B05"/>
    <w:rsid w:val="005458C3"/>
    <w:rsid w:val="00546077"/>
    <w:rsid w:val="00546A86"/>
    <w:rsid w:val="00546BAD"/>
    <w:rsid w:val="005476CD"/>
    <w:rsid w:val="005501F7"/>
    <w:rsid w:val="0055206F"/>
    <w:rsid w:val="005523E3"/>
    <w:rsid w:val="005526DC"/>
    <w:rsid w:val="0055306D"/>
    <w:rsid w:val="00553248"/>
    <w:rsid w:val="005533D2"/>
    <w:rsid w:val="00554559"/>
    <w:rsid w:val="005553E6"/>
    <w:rsid w:val="005555F7"/>
    <w:rsid w:val="00555885"/>
    <w:rsid w:val="005561B2"/>
    <w:rsid w:val="00557019"/>
    <w:rsid w:val="005570FF"/>
    <w:rsid w:val="005571A9"/>
    <w:rsid w:val="00557862"/>
    <w:rsid w:val="00560311"/>
    <w:rsid w:val="0056071F"/>
    <w:rsid w:val="0056102E"/>
    <w:rsid w:val="005611AB"/>
    <w:rsid w:val="005620B7"/>
    <w:rsid w:val="00562163"/>
    <w:rsid w:val="00562A4B"/>
    <w:rsid w:val="00563279"/>
    <w:rsid w:val="005655B4"/>
    <w:rsid w:val="00565F59"/>
    <w:rsid w:val="00566087"/>
    <w:rsid w:val="005668DA"/>
    <w:rsid w:val="00567227"/>
    <w:rsid w:val="005674D9"/>
    <w:rsid w:val="00571F75"/>
    <w:rsid w:val="005722C5"/>
    <w:rsid w:val="0057256E"/>
    <w:rsid w:val="00572D8E"/>
    <w:rsid w:val="00573B4F"/>
    <w:rsid w:val="005743EC"/>
    <w:rsid w:val="005745B7"/>
    <w:rsid w:val="00574EA4"/>
    <w:rsid w:val="005757FE"/>
    <w:rsid w:val="0057765F"/>
    <w:rsid w:val="005778BE"/>
    <w:rsid w:val="00577DDB"/>
    <w:rsid w:val="00580B4D"/>
    <w:rsid w:val="00581A66"/>
    <w:rsid w:val="005828D8"/>
    <w:rsid w:val="00583518"/>
    <w:rsid w:val="00583C39"/>
    <w:rsid w:val="00583F3B"/>
    <w:rsid w:val="0058568B"/>
    <w:rsid w:val="005861DC"/>
    <w:rsid w:val="00586412"/>
    <w:rsid w:val="005865F2"/>
    <w:rsid w:val="00586EF1"/>
    <w:rsid w:val="00586F8B"/>
    <w:rsid w:val="005877C0"/>
    <w:rsid w:val="00587F28"/>
    <w:rsid w:val="005909CF"/>
    <w:rsid w:val="00590A64"/>
    <w:rsid w:val="00590EA3"/>
    <w:rsid w:val="005911E4"/>
    <w:rsid w:val="005913B2"/>
    <w:rsid w:val="00591E71"/>
    <w:rsid w:val="005924F3"/>
    <w:rsid w:val="00592C38"/>
    <w:rsid w:val="00592EC8"/>
    <w:rsid w:val="00594B9B"/>
    <w:rsid w:val="00594EE5"/>
    <w:rsid w:val="005958D5"/>
    <w:rsid w:val="00595938"/>
    <w:rsid w:val="005959B6"/>
    <w:rsid w:val="00595A3B"/>
    <w:rsid w:val="00595AAB"/>
    <w:rsid w:val="005964A1"/>
    <w:rsid w:val="005977E3"/>
    <w:rsid w:val="0059796D"/>
    <w:rsid w:val="005A0662"/>
    <w:rsid w:val="005A0D41"/>
    <w:rsid w:val="005A1389"/>
    <w:rsid w:val="005A1B2F"/>
    <w:rsid w:val="005A1FA6"/>
    <w:rsid w:val="005A2051"/>
    <w:rsid w:val="005A23CB"/>
    <w:rsid w:val="005A3F02"/>
    <w:rsid w:val="005A4295"/>
    <w:rsid w:val="005A44F7"/>
    <w:rsid w:val="005A4FF1"/>
    <w:rsid w:val="005A6A9C"/>
    <w:rsid w:val="005A704F"/>
    <w:rsid w:val="005A796F"/>
    <w:rsid w:val="005B0E33"/>
    <w:rsid w:val="005B165B"/>
    <w:rsid w:val="005B168C"/>
    <w:rsid w:val="005B1FE9"/>
    <w:rsid w:val="005B2599"/>
    <w:rsid w:val="005B34B4"/>
    <w:rsid w:val="005B3A53"/>
    <w:rsid w:val="005B4CC9"/>
    <w:rsid w:val="005B590E"/>
    <w:rsid w:val="005B6361"/>
    <w:rsid w:val="005B7937"/>
    <w:rsid w:val="005C1074"/>
    <w:rsid w:val="005C11BA"/>
    <w:rsid w:val="005C1B1B"/>
    <w:rsid w:val="005C2303"/>
    <w:rsid w:val="005C2353"/>
    <w:rsid w:val="005C290E"/>
    <w:rsid w:val="005C30C2"/>
    <w:rsid w:val="005C3421"/>
    <w:rsid w:val="005C4920"/>
    <w:rsid w:val="005C50EF"/>
    <w:rsid w:val="005C57B0"/>
    <w:rsid w:val="005C6B6C"/>
    <w:rsid w:val="005D0299"/>
    <w:rsid w:val="005D07BA"/>
    <w:rsid w:val="005D0F93"/>
    <w:rsid w:val="005D1530"/>
    <w:rsid w:val="005D226E"/>
    <w:rsid w:val="005D4460"/>
    <w:rsid w:val="005D4538"/>
    <w:rsid w:val="005D50B9"/>
    <w:rsid w:val="005D6517"/>
    <w:rsid w:val="005D6830"/>
    <w:rsid w:val="005D6C77"/>
    <w:rsid w:val="005D6E4E"/>
    <w:rsid w:val="005E012D"/>
    <w:rsid w:val="005E0196"/>
    <w:rsid w:val="005E0DDC"/>
    <w:rsid w:val="005E1366"/>
    <w:rsid w:val="005E2A6C"/>
    <w:rsid w:val="005E2F4A"/>
    <w:rsid w:val="005E35BB"/>
    <w:rsid w:val="005E3835"/>
    <w:rsid w:val="005E3D79"/>
    <w:rsid w:val="005E422C"/>
    <w:rsid w:val="005E473C"/>
    <w:rsid w:val="005E49FE"/>
    <w:rsid w:val="005E588C"/>
    <w:rsid w:val="005F09FE"/>
    <w:rsid w:val="005F12B6"/>
    <w:rsid w:val="005F1AEE"/>
    <w:rsid w:val="005F1D38"/>
    <w:rsid w:val="005F53D9"/>
    <w:rsid w:val="005F6388"/>
    <w:rsid w:val="005F6E44"/>
    <w:rsid w:val="00600552"/>
    <w:rsid w:val="00600849"/>
    <w:rsid w:val="00601C9D"/>
    <w:rsid w:val="00601F48"/>
    <w:rsid w:val="00602CDE"/>
    <w:rsid w:val="00604A48"/>
    <w:rsid w:val="00607BB1"/>
    <w:rsid w:val="00607BF1"/>
    <w:rsid w:val="00610821"/>
    <w:rsid w:val="00610A54"/>
    <w:rsid w:val="00610BAA"/>
    <w:rsid w:val="00610E6C"/>
    <w:rsid w:val="00610FB8"/>
    <w:rsid w:val="006111E0"/>
    <w:rsid w:val="006118EA"/>
    <w:rsid w:val="00612CAE"/>
    <w:rsid w:val="006130E9"/>
    <w:rsid w:val="00613215"/>
    <w:rsid w:val="00613A82"/>
    <w:rsid w:val="00613CE4"/>
    <w:rsid w:val="00614464"/>
    <w:rsid w:val="0061451F"/>
    <w:rsid w:val="00614574"/>
    <w:rsid w:val="006158EC"/>
    <w:rsid w:val="00616CC1"/>
    <w:rsid w:val="00617459"/>
    <w:rsid w:val="0062139A"/>
    <w:rsid w:val="006242A0"/>
    <w:rsid w:val="006247A5"/>
    <w:rsid w:val="00624A96"/>
    <w:rsid w:val="0062629B"/>
    <w:rsid w:val="00630662"/>
    <w:rsid w:val="00630D4D"/>
    <w:rsid w:val="00630F03"/>
    <w:rsid w:val="006315A5"/>
    <w:rsid w:val="00631F47"/>
    <w:rsid w:val="00632A74"/>
    <w:rsid w:val="0063385C"/>
    <w:rsid w:val="00633DCB"/>
    <w:rsid w:val="00634ACE"/>
    <w:rsid w:val="00634E45"/>
    <w:rsid w:val="006350E9"/>
    <w:rsid w:val="006360BD"/>
    <w:rsid w:val="006369A8"/>
    <w:rsid w:val="00636CEE"/>
    <w:rsid w:val="00637E69"/>
    <w:rsid w:val="0064024D"/>
    <w:rsid w:val="0064112C"/>
    <w:rsid w:val="00641495"/>
    <w:rsid w:val="00641D33"/>
    <w:rsid w:val="006437E9"/>
    <w:rsid w:val="006443CA"/>
    <w:rsid w:val="006457B8"/>
    <w:rsid w:val="0064581F"/>
    <w:rsid w:val="00645A28"/>
    <w:rsid w:val="00647925"/>
    <w:rsid w:val="00650BF9"/>
    <w:rsid w:val="00651942"/>
    <w:rsid w:val="00651B31"/>
    <w:rsid w:val="006537FE"/>
    <w:rsid w:val="00654236"/>
    <w:rsid w:val="00654810"/>
    <w:rsid w:val="00654CD7"/>
    <w:rsid w:val="006551B2"/>
    <w:rsid w:val="00656F44"/>
    <w:rsid w:val="00657045"/>
    <w:rsid w:val="006604FC"/>
    <w:rsid w:val="0066261E"/>
    <w:rsid w:val="00664F20"/>
    <w:rsid w:val="0066614C"/>
    <w:rsid w:val="0066645A"/>
    <w:rsid w:val="00666A7D"/>
    <w:rsid w:val="00666E02"/>
    <w:rsid w:val="00670382"/>
    <w:rsid w:val="00670789"/>
    <w:rsid w:val="00671893"/>
    <w:rsid w:val="00671BEF"/>
    <w:rsid w:val="00671C2B"/>
    <w:rsid w:val="00675592"/>
    <w:rsid w:val="00675878"/>
    <w:rsid w:val="00676828"/>
    <w:rsid w:val="00676E69"/>
    <w:rsid w:val="00677EEA"/>
    <w:rsid w:val="00680090"/>
    <w:rsid w:val="006810E9"/>
    <w:rsid w:val="00681215"/>
    <w:rsid w:val="00681526"/>
    <w:rsid w:val="00681D38"/>
    <w:rsid w:val="006824D2"/>
    <w:rsid w:val="006837BA"/>
    <w:rsid w:val="00683F5B"/>
    <w:rsid w:val="006851C2"/>
    <w:rsid w:val="00686347"/>
    <w:rsid w:val="006863E1"/>
    <w:rsid w:val="0068762E"/>
    <w:rsid w:val="00687908"/>
    <w:rsid w:val="00687B38"/>
    <w:rsid w:val="00687C0E"/>
    <w:rsid w:val="006909BF"/>
    <w:rsid w:val="0069193B"/>
    <w:rsid w:val="006928D3"/>
    <w:rsid w:val="00693B39"/>
    <w:rsid w:val="00693FFA"/>
    <w:rsid w:val="00694738"/>
    <w:rsid w:val="00694BBA"/>
    <w:rsid w:val="00696964"/>
    <w:rsid w:val="006969C9"/>
    <w:rsid w:val="00697857"/>
    <w:rsid w:val="00697A02"/>
    <w:rsid w:val="006A02D5"/>
    <w:rsid w:val="006A0F52"/>
    <w:rsid w:val="006A30D7"/>
    <w:rsid w:val="006A31AD"/>
    <w:rsid w:val="006A3FB8"/>
    <w:rsid w:val="006A4655"/>
    <w:rsid w:val="006A56ED"/>
    <w:rsid w:val="006A5BA5"/>
    <w:rsid w:val="006A5C26"/>
    <w:rsid w:val="006A6E16"/>
    <w:rsid w:val="006A757D"/>
    <w:rsid w:val="006A7DE0"/>
    <w:rsid w:val="006A7E11"/>
    <w:rsid w:val="006B0E63"/>
    <w:rsid w:val="006B140A"/>
    <w:rsid w:val="006B147C"/>
    <w:rsid w:val="006B2B3C"/>
    <w:rsid w:val="006B395A"/>
    <w:rsid w:val="006B3D8E"/>
    <w:rsid w:val="006B583E"/>
    <w:rsid w:val="006B5C52"/>
    <w:rsid w:val="006B5DB6"/>
    <w:rsid w:val="006B5FBC"/>
    <w:rsid w:val="006B6AD4"/>
    <w:rsid w:val="006B6DB0"/>
    <w:rsid w:val="006B7842"/>
    <w:rsid w:val="006C0934"/>
    <w:rsid w:val="006C0DAB"/>
    <w:rsid w:val="006C116A"/>
    <w:rsid w:val="006C1241"/>
    <w:rsid w:val="006C1B57"/>
    <w:rsid w:val="006C1D81"/>
    <w:rsid w:val="006C1E29"/>
    <w:rsid w:val="006C2309"/>
    <w:rsid w:val="006C4A65"/>
    <w:rsid w:val="006C563B"/>
    <w:rsid w:val="006C5AEE"/>
    <w:rsid w:val="006C6E6F"/>
    <w:rsid w:val="006C6F7F"/>
    <w:rsid w:val="006C7038"/>
    <w:rsid w:val="006D01CC"/>
    <w:rsid w:val="006D0F19"/>
    <w:rsid w:val="006D0FDE"/>
    <w:rsid w:val="006D1C84"/>
    <w:rsid w:val="006D3228"/>
    <w:rsid w:val="006D33E7"/>
    <w:rsid w:val="006D35EF"/>
    <w:rsid w:val="006D4852"/>
    <w:rsid w:val="006D62BD"/>
    <w:rsid w:val="006D7721"/>
    <w:rsid w:val="006D7D62"/>
    <w:rsid w:val="006E034C"/>
    <w:rsid w:val="006E0404"/>
    <w:rsid w:val="006E06A6"/>
    <w:rsid w:val="006E0858"/>
    <w:rsid w:val="006E24E8"/>
    <w:rsid w:val="006E3ED9"/>
    <w:rsid w:val="006E7157"/>
    <w:rsid w:val="006E73EF"/>
    <w:rsid w:val="006E7CA8"/>
    <w:rsid w:val="006E7CC9"/>
    <w:rsid w:val="006E7F85"/>
    <w:rsid w:val="006F0B10"/>
    <w:rsid w:val="006F0C26"/>
    <w:rsid w:val="006F1319"/>
    <w:rsid w:val="006F1690"/>
    <w:rsid w:val="006F2050"/>
    <w:rsid w:val="006F2746"/>
    <w:rsid w:val="006F3CC8"/>
    <w:rsid w:val="006F40DC"/>
    <w:rsid w:val="006F5422"/>
    <w:rsid w:val="006F5590"/>
    <w:rsid w:val="006F5C0F"/>
    <w:rsid w:val="006F7009"/>
    <w:rsid w:val="006F7FDD"/>
    <w:rsid w:val="00700EF3"/>
    <w:rsid w:val="00701141"/>
    <w:rsid w:val="00701867"/>
    <w:rsid w:val="007030C8"/>
    <w:rsid w:val="00703314"/>
    <w:rsid w:val="00703623"/>
    <w:rsid w:val="00703D9C"/>
    <w:rsid w:val="007042DE"/>
    <w:rsid w:val="00704A33"/>
    <w:rsid w:val="00704E5E"/>
    <w:rsid w:val="00705A75"/>
    <w:rsid w:val="00705E73"/>
    <w:rsid w:val="00705EF0"/>
    <w:rsid w:val="007069C4"/>
    <w:rsid w:val="00706A02"/>
    <w:rsid w:val="00707A58"/>
    <w:rsid w:val="007109CB"/>
    <w:rsid w:val="00710D85"/>
    <w:rsid w:val="00712629"/>
    <w:rsid w:val="00712B85"/>
    <w:rsid w:val="00713DB0"/>
    <w:rsid w:val="00714D4D"/>
    <w:rsid w:val="007150BE"/>
    <w:rsid w:val="0071521F"/>
    <w:rsid w:val="00715241"/>
    <w:rsid w:val="007154EB"/>
    <w:rsid w:val="0071722C"/>
    <w:rsid w:val="0071788E"/>
    <w:rsid w:val="00717959"/>
    <w:rsid w:val="00717A24"/>
    <w:rsid w:val="00717D62"/>
    <w:rsid w:val="00720010"/>
    <w:rsid w:val="007210B3"/>
    <w:rsid w:val="0072167E"/>
    <w:rsid w:val="007216B5"/>
    <w:rsid w:val="00723906"/>
    <w:rsid w:val="00723F0D"/>
    <w:rsid w:val="0072505A"/>
    <w:rsid w:val="007259A6"/>
    <w:rsid w:val="00726DBC"/>
    <w:rsid w:val="00726E9B"/>
    <w:rsid w:val="00727767"/>
    <w:rsid w:val="007279C5"/>
    <w:rsid w:val="0073007F"/>
    <w:rsid w:val="0073050E"/>
    <w:rsid w:val="00731086"/>
    <w:rsid w:val="00732496"/>
    <w:rsid w:val="00733A5C"/>
    <w:rsid w:val="00734001"/>
    <w:rsid w:val="007342E6"/>
    <w:rsid w:val="0073467A"/>
    <w:rsid w:val="0073742A"/>
    <w:rsid w:val="007402D8"/>
    <w:rsid w:val="0074062F"/>
    <w:rsid w:val="0074076E"/>
    <w:rsid w:val="00740A13"/>
    <w:rsid w:val="00742179"/>
    <w:rsid w:val="00742DDE"/>
    <w:rsid w:val="0074335D"/>
    <w:rsid w:val="00743986"/>
    <w:rsid w:val="00743EE0"/>
    <w:rsid w:val="00745213"/>
    <w:rsid w:val="007452DA"/>
    <w:rsid w:val="00746DAD"/>
    <w:rsid w:val="00747FF6"/>
    <w:rsid w:val="007505B8"/>
    <w:rsid w:val="00750872"/>
    <w:rsid w:val="00750A49"/>
    <w:rsid w:val="007511B8"/>
    <w:rsid w:val="00751B76"/>
    <w:rsid w:val="0075340F"/>
    <w:rsid w:val="007536C9"/>
    <w:rsid w:val="00753AC9"/>
    <w:rsid w:val="007548CA"/>
    <w:rsid w:val="007550C9"/>
    <w:rsid w:val="00756720"/>
    <w:rsid w:val="007567BE"/>
    <w:rsid w:val="00756BEE"/>
    <w:rsid w:val="007604BB"/>
    <w:rsid w:val="007606AD"/>
    <w:rsid w:val="00760839"/>
    <w:rsid w:val="007612B1"/>
    <w:rsid w:val="00761340"/>
    <w:rsid w:val="00761418"/>
    <w:rsid w:val="007614DE"/>
    <w:rsid w:val="00761AAF"/>
    <w:rsid w:val="00762AC2"/>
    <w:rsid w:val="00763FE4"/>
    <w:rsid w:val="0076463F"/>
    <w:rsid w:val="007649EE"/>
    <w:rsid w:val="00764EDE"/>
    <w:rsid w:val="00765E5A"/>
    <w:rsid w:val="00767A8D"/>
    <w:rsid w:val="0077051E"/>
    <w:rsid w:val="00770D30"/>
    <w:rsid w:val="0077142F"/>
    <w:rsid w:val="00771A42"/>
    <w:rsid w:val="00771FBD"/>
    <w:rsid w:val="00772628"/>
    <w:rsid w:val="00772883"/>
    <w:rsid w:val="00772F50"/>
    <w:rsid w:val="00774467"/>
    <w:rsid w:val="00774869"/>
    <w:rsid w:val="00774BFD"/>
    <w:rsid w:val="00777CC5"/>
    <w:rsid w:val="0078181A"/>
    <w:rsid w:val="007821B5"/>
    <w:rsid w:val="0078223D"/>
    <w:rsid w:val="007830CC"/>
    <w:rsid w:val="0078386E"/>
    <w:rsid w:val="00784D89"/>
    <w:rsid w:val="00784EAA"/>
    <w:rsid w:val="00785232"/>
    <w:rsid w:val="00787043"/>
    <w:rsid w:val="007871F6"/>
    <w:rsid w:val="0078763A"/>
    <w:rsid w:val="0078771E"/>
    <w:rsid w:val="00790262"/>
    <w:rsid w:val="007904F6"/>
    <w:rsid w:val="00790547"/>
    <w:rsid w:val="00791AE5"/>
    <w:rsid w:val="0079201F"/>
    <w:rsid w:val="00792BA6"/>
    <w:rsid w:val="00793A92"/>
    <w:rsid w:val="00793E55"/>
    <w:rsid w:val="00793EBB"/>
    <w:rsid w:val="00793F7C"/>
    <w:rsid w:val="007944B9"/>
    <w:rsid w:val="007944DD"/>
    <w:rsid w:val="0079559F"/>
    <w:rsid w:val="0079693A"/>
    <w:rsid w:val="00797032"/>
    <w:rsid w:val="00797897"/>
    <w:rsid w:val="00797FCF"/>
    <w:rsid w:val="007A2170"/>
    <w:rsid w:val="007A21EB"/>
    <w:rsid w:val="007A2F70"/>
    <w:rsid w:val="007A34C6"/>
    <w:rsid w:val="007A3A9A"/>
    <w:rsid w:val="007A3F5C"/>
    <w:rsid w:val="007A45DB"/>
    <w:rsid w:val="007A492B"/>
    <w:rsid w:val="007A4C7B"/>
    <w:rsid w:val="007A5231"/>
    <w:rsid w:val="007A525C"/>
    <w:rsid w:val="007A5BFA"/>
    <w:rsid w:val="007A661F"/>
    <w:rsid w:val="007A709D"/>
    <w:rsid w:val="007A7185"/>
    <w:rsid w:val="007A71D4"/>
    <w:rsid w:val="007A7411"/>
    <w:rsid w:val="007A7FBF"/>
    <w:rsid w:val="007B0176"/>
    <w:rsid w:val="007B0DED"/>
    <w:rsid w:val="007B1702"/>
    <w:rsid w:val="007B1A93"/>
    <w:rsid w:val="007B2225"/>
    <w:rsid w:val="007B2583"/>
    <w:rsid w:val="007B2C9A"/>
    <w:rsid w:val="007B3121"/>
    <w:rsid w:val="007B315D"/>
    <w:rsid w:val="007B4569"/>
    <w:rsid w:val="007B7112"/>
    <w:rsid w:val="007C02E9"/>
    <w:rsid w:val="007C140F"/>
    <w:rsid w:val="007C2800"/>
    <w:rsid w:val="007C317F"/>
    <w:rsid w:val="007C36C9"/>
    <w:rsid w:val="007C4174"/>
    <w:rsid w:val="007C4B3F"/>
    <w:rsid w:val="007C534C"/>
    <w:rsid w:val="007C5B34"/>
    <w:rsid w:val="007C71B1"/>
    <w:rsid w:val="007D0091"/>
    <w:rsid w:val="007D01CD"/>
    <w:rsid w:val="007D0477"/>
    <w:rsid w:val="007D0A14"/>
    <w:rsid w:val="007D3425"/>
    <w:rsid w:val="007D3DC4"/>
    <w:rsid w:val="007D4E92"/>
    <w:rsid w:val="007D5350"/>
    <w:rsid w:val="007D61F3"/>
    <w:rsid w:val="007D6401"/>
    <w:rsid w:val="007D66CF"/>
    <w:rsid w:val="007E01E4"/>
    <w:rsid w:val="007E10E6"/>
    <w:rsid w:val="007E18B7"/>
    <w:rsid w:val="007E2A30"/>
    <w:rsid w:val="007E2BE0"/>
    <w:rsid w:val="007E3927"/>
    <w:rsid w:val="007E3AA0"/>
    <w:rsid w:val="007E3D75"/>
    <w:rsid w:val="007E3E02"/>
    <w:rsid w:val="007E40DD"/>
    <w:rsid w:val="007E4BAC"/>
    <w:rsid w:val="007E4BCB"/>
    <w:rsid w:val="007E4EF3"/>
    <w:rsid w:val="007E6D98"/>
    <w:rsid w:val="007E705A"/>
    <w:rsid w:val="007E7177"/>
    <w:rsid w:val="007E736D"/>
    <w:rsid w:val="007E74D1"/>
    <w:rsid w:val="007F0032"/>
    <w:rsid w:val="007F0357"/>
    <w:rsid w:val="007F078D"/>
    <w:rsid w:val="007F0AB8"/>
    <w:rsid w:val="007F0BC3"/>
    <w:rsid w:val="007F23F8"/>
    <w:rsid w:val="007F2738"/>
    <w:rsid w:val="007F3E3E"/>
    <w:rsid w:val="007F4200"/>
    <w:rsid w:val="007F4902"/>
    <w:rsid w:val="007F54A6"/>
    <w:rsid w:val="007F5840"/>
    <w:rsid w:val="007F5AFC"/>
    <w:rsid w:val="007F5B39"/>
    <w:rsid w:val="007F6C01"/>
    <w:rsid w:val="007F6D6A"/>
    <w:rsid w:val="007F7107"/>
    <w:rsid w:val="007F7335"/>
    <w:rsid w:val="007F7EEE"/>
    <w:rsid w:val="00800551"/>
    <w:rsid w:val="00800783"/>
    <w:rsid w:val="00800D4C"/>
    <w:rsid w:val="0080179D"/>
    <w:rsid w:val="00801FE7"/>
    <w:rsid w:val="0080275F"/>
    <w:rsid w:val="00802D4E"/>
    <w:rsid w:val="00803003"/>
    <w:rsid w:val="00803A44"/>
    <w:rsid w:val="00804459"/>
    <w:rsid w:val="00804679"/>
    <w:rsid w:val="00804D0C"/>
    <w:rsid w:val="008050A1"/>
    <w:rsid w:val="00805449"/>
    <w:rsid w:val="008058F9"/>
    <w:rsid w:val="00805B1B"/>
    <w:rsid w:val="00805BCF"/>
    <w:rsid w:val="00806744"/>
    <w:rsid w:val="00806851"/>
    <w:rsid w:val="00806A1E"/>
    <w:rsid w:val="00806EAF"/>
    <w:rsid w:val="00807588"/>
    <w:rsid w:val="00807899"/>
    <w:rsid w:val="00807CB5"/>
    <w:rsid w:val="00807CE0"/>
    <w:rsid w:val="00807E26"/>
    <w:rsid w:val="00810220"/>
    <w:rsid w:val="008102B1"/>
    <w:rsid w:val="0081030F"/>
    <w:rsid w:val="00810377"/>
    <w:rsid w:val="00810718"/>
    <w:rsid w:val="00811434"/>
    <w:rsid w:val="0081244D"/>
    <w:rsid w:val="00813370"/>
    <w:rsid w:val="00813783"/>
    <w:rsid w:val="00813D3E"/>
    <w:rsid w:val="00814566"/>
    <w:rsid w:val="00814851"/>
    <w:rsid w:val="00814C12"/>
    <w:rsid w:val="00814E85"/>
    <w:rsid w:val="008150FA"/>
    <w:rsid w:val="00815DD3"/>
    <w:rsid w:val="008176D0"/>
    <w:rsid w:val="00817DC6"/>
    <w:rsid w:val="0082027B"/>
    <w:rsid w:val="008206E6"/>
    <w:rsid w:val="0082087D"/>
    <w:rsid w:val="008209F6"/>
    <w:rsid w:val="00820BB8"/>
    <w:rsid w:val="008214B3"/>
    <w:rsid w:val="00822081"/>
    <w:rsid w:val="0082226E"/>
    <w:rsid w:val="00822695"/>
    <w:rsid w:val="00822781"/>
    <w:rsid w:val="00822831"/>
    <w:rsid w:val="00822F20"/>
    <w:rsid w:val="0082400C"/>
    <w:rsid w:val="0082415D"/>
    <w:rsid w:val="0082673E"/>
    <w:rsid w:val="00826BB1"/>
    <w:rsid w:val="00826BFC"/>
    <w:rsid w:val="008272DF"/>
    <w:rsid w:val="00830FE7"/>
    <w:rsid w:val="00831765"/>
    <w:rsid w:val="0083201D"/>
    <w:rsid w:val="0083411F"/>
    <w:rsid w:val="00834B28"/>
    <w:rsid w:val="00834C99"/>
    <w:rsid w:val="008355F9"/>
    <w:rsid w:val="00835771"/>
    <w:rsid w:val="00835DD3"/>
    <w:rsid w:val="00836257"/>
    <w:rsid w:val="0083673F"/>
    <w:rsid w:val="00840A0D"/>
    <w:rsid w:val="00840BC1"/>
    <w:rsid w:val="00841245"/>
    <w:rsid w:val="00841F4E"/>
    <w:rsid w:val="0084257D"/>
    <w:rsid w:val="00842933"/>
    <w:rsid w:val="00842B61"/>
    <w:rsid w:val="008431A7"/>
    <w:rsid w:val="008436E4"/>
    <w:rsid w:val="00843BC4"/>
    <w:rsid w:val="008444FA"/>
    <w:rsid w:val="00844B93"/>
    <w:rsid w:val="008456DF"/>
    <w:rsid w:val="00846189"/>
    <w:rsid w:val="00846B17"/>
    <w:rsid w:val="0085032F"/>
    <w:rsid w:val="00852A65"/>
    <w:rsid w:val="008533A2"/>
    <w:rsid w:val="00855017"/>
    <w:rsid w:val="008554B2"/>
    <w:rsid w:val="00855B31"/>
    <w:rsid w:val="00855EAE"/>
    <w:rsid w:val="00856A06"/>
    <w:rsid w:val="00857AF9"/>
    <w:rsid w:val="00857B6F"/>
    <w:rsid w:val="00857D12"/>
    <w:rsid w:val="0086082C"/>
    <w:rsid w:val="00860A8D"/>
    <w:rsid w:val="00861822"/>
    <w:rsid w:val="00861B00"/>
    <w:rsid w:val="008624E2"/>
    <w:rsid w:val="008642D2"/>
    <w:rsid w:val="008646BC"/>
    <w:rsid w:val="00864ADC"/>
    <w:rsid w:val="0086582E"/>
    <w:rsid w:val="00865D17"/>
    <w:rsid w:val="0086620F"/>
    <w:rsid w:val="00866983"/>
    <w:rsid w:val="0086708D"/>
    <w:rsid w:val="00867A3E"/>
    <w:rsid w:val="00867D47"/>
    <w:rsid w:val="0087042C"/>
    <w:rsid w:val="008709D0"/>
    <w:rsid w:val="00870DED"/>
    <w:rsid w:val="0087109F"/>
    <w:rsid w:val="0087131E"/>
    <w:rsid w:val="00871A05"/>
    <w:rsid w:val="0087395F"/>
    <w:rsid w:val="008746A0"/>
    <w:rsid w:val="00874754"/>
    <w:rsid w:val="00875118"/>
    <w:rsid w:val="008751E5"/>
    <w:rsid w:val="00875AC5"/>
    <w:rsid w:val="008773F2"/>
    <w:rsid w:val="00877B32"/>
    <w:rsid w:val="00880153"/>
    <w:rsid w:val="008801A3"/>
    <w:rsid w:val="0088082C"/>
    <w:rsid w:val="00880DA1"/>
    <w:rsid w:val="00880F97"/>
    <w:rsid w:val="00881069"/>
    <w:rsid w:val="00881317"/>
    <w:rsid w:val="0088133A"/>
    <w:rsid w:val="008818C3"/>
    <w:rsid w:val="00882D99"/>
    <w:rsid w:val="008838BD"/>
    <w:rsid w:val="00883BF2"/>
    <w:rsid w:val="00883EA4"/>
    <w:rsid w:val="00883EC9"/>
    <w:rsid w:val="0088437B"/>
    <w:rsid w:val="0088447D"/>
    <w:rsid w:val="008855EA"/>
    <w:rsid w:val="00886337"/>
    <w:rsid w:val="008864D4"/>
    <w:rsid w:val="00886598"/>
    <w:rsid w:val="008865AC"/>
    <w:rsid w:val="00886AFC"/>
    <w:rsid w:val="008903A9"/>
    <w:rsid w:val="0089285E"/>
    <w:rsid w:val="00892CB1"/>
    <w:rsid w:val="00892E22"/>
    <w:rsid w:val="0089436C"/>
    <w:rsid w:val="0089488E"/>
    <w:rsid w:val="00894EDA"/>
    <w:rsid w:val="008956E1"/>
    <w:rsid w:val="00896880"/>
    <w:rsid w:val="00897721"/>
    <w:rsid w:val="00897AAB"/>
    <w:rsid w:val="008A01C5"/>
    <w:rsid w:val="008A2351"/>
    <w:rsid w:val="008A2D9B"/>
    <w:rsid w:val="008A3083"/>
    <w:rsid w:val="008A31A7"/>
    <w:rsid w:val="008A3D26"/>
    <w:rsid w:val="008A3DD3"/>
    <w:rsid w:val="008A3DE5"/>
    <w:rsid w:val="008A4E19"/>
    <w:rsid w:val="008A57BB"/>
    <w:rsid w:val="008A5EED"/>
    <w:rsid w:val="008A61BF"/>
    <w:rsid w:val="008A6FC3"/>
    <w:rsid w:val="008A6FD5"/>
    <w:rsid w:val="008A72AE"/>
    <w:rsid w:val="008A777F"/>
    <w:rsid w:val="008B004D"/>
    <w:rsid w:val="008B0C5E"/>
    <w:rsid w:val="008B1B93"/>
    <w:rsid w:val="008B1ED9"/>
    <w:rsid w:val="008B2BDD"/>
    <w:rsid w:val="008B2FE9"/>
    <w:rsid w:val="008B55FB"/>
    <w:rsid w:val="008B5BC4"/>
    <w:rsid w:val="008B5ED9"/>
    <w:rsid w:val="008B715E"/>
    <w:rsid w:val="008C02F5"/>
    <w:rsid w:val="008C032C"/>
    <w:rsid w:val="008C0722"/>
    <w:rsid w:val="008C0D80"/>
    <w:rsid w:val="008C1611"/>
    <w:rsid w:val="008C1801"/>
    <w:rsid w:val="008C191B"/>
    <w:rsid w:val="008C1B89"/>
    <w:rsid w:val="008C2633"/>
    <w:rsid w:val="008C2AAC"/>
    <w:rsid w:val="008C319F"/>
    <w:rsid w:val="008C3804"/>
    <w:rsid w:val="008C4DBA"/>
    <w:rsid w:val="008C4E02"/>
    <w:rsid w:val="008C61B4"/>
    <w:rsid w:val="008C6491"/>
    <w:rsid w:val="008C695E"/>
    <w:rsid w:val="008C7C8F"/>
    <w:rsid w:val="008D117D"/>
    <w:rsid w:val="008D24CB"/>
    <w:rsid w:val="008D3068"/>
    <w:rsid w:val="008D32F3"/>
    <w:rsid w:val="008D365C"/>
    <w:rsid w:val="008D3AF0"/>
    <w:rsid w:val="008D3D3E"/>
    <w:rsid w:val="008D449E"/>
    <w:rsid w:val="008D4699"/>
    <w:rsid w:val="008D4AF0"/>
    <w:rsid w:val="008D5479"/>
    <w:rsid w:val="008D5BD3"/>
    <w:rsid w:val="008D5D39"/>
    <w:rsid w:val="008D60E8"/>
    <w:rsid w:val="008D6953"/>
    <w:rsid w:val="008D7123"/>
    <w:rsid w:val="008D7891"/>
    <w:rsid w:val="008E0253"/>
    <w:rsid w:val="008E118D"/>
    <w:rsid w:val="008E1E2E"/>
    <w:rsid w:val="008E22C2"/>
    <w:rsid w:val="008E2A79"/>
    <w:rsid w:val="008E2E92"/>
    <w:rsid w:val="008E3327"/>
    <w:rsid w:val="008E3606"/>
    <w:rsid w:val="008E3EDE"/>
    <w:rsid w:val="008E4674"/>
    <w:rsid w:val="008E4AEF"/>
    <w:rsid w:val="008E548B"/>
    <w:rsid w:val="008E6BB1"/>
    <w:rsid w:val="008E6BF9"/>
    <w:rsid w:val="008E70DE"/>
    <w:rsid w:val="008F035F"/>
    <w:rsid w:val="008F0930"/>
    <w:rsid w:val="008F10E2"/>
    <w:rsid w:val="008F1123"/>
    <w:rsid w:val="008F146A"/>
    <w:rsid w:val="008F21F3"/>
    <w:rsid w:val="008F35E1"/>
    <w:rsid w:val="008F512D"/>
    <w:rsid w:val="008F5C01"/>
    <w:rsid w:val="008F60E5"/>
    <w:rsid w:val="008F6F20"/>
    <w:rsid w:val="0090076B"/>
    <w:rsid w:val="00901470"/>
    <w:rsid w:val="0090224B"/>
    <w:rsid w:val="009030BF"/>
    <w:rsid w:val="00903164"/>
    <w:rsid w:val="009038D8"/>
    <w:rsid w:val="00903D6C"/>
    <w:rsid w:val="009040A9"/>
    <w:rsid w:val="0090468E"/>
    <w:rsid w:val="009049B6"/>
    <w:rsid w:val="00904F3E"/>
    <w:rsid w:val="00904F9E"/>
    <w:rsid w:val="00905AC7"/>
    <w:rsid w:val="009062EF"/>
    <w:rsid w:val="00906561"/>
    <w:rsid w:val="009077F9"/>
    <w:rsid w:val="00907896"/>
    <w:rsid w:val="00910043"/>
    <w:rsid w:val="0091032F"/>
    <w:rsid w:val="00910910"/>
    <w:rsid w:val="00910F64"/>
    <w:rsid w:val="00911059"/>
    <w:rsid w:val="00911C93"/>
    <w:rsid w:val="00912B49"/>
    <w:rsid w:val="00912EDE"/>
    <w:rsid w:val="00913307"/>
    <w:rsid w:val="0091412E"/>
    <w:rsid w:val="00914368"/>
    <w:rsid w:val="00914FD2"/>
    <w:rsid w:val="00915D57"/>
    <w:rsid w:val="009161EC"/>
    <w:rsid w:val="00916525"/>
    <w:rsid w:val="00916A7E"/>
    <w:rsid w:val="00916E3E"/>
    <w:rsid w:val="0091766B"/>
    <w:rsid w:val="00917F70"/>
    <w:rsid w:val="00920E93"/>
    <w:rsid w:val="00922884"/>
    <w:rsid w:val="00922B59"/>
    <w:rsid w:val="00922CE7"/>
    <w:rsid w:val="00922D39"/>
    <w:rsid w:val="00922E53"/>
    <w:rsid w:val="00924439"/>
    <w:rsid w:val="00925433"/>
    <w:rsid w:val="009255CB"/>
    <w:rsid w:val="0092593E"/>
    <w:rsid w:val="00926338"/>
    <w:rsid w:val="00926B44"/>
    <w:rsid w:val="00926C56"/>
    <w:rsid w:val="00927761"/>
    <w:rsid w:val="00927E59"/>
    <w:rsid w:val="00930110"/>
    <w:rsid w:val="00930EC8"/>
    <w:rsid w:val="00930EDC"/>
    <w:rsid w:val="00931076"/>
    <w:rsid w:val="0093124B"/>
    <w:rsid w:val="009316C3"/>
    <w:rsid w:val="00931765"/>
    <w:rsid w:val="0093250C"/>
    <w:rsid w:val="00932A0C"/>
    <w:rsid w:val="00932CC1"/>
    <w:rsid w:val="00933016"/>
    <w:rsid w:val="00933230"/>
    <w:rsid w:val="009334D3"/>
    <w:rsid w:val="0093362E"/>
    <w:rsid w:val="00933E5B"/>
    <w:rsid w:val="009345D9"/>
    <w:rsid w:val="00934B15"/>
    <w:rsid w:val="00934B35"/>
    <w:rsid w:val="00935C37"/>
    <w:rsid w:val="00935FC2"/>
    <w:rsid w:val="009362DF"/>
    <w:rsid w:val="0093659F"/>
    <w:rsid w:val="00936A8C"/>
    <w:rsid w:val="009377F4"/>
    <w:rsid w:val="00937A39"/>
    <w:rsid w:val="00940C87"/>
    <w:rsid w:val="00940F9C"/>
    <w:rsid w:val="009411C2"/>
    <w:rsid w:val="009417F3"/>
    <w:rsid w:val="00941AEB"/>
    <w:rsid w:val="009420B4"/>
    <w:rsid w:val="00942708"/>
    <w:rsid w:val="00942718"/>
    <w:rsid w:val="00942B62"/>
    <w:rsid w:val="009434BF"/>
    <w:rsid w:val="00944046"/>
    <w:rsid w:val="009440D7"/>
    <w:rsid w:val="00944C25"/>
    <w:rsid w:val="00945903"/>
    <w:rsid w:val="009460AF"/>
    <w:rsid w:val="0094798E"/>
    <w:rsid w:val="00947D60"/>
    <w:rsid w:val="009506EA"/>
    <w:rsid w:val="009507C9"/>
    <w:rsid w:val="0095095D"/>
    <w:rsid w:val="00950AF3"/>
    <w:rsid w:val="00950F05"/>
    <w:rsid w:val="00951071"/>
    <w:rsid w:val="009527F0"/>
    <w:rsid w:val="0095323B"/>
    <w:rsid w:val="00953969"/>
    <w:rsid w:val="009542C1"/>
    <w:rsid w:val="00954E6E"/>
    <w:rsid w:val="00955FAD"/>
    <w:rsid w:val="00956A0C"/>
    <w:rsid w:val="00956BD9"/>
    <w:rsid w:val="00956BE2"/>
    <w:rsid w:val="00956FC8"/>
    <w:rsid w:val="0095799D"/>
    <w:rsid w:val="00960DDB"/>
    <w:rsid w:val="00962489"/>
    <w:rsid w:val="00962AC4"/>
    <w:rsid w:val="00962C1B"/>
    <w:rsid w:val="009635E3"/>
    <w:rsid w:val="009642D3"/>
    <w:rsid w:val="00964361"/>
    <w:rsid w:val="00965718"/>
    <w:rsid w:val="0096603B"/>
    <w:rsid w:val="00966802"/>
    <w:rsid w:val="0096720C"/>
    <w:rsid w:val="009678EA"/>
    <w:rsid w:val="00967BC1"/>
    <w:rsid w:val="009704CA"/>
    <w:rsid w:val="00970708"/>
    <w:rsid w:val="00970BDB"/>
    <w:rsid w:val="00972093"/>
    <w:rsid w:val="009725DE"/>
    <w:rsid w:val="0097350B"/>
    <w:rsid w:val="009735F9"/>
    <w:rsid w:val="00973DB2"/>
    <w:rsid w:val="00974E55"/>
    <w:rsid w:val="009751F2"/>
    <w:rsid w:val="009751F9"/>
    <w:rsid w:val="00975937"/>
    <w:rsid w:val="00976C34"/>
    <w:rsid w:val="00977960"/>
    <w:rsid w:val="00977F5C"/>
    <w:rsid w:val="00981CDA"/>
    <w:rsid w:val="00982518"/>
    <w:rsid w:val="009834CB"/>
    <w:rsid w:val="009836A9"/>
    <w:rsid w:val="00983E42"/>
    <w:rsid w:val="009849B2"/>
    <w:rsid w:val="009860EE"/>
    <w:rsid w:val="00986F45"/>
    <w:rsid w:val="0098729C"/>
    <w:rsid w:val="0098754B"/>
    <w:rsid w:val="009908CA"/>
    <w:rsid w:val="00990C2C"/>
    <w:rsid w:val="00990FA6"/>
    <w:rsid w:val="009911D3"/>
    <w:rsid w:val="0099154A"/>
    <w:rsid w:val="0099164A"/>
    <w:rsid w:val="00991A78"/>
    <w:rsid w:val="00991EF1"/>
    <w:rsid w:val="009926A7"/>
    <w:rsid w:val="0099372F"/>
    <w:rsid w:val="009947D3"/>
    <w:rsid w:val="00995146"/>
    <w:rsid w:val="009951C1"/>
    <w:rsid w:val="00995225"/>
    <w:rsid w:val="00995E12"/>
    <w:rsid w:val="00996916"/>
    <w:rsid w:val="00997C8D"/>
    <w:rsid w:val="009A0548"/>
    <w:rsid w:val="009A0ACC"/>
    <w:rsid w:val="009A159F"/>
    <w:rsid w:val="009A16CC"/>
    <w:rsid w:val="009A1C38"/>
    <w:rsid w:val="009A1D6A"/>
    <w:rsid w:val="009A2777"/>
    <w:rsid w:val="009A362B"/>
    <w:rsid w:val="009A44B4"/>
    <w:rsid w:val="009A6796"/>
    <w:rsid w:val="009A6847"/>
    <w:rsid w:val="009A75A1"/>
    <w:rsid w:val="009A7F0B"/>
    <w:rsid w:val="009B05C1"/>
    <w:rsid w:val="009B0F94"/>
    <w:rsid w:val="009B10AA"/>
    <w:rsid w:val="009B1E6F"/>
    <w:rsid w:val="009B1FC2"/>
    <w:rsid w:val="009B2C76"/>
    <w:rsid w:val="009B44D9"/>
    <w:rsid w:val="009B4AD4"/>
    <w:rsid w:val="009B5F9C"/>
    <w:rsid w:val="009B5FBE"/>
    <w:rsid w:val="009B60C3"/>
    <w:rsid w:val="009B6726"/>
    <w:rsid w:val="009B76FD"/>
    <w:rsid w:val="009B7C68"/>
    <w:rsid w:val="009C003C"/>
    <w:rsid w:val="009C0C66"/>
    <w:rsid w:val="009C107A"/>
    <w:rsid w:val="009C17CD"/>
    <w:rsid w:val="009C19C0"/>
    <w:rsid w:val="009C1FB3"/>
    <w:rsid w:val="009C255F"/>
    <w:rsid w:val="009C2D3C"/>
    <w:rsid w:val="009C3DF9"/>
    <w:rsid w:val="009C4681"/>
    <w:rsid w:val="009C4756"/>
    <w:rsid w:val="009C4905"/>
    <w:rsid w:val="009C4CF4"/>
    <w:rsid w:val="009C6196"/>
    <w:rsid w:val="009C6745"/>
    <w:rsid w:val="009C79D5"/>
    <w:rsid w:val="009C7E90"/>
    <w:rsid w:val="009D039A"/>
    <w:rsid w:val="009D0CC1"/>
    <w:rsid w:val="009D144D"/>
    <w:rsid w:val="009D1C81"/>
    <w:rsid w:val="009D2461"/>
    <w:rsid w:val="009D2AD5"/>
    <w:rsid w:val="009D3102"/>
    <w:rsid w:val="009D32D3"/>
    <w:rsid w:val="009D3405"/>
    <w:rsid w:val="009D39D5"/>
    <w:rsid w:val="009D4A70"/>
    <w:rsid w:val="009D6509"/>
    <w:rsid w:val="009D6A4F"/>
    <w:rsid w:val="009D6C2D"/>
    <w:rsid w:val="009D6E7B"/>
    <w:rsid w:val="009E0603"/>
    <w:rsid w:val="009E0C8E"/>
    <w:rsid w:val="009E0DCC"/>
    <w:rsid w:val="009E1844"/>
    <w:rsid w:val="009E1952"/>
    <w:rsid w:val="009E1AF4"/>
    <w:rsid w:val="009E2655"/>
    <w:rsid w:val="009E3529"/>
    <w:rsid w:val="009E4389"/>
    <w:rsid w:val="009E490B"/>
    <w:rsid w:val="009E568F"/>
    <w:rsid w:val="009E6DF3"/>
    <w:rsid w:val="009E781F"/>
    <w:rsid w:val="009E7913"/>
    <w:rsid w:val="009F076C"/>
    <w:rsid w:val="009F0D1B"/>
    <w:rsid w:val="009F1C80"/>
    <w:rsid w:val="009F297B"/>
    <w:rsid w:val="009F389A"/>
    <w:rsid w:val="009F3CA7"/>
    <w:rsid w:val="009F4CCD"/>
    <w:rsid w:val="009F5F85"/>
    <w:rsid w:val="009F696D"/>
    <w:rsid w:val="009F6BC6"/>
    <w:rsid w:val="009F70A0"/>
    <w:rsid w:val="00A011D4"/>
    <w:rsid w:val="00A01AEE"/>
    <w:rsid w:val="00A0245E"/>
    <w:rsid w:val="00A03280"/>
    <w:rsid w:val="00A039BD"/>
    <w:rsid w:val="00A047CE"/>
    <w:rsid w:val="00A05209"/>
    <w:rsid w:val="00A05A8E"/>
    <w:rsid w:val="00A05DCC"/>
    <w:rsid w:val="00A0606F"/>
    <w:rsid w:val="00A0619B"/>
    <w:rsid w:val="00A0635B"/>
    <w:rsid w:val="00A10EF1"/>
    <w:rsid w:val="00A111BC"/>
    <w:rsid w:val="00A11512"/>
    <w:rsid w:val="00A11D5A"/>
    <w:rsid w:val="00A1200A"/>
    <w:rsid w:val="00A12D21"/>
    <w:rsid w:val="00A13298"/>
    <w:rsid w:val="00A13AD1"/>
    <w:rsid w:val="00A142AC"/>
    <w:rsid w:val="00A14D94"/>
    <w:rsid w:val="00A1511C"/>
    <w:rsid w:val="00A15981"/>
    <w:rsid w:val="00A17328"/>
    <w:rsid w:val="00A17E37"/>
    <w:rsid w:val="00A17EE5"/>
    <w:rsid w:val="00A2093F"/>
    <w:rsid w:val="00A2253B"/>
    <w:rsid w:val="00A237D0"/>
    <w:rsid w:val="00A2381A"/>
    <w:rsid w:val="00A23A20"/>
    <w:rsid w:val="00A244A6"/>
    <w:rsid w:val="00A24D6E"/>
    <w:rsid w:val="00A25B27"/>
    <w:rsid w:val="00A25CC6"/>
    <w:rsid w:val="00A266A2"/>
    <w:rsid w:val="00A268B9"/>
    <w:rsid w:val="00A2703A"/>
    <w:rsid w:val="00A2778E"/>
    <w:rsid w:val="00A27D9C"/>
    <w:rsid w:val="00A30300"/>
    <w:rsid w:val="00A32D97"/>
    <w:rsid w:val="00A32E93"/>
    <w:rsid w:val="00A3310B"/>
    <w:rsid w:val="00A331FE"/>
    <w:rsid w:val="00A33616"/>
    <w:rsid w:val="00A338E4"/>
    <w:rsid w:val="00A33DFF"/>
    <w:rsid w:val="00A34409"/>
    <w:rsid w:val="00A346E3"/>
    <w:rsid w:val="00A35115"/>
    <w:rsid w:val="00A35666"/>
    <w:rsid w:val="00A36327"/>
    <w:rsid w:val="00A36D9A"/>
    <w:rsid w:val="00A402EB"/>
    <w:rsid w:val="00A4033A"/>
    <w:rsid w:val="00A40DD4"/>
    <w:rsid w:val="00A426E4"/>
    <w:rsid w:val="00A42B9E"/>
    <w:rsid w:val="00A43BFC"/>
    <w:rsid w:val="00A43FAB"/>
    <w:rsid w:val="00A440EE"/>
    <w:rsid w:val="00A441CE"/>
    <w:rsid w:val="00A45D42"/>
    <w:rsid w:val="00A46ACF"/>
    <w:rsid w:val="00A50AF8"/>
    <w:rsid w:val="00A50B42"/>
    <w:rsid w:val="00A50F5B"/>
    <w:rsid w:val="00A52090"/>
    <w:rsid w:val="00A5247C"/>
    <w:rsid w:val="00A5276C"/>
    <w:rsid w:val="00A529F1"/>
    <w:rsid w:val="00A537F9"/>
    <w:rsid w:val="00A54587"/>
    <w:rsid w:val="00A554AB"/>
    <w:rsid w:val="00A561DB"/>
    <w:rsid w:val="00A57062"/>
    <w:rsid w:val="00A60B20"/>
    <w:rsid w:val="00A618B9"/>
    <w:rsid w:val="00A619A2"/>
    <w:rsid w:val="00A61F37"/>
    <w:rsid w:val="00A6279B"/>
    <w:rsid w:val="00A63550"/>
    <w:rsid w:val="00A6438B"/>
    <w:rsid w:val="00A650EA"/>
    <w:rsid w:val="00A6522E"/>
    <w:rsid w:val="00A652F6"/>
    <w:rsid w:val="00A66653"/>
    <w:rsid w:val="00A66C50"/>
    <w:rsid w:val="00A66CC2"/>
    <w:rsid w:val="00A66F86"/>
    <w:rsid w:val="00A678B4"/>
    <w:rsid w:val="00A67A0D"/>
    <w:rsid w:val="00A67E5E"/>
    <w:rsid w:val="00A70123"/>
    <w:rsid w:val="00A710B6"/>
    <w:rsid w:val="00A71135"/>
    <w:rsid w:val="00A71A94"/>
    <w:rsid w:val="00A7261F"/>
    <w:rsid w:val="00A72D25"/>
    <w:rsid w:val="00A73AAC"/>
    <w:rsid w:val="00A73C36"/>
    <w:rsid w:val="00A7569E"/>
    <w:rsid w:val="00A75EF4"/>
    <w:rsid w:val="00A7630F"/>
    <w:rsid w:val="00A77F83"/>
    <w:rsid w:val="00A80639"/>
    <w:rsid w:val="00A806AB"/>
    <w:rsid w:val="00A8088A"/>
    <w:rsid w:val="00A80AEE"/>
    <w:rsid w:val="00A80BE2"/>
    <w:rsid w:val="00A81838"/>
    <w:rsid w:val="00A81AC9"/>
    <w:rsid w:val="00A82023"/>
    <w:rsid w:val="00A8380E"/>
    <w:rsid w:val="00A83AB0"/>
    <w:rsid w:val="00A84800"/>
    <w:rsid w:val="00A849B2"/>
    <w:rsid w:val="00A858C3"/>
    <w:rsid w:val="00A8642B"/>
    <w:rsid w:val="00A868AC"/>
    <w:rsid w:val="00A86F94"/>
    <w:rsid w:val="00A8755D"/>
    <w:rsid w:val="00A87DCE"/>
    <w:rsid w:val="00A90542"/>
    <w:rsid w:val="00A90C89"/>
    <w:rsid w:val="00A916F1"/>
    <w:rsid w:val="00A9187A"/>
    <w:rsid w:val="00A928ED"/>
    <w:rsid w:val="00A92B53"/>
    <w:rsid w:val="00A9403D"/>
    <w:rsid w:val="00A94FA6"/>
    <w:rsid w:val="00A95069"/>
    <w:rsid w:val="00A957F1"/>
    <w:rsid w:val="00A95CB6"/>
    <w:rsid w:val="00A9605D"/>
    <w:rsid w:val="00A96DFE"/>
    <w:rsid w:val="00A97B41"/>
    <w:rsid w:val="00A97FAA"/>
    <w:rsid w:val="00AA0F14"/>
    <w:rsid w:val="00AA0F7B"/>
    <w:rsid w:val="00AA184A"/>
    <w:rsid w:val="00AA1FDD"/>
    <w:rsid w:val="00AA2CBB"/>
    <w:rsid w:val="00AA3117"/>
    <w:rsid w:val="00AA352D"/>
    <w:rsid w:val="00AA3C58"/>
    <w:rsid w:val="00AA47F7"/>
    <w:rsid w:val="00AA49A0"/>
    <w:rsid w:val="00AA4D44"/>
    <w:rsid w:val="00AA4E9A"/>
    <w:rsid w:val="00AA6710"/>
    <w:rsid w:val="00AA68ED"/>
    <w:rsid w:val="00AA7981"/>
    <w:rsid w:val="00AB04BB"/>
    <w:rsid w:val="00AB0681"/>
    <w:rsid w:val="00AB0796"/>
    <w:rsid w:val="00AB0A80"/>
    <w:rsid w:val="00AB0AE6"/>
    <w:rsid w:val="00AB12CC"/>
    <w:rsid w:val="00AB2383"/>
    <w:rsid w:val="00AB2783"/>
    <w:rsid w:val="00AB2C7B"/>
    <w:rsid w:val="00AB2E47"/>
    <w:rsid w:val="00AB36F6"/>
    <w:rsid w:val="00AB5E56"/>
    <w:rsid w:val="00AB5F13"/>
    <w:rsid w:val="00AB5FE4"/>
    <w:rsid w:val="00AB725C"/>
    <w:rsid w:val="00AB767C"/>
    <w:rsid w:val="00AC0045"/>
    <w:rsid w:val="00AC0729"/>
    <w:rsid w:val="00AC0E50"/>
    <w:rsid w:val="00AC1DD5"/>
    <w:rsid w:val="00AC2470"/>
    <w:rsid w:val="00AC27A2"/>
    <w:rsid w:val="00AC32D9"/>
    <w:rsid w:val="00AC3B8B"/>
    <w:rsid w:val="00AC466A"/>
    <w:rsid w:val="00AC4794"/>
    <w:rsid w:val="00AC49A1"/>
    <w:rsid w:val="00AC568B"/>
    <w:rsid w:val="00AC660E"/>
    <w:rsid w:val="00AC7C6A"/>
    <w:rsid w:val="00AC7F43"/>
    <w:rsid w:val="00AC7FFD"/>
    <w:rsid w:val="00AD096D"/>
    <w:rsid w:val="00AD12E9"/>
    <w:rsid w:val="00AD150B"/>
    <w:rsid w:val="00AD192A"/>
    <w:rsid w:val="00AD1B18"/>
    <w:rsid w:val="00AD1F26"/>
    <w:rsid w:val="00AD2302"/>
    <w:rsid w:val="00AD2D0A"/>
    <w:rsid w:val="00AD4E9D"/>
    <w:rsid w:val="00AD4F9B"/>
    <w:rsid w:val="00AD520B"/>
    <w:rsid w:val="00AD5668"/>
    <w:rsid w:val="00AD65CA"/>
    <w:rsid w:val="00AD667E"/>
    <w:rsid w:val="00AD73C4"/>
    <w:rsid w:val="00AD7ED2"/>
    <w:rsid w:val="00AD7FC9"/>
    <w:rsid w:val="00AE05BC"/>
    <w:rsid w:val="00AE176E"/>
    <w:rsid w:val="00AE1A9C"/>
    <w:rsid w:val="00AE26CE"/>
    <w:rsid w:val="00AE2926"/>
    <w:rsid w:val="00AE35AA"/>
    <w:rsid w:val="00AE38FE"/>
    <w:rsid w:val="00AE3ED4"/>
    <w:rsid w:val="00AE457D"/>
    <w:rsid w:val="00AE46E1"/>
    <w:rsid w:val="00AE489C"/>
    <w:rsid w:val="00AE5033"/>
    <w:rsid w:val="00AE64F0"/>
    <w:rsid w:val="00AE6A1B"/>
    <w:rsid w:val="00AE7355"/>
    <w:rsid w:val="00AE75FF"/>
    <w:rsid w:val="00AE7874"/>
    <w:rsid w:val="00AF05DB"/>
    <w:rsid w:val="00AF0BDF"/>
    <w:rsid w:val="00AF2277"/>
    <w:rsid w:val="00AF22C6"/>
    <w:rsid w:val="00AF25C4"/>
    <w:rsid w:val="00AF2C8C"/>
    <w:rsid w:val="00AF2F49"/>
    <w:rsid w:val="00AF322F"/>
    <w:rsid w:val="00AF44C7"/>
    <w:rsid w:val="00AF57DE"/>
    <w:rsid w:val="00AF59D4"/>
    <w:rsid w:val="00AF64CF"/>
    <w:rsid w:val="00AF69B1"/>
    <w:rsid w:val="00AF6A49"/>
    <w:rsid w:val="00B01134"/>
    <w:rsid w:val="00B01E61"/>
    <w:rsid w:val="00B025C8"/>
    <w:rsid w:val="00B02655"/>
    <w:rsid w:val="00B02F49"/>
    <w:rsid w:val="00B02FB2"/>
    <w:rsid w:val="00B032D1"/>
    <w:rsid w:val="00B04102"/>
    <w:rsid w:val="00B04369"/>
    <w:rsid w:val="00B04805"/>
    <w:rsid w:val="00B061C4"/>
    <w:rsid w:val="00B06264"/>
    <w:rsid w:val="00B07054"/>
    <w:rsid w:val="00B074F9"/>
    <w:rsid w:val="00B07917"/>
    <w:rsid w:val="00B10E80"/>
    <w:rsid w:val="00B11160"/>
    <w:rsid w:val="00B117EE"/>
    <w:rsid w:val="00B11B59"/>
    <w:rsid w:val="00B12D2A"/>
    <w:rsid w:val="00B12D46"/>
    <w:rsid w:val="00B13277"/>
    <w:rsid w:val="00B13F40"/>
    <w:rsid w:val="00B1498D"/>
    <w:rsid w:val="00B14B3A"/>
    <w:rsid w:val="00B1573B"/>
    <w:rsid w:val="00B1592B"/>
    <w:rsid w:val="00B16EAB"/>
    <w:rsid w:val="00B17628"/>
    <w:rsid w:val="00B17E34"/>
    <w:rsid w:val="00B2033A"/>
    <w:rsid w:val="00B2117E"/>
    <w:rsid w:val="00B21CBD"/>
    <w:rsid w:val="00B21DDB"/>
    <w:rsid w:val="00B22521"/>
    <w:rsid w:val="00B2362D"/>
    <w:rsid w:val="00B23877"/>
    <w:rsid w:val="00B23AF3"/>
    <w:rsid w:val="00B240BC"/>
    <w:rsid w:val="00B2429D"/>
    <w:rsid w:val="00B24B4B"/>
    <w:rsid w:val="00B26356"/>
    <w:rsid w:val="00B26991"/>
    <w:rsid w:val="00B26C80"/>
    <w:rsid w:val="00B26D16"/>
    <w:rsid w:val="00B26EF4"/>
    <w:rsid w:val="00B27973"/>
    <w:rsid w:val="00B307ED"/>
    <w:rsid w:val="00B30EB5"/>
    <w:rsid w:val="00B31706"/>
    <w:rsid w:val="00B31B67"/>
    <w:rsid w:val="00B32421"/>
    <w:rsid w:val="00B3262E"/>
    <w:rsid w:val="00B3424A"/>
    <w:rsid w:val="00B343B4"/>
    <w:rsid w:val="00B34487"/>
    <w:rsid w:val="00B346DF"/>
    <w:rsid w:val="00B3489A"/>
    <w:rsid w:val="00B34C8D"/>
    <w:rsid w:val="00B34EA4"/>
    <w:rsid w:val="00B36A16"/>
    <w:rsid w:val="00B36A7C"/>
    <w:rsid w:val="00B36CE9"/>
    <w:rsid w:val="00B37C67"/>
    <w:rsid w:val="00B403E0"/>
    <w:rsid w:val="00B411DF"/>
    <w:rsid w:val="00B416CA"/>
    <w:rsid w:val="00B425C3"/>
    <w:rsid w:val="00B4266B"/>
    <w:rsid w:val="00B431A7"/>
    <w:rsid w:val="00B4334C"/>
    <w:rsid w:val="00B439D0"/>
    <w:rsid w:val="00B43C0A"/>
    <w:rsid w:val="00B440AD"/>
    <w:rsid w:val="00B4503C"/>
    <w:rsid w:val="00B45C8E"/>
    <w:rsid w:val="00B45EE3"/>
    <w:rsid w:val="00B46446"/>
    <w:rsid w:val="00B47D12"/>
    <w:rsid w:val="00B50084"/>
    <w:rsid w:val="00B50FC5"/>
    <w:rsid w:val="00B5218F"/>
    <w:rsid w:val="00B539CF"/>
    <w:rsid w:val="00B53E7E"/>
    <w:rsid w:val="00B546B0"/>
    <w:rsid w:val="00B54862"/>
    <w:rsid w:val="00B54B08"/>
    <w:rsid w:val="00B55B0F"/>
    <w:rsid w:val="00B55B3F"/>
    <w:rsid w:val="00B55CA5"/>
    <w:rsid w:val="00B560D7"/>
    <w:rsid w:val="00B56956"/>
    <w:rsid w:val="00B56D48"/>
    <w:rsid w:val="00B5768B"/>
    <w:rsid w:val="00B600DF"/>
    <w:rsid w:val="00B60921"/>
    <w:rsid w:val="00B61DEF"/>
    <w:rsid w:val="00B62608"/>
    <w:rsid w:val="00B6281F"/>
    <w:rsid w:val="00B63025"/>
    <w:rsid w:val="00B6342E"/>
    <w:rsid w:val="00B651AE"/>
    <w:rsid w:val="00B6531C"/>
    <w:rsid w:val="00B66B5C"/>
    <w:rsid w:val="00B67298"/>
    <w:rsid w:val="00B67402"/>
    <w:rsid w:val="00B675B1"/>
    <w:rsid w:val="00B675CD"/>
    <w:rsid w:val="00B67B9D"/>
    <w:rsid w:val="00B67D75"/>
    <w:rsid w:val="00B67DD3"/>
    <w:rsid w:val="00B71090"/>
    <w:rsid w:val="00B7113F"/>
    <w:rsid w:val="00B72D1C"/>
    <w:rsid w:val="00B7333F"/>
    <w:rsid w:val="00B733E6"/>
    <w:rsid w:val="00B73893"/>
    <w:rsid w:val="00B73E0F"/>
    <w:rsid w:val="00B7414C"/>
    <w:rsid w:val="00B74EF1"/>
    <w:rsid w:val="00B75394"/>
    <w:rsid w:val="00B75E0A"/>
    <w:rsid w:val="00B76EE0"/>
    <w:rsid w:val="00B806BE"/>
    <w:rsid w:val="00B814ED"/>
    <w:rsid w:val="00B815FD"/>
    <w:rsid w:val="00B822C5"/>
    <w:rsid w:val="00B82968"/>
    <w:rsid w:val="00B834D1"/>
    <w:rsid w:val="00B843AF"/>
    <w:rsid w:val="00B84614"/>
    <w:rsid w:val="00B84C24"/>
    <w:rsid w:val="00B905D0"/>
    <w:rsid w:val="00B90B4B"/>
    <w:rsid w:val="00B910CF"/>
    <w:rsid w:val="00B925AD"/>
    <w:rsid w:val="00B93A4C"/>
    <w:rsid w:val="00B93B76"/>
    <w:rsid w:val="00B94E80"/>
    <w:rsid w:val="00B95A6B"/>
    <w:rsid w:val="00B96D06"/>
    <w:rsid w:val="00B9734F"/>
    <w:rsid w:val="00BA200B"/>
    <w:rsid w:val="00BA23F1"/>
    <w:rsid w:val="00BA3252"/>
    <w:rsid w:val="00BA3A41"/>
    <w:rsid w:val="00BA5020"/>
    <w:rsid w:val="00BA5CB8"/>
    <w:rsid w:val="00BA72D0"/>
    <w:rsid w:val="00BA73B6"/>
    <w:rsid w:val="00BA78AA"/>
    <w:rsid w:val="00BA790E"/>
    <w:rsid w:val="00BA7E27"/>
    <w:rsid w:val="00BB009E"/>
    <w:rsid w:val="00BB03D4"/>
    <w:rsid w:val="00BB072B"/>
    <w:rsid w:val="00BB0DBF"/>
    <w:rsid w:val="00BB24D3"/>
    <w:rsid w:val="00BB2603"/>
    <w:rsid w:val="00BB2DBF"/>
    <w:rsid w:val="00BB381C"/>
    <w:rsid w:val="00BB466B"/>
    <w:rsid w:val="00BB4FCD"/>
    <w:rsid w:val="00BB55DF"/>
    <w:rsid w:val="00BB5A7E"/>
    <w:rsid w:val="00BB67B1"/>
    <w:rsid w:val="00BC04E9"/>
    <w:rsid w:val="00BC11A0"/>
    <w:rsid w:val="00BC1973"/>
    <w:rsid w:val="00BC28B2"/>
    <w:rsid w:val="00BC299B"/>
    <w:rsid w:val="00BC4485"/>
    <w:rsid w:val="00BC4C19"/>
    <w:rsid w:val="00BC4C7B"/>
    <w:rsid w:val="00BC57D8"/>
    <w:rsid w:val="00BC631C"/>
    <w:rsid w:val="00BC637B"/>
    <w:rsid w:val="00BC63E3"/>
    <w:rsid w:val="00BC6ACE"/>
    <w:rsid w:val="00BC70DA"/>
    <w:rsid w:val="00BD017F"/>
    <w:rsid w:val="00BD0FB8"/>
    <w:rsid w:val="00BD132C"/>
    <w:rsid w:val="00BD13EA"/>
    <w:rsid w:val="00BD2705"/>
    <w:rsid w:val="00BD3356"/>
    <w:rsid w:val="00BD3F0C"/>
    <w:rsid w:val="00BD43FD"/>
    <w:rsid w:val="00BD4E50"/>
    <w:rsid w:val="00BD4F63"/>
    <w:rsid w:val="00BD512F"/>
    <w:rsid w:val="00BD546F"/>
    <w:rsid w:val="00BD55C5"/>
    <w:rsid w:val="00BD6830"/>
    <w:rsid w:val="00BD7DD3"/>
    <w:rsid w:val="00BD7ED4"/>
    <w:rsid w:val="00BE050A"/>
    <w:rsid w:val="00BE089B"/>
    <w:rsid w:val="00BE098A"/>
    <w:rsid w:val="00BE14C4"/>
    <w:rsid w:val="00BE19C1"/>
    <w:rsid w:val="00BE1E66"/>
    <w:rsid w:val="00BE25DE"/>
    <w:rsid w:val="00BE3808"/>
    <w:rsid w:val="00BE3A7A"/>
    <w:rsid w:val="00BE3FBF"/>
    <w:rsid w:val="00BE524F"/>
    <w:rsid w:val="00BE59B4"/>
    <w:rsid w:val="00BE6916"/>
    <w:rsid w:val="00BE7D74"/>
    <w:rsid w:val="00BF0206"/>
    <w:rsid w:val="00BF132C"/>
    <w:rsid w:val="00BF1682"/>
    <w:rsid w:val="00BF3FFE"/>
    <w:rsid w:val="00BF4011"/>
    <w:rsid w:val="00BF42F4"/>
    <w:rsid w:val="00BF5825"/>
    <w:rsid w:val="00BF5DEA"/>
    <w:rsid w:val="00BF6556"/>
    <w:rsid w:val="00BF7189"/>
    <w:rsid w:val="00BF7C47"/>
    <w:rsid w:val="00C0098D"/>
    <w:rsid w:val="00C00ACA"/>
    <w:rsid w:val="00C00BF0"/>
    <w:rsid w:val="00C01816"/>
    <w:rsid w:val="00C02096"/>
    <w:rsid w:val="00C022B6"/>
    <w:rsid w:val="00C0265C"/>
    <w:rsid w:val="00C0295E"/>
    <w:rsid w:val="00C029C4"/>
    <w:rsid w:val="00C032F8"/>
    <w:rsid w:val="00C048A0"/>
    <w:rsid w:val="00C05BDE"/>
    <w:rsid w:val="00C062E9"/>
    <w:rsid w:val="00C079C2"/>
    <w:rsid w:val="00C07B64"/>
    <w:rsid w:val="00C13275"/>
    <w:rsid w:val="00C13317"/>
    <w:rsid w:val="00C13721"/>
    <w:rsid w:val="00C14A22"/>
    <w:rsid w:val="00C14D36"/>
    <w:rsid w:val="00C14FE4"/>
    <w:rsid w:val="00C1503F"/>
    <w:rsid w:val="00C15252"/>
    <w:rsid w:val="00C15290"/>
    <w:rsid w:val="00C15820"/>
    <w:rsid w:val="00C158D6"/>
    <w:rsid w:val="00C15B4A"/>
    <w:rsid w:val="00C15C91"/>
    <w:rsid w:val="00C17C3D"/>
    <w:rsid w:val="00C202F7"/>
    <w:rsid w:val="00C2064A"/>
    <w:rsid w:val="00C21608"/>
    <w:rsid w:val="00C22DAC"/>
    <w:rsid w:val="00C22FF0"/>
    <w:rsid w:val="00C23F33"/>
    <w:rsid w:val="00C24386"/>
    <w:rsid w:val="00C24893"/>
    <w:rsid w:val="00C24B5F"/>
    <w:rsid w:val="00C260CB"/>
    <w:rsid w:val="00C26200"/>
    <w:rsid w:val="00C26ED3"/>
    <w:rsid w:val="00C3066D"/>
    <w:rsid w:val="00C31AA8"/>
    <w:rsid w:val="00C33210"/>
    <w:rsid w:val="00C335AB"/>
    <w:rsid w:val="00C33AAB"/>
    <w:rsid w:val="00C33D7E"/>
    <w:rsid w:val="00C33E9D"/>
    <w:rsid w:val="00C34693"/>
    <w:rsid w:val="00C347A8"/>
    <w:rsid w:val="00C34BCC"/>
    <w:rsid w:val="00C35501"/>
    <w:rsid w:val="00C35CAF"/>
    <w:rsid w:val="00C36EB9"/>
    <w:rsid w:val="00C377C3"/>
    <w:rsid w:val="00C40653"/>
    <w:rsid w:val="00C40F99"/>
    <w:rsid w:val="00C4205E"/>
    <w:rsid w:val="00C44089"/>
    <w:rsid w:val="00C44897"/>
    <w:rsid w:val="00C44977"/>
    <w:rsid w:val="00C4553E"/>
    <w:rsid w:val="00C455A2"/>
    <w:rsid w:val="00C45697"/>
    <w:rsid w:val="00C459EE"/>
    <w:rsid w:val="00C46984"/>
    <w:rsid w:val="00C474A1"/>
    <w:rsid w:val="00C475EF"/>
    <w:rsid w:val="00C47BB0"/>
    <w:rsid w:val="00C47E20"/>
    <w:rsid w:val="00C512D4"/>
    <w:rsid w:val="00C51D2C"/>
    <w:rsid w:val="00C52158"/>
    <w:rsid w:val="00C52416"/>
    <w:rsid w:val="00C53099"/>
    <w:rsid w:val="00C5380A"/>
    <w:rsid w:val="00C543F4"/>
    <w:rsid w:val="00C54A82"/>
    <w:rsid w:val="00C55082"/>
    <w:rsid w:val="00C552DC"/>
    <w:rsid w:val="00C55CEF"/>
    <w:rsid w:val="00C5672B"/>
    <w:rsid w:val="00C60132"/>
    <w:rsid w:val="00C605BB"/>
    <w:rsid w:val="00C609A9"/>
    <w:rsid w:val="00C61147"/>
    <w:rsid w:val="00C61748"/>
    <w:rsid w:val="00C61ADE"/>
    <w:rsid w:val="00C61FBB"/>
    <w:rsid w:val="00C6291C"/>
    <w:rsid w:val="00C62D92"/>
    <w:rsid w:val="00C631DD"/>
    <w:rsid w:val="00C633CB"/>
    <w:rsid w:val="00C63F61"/>
    <w:rsid w:val="00C65AC2"/>
    <w:rsid w:val="00C66513"/>
    <w:rsid w:val="00C66707"/>
    <w:rsid w:val="00C671AC"/>
    <w:rsid w:val="00C674CB"/>
    <w:rsid w:val="00C675FF"/>
    <w:rsid w:val="00C67A0A"/>
    <w:rsid w:val="00C711A6"/>
    <w:rsid w:val="00C7131A"/>
    <w:rsid w:val="00C71E11"/>
    <w:rsid w:val="00C736B7"/>
    <w:rsid w:val="00C7421B"/>
    <w:rsid w:val="00C7464B"/>
    <w:rsid w:val="00C74F60"/>
    <w:rsid w:val="00C7534B"/>
    <w:rsid w:val="00C755C2"/>
    <w:rsid w:val="00C75ECA"/>
    <w:rsid w:val="00C76615"/>
    <w:rsid w:val="00C76A91"/>
    <w:rsid w:val="00C77127"/>
    <w:rsid w:val="00C779DC"/>
    <w:rsid w:val="00C77BA8"/>
    <w:rsid w:val="00C77DF5"/>
    <w:rsid w:val="00C80A0A"/>
    <w:rsid w:val="00C80E81"/>
    <w:rsid w:val="00C81195"/>
    <w:rsid w:val="00C81D4A"/>
    <w:rsid w:val="00C82062"/>
    <w:rsid w:val="00C83472"/>
    <w:rsid w:val="00C84CA1"/>
    <w:rsid w:val="00C850FF"/>
    <w:rsid w:val="00C85342"/>
    <w:rsid w:val="00C856AD"/>
    <w:rsid w:val="00C8636F"/>
    <w:rsid w:val="00C8762C"/>
    <w:rsid w:val="00C90AF6"/>
    <w:rsid w:val="00C90BD4"/>
    <w:rsid w:val="00C91A89"/>
    <w:rsid w:val="00C91BC6"/>
    <w:rsid w:val="00C91C91"/>
    <w:rsid w:val="00C92FEB"/>
    <w:rsid w:val="00C93011"/>
    <w:rsid w:val="00C93360"/>
    <w:rsid w:val="00C936BB"/>
    <w:rsid w:val="00C94629"/>
    <w:rsid w:val="00C94C8E"/>
    <w:rsid w:val="00C973B7"/>
    <w:rsid w:val="00C9765A"/>
    <w:rsid w:val="00C97C17"/>
    <w:rsid w:val="00CA00D9"/>
    <w:rsid w:val="00CA00F9"/>
    <w:rsid w:val="00CA0774"/>
    <w:rsid w:val="00CA1F4B"/>
    <w:rsid w:val="00CA2193"/>
    <w:rsid w:val="00CA2961"/>
    <w:rsid w:val="00CA31F3"/>
    <w:rsid w:val="00CA3A27"/>
    <w:rsid w:val="00CA3EA3"/>
    <w:rsid w:val="00CA5394"/>
    <w:rsid w:val="00CA5B73"/>
    <w:rsid w:val="00CA651D"/>
    <w:rsid w:val="00CA7617"/>
    <w:rsid w:val="00CB053C"/>
    <w:rsid w:val="00CB069A"/>
    <w:rsid w:val="00CB0E5D"/>
    <w:rsid w:val="00CB0ECC"/>
    <w:rsid w:val="00CB2F93"/>
    <w:rsid w:val="00CB50D7"/>
    <w:rsid w:val="00CB5622"/>
    <w:rsid w:val="00CB5657"/>
    <w:rsid w:val="00CB5787"/>
    <w:rsid w:val="00CB5E14"/>
    <w:rsid w:val="00CB6197"/>
    <w:rsid w:val="00CB6904"/>
    <w:rsid w:val="00CB7177"/>
    <w:rsid w:val="00CB7C56"/>
    <w:rsid w:val="00CC004B"/>
    <w:rsid w:val="00CC0371"/>
    <w:rsid w:val="00CC107C"/>
    <w:rsid w:val="00CC1998"/>
    <w:rsid w:val="00CC1A8D"/>
    <w:rsid w:val="00CC24A4"/>
    <w:rsid w:val="00CC27A5"/>
    <w:rsid w:val="00CC3875"/>
    <w:rsid w:val="00CC3FB8"/>
    <w:rsid w:val="00CC4189"/>
    <w:rsid w:val="00CC4946"/>
    <w:rsid w:val="00CC6243"/>
    <w:rsid w:val="00CC7065"/>
    <w:rsid w:val="00CC752E"/>
    <w:rsid w:val="00CC7926"/>
    <w:rsid w:val="00CC7E80"/>
    <w:rsid w:val="00CD08FF"/>
    <w:rsid w:val="00CD15B5"/>
    <w:rsid w:val="00CD17F4"/>
    <w:rsid w:val="00CD1C3F"/>
    <w:rsid w:val="00CD1C9D"/>
    <w:rsid w:val="00CD1D28"/>
    <w:rsid w:val="00CD2C0A"/>
    <w:rsid w:val="00CD2F85"/>
    <w:rsid w:val="00CD5085"/>
    <w:rsid w:val="00CD5204"/>
    <w:rsid w:val="00CD5B4D"/>
    <w:rsid w:val="00CD60FB"/>
    <w:rsid w:val="00CE1672"/>
    <w:rsid w:val="00CE1EBF"/>
    <w:rsid w:val="00CE1FE0"/>
    <w:rsid w:val="00CE2003"/>
    <w:rsid w:val="00CE3041"/>
    <w:rsid w:val="00CE3C2B"/>
    <w:rsid w:val="00CE3EB5"/>
    <w:rsid w:val="00CE4876"/>
    <w:rsid w:val="00CE4A6F"/>
    <w:rsid w:val="00CE4B4A"/>
    <w:rsid w:val="00CE63EE"/>
    <w:rsid w:val="00CE6B87"/>
    <w:rsid w:val="00CE7C74"/>
    <w:rsid w:val="00CF0C73"/>
    <w:rsid w:val="00CF1E75"/>
    <w:rsid w:val="00CF2AF0"/>
    <w:rsid w:val="00CF2C2E"/>
    <w:rsid w:val="00CF4098"/>
    <w:rsid w:val="00CF4265"/>
    <w:rsid w:val="00CF4769"/>
    <w:rsid w:val="00CF4A04"/>
    <w:rsid w:val="00CF4B97"/>
    <w:rsid w:val="00CF5503"/>
    <w:rsid w:val="00CF6E56"/>
    <w:rsid w:val="00CF7A97"/>
    <w:rsid w:val="00CF7EF7"/>
    <w:rsid w:val="00D0047B"/>
    <w:rsid w:val="00D00BC8"/>
    <w:rsid w:val="00D012CF"/>
    <w:rsid w:val="00D0171A"/>
    <w:rsid w:val="00D01786"/>
    <w:rsid w:val="00D02C04"/>
    <w:rsid w:val="00D0382F"/>
    <w:rsid w:val="00D03C73"/>
    <w:rsid w:val="00D0412B"/>
    <w:rsid w:val="00D0417F"/>
    <w:rsid w:val="00D044B2"/>
    <w:rsid w:val="00D045C8"/>
    <w:rsid w:val="00D053AD"/>
    <w:rsid w:val="00D056AA"/>
    <w:rsid w:val="00D06EE5"/>
    <w:rsid w:val="00D07875"/>
    <w:rsid w:val="00D07CAE"/>
    <w:rsid w:val="00D106DB"/>
    <w:rsid w:val="00D108FD"/>
    <w:rsid w:val="00D10BDA"/>
    <w:rsid w:val="00D116A0"/>
    <w:rsid w:val="00D13E94"/>
    <w:rsid w:val="00D148B3"/>
    <w:rsid w:val="00D14951"/>
    <w:rsid w:val="00D14A96"/>
    <w:rsid w:val="00D14D31"/>
    <w:rsid w:val="00D16360"/>
    <w:rsid w:val="00D16F19"/>
    <w:rsid w:val="00D17524"/>
    <w:rsid w:val="00D1789D"/>
    <w:rsid w:val="00D17B60"/>
    <w:rsid w:val="00D2054E"/>
    <w:rsid w:val="00D20E6B"/>
    <w:rsid w:val="00D21F6C"/>
    <w:rsid w:val="00D2239C"/>
    <w:rsid w:val="00D22D33"/>
    <w:rsid w:val="00D22EC4"/>
    <w:rsid w:val="00D24E94"/>
    <w:rsid w:val="00D251B6"/>
    <w:rsid w:val="00D251C6"/>
    <w:rsid w:val="00D270A4"/>
    <w:rsid w:val="00D27481"/>
    <w:rsid w:val="00D27667"/>
    <w:rsid w:val="00D30348"/>
    <w:rsid w:val="00D315E0"/>
    <w:rsid w:val="00D31FE9"/>
    <w:rsid w:val="00D3260D"/>
    <w:rsid w:val="00D3269D"/>
    <w:rsid w:val="00D337A3"/>
    <w:rsid w:val="00D33D88"/>
    <w:rsid w:val="00D34226"/>
    <w:rsid w:val="00D34E1B"/>
    <w:rsid w:val="00D3547F"/>
    <w:rsid w:val="00D35E3B"/>
    <w:rsid w:val="00D36BB3"/>
    <w:rsid w:val="00D376BA"/>
    <w:rsid w:val="00D37CBA"/>
    <w:rsid w:val="00D37E6E"/>
    <w:rsid w:val="00D4066C"/>
    <w:rsid w:val="00D40CE2"/>
    <w:rsid w:val="00D40E68"/>
    <w:rsid w:val="00D41449"/>
    <w:rsid w:val="00D4161A"/>
    <w:rsid w:val="00D419C5"/>
    <w:rsid w:val="00D42004"/>
    <w:rsid w:val="00D42AC5"/>
    <w:rsid w:val="00D42CD9"/>
    <w:rsid w:val="00D43162"/>
    <w:rsid w:val="00D43AAF"/>
    <w:rsid w:val="00D451AF"/>
    <w:rsid w:val="00D4530F"/>
    <w:rsid w:val="00D45634"/>
    <w:rsid w:val="00D456B8"/>
    <w:rsid w:val="00D45CDF"/>
    <w:rsid w:val="00D47844"/>
    <w:rsid w:val="00D507FE"/>
    <w:rsid w:val="00D50D8E"/>
    <w:rsid w:val="00D50FE0"/>
    <w:rsid w:val="00D51567"/>
    <w:rsid w:val="00D52A10"/>
    <w:rsid w:val="00D53016"/>
    <w:rsid w:val="00D5438D"/>
    <w:rsid w:val="00D54476"/>
    <w:rsid w:val="00D547CD"/>
    <w:rsid w:val="00D54F7A"/>
    <w:rsid w:val="00D553DC"/>
    <w:rsid w:val="00D5568A"/>
    <w:rsid w:val="00D5583B"/>
    <w:rsid w:val="00D55E67"/>
    <w:rsid w:val="00D56336"/>
    <w:rsid w:val="00D56761"/>
    <w:rsid w:val="00D57D60"/>
    <w:rsid w:val="00D607BE"/>
    <w:rsid w:val="00D6081A"/>
    <w:rsid w:val="00D60A7A"/>
    <w:rsid w:val="00D60B77"/>
    <w:rsid w:val="00D619FE"/>
    <w:rsid w:val="00D62493"/>
    <w:rsid w:val="00D626F1"/>
    <w:rsid w:val="00D62C34"/>
    <w:rsid w:val="00D62CB7"/>
    <w:rsid w:val="00D62D8B"/>
    <w:rsid w:val="00D630B6"/>
    <w:rsid w:val="00D6380D"/>
    <w:rsid w:val="00D63D73"/>
    <w:rsid w:val="00D63E80"/>
    <w:rsid w:val="00D64452"/>
    <w:rsid w:val="00D64624"/>
    <w:rsid w:val="00D6645D"/>
    <w:rsid w:val="00D66B91"/>
    <w:rsid w:val="00D66CBE"/>
    <w:rsid w:val="00D66E1E"/>
    <w:rsid w:val="00D67008"/>
    <w:rsid w:val="00D677C3"/>
    <w:rsid w:val="00D67B4B"/>
    <w:rsid w:val="00D67D3A"/>
    <w:rsid w:val="00D712DF"/>
    <w:rsid w:val="00D72003"/>
    <w:rsid w:val="00D72321"/>
    <w:rsid w:val="00D727C5"/>
    <w:rsid w:val="00D72F97"/>
    <w:rsid w:val="00D732C1"/>
    <w:rsid w:val="00D73880"/>
    <w:rsid w:val="00D74265"/>
    <w:rsid w:val="00D742AA"/>
    <w:rsid w:val="00D75722"/>
    <w:rsid w:val="00D75B5F"/>
    <w:rsid w:val="00D75FC1"/>
    <w:rsid w:val="00D762AA"/>
    <w:rsid w:val="00D802AD"/>
    <w:rsid w:val="00D8039F"/>
    <w:rsid w:val="00D80417"/>
    <w:rsid w:val="00D80CF5"/>
    <w:rsid w:val="00D81402"/>
    <w:rsid w:val="00D827B2"/>
    <w:rsid w:val="00D82C7B"/>
    <w:rsid w:val="00D838F7"/>
    <w:rsid w:val="00D83A40"/>
    <w:rsid w:val="00D845F7"/>
    <w:rsid w:val="00D86C22"/>
    <w:rsid w:val="00D86C52"/>
    <w:rsid w:val="00D8789B"/>
    <w:rsid w:val="00D87B8B"/>
    <w:rsid w:val="00D91757"/>
    <w:rsid w:val="00D91C51"/>
    <w:rsid w:val="00D927B7"/>
    <w:rsid w:val="00D92981"/>
    <w:rsid w:val="00D92CB3"/>
    <w:rsid w:val="00D94707"/>
    <w:rsid w:val="00D94B36"/>
    <w:rsid w:val="00D95BB5"/>
    <w:rsid w:val="00D96534"/>
    <w:rsid w:val="00D97142"/>
    <w:rsid w:val="00D97537"/>
    <w:rsid w:val="00D97A3F"/>
    <w:rsid w:val="00DA071B"/>
    <w:rsid w:val="00DA09B1"/>
    <w:rsid w:val="00DA13DA"/>
    <w:rsid w:val="00DA1764"/>
    <w:rsid w:val="00DA1F4F"/>
    <w:rsid w:val="00DA2072"/>
    <w:rsid w:val="00DA394A"/>
    <w:rsid w:val="00DA5BBA"/>
    <w:rsid w:val="00DA5C1E"/>
    <w:rsid w:val="00DA6A44"/>
    <w:rsid w:val="00DA76C4"/>
    <w:rsid w:val="00DA7777"/>
    <w:rsid w:val="00DB0446"/>
    <w:rsid w:val="00DB0878"/>
    <w:rsid w:val="00DB1709"/>
    <w:rsid w:val="00DB2178"/>
    <w:rsid w:val="00DB26D2"/>
    <w:rsid w:val="00DB319B"/>
    <w:rsid w:val="00DB32C8"/>
    <w:rsid w:val="00DB3894"/>
    <w:rsid w:val="00DB3CD3"/>
    <w:rsid w:val="00DB496B"/>
    <w:rsid w:val="00DB4D00"/>
    <w:rsid w:val="00DB59B8"/>
    <w:rsid w:val="00DB5A99"/>
    <w:rsid w:val="00DB61CB"/>
    <w:rsid w:val="00DB67C9"/>
    <w:rsid w:val="00DB7236"/>
    <w:rsid w:val="00DB7324"/>
    <w:rsid w:val="00DB7ADF"/>
    <w:rsid w:val="00DC08E8"/>
    <w:rsid w:val="00DC0C95"/>
    <w:rsid w:val="00DC19B8"/>
    <w:rsid w:val="00DC1FBF"/>
    <w:rsid w:val="00DC2389"/>
    <w:rsid w:val="00DC3D99"/>
    <w:rsid w:val="00DC49EA"/>
    <w:rsid w:val="00DC5E42"/>
    <w:rsid w:val="00DC6BBF"/>
    <w:rsid w:val="00DC72DF"/>
    <w:rsid w:val="00DD0022"/>
    <w:rsid w:val="00DD0132"/>
    <w:rsid w:val="00DD1882"/>
    <w:rsid w:val="00DD1BA7"/>
    <w:rsid w:val="00DD1CA6"/>
    <w:rsid w:val="00DD2584"/>
    <w:rsid w:val="00DD26CA"/>
    <w:rsid w:val="00DD2DCC"/>
    <w:rsid w:val="00DD40B1"/>
    <w:rsid w:val="00DD581D"/>
    <w:rsid w:val="00DD5D03"/>
    <w:rsid w:val="00DD6580"/>
    <w:rsid w:val="00DD65B2"/>
    <w:rsid w:val="00DD6E70"/>
    <w:rsid w:val="00DD6FFD"/>
    <w:rsid w:val="00DD7A62"/>
    <w:rsid w:val="00DE08F0"/>
    <w:rsid w:val="00DE1270"/>
    <w:rsid w:val="00DE2DDD"/>
    <w:rsid w:val="00DE3C17"/>
    <w:rsid w:val="00DE489C"/>
    <w:rsid w:val="00DE4BFB"/>
    <w:rsid w:val="00DE5EEE"/>
    <w:rsid w:val="00DE63BD"/>
    <w:rsid w:val="00DE64B1"/>
    <w:rsid w:val="00DE6755"/>
    <w:rsid w:val="00DE6879"/>
    <w:rsid w:val="00DE73E5"/>
    <w:rsid w:val="00DE7B5A"/>
    <w:rsid w:val="00DF0ED2"/>
    <w:rsid w:val="00DF20D7"/>
    <w:rsid w:val="00DF2AA8"/>
    <w:rsid w:val="00DF2B00"/>
    <w:rsid w:val="00DF2E87"/>
    <w:rsid w:val="00DF3113"/>
    <w:rsid w:val="00DF36D8"/>
    <w:rsid w:val="00DF3B1C"/>
    <w:rsid w:val="00DF3C60"/>
    <w:rsid w:val="00DF3D2D"/>
    <w:rsid w:val="00DF3E2A"/>
    <w:rsid w:val="00DF4C97"/>
    <w:rsid w:val="00DF4FB2"/>
    <w:rsid w:val="00DF662C"/>
    <w:rsid w:val="00DF6A4D"/>
    <w:rsid w:val="00DF7A6B"/>
    <w:rsid w:val="00DF7E7A"/>
    <w:rsid w:val="00E00069"/>
    <w:rsid w:val="00E007E5"/>
    <w:rsid w:val="00E00842"/>
    <w:rsid w:val="00E0154A"/>
    <w:rsid w:val="00E0275A"/>
    <w:rsid w:val="00E03D76"/>
    <w:rsid w:val="00E04039"/>
    <w:rsid w:val="00E044B8"/>
    <w:rsid w:val="00E049AD"/>
    <w:rsid w:val="00E04AA3"/>
    <w:rsid w:val="00E05230"/>
    <w:rsid w:val="00E05F4A"/>
    <w:rsid w:val="00E06043"/>
    <w:rsid w:val="00E077CC"/>
    <w:rsid w:val="00E07C75"/>
    <w:rsid w:val="00E10D5C"/>
    <w:rsid w:val="00E11F41"/>
    <w:rsid w:val="00E12772"/>
    <w:rsid w:val="00E12778"/>
    <w:rsid w:val="00E12A4F"/>
    <w:rsid w:val="00E1387F"/>
    <w:rsid w:val="00E1553E"/>
    <w:rsid w:val="00E16CA4"/>
    <w:rsid w:val="00E17533"/>
    <w:rsid w:val="00E17C72"/>
    <w:rsid w:val="00E20581"/>
    <w:rsid w:val="00E206C9"/>
    <w:rsid w:val="00E21FC6"/>
    <w:rsid w:val="00E22C9F"/>
    <w:rsid w:val="00E22CFA"/>
    <w:rsid w:val="00E244B8"/>
    <w:rsid w:val="00E25A43"/>
    <w:rsid w:val="00E25FE5"/>
    <w:rsid w:val="00E26235"/>
    <w:rsid w:val="00E26EE4"/>
    <w:rsid w:val="00E27685"/>
    <w:rsid w:val="00E27E1A"/>
    <w:rsid w:val="00E27F3A"/>
    <w:rsid w:val="00E30181"/>
    <w:rsid w:val="00E3119C"/>
    <w:rsid w:val="00E324E0"/>
    <w:rsid w:val="00E32EA0"/>
    <w:rsid w:val="00E33859"/>
    <w:rsid w:val="00E33869"/>
    <w:rsid w:val="00E3476A"/>
    <w:rsid w:val="00E368BD"/>
    <w:rsid w:val="00E36C28"/>
    <w:rsid w:val="00E37204"/>
    <w:rsid w:val="00E407CD"/>
    <w:rsid w:val="00E42DC5"/>
    <w:rsid w:val="00E431A9"/>
    <w:rsid w:val="00E43314"/>
    <w:rsid w:val="00E43386"/>
    <w:rsid w:val="00E4347E"/>
    <w:rsid w:val="00E43A58"/>
    <w:rsid w:val="00E4472B"/>
    <w:rsid w:val="00E44DBE"/>
    <w:rsid w:val="00E45006"/>
    <w:rsid w:val="00E45E7F"/>
    <w:rsid w:val="00E468C2"/>
    <w:rsid w:val="00E50008"/>
    <w:rsid w:val="00E50964"/>
    <w:rsid w:val="00E510A3"/>
    <w:rsid w:val="00E527E0"/>
    <w:rsid w:val="00E53E17"/>
    <w:rsid w:val="00E54E66"/>
    <w:rsid w:val="00E555B5"/>
    <w:rsid w:val="00E556DE"/>
    <w:rsid w:val="00E55EEE"/>
    <w:rsid w:val="00E55F82"/>
    <w:rsid w:val="00E56030"/>
    <w:rsid w:val="00E568C9"/>
    <w:rsid w:val="00E56D48"/>
    <w:rsid w:val="00E57CF1"/>
    <w:rsid w:val="00E614C4"/>
    <w:rsid w:val="00E61BE0"/>
    <w:rsid w:val="00E62EA2"/>
    <w:rsid w:val="00E62FBB"/>
    <w:rsid w:val="00E642EF"/>
    <w:rsid w:val="00E64337"/>
    <w:rsid w:val="00E6530A"/>
    <w:rsid w:val="00E659FE"/>
    <w:rsid w:val="00E65F8C"/>
    <w:rsid w:val="00E66955"/>
    <w:rsid w:val="00E669E2"/>
    <w:rsid w:val="00E676BD"/>
    <w:rsid w:val="00E6774D"/>
    <w:rsid w:val="00E7094D"/>
    <w:rsid w:val="00E70ACB"/>
    <w:rsid w:val="00E712B7"/>
    <w:rsid w:val="00E72B6C"/>
    <w:rsid w:val="00E740DD"/>
    <w:rsid w:val="00E74AF0"/>
    <w:rsid w:val="00E74EEB"/>
    <w:rsid w:val="00E7515D"/>
    <w:rsid w:val="00E756E2"/>
    <w:rsid w:val="00E7570F"/>
    <w:rsid w:val="00E7611B"/>
    <w:rsid w:val="00E76135"/>
    <w:rsid w:val="00E76613"/>
    <w:rsid w:val="00E76E38"/>
    <w:rsid w:val="00E7709F"/>
    <w:rsid w:val="00E80181"/>
    <w:rsid w:val="00E80679"/>
    <w:rsid w:val="00E81021"/>
    <w:rsid w:val="00E82578"/>
    <w:rsid w:val="00E829AC"/>
    <w:rsid w:val="00E82DF5"/>
    <w:rsid w:val="00E82F4F"/>
    <w:rsid w:val="00E82FDB"/>
    <w:rsid w:val="00E83428"/>
    <w:rsid w:val="00E83FCD"/>
    <w:rsid w:val="00E84B6F"/>
    <w:rsid w:val="00E857AC"/>
    <w:rsid w:val="00E85843"/>
    <w:rsid w:val="00E85AEC"/>
    <w:rsid w:val="00E85CC7"/>
    <w:rsid w:val="00E860D8"/>
    <w:rsid w:val="00E868EC"/>
    <w:rsid w:val="00E87CE5"/>
    <w:rsid w:val="00E9011E"/>
    <w:rsid w:val="00E90B02"/>
    <w:rsid w:val="00E92C9D"/>
    <w:rsid w:val="00E93447"/>
    <w:rsid w:val="00E935D6"/>
    <w:rsid w:val="00E9394E"/>
    <w:rsid w:val="00E93A06"/>
    <w:rsid w:val="00E93A15"/>
    <w:rsid w:val="00E93DF8"/>
    <w:rsid w:val="00E94BB9"/>
    <w:rsid w:val="00E94E51"/>
    <w:rsid w:val="00E96C7C"/>
    <w:rsid w:val="00E97FC0"/>
    <w:rsid w:val="00EA002A"/>
    <w:rsid w:val="00EA097F"/>
    <w:rsid w:val="00EA12C8"/>
    <w:rsid w:val="00EA13CC"/>
    <w:rsid w:val="00EA1A86"/>
    <w:rsid w:val="00EA1AAD"/>
    <w:rsid w:val="00EA35E9"/>
    <w:rsid w:val="00EA36CA"/>
    <w:rsid w:val="00EA43DE"/>
    <w:rsid w:val="00EA44C4"/>
    <w:rsid w:val="00EA4CD1"/>
    <w:rsid w:val="00EA4DF9"/>
    <w:rsid w:val="00EA62B9"/>
    <w:rsid w:val="00EA6AD6"/>
    <w:rsid w:val="00EA7034"/>
    <w:rsid w:val="00EA71FF"/>
    <w:rsid w:val="00EA762D"/>
    <w:rsid w:val="00EA774F"/>
    <w:rsid w:val="00EA7E84"/>
    <w:rsid w:val="00EB047B"/>
    <w:rsid w:val="00EB14A6"/>
    <w:rsid w:val="00EB17D9"/>
    <w:rsid w:val="00EB183C"/>
    <w:rsid w:val="00EB1F73"/>
    <w:rsid w:val="00EB20F4"/>
    <w:rsid w:val="00EB25A4"/>
    <w:rsid w:val="00EB2D13"/>
    <w:rsid w:val="00EB3DE6"/>
    <w:rsid w:val="00EB64A5"/>
    <w:rsid w:val="00EB66E6"/>
    <w:rsid w:val="00EB67CE"/>
    <w:rsid w:val="00EB6B67"/>
    <w:rsid w:val="00EB7773"/>
    <w:rsid w:val="00EB7A7A"/>
    <w:rsid w:val="00EB7EF8"/>
    <w:rsid w:val="00EC0A35"/>
    <w:rsid w:val="00EC17A5"/>
    <w:rsid w:val="00EC2844"/>
    <w:rsid w:val="00EC290F"/>
    <w:rsid w:val="00EC2E01"/>
    <w:rsid w:val="00EC2FC0"/>
    <w:rsid w:val="00EC30A5"/>
    <w:rsid w:val="00EC43FB"/>
    <w:rsid w:val="00EC447F"/>
    <w:rsid w:val="00EC44A1"/>
    <w:rsid w:val="00EC478B"/>
    <w:rsid w:val="00EC4DC0"/>
    <w:rsid w:val="00EC5204"/>
    <w:rsid w:val="00EC52DC"/>
    <w:rsid w:val="00EC5500"/>
    <w:rsid w:val="00ED0E50"/>
    <w:rsid w:val="00ED1994"/>
    <w:rsid w:val="00ED276B"/>
    <w:rsid w:val="00ED414B"/>
    <w:rsid w:val="00ED5EB6"/>
    <w:rsid w:val="00ED5F44"/>
    <w:rsid w:val="00ED705D"/>
    <w:rsid w:val="00ED732E"/>
    <w:rsid w:val="00ED766D"/>
    <w:rsid w:val="00ED7904"/>
    <w:rsid w:val="00EE0222"/>
    <w:rsid w:val="00EE02AE"/>
    <w:rsid w:val="00EE03E2"/>
    <w:rsid w:val="00EE0CF8"/>
    <w:rsid w:val="00EE15A6"/>
    <w:rsid w:val="00EE17BA"/>
    <w:rsid w:val="00EE26B6"/>
    <w:rsid w:val="00EE3080"/>
    <w:rsid w:val="00EE3313"/>
    <w:rsid w:val="00EE3360"/>
    <w:rsid w:val="00EE3C03"/>
    <w:rsid w:val="00EE3EB3"/>
    <w:rsid w:val="00EE4385"/>
    <w:rsid w:val="00EE46A2"/>
    <w:rsid w:val="00EE73CA"/>
    <w:rsid w:val="00EE7511"/>
    <w:rsid w:val="00EF09D2"/>
    <w:rsid w:val="00EF0A48"/>
    <w:rsid w:val="00EF1795"/>
    <w:rsid w:val="00EF1A1C"/>
    <w:rsid w:val="00EF1BE6"/>
    <w:rsid w:val="00EF1D9F"/>
    <w:rsid w:val="00EF224E"/>
    <w:rsid w:val="00EF3AC3"/>
    <w:rsid w:val="00EF410F"/>
    <w:rsid w:val="00EF451F"/>
    <w:rsid w:val="00EF5605"/>
    <w:rsid w:val="00EF66D7"/>
    <w:rsid w:val="00EF6C6C"/>
    <w:rsid w:val="00EF7477"/>
    <w:rsid w:val="00EF79D7"/>
    <w:rsid w:val="00F002DF"/>
    <w:rsid w:val="00F0086D"/>
    <w:rsid w:val="00F0090B"/>
    <w:rsid w:val="00F0097E"/>
    <w:rsid w:val="00F00D4A"/>
    <w:rsid w:val="00F018CD"/>
    <w:rsid w:val="00F01C4C"/>
    <w:rsid w:val="00F01CCA"/>
    <w:rsid w:val="00F02348"/>
    <w:rsid w:val="00F02615"/>
    <w:rsid w:val="00F026E8"/>
    <w:rsid w:val="00F02A39"/>
    <w:rsid w:val="00F02C5E"/>
    <w:rsid w:val="00F03471"/>
    <w:rsid w:val="00F03ADD"/>
    <w:rsid w:val="00F03E97"/>
    <w:rsid w:val="00F0419F"/>
    <w:rsid w:val="00F04811"/>
    <w:rsid w:val="00F0484A"/>
    <w:rsid w:val="00F04C45"/>
    <w:rsid w:val="00F04C88"/>
    <w:rsid w:val="00F05018"/>
    <w:rsid w:val="00F056FC"/>
    <w:rsid w:val="00F05DC6"/>
    <w:rsid w:val="00F1026E"/>
    <w:rsid w:val="00F10476"/>
    <w:rsid w:val="00F105BC"/>
    <w:rsid w:val="00F10B77"/>
    <w:rsid w:val="00F11440"/>
    <w:rsid w:val="00F1184F"/>
    <w:rsid w:val="00F11888"/>
    <w:rsid w:val="00F12720"/>
    <w:rsid w:val="00F135D8"/>
    <w:rsid w:val="00F13CFA"/>
    <w:rsid w:val="00F14E77"/>
    <w:rsid w:val="00F14F2E"/>
    <w:rsid w:val="00F168B9"/>
    <w:rsid w:val="00F20B0C"/>
    <w:rsid w:val="00F20E64"/>
    <w:rsid w:val="00F21231"/>
    <w:rsid w:val="00F21972"/>
    <w:rsid w:val="00F226AF"/>
    <w:rsid w:val="00F23848"/>
    <w:rsid w:val="00F239CE"/>
    <w:rsid w:val="00F245DC"/>
    <w:rsid w:val="00F24C7C"/>
    <w:rsid w:val="00F24CD3"/>
    <w:rsid w:val="00F256D7"/>
    <w:rsid w:val="00F26946"/>
    <w:rsid w:val="00F26EB0"/>
    <w:rsid w:val="00F27360"/>
    <w:rsid w:val="00F276FE"/>
    <w:rsid w:val="00F30407"/>
    <w:rsid w:val="00F308EB"/>
    <w:rsid w:val="00F31299"/>
    <w:rsid w:val="00F3131B"/>
    <w:rsid w:val="00F328E0"/>
    <w:rsid w:val="00F333DB"/>
    <w:rsid w:val="00F3506A"/>
    <w:rsid w:val="00F3534A"/>
    <w:rsid w:val="00F354A1"/>
    <w:rsid w:val="00F358CD"/>
    <w:rsid w:val="00F35A41"/>
    <w:rsid w:val="00F3616B"/>
    <w:rsid w:val="00F36C0C"/>
    <w:rsid w:val="00F37E92"/>
    <w:rsid w:val="00F402E0"/>
    <w:rsid w:val="00F406DD"/>
    <w:rsid w:val="00F4123E"/>
    <w:rsid w:val="00F413EC"/>
    <w:rsid w:val="00F41DA0"/>
    <w:rsid w:val="00F42A98"/>
    <w:rsid w:val="00F42D0A"/>
    <w:rsid w:val="00F43588"/>
    <w:rsid w:val="00F43A85"/>
    <w:rsid w:val="00F446A3"/>
    <w:rsid w:val="00F44829"/>
    <w:rsid w:val="00F45026"/>
    <w:rsid w:val="00F45861"/>
    <w:rsid w:val="00F46222"/>
    <w:rsid w:val="00F4661B"/>
    <w:rsid w:val="00F46864"/>
    <w:rsid w:val="00F4790A"/>
    <w:rsid w:val="00F47EE4"/>
    <w:rsid w:val="00F5086D"/>
    <w:rsid w:val="00F50A1E"/>
    <w:rsid w:val="00F50E18"/>
    <w:rsid w:val="00F51609"/>
    <w:rsid w:val="00F51918"/>
    <w:rsid w:val="00F54139"/>
    <w:rsid w:val="00F54FD3"/>
    <w:rsid w:val="00F552F9"/>
    <w:rsid w:val="00F57660"/>
    <w:rsid w:val="00F578EF"/>
    <w:rsid w:val="00F602BC"/>
    <w:rsid w:val="00F606C2"/>
    <w:rsid w:val="00F61AAA"/>
    <w:rsid w:val="00F61D3D"/>
    <w:rsid w:val="00F62A6D"/>
    <w:rsid w:val="00F62C17"/>
    <w:rsid w:val="00F63D7C"/>
    <w:rsid w:val="00F6463D"/>
    <w:rsid w:val="00F64BC5"/>
    <w:rsid w:val="00F66A6C"/>
    <w:rsid w:val="00F6749C"/>
    <w:rsid w:val="00F7004B"/>
    <w:rsid w:val="00F7049D"/>
    <w:rsid w:val="00F70501"/>
    <w:rsid w:val="00F71DAB"/>
    <w:rsid w:val="00F72123"/>
    <w:rsid w:val="00F732A9"/>
    <w:rsid w:val="00F733E2"/>
    <w:rsid w:val="00F742F6"/>
    <w:rsid w:val="00F744F4"/>
    <w:rsid w:val="00F74798"/>
    <w:rsid w:val="00F76C82"/>
    <w:rsid w:val="00F777CC"/>
    <w:rsid w:val="00F77913"/>
    <w:rsid w:val="00F77E02"/>
    <w:rsid w:val="00F80A4C"/>
    <w:rsid w:val="00F80ED8"/>
    <w:rsid w:val="00F80F55"/>
    <w:rsid w:val="00F81006"/>
    <w:rsid w:val="00F8237A"/>
    <w:rsid w:val="00F8267D"/>
    <w:rsid w:val="00F83694"/>
    <w:rsid w:val="00F85325"/>
    <w:rsid w:val="00F85456"/>
    <w:rsid w:val="00F856D1"/>
    <w:rsid w:val="00F85A9E"/>
    <w:rsid w:val="00F863D9"/>
    <w:rsid w:val="00F86F96"/>
    <w:rsid w:val="00F87954"/>
    <w:rsid w:val="00F87F0D"/>
    <w:rsid w:val="00F907D9"/>
    <w:rsid w:val="00F908C8"/>
    <w:rsid w:val="00F90E8D"/>
    <w:rsid w:val="00F9153E"/>
    <w:rsid w:val="00F9183A"/>
    <w:rsid w:val="00F91C76"/>
    <w:rsid w:val="00F928AA"/>
    <w:rsid w:val="00F92F38"/>
    <w:rsid w:val="00F947F5"/>
    <w:rsid w:val="00F94D47"/>
    <w:rsid w:val="00F95FF5"/>
    <w:rsid w:val="00F97B39"/>
    <w:rsid w:val="00F97C38"/>
    <w:rsid w:val="00FA1615"/>
    <w:rsid w:val="00FA17E6"/>
    <w:rsid w:val="00FA238C"/>
    <w:rsid w:val="00FA2746"/>
    <w:rsid w:val="00FA2DA0"/>
    <w:rsid w:val="00FA40A5"/>
    <w:rsid w:val="00FA4C6A"/>
    <w:rsid w:val="00FA4DDE"/>
    <w:rsid w:val="00FA50DB"/>
    <w:rsid w:val="00FA67E8"/>
    <w:rsid w:val="00FA6DFD"/>
    <w:rsid w:val="00FA760F"/>
    <w:rsid w:val="00FA7CA5"/>
    <w:rsid w:val="00FB0116"/>
    <w:rsid w:val="00FB0536"/>
    <w:rsid w:val="00FB0771"/>
    <w:rsid w:val="00FB0A10"/>
    <w:rsid w:val="00FB0D8D"/>
    <w:rsid w:val="00FB0DF5"/>
    <w:rsid w:val="00FB0F5F"/>
    <w:rsid w:val="00FB1068"/>
    <w:rsid w:val="00FB11DE"/>
    <w:rsid w:val="00FB194F"/>
    <w:rsid w:val="00FB1ED6"/>
    <w:rsid w:val="00FB3A5F"/>
    <w:rsid w:val="00FB3AE1"/>
    <w:rsid w:val="00FB3D0A"/>
    <w:rsid w:val="00FB470E"/>
    <w:rsid w:val="00FB4BFA"/>
    <w:rsid w:val="00FB508C"/>
    <w:rsid w:val="00FB5AD2"/>
    <w:rsid w:val="00FB5C94"/>
    <w:rsid w:val="00FB64DB"/>
    <w:rsid w:val="00FB7C70"/>
    <w:rsid w:val="00FC07CE"/>
    <w:rsid w:val="00FC12E6"/>
    <w:rsid w:val="00FC2545"/>
    <w:rsid w:val="00FC3C42"/>
    <w:rsid w:val="00FC5351"/>
    <w:rsid w:val="00FC5907"/>
    <w:rsid w:val="00FC62D2"/>
    <w:rsid w:val="00FC686E"/>
    <w:rsid w:val="00FC6ACE"/>
    <w:rsid w:val="00FC74FD"/>
    <w:rsid w:val="00FD075E"/>
    <w:rsid w:val="00FD16D7"/>
    <w:rsid w:val="00FD22B1"/>
    <w:rsid w:val="00FD23B8"/>
    <w:rsid w:val="00FD299C"/>
    <w:rsid w:val="00FD2CE3"/>
    <w:rsid w:val="00FD37A9"/>
    <w:rsid w:val="00FD44F7"/>
    <w:rsid w:val="00FD59D1"/>
    <w:rsid w:val="00FD5DB1"/>
    <w:rsid w:val="00FD6248"/>
    <w:rsid w:val="00FD6E04"/>
    <w:rsid w:val="00FD7A16"/>
    <w:rsid w:val="00FE043D"/>
    <w:rsid w:val="00FE14B8"/>
    <w:rsid w:val="00FE1C17"/>
    <w:rsid w:val="00FE2C3B"/>
    <w:rsid w:val="00FE389C"/>
    <w:rsid w:val="00FE5397"/>
    <w:rsid w:val="00FE7212"/>
    <w:rsid w:val="00FE7ECF"/>
    <w:rsid w:val="00FF057D"/>
    <w:rsid w:val="00FF05B1"/>
    <w:rsid w:val="00FF0A9F"/>
    <w:rsid w:val="00FF0EE8"/>
    <w:rsid w:val="00FF17F0"/>
    <w:rsid w:val="00FF1B2E"/>
    <w:rsid w:val="00FF24DE"/>
    <w:rsid w:val="00FF2A74"/>
    <w:rsid w:val="00FF354F"/>
    <w:rsid w:val="00FF424A"/>
    <w:rsid w:val="00FF5949"/>
    <w:rsid w:val="00FF59C4"/>
    <w:rsid w:val="00FF5AEA"/>
    <w:rsid w:val="00FF7069"/>
    <w:rsid w:val="00FF75C0"/>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1626"/>
    <o:shapelayout v:ext="edit">
      <o:idmap v:ext="edit" data="1"/>
    </o:shapelayout>
  </w:shapeDefaults>
  <w:decimalSymbol w:val="."/>
  <w:listSeparator w:val=","/>
  <w14:docId w14:val="5E4E2D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Strong" w:uiPriority="22" w:qFormat="1"/>
    <w:lsdException w:name="Emphasis" w:qFormat="1"/>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7A7FBF"/>
    <w:rPr>
      <w:sz w:val="26"/>
      <w:szCs w:val="24"/>
    </w:rPr>
  </w:style>
  <w:style w:type="paragraph" w:styleId="Heading1">
    <w:name w:val="heading 1"/>
    <w:basedOn w:val="BodyText"/>
    <w:next w:val="BodyText"/>
    <w:link w:val="Heading1Char"/>
    <w:rsid w:val="007A7FBF"/>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7A7FBF"/>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7A7FBF"/>
    <w:pPr>
      <w:spacing w:before="560" w:line="320" w:lineRule="exact"/>
      <w:ind w:left="0" w:firstLine="0"/>
      <w:outlineLvl w:val="2"/>
    </w:pPr>
    <w:rPr>
      <w:sz w:val="26"/>
    </w:rPr>
  </w:style>
  <w:style w:type="paragraph" w:styleId="Heading4">
    <w:name w:val="heading 4"/>
    <w:basedOn w:val="Heading3"/>
    <w:next w:val="BodyText"/>
    <w:link w:val="Heading4Char"/>
    <w:qFormat/>
    <w:rsid w:val="007A7FBF"/>
    <w:pPr>
      <w:spacing w:before="480"/>
      <w:outlineLvl w:val="3"/>
    </w:pPr>
    <w:rPr>
      <w:b w:val="0"/>
      <w:i/>
      <w:sz w:val="24"/>
    </w:rPr>
  </w:style>
  <w:style w:type="paragraph" w:styleId="Heading5">
    <w:name w:val="heading 5"/>
    <w:basedOn w:val="Heading4"/>
    <w:next w:val="BodyText"/>
    <w:link w:val="Heading5Char"/>
    <w:qFormat/>
    <w:rsid w:val="007A7FBF"/>
    <w:pPr>
      <w:outlineLvl w:val="4"/>
    </w:pPr>
    <w:rPr>
      <w:rFonts w:ascii="Times New Roman" w:hAnsi="Times New Roman"/>
      <w:sz w:val="26"/>
    </w:rPr>
  </w:style>
  <w:style w:type="paragraph" w:styleId="Heading6">
    <w:name w:val="heading 6"/>
    <w:basedOn w:val="BodyText"/>
    <w:next w:val="BodyText"/>
    <w:link w:val="Heading6Char"/>
    <w:rsid w:val="007A7FBF"/>
    <w:pPr>
      <w:spacing w:after="60"/>
      <w:jc w:val="left"/>
      <w:outlineLvl w:val="5"/>
    </w:pPr>
    <w:rPr>
      <w:i/>
      <w:sz w:val="22"/>
    </w:rPr>
  </w:style>
  <w:style w:type="paragraph" w:styleId="Heading7">
    <w:name w:val="heading 7"/>
    <w:basedOn w:val="BodyText"/>
    <w:next w:val="BodyText"/>
    <w:link w:val="Heading7Char"/>
    <w:rsid w:val="007A7FBF"/>
    <w:pPr>
      <w:spacing w:after="60" w:line="240" w:lineRule="auto"/>
      <w:jc w:val="left"/>
      <w:outlineLvl w:val="6"/>
    </w:pPr>
    <w:rPr>
      <w:rFonts w:ascii="Arial" w:hAnsi="Arial"/>
      <w:sz w:val="20"/>
    </w:rPr>
  </w:style>
  <w:style w:type="paragraph" w:styleId="Heading8">
    <w:name w:val="heading 8"/>
    <w:basedOn w:val="BodyText"/>
    <w:next w:val="BodyText"/>
    <w:link w:val="Heading8Char"/>
    <w:rsid w:val="007A7FBF"/>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7A7FBF"/>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7A7FBF"/>
    <w:pPr>
      <w:spacing w:before="240" w:line="320" w:lineRule="atLeast"/>
      <w:jc w:val="both"/>
    </w:pPr>
    <w:rPr>
      <w:sz w:val="26"/>
    </w:rPr>
  </w:style>
  <w:style w:type="paragraph" w:styleId="Footer">
    <w:name w:val="footer"/>
    <w:basedOn w:val="BodyText"/>
    <w:link w:val="FooterChar"/>
    <w:rsid w:val="007A7FBF"/>
    <w:pPr>
      <w:spacing w:before="80" w:line="200" w:lineRule="exact"/>
      <w:ind w:right="6"/>
      <w:jc w:val="left"/>
    </w:pPr>
    <w:rPr>
      <w:caps/>
      <w:spacing w:val="-4"/>
      <w:sz w:val="16"/>
    </w:rPr>
  </w:style>
  <w:style w:type="paragraph" w:customStyle="1" w:styleId="FooterEnd">
    <w:name w:val="Footer End"/>
    <w:basedOn w:val="Footer"/>
    <w:rsid w:val="007A7FBF"/>
    <w:pPr>
      <w:spacing w:before="0" w:line="20" w:lineRule="exact"/>
    </w:pPr>
  </w:style>
  <w:style w:type="paragraph" w:styleId="Header">
    <w:name w:val="header"/>
    <w:basedOn w:val="BodyText"/>
    <w:link w:val="HeaderChar"/>
    <w:rsid w:val="007A7FBF"/>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7A7FBF"/>
    <w:pPr>
      <w:spacing w:line="20" w:lineRule="exact"/>
    </w:pPr>
    <w:rPr>
      <w:sz w:val="16"/>
    </w:rPr>
  </w:style>
  <w:style w:type="paragraph" w:customStyle="1" w:styleId="HeaderEven">
    <w:name w:val="Header Even"/>
    <w:basedOn w:val="Header"/>
    <w:rsid w:val="007A7FBF"/>
  </w:style>
  <w:style w:type="paragraph" w:customStyle="1" w:styleId="HeaderOdd">
    <w:name w:val="Header Odd"/>
    <w:basedOn w:val="Header"/>
    <w:rsid w:val="007A7FBF"/>
  </w:style>
  <w:style w:type="character" w:styleId="PageNumber">
    <w:name w:val="page number"/>
    <w:basedOn w:val="DefaultParagraphFont"/>
    <w:rsid w:val="007A7FBF"/>
    <w:rPr>
      <w:rFonts w:ascii="Arial" w:hAnsi="Arial"/>
      <w:b/>
      <w:sz w:val="16"/>
    </w:rPr>
  </w:style>
  <w:style w:type="paragraph" w:customStyle="1" w:styleId="Abbreviation">
    <w:name w:val="Abbreviation"/>
    <w:basedOn w:val="BodyText"/>
    <w:rsid w:val="007A7FBF"/>
    <w:pPr>
      <w:spacing w:before="120"/>
      <w:ind w:left="2381" w:hanging="2381"/>
      <w:jc w:val="left"/>
    </w:pPr>
  </w:style>
  <w:style w:type="paragraph" w:customStyle="1" w:styleId="Box">
    <w:name w:val="Box"/>
    <w:basedOn w:val="BodyText"/>
    <w:qFormat/>
    <w:rsid w:val="007A7FBF"/>
    <w:pPr>
      <w:keepNext/>
      <w:spacing w:before="120" w:line="280" w:lineRule="atLeast"/>
    </w:pPr>
    <w:rPr>
      <w:rFonts w:ascii="Arial" w:hAnsi="Arial"/>
      <w:sz w:val="22"/>
    </w:rPr>
  </w:style>
  <w:style w:type="paragraph" w:customStyle="1" w:styleId="BoxContinued">
    <w:name w:val="Box Continued"/>
    <w:basedOn w:val="BodyText"/>
    <w:next w:val="BodyText"/>
    <w:semiHidden/>
    <w:rsid w:val="007A7FBF"/>
    <w:pPr>
      <w:spacing w:before="180" w:line="220" w:lineRule="exact"/>
      <w:jc w:val="right"/>
    </w:pPr>
    <w:rPr>
      <w:rFonts w:ascii="Arial" w:hAnsi="Arial"/>
      <w:sz w:val="18"/>
    </w:rPr>
  </w:style>
  <w:style w:type="paragraph" w:customStyle="1" w:styleId="BoxHeading1">
    <w:name w:val="Box Heading 1"/>
    <w:basedOn w:val="BodyText"/>
    <w:next w:val="Box"/>
    <w:rsid w:val="007A7FBF"/>
    <w:pPr>
      <w:keepNext/>
      <w:spacing w:before="200" w:line="280" w:lineRule="atLeast"/>
    </w:pPr>
    <w:rPr>
      <w:rFonts w:ascii="Arial" w:hAnsi="Arial"/>
      <w:b/>
      <w:sz w:val="22"/>
    </w:rPr>
  </w:style>
  <w:style w:type="paragraph" w:customStyle="1" w:styleId="BoxHeading2">
    <w:name w:val="Box Heading 2"/>
    <w:basedOn w:val="BoxHeading1"/>
    <w:next w:val="Normal"/>
    <w:rsid w:val="007A7FBF"/>
    <w:rPr>
      <w:b w:val="0"/>
      <w:i/>
    </w:rPr>
  </w:style>
  <w:style w:type="paragraph" w:customStyle="1" w:styleId="BoxListBullet">
    <w:name w:val="Box List Bullet"/>
    <w:basedOn w:val="BodyText"/>
    <w:rsid w:val="007A7FBF"/>
    <w:pPr>
      <w:keepNext/>
      <w:numPr>
        <w:numId w:val="3"/>
      </w:numPr>
      <w:spacing w:before="60" w:line="280" w:lineRule="atLeast"/>
    </w:pPr>
    <w:rPr>
      <w:rFonts w:ascii="Arial" w:hAnsi="Arial"/>
      <w:sz w:val="22"/>
    </w:rPr>
  </w:style>
  <w:style w:type="paragraph" w:customStyle="1" w:styleId="BoxListBullet2">
    <w:name w:val="Box List Bullet 2"/>
    <w:basedOn w:val="BodyText"/>
    <w:rsid w:val="007A7FBF"/>
    <w:pPr>
      <w:keepNext/>
      <w:numPr>
        <w:numId w:val="4"/>
      </w:numPr>
      <w:spacing w:before="60" w:line="280" w:lineRule="atLeast"/>
    </w:pPr>
    <w:rPr>
      <w:rFonts w:ascii="Arial" w:hAnsi="Arial"/>
      <w:sz w:val="22"/>
    </w:rPr>
  </w:style>
  <w:style w:type="paragraph" w:customStyle="1" w:styleId="BoxListNumber">
    <w:name w:val="Box List Number"/>
    <w:basedOn w:val="BodyText"/>
    <w:rsid w:val="007A7FBF"/>
    <w:pPr>
      <w:keepNext/>
      <w:numPr>
        <w:numId w:val="7"/>
      </w:numPr>
      <w:spacing w:before="60" w:line="280" w:lineRule="atLeast"/>
    </w:pPr>
    <w:rPr>
      <w:rFonts w:ascii="Arial" w:hAnsi="Arial"/>
      <w:sz w:val="22"/>
    </w:rPr>
  </w:style>
  <w:style w:type="paragraph" w:customStyle="1" w:styleId="BoxListNumber2">
    <w:name w:val="Box List Number 2"/>
    <w:basedOn w:val="BoxListNumber"/>
    <w:rsid w:val="007A7FBF"/>
    <w:pPr>
      <w:numPr>
        <w:ilvl w:val="1"/>
      </w:numPr>
    </w:pPr>
  </w:style>
  <w:style w:type="paragraph" w:customStyle="1" w:styleId="BoxQuote">
    <w:name w:val="Box Quote"/>
    <w:basedOn w:val="BodyText"/>
    <w:next w:val="Box"/>
    <w:rsid w:val="007A7FBF"/>
    <w:pPr>
      <w:keepNext/>
      <w:spacing w:before="60" w:line="260" w:lineRule="exact"/>
      <w:ind w:left="284"/>
    </w:pPr>
    <w:rPr>
      <w:rFonts w:ascii="Arial" w:hAnsi="Arial"/>
      <w:sz w:val="20"/>
    </w:rPr>
  </w:style>
  <w:style w:type="paragraph" w:customStyle="1" w:styleId="Note">
    <w:name w:val="Note"/>
    <w:basedOn w:val="BodyText"/>
    <w:next w:val="BodyText"/>
    <w:rsid w:val="007A7FBF"/>
    <w:pPr>
      <w:keepLines/>
      <w:spacing w:before="80" w:line="220" w:lineRule="exact"/>
    </w:pPr>
    <w:rPr>
      <w:rFonts w:ascii="Arial" w:hAnsi="Arial"/>
      <w:sz w:val="18"/>
    </w:rPr>
  </w:style>
  <w:style w:type="paragraph" w:customStyle="1" w:styleId="Source">
    <w:name w:val="Source"/>
    <w:basedOn w:val="Note"/>
    <w:next w:val="BodyText"/>
    <w:rsid w:val="007A7FBF"/>
    <w:pPr>
      <w:spacing w:after="120"/>
    </w:pPr>
  </w:style>
  <w:style w:type="paragraph" w:customStyle="1" w:styleId="BoxSource">
    <w:name w:val="Box Source"/>
    <w:basedOn w:val="Source"/>
    <w:next w:val="BodyText"/>
    <w:rsid w:val="007A7FBF"/>
    <w:pPr>
      <w:spacing w:before="180" w:after="0"/>
    </w:pPr>
  </w:style>
  <w:style w:type="paragraph" w:customStyle="1" w:styleId="BoxSpaceAbove">
    <w:name w:val="Box Space Above"/>
    <w:basedOn w:val="BodyText"/>
    <w:rsid w:val="007A7FBF"/>
    <w:pPr>
      <w:keepNext/>
      <w:spacing w:before="360" w:line="80" w:lineRule="exact"/>
      <w:jc w:val="left"/>
    </w:pPr>
  </w:style>
  <w:style w:type="paragraph" w:styleId="Caption">
    <w:name w:val="caption"/>
    <w:basedOn w:val="Normal"/>
    <w:next w:val="BodyText"/>
    <w:rsid w:val="007A7FBF"/>
    <w:pPr>
      <w:keepNext/>
      <w:keepLines/>
      <w:spacing w:before="360" w:after="80" w:line="280" w:lineRule="exact"/>
      <w:ind w:left="1474" w:hanging="1474"/>
    </w:pPr>
    <w:rPr>
      <w:rFonts w:ascii="Arial" w:hAnsi="Arial"/>
      <w:b/>
    </w:rPr>
  </w:style>
  <w:style w:type="paragraph" w:customStyle="1" w:styleId="BoxTitle">
    <w:name w:val="Box Title"/>
    <w:basedOn w:val="Caption"/>
    <w:next w:val="Normal"/>
    <w:rsid w:val="007A7FBF"/>
    <w:pPr>
      <w:spacing w:before="120" w:after="0"/>
      <w:ind w:left="1304" w:hanging="1304"/>
    </w:pPr>
    <w:rPr>
      <w:sz w:val="24"/>
    </w:rPr>
  </w:style>
  <w:style w:type="paragraph" w:customStyle="1" w:styleId="BoxSubtitle">
    <w:name w:val="Box Subtitle"/>
    <w:basedOn w:val="BoxTitle"/>
    <w:next w:val="Normal"/>
    <w:rsid w:val="007A7FBF"/>
    <w:pPr>
      <w:spacing w:after="80" w:line="200" w:lineRule="exact"/>
      <w:ind w:firstLine="0"/>
    </w:pPr>
    <w:rPr>
      <w:b w:val="0"/>
      <w:sz w:val="20"/>
    </w:rPr>
  </w:style>
  <w:style w:type="paragraph" w:customStyle="1" w:styleId="Chapter">
    <w:name w:val="Chapter"/>
    <w:basedOn w:val="Heading1"/>
    <w:next w:val="BodyText"/>
    <w:semiHidden/>
    <w:rsid w:val="007A7FBF"/>
    <w:pPr>
      <w:ind w:left="0" w:firstLine="0"/>
      <w:outlineLvl w:val="9"/>
    </w:pPr>
  </w:style>
  <w:style w:type="paragraph" w:customStyle="1" w:styleId="ChapterSummary">
    <w:name w:val="Chapter Summary"/>
    <w:basedOn w:val="BodyText"/>
    <w:rsid w:val="007A7FBF"/>
    <w:pPr>
      <w:ind w:left="907"/>
    </w:pPr>
    <w:rPr>
      <w:rFonts w:ascii="Arial" w:hAnsi="Arial"/>
      <w:b/>
      <w:sz w:val="22"/>
    </w:rPr>
  </w:style>
  <w:style w:type="character" w:styleId="CommentReference">
    <w:name w:val="annotation reference"/>
    <w:basedOn w:val="DefaultParagraphFont"/>
    <w:rsid w:val="007A7FBF"/>
    <w:rPr>
      <w:b/>
      <w:vanish/>
      <w:color w:val="FF00FF"/>
      <w:sz w:val="20"/>
    </w:rPr>
  </w:style>
  <w:style w:type="paragraph" w:styleId="CommentText">
    <w:name w:val="annotation text"/>
    <w:basedOn w:val="Normal"/>
    <w:link w:val="CommentTextChar"/>
    <w:rsid w:val="007A7FBF"/>
    <w:pPr>
      <w:spacing w:before="120" w:line="240" w:lineRule="atLeast"/>
      <w:ind w:left="567" w:hanging="567"/>
    </w:pPr>
    <w:rPr>
      <w:sz w:val="20"/>
    </w:rPr>
  </w:style>
  <w:style w:type="paragraph" w:customStyle="1" w:styleId="Continued">
    <w:name w:val="Continued"/>
    <w:basedOn w:val="BoxContinued"/>
    <w:next w:val="BodyText"/>
    <w:rsid w:val="007A7FBF"/>
  </w:style>
  <w:style w:type="character" w:customStyle="1" w:styleId="DocumentInfo">
    <w:name w:val="Document Info"/>
    <w:basedOn w:val="DefaultParagraphFont"/>
    <w:semiHidden/>
    <w:rsid w:val="007A7FBF"/>
    <w:rPr>
      <w:rFonts w:ascii="Arial" w:hAnsi="Arial"/>
      <w:sz w:val="14"/>
    </w:rPr>
  </w:style>
  <w:style w:type="character" w:customStyle="1" w:styleId="DraftingNote">
    <w:name w:val="Drafting Note"/>
    <w:basedOn w:val="DefaultParagraphFont"/>
    <w:rsid w:val="007A7FBF"/>
    <w:rPr>
      <w:b/>
      <w:color w:val="FF0000"/>
      <w:sz w:val="24"/>
      <w:u w:val="dotted"/>
    </w:rPr>
  </w:style>
  <w:style w:type="paragraph" w:customStyle="1" w:styleId="Figure">
    <w:name w:val="Figure"/>
    <w:basedOn w:val="BodyText"/>
    <w:rsid w:val="007A7FBF"/>
    <w:pPr>
      <w:keepNext/>
      <w:spacing w:before="120" w:after="120" w:line="240" w:lineRule="atLeast"/>
      <w:jc w:val="center"/>
    </w:pPr>
  </w:style>
  <w:style w:type="paragraph" w:customStyle="1" w:styleId="FigureTitle">
    <w:name w:val="Figure Title"/>
    <w:basedOn w:val="Caption"/>
    <w:next w:val="Subtitle"/>
    <w:rsid w:val="007A7FBF"/>
    <w:rPr>
      <w:sz w:val="24"/>
    </w:rPr>
  </w:style>
  <w:style w:type="paragraph" w:styleId="Subtitle">
    <w:name w:val="Subtitle"/>
    <w:basedOn w:val="Caption"/>
    <w:link w:val="SubtitleChar"/>
    <w:rsid w:val="007A7FBF"/>
    <w:pPr>
      <w:spacing w:before="0" w:line="200" w:lineRule="exact"/>
      <w:ind w:firstLine="0"/>
    </w:pPr>
    <w:rPr>
      <w:b w:val="0"/>
      <w:sz w:val="20"/>
    </w:rPr>
  </w:style>
  <w:style w:type="paragraph" w:customStyle="1" w:styleId="Finding">
    <w:name w:val="Finding"/>
    <w:basedOn w:val="BodyText"/>
    <w:rsid w:val="007A7FBF"/>
    <w:pPr>
      <w:keepLines/>
      <w:spacing w:before="180"/>
    </w:pPr>
    <w:rPr>
      <w:i/>
    </w:rPr>
  </w:style>
  <w:style w:type="paragraph" w:customStyle="1" w:styleId="FindingBullet">
    <w:name w:val="Finding Bullet"/>
    <w:basedOn w:val="Finding"/>
    <w:rsid w:val="007A7FBF"/>
    <w:pPr>
      <w:numPr>
        <w:numId w:val="9"/>
      </w:numPr>
      <w:spacing w:before="80"/>
    </w:pPr>
  </w:style>
  <w:style w:type="paragraph" w:customStyle="1" w:styleId="FindingNoTitle">
    <w:name w:val="Finding NoTitle"/>
    <w:basedOn w:val="Finding"/>
    <w:semiHidden/>
    <w:rsid w:val="007A7FBF"/>
    <w:pPr>
      <w:spacing w:before="240"/>
    </w:pPr>
  </w:style>
  <w:style w:type="paragraph" w:customStyle="1" w:styleId="RecTitle">
    <w:name w:val="Rec Title"/>
    <w:basedOn w:val="BodyText"/>
    <w:next w:val="Normal"/>
    <w:rsid w:val="007A7FBF"/>
    <w:pPr>
      <w:keepNext/>
      <w:keepLines/>
    </w:pPr>
    <w:rPr>
      <w:caps/>
      <w:sz w:val="20"/>
    </w:rPr>
  </w:style>
  <w:style w:type="paragraph" w:customStyle="1" w:styleId="FindingTitle">
    <w:name w:val="Finding Title"/>
    <w:basedOn w:val="RecTitle"/>
    <w:next w:val="Finding"/>
    <w:rsid w:val="007A7FBF"/>
    <w:pPr>
      <w:framePr w:wrap="notBeside" w:hAnchor="text"/>
    </w:pPr>
  </w:style>
  <w:style w:type="character" w:styleId="FootnoteReference">
    <w:name w:val="footnote reference"/>
    <w:basedOn w:val="DefaultParagraphFont"/>
    <w:rsid w:val="007A7FBF"/>
    <w:rPr>
      <w:rFonts w:ascii="Times New Roman" w:hAnsi="Times New Roman"/>
      <w:position w:val="6"/>
      <w:sz w:val="22"/>
      <w:vertAlign w:val="baseline"/>
    </w:rPr>
  </w:style>
  <w:style w:type="paragraph" w:styleId="FootnoteText">
    <w:name w:val="footnote text"/>
    <w:basedOn w:val="BodyText"/>
    <w:link w:val="FootnoteTextChar"/>
    <w:rsid w:val="007A7FBF"/>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7A7FBF"/>
    <w:pPr>
      <w:spacing w:before="360" w:after="120"/>
    </w:pPr>
    <w:rPr>
      <w:rFonts w:ascii="Arial" w:hAnsi="Arial"/>
      <w:sz w:val="24"/>
    </w:rPr>
  </w:style>
  <w:style w:type="paragraph" w:customStyle="1" w:styleId="Jurisdictioncommentsbodytext">
    <w:name w:val="Jurisdiction comments body text"/>
    <w:rsid w:val="007A7FBF"/>
    <w:pPr>
      <w:spacing w:after="140"/>
      <w:jc w:val="both"/>
    </w:pPr>
    <w:rPr>
      <w:rFonts w:ascii="Arial" w:hAnsi="Arial"/>
      <w:sz w:val="24"/>
      <w:lang w:eastAsia="en-US"/>
    </w:rPr>
  </w:style>
  <w:style w:type="paragraph" w:customStyle="1" w:styleId="Jurisdictioncommentsheading">
    <w:name w:val="Jurisdiction comments heading"/>
    <w:rsid w:val="007A7FBF"/>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7A7FBF"/>
    <w:pPr>
      <w:numPr>
        <w:numId w:val="12"/>
      </w:numPr>
      <w:spacing w:after="140"/>
      <w:jc w:val="both"/>
    </w:pPr>
    <w:rPr>
      <w:rFonts w:ascii="Arial" w:hAnsi="Arial"/>
      <w:sz w:val="24"/>
      <w:lang w:eastAsia="en-US"/>
    </w:rPr>
  </w:style>
  <w:style w:type="paragraph" w:styleId="ListBullet">
    <w:name w:val="List Bullet"/>
    <w:basedOn w:val="BodyText"/>
    <w:rsid w:val="007A7FBF"/>
    <w:pPr>
      <w:numPr>
        <w:numId w:val="10"/>
      </w:numPr>
      <w:spacing w:before="120"/>
    </w:pPr>
  </w:style>
  <w:style w:type="paragraph" w:styleId="ListBullet2">
    <w:name w:val="List Bullet 2"/>
    <w:basedOn w:val="BodyText"/>
    <w:rsid w:val="007A7FBF"/>
    <w:pPr>
      <w:numPr>
        <w:numId w:val="13"/>
      </w:numPr>
      <w:spacing w:before="120"/>
    </w:pPr>
  </w:style>
  <w:style w:type="paragraph" w:styleId="ListBullet3">
    <w:name w:val="List Bullet 3"/>
    <w:basedOn w:val="BodyText"/>
    <w:rsid w:val="007A7FBF"/>
    <w:pPr>
      <w:numPr>
        <w:numId w:val="5"/>
      </w:numPr>
      <w:spacing w:before="120"/>
    </w:pPr>
  </w:style>
  <w:style w:type="paragraph" w:styleId="ListNumber">
    <w:name w:val="List Number"/>
    <w:basedOn w:val="BodyText"/>
    <w:rsid w:val="007A7FBF"/>
    <w:pPr>
      <w:numPr>
        <w:numId w:val="14"/>
      </w:numPr>
      <w:spacing w:before="120"/>
    </w:pPr>
  </w:style>
  <w:style w:type="paragraph" w:styleId="ListNumber2">
    <w:name w:val="List Number 2"/>
    <w:basedOn w:val="ListNumber"/>
    <w:rsid w:val="007A7FBF"/>
    <w:pPr>
      <w:numPr>
        <w:ilvl w:val="1"/>
      </w:numPr>
    </w:pPr>
  </w:style>
  <w:style w:type="paragraph" w:styleId="ListNumber3">
    <w:name w:val="List Number 3"/>
    <w:basedOn w:val="ListNumber2"/>
    <w:rsid w:val="007A7FBF"/>
    <w:pPr>
      <w:numPr>
        <w:ilvl w:val="2"/>
      </w:numPr>
    </w:pPr>
  </w:style>
  <w:style w:type="character" w:customStyle="1" w:styleId="NoteLabel">
    <w:name w:val="Note Label"/>
    <w:basedOn w:val="DefaultParagraphFont"/>
    <w:rsid w:val="007A7FBF"/>
    <w:rPr>
      <w:rFonts w:ascii="Arial" w:hAnsi="Arial"/>
      <w:b/>
      <w:position w:val="6"/>
      <w:sz w:val="18"/>
    </w:rPr>
  </w:style>
  <w:style w:type="paragraph" w:customStyle="1" w:styleId="PartDivider">
    <w:name w:val="Part Divider"/>
    <w:basedOn w:val="BodyText"/>
    <w:next w:val="BodyText"/>
    <w:semiHidden/>
    <w:rsid w:val="007A7FBF"/>
    <w:pPr>
      <w:spacing w:before="0" w:line="40" w:lineRule="exact"/>
      <w:jc w:val="right"/>
    </w:pPr>
    <w:rPr>
      <w:smallCaps/>
      <w:sz w:val="16"/>
    </w:rPr>
  </w:style>
  <w:style w:type="paragraph" w:customStyle="1" w:styleId="PartNumber">
    <w:name w:val="Part Number"/>
    <w:basedOn w:val="BodyText"/>
    <w:next w:val="BodyText"/>
    <w:semiHidden/>
    <w:rsid w:val="007A7FBF"/>
    <w:pPr>
      <w:spacing w:before="4000" w:line="320" w:lineRule="exact"/>
      <w:ind w:left="6634"/>
      <w:jc w:val="right"/>
    </w:pPr>
    <w:rPr>
      <w:smallCaps/>
      <w:spacing w:val="60"/>
      <w:sz w:val="32"/>
    </w:rPr>
  </w:style>
  <w:style w:type="paragraph" w:customStyle="1" w:styleId="PartTitle">
    <w:name w:val="Part Title"/>
    <w:basedOn w:val="BodyText"/>
    <w:semiHidden/>
    <w:rsid w:val="007A7FBF"/>
    <w:pPr>
      <w:spacing w:before="160" w:after="1360" w:line="520" w:lineRule="exact"/>
      <w:ind w:right="2381"/>
      <w:jc w:val="right"/>
    </w:pPr>
    <w:rPr>
      <w:smallCaps/>
      <w:sz w:val="52"/>
    </w:rPr>
  </w:style>
  <w:style w:type="paragraph" w:styleId="Quote">
    <w:name w:val="Quote"/>
    <w:basedOn w:val="BodyText"/>
    <w:next w:val="BodyText"/>
    <w:link w:val="QuoteChar"/>
    <w:qFormat/>
    <w:rsid w:val="007A7FBF"/>
    <w:pPr>
      <w:spacing w:before="120" w:line="280" w:lineRule="exact"/>
      <w:ind w:left="340"/>
    </w:pPr>
    <w:rPr>
      <w:sz w:val="24"/>
    </w:rPr>
  </w:style>
  <w:style w:type="paragraph" w:customStyle="1" w:styleId="QuoteBullet">
    <w:name w:val="Quote Bullet"/>
    <w:basedOn w:val="Quote"/>
    <w:rsid w:val="007A7FBF"/>
    <w:pPr>
      <w:numPr>
        <w:numId w:val="15"/>
      </w:numPr>
    </w:pPr>
  </w:style>
  <w:style w:type="paragraph" w:customStyle="1" w:styleId="Rec">
    <w:name w:val="Rec"/>
    <w:basedOn w:val="BodyText"/>
    <w:rsid w:val="007A7FBF"/>
    <w:pPr>
      <w:keepLines/>
      <w:spacing w:before="180"/>
    </w:pPr>
    <w:rPr>
      <w:b/>
      <w:i/>
    </w:rPr>
  </w:style>
  <w:style w:type="paragraph" w:customStyle="1" w:styleId="RecBullet">
    <w:name w:val="Rec Bullet"/>
    <w:basedOn w:val="Rec"/>
    <w:rsid w:val="007A7FBF"/>
    <w:pPr>
      <w:numPr>
        <w:numId w:val="16"/>
      </w:numPr>
      <w:spacing w:before="80"/>
    </w:pPr>
  </w:style>
  <w:style w:type="paragraph" w:customStyle="1" w:styleId="RecB">
    <w:name w:val="RecB"/>
    <w:basedOn w:val="Normal"/>
    <w:semiHidden/>
    <w:rsid w:val="007A7FBF"/>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7A7FBF"/>
    <w:pPr>
      <w:numPr>
        <w:numId w:val="17"/>
      </w:numPr>
      <w:spacing w:before="80"/>
    </w:pPr>
  </w:style>
  <w:style w:type="paragraph" w:customStyle="1" w:styleId="RecBNoTitle">
    <w:name w:val="RecB NoTitle"/>
    <w:basedOn w:val="RecB"/>
    <w:semiHidden/>
    <w:rsid w:val="007A7FBF"/>
    <w:pPr>
      <w:spacing w:before="240"/>
    </w:pPr>
  </w:style>
  <w:style w:type="paragraph" w:customStyle="1" w:styleId="Reference">
    <w:name w:val="Reference"/>
    <w:basedOn w:val="BodyText"/>
    <w:rsid w:val="007A7FBF"/>
    <w:pPr>
      <w:spacing w:before="120"/>
      <w:ind w:left="340" w:hanging="340"/>
    </w:pPr>
  </w:style>
  <w:style w:type="paragraph" w:customStyle="1" w:styleId="SequenceInfo">
    <w:name w:val="Sequence Info"/>
    <w:basedOn w:val="BodyText"/>
    <w:semiHidden/>
    <w:rsid w:val="007A7FBF"/>
    <w:rPr>
      <w:vanish/>
      <w:sz w:val="16"/>
    </w:rPr>
  </w:style>
  <w:style w:type="paragraph" w:customStyle="1" w:styleId="SideNote">
    <w:name w:val="Side Note"/>
    <w:basedOn w:val="BodyText"/>
    <w:next w:val="BodyText"/>
    <w:semiHidden/>
    <w:rsid w:val="007A7FBF"/>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7A7FBF"/>
    <w:pPr>
      <w:framePr w:wrap="around"/>
      <w:numPr>
        <w:numId w:val="18"/>
      </w:numPr>
      <w:tabs>
        <w:tab w:val="left" w:pos="227"/>
      </w:tabs>
    </w:pPr>
  </w:style>
  <w:style w:type="paragraph" w:customStyle="1" w:styleId="SideNoteGraphic">
    <w:name w:val="Side Note Graphic"/>
    <w:basedOn w:val="SideNote"/>
    <w:next w:val="BodyText"/>
    <w:semiHidden/>
    <w:rsid w:val="007A7FBF"/>
    <w:pPr>
      <w:framePr w:wrap="around"/>
    </w:pPr>
  </w:style>
  <w:style w:type="paragraph" w:customStyle="1" w:styleId="TableBodyText">
    <w:name w:val="Table Body Text"/>
    <w:basedOn w:val="BodyText"/>
    <w:rsid w:val="007A7FBF"/>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7A7FBF"/>
    <w:pPr>
      <w:numPr>
        <w:numId w:val="19"/>
      </w:numPr>
      <w:jc w:val="left"/>
    </w:pPr>
  </w:style>
  <w:style w:type="paragraph" w:customStyle="1" w:styleId="TableColumnHeading">
    <w:name w:val="Table Column Heading"/>
    <w:basedOn w:val="TableBodyText"/>
    <w:rsid w:val="007A7FBF"/>
    <w:pPr>
      <w:spacing w:before="80" w:after="80"/>
    </w:pPr>
    <w:rPr>
      <w:i/>
    </w:rPr>
  </w:style>
  <w:style w:type="paragraph" w:styleId="TOC2">
    <w:name w:val="toc 2"/>
    <w:basedOn w:val="BodyText"/>
    <w:semiHidden/>
    <w:rsid w:val="007A7FBF"/>
    <w:pPr>
      <w:tabs>
        <w:tab w:val="right" w:pos="8789"/>
      </w:tabs>
      <w:ind w:left="510" w:right="851" w:hanging="510"/>
      <w:jc w:val="left"/>
    </w:pPr>
    <w:rPr>
      <w:b/>
    </w:rPr>
  </w:style>
  <w:style w:type="paragraph" w:styleId="TOC3">
    <w:name w:val="toc 3"/>
    <w:basedOn w:val="TOC2"/>
    <w:semiHidden/>
    <w:rsid w:val="007A7FBF"/>
    <w:pPr>
      <w:spacing w:before="60"/>
      <w:ind w:left="1190" w:hanging="680"/>
    </w:pPr>
    <w:rPr>
      <w:b w:val="0"/>
    </w:rPr>
  </w:style>
  <w:style w:type="paragraph" w:styleId="TableofFigures">
    <w:name w:val="table of figures"/>
    <w:basedOn w:val="TOC3"/>
    <w:next w:val="BodyText"/>
    <w:semiHidden/>
    <w:rsid w:val="007A7FBF"/>
    <w:pPr>
      <w:ind w:left="737" w:hanging="737"/>
    </w:pPr>
  </w:style>
  <w:style w:type="paragraph" w:customStyle="1" w:styleId="TableTitle">
    <w:name w:val="Table Title"/>
    <w:basedOn w:val="Caption"/>
    <w:next w:val="Subtitle"/>
    <w:rsid w:val="007A7FBF"/>
    <w:rPr>
      <w:sz w:val="24"/>
    </w:rPr>
  </w:style>
  <w:style w:type="paragraph" w:customStyle="1" w:styleId="TableUnitsRow">
    <w:name w:val="Table Units Row"/>
    <w:basedOn w:val="TableBodyText"/>
    <w:rsid w:val="007A7FBF"/>
    <w:pPr>
      <w:spacing w:before="80" w:after="80"/>
    </w:pPr>
  </w:style>
  <w:style w:type="paragraph" w:styleId="TOC1">
    <w:name w:val="toc 1"/>
    <w:basedOn w:val="Normal"/>
    <w:next w:val="TOC2"/>
    <w:semiHidden/>
    <w:rsid w:val="007A7FBF"/>
    <w:pPr>
      <w:tabs>
        <w:tab w:val="right" w:pos="8789"/>
      </w:tabs>
      <w:spacing w:before="480" w:after="60" w:line="320" w:lineRule="exact"/>
      <w:ind w:left="1191" w:right="851" w:hanging="1191"/>
    </w:pPr>
    <w:rPr>
      <w:b/>
      <w:caps/>
    </w:rPr>
  </w:style>
  <w:style w:type="paragraph" w:styleId="TOC4">
    <w:name w:val="toc 4"/>
    <w:basedOn w:val="TOC3"/>
    <w:semiHidden/>
    <w:rsid w:val="007A7FBF"/>
    <w:pPr>
      <w:ind w:left="1191" w:firstLine="0"/>
    </w:pPr>
  </w:style>
  <w:style w:type="paragraph" w:customStyle="1" w:styleId="RecBBullet2">
    <w:name w:val="RecB Bullet 2"/>
    <w:basedOn w:val="ListBullet2"/>
    <w:semiHidden/>
    <w:rsid w:val="007A7FBF"/>
    <w:pPr>
      <w:numPr>
        <w:numId w:val="0"/>
      </w:numPr>
      <w:pBdr>
        <w:left w:val="single" w:sz="24" w:space="29" w:color="C0C0C0"/>
      </w:pBdr>
    </w:pPr>
    <w:rPr>
      <w:b/>
      <w:i/>
    </w:rPr>
  </w:style>
  <w:style w:type="paragraph" w:styleId="BalloonText">
    <w:name w:val="Balloon Text"/>
    <w:basedOn w:val="Normal"/>
    <w:link w:val="BalloonTextChar"/>
    <w:rsid w:val="007A7FBF"/>
    <w:rPr>
      <w:rFonts w:ascii="Tahoma" w:hAnsi="Tahoma" w:cs="Tahoma"/>
      <w:sz w:val="16"/>
      <w:szCs w:val="16"/>
    </w:rPr>
  </w:style>
  <w:style w:type="character" w:customStyle="1" w:styleId="BalloonTextChar">
    <w:name w:val="Balloon Text Char"/>
    <w:basedOn w:val="DefaultParagraphFont"/>
    <w:link w:val="BalloonText"/>
    <w:rsid w:val="007A7FBF"/>
    <w:rPr>
      <w:rFonts w:ascii="Tahoma" w:hAnsi="Tahoma" w:cs="Tahoma"/>
      <w:sz w:val="16"/>
      <w:szCs w:val="16"/>
    </w:rPr>
  </w:style>
  <w:style w:type="character" w:customStyle="1" w:styleId="SubtitleChar">
    <w:name w:val="Subtitle Char"/>
    <w:basedOn w:val="DefaultParagraphFont"/>
    <w:link w:val="Subtitle"/>
    <w:rsid w:val="007A7FBF"/>
    <w:rPr>
      <w:rFonts w:ascii="Arial" w:hAnsi="Arial"/>
      <w:szCs w:val="24"/>
    </w:rPr>
  </w:style>
  <w:style w:type="paragraph" w:customStyle="1" w:styleId="BoxListBullet3">
    <w:name w:val="Box List Bullet 3"/>
    <w:basedOn w:val="ListBullet3"/>
    <w:rsid w:val="007A7FBF"/>
    <w:pPr>
      <w:numPr>
        <w:numId w:val="6"/>
      </w:numPr>
      <w:tabs>
        <w:tab w:val="left" w:pos="907"/>
      </w:tabs>
      <w:spacing w:before="60" w:line="280" w:lineRule="atLeast"/>
    </w:pPr>
    <w:rPr>
      <w:rFonts w:ascii="Arial" w:hAnsi="Arial"/>
      <w:sz w:val="22"/>
    </w:rPr>
  </w:style>
  <w:style w:type="character" w:styleId="Emphasis">
    <w:name w:val="Emphasis"/>
    <w:basedOn w:val="DefaultParagraphFont"/>
    <w:rsid w:val="007A7FBF"/>
    <w:rPr>
      <w:i/>
      <w:iCs/>
    </w:rPr>
  </w:style>
  <w:style w:type="paragraph" w:customStyle="1" w:styleId="BoxQuoteBullet">
    <w:name w:val="Box Quote Bullet"/>
    <w:basedOn w:val="BoxQuote"/>
    <w:next w:val="Box"/>
    <w:rsid w:val="007A7FBF"/>
    <w:pPr>
      <w:numPr>
        <w:numId w:val="8"/>
      </w:numPr>
    </w:pPr>
  </w:style>
  <w:style w:type="paragraph" w:customStyle="1" w:styleId="InformationRequestBullet">
    <w:name w:val="Information Request Bullet"/>
    <w:basedOn w:val="ListBullet"/>
    <w:next w:val="BodyText"/>
    <w:rsid w:val="007A7FBF"/>
    <w:pPr>
      <w:numPr>
        <w:numId w:val="11"/>
      </w:numPr>
    </w:pPr>
    <w:rPr>
      <w:rFonts w:ascii="Arial" w:hAnsi="Arial"/>
      <w:i/>
      <w:sz w:val="24"/>
    </w:rPr>
  </w:style>
  <w:style w:type="paragraph" w:customStyle="1" w:styleId="BoxSpaceBelow">
    <w:name w:val="Box Space Below"/>
    <w:basedOn w:val="Box"/>
    <w:rsid w:val="007A7FBF"/>
    <w:pPr>
      <w:keepNext w:val="0"/>
      <w:spacing w:before="60" w:after="60" w:line="80" w:lineRule="exact"/>
    </w:pPr>
    <w:rPr>
      <w:sz w:val="14"/>
    </w:rPr>
  </w:style>
  <w:style w:type="character" w:styleId="Hyperlink">
    <w:name w:val="Hyperlink"/>
    <w:basedOn w:val="DefaultParagraphFont"/>
    <w:rsid w:val="00C973B7"/>
    <w:rPr>
      <w:color w:val="0000FF" w:themeColor="hyperlink"/>
      <w:u w:val="single"/>
    </w:rPr>
  </w:style>
  <w:style w:type="character" w:styleId="FollowedHyperlink">
    <w:name w:val="FollowedHyperlink"/>
    <w:basedOn w:val="DefaultParagraphFont"/>
    <w:rsid w:val="00A80639"/>
    <w:rPr>
      <w:color w:val="800080" w:themeColor="followedHyperlink"/>
      <w:u w:val="single"/>
    </w:rPr>
  </w:style>
  <w:style w:type="character" w:customStyle="1" w:styleId="BodyTextChar">
    <w:name w:val="Body Text Char"/>
    <w:basedOn w:val="DefaultParagraphFont"/>
    <w:link w:val="BodyText"/>
    <w:rsid w:val="007A7FBF"/>
    <w:rPr>
      <w:sz w:val="26"/>
    </w:rPr>
  </w:style>
  <w:style w:type="paragraph" w:customStyle="1" w:styleId="Default">
    <w:name w:val="Default"/>
    <w:rsid w:val="00953969"/>
    <w:pPr>
      <w:autoSpaceDE w:val="0"/>
      <w:autoSpaceDN w:val="0"/>
      <w:adjustRightInd w:val="0"/>
    </w:pPr>
    <w:rPr>
      <w:rFonts w:ascii="Arial" w:hAnsi="Arial" w:cs="Arial"/>
      <w:color w:val="000000"/>
      <w:sz w:val="24"/>
      <w:szCs w:val="24"/>
    </w:rPr>
  </w:style>
  <w:style w:type="character" w:styleId="Strong">
    <w:name w:val="Strong"/>
    <w:basedOn w:val="DefaultParagraphFont"/>
    <w:uiPriority w:val="22"/>
    <w:qFormat/>
    <w:rsid w:val="00BC1973"/>
    <w:rPr>
      <w:b/>
      <w:bCs/>
      <w:i w:val="0"/>
      <w:iCs w:val="0"/>
    </w:rPr>
  </w:style>
  <w:style w:type="paragraph" w:styleId="NormalWeb">
    <w:name w:val="Normal (Web)"/>
    <w:basedOn w:val="Normal"/>
    <w:uiPriority w:val="99"/>
    <w:unhideWhenUsed/>
    <w:rsid w:val="00BC1973"/>
    <w:pPr>
      <w:spacing w:before="120" w:after="240"/>
    </w:pPr>
    <w:rPr>
      <w:sz w:val="24"/>
    </w:rPr>
  </w:style>
  <w:style w:type="character" w:customStyle="1" w:styleId="meta">
    <w:name w:val="meta"/>
    <w:basedOn w:val="DefaultParagraphFont"/>
    <w:rsid w:val="00BC1973"/>
    <w:rPr>
      <w:vanish w:val="0"/>
      <w:webHidden w:val="0"/>
      <w:sz w:val="19"/>
      <w:szCs w:val="19"/>
      <w:specVanish w:val="0"/>
    </w:rPr>
  </w:style>
  <w:style w:type="character" w:customStyle="1" w:styleId="filetype">
    <w:name w:val="filetype"/>
    <w:basedOn w:val="DefaultParagraphFont"/>
    <w:rsid w:val="00BC1973"/>
  </w:style>
  <w:style w:type="paragraph" w:styleId="ListParagraph">
    <w:name w:val="List Paragraph"/>
    <w:basedOn w:val="Normal"/>
    <w:uiPriority w:val="34"/>
    <w:rsid w:val="001718E7"/>
    <w:pPr>
      <w:ind w:left="720"/>
      <w:contextualSpacing/>
    </w:pPr>
  </w:style>
  <w:style w:type="character" w:customStyle="1" w:styleId="FooterChar">
    <w:name w:val="Footer Char"/>
    <w:basedOn w:val="DefaultParagraphFont"/>
    <w:link w:val="Footer"/>
    <w:rsid w:val="007A7FBF"/>
    <w:rPr>
      <w:caps/>
      <w:spacing w:val="-4"/>
      <w:sz w:val="16"/>
    </w:rPr>
  </w:style>
  <w:style w:type="character" w:customStyle="1" w:styleId="FootnoteTextChar">
    <w:name w:val="Footnote Text Char"/>
    <w:basedOn w:val="DefaultParagraphFont"/>
    <w:link w:val="FootnoteText"/>
    <w:locked/>
    <w:rsid w:val="007A7FBF"/>
    <w:rPr>
      <w:sz w:val="22"/>
    </w:rPr>
  </w:style>
  <w:style w:type="paragraph" w:customStyle="1" w:styleId="ListParagraphforEl">
    <w:name w:val="List Paragraph for El"/>
    <w:basedOn w:val="ListParagraph"/>
    <w:uiPriority w:val="99"/>
    <w:rsid w:val="00AF2C8C"/>
    <w:pPr>
      <w:numPr>
        <w:numId w:val="1"/>
      </w:numPr>
      <w:spacing w:before="120" w:after="120" w:line="276" w:lineRule="auto"/>
      <w:ind w:left="720" w:firstLine="0"/>
      <w:contextualSpacing w:val="0"/>
      <w:jc w:val="both"/>
    </w:pPr>
    <w:rPr>
      <w:rFonts w:ascii="Arial" w:hAnsi="Arial"/>
      <w:sz w:val="22"/>
      <w:szCs w:val="22"/>
      <w:lang w:eastAsia="en-US"/>
    </w:rPr>
  </w:style>
  <w:style w:type="paragraph" w:customStyle="1" w:styleId="Elslist">
    <w:name w:val="El's list"/>
    <w:basedOn w:val="ListParagraphforEl"/>
    <w:uiPriority w:val="99"/>
    <w:rsid w:val="00AF2C8C"/>
    <w:pPr>
      <w:ind w:left="568" w:hanging="284"/>
    </w:pPr>
  </w:style>
  <w:style w:type="paragraph" w:styleId="PlainText">
    <w:name w:val="Plain Text"/>
    <w:basedOn w:val="Normal"/>
    <w:link w:val="PlainTextChar"/>
    <w:uiPriority w:val="99"/>
    <w:unhideWhenUsed/>
    <w:rsid w:val="00FB194F"/>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FB194F"/>
    <w:rPr>
      <w:rFonts w:ascii="Calibri" w:eastAsiaTheme="minorHAnsi" w:hAnsi="Calibri" w:cstheme="minorBidi"/>
      <w:sz w:val="22"/>
      <w:szCs w:val="21"/>
      <w:lang w:eastAsia="en-US"/>
    </w:rPr>
  </w:style>
  <w:style w:type="character" w:customStyle="1" w:styleId="QuoteChar">
    <w:name w:val="Quote Char"/>
    <w:basedOn w:val="DefaultParagraphFont"/>
    <w:link w:val="Quote"/>
    <w:rsid w:val="007A7FBF"/>
    <w:rPr>
      <w:sz w:val="24"/>
    </w:rPr>
  </w:style>
  <w:style w:type="character" w:customStyle="1" w:styleId="A5">
    <w:name w:val="A5"/>
    <w:uiPriority w:val="99"/>
    <w:rsid w:val="00073D5C"/>
    <w:rPr>
      <w:rFonts w:cs="Frutiger 45 Light"/>
      <w:b/>
      <w:bCs/>
      <w:color w:val="000000"/>
    </w:rPr>
  </w:style>
  <w:style w:type="character" w:customStyle="1" w:styleId="A7">
    <w:name w:val="A7"/>
    <w:uiPriority w:val="99"/>
    <w:rsid w:val="008F0930"/>
    <w:rPr>
      <w:rFonts w:cs="Frutiger 45 Light"/>
      <w:color w:val="221E1F"/>
      <w:sz w:val="20"/>
      <w:szCs w:val="20"/>
    </w:rPr>
  </w:style>
  <w:style w:type="character" w:customStyle="1" w:styleId="CommentTextChar">
    <w:name w:val="Comment Text Char"/>
    <w:basedOn w:val="DefaultParagraphFont"/>
    <w:link w:val="CommentText"/>
    <w:rsid w:val="007A7FBF"/>
    <w:rPr>
      <w:szCs w:val="24"/>
    </w:rPr>
  </w:style>
  <w:style w:type="paragraph" w:styleId="CommentSubject">
    <w:name w:val="annotation subject"/>
    <w:basedOn w:val="CommentText"/>
    <w:next w:val="CommentText"/>
    <w:link w:val="CommentSubjectChar"/>
    <w:rsid w:val="0020784A"/>
    <w:pPr>
      <w:spacing w:before="0" w:line="240" w:lineRule="auto"/>
      <w:ind w:left="0" w:firstLine="0"/>
    </w:pPr>
    <w:rPr>
      <w:b/>
      <w:bCs/>
      <w:szCs w:val="20"/>
    </w:rPr>
  </w:style>
  <w:style w:type="character" w:customStyle="1" w:styleId="CommentSubjectChar">
    <w:name w:val="Comment Subject Char"/>
    <w:basedOn w:val="CommentTextChar"/>
    <w:link w:val="CommentSubject"/>
    <w:rsid w:val="0020784A"/>
    <w:rPr>
      <w:b/>
      <w:bCs/>
      <w:szCs w:val="24"/>
    </w:rPr>
  </w:style>
  <w:style w:type="character" w:customStyle="1" w:styleId="Heading4Char">
    <w:name w:val="Heading 4 Char"/>
    <w:basedOn w:val="DefaultParagraphFont"/>
    <w:link w:val="Heading4"/>
    <w:rsid w:val="007A7FBF"/>
    <w:rPr>
      <w:rFonts w:ascii="Arial" w:hAnsi="Arial"/>
      <w:i/>
      <w:sz w:val="24"/>
    </w:rPr>
  </w:style>
  <w:style w:type="paragraph" w:styleId="Revision">
    <w:name w:val="Revision"/>
    <w:hidden/>
    <w:uiPriority w:val="99"/>
    <w:semiHidden/>
    <w:rsid w:val="00CA7617"/>
    <w:rPr>
      <w:sz w:val="26"/>
      <w:szCs w:val="24"/>
    </w:rPr>
  </w:style>
  <w:style w:type="character" w:customStyle="1" w:styleId="Heading1Char">
    <w:name w:val="Heading 1 Char"/>
    <w:basedOn w:val="DefaultParagraphFont"/>
    <w:link w:val="Heading1"/>
    <w:rsid w:val="007A7FBF"/>
    <w:rPr>
      <w:sz w:val="52"/>
    </w:rPr>
  </w:style>
  <w:style w:type="character" w:customStyle="1" w:styleId="HeaderChar">
    <w:name w:val="Header Char"/>
    <w:basedOn w:val="DefaultParagraphFont"/>
    <w:link w:val="Header"/>
    <w:rsid w:val="007A7FBF"/>
    <w:rPr>
      <w:rFonts w:ascii="Arial" w:hAnsi="Arial"/>
      <w:caps/>
      <w:sz w:val="26"/>
    </w:rPr>
  </w:style>
  <w:style w:type="character" w:customStyle="1" w:styleId="Heading2Char">
    <w:name w:val="Heading 2 Char"/>
    <w:basedOn w:val="DefaultParagraphFont"/>
    <w:link w:val="Heading2"/>
    <w:rsid w:val="007A7FBF"/>
    <w:rPr>
      <w:rFonts w:ascii="Arial" w:hAnsi="Arial"/>
      <w:b/>
      <w:sz w:val="32"/>
    </w:rPr>
  </w:style>
  <w:style w:type="character" w:customStyle="1" w:styleId="Heading3Char">
    <w:name w:val="Heading 3 Char"/>
    <w:basedOn w:val="DefaultParagraphFont"/>
    <w:link w:val="Heading3"/>
    <w:rsid w:val="007A7FBF"/>
    <w:rPr>
      <w:rFonts w:ascii="Arial" w:hAnsi="Arial"/>
      <w:b/>
      <w:sz w:val="26"/>
    </w:rPr>
  </w:style>
  <w:style w:type="character" w:customStyle="1" w:styleId="Heading5Char">
    <w:name w:val="Heading 5 Char"/>
    <w:basedOn w:val="DefaultParagraphFont"/>
    <w:link w:val="Heading5"/>
    <w:rsid w:val="007A7FBF"/>
    <w:rPr>
      <w:i/>
      <w:sz w:val="26"/>
    </w:rPr>
  </w:style>
  <w:style w:type="character" w:customStyle="1" w:styleId="Heading6Char">
    <w:name w:val="Heading 6 Char"/>
    <w:basedOn w:val="DefaultParagraphFont"/>
    <w:link w:val="Heading6"/>
    <w:rsid w:val="007A7FBF"/>
    <w:rPr>
      <w:i/>
      <w:sz w:val="22"/>
    </w:rPr>
  </w:style>
  <w:style w:type="character" w:customStyle="1" w:styleId="Heading7Char">
    <w:name w:val="Heading 7 Char"/>
    <w:basedOn w:val="DefaultParagraphFont"/>
    <w:link w:val="Heading7"/>
    <w:rsid w:val="007A7FBF"/>
    <w:rPr>
      <w:rFonts w:ascii="Arial" w:hAnsi="Arial"/>
    </w:rPr>
  </w:style>
  <w:style w:type="character" w:customStyle="1" w:styleId="Heading8Char">
    <w:name w:val="Heading 8 Char"/>
    <w:basedOn w:val="DefaultParagraphFont"/>
    <w:link w:val="Heading8"/>
    <w:rsid w:val="007A7FBF"/>
    <w:rPr>
      <w:rFonts w:ascii="Arial" w:hAnsi="Arial"/>
      <w:i/>
    </w:rPr>
  </w:style>
  <w:style w:type="character" w:customStyle="1" w:styleId="Heading9Char">
    <w:name w:val="Heading 9 Char"/>
    <w:basedOn w:val="DefaultParagraphFont"/>
    <w:link w:val="Heading9"/>
    <w:rsid w:val="007A7FBF"/>
    <w:rPr>
      <w:rFonts w:ascii="Arial" w:hAnsi="Arial"/>
      <w:b/>
      <w:i/>
      <w:sz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Strong" w:uiPriority="22" w:qFormat="1"/>
    <w:lsdException w:name="Emphasis" w:qFormat="1"/>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7A7FBF"/>
    <w:rPr>
      <w:sz w:val="26"/>
      <w:szCs w:val="24"/>
    </w:rPr>
  </w:style>
  <w:style w:type="paragraph" w:styleId="Heading1">
    <w:name w:val="heading 1"/>
    <w:basedOn w:val="BodyText"/>
    <w:next w:val="BodyText"/>
    <w:link w:val="Heading1Char"/>
    <w:rsid w:val="007A7FBF"/>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7A7FBF"/>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7A7FBF"/>
    <w:pPr>
      <w:spacing w:before="560" w:line="320" w:lineRule="exact"/>
      <w:ind w:left="0" w:firstLine="0"/>
      <w:outlineLvl w:val="2"/>
    </w:pPr>
    <w:rPr>
      <w:sz w:val="26"/>
    </w:rPr>
  </w:style>
  <w:style w:type="paragraph" w:styleId="Heading4">
    <w:name w:val="heading 4"/>
    <w:basedOn w:val="Heading3"/>
    <w:next w:val="BodyText"/>
    <w:link w:val="Heading4Char"/>
    <w:qFormat/>
    <w:rsid w:val="007A7FBF"/>
    <w:pPr>
      <w:spacing w:before="480"/>
      <w:outlineLvl w:val="3"/>
    </w:pPr>
    <w:rPr>
      <w:b w:val="0"/>
      <w:i/>
      <w:sz w:val="24"/>
    </w:rPr>
  </w:style>
  <w:style w:type="paragraph" w:styleId="Heading5">
    <w:name w:val="heading 5"/>
    <w:basedOn w:val="Heading4"/>
    <w:next w:val="BodyText"/>
    <w:link w:val="Heading5Char"/>
    <w:qFormat/>
    <w:rsid w:val="007A7FBF"/>
    <w:pPr>
      <w:outlineLvl w:val="4"/>
    </w:pPr>
    <w:rPr>
      <w:rFonts w:ascii="Times New Roman" w:hAnsi="Times New Roman"/>
      <w:sz w:val="26"/>
    </w:rPr>
  </w:style>
  <w:style w:type="paragraph" w:styleId="Heading6">
    <w:name w:val="heading 6"/>
    <w:basedOn w:val="BodyText"/>
    <w:next w:val="BodyText"/>
    <w:link w:val="Heading6Char"/>
    <w:rsid w:val="007A7FBF"/>
    <w:pPr>
      <w:spacing w:after="60"/>
      <w:jc w:val="left"/>
      <w:outlineLvl w:val="5"/>
    </w:pPr>
    <w:rPr>
      <w:i/>
      <w:sz w:val="22"/>
    </w:rPr>
  </w:style>
  <w:style w:type="paragraph" w:styleId="Heading7">
    <w:name w:val="heading 7"/>
    <w:basedOn w:val="BodyText"/>
    <w:next w:val="BodyText"/>
    <w:link w:val="Heading7Char"/>
    <w:rsid w:val="007A7FBF"/>
    <w:pPr>
      <w:spacing w:after="60" w:line="240" w:lineRule="auto"/>
      <w:jc w:val="left"/>
      <w:outlineLvl w:val="6"/>
    </w:pPr>
    <w:rPr>
      <w:rFonts w:ascii="Arial" w:hAnsi="Arial"/>
      <w:sz w:val="20"/>
    </w:rPr>
  </w:style>
  <w:style w:type="paragraph" w:styleId="Heading8">
    <w:name w:val="heading 8"/>
    <w:basedOn w:val="BodyText"/>
    <w:next w:val="BodyText"/>
    <w:link w:val="Heading8Char"/>
    <w:rsid w:val="007A7FBF"/>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7A7FBF"/>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7A7FBF"/>
    <w:pPr>
      <w:spacing w:before="240" w:line="320" w:lineRule="atLeast"/>
      <w:jc w:val="both"/>
    </w:pPr>
    <w:rPr>
      <w:sz w:val="26"/>
    </w:rPr>
  </w:style>
  <w:style w:type="paragraph" w:styleId="Footer">
    <w:name w:val="footer"/>
    <w:basedOn w:val="BodyText"/>
    <w:link w:val="FooterChar"/>
    <w:rsid w:val="007A7FBF"/>
    <w:pPr>
      <w:spacing w:before="80" w:line="200" w:lineRule="exact"/>
      <w:ind w:right="6"/>
      <w:jc w:val="left"/>
    </w:pPr>
    <w:rPr>
      <w:caps/>
      <w:spacing w:val="-4"/>
      <w:sz w:val="16"/>
    </w:rPr>
  </w:style>
  <w:style w:type="paragraph" w:customStyle="1" w:styleId="FooterEnd">
    <w:name w:val="Footer End"/>
    <w:basedOn w:val="Footer"/>
    <w:rsid w:val="007A7FBF"/>
    <w:pPr>
      <w:spacing w:before="0" w:line="20" w:lineRule="exact"/>
    </w:pPr>
  </w:style>
  <w:style w:type="paragraph" w:styleId="Header">
    <w:name w:val="header"/>
    <w:basedOn w:val="BodyText"/>
    <w:link w:val="HeaderChar"/>
    <w:rsid w:val="007A7FBF"/>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7A7FBF"/>
    <w:pPr>
      <w:spacing w:line="20" w:lineRule="exact"/>
    </w:pPr>
    <w:rPr>
      <w:sz w:val="16"/>
    </w:rPr>
  </w:style>
  <w:style w:type="paragraph" w:customStyle="1" w:styleId="HeaderEven">
    <w:name w:val="Header Even"/>
    <w:basedOn w:val="Header"/>
    <w:rsid w:val="007A7FBF"/>
  </w:style>
  <w:style w:type="paragraph" w:customStyle="1" w:styleId="HeaderOdd">
    <w:name w:val="Header Odd"/>
    <w:basedOn w:val="Header"/>
    <w:rsid w:val="007A7FBF"/>
  </w:style>
  <w:style w:type="character" w:styleId="PageNumber">
    <w:name w:val="page number"/>
    <w:basedOn w:val="DefaultParagraphFont"/>
    <w:rsid w:val="007A7FBF"/>
    <w:rPr>
      <w:rFonts w:ascii="Arial" w:hAnsi="Arial"/>
      <w:b/>
      <w:sz w:val="16"/>
    </w:rPr>
  </w:style>
  <w:style w:type="paragraph" w:customStyle="1" w:styleId="Abbreviation">
    <w:name w:val="Abbreviation"/>
    <w:basedOn w:val="BodyText"/>
    <w:rsid w:val="007A7FBF"/>
    <w:pPr>
      <w:spacing w:before="120"/>
      <w:ind w:left="2381" w:hanging="2381"/>
      <w:jc w:val="left"/>
    </w:pPr>
  </w:style>
  <w:style w:type="paragraph" w:customStyle="1" w:styleId="Box">
    <w:name w:val="Box"/>
    <w:basedOn w:val="BodyText"/>
    <w:qFormat/>
    <w:rsid w:val="007A7FBF"/>
    <w:pPr>
      <w:keepNext/>
      <w:spacing w:before="120" w:line="280" w:lineRule="atLeast"/>
    </w:pPr>
    <w:rPr>
      <w:rFonts w:ascii="Arial" w:hAnsi="Arial"/>
      <w:sz w:val="22"/>
    </w:rPr>
  </w:style>
  <w:style w:type="paragraph" w:customStyle="1" w:styleId="BoxContinued">
    <w:name w:val="Box Continued"/>
    <w:basedOn w:val="BodyText"/>
    <w:next w:val="BodyText"/>
    <w:semiHidden/>
    <w:rsid w:val="007A7FBF"/>
    <w:pPr>
      <w:spacing w:before="180" w:line="220" w:lineRule="exact"/>
      <w:jc w:val="right"/>
    </w:pPr>
    <w:rPr>
      <w:rFonts w:ascii="Arial" w:hAnsi="Arial"/>
      <w:sz w:val="18"/>
    </w:rPr>
  </w:style>
  <w:style w:type="paragraph" w:customStyle="1" w:styleId="BoxHeading1">
    <w:name w:val="Box Heading 1"/>
    <w:basedOn w:val="BodyText"/>
    <w:next w:val="Box"/>
    <w:rsid w:val="007A7FBF"/>
    <w:pPr>
      <w:keepNext/>
      <w:spacing w:before="200" w:line="280" w:lineRule="atLeast"/>
    </w:pPr>
    <w:rPr>
      <w:rFonts w:ascii="Arial" w:hAnsi="Arial"/>
      <w:b/>
      <w:sz w:val="22"/>
    </w:rPr>
  </w:style>
  <w:style w:type="paragraph" w:customStyle="1" w:styleId="BoxHeading2">
    <w:name w:val="Box Heading 2"/>
    <w:basedOn w:val="BoxHeading1"/>
    <w:next w:val="Normal"/>
    <w:rsid w:val="007A7FBF"/>
    <w:rPr>
      <w:b w:val="0"/>
      <w:i/>
    </w:rPr>
  </w:style>
  <w:style w:type="paragraph" w:customStyle="1" w:styleId="BoxListBullet">
    <w:name w:val="Box List Bullet"/>
    <w:basedOn w:val="BodyText"/>
    <w:rsid w:val="007A7FBF"/>
    <w:pPr>
      <w:keepNext/>
      <w:numPr>
        <w:numId w:val="3"/>
      </w:numPr>
      <w:spacing w:before="60" w:line="280" w:lineRule="atLeast"/>
    </w:pPr>
    <w:rPr>
      <w:rFonts w:ascii="Arial" w:hAnsi="Arial"/>
      <w:sz w:val="22"/>
    </w:rPr>
  </w:style>
  <w:style w:type="paragraph" w:customStyle="1" w:styleId="BoxListBullet2">
    <w:name w:val="Box List Bullet 2"/>
    <w:basedOn w:val="BodyText"/>
    <w:rsid w:val="007A7FBF"/>
    <w:pPr>
      <w:keepNext/>
      <w:numPr>
        <w:numId w:val="4"/>
      </w:numPr>
      <w:spacing w:before="60" w:line="280" w:lineRule="atLeast"/>
    </w:pPr>
    <w:rPr>
      <w:rFonts w:ascii="Arial" w:hAnsi="Arial"/>
      <w:sz w:val="22"/>
    </w:rPr>
  </w:style>
  <w:style w:type="paragraph" w:customStyle="1" w:styleId="BoxListNumber">
    <w:name w:val="Box List Number"/>
    <w:basedOn w:val="BodyText"/>
    <w:rsid w:val="007A7FBF"/>
    <w:pPr>
      <w:keepNext/>
      <w:numPr>
        <w:numId w:val="7"/>
      </w:numPr>
      <w:spacing w:before="60" w:line="280" w:lineRule="atLeast"/>
    </w:pPr>
    <w:rPr>
      <w:rFonts w:ascii="Arial" w:hAnsi="Arial"/>
      <w:sz w:val="22"/>
    </w:rPr>
  </w:style>
  <w:style w:type="paragraph" w:customStyle="1" w:styleId="BoxListNumber2">
    <w:name w:val="Box List Number 2"/>
    <w:basedOn w:val="BoxListNumber"/>
    <w:rsid w:val="007A7FBF"/>
    <w:pPr>
      <w:numPr>
        <w:ilvl w:val="1"/>
      </w:numPr>
    </w:pPr>
  </w:style>
  <w:style w:type="paragraph" w:customStyle="1" w:styleId="BoxQuote">
    <w:name w:val="Box Quote"/>
    <w:basedOn w:val="BodyText"/>
    <w:next w:val="Box"/>
    <w:rsid w:val="007A7FBF"/>
    <w:pPr>
      <w:keepNext/>
      <w:spacing w:before="60" w:line="260" w:lineRule="exact"/>
      <w:ind w:left="284"/>
    </w:pPr>
    <w:rPr>
      <w:rFonts w:ascii="Arial" w:hAnsi="Arial"/>
      <w:sz w:val="20"/>
    </w:rPr>
  </w:style>
  <w:style w:type="paragraph" w:customStyle="1" w:styleId="Note">
    <w:name w:val="Note"/>
    <w:basedOn w:val="BodyText"/>
    <w:next w:val="BodyText"/>
    <w:rsid w:val="007A7FBF"/>
    <w:pPr>
      <w:keepLines/>
      <w:spacing w:before="80" w:line="220" w:lineRule="exact"/>
    </w:pPr>
    <w:rPr>
      <w:rFonts w:ascii="Arial" w:hAnsi="Arial"/>
      <w:sz w:val="18"/>
    </w:rPr>
  </w:style>
  <w:style w:type="paragraph" w:customStyle="1" w:styleId="Source">
    <w:name w:val="Source"/>
    <w:basedOn w:val="Note"/>
    <w:next w:val="BodyText"/>
    <w:rsid w:val="007A7FBF"/>
    <w:pPr>
      <w:spacing w:after="120"/>
    </w:pPr>
  </w:style>
  <w:style w:type="paragraph" w:customStyle="1" w:styleId="BoxSource">
    <w:name w:val="Box Source"/>
    <w:basedOn w:val="Source"/>
    <w:next w:val="BodyText"/>
    <w:rsid w:val="007A7FBF"/>
    <w:pPr>
      <w:spacing w:before="180" w:after="0"/>
    </w:pPr>
  </w:style>
  <w:style w:type="paragraph" w:customStyle="1" w:styleId="BoxSpaceAbove">
    <w:name w:val="Box Space Above"/>
    <w:basedOn w:val="BodyText"/>
    <w:rsid w:val="007A7FBF"/>
    <w:pPr>
      <w:keepNext/>
      <w:spacing w:before="360" w:line="80" w:lineRule="exact"/>
      <w:jc w:val="left"/>
    </w:pPr>
  </w:style>
  <w:style w:type="paragraph" w:styleId="Caption">
    <w:name w:val="caption"/>
    <w:basedOn w:val="Normal"/>
    <w:next w:val="BodyText"/>
    <w:rsid w:val="007A7FBF"/>
    <w:pPr>
      <w:keepNext/>
      <w:keepLines/>
      <w:spacing w:before="360" w:after="80" w:line="280" w:lineRule="exact"/>
      <w:ind w:left="1474" w:hanging="1474"/>
    </w:pPr>
    <w:rPr>
      <w:rFonts w:ascii="Arial" w:hAnsi="Arial"/>
      <w:b/>
    </w:rPr>
  </w:style>
  <w:style w:type="paragraph" w:customStyle="1" w:styleId="BoxTitle">
    <w:name w:val="Box Title"/>
    <w:basedOn w:val="Caption"/>
    <w:next w:val="Normal"/>
    <w:rsid w:val="007A7FBF"/>
    <w:pPr>
      <w:spacing w:before="120" w:after="0"/>
      <w:ind w:left="1304" w:hanging="1304"/>
    </w:pPr>
    <w:rPr>
      <w:sz w:val="24"/>
    </w:rPr>
  </w:style>
  <w:style w:type="paragraph" w:customStyle="1" w:styleId="BoxSubtitle">
    <w:name w:val="Box Subtitle"/>
    <w:basedOn w:val="BoxTitle"/>
    <w:next w:val="Normal"/>
    <w:rsid w:val="007A7FBF"/>
    <w:pPr>
      <w:spacing w:after="80" w:line="200" w:lineRule="exact"/>
      <w:ind w:firstLine="0"/>
    </w:pPr>
    <w:rPr>
      <w:b w:val="0"/>
      <w:sz w:val="20"/>
    </w:rPr>
  </w:style>
  <w:style w:type="paragraph" w:customStyle="1" w:styleId="Chapter">
    <w:name w:val="Chapter"/>
    <w:basedOn w:val="Heading1"/>
    <w:next w:val="BodyText"/>
    <w:semiHidden/>
    <w:rsid w:val="007A7FBF"/>
    <w:pPr>
      <w:ind w:left="0" w:firstLine="0"/>
      <w:outlineLvl w:val="9"/>
    </w:pPr>
  </w:style>
  <w:style w:type="paragraph" w:customStyle="1" w:styleId="ChapterSummary">
    <w:name w:val="Chapter Summary"/>
    <w:basedOn w:val="BodyText"/>
    <w:rsid w:val="007A7FBF"/>
    <w:pPr>
      <w:ind w:left="907"/>
    </w:pPr>
    <w:rPr>
      <w:rFonts w:ascii="Arial" w:hAnsi="Arial"/>
      <w:b/>
      <w:sz w:val="22"/>
    </w:rPr>
  </w:style>
  <w:style w:type="character" w:styleId="CommentReference">
    <w:name w:val="annotation reference"/>
    <w:basedOn w:val="DefaultParagraphFont"/>
    <w:rsid w:val="007A7FBF"/>
    <w:rPr>
      <w:b/>
      <w:vanish/>
      <w:color w:val="FF00FF"/>
      <w:sz w:val="20"/>
    </w:rPr>
  </w:style>
  <w:style w:type="paragraph" w:styleId="CommentText">
    <w:name w:val="annotation text"/>
    <w:basedOn w:val="Normal"/>
    <w:link w:val="CommentTextChar"/>
    <w:rsid w:val="007A7FBF"/>
    <w:pPr>
      <w:spacing w:before="120" w:line="240" w:lineRule="atLeast"/>
      <w:ind w:left="567" w:hanging="567"/>
    </w:pPr>
    <w:rPr>
      <w:sz w:val="20"/>
    </w:rPr>
  </w:style>
  <w:style w:type="paragraph" w:customStyle="1" w:styleId="Continued">
    <w:name w:val="Continued"/>
    <w:basedOn w:val="BoxContinued"/>
    <w:next w:val="BodyText"/>
    <w:rsid w:val="007A7FBF"/>
  </w:style>
  <w:style w:type="character" w:customStyle="1" w:styleId="DocumentInfo">
    <w:name w:val="Document Info"/>
    <w:basedOn w:val="DefaultParagraphFont"/>
    <w:semiHidden/>
    <w:rsid w:val="007A7FBF"/>
    <w:rPr>
      <w:rFonts w:ascii="Arial" w:hAnsi="Arial"/>
      <w:sz w:val="14"/>
    </w:rPr>
  </w:style>
  <w:style w:type="character" w:customStyle="1" w:styleId="DraftingNote">
    <w:name w:val="Drafting Note"/>
    <w:basedOn w:val="DefaultParagraphFont"/>
    <w:rsid w:val="007A7FBF"/>
    <w:rPr>
      <w:b/>
      <w:color w:val="FF0000"/>
      <w:sz w:val="24"/>
      <w:u w:val="dotted"/>
    </w:rPr>
  </w:style>
  <w:style w:type="paragraph" w:customStyle="1" w:styleId="Figure">
    <w:name w:val="Figure"/>
    <w:basedOn w:val="BodyText"/>
    <w:rsid w:val="007A7FBF"/>
    <w:pPr>
      <w:keepNext/>
      <w:spacing w:before="120" w:after="120" w:line="240" w:lineRule="atLeast"/>
      <w:jc w:val="center"/>
    </w:pPr>
  </w:style>
  <w:style w:type="paragraph" w:customStyle="1" w:styleId="FigureTitle">
    <w:name w:val="Figure Title"/>
    <w:basedOn w:val="Caption"/>
    <w:next w:val="Subtitle"/>
    <w:rsid w:val="007A7FBF"/>
    <w:rPr>
      <w:sz w:val="24"/>
    </w:rPr>
  </w:style>
  <w:style w:type="paragraph" w:styleId="Subtitle">
    <w:name w:val="Subtitle"/>
    <w:basedOn w:val="Caption"/>
    <w:link w:val="SubtitleChar"/>
    <w:rsid w:val="007A7FBF"/>
    <w:pPr>
      <w:spacing w:before="0" w:line="200" w:lineRule="exact"/>
      <w:ind w:firstLine="0"/>
    </w:pPr>
    <w:rPr>
      <w:b w:val="0"/>
      <w:sz w:val="20"/>
    </w:rPr>
  </w:style>
  <w:style w:type="paragraph" w:customStyle="1" w:styleId="Finding">
    <w:name w:val="Finding"/>
    <w:basedOn w:val="BodyText"/>
    <w:rsid w:val="007A7FBF"/>
    <w:pPr>
      <w:keepLines/>
      <w:spacing w:before="180"/>
    </w:pPr>
    <w:rPr>
      <w:i/>
    </w:rPr>
  </w:style>
  <w:style w:type="paragraph" w:customStyle="1" w:styleId="FindingBullet">
    <w:name w:val="Finding Bullet"/>
    <w:basedOn w:val="Finding"/>
    <w:rsid w:val="007A7FBF"/>
    <w:pPr>
      <w:numPr>
        <w:numId w:val="9"/>
      </w:numPr>
      <w:spacing w:before="80"/>
    </w:pPr>
  </w:style>
  <w:style w:type="paragraph" w:customStyle="1" w:styleId="FindingNoTitle">
    <w:name w:val="Finding NoTitle"/>
    <w:basedOn w:val="Finding"/>
    <w:semiHidden/>
    <w:rsid w:val="007A7FBF"/>
    <w:pPr>
      <w:spacing w:before="240"/>
    </w:pPr>
  </w:style>
  <w:style w:type="paragraph" w:customStyle="1" w:styleId="RecTitle">
    <w:name w:val="Rec Title"/>
    <w:basedOn w:val="BodyText"/>
    <w:next w:val="Normal"/>
    <w:rsid w:val="007A7FBF"/>
    <w:pPr>
      <w:keepNext/>
      <w:keepLines/>
    </w:pPr>
    <w:rPr>
      <w:caps/>
      <w:sz w:val="20"/>
    </w:rPr>
  </w:style>
  <w:style w:type="paragraph" w:customStyle="1" w:styleId="FindingTitle">
    <w:name w:val="Finding Title"/>
    <w:basedOn w:val="RecTitle"/>
    <w:next w:val="Finding"/>
    <w:rsid w:val="007A7FBF"/>
    <w:pPr>
      <w:framePr w:wrap="notBeside" w:hAnchor="text"/>
    </w:pPr>
  </w:style>
  <w:style w:type="character" w:styleId="FootnoteReference">
    <w:name w:val="footnote reference"/>
    <w:basedOn w:val="DefaultParagraphFont"/>
    <w:rsid w:val="007A7FBF"/>
    <w:rPr>
      <w:rFonts w:ascii="Times New Roman" w:hAnsi="Times New Roman"/>
      <w:position w:val="6"/>
      <w:sz w:val="22"/>
      <w:vertAlign w:val="baseline"/>
    </w:rPr>
  </w:style>
  <w:style w:type="paragraph" w:styleId="FootnoteText">
    <w:name w:val="footnote text"/>
    <w:basedOn w:val="BodyText"/>
    <w:link w:val="FootnoteTextChar"/>
    <w:rsid w:val="007A7FBF"/>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7A7FBF"/>
    <w:pPr>
      <w:spacing w:before="360" w:after="120"/>
    </w:pPr>
    <w:rPr>
      <w:rFonts w:ascii="Arial" w:hAnsi="Arial"/>
      <w:sz w:val="24"/>
    </w:rPr>
  </w:style>
  <w:style w:type="paragraph" w:customStyle="1" w:styleId="Jurisdictioncommentsbodytext">
    <w:name w:val="Jurisdiction comments body text"/>
    <w:rsid w:val="007A7FBF"/>
    <w:pPr>
      <w:spacing w:after="140"/>
      <w:jc w:val="both"/>
    </w:pPr>
    <w:rPr>
      <w:rFonts w:ascii="Arial" w:hAnsi="Arial"/>
      <w:sz w:val="24"/>
      <w:lang w:eastAsia="en-US"/>
    </w:rPr>
  </w:style>
  <w:style w:type="paragraph" w:customStyle="1" w:styleId="Jurisdictioncommentsheading">
    <w:name w:val="Jurisdiction comments heading"/>
    <w:rsid w:val="007A7FBF"/>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7A7FBF"/>
    <w:pPr>
      <w:numPr>
        <w:numId w:val="12"/>
      </w:numPr>
      <w:spacing w:after="140"/>
      <w:jc w:val="both"/>
    </w:pPr>
    <w:rPr>
      <w:rFonts w:ascii="Arial" w:hAnsi="Arial"/>
      <w:sz w:val="24"/>
      <w:lang w:eastAsia="en-US"/>
    </w:rPr>
  </w:style>
  <w:style w:type="paragraph" w:styleId="ListBullet">
    <w:name w:val="List Bullet"/>
    <w:basedOn w:val="BodyText"/>
    <w:rsid w:val="007A7FBF"/>
    <w:pPr>
      <w:numPr>
        <w:numId w:val="10"/>
      </w:numPr>
      <w:spacing w:before="120"/>
    </w:pPr>
  </w:style>
  <w:style w:type="paragraph" w:styleId="ListBullet2">
    <w:name w:val="List Bullet 2"/>
    <w:basedOn w:val="BodyText"/>
    <w:rsid w:val="007A7FBF"/>
    <w:pPr>
      <w:numPr>
        <w:numId w:val="13"/>
      </w:numPr>
      <w:spacing w:before="120"/>
    </w:pPr>
  </w:style>
  <w:style w:type="paragraph" w:styleId="ListBullet3">
    <w:name w:val="List Bullet 3"/>
    <w:basedOn w:val="BodyText"/>
    <w:rsid w:val="007A7FBF"/>
    <w:pPr>
      <w:numPr>
        <w:numId w:val="5"/>
      </w:numPr>
      <w:spacing w:before="120"/>
    </w:pPr>
  </w:style>
  <w:style w:type="paragraph" w:styleId="ListNumber">
    <w:name w:val="List Number"/>
    <w:basedOn w:val="BodyText"/>
    <w:rsid w:val="007A7FBF"/>
    <w:pPr>
      <w:numPr>
        <w:numId w:val="14"/>
      </w:numPr>
      <w:spacing w:before="120"/>
    </w:pPr>
  </w:style>
  <w:style w:type="paragraph" w:styleId="ListNumber2">
    <w:name w:val="List Number 2"/>
    <w:basedOn w:val="ListNumber"/>
    <w:rsid w:val="007A7FBF"/>
    <w:pPr>
      <w:numPr>
        <w:ilvl w:val="1"/>
      </w:numPr>
    </w:pPr>
  </w:style>
  <w:style w:type="paragraph" w:styleId="ListNumber3">
    <w:name w:val="List Number 3"/>
    <w:basedOn w:val="ListNumber2"/>
    <w:rsid w:val="007A7FBF"/>
    <w:pPr>
      <w:numPr>
        <w:ilvl w:val="2"/>
      </w:numPr>
    </w:pPr>
  </w:style>
  <w:style w:type="character" w:customStyle="1" w:styleId="NoteLabel">
    <w:name w:val="Note Label"/>
    <w:basedOn w:val="DefaultParagraphFont"/>
    <w:rsid w:val="007A7FBF"/>
    <w:rPr>
      <w:rFonts w:ascii="Arial" w:hAnsi="Arial"/>
      <w:b/>
      <w:position w:val="6"/>
      <w:sz w:val="18"/>
    </w:rPr>
  </w:style>
  <w:style w:type="paragraph" w:customStyle="1" w:styleId="PartDivider">
    <w:name w:val="Part Divider"/>
    <w:basedOn w:val="BodyText"/>
    <w:next w:val="BodyText"/>
    <w:semiHidden/>
    <w:rsid w:val="007A7FBF"/>
    <w:pPr>
      <w:spacing w:before="0" w:line="40" w:lineRule="exact"/>
      <w:jc w:val="right"/>
    </w:pPr>
    <w:rPr>
      <w:smallCaps/>
      <w:sz w:val="16"/>
    </w:rPr>
  </w:style>
  <w:style w:type="paragraph" w:customStyle="1" w:styleId="PartNumber">
    <w:name w:val="Part Number"/>
    <w:basedOn w:val="BodyText"/>
    <w:next w:val="BodyText"/>
    <w:semiHidden/>
    <w:rsid w:val="007A7FBF"/>
    <w:pPr>
      <w:spacing w:before="4000" w:line="320" w:lineRule="exact"/>
      <w:ind w:left="6634"/>
      <w:jc w:val="right"/>
    </w:pPr>
    <w:rPr>
      <w:smallCaps/>
      <w:spacing w:val="60"/>
      <w:sz w:val="32"/>
    </w:rPr>
  </w:style>
  <w:style w:type="paragraph" w:customStyle="1" w:styleId="PartTitle">
    <w:name w:val="Part Title"/>
    <w:basedOn w:val="BodyText"/>
    <w:semiHidden/>
    <w:rsid w:val="007A7FBF"/>
    <w:pPr>
      <w:spacing w:before="160" w:after="1360" w:line="520" w:lineRule="exact"/>
      <w:ind w:right="2381"/>
      <w:jc w:val="right"/>
    </w:pPr>
    <w:rPr>
      <w:smallCaps/>
      <w:sz w:val="52"/>
    </w:rPr>
  </w:style>
  <w:style w:type="paragraph" w:styleId="Quote">
    <w:name w:val="Quote"/>
    <w:basedOn w:val="BodyText"/>
    <w:next w:val="BodyText"/>
    <w:link w:val="QuoteChar"/>
    <w:qFormat/>
    <w:rsid w:val="007A7FBF"/>
    <w:pPr>
      <w:spacing w:before="120" w:line="280" w:lineRule="exact"/>
      <w:ind w:left="340"/>
    </w:pPr>
    <w:rPr>
      <w:sz w:val="24"/>
    </w:rPr>
  </w:style>
  <w:style w:type="paragraph" w:customStyle="1" w:styleId="QuoteBullet">
    <w:name w:val="Quote Bullet"/>
    <w:basedOn w:val="Quote"/>
    <w:rsid w:val="007A7FBF"/>
    <w:pPr>
      <w:numPr>
        <w:numId w:val="15"/>
      </w:numPr>
    </w:pPr>
  </w:style>
  <w:style w:type="paragraph" w:customStyle="1" w:styleId="Rec">
    <w:name w:val="Rec"/>
    <w:basedOn w:val="BodyText"/>
    <w:rsid w:val="007A7FBF"/>
    <w:pPr>
      <w:keepLines/>
      <w:spacing w:before="180"/>
    </w:pPr>
    <w:rPr>
      <w:b/>
      <w:i/>
    </w:rPr>
  </w:style>
  <w:style w:type="paragraph" w:customStyle="1" w:styleId="RecBullet">
    <w:name w:val="Rec Bullet"/>
    <w:basedOn w:val="Rec"/>
    <w:rsid w:val="007A7FBF"/>
    <w:pPr>
      <w:numPr>
        <w:numId w:val="16"/>
      </w:numPr>
      <w:spacing w:before="80"/>
    </w:pPr>
  </w:style>
  <w:style w:type="paragraph" w:customStyle="1" w:styleId="RecB">
    <w:name w:val="RecB"/>
    <w:basedOn w:val="Normal"/>
    <w:semiHidden/>
    <w:rsid w:val="007A7FBF"/>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7A7FBF"/>
    <w:pPr>
      <w:numPr>
        <w:numId w:val="17"/>
      </w:numPr>
      <w:spacing w:before="80"/>
    </w:pPr>
  </w:style>
  <w:style w:type="paragraph" w:customStyle="1" w:styleId="RecBNoTitle">
    <w:name w:val="RecB NoTitle"/>
    <w:basedOn w:val="RecB"/>
    <w:semiHidden/>
    <w:rsid w:val="007A7FBF"/>
    <w:pPr>
      <w:spacing w:before="240"/>
    </w:pPr>
  </w:style>
  <w:style w:type="paragraph" w:customStyle="1" w:styleId="Reference">
    <w:name w:val="Reference"/>
    <w:basedOn w:val="BodyText"/>
    <w:rsid w:val="007A7FBF"/>
    <w:pPr>
      <w:spacing w:before="120"/>
      <w:ind w:left="340" w:hanging="340"/>
    </w:pPr>
  </w:style>
  <w:style w:type="paragraph" w:customStyle="1" w:styleId="SequenceInfo">
    <w:name w:val="Sequence Info"/>
    <w:basedOn w:val="BodyText"/>
    <w:semiHidden/>
    <w:rsid w:val="007A7FBF"/>
    <w:rPr>
      <w:vanish/>
      <w:sz w:val="16"/>
    </w:rPr>
  </w:style>
  <w:style w:type="paragraph" w:customStyle="1" w:styleId="SideNote">
    <w:name w:val="Side Note"/>
    <w:basedOn w:val="BodyText"/>
    <w:next w:val="BodyText"/>
    <w:semiHidden/>
    <w:rsid w:val="007A7FBF"/>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7A7FBF"/>
    <w:pPr>
      <w:framePr w:wrap="around"/>
      <w:numPr>
        <w:numId w:val="18"/>
      </w:numPr>
      <w:tabs>
        <w:tab w:val="left" w:pos="227"/>
      </w:tabs>
    </w:pPr>
  </w:style>
  <w:style w:type="paragraph" w:customStyle="1" w:styleId="SideNoteGraphic">
    <w:name w:val="Side Note Graphic"/>
    <w:basedOn w:val="SideNote"/>
    <w:next w:val="BodyText"/>
    <w:semiHidden/>
    <w:rsid w:val="007A7FBF"/>
    <w:pPr>
      <w:framePr w:wrap="around"/>
    </w:pPr>
  </w:style>
  <w:style w:type="paragraph" w:customStyle="1" w:styleId="TableBodyText">
    <w:name w:val="Table Body Text"/>
    <w:basedOn w:val="BodyText"/>
    <w:rsid w:val="007A7FBF"/>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7A7FBF"/>
    <w:pPr>
      <w:numPr>
        <w:numId w:val="19"/>
      </w:numPr>
      <w:jc w:val="left"/>
    </w:pPr>
  </w:style>
  <w:style w:type="paragraph" w:customStyle="1" w:styleId="TableColumnHeading">
    <w:name w:val="Table Column Heading"/>
    <w:basedOn w:val="TableBodyText"/>
    <w:rsid w:val="007A7FBF"/>
    <w:pPr>
      <w:spacing w:before="80" w:after="80"/>
    </w:pPr>
    <w:rPr>
      <w:i/>
    </w:rPr>
  </w:style>
  <w:style w:type="paragraph" w:styleId="TOC2">
    <w:name w:val="toc 2"/>
    <w:basedOn w:val="BodyText"/>
    <w:semiHidden/>
    <w:rsid w:val="007A7FBF"/>
    <w:pPr>
      <w:tabs>
        <w:tab w:val="right" w:pos="8789"/>
      </w:tabs>
      <w:ind w:left="510" w:right="851" w:hanging="510"/>
      <w:jc w:val="left"/>
    </w:pPr>
    <w:rPr>
      <w:b/>
    </w:rPr>
  </w:style>
  <w:style w:type="paragraph" w:styleId="TOC3">
    <w:name w:val="toc 3"/>
    <w:basedOn w:val="TOC2"/>
    <w:semiHidden/>
    <w:rsid w:val="007A7FBF"/>
    <w:pPr>
      <w:spacing w:before="60"/>
      <w:ind w:left="1190" w:hanging="680"/>
    </w:pPr>
    <w:rPr>
      <w:b w:val="0"/>
    </w:rPr>
  </w:style>
  <w:style w:type="paragraph" w:styleId="TableofFigures">
    <w:name w:val="table of figures"/>
    <w:basedOn w:val="TOC3"/>
    <w:next w:val="BodyText"/>
    <w:semiHidden/>
    <w:rsid w:val="007A7FBF"/>
    <w:pPr>
      <w:ind w:left="737" w:hanging="737"/>
    </w:pPr>
  </w:style>
  <w:style w:type="paragraph" w:customStyle="1" w:styleId="TableTitle">
    <w:name w:val="Table Title"/>
    <w:basedOn w:val="Caption"/>
    <w:next w:val="Subtitle"/>
    <w:rsid w:val="007A7FBF"/>
    <w:rPr>
      <w:sz w:val="24"/>
    </w:rPr>
  </w:style>
  <w:style w:type="paragraph" w:customStyle="1" w:styleId="TableUnitsRow">
    <w:name w:val="Table Units Row"/>
    <w:basedOn w:val="TableBodyText"/>
    <w:rsid w:val="007A7FBF"/>
    <w:pPr>
      <w:spacing w:before="80" w:after="80"/>
    </w:pPr>
  </w:style>
  <w:style w:type="paragraph" w:styleId="TOC1">
    <w:name w:val="toc 1"/>
    <w:basedOn w:val="Normal"/>
    <w:next w:val="TOC2"/>
    <w:semiHidden/>
    <w:rsid w:val="007A7FBF"/>
    <w:pPr>
      <w:tabs>
        <w:tab w:val="right" w:pos="8789"/>
      </w:tabs>
      <w:spacing w:before="480" w:after="60" w:line="320" w:lineRule="exact"/>
      <w:ind w:left="1191" w:right="851" w:hanging="1191"/>
    </w:pPr>
    <w:rPr>
      <w:b/>
      <w:caps/>
    </w:rPr>
  </w:style>
  <w:style w:type="paragraph" w:styleId="TOC4">
    <w:name w:val="toc 4"/>
    <w:basedOn w:val="TOC3"/>
    <w:semiHidden/>
    <w:rsid w:val="007A7FBF"/>
    <w:pPr>
      <w:ind w:left="1191" w:firstLine="0"/>
    </w:pPr>
  </w:style>
  <w:style w:type="paragraph" w:customStyle="1" w:styleId="RecBBullet2">
    <w:name w:val="RecB Bullet 2"/>
    <w:basedOn w:val="ListBullet2"/>
    <w:semiHidden/>
    <w:rsid w:val="007A7FBF"/>
    <w:pPr>
      <w:numPr>
        <w:numId w:val="0"/>
      </w:numPr>
      <w:pBdr>
        <w:left w:val="single" w:sz="24" w:space="29" w:color="C0C0C0"/>
      </w:pBdr>
    </w:pPr>
    <w:rPr>
      <w:b/>
      <w:i/>
    </w:rPr>
  </w:style>
  <w:style w:type="paragraph" w:styleId="BalloonText">
    <w:name w:val="Balloon Text"/>
    <w:basedOn w:val="Normal"/>
    <w:link w:val="BalloonTextChar"/>
    <w:rsid w:val="007A7FBF"/>
    <w:rPr>
      <w:rFonts w:ascii="Tahoma" w:hAnsi="Tahoma" w:cs="Tahoma"/>
      <w:sz w:val="16"/>
      <w:szCs w:val="16"/>
    </w:rPr>
  </w:style>
  <w:style w:type="character" w:customStyle="1" w:styleId="BalloonTextChar">
    <w:name w:val="Balloon Text Char"/>
    <w:basedOn w:val="DefaultParagraphFont"/>
    <w:link w:val="BalloonText"/>
    <w:rsid w:val="007A7FBF"/>
    <w:rPr>
      <w:rFonts w:ascii="Tahoma" w:hAnsi="Tahoma" w:cs="Tahoma"/>
      <w:sz w:val="16"/>
      <w:szCs w:val="16"/>
    </w:rPr>
  </w:style>
  <w:style w:type="character" w:customStyle="1" w:styleId="SubtitleChar">
    <w:name w:val="Subtitle Char"/>
    <w:basedOn w:val="DefaultParagraphFont"/>
    <w:link w:val="Subtitle"/>
    <w:rsid w:val="007A7FBF"/>
    <w:rPr>
      <w:rFonts w:ascii="Arial" w:hAnsi="Arial"/>
      <w:szCs w:val="24"/>
    </w:rPr>
  </w:style>
  <w:style w:type="paragraph" w:customStyle="1" w:styleId="BoxListBullet3">
    <w:name w:val="Box List Bullet 3"/>
    <w:basedOn w:val="ListBullet3"/>
    <w:rsid w:val="007A7FBF"/>
    <w:pPr>
      <w:numPr>
        <w:numId w:val="6"/>
      </w:numPr>
      <w:tabs>
        <w:tab w:val="left" w:pos="907"/>
      </w:tabs>
      <w:spacing w:before="60" w:line="280" w:lineRule="atLeast"/>
    </w:pPr>
    <w:rPr>
      <w:rFonts w:ascii="Arial" w:hAnsi="Arial"/>
      <w:sz w:val="22"/>
    </w:rPr>
  </w:style>
  <w:style w:type="character" w:styleId="Emphasis">
    <w:name w:val="Emphasis"/>
    <w:basedOn w:val="DefaultParagraphFont"/>
    <w:rsid w:val="007A7FBF"/>
    <w:rPr>
      <w:i/>
      <w:iCs/>
    </w:rPr>
  </w:style>
  <w:style w:type="paragraph" w:customStyle="1" w:styleId="BoxQuoteBullet">
    <w:name w:val="Box Quote Bullet"/>
    <w:basedOn w:val="BoxQuote"/>
    <w:next w:val="Box"/>
    <w:rsid w:val="007A7FBF"/>
    <w:pPr>
      <w:numPr>
        <w:numId w:val="8"/>
      </w:numPr>
    </w:pPr>
  </w:style>
  <w:style w:type="paragraph" w:customStyle="1" w:styleId="InformationRequestBullet">
    <w:name w:val="Information Request Bullet"/>
    <w:basedOn w:val="ListBullet"/>
    <w:next w:val="BodyText"/>
    <w:rsid w:val="007A7FBF"/>
    <w:pPr>
      <w:numPr>
        <w:numId w:val="11"/>
      </w:numPr>
    </w:pPr>
    <w:rPr>
      <w:rFonts w:ascii="Arial" w:hAnsi="Arial"/>
      <w:i/>
      <w:sz w:val="24"/>
    </w:rPr>
  </w:style>
  <w:style w:type="paragraph" w:customStyle="1" w:styleId="BoxSpaceBelow">
    <w:name w:val="Box Space Below"/>
    <w:basedOn w:val="Box"/>
    <w:rsid w:val="007A7FBF"/>
    <w:pPr>
      <w:keepNext w:val="0"/>
      <w:spacing w:before="60" w:after="60" w:line="80" w:lineRule="exact"/>
    </w:pPr>
    <w:rPr>
      <w:sz w:val="14"/>
    </w:rPr>
  </w:style>
  <w:style w:type="character" w:styleId="Hyperlink">
    <w:name w:val="Hyperlink"/>
    <w:basedOn w:val="DefaultParagraphFont"/>
    <w:rsid w:val="00C973B7"/>
    <w:rPr>
      <w:color w:val="0000FF" w:themeColor="hyperlink"/>
      <w:u w:val="single"/>
    </w:rPr>
  </w:style>
  <w:style w:type="character" w:styleId="FollowedHyperlink">
    <w:name w:val="FollowedHyperlink"/>
    <w:basedOn w:val="DefaultParagraphFont"/>
    <w:rsid w:val="00A80639"/>
    <w:rPr>
      <w:color w:val="800080" w:themeColor="followedHyperlink"/>
      <w:u w:val="single"/>
    </w:rPr>
  </w:style>
  <w:style w:type="character" w:customStyle="1" w:styleId="BodyTextChar">
    <w:name w:val="Body Text Char"/>
    <w:basedOn w:val="DefaultParagraphFont"/>
    <w:link w:val="BodyText"/>
    <w:rsid w:val="007A7FBF"/>
    <w:rPr>
      <w:sz w:val="26"/>
    </w:rPr>
  </w:style>
  <w:style w:type="paragraph" w:customStyle="1" w:styleId="Default">
    <w:name w:val="Default"/>
    <w:rsid w:val="00953969"/>
    <w:pPr>
      <w:autoSpaceDE w:val="0"/>
      <w:autoSpaceDN w:val="0"/>
      <w:adjustRightInd w:val="0"/>
    </w:pPr>
    <w:rPr>
      <w:rFonts w:ascii="Arial" w:hAnsi="Arial" w:cs="Arial"/>
      <w:color w:val="000000"/>
      <w:sz w:val="24"/>
      <w:szCs w:val="24"/>
    </w:rPr>
  </w:style>
  <w:style w:type="character" w:styleId="Strong">
    <w:name w:val="Strong"/>
    <w:basedOn w:val="DefaultParagraphFont"/>
    <w:uiPriority w:val="22"/>
    <w:qFormat/>
    <w:rsid w:val="00BC1973"/>
    <w:rPr>
      <w:b/>
      <w:bCs/>
      <w:i w:val="0"/>
      <w:iCs w:val="0"/>
    </w:rPr>
  </w:style>
  <w:style w:type="paragraph" w:styleId="NormalWeb">
    <w:name w:val="Normal (Web)"/>
    <w:basedOn w:val="Normal"/>
    <w:uiPriority w:val="99"/>
    <w:unhideWhenUsed/>
    <w:rsid w:val="00BC1973"/>
    <w:pPr>
      <w:spacing w:before="120" w:after="240"/>
    </w:pPr>
    <w:rPr>
      <w:sz w:val="24"/>
    </w:rPr>
  </w:style>
  <w:style w:type="character" w:customStyle="1" w:styleId="meta">
    <w:name w:val="meta"/>
    <w:basedOn w:val="DefaultParagraphFont"/>
    <w:rsid w:val="00BC1973"/>
    <w:rPr>
      <w:vanish w:val="0"/>
      <w:webHidden w:val="0"/>
      <w:sz w:val="19"/>
      <w:szCs w:val="19"/>
      <w:specVanish w:val="0"/>
    </w:rPr>
  </w:style>
  <w:style w:type="character" w:customStyle="1" w:styleId="filetype">
    <w:name w:val="filetype"/>
    <w:basedOn w:val="DefaultParagraphFont"/>
    <w:rsid w:val="00BC1973"/>
  </w:style>
  <w:style w:type="paragraph" w:styleId="ListParagraph">
    <w:name w:val="List Paragraph"/>
    <w:basedOn w:val="Normal"/>
    <w:uiPriority w:val="34"/>
    <w:rsid w:val="001718E7"/>
    <w:pPr>
      <w:ind w:left="720"/>
      <w:contextualSpacing/>
    </w:pPr>
  </w:style>
  <w:style w:type="character" w:customStyle="1" w:styleId="FooterChar">
    <w:name w:val="Footer Char"/>
    <w:basedOn w:val="DefaultParagraphFont"/>
    <w:link w:val="Footer"/>
    <w:rsid w:val="007A7FBF"/>
    <w:rPr>
      <w:caps/>
      <w:spacing w:val="-4"/>
      <w:sz w:val="16"/>
    </w:rPr>
  </w:style>
  <w:style w:type="character" w:customStyle="1" w:styleId="FootnoteTextChar">
    <w:name w:val="Footnote Text Char"/>
    <w:basedOn w:val="DefaultParagraphFont"/>
    <w:link w:val="FootnoteText"/>
    <w:locked/>
    <w:rsid w:val="007A7FBF"/>
    <w:rPr>
      <w:sz w:val="22"/>
    </w:rPr>
  </w:style>
  <w:style w:type="paragraph" w:customStyle="1" w:styleId="ListParagraphforEl">
    <w:name w:val="List Paragraph for El"/>
    <w:basedOn w:val="ListParagraph"/>
    <w:uiPriority w:val="99"/>
    <w:rsid w:val="00AF2C8C"/>
    <w:pPr>
      <w:numPr>
        <w:numId w:val="1"/>
      </w:numPr>
      <w:spacing w:before="120" w:after="120" w:line="276" w:lineRule="auto"/>
      <w:ind w:left="720" w:firstLine="0"/>
      <w:contextualSpacing w:val="0"/>
      <w:jc w:val="both"/>
    </w:pPr>
    <w:rPr>
      <w:rFonts w:ascii="Arial" w:hAnsi="Arial"/>
      <w:sz w:val="22"/>
      <w:szCs w:val="22"/>
      <w:lang w:eastAsia="en-US"/>
    </w:rPr>
  </w:style>
  <w:style w:type="paragraph" w:customStyle="1" w:styleId="Elslist">
    <w:name w:val="El's list"/>
    <w:basedOn w:val="ListParagraphforEl"/>
    <w:uiPriority w:val="99"/>
    <w:rsid w:val="00AF2C8C"/>
    <w:pPr>
      <w:ind w:left="568" w:hanging="284"/>
    </w:pPr>
  </w:style>
  <w:style w:type="paragraph" w:styleId="PlainText">
    <w:name w:val="Plain Text"/>
    <w:basedOn w:val="Normal"/>
    <w:link w:val="PlainTextChar"/>
    <w:uiPriority w:val="99"/>
    <w:unhideWhenUsed/>
    <w:rsid w:val="00FB194F"/>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FB194F"/>
    <w:rPr>
      <w:rFonts w:ascii="Calibri" w:eastAsiaTheme="minorHAnsi" w:hAnsi="Calibri" w:cstheme="minorBidi"/>
      <w:sz w:val="22"/>
      <w:szCs w:val="21"/>
      <w:lang w:eastAsia="en-US"/>
    </w:rPr>
  </w:style>
  <w:style w:type="character" w:customStyle="1" w:styleId="QuoteChar">
    <w:name w:val="Quote Char"/>
    <w:basedOn w:val="DefaultParagraphFont"/>
    <w:link w:val="Quote"/>
    <w:rsid w:val="007A7FBF"/>
    <w:rPr>
      <w:sz w:val="24"/>
    </w:rPr>
  </w:style>
  <w:style w:type="character" w:customStyle="1" w:styleId="A5">
    <w:name w:val="A5"/>
    <w:uiPriority w:val="99"/>
    <w:rsid w:val="00073D5C"/>
    <w:rPr>
      <w:rFonts w:cs="Frutiger 45 Light"/>
      <w:b/>
      <w:bCs/>
      <w:color w:val="000000"/>
    </w:rPr>
  </w:style>
  <w:style w:type="character" w:customStyle="1" w:styleId="A7">
    <w:name w:val="A7"/>
    <w:uiPriority w:val="99"/>
    <w:rsid w:val="008F0930"/>
    <w:rPr>
      <w:rFonts w:cs="Frutiger 45 Light"/>
      <w:color w:val="221E1F"/>
      <w:sz w:val="20"/>
      <w:szCs w:val="20"/>
    </w:rPr>
  </w:style>
  <w:style w:type="character" w:customStyle="1" w:styleId="CommentTextChar">
    <w:name w:val="Comment Text Char"/>
    <w:basedOn w:val="DefaultParagraphFont"/>
    <w:link w:val="CommentText"/>
    <w:rsid w:val="007A7FBF"/>
    <w:rPr>
      <w:szCs w:val="24"/>
    </w:rPr>
  </w:style>
  <w:style w:type="paragraph" w:styleId="CommentSubject">
    <w:name w:val="annotation subject"/>
    <w:basedOn w:val="CommentText"/>
    <w:next w:val="CommentText"/>
    <w:link w:val="CommentSubjectChar"/>
    <w:rsid w:val="0020784A"/>
    <w:pPr>
      <w:spacing w:before="0" w:line="240" w:lineRule="auto"/>
      <w:ind w:left="0" w:firstLine="0"/>
    </w:pPr>
    <w:rPr>
      <w:b/>
      <w:bCs/>
      <w:szCs w:val="20"/>
    </w:rPr>
  </w:style>
  <w:style w:type="character" w:customStyle="1" w:styleId="CommentSubjectChar">
    <w:name w:val="Comment Subject Char"/>
    <w:basedOn w:val="CommentTextChar"/>
    <w:link w:val="CommentSubject"/>
    <w:rsid w:val="0020784A"/>
    <w:rPr>
      <w:b/>
      <w:bCs/>
      <w:szCs w:val="24"/>
    </w:rPr>
  </w:style>
  <w:style w:type="character" w:customStyle="1" w:styleId="Heading4Char">
    <w:name w:val="Heading 4 Char"/>
    <w:basedOn w:val="DefaultParagraphFont"/>
    <w:link w:val="Heading4"/>
    <w:rsid w:val="007A7FBF"/>
    <w:rPr>
      <w:rFonts w:ascii="Arial" w:hAnsi="Arial"/>
      <w:i/>
      <w:sz w:val="24"/>
    </w:rPr>
  </w:style>
  <w:style w:type="paragraph" w:styleId="Revision">
    <w:name w:val="Revision"/>
    <w:hidden/>
    <w:uiPriority w:val="99"/>
    <w:semiHidden/>
    <w:rsid w:val="00CA7617"/>
    <w:rPr>
      <w:sz w:val="26"/>
      <w:szCs w:val="24"/>
    </w:rPr>
  </w:style>
  <w:style w:type="character" w:customStyle="1" w:styleId="Heading1Char">
    <w:name w:val="Heading 1 Char"/>
    <w:basedOn w:val="DefaultParagraphFont"/>
    <w:link w:val="Heading1"/>
    <w:rsid w:val="007A7FBF"/>
    <w:rPr>
      <w:sz w:val="52"/>
    </w:rPr>
  </w:style>
  <w:style w:type="character" w:customStyle="1" w:styleId="HeaderChar">
    <w:name w:val="Header Char"/>
    <w:basedOn w:val="DefaultParagraphFont"/>
    <w:link w:val="Header"/>
    <w:rsid w:val="007A7FBF"/>
    <w:rPr>
      <w:rFonts w:ascii="Arial" w:hAnsi="Arial"/>
      <w:caps/>
      <w:sz w:val="26"/>
    </w:rPr>
  </w:style>
  <w:style w:type="character" w:customStyle="1" w:styleId="Heading2Char">
    <w:name w:val="Heading 2 Char"/>
    <w:basedOn w:val="DefaultParagraphFont"/>
    <w:link w:val="Heading2"/>
    <w:rsid w:val="007A7FBF"/>
    <w:rPr>
      <w:rFonts w:ascii="Arial" w:hAnsi="Arial"/>
      <w:b/>
      <w:sz w:val="32"/>
    </w:rPr>
  </w:style>
  <w:style w:type="character" w:customStyle="1" w:styleId="Heading3Char">
    <w:name w:val="Heading 3 Char"/>
    <w:basedOn w:val="DefaultParagraphFont"/>
    <w:link w:val="Heading3"/>
    <w:rsid w:val="007A7FBF"/>
    <w:rPr>
      <w:rFonts w:ascii="Arial" w:hAnsi="Arial"/>
      <w:b/>
      <w:sz w:val="26"/>
    </w:rPr>
  </w:style>
  <w:style w:type="character" w:customStyle="1" w:styleId="Heading5Char">
    <w:name w:val="Heading 5 Char"/>
    <w:basedOn w:val="DefaultParagraphFont"/>
    <w:link w:val="Heading5"/>
    <w:rsid w:val="007A7FBF"/>
    <w:rPr>
      <w:i/>
      <w:sz w:val="26"/>
    </w:rPr>
  </w:style>
  <w:style w:type="character" w:customStyle="1" w:styleId="Heading6Char">
    <w:name w:val="Heading 6 Char"/>
    <w:basedOn w:val="DefaultParagraphFont"/>
    <w:link w:val="Heading6"/>
    <w:rsid w:val="007A7FBF"/>
    <w:rPr>
      <w:i/>
      <w:sz w:val="22"/>
    </w:rPr>
  </w:style>
  <w:style w:type="character" w:customStyle="1" w:styleId="Heading7Char">
    <w:name w:val="Heading 7 Char"/>
    <w:basedOn w:val="DefaultParagraphFont"/>
    <w:link w:val="Heading7"/>
    <w:rsid w:val="007A7FBF"/>
    <w:rPr>
      <w:rFonts w:ascii="Arial" w:hAnsi="Arial"/>
    </w:rPr>
  </w:style>
  <w:style w:type="character" w:customStyle="1" w:styleId="Heading8Char">
    <w:name w:val="Heading 8 Char"/>
    <w:basedOn w:val="DefaultParagraphFont"/>
    <w:link w:val="Heading8"/>
    <w:rsid w:val="007A7FBF"/>
    <w:rPr>
      <w:rFonts w:ascii="Arial" w:hAnsi="Arial"/>
      <w:i/>
    </w:rPr>
  </w:style>
  <w:style w:type="character" w:customStyle="1" w:styleId="Heading9Char">
    <w:name w:val="Heading 9 Char"/>
    <w:basedOn w:val="DefaultParagraphFont"/>
    <w:link w:val="Heading9"/>
    <w:rsid w:val="007A7FBF"/>
    <w:rPr>
      <w:rFonts w:ascii="Arial" w:hAnsi="Arial"/>
      <w:b/>
      <w:i/>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517907">
      <w:bodyDiv w:val="1"/>
      <w:marLeft w:val="0"/>
      <w:marRight w:val="0"/>
      <w:marTop w:val="0"/>
      <w:marBottom w:val="0"/>
      <w:divBdr>
        <w:top w:val="none" w:sz="0" w:space="0" w:color="auto"/>
        <w:left w:val="none" w:sz="0" w:space="0" w:color="auto"/>
        <w:bottom w:val="none" w:sz="0" w:space="0" w:color="auto"/>
        <w:right w:val="none" w:sz="0" w:space="0" w:color="auto"/>
      </w:divBdr>
      <w:divsChild>
        <w:div w:id="1805390976">
          <w:marLeft w:val="0"/>
          <w:marRight w:val="0"/>
          <w:marTop w:val="0"/>
          <w:marBottom w:val="0"/>
          <w:divBdr>
            <w:top w:val="none" w:sz="0" w:space="0" w:color="auto"/>
            <w:left w:val="none" w:sz="0" w:space="0" w:color="auto"/>
            <w:bottom w:val="none" w:sz="0" w:space="0" w:color="auto"/>
            <w:right w:val="none" w:sz="0" w:space="0" w:color="auto"/>
          </w:divBdr>
          <w:divsChild>
            <w:div w:id="1129667179">
              <w:marLeft w:val="0"/>
              <w:marRight w:val="0"/>
              <w:marTop w:val="0"/>
              <w:marBottom w:val="0"/>
              <w:divBdr>
                <w:top w:val="none" w:sz="0" w:space="0" w:color="auto"/>
                <w:left w:val="none" w:sz="0" w:space="0" w:color="auto"/>
                <w:bottom w:val="none" w:sz="0" w:space="0" w:color="auto"/>
                <w:right w:val="none" w:sz="0" w:space="0" w:color="auto"/>
              </w:divBdr>
              <w:divsChild>
                <w:div w:id="2105033090">
                  <w:marLeft w:val="0"/>
                  <w:marRight w:val="0"/>
                  <w:marTop w:val="0"/>
                  <w:marBottom w:val="0"/>
                  <w:divBdr>
                    <w:top w:val="none" w:sz="0" w:space="0" w:color="auto"/>
                    <w:left w:val="none" w:sz="0" w:space="0" w:color="auto"/>
                    <w:bottom w:val="none" w:sz="0" w:space="0" w:color="auto"/>
                    <w:right w:val="none" w:sz="0" w:space="0" w:color="auto"/>
                  </w:divBdr>
                  <w:divsChild>
                    <w:div w:id="1007828950">
                      <w:marLeft w:val="0"/>
                      <w:marRight w:val="0"/>
                      <w:marTop w:val="0"/>
                      <w:marBottom w:val="0"/>
                      <w:divBdr>
                        <w:top w:val="none" w:sz="0" w:space="0" w:color="auto"/>
                        <w:left w:val="none" w:sz="0" w:space="0" w:color="auto"/>
                        <w:bottom w:val="none" w:sz="0" w:space="0" w:color="auto"/>
                        <w:right w:val="none" w:sz="0" w:space="0" w:color="auto"/>
                      </w:divBdr>
                      <w:divsChild>
                        <w:div w:id="1532065849">
                          <w:marLeft w:val="0"/>
                          <w:marRight w:val="0"/>
                          <w:marTop w:val="0"/>
                          <w:marBottom w:val="0"/>
                          <w:divBdr>
                            <w:top w:val="none" w:sz="0" w:space="0" w:color="auto"/>
                            <w:left w:val="none" w:sz="0" w:space="0" w:color="auto"/>
                            <w:bottom w:val="none" w:sz="0" w:space="0" w:color="auto"/>
                            <w:right w:val="none" w:sz="0" w:space="0" w:color="auto"/>
                          </w:divBdr>
                          <w:divsChild>
                            <w:div w:id="601575422">
                              <w:marLeft w:val="0"/>
                              <w:marRight w:val="0"/>
                              <w:marTop w:val="0"/>
                              <w:marBottom w:val="0"/>
                              <w:divBdr>
                                <w:top w:val="none" w:sz="0" w:space="0" w:color="auto"/>
                                <w:left w:val="none" w:sz="0" w:space="0" w:color="auto"/>
                                <w:bottom w:val="none" w:sz="0" w:space="0" w:color="auto"/>
                                <w:right w:val="none" w:sz="0" w:space="0" w:color="auto"/>
                              </w:divBdr>
                              <w:divsChild>
                                <w:div w:id="1657756743">
                                  <w:marLeft w:val="0"/>
                                  <w:marRight w:val="0"/>
                                  <w:marTop w:val="0"/>
                                  <w:marBottom w:val="0"/>
                                  <w:divBdr>
                                    <w:top w:val="none" w:sz="0" w:space="0" w:color="auto"/>
                                    <w:left w:val="none" w:sz="0" w:space="0" w:color="auto"/>
                                    <w:bottom w:val="none" w:sz="0" w:space="0" w:color="auto"/>
                                    <w:right w:val="none" w:sz="0" w:space="0" w:color="auto"/>
                                  </w:divBdr>
                                  <w:divsChild>
                                    <w:div w:id="775562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2600467">
      <w:bodyDiv w:val="1"/>
      <w:marLeft w:val="0"/>
      <w:marRight w:val="0"/>
      <w:marTop w:val="0"/>
      <w:marBottom w:val="0"/>
      <w:divBdr>
        <w:top w:val="none" w:sz="0" w:space="0" w:color="auto"/>
        <w:left w:val="none" w:sz="0" w:space="0" w:color="auto"/>
        <w:bottom w:val="none" w:sz="0" w:space="0" w:color="auto"/>
        <w:right w:val="none" w:sz="0" w:space="0" w:color="auto"/>
      </w:divBdr>
    </w:div>
    <w:div w:id="151024331">
      <w:bodyDiv w:val="1"/>
      <w:marLeft w:val="0"/>
      <w:marRight w:val="0"/>
      <w:marTop w:val="0"/>
      <w:marBottom w:val="0"/>
      <w:divBdr>
        <w:top w:val="none" w:sz="0" w:space="0" w:color="auto"/>
        <w:left w:val="none" w:sz="0" w:space="0" w:color="auto"/>
        <w:bottom w:val="none" w:sz="0" w:space="0" w:color="auto"/>
        <w:right w:val="none" w:sz="0" w:space="0" w:color="auto"/>
      </w:divBdr>
      <w:divsChild>
        <w:div w:id="199782131">
          <w:marLeft w:val="0"/>
          <w:marRight w:val="0"/>
          <w:marTop w:val="0"/>
          <w:marBottom w:val="0"/>
          <w:divBdr>
            <w:top w:val="none" w:sz="0" w:space="0" w:color="auto"/>
            <w:left w:val="none" w:sz="0" w:space="0" w:color="auto"/>
            <w:bottom w:val="none" w:sz="0" w:space="0" w:color="auto"/>
            <w:right w:val="none" w:sz="0" w:space="0" w:color="auto"/>
          </w:divBdr>
          <w:divsChild>
            <w:div w:id="95637576">
              <w:marLeft w:val="0"/>
              <w:marRight w:val="0"/>
              <w:marTop w:val="0"/>
              <w:marBottom w:val="0"/>
              <w:divBdr>
                <w:top w:val="none" w:sz="0" w:space="0" w:color="auto"/>
                <w:left w:val="none" w:sz="0" w:space="0" w:color="auto"/>
                <w:bottom w:val="none" w:sz="0" w:space="0" w:color="auto"/>
                <w:right w:val="none" w:sz="0" w:space="0" w:color="auto"/>
              </w:divBdr>
              <w:divsChild>
                <w:div w:id="1124468443">
                  <w:marLeft w:val="0"/>
                  <w:marRight w:val="0"/>
                  <w:marTop w:val="0"/>
                  <w:marBottom w:val="0"/>
                  <w:divBdr>
                    <w:top w:val="none" w:sz="0" w:space="0" w:color="auto"/>
                    <w:left w:val="none" w:sz="0" w:space="0" w:color="auto"/>
                    <w:bottom w:val="none" w:sz="0" w:space="0" w:color="auto"/>
                    <w:right w:val="none" w:sz="0" w:space="0" w:color="auto"/>
                  </w:divBdr>
                  <w:divsChild>
                    <w:div w:id="879125756">
                      <w:marLeft w:val="0"/>
                      <w:marRight w:val="0"/>
                      <w:marTop w:val="0"/>
                      <w:marBottom w:val="0"/>
                      <w:divBdr>
                        <w:top w:val="none" w:sz="0" w:space="0" w:color="auto"/>
                        <w:left w:val="none" w:sz="0" w:space="0" w:color="auto"/>
                        <w:bottom w:val="none" w:sz="0" w:space="0" w:color="auto"/>
                        <w:right w:val="none" w:sz="0" w:space="0" w:color="auto"/>
                      </w:divBdr>
                      <w:divsChild>
                        <w:div w:id="71585282">
                          <w:marLeft w:val="0"/>
                          <w:marRight w:val="0"/>
                          <w:marTop w:val="0"/>
                          <w:marBottom w:val="0"/>
                          <w:divBdr>
                            <w:top w:val="none" w:sz="0" w:space="0" w:color="auto"/>
                            <w:left w:val="none" w:sz="0" w:space="0" w:color="auto"/>
                            <w:bottom w:val="none" w:sz="0" w:space="0" w:color="auto"/>
                            <w:right w:val="none" w:sz="0" w:space="0" w:color="auto"/>
                          </w:divBdr>
                          <w:divsChild>
                            <w:div w:id="1757285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257253">
      <w:bodyDiv w:val="1"/>
      <w:marLeft w:val="0"/>
      <w:marRight w:val="0"/>
      <w:marTop w:val="0"/>
      <w:marBottom w:val="0"/>
      <w:divBdr>
        <w:top w:val="none" w:sz="0" w:space="0" w:color="auto"/>
        <w:left w:val="none" w:sz="0" w:space="0" w:color="auto"/>
        <w:bottom w:val="none" w:sz="0" w:space="0" w:color="auto"/>
        <w:right w:val="none" w:sz="0" w:space="0" w:color="auto"/>
      </w:divBdr>
      <w:divsChild>
        <w:div w:id="788813320">
          <w:marLeft w:val="0"/>
          <w:marRight w:val="0"/>
          <w:marTop w:val="0"/>
          <w:marBottom w:val="0"/>
          <w:divBdr>
            <w:top w:val="none" w:sz="0" w:space="0" w:color="auto"/>
            <w:left w:val="none" w:sz="0" w:space="0" w:color="auto"/>
            <w:bottom w:val="none" w:sz="0" w:space="0" w:color="auto"/>
            <w:right w:val="none" w:sz="0" w:space="0" w:color="auto"/>
          </w:divBdr>
          <w:divsChild>
            <w:div w:id="1116406258">
              <w:marLeft w:val="0"/>
              <w:marRight w:val="0"/>
              <w:marTop w:val="0"/>
              <w:marBottom w:val="0"/>
              <w:divBdr>
                <w:top w:val="none" w:sz="0" w:space="0" w:color="auto"/>
                <w:left w:val="none" w:sz="0" w:space="0" w:color="auto"/>
                <w:bottom w:val="none" w:sz="0" w:space="0" w:color="auto"/>
                <w:right w:val="none" w:sz="0" w:space="0" w:color="auto"/>
              </w:divBdr>
              <w:divsChild>
                <w:div w:id="1378973416">
                  <w:marLeft w:val="0"/>
                  <w:marRight w:val="0"/>
                  <w:marTop w:val="0"/>
                  <w:marBottom w:val="0"/>
                  <w:divBdr>
                    <w:top w:val="none" w:sz="0" w:space="0" w:color="auto"/>
                    <w:left w:val="none" w:sz="0" w:space="0" w:color="auto"/>
                    <w:bottom w:val="none" w:sz="0" w:space="0" w:color="auto"/>
                    <w:right w:val="none" w:sz="0" w:space="0" w:color="auto"/>
                  </w:divBdr>
                  <w:divsChild>
                    <w:div w:id="1073509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2596899">
      <w:bodyDiv w:val="1"/>
      <w:marLeft w:val="0"/>
      <w:marRight w:val="0"/>
      <w:marTop w:val="0"/>
      <w:marBottom w:val="0"/>
      <w:divBdr>
        <w:top w:val="none" w:sz="0" w:space="0" w:color="auto"/>
        <w:left w:val="none" w:sz="0" w:space="0" w:color="auto"/>
        <w:bottom w:val="none" w:sz="0" w:space="0" w:color="auto"/>
        <w:right w:val="none" w:sz="0" w:space="0" w:color="auto"/>
      </w:divBdr>
      <w:divsChild>
        <w:div w:id="1842966870">
          <w:marLeft w:val="0"/>
          <w:marRight w:val="0"/>
          <w:marTop w:val="0"/>
          <w:marBottom w:val="0"/>
          <w:divBdr>
            <w:top w:val="none" w:sz="0" w:space="0" w:color="auto"/>
            <w:left w:val="none" w:sz="0" w:space="0" w:color="auto"/>
            <w:bottom w:val="none" w:sz="0" w:space="0" w:color="auto"/>
            <w:right w:val="none" w:sz="0" w:space="0" w:color="auto"/>
          </w:divBdr>
        </w:div>
      </w:divsChild>
    </w:div>
    <w:div w:id="320231172">
      <w:bodyDiv w:val="1"/>
      <w:marLeft w:val="0"/>
      <w:marRight w:val="0"/>
      <w:marTop w:val="0"/>
      <w:marBottom w:val="0"/>
      <w:divBdr>
        <w:top w:val="none" w:sz="0" w:space="0" w:color="auto"/>
        <w:left w:val="none" w:sz="0" w:space="0" w:color="auto"/>
        <w:bottom w:val="none" w:sz="0" w:space="0" w:color="auto"/>
        <w:right w:val="none" w:sz="0" w:space="0" w:color="auto"/>
      </w:divBdr>
      <w:divsChild>
        <w:div w:id="463499946">
          <w:marLeft w:val="0"/>
          <w:marRight w:val="0"/>
          <w:marTop w:val="0"/>
          <w:marBottom w:val="0"/>
          <w:divBdr>
            <w:top w:val="none" w:sz="0" w:space="0" w:color="auto"/>
            <w:left w:val="none" w:sz="0" w:space="0" w:color="auto"/>
            <w:bottom w:val="none" w:sz="0" w:space="0" w:color="auto"/>
            <w:right w:val="none" w:sz="0" w:space="0" w:color="auto"/>
          </w:divBdr>
          <w:divsChild>
            <w:div w:id="613094068">
              <w:marLeft w:val="0"/>
              <w:marRight w:val="0"/>
              <w:marTop w:val="180"/>
              <w:marBottom w:val="0"/>
              <w:divBdr>
                <w:top w:val="none" w:sz="0" w:space="0" w:color="auto"/>
                <w:left w:val="none" w:sz="0" w:space="0" w:color="auto"/>
                <w:bottom w:val="none" w:sz="0" w:space="0" w:color="auto"/>
                <w:right w:val="none" w:sz="0" w:space="0" w:color="auto"/>
              </w:divBdr>
              <w:divsChild>
                <w:div w:id="1101873407">
                  <w:marLeft w:val="0"/>
                  <w:marRight w:val="0"/>
                  <w:marTop w:val="0"/>
                  <w:marBottom w:val="0"/>
                  <w:divBdr>
                    <w:top w:val="none" w:sz="0" w:space="0" w:color="auto"/>
                    <w:left w:val="none" w:sz="0" w:space="0" w:color="auto"/>
                    <w:bottom w:val="none" w:sz="0" w:space="0" w:color="auto"/>
                    <w:right w:val="none" w:sz="0" w:space="0" w:color="auto"/>
                  </w:divBdr>
                  <w:divsChild>
                    <w:div w:id="321979200">
                      <w:marLeft w:val="0"/>
                      <w:marRight w:val="0"/>
                      <w:marTop w:val="0"/>
                      <w:marBottom w:val="0"/>
                      <w:divBdr>
                        <w:top w:val="none" w:sz="0" w:space="0" w:color="auto"/>
                        <w:left w:val="none" w:sz="0" w:space="0" w:color="auto"/>
                        <w:bottom w:val="none" w:sz="0" w:space="0" w:color="auto"/>
                        <w:right w:val="none" w:sz="0" w:space="0" w:color="auto"/>
                      </w:divBdr>
                      <w:divsChild>
                        <w:div w:id="1926959306">
                          <w:marLeft w:val="0"/>
                          <w:marRight w:val="0"/>
                          <w:marTop w:val="0"/>
                          <w:marBottom w:val="0"/>
                          <w:divBdr>
                            <w:top w:val="none" w:sz="0" w:space="0" w:color="auto"/>
                            <w:left w:val="none" w:sz="0" w:space="0" w:color="auto"/>
                            <w:bottom w:val="none" w:sz="0" w:space="0" w:color="auto"/>
                            <w:right w:val="none" w:sz="0" w:space="0" w:color="auto"/>
                          </w:divBdr>
                          <w:divsChild>
                            <w:div w:id="2073698142">
                              <w:marLeft w:val="0"/>
                              <w:marRight w:val="0"/>
                              <w:marTop w:val="0"/>
                              <w:marBottom w:val="0"/>
                              <w:divBdr>
                                <w:top w:val="none" w:sz="0" w:space="0" w:color="auto"/>
                                <w:left w:val="none" w:sz="0" w:space="0" w:color="auto"/>
                                <w:bottom w:val="none" w:sz="0" w:space="0" w:color="auto"/>
                                <w:right w:val="none" w:sz="0" w:space="0" w:color="auto"/>
                              </w:divBdr>
                              <w:divsChild>
                                <w:div w:id="1812674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4764705">
      <w:bodyDiv w:val="1"/>
      <w:marLeft w:val="0"/>
      <w:marRight w:val="0"/>
      <w:marTop w:val="0"/>
      <w:marBottom w:val="0"/>
      <w:divBdr>
        <w:top w:val="none" w:sz="0" w:space="0" w:color="auto"/>
        <w:left w:val="none" w:sz="0" w:space="0" w:color="auto"/>
        <w:bottom w:val="none" w:sz="0" w:space="0" w:color="auto"/>
        <w:right w:val="none" w:sz="0" w:space="0" w:color="auto"/>
      </w:divBdr>
      <w:divsChild>
        <w:div w:id="1462068001">
          <w:marLeft w:val="0"/>
          <w:marRight w:val="0"/>
          <w:marTop w:val="0"/>
          <w:marBottom w:val="0"/>
          <w:divBdr>
            <w:top w:val="none" w:sz="0" w:space="0" w:color="auto"/>
            <w:left w:val="none" w:sz="0" w:space="0" w:color="auto"/>
            <w:bottom w:val="none" w:sz="0" w:space="0" w:color="auto"/>
            <w:right w:val="none" w:sz="0" w:space="0" w:color="auto"/>
          </w:divBdr>
          <w:divsChild>
            <w:div w:id="77949521">
              <w:marLeft w:val="3000"/>
              <w:marRight w:val="0"/>
              <w:marTop w:val="0"/>
              <w:marBottom w:val="0"/>
              <w:divBdr>
                <w:top w:val="none" w:sz="0" w:space="0" w:color="auto"/>
                <w:left w:val="none" w:sz="0" w:space="0" w:color="auto"/>
                <w:bottom w:val="none" w:sz="0" w:space="0" w:color="auto"/>
                <w:right w:val="none" w:sz="0" w:space="0" w:color="auto"/>
              </w:divBdr>
              <w:divsChild>
                <w:div w:id="1015615863">
                  <w:marLeft w:val="0"/>
                  <w:marRight w:val="0"/>
                  <w:marTop w:val="0"/>
                  <w:marBottom w:val="0"/>
                  <w:divBdr>
                    <w:top w:val="none" w:sz="0" w:space="0" w:color="auto"/>
                    <w:left w:val="none" w:sz="0" w:space="0" w:color="auto"/>
                    <w:bottom w:val="none" w:sz="0" w:space="0" w:color="auto"/>
                    <w:right w:val="none" w:sz="0" w:space="0" w:color="auto"/>
                  </w:divBdr>
                  <w:divsChild>
                    <w:div w:id="951782946">
                      <w:marLeft w:val="0"/>
                      <w:marRight w:val="0"/>
                      <w:marTop w:val="0"/>
                      <w:marBottom w:val="0"/>
                      <w:divBdr>
                        <w:top w:val="none" w:sz="0" w:space="0" w:color="auto"/>
                        <w:left w:val="none" w:sz="0" w:space="0" w:color="auto"/>
                        <w:bottom w:val="none" w:sz="0" w:space="0" w:color="auto"/>
                        <w:right w:val="none" w:sz="0" w:space="0" w:color="auto"/>
                      </w:divBdr>
                      <w:divsChild>
                        <w:div w:id="643656823">
                          <w:marLeft w:val="0"/>
                          <w:marRight w:val="0"/>
                          <w:marTop w:val="0"/>
                          <w:marBottom w:val="0"/>
                          <w:divBdr>
                            <w:top w:val="none" w:sz="0" w:space="0" w:color="auto"/>
                            <w:left w:val="none" w:sz="0" w:space="0" w:color="auto"/>
                            <w:bottom w:val="none" w:sz="0" w:space="0" w:color="auto"/>
                            <w:right w:val="none" w:sz="0" w:space="0" w:color="auto"/>
                          </w:divBdr>
                          <w:divsChild>
                            <w:div w:id="616914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38329520">
      <w:bodyDiv w:val="1"/>
      <w:marLeft w:val="0"/>
      <w:marRight w:val="0"/>
      <w:marTop w:val="0"/>
      <w:marBottom w:val="0"/>
      <w:divBdr>
        <w:top w:val="none" w:sz="0" w:space="0" w:color="auto"/>
        <w:left w:val="none" w:sz="0" w:space="0" w:color="auto"/>
        <w:bottom w:val="none" w:sz="0" w:space="0" w:color="auto"/>
        <w:right w:val="none" w:sz="0" w:space="0" w:color="auto"/>
      </w:divBdr>
      <w:divsChild>
        <w:div w:id="1119647743">
          <w:marLeft w:val="0"/>
          <w:marRight w:val="0"/>
          <w:marTop w:val="0"/>
          <w:marBottom w:val="0"/>
          <w:divBdr>
            <w:top w:val="none" w:sz="0" w:space="0" w:color="auto"/>
            <w:left w:val="none" w:sz="0" w:space="0" w:color="auto"/>
            <w:bottom w:val="none" w:sz="0" w:space="0" w:color="auto"/>
            <w:right w:val="none" w:sz="0" w:space="0" w:color="auto"/>
          </w:divBdr>
          <w:divsChild>
            <w:div w:id="2060274918">
              <w:marLeft w:val="0"/>
              <w:marRight w:val="0"/>
              <w:marTop w:val="0"/>
              <w:marBottom w:val="0"/>
              <w:divBdr>
                <w:top w:val="none" w:sz="0" w:space="0" w:color="auto"/>
                <w:left w:val="none" w:sz="0" w:space="0" w:color="auto"/>
                <w:bottom w:val="none" w:sz="0" w:space="0" w:color="auto"/>
                <w:right w:val="none" w:sz="0" w:space="0" w:color="auto"/>
              </w:divBdr>
              <w:divsChild>
                <w:div w:id="1857452834">
                  <w:marLeft w:val="0"/>
                  <w:marRight w:val="0"/>
                  <w:marTop w:val="0"/>
                  <w:marBottom w:val="0"/>
                  <w:divBdr>
                    <w:top w:val="none" w:sz="0" w:space="0" w:color="auto"/>
                    <w:left w:val="none" w:sz="0" w:space="0" w:color="auto"/>
                    <w:bottom w:val="none" w:sz="0" w:space="0" w:color="auto"/>
                    <w:right w:val="none" w:sz="0" w:space="0" w:color="auto"/>
                  </w:divBdr>
                  <w:divsChild>
                    <w:div w:id="496729647">
                      <w:marLeft w:val="0"/>
                      <w:marRight w:val="0"/>
                      <w:marTop w:val="0"/>
                      <w:marBottom w:val="0"/>
                      <w:divBdr>
                        <w:top w:val="none" w:sz="0" w:space="0" w:color="auto"/>
                        <w:left w:val="none" w:sz="0" w:space="0" w:color="auto"/>
                        <w:bottom w:val="none" w:sz="0" w:space="0" w:color="auto"/>
                        <w:right w:val="none" w:sz="0" w:space="0" w:color="auto"/>
                      </w:divBdr>
                      <w:divsChild>
                        <w:div w:id="1547109550">
                          <w:marLeft w:val="0"/>
                          <w:marRight w:val="0"/>
                          <w:marTop w:val="0"/>
                          <w:marBottom w:val="0"/>
                          <w:divBdr>
                            <w:top w:val="none" w:sz="0" w:space="0" w:color="auto"/>
                            <w:left w:val="none" w:sz="0" w:space="0" w:color="auto"/>
                            <w:bottom w:val="none" w:sz="0" w:space="0" w:color="auto"/>
                            <w:right w:val="none" w:sz="0" w:space="0" w:color="auto"/>
                          </w:divBdr>
                          <w:divsChild>
                            <w:div w:id="390617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87662656">
      <w:bodyDiv w:val="1"/>
      <w:marLeft w:val="0"/>
      <w:marRight w:val="0"/>
      <w:marTop w:val="0"/>
      <w:marBottom w:val="0"/>
      <w:divBdr>
        <w:top w:val="none" w:sz="0" w:space="0" w:color="auto"/>
        <w:left w:val="none" w:sz="0" w:space="0" w:color="auto"/>
        <w:bottom w:val="none" w:sz="0" w:space="0" w:color="auto"/>
        <w:right w:val="none" w:sz="0" w:space="0" w:color="auto"/>
      </w:divBdr>
      <w:divsChild>
        <w:div w:id="352536315">
          <w:marLeft w:val="0"/>
          <w:marRight w:val="0"/>
          <w:marTop w:val="0"/>
          <w:marBottom w:val="0"/>
          <w:divBdr>
            <w:top w:val="none" w:sz="0" w:space="0" w:color="auto"/>
            <w:left w:val="none" w:sz="0" w:space="0" w:color="auto"/>
            <w:bottom w:val="none" w:sz="0" w:space="0" w:color="auto"/>
            <w:right w:val="none" w:sz="0" w:space="0" w:color="auto"/>
          </w:divBdr>
          <w:divsChild>
            <w:div w:id="589385627">
              <w:marLeft w:val="0"/>
              <w:marRight w:val="0"/>
              <w:marTop w:val="180"/>
              <w:marBottom w:val="0"/>
              <w:divBdr>
                <w:top w:val="none" w:sz="0" w:space="0" w:color="auto"/>
                <w:left w:val="none" w:sz="0" w:space="0" w:color="auto"/>
                <w:bottom w:val="none" w:sz="0" w:space="0" w:color="auto"/>
                <w:right w:val="none" w:sz="0" w:space="0" w:color="auto"/>
              </w:divBdr>
              <w:divsChild>
                <w:div w:id="156188344">
                  <w:marLeft w:val="0"/>
                  <w:marRight w:val="0"/>
                  <w:marTop w:val="0"/>
                  <w:marBottom w:val="0"/>
                  <w:divBdr>
                    <w:top w:val="none" w:sz="0" w:space="0" w:color="auto"/>
                    <w:left w:val="none" w:sz="0" w:space="0" w:color="auto"/>
                    <w:bottom w:val="none" w:sz="0" w:space="0" w:color="auto"/>
                    <w:right w:val="none" w:sz="0" w:space="0" w:color="auto"/>
                  </w:divBdr>
                  <w:divsChild>
                    <w:div w:id="1007682320">
                      <w:marLeft w:val="0"/>
                      <w:marRight w:val="0"/>
                      <w:marTop w:val="0"/>
                      <w:marBottom w:val="0"/>
                      <w:divBdr>
                        <w:top w:val="none" w:sz="0" w:space="0" w:color="auto"/>
                        <w:left w:val="none" w:sz="0" w:space="0" w:color="auto"/>
                        <w:bottom w:val="none" w:sz="0" w:space="0" w:color="auto"/>
                        <w:right w:val="none" w:sz="0" w:space="0" w:color="auto"/>
                      </w:divBdr>
                      <w:divsChild>
                        <w:div w:id="1406076046">
                          <w:marLeft w:val="0"/>
                          <w:marRight w:val="0"/>
                          <w:marTop w:val="0"/>
                          <w:marBottom w:val="0"/>
                          <w:divBdr>
                            <w:top w:val="none" w:sz="0" w:space="0" w:color="auto"/>
                            <w:left w:val="none" w:sz="0" w:space="0" w:color="auto"/>
                            <w:bottom w:val="none" w:sz="0" w:space="0" w:color="auto"/>
                            <w:right w:val="none" w:sz="0" w:space="0" w:color="auto"/>
                          </w:divBdr>
                          <w:divsChild>
                            <w:div w:id="1778259521">
                              <w:marLeft w:val="0"/>
                              <w:marRight w:val="0"/>
                              <w:marTop w:val="0"/>
                              <w:marBottom w:val="0"/>
                              <w:divBdr>
                                <w:top w:val="none" w:sz="0" w:space="0" w:color="auto"/>
                                <w:left w:val="none" w:sz="0" w:space="0" w:color="auto"/>
                                <w:bottom w:val="none" w:sz="0" w:space="0" w:color="auto"/>
                                <w:right w:val="none" w:sz="0" w:space="0" w:color="auto"/>
                              </w:divBdr>
                              <w:divsChild>
                                <w:div w:id="1090396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37807636">
      <w:bodyDiv w:val="1"/>
      <w:marLeft w:val="0"/>
      <w:marRight w:val="0"/>
      <w:marTop w:val="0"/>
      <w:marBottom w:val="0"/>
      <w:divBdr>
        <w:top w:val="none" w:sz="0" w:space="0" w:color="auto"/>
        <w:left w:val="none" w:sz="0" w:space="0" w:color="auto"/>
        <w:bottom w:val="none" w:sz="0" w:space="0" w:color="auto"/>
        <w:right w:val="none" w:sz="0" w:space="0" w:color="auto"/>
      </w:divBdr>
    </w:div>
    <w:div w:id="686902945">
      <w:bodyDiv w:val="1"/>
      <w:marLeft w:val="0"/>
      <w:marRight w:val="0"/>
      <w:marTop w:val="0"/>
      <w:marBottom w:val="0"/>
      <w:divBdr>
        <w:top w:val="none" w:sz="0" w:space="0" w:color="auto"/>
        <w:left w:val="none" w:sz="0" w:space="0" w:color="auto"/>
        <w:bottom w:val="none" w:sz="0" w:space="0" w:color="auto"/>
        <w:right w:val="none" w:sz="0" w:space="0" w:color="auto"/>
      </w:divBdr>
      <w:divsChild>
        <w:div w:id="1881822008">
          <w:marLeft w:val="0"/>
          <w:marRight w:val="0"/>
          <w:marTop w:val="0"/>
          <w:marBottom w:val="0"/>
          <w:divBdr>
            <w:top w:val="none" w:sz="0" w:space="0" w:color="auto"/>
            <w:left w:val="none" w:sz="0" w:space="0" w:color="auto"/>
            <w:bottom w:val="none" w:sz="0" w:space="0" w:color="auto"/>
            <w:right w:val="none" w:sz="0" w:space="0" w:color="auto"/>
          </w:divBdr>
        </w:div>
      </w:divsChild>
    </w:div>
    <w:div w:id="707989875">
      <w:bodyDiv w:val="1"/>
      <w:marLeft w:val="0"/>
      <w:marRight w:val="0"/>
      <w:marTop w:val="0"/>
      <w:marBottom w:val="0"/>
      <w:divBdr>
        <w:top w:val="none" w:sz="0" w:space="0" w:color="auto"/>
        <w:left w:val="none" w:sz="0" w:space="0" w:color="auto"/>
        <w:bottom w:val="none" w:sz="0" w:space="0" w:color="auto"/>
        <w:right w:val="none" w:sz="0" w:space="0" w:color="auto"/>
      </w:divBdr>
      <w:divsChild>
        <w:div w:id="2113477898">
          <w:marLeft w:val="0"/>
          <w:marRight w:val="0"/>
          <w:marTop w:val="0"/>
          <w:marBottom w:val="0"/>
          <w:divBdr>
            <w:top w:val="none" w:sz="0" w:space="0" w:color="auto"/>
            <w:left w:val="none" w:sz="0" w:space="0" w:color="auto"/>
            <w:bottom w:val="none" w:sz="0" w:space="0" w:color="auto"/>
            <w:right w:val="none" w:sz="0" w:space="0" w:color="auto"/>
          </w:divBdr>
          <w:divsChild>
            <w:div w:id="1894922297">
              <w:marLeft w:val="0"/>
              <w:marRight w:val="0"/>
              <w:marTop w:val="0"/>
              <w:marBottom w:val="0"/>
              <w:divBdr>
                <w:top w:val="none" w:sz="0" w:space="0" w:color="auto"/>
                <w:left w:val="none" w:sz="0" w:space="0" w:color="auto"/>
                <w:bottom w:val="none" w:sz="0" w:space="0" w:color="auto"/>
                <w:right w:val="none" w:sz="0" w:space="0" w:color="auto"/>
              </w:divBdr>
              <w:divsChild>
                <w:div w:id="1606881774">
                  <w:marLeft w:val="0"/>
                  <w:marRight w:val="0"/>
                  <w:marTop w:val="0"/>
                  <w:marBottom w:val="0"/>
                  <w:divBdr>
                    <w:top w:val="none" w:sz="0" w:space="0" w:color="auto"/>
                    <w:left w:val="none" w:sz="0" w:space="0" w:color="auto"/>
                    <w:bottom w:val="none" w:sz="0" w:space="0" w:color="auto"/>
                    <w:right w:val="none" w:sz="0" w:space="0" w:color="auto"/>
                  </w:divBdr>
                  <w:divsChild>
                    <w:div w:id="1035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4547806">
      <w:bodyDiv w:val="1"/>
      <w:marLeft w:val="0"/>
      <w:marRight w:val="0"/>
      <w:marTop w:val="0"/>
      <w:marBottom w:val="0"/>
      <w:divBdr>
        <w:top w:val="none" w:sz="0" w:space="0" w:color="auto"/>
        <w:left w:val="none" w:sz="0" w:space="0" w:color="auto"/>
        <w:bottom w:val="none" w:sz="0" w:space="0" w:color="auto"/>
        <w:right w:val="none" w:sz="0" w:space="0" w:color="auto"/>
      </w:divBdr>
    </w:div>
    <w:div w:id="867523070">
      <w:bodyDiv w:val="1"/>
      <w:marLeft w:val="0"/>
      <w:marRight w:val="0"/>
      <w:marTop w:val="0"/>
      <w:marBottom w:val="0"/>
      <w:divBdr>
        <w:top w:val="none" w:sz="0" w:space="0" w:color="auto"/>
        <w:left w:val="none" w:sz="0" w:space="0" w:color="auto"/>
        <w:bottom w:val="none" w:sz="0" w:space="0" w:color="auto"/>
        <w:right w:val="none" w:sz="0" w:space="0" w:color="auto"/>
      </w:divBdr>
    </w:div>
    <w:div w:id="934821257">
      <w:bodyDiv w:val="1"/>
      <w:marLeft w:val="0"/>
      <w:marRight w:val="0"/>
      <w:marTop w:val="0"/>
      <w:marBottom w:val="0"/>
      <w:divBdr>
        <w:top w:val="none" w:sz="0" w:space="0" w:color="auto"/>
        <w:left w:val="none" w:sz="0" w:space="0" w:color="auto"/>
        <w:bottom w:val="none" w:sz="0" w:space="0" w:color="auto"/>
        <w:right w:val="none" w:sz="0" w:space="0" w:color="auto"/>
      </w:divBdr>
    </w:div>
    <w:div w:id="994334982">
      <w:bodyDiv w:val="1"/>
      <w:marLeft w:val="0"/>
      <w:marRight w:val="0"/>
      <w:marTop w:val="0"/>
      <w:marBottom w:val="0"/>
      <w:divBdr>
        <w:top w:val="none" w:sz="0" w:space="0" w:color="auto"/>
        <w:left w:val="none" w:sz="0" w:space="0" w:color="auto"/>
        <w:bottom w:val="none" w:sz="0" w:space="0" w:color="auto"/>
        <w:right w:val="none" w:sz="0" w:space="0" w:color="auto"/>
      </w:divBdr>
      <w:divsChild>
        <w:div w:id="1241790906">
          <w:marLeft w:val="0"/>
          <w:marRight w:val="0"/>
          <w:marTop w:val="0"/>
          <w:marBottom w:val="0"/>
          <w:divBdr>
            <w:top w:val="none" w:sz="0" w:space="0" w:color="auto"/>
            <w:left w:val="none" w:sz="0" w:space="0" w:color="auto"/>
            <w:bottom w:val="none" w:sz="0" w:space="0" w:color="auto"/>
            <w:right w:val="none" w:sz="0" w:space="0" w:color="auto"/>
          </w:divBdr>
          <w:divsChild>
            <w:div w:id="1121605707">
              <w:marLeft w:val="0"/>
              <w:marRight w:val="0"/>
              <w:marTop w:val="0"/>
              <w:marBottom w:val="0"/>
              <w:divBdr>
                <w:top w:val="none" w:sz="0" w:space="0" w:color="auto"/>
                <w:left w:val="none" w:sz="0" w:space="0" w:color="auto"/>
                <w:bottom w:val="none" w:sz="0" w:space="0" w:color="auto"/>
                <w:right w:val="none" w:sz="0" w:space="0" w:color="auto"/>
              </w:divBdr>
              <w:divsChild>
                <w:div w:id="957878602">
                  <w:marLeft w:val="0"/>
                  <w:marRight w:val="0"/>
                  <w:marTop w:val="0"/>
                  <w:marBottom w:val="0"/>
                  <w:divBdr>
                    <w:top w:val="none" w:sz="0" w:space="0" w:color="auto"/>
                    <w:left w:val="none" w:sz="0" w:space="0" w:color="auto"/>
                    <w:bottom w:val="none" w:sz="0" w:space="0" w:color="auto"/>
                    <w:right w:val="none" w:sz="0" w:space="0" w:color="auto"/>
                  </w:divBdr>
                  <w:divsChild>
                    <w:div w:id="351078529">
                      <w:marLeft w:val="0"/>
                      <w:marRight w:val="0"/>
                      <w:marTop w:val="0"/>
                      <w:marBottom w:val="0"/>
                      <w:divBdr>
                        <w:top w:val="none" w:sz="0" w:space="0" w:color="auto"/>
                        <w:left w:val="none" w:sz="0" w:space="0" w:color="auto"/>
                        <w:bottom w:val="none" w:sz="0" w:space="0" w:color="auto"/>
                        <w:right w:val="none" w:sz="0" w:space="0" w:color="auto"/>
                      </w:divBdr>
                      <w:divsChild>
                        <w:div w:id="617836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0811171">
      <w:bodyDiv w:val="1"/>
      <w:marLeft w:val="0"/>
      <w:marRight w:val="0"/>
      <w:marTop w:val="0"/>
      <w:marBottom w:val="0"/>
      <w:divBdr>
        <w:top w:val="none" w:sz="0" w:space="0" w:color="auto"/>
        <w:left w:val="none" w:sz="0" w:space="0" w:color="auto"/>
        <w:bottom w:val="none" w:sz="0" w:space="0" w:color="auto"/>
        <w:right w:val="none" w:sz="0" w:space="0" w:color="auto"/>
      </w:divBdr>
      <w:divsChild>
        <w:div w:id="1932276848">
          <w:marLeft w:val="0"/>
          <w:marRight w:val="0"/>
          <w:marTop w:val="0"/>
          <w:marBottom w:val="0"/>
          <w:divBdr>
            <w:top w:val="none" w:sz="0" w:space="0" w:color="auto"/>
            <w:left w:val="none" w:sz="0" w:space="0" w:color="auto"/>
            <w:bottom w:val="none" w:sz="0" w:space="0" w:color="auto"/>
            <w:right w:val="none" w:sz="0" w:space="0" w:color="auto"/>
          </w:divBdr>
          <w:divsChild>
            <w:div w:id="610552823">
              <w:marLeft w:val="0"/>
              <w:marRight w:val="0"/>
              <w:marTop w:val="0"/>
              <w:marBottom w:val="0"/>
              <w:divBdr>
                <w:top w:val="none" w:sz="0" w:space="0" w:color="auto"/>
                <w:left w:val="none" w:sz="0" w:space="0" w:color="auto"/>
                <w:bottom w:val="none" w:sz="0" w:space="0" w:color="auto"/>
                <w:right w:val="none" w:sz="0" w:space="0" w:color="auto"/>
              </w:divBdr>
              <w:divsChild>
                <w:div w:id="889655758">
                  <w:marLeft w:val="0"/>
                  <w:marRight w:val="0"/>
                  <w:marTop w:val="0"/>
                  <w:marBottom w:val="0"/>
                  <w:divBdr>
                    <w:top w:val="none" w:sz="0" w:space="0" w:color="auto"/>
                    <w:left w:val="none" w:sz="0" w:space="0" w:color="auto"/>
                    <w:bottom w:val="none" w:sz="0" w:space="0" w:color="auto"/>
                    <w:right w:val="none" w:sz="0" w:space="0" w:color="auto"/>
                  </w:divBdr>
                  <w:divsChild>
                    <w:div w:id="1812138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5249757">
      <w:bodyDiv w:val="1"/>
      <w:marLeft w:val="0"/>
      <w:marRight w:val="0"/>
      <w:marTop w:val="0"/>
      <w:marBottom w:val="0"/>
      <w:divBdr>
        <w:top w:val="none" w:sz="0" w:space="0" w:color="auto"/>
        <w:left w:val="none" w:sz="0" w:space="0" w:color="auto"/>
        <w:bottom w:val="none" w:sz="0" w:space="0" w:color="auto"/>
        <w:right w:val="none" w:sz="0" w:space="0" w:color="auto"/>
      </w:divBdr>
      <w:divsChild>
        <w:div w:id="319577733">
          <w:marLeft w:val="0"/>
          <w:marRight w:val="0"/>
          <w:marTop w:val="0"/>
          <w:marBottom w:val="0"/>
          <w:divBdr>
            <w:top w:val="none" w:sz="0" w:space="0" w:color="auto"/>
            <w:left w:val="none" w:sz="0" w:space="0" w:color="auto"/>
            <w:bottom w:val="none" w:sz="0" w:space="0" w:color="auto"/>
            <w:right w:val="none" w:sz="0" w:space="0" w:color="auto"/>
          </w:divBdr>
          <w:divsChild>
            <w:div w:id="364915739">
              <w:marLeft w:val="0"/>
              <w:marRight w:val="0"/>
              <w:marTop w:val="0"/>
              <w:marBottom w:val="0"/>
              <w:divBdr>
                <w:top w:val="none" w:sz="0" w:space="0" w:color="auto"/>
                <w:left w:val="none" w:sz="0" w:space="0" w:color="auto"/>
                <w:bottom w:val="none" w:sz="0" w:space="0" w:color="auto"/>
                <w:right w:val="none" w:sz="0" w:space="0" w:color="auto"/>
              </w:divBdr>
              <w:divsChild>
                <w:div w:id="619535177">
                  <w:marLeft w:val="0"/>
                  <w:marRight w:val="0"/>
                  <w:marTop w:val="0"/>
                  <w:marBottom w:val="0"/>
                  <w:divBdr>
                    <w:top w:val="none" w:sz="0" w:space="0" w:color="auto"/>
                    <w:left w:val="none" w:sz="0" w:space="0" w:color="auto"/>
                    <w:bottom w:val="none" w:sz="0" w:space="0" w:color="auto"/>
                    <w:right w:val="none" w:sz="0" w:space="0" w:color="auto"/>
                  </w:divBdr>
                  <w:divsChild>
                    <w:div w:id="666783547">
                      <w:marLeft w:val="0"/>
                      <w:marRight w:val="0"/>
                      <w:marTop w:val="0"/>
                      <w:marBottom w:val="0"/>
                      <w:divBdr>
                        <w:top w:val="none" w:sz="0" w:space="0" w:color="auto"/>
                        <w:left w:val="none" w:sz="0" w:space="0" w:color="auto"/>
                        <w:bottom w:val="none" w:sz="0" w:space="0" w:color="auto"/>
                        <w:right w:val="none" w:sz="0" w:space="0" w:color="auto"/>
                      </w:divBdr>
                      <w:divsChild>
                        <w:div w:id="767771116">
                          <w:marLeft w:val="0"/>
                          <w:marRight w:val="0"/>
                          <w:marTop w:val="0"/>
                          <w:marBottom w:val="0"/>
                          <w:divBdr>
                            <w:top w:val="none" w:sz="0" w:space="0" w:color="auto"/>
                            <w:left w:val="none" w:sz="0" w:space="0" w:color="auto"/>
                            <w:bottom w:val="none" w:sz="0" w:space="0" w:color="auto"/>
                            <w:right w:val="none" w:sz="0" w:space="0" w:color="auto"/>
                          </w:divBdr>
                          <w:divsChild>
                            <w:div w:id="1823540863">
                              <w:marLeft w:val="0"/>
                              <w:marRight w:val="0"/>
                              <w:marTop w:val="0"/>
                              <w:marBottom w:val="0"/>
                              <w:divBdr>
                                <w:top w:val="none" w:sz="0" w:space="0" w:color="auto"/>
                                <w:left w:val="none" w:sz="0" w:space="0" w:color="auto"/>
                                <w:bottom w:val="none" w:sz="0" w:space="0" w:color="auto"/>
                                <w:right w:val="none" w:sz="0" w:space="0" w:color="auto"/>
                              </w:divBdr>
                              <w:divsChild>
                                <w:div w:id="60980913">
                                  <w:marLeft w:val="0"/>
                                  <w:marRight w:val="0"/>
                                  <w:marTop w:val="0"/>
                                  <w:marBottom w:val="0"/>
                                  <w:divBdr>
                                    <w:top w:val="none" w:sz="0" w:space="0" w:color="auto"/>
                                    <w:left w:val="none" w:sz="0" w:space="0" w:color="auto"/>
                                    <w:bottom w:val="none" w:sz="0" w:space="0" w:color="auto"/>
                                    <w:right w:val="none" w:sz="0" w:space="0" w:color="auto"/>
                                  </w:divBdr>
                                  <w:divsChild>
                                    <w:div w:id="987127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19177377">
      <w:bodyDiv w:val="1"/>
      <w:marLeft w:val="0"/>
      <w:marRight w:val="0"/>
      <w:marTop w:val="0"/>
      <w:marBottom w:val="0"/>
      <w:divBdr>
        <w:top w:val="none" w:sz="0" w:space="0" w:color="auto"/>
        <w:left w:val="none" w:sz="0" w:space="0" w:color="auto"/>
        <w:bottom w:val="none" w:sz="0" w:space="0" w:color="auto"/>
        <w:right w:val="none" w:sz="0" w:space="0" w:color="auto"/>
      </w:divBdr>
      <w:divsChild>
        <w:div w:id="533732155">
          <w:marLeft w:val="0"/>
          <w:marRight w:val="0"/>
          <w:marTop w:val="0"/>
          <w:marBottom w:val="0"/>
          <w:divBdr>
            <w:top w:val="none" w:sz="0" w:space="0" w:color="auto"/>
            <w:left w:val="none" w:sz="0" w:space="0" w:color="auto"/>
            <w:bottom w:val="none" w:sz="0" w:space="0" w:color="auto"/>
            <w:right w:val="none" w:sz="0" w:space="0" w:color="auto"/>
          </w:divBdr>
          <w:divsChild>
            <w:div w:id="574127013">
              <w:marLeft w:val="0"/>
              <w:marRight w:val="0"/>
              <w:marTop w:val="0"/>
              <w:marBottom w:val="0"/>
              <w:divBdr>
                <w:top w:val="none" w:sz="0" w:space="0" w:color="auto"/>
                <w:left w:val="none" w:sz="0" w:space="0" w:color="auto"/>
                <w:bottom w:val="none" w:sz="0" w:space="0" w:color="auto"/>
                <w:right w:val="none" w:sz="0" w:space="0" w:color="auto"/>
              </w:divBdr>
              <w:divsChild>
                <w:div w:id="212621612">
                  <w:marLeft w:val="0"/>
                  <w:marRight w:val="0"/>
                  <w:marTop w:val="0"/>
                  <w:marBottom w:val="0"/>
                  <w:divBdr>
                    <w:top w:val="none" w:sz="0" w:space="0" w:color="auto"/>
                    <w:left w:val="none" w:sz="0" w:space="0" w:color="auto"/>
                    <w:bottom w:val="none" w:sz="0" w:space="0" w:color="auto"/>
                    <w:right w:val="none" w:sz="0" w:space="0" w:color="auto"/>
                  </w:divBdr>
                  <w:divsChild>
                    <w:div w:id="1011300016">
                      <w:marLeft w:val="0"/>
                      <w:marRight w:val="0"/>
                      <w:marTop w:val="0"/>
                      <w:marBottom w:val="0"/>
                      <w:divBdr>
                        <w:top w:val="none" w:sz="0" w:space="0" w:color="auto"/>
                        <w:left w:val="none" w:sz="0" w:space="0" w:color="auto"/>
                        <w:bottom w:val="none" w:sz="0" w:space="0" w:color="auto"/>
                        <w:right w:val="none" w:sz="0" w:space="0" w:color="auto"/>
                      </w:divBdr>
                      <w:divsChild>
                        <w:div w:id="55980601">
                          <w:marLeft w:val="0"/>
                          <w:marRight w:val="0"/>
                          <w:marTop w:val="0"/>
                          <w:marBottom w:val="0"/>
                          <w:divBdr>
                            <w:top w:val="none" w:sz="0" w:space="0" w:color="auto"/>
                            <w:left w:val="none" w:sz="0" w:space="0" w:color="auto"/>
                            <w:bottom w:val="none" w:sz="0" w:space="0" w:color="auto"/>
                            <w:right w:val="none" w:sz="0" w:space="0" w:color="auto"/>
                          </w:divBdr>
                          <w:divsChild>
                            <w:div w:id="1618096268">
                              <w:marLeft w:val="0"/>
                              <w:marRight w:val="0"/>
                              <w:marTop w:val="0"/>
                              <w:marBottom w:val="0"/>
                              <w:divBdr>
                                <w:top w:val="none" w:sz="0" w:space="0" w:color="auto"/>
                                <w:left w:val="none" w:sz="0" w:space="0" w:color="auto"/>
                                <w:bottom w:val="none" w:sz="0" w:space="0" w:color="auto"/>
                                <w:right w:val="none" w:sz="0" w:space="0" w:color="auto"/>
                              </w:divBdr>
                              <w:divsChild>
                                <w:div w:id="523976621">
                                  <w:marLeft w:val="0"/>
                                  <w:marRight w:val="0"/>
                                  <w:marTop w:val="0"/>
                                  <w:marBottom w:val="0"/>
                                  <w:divBdr>
                                    <w:top w:val="none" w:sz="0" w:space="0" w:color="auto"/>
                                    <w:left w:val="none" w:sz="0" w:space="0" w:color="auto"/>
                                    <w:bottom w:val="none" w:sz="0" w:space="0" w:color="auto"/>
                                    <w:right w:val="none" w:sz="0" w:space="0" w:color="auto"/>
                                  </w:divBdr>
                                  <w:divsChild>
                                    <w:div w:id="2069108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87476169">
      <w:bodyDiv w:val="1"/>
      <w:marLeft w:val="0"/>
      <w:marRight w:val="0"/>
      <w:marTop w:val="0"/>
      <w:marBottom w:val="0"/>
      <w:divBdr>
        <w:top w:val="none" w:sz="0" w:space="0" w:color="auto"/>
        <w:left w:val="none" w:sz="0" w:space="0" w:color="auto"/>
        <w:bottom w:val="none" w:sz="0" w:space="0" w:color="auto"/>
        <w:right w:val="none" w:sz="0" w:space="0" w:color="auto"/>
      </w:divBdr>
      <w:divsChild>
        <w:div w:id="125857224">
          <w:marLeft w:val="0"/>
          <w:marRight w:val="0"/>
          <w:marTop w:val="0"/>
          <w:marBottom w:val="0"/>
          <w:divBdr>
            <w:top w:val="none" w:sz="0" w:space="0" w:color="auto"/>
            <w:left w:val="none" w:sz="0" w:space="0" w:color="auto"/>
            <w:bottom w:val="none" w:sz="0" w:space="0" w:color="auto"/>
            <w:right w:val="none" w:sz="0" w:space="0" w:color="auto"/>
          </w:divBdr>
          <w:divsChild>
            <w:div w:id="223882133">
              <w:marLeft w:val="0"/>
              <w:marRight w:val="0"/>
              <w:marTop w:val="180"/>
              <w:marBottom w:val="0"/>
              <w:divBdr>
                <w:top w:val="none" w:sz="0" w:space="0" w:color="auto"/>
                <w:left w:val="none" w:sz="0" w:space="0" w:color="auto"/>
                <w:bottom w:val="none" w:sz="0" w:space="0" w:color="auto"/>
                <w:right w:val="none" w:sz="0" w:space="0" w:color="auto"/>
              </w:divBdr>
              <w:divsChild>
                <w:div w:id="1745372198">
                  <w:marLeft w:val="0"/>
                  <w:marRight w:val="0"/>
                  <w:marTop w:val="0"/>
                  <w:marBottom w:val="0"/>
                  <w:divBdr>
                    <w:top w:val="none" w:sz="0" w:space="0" w:color="auto"/>
                    <w:left w:val="none" w:sz="0" w:space="0" w:color="auto"/>
                    <w:bottom w:val="none" w:sz="0" w:space="0" w:color="auto"/>
                    <w:right w:val="none" w:sz="0" w:space="0" w:color="auto"/>
                  </w:divBdr>
                  <w:divsChild>
                    <w:div w:id="1480808687">
                      <w:marLeft w:val="3225"/>
                      <w:marRight w:val="3075"/>
                      <w:marTop w:val="0"/>
                      <w:marBottom w:val="0"/>
                      <w:divBdr>
                        <w:top w:val="none" w:sz="0" w:space="0" w:color="auto"/>
                        <w:left w:val="none" w:sz="0" w:space="0" w:color="auto"/>
                        <w:bottom w:val="none" w:sz="0" w:space="0" w:color="auto"/>
                        <w:right w:val="none" w:sz="0" w:space="0" w:color="auto"/>
                      </w:divBdr>
                      <w:divsChild>
                        <w:div w:id="1564027943">
                          <w:marLeft w:val="0"/>
                          <w:marRight w:val="0"/>
                          <w:marTop w:val="0"/>
                          <w:marBottom w:val="0"/>
                          <w:divBdr>
                            <w:top w:val="none" w:sz="0" w:space="0" w:color="auto"/>
                            <w:left w:val="none" w:sz="0" w:space="0" w:color="auto"/>
                            <w:bottom w:val="none" w:sz="0" w:space="0" w:color="auto"/>
                            <w:right w:val="none" w:sz="0" w:space="0" w:color="auto"/>
                          </w:divBdr>
                          <w:divsChild>
                            <w:div w:id="823280063">
                              <w:marLeft w:val="0"/>
                              <w:marRight w:val="0"/>
                              <w:marTop w:val="0"/>
                              <w:marBottom w:val="0"/>
                              <w:divBdr>
                                <w:top w:val="none" w:sz="0" w:space="0" w:color="auto"/>
                                <w:left w:val="none" w:sz="0" w:space="0" w:color="auto"/>
                                <w:bottom w:val="none" w:sz="0" w:space="0" w:color="auto"/>
                                <w:right w:val="none" w:sz="0" w:space="0" w:color="auto"/>
                              </w:divBdr>
                              <w:divsChild>
                                <w:div w:id="1885560583">
                                  <w:marLeft w:val="0"/>
                                  <w:marRight w:val="0"/>
                                  <w:marTop w:val="0"/>
                                  <w:marBottom w:val="0"/>
                                  <w:divBdr>
                                    <w:top w:val="none" w:sz="0" w:space="0" w:color="auto"/>
                                    <w:left w:val="none" w:sz="0" w:space="0" w:color="auto"/>
                                    <w:bottom w:val="none" w:sz="0" w:space="0" w:color="auto"/>
                                    <w:right w:val="none" w:sz="0" w:space="0" w:color="auto"/>
                                  </w:divBdr>
                                  <w:divsChild>
                                    <w:div w:id="403916020">
                                      <w:marLeft w:val="0"/>
                                      <w:marRight w:val="0"/>
                                      <w:marTop w:val="0"/>
                                      <w:marBottom w:val="0"/>
                                      <w:divBdr>
                                        <w:top w:val="none" w:sz="0" w:space="0" w:color="auto"/>
                                        <w:left w:val="none" w:sz="0" w:space="0" w:color="auto"/>
                                        <w:bottom w:val="none" w:sz="0" w:space="0" w:color="auto"/>
                                        <w:right w:val="none" w:sz="0" w:space="0" w:color="auto"/>
                                      </w:divBdr>
                                      <w:divsChild>
                                        <w:div w:id="2037652289">
                                          <w:marLeft w:val="0"/>
                                          <w:marRight w:val="0"/>
                                          <w:marTop w:val="0"/>
                                          <w:marBottom w:val="0"/>
                                          <w:divBdr>
                                            <w:top w:val="none" w:sz="0" w:space="0" w:color="auto"/>
                                            <w:left w:val="none" w:sz="0" w:space="0" w:color="auto"/>
                                            <w:bottom w:val="none" w:sz="0" w:space="0" w:color="auto"/>
                                            <w:right w:val="none" w:sz="0" w:space="0" w:color="auto"/>
                                          </w:divBdr>
                                          <w:divsChild>
                                            <w:div w:id="1237781541">
                                              <w:marLeft w:val="0"/>
                                              <w:marRight w:val="0"/>
                                              <w:marTop w:val="0"/>
                                              <w:marBottom w:val="0"/>
                                              <w:divBdr>
                                                <w:top w:val="none" w:sz="0" w:space="0" w:color="auto"/>
                                                <w:left w:val="none" w:sz="0" w:space="0" w:color="auto"/>
                                                <w:bottom w:val="none" w:sz="0" w:space="0" w:color="auto"/>
                                                <w:right w:val="none" w:sz="0" w:space="0" w:color="auto"/>
                                              </w:divBdr>
                                              <w:divsChild>
                                                <w:div w:id="1781871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95658431">
      <w:bodyDiv w:val="1"/>
      <w:marLeft w:val="0"/>
      <w:marRight w:val="0"/>
      <w:marTop w:val="0"/>
      <w:marBottom w:val="0"/>
      <w:divBdr>
        <w:top w:val="none" w:sz="0" w:space="0" w:color="auto"/>
        <w:left w:val="none" w:sz="0" w:space="0" w:color="auto"/>
        <w:bottom w:val="none" w:sz="0" w:space="0" w:color="auto"/>
        <w:right w:val="none" w:sz="0" w:space="0" w:color="auto"/>
      </w:divBdr>
    </w:div>
    <w:div w:id="1231577573">
      <w:bodyDiv w:val="1"/>
      <w:marLeft w:val="0"/>
      <w:marRight w:val="0"/>
      <w:marTop w:val="0"/>
      <w:marBottom w:val="0"/>
      <w:divBdr>
        <w:top w:val="none" w:sz="0" w:space="0" w:color="auto"/>
        <w:left w:val="none" w:sz="0" w:space="0" w:color="auto"/>
        <w:bottom w:val="none" w:sz="0" w:space="0" w:color="auto"/>
        <w:right w:val="none" w:sz="0" w:space="0" w:color="auto"/>
      </w:divBdr>
    </w:div>
    <w:div w:id="1461410944">
      <w:bodyDiv w:val="1"/>
      <w:marLeft w:val="0"/>
      <w:marRight w:val="0"/>
      <w:marTop w:val="0"/>
      <w:marBottom w:val="0"/>
      <w:divBdr>
        <w:top w:val="none" w:sz="0" w:space="0" w:color="auto"/>
        <w:left w:val="none" w:sz="0" w:space="0" w:color="auto"/>
        <w:bottom w:val="none" w:sz="0" w:space="0" w:color="auto"/>
        <w:right w:val="none" w:sz="0" w:space="0" w:color="auto"/>
      </w:divBdr>
    </w:div>
    <w:div w:id="1465081323">
      <w:bodyDiv w:val="1"/>
      <w:marLeft w:val="0"/>
      <w:marRight w:val="0"/>
      <w:marTop w:val="0"/>
      <w:marBottom w:val="0"/>
      <w:divBdr>
        <w:top w:val="none" w:sz="0" w:space="0" w:color="auto"/>
        <w:left w:val="none" w:sz="0" w:space="0" w:color="auto"/>
        <w:bottom w:val="none" w:sz="0" w:space="0" w:color="auto"/>
        <w:right w:val="none" w:sz="0" w:space="0" w:color="auto"/>
      </w:divBdr>
      <w:divsChild>
        <w:div w:id="1745182035">
          <w:marLeft w:val="0"/>
          <w:marRight w:val="0"/>
          <w:marTop w:val="0"/>
          <w:marBottom w:val="0"/>
          <w:divBdr>
            <w:top w:val="none" w:sz="0" w:space="0" w:color="auto"/>
            <w:left w:val="none" w:sz="0" w:space="0" w:color="auto"/>
            <w:bottom w:val="none" w:sz="0" w:space="0" w:color="auto"/>
            <w:right w:val="none" w:sz="0" w:space="0" w:color="auto"/>
          </w:divBdr>
          <w:divsChild>
            <w:div w:id="1789540372">
              <w:marLeft w:val="3000"/>
              <w:marRight w:val="0"/>
              <w:marTop w:val="0"/>
              <w:marBottom w:val="0"/>
              <w:divBdr>
                <w:top w:val="none" w:sz="0" w:space="0" w:color="auto"/>
                <w:left w:val="none" w:sz="0" w:space="0" w:color="auto"/>
                <w:bottom w:val="none" w:sz="0" w:space="0" w:color="auto"/>
                <w:right w:val="none" w:sz="0" w:space="0" w:color="auto"/>
              </w:divBdr>
              <w:divsChild>
                <w:div w:id="1509717153">
                  <w:marLeft w:val="0"/>
                  <w:marRight w:val="0"/>
                  <w:marTop w:val="0"/>
                  <w:marBottom w:val="0"/>
                  <w:divBdr>
                    <w:top w:val="none" w:sz="0" w:space="0" w:color="auto"/>
                    <w:left w:val="none" w:sz="0" w:space="0" w:color="auto"/>
                    <w:bottom w:val="none" w:sz="0" w:space="0" w:color="auto"/>
                    <w:right w:val="none" w:sz="0" w:space="0" w:color="auto"/>
                  </w:divBdr>
                  <w:divsChild>
                    <w:div w:id="2022968924">
                      <w:marLeft w:val="0"/>
                      <w:marRight w:val="0"/>
                      <w:marTop w:val="0"/>
                      <w:marBottom w:val="0"/>
                      <w:divBdr>
                        <w:top w:val="none" w:sz="0" w:space="0" w:color="auto"/>
                        <w:left w:val="none" w:sz="0" w:space="0" w:color="auto"/>
                        <w:bottom w:val="none" w:sz="0" w:space="0" w:color="auto"/>
                        <w:right w:val="none" w:sz="0" w:space="0" w:color="auto"/>
                      </w:divBdr>
                      <w:divsChild>
                        <w:div w:id="1122310432">
                          <w:marLeft w:val="0"/>
                          <w:marRight w:val="0"/>
                          <w:marTop w:val="0"/>
                          <w:marBottom w:val="0"/>
                          <w:divBdr>
                            <w:top w:val="none" w:sz="0" w:space="0" w:color="auto"/>
                            <w:left w:val="none" w:sz="0" w:space="0" w:color="auto"/>
                            <w:bottom w:val="none" w:sz="0" w:space="0" w:color="auto"/>
                            <w:right w:val="none" w:sz="0" w:space="0" w:color="auto"/>
                          </w:divBdr>
                          <w:divsChild>
                            <w:div w:id="95849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6852464">
      <w:bodyDiv w:val="1"/>
      <w:marLeft w:val="0"/>
      <w:marRight w:val="0"/>
      <w:marTop w:val="0"/>
      <w:marBottom w:val="0"/>
      <w:divBdr>
        <w:top w:val="none" w:sz="0" w:space="0" w:color="auto"/>
        <w:left w:val="none" w:sz="0" w:space="0" w:color="auto"/>
        <w:bottom w:val="none" w:sz="0" w:space="0" w:color="auto"/>
        <w:right w:val="none" w:sz="0" w:space="0" w:color="auto"/>
      </w:divBdr>
      <w:divsChild>
        <w:div w:id="1621959518">
          <w:marLeft w:val="0"/>
          <w:marRight w:val="0"/>
          <w:marTop w:val="0"/>
          <w:marBottom w:val="0"/>
          <w:divBdr>
            <w:top w:val="none" w:sz="0" w:space="0" w:color="auto"/>
            <w:left w:val="none" w:sz="0" w:space="0" w:color="auto"/>
            <w:bottom w:val="none" w:sz="0" w:space="0" w:color="auto"/>
            <w:right w:val="none" w:sz="0" w:space="0" w:color="auto"/>
          </w:divBdr>
          <w:divsChild>
            <w:div w:id="2115594970">
              <w:marLeft w:val="0"/>
              <w:marRight w:val="0"/>
              <w:marTop w:val="180"/>
              <w:marBottom w:val="0"/>
              <w:divBdr>
                <w:top w:val="none" w:sz="0" w:space="0" w:color="auto"/>
                <w:left w:val="none" w:sz="0" w:space="0" w:color="auto"/>
                <w:bottom w:val="none" w:sz="0" w:space="0" w:color="auto"/>
                <w:right w:val="none" w:sz="0" w:space="0" w:color="auto"/>
              </w:divBdr>
              <w:divsChild>
                <w:div w:id="1913853079">
                  <w:marLeft w:val="0"/>
                  <w:marRight w:val="0"/>
                  <w:marTop w:val="0"/>
                  <w:marBottom w:val="0"/>
                  <w:divBdr>
                    <w:top w:val="none" w:sz="0" w:space="0" w:color="auto"/>
                    <w:left w:val="none" w:sz="0" w:space="0" w:color="auto"/>
                    <w:bottom w:val="none" w:sz="0" w:space="0" w:color="auto"/>
                    <w:right w:val="none" w:sz="0" w:space="0" w:color="auto"/>
                  </w:divBdr>
                  <w:divsChild>
                    <w:div w:id="1751344014">
                      <w:marLeft w:val="3225"/>
                      <w:marRight w:val="3075"/>
                      <w:marTop w:val="0"/>
                      <w:marBottom w:val="0"/>
                      <w:divBdr>
                        <w:top w:val="none" w:sz="0" w:space="0" w:color="auto"/>
                        <w:left w:val="none" w:sz="0" w:space="0" w:color="auto"/>
                        <w:bottom w:val="none" w:sz="0" w:space="0" w:color="auto"/>
                        <w:right w:val="none" w:sz="0" w:space="0" w:color="auto"/>
                      </w:divBdr>
                      <w:divsChild>
                        <w:div w:id="805204092">
                          <w:marLeft w:val="0"/>
                          <w:marRight w:val="0"/>
                          <w:marTop w:val="0"/>
                          <w:marBottom w:val="0"/>
                          <w:divBdr>
                            <w:top w:val="none" w:sz="0" w:space="0" w:color="auto"/>
                            <w:left w:val="none" w:sz="0" w:space="0" w:color="auto"/>
                            <w:bottom w:val="none" w:sz="0" w:space="0" w:color="auto"/>
                            <w:right w:val="none" w:sz="0" w:space="0" w:color="auto"/>
                          </w:divBdr>
                          <w:divsChild>
                            <w:div w:id="983195299">
                              <w:marLeft w:val="0"/>
                              <w:marRight w:val="0"/>
                              <w:marTop w:val="0"/>
                              <w:marBottom w:val="0"/>
                              <w:divBdr>
                                <w:top w:val="none" w:sz="0" w:space="0" w:color="auto"/>
                                <w:left w:val="none" w:sz="0" w:space="0" w:color="auto"/>
                                <w:bottom w:val="none" w:sz="0" w:space="0" w:color="auto"/>
                                <w:right w:val="none" w:sz="0" w:space="0" w:color="auto"/>
                              </w:divBdr>
                              <w:divsChild>
                                <w:div w:id="1916553896">
                                  <w:marLeft w:val="0"/>
                                  <w:marRight w:val="0"/>
                                  <w:marTop w:val="0"/>
                                  <w:marBottom w:val="0"/>
                                  <w:divBdr>
                                    <w:top w:val="none" w:sz="0" w:space="0" w:color="auto"/>
                                    <w:left w:val="none" w:sz="0" w:space="0" w:color="auto"/>
                                    <w:bottom w:val="none" w:sz="0" w:space="0" w:color="auto"/>
                                    <w:right w:val="none" w:sz="0" w:space="0" w:color="auto"/>
                                  </w:divBdr>
                                  <w:divsChild>
                                    <w:div w:id="1614167931">
                                      <w:marLeft w:val="0"/>
                                      <w:marRight w:val="0"/>
                                      <w:marTop w:val="0"/>
                                      <w:marBottom w:val="0"/>
                                      <w:divBdr>
                                        <w:top w:val="none" w:sz="0" w:space="0" w:color="auto"/>
                                        <w:left w:val="none" w:sz="0" w:space="0" w:color="auto"/>
                                        <w:bottom w:val="none" w:sz="0" w:space="0" w:color="auto"/>
                                        <w:right w:val="none" w:sz="0" w:space="0" w:color="auto"/>
                                      </w:divBdr>
                                      <w:divsChild>
                                        <w:div w:id="2006861594">
                                          <w:marLeft w:val="0"/>
                                          <w:marRight w:val="0"/>
                                          <w:marTop w:val="0"/>
                                          <w:marBottom w:val="0"/>
                                          <w:divBdr>
                                            <w:top w:val="none" w:sz="0" w:space="0" w:color="auto"/>
                                            <w:left w:val="none" w:sz="0" w:space="0" w:color="auto"/>
                                            <w:bottom w:val="none" w:sz="0" w:space="0" w:color="auto"/>
                                            <w:right w:val="none" w:sz="0" w:space="0" w:color="auto"/>
                                          </w:divBdr>
                                          <w:divsChild>
                                            <w:div w:id="1438796785">
                                              <w:marLeft w:val="0"/>
                                              <w:marRight w:val="0"/>
                                              <w:marTop w:val="0"/>
                                              <w:marBottom w:val="0"/>
                                              <w:divBdr>
                                                <w:top w:val="none" w:sz="0" w:space="0" w:color="auto"/>
                                                <w:left w:val="none" w:sz="0" w:space="0" w:color="auto"/>
                                                <w:bottom w:val="none" w:sz="0" w:space="0" w:color="auto"/>
                                                <w:right w:val="none" w:sz="0" w:space="0" w:color="auto"/>
                                              </w:divBdr>
                                              <w:divsChild>
                                                <w:div w:id="685407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88783094">
      <w:bodyDiv w:val="1"/>
      <w:marLeft w:val="0"/>
      <w:marRight w:val="0"/>
      <w:marTop w:val="0"/>
      <w:marBottom w:val="0"/>
      <w:divBdr>
        <w:top w:val="none" w:sz="0" w:space="0" w:color="auto"/>
        <w:left w:val="none" w:sz="0" w:space="0" w:color="auto"/>
        <w:bottom w:val="none" w:sz="0" w:space="0" w:color="auto"/>
        <w:right w:val="none" w:sz="0" w:space="0" w:color="auto"/>
      </w:divBdr>
    </w:div>
    <w:div w:id="1548681814">
      <w:bodyDiv w:val="1"/>
      <w:marLeft w:val="0"/>
      <w:marRight w:val="0"/>
      <w:marTop w:val="0"/>
      <w:marBottom w:val="0"/>
      <w:divBdr>
        <w:top w:val="none" w:sz="0" w:space="0" w:color="auto"/>
        <w:left w:val="none" w:sz="0" w:space="0" w:color="auto"/>
        <w:bottom w:val="none" w:sz="0" w:space="0" w:color="auto"/>
        <w:right w:val="none" w:sz="0" w:space="0" w:color="auto"/>
      </w:divBdr>
    </w:div>
    <w:div w:id="1581259453">
      <w:bodyDiv w:val="1"/>
      <w:marLeft w:val="0"/>
      <w:marRight w:val="0"/>
      <w:marTop w:val="0"/>
      <w:marBottom w:val="0"/>
      <w:divBdr>
        <w:top w:val="none" w:sz="0" w:space="0" w:color="auto"/>
        <w:left w:val="none" w:sz="0" w:space="0" w:color="auto"/>
        <w:bottom w:val="none" w:sz="0" w:space="0" w:color="auto"/>
        <w:right w:val="none" w:sz="0" w:space="0" w:color="auto"/>
      </w:divBdr>
    </w:div>
    <w:div w:id="1607234155">
      <w:bodyDiv w:val="1"/>
      <w:marLeft w:val="0"/>
      <w:marRight w:val="0"/>
      <w:marTop w:val="0"/>
      <w:marBottom w:val="0"/>
      <w:divBdr>
        <w:top w:val="none" w:sz="0" w:space="0" w:color="auto"/>
        <w:left w:val="none" w:sz="0" w:space="0" w:color="auto"/>
        <w:bottom w:val="none" w:sz="0" w:space="0" w:color="auto"/>
        <w:right w:val="none" w:sz="0" w:space="0" w:color="auto"/>
      </w:divBdr>
    </w:div>
    <w:div w:id="1632244373">
      <w:bodyDiv w:val="1"/>
      <w:marLeft w:val="0"/>
      <w:marRight w:val="0"/>
      <w:marTop w:val="0"/>
      <w:marBottom w:val="0"/>
      <w:divBdr>
        <w:top w:val="none" w:sz="0" w:space="0" w:color="auto"/>
        <w:left w:val="none" w:sz="0" w:space="0" w:color="auto"/>
        <w:bottom w:val="none" w:sz="0" w:space="0" w:color="auto"/>
        <w:right w:val="none" w:sz="0" w:space="0" w:color="auto"/>
      </w:divBdr>
    </w:div>
    <w:div w:id="1635331836">
      <w:bodyDiv w:val="1"/>
      <w:marLeft w:val="0"/>
      <w:marRight w:val="0"/>
      <w:marTop w:val="0"/>
      <w:marBottom w:val="0"/>
      <w:divBdr>
        <w:top w:val="none" w:sz="0" w:space="0" w:color="auto"/>
        <w:left w:val="none" w:sz="0" w:space="0" w:color="auto"/>
        <w:bottom w:val="none" w:sz="0" w:space="0" w:color="auto"/>
        <w:right w:val="none" w:sz="0" w:space="0" w:color="auto"/>
      </w:divBdr>
    </w:div>
    <w:div w:id="1656953012">
      <w:bodyDiv w:val="1"/>
      <w:marLeft w:val="0"/>
      <w:marRight w:val="0"/>
      <w:marTop w:val="0"/>
      <w:marBottom w:val="0"/>
      <w:divBdr>
        <w:top w:val="none" w:sz="0" w:space="0" w:color="auto"/>
        <w:left w:val="none" w:sz="0" w:space="0" w:color="auto"/>
        <w:bottom w:val="none" w:sz="0" w:space="0" w:color="auto"/>
        <w:right w:val="none" w:sz="0" w:space="0" w:color="auto"/>
      </w:divBdr>
    </w:div>
    <w:div w:id="1672752583">
      <w:bodyDiv w:val="1"/>
      <w:marLeft w:val="0"/>
      <w:marRight w:val="0"/>
      <w:marTop w:val="0"/>
      <w:marBottom w:val="0"/>
      <w:divBdr>
        <w:top w:val="none" w:sz="0" w:space="0" w:color="auto"/>
        <w:left w:val="none" w:sz="0" w:space="0" w:color="auto"/>
        <w:bottom w:val="none" w:sz="0" w:space="0" w:color="auto"/>
        <w:right w:val="none" w:sz="0" w:space="0" w:color="auto"/>
      </w:divBdr>
    </w:div>
    <w:div w:id="1677884367">
      <w:bodyDiv w:val="1"/>
      <w:marLeft w:val="0"/>
      <w:marRight w:val="0"/>
      <w:marTop w:val="0"/>
      <w:marBottom w:val="0"/>
      <w:divBdr>
        <w:top w:val="none" w:sz="0" w:space="0" w:color="auto"/>
        <w:left w:val="none" w:sz="0" w:space="0" w:color="auto"/>
        <w:bottom w:val="none" w:sz="0" w:space="0" w:color="auto"/>
        <w:right w:val="none" w:sz="0" w:space="0" w:color="auto"/>
      </w:divBdr>
    </w:div>
    <w:div w:id="1679846862">
      <w:bodyDiv w:val="1"/>
      <w:marLeft w:val="0"/>
      <w:marRight w:val="0"/>
      <w:marTop w:val="0"/>
      <w:marBottom w:val="0"/>
      <w:divBdr>
        <w:top w:val="none" w:sz="0" w:space="0" w:color="auto"/>
        <w:left w:val="none" w:sz="0" w:space="0" w:color="auto"/>
        <w:bottom w:val="none" w:sz="0" w:space="0" w:color="auto"/>
        <w:right w:val="none" w:sz="0" w:space="0" w:color="auto"/>
      </w:divBdr>
      <w:divsChild>
        <w:div w:id="781191932">
          <w:marLeft w:val="0"/>
          <w:marRight w:val="0"/>
          <w:marTop w:val="0"/>
          <w:marBottom w:val="0"/>
          <w:divBdr>
            <w:top w:val="none" w:sz="0" w:space="0" w:color="auto"/>
            <w:left w:val="none" w:sz="0" w:space="0" w:color="auto"/>
            <w:bottom w:val="none" w:sz="0" w:space="0" w:color="auto"/>
            <w:right w:val="none" w:sz="0" w:space="0" w:color="auto"/>
          </w:divBdr>
          <w:divsChild>
            <w:div w:id="865947595">
              <w:marLeft w:val="0"/>
              <w:marRight w:val="0"/>
              <w:marTop w:val="0"/>
              <w:marBottom w:val="0"/>
              <w:divBdr>
                <w:top w:val="none" w:sz="0" w:space="0" w:color="auto"/>
                <w:left w:val="none" w:sz="0" w:space="0" w:color="auto"/>
                <w:bottom w:val="none" w:sz="0" w:space="0" w:color="auto"/>
                <w:right w:val="none" w:sz="0" w:space="0" w:color="auto"/>
              </w:divBdr>
              <w:divsChild>
                <w:div w:id="818377527">
                  <w:marLeft w:val="0"/>
                  <w:marRight w:val="0"/>
                  <w:marTop w:val="0"/>
                  <w:marBottom w:val="0"/>
                  <w:divBdr>
                    <w:top w:val="none" w:sz="0" w:space="0" w:color="auto"/>
                    <w:left w:val="none" w:sz="0" w:space="0" w:color="auto"/>
                    <w:bottom w:val="none" w:sz="0" w:space="0" w:color="auto"/>
                    <w:right w:val="none" w:sz="0" w:space="0" w:color="auto"/>
                  </w:divBdr>
                  <w:divsChild>
                    <w:div w:id="777338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0909115">
      <w:bodyDiv w:val="1"/>
      <w:marLeft w:val="0"/>
      <w:marRight w:val="0"/>
      <w:marTop w:val="0"/>
      <w:marBottom w:val="0"/>
      <w:divBdr>
        <w:top w:val="none" w:sz="0" w:space="0" w:color="auto"/>
        <w:left w:val="none" w:sz="0" w:space="0" w:color="auto"/>
        <w:bottom w:val="none" w:sz="0" w:space="0" w:color="auto"/>
        <w:right w:val="none" w:sz="0" w:space="0" w:color="auto"/>
      </w:divBdr>
      <w:divsChild>
        <w:div w:id="225461028">
          <w:marLeft w:val="0"/>
          <w:marRight w:val="0"/>
          <w:marTop w:val="0"/>
          <w:marBottom w:val="0"/>
          <w:divBdr>
            <w:top w:val="none" w:sz="0" w:space="0" w:color="auto"/>
            <w:left w:val="none" w:sz="0" w:space="0" w:color="auto"/>
            <w:bottom w:val="none" w:sz="0" w:space="0" w:color="auto"/>
            <w:right w:val="none" w:sz="0" w:space="0" w:color="auto"/>
          </w:divBdr>
          <w:divsChild>
            <w:div w:id="1466392660">
              <w:marLeft w:val="0"/>
              <w:marRight w:val="0"/>
              <w:marTop w:val="180"/>
              <w:marBottom w:val="0"/>
              <w:divBdr>
                <w:top w:val="none" w:sz="0" w:space="0" w:color="auto"/>
                <w:left w:val="none" w:sz="0" w:space="0" w:color="auto"/>
                <w:bottom w:val="none" w:sz="0" w:space="0" w:color="auto"/>
                <w:right w:val="none" w:sz="0" w:space="0" w:color="auto"/>
              </w:divBdr>
              <w:divsChild>
                <w:div w:id="1714385970">
                  <w:marLeft w:val="0"/>
                  <w:marRight w:val="0"/>
                  <w:marTop w:val="0"/>
                  <w:marBottom w:val="0"/>
                  <w:divBdr>
                    <w:top w:val="none" w:sz="0" w:space="0" w:color="auto"/>
                    <w:left w:val="none" w:sz="0" w:space="0" w:color="auto"/>
                    <w:bottom w:val="none" w:sz="0" w:space="0" w:color="auto"/>
                    <w:right w:val="none" w:sz="0" w:space="0" w:color="auto"/>
                  </w:divBdr>
                  <w:divsChild>
                    <w:div w:id="546720089">
                      <w:marLeft w:val="0"/>
                      <w:marRight w:val="0"/>
                      <w:marTop w:val="0"/>
                      <w:marBottom w:val="0"/>
                      <w:divBdr>
                        <w:top w:val="none" w:sz="0" w:space="0" w:color="auto"/>
                        <w:left w:val="none" w:sz="0" w:space="0" w:color="auto"/>
                        <w:bottom w:val="none" w:sz="0" w:space="0" w:color="auto"/>
                        <w:right w:val="none" w:sz="0" w:space="0" w:color="auto"/>
                      </w:divBdr>
                      <w:divsChild>
                        <w:div w:id="1114055543">
                          <w:marLeft w:val="0"/>
                          <w:marRight w:val="0"/>
                          <w:marTop w:val="0"/>
                          <w:marBottom w:val="0"/>
                          <w:divBdr>
                            <w:top w:val="none" w:sz="0" w:space="0" w:color="auto"/>
                            <w:left w:val="none" w:sz="0" w:space="0" w:color="auto"/>
                            <w:bottom w:val="none" w:sz="0" w:space="0" w:color="auto"/>
                            <w:right w:val="none" w:sz="0" w:space="0" w:color="auto"/>
                          </w:divBdr>
                          <w:divsChild>
                            <w:div w:id="1473525595">
                              <w:marLeft w:val="0"/>
                              <w:marRight w:val="0"/>
                              <w:marTop w:val="0"/>
                              <w:marBottom w:val="0"/>
                              <w:divBdr>
                                <w:top w:val="none" w:sz="0" w:space="0" w:color="auto"/>
                                <w:left w:val="none" w:sz="0" w:space="0" w:color="auto"/>
                                <w:bottom w:val="none" w:sz="0" w:space="0" w:color="auto"/>
                                <w:right w:val="none" w:sz="0" w:space="0" w:color="auto"/>
                              </w:divBdr>
                              <w:divsChild>
                                <w:div w:id="813958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43719055">
      <w:bodyDiv w:val="1"/>
      <w:marLeft w:val="0"/>
      <w:marRight w:val="0"/>
      <w:marTop w:val="0"/>
      <w:marBottom w:val="0"/>
      <w:divBdr>
        <w:top w:val="none" w:sz="0" w:space="0" w:color="auto"/>
        <w:left w:val="none" w:sz="0" w:space="0" w:color="auto"/>
        <w:bottom w:val="none" w:sz="0" w:space="0" w:color="auto"/>
        <w:right w:val="none" w:sz="0" w:space="0" w:color="auto"/>
      </w:divBdr>
      <w:divsChild>
        <w:div w:id="1234580383">
          <w:marLeft w:val="0"/>
          <w:marRight w:val="0"/>
          <w:marTop w:val="0"/>
          <w:marBottom w:val="0"/>
          <w:divBdr>
            <w:top w:val="none" w:sz="0" w:space="0" w:color="auto"/>
            <w:left w:val="none" w:sz="0" w:space="0" w:color="auto"/>
            <w:bottom w:val="none" w:sz="0" w:space="0" w:color="auto"/>
            <w:right w:val="none" w:sz="0" w:space="0" w:color="auto"/>
          </w:divBdr>
          <w:divsChild>
            <w:div w:id="1231228037">
              <w:marLeft w:val="0"/>
              <w:marRight w:val="0"/>
              <w:marTop w:val="0"/>
              <w:marBottom w:val="0"/>
              <w:divBdr>
                <w:top w:val="none" w:sz="0" w:space="0" w:color="auto"/>
                <w:left w:val="none" w:sz="0" w:space="0" w:color="auto"/>
                <w:bottom w:val="none" w:sz="0" w:space="0" w:color="auto"/>
                <w:right w:val="none" w:sz="0" w:space="0" w:color="auto"/>
              </w:divBdr>
              <w:divsChild>
                <w:div w:id="655761465">
                  <w:marLeft w:val="2"/>
                  <w:marRight w:val="2"/>
                  <w:marTop w:val="0"/>
                  <w:marBottom w:val="0"/>
                  <w:divBdr>
                    <w:top w:val="none" w:sz="0" w:space="0" w:color="auto"/>
                    <w:left w:val="none" w:sz="0" w:space="0" w:color="auto"/>
                    <w:bottom w:val="none" w:sz="0" w:space="0" w:color="auto"/>
                    <w:right w:val="none" w:sz="0" w:space="0" w:color="auto"/>
                  </w:divBdr>
                  <w:divsChild>
                    <w:div w:id="127444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2528348">
      <w:bodyDiv w:val="1"/>
      <w:marLeft w:val="0"/>
      <w:marRight w:val="0"/>
      <w:marTop w:val="0"/>
      <w:marBottom w:val="0"/>
      <w:divBdr>
        <w:top w:val="none" w:sz="0" w:space="0" w:color="auto"/>
        <w:left w:val="none" w:sz="0" w:space="0" w:color="auto"/>
        <w:bottom w:val="none" w:sz="0" w:space="0" w:color="auto"/>
        <w:right w:val="none" w:sz="0" w:space="0" w:color="auto"/>
      </w:divBdr>
    </w:div>
    <w:div w:id="1830823361">
      <w:bodyDiv w:val="1"/>
      <w:marLeft w:val="0"/>
      <w:marRight w:val="0"/>
      <w:marTop w:val="0"/>
      <w:marBottom w:val="0"/>
      <w:divBdr>
        <w:top w:val="none" w:sz="0" w:space="0" w:color="auto"/>
        <w:left w:val="none" w:sz="0" w:space="0" w:color="auto"/>
        <w:bottom w:val="none" w:sz="0" w:space="0" w:color="auto"/>
        <w:right w:val="none" w:sz="0" w:space="0" w:color="auto"/>
      </w:divBdr>
    </w:div>
    <w:div w:id="1836408207">
      <w:bodyDiv w:val="1"/>
      <w:marLeft w:val="0"/>
      <w:marRight w:val="0"/>
      <w:marTop w:val="0"/>
      <w:marBottom w:val="0"/>
      <w:divBdr>
        <w:top w:val="none" w:sz="0" w:space="0" w:color="auto"/>
        <w:left w:val="none" w:sz="0" w:space="0" w:color="auto"/>
        <w:bottom w:val="none" w:sz="0" w:space="0" w:color="auto"/>
        <w:right w:val="none" w:sz="0" w:space="0" w:color="auto"/>
      </w:divBdr>
    </w:div>
    <w:div w:id="1885211590">
      <w:bodyDiv w:val="1"/>
      <w:marLeft w:val="0"/>
      <w:marRight w:val="0"/>
      <w:marTop w:val="0"/>
      <w:marBottom w:val="0"/>
      <w:divBdr>
        <w:top w:val="none" w:sz="0" w:space="0" w:color="auto"/>
        <w:left w:val="none" w:sz="0" w:space="0" w:color="auto"/>
        <w:bottom w:val="none" w:sz="0" w:space="0" w:color="auto"/>
        <w:right w:val="none" w:sz="0" w:space="0" w:color="auto"/>
      </w:divBdr>
    </w:div>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 w:id="1955138947">
      <w:bodyDiv w:val="1"/>
      <w:marLeft w:val="0"/>
      <w:marRight w:val="0"/>
      <w:marTop w:val="0"/>
      <w:marBottom w:val="0"/>
      <w:divBdr>
        <w:top w:val="none" w:sz="0" w:space="0" w:color="auto"/>
        <w:left w:val="none" w:sz="0" w:space="0" w:color="auto"/>
        <w:bottom w:val="none" w:sz="0" w:space="0" w:color="auto"/>
        <w:right w:val="none" w:sz="0" w:space="0" w:color="auto"/>
      </w:divBdr>
    </w:div>
    <w:div w:id="1994526836">
      <w:bodyDiv w:val="1"/>
      <w:marLeft w:val="0"/>
      <w:marRight w:val="0"/>
      <w:marTop w:val="0"/>
      <w:marBottom w:val="0"/>
      <w:divBdr>
        <w:top w:val="none" w:sz="0" w:space="0" w:color="auto"/>
        <w:left w:val="none" w:sz="0" w:space="0" w:color="auto"/>
        <w:bottom w:val="none" w:sz="0" w:space="0" w:color="auto"/>
        <w:right w:val="none" w:sz="0" w:space="0" w:color="auto"/>
      </w:divBdr>
    </w:div>
    <w:div w:id="2034913809">
      <w:bodyDiv w:val="1"/>
      <w:marLeft w:val="0"/>
      <w:marRight w:val="0"/>
      <w:marTop w:val="0"/>
      <w:marBottom w:val="0"/>
      <w:divBdr>
        <w:top w:val="none" w:sz="0" w:space="0" w:color="auto"/>
        <w:left w:val="none" w:sz="0" w:space="0" w:color="auto"/>
        <w:bottom w:val="none" w:sz="0" w:space="0" w:color="auto"/>
        <w:right w:val="none" w:sz="0" w:space="0" w:color="auto"/>
      </w:divBdr>
    </w:div>
    <w:div w:id="2092923991">
      <w:bodyDiv w:val="1"/>
      <w:marLeft w:val="0"/>
      <w:marRight w:val="0"/>
      <w:marTop w:val="0"/>
      <w:marBottom w:val="0"/>
      <w:divBdr>
        <w:top w:val="none" w:sz="0" w:space="0" w:color="auto"/>
        <w:left w:val="none" w:sz="0" w:space="0" w:color="auto"/>
        <w:bottom w:val="none" w:sz="0" w:space="0" w:color="auto"/>
        <w:right w:val="none" w:sz="0" w:space="0" w:color="auto"/>
      </w:divBdr>
      <w:divsChild>
        <w:div w:id="1410469131">
          <w:marLeft w:val="0"/>
          <w:marRight w:val="0"/>
          <w:marTop w:val="0"/>
          <w:marBottom w:val="0"/>
          <w:divBdr>
            <w:top w:val="none" w:sz="0" w:space="0" w:color="auto"/>
            <w:left w:val="none" w:sz="0" w:space="0" w:color="auto"/>
            <w:bottom w:val="none" w:sz="0" w:space="0" w:color="auto"/>
            <w:right w:val="none" w:sz="0" w:space="0" w:color="auto"/>
          </w:divBdr>
          <w:divsChild>
            <w:div w:id="821241407">
              <w:marLeft w:val="0"/>
              <w:marRight w:val="0"/>
              <w:marTop w:val="0"/>
              <w:marBottom w:val="0"/>
              <w:divBdr>
                <w:top w:val="none" w:sz="0" w:space="0" w:color="auto"/>
                <w:left w:val="none" w:sz="0" w:space="0" w:color="auto"/>
                <w:bottom w:val="none" w:sz="0" w:space="0" w:color="auto"/>
                <w:right w:val="none" w:sz="0" w:space="0" w:color="auto"/>
              </w:divBdr>
              <w:divsChild>
                <w:div w:id="25572036">
                  <w:marLeft w:val="0"/>
                  <w:marRight w:val="0"/>
                  <w:marTop w:val="0"/>
                  <w:marBottom w:val="0"/>
                  <w:divBdr>
                    <w:top w:val="none" w:sz="0" w:space="0" w:color="auto"/>
                    <w:left w:val="none" w:sz="0" w:space="0" w:color="auto"/>
                    <w:bottom w:val="none" w:sz="0" w:space="0" w:color="auto"/>
                    <w:right w:val="none" w:sz="0" w:space="0" w:color="auto"/>
                  </w:divBdr>
                  <w:divsChild>
                    <w:div w:id="391083890">
                      <w:marLeft w:val="0"/>
                      <w:marRight w:val="0"/>
                      <w:marTop w:val="0"/>
                      <w:marBottom w:val="0"/>
                      <w:divBdr>
                        <w:top w:val="none" w:sz="0" w:space="0" w:color="auto"/>
                        <w:left w:val="none" w:sz="0" w:space="0" w:color="auto"/>
                        <w:bottom w:val="none" w:sz="0" w:space="0" w:color="auto"/>
                        <w:right w:val="none" w:sz="0" w:space="0" w:color="auto"/>
                      </w:divBdr>
                      <w:divsChild>
                        <w:div w:id="1903522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030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footer" Target="footer8.xml"/><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header" Target="header9.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7.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6.xml"/><Relationship Id="rId28"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eader" Target="header6.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8.xml"/><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414A2B-3635-47E8-8D9B-0BE184F1C9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1</TotalTime>
  <Pages>36</Pages>
  <Words>12745</Words>
  <Characters>74196</Characters>
  <Application>Microsoft Office Word</Application>
  <DocSecurity>0</DocSecurity>
  <Lines>618</Lines>
  <Paragraphs>173</Paragraphs>
  <ScaleCrop>false</ScaleCrop>
  <HeadingPairs>
    <vt:vector size="2" baseType="variant">
      <vt:variant>
        <vt:lpstr>Title</vt:lpstr>
      </vt:variant>
      <vt:variant>
        <vt:i4>1</vt:i4>
      </vt:variant>
    </vt:vector>
  </HeadingPairs>
  <TitlesOfParts>
    <vt:vector size="1" baseType="lpstr">
      <vt:lpstr>Heritage protection</vt:lpstr>
    </vt:vector>
  </TitlesOfParts>
  <Company>Productivity Commission</Company>
  <LinksUpToDate>false</LinksUpToDate>
  <CharactersWithSpaces>86768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Heritage protection</dc:title>
  <dc:subject>Resource exploration</dc:subject>
  <dc:creator>Productivity Commission</dc:creator>
  <dc:description>5.</dc:description>
  <cp:lastModifiedBy>Productivity Commission</cp:lastModifiedBy>
  <cp:revision>5</cp:revision>
  <cp:lastPrinted>2013-05-22T06:11:00Z</cp:lastPrinted>
  <dcterms:created xsi:type="dcterms:W3CDTF">2013-05-29T01:11:00Z</dcterms:created>
  <dcterms:modified xsi:type="dcterms:W3CDTF">2015-05-08T02:19:00Z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-1721820440</vt:i4>
  </property>
  <property fmtid="{D5CDD505-2E9C-101B-9397-08002B2CF9AE}" pid="3" name="_NewReviewCycle">
    <vt:lpwstr/>
  </property>
  <property fmtid="{D5CDD505-2E9C-101B-9397-08002B2CF9AE}" pid="4" name="_EmailSubject">
    <vt:lpwstr>web files - minerals draft report</vt:lpwstr>
  </property>
  <property fmtid="{D5CDD505-2E9C-101B-9397-08002B2CF9AE}" pid="5" name="_AuthorEmail">
    <vt:lpwstr>Louise.Jordan@pc.gov.au</vt:lpwstr>
  </property>
  <property fmtid="{D5CDD505-2E9C-101B-9397-08002B2CF9AE}" pid="6" name="_AuthorEmailDisplayName">
    <vt:lpwstr>Jordan, Louise</vt:lpwstr>
  </property>
  <property fmtid="{D5CDD505-2E9C-101B-9397-08002B2CF9AE}" pid="7" name="_ReviewingToolsShownOnce">
    <vt:lpwstr/>
  </property>
</Properties>
</file>