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6E6008" w:rsidP="00D10C28">
      <w:pPr>
        <w:pStyle w:val="Chapter"/>
        <w:ind w:left="907" w:hanging="907"/>
      </w:pPr>
      <w:bookmarkStart w:id="0" w:name="_GoBack"/>
      <w:bookmarkEnd w:id="0"/>
      <w:r>
        <w:t>6</w:t>
      </w:r>
      <w:r w:rsidR="00D10C28">
        <w:tab/>
      </w:r>
      <w:bookmarkStart w:id="1" w:name="ChapterTitle"/>
      <w:r w:rsidR="00D10C28">
        <w:t>Environmental management</w:t>
      </w:r>
      <w:bookmarkEnd w:id="1"/>
    </w:p>
    <w:p w:rsidR="00C33A51" w:rsidRPr="00C33A51" w:rsidRDefault="00C33A51" w:rsidP="00C33A51">
      <w:pPr>
        <w:keepNext/>
        <w:spacing w:before="360" w:line="80" w:lineRule="exact"/>
        <w:rPr>
          <w:szCs w:val="20"/>
        </w:rPr>
      </w:pPr>
      <w:bookmarkStart w:id="2" w:name="begin"/>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33A51" w:rsidRPr="00C33A51" w:rsidTr="008A1D03">
        <w:tc>
          <w:tcPr>
            <w:tcW w:w="8771" w:type="dxa"/>
            <w:tcBorders>
              <w:top w:val="single" w:sz="6" w:space="0" w:color="auto"/>
              <w:bottom w:val="nil"/>
            </w:tcBorders>
          </w:tcPr>
          <w:p w:rsidR="00C33A51" w:rsidRPr="00C33A51" w:rsidRDefault="00C33A51" w:rsidP="00C33A51">
            <w:pPr>
              <w:keepNext/>
              <w:keepLines/>
              <w:spacing w:before="120" w:line="280" w:lineRule="exact"/>
              <w:ind w:left="1304" w:hanging="1304"/>
              <w:rPr>
                <w:rFonts w:ascii="Arial" w:hAnsi="Arial"/>
                <w:b/>
              </w:rPr>
            </w:pPr>
            <w:r w:rsidRPr="00C33A51">
              <w:rPr>
                <w:rFonts w:ascii="Arial" w:hAnsi="Arial"/>
                <w:b/>
              </w:rPr>
              <w:t>Key points</w:t>
            </w:r>
          </w:p>
        </w:tc>
      </w:tr>
      <w:tr w:rsidR="00C33A51" w:rsidRPr="00C33A51" w:rsidTr="008A1D03">
        <w:trPr>
          <w:cantSplit/>
        </w:trPr>
        <w:tc>
          <w:tcPr>
            <w:tcW w:w="8771" w:type="dxa"/>
            <w:tcBorders>
              <w:top w:val="nil"/>
              <w:left w:val="single" w:sz="6" w:space="0" w:color="auto"/>
              <w:bottom w:val="nil"/>
              <w:right w:val="single" w:sz="6" w:space="0" w:color="auto"/>
            </w:tcBorders>
          </w:tcPr>
          <w:p w:rsidR="00061A81" w:rsidRDefault="00061A81" w:rsidP="00061A81">
            <w:pPr>
              <w:pStyle w:val="BoxListBullet"/>
            </w:pPr>
            <w:r>
              <w:t xml:space="preserve">Environmental impacts arising from exploration activity can range </w:t>
            </w:r>
            <w:r w:rsidR="00D13FA6">
              <w:t>from</w:t>
            </w:r>
            <w:r>
              <w:t xml:space="preserve"> those that are minor and temporary, such as limited soil disturbance, to </w:t>
            </w:r>
            <w:r w:rsidR="00F70659">
              <w:t xml:space="preserve">those that are </w:t>
            </w:r>
            <w:r>
              <w:t>large and long</w:t>
            </w:r>
            <w:r w:rsidR="009A118A">
              <w:t>er</w:t>
            </w:r>
            <w:r>
              <w:t xml:space="preserve"> term, such as </w:t>
            </w:r>
            <w:r w:rsidR="00F70659">
              <w:t xml:space="preserve">an </w:t>
            </w:r>
            <w:r>
              <w:t xml:space="preserve">oil leak in a sensitive marine environment. </w:t>
            </w:r>
          </w:p>
          <w:p w:rsidR="00944935" w:rsidRDefault="00061A81">
            <w:pPr>
              <w:pStyle w:val="BoxListBullet"/>
            </w:pPr>
            <w:r>
              <w:t>The policy challenge for governments when establishing environmental regulatory frameworks</w:t>
            </w:r>
            <w:r w:rsidR="000D6C93">
              <w:t>,</w:t>
            </w:r>
            <w:r>
              <w:t xml:space="preserve"> and the administration tas</w:t>
            </w:r>
            <w:r w:rsidR="00373B7E">
              <w:t>k of regulators</w:t>
            </w:r>
            <w:r w:rsidR="000D6C93">
              <w:t>,</w:t>
            </w:r>
            <w:r w:rsidR="00373B7E">
              <w:t xml:space="preserve"> is to </w:t>
            </w:r>
            <w:r w:rsidR="00260446">
              <w:t>achi</w:t>
            </w:r>
            <w:r w:rsidR="007E117D">
              <w:t>e</w:t>
            </w:r>
            <w:r w:rsidR="00260446">
              <w:t>ve</w:t>
            </w:r>
            <w:r w:rsidR="00373B7E">
              <w:t xml:space="preserve"> an</w:t>
            </w:r>
            <w:r>
              <w:t xml:space="preserve"> appropriate balance between the benefits of mineral and energy resource exploration and the associated potential for adverse environmental impacts.</w:t>
            </w:r>
            <w:r w:rsidR="00944935">
              <w:t xml:space="preserve"> </w:t>
            </w:r>
          </w:p>
          <w:p w:rsidR="000D6C93" w:rsidRDefault="001C229B">
            <w:pPr>
              <w:pStyle w:val="BoxListBullet"/>
            </w:pPr>
            <w:r>
              <w:t xml:space="preserve">State and territory governments are the main </w:t>
            </w:r>
            <w:r w:rsidR="00D13FA6">
              <w:t xml:space="preserve">environmental </w:t>
            </w:r>
            <w:r w:rsidR="00E23200">
              <w:t>regulators</w:t>
            </w:r>
            <w:r>
              <w:t xml:space="preserve"> for </w:t>
            </w:r>
            <w:r w:rsidR="00E23200">
              <w:t xml:space="preserve">onshore </w:t>
            </w:r>
            <w:r w:rsidR="003F09A9">
              <w:t>exploration</w:t>
            </w:r>
            <w:r w:rsidR="00405D5F">
              <w:t xml:space="preserve">. </w:t>
            </w:r>
          </w:p>
          <w:p w:rsidR="001C229B" w:rsidRDefault="00405D5F" w:rsidP="000D6C93">
            <w:pPr>
              <w:pStyle w:val="BoxListBullet"/>
            </w:pPr>
            <w:r>
              <w:t>T</w:t>
            </w:r>
            <w:r w:rsidR="001C229B">
              <w:t>he Australian Gove</w:t>
            </w:r>
            <w:r w:rsidR="003F09A9">
              <w:t xml:space="preserve">rnment’s </w:t>
            </w:r>
            <w:r w:rsidR="000D6C93">
              <w:t xml:space="preserve">onshore </w:t>
            </w:r>
            <w:r w:rsidR="003F09A9">
              <w:t xml:space="preserve">role </w:t>
            </w:r>
            <w:r>
              <w:t xml:space="preserve">is </w:t>
            </w:r>
            <w:r w:rsidR="00D13FA6">
              <w:t xml:space="preserve">largely </w:t>
            </w:r>
            <w:r w:rsidR="003F09A9">
              <w:t>limited to</w:t>
            </w:r>
            <w:r w:rsidR="001C229B">
              <w:t xml:space="preserve"> </w:t>
            </w:r>
            <w:r w:rsidR="00944935">
              <w:t xml:space="preserve">defined </w:t>
            </w:r>
            <w:r w:rsidR="00D23860">
              <w:t>‘</w:t>
            </w:r>
            <w:r w:rsidR="001C229B">
              <w:t>matters of national environmental significance’</w:t>
            </w:r>
            <w:r w:rsidR="007E117D">
              <w:t>.</w:t>
            </w:r>
            <w:r w:rsidR="000D6C93">
              <w:t xml:space="preserve"> It</w:t>
            </w:r>
            <w:r w:rsidR="00E23200">
              <w:t xml:space="preserve"> is</w:t>
            </w:r>
            <w:r>
              <w:t xml:space="preserve"> also</w:t>
            </w:r>
            <w:r w:rsidR="00E23200">
              <w:t xml:space="preserve"> responsible for </w:t>
            </w:r>
            <w:r w:rsidR="00F70659">
              <w:t>the Commonwealth marine area</w:t>
            </w:r>
            <w:r w:rsidR="007E117D">
              <w:t xml:space="preserve">. </w:t>
            </w:r>
            <w:r w:rsidR="004F3144">
              <w:t xml:space="preserve">The main </w:t>
            </w:r>
            <w:r w:rsidR="000D6C93">
              <w:t xml:space="preserve">Australian Government </w:t>
            </w:r>
            <w:r w:rsidR="004F3144">
              <w:t xml:space="preserve">environmental regulators are </w:t>
            </w:r>
            <w:r w:rsidR="00F70659">
              <w:t>the</w:t>
            </w:r>
            <w:r w:rsidR="00E23200">
              <w:t xml:space="preserve"> Department of Sustainability, Environment, Water, Population and Communities and t</w:t>
            </w:r>
            <w:r w:rsidR="00E23200" w:rsidRPr="000D6C93">
              <w:rPr>
                <w:lang w:val="en"/>
              </w:rPr>
              <w:t xml:space="preserve">he </w:t>
            </w:r>
            <w:r w:rsidR="00E23200">
              <w:t>National Offshore Petroleum Safety and Environmental Management Authority.</w:t>
            </w:r>
          </w:p>
          <w:p w:rsidR="001C229B" w:rsidRDefault="004F3144" w:rsidP="001C229B">
            <w:pPr>
              <w:pStyle w:val="BoxListBullet"/>
            </w:pPr>
            <w:r>
              <w:t>O</w:t>
            </w:r>
            <w:r w:rsidR="00F70659">
              <w:t>pportunities for reform include</w:t>
            </w:r>
            <w:r w:rsidR="00061A81">
              <w:t>:</w:t>
            </w:r>
          </w:p>
          <w:p w:rsidR="00405D5F" w:rsidRDefault="00061A81" w:rsidP="00CF35DE">
            <w:pPr>
              <w:pStyle w:val="BoxListBullet2"/>
            </w:pPr>
            <w:r>
              <w:t>redu</w:t>
            </w:r>
            <w:r w:rsidR="00F70659">
              <w:t>cing</w:t>
            </w:r>
            <w:r>
              <w:t xml:space="preserve"> </w:t>
            </w:r>
            <w:r w:rsidR="001C229B">
              <w:t>duplication of environmental assessment</w:t>
            </w:r>
            <w:r w:rsidR="00A20935">
              <w:t>s</w:t>
            </w:r>
            <w:r w:rsidR="001C229B">
              <w:t xml:space="preserve"> and approvals within and between jurisdictions</w:t>
            </w:r>
            <w:r w:rsidR="00A20935">
              <w:t xml:space="preserve"> — for example</w:t>
            </w:r>
            <w:r w:rsidR="00CF35DE">
              <w:t xml:space="preserve"> by accrediting the </w:t>
            </w:r>
            <w:r w:rsidR="00CF35DE" w:rsidRPr="00CF35DE">
              <w:t>National Offshore Petroleum Safety and Environmental Management Authority</w:t>
            </w:r>
            <w:r w:rsidR="00CF35DE">
              <w:t xml:space="preserve"> to undertake </w:t>
            </w:r>
            <w:r w:rsidR="00620A40">
              <w:t xml:space="preserve">assessments and approvals under the </w:t>
            </w:r>
            <w:r w:rsidR="00CF35DE" w:rsidRPr="00B070F6">
              <w:rPr>
                <w:i/>
              </w:rPr>
              <w:t>E</w:t>
            </w:r>
            <w:r w:rsidR="004F3144" w:rsidRPr="00B070F6">
              <w:rPr>
                <w:i/>
              </w:rPr>
              <w:t xml:space="preserve">nvironment </w:t>
            </w:r>
            <w:r w:rsidR="00CF35DE" w:rsidRPr="00B070F6">
              <w:rPr>
                <w:i/>
              </w:rPr>
              <w:t>P</w:t>
            </w:r>
            <w:r w:rsidR="004F3144" w:rsidRPr="00B070F6">
              <w:rPr>
                <w:i/>
              </w:rPr>
              <w:t xml:space="preserve">rotection and </w:t>
            </w:r>
            <w:r w:rsidR="00CF35DE" w:rsidRPr="00B070F6">
              <w:rPr>
                <w:i/>
              </w:rPr>
              <w:t>B</w:t>
            </w:r>
            <w:r w:rsidR="004F3144" w:rsidRPr="00B070F6">
              <w:rPr>
                <w:i/>
              </w:rPr>
              <w:t xml:space="preserve">iodiversity </w:t>
            </w:r>
            <w:r w:rsidR="00CF35DE" w:rsidRPr="00B070F6">
              <w:rPr>
                <w:i/>
              </w:rPr>
              <w:t>C</w:t>
            </w:r>
            <w:r w:rsidR="004F3144" w:rsidRPr="00B070F6">
              <w:rPr>
                <w:i/>
              </w:rPr>
              <w:t>onservation</w:t>
            </w:r>
            <w:r w:rsidR="00CF35DE" w:rsidRPr="00B070F6">
              <w:rPr>
                <w:i/>
              </w:rPr>
              <w:t xml:space="preserve"> Act</w:t>
            </w:r>
            <w:r w:rsidR="00620A40">
              <w:t xml:space="preserve"> (</w:t>
            </w:r>
            <w:proofErr w:type="spellStart"/>
            <w:r w:rsidR="00620A40">
              <w:t>EPBC</w:t>
            </w:r>
            <w:proofErr w:type="spellEnd"/>
            <w:r w:rsidR="00620A40">
              <w:t xml:space="preserve"> Act)</w:t>
            </w:r>
          </w:p>
          <w:p w:rsidR="001C229B" w:rsidRDefault="00405D5F" w:rsidP="00CF35DE">
            <w:pPr>
              <w:pStyle w:val="BoxListBullet2"/>
            </w:pPr>
            <w:r>
              <w:t>e</w:t>
            </w:r>
            <w:r w:rsidR="00CF35DE">
              <w:t xml:space="preserve">stablishing bilateral agreements with the states and territories for approvals under the </w:t>
            </w:r>
            <w:proofErr w:type="spellStart"/>
            <w:r w:rsidR="00CF35DE">
              <w:t>EPBC</w:t>
            </w:r>
            <w:proofErr w:type="spellEnd"/>
            <w:r w:rsidR="00CF35DE">
              <w:t xml:space="preserve"> Act</w:t>
            </w:r>
          </w:p>
          <w:p w:rsidR="001C229B" w:rsidRDefault="00061A81" w:rsidP="00C701B4">
            <w:pPr>
              <w:pStyle w:val="BoxListBullet2"/>
            </w:pPr>
            <w:r>
              <w:t>ensur</w:t>
            </w:r>
            <w:r w:rsidR="00F70659">
              <w:t>ing</w:t>
            </w:r>
            <w:r>
              <w:t xml:space="preserve"> </w:t>
            </w:r>
            <w:r w:rsidR="007E117D">
              <w:t xml:space="preserve">regulatory </w:t>
            </w:r>
            <w:r w:rsidR="009A118A">
              <w:t>requirements are</w:t>
            </w:r>
            <w:r w:rsidR="001C229B">
              <w:t xml:space="preserve"> commensurate with the likely level of impact or risk</w:t>
            </w:r>
            <w:r w:rsidR="003B79CD">
              <w:t xml:space="preserve"> and</w:t>
            </w:r>
            <w:r w:rsidR="00CF35DE">
              <w:t xml:space="preserve"> do not anticipate that exploration will lead to extraction</w:t>
            </w:r>
          </w:p>
          <w:p w:rsidR="001C229B" w:rsidRDefault="009C23A7" w:rsidP="00C701B4">
            <w:pPr>
              <w:pStyle w:val="BoxListBullet2"/>
            </w:pPr>
            <w:r>
              <w:t>ensuring</w:t>
            </w:r>
            <w:r w:rsidR="00061A81">
              <w:t xml:space="preserve"> </w:t>
            </w:r>
            <w:r w:rsidR="007E117D">
              <w:t xml:space="preserve">regulatory </w:t>
            </w:r>
            <w:r w:rsidR="001C229B">
              <w:t xml:space="preserve">requirements </w:t>
            </w:r>
            <w:r>
              <w:t xml:space="preserve">are </w:t>
            </w:r>
            <w:r w:rsidR="001C229B">
              <w:t>outcome</w:t>
            </w:r>
            <w:r w:rsidR="00E92A4C">
              <w:noBreakHyphen/>
            </w:r>
            <w:r w:rsidR="001C229B">
              <w:t>focused</w:t>
            </w:r>
            <w:r w:rsidR="00CF35DE">
              <w:t xml:space="preserve"> by,</w:t>
            </w:r>
            <w:r w:rsidR="004F3144">
              <w:t xml:space="preserve"> for example, adopting</w:t>
            </w:r>
            <w:r w:rsidR="00CF35DE">
              <w:t xml:space="preserve"> performance based standards</w:t>
            </w:r>
          </w:p>
          <w:p w:rsidR="001C229B" w:rsidRDefault="00F70659" w:rsidP="00C701B4">
            <w:pPr>
              <w:pStyle w:val="BoxListBullet2"/>
            </w:pPr>
            <w:r>
              <w:t xml:space="preserve">improving the </w:t>
            </w:r>
            <w:r w:rsidR="001C229B">
              <w:t xml:space="preserve">clarity </w:t>
            </w:r>
            <w:r>
              <w:t>and</w:t>
            </w:r>
            <w:r w:rsidR="001C229B">
              <w:t xml:space="preserve"> transparency </w:t>
            </w:r>
            <w:r>
              <w:t>of</w:t>
            </w:r>
            <w:r w:rsidR="001C229B">
              <w:t xml:space="preserve"> </w:t>
            </w:r>
            <w:r w:rsidR="007E117D">
              <w:t xml:space="preserve">regulatory </w:t>
            </w:r>
            <w:r w:rsidR="001C229B">
              <w:t>requirements</w:t>
            </w:r>
            <w:r w:rsidR="00CF35DE">
              <w:t xml:space="preserve"> and</w:t>
            </w:r>
            <w:r w:rsidR="003B79CD">
              <w:t xml:space="preserve"> increasing the </w:t>
            </w:r>
            <w:r w:rsidR="004F3144">
              <w:t xml:space="preserve">public </w:t>
            </w:r>
            <w:r w:rsidR="003B79CD">
              <w:t xml:space="preserve">availability of </w:t>
            </w:r>
            <w:r w:rsidR="00CF35DE">
              <w:t>archived environmental data</w:t>
            </w:r>
          </w:p>
          <w:p w:rsidR="00460482" w:rsidRPr="00C33A51" w:rsidRDefault="004F3144" w:rsidP="004C4BF6">
            <w:pPr>
              <w:pStyle w:val="BoxListBullet2"/>
            </w:pPr>
            <w:r>
              <w:t>where</w:t>
            </w:r>
            <w:r w:rsidR="00CF35DE">
              <w:t xml:space="preserve"> there is scientific uncertainty </w:t>
            </w:r>
            <w:r w:rsidR="004C4BF6">
              <w:t xml:space="preserve">as to </w:t>
            </w:r>
            <w:r w:rsidR="00CF35DE">
              <w:t>the environmental impacts of exploration</w:t>
            </w:r>
            <w:r w:rsidR="003B79CD">
              <w:t xml:space="preserve">, objectively assessing the </w:t>
            </w:r>
            <w:r w:rsidR="004C4BF6">
              <w:t xml:space="preserve">evidence </w:t>
            </w:r>
            <w:r w:rsidR="003B79CD">
              <w:t>and adopting an adaptive management approach</w:t>
            </w:r>
            <w:r w:rsidR="001C229B">
              <w:t>.</w:t>
            </w:r>
          </w:p>
        </w:tc>
      </w:tr>
      <w:tr w:rsidR="00C33A51" w:rsidRPr="00C33A51" w:rsidTr="008A1D03">
        <w:trPr>
          <w:cantSplit/>
        </w:trPr>
        <w:tc>
          <w:tcPr>
            <w:tcW w:w="8771" w:type="dxa"/>
            <w:tcBorders>
              <w:top w:val="nil"/>
              <w:left w:val="single" w:sz="6" w:space="0" w:color="auto"/>
              <w:bottom w:val="single" w:sz="6" w:space="0" w:color="auto"/>
              <w:right w:val="single" w:sz="6" w:space="0" w:color="auto"/>
            </w:tcBorders>
          </w:tcPr>
          <w:p w:rsidR="00C33A51" w:rsidRPr="00C33A51" w:rsidRDefault="00C33A51" w:rsidP="00C33A51">
            <w:pPr>
              <w:keepNext/>
              <w:spacing w:line="120" w:lineRule="exact"/>
              <w:jc w:val="both"/>
              <w:rPr>
                <w:rFonts w:ascii="Arial" w:hAnsi="Arial"/>
                <w:sz w:val="22"/>
                <w:szCs w:val="20"/>
              </w:rPr>
            </w:pPr>
          </w:p>
        </w:tc>
      </w:tr>
      <w:tr w:rsidR="00C33A51" w:rsidRPr="00C33A51" w:rsidTr="008A1D03">
        <w:tc>
          <w:tcPr>
            <w:tcW w:w="8771" w:type="dxa"/>
            <w:tcBorders>
              <w:top w:val="nil"/>
              <w:left w:val="nil"/>
              <w:bottom w:val="nil"/>
              <w:right w:val="nil"/>
            </w:tcBorders>
          </w:tcPr>
          <w:p w:rsidR="00C33A51" w:rsidRPr="00C33A51" w:rsidRDefault="00C33A51" w:rsidP="00C33A51">
            <w:pPr>
              <w:spacing w:before="60" w:after="60" w:line="80" w:lineRule="exact"/>
              <w:jc w:val="both"/>
              <w:rPr>
                <w:rFonts w:ascii="Arial" w:hAnsi="Arial"/>
                <w:sz w:val="14"/>
                <w:szCs w:val="20"/>
              </w:rPr>
            </w:pPr>
          </w:p>
        </w:tc>
      </w:tr>
    </w:tbl>
    <w:p w:rsidR="00FC5D1B" w:rsidRDefault="00EF0B64" w:rsidP="006868BF">
      <w:pPr>
        <w:pStyle w:val="BodyText"/>
      </w:pPr>
      <w:r>
        <w:t>This chapter</w:t>
      </w:r>
      <w:r w:rsidR="00FC5D1B">
        <w:t xml:space="preserve"> </w:t>
      </w:r>
      <w:r w:rsidR="00FC5D1B" w:rsidRPr="00FC5D1B">
        <w:t>provide</w:t>
      </w:r>
      <w:r w:rsidR="00FC5D1B">
        <w:t>s</w:t>
      </w:r>
      <w:r w:rsidR="00FC5D1B" w:rsidRPr="00FC5D1B">
        <w:t xml:space="preserve"> a</w:t>
      </w:r>
      <w:r w:rsidR="00090881">
        <w:t>n</w:t>
      </w:r>
      <w:r w:rsidR="00FC5D1B" w:rsidRPr="00FC5D1B">
        <w:t xml:space="preserve"> overview of the environmental </w:t>
      </w:r>
      <w:r w:rsidR="007C57CC">
        <w:t xml:space="preserve">impacts </w:t>
      </w:r>
      <w:r w:rsidR="00063E71">
        <w:t xml:space="preserve">and risks arising from </w:t>
      </w:r>
      <w:r w:rsidR="007C425C">
        <w:t xml:space="preserve">mineral and energy </w:t>
      </w:r>
      <w:r w:rsidR="00FC5D1B" w:rsidRPr="00FC5D1B">
        <w:t>exploration</w:t>
      </w:r>
      <w:r w:rsidR="00783247">
        <w:t xml:space="preserve">. </w:t>
      </w:r>
      <w:r w:rsidR="00F70659">
        <w:t xml:space="preserve">It then proposes reforms </w:t>
      </w:r>
      <w:r w:rsidR="003624AE">
        <w:t>that</w:t>
      </w:r>
      <w:r w:rsidR="00F70659">
        <w:t xml:space="preserve"> address instances of regulatory duplication as well as situations where the regulatory requirements are not commensurate with the likely environmental impact. The chapter concludes with a series of reforms for the assessment and approval processes</w:t>
      </w:r>
      <w:r>
        <w:t>.</w:t>
      </w:r>
    </w:p>
    <w:p w:rsidR="006868BF" w:rsidRDefault="001A2F67" w:rsidP="00D10C28">
      <w:pPr>
        <w:pStyle w:val="Heading2"/>
        <w:spacing w:before="520"/>
      </w:pPr>
      <w:r>
        <w:lastRenderedPageBreak/>
        <w:t>6</w:t>
      </w:r>
      <w:r w:rsidR="00676650">
        <w:t>.</w:t>
      </w:r>
      <w:r w:rsidR="008C7677">
        <w:rPr>
          <w:noProof/>
        </w:rPr>
        <w:t>1</w:t>
      </w:r>
      <w:r w:rsidR="008318E6">
        <w:tab/>
      </w:r>
      <w:r w:rsidR="00F70659">
        <w:t>Potential</w:t>
      </w:r>
      <w:r w:rsidR="006868BF">
        <w:t xml:space="preserve"> environmental impacts of exploration</w:t>
      </w:r>
    </w:p>
    <w:p w:rsidR="00F30A8A" w:rsidRDefault="008318E6" w:rsidP="00F30A8A">
      <w:pPr>
        <w:pStyle w:val="BodyText"/>
      </w:pPr>
      <w:r>
        <w:t>The</w:t>
      </w:r>
      <w:r w:rsidR="002352CC">
        <w:t xml:space="preserve"> </w:t>
      </w:r>
      <w:r w:rsidR="00F70659">
        <w:t xml:space="preserve">potential </w:t>
      </w:r>
      <w:r w:rsidR="002352CC">
        <w:t>environmental impacts arising from mineral</w:t>
      </w:r>
      <w:r w:rsidR="00D13FA6">
        <w:t xml:space="preserve"> and energy</w:t>
      </w:r>
      <w:r w:rsidR="00090881">
        <w:t xml:space="preserve"> </w:t>
      </w:r>
      <w:r w:rsidR="002352CC">
        <w:t>exploration are diverse. E</w:t>
      </w:r>
      <w:r w:rsidR="00EB7CE5" w:rsidRPr="00EB7CE5">
        <w:t>ffect</w:t>
      </w:r>
      <w:r w:rsidR="002352CC">
        <w:t>s</w:t>
      </w:r>
      <w:r w:rsidR="00EB7CE5" w:rsidRPr="00EB7CE5">
        <w:t xml:space="preserve"> depend on t</w:t>
      </w:r>
      <w:r w:rsidR="002352CC">
        <w:t>he nature of the environment</w:t>
      </w:r>
      <w:r w:rsidR="00150B94">
        <w:t xml:space="preserve"> in the area being explored</w:t>
      </w:r>
      <w:r w:rsidR="002352CC">
        <w:t>, the scale of activity, and the techniques and</w:t>
      </w:r>
      <w:r w:rsidR="00EB7CE5" w:rsidRPr="00EB7CE5">
        <w:t xml:space="preserve"> equipment used</w:t>
      </w:r>
      <w:r w:rsidR="004C4BF6">
        <w:t xml:space="preserve"> for exploration</w:t>
      </w:r>
      <w:r w:rsidR="002352CC">
        <w:t>.</w:t>
      </w:r>
      <w:r w:rsidR="00EB7CE5" w:rsidRPr="00EB7CE5">
        <w:t xml:space="preserve"> </w:t>
      </w:r>
      <w:r w:rsidR="00F30A8A">
        <w:t>They range from minor and temporary impacts — such as disturbance of surface soil as a result of sampling activities — to potentially large impacts, such as oil leak</w:t>
      </w:r>
      <w:r w:rsidR="004C4BF6">
        <w:t>s</w:t>
      </w:r>
      <w:r w:rsidR="00F30A8A">
        <w:t xml:space="preserve"> in sensitive marine ecosystems. </w:t>
      </w:r>
    </w:p>
    <w:p w:rsidR="006868BF" w:rsidRDefault="00F30A8A" w:rsidP="00783247">
      <w:pPr>
        <w:pStyle w:val="BodyText"/>
      </w:pPr>
      <w:r>
        <w:t>For the ma</w:t>
      </w:r>
      <w:r w:rsidR="00150B94">
        <w:t>jority of exploration activity</w:t>
      </w:r>
      <w:r>
        <w:t xml:space="preserve">, the </w:t>
      </w:r>
      <w:r w:rsidR="004C4BF6">
        <w:t xml:space="preserve">likely </w:t>
      </w:r>
      <w:r>
        <w:t xml:space="preserve">impacts </w:t>
      </w:r>
      <w:r w:rsidR="00F70659">
        <w:t xml:space="preserve">on the environment </w:t>
      </w:r>
      <w:r>
        <w:t>are relatively straigh</w:t>
      </w:r>
      <w:r w:rsidR="00150B94">
        <w:t xml:space="preserve">tforward to </w:t>
      </w:r>
      <w:r w:rsidR="004C4BF6">
        <w:t>assess</w:t>
      </w:r>
      <w:r>
        <w:t>. They</w:t>
      </w:r>
      <w:r w:rsidR="006868BF">
        <w:t xml:space="preserve"> can include:</w:t>
      </w:r>
      <w:r w:rsidR="00783247">
        <w:t xml:space="preserve"> </w:t>
      </w:r>
      <w:r w:rsidR="00DB47D0">
        <w:t>d</w:t>
      </w:r>
      <w:r w:rsidR="006868BF">
        <w:t>ischarges to land or water — including ‘drilling muds’ and fluids</w:t>
      </w:r>
      <w:r w:rsidR="00783247">
        <w:t xml:space="preserve">; </w:t>
      </w:r>
      <w:r w:rsidR="00DB47D0">
        <w:t>e</w:t>
      </w:r>
      <w:r w:rsidR="006868BF">
        <w:t>missions to air</w:t>
      </w:r>
      <w:r w:rsidR="00783247">
        <w:t xml:space="preserve">; </w:t>
      </w:r>
      <w:r w:rsidR="00DB47D0">
        <w:t>n</w:t>
      </w:r>
      <w:r w:rsidR="006868BF">
        <w:t>oise</w:t>
      </w:r>
      <w:r>
        <w:t>;</w:t>
      </w:r>
      <w:r w:rsidR="00150B94">
        <w:t xml:space="preserve"> clearance of topsoil; and </w:t>
      </w:r>
      <w:r w:rsidR="006868BF">
        <w:t xml:space="preserve">disturbance to native </w:t>
      </w:r>
      <w:r w:rsidR="00150B94">
        <w:t xml:space="preserve">flora, </w:t>
      </w:r>
      <w:r w:rsidR="006868BF">
        <w:t xml:space="preserve">fauna and </w:t>
      </w:r>
      <w:r w:rsidR="00150B94">
        <w:t>e</w:t>
      </w:r>
      <w:r>
        <w:t>cosystems</w:t>
      </w:r>
      <w:r w:rsidR="00150B94">
        <w:t>, both terrestrial and marine</w:t>
      </w:r>
      <w:r w:rsidR="00FF693A">
        <w:t>.</w:t>
      </w:r>
      <w:r w:rsidR="00F70659">
        <w:t xml:space="preserve"> </w:t>
      </w:r>
      <w:r w:rsidR="00B065C9">
        <w:t>In some cases, however, there can be</w:t>
      </w:r>
      <w:r w:rsidR="00F70659" w:rsidRPr="00F70659">
        <w:t xml:space="preserve"> uncertainty</w:t>
      </w:r>
      <w:r w:rsidR="00B065C9">
        <w:t xml:space="preserve"> </w:t>
      </w:r>
      <w:r w:rsidR="004C4BF6">
        <w:t xml:space="preserve">as to </w:t>
      </w:r>
      <w:r w:rsidR="00B065C9">
        <w:t>the nature and extent of impacts</w:t>
      </w:r>
      <w:r w:rsidR="00F70659" w:rsidRPr="00F70659">
        <w:t>, particularly where the scientific understanding is still evolving. Examples include the impacts of seismic surveys on marine mammals and the impact</w:t>
      </w:r>
      <w:r w:rsidR="00B065C9">
        <w:t>s</w:t>
      </w:r>
      <w:r w:rsidR="00F70659" w:rsidRPr="00F70659">
        <w:t xml:space="preserve"> of coal seam gas (</w:t>
      </w:r>
      <w:proofErr w:type="spellStart"/>
      <w:r w:rsidR="00F70659" w:rsidRPr="00F70659">
        <w:t>CSG</w:t>
      </w:r>
      <w:proofErr w:type="spellEnd"/>
      <w:r w:rsidR="00F70659" w:rsidRPr="00F70659">
        <w:t>) exploration on aquifers.</w:t>
      </w:r>
    </w:p>
    <w:p w:rsidR="00C75902" w:rsidRPr="00C75902" w:rsidRDefault="00C75902" w:rsidP="00D10C28">
      <w:pPr>
        <w:pStyle w:val="Heading3"/>
        <w:spacing w:before="480"/>
      </w:pPr>
      <w:r>
        <w:t>Minerals exploration — techniques and impacts</w:t>
      </w:r>
    </w:p>
    <w:p w:rsidR="008C7AB6" w:rsidRPr="00905F75" w:rsidRDefault="00AA28A0" w:rsidP="00905F75">
      <w:pPr>
        <w:pStyle w:val="BodyText"/>
      </w:pPr>
      <w:r w:rsidRPr="00905F75">
        <w:t>Onshore e</w:t>
      </w:r>
      <w:r w:rsidR="00FF693A" w:rsidRPr="00905F75">
        <w:t xml:space="preserve">xploration </w:t>
      </w:r>
      <w:r w:rsidRPr="00905F75">
        <w:t xml:space="preserve">for minerals </w:t>
      </w:r>
      <w:r w:rsidR="00EB174C" w:rsidRPr="00905F75">
        <w:t>is</w:t>
      </w:r>
      <w:r w:rsidR="00FF693A" w:rsidRPr="00905F75">
        <w:t xml:space="preserve"> undertaken using a varie</w:t>
      </w:r>
      <w:r w:rsidR="006A53DA" w:rsidRPr="00905F75">
        <w:t xml:space="preserve">ty of </w:t>
      </w:r>
      <w:r w:rsidR="00F70659" w:rsidRPr="00905F75">
        <w:t>techniques</w:t>
      </w:r>
      <w:r w:rsidR="00AA7B69" w:rsidRPr="00905F75">
        <w:t>.</w:t>
      </w:r>
      <w:r w:rsidR="00EB174C" w:rsidRPr="00905F75">
        <w:t xml:space="preserve"> </w:t>
      </w:r>
      <w:r w:rsidR="00F70659" w:rsidRPr="00905F75">
        <w:t xml:space="preserve">Those </w:t>
      </w:r>
      <w:r w:rsidR="008C7AB6" w:rsidRPr="00905F75">
        <w:t>that generally have a negligible impact on the environment include</w:t>
      </w:r>
      <w:r w:rsidR="006F6655" w:rsidRPr="00905F75">
        <w:t>: geological mapping and geochemical sampling, which may include taking small rock or soil samples; and geophysical, aerial, gravity, magnetic, resis</w:t>
      </w:r>
      <w:r w:rsidR="006A53DA" w:rsidRPr="00905F75">
        <w:t>tivity, induced polarisation,</w:t>
      </w:r>
      <w:r w:rsidR="006F6655" w:rsidRPr="00905F75">
        <w:t xml:space="preserve"> electromagnetic </w:t>
      </w:r>
      <w:r w:rsidR="006A53DA" w:rsidRPr="00905F75">
        <w:t xml:space="preserve">and seismic </w:t>
      </w:r>
      <w:r w:rsidR="006F6655" w:rsidRPr="00905F75">
        <w:t>surveys</w:t>
      </w:r>
      <w:r w:rsidR="00B230CC" w:rsidRPr="00905F75">
        <w:t>. T</w:t>
      </w:r>
      <w:r w:rsidR="006F6655" w:rsidRPr="00905F75">
        <w:t xml:space="preserve">he main impacts of </w:t>
      </w:r>
      <w:r w:rsidR="00F70659" w:rsidRPr="00905F75">
        <w:t xml:space="preserve">some of </w:t>
      </w:r>
      <w:r w:rsidR="00B230CC" w:rsidRPr="00905F75">
        <w:t xml:space="preserve">these activities </w:t>
      </w:r>
      <w:r w:rsidR="006F6655" w:rsidRPr="00905F75">
        <w:t>will be caused by vehicle</w:t>
      </w:r>
      <w:r w:rsidR="00150B94" w:rsidRPr="00905F75">
        <w:t>s</w:t>
      </w:r>
      <w:r w:rsidR="006F6655" w:rsidRPr="00905F75">
        <w:t xml:space="preserve"> access</w:t>
      </w:r>
      <w:r w:rsidR="00150B94" w:rsidRPr="00905F75">
        <w:t xml:space="preserve">ing and moving </w:t>
      </w:r>
      <w:r w:rsidR="006F6655" w:rsidRPr="00905F75">
        <w:t xml:space="preserve">around the survey area. </w:t>
      </w:r>
    </w:p>
    <w:p w:rsidR="006A53DA" w:rsidRDefault="00B622B1" w:rsidP="00905F75">
      <w:pPr>
        <w:pStyle w:val="BodyText"/>
      </w:pPr>
      <w:r>
        <w:t>T</w:t>
      </w:r>
      <w:r w:rsidR="006A53DA" w:rsidRPr="00905F75">
        <w:t>echniques that have the potential for larger impacts include drilling, costeaning and trenching, and surface bulk sampling.</w:t>
      </w:r>
      <w:r w:rsidR="00601CD8" w:rsidRPr="00905F75">
        <w:t xml:space="preserve"> Impacts can include loss of vegetation, erosion and intersection with groundwater</w:t>
      </w:r>
      <w:r w:rsidR="00F70659" w:rsidRPr="00905F75">
        <w:t xml:space="preserve"> aquifers</w:t>
      </w:r>
      <w:r w:rsidR="00C91B9F" w:rsidRPr="00905F75">
        <w:t xml:space="preserve"> (</w:t>
      </w:r>
      <w:r w:rsidR="00C91B9F" w:rsidRPr="008B67AE">
        <w:t>box</w:t>
      </w:r>
      <w:r w:rsidR="00E92A4C">
        <w:t> </w:t>
      </w:r>
      <w:r w:rsidRPr="008B67AE">
        <w:rPr>
          <w:szCs w:val="26"/>
        </w:rPr>
        <w:t>6.1</w:t>
      </w:r>
      <w:r w:rsidR="00C91B9F">
        <w:t>)</w:t>
      </w:r>
      <w:r w:rsidR="00A82698">
        <w:t>.</w:t>
      </w:r>
    </w:p>
    <w:p w:rsidR="00C75902" w:rsidRDefault="00C75902" w:rsidP="00D10C28">
      <w:pPr>
        <w:pStyle w:val="Heading3"/>
        <w:spacing w:before="440"/>
        <w:rPr>
          <w:rStyle w:val="BodyTextChar"/>
        </w:rPr>
      </w:pPr>
      <w:r>
        <w:rPr>
          <w:rStyle w:val="BodyTextChar"/>
        </w:rPr>
        <w:t>Petroleum and natural gas exploration — techniques and impacts</w:t>
      </w:r>
    </w:p>
    <w:p w:rsidR="00226F73" w:rsidRDefault="00AA28A0" w:rsidP="00226F73">
      <w:pPr>
        <w:spacing w:before="240" w:line="320" w:lineRule="atLeast"/>
        <w:jc w:val="both"/>
        <w:rPr>
          <w:rStyle w:val="BodyTextChar"/>
        </w:rPr>
      </w:pPr>
      <w:r>
        <w:rPr>
          <w:rStyle w:val="BodyTextChar"/>
        </w:rPr>
        <w:t xml:space="preserve">Exploration for petroleum and natural gas — both onshore and offshore — has </w:t>
      </w:r>
      <w:r w:rsidR="004C4BF6">
        <w:rPr>
          <w:rStyle w:val="BodyTextChar"/>
        </w:rPr>
        <w:t xml:space="preserve">some similar </w:t>
      </w:r>
      <w:r>
        <w:rPr>
          <w:rStyle w:val="BodyTextChar"/>
        </w:rPr>
        <w:t>impacts</w:t>
      </w:r>
      <w:r w:rsidR="008C7AB6">
        <w:rPr>
          <w:rStyle w:val="BodyTextChar"/>
        </w:rPr>
        <w:t xml:space="preserve"> </w:t>
      </w:r>
      <w:r w:rsidR="004C4BF6">
        <w:rPr>
          <w:rStyle w:val="BodyTextChar"/>
        </w:rPr>
        <w:t xml:space="preserve">to </w:t>
      </w:r>
      <w:r w:rsidR="008C7AB6">
        <w:rPr>
          <w:rStyle w:val="BodyTextChar"/>
        </w:rPr>
        <w:t>exploration for minerals</w:t>
      </w:r>
      <w:r w:rsidR="004C4BF6">
        <w:rPr>
          <w:rStyle w:val="BodyTextChar"/>
        </w:rPr>
        <w:t>, but also has differences</w:t>
      </w:r>
      <w:r w:rsidR="00C75902">
        <w:rPr>
          <w:rStyle w:val="BodyTextChar"/>
        </w:rPr>
        <w:t xml:space="preserve">. </w:t>
      </w:r>
      <w:r w:rsidR="00C15EB3" w:rsidRPr="00EB174C">
        <w:rPr>
          <w:rStyle w:val="BodyTextChar"/>
        </w:rPr>
        <w:t xml:space="preserve">Seismic surveying </w:t>
      </w:r>
      <w:r w:rsidR="00B51D6D">
        <w:rPr>
          <w:rStyle w:val="BodyTextChar"/>
        </w:rPr>
        <w:t>and</w:t>
      </w:r>
      <w:r w:rsidR="008C7AB6">
        <w:rPr>
          <w:rStyle w:val="BodyTextChar"/>
        </w:rPr>
        <w:t xml:space="preserve"> </w:t>
      </w:r>
      <w:r w:rsidR="00226F73">
        <w:rPr>
          <w:rStyle w:val="BodyTextChar"/>
        </w:rPr>
        <w:t xml:space="preserve">drilling are two commonly used methods </w:t>
      </w:r>
      <w:r w:rsidR="00226F73" w:rsidRPr="00EB174C">
        <w:rPr>
          <w:rStyle w:val="BodyTextChar"/>
        </w:rPr>
        <w:t>to define and analyse subsurface geological structures</w:t>
      </w:r>
      <w:r w:rsidR="00226F73">
        <w:rPr>
          <w:rStyle w:val="BodyTextChar"/>
        </w:rPr>
        <w:t xml:space="preserve"> </w:t>
      </w:r>
      <w:r w:rsidR="004C4BF6">
        <w:rPr>
          <w:rStyle w:val="BodyTextChar"/>
        </w:rPr>
        <w:t xml:space="preserve">for the presence and abundance of these resources </w:t>
      </w:r>
      <w:r w:rsidR="00226F73">
        <w:rPr>
          <w:rStyle w:val="BodyTextChar"/>
        </w:rPr>
        <w:t>(</w:t>
      </w:r>
      <w:r w:rsidR="00226F73" w:rsidRPr="008B67AE">
        <w:rPr>
          <w:rStyle w:val="BodyTextChar"/>
        </w:rPr>
        <w:t>box</w:t>
      </w:r>
      <w:r w:rsidR="00E92A4C">
        <w:rPr>
          <w:rStyle w:val="BodyTextChar"/>
        </w:rPr>
        <w:t> </w:t>
      </w:r>
      <w:r w:rsidR="00B622B1" w:rsidRPr="00C019AC">
        <w:rPr>
          <w:szCs w:val="26"/>
        </w:rPr>
        <w:t>6.1</w:t>
      </w:r>
      <w:r w:rsidR="00226F73">
        <w:rPr>
          <w:rStyle w:val="BodyTextChar"/>
        </w:rPr>
        <w:t>).</w:t>
      </w:r>
    </w:p>
    <w:p w:rsidR="00C91B9F" w:rsidRPr="00C91B9F" w:rsidRDefault="00C91B9F" w:rsidP="00C91B9F">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1B9F" w:rsidRPr="00C91B9F" w:rsidTr="00D651B5">
        <w:tc>
          <w:tcPr>
            <w:tcW w:w="8771" w:type="dxa"/>
            <w:tcBorders>
              <w:top w:val="single" w:sz="6" w:space="0" w:color="auto"/>
              <w:bottom w:val="nil"/>
            </w:tcBorders>
          </w:tcPr>
          <w:p w:rsidR="00C91B9F" w:rsidRPr="00B622B1" w:rsidRDefault="00C91B9F" w:rsidP="00A82698">
            <w:pPr>
              <w:keepNext/>
              <w:keepLines/>
              <w:spacing w:before="120" w:line="280" w:lineRule="exact"/>
              <w:ind w:left="1304" w:hanging="1304"/>
              <w:rPr>
                <w:rFonts w:ascii="Arial" w:hAnsi="Arial"/>
                <w:b/>
                <w:szCs w:val="26"/>
              </w:rPr>
            </w:pPr>
            <w:r w:rsidRPr="00B622B1">
              <w:rPr>
                <w:rFonts w:ascii="Arial" w:hAnsi="Arial"/>
                <w:szCs w:val="26"/>
              </w:rPr>
              <w:t>Box</w:t>
            </w:r>
            <w:r w:rsidR="00E92A4C">
              <w:rPr>
                <w:rFonts w:ascii="Arial" w:hAnsi="Arial"/>
                <w:szCs w:val="26"/>
              </w:rPr>
              <w:t> </w:t>
            </w:r>
            <w:r w:rsidRPr="00B622B1">
              <w:rPr>
                <w:rFonts w:ascii="Arial" w:hAnsi="Arial"/>
                <w:szCs w:val="26"/>
              </w:rPr>
              <w:t>6</w:t>
            </w:r>
            <w:r w:rsidR="00A82698" w:rsidRPr="00B622B1">
              <w:rPr>
                <w:rFonts w:ascii="Arial" w:hAnsi="Arial"/>
                <w:szCs w:val="26"/>
              </w:rPr>
              <w:t>.1</w:t>
            </w:r>
            <w:r w:rsidRPr="00B622B1">
              <w:rPr>
                <w:rFonts w:ascii="Arial" w:hAnsi="Arial"/>
                <w:b/>
                <w:szCs w:val="26"/>
              </w:rPr>
              <w:tab/>
              <w:t xml:space="preserve">The </w:t>
            </w:r>
            <w:r w:rsidR="00600D77" w:rsidRPr="00B622B1">
              <w:rPr>
                <w:rFonts w:ascii="Arial" w:hAnsi="Arial"/>
                <w:b/>
                <w:szCs w:val="26"/>
              </w:rPr>
              <w:t xml:space="preserve">potential </w:t>
            </w:r>
            <w:r w:rsidRPr="00B622B1">
              <w:rPr>
                <w:rFonts w:ascii="Arial" w:hAnsi="Arial"/>
                <w:b/>
                <w:szCs w:val="26"/>
              </w:rPr>
              <w:t>environmental impacts of exploration</w:t>
            </w:r>
          </w:p>
        </w:tc>
      </w:tr>
      <w:tr w:rsidR="00C91B9F" w:rsidRPr="00C91B9F" w:rsidTr="00D651B5">
        <w:trPr>
          <w:cantSplit/>
        </w:trPr>
        <w:tc>
          <w:tcPr>
            <w:tcW w:w="8771" w:type="dxa"/>
            <w:tcBorders>
              <w:top w:val="nil"/>
              <w:left w:val="single" w:sz="6" w:space="0" w:color="auto"/>
              <w:bottom w:val="nil"/>
              <w:right w:val="single" w:sz="6" w:space="0" w:color="auto"/>
            </w:tcBorders>
          </w:tcPr>
          <w:p w:rsidR="00C91B9F" w:rsidRPr="00C91B9F" w:rsidRDefault="004C4BF6" w:rsidP="00C91B9F">
            <w:pPr>
              <w:keepNext/>
              <w:spacing w:before="120" w:line="280" w:lineRule="atLeast"/>
              <w:jc w:val="both"/>
              <w:rPr>
                <w:rFonts w:ascii="Arial" w:hAnsi="Arial"/>
                <w:sz w:val="22"/>
                <w:szCs w:val="20"/>
              </w:rPr>
            </w:pPr>
            <w:r>
              <w:rPr>
                <w:rFonts w:ascii="Arial" w:hAnsi="Arial"/>
                <w:sz w:val="22"/>
                <w:szCs w:val="20"/>
              </w:rPr>
              <w:t>Onshore e</w:t>
            </w:r>
            <w:r w:rsidR="00C91B9F" w:rsidRPr="00C91B9F">
              <w:rPr>
                <w:rFonts w:ascii="Arial" w:hAnsi="Arial"/>
                <w:sz w:val="22"/>
                <w:szCs w:val="20"/>
              </w:rPr>
              <w:t xml:space="preserve">xploration for minerals is undertaken using a variety of methods, many of which have </w:t>
            </w:r>
            <w:r w:rsidR="00B823D3">
              <w:rPr>
                <w:rFonts w:ascii="Arial" w:hAnsi="Arial"/>
                <w:sz w:val="22"/>
                <w:szCs w:val="20"/>
              </w:rPr>
              <w:t>a low impact on the environment:</w:t>
            </w:r>
          </w:p>
          <w:p w:rsidR="00C91B9F" w:rsidRPr="00C91B9F" w:rsidRDefault="00C91B9F" w:rsidP="00D651B5">
            <w:pPr>
              <w:pStyle w:val="BoxListBullet"/>
            </w:pPr>
            <w:r w:rsidRPr="00C91B9F">
              <w:rPr>
                <w:b/>
              </w:rPr>
              <w:t>Geologi</w:t>
            </w:r>
            <w:r w:rsidR="001616E9">
              <w:rPr>
                <w:b/>
              </w:rPr>
              <w:t>cal mapping, geochemical surveying</w:t>
            </w:r>
            <w:r w:rsidRPr="00C91B9F">
              <w:t xml:space="preserve"> and </w:t>
            </w:r>
            <w:r w:rsidR="001616E9">
              <w:rPr>
                <w:b/>
              </w:rPr>
              <w:t>geophysical surveying</w:t>
            </w:r>
            <w:r w:rsidRPr="00C91B9F">
              <w:t xml:space="preserve"> are generally carried out on foot, with access to the area </w:t>
            </w:r>
            <w:r w:rsidR="00226F73">
              <w:t>by</w:t>
            </w:r>
            <w:r w:rsidRPr="00C91B9F">
              <w:t xml:space="preserve"> conventional vehicles on existing tracks. Geochemical surveys involve taking rock and soil samples using </w:t>
            </w:r>
            <w:r w:rsidR="0074797F" w:rsidRPr="00C91B9F">
              <w:t>hand tools</w:t>
            </w:r>
            <w:r w:rsidRPr="00C91B9F">
              <w:t xml:space="preserve">, while geophysical surveys involve generating data using </w:t>
            </w:r>
            <w:r w:rsidR="00226F73">
              <w:t>small</w:t>
            </w:r>
            <w:r w:rsidRPr="00C91B9F">
              <w:t xml:space="preserve"> portable instruments such</w:t>
            </w:r>
            <w:r w:rsidR="00226F73">
              <w:t xml:space="preserve"> as gravimeters</w:t>
            </w:r>
            <w:r w:rsidRPr="00C91B9F">
              <w:t xml:space="preserve">. Environmental impacts are </w:t>
            </w:r>
            <w:r w:rsidR="001616E9">
              <w:t xml:space="preserve">generally </w:t>
            </w:r>
            <w:r w:rsidRPr="00C91B9F">
              <w:t>negligible.</w:t>
            </w:r>
          </w:p>
          <w:p w:rsidR="00C91B9F" w:rsidRPr="00C91B9F" w:rsidRDefault="001616E9" w:rsidP="00D651B5">
            <w:pPr>
              <w:pStyle w:val="BoxListBullet"/>
            </w:pPr>
            <w:r>
              <w:rPr>
                <w:b/>
              </w:rPr>
              <w:t>Aerial surveying</w:t>
            </w:r>
            <w:r>
              <w:t xml:space="preserve"> </w:t>
            </w:r>
            <w:r w:rsidR="004C4BF6">
              <w:t>has negligible impact, other than perhaps</w:t>
            </w:r>
            <w:r>
              <w:t xml:space="preserve"> annoyance from</w:t>
            </w:r>
            <w:r w:rsidR="00C91B9F" w:rsidRPr="00C91B9F">
              <w:t xml:space="preserve"> low flying aircraft.</w:t>
            </w:r>
          </w:p>
          <w:p w:rsidR="00C91B9F" w:rsidRPr="00C91B9F" w:rsidRDefault="00C91B9F" w:rsidP="00D651B5">
            <w:pPr>
              <w:pStyle w:val="BoxListBullet"/>
            </w:pPr>
            <w:r w:rsidRPr="00C91B9F">
              <w:rPr>
                <w:b/>
              </w:rPr>
              <w:t>Resistivity, induced polarisa</w:t>
            </w:r>
            <w:r w:rsidR="001616E9">
              <w:rPr>
                <w:b/>
              </w:rPr>
              <w:t>tion and electromagnetic surveying</w:t>
            </w:r>
            <w:r w:rsidR="001616E9">
              <w:t xml:space="preserve"> are</w:t>
            </w:r>
            <w:r w:rsidRPr="00C91B9F">
              <w:t xml:space="preserve"> carried out using equipment with interconnecting cable arrays. Electricity is supplied by a generator which can be vehicle mounted. Impacts include the excavation of shallow holes or the insertion of metal probes and are generally small and temporary.</w:t>
            </w:r>
          </w:p>
          <w:p w:rsidR="00C91B9F" w:rsidRPr="00C91B9F" w:rsidRDefault="001616E9" w:rsidP="00D651B5">
            <w:pPr>
              <w:pStyle w:val="BoxListBullet"/>
            </w:pPr>
            <w:r>
              <w:rPr>
                <w:b/>
              </w:rPr>
              <w:t>Seismic surveying</w:t>
            </w:r>
            <w:r w:rsidR="00C91B9F" w:rsidRPr="00C91B9F">
              <w:t xml:space="preserve"> may require the drilling of shallow holes, usually with a hand</w:t>
            </w:r>
            <w:r w:rsidR="00C91B9F" w:rsidRPr="00C91B9F">
              <w:noBreakHyphen/>
              <w:t>held power auger, and access for light vehicles. Either a small explosive charge is detonated below ground, or a hand</w:t>
            </w:r>
            <w:r w:rsidR="00C91B9F" w:rsidRPr="00C91B9F">
              <w:noBreakHyphen/>
              <w:t>held mechanical hammer or a vehicle</w:t>
            </w:r>
            <w:r w:rsidR="00C91B9F" w:rsidRPr="00C91B9F">
              <w:noBreakHyphen/>
              <w:t xml:space="preserve">mounted weight is used to generate shock </w:t>
            </w:r>
            <w:r>
              <w:t xml:space="preserve">waves in the ground. Impacts </w:t>
            </w:r>
            <w:r w:rsidR="00C91B9F" w:rsidRPr="00C91B9F">
              <w:t>involv</w:t>
            </w:r>
            <w:r>
              <w:t>e</w:t>
            </w:r>
            <w:r w:rsidR="00C91B9F" w:rsidRPr="00C91B9F">
              <w:t xml:space="preserve"> n</w:t>
            </w:r>
            <w:r>
              <w:t>oise and minor ground vibration</w:t>
            </w:r>
            <w:r w:rsidR="00620A40">
              <w:t>,</w:t>
            </w:r>
            <w:r>
              <w:t xml:space="preserve"> and are generally small and temporary.</w:t>
            </w:r>
          </w:p>
          <w:p w:rsidR="00C91B9F" w:rsidRPr="00C91B9F" w:rsidRDefault="00C91B9F" w:rsidP="00D651B5">
            <w:pPr>
              <w:pStyle w:val="BoxListBullet"/>
            </w:pPr>
            <w:r w:rsidRPr="00C91B9F">
              <w:rPr>
                <w:b/>
              </w:rPr>
              <w:t>Drilling</w:t>
            </w:r>
            <w:r w:rsidRPr="00C91B9F">
              <w:t xml:space="preserve"> involves taking subsurface samples. The larger the drill rig, the greater the environmental disturbance</w:t>
            </w:r>
            <w:r w:rsidR="001616E9">
              <w:t xml:space="preserve"> will be</w:t>
            </w:r>
            <w:r w:rsidRPr="00C91B9F">
              <w:t xml:space="preserve">. Environmental impacts can arise from drill pad construction, access to the drill site, sump construction, noise, </w:t>
            </w:r>
            <w:r w:rsidR="006D46CF">
              <w:t xml:space="preserve">waste water disposal </w:t>
            </w:r>
            <w:r w:rsidRPr="00C91B9F">
              <w:t>and intersection of groundwater</w:t>
            </w:r>
            <w:r w:rsidR="00A82698">
              <w:t xml:space="preserve"> aquifers</w:t>
            </w:r>
            <w:r w:rsidRPr="00C91B9F">
              <w:t>.</w:t>
            </w:r>
          </w:p>
          <w:p w:rsidR="00C91B9F" w:rsidRPr="00C91B9F" w:rsidRDefault="00C91B9F" w:rsidP="00D651B5">
            <w:pPr>
              <w:pStyle w:val="BoxListBullet"/>
            </w:pPr>
            <w:r w:rsidRPr="00C91B9F">
              <w:rPr>
                <w:b/>
              </w:rPr>
              <w:t>Costeaning</w:t>
            </w:r>
            <w:r w:rsidRPr="00C91B9F">
              <w:t xml:space="preserve"> and </w:t>
            </w:r>
            <w:r w:rsidRPr="00C91B9F">
              <w:rPr>
                <w:b/>
              </w:rPr>
              <w:t>trenching</w:t>
            </w:r>
            <w:r w:rsidRPr="00C91B9F">
              <w:t xml:space="preserve"> involve mechanical excavation of trenches to expose ground for the observation of geological features and f</w:t>
            </w:r>
            <w:r w:rsidR="001616E9">
              <w:t>or sampling. Possible impacts</w:t>
            </w:r>
            <w:r w:rsidRPr="00C91B9F">
              <w:t xml:space="preserve"> include erosion on steeper slopes, damage to vegetation through excavation or </w:t>
            </w:r>
            <w:r w:rsidR="001616E9">
              <w:t>from clearing to allow access for equipment,</w:t>
            </w:r>
            <w:r w:rsidRPr="00C91B9F">
              <w:t xml:space="preserve"> and mixing of topsoil with the subsoil.</w:t>
            </w:r>
          </w:p>
          <w:p w:rsidR="00C91B9F" w:rsidRPr="00C91B9F" w:rsidRDefault="00C91B9F" w:rsidP="00C91B9F">
            <w:pPr>
              <w:keepNext/>
              <w:spacing w:before="120" w:line="280" w:lineRule="atLeast"/>
              <w:jc w:val="both"/>
              <w:rPr>
                <w:rFonts w:ascii="Arial" w:hAnsi="Arial"/>
                <w:sz w:val="22"/>
                <w:szCs w:val="20"/>
              </w:rPr>
            </w:pPr>
            <w:r w:rsidRPr="00C91B9F">
              <w:rPr>
                <w:rFonts w:ascii="Arial" w:hAnsi="Arial"/>
                <w:sz w:val="22"/>
                <w:szCs w:val="20"/>
              </w:rPr>
              <w:t xml:space="preserve">Exploration for petroleum and natural gas </w:t>
            </w:r>
            <w:r w:rsidR="00226F73">
              <w:rPr>
                <w:rFonts w:ascii="Arial" w:hAnsi="Arial"/>
                <w:sz w:val="22"/>
                <w:szCs w:val="20"/>
              </w:rPr>
              <w:t>is largely</w:t>
            </w:r>
            <w:r w:rsidRPr="00C91B9F">
              <w:rPr>
                <w:rFonts w:ascii="Arial" w:hAnsi="Arial"/>
                <w:sz w:val="22"/>
                <w:szCs w:val="20"/>
              </w:rPr>
              <w:t xml:space="preserve"> undertaken through seismic surveying and drilling. Onshore impacts are similar to those outlined above, although </w:t>
            </w:r>
            <w:r w:rsidR="00A82698">
              <w:rPr>
                <w:rFonts w:ascii="Arial" w:hAnsi="Arial"/>
                <w:sz w:val="22"/>
                <w:szCs w:val="20"/>
              </w:rPr>
              <w:t xml:space="preserve">they </w:t>
            </w:r>
            <w:r w:rsidRPr="00C91B9F">
              <w:rPr>
                <w:rFonts w:ascii="Arial" w:hAnsi="Arial"/>
                <w:sz w:val="22"/>
                <w:szCs w:val="20"/>
              </w:rPr>
              <w:t>can also include hydrocarbon contamination.</w:t>
            </w:r>
            <w:r w:rsidR="00B823D3">
              <w:rPr>
                <w:rFonts w:ascii="Arial" w:hAnsi="Arial"/>
                <w:sz w:val="22"/>
                <w:szCs w:val="20"/>
              </w:rPr>
              <w:t xml:space="preserve"> </w:t>
            </w:r>
            <w:r w:rsidR="004E1596">
              <w:rPr>
                <w:rFonts w:ascii="Arial" w:hAnsi="Arial"/>
                <w:sz w:val="22"/>
                <w:szCs w:val="20"/>
              </w:rPr>
              <w:t>There are also specific impacts from o</w:t>
            </w:r>
            <w:r w:rsidR="00B823D3">
              <w:rPr>
                <w:rFonts w:ascii="Arial" w:hAnsi="Arial"/>
                <w:sz w:val="22"/>
                <w:szCs w:val="20"/>
              </w:rPr>
              <w:t xml:space="preserve">ffshore </w:t>
            </w:r>
            <w:r w:rsidR="004E1596">
              <w:rPr>
                <w:rFonts w:ascii="Arial" w:hAnsi="Arial"/>
                <w:sz w:val="22"/>
                <w:szCs w:val="20"/>
              </w:rPr>
              <w:t>exploration</w:t>
            </w:r>
            <w:r w:rsidR="00B823D3">
              <w:rPr>
                <w:rFonts w:ascii="Arial" w:hAnsi="Arial"/>
                <w:sz w:val="22"/>
                <w:szCs w:val="20"/>
              </w:rPr>
              <w:t>:</w:t>
            </w:r>
          </w:p>
          <w:p w:rsidR="00C91B9F" w:rsidRPr="00C91B9F" w:rsidRDefault="00C91B9F" w:rsidP="006F63BC">
            <w:pPr>
              <w:pStyle w:val="BoxListBullet"/>
            </w:pPr>
            <w:r w:rsidRPr="00C91B9F">
              <w:rPr>
                <w:b/>
              </w:rPr>
              <w:t>Offshore seismic surveying</w:t>
            </w:r>
            <w:r w:rsidRPr="00C91B9F">
              <w:t xml:space="preserve"> generates short, intense pulses of sound directed at the seafloor. This can cause disturbance to marine mammals — including to</w:t>
            </w:r>
            <w:r w:rsidR="00226F73">
              <w:t xml:space="preserve"> </w:t>
            </w:r>
            <w:r w:rsidR="001616E9">
              <w:t xml:space="preserve">their </w:t>
            </w:r>
            <w:r w:rsidR="00226F73">
              <w:t>breeding</w:t>
            </w:r>
            <w:r w:rsidRPr="00C91B9F">
              <w:t xml:space="preserve"> and </w:t>
            </w:r>
            <w:r w:rsidR="00226F73">
              <w:t>migration</w:t>
            </w:r>
            <w:r w:rsidRPr="00C91B9F">
              <w:t xml:space="preserve"> </w:t>
            </w:r>
            <w:r w:rsidR="001616E9">
              <w:t xml:space="preserve">activities </w:t>
            </w:r>
            <w:r w:rsidRPr="00C91B9F">
              <w:t>— and to ecological</w:t>
            </w:r>
            <w:r w:rsidR="001616E9">
              <w:t xml:space="preserve"> communities</w:t>
            </w:r>
            <w:r w:rsidRPr="00C91B9F">
              <w:t>.</w:t>
            </w:r>
          </w:p>
          <w:p w:rsidR="00C91B9F" w:rsidRPr="00C91B9F" w:rsidRDefault="00C91B9F">
            <w:pPr>
              <w:pStyle w:val="BoxListBullet"/>
            </w:pPr>
            <w:r w:rsidRPr="00C91B9F">
              <w:rPr>
                <w:b/>
              </w:rPr>
              <w:t>Offshore drilling</w:t>
            </w:r>
            <w:r w:rsidRPr="00C91B9F">
              <w:t xml:space="preserve"> involves the mechanical drilling of a wellbore through the seabed. Submarine cables and anchors can cause scouring of the sea floor, and drill cuttings can smother </w:t>
            </w:r>
            <w:r w:rsidR="00226F73">
              <w:t xml:space="preserve">marine </w:t>
            </w:r>
            <w:r w:rsidRPr="00C91B9F">
              <w:t xml:space="preserve">fauna. </w:t>
            </w:r>
            <w:r w:rsidR="001616E9">
              <w:t>There are risks of hydrocarbon contamination and disturbance to e</w:t>
            </w:r>
            <w:r w:rsidRPr="00C91B9F">
              <w:t>cological communities and marine habitats.</w:t>
            </w:r>
          </w:p>
        </w:tc>
      </w:tr>
      <w:tr w:rsidR="00C91B9F" w:rsidRPr="00C91B9F" w:rsidTr="00D651B5">
        <w:trPr>
          <w:cantSplit/>
        </w:trPr>
        <w:tc>
          <w:tcPr>
            <w:tcW w:w="8771" w:type="dxa"/>
            <w:tcBorders>
              <w:top w:val="nil"/>
              <w:left w:val="single" w:sz="6" w:space="0" w:color="auto"/>
              <w:bottom w:val="nil"/>
              <w:right w:val="single" w:sz="6" w:space="0" w:color="auto"/>
            </w:tcBorders>
          </w:tcPr>
          <w:p w:rsidR="00C91B9F" w:rsidRPr="00C91B9F" w:rsidRDefault="00C91B9F" w:rsidP="00C91B9F">
            <w:pPr>
              <w:keepLines/>
              <w:spacing w:before="180" w:line="220" w:lineRule="exact"/>
              <w:jc w:val="both"/>
              <w:rPr>
                <w:rFonts w:ascii="Arial" w:hAnsi="Arial"/>
                <w:sz w:val="18"/>
                <w:szCs w:val="20"/>
              </w:rPr>
            </w:pPr>
            <w:r w:rsidRPr="00C91B9F">
              <w:rPr>
                <w:rFonts w:ascii="Arial" w:hAnsi="Arial"/>
                <w:i/>
                <w:sz w:val="18"/>
                <w:szCs w:val="20"/>
              </w:rPr>
              <w:t>Sources</w:t>
            </w:r>
            <w:r w:rsidRPr="00C91B9F">
              <w:rPr>
                <w:rFonts w:ascii="Arial" w:hAnsi="Arial"/>
                <w:sz w:val="18"/>
                <w:szCs w:val="20"/>
              </w:rPr>
              <w:t xml:space="preserve">: </w:t>
            </w:r>
            <w:r w:rsidR="0019215B">
              <w:rPr>
                <w:rFonts w:ascii="Arial" w:hAnsi="Arial"/>
                <w:sz w:val="18"/>
                <w:szCs w:val="20"/>
              </w:rPr>
              <w:t xml:space="preserve">Vic </w:t>
            </w:r>
            <w:r w:rsidRPr="00C91B9F">
              <w:rPr>
                <w:rFonts w:ascii="Arial" w:hAnsi="Arial"/>
                <w:sz w:val="18"/>
                <w:szCs w:val="20"/>
              </w:rPr>
              <w:t xml:space="preserve">DPI </w:t>
            </w:r>
            <w:r w:rsidR="00905F75">
              <w:rPr>
                <w:rFonts w:ascii="Arial" w:hAnsi="Arial"/>
                <w:sz w:val="18"/>
                <w:szCs w:val="20"/>
              </w:rPr>
              <w:t>(</w:t>
            </w:r>
            <w:proofErr w:type="spellStart"/>
            <w:r w:rsidRPr="00C91B9F">
              <w:rPr>
                <w:rFonts w:ascii="Arial" w:hAnsi="Arial"/>
                <w:sz w:val="18"/>
                <w:szCs w:val="20"/>
              </w:rPr>
              <w:t>20</w:t>
            </w:r>
            <w:r w:rsidR="0019215B">
              <w:rPr>
                <w:rFonts w:ascii="Arial" w:hAnsi="Arial"/>
                <w:sz w:val="18"/>
                <w:szCs w:val="20"/>
              </w:rPr>
              <w:t>10b</w:t>
            </w:r>
            <w:proofErr w:type="spellEnd"/>
            <w:r w:rsidR="00905F75">
              <w:rPr>
                <w:rFonts w:ascii="Arial" w:hAnsi="Arial"/>
                <w:sz w:val="18"/>
                <w:szCs w:val="20"/>
              </w:rPr>
              <w:t>)</w:t>
            </w:r>
            <w:r w:rsidRPr="00C91B9F">
              <w:rPr>
                <w:rFonts w:ascii="Arial" w:hAnsi="Arial"/>
                <w:sz w:val="18"/>
                <w:szCs w:val="20"/>
              </w:rPr>
              <w:t xml:space="preserve"> and </w:t>
            </w:r>
            <w:r w:rsidR="00F7322D">
              <w:rPr>
                <w:rFonts w:ascii="Arial" w:hAnsi="Arial"/>
                <w:sz w:val="18"/>
                <w:szCs w:val="20"/>
              </w:rPr>
              <w:t xml:space="preserve">WA </w:t>
            </w:r>
            <w:proofErr w:type="spellStart"/>
            <w:r w:rsidRPr="00C91B9F">
              <w:rPr>
                <w:rFonts w:ascii="Arial" w:hAnsi="Arial"/>
                <w:sz w:val="18"/>
                <w:szCs w:val="20"/>
              </w:rPr>
              <w:t>DMP</w:t>
            </w:r>
            <w:proofErr w:type="spellEnd"/>
            <w:r w:rsidRPr="00C91B9F">
              <w:rPr>
                <w:rFonts w:ascii="Arial" w:hAnsi="Arial"/>
                <w:sz w:val="18"/>
                <w:szCs w:val="20"/>
              </w:rPr>
              <w:t xml:space="preserve"> </w:t>
            </w:r>
            <w:r w:rsidR="00905F75">
              <w:rPr>
                <w:rFonts w:ascii="Arial" w:hAnsi="Arial"/>
                <w:sz w:val="18"/>
                <w:szCs w:val="20"/>
              </w:rPr>
              <w:t>(</w:t>
            </w:r>
            <w:proofErr w:type="spellStart"/>
            <w:r w:rsidRPr="00C91B9F">
              <w:rPr>
                <w:rFonts w:ascii="Arial" w:hAnsi="Arial"/>
                <w:sz w:val="18"/>
                <w:szCs w:val="20"/>
              </w:rPr>
              <w:t>2013</w:t>
            </w:r>
            <w:r w:rsidR="000771F0">
              <w:rPr>
                <w:rFonts w:ascii="Arial" w:hAnsi="Arial"/>
                <w:sz w:val="18"/>
                <w:szCs w:val="20"/>
              </w:rPr>
              <w:t>b</w:t>
            </w:r>
            <w:proofErr w:type="spellEnd"/>
            <w:r w:rsidR="00905F75">
              <w:rPr>
                <w:rFonts w:ascii="Arial" w:hAnsi="Arial"/>
                <w:sz w:val="18"/>
                <w:szCs w:val="20"/>
              </w:rPr>
              <w:t>)</w:t>
            </w:r>
            <w:r w:rsidR="000D6680">
              <w:rPr>
                <w:rFonts w:ascii="Arial" w:hAnsi="Arial"/>
                <w:sz w:val="18"/>
                <w:szCs w:val="20"/>
              </w:rPr>
              <w:t>.</w:t>
            </w:r>
          </w:p>
        </w:tc>
      </w:tr>
      <w:tr w:rsidR="00C91B9F" w:rsidRPr="00C91B9F" w:rsidTr="00D651B5">
        <w:trPr>
          <w:cantSplit/>
        </w:trPr>
        <w:tc>
          <w:tcPr>
            <w:tcW w:w="8771" w:type="dxa"/>
            <w:tcBorders>
              <w:top w:val="nil"/>
              <w:left w:val="single" w:sz="6" w:space="0" w:color="auto"/>
              <w:bottom w:val="single" w:sz="6" w:space="0" w:color="auto"/>
              <w:right w:val="single" w:sz="6" w:space="0" w:color="auto"/>
            </w:tcBorders>
          </w:tcPr>
          <w:p w:rsidR="00C91B9F" w:rsidRPr="00C91B9F" w:rsidRDefault="00C91B9F" w:rsidP="00C91B9F">
            <w:pPr>
              <w:keepNext/>
              <w:spacing w:line="120" w:lineRule="exact"/>
              <w:jc w:val="both"/>
              <w:rPr>
                <w:rFonts w:ascii="Arial" w:hAnsi="Arial"/>
                <w:sz w:val="22"/>
                <w:szCs w:val="20"/>
              </w:rPr>
            </w:pPr>
          </w:p>
        </w:tc>
      </w:tr>
      <w:tr w:rsidR="00C91B9F" w:rsidRPr="00C91B9F" w:rsidTr="00D651B5">
        <w:tc>
          <w:tcPr>
            <w:tcW w:w="8771" w:type="dxa"/>
            <w:tcBorders>
              <w:top w:val="nil"/>
              <w:left w:val="nil"/>
              <w:bottom w:val="nil"/>
              <w:right w:val="nil"/>
            </w:tcBorders>
          </w:tcPr>
          <w:p w:rsidR="00C91B9F" w:rsidRPr="00C91B9F" w:rsidRDefault="00C91B9F" w:rsidP="00C91B9F">
            <w:pPr>
              <w:spacing w:before="60" w:after="60" w:line="80" w:lineRule="exact"/>
              <w:jc w:val="both"/>
              <w:rPr>
                <w:rFonts w:ascii="Arial" w:hAnsi="Arial"/>
                <w:sz w:val="14"/>
                <w:szCs w:val="20"/>
              </w:rPr>
            </w:pPr>
          </w:p>
        </w:tc>
      </w:tr>
    </w:tbl>
    <w:p w:rsidR="00EB174C" w:rsidRPr="00C3505C" w:rsidRDefault="00B51D6D" w:rsidP="00EB174C">
      <w:pPr>
        <w:spacing w:before="240" w:line="320" w:lineRule="atLeast"/>
        <w:jc w:val="both"/>
        <w:rPr>
          <w:szCs w:val="20"/>
        </w:rPr>
      </w:pPr>
      <w:r>
        <w:rPr>
          <w:rStyle w:val="BodyTextChar"/>
        </w:rPr>
        <w:t xml:space="preserve">Potential impacts tend to be larger offshore. </w:t>
      </w:r>
      <w:r w:rsidR="00C15EB3" w:rsidRPr="00EB174C">
        <w:rPr>
          <w:rStyle w:val="BodyTextChar"/>
        </w:rPr>
        <w:t>Seismic surveying utilises a technique that directs acoustic energy (sound) into the rock beneath the sea floor from equipment towed behind a purpose</w:t>
      </w:r>
      <w:r w:rsidR="00E92A4C">
        <w:rPr>
          <w:rStyle w:val="BodyTextChar"/>
        </w:rPr>
        <w:noBreakHyphen/>
      </w:r>
      <w:r w:rsidR="00C15EB3" w:rsidRPr="00EB174C">
        <w:rPr>
          <w:rStyle w:val="BodyTextChar"/>
        </w:rPr>
        <w:t xml:space="preserve">built seismic vessel. The loudest sound sources used in seismic survey </w:t>
      </w:r>
      <w:r w:rsidR="00C15EB3" w:rsidRPr="00EB174C">
        <w:rPr>
          <w:rStyle w:val="BodyTextChar"/>
        </w:rPr>
        <w:lastRenderedPageBreak/>
        <w:t>operations are produced by air</w:t>
      </w:r>
      <w:r w:rsidR="00E92A4C">
        <w:rPr>
          <w:rStyle w:val="BodyTextChar"/>
        </w:rPr>
        <w:noBreakHyphen/>
      </w:r>
      <w:r w:rsidR="00C15EB3" w:rsidRPr="00EB174C">
        <w:rPr>
          <w:rStyle w:val="BodyTextChar"/>
        </w:rPr>
        <w:t>guns which generate short, intense pulses of sound directed at the seafloor.</w:t>
      </w:r>
      <w:r w:rsidR="00FB3EDD" w:rsidRPr="00EB174C">
        <w:rPr>
          <w:rStyle w:val="BodyTextChar"/>
        </w:rPr>
        <w:t xml:space="preserve"> </w:t>
      </w:r>
      <w:r w:rsidR="001F4E17" w:rsidRPr="00EB174C">
        <w:rPr>
          <w:rStyle w:val="BodyTextChar"/>
        </w:rPr>
        <w:t xml:space="preserve">Offshore exploratory drilling </w:t>
      </w:r>
      <w:r w:rsidR="0036397A" w:rsidRPr="00EB174C">
        <w:rPr>
          <w:rStyle w:val="BodyTextChar"/>
        </w:rPr>
        <w:t>is a mechanical process where a wellbore is drilled through the seabed.</w:t>
      </w:r>
      <w:r w:rsidR="0036397A" w:rsidRPr="0036397A">
        <w:t xml:space="preserve"> </w:t>
      </w:r>
    </w:p>
    <w:p w:rsidR="00C3505C" w:rsidRPr="00C3505C" w:rsidRDefault="002A3375" w:rsidP="00C3505C">
      <w:pPr>
        <w:pStyle w:val="BodyText"/>
      </w:pPr>
      <w:r>
        <w:t>Potentially significant impacts could occur in areas that contain habitat</w:t>
      </w:r>
      <w:r w:rsidR="00E97117">
        <w:t>s</w:t>
      </w:r>
      <w:r>
        <w:t xml:space="preserve"> for threatened or migratory species — for example</w:t>
      </w:r>
      <w:r w:rsidR="000D6680">
        <w:t>,</w:t>
      </w:r>
      <w:r>
        <w:t xml:space="preserve"> if seismic activity is likely to interfere with breeding, feeding or migration, or if </w:t>
      </w:r>
      <w:r w:rsidR="00E97117">
        <w:t xml:space="preserve">a </w:t>
      </w:r>
      <w:r>
        <w:t>habitat critical to the survival of a species is damaged by drilling. There is also</w:t>
      </w:r>
      <w:r w:rsidR="00EE5DCD">
        <w:t xml:space="preserve"> the potential for</w:t>
      </w:r>
      <w:r>
        <w:t xml:space="preserve"> impact</w:t>
      </w:r>
      <w:r w:rsidR="00EE5DCD">
        <w:t>s</w:t>
      </w:r>
      <w:r>
        <w:t xml:space="preserve"> if drilling occurs in sensitive marine areas — for example, sea mounts and other areas with high biodive</w:t>
      </w:r>
      <w:r w:rsidR="00EE5DCD">
        <w:t>rsity value</w:t>
      </w:r>
      <w:r w:rsidR="00E97117">
        <w:t xml:space="preserve"> —</w:t>
      </w:r>
      <w:r w:rsidR="004E1596">
        <w:t xml:space="preserve"> or if there is hydrocarbon contamination</w:t>
      </w:r>
      <w:r>
        <w:t>.</w:t>
      </w:r>
    </w:p>
    <w:p w:rsidR="006868BF" w:rsidRPr="00F30A8A" w:rsidRDefault="001A2F67" w:rsidP="00F30A8A">
      <w:pPr>
        <w:pStyle w:val="Heading2"/>
      </w:pPr>
      <w:r>
        <w:t>6</w:t>
      </w:r>
      <w:r w:rsidR="00676650" w:rsidRPr="00F30A8A">
        <w:t>.</w:t>
      </w:r>
      <w:r w:rsidR="008C7677">
        <w:rPr>
          <w:noProof/>
        </w:rPr>
        <w:t>2</w:t>
      </w:r>
      <w:r w:rsidR="00DA3349" w:rsidRPr="00F30A8A">
        <w:tab/>
        <w:t>The r</w:t>
      </w:r>
      <w:r w:rsidR="006868BF" w:rsidRPr="00F30A8A">
        <w:t>egulatory framework</w:t>
      </w:r>
      <w:r w:rsidR="00923476">
        <w:t>s</w:t>
      </w:r>
      <w:r w:rsidR="006868BF" w:rsidRPr="00F30A8A">
        <w:t xml:space="preserve"> for managing </w:t>
      </w:r>
      <w:r w:rsidR="00CA74AD">
        <w:t xml:space="preserve">the </w:t>
      </w:r>
      <w:r w:rsidR="006868BF" w:rsidRPr="00F30A8A">
        <w:t xml:space="preserve">environmental </w:t>
      </w:r>
      <w:r w:rsidR="00DA3349" w:rsidRPr="00F30A8A">
        <w:t>impacts</w:t>
      </w:r>
      <w:r w:rsidR="00812191">
        <w:t xml:space="preserve"> of exploration</w:t>
      </w:r>
    </w:p>
    <w:p w:rsidR="00F30A8A" w:rsidRDefault="00F30A8A" w:rsidP="00F30A8A">
      <w:pPr>
        <w:pStyle w:val="BodyText"/>
      </w:pPr>
      <w:r>
        <w:t>Governments have developed e</w:t>
      </w:r>
      <w:r w:rsidRPr="00F30A8A">
        <w:t>nvironmental regulatory frameworks</w:t>
      </w:r>
      <w:r>
        <w:t xml:space="preserve"> because </w:t>
      </w:r>
      <w:r w:rsidR="006E4AFB">
        <w:t xml:space="preserve">many of the </w:t>
      </w:r>
      <w:r w:rsidRPr="00F30A8A">
        <w:t xml:space="preserve">environmental costs </w:t>
      </w:r>
      <w:r w:rsidR="00AA387C">
        <w:t xml:space="preserve">associated with </w:t>
      </w:r>
      <w:r w:rsidR="00090881">
        <w:t xml:space="preserve">resource </w:t>
      </w:r>
      <w:r w:rsidR="00AA387C">
        <w:t xml:space="preserve">exploration </w:t>
      </w:r>
      <w:r w:rsidRPr="00F30A8A">
        <w:t xml:space="preserve">are not directly </w:t>
      </w:r>
      <w:r w:rsidR="00620A40">
        <w:t>borne</w:t>
      </w:r>
      <w:r w:rsidR="00620A40" w:rsidRPr="00F30A8A">
        <w:t xml:space="preserve"> </w:t>
      </w:r>
      <w:r w:rsidRPr="00F30A8A">
        <w:t>by the</w:t>
      </w:r>
      <w:r>
        <w:t xml:space="preserve"> </w:t>
      </w:r>
      <w:r w:rsidRPr="00F30A8A">
        <w:t>minera</w:t>
      </w:r>
      <w:r>
        <w:t>l and energy resource explorers</w:t>
      </w:r>
      <w:r w:rsidR="00150B94">
        <w:t xml:space="preserve"> that</w:t>
      </w:r>
      <w:r w:rsidRPr="00F30A8A">
        <w:t xml:space="preserve"> cause these costs</w:t>
      </w:r>
      <w:r>
        <w:t>;</w:t>
      </w:r>
      <w:r w:rsidRPr="00F30A8A">
        <w:t xml:space="preserve"> that is, there are negative environmental externalities</w:t>
      </w:r>
      <w:r>
        <w:t>.</w:t>
      </w:r>
    </w:p>
    <w:p w:rsidR="00F30A8A" w:rsidRDefault="00AA387C" w:rsidP="00F30A8A">
      <w:pPr>
        <w:pStyle w:val="BodyText"/>
      </w:pPr>
      <w:r>
        <w:t>The r</w:t>
      </w:r>
      <w:r w:rsidR="00F30A8A" w:rsidRPr="00F30A8A">
        <w:t>egulatory framework</w:t>
      </w:r>
      <w:r w:rsidR="00F30A8A">
        <w:t>s</w:t>
      </w:r>
      <w:r w:rsidR="00F30A8A" w:rsidRPr="00F30A8A">
        <w:t xml:space="preserve"> </w:t>
      </w:r>
      <w:r w:rsidR="00F30A8A">
        <w:t xml:space="preserve">seek to ensure that </w:t>
      </w:r>
      <w:r>
        <w:t>such externalities will be</w:t>
      </w:r>
      <w:r w:rsidR="00F30A8A" w:rsidRPr="00F30A8A">
        <w:t xml:space="preserve"> recognised and taken into</w:t>
      </w:r>
      <w:r w:rsidR="00F30A8A">
        <w:t xml:space="preserve"> account</w:t>
      </w:r>
      <w:r w:rsidR="00090881">
        <w:t xml:space="preserve"> </w:t>
      </w:r>
      <w:r w:rsidR="006E4AFB">
        <w:t>during the assessment and approval process for exp</w:t>
      </w:r>
      <w:r w:rsidR="00090881">
        <w:t>loration proposals</w:t>
      </w:r>
      <w:r>
        <w:t xml:space="preserve">. </w:t>
      </w:r>
      <w:r w:rsidR="00F30A8A" w:rsidRPr="00F30A8A">
        <w:t>The policy challenge for government</w:t>
      </w:r>
      <w:r>
        <w:t xml:space="preserve">s when developing </w:t>
      </w:r>
      <w:r w:rsidR="00F30A8A" w:rsidRPr="00F30A8A">
        <w:t>regulatory frameworks</w:t>
      </w:r>
      <w:r>
        <w:t xml:space="preserve"> —</w:t>
      </w:r>
      <w:r w:rsidR="00F30A8A" w:rsidRPr="00F30A8A">
        <w:t xml:space="preserve"> and the administrative task for regulators</w:t>
      </w:r>
      <w:r>
        <w:t xml:space="preserve"> —</w:t>
      </w:r>
      <w:r w:rsidR="00F30A8A" w:rsidRPr="00F30A8A">
        <w:t xml:space="preserve"> is</w:t>
      </w:r>
      <w:r w:rsidR="00B230CC">
        <w:t xml:space="preserve"> to </w:t>
      </w:r>
      <w:r w:rsidR="004E1596">
        <w:t xml:space="preserve">achieve an </w:t>
      </w:r>
      <w:r w:rsidR="00F30A8A" w:rsidRPr="00F30A8A">
        <w:t>appropriate</w:t>
      </w:r>
      <w:r w:rsidR="00B230CC">
        <w:t xml:space="preserve"> balance</w:t>
      </w:r>
      <w:r w:rsidR="00F30A8A" w:rsidRPr="00F30A8A">
        <w:t xml:space="preserve"> </w:t>
      </w:r>
      <w:r w:rsidR="004E1596">
        <w:t xml:space="preserve">between </w:t>
      </w:r>
      <w:r w:rsidR="00F30A8A" w:rsidRPr="00F30A8A">
        <w:t xml:space="preserve">the </w:t>
      </w:r>
      <w:r w:rsidR="00E97117">
        <w:t xml:space="preserve">potential </w:t>
      </w:r>
      <w:r w:rsidR="00F30A8A" w:rsidRPr="00F30A8A">
        <w:t>benefits afforded by resource exploration and the associated potential environmental costs.</w:t>
      </w:r>
    </w:p>
    <w:p w:rsidR="00FB3EDD" w:rsidRDefault="00791651" w:rsidP="00FB3EDD">
      <w:pPr>
        <w:pStyle w:val="Heading3"/>
      </w:pPr>
      <w:r>
        <w:t>State</w:t>
      </w:r>
      <w:r w:rsidR="00C644B8">
        <w:t xml:space="preserve"> and t</w:t>
      </w:r>
      <w:r>
        <w:t xml:space="preserve">erritory </w:t>
      </w:r>
      <w:r w:rsidR="00812191">
        <w:t>environmental legislation</w:t>
      </w:r>
    </w:p>
    <w:p w:rsidR="00FC5D1B" w:rsidRDefault="00604123" w:rsidP="006868BF">
      <w:pPr>
        <w:pStyle w:val="BodyText"/>
      </w:pPr>
      <w:r>
        <w:t>S</w:t>
      </w:r>
      <w:r w:rsidR="00D625BF">
        <w:t>tate and t</w:t>
      </w:r>
      <w:r w:rsidR="00FF4BB4">
        <w:t>erritory governments</w:t>
      </w:r>
      <w:r w:rsidR="006868BF">
        <w:t xml:space="preserve"> are the main authorities for environmental management within their respective jurisdictions.</w:t>
      </w:r>
      <w:r w:rsidR="00AA7B69">
        <w:t xml:space="preserve"> </w:t>
      </w:r>
      <w:r w:rsidR="002A3375">
        <w:t>Their</w:t>
      </w:r>
      <w:r w:rsidR="00AA7B69">
        <w:t xml:space="preserve"> regulatory frameworks </w:t>
      </w:r>
      <w:r w:rsidR="00026B97">
        <w:t xml:space="preserve">typically </w:t>
      </w:r>
      <w:r w:rsidR="00AA7B69">
        <w:t xml:space="preserve">distinguish between exploration for minerals and </w:t>
      </w:r>
      <w:r w:rsidR="002A3375">
        <w:t xml:space="preserve">for </w:t>
      </w:r>
      <w:r w:rsidR="00AA7B69">
        <w:t xml:space="preserve">petroleum and </w:t>
      </w:r>
      <w:r w:rsidR="004E1596">
        <w:t xml:space="preserve">natural </w:t>
      </w:r>
      <w:r w:rsidR="00AA7B69">
        <w:t>gas, and between exploration on land and at sea. Th</w:t>
      </w:r>
      <w:r w:rsidR="00DD5A02">
        <w:t>is</w:t>
      </w:r>
      <w:r w:rsidR="00026B97">
        <w:t xml:space="preserve"> approach</w:t>
      </w:r>
      <w:r w:rsidR="00DD5A02">
        <w:t xml:space="preserve"> reflects the differing techniques</w:t>
      </w:r>
      <w:r w:rsidR="00AA7B69">
        <w:t xml:space="preserve"> </w:t>
      </w:r>
      <w:r w:rsidR="00DD5A02">
        <w:t>associated with</w:t>
      </w:r>
      <w:r w:rsidR="00AA7B69">
        <w:t xml:space="preserve"> such exploration activit</w:t>
      </w:r>
      <w:r w:rsidR="004E1596">
        <w:t>ies</w:t>
      </w:r>
      <w:r w:rsidR="00AA7B69">
        <w:t xml:space="preserve"> and the differing environments within which such activit</w:t>
      </w:r>
      <w:r w:rsidR="004E1596">
        <w:t>ies</w:t>
      </w:r>
      <w:r w:rsidR="00AA7B69">
        <w:t xml:space="preserve"> occur.</w:t>
      </w:r>
      <w:r w:rsidR="002A3375">
        <w:t xml:space="preserve"> </w:t>
      </w:r>
      <w:r w:rsidR="002A3375" w:rsidRPr="002A3375">
        <w:t>The jurisdictions also</w:t>
      </w:r>
      <w:r w:rsidR="000D6680">
        <w:t xml:space="preserve"> have environmental protection A</w:t>
      </w:r>
      <w:r w:rsidR="002A3375" w:rsidRPr="002A3375">
        <w:t xml:space="preserve">cts </w:t>
      </w:r>
      <w:r w:rsidR="003624AE">
        <w:t>that</w:t>
      </w:r>
      <w:r w:rsidR="002A3375" w:rsidRPr="002A3375">
        <w:t xml:space="preserve"> establish impact assessment requirements</w:t>
      </w:r>
      <w:r w:rsidR="002A3375">
        <w:t>.</w:t>
      </w:r>
    </w:p>
    <w:p w:rsidR="00600D77" w:rsidRPr="00CE4B5C" w:rsidRDefault="000D6680" w:rsidP="00CE4B5C">
      <w:pPr>
        <w:pStyle w:val="BodyText"/>
      </w:pPr>
      <w:r>
        <w:t>The main A</w:t>
      </w:r>
      <w:r w:rsidR="00600D77" w:rsidRPr="00CE4B5C">
        <w:t>cts and supporting legislation, codes of practice and guidelines to manage the environmental impacts of onshore exploration are outlined in table</w:t>
      </w:r>
      <w:r w:rsidR="00E92A4C">
        <w:t> </w:t>
      </w:r>
      <w:r w:rsidR="00600D77" w:rsidRPr="00CE4B5C">
        <w:t xml:space="preserve">6.1. </w:t>
      </w:r>
    </w:p>
    <w:p w:rsidR="00600D77" w:rsidRDefault="00CE4B5C" w:rsidP="00CE4B5C">
      <w:pPr>
        <w:pStyle w:val="BodyText"/>
      </w:pPr>
      <w:r w:rsidRPr="00CD2D6C">
        <w:t>The s</w:t>
      </w:r>
      <w:r w:rsidR="00600D77" w:rsidRPr="00CE4B5C">
        <w:t xml:space="preserve">tates and the Northern Territory have title and powers over the resources of the seabed adjacent to their shores, from the low water mark to the outer limit of the first three nautical miles of the territorial sea — the so called ‘coastal waters’. State and territory </w:t>
      </w:r>
      <w:r w:rsidR="00600D77" w:rsidRPr="00CE4B5C">
        <w:lastRenderedPageBreak/>
        <w:t>environmental, conservation and planning legislation appl</w:t>
      </w:r>
      <w:r w:rsidR="00923476">
        <w:t>i</w:t>
      </w:r>
      <w:r w:rsidR="00600D77" w:rsidRPr="00CE4B5C">
        <w:t xml:space="preserve">es to activities in </w:t>
      </w:r>
      <w:r w:rsidR="00C1792D">
        <w:t>the coastal waters</w:t>
      </w:r>
      <w:r w:rsidR="00C1792D" w:rsidRPr="00CE4B5C">
        <w:t xml:space="preserve"> </w:t>
      </w:r>
      <w:r w:rsidR="00600D77" w:rsidRPr="00CE4B5C">
        <w:t>under their jurisdiction. The key coastal waters legislation in each state and territory is listed in table</w:t>
      </w:r>
      <w:r w:rsidR="00E92A4C">
        <w:t> </w:t>
      </w:r>
      <w:r w:rsidR="00600D77" w:rsidRPr="00CE4B5C">
        <w:t>6.2</w:t>
      </w:r>
      <w:r w:rsidR="00600D77" w:rsidRPr="00600D77">
        <w:t>.</w:t>
      </w:r>
    </w:p>
    <w:p w:rsidR="0082619B" w:rsidRDefault="0082619B" w:rsidP="0082619B">
      <w:pPr>
        <w:pStyle w:val="Heading3"/>
      </w:pPr>
      <w:r>
        <w:t>State and territory assessment and approval processes</w:t>
      </w:r>
    </w:p>
    <w:p w:rsidR="0082619B" w:rsidRDefault="0082619B" w:rsidP="0082619B">
      <w:pPr>
        <w:pStyle w:val="BodyText"/>
      </w:pPr>
      <w:r w:rsidRPr="002D0757">
        <w:t xml:space="preserve">While jurisdictions have varying processes </w:t>
      </w:r>
      <w:r>
        <w:t>for identifying environmental impacts and determining ways to manage those impacts, there are many common features.</w:t>
      </w:r>
    </w:p>
    <w:p w:rsidR="0082619B" w:rsidRDefault="0082619B" w:rsidP="0082619B">
      <w:pPr>
        <w:pStyle w:val="Heading4"/>
      </w:pPr>
      <w:r>
        <w:t>Proposal, Notice of Intention, Environment (Management) Plan or Initial Advice Statement</w:t>
      </w:r>
    </w:p>
    <w:p w:rsidR="0082619B" w:rsidRDefault="0082619B" w:rsidP="0082619B">
      <w:pPr>
        <w:pStyle w:val="BodyText"/>
      </w:pPr>
      <w:r>
        <w:t>In seeking environmental approval, the proponent is required to outline: the proposal and its duration; the infrastructure it will need; the proposed community consultation program; and potential environmental impacts, their significance, and how it plans to manage those impacts. The proposal is often presented as a formal document of advice that the proponent uses to:</w:t>
      </w:r>
    </w:p>
    <w:p w:rsidR="0082619B" w:rsidRDefault="0082619B" w:rsidP="0082619B">
      <w:pPr>
        <w:pStyle w:val="ListBullet"/>
      </w:pPr>
      <w:r>
        <w:t>trigger the approvals process</w:t>
      </w:r>
    </w:p>
    <w:p w:rsidR="0082619B" w:rsidRDefault="0082619B" w:rsidP="0082619B">
      <w:pPr>
        <w:pStyle w:val="ListBullet"/>
      </w:pPr>
      <w:r>
        <w:t>inform the community about the project.</w:t>
      </w:r>
    </w:p>
    <w:p w:rsidR="0082619B" w:rsidRDefault="0082619B" w:rsidP="0082619B">
      <w:pPr>
        <w:pStyle w:val="Heading4"/>
      </w:pPr>
      <w:r>
        <w:t>Assessment and approval</w:t>
      </w:r>
    </w:p>
    <w:p w:rsidR="0082619B" w:rsidRDefault="0082619B" w:rsidP="0082619B">
      <w:pPr>
        <w:pStyle w:val="BodyText"/>
      </w:pPr>
      <w:r>
        <w:t>The relevant state or territory regulator decides whether an environmental assessment is necessary based on the likely significance of the environmental impacts.</w:t>
      </w:r>
      <w:r w:rsidRPr="00712657">
        <w:t xml:space="preserve"> </w:t>
      </w:r>
      <w:r>
        <w:t xml:space="preserve">In some jurisdictions, the regulator is an environment agency; in others, it is the resources department operating on the advice of an environment agency. </w:t>
      </w:r>
    </w:p>
    <w:p w:rsidR="0082619B" w:rsidRPr="00600D77" w:rsidRDefault="0082619B" w:rsidP="0082619B">
      <w:pPr>
        <w:pStyle w:val="BodyText"/>
      </w:pPr>
      <w:r>
        <w:t xml:space="preserve">Most processes have several levels of assessment, appropriate to the environmental significance and complexity of the proposed project. </w:t>
      </w:r>
      <w:r w:rsidRPr="00FA3F7D">
        <w:t>Where it is clear from the initial advice that the</w:t>
      </w:r>
      <w:r>
        <w:t xml:space="preserve"> explorer</w:t>
      </w:r>
      <w:r w:rsidRPr="00FA3F7D">
        <w:t xml:space="preserve"> has adequately addressed environmental concerns and will be using </w:t>
      </w:r>
      <w:r>
        <w:t>appropriate</w:t>
      </w:r>
      <w:r w:rsidRPr="00FA3F7D">
        <w:t xml:space="preserve"> environmental mana</w:t>
      </w:r>
      <w:r>
        <w:t>gement practices, the</w:t>
      </w:r>
      <w:r w:rsidRPr="00FA3F7D">
        <w:t xml:space="preserve"> </w:t>
      </w:r>
      <w:r>
        <w:t>regulator</w:t>
      </w:r>
    </w:p>
    <w:p w:rsidR="00D13D39" w:rsidRDefault="00D13D39">
      <w:pPr>
        <w:pStyle w:val="TableTitle"/>
      </w:pPr>
      <w:r>
        <w:rPr>
          <w:b w:val="0"/>
        </w:rPr>
        <w:lastRenderedPageBreak/>
        <w:t xml:space="preserve">Table </w:t>
      </w:r>
      <w:r w:rsidR="00D94B80">
        <w:rPr>
          <w:b w:val="0"/>
        </w:rPr>
        <w:t>6.1</w:t>
      </w:r>
      <w:r w:rsidR="00C644B8">
        <w:tab/>
        <w:t>Key state/t</w:t>
      </w:r>
      <w:r>
        <w:t>erritory environmental protection legislation</w:t>
      </w:r>
      <w:r w:rsidR="00D457E8">
        <w:t xml:space="preserve"> for onshore exploration</w:t>
      </w:r>
    </w:p>
    <w:tbl>
      <w:tblPr>
        <w:tblW w:w="5000" w:type="pct"/>
        <w:tblCellMar>
          <w:left w:w="0" w:type="dxa"/>
          <w:right w:w="0" w:type="dxa"/>
        </w:tblCellMar>
        <w:tblLook w:val="0000" w:firstRow="0" w:lastRow="0" w:firstColumn="0" w:lastColumn="0" w:noHBand="0" w:noVBand="0"/>
      </w:tblPr>
      <w:tblGrid>
        <w:gridCol w:w="1985"/>
        <w:gridCol w:w="3401"/>
        <w:gridCol w:w="3403"/>
      </w:tblGrid>
      <w:tr w:rsidR="00D13D39" w:rsidTr="002B468B">
        <w:trPr>
          <w:cantSplit/>
        </w:trPr>
        <w:tc>
          <w:tcPr>
            <w:tcW w:w="1129" w:type="pct"/>
            <w:tcBorders>
              <w:top w:val="single" w:sz="6" w:space="0" w:color="auto"/>
              <w:bottom w:val="single" w:sz="6" w:space="0" w:color="auto"/>
            </w:tcBorders>
            <w:shd w:val="clear" w:color="auto" w:fill="auto"/>
          </w:tcPr>
          <w:p w:rsidR="00D13D39" w:rsidRDefault="006A0E7E" w:rsidP="00836837">
            <w:pPr>
              <w:pStyle w:val="TableColumnHeading"/>
              <w:jc w:val="left"/>
            </w:pPr>
            <w:r>
              <w:t>Jurisdiction</w:t>
            </w:r>
          </w:p>
        </w:tc>
        <w:tc>
          <w:tcPr>
            <w:tcW w:w="1935" w:type="pct"/>
            <w:tcBorders>
              <w:top w:val="single" w:sz="6" w:space="0" w:color="auto"/>
              <w:bottom w:val="single" w:sz="6" w:space="0" w:color="auto"/>
            </w:tcBorders>
            <w:shd w:val="clear" w:color="auto" w:fill="auto"/>
          </w:tcPr>
          <w:p w:rsidR="00D13D39" w:rsidRDefault="00D13D39" w:rsidP="00D13D39">
            <w:pPr>
              <w:pStyle w:val="TableColumnHeading"/>
              <w:jc w:val="center"/>
            </w:pPr>
            <w:r>
              <w:t>Relevant Acts</w:t>
            </w:r>
          </w:p>
        </w:tc>
        <w:tc>
          <w:tcPr>
            <w:tcW w:w="1936" w:type="pct"/>
            <w:tcBorders>
              <w:top w:val="single" w:sz="6" w:space="0" w:color="auto"/>
              <w:bottom w:val="single" w:sz="6" w:space="0" w:color="auto"/>
            </w:tcBorders>
            <w:shd w:val="clear" w:color="auto" w:fill="auto"/>
          </w:tcPr>
          <w:p w:rsidR="00D13D39" w:rsidRDefault="00D13D39" w:rsidP="00D13D39">
            <w:pPr>
              <w:pStyle w:val="TableColumnHeading"/>
              <w:ind w:right="28"/>
              <w:jc w:val="center"/>
            </w:pPr>
            <w:r>
              <w:t>Other key legislation, guidelines and codes of practice</w:t>
            </w:r>
          </w:p>
        </w:tc>
      </w:tr>
      <w:tr w:rsidR="00D13D39" w:rsidTr="002B468B">
        <w:trPr>
          <w:cantSplit/>
        </w:trPr>
        <w:tc>
          <w:tcPr>
            <w:tcW w:w="1129" w:type="pct"/>
            <w:tcBorders>
              <w:top w:val="single" w:sz="6" w:space="0" w:color="auto"/>
            </w:tcBorders>
            <w:shd w:val="pct5" w:color="auto" w:fill="auto"/>
          </w:tcPr>
          <w:p w:rsidR="00D13D39" w:rsidRPr="002B468B" w:rsidRDefault="00D13D39" w:rsidP="00D13D39">
            <w:pPr>
              <w:pStyle w:val="TableUnitsRow"/>
              <w:jc w:val="left"/>
              <w:rPr>
                <w:sz w:val="19"/>
                <w:szCs w:val="19"/>
              </w:rPr>
            </w:pPr>
            <w:r w:rsidRPr="002B468B">
              <w:rPr>
                <w:sz w:val="19"/>
                <w:szCs w:val="19"/>
              </w:rPr>
              <w:t>New South Wales</w:t>
            </w:r>
          </w:p>
        </w:tc>
        <w:tc>
          <w:tcPr>
            <w:tcW w:w="1935" w:type="pct"/>
            <w:tcBorders>
              <w:top w:val="single" w:sz="6" w:space="0" w:color="auto"/>
            </w:tcBorders>
            <w:shd w:val="pct5" w:color="auto" w:fill="auto"/>
          </w:tcPr>
          <w:p w:rsidR="00D13D39" w:rsidRPr="002B468B" w:rsidRDefault="00D13D39" w:rsidP="00D13D39">
            <w:pPr>
              <w:pStyle w:val="TableUnitsRow"/>
              <w:jc w:val="left"/>
              <w:rPr>
                <w:sz w:val="19"/>
                <w:szCs w:val="19"/>
              </w:rPr>
            </w:pPr>
            <w:r w:rsidRPr="002B468B">
              <w:rPr>
                <w:sz w:val="19"/>
                <w:szCs w:val="19"/>
              </w:rPr>
              <w:t>Protection of Environment Operations Act 1997</w:t>
            </w:r>
          </w:p>
          <w:p w:rsidR="00CB4C77" w:rsidRPr="002B468B" w:rsidRDefault="00CB4C77" w:rsidP="00CB4C77">
            <w:pPr>
              <w:pStyle w:val="TableUnitsRow"/>
              <w:jc w:val="left"/>
              <w:rPr>
                <w:sz w:val="19"/>
                <w:szCs w:val="19"/>
              </w:rPr>
            </w:pPr>
            <w:r w:rsidRPr="002B468B">
              <w:rPr>
                <w:sz w:val="19"/>
                <w:szCs w:val="19"/>
              </w:rPr>
              <w:t>Protection of Environment Operations Amendment (Environmental Monitoring) Act 2010</w:t>
            </w:r>
          </w:p>
        </w:tc>
        <w:tc>
          <w:tcPr>
            <w:tcW w:w="1936" w:type="pct"/>
            <w:tcBorders>
              <w:top w:val="single" w:sz="6" w:space="0" w:color="auto"/>
            </w:tcBorders>
            <w:shd w:val="pct5" w:color="auto" w:fill="auto"/>
          </w:tcPr>
          <w:p w:rsidR="00D13D39" w:rsidRPr="002B468B" w:rsidRDefault="00D13D39" w:rsidP="00D13D39">
            <w:pPr>
              <w:pStyle w:val="TableUnitsRow"/>
              <w:ind w:right="28"/>
              <w:jc w:val="left"/>
              <w:rPr>
                <w:sz w:val="19"/>
                <w:szCs w:val="19"/>
              </w:rPr>
            </w:pPr>
            <w:r w:rsidRPr="002B468B">
              <w:rPr>
                <w:sz w:val="19"/>
                <w:szCs w:val="19"/>
              </w:rPr>
              <w:t xml:space="preserve">Protection of the </w:t>
            </w:r>
            <w:r w:rsidR="00CB4C77" w:rsidRPr="002B468B">
              <w:rPr>
                <w:sz w:val="19"/>
                <w:szCs w:val="19"/>
              </w:rPr>
              <w:t>Environment Operations (General)</w:t>
            </w:r>
            <w:r w:rsidRPr="002B468B">
              <w:rPr>
                <w:sz w:val="19"/>
                <w:szCs w:val="19"/>
              </w:rPr>
              <w:t xml:space="preserve"> Regulation 1998</w:t>
            </w:r>
          </w:p>
          <w:p w:rsidR="00D13D39" w:rsidRPr="002B468B" w:rsidRDefault="00D13D39" w:rsidP="00D13D39">
            <w:pPr>
              <w:pStyle w:val="TableUnitsRow"/>
              <w:ind w:right="28"/>
              <w:jc w:val="left"/>
              <w:rPr>
                <w:sz w:val="19"/>
                <w:szCs w:val="19"/>
              </w:rPr>
            </w:pPr>
            <w:r w:rsidRPr="002B468B">
              <w:rPr>
                <w:sz w:val="19"/>
                <w:szCs w:val="19"/>
              </w:rPr>
              <w:t>Clean Waters Regulations 1972</w:t>
            </w:r>
          </w:p>
        </w:tc>
      </w:tr>
      <w:tr w:rsidR="00D13D39" w:rsidTr="002B468B">
        <w:trPr>
          <w:cantSplit/>
        </w:trPr>
        <w:tc>
          <w:tcPr>
            <w:tcW w:w="1129" w:type="pct"/>
          </w:tcPr>
          <w:p w:rsidR="00D13D39" w:rsidRPr="002B468B" w:rsidRDefault="00D13D39" w:rsidP="00D13D39">
            <w:pPr>
              <w:pStyle w:val="TableBodyText"/>
              <w:jc w:val="left"/>
              <w:rPr>
                <w:sz w:val="19"/>
                <w:szCs w:val="19"/>
              </w:rPr>
            </w:pPr>
            <w:r w:rsidRPr="002B468B">
              <w:rPr>
                <w:sz w:val="19"/>
                <w:szCs w:val="19"/>
              </w:rPr>
              <w:t>Victoria</w:t>
            </w:r>
          </w:p>
        </w:tc>
        <w:tc>
          <w:tcPr>
            <w:tcW w:w="1935" w:type="pct"/>
          </w:tcPr>
          <w:p w:rsidR="00D13D39" w:rsidRPr="002B468B" w:rsidRDefault="00D13D39" w:rsidP="00D13D39">
            <w:pPr>
              <w:pStyle w:val="TableBodyText"/>
              <w:jc w:val="left"/>
              <w:rPr>
                <w:sz w:val="19"/>
                <w:szCs w:val="19"/>
              </w:rPr>
            </w:pPr>
            <w:r w:rsidRPr="002B468B">
              <w:rPr>
                <w:sz w:val="19"/>
                <w:szCs w:val="19"/>
              </w:rPr>
              <w:t>Environment Protection Act 1970</w:t>
            </w:r>
          </w:p>
          <w:p w:rsidR="00D13D39" w:rsidRPr="002B468B" w:rsidRDefault="001C3AE6" w:rsidP="00D13D39">
            <w:pPr>
              <w:pStyle w:val="TableBodyText"/>
              <w:jc w:val="left"/>
              <w:rPr>
                <w:sz w:val="19"/>
                <w:szCs w:val="19"/>
              </w:rPr>
            </w:pPr>
            <w:r w:rsidRPr="002B468B">
              <w:rPr>
                <w:sz w:val="19"/>
                <w:szCs w:val="19"/>
              </w:rPr>
              <w:t>Flora and Fauna Gu</w:t>
            </w:r>
            <w:r w:rsidR="00D13D39" w:rsidRPr="002B468B">
              <w:rPr>
                <w:sz w:val="19"/>
                <w:szCs w:val="19"/>
              </w:rPr>
              <w:t>arantee Act 1988</w:t>
            </w:r>
          </w:p>
          <w:p w:rsidR="00D13D39" w:rsidRPr="002B468B" w:rsidRDefault="00D13D39" w:rsidP="00D13D39">
            <w:pPr>
              <w:pStyle w:val="TableBodyText"/>
              <w:jc w:val="left"/>
              <w:rPr>
                <w:sz w:val="19"/>
                <w:szCs w:val="19"/>
              </w:rPr>
            </w:pPr>
            <w:r w:rsidRPr="002B468B">
              <w:rPr>
                <w:sz w:val="19"/>
                <w:szCs w:val="19"/>
              </w:rPr>
              <w:t>National Parks Act 1975</w:t>
            </w:r>
          </w:p>
          <w:p w:rsidR="00D13D39" w:rsidRPr="002B468B" w:rsidRDefault="00D13D39" w:rsidP="00D13D39">
            <w:pPr>
              <w:pStyle w:val="TableBodyText"/>
              <w:jc w:val="left"/>
              <w:rPr>
                <w:sz w:val="19"/>
                <w:szCs w:val="19"/>
              </w:rPr>
            </w:pPr>
            <w:r w:rsidRPr="002B468B">
              <w:rPr>
                <w:sz w:val="19"/>
                <w:szCs w:val="19"/>
              </w:rPr>
              <w:t>Environment Effects Act 1978</w:t>
            </w:r>
          </w:p>
        </w:tc>
        <w:tc>
          <w:tcPr>
            <w:tcW w:w="1936" w:type="pct"/>
          </w:tcPr>
          <w:p w:rsidR="00D13D39" w:rsidRPr="002B468B" w:rsidRDefault="00D13D39" w:rsidP="00D13D39">
            <w:pPr>
              <w:pStyle w:val="TableBodyText"/>
              <w:ind w:right="28"/>
              <w:jc w:val="left"/>
              <w:rPr>
                <w:sz w:val="19"/>
                <w:szCs w:val="19"/>
              </w:rPr>
            </w:pPr>
            <w:r w:rsidRPr="002B468B">
              <w:rPr>
                <w:sz w:val="19"/>
                <w:szCs w:val="19"/>
              </w:rPr>
              <w:t>State Environment Protection Policies (</w:t>
            </w:r>
            <w:proofErr w:type="spellStart"/>
            <w:r w:rsidRPr="002B468B">
              <w:rPr>
                <w:sz w:val="19"/>
                <w:szCs w:val="19"/>
              </w:rPr>
              <w:t>eg</w:t>
            </w:r>
            <w:proofErr w:type="spellEnd"/>
            <w:r w:rsidRPr="002B468B">
              <w:rPr>
                <w:sz w:val="19"/>
                <w:szCs w:val="19"/>
              </w:rPr>
              <w:t>. ambient air quality, control of noise, water quality)</w:t>
            </w:r>
          </w:p>
          <w:p w:rsidR="00D13D39" w:rsidRPr="002B468B" w:rsidRDefault="00D13D39" w:rsidP="00D13D39">
            <w:pPr>
              <w:pStyle w:val="TableBodyText"/>
              <w:ind w:right="28"/>
              <w:jc w:val="left"/>
              <w:rPr>
                <w:sz w:val="19"/>
                <w:szCs w:val="19"/>
              </w:rPr>
            </w:pPr>
            <w:r w:rsidRPr="002B468B">
              <w:rPr>
                <w:sz w:val="19"/>
                <w:szCs w:val="19"/>
              </w:rPr>
              <w:t>National Parks (Parks) Regulations 2003</w:t>
            </w:r>
          </w:p>
        </w:tc>
      </w:tr>
      <w:tr w:rsidR="00D13D39" w:rsidTr="002B468B">
        <w:trPr>
          <w:cantSplit/>
        </w:trPr>
        <w:tc>
          <w:tcPr>
            <w:tcW w:w="1129" w:type="pct"/>
            <w:shd w:val="pct5" w:color="auto" w:fill="auto"/>
          </w:tcPr>
          <w:p w:rsidR="00D13D39" w:rsidRPr="002B468B" w:rsidRDefault="00D13D39" w:rsidP="00D13D39">
            <w:pPr>
              <w:pStyle w:val="TableBodyText"/>
              <w:jc w:val="left"/>
              <w:rPr>
                <w:sz w:val="19"/>
                <w:szCs w:val="19"/>
              </w:rPr>
            </w:pPr>
            <w:r w:rsidRPr="002B468B">
              <w:rPr>
                <w:sz w:val="19"/>
                <w:szCs w:val="19"/>
              </w:rPr>
              <w:t>Queensland</w:t>
            </w:r>
          </w:p>
        </w:tc>
        <w:tc>
          <w:tcPr>
            <w:tcW w:w="1935" w:type="pct"/>
            <w:shd w:val="pct5" w:color="auto" w:fill="auto"/>
          </w:tcPr>
          <w:p w:rsidR="009A5CCC" w:rsidRPr="002B468B" w:rsidRDefault="00D13D39" w:rsidP="00382F4A">
            <w:pPr>
              <w:pStyle w:val="TableBodyText"/>
              <w:jc w:val="left"/>
              <w:rPr>
                <w:sz w:val="19"/>
                <w:szCs w:val="19"/>
              </w:rPr>
            </w:pPr>
            <w:r w:rsidRPr="002B468B">
              <w:rPr>
                <w:sz w:val="19"/>
                <w:szCs w:val="19"/>
              </w:rPr>
              <w:t>Environmental Protection Act 1994</w:t>
            </w:r>
          </w:p>
        </w:tc>
        <w:tc>
          <w:tcPr>
            <w:tcW w:w="1936" w:type="pct"/>
            <w:shd w:val="pct5" w:color="auto" w:fill="auto"/>
          </w:tcPr>
          <w:p w:rsidR="00D13D39" w:rsidRPr="002B468B" w:rsidRDefault="00D13D39" w:rsidP="00D13D39">
            <w:pPr>
              <w:pStyle w:val="TableBodyText"/>
              <w:ind w:right="28"/>
              <w:jc w:val="left"/>
              <w:rPr>
                <w:sz w:val="19"/>
                <w:szCs w:val="19"/>
              </w:rPr>
            </w:pPr>
            <w:r w:rsidRPr="002B468B">
              <w:rPr>
                <w:sz w:val="19"/>
                <w:szCs w:val="19"/>
              </w:rPr>
              <w:t>Environmental Protection Regulations 1998</w:t>
            </w:r>
          </w:p>
        </w:tc>
      </w:tr>
      <w:tr w:rsidR="00D13D39" w:rsidTr="002B468B">
        <w:trPr>
          <w:cantSplit/>
        </w:trPr>
        <w:tc>
          <w:tcPr>
            <w:tcW w:w="1129" w:type="pct"/>
            <w:shd w:val="clear" w:color="auto" w:fill="auto"/>
          </w:tcPr>
          <w:p w:rsidR="00D13D39" w:rsidRPr="002B468B" w:rsidRDefault="00D13D39" w:rsidP="00D13D39">
            <w:pPr>
              <w:pStyle w:val="TableBodyText"/>
              <w:jc w:val="left"/>
              <w:rPr>
                <w:sz w:val="19"/>
                <w:szCs w:val="19"/>
              </w:rPr>
            </w:pPr>
            <w:r w:rsidRPr="002B468B">
              <w:rPr>
                <w:sz w:val="19"/>
                <w:szCs w:val="19"/>
              </w:rPr>
              <w:t>Western Australia</w:t>
            </w:r>
          </w:p>
        </w:tc>
        <w:tc>
          <w:tcPr>
            <w:tcW w:w="1935" w:type="pct"/>
            <w:shd w:val="clear" w:color="auto" w:fill="auto"/>
          </w:tcPr>
          <w:p w:rsidR="00D13D39" w:rsidRPr="002B468B" w:rsidRDefault="00D13D39" w:rsidP="00D13D39">
            <w:pPr>
              <w:pStyle w:val="TableBodyText"/>
              <w:jc w:val="left"/>
              <w:rPr>
                <w:sz w:val="19"/>
                <w:szCs w:val="19"/>
              </w:rPr>
            </w:pPr>
            <w:r w:rsidRPr="002B468B">
              <w:rPr>
                <w:sz w:val="19"/>
                <w:szCs w:val="19"/>
              </w:rPr>
              <w:t>Environment Protection Act 1986</w:t>
            </w:r>
          </w:p>
          <w:p w:rsidR="00D13D39" w:rsidRPr="002B468B" w:rsidRDefault="00D13D39" w:rsidP="00382F4A">
            <w:pPr>
              <w:pStyle w:val="TableBodyText"/>
              <w:jc w:val="left"/>
              <w:rPr>
                <w:sz w:val="19"/>
                <w:szCs w:val="19"/>
              </w:rPr>
            </w:pPr>
            <w:r w:rsidRPr="002B468B">
              <w:rPr>
                <w:sz w:val="19"/>
                <w:szCs w:val="19"/>
              </w:rPr>
              <w:t>Conservation and Land Management Act 1984</w:t>
            </w:r>
          </w:p>
        </w:tc>
        <w:tc>
          <w:tcPr>
            <w:tcW w:w="1936" w:type="pct"/>
            <w:shd w:val="clear" w:color="auto" w:fill="auto"/>
          </w:tcPr>
          <w:p w:rsidR="00D13D39" w:rsidRPr="002B468B" w:rsidRDefault="00D13D39" w:rsidP="00D13D39">
            <w:pPr>
              <w:pStyle w:val="TableBodyText"/>
              <w:ind w:right="28"/>
              <w:jc w:val="left"/>
              <w:rPr>
                <w:sz w:val="19"/>
                <w:szCs w:val="19"/>
              </w:rPr>
            </w:pPr>
            <w:r w:rsidRPr="002B468B">
              <w:rPr>
                <w:sz w:val="19"/>
                <w:szCs w:val="19"/>
              </w:rPr>
              <w:t>Environmental Protection Regulations 1987</w:t>
            </w:r>
          </w:p>
          <w:p w:rsidR="00F97828" w:rsidRPr="002B468B" w:rsidRDefault="00F97828" w:rsidP="00D13D39">
            <w:pPr>
              <w:pStyle w:val="TableBodyText"/>
              <w:ind w:right="28"/>
              <w:jc w:val="left"/>
              <w:rPr>
                <w:sz w:val="19"/>
                <w:szCs w:val="19"/>
              </w:rPr>
            </w:pPr>
            <w:r w:rsidRPr="002B468B">
              <w:rPr>
                <w:sz w:val="19"/>
                <w:szCs w:val="19"/>
              </w:rPr>
              <w:t>Conservation and Land Management Regulations 2002</w:t>
            </w:r>
          </w:p>
          <w:p w:rsidR="0033217A" w:rsidRPr="002B468B" w:rsidRDefault="0033217A" w:rsidP="00D13D39">
            <w:pPr>
              <w:pStyle w:val="TableBodyText"/>
              <w:ind w:right="28"/>
              <w:jc w:val="left"/>
              <w:rPr>
                <w:sz w:val="19"/>
                <w:szCs w:val="19"/>
              </w:rPr>
            </w:pPr>
            <w:r w:rsidRPr="002B468B">
              <w:rPr>
                <w:sz w:val="19"/>
                <w:szCs w:val="19"/>
              </w:rPr>
              <w:t>Wildlife Conservation Regulations 1970</w:t>
            </w:r>
          </w:p>
          <w:p w:rsidR="00D13D39" w:rsidRPr="002B468B" w:rsidRDefault="004D51A8" w:rsidP="00D13D39">
            <w:pPr>
              <w:pStyle w:val="TableBodyText"/>
              <w:ind w:right="28"/>
              <w:jc w:val="left"/>
              <w:rPr>
                <w:sz w:val="19"/>
                <w:szCs w:val="19"/>
              </w:rPr>
            </w:pPr>
            <w:r w:rsidRPr="002B468B">
              <w:rPr>
                <w:sz w:val="19"/>
                <w:szCs w:val="19"/>
              </w:rPr>
              <w:t>Draft Guidelines for Environmentally Responsible Mineral Exploration and Prospecting in Western Australia, March 2012</w:t>
            </w:r>
          </w:p>
        </w:tc>
      </w:tr>
      <w:tr w:rsidR="00D13D39" w:rsidTr="002B468B">
        <w:trPr>
          <w:cantSplit/>
        </w:trPr>
        <w:tc>
          <w:tcPr>
            <w:tcW w:w="1129" w:type="pct"/>
            <w:shd w:val="pct5" w:color="auto" w:fill="auto"/>
          </w:tcPr>
          <w:p w:rsidR="00D13D39" w:rsidRPr="002B468B" w:rsidRDefault="00D13D39" w:rsidP="00D13D39">
            <w:pPr>
              <w:pStyle w:val="TableBodyText"/>
              <w:jc w:val="left"/>
              <w:rPr>
                <w:sz w:val="19"/>
                <w:szCs w:val="19"/>
              </w:rPr>
            </w:pPr>
            <w:r w:rsidRPr="002B468B">
              <w:rPr>
                <w:sz w:val="19"/>
                <w:szCs w:val="19"/>
              </w:rPr>
              <w:t>South Australia</w:t>
            </w:r>
          </w:p>
        </w:tc>
        <w:tc>
          <w:tcPr>
            <w:tcW w:w="1935" w:type="pct"/>
            <w:shd w:val="pct5" w:color="auto" w:fill="auto"/>
          </w:tcPr>
          <w:p w:rsidR="00D13D39" w:rsidRPr="002B468B" w:rsidRDefault="00D13D39" w:rsidP="00D13D39">
            <w:pPr>
              <w:pStyle w:val="TableBodyText"/>
              <w:jc w:val="left"/>
              <w:rPr>
                <w:sz w:val="19"/>
                <w:szCs w:val="19"/>
              </w:rPr>
            </w:pPr>
            <w:r w:rsidRPr="002B468B">
              <w:rPr>
                <w:sz w:val="19"/>
                <w:szCs w:val="19"/>
              </w:rPr>
              <w:t>Environmental Protection Act 1993</w:t>
            </w:r>
          </w:p>
          <w:p w:rsidR="00D13D39" w:rsidRPr="002B468B" w:rsidRDefault="00D13D39" w:rsidP="00D13D39">
            <w:pPr>
              <w:pStyle w:val="TableBodyText"/>
              <w:jc w:val="left"/>
              <w:rPr>
                <w:sz w:val="19"/>
                <w:szCs w:val="19"/>
              </w:rPr>
            </w:pPr>
            <w:r w:rsidRPr="002B468B">
              <w:rPr>
                <w:sz w:val="19"/>
                <w:szCs w:val="19"/>
              </w:rPr>
              <w:t>Wilderness Protection Act 1992</w:t>
            </w:r>
          </w:p>
          <w:p w:rsidR="00D13D39" w:rsidRPr="002B468B" w:rsidRDefault="00D13D39" w:rsidP="00D13D39">
            <w:pPr>
              <w:pStyle w:val="TableBodyText"/>
              <w:jc w:val="left"/>
              <w:rPr>
                <w:sz w:val="19"/>
                <w:szCs w:val="19"/>
              </w:rPr>
            </w:pPr>
            <w:r w:rsidRPr="002B468B">
              <w:rPr>
                <w:sz w:val="19"/>
                <w:szCs w:val="19"/>
              </w:rPr>
              <w:t>National Parks and Wildlife Act 1972</w:t>
            </w:r>
          </w:p>
          <w:p w:rsidR="00E53F73" w:rsidRPr="002B468B" w:rsidRDefault="00E53F73" w:rsidP="00D13D39">
            <w:pPr>
              <w:pStyle w:val="TableBodyText"/>
              <w:jc w:val="left"/>
              <w:rPr>
                <w:sz w:val="19"/>
                <w:szCs w:val="19"/>
              </w:rPr>
            </w:pPr>
            <w:r w:rsidRPr="002B468B">
              <w:rPr>
                <w:sz w:val="19"/>
                <w:szCs w:val="19"/>
              </w:rPr>
              <w:t>Marine Parks Act 2007</w:t>
            </w:r>
          </w:p>
          <w:p w:rsidR="00D13D39" w:rsidRPr="002B468B" w:rsidRDefault="00D13D39" w:rsidP="00D13D39">
            <w:pPr>
              <w:pStyle w:val="TableBodyText"/>
              <w:jc w:val="left"/>
              <w:rPr>
                <w:sz w:val="19"/>
                <w:szCs w:val="19"/>
              </w:rPr>
            </w:pPr>
          </w:p>
        </w:tc>
        <w:tc>
          <w:tcPr>
            <w:tcW w:w="1936" w:type="pct"/>
            <w:shd w:val="pct5" w:color="auto" w:fill="auto"/>
          </w:tcPr>
          <w:p w:rsidR="00D13D39" w:rsidRPr="002B468B" w:rsidRDefault="00D13D39" w:rsidP="00D13D39">
            <w:pPr>
              <w:pStyle w:val="TableBodyText"/>
              <w:ind w:right="28"/>
              <w:jc w:val="left"/>
              <w:rPr>
                <w:sz w:val="19"/>
                <w:szCs w:val="19"/>
              </w:rPr>
            </w:pPr>
            <w:r w:rsidRPr="002B468B">
              <w:rPr>
                <w:sz w:val="19"/>
                <w:szCs w:val="19"/>
              </w:rPr>
              <w:t>Environ</w:t>
            </w:r>
            <w:r w:rsidR="0033217A" w:rsidRPr="002B468B">
              <w:rPr>
                <w:sz w:val="19"/>
                <w:szCs w:val="19"/>
              </w:rPr>
              <w:t>ment Protection Regulations 2009</w:t>
            </w:r>
          </w:p>
          <w:p w:rsidR="00E53F73" w:rsidRPr="002B468B" w:rsidRDefault="00E53F73" w:rsidP="00E53F73">
            <w:pPr>
              <w:pStyle w:val="TableBodyText"/>
              <w:jc w:val="left"/>
              <w:rPr>
                <w:sz w:val="19"/>
                <w:szCs w:val="19"/>
              </w:rPr>
            </w:pPr>
            <w:r w:rsidRPr="002B468B">
              <w:rPr>
                <w:sz w:val="19"/>
                <w:szCs w:val="19"/>
              </w:rPr>
              <w:t>Wilderness Protection Regulations 2006</w:t>
            </w:r>
          </w:p>
          <w:p w:rsidR="00E53F73" w:rsidRPr="002B468B" w:rsidRDefault="00E53F73" w:rsidP="00E53F73">
            <w:pPr>
              <w:pStyle w:val="TableBodyText"/>
              <w:jc w:val="left"/>
              <w:rPr>
                <w:sz w:val="19"/>
                <w:szCs w:val="19"/>
              </w:rPr>
            </w:pPr>
            <w:r w:rsidRPr="002B468B">
              <w:rPr>
                <w:sz w:val="19"/>
                <w:szCs w:val="19"/>
              </w:rPr>
              <w:t>National Parks and Wildlife Regulations</w:t>
            </w:r>
            <w:r w:rsidR="00310314" w:rsidRPr="002B468B">
              <w:rPr>
                <w:sz w:val="19"/>
                <w:szCs w:val="19"/>
              </w:rPr>
              <w:t xml:space="preserve"> (</w:t>
            </w:r>
            <w:r w:rsidR="00620A40">
              <w:rPr>
                <w:sz w:val="19"/>
                <w:szCs w:val="19"/>
              </w:rPr>
              <w:t>various</w:t>
            </w:r>
            <w:r w:rsidR="00310314" w:rsidRPr="002B468B">
              <w:rPr>
                <w:sz w:val="19"/>
                <w:szCs w:val="19"/>
              </w:rPr>
              <w:t>)</w:t>
            </w:r>
          </w:p>
          <w:p w:rsidR="00E53F73" w:rsidRPr="002B468B" w:rsidRDefault="00E53F73" w:rsidP="002B468B">
            <w:pPr>
              <w:pStyle w:val="TableBodyText"/>
              <w:jc w:val="left"/>
              <w:rPr>
                <w:sz w:val="19"/>
                <w:szCs w:val="19"/>
              </w:rPr>
            </w:pPr>
            <w:r w:rsidRPr="002B468B">
              <w:rPr>
                <w:sz w:val="19"/>
                <w:szCs w:val="19"/>
              </w:rPr>
              <w:t>Marine Parks Regulations 2008</w:t>
            </w:r>
          </w:p>
        </w:tc>
      </w:tr>
      <w:tr w:rsidR="00D13D39" w:rsidTr="002B468B">
        <w:trPr>
          <w:cantSplit/>
        </w:trPr>
        <w:tc>
          <w:tcPr>
            <w:tcW w:w="1129" w:type="pct"/>
            <w:shd w:val="clear" w:color="auto" w:fill="auto"/>
          </w:tcPr>
          <w:p w:rsidR="00D13D39" w:rsidRPr="002B468B" w:rsidRDefault="00D13D39" w:rsidP="00D13D39">
            <w:pPr>
              <w:pStyle w:val="TableBodyText"/>
              <w:jc w:val="left"/>
              <w:rPr>
                <w:sz w:val="19"/>
                <w:szCs w:val="19"/>
              </w:rPr>
            </w:pPr>
            <w:r w:rsidRPr="002B468B">
              <w:rPr>
                <w:sz w:val="19"/>
                <w:szCs w:val="19"/>
              </w:rPr>
              <w:t>Tasmania</w:t>
            </w:r>
          </w:p>
        </w:tc>
        <w:tc>
          <w:tcPr>
            <w:tcW w:w="1935" w:type="pct"/>
            <w:shd w:val="clear" w:color="auto" w:fill="auto"/>
          </w:tcPr>
          <w:p w:rsidR="00D13D39" w:rsidRPr="002B468B" w:rsidRDefault="00D13D39" w:rsidP="00D13D39">
            <w:pPr>
              <w:pStyle w:val="TableBodyText"/>
              <w:jc w:val="left"/>
              <w:rPr>
                <w:sz w:val="19"/>
                <w:szCs w:val="19"/>
              </w:rPr>
            </w:pPr>
            <w:r w:rsidRPr="002B468B">
              <w:rPr>
                <w:sz w:val="19"/>
                <w:szCs w:val="19"/>
              </w:rPr>
              <w:t>Environmental Management and Pollution Control Act 1994</w:t>
            </w:r>
          </w:p>
          <w:p w:rsidR="00D13D39" w:rsidRPr="002B468B" w:rsidRDefault="00B71566" w:rsidP="00D13D39">
            <w:pPr>
              <w:pStyle w:val="TableBodyText"/>
              <w:jc w:val="left"/>
              <w:rPr>
                <w:sz w:val="19"/>
                <w:szCs w:val="19"/>
              </w:rPr>
            </w:pPr>
            <w:r w:rsidRPr="002B468B">
              <w:rPr>
                <w:sz w:val="19"/>
                <w:szCs w:val="19"/>
              </w:rPr>
              <w:t>Nature Conservation Act 2002</w:t>
            </w:r>
          </w:p>
          <w:p w:rsidR="00B71566" w:rsidRPr="002B468B" w:rsidRDefault="00115AA2" w:rsidP="00D13D39">
            <w:pPr>
              <w:pStyle w:val="TableBodyText"/>
              <w:jc w:val="left"/>
              <w:rPr>
                <w:sz w:val="19"/>
                <w:szCs w:val="19"/>
              </w:rPr>
            </w:pPr>
            <w:r w:rsidRPr="002B468B">
              <w:rPr>
                <w:sz w:val="19"/>
                <w:szCs w:val="19"/>
              </w:rPr>
              <w:t>National</w:t>
            </w:r>
            <w:r w:rsidR="00B71566" w:rsidRPr="002B468B">
              <w:rPr>
                <w:sz w:val="19"/>
                <w:szCs w:val="19"/>
              </w:rPr>
              <w:t xml:space="preserve"> Parks and Reserves Management Act 2002</w:t>
            </w:r>
          </w:p>
          <w:p w:rsidR="00D13D39" w:rsidRPr="002B468B" w:rsidRDefault="00D13D39" w:rsidP="00D13D39">
            <w:pPr>
              <w:pStyle w:val="TableBodyText"/>
              <w:jc w:val="left"/>
              <w:rPr>
                <w:sz w:val="19"/>
                <w:szCs w:val="19"/>
              </w:rPr>
            </w:pPr>
            <w:r w:rsidRPr="002B468B">
              <w:rPr>
                <w:sz w:val="19"/>
                <w:szCs w:val="19"/>
              </w:rPr>
              <w:t>Forestry Act 1920</w:t>
            </w:r>
          </w:p>
          <w:p w:rsidR="00D13D39" w:rsidRPr="002B468B" w:rsidRDefault="00D13D39" w:rsidP="00D13D39">
            <w:pPr>
              <w:pStyle w:val="TableBodyText"/>
              <w:jc w:val="left"/>
              <w:rPr>
                <w:sz w:val="19"/>
                <w:szCs w:val="19"/>
              </w:rPr>
            </w:pPr>
            <w:r w:rsidRPr="002B468B">
              <w:rPr>
                <w:sz w:val="19"/>
                <w:szCs w:val="19"/>
              </w:rPr>
              <w:t>Regional Forest Agreement (Land Classification) Act 1998</w:t>
            </w:r>
          </w:p>
        </w:tc>
        <w:tc>
          <w:tcPr>
            <w:tcW w:w="1936" w:type="pct"/>
            <w:shd w:val="clear" w:color="auto" w:fill="auto"/>
          </w:tcPr>
          <w:p w:rsidR="00D13D39" w:rsidRPr="002B468B" w:rsidRDefault="00D13D39" w:rsidP="00D13D39">
            <w:pPr>
              <w:pStyle w:val="TableBodyText"/>
              <w:ind w:right="28"/>
              <w:jc w:val="left"/>
              <w:rPr>
                <w:sz w:val="19"/>
                <w:szCs w:val="19"/>
              </w:rPr>
            </w:pPr>
            <w:r w:rsidRPr="002B468B">
              <w:rPr>
                <w:sz w:val="19"/>
                <w:szCs w:val="19"/>
              </w:rPr>
              <w:t>Environmental Management and Pollution Control Regulations (various)</w:t>
            </w:r>
          </w:p>
          <w:p w:rsidR="00D13D39" w:rsidRPr="002B468B" w:rsidRDefault="00D13D39" w:rsidP="00D13D39">
            <w:pPr>
              <w:pStyle w:val="TableBodyText"/>
              <w:ind w:right="28"/>
              <w:jc w:val="left"/>
              <w:rPr>
                <w:sz w:val="19"/>
                <w:szCs w:val="19"/>
              </w:rPr>
            </w:pPr>
            <w:r w:rsidRPr="002B468B">
              <w:rPr>
                <w:sz w:val="19"/>
                <w:szCs w:val="19"/>
              </w:rPr>
              <w:t>Mineral Exploration Code of Practice</w:t>
            </w:r>
          </w:p>
          <w:p w:rsidR="00D13D39" w:rsidRPr="002B468B" w:rsidRDefault="00D13D39" w:rsidP="00D13D39">
            <w:pPr>
              <w:pStyle w:val="TableBodyText"/>
              <w:ind w:right="28"/>
              <w:jc w:val="left"/>
              <w:rPr>
                <w:sz w:val="19"/>
                <w:szCs w:val="19"/>
              </w:rPr>
            </w:pPr>
          </w:p>
        </w:tc>
      </w:tr>
      <w:tr w:rsidR="00D13D39" w:rsidTr="002B468B">
        <w:trPr>
          <w:cantSplit/>
        </w:trPr>
        <w:tc>
          <w:tcPr>
            <w:tcW w:w="1129" w:type="pct"/>
            <w:tcBorders>
              <w:bottom w:val="single" w:sz="4" w:space="0" w:color="auto"/>
            </w:tcBorders>
            <w:shd w:val="pct5" w:color="auto" w:fill="auto"/>
          </w:tcPr>
          <w:p w:rsidR="00D13D39" w:rsidRPr="002B468B" w:rsidRDefault="00D13D39" w:rsidP="00D13D39">
            <w:pPr>
              <w:pStyle w:val="TableBodyText"/>
              <w:jc w:val="left"/>
              <w:rPr>
                <w:sz w:val="19"/>
                <w:szCs w:val="19"/>
              </w:rPr>
            </w:pPr>
            <w:r w:rsidRPr="002B468B">
              <w:rPr>
                <w:sz w:val="19"/>
                <w:szCs w:val="19"/>
              </w:rPr>
              <w:t>Northern Territory</w:t>
            </w:r>
          </w:p>
        </w:tc>
        <w:tc>
          <w:tcPr>
            <w:tcW w:w="1935" w:type="pct"/>
            <w:tcBorders>
              <w:bottom w:val="single" w:sz="4" w:space="0" w:color="auto"/>
            </w:tcBorders>
            <w:shd w:val="pct5" w:color="auto" w:fill="auto"/>
          </w:tcPr>
          <w:p w:rsidR="00D13D39" w:rsidRPr="002B468B" w:rsidRDefault="00D13D39" w:rsidP="00D13D39">
            <w:pPr>
              <w:pStyle w:val="TableBodyText"/>
              <w:jc w:val="left"/>
              <w:rPr>
                <w:sz w:val="19"/>
                <w:szCs w:val="19"/>
              </w:rPr>
            </w:pPr>
            <w:r w:rsidRPr="002B468B">
              <w:rPr>
                <w:sz w:val="19"/>
                <w:szCs w:val="19"/>
              </w:rPr>
              <w:t>Environmental Assessment Act 1994</w:t>
            </w:r>
          </w:p>
          <w:p w:rsidR="00D13D39" w:rsidRPr="002B468B" w:rsidRDefault="00D13D39" w:rsidP="00D13D39">
            <w:pPr>
              <w:pStyle w:val="TableBodyText"/>
              <w:jc w:val="left"/>
              <w:rPr>
                <w:sz w:val="19"/>
                <w:szCs w:val="19"/>
              </w:rPr>
            </w:pPr>
            <w:r w:rsidRPr="002B468B">
              <w:rPr>
                <w:sz w:val="19"/>
                <w:szCs w:val="19"/>
              </w:rPr>
              <w:t>Waste Management and Pollution Control Act 1998</w:t>
            </w:r>
          </w:p>
          <w:p w:rsidR="00D13D39" w:rsidRPr="002B468B" w:rsidRDefault="00D13D39" w:rsidP="00D13D39">
            <w:pPr>
              <w:pStyle w:val="TableBodyText"/>
              <w:jc w:val="left"/>
              <w:rPr>
                <w:sz w:val="19"/>
                <w:szCs w:val="19"/>
              </w:rPr>
            </w:pPr>
            <w:r w:rsidRPr="002B468B">
              <w:rPr>
                <w:sz w:val="19"/>
                <w:szCs w:val="19"/>
              </w:rPr>
              <w:t>Territory Parks and Wildlife Conservation Act 2001</w:t>
            </w:r>
          </w:p>
        </w:tc>
        <w:tc>
          <w:tcPr>
            <w:tcW w:w="1936" w:type="pct"/>
            <w:tcBorders>
              <w:bottom w:val="single" w:sz="4" w:space="0" w:color="auto"/>
            </w:tcBorders>
            <w:shd w:val="pct5" w:color="auto" w:fill="auto"/>
          </w:tcPr>
          <w:p w:rsidR="00D13D39" w:rsidRPr="002B468B" w:rsidRDefault="00D13D39" w:rsidP="00D13D39">
            <w:pPr>
              <w:pStyle w:val="TableBodyText"/>
              <w:ind w:right="28"/>
              <w:jc w:val="left"/>
              <w:rPr>
                <w:sz w:val="19"/>
                <w:szCs w:val="19"/>
              </w:rPr>
            </w:pPr>
            <w:r w:rsidRPr="002B468B">
              <w:rPr>
                <w:sz w:val="19"/>
                <w:szCs w:val="19"/>
              </w:rPr>
              <w:t>Environmen</w:t>
            </w:r>
            <w:r w:rsidR="001C3AE6" w:rsidRPr="002B468B">
              <w:rPr>
                <w:sz w:val="19"/>
                <w:szCs w:val="19"/>
              </w:rPr>
              <w:t>t</w:t>
            </w:r>
            <w:r w:rsidRPr="002B468B">
              <w:rPr>
                <w:sz w:val="19"/>
                <w:szCs w:val="19"/>
              </w:rPr>
              <w:t>al Assessment Administrative Procedures 2003</w:t>
            </w:r>
          </w:p>
          <w:p w:rsidR="00D13D39" w:rsidRPr="002B468B" w:rsidRDefault="00D13D39" w:rsidP="00D13D39">
            <w:pPr>
              <w:pStyle w:val="TableBodyText"/>
              <w:ind w:right="28"/>
              <w:jc w:val="left"/>
              <w:rPr>
                <w:sz w:val="19"/>
                <w:szCs w:val="19"/>
              </w:rPr>
            </w:pPr>
            <w:r w:rsidRPr="002B468B">
              <w:rPr>
                <w:sz w:val="19"/>
                <w:szCs w:val="19"/>
              </w:rPr>
              <w:t>Waste Management and Pollution Control (Administration) Regulations 1998</w:t>
            </w:r>
          </w:p>
          <w:p w:rsidR="00D13D39" w:rsidRPr="002B468B" w:rsidRDefault="00D13D39" w:rsidP="00D13D39">
            <w:pPr>
              <w:pStyle w:val="TableBodyText"/>
              <w:ind w:right="28"/>
              <w:jc w:val="left"/>
              <w:rPr>
                <w:sz w:val="19"/>
                <w:szCs w:val="19"/>
              </w:rPr>
            </w:pPr>
            <w:r w:rsidRPr="002B468B">
              <w:rPr>
                <w:sz w:val="19"/>
                <w:szCs w:val="19"/>
              </w:rPr>
              <w:t xml:space="preserve">Territory </w:t>
            </w:r>
            <w:r w:rsidR="00310314" w:rsidRPr="002B468B">
              <w:rPr>
                <w:sz w:val="19"/>
                <w:szCs w:val="19"/>
              </w:rPr>
              <w:t xml:space="preserve">Parks and Wildlife Conservation Regulations </w:t>
            </w:r>
            <w:r w:rsidR="00620A40">
              <w:rPr>
                <w:sz w:val="19"/>
                <w:szCs w:val="19"/>
              </w:rPr>
              <w:t>2001</w:t>
            </w:r>
          </w:p>
        </w:tc>
      </w:tr>
    </w:tbl>
    <w:p w:rsidR="00D13D39" w:rsidRPr="008E77FE" w:rsidRDefault="00CB4C77" w:rsidP="00836837">
      <w:pPr>
        <w:pStyle w:val="Source"/>
      </w:pPr>
      <w:r>
        <w:rPr>
          <w:i/>
        </w:rPr>
        <w:t>Source</w:t>
      </w:r>
      <w:r w:rsidR="00836837">
        <w:t xml:space="preserve">: </w:t>
      </w:r>
      <w:r w:rsidR="001C3AE6">
        <w:t>URS Australia Ltd., National Audit of regulations influencing mining exploration and</w:t>
      </w:r>
      <w:r>
        <w:t xml:space="preserve"> project approval processes 2006 and 2012 (sub.</w:t>
      </w:r>
      <w:r w:rsidR="00E92A4C">
        <w:t> </w:t>
      </w:r>
      <w:r>
        <w:t>27)</w:t>
      </w:r>
      <w:r w:rsidR="00620A40">
        <w:t>.</w:t>
      </w:r>
    </w:p>
    <w:p w:rsidR="00D457E8" w:rsidRDefault="00D457E8" w:rsidP="00D457E8">
      <w:pPr>
        <w:pStyle w:val="TableTitle"/>
      </w:pPr>
      <w:r>
        <w:rPr>
          <w:b w:val="0"/>
        </w:rPr>
        <w:lastRenderedPageBreak/>
        <w:t xml:space="preserve">Table </w:t>
      </w:r>
      <w:r w:rsidR="00D94B80">
        <w:rPr>
          <w:b w:val="0"/>
        </w:rPr>
        <w:t>6.2</w:t>
      </w:r>
      <w:r>
        <w:tab/>
        <w:t xml:space="preserve">Key state/territory environmental protection legislation for offshore </w:t>
      </w:r>
      <w:r w:rsidR="00026B97">
        <w:t xml:space="preserve">petroleum </w:t>
      </w:r>
      <w:r>
        <w:t>exploration</w:t>
      </w:r>
    </w:p>
    <w:tbl>
      <w:tblPr>
        <w:tblW w:w="5000" w:type="pct"/>
        <w:tblCellMar>
          <w:left w:w="0" w:type="dxa"/>
          <w:right w:w="0" w:type="dxa"/>
        </w:tblCellMar>
        <w:tblLook w:val="0000" w:firstRow="0" w:lastRow="0" w:firstColumn="0" w:lastColumn="0" w:noHBand="0" w:noVBand="0"/>
      </w:tblPr>
      <w:tblGrid>
        <w:gridCol w:w="3261"/>
        <w:gridCol w:w="5528"/>
      </w:tblGrid>
      <w:tr w:rsidR="00B51D6D" w:rsidTr="00755F9B">
        <w:tc>
          <w:tcPr>
            <w:tcW w:w="1855" w:type="pct"/>
            <w:tcBorders>
              <w:top w:val="single" w:sz="6" w:space="0" w:color="auto"/>
              <w:bottom w:val="single" w:sz="6" w:space="0" w:color="auto"/>
            </w:tcBorders>
            <w:shd w:val="clear" w:color="auto" w:fill="auto"/>
          </w:tcPr>
          <w:p w:rsidR="00B51D6D" w:rsidRDefault="006A0E7E" w:rsidP="00D457E8">
            <w:pPr>
              <w:pStyle w:val="TableColumnHeading"/>
              <w:jc w:val="left"/>
            </w:pPr>
            <w:r>
              <w:t>Jurisdiction</w:t>
            </w:r>
          </w:p>
        </w:tc>
        <w:tc>
          <w:tcPr>
            <w:tcW w:w="3145" w:type="pct"/>
            <w:tcBorders>
              <w:top w:val="single" w:sz="6" w:space="0" w:color="auto"/>
              <w:bottom w:val="single" w:sz="6" w:space="0" w:color="auto"/>
            </w:tcBorders>
            <w:shd w:val="clear" w:color="auto" w:fill="auto"/>
          </w:tcPr>
          <w:p w:rsidR="00B51D6D" w:rsidRDefault="00B51D6D" w:rsidP="000D6680">
            <w:pPr>
              <w:pStyle w:val="TableColumnHeading"/>
              <w:jc w:val="center"/>
            </w:pPr>
            <w:r>
              <w:t xml:space="preserve">Key </w:t>
            </w:r>
            <w:r w:rsidR="000D6680">
              <w:t>A</w:t>
            </w:r>
            <w:r>
              <w:t>cts</w:t>
            </w:r>
          </w:p>
        </w:tc>
      </w:tr>
      <w:tr w:rsidR="00B51D6D" w:rsidTr="00755F9B">
        <w:tc>
          <w:tcPr>
            <w:tcW w:w="1855" w:type="pct"/>
            <w:tcBorders>
              <w:top w:val="single" w:sz="6" w:space="0" w:color="auto"/>
            </w:tcBorders>
          </w:tcPr>
          <w:p w:rsidR="00B51D6D" w:rsidRDefault="00B51D6D" w:rsidP="00D457E8">
            <w:pPr>
              <w:pStyle w:val="TableUnitsRow"/>
              <w:jc w:val="left"/>
            </w:pPr>
            <w:r>
              <w:t>New South Wales</w:t>
            </w:r>
          </w:p>
        </w:tc>
        <w:tc>
          <w:tcPr>
            <w:tcW w:w="3145" w:type="pct"/>
            <w:tcBorders>
              <w:top w:val="single" w:sz="6" w:space="0" w:color="auto"/>
            </w:tcBorders>
          </w:tcPr>
          <w:p w:rsidR="00B51D6D" w:rsidRDefault="00B51D6D" w:rsidP="00E92A4C">
            <w:pPr>
              <w:pStyle w:val="TableUnitsRow"/>
              <w:ind w:right="28"/>
            </w:pPr>
            <w:r>
              <w:t>Petroleum (Offshore) Act 1982</w:t>
            </w:r>
          </w:p>
        </w:tc>
      </w:tr>
      <w:tr w:rsidR="00B51D6D" w:rsidTr="00755F9B">
        <w:tc>
          <w:tcPr>
            <w:tcW w:w="1855" w:type="pct"/>
          </w:tcPr>
          <w:p w:rsidR="00B51D6D" w:rsidRDefault="00B51D6D" w:rsidP="00D457E8">
            <w:pPr>
              <w:pStyle w:val="TableBodyText"/>
              <w:jc w:val="left"/>
            </w:pPr>
            <w:r>
              <w:t>Victoria</w:t>
            </w:r>
          </w:p>
        </w:tc>
        <w:tc>
          <w:tcPr>
            <w:tcW w:w="3145" w:type="pct"/>
          </w:tcPr>
          <w:p w:rsidR="00B51D6D" w:rsidRDefault="00B51D6D" w:rsidP="00E92A4C">
            <w:pPr>
              <w:pStyle w:val="TableBodyText"/>
              <w:ind w:right="28"/>
            </w:pPr>
            <w:r>
              <w:t>Offshore Petroleum and Greenhouse Gas Storage Act 2010</w:t>
            </w:r>
          </w:p>
        </w:tc>
      </w:tr>
      <w:tr w:rsidR="00B51D6D" w:rsidTr="00755F9B">
        <w:tc>
          <w:tcPr>
            <w:tcW w:w="1855" w:type="pct"/>
            <w:shd w:val="clear" w:color="auto" w:fill="auto"/>
          </w:tcPr>
          <w:p w:rsidR="00B51D6D" w:rsidRDefault="00B51D6D" w:rsidP="00D457E8">
            <w:pPr>
              <w:pStyle w:val="TableBodyText"/>
              <w:jc w:val="left"/>
            </w:pPr>
            <w:r>
              <w:t>Queensland</w:t>
            </w:r>
          </w:p>
        </w:tc>
        <w:tc>
          <w:tcPr>
            <w:tcW w:w="3145" w:type="pct"/>
            <w:shd w:val="clear" w:color="auto" w:fill="auto"/>
          </w:tcPr>
          <w:p w:rsidR="00B51D6D" w:rsidRDefault="00B51D6D" w:rsidP="00E92A4C">
            <w:pPr>
              <w:pStyle w:val="TableBodyText"/>
              <w:ind w:right="28"/>
            </w:pPr>
            <w:r>
              <w:t>Petroleum (Submerged Lands) Act 1982</w:t>
            </w:r>
          </w:p>
        </w:tc>
      </w:tr>
      <w:tr w:rsidR="00B51D6D" w:rsidTr="00755F9B">
        <w:tc>
          <w:tcPr>
            <w:tcW w:w="1855" w:type="pct"/>
            <w:shd w:val="clear" w:color="auto" w:fill="auto"/>
          </w:tcPr>
          <w:p w:rsidR="00B51D6D" w:rsidRDefault="00B51D6D" w:rsidP="00D457E8">
            <w:pPr>
              <w:pStyle w:val="TableBodyText"/>
              <w:jc w:val="left"/>
            </w:pPr>
            <w:r>
              <w:t>Western Australia</w:t>
            </w:r>
          </w:p>
        </w:tc>
        <w:tc>
          <w:tcPr>
            <w:tcW w:w="3145" w:type="pct"/>
            <w:shd w:val="clear" w:color="auto" w:fill="auto"/>
          </w:tcPr>
          <w:p w:rsidR="00CA74AE" w:rsidRDefault="00B51D6D" w:rsidP="00E92A4C">
            <w:pPr>
              <w:pStyle w:val="TableBodyText"/>
              <w:ind w:right="28"/>
            </w:pPr>
            <w:r>
              <w:t>Petroleum (Submerged Lands) Act 1982</w:t>
            </w:r>
          </w:p>
          <w:p w:rsidR="00CA74AE" w:rsidRDefault="00CA74AE" w:rsidP="00E92A4C">
            <w:pPr>
              <w:pStyle w:val="TableBodyText"/>
              <w:ind w:right="28"/>
            </w:pPr>
            <w:r>
              <w:t>Petroleum (Submerged Lands) Regulations 1990</w:t>
            </w:r>
          </w:p>
        </w:tc>
      </w:tr>
      <w:tr w:rsidR="00B51D6D" w:rsidTr="00755F9B">
        <w:tc>
          <w:tcPr>
            <w:tcW w:w="1855" w:type="pct"/>
            <w:shd w:val="clear" w:color="auto" w:fill="auto"/>
          </w:tcPr>
          <w:p w:rsidR="00B51D6D" w:rsidRDefault="00B51D6D" w:rsidP="00D457E8">
            <w:pPr>
              <w:pStyle w:val="TableBodyText"/>
              <w:jc w:val="left"/>
            </w:pPr>
            <w:r>
              <w:t>South Australia</w:t>
            </w:r>
          </w:p>
        </w:tc>
        <w:tc>
          <w:tcPr>
            <w:tcW w:w="3145" w:type="pct"/>
            <w:shd w:val="clear" w:color="auto" w:fill="auto"/>
          </w:tcPr>
          <w:p w:rsidR="00B51D6D" w:rsidRDefault="00B51D6D" w:rsidP="00E92A4C">
            <w:pPr>
              <w:pStyle w:val="TableBodyText"/>
              <w:ind w:right="28"/>
            </w:pPr>
            <w:r>
              <w:t>Petroleum (Submerged Lands) Act 1982</w:t>
            </w:r>
          </w:p>
        </w:tc>
      </w:tr>
      <w:tr w:rsidR="00B51D6D" w:rsidTr="00755F9B">
        <w:tc>
          <w:tcPr>
            <w:tcW w:w="1855" w:type="pct"/>
            <w:shd w:val="clear" w:color="auto" w:fill="auto"/>
          </w:tcPr>
          <w:p w:rsidR="00B51D6D" w:rsidRDefault="00B51D6D" w:rsidP="00D457E8">
            <w:pPr>
              <w:pStyle w:val="TableBodyText"/>
              <w:jc w:val="left"/>
            </w:pPr>
            <w:r>
              <w:t>Tasmania</w:t>
            </w:r>
          </w:p>
        </w:tc>
        <w:tc>
          <w:tcPr>
            <w:tcW w:w="3145" w:type="pct"/>
            <w:shd w:val="clear" w:color="auto" w:fill="auto"/>
          </w:tcPr>
          <w:p w:rsidR="00B51D6D" w:rsidRDefault="00B51D6D" w:rsidP="00E92A4C">
            <w:pPr>
              <w:pStyle w:val="TableBodyText"/>
              <w:ind w:right="28"/>
            </w:pPr>
            <w:r>
              <w:t>Petroleum (Submerged Lands) Act 1982</w:t>
            </w:r>
          </w:p>
        </w:tc>
      </w:tr>
      <w:tr w:rsidR="00B51D6D" w:rsidTr="00755F9B">
        <w:tc>
          <w:tcPr>
            <w:tcW w:w="1855" w:type="pct"/>
            <w:tcBorders>
              <w:bottom w:val="single" w:sz="6" w:space="0" w:color="auto"/>
            </w:tcBorders>
            <w:shd w:val="clear" w:color="auto" w:fill="auto"/>
          </w:tcPr>
          <w:p w:rsidR="00B51D6D" w:rsidRDefault="00B51D6D" w:rsidP="00D457E8">
            <w:pPr>
              <w:pStyle w:val="TableBodyText"/>
              <w:jc w:val="left"/>
            </w:pPr>
            <w:r>
              <w:t>Northern Territory</w:t>
            </w:r>
          </w:p>
        </w:tc>
        <w:tc>
          <w:tcPr>
            <w:tcW w:w="3145" w:type="pct"/>
            <w:tcBorders>
              <w:bottom w:val="single" w:sz="6" w:space="0" w:color="auto"/>
            </w:tcBorders>
            <w:shd w:val="clear" w:color="auto" w:fill="auto"/>
          </w:tcPr>
          <w:p w:rsidR="00B51D6D" w:rsidRDefault="00B51D6D" w:rsidP="00E92A4C">
            <w:pPr>
              <w:pStyle w:val="TableBodyText"/>
              <w:ind w:right="28"/>
            </w:pPr>
            <w:r>
              <w:t>Petroleum (Submerged Lands) Act 1981</w:t>
            </w:r>
          </w:p>
        </w:tc>
      </w:tr>
    </w:tbl>
    <w:p w:rsidR="00D457E8" w:rsidRPr="008E77FE" w:rsidRDefault="00D457E8" w:rsidP="00D457E8">
      <w:pPr>
        <w:pStyle w:val="Source"/>
      </w:pPr>
      <w:r>
        <w:rPr>
          <w:i/>
        </w:rPr>
        <w:t>Source</w:t>
      </w:r>
      <w:r>
        <w:t xml:space="preserve">: </w:t>
      </w:r>
      <w:r w:rsidR="00905F75" w:rsidRPr="00905F75">
        <w:t>Department of Resources, Energy and Tourism</w:t>
      </w:r>
      <w:r w:rsidR="00905F75">
        <w:t xml:space="preserve"> (2013)</w:t>
      </w:r>
      <w:r w:rsidR="00620A40">
        <w:t>.</w:t>
      </w:r>
    </w:p>
    <w:p w:rsidR="000B7615" w:rsidRDefault="00090881" w:rsidP="00090881">
      <w:pPr>
        <w:pStyle w:val="BodyText"/>
      </w:pPr>
      <w:r w:rsidRPr="00FA3F7D">
        <w:t>may not require further assessment.</w:t>
      </w:r>
      <w:r w:rsidRPr="00C3505C">
        <w:t xml:space="preserve"> </w:t>
      </w:r>
      <w:r>
        <w:t>This often applies to exploration programs. In Queensland, for example, codes of environmental compliance are used for low impact activities — activities covered by these codes do not require any further government assessment.</w:t>
      </w:r>
      <w:r w:rsidR="00076E24">
        <w:t xml:space="preserve"> </w:t>
      </w:r>
      <w:r w:rsidR="00DD4B63" w:rsidRPr="00DD4B63">
        <w:t>Where further assessment is required, the government agency scopes the environmental issues and priorities to be addressed, frequently with some community consultation.</w:t>
      </w:r>
      <w:r w:rsidR="00DD4B63">
        <w:t xml:space="preserve"> </w:t>
      </w:r>
    </w:p>
    <w:p w:rsidR="00090881" w:rsidRDefault="00090881" w:rsidP="00090881">
      <w:pPr>
        <w:pStyle w:val="BodyText"/>
      </w:pPr>
      <w:r>
        <w:t xml:space="preserve">A public environmental report, or similar document, is generally used for proposals </w:t>
      </w:r>
      <w:r w:rsidR="003624AE">
        <w:t xml:space="preserve">that </w:t>
      </w:r>
      <w:r>
        <w:t xml:space="preserve">are likely to be of only local or regional public interest and where potential environmental impacts are minor or easily managed. A </w:t>
      </w:r>
      <w:r w:rsidR="00905F75">
        <w:t>public environmental report</w:t>
      </w:r>
      <w:r>
        <w:t xml:space="preserve"> provides details of the proposal including potential environmental impacts and proposed management techniques. </w:t>
      </w:r>
    </w:p>
    <w:p w:rsidR="00090881" w:rsidRDefault="00090881" w:rsidP="00090881">
      <w:pPr>
        <w:pStyle w:val="BodyText"/>
      </w:pPr>
      <w:r>
        <w:t>An envi</w:t>
      </w:r>
      <w:r w:rsidR="00200107">
        <w:t>ronmental impact statement</w:t>
      </w:r>
      <w:r>
        <w:t xml:space="preserve"> or similar document may be required for </w:t>
      </w:r>
      <w:r w:rsidR="00DA2E6B">
        <w:t xml:space="preserve">exploration </w:t>
      </w:r>
      <w:r>
        <w:t xml:space="preserve">projects </w:t>
      </w:r>
      <w:r w:rsidR="003624AE">
        <w:t xml:space="preserve">that </w:t>
      </w:r>
      <w:r>
        <w:t>deal with complex issues of environmental significance.</w:t>
      </w:r>
      <w:r w:rsidR="000B7615">
        <w:t xml:space="preserve"> </w:t>
      </w:r>
      <w:r w:rsidR="000B7615" w:rsidRPr="000B7615">
        <w:t xml:space="preserve">Because </w:t>
      </w:r>
      <w:r w:rsidR="000B7615">
        <w:t>of their</w:t>
      </w:r>
      <w:r w:rsidR="000B7615" w:rsidRPr="000B7615">
        <w:t xml:space="preserve"> potentially significant impacts, the</w:t>
      </w:r>
      <w:r w:rsidR="000B7615">
        <w:t>se proposals</w:t>
      </w:r>
      <w:r w:rsidR="000B7615" w:rsidRPr="000B7615">
        <w:t xml:space="preserve"> require detailed evaluation</w:t>
      </w:r>
      <w:r w:rsidR="000B7615">
        <w:t xml:space="preserve"> and</w:t>
      </w:r>
      <w:r w:rsidR="000B7615" w:rsidRPr="000B7615">
        <w:t xml:space="preserve"> extensive community </w:t>
      </w:r>
      <w:r w:rsidR="00E133E6">
        <w:t>consultation</w:t>
      </w:r>
      <w:r w:rsidR="00E133E6" w:rsidRPr="000B7615">
        <w:t xml:space="preserve"> </w:t>
      </w:r>
      <w:r w:rsidR="000B7615" w:rsidRPr="000B7615">
        <w:t>and review, and may need comprehensive environmental management programs.</w:t>
      </w:r>
    </w:p>
    <w:p w:rsidR="00090881" w:rsidRDefault="00090881" w:rsidP="00090881">
      <w:pPr>
        <w:pStyle w:val="BodyText"/>
      </w:pPr>
      <w:r>
        <w:t xml:space="preserve">The government </w:t>
      </w:r>
      <w:r w:rsidR="00B230CC">
        <w:t>regulator</w:t>
      </w:r>
      <w:r>
        <w:t xml:space="preserve">, or the responsible Minister, will then either issue an environmental approval </w:t>
      </w:r>
      <w:r w:rsidR="00DA2E6B">
        <w:t xml:space="preserve">— sometimes with conditions attached — </w:t>
      </w:r>
      <w:r>
        <w:t xml:space="preserve">for the project or, if they consider that the project would have an unacceptable effect on the environment, decide not to issue an approval. </w:t>
      </w:r>
    </w:p>
    <w:p w:rsidR="00FB3EDD" w:rsidRDefault="00FB3EDD" w:rsidP="00FB3EDD">
      <w:pPr>
        <w:pStyle w:val="Heading3"/>
      </w:pPr>
      <w:r>
        <w:t xml:space="preserve">The </w:t>
      </w:r>
      <w:r w:rsidR="00DA2E6B">
        <w:t xml:space="preserve">Australian Government’s </w:t>
      </w:r>
      <w:r w:rsidR="00076E24">
        <w:t>environmental legislation</w:t>
      </w:r>
    </w:p>
    <w:p w:rsidR="00026B97" w:rsidRDefault="006868BF" w:rsidP="009C4ACF">
      <w:pPr>
        <w:pStyle w:val="BodyText"/>
      </w:pPr>
      <w:r>
        <w:t xml:space="preserve">The Commonwealth </w:t>
      </w:r>
      <w:r w:rsidR="00090881">
        <w:t xml:space="preserve">regulatory framework </w:t>
      </w:r>
      <w:r w:rsidR="00D70906">
        <w:t>cover</w:t>
      </w:r>
      <w:r w:rsidR="00090881">
        <w:t xml:space="preserve">ing mineral and energy resource exploration </w:t>
      </w:r>
      <w:r w:rsidR="006E57A1">
        <w:t xml:space="preserve">largely </w:t>
      </w:r>
      <w:r w:rsidR="00090881">
        <w:t>relates to</w:t>
      </w:r>
      <w:r w:rsidR="00026B97">
        <w:t>:</w:t>
      </w:r>
      <w:r>
        <w:t xml:space="preserve"> </w:t>
      </w:r>
    </w:p>
    <w:p w:rsidR="00026B97" w:rsidRDefault="00D70906" w:rsidP="00026B97">
      <w:pPr>
        <w:pStyle w:val="ListBullet"/>
      </w:pPr>
      <w:r>
        <w:t>‘</w:t>
      </w:r>
      <w:r w:rsidR="006868BF">
        <w:t>matters of national environmental significance</w:t>
      </w:r>
      <w:r>
        <w:t>’,</w:t>
      </w:r>
      <w:r w:rsidR="00A36600">
        <w:t xml:space="preserve"> as defined in the </w:t>
      </w:r>
      <w:r w:rsidR="00A36600" w:rsidRPr="00A36600">
        <w:rPr>
          <w:i/>
        </w:rPr>
        <w:t xml:space="preserve">Environment Protection and Biodiversity Conservation </w:t>
      </w:r>
      <w:r w:rsidR="00A36600" w:rsidRPr="00A36600">
        <w:rPr>
          <w:bCs/>
          <w:i/>
        </w:rPr>
        <w:t>Act</w:t>
      </w:r>
      <w:r w:rsidR="00A36600" w:rsidRPr="00A36600">
        <w:rPr>
          <w:i/>
        </w:rPr>
        <w:t xml:space="preserve"> 1999</w:t>
      </w:r>
      <w:r w:rsidR="00A36600" w:rsidRPr="00A36600">
        <w:t xml:space="preserve"> </w:t>
      </w:r>
      <w:r w:rsidR="00026B97">
        <w:t>(</w:t>
      </w:r>
      <w:proofErr w:type="spellStart"/>
      <w:r w:rsidR="00026B97">
        <w:t>EPBC</w:t>
      </w:r>
      <w:proofErr w:type="spellEnd"/>
      <w:r w:rsidR="00026B97">
        <w:t xml:space="preserve"> Act)</w:t>
      </w:r>
    </w:p>
    <w:p w:rsidR="00812191" w:rsidRDefault="00090881" w:rsidP="00026B97">
      <w:pPr>
        <w:pStyle w:val="ListBullet"/>
      </w:pPr>
      <w:r>
        <w:t>offshore petroleum exploration</w:t>
      </w:r>
      <w:r w:rsidR="00192C64">
        <w:t>,</w:t>
      </w:r>
      <w:r>
        <w:t xml:space="preserve"> governed by the </w:t>
      </w:r>
      <w:r w:rsidRPr="00D10C28">
        <w:rPr>
          <w:i/>
          <w:iCs/>
        </w:rPr>
        <w:t>Offshore Petroleum and Greenhouse Gas Storage Act 2006</w:t>
      </w:r>
      <w:r w:rsidRPr="00D10C28">
        <w:t xml:space="preserve"> (</w:t>
      </w:r>
      <w:proofErr w:type="spellStart"/>
      <w:r w:rsidRPr="00D10C28">
        <w:t>OPGGS</w:t>
      </w:r>
      <w:proofErr w:type="spellEnd"/>
      <w:r w:rsidRPr="00D10C28">
        <w:t xml:space="preserve"> Act)</w:t>
      </w:r>
      <w:r w:rsidR="008E5550">
        <w:rPr>
          <w:rStyle w:val="Hyperlink"/>
          <w:color w:val="auto"/>
          <w:u w:val="none"/>
        </w:rPr>
        <w:t>.</w:t>
      </w:r>
      <w:r w:rsidRPr="003E595E">
        <w:t xml:space="preserve"> </w:t>
      </w:r>
    </w:p>
    <w:p w:rsidR="00090881" w:rsidRDefault="00DA2E6B" w:rsidP="00812191">
      <w:pPr>
        <w:pStyle w:val="Heading4"/>
      </w:pPr>
      <w:r>
        <w:lastRenderedPageBreak/>
        <w:t>R</w:t>
      </w:r>
      <w:r w:rsidR="00090881">
        <w:t xml:space="preserve">egulation of </w:t>
      </w:r>
      <w:r w:rsidR="00C2575D">
        <w:t xml:space="preserve">matters of national </w:t>
      </w:r>
      <w:r w:rsidR="00CA74AD">
        <w:t xml:space="preserve">environmental </w:t>
      </w:r>
      <w:r w:rsidR="00C2575D">
        <w:t>significance</w:t>
      </w:r>
    </w:p>
    <w:p w:rsidR="009C4ACF" w:rsidRDefault="00A36600" w:rsidP="009C4ACF">
      <w:pPr>
        <w:pStyle w:val="BodyText"/>
      </w:pPr>
      <w:r>
        <w:t>Many of the</w:t>
      </w:r>
      <w:r w:rsidR="009C4ACF">
        <w:t xml:space="preserve"> matters of national significance </w:t>
      </w:r>
      <w:r w:rsidR="00085E12">
        <w:t>defined in</w:t>
      </w:r>
      <w:r>
        <w:t xml:space="preserve"> the </w:t>
      </w:r>
      <w:proofErr w:type="spellStart"/>
      <w:r>
        <w:t>EPBC</w:t>
      </w:r>
      <w:proofErr w:type="spellEnd"/>
      <w:r>
        <w:t xml:space="preserve"> Act </w:t>
      </w:r>
      <w:r w:rsidR="00DA2E6B">
        <w:t xml:space="preserve">arise </w:t>
      </w:r>
      <w:r w:rsidR="001F3610">
        <w:t>from the</w:t>
      </w:r>
      <w:r w:rsidR="00712657">
        <w:t xml:space="preserve"> </w:t>
      </w:r>
      <w:r w:rsidR="009C4ACF">
        <w:t xml:space="preserve">obligations </w:t>
      </w:r>
      <w:r w:rsidR="001F3610">
        <w:t>contained in</w:t>
      </w:r>
      <w:r w:rsidR="009C4ACF">
        <w:t xml:space="preserve"> various international environmental conventions </w:t>
      </w:r>
      <w:r w:rsidR="001F3610">
        <w:t xml:space="preserve">that </w:t>
      </w:r>
      <w:r w:rsidR="00712657">
        <w:t xml:space="preserve">the Australian Government </w:t>
      </w:r>
      <w:r w:rsidR="009C4ACF">
        <w:t>has ratified</w:t>
      </w:r>
      <w:r w:rsidR="001F3610">
        <w:t xml:space="preserve">. This ratification </w:t>
      </w:r>
      <w:r w:rsidR="009C4ACF">
        <w:t>provide</w:t>
      </w:r>
      <w:r w:rsidR="001F3610">
        <w:t>s</w:t>
      </w:r>
      <w:r w:rsidR="009C4ACF">
        <w:t xml:space="preserve"> the constitutional basis for Commonwealth environmental legislation</w:t>
      </w:r>
      <w:r w:rsidR="00E133E6">
        <w:t xml:space="preserve"> that </w:t>
      </w:r>
      <w:r w:rsidR="00192C64">
        <w:t>is</w:t>
      </w:r>
      <w:r w:rsidR="00E133E6">
        <w:t xml:space="preserve"> not within its own jurisdiction</w:t>
      </w:r>
      <w:r w:rsidR="009C4ACF">
        <w:t xml:space="preserve">. The major conventions that were significant to the enactment of the </w:t>
      </w:r>
      <w:proofErr w:type="spellStart"/>
      <w:r w:rsidR="009C4ACF">
        <w:t>EPBC</w:t>
      </w:r>
      <w:proofErr w:type="spellEnd"/>
      <w:r w:rsidR="009C4ACF">
        <w:t xml:space="preserve"> Act are: </w:t>
      </w:r>
      <w:r w:rsidR="00192C64">
        <w:t xml:space="preserve">the </w:t>
      </w:r>
      <w:r w:rsidR="009C4ACF">
        <w:t xml:space="preserve">World Heritage Convention; </w:t>
      </w:r>
      <w:r w:rsidR="00192C64">
        <w:t xml:space="preserve">the </w:t>
      </w:r>
      <w:proofErr w:type="spellStart"/>
      <w:r w:rsidR="009C4ACF">
        <w:t>Ramsar</w:t>
      </w:r>
      <w:proofErr w:type="spellEnd"/>
      <w:r w:rsidR="009C4ACF">
        <w:t xml:space="preserve"> Convention; </w:t>
      </w:r>
      <w:r w:rsidR="00192C64">
        <w:t xml:space="preserve">the </w:t>
      </w:r>
      <w:r w:rsidR="009C4ACF">
        <w:t xml:space="preserve">United Nations Convention on Biological Diversity; and </w:t>
      </w:r>
      <w:r w:rsidR="00192C64">
        <w:t xml:space="preserve">the </w:t>
      </w:r>
      <w:r w:rsidR="009C4ACF">
        <w:t xml:space="preserve">United Nations Convention on Climate Change. </w:t>
      </w:r>
    </w:p>
    <w:p w:rsidR="003F0C5F" w:rsidRDefault="009C4ACF" w:rsidP="006868BF">
      <w:pPr>
        <w:pStyle w:val="BodyText"/>
      </w:pPr>
      <w:r>
        <w:t>Various intergovernmental agreements and national strategies have been developed to facilitate Australia</w:t>
      </w:r>
      <w:r w:rsidR="001F3610">
        <w:t xml:space="preserve"> meeting its</w:t>
      </w:r>
      <w:r>
        <w:t xml:space="preserve"> international obligations, including the 1992 Intergovernmental Agreement on the Environment, the 1997 </w:t>
      </w:r>
      <w:proofErr w:type="spellStart"/>
      <w:r>
        <w:t>COAG</w:t>
      </w:r>
      <w:proofErr w:type="spellEnd"/>
      <w:r>
        <w:t xml:space="preserve"> Heads of A</w:t>
      </w:r>
      <w:r w:rsidRPr="004F5874">
        <w:t>greement on Commonwealth and State roles and responsibilities for the Environment</w:t>
      </w:r>
      <w:r>
        <w:t>, the National Strategy for Ecologically Sustainable Development, and Australia’s Biodiversity Conservation Strategy 2010</w:t>
      </w:r>
      <w:r w:rsidR="00E92A4C">
        <w:t>–</w:t>
      </w:r>
      <w:r>
        <w:t>2030.</w:t>
      </w:r>
    </w:p>
    <w:p w:rsidR="00AF52E8" w:rsidRDefault="00AF52E8" w:rsidP="006868BF">
      <w:pPr>
        <w:pStyle w:val="BodyText"/>
      </w:pPr>
      <w:r w:rsidRPr="00AF52E8">
        <w:t xml:space="preserve">There are </w:t>
      </w:r>
      <w:r w:rsidR="00FD4485">
        <w:t xml:space="preserve">currently </w:t>
      </w:r>
      <w:r w:rsidRPr="00AF52E8">
        <w:t xml:space="preserve">eight matters of national environmental significance </w:t>
      </w:r>
      <w:r w:rsidR="003624AE">
        <w:t>that</w:t>
      </w:r>
      <w:r w:rsidR="003624AE" w:rsidRPr="00AF52E8">
        <w:t xml:space="preserve"> </w:t>
      </w:r>
      <w:r w:rsidR="00950B6F">
        <w:t>can ‘</w:t>
      </w:r>
      <w:r w:rsidR="00330AC7">
        <w:t>trigger</w:t>
      </w:r>
      <w:r w:rsidR="00950B6F">
        <w:t xml:space="preserve">’ the need for assessment and approval under the </w:t>
      </w:r>
      <w:proofErr w:type="spellStart"/>
      <w:r w:rsidR="00950B6F">
        <w:t>EPBC</w:t>
      </w:r>
      <w:proofErr w:type="spellEnd"/>
      <w:r w:rsidR="00950B6F">
        <w:t xml:space="preserve"> Act</w:t>
      </w:r>
      <w:r w:rsidR="00950B6F" w:rsidDel="00950B6F">
        <w:t xml:space="preserve"> </w:t>
      </w:r>
      <w:r w:rsidR="003F0C5F">
        <w:t>(b</w:t>
      </w:r>
      <w:r w:rsidRPr="00AF52E8">
        <w:t>ox</w:t>
      </w:r>
      <w:r w:rsidR="00E92A4C">
        <w:t> </w:t>
      </w:r>
      <w:r w:rsidR="00D13ACE" w:rsidRPr="00D13ACE">
        <w:t>6.2</w:t>
      </w:r>
      <w:r w:rsidRPr="00AF52E8">
        <w:t>)</w:t>
      </w:r>
      <w:r w:rsidR="00950B6F">
        <w:t>.</w:t>
      </w:r>
      <w:r w:rsidR="00FD4485">
        <w:t xml:space="preserve"> The </w:t>
      </w:r>
    </w:p>
    <w:p w:rsidR="003F0C5F" w:rsidRDefault="003F0C5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F0C5F">
        <w:tc>
          <w:tcPr>
            <w:tcW w:w="8771" w:type="dxa"/>
            <w:tcBorders>
              <w:top w:val="single" w:sz="6" w:space="0" w:color="auto"/>
              <w:bottom w:val="nil"/>
            </w:tcBorders>
          </w:tcPr>
          <w:p w:rsidR="003F0C5F" w:rsidRDefault="003F0C5F" w:rsidP="00D13ACE">
            <w:pPr>
              <w:pStyle w:val="BoxTitle"/>
            </w:pPr>
            <w:r>
              <w:rPr>
                <w:b w:val="0"/>
              </w:rPr>
              <w:t xml:space="preserve">Box </w:t>
            </w:r>
            <w:r w:rsidR="00D94B80">
              <w:rPr>
                <w:b w:val="0"/>
              </w:rPr>
              <w:t>6</w:t>
            </w:r>
            <w:r w:rsidR="00D13ACE">
              <w:rPr>
                <w:b w:val="0"/>
              </w:rPr>
              <w:t>.2</w:t>
            </w:r>
            <w:r w:rsidR="00C27A42">
              <w:tab/>
            </w:r>
            <w:proofErr w:type="spellStart"/>
            <w:r w:rsidR="00C27A42">
              <w:t>EPBC</w:t>
            </w:r>
            <w:proofErr w:type="spellEnd"/>
            <w:r w:rsidR="00C27A42">
              <w:t xml:space="preserve"> Act — m</w:t>
            </w:r>
            <w:r>
              <w:t xml:space="preserve">atters of national </w:t>
            </w:r>
            <w:r w:rsidR="00076E24">
              <w:t xml:space="preserve">environmental </w:t>
            </w:r>
            <w:r>
              <w:t>significance</w:t>
            </w:r>
          </w:p>
        </w:tc>
      </w:tr>
      <w:tr w:rsidR="003F0C5F">
        <w:trPr>
          <w:cantSplit/>
        </w:trPr>
        <w:tc>
          <w:tcPr>
            <w:tcW w:w="8771" w:type="dxa"/>
            <w:tcBorders>
              <w:top w:val="nil"/>
              <w:left w:val="single" w:sz="6" w:space="0" w:color="auto"/>
              <w:bottom w:val="nil"/>
              <w:right w:val="single" w:sz="6" w:space="0" w:color="auto"/>
            </w:tcBorders>
          </w:tcPr>
          <w:p w:rsidR="00192C64" w:rsidRDefault="00192C64" w:rsidP="00B070F6">
            <w:pPr>
              <w:pStyle w:val="Box"/>
            </w:pPr>
            <w:r>
              <w:t xml:space="preserve">The eight matters of national environmental significance under the </w:t>
            </w:r>
            <w:proofErr w:type="spellStart"/>
            <w:r>
              <w:t>EPBC</w:t>
            </w:r>
            <w:proofErr w:type="spellEnd"/>
            <w:r>
              <w:t xml:space="preserve"> Act are:</w:t>
            </w:r>
          </w:p>
          <w:p w:rsidR="00E81D73" w:rsidRDefault="00E81D73" w:rsidP="00E81D73">
            <w:pPr>
              <w:pStyle w:val="BoxListBullet"/>
            </w:pPr>
            <w:r>
              <w:t>listed threatened species and ecological communities</w:t>
            </w:r>
          </w:p>
          <w:p w:rsidR="00E81D73" w:rsidRDefault="00E81D73" w:rsidP="00E81D73">
            <w:pPr>
              <w:pStyle w:val="BoxListBullet"/>
            </w:pPr>
            <w:r>
              <w:t>migratory species protected under international agreements</w:t>
            </w:r>
          </w:p>
          <w:p w:rsidR="00E81D73" w:rsidRDefault="00E81D73" w:rsidP="00E81D73">
            <w:pPr>
              <w:pStyle w:val="BoxListBullet"/>
            </w:pPr>
            <w:proofErr w:type="spellStart"/>
            <w:r>
              <w:t>Ramsar</w:t>
            </w:r>
            <w:proofErr w:type="spellEnd"/>
            <w:r>
              <w:t xml:space="preserve"> wetlands of international importance</w:t>
            </w:r>
          </w:p>
          <w:p w:rsidR="00E81D73" w:rsidRDefault="00E81D73" w:rsidP="00E81D73">
            <w:pPr>
              <w:pStyle w:val="BoxListBullet"/>
            </w:pPr>
            <w:r>
              <w:t>the</w:t>
            </w:r>
            <w:r w:rsidR="007D2AB6">
              <w:t xml:space="preserve"> Commonwealth marine area</w:t>
            </w:r>
          </w:p>
          <w:p w:rsidR="00E81D73" w:rsidRDefault="00E81D73" w:rsidP="00E81D73">
            <w:pPr>
              <w:pStyle w:val="BoxListBullet"/>
            </w:pPr>
            <w:r>
              <w:t>World Heritage properties</w:t>
            </w:r>
          </w:p>
          <w:p w:rsidR="00E81D73" w:rsidRDefault="00E81D73" w:rsidP="00E81D73">
            <w:pPr>
              <w:pStyle w:val="BoxListBullet"/>
            </w:pPr>
            <w:r>
              <w:t>National Heritage places</w:t>
            </w:r>
          </w:p>
          <w:p w:rsidR="00E81D73" w:rsidRDefault="00E81D73" w:rsidP="00E81D73">
            <w:pPr>
              <w:pStyle w:val="BoxListBullet"/>
            </w:pPr>
            <w:r>
              <w:t>Great Barrier Reef Marine Park</w:t>
            </w:r>
          </w:p>
          <w:p w:rsidR="00E81D73" w:rsidRDefault="00E81D73" w:rsidP="00E81D73">
            <w:pPr>
              <w:pStyle w:val="BoxListBullet"/>
            </w:pPr>
            <w:r>
              <w:t>nuclear actions</w:t>
            </w:r>
            <w:r w:rsidR="00192C64">
              <w:t>.</w:t>
            </w:r>
          </w:p>
        </w:tc>
      </w:tr>
      <w:tr w:rsidR="003F0C5F">
        <w:trPr>
          <w:cantSplit/>
        </w:trPr>
        <w:tc>
          <w:tcPr>
            <w:tcW w:w="8771" w:type="dxa"/>
            <w:tcBorders>
              <w:top w:val="nil"/>
              <w:left w:val="single" w:sz="6" w:space="0" w:color="auto"/>
              <w:bottom w:val="nil"/>
              <w:right w:val="single" w:sz="6" w:space="0" w:color="auto"/>
            </w:tcBorders>
          </w:tcPr>
          <w:p w:rsidR="003F0C5F" w:rsidRDefault="003F0C5F" w:rsidP="00085E12">
            <w:pPr>
              <w:pStyle w:val="BoxSource"/>
            </w:pPr>
            <w:r>
              <w:rPr>
                <w:i/>
              </w:rPr>
              <w:t>Source</w:t>
            </w:r>
            <w:r w:rsidRPr="00167F06">
              <w:t xml:space="preserve">: </w:t>
            </w:r>
            <w:proofErr w:type="spellStart"/>
            <w:r w:rsidR="0055751F" w:rsidRPr="0055751F">
              <w:t>D</w:t>
            </w:r>
            <w:r w:rsidR="0095360D">
              <w:t>EWHA</w:t>
            </w:r>
            <w:proofErr w:type="spellEnd"/>
            <w:r w:rsidR="0055751F" w:rsidRPr="0055751F">
              <w:t xml:space="preserve"> </w:t>
            </w:r>
            <w:r w:rsidR="0055751F">
              <w:t>(</w:t>
            </w:r>
            <w:proofErr w:type="spellStart"/>
            <w:r w:rsidR="0055751F" w:rsidRPr="0055751F">
              <w:t>2009</w:t>
            </w:r>
            <w:r w:rsidR="0095360D">
              <w:t>c</w:t>
            </w:r>
            <w:proofErr w:type="spellEnd"/>
            <w:r w:rsidR="0055751F">
              <w:t>)</w:t>
            </w:r>
            <w:r w:rsidR="0055751F" w:rsidRPr="0055751F">
              <w:rPr>
                <w:rStyle w:val="Hyperlink"/>
                <w:u w:val="none"/>
              </w:rPr>
              <w:t>.</w:t>
            </w:r>
          </w:p>
        </w:tc>
      </w:tr>
      <w:tr w:rsidR="003F0C5F">
        <w:trPr>
          <w:cantSplit/>
        </w:trPr>
        <w:tc>
          <w:tcPr>
            <w:tcW w:w="8771" w:type="dxa"/>
            <w:tcBorders>
              <w:top w:val="nil"/>
              <w:left w:val="single" w:sz="6" w:space="0" w:color="auto"/>
              <w:bottom w:val="single" w:sz="6" w:space="0" w:color="auto"/>
              <w:right w:val="single" w:sz="6" w:space="0" w:color="auto"/>
            </w:tcBorders>
          </w:tcPr>
          <w:p w:rsidR="003F0C5F" w:rsidRDefault="003F0C5F">
            <w:pPr>
              <w:pStyle w:val="Box"/>
              <w:spacing w:before="0" w:line="120" w:lineRule="exact"/>
            </w:pPr>
          </w:p>
        </w:tc>
      </w:tr>
      <w:tr w:rsidR="003F0C5F" w:rsidRPr="000863A5">
        <w:tc>
          <w:tcPr>
            <w:tcW w:w="8771" w:type="dxa"/>
            <w:tcBorders>
              <w:top w:val="nil"/>
              <w:left w:val="nil"/>
              <w:bottom w:val="nil"/>
              <w:right w:val="nil"/>
            </w:tcBorders>
          </w:tcPr>
          <w:p w:rsidR="003F0C5F" w:rsidRPr="00626D32" w:rsidRDefault="003F0C5F" w:rsidP="003F0C5F">
            <w:pPr>
              <w:pStyle w:val="BoxSpaceBelow"/>
            </w:pPr>
          </w:p>
        </w:tc>
      </w:tr>
    </w:tbl>
    <w:p w:rsidR="0082619B" w:rsidRDefault="0082619B" w:rsidP="0082619B">
      <w:pPr>
        <w:pStyle w:val="BodyText"/>
      </w:pPr>
      <w:r>
        <w:t xml:space="preserve">Commonwealth has recently moved to introduce water resources as an additional matter of national environmental significance in relation to coal seam gas and large coal mining development. </w:t>
      </w:r>
      <w:r w:rsidRPr="001F3610">
        <w:t xml:space="preserve">Any exploration activity that is likely to have a significant impact on a matter of national environmental significance needs to be considered for environmental assessment and approval under the </w:t>
      </w:r>
      <w:proofErr w:type="spellStart"/>
      <w:r w:rsidRPr="001F3610">
        <w:t>EPBC</w:t>
      </w:r>
      <w:proofErr w:type="spellEnd"/>
      <w:r w:rsidRPr="001F3610">
        <w:t xml:space="preserve"> Act</w:t>
      </w:r>
      <w:r>
        <w:t>.</w:t>
      </w:r>
    </w:p>
    <w:p w:rsidR="005D5252" w:rsidRDefault="00E0560E" w:rsidP="005D5252">
      <w:pPr>
        <w:pStyle w:val="Heading4"/>
      </w:pPr>
      <w:r>
        <w:lastRenderedPageBreak/>
        <w:t>E</w:t>
      </w:r>
      <w:r w:rsidR="005D5252">
        <w:t>nvironmental regulation of offshore exploration</w:t>
      </w:r>
    </w:p>
    <w:p w:rsidR="005D5252" w:rsidRDefault="005D5252" w:rsidP="0014029B">
      <w:pPr>
        <w:pStyle w:val="BodyText"/>
      </w:pPr>
      <w:r>
        <w:t>O</w:t>
      </w:r>
      <w:r w:rsidRPr="00183A77">
        <w:t xml:space="preserve">ffshore petroleum operations </w:t>
      </w:r>
      <w:r>
        <w:t>in Commonwealth</w:t>
      </w:r>
      <w:r w:rsidRPr="00183A77">
        <w:t xml:space="preserve"> waters are governed by the Commonwealth </w:t>
      </w:r>
      <w:proofErr w:type="spellStart"/>
      <w:r w:rsidRPr="00D10C28">
        <w:t>OPGGS</w:t>
      </w:r>
      <w:proofErr w:type="spellEnd"/>
      <w:r w:rsidR="00723A11" w:rsidRPr="00D10C28">
        <w:t xml:space="preserve"> </w:t>
      </w:r>
      <w:r w:rsidRPr="00D10C28">
        <w:t>A</w:t>
      </w:r>
      <w:r w:rsidR="00723A11" w:rsidRPr="00D10C28">
        <w:t>ct</w:t>
      </w:r>
      <w:r w:rsidRPr="003E595E">
        <w:t xml:space="preserve"> </w:t>
      </w:r>
      <w:r>
        <w:t>and related r</w:t>
      </w:r>
      <w:r w:rsidRPr="00183A77">
        <w:t>egulations</w:t>
      </w:r>
      <w:r>
        <w:t xml:space="preserve">, including the </w:t>
      </w:r>
      <w:r w:rsidRPr="003E595E">
        <w:rPr>
          <w:i/>
        </w:rPr>
        <w:t>Offshore Petroleum Greenhouse Gas Storage (Environment) Regulations 2009</w:t>
      </w:r>
      <w:r w:rsidRPr="00183A77">
        <w:t xml:space="preserve"> </w:t>
      </w:r>
      <w:r w:rsidR="00C6279A">
        <w:t>(</w:t>
      </w:r>
      <w:proofErr w:type="spellStart"/>
      <w:r w:rsidR="00C6279A">
        <w:t>OPGGS</w:t>
      </w:r>
      <w:proofErr w:type="spellEnd"/>
      <w:r w:rsidR="00C6279A">
        <w:t xml:space="preserve"> </w:t>
      </w:r>
      <w:r w:rsidR="00246E3A">
        <w:t>(</w:t>
      </w:r>
      <w:r w:rsidR="00A95142">
        <w:t>Environment</w:t>
      </w:r>
      <w:r w:rsidR="00246E3A">
        <w:t>)</w:t>
      </w:r>
      <w:r w:rsidR="00A95142">
        <w:t xml:space="preserve"> </w:t>
      </w:r>
      <w:r w:rsidR="00C6279A">
        <w:t>Regulations).</w:t>
      </w:r>
    </w:p>
    <w:p w:rsidR="005D5252" w:rsidRDefault="005D5252" w:rsidP="005D5252">
      <w:pPr>
        <w:pStyle w:val="BodyText"/>
      </w:pPr>
      <w:r w:rsidRPr="00711434">
        <w:t xml:space="preserve">The </w:t>
      </w:r>
      <w:proofErr w:type="spellStart"/>
      <w:r w:rsidRPr="00246E3A">
        <w:t>OPGGS</w:t>
      </w:r>
      <w:proofErr w:type="spellEnd"/>
      <w:r w:rsidRPr="00246E3A">
        <w:t xml:space="preserve"> </w:t>
      </w:r>
      <w:r w:rsidR="00192C64" w:rsidRPr="00382F4A">
        <w:t>(</w:t>
      </w:r>
      <w:r w:rsidR="00A95142" w:rsidRPr="00382F4A">
        <w:t>Environment</w:t>
      </w:r>
      <w:r w:rsidR="00192C64" w:rsidRPr="00382F4A">
        <w:t>)</w:t>
      </w:r>
      <w:r w:rsidR="00A95142" w:rsidRPr="00246E3A">
        <w:t xml:space="preserve"> </w:t>
      </w:r>
      <w:r w:rsidRPr="00246E3A">
        <w:t>Regulations</w:t>
      </w:r>
      <w:r w:rsidRPr="00711434">
        <w:t xml:space="preserve"> have the primary objective of ensuring any petroleum activity in Commonwealth waters is carried out in a manner consistent with the principles of ecologically sustainable development, and in accordance with an environment plan that has appropriate environmental performance objectives and standards</w:t>
      </w:r>
      <w:r w:rsidR="00AF1951">
        <w:t>,</w:t>
      </w:r>
      <w:r w:rsidRPr="00711434">
        <w:t xml:space="preserve"> as well as measurement criteria for determining whether objectives and standards are met. </w:t>
      </w:r>
    </w:p>
    <w:p w:rsidR="00DA3349" w:rsidRDefault="00C2575D" w:rsidP="00DA3349">
      <w:pPr>
        <w:pStyle w:val="BodyText"/>
      </w:pPr>
      <w:r>
        <w:t xml:space="preserve">The Commonwealth has another legislative base for regulating offshore petroleum exploration. </w:t>
      </w:r>
      <w:r w:rsidR="00DA3349">
        <w:t xml:space="preserve">Under the </w:t>
      </w:r>
      <w:proofErr w:type="spellStart"/>
      <w:r w:rsidR="00DA3349">
        <w:t>EPBC</w:t>
      </w:r>
      <w:proofErr w:type="spellEnd"/>
      <w:r w:rsidR="00DA3349">
        <w:t xml:space="preserve"> Act, the Commonwealth has responsibility for regulating activities in its waters (those areas more than three nautical miles from the territorial sea baseline and within the Commonwealth Petroleum Jurisdiction Boundary).</w:t>
      </w:r>
    </w:p>
    <w:p w:rsidR="00DA3349" w:rsidRDefault="00DA3349" w:rsidP="00DA3349">
      <w:pPr>
        <w:pStyle w:val="BodyText"/>
      </w:pPr>
      <w:r>
        <w:t xml:space="preserve">For early stage petroleum exploration, the main trigger for assessment under the </w:t>
      </w:r>
      <w:proofErr w:type="spellStart"/>
      <w:r>
        <w:t>EPBC</w:t>
      </w:r>
      <w:proofErr w:type="spellEnd"/>
      <w:r>
        <w:t xml:space="preserve"> Act is ‘the Commonwealt</w:t>
      </w:r>
      <w:r w:rsidR="004D3CCB">
        <w:t>h marine area’ and, in particular</w:t>
      </w:r>
      <w:r>
        <w:t>, the noise impacts on marine mammals — particularly whales — from seismic activities. Aside from this, in general only exploration projects in nationally significant (enviro</w:t>
      </w:r>
      <w:r w:rsidR="00085E12">
        <w:t>nmentally sensitive) areas</w:t>
      </w:r>
      <w:r>
        <w:t xml:space="preserve"> require approval</w:t>
      </w:r>
      <w:r w:rsidR="00946AD4">
        <w:t xml:space="preserve"> under the </w:t>
      </w:r>
      <w:proofErr w:type="spellStart"/>
      <w:r w:rsidR="00946AD4">
        <w:t>EPBC</w:t>
      </w:r>
      <w:proofErr w:type="spellEnd"/>
      <w:r w:rsidR="00946AD4">
        <w:t xml:space="preserve"> Act</w:t>
      </w:r>
      <w:r>
        <w:t>, for example, in areas that provide habitat for liste</w:t>
      </w:r>
      <w:r w:rsidR="005A3043">
        <w:t>d threatened species.</w:t>
      </w:r>
    </w:p>
    <w:p w:rsidR="006868BF" w:rsidRPr="00CA74AD" w:rsidRDefault="008530EE" w:rsidP="00CA74AD">
      <w:pPr>
        <w:pStyle w:val="Heading3"/>
      </w:pPr>
      <w:r w:rsidRPr="00CA74AD">
        <w:t>Australian Government</w:t>
      </w:r>
      <w:r w:rsidR="0014029B" w:rsidRPr="00CA74AD">
        <w:t xml:space="preserve"> </w:t>
      </w:r>
      <w:r w:rsidR="00CA74AD" w:rsidRPr="00CA74AD">
        <w:t xml:space="preserve">assessment and approval </w:t>
      </w:r>
      <w:r w:rsidRPr="00CA74AD">
        <w:t>process</w:t>
      </w:r>
      <w:r w:rsidR="0014029B" w:rsidRPr="00CA74AD">
        <w:t>es</w:t>
      </w:r>
    </w:p>
    <w:p w:rsidR="00162136" w:rsidRDefault="00162136" w:rsidP="00CA74AD">
      <w:pPr>
        <w:pStyle w:val="Heading4"/>
      </w:pPr>
      <w:r>
        <w:t xml:space="preserve">Administering the </w:t>
      </w:r>
      <w:proofErr w:type="spellStart"/>
      <w:r>
        <w:t>EPBC</w:t>
      </w:r>
      <w:proofErr w:type="spellEnd"/>
      <w:r>
        <w:t xml:space="preserve"> Act</w:t>
      </w:r>
    </w:p>
    <w:p w:rsidR="00F319A5" w:rsidRDefault="00162136" w:rsidP="006868BF">
      <w:pPr>
        <w:pStyle w:val="BodyText"/>
      </w:pPr>
      <w:r w:rsidDel="00712657">
        <w:t xml:space="preserve">The </w:t>
      </w:r>
      <w:proofErr w:type="spellStart"/>
      <w:r w:rsidR="007E7D4A">
        <w:t>EPBC</w:t>
      </w:r>
      <w:proofErr w:type="spellEnd"/>
      <w:r w:rsidR="007E7D4A">
        <w:t xml:space="preserve"> Act is administered by the </w:t>
      </w:r>
      <w:r w:rsidDel="00712657">
        <w:t>Australian Government Department of Sustainability, Environment, Water, P</w:t>
      </w:r>
      <w:r w:rsidR="00A36600" w:rsidDel="00712657">
        <w:t>opulation and Communities (</w:t>
      </w:r>
      <w:proofErr w:type="spellStart"/>
      <w:r w:rsidR="00A36600" w:rsidDel="00712657">
        <w:t>SEWPa</w:t>
      </w:r>
      <w:r w:rsidDel="00712657">
        <w:t>C</w:t>
      </w:r>
      <w:proofErr w:type="spellEnd"/>
      <w:r w:rsidDel="00712657">
        <w:t>)</w:t>
      </w:r>
      <w:r w:rsidR="007E7D4A">
        <w:t xml:space="preserve">. </w:t>
      </w:r>
    </w:p>
    <w:p w:rsidR="00F319A5" w:rsidRDefault="00F319A5" w:rsidP="006868BF">
      <w:pPr>
        <w:pStyle w:val="BodyText"/>
      </w:pPr>
      <w:r w:rsidRPr="00F319A5">
        <w:t xml:space="preserve">The </w:t>
      </w:r>
      <w:proofErr w:type="spellStart"/>
      <w:r w:rsidRPr="00F319A5">
        <w:t>EPBC</w:t>
      </w:r>
      <w:proofErr w:type="spellEnd"/>
      <w:r w:rsidRPr="00F319A5">
        <w:t xml:space="preserve"> Act offers two pathways to </w:t>
      </w:r>
      <w:r w:rsidR="00946AD4">
        <w:t>obtain</w:t>
      </w:r>
      <w:r w:rsidR="00946AD4" w:rsidRPr="00F319A5">
        <w:t xml:space="preserve"> </w:t>
      </w:r>
      <w:r w:rsidRPr="00F319A5">
        <w:t>approval for actions that are likely to h</w:t>
      </w:r>
      <w:r>
        <w:t>ave a significant impact on matters of national environmental significance</w:t>
      </w:r>
      <w:r w:rsidR="00D4497F">
        <w:t>. The first of the</w:t>
      </w:r>
      <w:r w:rsidRPr="00F319A5">
        <w:t>se is the referral, assess</w:t>
      </w:r>
      <w:r>
        <w:t>ment and approval process</w:t>
      </w:r>
      <w:r w:rsidR="00D4497F">
        <w:t>, which involves</w:t>
      </w:r>
      <w:r>
        <w:t xml:space="preserve"> project</w:t>
      </w:r>
      <w:r w:rsidR="00E92A4C">
        <w:noBreakHyphen/>
      </w:r>
      <w:r>
        <w:t>by</w:t>
      </w:r>
      <w:r w:rsidR="00E92A4C">
        <w:noBreakHyphen/>
      </w:r>
      <w:r>
        <w:t>project assessments</w:t>
      </w:r>
      <w:r w:rsidRPr="00F319A5">
        <w:t xml:space="preserve">. The second </w:t>
      </w:r>
      <w:r w:rsidR="00600D77">
        <w:t xml:space="preserve">pathway </w:t>
      </w:r>
      <w:r w:rsidRPr="00F319A5">
        <w:t>is the strategic assessment process.</w:t>
      </w:r>
    </w:p>
    <w:p w:rsidR="00F319A5" w:rsidRDefault="00F319A5" w:rsidP="00CD2D6C">
      <w:pPr>
        <w:pStyle w:val="Heading5"/>
      </w:pPr>
      <w:r>
        <w:t>The referral, assessment and approval process</w:t>
      </w:r>
    </w:p>
    <w:p w:rsidR="006868BF" w:rsidRDefault="00F319A5" w:rsidP="006868BF">
      <w:pPr>
        <w:pStyle w:val="BodyText"/>
      </w:pPr>
      <w:r>
        <w:t xml:space="preserve">The majority of referrals under the </w:t>
      </w:r>
      <w:proofErr w:type="spellStart"/>
      <w:r>
        <w:t>EPBC</w:t>
      </w:r>
      <w:proofErr w:type="spellEnd"/>
      <w:r>
        <w:t xml:space="preserve"> Act follow the referral, assessment and approval pathway.</w:t>
      </w:r>
    </w:p>
    <w:p w:rsidR="00FF3189" w:rsidRDefault="006868BF" w:rsidP="00CD2D6C">
      <w:pPr>
        <w:pStyle w:val="Heading6"/>
      </w:pPr>
      <w:r>
        <w:t>Referral</w:t>
      </w:r>
    </w:p>
    <w:p w:rsidR="006868BF" w:rsidRDefault="007E7D4A" w:rsidP="006868BF">
      <w:pPr>
        <w:pStyle w:val="BodyText"/>
      </w:pPr>
      <w:r>
        <w:lastRenderedPageBreak/>
        <w:t xml:space="preserve">The </w:t>
      </w:r>
      <w:proofErr w:type="spellStart"/>
      <w:r>
        <w:t>EPBC</w:t>
      </w:r>
      <w:proofErr w:type="spellEnd"/>
      <w:r>
        <w:t xml:space="preserve"> Act places the onus for referring proposals on the person or company proposing to take the action. </w:t>
      </w:r>
      <w:r w:rsidR="00FF3189">
        <w:t>P</w:t>
      </w:r>
      <w:r w:rsidR="006868BF">
        <w:t xml:space="preserve">roponents may refer their </w:t>
      </w:r>
      <w:r w:rsidR="00771235">
        <w:t xml:space="preserve">exploration </w:t>
      </w:r>
      <w:r w:rsidR="006868BF">
        <w:t>proposals to the Minister</w:t>
      </w:r>
      <w:r w:rsidR="006A6258" w:rsidRPr="006A6258">
        <w:rPr>
          <w:lang w:val="en"/>
        </w:rPr>
        <w:t xml:space="preserve"> for Sustainability, Environment, Water, Population and Communities </w:t>
      </w:r>
      <w:r w:rsidR="006868BF">
        <w:t>who has 20 business days in which to decide whether the proposed action is likely to requ</w:t>
      </w:r>
      <w:r w:rsidR="0068280A">
        <w:t xml:space="preserve">ire approval under the </w:t>
      </w:r>
      <w:proofErr w:type="spellStart"/>
      <w:r w:rsidR="0068280A">
        <w:t>EPBC</w:t>
      </w:r>
      <w:proofErr w:type="spellEnd"/>
      <w:r w:rsidR="0068280A">
        <w:t xml:space="preserve"> Act.</w:t>
      </w:r>
    </w:p>
    <w:p w:rsidR="001423C6" w:rsidRDefault="001423C6" w:rsidP="001423C6">
      <w:pPr>
        <w:pStyle w:val="BodyText"/>
      </w:pPr>
      <w:r w:rsidRPr="001B2B58">
        <w:t>If a significant imp</w:t>
      </w:r>
      <w:r>
        <w:t>act is considered unlikely,</w:t>
      </w:r>
      <w:r w:rsidRPr="001B2B58">
        <w:t xml:space="preserve"> further assessment is not required</w:t>
      </w:r>
      <w:r w:rsidR="005F2A4B">
        <w:t xml:space="preserve"> and the proponent can proceed </w:t>
      </w:r>
      <w:r w:rsidR="00642C3B">
        <w:t>to take</w:t>
      </w:r>
      <w:r w:rsidR="005F2A4B">
        <w:t xml:space="preserve"> the referred action </w:t>
      </w:r>
      <w:r w:rsidR="00642C3B">
        <w:t>with legal certainty</w:t>
      </w:r>
      <w:r>
        <w:t>. In such cases, t</w:t>
      </w:r>
      <w:r w:rsidRPr="001B2B58">
        <w:t xml:space="preserve">he proposal is determined </w:t>
      </w:r>
      <w:r>
        <w:t xml:space="preserve">by the </w:t>
      </w:r>
      <w:r w:rsidR="006A6258">
        <w:t>responsible</w:t>
      </w:r>
      <w:r>
        <w:t xml:space="preserve"> Minister </w:t>
      </w:r>
      <w:r w:rsidRPr="001B2B58">
        <w:t xml:space="preserve">to be </w:t>
      </w:r>
      <w:r>
        <w:t>either:</w:t>
      </w:r>
    </w:p>
    <w:p w:rsidR="001423C6" w:rsidRDefault="001423C6" w:rsidP="001423C6">
      <w:pPr>
        <w:pStyle w:val="ListBullet"/>
      </w:pPr>
      <w:r w:rsidRPr="001B2B58">
        <w:t>‘not a controlled action’</w:t>
      </w:r>
    </w:p>
    <w:p w:rsidR="001423C6" w:rsidRDefault="001423C6" w:rsidP="001423C6">
      <w:pPr>
        <w:pStyle w:val="ListBullet"/>
      </w:pPr>
      <w:r w:rsidRPr="001B2B58">
        <w:t>‘not a controlled action</w:t>
      </w:r>
      <w:r>
        <w:t xml:space="preserve"> – particular manner</w:t>
      </w:r>
      <w:r w:rsidRPr="001B2B58">
        <w:t>’</w:t>
      </w:r>
      <w:r>
        <w:t xml:space="preserve">. </w:t>
      </w:r>
    </w:p>
    <w:p w:rsidR="001423C6" w:rsidRDefault="001423C6" w:rsidP="001423C6">
      <w:pPr>
        <w:pStyle w:val="BodyText"/>
      </w:pPr>
      <w:r>
        <w:t>In the latter case, the activity can</w:t>
      </w:r>
      <w:r w:rsidRPr="001B2B58">
        <w:t xml:space="preserve"> </w:t>
      </w:r>
      <w:r w:rsidR="00EF60FB">
        <w:t xml:space="preserve">only </w:t>
      </w:r>
      <w:r w:rsidRPr="001B2B58">
        <w:t>proceed provided it is undertaken in a</w:t>
      </w:r>
      <w:r>
        <w:t xml:space="preserve"> </w:t>
      </w:r>
      <w:r w:rsidRPr="001B2B58">
        <w:t>manner</w:t>
      </w:r>
      <w:r>
        <w:t xml:space="preserve"> </w:t>
      </w:r>
      <w:r w:rsidRPr="001B2B58">
        <w:t>specified in the decision notice</w:t>
      </w:r>
      <w:r>
        <w:t xml:space="preserve">. This ‘manner’ </w:t>
      </w:r>
      <w:r w:rsidRPr="001B2B58">
        <w:t>can refer to timing,</w:t>
      </w:r>
      <w:r>
        <w:t xml:space="preserve"> </w:t>
      </w:r>
      <w:r w:rsidRPr="001B2B58">
        <w:t>management measures, or other regulatory instruments or decisions.</w:t>
      </w:r>
    </w:p>
    <w:p w:rsidR="001423C6" w:rsidRPr="001B2B58" w:rsidRDefault="001423C6" w:rsidP="001423C6">
      <w:pPr>
        <w:pStyle w:val="BodyText"/>
      </w:pPr>
      <w:r>
        <w:t xml:space="preserve">If the action </w:t>
      </w:r>
      <w:r w:rsidR="001B2755">
        <w:t>is deemed to be a ‘controlled action’ it r</w:t>
      </w:r>
      <w:r>
        <w:t>equire</w:t>
      </w:r>
      <w:r w:rsidR="001B2755">
        <w:t>s</w:t>
      </w:r>
      <w:r>
        <w:t xml:space="preserve"> </w:t>
      </w:r>
      <w:r w:rsidR="001B2755">
        <w:t xml:space="preserve">Ministerial </w:t>
      </w:r>
      <w:r>
        <w:t xml:space="preserve">approval, </w:t>
      </w:r>
      <w:r w:rsidR="001B2755">
        <w:t xml:space="preserve">and </w:t>
      </w:r>
      <w:r>
        <w:t>the application proceeds to the second stage</w:t>
      </w:r>
      <w:r w:rsidR="00946AD4">
        <w:t>:</w:t>
      </w:r>
      <w:r>
        <w:t xml:space="preserve"> assessment.</w:t>
      </w:r>
      <w:r w:rsidR="001B2755">
        <w:t xml:space="preserve"> </w:t>
      </w:r>
    </w:p>
    <w:p w:rsidR="004C6424" w:rsidRDefault="00712657" w:rsidP="001B2B58">
      <w:pPr>
        <w:pStyle w:val="BodyText"/>
      </w:pPr>
      <w:r>
        <w:t xml:space="preserve">Most exploration activity </w:t>
      </w:r>
      <w:r w:rsidR="004C6424">
        <w:t xml:space="preserve">would not </w:t>
      </w:r>
      <w:r>
        <w:t xml:space="preserve">usually </w:t>
      </w:r>
      <w:r w:rsidR="004C6424">
        <w:t>be expected to have a significant impact on matters of natio</w:t>
      </w:r>
      <w:r w:rsidR="001B2B58">
        <w:t xml:space="preserve">nal environmental significance, unless directly impacting on an endangered species or ecological community, migratory species, national heritage site or </w:t>
      </w:r>
      <w:proofErr w:type="spellStart"/>
      <w:r w:rsidR="001B2B58">
        <w:t>Ramsar</w:t>
      </w:r>
      <w:proofErr w:type="spellEnd"/>
      <w:r w:rsidR="001B2B58">
        <w:t xml:space="preserve"> wetland</w:t>
      </w:r>
      <w:r w:rsidR="00E0560E">
        <w:t xml:space="preserve"> (table</w:t>
      </w:r>
      <w:r w:rsidR="00E92A4C">
        <w:t> </w:t>
      </w:r>
      <w:r w:rsidR="00E0560E">
        <w:t>6.3)</w:t>
      </w:r>
      <w:r w:rsidR="001B2B58">
        <w:t>.</w:t>
      </w:r>
      <w:r w:rsidR="001B2755">
        <w:t xml:space="preserve"> Of the 439 exploration referrals since the commencement of the </w:t>
      </w:r>
      <w:proofErr w:type="spellStart"/>
      <w:r w:rsidR="001B2755">
        <w:t>EPBC</w:t>
      </w:r>
      <w:proofErr w:type="spellEnd"/>
      <w:r w:rsidR="001B2755">
        <w:t xml:space="preserve"> Act in 2000, </w:t>
      </w:r>
      <w:r w:rsidR="00166B01">
        <w:t>101</w:t>
      </w:r>
      <w:r w:rsidR="00642C3B">
        <w:t xml:space="preserve"> have been deemed</w:t>
      </w:r>
      <w:r w:rsidR="009D6243">
        <w:t xml:space="preserve"> to be</w:t>
      </w:r>
      <w:r w:rsidR="00642C3B">
        <w:t xml:space="preserve"> </w:t>
      </w:r>
      <w:r w:rsidR="00166B01">
        <w:t>‘</w:t>
      </w:r>
      <w:r w:rsidR="00642C3B">
        <w:t xml:space="preserve">not </w:t>
      </w:r>
      <w:r w:rsidR="00166B01">
        <w:t>a</w:t>
      </w:r>
      <w:r w:rsidR="00642C3B">
        <w:t xml:space="preserve"> controlled action’</w:t>
      </w:r>
      <w:r w:rsidR="00166B01">
        <w:t xml:space="preserve"> and 286 ‘not a controlled action – particular manner’</w:t>
      </w:r>
      <w:r w:rsidR="001B2755">
        <w:t>.</w:t>
      </w:r>
    </w:p>
    <w:p w:rsidR="0082619B" w:rsidRDefault="0082619B" w:rsidP="001B2B58">
      <w:pPr>
        <w:pStyle w:val="BodyText"/>
      </w:pPr>
    </w:p>
    <w:p w:rsidR="0082619B" w:rsidRDefault="0082619B" w:rsidP="001B2B58">
      <w:pPr>
        <w:pStyle w:val="BodyText"/>
      </w:pPr>
    </w:p>
    <w:p w:rsidR="00FF3189" w:rsidRDefault="006868BF" w:rsidP="00CD2D6C">
      <w:pPr>
        <w:pStyle w:val="Heading6"/>
      </w:pPr>
      <w:r>
        <w:t xml:space="preserve">Assessment </w:t>
      </w:r>
    </w:p>
    <w:p w:rsidR="00EA6C9E" w:rsidRDefault="00FF3189" w:rsidP="006868BF">
      <w:pPr>
        <w:pStyle w:val="BodyText"/>
      </w:pPr>
      <w:r>
        <w:t>T</w:t>
      </w:r>
      <w:r w:rsidR="006868BF">
        <w:t xml:space="preserve">he Minister may </w:t>
      </w:r>
      <w:r w:rsidR="00EA6C9E">
        <w:t>base a decision on one of</w:t>
      </w:r>
      <w:r w:rsidR="006868BF">
        <w:t xml:space="preserve"> a number of assessment approaches</w:t>
      </w:r>
      <w:r w:rsidR="00EA6C9E">
        <w:t>,</w:t>
      </w:r>
      <w:r w:rsidR="006868BF">
        <w:t xml:space="preserve"> </w:t>
      </w:r>
      <w:r w:rsidR="000103FF">
        <w:t>including</w:t>
      </w:r>
      <w:r w:rsidR="00EA6C9E">
        <w:t>:</w:t>
      </w:r>
      <w:r w:rsidR="006868BF">
        <w:t xml:space="preserve"> </w:t>
      </w:r>
    </w:p>
    <w:p w:rsidR="00EA6C9E" w:rsidRDefault="00EA6C9E" w:rsidP="006731A0">
      <w:pPr>
        <w:pStyle w:val="ListBullet"/>
      </w:pPr>
      <w:r>
        <w:t>the information provided by a proponent in its referral form</w:t>
      </w:r>
    </w:p>
    <w:p w:rsidR="00EA6C9E" w:rsidRDefault="006868BF" w:rsidP="006731A0">
      <w:pPr>
        <w:pStyle w:val="ListBullet"/>
      </w:pPr>
      <w:r>
        <w:t xml:space="preserve">preliminary documentation </w:t>
      </w:r>
      <w:r w:rsidR="00EA6C9E">
        <w:t>(the referral form and any other relevant material identified by the Minister as being necessary to adequately assess a proposed action</w:t>
      </w:r>
    </w:p>
    <w:p w:rsidR="00EA6C9E" w:rsidRDefault="00EA6C9E" w:rsidP="006731A0">
      <w:pPr>
        <w:pStyle w:val="ListBullet"/>
      </w:pPr>
      <w:r>
        <w:t>a public environment report</w:t>
      </w:r>
    </w:p>
    <w:p w:rsidR="00EA6C9E" w:rsidRDefault="006868BF" w:rsidP="006731A0">
      <w:pPr>
        <w:pStyle w:val="ListBullet"/>
      </w:pPr>
      <w:r>
        <w:t>an environmental impact statement</w:t>
      </w:r>
    </w:p>
    <w:p w:rsidR="00EA6C9E" w:rsidRDefault="006868BF" w:rsidP="006731A0">
      <w:pPr>
        <w:pStyle w:val="ListBullet"/>
      </w:pPr>
      <w:r>
        <w:t>a pub</w:t>
      </w:r>
      <w:r w:rsidR="00D11104">
        <w:t>lic inquiry.</w:t>
      </w:r>
    </w:p>
    <w:p w:rsidR="00D85D5F" w:rsidRDefault="00BF6B02" w:rsidP="006868BF">
      <w:pPr>
        <w:pStyle w:val="BodyText"/>
      </w:pPr>
      <w:r>
        <w:t>If a proposed action is covered by a bilateral assessment agreement with a s</w:t>
      </w:r>
      <w:r w:rsidR="00D11104">
        <w:t xml:space="preserve">tate </w:t>
      </w:r>
      <w:r>
        <w:t xml:space="preserve">or </w:t>
      </w:r>
      <w:r w:rsidR="00D11104">
        <w:t>t</w:t>
      </w:r>
      <w:r w:rsidR="006868BF">
        <w:t>erritory</w:t>
      </w:r>
      <w:r>
        <w:t xml:space="preserve">, then the action can be assessed under </w:t>
      </w:r>
      <w:r w:rsidR="00410214">
        <w:t>an</w:t>
      </w:r>
      <w:r>
        <w:t xml:space="preserve"> accredited state</w:t>
      </w:r>
      <w:r w:rsidR="00946AD4">
        <w:t xml:space="preserve"> or </w:t>
      </w:r>
      <w:r>
        <w:t>territory process</w:t>
      </w:r>
      <w:r w:rsidR="000103FF">
        <w:t xml:space="preserve"> (section</w:t>
      </w:r>
      <w:r w:rsidR="00E92A4C">
        <w:t> </w:t>
      </w:r>
      <w:r w:rsidR="000103FF">
        <w:t>6.3).</w:t>
      </w:r>
    </w:p>
    <w:p w:rsidR="007C38CC" w:rsidRDefault="007C38CC" w:rsidP="00D85D5F">
      <w:pPr>
        <w:pStyle w:val="BodyText"/>
      </w:pPr>
      <w:r>
        <w:lastRenderedPageBreak/>
        <w:t xml:space="preserve">The majority of assessments for exploration activities under the </w:t>
      </w:r>
      <w:proofErr w:type="spellStart"/>
      <w:r>
        <w:t>EPBC</w:t>
      </w:r>
      <w:proofErr w:type="spellEnd"/>
      <w:r>
        <w:t xml:space="preserve"> Act </w:t>
      </w:r>
      <w:r w:rsidR="001B2755">
        <w:t>ha</w:t>
      </w:r>
      <w:r w:rsidR="00F443B0">
        <w:t>ve</w:t>
      </w:r>
      <w:r w:rsidR="001B2755">
        <w:t xml:space="preserve"> been</w:t>
      </w:r>
      <w:r>
        <w:t xml:space="preserve"> by preliminary documentation </w:t>
      </w:r>
      <w:r w:rsidR="001B2755">
        <w:t xml:space="preserve">(eight out of 13 assessments) </w:t>
      </w:r>
      <w:r>
        <w:t xml:space="preserve">(sub. 33, p. 9). </w:t>
      </w:r>
    </w:p>
    <w:p w:rsidR="00D85D5F" w:rsidRDefault="001B2755" w:rsidP="00D85D5F">
      <w:pPr>
        <w:pStyle w:val="BodyText"/>
      </w:pPr>
      <w:r>
        <w:t>A</w:t>
      </w:r>
      <w:r w:rsidR="00D85D5F">
        <w:t>ssessment</w:t>
      </w:r>
      <w:r>
        <w:t>s</w:t>
      </w:r>
      <w:r w:rsidR="00D85D5F">
        <w:t xml:space="preserve"> focus on the matters of national environmental significance. </w:t>
      </w:r>
      <w:r w:rsidR="00D85D5F" w:rsidRPr="006208B3">
        <w:t xml:space="preserve">For example, where a proposal is likely to have a significant impact on a </w:t>
      </w:r>
      <w:r w:rsidR="00C6279A">
        <w:t>listed</w:t>
      </w:r>
      <w:r w:rsidR="00D85D5F" w:rsidRPr="006208B3">
        <w:t xml:space="preserve"> threatened species, the assessment required under the </w:t>
      </w:r>
      <w:proofErr w:type="spellStart"/>
      <w:r w:rsidR="00D85D5F" w:rsidRPr="006208B3">
        <w:t>EPBC</w:t>
      </w:r>
      <w:proofErr w:type="spellEnd"/>
      <w:r w:rsidR="00D85D5F" w:rsidRPr="006208B3">
        <w:t xml:space="preserve"> Act only needs to consider the impact of the proposal on the </w:t>
      </w:r>
      <w:r w:rsidR="00C6279A">
        <w:t xml:space="preserve">particular </w:t>
      </w:r>
      <w:r w:rsidR="00D85D5F" w:rsidRPr="006208B3">
        <w:t>threatened species.</w:t>
      </w:r>
      <w:r w:rsidR="00E0560E">
        <w:t xml:space="preserve"> As noted earlier, the states and territories will also undertake assessments of environmental impacts in accordance with their processes.</w:t>
      </w:r>
    </w:p>
    <w:p w:rsidR="00FF3189" w:rsidRDefault="006868BF" w:rsidP="00CD2D6C">
      <w:pPr>
        <w:pStyle w:val="Heading6"/>
      </w:pPr>
      <w:r>
        <w:t>Approval</w:t>
      </w:r>
    </w:p>
    <w:p w:rsidR="008D50FB" w:rsidRDefault="001B2755" w:rsidP="001B2B58">
      <w:pPr>
        <w:pStyle w:val="BodyText"/>
      </w:pPr>
      <w:r>
        <w:t>Approval is either granted, granted with conditions, or deni</w:t>
      </w:r>
      <w:r w:rsidR="003E4C56">
        <w:t>ed, by the</w:t>
      </w:r>
      <w:r>
        <w:t xml:space="preserve"> Minister.</w:t>
      </w:r>
    </w:p>
    <w:p w:rsidR="008D50FB" w:rsidRDefault="008D50FB" w:rsidP="008D50FB">
      <w:pPr>
        <w:pStyle w:val="Heading5"/>
      </w:pPr>
      <w:r>
        <w:t>Strategic assessments</w:t>
      </w:r>
    </w:p>
    <w:p w:rsidR="00D4497F" w:rsidRDefault="00D4497F" w:rsidP="008D50FB">
      <w:pPr>
        <w:pStyle w:val="BodyText"/>
      </w:pPr>
      <w:r>
        <w:t>Strategic assessments</w:t>
      </w:r>
      <w:r w:rsidR="00A504B0" w:rsidRPr="00A504B0">
        <w:t xml:space="preserve"> </w:t>
      </w:r>
      <w:r>
        <w:t>are</w:t>
      </w:r>
      <w:r w:rsidR="00A504B0" w:rsidRPr="00A504B0">
        <w:t xml:space="preserve"> lands</w:t>
      </w:r>
      <w:r>
        <w:t>cape</w:t>
      </w:r>
      <w:r w:rsidR="00E92A4C">
        <w:noBreakHyphen/>
      </w:r>
      <w:r>
        <w:t>scale assessments. In contrast to</w:t>
      </w:r>
      <w:r w:rsidR="00A504B0" w:rsidRPr="00A504B0">
        <w:t xml:space="preserve"> project</w:t>
      </w:r>
      <w:r w:rsidR="00E92A4C">
        <w:noBreakHyphen/>
      </w:r>
      <w:r w:rsidR="00A504B0" w:rsidRPr="00A504B0">
        <w:t>by</w:t>
      </w:r>
      <w:r w:rsidR="00E92A4C">
        <w:noBreakHyphen/>
      </w:r>
      <w:r w:rsidR="00A504B0" w:rsidRPr="00A504B0">
        <w:t xml:space="preserve">project assessments, which look at individual actions (such as </w:t>
      </w:r>
      <w:r>
        <w:t>a proposed</w:t>
      </w:r>
      <w:r w:rsidR="00A504B0">
        <w:t xml:space="preserve"> exploration project</w:t>
      </w:r>
      <w:r w:rsidR="00A504B0" w:rsidRPr="00A504B0">
        <w:t xml:space="preserve">), they can consider a much broader set of issues. </w:t>
      </w:r>
      <w:r w:rsidR="008D50FB">
        <w:t>T</w:t>
      </w:r>
      <w:r w:rsidR="008D50FB" w:rsidRPr="008D50FB">
        <w:t>he</w:t>
      </w:r>
      <w:r w:rsidR="00F161A5">
        <w:t xml:space="preserve"> strategic assessment process</w:t>
      </w:r>
      <w:r w:rsidR="00A504B0">
        <w:t xml:space="preserve"> is </w:t>
      </w:r>
      <w:r w:rsidR="00F319A5">
        <w:t xml:space="preserve">much less commonly used </w:t>
      </w:r>
      <w:r w:rsidR="00A504B0">
        <w:t>than the referral, assessment and</w:t>
      </w:r>
      <w:r>
        <w:t xml:space="preserve"> approval process</w:t>
      </w:r>
      <w:r w:rsidR="00A504B0">
        <w:t xml:space="preserve">. </w:t>
      </w:r>
    </w:p>
    <w:p w:rsidR="008D50FB" w:rsidRPr="008D50FB" w:rsidRDefault="00A504B0" w:rsidP="008D50FB">
      <w:pPr>
        <w:pStyle w:val="BodyText"/>
      </w:pPr>
      <w:r>
        <w:t xml:space="preserve">The </w:t>
      </w:r>
      <w:r w:rsidR="00D4497F">
        <w:t>strategic assessment process has</w:t>
      </w:r>
      <w:r w:rsidR="008D50FB" w:rsidRPr="008D50FB">
        <w:t xml:space="preserve"> two steps:</w:t>
      </w:r>
    </w:p>
    <w:p w:rsidR="008D50FB" w:rsidRPr="008D50FB" w:rsidRDefault="008D50FB" w:rsidP="008D50FB">
      <w:pPr>
        <w:pStyle w:val="ListBullet"/>
      </w:pPr>
      <w:r w:rsidRPr="008D50FB">
        <w:t>assessment and endorsement of a ‘po</w:t>
      </w:r>
      <w:r>
        <w:t>licy, plan or program’</w:t>
      </w:r>
    </w:p>
    <w:p w:rsidR="008D50FB" w:rsidRPr="008D50FB" w:rsidRDefault="008D50FB" w:rsidP="008D50FB">
      <w:pPr>
        <w:pStyle w:val="ListBullet"/>
      </w:pPr>
      <w:r w:rsidRPr="008D50FB">
        <w:t>approval of actions (or classes of actions) that</w:t>
      </w:r>
      <w:r>
        <w:t xml:space="preserve"> are associated with the policy, plan or program. T</w:t>
      </w:r>
      <w:r w:rsidRPr="008D50FB">
        <w:t xml:space="preserve">his second step potentially allows development to proceed across a large area without further need for </w:t>
      </w:r>
      <w:proofErr w:type="spellStart"/>
      <w:r w:rsidRPr="008D50FB">
        <w:t>EPBC</w:t>
      </w:r>
      <w:proofErr w:type="spellEnd"/>
      <w:r w:rsidRPr="008D50FB">
        <w:t xml:space="preserve"> Act approval of indi</w:t>
      </w:r>
      <w:r>
        <w:t>vidual (project</w:t>
      </w:r>
      <w:r w:rsidR="00E92A4C">
        <w:noBreakHyphen/>
      </w:r>
      <w:r>
        <w:t>by</w:t>
      </w:r>
      <w:r w:rsidR="00E92A4C">
        <w:noBreakHyphen/>
      </w:r>
      <w:r>
        <w:t>project) developments</w:t>
      </w:r>
      <w:r w:rsidR="00175081">
        <w:t xml:space="preserve"> (</w:t>
      </w:r>
      <w:proofErr w:type="spellStart"/>
      <w:r w:rsidR="00175081">
        <w:t>SEWPaC</w:t>
      </w:r>
      <w:proofErr w:type="spellEnd"/>
      <w:r w:rsidR="00175081">
        <w:t xml:space="preserve"> </w:t>
      </w:r>
      <w:proofErr w:type="spellStart"/>
      <w:r w:rsidR="009D6243">
        <w:t>2012</w:t>
      </w:r>
      <w:r w:rsidR="002B6E84">
        <w:t>c</w:t>
      </w:r>
      <w:proofErr w:type="spellEnd"/>
      <w:r w:rsidR="00175081">
        <w:t>)</w:t>
      </w:r>
      <w:r w:rsidRPr="008D50FB">
        <w:t xml:space="preserve">. </w:t>
      </w:r>
    </w:p>
    <w:p w:rsidR="001B2B58" w:rsidRPr="008D50FB" w:rsidRDefault="008D50FB" w:rsidP="008D50FB">
      <w:pPr>
        <w:pStyle w:val="BodyText"/>
      </w:pPr>
      <w:r w:rsidRPr="008D50FB">
        <w:t>Strategic assessments are undertaken by the organisation re</w:t>
      </w:r>
      <w:r>
        <w:t>sponsible for implementing the policy, plan or p</w:t>
      </w:r>
      <w:r w:rsidR="00F161A5">
        <w:t xml:space="preserve">rogram — </w:t>
      </w:r>
      <w:r w:rsidRPr="008D50FB">
        <w:t xml:space="preserve">for example, </w:t>
      </w:r>
      <w:r w:rsidR="00F161A5">
        <w:t xml:space="preserve">a </w:t>
      </w:r>
      <w:r w:rsidRPr="008D50FB">
        <w:t xml:space="preserve">state or territory government, local council, </w:t>
      </w:r>
      <w:r w:rsidR="00F161A5">
        <w:t xml:space="preserve">industry group or organisation — </w:t>
      </w:r>
      <w:r w:rsidRPr="008D50FB">
        <w:t>in partnership with the Australian Government. They are designed to be collaborative process</w:t>
      </w:r>
      <w:r w:rsidR="00AF1951">
        <w:t>es</w:t>
      </w:r>
      <w:r w:rsidRPr="008D50FB">
        <w:t xml:space="preserve"> that deliver positive outcomes for both parties.</w:t>
      </w:r>
    </w:p>
    <w:p w:rsidR="0014029B" w:rsidRDefault="00162136" w:rsidP="00CA74AD">
      <w:pPr>
        <w:pStyle w:val="Heading4"/>
      </w:pPr>
      <w:r>
        <w:t xml:space="preserve">Administering the </w:t>
      </w:r>
      <w:proofErr w:type="spellStart"/>
      <w:r>
        <w:t>OPGGS</w:t>
      </w:r>
      <w:proofErr w:type="spellEnd"/>
      <w:r>
        <w:t xml:space="preserve"> Act</w:t>
      </w:r>
    </w:p>
    <w:p w:rsidR="00547797" w:rsidRDefault="002645F9" w:rsidP="00547797">
      <w:pPr>
        <w:pStyle w:val="BodyText"/>
        <w:rPr>
          <w:lang w:val="en"/>
        </w:rPr>
      </w:pPr>
      <w:r>
        <w:rPr>
          <w:lang w:val="en"/>
        </w:rPr>
        <w:t>T</w:t>
      </w:r>
      <w:r w:rsidR="00275830">
        <w:rPr>
          <w:lang w:val="en"/>
        </w:rPr>
        <w:t xml:space="preserve">he </w:t>
      </w:r>
      <w:r w:rsidR="00275830" w:rsidRPr="00275830">
        <w:t xml:space="preserve">National Offshore Petroleum Safety and Environmental Management Authority </w:t>
      </w:r>
      <w:r w:rsidR="00275830">
        <w:rPr>
          <w:lang w:val="en"/>
        </w:rPr>
        <w:t>(</w:t>
      </w:r>
      <w:proofErr w:type="spellStart"/>
      <w:r w:rsidR="00547797" w:rsidRPr="00547797">
        <w:rPr>
          <w:lang w:val="en"/>
        </w:rPr>
        <w:t>NOPSEMA</w:t>
      </w:r>
      <w:proofErr w:type="spellEnd"/>
      <w:r w:rsidR="00275830">
        <w:rPr>
          <w:lang w:val="en"/>
        </w:rPr>
        <w:t>)</w:t>
      </w:r>
      <w:r w:rsidR="00547797" w:rsidRPr="00547797">
        <w:rPr>
          <w:lang w:val="en"/>
        </w:rPr>
        <w:t xml:space="preserve"> is the </w:t>
      </w:r>
      <w:r w:rsidR="00946AD4">
        <w:rPr>
          <w:lang w:val="en"/>
        </w:rPr>
        <w:t xml:space="preserve">environmental </w:t>
      </w:r>
      <w:r w:rsidR="00547797" w:rsidRPr="00547797">
        <w:rPr>
          <w:lang w:val="en"/>
        </w:rPr>
        <w:t xml:space="preserve">regulator </w:t>
      </w:r>
      <w:r w:rsidR="00946AD4">
        <w:rPr>
          <w:lang w:val="en"/>
        </w:rPr>
        <w:t>for</w:t>
      </w:r>
      <w:r w:rsidR="005175C3">
        <w:rPr>
          <w:lang w:val="en"/>
        </w:rPr>
        <w:t xml:space="preserve"> </w:t>
      </w:r>
      <w:r w:rsidR="00547797" w:rsidRPr="00547797">
        <w:rPr>
          <w:lang w:val="en"/>
        </w:rPr>
        <w:t xml:space="preserve">petroleum exploration and development activities in </w:t>
      </w:r>
      <w:r w:rsidR="00204F45">
        <w:rPr>
          <w:lang w:val="en"/>
        </w:rPr>
        <w:t>C</w:t>
      </w:r>
      <w:r w:rsidR="00F84EC4">
        <w:rPr>
          <w:lang w:val="en"/>
        </w:rPr>
        <w:t>ommonwealth waters</w:t>
      </w:r>
      <w:r w:rsidR="004D3065">
        <w:rPr>
          <w:lang w:val="en"/>
        </w:rPr>
        <w:t xml:space="preserve">. </w:t>
      </w:r>
    </w:p>
    <w:p w:rsidR="002645F9" w:rsidRPr="002645F9" w:rsidRDefault="002645F9" w:rsidP="002645F9">
      <w:pPr>
        <w:pStyle w:val="BodyText"/>
        <w:rPr>
          <w:lang w:val="en"/>
        </w:rPr>
      </w:pPr>
      <w:r w:rsidRPr="002645F9">
        <w:rPr>
          <w:lang w:val="en"/>
        </w:rPr>
        <w:t xml:space="preserve">The </w:t>
      </w:r>
      <w:proofErr w:type="spellStart"/>
      <w:r>
        <w:rPr>
          <w:lang w:val="en"/>
        </w:rPr>
        <w:t>OPGGS</w:t>
      </w:r>
      <w:proofErr w:type="spellEnd"/>
      <w:r>
        <w:rPr>
          <w:lang w:val="en"/>
        </w:rPr>
        <w:t xml:space="preserve"> Act and </w:t>
      </w:r>
      <w:proofErr w:type="spellStart"/>
      <w:r w:rsidR="0055751F">
        <w:rPr>
          <w:lang w:val="en"/>
        </w:rPr>
        <w:t>OPGGS</w:t>
      </w:r>
      <w:proofErr w:type="spellEnd"/>
      <w:r w:rsidR="0055751F">
        <w:rPr>
          <w:lang w:val="en"/>
        </w:rPr>
        <w:t xml:space="preserve"> </w:t>
      </w:r>
      <w:r w:rsidR="00946AD4">
        <w:rPr>
          <w:lang w:val="en"/>
        </w:rPr>
        <w:t>(</w:t>
      </w:r>
      <w:r w:rsidR="0055751F">
        <w:rPr>
          <w:lang w:val="en"/>
        </w:rPr>
        <w:t>Environment</w:t>
      </w:r>
      <w:r w:rsidR="00946AD4">
        <w:rPr>
          <w:lang w:val="en"/>
        </w:rPr>
        <w:t>)</w:t>
      </w:r>
      <w:r>
        <w:rPr>
          <w:lang w:val="en"/>
        </w:rPr>
        <w:t xml:space="preserve"> </w:t>
      </w:r>
      <w:r w:rsidR="0055751F">
        <w:rPr>
          <w:lang w:val="en"/>
        </w:rPr>
        <w:t>R</w:t>
      </w:r>
      <w:r w:rsidRPr="002645F9">
        <w:rPr>
          <w:lang w:val="en"/>
        </w:rPr>
        <w:t xml:space="preserve">egulations require </w:t>
      </w:r>
      <w:r w:rsidR="00946AD4">
        <w:rPr>
          <w:lang w:val="en"/>
        </w:rPr>
        <w:t xml:space="preserve">those </w:t>
      </w:r>
      <w:r w:rsidRPr="002645F9">
        <w:rPr>
          <w:lang w:val="en"/>
        </w:rPr>
        <w:t xml:space="preserve">who want to conduct a petroleum activity in Commonwealth waters to prepare and implement an adequate environment plan for the period of the activity. The required content of an </w:t>
      </w:r>
      <w:r w:rsidR="00A82698">
        <w:rPr>
          <w:lang w:val="en"/>
        </w:rPr>
        <w:t>environment plan</w:t>
      </w:r>
      <w:r w:rsidRPr="002645F9">
        <w:rPr>
          <w:lang w:val="en"/>
        </w:rPr>
        <w:t xml:space="preserve"> is detailed within the </w:t>
      </w:r>
      <w:proofErr w:type="spellStart"/>
      <w:r w:rsidR="00C6279A">
        <w:rPr>
          <w:lang w:val="en"/>
        </w:rPr>
        <w:t>OPGGS</w:t>
      </w:r>
      <w:proofErr w:type="spellEnd"/>
      <w:r w:rsidR="00C6279A">
        <w:rPr>
          <w:lang w:val="en"/>
        </w:rPr>
        <w:t xml:space="preserve"> </w:t>
      </w:r>
      <w:r w:rsidRPr="002645F9">
        <w:rPr>
          <w:lang w:val="en"/>
        </w:rPr>
        <w:t>Regulations.</w:t>
      </w:r>
      <w:r>
        <w:rPr>
          <w:lang w:val="en"/>
        </w:rPr>
        <w:t xml:space="preserve"> </w:t>
      </w:r>
      <w:proofErr w:type="spellStart"/>
      <w:r w:rsidRPr="002645F9">
        <w:rPr>
          <w:lang w:val="en"/>
        </w:rPr>
        <w:t>NOPSEMA</w:t>
      </w:r>
      <w:proofErr w:type="spellEnd"/>
      <w:r w:rsidRPr="002645F9">
        <w:rPr>
          <w:lang w:val="en"/>
        </w:rPr>
        <w:t xml:space="preserve"> must assess and determine </w:t>
      </w:r>
      <w:r w:rsidR="00204F45">
        <w:rPr>
          <w:lang w:val="en"/>
        </w:rPr>
        <w:t>the</w:t>
      </w:r>
      <w:r w:rsidRPr="002645F9">
        <w:rPr>
          <w:lang w:val="en"/>
        </w:rPr>
        <w:t xml:space="preserve"> </w:t>
      </w:r>
      <w:r w:rsidR="00A82698">
        <w:rPr>
          <w:lang w:val="en"/>
        </w:rPr>
        <w:t>environment plan</w:t>
      </w:r>
      <w:r w:rsidRPr="002645F9">
        <w:rPr>
          <w:lang w:val="en"/>
        </w:rPr>
        <w:t xml:space="preserve"> </w:t>
      </w:r>
      <w:r w:rsidR="00204F45">
        <w:rPr>
          <w:lang w:val="en"/>
        </w:rPr>
        <w:t>to be</w:t>
      </w:r>
      <w:r w:rsidRPr="002645F9">
        <w:rPr>
          <w:lang w:val="en"/>
        </w:rPr>
        <w:t xml:space="preserve"> acceptable before the activity can proceed. </w:t>
      </w:r>
    </w:p>
    <w:p w:rsidR="002645F9" w:rsidRPr="002645F9" w:rsidRDefault="002645F9" w:rsidP="002645F9">
      <w:pPr>
        <w:pStyle w:val="BodyText"/>
        <w:rPr>
          <w:lang w:val="en"/>
        </w:rPr>
      </w:pPr>
      <w:r w:rsidRPr="002645F9">
        <w:rPr>
          <w:lang w:val="en"/>
        </w:rPr>
        <w:lastRenderedPageBreak/>
        <w:t xml:space="preserve">The Regulations </w:t>
      </w:r>
      <w:proofErr w:type="spellStart"/>
      <w:r w:rsidRPr="002645F9">
        <w:rPr>
          <w:lang w:val="en"/>
        </w:rPr>
        <w:t>utilise</w:t>
      </w:r>
      <w:proofErr w:type="spellEnd"/>
      <w:r w:rsidRPr="002645F9">
        <w:rPr>
          <w:lang w:val="en"/>
        </w:rPr>
        <w:t xml:space="preserve"> a risk</w:t>
      </w:r>
      <w:r w:rsidR="00E92A4C">
        <w:rPr>
          <w:lang w:val="en"/>
        </w:rPr>
        <w:noBreakHyphen/>
      </w:r>
      <w:r w:rsidRPr="002645F9">
        <w:rPr>
          <w:lang w:val="en"/>
        </w:rPr>
        <w:t xml:space="preserve">based approach for managing environmental performance through the </w:t>
      </w:r>
      <w:r w:rsidR="00A82698">
        <w:rPr>
          <w:lang w:val="en"/>
        </w:rPr>
        <w:t>environment plan</w:t>
      </w:r>
      <w:r w:rsidRPr="002645F9">
        <w:rPr>
          <w:lang w:val="en"/>
        </w:rPr>
        <w:t xml:space="preserve"> regime, which requires demonstration that the environmental impacts of petroleum </w:t>
      </w:r>
      <w:r w:rsidR="00C2575D">
        <w:rPr>
          <w:lang w:val="en"/>
        </w:rPr>
        <w:t xml:space="preserve">exploration </w:t>
      </w:r>
      <w:r w:rsidRPr="002645F9">
        <w:rPr>
          <w:lang w:val="en"/>
        </w:rPr>
        <w:t>activities are of an acceptable level and are reduced to ‘as low as reasonably practicable’ in order for a petroleum activity to proceed.</w:t>
      </w:r>
    </w:p>
    <w:p w:rsidR="002645F9" w:rsidRPr="002645F9" w:rsidRDefault="002645F9" w:rsidP="002645F9">
      <w:pPr>
        <w:pStyle w:val="BodyText"/>
        <w:rPr>
          <w:lang w:val="en"/>
        </w:rPr>
      </w:pPr>
      <w:r w:rsidRPr="002645F9">
        <w:rPr>
          <w:lang w:val="en"/>
        </w:rPr>
        <w:t>This approach enables operators to employ innovative and effective environmental protection measures that are tailored to their specific circumstances to achieve good environmental practice and outcomes. The Regulations are, therefore, primarily objectives</w:t>
      </w:r>
      <w:r w:rsidR="00E92A4C">
        <w:rPr>
          <w:lang w:val="en"/>
        </w:rPr>
        <w:noBreakHyphen/>
      </w:r>
      <w:r w:rsidRPr="002645F9">
        <w:rPr>
          <w:lang w:val="en"/>
        </w:rPr>
        <w:t xml:space="preserve">based and in the most part do not attempt to prescribe a particular environmental risk reduction approach. </w:t>
      </w:r>
    </w:p>
    <w:p w:rsidR="00DA3349" w:rsidRPr="00C87681" w:rsidRDefault="00DA3349" w:rsidP="00C87681">
      <w:pPr>
        <w:pStyle w:val="BodyText"/>
      </w:pPr>
      <w:r w:rsidRPr="00C87681">
        <w:t xml:space="preserve">The </w:t>
      </w:r>
      <w:r w:rsidR="00C87681" w:rsidRPr="00C87681">
        <w:rPr>
          <w:i/>
        </w:rPr>
        <w:t>Offshore Petroleum and Greenhouse Gas Storage (Regulatory Levies) Act 2003</w:t>
      </w:r>
      <w:r w:rsidR="00C87681" w:rsidRPr="00C87681">
        <w:t xml:space="preserve"> </w:t>
      </w:r>
      <w:r w:rsidR="00C87681">
        <w:t>provides for</w:t>
      </w:r>
      <w:r w:rsidRPr="00C87681">
        <w:t xml:space="preserve"> </w:t>
      </w:r>
      <w:proofErr w:type="spellStart"/>
      <w:r w:rsidRPr="00C87681">
        <w:t>NOPSEMA</w:t>
      </w:r>
      <w:proofErr w:type="spellEnd"/>
      <w:r w:rsidRPr="00C87681">
        <w:t xml:space="preserve"> to function on a full cost recovery basis.</w:t>
      </w:r>
    </w:p>
    <w:p w:rsidR="0083557C" w:rsidRDefault="0083557C" w:rsidP="00CA74AD">
      <w:pPr>
        <w:pStyle w:val="Heading3"/>
      </w:pPr>
      <w:r>
        <w:t>Natural Heritage</w:t>
      </w:r>
    </w:p>
    <w:p w:rsidR="00C7468D" w:rsidRDefault="00C7468D" w:rsidP="00C7468D">
      <w:pPr>
        <w:pStyle w:val="BodyText"/>
      </w:pPr>
      <w:r w:rsidRPr="00C7468D">
        <w:t>The National Heritage List, established under</w:t>
      </w:r>
      <w:r>
        <w:t xml:space="preserve"> the </w:t>
      </w:r>
      <w:proofErr w:type="spellStart"/>
      <w:r>
        <w:t>EPBC</w:t>
      </w:r>
      <w:proofErr w:type="spellEnd"/>
      <w:r>
        <w:t xml:space="preserve"> Act, includes natural</w:t>
      </w:r>
      <w:r w:rsidRPr="00C7468D">
        <w:t xml:space="preserve"> places of outstanding heritage value to the nation.</w:t>
      </w:r>
      <w:r w:rsidR="007A3125">
        <w:t xml:space="preserve"> The list includes numerous natural heritage sites, such as the Stirling Rang</w:t>
      </w:r>
      <w:r w:rsidR="00C055F5">
        <w:t xml:space="preserve">e National Park, Fraser Island and the </w:t>
      </w:r>
      <w:r w:rsidR="00C055F5" w:rsidRPr="00C055F5">
        <w:t>Tasmanian Wilderness World Heritage Area</w:t>
      </w:r>
      <w:r w:rsidR="00C055F5">
        <w:t>.</w:t>
      </w:r>
    </w:p>
    <w:p w:rsidR="00C7468D" w:rsidRPr="00C7468D" w:rsidRDefault="00C7468D" w:rsidP="00C7468D">
      <w:pPr>
        <w:pStyle w:val="BodyText"/>
      </w:pPr>
      <w:r w:rsidRPr="00C7468D">
        <w:t xml:space="preserve">National Heritage places are matters of national environmental significance protected by the </w:t>
      </w:r>
      <w:proofErr w:type="spellStart"/>
      <w:r w:rsidRPr="00C7468D">
        <w:t>EPBC</w:t>
      </w:r>
      <w:proofErr w:type="spellEnd"/>
      <w:r w:rsidRPr="00C7468D">
        <w:t xml:space="preserve"> Act. If</w:t>
      </w:r>
      <w:r>
        <w:t xml:space="preserve"> </w:t>
      </w:r>
      <w:r w:rsidRPr="00C7468D">
        <w:t xml:space="preserve">the </w:t>
      </w:r>
      <w:r w:rsidR="006A6258">
        <w:t xml:space="preserve">responsible Commonwealth </w:t>
      </w:r>
      <w:r w:rsidRPr="00C7468D">
        <w:t xml:space="preserve">Minister decides that an action will or is likely to have a significant impact on a </w:t>
      </w:r>
      <w:r w:rsidR="00B01E93">
        <w:t>N</w:t>
      </w:r>
      <w:r w:rsidRPr="00C7468D">
        <w:t>ational</w:t>
      </w:r>
      <w:r>
        <w:t xml:space="preserve"> </w:t>
      </w:r>
      <w:r w:rsidR="00B01E93">
        <w:t>Heritage place</w:t>
      </w:r>
      <w:r w:rsidRPr="00C7468D">
        <w:t xml:space="preserve">, then the action will require approval under the </w:t>
      </w:r>
      <w:proofErr w:type="spellStart"/>
      <w:r w:rsidRPr="00C7468D">
        <w:t>EPBC</w:t>
      </w:r>
      <w:proofErr w:type="spellEnd"/>
      <w:r w:rsidRPr="00C7468D">
        <w:t xml:space="preserve"> Act. </w:t>
      </w:r>
    </w:p>
    <w:p w:rsidR="00C7468D" w:rsidRPr="00E6615C" w:rsidRDefault="00C7468D" w:rsidP="00E6615C">
      <w:pPr>
        <w:pStyle w:val="BodyText"/>
      </w:pPr>
      <w:r w:rsidRPr="00E6615C">
        <w:t xml:space="preserve">If a National Heritage place is on </w:t>
      </w:r>
      <w:r w:rsidR="00946AD4" w:rsidRPr="00E6615C">
        <w:t>non</w:t>
      </w:r>
      <w:r w:rsidR="00E92A4C" w:rsidRPr="00E6615C">
        <w:noBreakHyphen/>
      </w:r>
      <w:r w:rsidR="00946AD4" w:rsidRPr="00E6615C">
        <w:t>Commonwealth</w:t>
      </w:r>
      <w:r w:rsidRPr="00E6615C">
        <w:t xml:space="preserve"> land, the values are protected to the full extent of the Australian Government’s constitutional powers. In some cases, the value of places may be protected under state</w:t>
      </w:r>
      <w:r w:rsidR="00946AD4" w:rsidRPr="00E6615C">
        <w:t xml:space="preserve"> or territory</w:t>
      </w:r>
      <w:r w:rsidRPr="00E6615C">
        <w:t xml:space="preserve"> legislation (through a bilateral agreement between the relevant </w:t>
      </w:r>
      <w:r w:rsidR="00D11104" w:rsidRPr="00E6615C">
        <w:t xml:space="preserve">state </w:t>
      </w:r>
      <w:r w:rsidR="00946AD4" w:rsidRPr="00E6615C">
        <w:t xml:space="preserve">or territory </w:t>
      </w:r>
      <w:r w:rsidR="00D11104" w:rsidRPr="00E6615C">
        <w:t>g</w:t>
      </w:r>
      <w:r w:rsidRPr="00E6615C">
        <w:t>overnment and the Australian Government) or by private owners under a conservation agreement with the Australian Government.</w:t>
      </w:r>
    </w:p>
    <w:p w:rsidR="005039F6" w:rsidRPr="00CB548E" w:rsidRDefault="005039F6" w:rsidP="005039F6">
      <w:pPr>
        <w:pStyle w:val="BodyText"/>
      </w:pPr>
      <w:r w:rsidRPr="00CB548E">
        <w:t>National Parks that are not on the National Heritage List are managed by state or territory governments. Policies towards exploration in national parks vary between jurisdictions, ranging from complete prohibition in Victoria, through to exploration permits requiring the approval of both Houses of Parliament in Western Australia. The issue of exploration activity within national parks and reserves is addressed in chapter 4.</w:t>
      </w:r>
    </w:p>
    <w:p w:rsidR="00CE59DF" w:rsidRPr="008359A0" w:rsidRDefault="001A2F67" w:rsidP="0045156D">
      <w:pPr>
        <w:pStyle w:val="Heading2"/>
      </w:pPr>
      <w:r>
        <w:lastRenderedPageBreak/>
        <w:t>6</w:t>
      </w:r>
      <w:r w:rsidR="00676650">
        <w:t>.</w:t>
      </w:r>
      <w:r w:rsidR="008C7677">
        <w:rPr>
          <w:noProof/>
        </w:rPr>
        <w:t>3</w:t>
      </w:r>
      <w:r w:rsidR="0045156D">
        <w:tab/>
      </w:r>
      <w:r w:rsidR="001B0866" w:rsidRPr="008359A0">
        <w:t>D</w:t>
      </w:r>
      <w:r w:rsidR="00CE59DF" w:rsidRPr="008359A0">
        <w:t>uplicat</w:t>
      </w:r>
      <w:r w:rsidR="0045156D">
        <w:t>ion of regulatory agency responsibilities</w:t>
      </w:r>
    </w:p>
    <w:p w:rsidR="00D3706B" w:rsidRDefault="00D3706B" w:rsidP="00A06AAD">
      <w:pPr>
        <w:pStyle w:val="Heading3"/>
      </w:pPr>
      <w:r>
        <w:t xml:space="preserve">Duplication of the </w:t>
      </w:r>
      <w:r w:rsidR="00B01E93">
        <w:t>Australian Government</w:t>
      </w:r>
      <w:r>
        <w:t xml:space="preserve"> regulatory framework</w:t>
      </w:r>
    </w:p>
    <w:p w:rsidR="00C90BCB" w:rsidRDefault="00C90BCB" w:rsidP="008E56A9">
      <w:pPr>
        <w:pStyle w:val="Heading4"/>
      </w:pPr>
      <w:r>
        <w:t xml:space="preserve">Overlap between the </w:t>
      </w:r>
      <w:proofErr w:type="spellStart"/>
      <w:r>
        <w:t>EPBC</w:t>
      </w:r>
      <w:proofErr w:type="spellEnd"/>
      <w:r>
        <w:t xml:space="preserve"> Act and the </w:t>
      </w:r>
      <w:proofErr w:type="spellStart"/>
      <w:r w:rsidRPr="00C90BCB">
        <w:t>OPGGS</w:t>
      </w:r>
      <w:proofErr w:type="spellEnd"/>
      <w:r w:rsidR="00D3706B">
        <w:t xml:space="preserve"> Act</w:t>
      </w:r>
    </w:p>
    <w:p w:rsidR="00D3706B" w:rsidRDefault="00A06AAD" w:rsidP="00486A9A">
      <w:pPr>
        <w:pStyle w:val="BodyText"/>
      </w:pPr>
      <w:r>
        <w:t>At the Australian Government level, t</w:t>
      </w:r>
      <w:r w:rsidR="00D3706B">
        <w:t xml:space="preserve">he main duplication of regulatory responsibilities is between the administration of </w:t>
      </w:r>
      <w:r w:rsidR="00D3706B" w:rsidRPr="00F41AC5">
        <w:t xml:space="preserve">the </w:t>
      </w:r>
      <w:proofErr w:type="spellStart"/>
      <w:r w:rsidR="00F41AC5" w:rsidRPr="00F41AC5">
        <w:t>EPBC</w:t>
      </w:r>
      <w:proofErr w:type="spellEnd"/>
      <w:r w:rsidR="00F41AC5" w:rsidRPr="00F41AC5">
        <w:t xml:space="preserve"> Act</w:t>
      </w:r>
      <w:r w:rsidR="00D3706B">
        <w:t xml:space="preserve"> (by </w:t>
      </w:r>
      <w:proofErr w:type="spellStart"/>
      <w:r w:rsidR="000703FC">
        <w:t>SEWPaC</w:t>
      </w:r>
      <w:proofErr w:type="spellEnd"/>
      <w:r w:rsidR="00D3706B">
        <w:t xml:space="preserve">) and the </w:t>
      </w:r>
      <w:proofErr w:type="spellStart"/>
      <w:r w:rsidR="000703FC">
        <w:t>OP</w:t>
      </w:r>
      <w:r w:rsidR="00274F96">
        <w:t>GG</w:t>
      </w:r>
      <w:r w:rsidR="000703FC">
        <w:t>S</w:t>
      </w:r>
      <w:proofErr w:type="spellEnd"/>
      <w:r w:rsidR="00274F96">
        <w:t xml:space="preserve"> Act and </w:t>
      </w:r>
      <w:proofErr w:type="spellStart"/>
      <w:r w:rsidR="00043F32">
        <w:t>OPGGS</w:t>
      </w:r>
      <w:proofErr w:type="spellEnd"/>
      <w:r w:rsidR="00043F32">
        <w:t xml:space="preserve"> </w:t>
      </w:r>
      <w:r w:rsidR="00946AD4">
        <w:t>(</w:t>
      </w:r>
      <w:r w:rsidR="00043F32">
        <w:t>Environment</w:t>
      </w:r>
      <w:r w:rsidR="00946AD4">
        <w:t>)</w:t>
      </w:r>
      <w:r w:rsidR="00043F32">
        <w:t xml:space="preserve"> R</w:t>
      </w:r>
      <w:r w:rsidR="00274F96">
        <w:t xml:space="preserve">egulations </w:t>
      </w:r>
      <w:r w:rsidR="00D3706B">
        <w:t xml:space="preserve">(by </w:t>
      </w:r>
      <w:proofErr w:type="spellStart"/>
      <w:r w:rsidR="000703FC">
        <w:t>NOPSEMA</w:t>
      </w:r>
      <w:proofErr w:type="spellEnd"/>
      <w:r w:rsidR="000703FC">
        <w:t>)</w:t>
      </w:r>
      <w:r w:rsidR="00D3706B">
        <w:t xml:space="preserve"> for exploration proposals in Commonwealth waters. </w:t>
      </w:r>
    </w:p>
    <w:p w:rsidR="00274F96" w:rsidRPr="00274F96" w:rsidRDefault="00274F96" w:rsidP="00274F96">
      <w:pPr>
        <w:pStyle w:val="BodyText"/>
        <w:rPr>
          <w:lang w:val="en"/>
        </w:rPr>
      </w:pPr>
      <w:r w:rsidRPr="00274F96">
        <w:rPr>
          <w:lang w:val="en"/>
        </w:rPr>
        <w:t xml:space="preserve">The </w:t>
      </w:r>
      <w:r w:rsidR="00631B50">
        <w:rPr>
          <w:lang w:val="en"/>
        </w:rPr>
        <w:t xml:space="preserve">potential for </w:t>
      </w:r>
      <w:r>
        <w:rPr>
          <w:bCs/>
          <w:lang w:val="en"/>
        </w:rPr>
        <w:t xml:space="preserve">overlap arises because the </w:t>
      </w:r>
      <w:r w:rsidRPr="00274F96">
        <w:rPr>
          <w:bCs/>
          <w:lang w:val="en"/>
        </w:rPr>
        <w:t>environmental</w:t>
      </w:r>
      <w:r>
        <w:rPr>
          <w:bCs/>
          <w:lang w:val="en"/>
        </w:rPr>
        <w:t xml:space="preserve"> </w:t>
      </w:r>
      <w:r w:rsidRPr="00274F96">
        <w:rPr>
          <w:bCs/>
          <w:lang w:val="en"/>
        </w:rPr>
        <w:t>regulations</w:t>
      </w:r>
      <w:r>
        <w:rPr>
          <w:bCs/>
          <w:lang w:val="en"/>
        </w:rPr>
        <w:t xml:space="preserve"> administered by </w:t>
      </w:r>
      <w:proofErr w:type="spellStart"/>
      <w:r>
        <w:rPr>
          <w:bCs/>
          <w:lang w:val="en"/>
        </w:rPr>
        <w:t>NOPSEMA</w:t>
      </w:r>
      <w:proofErr w:type="spellEnd"/>
      <w:r>
        <w:rPr>
          <w:bCs/>
          <w:lang w:val="en"/>
        </w:rPr>
        <w:t xml:space="preserve"> have the goal of </w:t>
      </w:r>
      <w:r>
        <w:rPr>
          <w:lang w:val="en"/>
        </w:rPr>
        <w:t>ensuring</w:t>
      </w:r>
      <w:r w:rsidR="00631B50">
        <w:rPr>
          <w:lang w:val="en"/>
        </w:rPr>
        <w:t xml:space="preserve"> that</w:t>
      </w:r>
      <w:r w:rsidRPr="00274F96">
        <w:rPr>
          <w:lang w:val="en"/>
        </w:rPr>
        <w:t xml:space="preserve"> offshore pet</w:t>
      </w:r>
      <w:r>
        <w:rPr>
          <w:lang w:val="en"/>
        </w:rPr>
        <w:t>roleum</w:t>
      </w:r>
      <w:r w:rsidR="00631B50">
        <w:rPr>
          <w:lang w:val="en"/>
        </w:rPr>
        <w:t xml:space="preserve"> activities are</w:t>
      </w:r>
      <w:r w:rsidRPr="00274F96">
        <w:rPr>
          <w:lang w:val="en"/>
        </w:rPr>
        <w:t xml:space="preserve"> carried out in a manner consistent with the principles of ecologically sustainable </w:t>
      </w:r>
      <w:r>
        <w:rPr>
          <w:lang w:val="en"/>
        </w:rPr>
        <w:t>development. Such obj</w:t>
      </w:r>
      <w:r w:rsidR="000703FC">
        <w:rPr>
          <w:lang w:val="en"/>
        </w:rPr>
        <w:t>ectives are</w:t>
      </w:r>
      <w:r w:rsidR="00631B50">
        <w:rPr>
          <w:lang w:val="en"/>
        </w:rPr>
        <w:t xml:space="preserve"> consistent with</w:t>
      </w:r>
      <w:r>
        <w:rPr>
          <w:lang w:val="en"/>
        </w:rPr>
        <w:t xml:space="preserve"> the protection of matters of national environmental significance, </w:t>
      </w:r>
      <w:r w:rsidR="00631B50">
        <w:rPr>
          <w:lang w:val="en"/>
        </w:rPr>
        <w:t>which is</w:t>
      </w:r>
      <w:r>
        <w:rPr>
          <w:lang w:val="en"/>
        </w:rPr>
        <w:t xml:space="preserve"> the focus of the </w:t>
      </w:r>
      <w:proofErr w:type="spellStart"/>
      <w:r>
        <w:rPr>
          <w:lang w:val="en"/>
        </w:rPr>
        <w:t>EPBC</w:t>
      </w:r>
      <w:proofErr w:type="spellEnd"/>
      <w:r>
        <w:rPr>
          <w:lang w:val="en"/>
        </w:rPr>
        <w:t xml:space="preserve"> Act.</w:t>
      </w:r>
    </w:p>
    <w:p w:rsidR="00DF3749" w:rsidRDefault="00B01E93" w:rsidP="00BA533D">
      <w:pPr>
        <w:pStyle w:val="BodyText"/>
      </w:pPr>
      <w:r w:rsidRPr="00B01E93">
        <w:t xml:space="preserve">Table 6.3 sets out the number of </w:t>
      </w:r>
      <w:r>
        <w:t>exploration</w:t>
      </w:r>
      <w:r w:rsidR="00E92A4C">
        <w:noBreakHyphen/>
      </w:r>
      <w:r>
        <w:t>related referrals and</w:t>
      </w:r>
      <w:r w:rsidRPr="00B01E93">
        <w:t xml:space="preserve"> associated determinations made under the </w:t>
      </w:r>
      <w:proofErr w:type="spellStart"/>
      <w:r w:rsidRPr="00B01E93">
        <w:t>EPBC</w:t>
      </w:r>
      <w:proofErr w:type="spellEnd"/>
      <w:r w:rsidRPr="00B01E93">
        <w:t xml:space="preserve"> Act since its commencement. </w:t>
      </w:r>
      <w:r>
        <w:t>It shows</w:t>
      </w:r>
      <w:r w:rsidRPr="00B01E93">
        <w:t xml:space="preserve"> there are far fewer onshore </w:t>
      </w:r>
      <w:r>
        <w:t xml:space="preserve">than offshore </w:t>
      </w:r>
      <w:r w:rsidRPr="00B01E93">
        <w:t>referrals. Most onshore exploration activities do</w:t>
      </w:r>
      <w:r>
        <w:t xml:space="preserve"> not have a material impact on</w:t>
      </w:r>
      <w:r w:rsidRPr="00B01E93">
        <w:t xml:space="preserve"> matter</w:t>
      </w:r>
      <w:r>
        <w:t>s</w:t>
      </w:r>
      <w:r w:rsidRPr="00B01E93">
        <w:t xml:space="preserve"> of national environment significance as defined by the </w:t>
      </w:r>
      <w:proofErr w:type="spellStart"/>
      <w:r w:rsidRPr="00B01E93">
        <w:t>EPBC</w:t>
      </w:r>
      <w:proofErr w:type="spellEnd"/>
      <w:r w:rsidRPr="00B01E93">
        <w:t xml:space="preserve"> Act (box 6.1)</w:t>
      </w:r>
      <w:r w:rsidR="00AE0D37">
        <w:t>.</w:t>
      </w:r>
    </w:p>
    <w:p w:rsidR="00DD7609" w:rsidRDefault="00DD7609">
      <w:pPr>
        <w:pStyle w:val="TableTitle"/>
      </w:pPr>
      <w:r>
        <w:rPr>
          <w:b w:val="0"/>
        </w:rPr>
        <w:t>Table 6</w:t>
      </w:r>
      <w:r w:rsidR="00D94B80">
        <w:rPr>
          <w:b w:val="0"/>
        </w:rPr>
        <w:t>.3</w:t>
      </w:r>
      <w:r>
        <w:tab/>
        <w:t xml:space="preserve">Referrals </w:t>
      </w:r>
      <w:r w:rsidR="00AE0D37">
        <w:t xml:space="preserve">and </w:t>
      </w:r>
      <w:r w:rsidR="00997F9A">
        <w:t xml:space="preserve">associated </w:t>
      </w:r>
      <w:r w:rsidR="00AE0D37">
        <w:t xml:space="preserve">determinations </w:t>
      </w:r>
      <w:r>
        <w:t xml:space="preserve">under the </w:t>
      </w:r>
      <w:proofErr w:type="spellStart"/>
      <w:r>
        <w:t>EPBC</w:t>
      </w:r>
      <w:proofErr w:type="spellEnd"/>
      <w:r>
        <w:t xml:space="preserve"> Act </w:t>
      </w:r>
      <w:r w:rsidR="00997F9A">
        <w:t>—</w:t>
      </w:r>
      <w:r>
        <w:t xml:space="preserve"> onshore and offshore</w:t>
      </w:r>
      <w:r w:rsidR="006E57A1">
        <w:t xml:space="preserve"> exploration</w:t>
      </w:r>
    </w:p>
    <w:p w:rsidR="00DD7609" w:rsidRDefault="00287633">
      <w:pPr>
        <w:pStyle w:val="Subtitle"/>
      </w:pPr>
      <w:r>
        <w:t>Estimated n</w:t>
      </w:r>
      <w:r w:rsidR="0021610A">
        <w:t xml:space="preserve">umber </w:t>
      </w:r>
      <w:r>
        <w:t>since the commencement of the Act in 2000</w:t>
      </w:r>
    </w:p>
    <w:tbl>
      <w:tblPr>
        <w:tblW w:w="5000" w:type="pct"/>
        <w:tblCellMar>
          <w:left w:w="0" w:type="dxa"/>
          <w:right w:w="0" w:type="dxa"/>
        </w:tblCellMar>
        <w:tblLook w:val="0000" w:firstRow="0" w:lastRow="0" w:firstColumn="0" w:lastColumn="0" w:noHBand="0" w:noVBand="0"/>
      </w:tblPr>
      <w:tblGrid>
        <w:gridCol w:w="2931"/>
        <w:gridCol w:w="2930"/>
        <w:gridCol w:w="2928"/>
      </w:tblGrid>
      <w:tr w:rsidR="00DD7609" w:rsidTr="00287633">
        <w:tc>
          <w:tcPr>
            <w:tcW w:w="1667" w:type="pct"/>
            <w:tcBorders>
              <w:top w:val="single" w:sz="6" w:space="0" w:color="auto"/>
              <w:bottom w:val="single" w:sz="6" w:space="0" w:color="auto"/>
            </w:tcBorders>
            <w:shd w:val="clear" w:color="auto" w:fill="auto"/>
          </w:tcPr>
          <w:p w:rsidR="00DD7609" w:rsidRDefault="00AE0D37" w:rsidP="00287633">
            <w:pPr>
              <w:pStyle w:val="TableColumnHeading"/>
              <w:jc w:val="left"/>
            </w:pPr>
            <w:r>
              <w:t>Determination</w:t>
            </w:r>
          </w:p>
        </w:tc>
        <w:tc>
          <w:tcPr>
            <w:tcW w:w="1667" w:type="pct"/>
            <w:tcBorders>
              <w:top w:val="single" w:sz="6" w:space="0" w:color="auto"/>
              <w:bottom w:val="single" w:sz="6" w:space="0" w:color="auto"/>
            </w:tcBorders>
            <w:shd w:val="clear" w:color="auto" w:fill="auto"/>
          </w:tcPr>
          <w:p w:rsidR="00DD7609" w:rsidRDefault="00DD7609" w:rsidP="00287633">
            <w:pPr>
              <w:pStyle w:val="TableColumnHeading"/>
            </w:pPr>
            <w:r>
              <w:t>Onshore</w:t>
            </w:r>
            <w:r w:rsidR="00997F9A">
              <w:t xml:space="preserve"> referrals </w:t>
            </w:r>
          </w:p>
        </w:tc>
        <w:tc>
          <w:tcPr>
            <w:tcW w:w="1666" w:type="pct"/>
            <w:tcBorders>
              <w:top w:val="single" w:sz="6" w:space="0" w:color="auto"/>
              <w:bottom w:val="single" w:sz="6" w:space="0" w:color="auto"/>
            </w:tcBorders>
            <w:shd w:val="clear" w:color="auto" w:fill="auto"/>
          </w:tcPr>
          <w:p w:rsidR="00DD7609" w:rsidRDefault="00DD7609" w:rsidP="00287633">
            <w:pPr>
              <w:pStyle w:val="TableColumnHeading"/>
              <w:ind w:right="28"/>
            </w:pPr>
            <w:r>
              <w:t>Offshore</w:t>
            </w:r>
            <w:r w:rsidR="00997F9A">
              <w:t xml:space="preserve"> referrals</w:t>
            </w:r>
          </w:p>
        </w:tc>
      </w:tr>
      <w:tr w:rsidR="00DD7609" w:rsidTr="00287633">
        <w:tc>
          <w:tcPr>
            <w:tcW w:w="1667" w:type="pct"/>
            <w:tcBorders>
              <w:top w:val="single" w:sz="6" w:space="0" w:color="auto"/>
            </w:tcBorders>
          </w:tcPr>
          <w:p w:rsidR="00DD7609" w:rsidRDefault="00DD7609" w:rsidP="00287633">
            <w:pPr>
              <w:pStyle w:val="TableUnitsRow"/>
              <w:jc w:val="left"/>
            </w:pPr>
            <w:r>
              <w:t>Not a controlled action</w:t>
            </w:r>
          </w:p>
        </w:tc>
        <w:tc>
          <w:tcPr>
            <w:tcW w:w="1667" w:type="pct"/>
            <w:tcBorders>
              <w:top w:val="single" w:sz="6" w:space="0" w:color="auto"/>
            </w:tcBorders>
          </w:tcPr>
          <w:p w:rsidR="00DD7609" w:rsidRDefault="00D85E2A" w:rsidP="00287633">
            <w:pPr>
              <w:pStyle w:val="TableUnitsRow"/>
            </w:pPr>
            <w:r>
              <w:t>14</w:t>
            </w:r>
          </w:p>
        </w:tc>
        <w:tc>
          <w:tcPr>
            <w:tcW w:w="1666" w:type="pct"/>
            <w:tcBorders>
              <w:top w:val="single" w:sz="6" w:space="0" w:color="auto"/>
            </w:tcBorders>
          </w:tcPr>
          <w:p w:rsidR="00DD7609" w:rsidRDefault="00D85E2A" w:rsidP="00287633">
            <w:pPr>
              <w:pStyle w:val="TableUnitsRow"/>
              <w:ind w:right="28"/>
            </w:pPr>
            <w:r>
              <w:t>87</w:t>
            </w:r>
          </w:p>
        </w:tc>
      </w:tr>
      <w:tr w:rsidR="00DD7609" w:rsidTr="00287633">
        <w:tc>
          <w:tcPr>
            <w:tcW w:w="1667" w:type="pct"/>
          </w:tcPr>
          <w:p w:rsidR="00DD7609" w:rsidRDefault="00DD7609" w:rsidP="00287633">
            <w:pPr>
              <w:pStyle w:val="TableBodyText"/>
              <w:jc w:val="left"/>
            </w:pPr>
            <w:r>
              <w:t>Not a controlled action – particular manner</w:t>
            </w:r>
          </w:p>
        </w:tc>
        <w:tc>
          <w:tcPr>
            <w:tcW w:w="1667" w:type="pct"/>
          </w:tcPr>
          <w:p w:rsidR="00DD7609" w:rsidRDefault="00D85E2A" w:rsidP="00287633">
            <w:pPr>
              <w:pStyle w:val="TableBodyText"/>
            </w:pPr>
            <w:r>
              <w:t>11</w:t>
            </w:r>
          </w:p>
        </w:tc>
        <w:tc>
          <w:tcPr>
            <w:tcW w:w="1666" w:type="pct"/>
          </w:tcPr>
          <w:p w:rsidR="00DD7609" w:rsidRDefault="00D85E2A" w:rsidP="00287633">
            <w:pPr>
              <w:pStyle w:val="TableBodyText"/>
              <w:ind w:right="28"/>
            </w:pPr>
            <w:r>
              <w:t>275</w:t>
            </w:r>
          </w:p>
        </w:tc>
      </w:tr>
      <w:tr w:rsidR="00DD7609" w:rsidTr="0095186C">
        <w:tc>
          <w:tcPr>
            <w:tcW w:w="1667" w:type="pct"/>
            <w:shd w:val="clear" w:color="auto" w:fill="auto"/>
          </w:tcPr>
          <w:p w:rsidR="00DD7609" w:rsidRDefault="00DD7609" w:rsidP="00287633">
            <w:pPr>
              <w:pStyle w:val="TableBodyText"/>
              <w:jc w:val="left"/>
            </w:pPr>
            <w:r>
              <w:t>Controlled action</w:t>
            </w:r>
          </w:p>
        </w:tc>
        <w:tc>
          <w:tcPr>
            <w:tcW w:w="1667" w:type="pct"/>
            <w:shd w:val="clear" w:color="auto" w:fill="auto"/>
          </w:tcPr>
          <w:p w:rsidR="00DD7609" w:rsidRDefault="00D85E2A" w:rsidP="00287633">
            <w:pPr>
              <w:pStyle w:val="TableBodyText"/>
            </w:pPr>
            <w:r>
              <w:t>4</w:t>
            </w:r>
          </w:p>
        </w:tc>
        <w:tc>
          <w:tcPr>
            <w:tcW w:w="1666" w:type="pct"/>
            <w:shd w:val="clear" w:color="auto" w:fill="auto"/>
          </w:tcPr>
          <w:p w:rsidR="00DD7609" w:rsidRDefault="00D85E2A" w:rsidP="00287633">
            <w:pPr>
              <w:pStyle w:val="TableBodyText"/>
              <w:ind w:right="28"/>
            </w:pPr>
            <w:r>
              <w:t>9</w:t>
            </w:r>
          </w:p>
        </w:tc>
      </w:tr>
      <w:tr w:rsidR="00DD7609" w:rsidTr="0095186C">
        <w:tc>
          <w:tcPr>
            <w:tcW w:w="1667" w:type="pct"/>
            <w:shd w:val="clear" w:color="auto" w:fill="auto"/>
          </w:tcPr>
          <w:p w:rsidR="00DD7609" w:rsidRDefault="00DD7609" w:rsidP="00287633">
            <w:pPr>
              <w:pStyle w:val="TableBodyText"/>
              <w:jc w:val="left"/>
            </w:pPr>
            <w:r>
              <w:t>Action clearly unacceptable</w:t>
            </w:r>
          </w:p>
        </w:tc>
        <w:tc>
          <w:tcPr>
            <w:tcW w:w="1667" w:type="pct"/>
            <w:shd w:val="clear" w:color="auto" w:fill="auto"/>
          </w:tcPr>
          <w:p w:rsidR="00DD7609" w:rsidRDefault="00D85E2A" w:rsidP="00287633">
            <w:pPr>
              <w:pStyle w:val="TableBodyText"/>
            </w:pPr>
            <w:r>
              <w:t>0</w:t>
            </w:r>
          </w:p>
        </w:tc>
        <w:tc>
          <w:tcPr>
            <w:tcW w:w="1666" w:type="pct"/>
            <w:shd w:val="clear" w:color="auto" w:fill="auto"/>
          </w:tcPr>
          <w:p w:rsidR="00DD7609" w:rsidRDefault="00D85E2A" w:rsidP="00287633">
            <w:pPr>
              <w:pStyle w:val="TableBodyText"/>
              <w:ind w:right="28"/>
            </w:pPr>
            <w:r>
              <w:t>1</w:t>
            </w:r>
          </w:p>
        </w:tc>
      </w:tr>
      <w:tr w:rsidR="00D85E2A" w:rsidTr="00287633">
        <w:tc>
          <w:tcPr>
            <w:tcW w:w="1667" w:type="pct"/>
            <w:tcBorders>
              <w:bottom w:val="single" w:sz="6" w:space="0" w:color="auto"/>
            </w:tcBorders>
            <w:shd w:val="clear" w:color="auto" w:fill="auto"/>
          </w:tcPr>
          <w:p w:rsidR="00D85E2A" w:rsidRDefault="0030475E" w:rsidP="00287633">
            <w:pPr>
              <w:pStyle w:val="TableBodyText"/>
              <w:jc w:val="left"/>
            </w:pPr>
            <w:r>
              <w:t>Referral w</w:t>
            </w:r>
            <w:r w:rsidR="00D85E2A">
              <w:t>ithdrawn or decision yet to be made</w:t>
            </w:r>
          </w:p>
        </w:tc>
        <w:tc>
          <w:tcPr>
            <w:tcW w:w="1667" w:type="pct"/>
            <w:tcBorders>
              <w:bottom w:val="single" w:sz="6" w:space="0" w:color="auto"/>
            </w:tcBorders>
            <w:shd w:val="clear" w:color="auto" w:fill="auto"/>
          </w:tcPr>
          <w:p w:rsidR="00D85E2A" w:rsidRDefault="00DC61A5" w:rsidP="00287633">
            <w:pPr>
              <w:pStyle w:val="TableBodyText"/>
            </w:pPr>
            <w:r>
              <w:t>0</w:t>
            </w:r>
          </w:p>
        </w:tc>
        <w:tc>
          <w:tcPr>
            <w:tcW w:w="1666" w:type="pct"/>
            <w:tcBorders>
              <w:bottom w:val="single" w:sz="6" w:space="0" w:color="auto"/>
            </w:tcBorders>
            <w:shd w:val="clear" w:color="auto" w:fill="auto"/>
          </w:tcPr>
          <w:p w:rsidR="00D85E2A" w:rsidRDefault="00DC61A5" w:rsidP="00287633">
            <w:pPr>
              <w:pStyle w:val="TableBodyText"/>
              <w:ind w:right="28"/>
            </w:pPr>
            <w:r>
              <w:t>38</w:t>
            </w:r>
          </w:p>
        </w:tc>
      </w:tr>
      <w:tr w:rsidR="00D85E2A" w:rsidTr="00D85E2A">
        <w:tc>
          <w:tcPr>
            <w:tcW w:w="1667" w:type="pct"/>
            <w:tcBorders>
              <w:bottom w:val="single" w:sz="6" w:space="0" w:color="auto"/>
            </w:tcBorders>
            <w:shd w:val="clear" w:color="auto" w:fill="auto"/>
          </w:tcPr>
          <w:p w:rsidR="00D85E2A" w:rsidRDefault="00D85E2A" w:rsidP="00287633">
            <w:pPr>
              <w:pStyle w:val="TableBodyText"/>
              <w:jc w:val="left"/>
            </w:pPr>
            <w:r>
              <w:t>Total</w:t>
            </w:r>
          </w:p>
        </w:tc>
        <w:tc>
          <w:tcPr>
            <w:tcW w:w="1667" w:type="pct"/>
            <w:tcBorders>
              <w:bottom w:val="single" w:sz="6" w:space="0" w:color="auto"/>
            </w:tcBorders>
            <w:shd w:val="clear" w:color="auto" w:fill="auto"/>
          </w:tcPr>
          <w:p w:rsidR="00D85E2A" w:rsidRDefault="00D85E2A" w:rsidP="00287633">
            <w:pPr>
              <w:pStyle w:val="TableBodyText"/>
            </w:pPr>
            <w:r>
              <w:t>29</w:t>
            </w:r>
          </w:p>
        </w:tc>
        <w:tc>
          <w:tcPr>
            <w:tcW w:w="1666" w:type="pct"/>
            <w:tcBorders>
              <w:bottom w:val="single" w:sz="6" w:space="0" w:color="auto"/>
            </w:tcBorders>
            <w:shd w:val="clear" w:color="auto" w:fill="auto"/>
          </w:tcPr>
          <w:p w:rsidR="00D85E2A" w:rsidRDefault="00D85E2A" w:rsidP="00287633">
            <w:pPr>
              <w:pStyle w:val="TableBodyText"/>
              <w:ind w:right="28"/>
            </w:pPr>
            <w:r>
              <w:t>410</w:t>
            </w:r>
          </w:p>
        </w:tc>
      </w:tr>
    </w:tbl>
    <w:p w:rsidR="00DD7609" w:rsidRPr="008E77FE" w:rsidRDefault="00DD7609" w:rsidP="00287633">
      <w:pPr>
        <w:pStyle w:val="Source"/>
      </w:pPr>
      <w:r>
        <w:rPr>
          <w:i/>
        </w:rPr>
        <w:t>Source</w:t>
      </w:r>
      <w:r>
        <w:t xml:space="preserve">: </w:t>
      </w:r>
      <w:r w:rsidR="00D85E2A">
        <w:t>sub.</w:t>
      </w:r>
      <w:r w:rsidR="00E92A4C">
        <w:t> </w:t>
      </w:r>
      <w:r w:rsidR="00D85E2A">
        <w:t>33, p</w:t>
      </w:r>
      <w:r>
        <w:t>. 4.</w:t>
      </w:r>
    </w:p>
    <w:p w:rsidR="00822944" w:rsidRDefault="00822944" w:rsidP="00822944">
      <w:pPr>
        <w:pStyle w:val="BodyText"/>
      </w:pPr>
      <w:r>
        <w:t>T</w:t>
      </w:r>
      <w:r w:rsidRPr="00992069">
        <w:t xml:space="preserve">he </w:t>
      </w:r>
      <w:proofErr w:type="spellStart"/>
      <w:r w:rsidRPr="00992069">
        <w:t>Montara</w:t>
      </w:r>
      <w:proofErr w:type="spellEnd"/>
      <w:r w:rsidRPr="00992069">
        <w:t xml:space="preserve"> Commission of Inquiry</w:t>
      </w:r>
      <w:r>
        <w:t xml:space="preserve"> recognised the potential for duplication. One of its recommendations — which was accepted by the Australian Government — was:</w:t>
      </w:r>
    </w:p>
    <w:p w:rsidR="00822944" w:rsidRDefault="00822944" w:rsidP="00822944">
      <w:pPr>
        <w:pStyle w:val="Quote"/>
      </w:pPr>
      <w:r w:rsidRPr="00EF52E8">
        <w:t xml:space="preserve">The Government should examine the scope for a single environment plan to meet the regulatory requirements of both the </w:t>
      </w:r>
      <w:proofErr w:type="spellStart"/>
      <w:r w:rsidRPr="00EF52E8">
        <w:t>OPGGS</w:t>
      </w:r>
      <w:proofErr w:type="spellEnd"/>
      <w:r w:rsidRPr="00EF52E8">
        <w:t xml:space="preserve"> Act and the </w:t>
      </w:r>
      <w:proofErr w:type="spellStart"/>
      <w:r w:rsidRPr="00EF52E8">
        <w:t>EPBC</w:t>
      </w:r>
      <w:proofErr w:type="spellEnd"/>
      <w:r w:rsidRPr="00EF52E8">
        <w:t xml:space="preserve"> Act. This could possibly be achieved by way of bilateral agreements and accreditation arrangements and/or legislative amendment</w:t>
      </w:r>
      <w:r>
        <w:t>. (</w:t>
      </w:r>
      <w:proofErr w:type="spellStart"/>
      <w:r w:rsidR="004139AA" w:rsidRPr="004139AA">
        <w:t>Mo</w:t>
      </w:r>
      <w:r w:rsidR="004139AA">
        <w:t>ntara</w:t>
      </w:r>
      <w:proofErr w:type="spellEnd"/>
      <w:r w:rsidR="004139AA">
        <w:t xml:space="preserve"> Commission of Inquiry </w:t>
      </w:r>
      <w:r w:rsidR="00F161A5" w:rsidRPr="008E6E70">
        <w:t>2010</w:t>
      </w:r>
      <w:r w:rsidR="00F161A5">
        <w:t>, </w:t>
      </w:r>
      <w:r>
        <w:t>p. 317)</w:t>
      </w:r>
    </w:p>
    <w:p w:rsidR="00F161A5" w:rsidRDefault="00F161A5" w:rsidP="00822944">
      <w:pPr>
        <w:pStyle w:val="BodyText"/>
      </w:pPr>
      <w:r>
        <w:t xml:space="preserve">The </w:t>
      </w:r>
      <w:r w:rsidR="001F3610" w:rsidRPr="0051072C">
        <w:rPr>
          <w:i/>
        </w:rPr>
        <w:t>Independent Review of the Environment Protection and Biodiversity Conservation Act 1999</w:t>
      </w:r>
      <w:r w:rsidR="001F3610">
        <w:t xml:space="preserve"> (the </w:t>
      </w:r>
      <w:r>
        <w:t>Hawke Review</w:t>
      </w:r>
      <w:r w:rsidR="001F3610">
        <w:t>)</w:t>
      </w:r>
      <w:r>
        <w:t xml:space="preserve"> (</w:t>
      </w:r>
      <w:proofErr w:type="spellStart"/>
      <w:r w:rsidR="0062753E">
        <w:t>DEWHA</w:t>
      </w:r>
      <w:proofErr w:type="spellEnd"/>
      <w:r w:rsidRPr="0051072C">
        <w:t xml:space="preserve"> </w:t>
      </w:r>
      <w:proofErr w:type="spellStart"/>
      <w:r w:rsidRPr="0051072C">
        <w:t>2009</w:t>
      </w:r>
      <w:r w:rsidR="0062753E">
        <w:t>a</w:t>
      </w:r>
      <w:proofErr w:type="spellEnd"/>
      <w:r w:rsidR="00FC3C6D">
        <w:t>, p. 43</w:t>
      </w:r>
      <w:r>
        <w:t xml:space="preserve">) also </w:t>
      </w:r>
      <w:r w:rsidR="00FC3C6D">
        <w:t xml:space="preserve">recommended the Australian </w:t>
      </w:r>
      <w:r w:rsidR="00FC3C6D">
        <w:lastRenderedPageBreak/>
        <w:t xml:space="preserve">Government consider streamlining the </w:t>
      </w:r>
      <w:proofErr w:type="spellStart"/>
      <w:r w:rsidR="00FC3C6D">
        <w:t>OPGGS</w:t>
      </w:r>
      <w:proofErr w:type="spellEnd"/>
      <w:r w:rsidR="00FC3C6D">
        <w:t xml:space="preserve"> Act and the </w:t>
      </w:r>
      <w:proofErr w:type="spellStart"/>
      <w:r w:rsidR="00FC3C6D">
        <w:t>EPBC</w:t>
      </w:r>
      <w:proofErr w:type="spellEnd"/>
      <w:r w:rsidR="00FC3C6D">
        <w:t xml:space="preserve"> Act ‘with a view to maximising regulatory efficiency while retaining strong environmental safeguards’.</w:t>
      </w:r>
      <w:r w:rsidR="00794E0D">
        <w:t xml:space="preserve"> The Australian Government agreed with this recommendation.</w:t>
      </w:r>
    </w:p>
    <w:p w:rsidR="009D03B0" w:rsidRDefault="00D3706B" w:rsidP="00822944">
      <w:pPr>
        <w:pStyle w:val="BodyText"/>
      </w:pPr>
      <w:r>
        <w:t>S</w:t>
      </w:r>
      <w:r w:rsidR="00287633">
        <w:t>everal s</w:t>
      </w:r>
      <w:r>
        <w:t xml:space="preserve">ubmissions to this inquiry </w:t>
      </w:r>
      <w:r w:rsidR="00287633">
        <w:t xml:space="preserve">have observed </w:t>
      </w:r>
      <w:r>
        <w:t xml:space="preserve">that duplication </w:t>
      </w:r>
      <w:r w:rsidR="009E13F8">
        <w:t>between the two A</w:t>
      </w:r>
      <w:r w:rsidR="00FC3C6D">
        <w:t xml:space="preserve">cts </w:t>
      </w:r>
      <w:r>
        <w:t>leads to increased compliance costs arising from the necessity to produce different environmental plans, delays in approvals processes</w:t>
      </w:r>
      <w:r w:rsidR="00246E3A">
        <w:t>,</w:t>
      </w:r>
      <w:r>
        <w:t xml:space="preserve"> and inconsistent and sometimes incompatibl</w:t>
      </w:r>
      <w:r w:rsidR="00822944">
        <w:t>e operational requirements from</w:t>
      </w:r>
      <w:r>
        <w:t xml:space="preserve"> regulator</w:t>
      </w:r>
      <w:r w:rsidR="009C7652">
        <w:t>s</w:t>
      </w:r>
      <w:r>
        <w:t xml:space="preserve">. </w:t>
      </w:r>
    </w:p>
    <w:p w:rsidR="00822944" w:rsidRDefault="00822944" w:rsidP="00822944">
      <w:pPr>
        <w:pStyle w:val="BodyText"/>
      </w:pPr>
      <w:r>
        <w:t xml:space="preserve">For example, </w:t>
      </w:r>
      <w:proofErr w:type="spellStart"/>
      <w:r>
        <w:t>NOPSEMA</w:t>
      </w:r>
      <w:proofErr w:type="spellEnd"/>
      <w:r>
        <w:t xml:space="preserve"> stated:</w:t>
      </w:r>
    </w:p>
    <w:p w:rsidR="00822944" w:rsidRDefault="00822944" w:rsidP="00822944">
      <w:pPr>
        <w:pStyle w:val="Quote"/>
      </w:pPr>
      <w:r>
        <w:t xml:space="preserve">It is </w:t>
      </w:r>
      <w:proofErr w:type="spellStart"/>
      <w:r>
        <w:t>NOPSEMA’s</w:t>
      </w:r>
      <w:proofErr w:type="spellEnd"/>
      <w:r>
        <w:t xml:space="preserve"> view that duplication of assessment effort under the two pieces of legislation imposes an unnecessary regulatory burden on the Commonwealth and industry and does not afford any additional environmental protection. (sub. 28, p. 2)</w:t>
      </w:r>
    </w:p>
    <w:p w:rsidR="00EC4C81" w:rsidRDefault="00A06AAD" w:rsidP="00B57260">
      <w:pPr>
        <w:pStyle w:val="BodyText"/>
      </w:pPr>
      <w:r w:rsidRPr="00A06AAD">
        <w:t>The Australian Petroleum Production and Exploration Association</w:t>
      </w:r>
      <w:r>
        <w:t xml:space="preserve"> (</w:t>
      </w:r>
      <w:proofErr w:type="spellStart"/>
      <w:r w:rsidR="00B57260">
        <w:t>APPEA</w:t>
      </w:r>
      <w:proofErr w:type="spellEnd"/>
      <w:r>
        <w:t>)</w:t>
      </w:r>
      <w:r w:rsidR="00B57260">
        <w:t xml:space="preserve"> provided a</w:t>
      </w:r>
      <w:r w:rsidR="00B57260" w:rsidRPr="00511A0D">
        <w:t xml:space="preserve"> number of examples </w:t>
      </w:r>
      <w:r w:rsidR="00B57260">
        <w:t xml:space="preserve">of </w:t>
      </w:r>
      <w:r w:rsidR="00D3706B">
        <w:t xml:space="preserve">the effects of </w:t>
      </w:r>
      <w:r w:rsidR="00B57260">
        <w:t xml:space="preserve">regulatory duplication at the Australian Government level in its 2013 report </w:t>
      </w:r>
      <w:r w:rsidR="00B57260" w:rsidRPr="00511A0D">
        <w:rPr>
          <w:i/>
          <w:iCs/>
        </w:rPr>
        <w:t xml:space="preserve">Cutting </w:t>
      </w:r>
      <w:proofErr w:type="spellStart"/>
      <w:r w:rsidR="00B57260" w:rsidRPr="00511A0D">
        <w:rPr>
          <w:i/>
          <w:iCs/>
        </w:rPr>
        <w:t>Greentape</w:t>
      </w:r>
      <w:proofErr w:type="spellEnd"/>
      <w:r w:rsidR="00B57260" w:rsidRPr="00511A0D">
        <w:rPr>
          <w:i/>
          <w:iCs/>
        </w:rPr>
        <w:t>: Major Oil &amp; Gas Project Environmental A</w:t>
      </w:r>
      <w:r w:rsidR="00B57260">
        <w:rPr>
          <w:i/>
          <w:iCs/>
        </w:rPr>
        <w:t>pprovals Processes in Australia</w:t>
      </w:r>
      <w:r w:rsidR="00021CE9">
        <w:rPr>
          <w:i/>
          <w:iCs/>
        </w:rPr>
        <w:t xml:space="preserve"> </w:t>
      </w:r>
      <w:r w:rsidR="00021CE9" w:rsidRPr="00021CE9">
        <w:rPr>
          <w:iCs/>
        </w:rPr>
        <w:t>(</w:t>
      </w:r>
      <w:proofErr w:type="spellStart"/>
      <w:r w:rsidR="00021CE9" w:rsidRPr="00021CE9">
        <w:rPr>
          <w:iCs/>
        </w:rPr>
        <w:t>APPEA</w:t>
      </w:r>
      <w:proofErr w:type="spellEnd"/>
      <w:r w:rsidR="00021CE9" w:rsidRPr="00021CE9">
        <w:rPr>
          <w:iCs/>
        </w:rPr>
        <w:t xml:space="preserve"> 2013)</w:t>
      </w:r>
      <w:r w:rsidR="00B57260" w:rsidRPr="00021CE9">
        <w:t>.</w:t>
      </w:r>
      <w:r w:rsidR="00B57260">
        <w:t xml:space="preserve"> One of these, which relates specifically to an offshore explora</w:t>
      </w:r>
      <w:r w:rsidR="0056103A">
        <w:t xml:space="preserve">tion project, is summarised in </w:t>
      </w:r>
      <w:r w:rsidR="0056103A" w:rsidRPr="006B003E">
        <w:t>b</w:t>
      </w:r>
      <w:r w:rsidR="00B57260" w:rsidRPr="006B003E">
        <w:t>ox</w:t>
      </w:r>
      <w:r w:rsidR="00E92A4C">
        <w:t> </w:t>
      </w:r>
      <w:r w:rsidR="00D13ACE" w:rsidRPr="00D13ACE">
        <w:t>6.3</w:t>
      </w:r>
      <w:r w:rsidR="00B57260" w:rsidRPr="00D94B80">
        <w:t>.</w:t>
      </w:r>
    </w:p>
    <w:p w:rsidR="0082619B" w:rsidRDefault="0082619B" w:rsidP="0082619B">
      <w:pPr>
        <w:pStyle w:val="Heading5"/>
      </w:pPr>
      <w:r>
        <w:t>Removing Commonwealth regulatory duplication of offshore petroleum exploration activities</w:t>
      </w:r>
    </w:p>
    <w:p w:rsidR="0082619B" w:rsidRPr="009665A1" w:rsidRDefault="0082619B" w:rsidP="0082619B">
      <w:pPr>
        <w:pStyle w:val="BodyText"/>
        <w:rPr>
          <w:lang w:val="en"/>
        </w:rPr>
      </w:pPr>
      <w:proofErr w:type="spellStart"/>
      <w:r>
        <w:rPr>
          <w:lang w:val="en"/>
        </w:rPr>
        <w:t>NOPSEMA</w:t>
      </w:r>
      <w:proofErr w:type="spellEnd"/>
      <w:r>
        <w:rPr>
          <w:lang w:val="en"/>
        </w:rPr>
        <w:t xml:space="preserve"> </w:t>
      </w:r>
      <w:r w:rsidRPr="009665A1">
        <w:rPr>
          <w:lang w:val="en"/>
        </w:rPr>
        <w:t>provides a documented, systematic and consistent approach for the completion of environment plan assessments associated with all petroleum activities in Commonwealth waters.</w:t>
      </w:r>
      <w:r>
        <w:rPr>
          <w:lang w:val="en"/>
        </w:rPr>
        <w:t xml:space="preserve"> It is, therefore,</w:t>
      </w:r>
      <w:r>
        <w:t xml:space="preserve"> equipped with the necessary management and technical expertise to be able to undertake assessments and approvals under the </w:t>
      </w:r>
      <w:proofErr w:type="spellStart"/>
      <w:r>
        <w:t>EPBC</w:t>
      </w:r>
      <w:proofErr w:type="spellEnd"/>
      <w:r>
        <w:t xml:space="preserve"> Act.</w:t>
      </w:r>
    </w:p>
    <w:p w:rsidR="0082619B" w:rsidRDefault="0082619B" w:rsidP="0082619B">
      <w:pPr>
        <w:pStyle w:val="BodyText"/>
      </w:pPr>
      <w:proofErr w:type="spellStart"/>
      <w:r>
        <w:t>NOPSEMA</w:t>
      </w:r>
      <w:proofErr w:type="spellEnd"/>
      <w:r>
        <w:t xml:space="preserve"> stated that there are options available under the </w:t>
      </w:r>
      <w:proofErr w:type="spellStart"/>
      <w:r>
        <w:t>EPBC</w:t>
      </w:r>
      <w:proofErr w:type="spellEnd"/>
      <w:r>
        <w:t xml:space="preserve"> Act for streamlining the assessment and approvals processes, one of which is:</w:t>
      </w:r>
    </w:p>
    <w:p w:rsidR="0082619B" w:rsidRDefault="0082619B" w:rsidP="0082619B">
      <w:pPr>
        <w:pStyle w:val="Quote"/>
      </w:pPr>
      <w:r>
        <w:t xml:space="preserve">… granting a section 33 authorisation process, thereby authorising </w:t>
      </w:r>
      <w:proofErr w:type="spellStart"/>
      <w:r>
        <w:t>NOPSEMA</w:t>
      </w:r>
      <w:proofErr w:type="spellEnd"/>
      <w:r>
        <w:t xml:space="preserve"> to administer the </w:t>
      </w:r>
      <w:proofErr w:type="spellStart"/>
      <w:r>
        <w:t>EPBC</w:t>
      </w:r>
      <w:proofErr w:type="spellEnd"/>
      <w:r>
        <w:t xml:space="preserve"> Act on its [</w:t>
      </w:r>
      <w:proofErr w:type="spellStart"/>
      <w:r>
        <w:t>SEWPaC’s</w:t>
      </w:r>
      <w:proofErr w:type="spellEnd"/>
      <w:r>
        <w:t>] behalf (accreditation). (sub. 28, p. 2)</w:t>
      </w:r>
    </w:p>
    <w:p w:rsidR="0082619B" w:rsidRDefault="0082619B" w:rsidP="0082619B">
      <w:pPr>
        <w:pStyle w:val="BodyText"/>
      </w:pPr>
      <w:proofErr w:type="spellStart"/>
      <w:r>
        <w:t>SEWPaC</w:t>
      </w:r>
      <w:proofErr w:type="spellEnd"/>
      <w:r>
        <w:t xml:space="preserve">, the Department of Resources, Energy and Tourism and </w:t>
      </w:r>
      <w:proofErr w:type="spellStart"/>
      <w:r>
        <w:t>NOPSEMA</w:t>
      </w:r>
      <w:proofErr w:type="spellEnd"/>
      <w:r>
        <w:t xml:space="preserve"> are currently working together on options to streamline environmental approvals for offshore petroleum activities, including the potential for accrediting </w:t>
      </w:r>
      <w:proofErr w:type="spellStart"/>
      <w:r>
        <w:t>NOPSEMA</w:t>
      </w:r>
      <w:proofErr w:type="spellEnd"/>
      <w:r>
        <w:t xml:space="preserve"> to undertake assessments and approvals under the </w:t>
      </w:r>
      <w:proofErr w:type="spellStart"/>
      <w:r>
        <w:t>EPBC</w:t>
      </w:r>
      <w:proofErr w:type="spellEnd"/>
      <w:r>
        <w:t xml:space="preserve"> Act.</w:t>
      </w:r>
    </w:p>
    <w:p w:rsidR="00287633" w:rsidRDefault="0028763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87633">
        <w:tc>
          <w:tcPr>
            <w:tcW w:w="8771" w:type="dxa"/>
            <w:tcBorders>
              <w:top w:val="single" w:sz="6" w:space="0" w:color="auto"/>
              <w:bottom w:val="nil"/>
            </w:tcBorders>
          </w:tcPr>
          <w:p w:rsidR="00287633" w:rsidRDefault="00287633" w:rsidP="00D13ACE">
            <w:pPr>
              <w:pStyle w:val="BoxTitle"/>
            </w:pPr>
            <w:r>
              <w:rPr>
                <w:b w:val="0"/>
              </w:rPr>
              <w:t>Box 6</w:t>
            </w:r>
            <w:r w:rsidR="00D13ACE">
              <w:rPr>
                <w:b w:val="0"/>
              </w:rPr>
              <w:t>.3</w:t>
            </w:r>
            <w:r>
              <w:tab/>
              <w:t>Case study – approvals for an offshore seismic survey</w:t>
            </w:r>
          </w:p>
        </w:tc>
      </w:tr>
      <w:tr w:rsidR="00287633">
        <w:trPr>
          <w:cantSplit/>
        </w:trPr>
        <w:tc>
          <w:tcPr>
            <w:tcW w:w="8771" w:type="dxa"/>
            <w:tcBorders>
              <w:top w:val="nil"/>
              <w:left w:val="single" w:sz="6" w:space="0" w:color="auto"/>
              <w:bottom w:val="nil"/>
              <w:right w:val="single" w:sz="6" w:space="0" w:color="auto"/>
            </w:tcBorders>
          </w:tcPr>
          <w:p w:rsidR="00287633" w:rsidRDefault="00043F32" w:rsidP="00287633">
            <w:pPr>
              <w:pStyle w:val="Box"/>
            </w:pPr>
            <w:r>
              <w:t>In</w:t>
            </w:r>
            <w:r w:rsidR="00287633">
              <w:t xml:space="preserve"> 2011</w:t>
            </w:r>
            <w:r w:rsidR="00E92A4C">
              <w:noBreakHyphen/>
            </w:r>
            <w:r w:rsidR="00287633">
              <w:t>12, BP conducted a 3D Marine Seismic Survey</w:t>
            </w:r>
            <w:r w:rsidR="00B45F06">
              <w:t xml:space="preserve"> </w:t>
            </w:r>
            <w:r w:rsidR="00287633">
              <w:t>in the Great Australian Bight. The proposed survey area was located in</w:t>
            </w:r>
            <w:r w:rsidR="00B45F06">
              <w:t xml:space="preserve"> </w:t>
            </w:r>
            <w:r w:rsidR="00287633">
              <w:t>Commonwealth waters of the Ceduna sub</w:t>
            </w:r>
            <w:r w:rsidR="00E92A4C">
              <w:noBreakHyphen/>
            </w:r>
            <w:r w:rsidR="00287633">
              <w:t>basin, around 400 kilometres</w:t>
            </w:r>
            <w:r w:rsidR="00B45F06">
              <w:t xml:space="preserve"> </w:t>
            </w:r>
            <w:r w:rsidR="00287633">
              <w:t>west of Port Lincoln.</w:t>
            </w:r>
          </w:p>
          <w:p w:rsidR="00287633" w:rsidRDefault="00287633" w:rsidP="00287633">
            <w:pPr>
              <w:pStyle w:val="Box"/>
            </w:pPr>
            <w:r>
              <w:t>For the Ceduna exploration program, BP required three separate approvals to address the same environmental</w:t>
            </w:r>
            <w:r w:rsidR="00B45F06">
              <w:t xml:space="preserve"> </w:t>
            </w:r>
            <w:r>
              <w:t>risks in the same environmental management plan:</w:t>
            </w:r>
          </w:p>
          <w:p w:rsidR="00287633" w:rsidRDefault="00B45F06" w:rsidP="00B45F06">
            <w:pPr>
              <w:pStyle w:val="BoxListBullet"/>
            </w:pPr>
            <w:r>
              <w:t>a</w:t>
            </w:r>
            <w:r w:rsidR="00287633">
              <w:t>n accepted environment pl</w:t>
            </w:r>
            <w:r>
              <w:t xml:space="preserve">an under the </w:t>
            </w:r>
            <w:proofErr w:type="spellStart"/>
            <w:r>
              <w:t>OPGGS</w:t>
            </w:r>
            <w:proofErr w:type="spellEnd"/>
            <w:r>
              <w:t xml:space="preserve"> Act</w:t>
            </w:r>
          </w:p>
          <w:p w:rsidR="00287633" w:rsidRDefault="00B45F06" w:rsidP="00B45F06">
            <w:pPr>
              <w:pStyle w:val="BoxListBullet"/>
            </w:pPr>
            <w:r>
              <w:t xml:space="preserve">a referral under the </w:t>
            </w:r>
            <w:proofErr w:type="spellStart"/>
            <w:r>
              <w:t>EPBC</w:t>
            </w:r>
            <w:proofErr w:type="spellEnd"/>
            <w:r w:rsidR="00287633">
              <w:t xml:space="preserve"> Act</w:t>
            </w:r>
          </w:p>
          <w:p w:rsidR="00287633" w:rsidRDefault="00287633" w:rsidP="00B45F06">
            <w:pPr>
              <w:pStyle w:val="BoxListBullet"/>
            </w:pPr>
            <w:r>
              <w:t xml:space="preserve">an </w:t>
            </w:r>
            <w:r w:rsidR="00B01AF4">
              <w:t>access request</w:t>
            </w:r>
            <w:r>
              <w:t xml:space="preserve"> to conduct a mining operation in the Great Australian Bight Marine Park (</w:t>
            </w:r>
            <w:proofErr w:type="spellStart"/>
            <w:r>
              <w:t>GABMP</w:t>
            </w:r>
            <w:proofErr w:type="spellEnd"/>
            <w:r>
              <w:t>) under the</w:t>
            </w:r>
            <w:r w:rsidR="00B45F06">
              <w:t xml:space="preserve"> </w:t>
            </w:r>
            <w:proofErr w:type="spellStart"/>
            <w:r>
              <w:t>EPBC</w:t>
            </w:r>
            <w:proofErr w:type="spellEnd"/>
            <w:r>
              <w:t xml:space="preserve"> Act.</w:t>
            </w:r>
          </w:p>
          <w:p w:rsidR="00E47901" w:rsidRDefault="00287633" w:rsidP="00287633">
            <w:pPr>
              <w:pStyle w:val="Box"/>
            </w:pPr>
            <w:r>
              <w:t xml:space="preserve">The </w:t>
            </w:r>
            <w:proofErr w:type="spellStart"/>
            <w:r>
              <w:t>EPBC</w:t>
            </w:r>
            <w:proofErr w:type="spellEnd"/>
            <w:r>
              <w:t xml:space="preserve"> Act r</w:t>
            </w:r>
            <w:r w:rsidR="00655504">
              <w:t>eferral was submitted on 16 May</w:t>
            </w:r>
            <w:r w:rsidR="00E92A4C">
              <w:t xml:space="preserve"> </w:t>
            </w:r>
            <w:r>
              <w:t>2011,</w:t>
            </w:r>
            <w:r w:rsidR="00B45F06">
              <w:t xml:space="preserve"> </w:t>
            </w:r>
            <w:r>
              <w:t>th</w:t>
            </w:r>
            <w:r w:rsidR="00655504">
              <w:t>e environment plan</w:t>
            </w:r>
            <w:r>
              <w:t xml:space="preserve"> on 17</w:t>
            </w:r>
            <w:r w:rsidR="00655504">
              <w:t> May</w:t>
            </w:r>
            <w:r w:rsidR="00E92A4C">
              <w:t xml:space="preserve"> </w:t>
            </w:r>
            <w:r>
              <w:t xml:space="preserve">2011 and the </w:t>
            </w:r>
            <w:proofErr w:type="spellStart"/>
            <w:r>
              <w:t>GABMP</w:t>
            </w:r>
            <w:proofErr w:type="spellEnd"/>
            <w:r>
              <w:t xml:space="preserve"> access request on 20</w:t>
            </w:r>
            <w:r w:rsidR="00655504">
              <w:t> May</w:t>
            </w:r>
            <w:r w:rsidR="00E92A4C">
              <w:t xml:space="preserve"> </w:t>
            </w:r>
            <w:r>
              <w:t>2011.</w:t>
            </w:r>
            <w:r w:rsidR="00E47901">
              <w:t xml:space="preserve"> </w:t>
            </w:r>
          </w:p>
          <w:p w:rsidR="00287633" w:rsidRDefault="00287633" w:rsidP="00287633">
            <w:pPr>
              <w:pStyle w:val="Box"/>
            </w:pPr>
            <w:r>
              <w:t xml:space="preserve">The environment plan </w:t>
            </w:r>
            <w:r w:rsidR="00655504">
              <w:t xml:space="preserve">and the </w:t>
            </w:r>
            <w:proofErr w:type="spellStart"/>
            <w:r w:rsidR="00655504">
              <w:t>EPBC</w:t>
            </w:r>
            <w:proofErr w:type="spellEnd"/>
            <w:r w:rsidR="00655504">
              <w:t xml:space="preserve"> Act referral were fundamentally</w:t>
            </w:r>
            <w:r>
              <w:t xml:space="preserve"> the same</w:t>
            </w:r>
            <w:r w:rsidR="00B45F06">
              <w:t xml:space="preserve"> </w:t>
            </w:r>
            <w:r w:rsidR="00E47901">
              <w:t>document</w:t>
            </w:r>
            <w:r w:rsidR="00655504">
              <w:t xml:space="preserve"> except for formatting</w:t>
            </w:r>
            <w:r>
              <w:t xml:space="preserve">. Both </w:t>
            </w:r>
            <w:r w:rsidR="00655504">
              <w:t>a</w:t>
            </w:r>
            <w:r>
              <w:t>ddressed the fact that the survey would be partly within</w:t>
            </w:r>
            <w:r w:rsidR="00B45F06">
              <w:t xml:space="preserve"> </w:t>
            </w:r>
            <w:r>
              <w:t xml:space="preserve">the </w:t>
            </w:r>
            <w:proofErr w:type="spellStart"/>
            <w:r>
              <w:t>GABMP</w:t>
            </w:r>
            <w:proofErr w:type="spellEnd"/>
            <w:r>
              <w:t xml:space="preserve">. Consequently, the </w:t>
            </w:r>
            <w:proofErr w:type="spellStart"/>
            <w:r>
              <w:t>GABMP</w:t>
            </w:r>
            <w:proofErr w:type="spellEnd"/>
            <w:r>
              <w:t xml:space="preserve"> access request simply referred to the other documents.</w:t>
            </w:r>
          </w:p>
          <w:p w:rsidR="00B45F06" w:rsidRDefault="00287633" w:rsidP="00287633">
            <w:pPr>
              <w:pStyle w:val="Box"/>
            </w:pPr>
            <w:r>
              <w:t xml:space="preserve">The outcome of the applications differed </w:t>
            </w:r>
            <w:r w:rsidR="00655504">
              <w:t>in terms of timeliness</w:t>
            </w:r>
            <w:r w:rsidR="00043F32">
              <w:t>.</w:t>
            </w:r>
            <w:r>
              <w:t xml:space="preserve"> </w:t>
            </w:r>
          </w:p>
          <w:p w:rsidR="00287633" w:rsidRDefault="00287633" w:rsidP="00B45F06">
            <w:pPr>
              <w:pStyle w:val="BoxListBullet"/>
            </w:pPr>
            <w:r>
              <w:t xml:space="preserve">The environment plan was accepted by </w:t>
            </w:r>
            <w:proofErr w:type="spellStart"/>
            <w:r>
              <w:t>NOPSEMA</w:t>
            </w:r>
            <w:proofErr w:type="spellEnd"/>
            <w:r>
              <w:t xml:space="preserve"> on 13 July</w:t>
            </w:r>
            <w:r w:rsidR="00143C26">
              <w:t>.</w:t>
            </w:r>
          </w:p>
          <w:p w:rsidR="00287633" w:rsidRDefault="00043F32" w:rsidP="00B45F06">
            <w:pPr>
              <w:pStyle w:val="BoxListBullet"/>
            </w:pPr>
            <w:r>
              <w:t>T</w:t>
            </w:r>
            <w:r w:rsidR="00287633">
              <w:t xml:space="preserve">he referral resulted in a ‘not controlled if conducted in a </w:t>
            </w:r>
            <w:r w:rsidR="00B45F06">
              <w:t xml:space="preserve">particular manner’ decision by </w:t>
            </w:r>
            <w:proofErr w:type="spellStart"/>
            <w:r w:rsidR="00287633">
              <w:t>SEWP</w:t>
            </w:r>
            <w:r w:rsidR="00B45F06">
              <w:t>a</w:t>
            </w:r>
            <w:r w:rsidR="00287633">
              <w:t>C</w:t>
            </w:r>
            <w:proofErr w:type="spellEnd"/>
            <w:r w:rsidR="00287633">
              <w:t xml:space="preserve"> on</w:t>
            </w:r>
            <w:r w:rsidR="00B45F06">
              <w:t xml:space="preserve"> </w:t>
            </w:r>
            <w:r w:rsidR="00287633">
              <w:t>4 August</w:t>
            </w:r>
            <w:r w:rsidR="00143C26">
              <w:t>.</w:t>
            </w:r>
          </w:p>
          <w:p w:rsidR="00287633" w:rsidRDefault="00655504" w:rsidP="00B45F06">
            <w:pPr>
              <w:pStyle w:val="BoxListBullet"/>
            </w:pPr>
            <w:r>
              <w:t>T</w:t>
            </w:r>
            <w:r w:rsidR="00287633">
              <w:t xml:space="preserve">he </w:t>
            </w:r>
            <w:proofErr w:type="spellStart"/>
            <w:r w:rsidR="00287633">
              <w:t>GABMP</w:t>
            </w:r>
            <w:proofErr w:type="spellEnd"/>
            <w:r w:rsidR="00287633">
              <w:t xml:space="preserve"> access request was granted on 1 September, with the additional time required to process the</w:t>
            </w:r>
            <w:r w:rsidR="00B45F06">
              <w:t xml:space="preserve"> </w:t>
            </w:r>
            <w:r w:rsidR="00287633">
              <w:t>paperwork through Executive Council for the Governor General’s signature rather than deliberation on any</w:t>
            </w:r>
            <w:r w:rsidR="00B45F06">
              <w:t xml:space="preserve"> </w:t>
            </w:r>
            <w:r w:rsidR="00287633">
              <w:t>environmental issues raised.</w:t>
            </w:r>
          </w:p>
          <w:p w:rsidR="00287633" w:rsidRDefault="00655504" w:rsidP="00287633">
            <w:pPr>
              <w:pStyle w:val="Box"/>
            </w:pPr>
            <w:r>
              <w:t>The outcomes also differed in terms of</w:t>
            </w:r>
            <w:r w:rsidR="00287633">
              <w:t xml:space="preserve"> substance</w:t>
            </w:r>
            <w:r w:rsidR="00043F32">
              <w:t>.</w:t>
            </w:r>
          </w:p>
          <w:p w:rsidR="00287633" w:rsidRDefault="00287633" w:rsidP="00B45F06">
            <w:pPr>
              <w:pStyle w:val="BoxListBullet"/>
            </w:pPr>
            <w:r>
              <w:t xml:space="preserve">The environment plan was accepted unamended </w:t>
            </w:r>
            <w:r w:rsidR="00246E3A">
              <w:t>following</w:t>
            </w:r>
            <w:r>
              <w:t xml:space="preserve"> some clarification regarding procedures for cetacean</w:t>
            </w:r>
            <w:r w:rsidR="00B45F06">
              <w:t xml:space="preserve"> </w:t>
            </w:r>
            <w:r>
              <w:t>entanglement in seismic lines</w:t>
            </w:r>
            <w:r w:rsidR="00143C26">
              <w:t>.</w:t>
            </w:r>
          </w:p>
          <w:p w:rsidR="00287633" w:rsidRDefault="00E47901" w:rsidP="00B45F06">
            <w:pPr>
              <w:pStyle w:val="BoxListBullet"/>
            </w:pPr>
            <w:r>
              <w:t>T</w:t>
            </w:r>
            <w:r w:rsidR="00287633">
              <w:t>he referral deliberation was held up due to the potential impact on blue whales. After the referral was</w:t>
            </w:r>
            <w:r w:rsidR="00B45F06">
              <w:t xml:space="preserve"> </w:t>
            </w:r>
            <w:r w:rsidR="00287633">
              <w:t>submitted, a new draft bio</w:t>
            </w:r>
            <w:r w:rsidR="00E92A4C">
              <w:noBreakHyphen/>
            </w:r>
            <w:r w:rsidR="00287633">
              <w:t>regional plan for the south west marine area was published for comment, with</w:t>
            </w:r>
            <w:r w:rsidR="00B45F06">
              <w:t xml:space="preserve"> </w:t>
            </w:r>
            <w:r w:rsidR="00287633">
              <w:t>a possible extension to the area known as a blue whale feeding zone. The referral was assessed against this</w:t>
            </w:r>
            <w:r w:rsidR="00B45F06">
              <w:t xml:space="preserve"> </w:t>
            </w:r>
            <w:r w:rsidR="00287633">
              <w:t>subsequent draft boundary, not the official published one at the time of referral, which required modelling to</w:t>
            </w:r>
            <w:r w:rsidR="00B45F06">
              <w:t xml:space="preserve"> </w:t>
            </w:r>
            <w:r w:rsidR="00287633">
              <w:t>be resubmitted. Ultimately, the required conditions were accepted but the time lost placed significant pressure</w:t>
            </w:r>
            <w:r w:rsidR="00B45F06">
              <w:t xml:space="preserve"> </w:t>
            </w:r>
            <w:r w:rsidR="00287633">
              <w:t>on the project timetable.</w:t>
            </w:r>
          </w:p>
          <w:p w:rsidR="00287633" w:rsidRDefault="00287633" w:rsidP="00B45F06">
            <w:pPr>
              <w:pStyle w:val="BoxListBullet"/>
            </w:pPr>
            <w:r>
              <w:t xml:space="preserve">The </w:t>
            </w:r>
            <w:proofErr w:type="spellStart"/>
            <w:r>
              <w:t>GABMP</w:t>
            </w:r>
            <w:proofErr w:type="spellEnd"/>
            <w:r>
              <w:t xml:space="preserve"> access request required no further assessment once the referral decision was made.</w:t>
            </w:r>
          </w:p>
        </w:tc>
      </w:tr>
      <w:tr w:rsidR="00287633">
        <w:trPr>
          <w:cantSplit/>
        </w:trPr>
        <w:tc>
          <w:tcPr>
            <w:tcW w:w="8771" w:type="dxa"/>
            <w:tcBorders>
              <w:top w:val="nil"/>
              <w:left w:val="single" w:sz="6" w:space="0" w:color="auto"/>
              <w:bottom w:val="nil"/>
              <w:right w:val="single" w:sz="6" w:space="0" w:color="auto"/>
            </w:tcBorders>
          </w:tcPr>
          <w:p w:rsidR="00287633" w:rsidRDefault="00287633" w:rsidP="00287633">
            <w:pPr>
              <w:pStyle w:val="BoxSource"/>
            </w:pPr>
            <w:r>
              <w:rPr>
                <w:i/>
              </w:rPr>
              <w:t>Source</w:t>
            </w:r>
            <w:r w:rsidRPr="00167F06">
              <w:t xml:space="preserve">: </w:t>
            </w:r>
            <w:proofErr w:type="spellStart"/>
            <w:r>
              <w:t>APPEA</w:t>
            </w:r>
            <w:proofErr w:type="spellEnd"/>
            <w:r>
              <w:t xml:space="preserve"> </w:t>
            </w:r>
            <w:r w:rsidR="00143C26">
              <w:t>(</w:t>
            </w:r>
            <w:r>
              <w:t>2013</w:t>
            </w:r>
            <w:r w:rsidR="00143C26">
              <w:t>)</w:t>
            </w:r>
            <w:r w:rsidR="00246E3A">
              <w:t>.</w:t>
            </w:r>
          </w:p>
        </w:tc>
      </w:tr>
      <w:tr w:rsidR="00287633">
        <w:trPr>
          <w:cantSplit/>
        </w:trPr>
        <w:tc>
          <w:tcPr>
            <w:tcW w:w="8771" w:type="dxa"/>
            <w:tcBorders>
              <w:top w:val="nil"/>
              <w:left w:val="single" w:sz="6" w:space="0" w:color="auto"/>
              <w:bottom w:val="single" w:sz="6" w:space="0" w:color="auto"/>
              <w:right w:val="single" w:sz="6" w:space="0" w:color="auto"/>
            </w:tcBorders>
          </w:tcPr>
          <w:p w:rsidR="00287633" w:rsidRDefault="00287633">
            <w:pPr>
              <w:pStyle w:val="Box"/>
              <w:spacing w:before="0" w:line="120" w:lineRule="exact"/>
            </w:pPr>
          </w:p>
        </w:tc>
      </w:tr>
      <w:tr w:rsidR="00287633" w:rsidRPr="000863A5">
        <w:tc>
          <w:tcPr>
            <w:tcW w:w="8771" w:type="dxa"/>
            <w:tcBorders>
              <w:top w:val="nil"/>
              <w:left w:val="nil"/>
              <w:bottom w:val="nil"/>
              <w:right w:val="nil"/>
            </w:tcBorders>
          </w:tcPr>
          <w:p w:rsidR="00287633" w:rsidRPr="00626D32" w:rsidRDefault="00287633" w:rsidP="00287633">
            <w:pPr>
              <w:pStyle w:val="BoxSpaceBelow"/>
            </w:pPr>
          </w:p>
        </w:tc>
      </w:tr>
    </w:tbl>
    <w:p w:rsidR="0077632D" w:rsidRPr="00387BDA" w:rsidRDefault="007C3CAF" w:rsidP="005039F6">
      <w:pPr>
        <w:pStyle w:val="BodyText"/>
      </w:pPr>
      <w:r w:rsidRPr="005039F6">
        <w:t>A</w:t>
      </w:r>
      <w:r w:rsidR="00794E0D" w:rsidRPr="005039F6">
        <w:t xml:space="preserve">ccreditation </w:t>
      </w:r>
      <w:r w:rsidR="00FE2FDF" w:rsidRPr="005039F6">
        <w:t>may</w:t>
      </w:r>
      <w:r w:rsidR="00794E0D" w:rsidRPr="005039F6">
        <w:t xml:space="preserve"> involve some legislative amendments</w:t>
      </w:r>
      <w:r w:rsidR="00F8728D" w:rsidRPr="005039F6">
        <w:t xml:space="preserve">. To the extent that </w:t>
      </w:r>
      <w:r w:rsidR="00794E0D" w:rsidRPr="005039F6">
        <w:t>additional regulator</w:t>
      </w:r>
      <w:r w:rsidR="00F8728D" w:rsidRPr="005039F6">
        <w:t xml:space="preserve">y effort </w:t>
      </w:r>
      <w:r w:rsidR="001D330F" w:rsidRPr="005039F6">
        <w:t>would be</w:t>
      </w:r>
      <w:r w:rsidR="00F8728D" w:rsidRPr="005039F6">
        <w:t xml:space="preserve"> requ</w:t>
      </w:r>
      <w:r w:rsidR="001D330F" w:rsidRPr="005039F6">
        <w:t>i</w:t>
      </w:r>
      <w:r w:rsidR="00F8728D" w:rsidRPr="005039F6">
        <w:t xml:space="preserve">red on the part of </w:t>
      </w:r>
      <w:proofErr w:type="spellStart"/>
      <w:r w:rsidR="00F8728D" w:rsidRPr="005039F6">
        <w:t>NOPSEMA</w:t>
      </w:r>
      <w:proofErr w:type="spellEnd"/>
      <w:r w:rsidR="00FE2FDF" w:rsidRPr="005039F6">
        <w:t>,</w:t>
      </w:r>
      <w:r w:rsidR="001D330F" w:rsidRPr="005039F6">
        <w:t xml:space="preserve"> </w:t>
      </w:r>
      <w:r w:rsidR="00224E21" w:rsidRPr="005039F6">
        <w:t xml:space="preserve">an amendment to </w:t>
      </w:r>
      <w:proofErr w:type="spellStart"/>
      <w:r w:rsidR="00224E21" w:rsidRPr="005039F6">
        <w:t>NOPSEMA’s</w:t>
      </w:r>
      <w:proofErr w:type="spellEnd"/>
      <w:r w:rsidR="00224E21" w:rsidRPr="005039F6">
        <w:t xml:space="preserve"> levy arrangements</w:t>
      </w:r>
      <w:r w:rsidR="001D330F" w:rsidRPr="005039F6">
        <w:t xml:space="preserve"> would be required, given </w:t>
      </w:r>
      <w:proofErr w:type="spellStart"/>
      <w:r w:rsidR="001D330F" w:rsidRPr="005039F6">
        <w:t>NOPSEMA’s</w:t>
      </w:r>
      <w:proofErr w:type="spellEnd"/>
      <w:r w:rsidR="00224E21" w:rsidRPr="005039F6">
        <w:t xml:space="preserve"> status as a fully cost recovered statutory agency. </w:t>
      </w:r>
      <w:r w:rsidR="005F7253" w:rsidRPr="005039F6">
        <w:t xml:space="preserve">There should be cost savings for </w:t>
      </w:r>
      <w:proofErr w:type="spellStart"/>
      <w:r w:rsidR="005F7253" w:rsidRPr="005039F6">
        <w:t>SEWPaC</w:t>
      </w:r>
      <w:proofErr w:type="spellEnd"/>
      <w:r w:rsidR="001D330F" w:rsidRPr="005039F6">
        <w:t xml:space="preserve"> and, overall, there should be an efficiency gain in line with the reduction in </w:t>
      </w:r>
      <w:r w:rsidR="00432C2E" w:rsidRPr="005039F6">
        <w:t xml:space="preserve">regulatory </w:t>
      </w:r>
      <w:r w:rsidR="001D330F" w:rsidRPr="005039F6">
        <w:t>duplication</w:t>
      </w:r>
      <w:r w:rsidR="0077632D" w:rsidRPr="005039F6">
        <w:t>.</w:t>
      </w:r>
    </w:p>
    <w:p w:rsidR="00C90BCB" w:rsidRDefault="00C90BCB" w:rsidP="00C90BCB">
      <w:pPr>
        <w:pStyle w:val="RecTitle"/>
      </w:pPr>
      <w:r>
        <w:lastRenderedPageBreak/>
        <w:t>draft Recommen</w:t>
      </w:r>
      <w:r w:rsidR="00D94B80">
        <w:t>dation 6</w:t>
      </w:r>
      <w:r>
        <w:t>.1</w:t>
      </w:r>
    </w:p>
    <w:p w:rsidR="002636D0" w:rsidRPr="006B1F07" w:rsidRDefault="00101351" w:rsidP="00CD2D6C">
      <w:pPr>
        <w:pStyle w:val="Rec"/>
      </w:pPr>
      <w:r>
        <w:t>The Commonwealth should accredit the National Offshore Petroleum Safety and Environmental Management Authority to undertake environmental assessments and approvals under the Environment Protection and Biodiversity Conservation Act for petroleum activities in Commonwealth waters</w:t>
      </w:r>
      <w:r w:rsidR="005039F6" w:rsidRPr="006B1F07">
        <w:t>.</w:t>
      </w:r>
    </w:p>
    <w:p w:rsidR="003C5775" w:rsidRDefault="003C5775" w:rsidP="00D72529">
      <w:pPr>
        <w:pStyle w:val="Heading4"/>
      </w:pPr>
      <w:r>
        <w:t>The Commonwealth marine area</w:t>
      </w:r>
    </w:p>
    <w:p w:rsidR="00B12DBE" w:rsidRPr="00B12DBE" w:rsidRDefault="001E7943" w:rsidP="00B12DBE">
      <w:pPr>
        <w:pStyle w:val="BodyText"/>
      </w:pPr>
      <w:r>
        <w:t xml:space="preserve">The </w:t>
      </w:r>
      <w:proofErr w:type="spellStart"/>
      <w:r>
        <w:t>EPBC</w:t>
      </w:r>
      <w:proofErr w:type="spellEnd"/>
      <w:r>
        <w:t xml:space="preserve"> Act defines the</w:t>
      </w:r>
      <w:r w:rsidR="004C27C6">
        <w:t xml:space="preserve"> whole of </w:t>
      </w:r>
      <w:r w:rsidR="00983745">
        <w:t>‘</w:t>
      </w:r>
      <w:r w:rsidR="004C27C6">
        <w:t>the</w:t>
      </w:r>
      <w:r>
        <w:t xml:space="preserve"> Commonwealth marine area</w:t>
      </w:r>
      <w:r w:rsidR="00D47C46">
        <w:t>’</w:t>
      </w:r>
      <w:r>
        <w:t xml:space="preserve"> </w:t>
      </w:r>
      <w:r w:rsidR="002C7943">
        <w:t xml:space="preserve">— an area of around 16 million square kilometres — </w:t>
      </w:r>
      <w:r>
        <w:t>as a matter of national</w:t>
      </w:r>
      <w:r w:rsidR="003C5775">
        <w:t xml:space="preserve"> environ</w:t>
      </w:r>
      <w:r w:rsidR="00507BBB">
        <w:t>mental significance</w:t>
      </w:r>
      <w:r w:rsidR="002C7943">
        <w:t>. A</w:t>
      </w:r>
      <w:r w:rsidR="00507BBB">
        <w:t>ccordingly</w:t>
      </w:r>
      <w:r w:rsidR="003C5775">
        <w:t xml:space="preserve">, </w:t>
      </w:r>
      <w:r w:rsidR="00B12DBE">
        <w:t>exploration proposals in this area that will have a significant environmental impact require</w:t>
      </w:r>
      <w:r w:rsidR="00B12DBE" w:rsidRPr="00B12DBE">
        <w:t xml:space="preserve"> approval from the</w:t>
      </w:r>
      <w:r w:rsidR="00B12DBE">
        <w:t xml:space="preserve"> </w:t>
      </w:r>
      <w:r w:rsidR="006A6258">
        <w:t>responsible</w:t>
      </w:r>
      <w:r w:rsidR="00B12DBE">
        <w:t xml:space="preserve"> </w:t>
      </w:r>
      <w:r w:rsidR="004C27C6">
        <w:t>M</w:t>
      </w:r>
      <w:r w:rsidR="00B12DBE">
        <w:t>inister.</w:t>
      </w:r>
    </w:p>
    <w:p w:rsidR="003A0B34" w:rsidRDefault="003A0B34" w:rsidP="00B12DBE">
      <w:pPr>
        <w:pStyle w:val="BodyText"/>
      </w:pPr>
      <w:r>
        <w:t xml:space="preserve">The </w:t>
      </w:r>
      <w:r w:rsidR="00706CE0">
        <w:t>sizable</w:t>
      </w:r>
      <w:r>
        <w:t xml:space="preserve"> geographic extent </w:t>
      </w:r>
      <w:r w:rsidR="00B12DBE">
        <w:t>of</w:t>
      </w:r>
      <w:r w:rsidR="00983745">
        <w:t xml:space="preserve"> </w:t>
      </w:r>
      <w:r w:rsidR="004C27C6">
        <w:t xml:space="preserve">the </w:t>
      </w:r>
      <w:r w:rsidR="00B12DBE">
        <w:t>Commonwealth marine area</w:t>
      </w:r>
      <w:r w:rsidR="003C5775">
        <w:t xml:space="preserve"> </w:t>
      </w:r>
      <w:r w:rsidR="00822944">
        <w:t>makes it unlikely that</w:t>
      </w:r>
      <w:r>
        <w:t xml:space="preserve"> all activities in the area will necessarily have an impact on an area</w:t>
      </w:r>
      <w:r w:rsidR="003C5775">
        <w:t xml:space="preserve"> </w:t>
      </w:r>
      <w:r w:rsidR="00822944">
        <w:t>or species</w:t>
      </w:r>
      <w:r w:rsidR="00B379D6">
        <w:t xml:space="preserve"> </w:t>
      </w:r>
      <w:r>
        <w:t>of significant</w:t>
      </w:r>
      <w:r w:rsidR="00B379D6">
        <w:t xml:space="preserve"> </w:t>
      </w:r>
      <w:r w:rsidR="00B12DBE">
        <w:t xml:space="preserve">environmental </w:t>
      </w:r>
      <w:r>
        <w:t>value</w:t>
      </w:r>
      <w:r w:rsidR="00822944">
        <w:t xml:space="preserve">, a point noted by </w:t>
      </w:r>
      <w:proofErr w:type="spellStart"/>
      <w:r w:rsidR="00822944">
        <w:t>APPEA</w:t>
      </w:r>
      <w:proofErr w:type="spellEnd"/>
      <w:r w:rsidR="00143C26">
        <w:t>.</w:t>
      </w:r>
    </w:p>
    <w:p w:rsidR="003A0B34" w:rsidRDefault="00507BBB" w:rsidP="003A0B34">
      <w:pPr>
        <w:pStyle w:val="Quote"/>
      </w:pPr>
      <w:r>
        <w:t>As it is so broad an</w:t>
      </w:r>
      <w:r w:rsidR="004C27C6">
        <w:t>d</w:t>
      </w:r>
      <w:r>
        <w:t xml:space="preserve"> all </w:t>
      </w:r>
      <w:r w:rsidR="003A0B34">
        <w:t xml:space="preserve">encompassing, the inclusion of the Commonwealth marine environment as a [matter of national environmental significance], at the margin, does not necessarily enhance environmental outcomes. It does however create a large degree of administrative overlap between other regulatory requirements (such as the </w:t>
      </w:r>
      <w:proofErr w:type="spellStart"/>
      <w:r w:rsidR="003A0B34">
        <w:t>OPGGS</w:t>
      </w:r>
      <w:proofErr w:type="spellEnd"/>
      <w:r w:rsidR="003A0B34">
        <w:t xml:space="preserve"> Act). (2013, p. 10)</w:t>
      </w:r>
    </w:p>
    <w:p w:rsidR="00C37D17" w:rsidRDefault="00C37D17" w:rsidP="00507BBB">
      <w:pPr>
        <w:pStyle w:val="BodyText"/>
      </w:pPr>
      <w:r>
        <w:t xml:space="preserve">Further, </w:t>
      </w:r>
      <w:r w:rsidR="00150D98">
        <w:t xml:space="preserve">many of the environmentally significant aspects of the Commonwealth marine </w:t>
      </w:r>
      <w:r w:rsidR="00983745">
        <w:t xml:space="preserve">area </w:t>
      </w:r>
      <w:r w:rsidR="00150D98">
        <w:t xml:space="preserve">(such as migratory </w:t>
      </w:r>
      <w:r w:rsidR="004C27C6">
        <w:t>and</w:t>
      </w:r>
      <w:r w:rsidR="00150D98">
        <w:t xml:space="preserve"> endangered species) are protected by other triggers under the </w:t>
      </w:r>
      <w:proofErr w:type="spellStart"/>
      <w:r w:rsidR="00150D98">
        <w:t>EPBC</w:t>
      </w:r>
      <w:proofErr w:type="spellEnd"/>
      <w:r w:rsidR="00150D98">
        <w:t xml:space="preserve"> Act.</w:t>
      </w:r>
    </w:p>
    <w:p w:rsidR="005F2A89" w:rsidRPr="00706CE0" w:rsidRDefault="004C27C6" w:rsidP="00507BBB">
      <w:pPr>
        <w:pStyle w:val="BodyText"/>
      </w:pPr>
      <w:r>
        <w:t>I</w:t>
      </w:r>
      <w:r w:rsidR="00507BBB">
        <w:t>ndustry tends to engag</w:t>
      </w:r>
      <w:r>
        <w:t>e</w:t>
      </w:r>
      <w:r w:rsidR="00507BBB">
        <w:t xml:space="preserve"> extensively in the referrals </w:t>
      </w:r>
      <w:r w:rsidR="00507BBB" w:rsidRPr="00706CE0">
        <w:t>process</w:t>
      </w:r>
      <w:r>
        <w:t>, with an</w:t>
      </w:r>
      <w:r w:rsidRPr="004C27C6">
        <w:t xml:space="preserve"> estimated 410 referrals to date</w:t>
      </w:r>
      <w:r>
        <w:t xml:space="preserve"> for offshore exploration. However,</w:t>
      </w:r>
      <w:r w:rsidRPr="004C27C6">
        <w:t xml:space="preserve"> only nine </w:t>
      </w:r>
      <w:r>
        <w:t xml:space="preserve">of these referrals </w:t>
      </w:r>
      <w:r w:rsidRPr="004C27C6">
        <w:t xml:space="preserve">have been deemed ‘controlled actions’ and </w:t>
      </w:r>
      <w:r>
        <w:t xml:space="preserve">just </w:t>
      </w:r>
      <w:r w:rsidRPr="004C27C6">
        <w:t>one ruled to be clearly unaccep</w:t>
      </w:r>
      <w:r>
        <w:t>t</w:t>
      </w:r>
      <w:r w:rsidRPr="004C27C6">
        <w:t>able</w:t>
      </w:r>
      <w:r w:rsidR="003E3837">
        <w:t xml:space="preserve">. Most have been deemed </w:t>
      </w:r>
      <w:r w:rsidR="009D6243">
        <w:t xml:space="preserve">to be </w:t>
      </w:r>
      <w:r w:rsidR="003E3837">
        <w:t>either ‘not a controlled action’ (87</w:t>
      </w:r>
      <w:r w:rsidR="007151BB">
        <w:t xml:space="preserve"> referrals</w:t>
      </w:r>
      <w:r w:rsidR="003E3837">
        <w:t>) or ‘not a controlled action – particular manner (275</w:t>
      </w:r>
      <w:r w:rsidR="007151BB">
        <w:t xml:space="preserve"> referrals</w:t>
      </w:r>
      <w:r w:rsidR="003E3837">
        <w:t>)</w:t>
      </w:r>
      <w:r w:rsidRPr="004C27C6">
        <w:t xml:space="preserve"> (table</w:t>
      </w:r>
      <w:r w:rsidR="00E92A4C">
        <w:t> </w:t>
      </w:r>
      <w:r w:rsidRPr="004C27C6">
        <w:t>6.3).</w:t>
      </w:r>
    </w:p>
    <w:p w:rsidR="00127528" w:rsidRDefault="00726340" w:rsidP="00127528">
      <w:pPr>
        <w:pStyle w:val="BodyText"/>
      </w:pPr>
      <w:r>
        <w:t xml:space="preserve">Regardless of whether or not </w:t>
      </w:r>
      <w:proofErr w:type="spellStart"/>
      <w:r>
        <w:t>NOPSEMA</w:t>
      </w:r>
      <w:proofErr w:type="spellEnd"/>
      <w:r>
        <w:t xml:space="preserve"> becomes accredited to undertake </w:t>
      </w:r>
      <w:r w:rsidR="00D46C33" w:rsidRPr="00D46C33">
        <w:t xml:space="preserve">offshore Commonwealth environmental </w:t>
      </w:r>
      <w:r w:rsidR="007151BB">
        <w:t xml:space="preserve">assessments and </w:t>
      </w:r>
      <w:r w:rsidR="00D46C33" w:rsidRPr="00D46C33">
        <w:t xml:space="preserve">approvals </w:t>
      </w:r>
      <w:r w:rsidR="007151BB">
        <w:t xml:space="preserve">under the </w:t>
      </w:r>
      <w:proofErr w:type="spellStart"/>
      <w:r w:rsidR="007151BB">
        <w:t>EPBC</w:t>
      </w:r>
      <w:proofErr w:type="spellEnd"/>
      <w:r w:rsidR="007151BB">
        <w:t xml:space="preserve"> Act</w:t>
      </w:r>
      <w:r w:rsidR="007151BB" w:rsidRPr="00D46C33">
        <w:t xml:space="preserve"> </w:t>
      </w:r>
      <w:r w:rsidR="00D46C33" w:rsidRPr="00D46C33">
        <w:t xml:space="preserve">for petroleum </w:t>
      </w:r>
      <w:r w:rsidR="00600D77">
        <w:t xml:space="preserve">and gas </w:t>
      </w:r>
      <w:r w:rsidR="00D46C33" w:rsidRPr="00D46C33">
        <w:t>activities</w:t>
      </w:r>
      <w:r>
        <w:t xml:space="preserve">, </w:t>
      </w:r>
      <w:r w:rsidR="00D46C33">
        <w:t>the</w:t>
      </w:r>
      <w:r w:rsidR="004C27C6">
        <w:t xml:space="preserve"> </w:t>
      </w:r>
      <w:r w:rsidR="00127528">
        <w:t xml:space="preserve">duplication between the </w:t>
      </w:r>
      <w:proofErr w:type="spellStart"/>
      <w:r w:rsidR="00127528">
        <w:t>EPBC</w:t>
      </w:r>
      <w:proofErr w:type="spellEnd"/>
      <w:r w:rsidR="00127528">
        <w:t xml:space="preserve"> Act and the </w:t>
      </w:r>
      <w:proofErr w:type="spellStart"/>
      <w:r w:rsidR="00127528">
        <w:t>OPGGS</w:t>
      </w:r>
      <w:proofErr w:type="spellEnd"/>
      <w:r w:rsidR="00723A11">
        <w:t xml:space="preserve"> </w:t>
      </w:r>
      <w:r w:rsidR="00127528">
        <w:t>A</w:t>
      </w:r>
      <w:r w:rsidR="00723A11">
        <w:t>ct</w:t>
      </w:r>
      <w:r w:rsidR="00127528">
        <w:t xml:space="preserve"> </w:t>
      </w:r>
      <w:r w:rsidR="009D6243">
        <w:t xml:space="preserve">— and associated </w:t>
      </w:r>
      <w:r w:rsidR="009D6243" w:rsidRPr="009D6243">
        <w:t xml:space="preserve">compliance costs for explorers — </w:t>
      </w:r>
      <w:r w:rsidR="004C27C6">
        <w:t xml:space="preserve">could both be reduced </w:t>
      </w:r>
      <w:r w:rsidR="003F70E5">
        <w:t>if the defined matter</w:t>
      </w:r>
      <w:r w:rsidR="00127528">
        <w:t xml:space="preserve"> of ‘the</w:t>
      </w:r>
      <w:r w:rsidR="007D2AB6">
        <w:t xml:space="preserve"> Commonwealth marine area</w:t>
      </w:r>
      <w:r w:rsidR="00E21CB7">
        <w:t xml:space="preserve">’ were </w:t>
      </w:r>
      <w:r w:rsidR="004C27C6">
        <w:t xml:space="preserve">able to be </w:t>
      </w:r>
      <w:r w:rsidR="00600D77">
        <w:t>clarified</w:t>
      </w:r>
      <w:r w:rsidR="00127528">
        <w:t xml:space="preserve"> to </w:t>
      </w:r>
      <w:r w:rsidR="00AC0C42">
        <w:t>better target</w:t>
      </w:r>
      <w:r w:rsidR="00127528">
        <w:t xml:space="preserve"> specific areas and issues of national environmental significance.</w:t>
      </w:r>
    </w:p>
    <w:p w:rsidR="0071648D" w:rsidRPr="004A1471" w:rsidRDefault="0071648D" w:rsidP="0071648D">
      <w:pPr>
        <w:keepNext/>
        <w:keepLines/>
        <w:spacing w:before="240" w:line="320" w:lineRule="atLeast"/>
        <w:jc w:val="both"/>
        <w:rPr>
          <w:caps/>
          <w:sz w:val="20"/>
          <w:szCs w:val="20"/>
        </w:rPr>
      </w:pPr>
      <w:r w:rsidRPr="004A1471">
        <w:rPr>
          <w:caps/>
          <w:sz w:val="20"/>
          <w:szCs w:val="20"/>
        </w:rPr>
        <w:t>Information request</w:t>
      </w:r>
    </w:p>
    <w:p w:rsidR="00127528" w:rsidRPr="00CE3E96" w:rsidRDefault="0071648D" w:rsidP="00CE3E96">
      <w:pPr>
        <w:pStyle w:val="InformationRequest"/>
      </w:pPr>
      <w:r w:rsidRPr="00CE3E96">
        <w:t xml:space="preserve">The Commission seeks views from inquiry participants on the scope for </w:t>
      </w:r>
      <w:r w:rsidR="004C27C6" w:rsidRPr="00CE3E96">
        <w:t xml:space="preserve">— and costs and benefits of — </w:t>
      </w:r>
      <w:r w:rsidR="00600D77" w:rsidRPr="00CE3E96">
        <w:t>clarifying</w:t>
      </w:r>
      <w:r w:rsidRPr="00CE3E96">
        <w:t xml:space="preserve"> the defined matter of ‘the Commonwealth marine area’ under the Environment Protection and Biodiversity Conservation Act 1999 to better </w:t>
      </w:r>
      <w:r w:rsidR="00C101D6" w:rsidRPr="00CE3E96">
        <w:t>target</w:t>
      </w:r>
      <w:r w:rsidRPr="00CE3E96">
        <w:t xml:space="preserve"> matters of national environmental significance.</w:t>
      </w:r>
    </w:p>
    <w:p w:rsidR="00CE59DF" w:rsidRPr="00717F53" w:rsidRDefault="003F0E72" w:rsidP="00D72529">
      <w:pPr>
        <w:pStyle w:val="Heading3"/>
      </w:pPr>
      <w:r w:rsidRPr="00717F53">
        <w:lastRenderedPageBreak/>
        <w:t xml:space="preserve">Duplication </w:t>
      </w:r>
      <w:r w:rsidR="00CE59DF" w:rsidRPr="00717F53">
        <w:t xml:space="preserve">between </w:t>
      </w:r>
      <w:r w:rsidR="00983745">
        <w:t xml:space="preserve">the </w:t>
      </w:r>
      <w:r w:rsidR="00CE59DF" w:rsidRPr="00717F53">
        <w:t xml:space="preserve">states and </w:t>
      </w:r>
      <w:r w:rsidR="00983745">
        <w:t>the C</w:t>
      </w:r>
      <w:r w:rsidR="00CE59DF" w:rsidRPr="00717F53">
        <w:t>ommonwealth</w:t>
      </w:r>
    </w:p>
    <w:p w:rsidR="00C947FC" w:rsidRDefault="00C947FC" w:rsidP="00C947FC">
      <w:pPr>
        <w:pStyle w:val="Heading4"/>
      </w:pPr>
      <w:r>
        <w:t>Onshore exploration</w:t>
      </w:r>
    </w:p>
    <w:p w:rsidR="00E04DF0" w:rsidRDefault="00FC0A0A" w:rsidP="00E04DF0">
      <w:pPr>
        <w:pStyle w:val="BodyText"/>
      </w:pPr>
      <w:r>
        <w:t xml:space="preserve">For onshore exploration, there is </w:t>
      </w:r>
      <w:r w:rsidR="00E21CB7">
        <w:t xml:space="preserve">potential for </w:t>
      </w:r>
      <w:r w:rsidR="00D11104">
        <w:t xml:space="preserve">the </w:t>
      </w:r>
      <w:proofErr w:type="spellStart"/>
      <w:r w:rsidR="00D11104">
        <w:t>EPBC</w:t>
      </w:r>
      <w:proofErr w:type="spellEnd"/>
      <w:r w:rsidR="00D11104">
        <w:t xml:space="preserve"> Act to intersect with s</w:t>
      </w:r>
      <w:r w:rsidR="00E21CB7">
        <w:t>tate</w:t>
      </w:r>
      <w:r w:rsidR="00E92A4C">
        <w:noBreakHyphen/>
      </w:r>
      <w:r w:rsidR="00E21CB7">
        <w:t>based regulatory</w:t>
      </w:r>
      <w:r>
        <w:t xml:space="preserve"> regimes. </w:t>
      </w:r>
      <w:r w:rsidR="00822944">
        <w:t>The extent of</w:t>
      </w:r>
      <w:r w:rsidR="00E04DF0">
        <w:t xml:space="preserve"> duplication </w:t>
      </w:r>
      <w:r w:rsidR="00822944">
        <w:t xml:space="preserve">of assessment processes </w:t>
      </w:r>
      <w:r w:rsidR="00E04DF0">
        <w:t xml:space="preserve">will be limited to, at most, the </w:t>
      </w:r>
      <w:r w:rsidR="00E47C27">
        <w:t xml:space="preserve">assessment of </w:t>
      </w:r>
      <w:r w:rsidR="00E04DF0">
        <w:t>specific matters of national environmen</w:t>
      </w:r>
      <w:r w:rsidR="00822944">
        <w:t>tal significance potentially affected by</w:t>
      </w:r>
      <w:r w:rsidR="00E04DF0">
        <w:t xml:space="preserve"> the exploration proposal, </w:t>
      </w:r>
      <w:r w:rsidR="00E04DF0" w:rsidRPr="006208B3">
        <w:t xml:space="preserve">such as </w:t>
      </w:r>
      <w:r w:rsidR="00983745">
        <w:t xml:space="preserve">the impact on </w:t>
      </w:r>
      <w:r w:rsidR="00E04DF0" w:rsidRPr="006208B3">
        <w:t>a</w:t>
      </w:r>
      <w:r w:rsidR="00E04DF0">
        <w:t xml:space="preserve"> particular listed threatened species</w:t>
      </w:r>
      <w:r w:rsidR="00983745">
        <w:t xml:space="preserve"> </w:t>
      </w:r>
      <w:r w:rsidR="00983745" w:rsidRPr="00983745">
        <w:t xml:space="preserve">or on a </w:t>
      </w:r>
      <w:proofErr w:type="spellStart"/>
      <w:r w:rsidR="00983745" w:rsidRPr="00983745">
        <w:t>Ramsar</w:t>
      </w:r>
      <w:proofErr w:type="spellEnd"/>
      <w:r w:rsidR="00983745" w:rsidRPr="00983745">
        <w:t xml:space="preserve"> wetland of international significance.</w:t>
      </w:r>
      <w:r w:rsidR="00E04DF0">
        <w:t xml:space="preserve"> </w:t>
      </w:r>
    </w:p>
    <w:p w:rsidR="009D6243" w:rsidRDefault="00983745" w:rsidP="00460C98">
      <w:pPr>
        <w:pStyle w:val="BodyText"/>
      </w:pPr>
      <w:r w:rsidRPr="00983745">
        <w:t>The potential for duplication exists despite the presence of bilateral agreements between the Commonwealth and each of the states and territories to accredit state and territory environmental assessment processes</w:t>
      </w:r>
      <w:r w:rsidR="009D6243">
        <w:t xml:space="preserve"> (</w:t>
      </w:r>
      <w:r w:rsidR="00A260BE">
        <w:t xml:space="preserve">although </w:t>
      </w:r>
      <w:r w:rsidR="009D6243">
        <w:t>the ag</w:t>
      </w:r>
      <w:r w:rsidR="00A260BE">
        <w:t>reement with New South Wales</w:t>
      </w:r>
      <w:r w:rsidR="009D6243">
        <w:t xml:space="preserve"> lapsed</w:t>
      </w:r>
      <w:r w:rsidR="00A260BE">
        <w:t xml:space="preserve"> in 2012</w:t>
      </w:r>
      <w:r w:rsidR="009D6243">
        <w:t>)</w:t>
      </w:r>
      <w:r w:rsidRPr="00983745">
        <w:t xml:space="preserve">. With the agreement of the </w:t>
      </w:r>
      <w:r w:rsidR="006A6258" w:rsidRPr="006A6258">
        <w:t>responsible</w:t>
      </w:r>
      <w:r w:rsidR="006A6258">
        <w:t xml:space="preserve"> Commonwealth </w:t>
      </w:r>
      <w:r w:rsidRPr="00983745">
        <w:t xml:space="preserve">Minister, a proposed action that would otherwise require assessment under the </w:t>
      </w:r>
      <w:proofErr w:type="spellStart"/>
      <w:r w:rsidRPr="00983745">
        <w:t>EPBC</w:t>
      </w:r>
      <w:proofErr w:type="spellEnd"/>
      <w:r w:rsidRPr="00983745">
        <w:t xml:space="preserve"> Act can be assessed using an accredited state or territory assessment process for the purposes of both the </w:t>
      </w:r>
      <w:proofErr w:type="spellStart"/>
      <w:r w:rsidRPr="00983745">
        <w:t>EPBC</w:t>
      </w:r>
      <w:proofErr w:type="spellEnd"/>
      <w:r w:rsidRPr="00983745">
        <w:t xml:space="preserve"> Act and the relevant state or territory legislation.</w:t>
      </w:r>
      <w:r w:rsidR="00F50880">
        <w:t xml:space="preserve"> </w:t>
      </w:r>
    </w:p>
    <w:p w:rsidR="00460C98" w:rsidRDefault="00E04DF0" w:rsidP="00460C98">
      <w:pPr>
        <w:pStyle w:val="BodyText"/>
      </w:pPr>
      <w:r>
        <w:t xml:space="preserve">Since the commencement of the </w:t>
      </w:r>
      <w:proofErr w:type="spellStart"/>
      <w:r>
        <w:t>EPBC</w:t>
      </w:r>
      <w:proofErr w:type="spellEnd"/>
      <w:r>
        <w:t xml:space="preserve"> Act in 2000, </w:t>
      </w:r>
      <w:r w:rsidR="00983745">
        <w:t>an estimated</w:t>
      </w:r>
      <w:r>
        <w:t xml:space="preserve"> 29 onshore exploration </w:t>
      </w:r>
      <w:r w:rsidR="00473954">
        <w:t>(minerals and non</w:t>
      </w:r>
      <w:r w:rsidR="00E92A4C">
        <w:noBreakHyphen/>
      </w:r>
      <w:r w:rsidR="00473954">
        <w:t xml:space="preserve">marine oil and gas) </w:t>
      </w:r>
      <w:r>
        <w:t xml:space="preserve">referrals have been received by </w:t>
      </w:r>
      <w:proofErr w:type="spellStart"/>
      <w:r>
        <w:t>SEWPaC</w:t>
      </w:r>
      <w:proofErr w:type="spellEnd"/>
      <w:r>
        <w:t xml:space="preserve">. Of these, </w:t>
      </w:r>
      <w:r w:rsidR="000103FF">
        <w:t>just</w:t>
      </w:r>
      <w:r w:rsidR="00B03FA8">
        <w:t xml:space="preserve"> four have been assessed as ‘controlled actions’, that is, they required assessment (including an environmental impact statement) and Ministerial approval before </w:t>
      </w:r>
      <w:r w:rsidR="00E47C27">
        <w:t xml:space="preserve">they </w:t>
      </w:r>
      <w:r w:rsidR="00B03FA8" w:rsidRPr="00706CE0">
        <w:t>proceed</w:t>
      </w:r>
      <w:r w:rsidR="00E47C27" w:rsidRPr="00706CE0">
        <w:t>ed</w:t>
      </w:r>
      <w:r w:rsidR="000103FF" w:rsidRPr="00706CE0">
        <w:t xml:space="preserve"> (table</w:t>
      </w:r>
      <w:r w:rsidR="00E92A4C">
        <w:t> </w:t>
      </w:r>
      <w:r w:rsidR="00706CE0" w:rsidRPr="00706CE0">
        <w:t>6.3</w:t>
      </w:r>
      <w:r w:rsidR="000103FF" w:rsidRPr="00706CE0">
        <w:t>)</w:t>
      </w:r>
      <w:r w:rsidR="00B03FA8" w:rsidRPr="00706CE0">
        <w:t>.</w:t>
      </w:r>
      <w:r w:rsidR="00983745">
        <w:t xml:space="preserve"> </w:t>
      </w:r>
      <w:r w:rsidR="003E3837">
        <w:t>Most have been deemed either ‘not a controlled action’ (14</w:t>
      </w:r>
      <w:r w:rsidR="00856A4D">
        <w:t> </w:t>
      </w:r>
      <w:r w:rsidR="007151BB">
        <w:t>referrals</w:t>
      </w:r>
      <w:r w:rsidR="003E3837">
        <w:t>) or ‘not a controlled action – particular manner (11</w:t>
      </w:r>
      <w:r w:rsidR="00856A4D">
        <w:t> </w:t>
      </w:r>
      <w:r w:rsidR="007151BB">
        <w:t>referrals</w:t>
      </w:r>
      <w:r w:rsidR="003E3837">
        <w:t xml:space="preserve">). </w:t>
      </w:r>
      <w:r w:rsidR="007C38CC">
        <w:t>N</w:t>
      </w:r>
      <w:r w:rsidR="00CD3BC0">
        <w:t>o proposed exploration</w:t>
      </w:r>
      <w:r w:rsidR="000103FF">
        <w:t xml:space="preserve"> actions have been assessed under a bilateral agreement (sub.</w:t>
      </w:r>
      <w:r w:rsidR="007151BB">
        <w:t> </w:t>
      </w:r>
      <w:r w:rsidR="000103FF">
        <w:t>33, p. 15).</w:t>
      </w:r>
    </w:p>
    <w:p w:rsidR="000139B1" w:rsidRPr="000139B1" w:rsidRDefault="000139B1" w:rsidP="000139B1">
      <w:pPr>
        <w:pStyle w:val="BodyText"/>
      </w:pPr>
      <w:r>
        <w:t xml:space="preserve">The </w:t>
      </w:r>
      <w:r w:rsidRPr="000139B1">
        <w:t>Hawke Review</w:t>
      </w:r>
      <w:r>
        <w:t xml:space="preserve"> </w:t>
      </w:r>
      <w:r w:rsidRPr="000139B1">
        <w:t>recommend</w:t>
      </w:r>
      <w:r>
        <w:t>ed</w:t>
      </w:r>
      <w:r w:rsidRPr="000139B1">
        <w:t xml:space="preserve"> that the Commonwealth work with the </w:t>
      </w:r>
      <w:r w:rsidR="007151BB">
        <w:t>s</w:t>
      </w:r>
      <w:r w:rsidRPr="000139B1">
        <w:t xml:space="preserve">tates and </w:t>
      </w:r>
      <w:r w:rsidR="007151BB">
        <w:t>t</w:t>
      </w:r>
      <w:r w:rsidRPr="000139B1">
        <w:t xml:space="preserve">erritories to improve the efficiency of the assessment regime under the </w:t>
      </w:r>
      <w:proofErr w:type="spellStart"/>
      <w:r w:rsidRPr="000139B1">
        <w:t>EPBC</w:t>
      </w:r>
      <w:proofErr w:type="spellEnd"/>
      <w:r w:rsidRPr="000139B1">
        <w:t xml:space="preserve"> Act, including th</w:t>
      </w:r>
      <w:r w:rsidR="00B01AF4">
        <w:t>r</w:t>
      </w:r>
      <w:r w:rsidRPr="000139B1">
        <w:t xml:space="preserve">ough accreditation of </w:t>
      </w:r>
      <w:r w:rsidR="00143C26">
        <w:t>s</w:t>
      </w:r>
      <w:r w:rsidRPr="000139B1">
        <w:t xml:space="preserve">tate and </w:t>
      </w:r>
      <w:r w:rsidR="00143C26">
        <w:t>t</w:t>
      </w:r>
      <w:r w:rsidRPr="000139B1">
        <w:t xml:space="preserve">erritory processes where they meet appropriate standards. The Review suggested the focus should be on improving the operation of these bilateral assessment agreements rather than legislative amendments, noting the need for better understanding between Commonwealth and </w:t>
      </w:r>
      <w:r w:rsidR="00D6430B">
        <w:t>s</w:t>
      </w:r>
      <w:r w:rsidRPr="000139B1">
        <w:t>tate agencies (</w:t>
      </w:r>
      <w:proofErr w:type="spellStart"/>
      <w:r w:rsidR="00375DF8">
        <w:t>DEWHA</w:t>
      </w:r>
      <w:proofErr w:type="spellEnd"/>
      <w:r w:rsidRPr="000139B1">
        <w:t xml:space="preserve"> </w:t>
      </w:r>
      <w:proofErr w:type="spellStart"/>
      <w:r w:rsidRPr="000139B1">
        <w:t>2009</w:t>
      </w:r>
      <w:r w:rsidR="00375DF8">
        <w:t>a</w:t>
      </w:r>
      <w:proofErr w:type="spellEnd"/>
      <w:r w:rsidRPr="000139B1">
        <w:t>).</w:t>
      </w:r>
    </w:p>
    <w:p w:rsidR="004D698B" w:rsidRDefault="004D698B" w:rsidP="00460C98">
      <w:pPr>
        <w:pStyle w:val="BodyText"/>
      </w:pPr>
      <w:r>
        <w:t xml:space="preserve">The Minerals Council of Australia </w:t>
      </w:r>
      <w:r w:rsidR="000139B1">
        <w:t xml:space="preserve">also </w:t>
      </w:r>
      <w:r>
        <w:t>called for greater cooperation between governments, but said there was room for significant gains even without accreditation</w:t>
      </w:r>
      <w:r w:rsidR="00E47C27">
        <w:t xml:space="preserve"> of state and territory processes</w:t>
      </w:r>
      <w:r>
        <w:t>:</w:t>
      </w:r>
    </w:p>
    <w:p w:rsidR="004D698B" w:rsidRDefault="004D698B" w:rsidP="004D698B">
      <w:pPr>
        <w:pStyle w:val="Quote"/>
      </w:pPr>
      <w:r>
        <w:t xml:space="preserve">As identified by </w:t>
      </w:r>
      <w:proofErr w:type="spellStart"/>
      <w:r>
        <w:t>COAG</w:t>
      </w:r>
      <w:proofErr w:type="spellEnd"/>
      <w:r>
        <w:t xml:space="preserve">, governments need to cooperate more effectively in administering their </w:t>
      </w:r>
      <w:proofErr w:type="spellStart"/>
      <w:r>
        <w:t>EIA</w:t>
      </w:r>
      <w:proofErr w:type="spellEnd"/>
      <w:r>
        <w:t xml:space="preserve"> </w:t>
      </w:r>
      <w:r w:rsidR="007151BB">
        <w:t xml:space="preserve">[environmental impact assessment] </w:t>
      </w:r>
      <w:r>
        <w:t>regimes. There is currently a disconnect between different processes in different jurisdictions which can lead to inefficiencies. Better cooperation is clearly necessary but must occur in a transparent and accountable way, recognising the legitimate interests of all governments and all stakeholders. Transparency and accountability are especially important in maintaining the confidence of stakeholders.</w:t>
      </w:r>
    </w:p>
    <w:p w:rsidR="004D698B" w:rsidRPr="004D698B" w:rsidRDefault="004D698B" w:rsidP="004D698B">
      <w:pPr>
        <w:pStyle w:val="Quote"/>
      </w:pPr>
      <w:r>
        <w:lastRenderedPageBreak/>
        <w:t xml:space="preserve">Commitments by governments to streamlining </w:t>
      </w:r>
      <w:proofErr w:type="spellStart"/>
      <w:r>
        <w:t>EIA</w:t>
      </w:r>
      <w:proofErr w:type="spellEnd"/>
      <w:r>
        <w:t xml:space="preserve"> processes, rely on accreditation arrangements as the principal mechanism for achieving efficiency. Even without accreditation, however, there are considerable gains to be made through better cooperation between Australian governments, particularly in the best practice context. Arguably, such gains would be necessary in any event as a prerequisite for successful accreditation. (sub.</w:t>
      </w:r>
      <w:r w:rsidR="00E92A4C">
        <w:t> </w:t>
      </w:r>
      <w:r>
        <w:t>27, p. 28)</w:t>
      </w:r>
    </w:p>
    <w:p w:rsidR="00E47C27" w:rsidRDefault="000139B1" w:rsidP="00E47C27">
      <w:pPr>
        <w:pStyle w:val="BodyText"/>
      </w:pPr>
      <w:r>
        <w:t>Despite there being bilateral agreements</w:t>
      </w:r>
      <w:r w:rsidR="00E47C27">
        <w:t xml:space="preserve"> </w:t>
      </w:r>
      <w:r>
        <w:t xml:space="preserve">covering the assessment process, the </w:t>
      </w:r>
      <w:r w:rsidR="00E47C27">
        <w:t xml:space="preserve">Western Australian Government noted </w:t>
      </w:r>
      <w:r>
        <w:t xml:space="preserve">in its submission </w:t>
      </w:r>
      <w:r w:rsidR="00E47C27">
        <w:t xml:space="preserve">that </w:t>
      </w:r>
      <w:r w:rsidR="00E47C27" w:rsidRPr="009E7C44">
        <w:t>the Australian Government</w:t>
      </w:r>
      <w:r w:rsidR="00E47C27">
        <w:t xml:space="preserve"> had recently ‘</w:t>
      </w:r>
      <w:r w:rsidR="00E47C27" w:rsidRPr="009E7C44">
        <w:t>unilaterally introduced a new matter of national environmental significance trigger relating to</w:t>
      </w:r>
      <w:r w:rsidR="00E47C27">
        <w:t xml:space="preserve"> </w:t>
      </w:r>
      <w:r w:rsidR="00E47C27" w:rsidRPr="009E7C44">
        <w:t>water associated with coal seam gas and coal mining</w:t>
      </w:r>
      <w:r w:rsidR="00E47C27">
        <w:t>’ which was ‘</w:t>
      </w:r>
      <w:r w:rsidR="00E92A4C">
        <w:t xml:space="preserve"> </w:t>
      </w:r>
      <w:r w:rsidR="00E47C27">
        <w:t xml:space="preserve">… </w:t>
      </w:r>
      <w:r w:rsidR="00E47C27" w:rsidRPr="009E7C44">
        <w:t>likely to further dupli</w:t>
      </w:r>
      <w:r w:rsidR="00E47C27">
        <w:t>cate State assessment processes’ (sub. 29, p. 11).</w:t>
      </w:r>
      <w:r w:rsidR="001F4787">
        <w:t xml:space="preserve"> </w:t>
      </w:r>
    </w:p>
    <w:p w:rsidR="001F4787" w:rsidRPr="001F4787" w:rsidRDefault="001F4787" w:rsidP="001F4787">
      <w:pPr>
        <w:pStyle w:val="BodyText"/>
      </w:pPr>
      <w:r w:rsidRPr="001F4787">
        <w:t xml:space="preserve">Another recent development has been the Australian Government’s addition of the West Kimberley region of Western Australia to the National Heritage List, which brought around 200 000 square kilometres under the scope of the </w:t>
      </w:r>
      <w:proofErr w:type="spellStart"/>
      <w:r w:rsidRPr="001F4787">
        <w:t>EPBC</w:t>
      </w:r>
      <w:proofErr w:type="spellEnd"/>
      <w:r w:rsidRPr="001F4787">
        <w:t xml:space="preserve"> Act. </w:t>
      </w:r>
      <w:r>
        <w:t>The</w:t>
      </w:r>
      <w:r w:rsidRPr="001F4787">
        <w:t xml:space="preserve"> listing </w:t>
      </w:r>
      <w:r>
        <w:t>of the West Kimberley region gives rise to further potential</w:t>
      </w:r>
      <w:r w:rsidRPr="001F4787">
        <w:t xml:space="preserve"> duplication between state legislation (in this case, existing Western Australian environmental legislation) and the </w:t>
      </w:r>
      <w:proofErr w:type="spellStart"/>
      <w:r w:rsidRPr="001F4787">
        <w:t>EPBC</w:t>
      </w:r>
      <w:proofErr w:type="spellEnd"/>
      <w:r w:rsidRPr="001F4787">
        <w:t xml:space="preserve"> Act</w:t>
      </w:r>
      <w:r w:rsidR="00541554">
        <w:t>. As AMEC noted</w:t>
      </w:r>
      <w:r w:rsidR="008C1ED9">
        <w:t xml:space="preserve">, it is questionable whether the listing will </w:t>
      </w:r>
      <w:r w:rsidRPr="001F4787">
        <w:t>provid</w:t>
      </w:r>
      <w:r w:rsidR="00541554">
        <w:t>e any</w:t>
      </w:r>
      <w:r w:rsidRPr="001F4787">
        <w:t xml:space="preserve"> additional environmental benefit. Further, as </w:t>
      </w:r>
      <w:r w:rsidR="00541554">
        <w:t>AMEC also noted</w:t>
      </w:r>
      <w:r w:rsidRPr="001F4787">
        <w:t>, the listing appears to have set a precedent that could be replicated elsewhere in Australia with similar impacts (sub. 24, p. 20).</w:t>
      </w:r>
    </w:p>
    <w:p w:rsidR="00514EEC" w:rsidRDefault="00514EEC" w:rsidP="00514EEC">
      <w:pPr>
        <w:pStyle w:val="Heading5"/>
      </w:pPr>
      <w:r>
        <w:t>Extending accreditation arrangements to approval processes</w:t>
      </w:r>
    </w:p>
    <w:p w:rsidR="00D705CD" w:rsidRDefault="00D705CD" w:rsidP="00D705CD">
      <w:pPr>
        <w:pStyle w:val="BodyText"/>
      </w:pPr>
      <w:r w:rsidRPr="00D705CD">
        <w:t>If a p</w:t>
      </w:r>
      <w:r>
        <w:t>roposed action is covered by a bilateral assessment agreement</w:t>
      </w:r>
      <w:r w:rsidRPr="00D705CD">
        <w:t xml:space="preserve">, then that action </w:t>
      </w:r>
      <w:r w:rsidR="006B5134">
        <w:t>may be</w:t>
      </w:r>
      <w:r w:rsidR="006B5134" w:rsidRPr="00D705CD">
        <w:t xml:space="preserve"> </w:t>
      </w:r>
      <w:r w:rsidRPr="00D705CD">
        <w:t>assessed under</w:t>
      </w:r>
      <w:r>
        <w:t xml:space="preserve"> </w:t>
      </w:r>
      <w:r w:rsidR="008E6E70">
        <w:t>an</w:t>
      </w:r>
      <w:r w:rsidRPr="00D705CD">
        <w:t xml:space="preserve"> accredited state</w:t>
      </w:r>
      <w:r w:rsidR="00727403">
        <w:t xml:space="preserve"> or </w:t>
      </w:r>
      <w:r w:rsidRPr="00D705CD">
        <w:t>territory process</w:t>
      </w:r>
      <w:r w:rsidR="008E6E70">
        <w:t xml:space="preserve">. </w:t>
      </w:r>
      <w:r>
        <w:t>However, a</w:t>
      </w:r>
      <w:r w:rsidRPr="00D705CD">
        <w:t>fter assessment, the proposed action still requires</w:t>
      </w:r>
      <w:r>
        <w:t xml:space="preserve"> </w:t>
      </w:r>
      <w:r w:rsidRPr="00D705CD">
        <w:t xml:space="preserve">approval from the </w:t>
      </w:r>
      <w:r w:rsidR="006A6258">
        <w:t>responsible Commonwealth</w:t>
      </w:r>
      <w:r w:rsidR="00035E46">
        <w:t xml:space="preserve"> </w:t>
      </w:r>
      <w:r w:rsidRPr="00D705CD">
        <w:t xml:space="preserve">Minister under the </w:t>
      </w:r>
      <w:proofErr w:type="spellStart"/>
      <w:r w:rsidRPr="00D705CD">
        <w:t>EPBC</w:t>
      </w:r>
      <w:proofErr w:type="spellEnd"/>
      <w:r w:rsidRPr="00D705CD">
        <w:t xml:space="preserve"> Act.</w:t>
      </w:r>
    </w:p>
    <w:p w:rsidR="003018DC" w:rsidRDefault="003018DC" w:rsidP="003018DC">
      <w:pPr>
        <w:pStyle w:val="BodyText"/>
      </w:pPr>
      <w:r>
        <w:t xml:space="preserve">Some participants in the inquiry regarded duplication of approval processes as worthwhile. For example, the </w:t>
      </w:r>
      <w:r w:rsidRPr="00EF65C1">
        <w:t>Australian Network of Environmental Defender’s Offices</w:t>
      </w:r>
      <w:r>
        <w:t xml:space="preserve"> (</w:t>
      </w:r>
      <w:proofErr w:type="spellStart"/>
      <w:r>
        <w:t>ANEDO</w:t>
      </w:r>
      <w:proofErr w:type="spellEnd"/>
      <w:r>
        <w:t>) stated:</w:t>
      </w:r>
    </w:p>
    <w:p w:rsidR="003018DC" w:rsidRDefault="003018DC" w:rsidP="003018DC">
      <w:pPr>
        <w:pStyle w:val="Quote"/>
      </w:pPr>
      <w:r w:rsidRPr="00EF65C1">
        <w:rPr>
          <w:lang w:eastAsia="en-US"/>
        </w:rPr>
        <w:t xml:space="preserve">While some stakeholders have raised perceptions of regulatory overlap and duplication, </w:t>
      </w:r>
      <w:proofErr w:type="spellStart"/>
      <w:r w:rsidRPr="00EF65C1">
        <w:rPr>
          <w:lang w:eastAsia="en-US"/>
        </w:rPr>
        <w:t>ANEDO</w:t>
      </w:r>
      <w:proofErr w:type="spellEnd"/>
      <w:r w:rsidRPr="00EF65C1">
        <w:rPr>
          <w:lang w:eastAsia="en-US"/>
        </w:rPr>
        <w:t xml:space="preserve"> believes the case for shared responsibility and oversight between Commonwealth and State governments is strong. As the first headline of the </w:t>
      </w:r>
      <w:r w:rsidRPr="00EF65C1">
        <w:rPr>
          <w:i/>
          <w:lang w:eastAsia="en-US"/>
        </w:rPr>
        <w:t>State of the Environment Report 2011</w:t>
      </w:r>
      <w:r w:rsidRPr="00EF65C1">
        <w:rPr>
          <w:lang w:eastAsia="en-US"/>
        </w:rPr>
        <w:t xml:space="preserve"> (</w:t>
      </w:r>
      <w:proofErr w:type="spellStart"/>
      <w:r w:rsidRPr="00EF65C1">
        <w:rPr>
          <w:lang w:eastAsia="en-US"/>
        </w:rPr>
        <w:t>Cth</w:t>
      </w:r>
      <w:proofErr w:type="spellEnd"/>
      <w:r w:rsidRPr="00EF65C1">
        <w:rPr>
          <w:lang w:eastAsia="en-US"/>
        </w:rPr>
        <w:t xml:space="preserve">) notes, ‘Our environment is a national issue requiring leadership and action at all levels.’ </w:t>
      </w:r>
      <w:r w:rsidRPr="00EF65C1">
        <w:t>(sub. 17, p. 5)</w:t>
      </w:r>
    </w:p>
    <w:p w:rsidR="003018DC" w:rsidRDefault="003018DC" w:rsidP="003018DC">
      <w:pPr>
        <w:pStyle w:val="BodyText"/>
      </w:pPr>
      <w:proofErr w:type="spellStart"/>
      <w:r>
        <w:t>ANEDO</w:t>
      </w:r>
      <w:proofErr w:type="spellEnd"/>
      <w:r>
        <w:t xml:space="preserve"> has elsewhere outlined other reasons against accreditation of state and territory approvals processes, including the potential for conflict of interest if a state or territory government stands to benefit financially from a proposal, and states and territories not having a mandate to consider consequences outside their borders (</w:t>
      </w:r>
      <w:r w:rsidR="00375DF8" w:rsidRPr="00375DF8">
        <w:t>Australian Network of Environmental Defender’s Offices</w:t>
      </w:r>
      <w:r>
        <w:t xml:space="preserve"> 2012).</w:t>
      </w:r>
    </w:p>
    <w:p w:rsidR="003018DC" w:rsidRDefault="003018DC" w:rsidP="003018DC">
      <w:pPr>
        <w:pStyle w:val="BodyText"/>
      </w:pPr>
      <w:r>
        <w:lastRenderedPageBreak/>
        <w:t>In contrast, the exploration industry expressed concern about the potential for duplication. For example, AMEC noted:</w:t>
      </w:r>
    </w:p>
    <w:p w:rsidR="003018DC" w:rsidRDefault="003018DC" w:rsidP="003018DC">
      <w:pPr>
        <w:pStyle w:val="Quote"/>
      </w:pPr>
      <w:r w:rsidRPr="001024D2">
        <w:t>AMEC has raised the issue of duplication of federal and state approvals as a barrier to not only exploration but mining development more broadly. Duplication is not only contained in multiple approvals, but the submission of the same information to more than one agency.</w:t>
      </w:r>
      <w:r>
        <w:t xml:space="preserve"> (sub. 24, pp. 20)</w:t>
      </w:r>
    </w:p>
    <w:p w:rsidR="00514EEC" w:rsidRDefault="00D705CD" w:rsidP="00514EEC">
      <w:pPr>
        <w:pStyle w:val="BodyText"/>
      </w:pPr>
      <w:r>
        <w:t>At its meeting on</w:t>
      </w:r>
      <w:r w:rsidR="00514EEC" w:rsidRPr="00460C98">
        <w:t xml:space="preserve"> 13</w:t>
      </w:r>
      <w:r w:rsidR="00E92A4C">
        <w:t> </w:t>
      </w:r>
      <w:r w:rsidR="00514EEC">
        <w:t xml:space="preserve">April 2012, </w:t>
      </w:r>
      <w:r w:rsidR="00065E00">
        <w:t>the Council of Australian Governments (</w:t>
      </w:r>
      <w:proofErr w:type="spellStart"/>
      <w:r w:rsidR="00514EEC">
        <w:t>COAG</w:t>
      </w:r>
      <w:proofErr w:type="spellEnd"/>
      <w:r w:rsidR="00065E00">
        <w:t>)</w:t>
      </w:r>
      <w:r w:rsidR="00514EEC">
        <w:t xml:space="preserve"> recognised</w:t>
      </w:r>
      <w:r w:rsidR="00514EEC" w:rsidRPr="00460C98">
        <w:t xml:space="preserve"> duplic</w:t>
      </w:r>
      <w:r w:rsidR="00514EEC">
        <w:t xml:space="preserve">ation between the </w:t>
      </w:r>
      <w:proofErr w:type="spellStart"/>
      <w:r w:rsidR="00514EEC">
        <w:t>EPBC</w:t>
      </w:r>
      <w:proofErr w:type="spellEnd"/>
      <w:r w:rsidR="00514EEC">
        <w:t xml:space="preserve"> Act and state and territory processes as</w:t>
      </w:r>
      <w:r w:rsidR="00A66F62">
        <w:t xml:space="preserve"> one of six</w:t>
      </w:r>
      <w:r w:rsidR="00514EEC">
        <w:t xml:space="preserve"> </w:t>
      </w:r>
      <w:r>
        <w:t>‘</w:t>
      </w:r>
      <w:r w:rsidRPr="00D705CD">
        <w:t>priority area</w:t>
      </w:r>
      <w:r w:rsidR="00A66F62">
        <w:t>s</w:t>
      </w:r>
      <w:r w:rsidRPr="00D705CD">
        <w:t xml:space="preserve"> for major reform to lower costs for business and improve competition and productivity</w:t>
      </w:r>
      <w:r w:rsidR="00A66F62">
        <w:t>’. The</w:t>
      </w:r>
      <w:r w:rsidR="00464184">
        <w:t xml:space="preserve"> </w:t>
      </w:r>
      <w:proofErr w:type="spellStart"/>
      <w:r w:rsidR="00464184">
        <w:t>COAG</w:t>
      </w:r>
      <w:proofErr w:type="spellEnd"/>
      <w:r w:rsidR="00A66F62">
        <w:t xml:space="preserve"> communique stated that </w:t>
      </w:r>
      <w:r w:rsidR="00555411">
        <w:t xml:space="preserve">governments would </w:t>
      </w:r>
      <w:r w:rsidR="00514EEC">
        <w:t xml:space="preserve">work to </w:t>
      </w:r>
      <w:r w:rsidR="00555411">
        <w:t xml:space="preserve">develop </w:t>
      </w:r>
      <w:r w:rsidR="007C1C57">
        <w:t xml:space="preserve">bilateral </w:t>
      </w:r>
      <w:r w:rsidR="00555411">
        <w:t>arrangements for</w:t>
      </w:r>
      <w:r w:rsidR="00514EEC">
        <w:t xml:space="preserve"> </w:t>
      </w:r>
      <w:r w:rsidR="00555411">
        <w:t xml:space="preserve">accrediting state </w:t>
      </w:r>
      <w:r w:rsidR="00514EEC">
        <w:t>approval processes</w:t>
      </w:r>
      <w:r>
        <w:t>:</w:t>
      </w:r>
    </w:p>
    <w:p w:rsidR="00514EEC" w:rsidRPr="00FF2B86" w:rsidRDefault="00514EEC" w:rsidP="00514EEC">
      <w:pPr>
        <w:pStyle w:val="Quote"/>
      </w:pPr>
      <w:r>
        <w:t xml:space="preserve">First Ministers reaffirmed </w:t>
      </w:r>
      <w:proofErr w:type="spellStart"/>
      <w:r>
        <w:t>COAG’s</w:t>
      </w:r>
      <w:proofErr w:type="spellEnd"/>
      <w:r>
        <w:t xml:space="preserve"> commitment to high </w:t>
      </w:r>
      <w:r w:rsidRPr="00514EEC">
        <w:rPr>
          <w:bCs/>
        </w:rPr>
        <w:t>environmental standards</w:t>
      </w:r>
      <w:r w:rsidRPr="00514EEC">
        <w:t>,</w:t>
      </w:r>
      <w:r>
        <w:t xml:space="preserve"> while reducing duplication and double</w:t>
      </w:r>
      <w:r w:rsidR="00E92A4C">
        <w:noBreakHyphen/>
      </w:r>
      <w:r>
        <w:t>handling of assessment and approval processes. To achieve these commitments, our governments will work together to</w:t>
      </w:r>
      <w:r w:rsidRPr="00514EEC">
        <w:rPr>
          <w:rFonts w:ascii="Calibri" w:hAnsi="Calibri" w:cs="Calibri"/>
          <w:color w:val="000000"/>
          <w:szCs w:val="24"/>
        </w:rPr>
        <w:t xml:space="preserve"> </w:t>
      </w:r>
      <w:r w:rsidRPr="00514EEC">
        <w:t>fast</w:t>
      </w:r>
      <w:r w:rsidR="00E92A4C">
        <w:noBreakHyphen/>
      </w:r>
      <w:r w:rsidRPr="00514EEC">
        <w:t xml:space="preserve">track the development of bilateral arrangements for accreditation </w:t>
      </w:r>
      <w:r w:rsidRPr="00FF2B86">
        <w:rPr>
          <w:rStyle w:val="QuoteChar"/>
        </w:rPr>
        <w:t>of state assessment and approval processes, with the frameworks to be agreed by December 2012 and agreements finalised by March 2013; [and] develop environmental risk</w:t>
      </w:r>
      <w:r w:rsidR="00E92A4C">
        <w:rPr>
          <w:rStyle w:val="QuoteChar"/>
        </w:rPr>
        <w:noBreakHyphen/>
      </w:r>
      <w:r w:rsidRPr="00FF2B86">
        <w:rPr>
          <w:rStyle w:val="QuoteChar"/>
        </w:rPr>
        <w:t xml:space="preserve"> and outcomes</w:t>
      </w:r>
      <w:r w:rsidR="00E92A4C">
        <w:rPr>
          <w:rStyle w:val="QuoteChar"/>
        </w:rPr>
        <w:noBreakHyphen/>
      </w:r>
      <w:r w:rsidRPr="00FF2B86">
        <w:rPr>
          <w:rStyle w:val="QuoteChar"/>
        </w:rPr>
        <w:t>based standards with States and Territories by December 2012 …</w:t>
      </w:r>
      <w:r w:rsidRPr="00FF2B86">
        <w:t xml:space="preserve"> </w:t>
      </w:r>
      <w:r>
        <w:t>(</w:t>
      </w:r>
      <w:proofErr w:type="spellStart"/>
      <w:r>
        <w:t>COAG</w:t>
      </w:r>
      <w:proofErr w:type="spellEnd"/>
      <w:r>
        <w:t>, 2012)</w:t>
      </w:r>
    </w:p>
    <w:p w:rsidR="006F0804" w:rsidRDefault="006F0804" w:rsidP="006F0804">
      <w:pPr>
        <w:pStyle w:val="BodyText"/>
      </w:pPr>
      <w:r>
        <w:t xml:space="preserve">A number of participants in the inquiry, including </w:t>
      </w:r>
      <w:proofErr w:type="spellStart"/>
      <w:r>
        <w:t>APPEA</w:t>
      </w:r>
      <w:proofErr w:type="spellEnd"/>
      <w:r>
        <w:t xml:space="preserve"> (2013) and the South Australian Chamber of Mines and Energy (sub. 9, p. 9), supported </w:t>
      </w:r>
      <w:proofErr w:type="spellStart"/>
      <w:r>
        <w:t>COAG’s</w:t>
      </w:r>
      <w:proofErr w:type="spellEnd"/>
      <w:r>
        <w:t xml:space="preserve"> 2012 commitment. The Minerals Council of Australia (sub. 27, p. 5) also proposed that </w:t>
      </w:r>
      <w:r w:rsidRPr="008B357B">
        <w:t xml:space="preserve">approvals processes </w:t>
      </w:r>
      <w:r>
        <w:t xml:space="preserve">should be devolved </w:t>
      </w:r>
      <w:r w:rsidRPr="008B357B">
        <w:t xml:space="preserve">to the </w:t>
      </w:r>
      <w:r w:rsidR="006938E6">
        <w:t>s</w:t>
      </w:r>
      <w:r w:rsidRPr="008B357B">
        <w:t>tates</w:t>
      </w:r>
      <w:r>
        <w:t>, and that the Commonwealth’s role be limited to ‘</w:t>
      </w:r>
      <w:r w:rsidRPr="008B357B">
        <w:t xml:space="preserve">strategic </w:t>
      </w:r>
      <w:r>
        <w:t>oversight and enforcement’ (strategic assessments are discussed below).</w:t>
      </w:r>
    </w:p>
    <w:p w:rsidR="00D705CD" w:rsidRDefault="00A66F62" w:rsidP="00EF52E8">
      <w:pPr>
        <w:pStyle w:val="BodyText"/>
      </w:pPr>
      <w:r>
        <w:t>However,</w:t>
      </w:r>
      <w:r w:rsidR="00D705CD">
        <w:t xml:space="preserve"> </w:t>
      </w:r>
      <w:r>
        <w:t xml:space="preserve">as noted by </w:t>
      </w:r>
      <w:proofErr w:type="spellStart"/>
      <w:r>
        <w:t>SEWPaC</w:t>
      </w:r>
      <w:proofErr w:type="spellEnd"/>
      <w:r>
        <w:t xml:space="preserve">, </w:t>
      </w:r>
      <w:r w:rsidR="00D705CD">
        <w:t>progress towards accreditation of approval p</w:t>
      </w:r>
      <w:r>
        <w:t>rocesses has</w:t>
      </w:r>
      <w:r w:rsidR="00D705CD">
        <w:t xml:space="preserve"> </w:t>
      </w:r>
      <w:r>
        <w:t>subsequently halt</w:t>
      </w:r>
      <w:r w:rsidR="00D705CD">
        <w:t>ed.</w:t>
      </w:r>
    </w:p>
    <w:p w:rsidR="00A66F62" w:rsidRDefault="00A66F62" w:rsidP="00A66F62">
      <w:pPr>
        <w:pStyle w:val="Quote"/>
      </w:pPr>
      <w:r w:rsidRPr="00A66F62">
        <w:t>Since August 2011, much work has been done to progress the Government Response, both</w:t>
      </w:r>
      <w:r>
        <w:t xml:space="preserve"> </w:t>
      </w:r>
      <w:r w:rsidRPr="00A66F62">
        <w:t>within the Commonwealth and in partnership with state and territory governments and</w:t>
      </w:r>
      <w:r>
        <w:t xml:space="preserve"> </w:t>
      </w:r>
      <w:r w:rsidRPr="00A66F62">
        <w:t>stakeholders. During 2012, the Commonwealth worked with states and territories on the</w:t>
      </w:r>
      <w:r>
        <w:t xml:space="preserve"> </w:t>
      </w:r>
      <w:r w:rsidRPr="00A66F62">
        <w:t>viability of signing approval bilateral agreements</w:t>
      </w:r>
      <w:r w:rsidR="00BC3821">
        <w:t xml:space="preserve"> …</w:t>
      </w:r>
      <w:r w:rsidRPr="00A66F62">
        <w:t xml:space="preserve"> This proved to be complex and would have resulted in</w:t>
      </w:r>
      <w:r>
        <w:t xml:space="preserve"> </w:t>
      </w:r>
      <w:r w:rsidRPr="00A66F62">
        <w:t>systems that would not have simplified the regulatory regime. As a result the Commonwealth</w:t>
      </w:r>
      <w:r>
        <w:t xml:space="preserve"> </w:t>
      </w:r>
      <w:r w:rsidRPr="00A66F62">
        <w:t>is not progressing negotiation of approval bilateral agreements.</w:t>
      </w:r>
      <w:r>
        <w:t xml:space="preserve"> (sub. 33, p. 13)</w:t>
      </w:r>
    </w:p>
    <w:p w:rsidR="006F0804" w:rsidRDefault="00D143DB" w:rsidP="00EF52E8">
      <w:pPr>
        <w:pStyle w:val="BodyText"/>
      </w:pPr>
      <w:r>
        <w:t xml:space="preserve">Nonetheless, </w:t>
      </w:r>
      <w:r w:rsidR="00555411">
        <w:t xml:space="preserve">accreditation of approval processes </w:t>
      </w:r>
      <w:r w:rsidR="00A43F39">
        <w:t xml:space="preserve">still </w:t>
      </w:r>
      <w:r w:rsidR="00555411">
        <w:t>has</w:t>
      </w:r>
      <w:r w:rsidR="00A66F62">
        <w:t xml:space="preserve"> the potential to remove a</w:t>
      </w:r>
      <w:r w:rsidR="00555411">
        <w:t xml:space="preserve"> layer of </w:t>
      </w:r>
      <w:r w:rsidR="00281D7B">
        <w:t>decision</w:t>
      </w:r>
      <w:r w:rsidR="00E92A4C">
        <w:noBreakHyphen/>
      </w:r>
      <w:r w:rsidR="00281D7B">
        <w:t xml:space="preserve">making </w:t>
      </w:r>
      <w:r w:rsidR="00555411">
        <w:t xml:space="preserve">duplication between the states and the Commonwealth. </w:t>
      </w:r>
      <w:r w:rsidR="0074573C" w:rsidRPr="0074573C">
        <w:t>Appropriate safeguards could ensure that this occurs without compromising environmental outcomes.</w:t>
      </w:r>
      <w:r w:rsidR="00B065C9">
        <w:t xml:space="preserve"> </w:t>
      </w:r>
    </w:p>
    <w:p w:rsidR="00EF52E8" w:rsidRDefault="006F0804" w:rsidP="00EF52E8">
      <w:pPr>
        <w:pStyle w:val="BodyText"/>
      </w:pPr>
      <w:r>
        <w:t>In the Commission’s view, t</w:t>
      </w:r>
      <w:r w:rsidRPr="006F0804">
        <w:t xml:space="preserve">here is merit in renewing efforts to reach agreement between the Australian Government and the </w:t>
      </w:r>
      <w:r w:rsidR="00A95142">
        <w:t>s</w:t>
      </w:r>
      <w:r w:rsidRPr="006F0804">
        <w:t xml:space="preserve">tates and </w:t>
      </w:r>
      <w:r w:rsidR="00A95142">
        <w:t>t</w:t>
      </w:r>
      <w:r w:rsidRPr="006F0804">
        <w:t xml:space="preserve">erritories on bilateral arrangements for approval processes and to strengthen existing bilateral arrangements for assessment processes. This </w:t>
      </w:r>
      <w:r>
        <w:t xml:space="preserve">work </w:t>
      </w:r>
      <w:r w:rsidRPr="006F0804">
        <w:t xml:space="preserve">should be properly scoped to identify the necessary steps, </w:t>
      </w:r>
      <w:r w:rsidR="003240BF">
        <w:t xml:space="preserve">be </w:t>
      </w:r>
      <w:r w:rsidRPr="006F0804">
        <w:t xml:space="preserve">reviewed by jurisdictions and a timetable for implementation </w:t>
      </w:r>
      <w:r w:rsidR="003240BF">
        <w:t xml:space="preserve">be </w:t>
      </w:r>
      <w:r w:rsidRPr="006F0804">
        <w:t>set.</w:t>
      </w:r>
      <w:r>
        <w:t xml:space="preserve"> </w:t>
      </w:r>
    </w:p>
    <w:p w:rsidR="00127528" w:rsidRDefault="00D94B80" w:rsidP="00127528">
      <w:pPr>
        <w:pStyle w:val="RecTitle"/>
      </w:pPr>
      <w:r>
        <w:lastRenderedPageBreak/>
        <w:t>draft Recommendation 6</w:t>
      </w:r>
      <w:r w:rsidR="00127528">
        <w:t>.</w:t>
      </w:r>
      <w:r w:rsidR="003317B4">
        <w:t>2</w:t>
      </w:r>
    </w:p>
    <w:p w:rsidR="00127528" w:rsidRDefault="00101351" w:rsidP="00127528">
      <w:pPr>
        <w:pStyle w:val="Rec"/>
      </w:pPr>
      <w:r w:rsidRPr="007C6A2E">
        <w:t xml:space="preserve">The </w:t>
      </w:r>
      <w:r>
        <w:t>Commonwealth</w:t>
      </w:r>
      <w:r w:rsidRPr="007C6A2E">
        <w:t xml:space="preserve"> should improve the efficiency of environmental </w:t>
      </w:r>
      <w:r>
        <w:t xml:space="preserve">assessment and </w:t>
      </w:r>
      <w:r w:rsidRPr="007C6A2E">
        <w:t>approval process</w:t>
      </w:r>
      <w:r>
        <w:t>es</w:t>
      </w:r>
      <w:r w:rsidRPr="007C6A2E">
        <w:t xml:space="preserve"> </w:t>
      </w:r>
      <w:r>
        <w:t>under</w:t>
      </w:r>
      <w:r w:rsidRPr="007C6A2E">
        <w:t xml:space="preserve"> the Environment Protection and Biodiversity Conservation Act by </w:t>
      </w:r>
      <w:r>
        <w:t xml:space="preserve">strengthening bilateral arrangements with the states and territories for assessments </w:t>
      </w:r>
      <w:r w:rsidRPr="007C6A2E">
        <w:t xml:space="preserve">and establishing bilateral agreements for the accreditation of approval processes where the state and territory processes meet appropriate standards. </w:t>
      </w:r>
      <w:r w:rsidRPr="00D86E17">
        <w:t xml:space="preserve">The necessary steps to implement this reform should be properly scoped, identified and reviewed by jurisdictions and </w:t>
      </w:r>
      <w:r>
        <w:t>a</w:t>
      </w:r>
      <w:r w:rsidRPr="00D86E17">
        <w:t xml:space="preserve"> timetable for implementation should be </w:t>
      </w:r>
      <w:r>
        <w:t>agreed</w:t>
      </w:r>
      <w:r w:rsidRPr="00D86E17">
        <w:t>.</w:t>
      </w:r>
    </w:p>
    <w:p w:rsidR="008630C3" w:rsidRPr="00B823D3" w:rsidRDefault="008630C3" w:rsidP="00B823D3">
      <w:pPr>
        <w:pStyle w:val="Heading5"/>
      </w:pPr>
      <w:r w:rsidRPr="00B823D3">
        <w:t>Strategic assessments</w:t>
      </w:r>
    </w:p>
    <w:p w:rsidR="008630C3" w:rsidRDefault="00F255D0" w:rsidP="008630C3">
      <w:pPr>
        <w:pStyle w:val="BodyText"/>
      </w:pPr>
      <w:proofErr w:type="spellStart"/>
      <w:r>
        <w:t>SEWPa</w:t>
      </w:r>
      <w:r w:rsidR="008630C3">
        <w:t>C</w:t>
      </w:r>
      <w:proofErr w:type="spellEnd"/>
      <w:r w:rsidR="008630C3">
        <w:t xml:space="preserve"> noted </w:t>
      </w:r>
      <w:r w:rsidR="008B357B">
        <w:t xml:space="preserve">in its submission </w:t>
      </w:r>
      <w:r w:rsidR="008630C3">
        <w:t>that the Australian Government is increasing the use of strat</w:t>
      </w:r>
      <w:r w:rsidR="004601A6">
        <w:t>egic assessments</w:t>
      </w:r>
      <w:r w:rsidR="0034142E">
        <w:t xml:space="preserve">. </w:t>
      </w:r>
      <w:r w:rsidR="00A260BE">
        <w:t>To date, four strategic assessments have been completed and at least another 15</w:t>
      </w:r>
      <w:r>
        <w:t xml:space="preserve"> </w:t>
      </w:r>
      <w:r w:rsidR="00B7076D">
        <w:t xml:space="preserve">are </w:t>
      </w:r>
      <w:r>
        <w:t xml:space="preserve">underway. </w:t>
      </w:r>
      <w:proofErr w:type="spellStart"/>
      <w:r>
        <w:t>SEWPaC</w:t>
      </w:r>
      <w:proofErr w:type="spellEnd"/>
      <w:r w:rsidR="008353FD">
        <w:t xml:space="preserve"> </w:t>
      </w:r>
      <w:r w:rsidR="00334585">
        <w:t xml:space="preserve">provided two examples of </w:t>
      </w:r>
      <w:r w:rsidR="00A260BE">
        <w:t>strategic</w:t>
      </w:r>
      <w:r w:rsidR="00334585">
        <w:t xml:space="preserve"> assessments </w:t>
      </w:r>
      <w:r w:rsidR="008B357B">
        <w:t xml:space="preserve">currently </w:t>
      </w:r>
      <w:r w:rsidR="00334585">
        <w:t xml:space="preserve">being undertaken, both of which are relevant to </w:t>
      </w:r>
      <w:r w:rsidR="0034142E">
        <w:t xml:space="preserve">resource </w:t>
      </w:r>
      <w:r w:rsidR="00334585">
        <w:t>exploration</w:t>
      </w:r>
      <w:r w:rsidR="00C8220F">
        <w:t>:</w:t>
      </w:r>
    </w:p>
    <w:p w:rsidR="00334585" w:rsidRDefault="0034142E" w:rsidP="00334585">
      <w:pPr>
        <w:pStyle w:val="Quote"/>
      </w:pPr>
      <w:r>
        <w:t xml:space="preserve">… </w:t>
      </w:r>
      <w:r w:rsidR="00334585" w:rsidRPr="00334585">
        <w:t>BHP Billiton Iron Ore and Hamersley Iron Pty Limited are undertaking strategic</w:t>
      </w:r>
      <w:r w:rsidR="00334585">
        <w:t xml:space="preserve"> </w:t>
      </w:r>
      <w:r w:rsidR="00334585" w:rsidRPr="00334585">
        <w:t>assessments covering their major expansion plans for iron ore mining in the Pilbara region of</w:t>
      </w:r>
      <w:r w:rsidR="00334585">
        <w:t xml:space="preserve"> </w:t>
      </w:r>
      <w:r w:rsidR="00334585" w:rsidRPr="00334585">
        <w:t>Western Australia for a period of up to 50 years</w:t>
      </w:r>
      <w:r w:rsidR="00334585">
        <w:t xml:space="preserve"> … </w:t>
      </w:r>
    </w:p>
    <w:p w:rsidR="002F56D6" w:rsidRPr="002F56D6" w:rsidRDefault="00C8220F" w:rsidP="00334585">
      <w:pPr>
        <w:pStyle w:val="Quote"/>
      </w:pPr>
      <w:r>
        <w:t xml:space="preserve">As another example, </w:t>
      </w:r>
      <w:r w:rsidR="004601A6" w:rsidRPr="004601A6">
        <w:t>the Australian and NSW Governments have signed an agreement to</w:t>
      </w:r>
      <w:r w:rsidR="004601A6">
        <w:t xml:space="preserve"> </w:t>
      </w:r>
      <w:r w:rsidR="004601A6" w:rsidRPr="004601A6">
        <w:t xml:space="preserve">undertake a strategic assessment under the </w:t>
      </w:r>
      <w:proofErr w:type="spellStart"/>
      <w:r w:rsidR="004601A6" w:rsidRPr="004601A6">
        <w:t>EPBC</w:t>
      </w:r>
      <w:proofErr w:type="spellEnd"/>
      <w:r w:rsidR="004601A6" w:rsidRPr="004601A6">
        <w:t xml:space="preserve"> Act of new and expanded coal mining</w:t>
      </w:r>
      <w:r w:rsidR="004601A6">
        <w:t xml:space="preserve"> </w:t>
      </w:r>
      <w:r w:rsidR="004601A6" w:rsidRPr="004601A6">
        <w:t>operations in the Upper Hunter River district of NSW over the next 30 years. Ten mining</w:t>
      </w:r>
      <w:r w:rsidR="004601A6">
        <w:t xml:space="preserve"> </w:t>
      </w:r>
      <w:r w:rsidR="004601A6" w:rsidRPr="004601A6">
        <w:t>companies with exploration and mining leases in the district are participating and have agreed</w:t>
      </w:r>
      <w:r w:rsidR="004601A6">
        <w:t xml:space="preserve"> </w:t>
      </w:r>
      <w:r w:rsidR="004601A6" w:rsidRPr="004601A6">
        <w:t>to fund the strategic assessment.</w:t>
      </w:r>
      <w:r>
        <w:t xml:space="preserve"> (sub.</w:t>
      </w:r>
      <w:r w:rsidR="00E92A4C">
        <w:t> </w:t>
      </w:r>
      <w:r>
        <w:t>33, p.</w:t>
      </w:r>
      <w:r w:rsidR="00E92A4C">
        <w:t> </w:t>
      </w:r>
      <w:r>
        <w:t>14)</w:t>
      </w:r>
    </w:p>
    <w:p w:rsidR="00947A34" w:rsidRDefault="0095027A" w:rsidP="002F56D6">
      <w:pPr>
        <w:pStyle w:val="BodyText"/>
      </w:pPr>
      <w:r>
        <w:t>Strategic assessments</w:t>
      </w:r>
      <w:r w:rsidR="002F56D6">
        <w:t xml:space="preserve"> </w:t>
      </w:r>
      <w:r w:rsidR="002F56D6" w:rsidRPr="004601A6">
        <w:t>provide</w:t>
      </w:r>
      <w:r w:rsidR="002F56D6">
        <w:t xml:space="preserve"> </w:t>
      </w:r>
      <w:r>
        <w:t>an alternative</w:t>
      </w:r>
      <w:r w:rsidR="002F56D6" w:rsidRPr="004601A6">
        <w:t xml:space="preserve"> to asses</w:t>
      </w:r>
      <w:r w:rsidR="00E17272">
        <w:t xml:space="preserve">sing </w:t>
      </w:r>
      <w:r w:rsidR="00165ED3">
        <w:t>‘</w:t>
      </w:r>
      <w:r w:rsidR="00E17272">
        <w:t>controlled actions</w:t>
      </w:r>
      <w:r w:rsidR="00165ED3">
        <w:t>’</w:t>
      </w:r>
      <w:r w:rsidR="00E17272">
        <w:t xml:space="preserve"> on a project</w:t>
      </w:r>
      <w:r w:rsidR="00E92A4C">
        <w:noBreakHyphen/>
      </w:r>
      <w:r w:rsidR="00E17272">
        <w:t>by</w:t>
      </w:r>
      <w:r w:rsidR="00E92A4C">
        <w:noBreakHyphen/>
      </w:r>
      <w:r w:rsidR="00E17272">
        <w:t>project</w:t>
      </w:r>
      <w:r w:rsidR="002F56D6" w:rsidRPr="004601A6">
        <w:t xml:space="preserve"> basis</w:t>
      </w:r>
      <w:r w:rsidR="0034142E">
        <w:t xml:space="preserve">. </w:t>
      </w:r>
      <w:r w:rsidR="00947A34">
        <w:t>T</w:t>
      </w:r>
      <w:r>
        <w:t>he</w:t>
      </w:r>
      <w:r w:rsidR="00947A34">
        <w:t xml:space="preserve">y offer </w:t>
      </w:r>
      <w:r w:rsidR="00A260BE">
        <w:t>an avenue</w:t>
      </w:r>
      <w:r>
        <w:t xml:space="preserve"> to</w:t>
      </w:r>
      <w:r w:rsidR="00947A34">
        <w:t xml:space="preserve"> streamlining</w:t>
      </w:r>
      <w:r>
        <w:t xml:space="preserve"> and simplify</w:t>
      </w:r>
      <w:r w:rsidR="00947A34">
        <w:t>ing</w:t>
      </w:r>
      <w:r>
        <w:t xml:space="preserve"> t</w:t>
      </w:r>
      <w:r w:rsidR="00947A34">
        <w:t>he approvals process and resolving many</w:t>
      </w:r>
      <w:r>
        <w:t xml:space="preserve"> of the issues </w:t>
      </w:r>
      <w:r w:rsidR="002F56D6">
        <w:t xml:space="preserve">of </w:t>
      </w:r>
      <w:r w:rsidR="002F56D6" w:rsidRPr="004601A6">
        <w:t>Commonwealth</w:t>
      </w:r>
      <w:r w:rsidR="002F56D6">
        <w:t xml:space="preserve"> and state</w:t>
      </w:r>
      <w:r w:rsidR="00727403">
        <w:t xml:space="preserve"> or </w:t>
      </w:r>
      <w:r w:rsidR="002F56D6">
        <w:t>territory duplication</w:t>
      </w:r>
      <w:r w:rsidR="00947A34">
        <w:t xml:space="preserve"> — particularly if accompanied by accreditation of state and territory approval processes for individual projects</w:t>
      </w:r>
      <w:r w:rsidR="002F56D6" w:rsidRPr="004601A6">
        <w:t>.</w:t>
      </w:r>
      <w:r w:rsidR="00947A34">
        <w:t xml:space="preserve"> </w:t>
      </w:r>
    </w:p>
    <w:p w:rsidR="002F56D6" w:rsidRPr="00B823D3" w:rsidRDefault="00947A34" w:rsidP="00B823D3">
      <w:pPr>
        <w:pStyle w:val="BodyText"/>
      </w:pPr>
      <w:r w:rsidRPr="00B823D3">
        <w:t>Under such a streamlined approach, s</w:t>
      </w:r>
      <w:r w:rsidR="00E17272" w:rsidRPr="00B823D3">
        <w:t xml:space="preserve">tate and territory governments could </w:t>
      </w:r>
      <w:r w:rsidRPr="00B823D3">
        <w:t xml:space="preserve">have responsibility for </w:t>
      </w:r>
      <w:r w:rsidR="000C6E2F" w:rsidRPr="00B823D3">
        <w:t xml:space="preserve">individual </w:t>
      </w:r>
      <w:r w:rsidRPr="00B823D3">
        <w:t>project assessment and approval</w:t>
      </w:r>
      <w:r w:rsidR="00E17272" w:rsidRPr="00B823D3">
        <w:t xml:space="preserve"> and the Aust</w:t>
      </w:r>
      <w:r w:rsidRPr="00B823D3">
        <w:t xml:space="preserve">ralian Government could </w:t>
      </w:r>
      <w:r w:rsidR="000C6E2F" w:rsidRPr="00B823D3">
        <w:t>shift</w:t>
      </w:r>
      <w:r w:rsidR="00E17272" w:rsidRPr="00B823D3">
        <w:t xml:space="preserve"> its attention </w:t>
      </w:r>
      <w:r w:rsidRPr="00B823D3">
        <w:t xml:space="preserve">away from </w:t>
      </w:r>
      <w:r w:rsidR="000C6E2F" w:rsidRPr="00B823D3">
        <w:t xml:space="preserve">individual </w:t>
      </w:r>
      <w:r w:rsidRPr="00B823D3">
        <w:t>project</w:t>
      </w:r>
      <w:r w:rsidR="000C6E2F" w:rsidRPr="00B823D3">
        <w:t>s</w:t>
      </w:r>
      <w:r w:rsidR="00E17272" w:rsidRPr="00B823D3">
        <w:t xml:space="preserve"> to</w:t>
      </w:r>
      <w:r w:rsidR="008B357B" w:rsidRPr="00B823D3">
        <w:t>wards</w:t>
      </w:r>
      <w:r w:rsidR="00E17272" w:rsidRPr="00B823D3">
        <w:t xml:space="preserve"> </w:t>
      </w:r>
      <w:r w:rsidR="008B357B" w:rsidRPr="00B823D3">
        <w:t>more high level strategic assessments</w:t>
      </w:r>
      <w:r w:rsidR="00E17272" w:rsidRPr="00B823D3">
        <w:t>.</w:t>
      </w:r>
    </w:p>
    <w:p w:rsidR="00F64406" w:rsidRPr="00B823D3" w:rsidRDefault="00F64406" w:rsidP="00B823D3">
      <w:pPr>
        <w:pStyle w:val="BodyText"/>
      </w:pPr>
      <w:r w:rsidRPr="00B823D3">
        <w:t xml:space="preserve">The Minerals Council of Australia </w:t>
      </w:r>
      <w:r w:rsidR="00947A34" w:rsidRPr="00B823D3">
        <w:t>supported an approach along these lines</w:t>
      </w:r>
      <w:r w:rsidRPr="00B823D3">
        <w:t>:</w:t>
      </w:r>
    </w:p>
    <w:p w:rsidR="00F64406" w:rsidRDefault="00F64406" w:rsidP="00F64406">
      <w:pPr>
        <w:pStyle w:val="Quote"/>
      </w:pPr>
      <w:r w:rsidRPr="00C8220F">
        <w:t>Federal/State relations should be streamlined to institute strategic land use assessment and</w:t>
      </w:r>
      <w:r>
        <w:t xml:space="preserve"> </w:t>
      </w:r>
      <w:r w:rsidRPr="00C8220F">
        <w:t>planning, and to limit the Commonwealth to a strategic oversight and enforcement role while devolving access and</w:t>
      </w:r>
      <w:r>
        <w:t xml:space="preserve"> </w:t>
      </w:r>
      <w:r w:rsidRPr="00C8220F">
        <w:t>approvals processes to the States.</w:t>
      </w:r>
      <w:r>
        <w:t xml:space="preserve"> (sub. 27, p. 5)</w:t>
      </w:r>
    </w:p>
    <w:p w:rsidR="002F56D6" w:rsidRDefault="002F56D6" w:rsidP="002F56D6">
      <w:pPr>
        <w:pStyle w:val="BodyText"/>
      </w:pPr>
      <w:r>
        <w:t xml:space="preserve">Strategic assessments </w:t>
      </w:r>
      <w:r w:rsidR="00541554">
        <w:t xml:space="preserve">allow for the assessment of broad scale environmental impacts that would not normally be in the scope of an individual project assessment, a point noted by </w:t>
      </w:r>
      <w:r w:rsidR="009611F7">
        <w:t>the Minerals Council of Australia:</w:t>
      </w:r>
    </w:p>
    <w:p w:rsidR="009611F7" w:rsidRDefault="009611F7" w:rsidP="009611F7">
      <w:pPr>
        <w:pStyle w:val="Quote"/>
      </w:pPr>
      <w:r>
        <w:lastRenderedPageBreak/>
        <w:t xml:space="preserve">… </w:t>
      </w:r>
      <w:r w:rsidRPr="009611F7">
        <w:t>while there will always be a place for the more traditional project</w:t>
      </w:r>
      <w:r w:rsidR="00E92A4C">
        <w:noBreakHyphen/>
      </w:r>
      <w:r w:rsidRPr="009611F7">
        <w:t xml:space="preserve">level </w:t>
      </w:r>
      <w:proofErr w:type="spellStart"/>
      <w:r w:rsidRPr="009611F7">
        <w:t>EIA</w:t>
      </w:r>
      <w:proofErr w:type="spellEnd"/>
      <w:r w:rsidR="00AC0C42">
        <w:t xml:space="preserve"> [environmental impact assessment]</w:t>
      </w:r>
      <w:r w:rsidRPr="009611F7">
        <w:t>, Australian practice needs to move</w:t>
      </w:r>
      <w:r>
        <w:t xml:space="preserve"> </w:t>
      </w:r>
      <w:r w:rsidRPr="009611F7">
        <w:t>much more to strategic and regional approaches more able to deal with the environmental problems of the 21st century.</w:t>
      </w:r>
      <w:r>
        <w:t xml:space="preserve"> </w:t>
      </w:r>
      <w:r w:rsidRPr="009611F7">
        <w:t>Strategic</w:t>
      </w:r>
      <w:r w:rsidR="00E92A4C">
        <w:noBreakHyphen/>
      </w:r>
      <w:r w:rsidRPr="009611F7">
        <w:t xml:space="preserve">level </w:t>
      </w:r>
      <w:proofErr w:type="spellStart"/>
      <w:r w:rsidRPr="009611F7">
        <w:t>EIA</w:t>
      </w:r>
      <w:proofErr w:type="spellEnd"/>
      <w:r w:rsidRPr="009611F7">
        <w:t>, undertaken at the policy and planning stage, can deal much more effectively with cumulative and</w:t>
      </w:r>
      <w:r>
        <w:t xml:space="preserve"> </w:t>
      </w:r>
      <w:r w:rsidRPr="009611F7">
        <w:t>regional environmental issues; and it can also provide industry with much more certainty about acceptable parameters for</w:t>
      </w:r>
      <w:r>
        <w:t xml:space="preserve"> </w:t>
      </w:r>
      <w:r w:rsidRPr="009611F7">
        <w:t>future development proposals.</w:t>
      </w:r>
      <w:r>
        <w:t xml:space="preserve"> (sub. 27, p. 28)</w:t>
      </w:r>
    </w:p>
    <w:p w:rsidR="004A612B" w:rsidRDefault="009611F7" w:rsidP="004A1471">
      <w:pPr>
        <w:pStyle w:val="BodyText"/>
      </w:pPr>
      <w:r>
        <w:t>S</w:t>
      </w:r>
      <w:r w:rsidR="004A612B" w:rsidRPr="004A1471">
        <w:t>trategic assessments may shift some of the cost of environmental assessments from proponents</w:t>
      </w:r>
      <w:r>
        <w:t xml:space="preserve"> to government. However, </w:t>
      </w:r>
      <w:r w:rsidR="004A612B" w:rsidRPr="004A1471">
        <w:t xml:space="preserve">strategic assessments </w:t>
      </w:r>
      <w:r>
        <w:t>can</w:t>
      </w:r>
      <w:r w:rsidR="00D143DB">
        <w:t xml:space="preserve"> potentially </w:t>
      </w:r>
      <w:r w:rsidR="004A612B" w:rsidRPr="004A1471">
        <w:t xml:space="preserve">be a more efficient process — </w:t>
      </w:r>
      <w:r w:rsidR="00C15A5E">
        <w:t xml:space="preserve">providing </w:t>
      </w:r>
      <w:r w:rsidR="004A612B" w:rsidRPr="004A1471">
        <w:t xml:space="preserve">one holistic assessment for a region as opposed to a number of individual </w:t>
      </w:r>
      <w:r w:rsidR="00C15A5E">
        <w:t xml:space="preserve">project </w:t>
      </w:r>
      <w:r w:rsidR="004A612B" w:rsidRPr="004A1471">
        <w:t>assessments that may not</w:t>
      </w:r>
      <w:r w:rsidR="00C15A5E">
        <w:t>, for example,</w:t>
      </w:r>
      <w:r w:rsidR="004A612B" w:rsidRPr="004A1471">
        <w:t xml:space="preserve"> consider the cumulative impact</w:t>
      </w:r>
      <w:r w:rsidR="00AC0C42">
        <w:t>s</w:t>
      </w:r>
      <w:r w:rsidR="004A612B" w:rsidRPr="004A1471">
        <w:t xml:space="preserve"> on that region.</w:t>
      </w:r>
    </w:p>
    <w:p w:rsidR="004A1471" w:rsidRPr="004A1471" w:rsidRDefault="004A1471" w:rsidP="004A1471">
      <w:pPr>
        <w:keepNext/>
        <w:keepLines/>
        <w:spacing w:before="240" w:line="320" w:lineRule="atLeast"/>
        <w:jc w:val="both"/>
        <w:rPr>
          <w:caps/>
          <w:sz w:val="20"/>
          <w:szCs w:val="20"/>
        </w:rPr>
      </w:pPr>
      <w:r w:rsidRPr="004A1471">
        <w:rPr>
          <w:caps/>
          <w:sz w:val="20"/>
          <w:szCs w:val="20"/>
        </w:rPr>
        <w:t>Information request</w:t>
      </w:r>
    </w:p>
    <w:p w:rsidR="00CB548E" w:rsidRPr="00171270" w:rsidRDefault="00096145" w:rsidP="00171270">
      <w:pPr>
        <w:pStyle w:val="InformationRequest"/>
      </w:pPr>
      <w:r w:rsidRPr="00171270">
        <w:t>The Commission seeks views from inquiry participants on the benefits and costs of strategic assessments in relation to resource exploration proposals, as a tool to avoid unnecessary regulatory burden and to improve environmental outcomes.</w:t>
      </w:r>
    </w:p>
    <w:p w:rsidR="00C947FC" w:rsidRPr="004A1471" w:rsidRDefault="00C947FC" w:rsidP="004A1471">
      <w:pPr>
        <w:pStyle w:val="Heading4"/>
      </w:pPr>
      <w:r w:rsidRPr="004A1471">
        <w:t>Offshore exploration</w:t>
      </w:r>
    </w:p>
    <w:p w:rsidR="00C544FC" w:rsidRDefault="00C947FC" w:rsidP="00AE7911">
      <w:pPr>
        <w:pStyle w:val="BodyText"/>
        <w:rPr>
          <w:lang w:val="en"/>
        </w:rPr>
      </w:pPr>
      <w:r>
        <w:t>The potential for d</w:t>
      </w:r>
      <w:r w:rsidRPr="00E7606D">
        <w:t>uplic</w:t>
      </w:r>
      <w:r>
        <w:t xml:space="preserve">ation between the </w:t>
      </w:r>
      <w:proofErr w:type="spellStart"/>
      <w:r>
        <w:t>EPBC</w:t>
      </w:r>
      <w:proofErr w:type="spellEnd"/>
      <w:r>
        <w:t xml:space="preserve"> Act and state</w:t>
      </w:r>
      <w:r w:rsidR="00727403">
        <w:t xml:space="preserve"> or </w:t>
      </w:r>
      <w:r>
        <w:t>t</w:t>
      </w:r>
      <w:r w:rsidRPr="00E7606D">
        <w:t xml:space="preserve">erritory </w:t>
      </w:r>
      <w:r>
        <w:t xml:space="preserve">environmental regulatory </w:t>
      </w:r>
      <w:r w:rsidRPr="00E7606D">
        <w:t xml:space="preserve">regimes </w:t>
      </w:r>
      <w:r>
        <w:t xml:space="preserve">has lessened for offshore exploration activities since 2012 when the Commonwealth assumed </w:t>
      </w:r>
      <w:r w:rsidR="00C544FC">
        <w:t>full</w:t>
      </w:r>
      <w:r>
        <w:t xml:space="preserve"> responsibilit</w:t>
      </w:r>
      <w:r w:rsidR="00C544FC">
        <w:t>y</w:t>
      </w:r>
      <w:r>
        <w:t xml:space="preserve"> for offshore petroleum regulation in Commonwealth waters. </w:t>
      </w:r>
      <w:r w:rsidR="00C544FC">
        <w:t xml:space="preserve">Prior to 2012, responsibility had </w:t>
      </w:r>
      <w:r w:rsidR="00C544FC" w:rsidRPr="00C544FC">
        <w:rPr>
          <w:lang w:val="en"/>
        </w:rPr>
        <w:t>resided with the Joint Authorities</w:t>
      </w:r>
      <w:r w:rsidR="00C544FC">
        <w:rPr>
          <w:lang w:val="en"/>
        </w:rPr>
        <w:t xml:space="preserve"> for the offshore area of each state or territory </w:t>
      </w:r>
      <w:r w:rsidR="00AE7911">
        <w:rPr>
          <w:lang w:val="en"/>
        </w:rPr>
        <w:t xml:space="preserve">— that is, for </w:t>
      </w:r>
      <w:r w:rsidR="00AE7911">
        <w:t>t</w:t>
      </w:r>
      <w:r w:rsidR="00AE7911" w:rsidRPr="00AE7911">
        <w:t>he area extending seaward from the low tide mark to the outer limit of the continental shelf</w:t>
      </w:r>
      <w:r w:rsidR="00AE7911">
        <w:t>, including Commonwealth waters and</w:t>
      </w:r>
      <w:r w:rsidR="00AE7911" w:rsidRPr="00AE7911">
        <w:t xml:space="preserve"> coastal waters</w:t>
      </w:r>
      <w:r w:rsidR="00AE7911">
        <w:t xml:space="preserve">. </w:t>
      </w:r>
      <w:r w:rsidR="00AE7911">
        <w:rPr>
          <w:lang w:val="en"/>
        </w:rPr>
        <w:t>T</w:t>
      </w:r>
      <w:r w:rsidR="00C544FC">
        <w:rPr>
          <w:lang w:val="en"/>
        </w:rPr>
        <w:t>h</w:t>
      </w:r>
      <w:r w:rsidR="00AE7911">
        <w:rPr>
          <w:lang w:val="en"/>
        </w:rPr>
        <w:t>e Joint Authorities were</w:t>
      </w:r>
      <w:r w:rsidR="00C544FC">
        <w:rPr>
          <w:lang w:val="en"/>
        </w:rPr>
        <w:t xml:space="preserve"> constituted by </w:t>
      </w:r>
      <w:r w:rsidR="00C544FC" w:rsidRPr="00C544FC">
        <w:rPr>
          <w:lang w:val="en"/>
        </w:rPr>
        <w:t>the res</w:t>
      </w:r>
      <w:r w:rsidR="00C544FC">
        <w:rPr>
          <w:lang w:val="en"/>
        </w:rPr>
        <w:t>ponsible state or territory Minister</w:t>
      </w:r>
      <w:r w:rsidR="00C544FC" w:rsidRPr="00C544FC">
        <w:rPr>
          <w:lang w:val="en"/>
        </w:rPr>
        <w:t xml:space="preserve"> and the responsible Commonwealth Minister</w:t>
      </w:r>
      <w:r w:rsidR="00C544FC">
        <w:rPr>
          <w:lang w:val="en"/>
        </w:rPr>
        <w:t xml:space="preserve">. </w:t>
      </w:r>
    </w:p>
    <w:p w:rsidR="00C947FC" w:rsidRPr="00CE438B" w:rsidRDefault="00C947FC" w:rsidP="00CE438B">
      <w:pPr>
        <w:pStyle w:val="BodyText"/>
      </w:pPr>
      <w:r w:rsidRPr="00CD2D6C">
        <w:t>Th</w:t>
      </w:r>
      <w:r w:rsidR="00C544FC">
        <w:t>is</w:t>
      </w:r>
      <w:r w:rsidRPr="00CD2D6C">
        <w:t xml:space="preserve"> change was </w:t>
      </w:r>
      <w:r w:rsidR="00281D7B" w:rsidRPr="00CD2D6C">
        <w:t xml:space="preserve">largely </w:t>
      </w:r>
      <w:r w:rsidRPr="00CD2D6C">
        <w:t xml:space="preserve">the result of implementing recommendations from the </w:t>
      </w:r>
      <w:proofErr w:type="spellStart"/>
      <w:r w:rsidRPr="00CD2D6C">
        <w:t>Montara</w:t>
      </w:r>
      <w:proofErr w:type="spellEnd"/>
      <w:r w:rsidRPr="00CD2D6C">
        <w:t xml:space="preserve"> </w:t>
      </w:r>
      <w:r w:rsidR="00281D7B" w:rsidRPr="00CD2D6C">
        <w:t>Commission of Inquiry</w:t>
      </w:r>
      <w:r w:rsidR="00C544FC">
        <w:t>. The</w:t>
      </w:r>
      <w:r w:rsidR="00330AC7" w:rsidRPr="00236E77">
        <w:t xml:space="preserve"> </w:t>
      </w:r>
      <w:r w:rsidR="00312340">
        <w:t>inquiry</w:t>
      </w:r>
      <w:r w:rsidR="00EA01AB" w:rsidRPr="00236E77">
        <w:t xml:space="preserve"> </w:t>
      </w:r>
      <w:r w:rsidRPr="00236E77">
        <w:t>recommended a single, independent regulatory body be responsible for safety as a primary objective, in addition to well integrity and environmental approvals. It proposed that these functions and responsibilities be allocated to a s</w:t>
      </w:r>
      <w:r w:rsidR="00330AC7" w:rsidRPr="00236E77">
        <w:t>ingle governing body. As not</w:t>
      </w:r>
      <w:r w:rsidR="00281D7B" w:rsidRPr="00236E77">
        <w:t xml:space="preserve">ed, </w:t>
      </w:r>
      <w:proofErr w:type="spellStart"/>
      <w:r w:rsidR="00281D7B" w:rsidRPr="00236E77">
        <w:t>NOPSEMA</w:t>
      </w:r>
      <w:proofErr w:type="spellEnd"/>
      <w:r w:rsidR="00281D7B" w:rsidRPr="00236E77">
        <w:t xml:space="preserve"> has subsequently</w:t>
      </w:r>
      <w:r w:rsidRPr="00236E77">
        <w:t xml:space="preserve"> </w:t>
      </w:r>
      <w:r w:rsidR="00281D7B" w:rsidRPr="00236E77">
        <w:t xml:space="preserve">become </w:t>
      </w:r>
      <w:r w:rsidRPr="00236E77">
        <w:t>that governing body.</w:t>
      </w:r>
    </w:p>
    <w:p w:rsidR="00C947FC" w:rsidRDefault="00C947FC" w:rsidP="00C947FC">
      <w:pPr>
        <w:pStyle w:val="BodyText"/>
      </w:pPr>
      <w:r>
        <w:t xml:space="preserve">As a result of this change, the potential for </w:t>
      </w:r>
      <w:proofErr w:type="spellStart"/>
      <w:r>
        <w:t>EPBC</w:t>
      </w:r>
      <w:proofErr w:type="spellEnd"/>
      <w:r>
        <w:t xml:space="preserve"> Act duplication with state regulatory regimes for offshore exploration is now confined to exploration activities that take place within the coastal waters of the states and territories.</w:t>
      </w:r>
    </w:p>
    <w:p w:rsidR="00E93F2F" w:rsidRPr="00B3513E" w:rsidRDefault="00C3531A" w:rsidP="00C947FC">
      <w:pPr>
        <w:pStyle w:val="Heading5"/>
      </w:pPr>
      <w:r w:rsidRPr="00B3513E">
        <w:lastRenderedPageBreak/>
        <w:t>Separate ‘coastal waters’</w:t>
      </w:r>
      <w:r w:rsidR="00E93F2F" w:rsidRPr="00B3513E">
        <w:t xml:space="preserve"> regime for each jurisdiction — is there scope for conferral of powers to the Commonwealth</w:t>
      </w:r>
      <w:r w:rsidR="001F7340" w:rsidRPr="00B3513E">
        <w:t>?</w:t>
      </w:r>
    </w:p>
    <w:p w:rsidR="00AD199F" w:rsidRDefault="00763E76" w:rsidP="00AD199F">
      <w:pPr>
        <w:pStyle w:val="BodyText"/>
      </w:pPr>
      <w:r>
        <w:t xml:space="preserve">The </w:t>
      </w:r>
      <w:r w:rsidR="009B6244">
        <w:t>‘</w:t>
      </w:r>
      <w:r w:rsidR="00727403">
        <w:t>c</w:t>
      </w:r>
      <w:r w:rsidR="00C3531A">
        <w:t>oastal waters</w:t>
      </w:r>
      <w:r w:rsidR="009B6244">
        <w:t>’</w:t>
      </w:r>
      <w:r w:rsidR="00C3531A">
        <w:t xml:space="preserve"> </w:t>
      </w:r>
      <w:r>
        <w:t>of the states and Northern Territory ar</w:t>
      </w:r>
      <w:r w:rsidR="00C3531A">
        <w:t>e the area</w:t>
      </w:r>
      <w:r>
        <w:t>s</w:t>
      </w:r>
      <w:r w:rsidR="00C3531A">
        <w:t xml:space="preserve"> between the territorial sea baseline (generally situated at the lowest astronomical tide line along the coast) and the line that is three nautical miles seaward of the territorial sea baseline</w:t>
      </w:r>
      <w:r w:rsidR="00A95142">
        <w:t>,</w:t>
      </w:r>
      <w:r w:rsidR="00C3531A">
        <w:t xml:space="preserve"> as well as any waters landward of the baseline that</w:t>
      </w:r>
      <w:r w:rsidR="00D11104">
        <w:t xml:space="preserve"> are outside the limits of the s</w:t>
      </w:r>
      <w:r w:rsidR="00C3531A">
        <w:t>tates and the Northern Territory.</w:t>
      </w:r>
      <w:r w:rsidR="00AD199F">
        <w:t xml:space="preserve"> </w:t>
      </w:r>
      <w:r w:rsidR="00755EE2">
        <w:t>As noted previously, p</w:t>
      </w:r>
      <w:r w:rsidR="00AD199F" w:rsidRPr="00C3531A">
        <w:t xml:space="preserve">etroleum exploration in </w:t>
      </w:r>
      <w:r w:rsidR="00D42C4F">
        <w:t>coastal waters</w:t>
      </w:r>
      <w:r w:rsidR="00AD199F">
        <w:t xml:space="preserve"> </w:t>
      </w:r>
      <w:r>
        <w:t>is regulated</w:t>
      </w:r>
      <w:r w:rsidR="00374EE7">
        <w:t xml:space="preserve"> under </w:t>
      </w:r>
      <w:r w:rsidR="00AD199F">
        <w:t>s</w:t>
      </w:r>
      <w:r w:rsidR="00AD199F" w:rsidRPr="00C3531A">
        <w:t xml:space="preserve">tate </w:t>
      </w:r>
      <w:r w:rsidR="00AD199F">
        <w:t xml:space="preserve">and territory </w:t>
      </w:r>
      <w:r>
        <w:t>legislation</w:t>
      </w:r>
      <w:r w:rsidR="00C07F0E">
        <w:t xml:space="preserve"> and, b</w:t>
      </w:r>
      <w:r w:rsidR="00AD199F" w:rsidRPr="00C3531A">
        <w:t xml:space="preserve">eyond three nautical miles, petroleum exploration </w:t>
      </w:r>
      <w:r w:rsidR="00CF670F">
        <w:t>is regulated</w:t>
      </w:r>
      <w:r w:rsidR="00374EE7">
        <w:t xml:space="preserve"> under</w:t>
      </w:r>
      <w:r w:rsidR="00AD199F" w:rsidRPr="00C3531A">
        <w:t xml:space="preserve"> Commonwealth</w:t>
      </w:r>
      <w:r w:rsidR="00CF670F">
        <w:t xml:space="preserve"> legislation</w:t>
      </w:r>
      <w:r w:rsidR="00AD199F">
        <w:t>.</w:t>
      </w:r>
    </w:p>
    <w:p w:rsidR="00522BCC" w:rsidRDefault="00522BCC" w:rsidP="00522BCC">
      <w:pPr>
        <w:pStyle w:val="BodyText"/>
      </w:pPr>
      <w:r>
        <w:t xml:space="preserve">In its 2009 research report </w:t>
      </w:r>
      <w:r w:rsidRPr="00E14CAD">
        <w:rPr>
          <w:i/>
        </w:rPr>
        <w:t>Review of Regulatory Burden on the Upstream Petroleum (Oil and Gas) Sector</w:t>
      </w:r>
      <w:r>
        <w:t xml:space="preserve"> (PC 2009), the Commission r</w:t>
      </w:r>
      <w:r w:rsidR="000819AA">
        <w:t>e</w:t>
      </w:r>
      <w:r>
        <w:t>commended that:</w:t>
      </w:r>
    </w:p>
    <w:p w:rsidR="00522BCC" w:rsidRDefault="00522BCC" w:rsidP="000819AA">
      <w:pPr>
        <w:pStyle w:val="Quote"/>
      </w:pPr>
      <w:r>
        <w:t>The Australian Government should give State and Territory Governments, on a</w:t>
      </w:r>
      <w:r w:rsidR="000819AA">
        <w:t xml:space="preserve"> </w:t>
      </w:r>
      <w:r>
        <w:t>bilateral basis, the option of conferring their existing petroleum</w:t>
      </w:r>
      <w:r w:rsidR="00E92A4C">
        <w:noBreakHyphen/>
      </w:r>
      <w:r>
        <w:t>related</w:t>
      </w:r>
      <w:r w:rsidR="000819AA">
        <w:t xml:space="preserve"> </w:t>
      </w:r>
      <w:r>
        <w:t>regulatory powers in State and Territory waters seaward of the low tide mark,</w:t>
      </w:r>
      <w:r w:rsidR="000819AA">
        <w:t xml:space="preserve"> </w:t>
      </w:r>
      <w:r>
        <w:t>including islands within those waters, on the new national offshore petroleum</w:t>
      </w:r>
      <w:r w:rsidR="000819AA">
        <w:t xml:space="preserve"> </w:t>
      </w:r>
      <w:r>
        <w:t>regulator and ultimately the Commonwealth Minister as relevant. The respective</w:t>
      </w:r>
      <w:r w:rsidR="000819AA">
        <w:t xml:space="preserve"> </w:t>
      </w:r>
      <w:r>
        <w:t>powers of the Commonwealth and State and Territory Ministers that would then</w:t>
      </w:r>
      <w:r w:rsidR="000819AA">
        <w:t xml:space="preserve"> </w:t>
      </w:r>
      <w:r>
        <w:t>apply should be similar to those applying to the National Offshore Petroleum</w:t>
      </w:r>
      <w:r w:rsidR="000819AA">
        <w:t xml:space="preserve"> </w:t>
      </w:r>
      <w:r>
        <w:t>Safety Authority.</w:t>
      </w:r>
      <w:r w:rsidR="000819AA">
        <w:t xml:space="preserve"> </w:t>
      </w:r>
      <w:r>
        <w:t>For States and Territories that wish to opt</w:t>
      </w:r>
      <w:r w:rsidR="00E92A4C">
        <w:noBreakHyphen/>
      </w:r>
      <w:r>
        <w:t>in, it would be a requirement that all</w:t>
      </w:r>
      <w:r w:rsidR="000819AA">
        <w:t xml:space="preserve"> </w:t>
      </w:r>
      <w:r>
        <w:t>their relevant State or Territory petroleum Acts fully mirror the Offshore</w:t>
      </w:r>
      <w:r w:rsidR="000819AA">
        <w:t xml:space="preserve"> </w:t>
      </w:r>
      <w:r>
        <w:t>Petroleum and Greenhouse Gas Storage Act 2006 (</w:t>
      </w:r>
      <w:proofErr w:type="spellStart"/>
      <w:r>
        <w:t>Cwlth</w:t>
      </w:r>
      <w:proofErr w:type="spellEnd"/>
      <w:r>
        <w:t>) and its subordinate</w:t>
      </w:r>
      <w:r w:rsidR="000819AA">
        <w:t xml:space="preserve"> </w:t>
      </w:r>
      <w:r>
        <w:t>regulations, including provisions relating to pipelines.</w:t>
      </w:r>
      <w:r w:rsidR="000819AA">
        <w:t xml:space="preserve"> (pp.</w:t>
      </w:r>
      <w:r w:rsidR="00E92A4C">
        <w:t> </w:t>
      </w:r>
      <w:r w:rsidR="000819AA">
        <w:t>292</w:t>
      </w:r>
      <w:r w:rsidR="00E92A4C">
        <w:t>–</w:t>
      </w:r>
      <w:r w:rsidR="000819AA">
        <w:t>93)</w:t>
      </w:r>
    </w:p>
    <w:p w:rsidR="00374EE7" w:rsidRDefault="000819AA" w:rsidP="00374EE7">
      <w:pPr>
        <w:pStyle w:val="BodyText"/>
      </w:pPr>
      <w:r>
        <w:t>The Com</w:t>
      </w:r>
      <w:r w:rsidR="00D10BC0">
        <w:t>monwealth Government supported</w:t>
      </w:r>
      <w:r>
        <w:t xml:space="preserve"> this recommendation, </w:t>
      </w:r>
      <w:r w:rsidR="00D10BC0">
        <w:t xml:space="preserve">but not all </w:t>
      </w:r>
      <w:r w:rsidR="00CF670F">
        <w:t>other jurisdictions</w:t>
      </w:r>
      <w:r w:rsidR="00763E76">
        <w:t xml:space="preserve"> did</w:t>
      </w:r>
      <w:r>
        <w:t xml:space="preserve">. </w:t>
      </w:r>
      <w:r w:rsidR="00374EE7">
        <w:t>The Commonwealth</w:t>
      </w:r>
      <w:r w:rsidR="00D10BC0">
        <w:t xml:space="preserve"> subsequently amended the </w:t>
      </w:r>
      <w:proofErr w:type="spellStart"/>
      <w:r w:rsidR="00D10BC0">
        <w:t>OPGGS</w:t>
      </w:r>
      <w:proofErr w:type="spellEnd"/>
      <w:r w:rsidR="00723A11">
        <w:t xml:space="preserve"> </w:t>
      </w:r>
      <w:r w:rsidR="00D10BC0">
        <w:t>A</w:t>
      </w:r>
      <w:r w:rsidR="00723A11">
        <w:t>ct</w:t>
      </w:r>
      <w:r w:rsidR="00D10BC0">
        <w:t xml:space="preserve"> to </w:t>
      </w:r>
      <w:r w:rsidR="00374EE7" w:rsidRPr="00884B5B">
        <w:t xml:space="preserve">include provision for the states and Northern Territory to </w:t>
      </w:r>
      <w:r w:rsidR="00374EE7" w:rsidRPr="00C509FD">
        <w:t>individually opt</w:t>
      </w:r>
      <w:r w:rsidR="00E92A4C">
        <w:noBreakHyphen/>
      </w:r>
      <w:r w:rsidR="00374EE7" w:rsidRPr="00C509FD">
        <w:t>in and confer their</w:t>
      </w:r>
      <w:r w:rsidR="00374EE7">
        <w:t xml:space="preserve"> </w:t>
      </w:r>
      <w:r w:rsidR="00374EE7" w:rsidRPr="00C509FD">
        <w:t xml:space="preserve">upstream petroleum responsibilities for their </w:t>
      </w:r>
      <w:r w:rsidR="002645F9">
        <w:t xml:space="preserve">coastal </w:t>
      </w:r>
      <w:r w:rsidR="00374EE7" w:rsidRPr="00C509FD">
        <w:t xml:space="preserve">waters on </w:t>
      </w:r>
      <w:proofErr w:type="spellStart"/>
      <w:r w:rsidR="00374EE7" w:rsidRPr="00C509FD">
        <w:t>NOP</w:t>
      </w:r>
      <w:r w:rsidR="00374EE7">
        <w:t>SEMA</w:t>
      </w:r>
      <w:proofErr w:type="spellEnd"/>
      <w:r w:rsidR="004B650A">
        <w:t>.</w:t>
      </w:r>
      <w:r w:rsidR="00374EE7" w:rsidRPr="00C509FD">
        <w:t xml:space="preserve"> </w:t>
      </w:r>
    </w:p>
    <w:p w:rsidR="002043E6" w:rsidRDefault="004850FD" w:rsidP="00D10BC0">
      <w:pPr>
        <w:pStyle w:val="BodyText"/>
      </w:pPr>
      <w:r>
        <w:t xml:space="preserve">No </w:t>
      </w:r>
      <w:r w:rsidR="00D11104">
        <w:t>state or t</w:t>
      </w:r>
      <w:r>
        <w:t>erritory has conferred</w:t>
      </w:r>
      <w:r w:rsidR="00D10BC0">
        <w:t xml:space="preserve"> powers </w:t>
      </w:r>
      <w:r>
        <w:t xml:space="preserve">of regulation of environmental management </w:t>
      </w:r>
      <w:r w:rsidR="001948C5">
        <w:t>on</w:t>
      </w:r>
      <w:r>
        <w:t xml:space="preserve"> </w:t>
      </w:r>
      <w:proofErr w:type="spellStart"/>
      <w:r>
        <w:t>NOPSEMA</w:t>
      </w:r>
      <w:proofErr w:type="spellEnd"/>
      <w:r>
        <w:t>. As a result, it is likely that a</w:t>
      </w:r>
      <w:r w:rsidR="00CF670F">
        <w:t>n explorer</w:t>
      </w:r>
      <w:r>
        <w:t xml:space="preserve"> seeking approval for an </w:t>
      </w:r>
      <w:r w:rsidR="004A33BB">
        <w:t xml:space="preserve">offshore exploration </w:t>
      </w:r>
      <w:r>
        <w:t xml:space="preserve">activity that crosses jurisdictions </w:t>
      </w:r>
      <w:r w:rsidR="001948C5">
        <w:t>would need to</w:t>
      </w:r>
      <w:r>
        <w:t xml:space="preserve"> seek approvals from two regulators for possibly similar activities.</w:t>
      </w:r>
      <w:r w:rsidR="00D10BC0">
        <w:t xml:space="preserve"> </w:t>
      </w:r>
    </w:p>
    <w:p w:rsidR="00E93F2F" w:rsidRDefault="002043E6" w:rsidP="00B37E76">
      <w:pPr>
        <w:pStyle w:val="BodyText"/>
      </w:pPr>
      <w:r>
        <w:t xml:space="preserve">Given that </w:t>
      </w:r>
      <w:r w:rsidR="00B3513E">
        <w:t>around</w:t>
      </w:r>
      <w:r w:rsidR="00D10BC0">
        <w:t xml:space="preserve"> </w:t>
      </w:r>
      <w:r w:rsidR="00E93F2F">
        <w:t>90 per cent of oil and gas resources are fo</w:t>
      </w:r>
      <w:r w:rsidR="00D10BC0">
        <w:t>und within Commonwealth waters</w:t>
      </w:r>
      <w:r w:rsidR="006030D3">
        <w:t xml:space="preserve"> (</w:t>
      </w:r>
      <w:proofErr w:type="spellStart"/>
      <w:r>
        <w:t>APPEA</w:t>
      </w:r>
      <w:proofErr w:type="spellEnd"/>
      <w:r>
        <w:t xml:space="preserve"> 2007)</w:t>
      </w:r>
      <w:r w:rsidR="00D10BC0">
        <w:t xml:space="preserve">, it is questionable </w:t>
      </w:r>
      <w:r w:rsidR="00734865">
        <w:t xml:space="preserve">whether the scale and </w:t>
      </w:r>
      <w:r w:rsidR="00E93F2F">
        <w:t xml:space="preserve">frequency of activity that occurs within </w:t>
      </w:r>
      <w:r w:rsidR="00734865">
        <w:t>s</w:t>
      </w:r>
      <w:r w:rsidR="00E93F2F">
        <w:t>tate</w:t>
      </w:r>
      <w:r w:rsidR="00734865">
        <w:t xml:space="preserve"> and t</w:t>
      </w:r>
      <w:r w:rsidR="00E93F2F">
        <w:t>erritory</w:t>
      </w:r>
      <w:r w:rsidR="00734865">
        <w:t xml:space="preserve"> coastal waters</w:t>
      </w:r>
      <w:r w:rsidR="00E93F2F">
        <w:t xml:space="preserve"> warrant</w:t>
      </w:r>
      <w:r w:rsidR="00D10BC0">
        <w:t>s</w:t>
      </w:r>
      <w:r w:rsidR="00E93F2F">
        <w:t xml:space="preserve"> separate state and territo</w:t>
      </w:r>
      <w:r w:rsidR="00D10BC0">
        <w:t>ry administrative regime</w:t>
      </w:r>
      <w:r w:rsidR="003F71EF">
        <w:t>s</w:t>
      </w:r>
      <w:r w:rsidR="00D10BC0">
        <w:t xml:space="preserve">. </w:t>
      </w:r>
      <w:r w:rsidR="00854C34">
        <w:t xml:space="preserve">The broad industry support </w:t>
      </w:r>
      <w:r w:rsidR="00854C34" w:rsidRPr="00854C34">
        <w:t xml:space="preserve">for the </w:t>
      </w:r>
      <w:r w:rsidR="00854C34">
        <w:t>arrangements that were</w:t>
      </w:r>
      <w:r w:rsidR="00854C34" w:rsidRPr="00854C34">
        <w:t xml:space="preserve"> implemented </w:t>
      </w:r>
      <w:r w:rsidR="00854C34">
        <w:t xml:space="preserve">in 2012 </w:t>
      </w:r>
      <w:r w:rsidR="00854C34" w:rsidRPr="00854C34">
        <w:t xml:space="preserve">for </w:t>
      </w:r>
      <w:r w:rsidR="00854C34">
        <w:t xml:space="preserve">the regulation of petroleum activities in </w:t>
      </w:r>
      <w:r w:rsidR="00D143DB">
        <w:t>C</w:t>
      </w:r>
      <w:r w:rsidR="00854C34" w:rsidRPr="00854C34">
        <w:t>ommonwealth waters</w:t>
      </w:r>
      <w:r w:rsidR="00854C34">
        <w:t xml:space="preserve"> also lends weight to the argument for removing this potential source of duplication</w:t>
      </w:r>
      <w:r w:rsidR="00854C34" w:rsidRPr="00854C34">
        <w:t>.</w:t>
      </w:r>
    </w:p>
    <w:p w:rsidR="00127528" w:rsidRPr="00CE3E96" w:rsidRDefault="00127528" w:rsidP="00CE3E96">
      <w:pPr>
        <w:pStyle w:val="RecTitle"/>
      </w:pPr>
      <w:r w:rsidRPr="00CE3E96">
        <w:lastRenderedPageBreak/>
        <w:t>draft Recommendation</w:t>
      </w:r>
      <w:r w:rsidR="00D94B80" w:rsidRPr="00CE3E96">
        <w:t xml:space="preserve"> 6</w:t>
      </w:r>
      <w:r w:rsidRPr="00CE3E96">
        <w:t>.</w:t>
      </w:r>
      <w:r w:rsidR="003317B4" w:rsidRPr="00CE3E96">
        <w:t>3</w:t>
      </w:r>
    </w:p>
    <w:p w:rsidR="00127528" w:rsidRPr="00CE3E96" w:rsidRDefault="00101351" w:rsidP="00CE3E96">
      <w:pPr>
        <w:pStyle w:val="Rec"/>
      </w:pPr>
      <w:r w:rsidRPr="00CE3E96">
        <w:t>State and territory governments should reconsider the option of conferring their existing petroleum</w:t>
      </w:r>
      <w:r w:rsidR="00E92A4C" w:rsidRPr="00CE3E96">
        <w:noBreakHyphen/>
      </w:r>
      <w:r w:rsidRPr="00CE3E96">
        <w:t>related regulatory powers in state and territory waters seaward of the low tide mark, including islands within those waters, to the National Offshore Petroleum Safety and Environmental Management Authority.</w:t>
      </w:r>
    </w:p>
    <w:p w:rsidR="00081FF5" w:rsidRPr="000B688B" w:rsidRDefault="001A2F67" w:rsidP="000B688B">
      <w:pPr>
        <w:pStyle w:val="Heading2"/>
      </w:pPr>
      <w:r>
        <w:t>6</w:t>
      </w:r>
      <w:r w:rsidR="000B688B">
        <w:t>.4</w:t>
      </w:r>
      <w:r w:rsidR="000B688B">
        <w:tab/>
      </w:r>
      <w:r w:rsidR="00B630DC">
        <w:t>Proportionate regulation</w:t>
      </w:r>
    </w:p>
    <w:p w:rsidR="007B59F9" w:rsidRDefault="007B59F9" w:rsidP="007B59F9">
      <w:pPr>
        <w:pStyle w:val="Heading3"/>
      </w:pPr>
      <w:r>
        <w:t xml:space="preserve">Aligning regulatory requirements with the </w:t>
      </w:r>
      <w:r w:rsidR="00B630DC">
        <w:t xml:space="preserve">likely </w:t>
      </w:r>
      <w:r w:rsidR="0028006C">
        <w:t>magnitude of</w:t>
      </w:r>
      <w:r>
        <w:t xml:space="preserve"> impact</w:t>
      </w:r>
      <w:r w:rsidR="0028006C">
        <w:t>s</w:t>
      </w:r>
    </w:p>
    <w:p w:rsidR="0004791B" w:rsidRDefault="00CF670F" w:rsidP="00081FF5">
      <w:pPr>
        <w:pStyle w:val="BodyText"/>
      </w:pPr>
      <w:r>
        <w:t>M</w:t>
      </w:r>
      <w:r w:rsidR="00081FF5">
        <w:t xml:space="preserve">ost environmental impact assessment processes have several levels of assessment, </w:t>
      </w:r>
      <w:r w:rsidR="00B630DC">
        <w:t>depending on</w:t>
      </w:r>
      <w:r w:rsidR="00081FF5">
        <w:t xml:space="preserve"> the environmental significance and complexity of the proposed activity. </w:t>
      </w:r>
      <w:r w:rsidR="00374EE7">
        <w:t>The</w:t>
      </w:r>
      <w:r w:rsidR="00BD38D7">
        <w:t xml:space="preserve"> aim of these multi</w:t>
      </w:r>
      <w:r w:rsidR="00E92A4C">
        <w:noBreakHyphen/>
      </w:r>
      <w:r w:rsidR="00BD38D7">
        <w:t xml:space="preserve">layered approaches is </w:t>
      </w:r>
      <w:r w:rsidR="00373B7E">
        <w:t>to weigh</w:t>
      </w:r>
      <w:r w:rsidR="00374EE7">
        <w:t xml:space="preserve"> the risk and significance of environmental impact against the compliance costs </w:t>
      </w:r>
      <w:r w:rsidR="00AB6DAD">
        <w:t>and delays associated with the assessment process.</w:t>
      </w:r>
    </w:p>
    <w:p w:rsidR="00BD38D7" w:rsidRDefault="00BD38D7" w:rsidP="00BD38D7">
      <w:pPr>
        <w:pStyle w:val="BodyText"/>
      </w:pPr>
      <w:r>
        <w:t>Nonethele</w:t>
      </w:r>
      <w:r w:rsidR="008E39F6">
        <w:t>ss, participants in the inquiry</w:t>
      </w:r>
      <w:r w:rsidR="002B6EF1" w:rsidRPr="00E7606D">
        <w:t xml:space="preserve"> </w:t>
      </w:r>
      <w:r>
        <w:t>reported numerous instances where regulatory requirements are not commensurate with the likely environmental impacts</w:t>
      </w:r>
      <w:r w:rsidR="00453CF8">
        <w:t xml:space="preserve">. For example, </w:t>
      </w:r>
      <w:r>
        <w:t>Resource Futures observed:</w:t>
      </w:r>
    </w:p>
    <w:p w:rsidR="00BD38D7" w:rsidRPr="00A03CF6" w:rsidRDefault="00BD38D7" w:rsidP="00BD38D7">
      <w:pPr>
        <w:pStyle w:val="Quote"/>
      </w:pPr>
      <w:r>
        <w:t>…</w:t>
      </w:r>
      <w:r w:rsidRPr="00A03CF6">
        <w:t xml:space="preserve"> in the NT, annual exploration programs require prior approval under the</w:t>
      </w:r>
      <w:r>
        <w:t xml:space="preserve"> </w:t>
      </w:r>
      <w:r w:rsidRPr="00A03CF6">
        <w:t>term “Mine Management Plan” and require extensive detailing of proposed work, siting of</w:t>
      </w:r>
      <w:r>
        <w:t xml:space="preserve"> </w:t>
      </w:r>
      <w:r w:rsidRPr="00A03CF6">
        <w:t>drill</w:t>
      </w:r>
      <w:r w:rsidR="00E92A4C">
        <w:noBreakHyphen/>
      </w:r>
      <w:r w:rsidRPr="00A03CF6">
        <w:t xml:space="preserve">holes, etc. </w:t>
      </w:r>
      <w:r w:rsidR="00312340">
        <w:t xml:space="preserve">… </w:t>
      </w:r>
      <w:r w:rsidRPr="00A03CF6">
        <w:t>In Victoria, this informant is aware of circumstances where non</w:t>
      </w:r>
      <w:r w:rsidR="00E92A4C">
        <w:noBreakHyphen/>
      </w:r>
      <w:r w:rsidRPr="00A03CF6">
        <w:t>invasive</w:t>
      </w:r>
      <w:r>
        <w:t xml:space="preserve"> </w:t>
      </w:r>
      <w:r w:rsidRPr="00A03CF6">
        <w:t>geophysical programs required prior regulatory risk assessment and approval, resulting in</w:t>
      </w:r>
      <w:r>
        <w:t xml:space="preserve"> </w:t>
      </w:r>
      <w:r w:rsidRPr="00A03CF6">
        <w:t>additional equipment hire costs and delay.</w:t>
      </w:r>
    </w:p>
    <w:p w:rsidR="00BD38D7" w:rsidRDefault="00BD38D7" w:rsidP="00BD38D7">
      <w:pPr>
        <w:pStyle w:val="Quote"/>
      </w:pPr>
      <w:r w:rsidRPr="00A03CF6">
        <w:t>Overall, there is increasing evidence of ‘make work’ bureaucratic intervention and micromanagement</w:t>
      </w:r>
      <w:r>
        <w:t xml:space="preserve"> </w:t>
      </w:r>
      <w:r w:rsidRPr="00A03CF6">
        <w:t>of relatively straightforward exploration work programs with no defined risk</w:t>
      </w:r>
      <w:r>
        <w:t xml:space="preserve"> </w:t>
      </w:r>
      <w:r w:rsidRPr="00A03CF6">
        <w:t>reduction or community benefit resulting from the regulatory involvement.</w:t>
      </w:r>
      <w:r w:rsidR="00623A8E">
        <w:t xml:space="preserve"> (sub. 14, p. 7</w:t>
      </w:r>
      <w:r>
        <w:t>)</w:t>
      </w:r>
    </w:p>
    <w:p w:rsidR="00C60F48" w:rsidRDefault="00C60F48" w:rsidP="00C60F48">
      <w:pPr>
        <w:pStyle w:val="BodyText"/>
      </w:pPr>
      <w:r>
        <w:t>And AMEC observed:</w:t>
      </w:r>
    </w:p>
    <w:p w:rsidR="00C60F48" w:rsidRDefault="00C60F48" w:rsidP="00C60F48">
      <w:pPr>
        <w:pStyle w:val="Quote"/>
      </w:pPr>
      <w:r>
        <w:t>Exploration is transient in nature and following rehabilitation the disturbed ground is returned back to the environment. However regulating agencies tend to take an overly conservative approach to managing risk which manifests itself as micro</w:t>
      </w:r>
      <w:r w:rsidR="00E92A4C">
        <w:noBreakHyphen/>
      </w:r>
      <w:r>
        <w:t>managing exploration activities at considerable costs to explorers and regulatory agencies. AMEC is a strong advocate of risk</w:t>
      </w:r>
      <w:r w:rsidR="00E92A4C">
        <w:noBreakHyphen/>
      </w:r>
      <w:r>
        <w:t>based outcome focused assessments</w:t>
      </w:r>
      <w:r w:rsidR="00E92A4C">
        <w:t xml:space="preserve"> …</w:t>
      </w:r>
      <w:r>
        <w:t xml:space="preserve"> (sub. 24, p. 18)</w:t>
      </w:r>
    </w:p>
    <w:p w:rsidR="0028006C" w:rsidRDefault="0028006C" w:rsidP="0028006C">
      <w:pPr>
        <w:pStyle w:val="BodyText"/>
      </w:pPr>
      <w:r>
        <w:t xml:space="preserve">Participants in the inquiry also expressed concern over attempts to ‘bring forward’ </w:t>
      </w:r>
      <w:r w:rsidRPr="00994CD3">
        <w:t>resource extraction</w:t>
      </w:r>
      <w:r w:rsidR="00E92A4C">
        <w:noBreakHyphen/>
      </w:r>
      <w:r>
        <w:t>r</w:t>
      </w:r>
      <w:r w:rsidRPr="00E7606D">
        <w:t>elated regulation onto exploration activities</w:t>
      </w:r>
      <w:r>
        <w:t xml:space="preserve"> (a form of so called ‘regulatory creep’). In this regard, </w:t>
      </w:r>
      <w:proofErr w:type="spellStart"/>
      <w:r>
        <w:t>APPEA</w:t>
      </w:r>
      <w:proofErr w:type="spellEnd"/>
      <w:r>
        <w:t xml:space="preserve"> stated:</w:t>
      </w:r>
    </w:p>
    <w:p w:rsidR="0028006C" w:rsidRDefault="0028006C" w:rsidP="0028006C">
      <w:pPr>
        <w:pStyle w:val="Quote"/>
      </w:pPr>
      <w:r>
        <w:t>… [R]</w:t>
      </w:r>
      <w:proofErr w:type="spellStart"/>
      <w:r>
        <w:t>egulators</w:t>
      </w:r>
      <w:proofErr w:type="spellEnd"/>
      <w:r>
        <w:t xml:space="preserve"> need to consider the vast differences in risk in the context of the activities being undertaken. For example, offshore exploration operators are asked to consider the ‘worst</w:t>
      </w:r>
      <w:r w:rsidR="00E92A4C">
        <w:noBreakHyphen/>
      </w:r>
      <w:r>
        <w:t>case</w:t>
      </w:r>
      <w:r w:rsidR="00BB3F1C">
        <w:t>’</w:t>
      </w:r>
      <w:r>
        <w:t xml:space="preserve"> scenario of an oil spill in the marine environment. This focuses regulatory process on extremely remote events which are not credible or even remotely likely. Such rigorous </w:t>
      </w:r>
      <w:r>
        <w:lastRenderedPageBreak/>
        <w:t xml:space="preserve">criteria may be applicable and appropriate for low likelihood yet high risk activities such as production drilling, however lower risk activities (such as the risk of a collision or a spill from a seismic vessel) should not need such extensive documentation </w:t>
      </w:r>
      <w:r w:rsidR="00E92A4C">
        <w:t>…</w:t>
      </w:r>
      <w:r>
        <w:t xml:space="preserve"> (sub. 22, p. 19)</w:t>
      </w:r>
    </w:p>
    <w:p w:rsidR="00403457" w:rsidRPr="00E7282A" w:rsidRDefault="00403457" w:rsidP="00403457">
      <w:pPr>
        <w:pStyle w:val="BodyText"/>
      </w:pPr>
      <w:r>
        <w:t xml:space="preserve">Some inquiry participants, however, supported more stringent regulation of exploration in anticipation of subsequent mining activity. For example, the </w:t>
      </w:r>
      <w:r w:rsidRPr="00E7282A">
        <w:t>NSW Irrigators Counci</w:t>
      </w:r>
      <w:r>
        <w:t>l stated</w:t>
      </w:r>
      <w:r w:rsidR="00BB3F1C">
        <w:t>:</w:t>
      </w:r>
    </w:p>
    <w:p w:rsidR="00403457" w:rsidRPr="00E7282A" w:rsidRDefault="00403457" w:rsidP="00403457">
      <w:pPr>
        <w:pStyle w:val="Quote"/>
      </w:pPr>
      <w:r w:rsidRPr="00E7282A">
        <w:t>All relevant regulation governing mining and energy resource extractive activities</w:t>
      </w:r>
      <w:r>
        <w:t xml:space="preserve"> </w:t>
      </w:r>
      <w:r w:rsidRPr="00E7282A">
        <w:t xml:space="preserve">has to apply through all stages of mining and </w:t>
      </w:r>
      <w:proofErr w:type="spellStart"/>
      <w:r w:rsidRPr="00E7282A">
        <w:t>CSG</w:t>
      </w:r>
      <w:proofErr w:type="spellEnd"/>
      <w:r>
        <w:t xml:space="preserve"> </w:t>
      </w:r>
      <w:r w:rsidRPr="00E7282A">
        <w:t>activities (exploration,</w:t>
      </w:r>
      <w:r>
        <w:t xml:space="preserve"> </w:t>
      </w:r>
      <w:r w:rsidRPr="00E7282A">
        <w:t>operation, and post</w:t>
      </w:r>
      <w:r w:rsidR="00E92A4C">
        <w:noBreakHyphen/>
      </w:r>
      <w:r w:rsidRPr="00E7282A">
        <w:t xml:space="preserve">closure). </w:t>
      </w:r>
      <w:r>
        <w:t>(sub. 5, </w:t>
      </w:r>
      <w:r w:rsidRPr="00E7282A">
        <w:t>p.</w:t>
      </w:r>
      <w:r w:rsidR="00E92A4C">
        <w:t> </w:t>
      </w:r>
      <w:r w:rsidRPr="00E7282A">
        <w:t>20</w:t>
      </w:r>
      <w:r>
        <w:t>)</w:t>
      </w:r>
    </w:p>
    <w:p w:rsidR="00403457" w:rsidRPr="00E7282A" w:rsidRDefault="00403457" w:rsidP="00403457">
      <w:pPr>
        <w:pStyle w:val="BodyText"/>
      </w:pPr>
      <w:r>
        <w:t xml:space="preserve">And the </w:t>
      </w:r>
      <w:r w:rsidRPr="00E7282A">
        <w:t xml:space="preserve">Upper Dawson Branch </w:t>
      </w:r>
      <w:r>
        <w:t xml:space="preserve">of the </w:t>
      </w:r>
      <w:r w:rsidRPr="00E7282A">
        <w:t>W</w:t>
      </w:r>
      <w:r>
        <w:t xml:space="preserve">ildlife Preservation Society of Queensland observed: </w:t>
      </w:r>
    </w:p>
    <w:p w:rsidR="00403457" w:rsidRDefault="00403457" w:rsidP="00403457">
      <w:pPr>
        <w:pStyle w:val="Quote"/>
      </w:pPr>
      <w:r w:rsidRPr="00E7282A">
        <w:t>As a consequence, we have dealt extensively with the early exploration stages of these</w:t>
      </w:r>
      <w:r>
        <w:t xml:space="preserve"> </w:t>
      </w:r>
      <w:r w:rsidRPr="00E7282A">
        <w:t>developments and are convinced that it is imperative that stringent environmental</w:t>
      </w:r>
      <w:r>
        <w:t xml:space="preserve"> </w:t>
      </w:r>
      <w:r w:rsidRPr="00E7282A">
        <w:t>conditions be enforced during this exploration phrase.</w:t>
      </w:r>
      <w:r>
        <w:t xml:space="preserve"> </w:t>
      </w:r>
      <w:r w:rsidRPr="00E7282A">
        <w:t>If after this phase, the company decides to proceed to production then having an</w:t>
      </w:r>
      <w:r>
        <w:t xml:space="preserve"> </w:t>
      </w:r>
      <w:r w:rsidRPr="00E7282A">
        <w:t>appropriate set of environmental conditions</w:t>
      </w:r>
      <w:r>
        <w:t xml:space="preserve"> already in place helps the flow on of these conditions as the development proceeds. (sub. 8, p.</w:t>
      </w:r>
      <w:r w:rsidR="00E92A4C">
        <w:t> </w:t>
      </w:r>
      <w:r>
        <w:t>1)</w:t>
      </w:r>
    </w:p>
    <w:p w:rsidR="0028006C" w:rsidRDefault="0028006C" w:rsidP="0028006C">
      <w:pPr>
        <w:pStyle w:val="BodyText"/>
      </w:pPr>
      <w:r>
        <w:t>In a related matter, in Western Australia the Warden’s Court recommended to the Minister that some exploration activity be halted because the court did not expect that any potential discovery would receive environmental approval for its development as a mine (box </w:t>
      </w:r>
      <w:r w:rsidR="00D13ACE" w:rsidRPr="00D13ACE">
        <w:t>6.4</w:t>
      </w:r>
      <w:r>
        <w:t xml:space="preserve">). In this case the Warden’s Court was apparently </w:t>
      </w:r>
    </w:p>
    <w:p w:rsidR="0028006C" w:rsidRDefault="0028006C" w:rsidP="0028006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8006C" w:rsidTr="00B230CC">
        <w:tc>
          <w:tcPr>
            <w:tcW w:w="8771" w:type="dxa"/>
            <w:tcBorders>
              <w:top w:val="single" w:sz="6" w:space="0" w:color="auto"/>
              <w:bottom w:val="nil"/>
            </w:tcBorders>
          </w:tcPr>
          <w:p w:rsidR="0028006C" w:rsidRDefault="0028006C" w:rsidP="00D13ACE">
            <w:pPr>
              <w:pStyle w:val="BoxTitle"/>
            </w:pPr>
            <w:r>
              <w:rPr>
                <w:b w:val="0"/>
              </w:rPr>
              <w:t>Box 6</w:t>
            </w:r>
            <w:r w:rsidR="00D13ACE">
              <w:rPr>
                <w:b w:val="0"/>
              </w:rPr>
              <w:t>.4</w:t>
            </w:r>
            <w:r>
              <w:tab/>
            </w:r>
            <w:r w:rsidRPr="00E92A4C">
              <w:rPr>
                <w:rFonts w:eastAsia="Calibri" w:cs="Arial"/>
                <w:bCs/>
              </w:rPr>
              <w:t>WA Wardens Court</w:t>
            </w:r>
          </w:p>
        </w:tc>
      </w:tr>
      <w:tr w:rsidR="0028006C" w:rsidTr="00B230CC">
        <w:trPr>
          <w:cantSplit/>
        </w:trPr>
        <w:tc>
          <w:tcPr>
            <w:tcW w:w="8771" w:type="dxa"/>
            <w:tcBorders>
              <w:top w:val="nil"/>
              <w:left w:val="single" w:sz="6" w:space="0" w:color="auto"/>
              <w:bottom w:val="nil"/>
              <w:right w:val="single" w:sz="6" w:space="0" w:color="auto"/>
            </w:tcBorders>
          </w:tcPr>
          <w:p w:rsidR="0028006C" w:rsidRPr="006A2D07" w:rsidRDefault="0028006C" w:rsidP="00B230CC">
            <w:pPr>
              <w:keepNext/>
              <w:spacing w:before="120" w:line="280" w:lineRule="atLeast"/>
              <w:jc w:val="both"/>
              <w:rPr>
                <w:rFonts w:ascii="Arial" w:eastAsia="Calibri" w:hAnsi="Arial" w:cs="Arial"/>
                <w:sz w:val="22"/>
                <w:szCs w:val="22"/>
                <w:lang w:eastAsia="ko-KR"/>
              </w:rPr>
            </w:pPr>
            <w:r w:rsidRPr="006A2D07">
              <w:rPr>
                <w:rFonts w:ascii="Arial" w:eastAsia="Calibri" w:hAnsi="Arial" w:cs="Arial"/>
                <w:sz w:val="22"/>
                <w:szCs w:val="22"/>
                <w:lang w:eastAsia="ko-KR"/>
              </w:rPr>
              <w:t>The Association of Mining and Exploration Companies (AMEC) said:</w:t>
            </w:r>
          </w:p>
          <w:p w:rsidR="0028006C" w:rsidRPr="006A2D07" w:rsidRDefault="0028006C" w:rsidP="00B230CC">
            <w:pPr>
              <w:pStyle w:val="BoxQuote"/>
              <w:rPr>
                <w:rFonts w:eastAsia="Calibri"/>
              </w:rPr>
            </w:pPr>
            <w:r w:rsidRPr="006A2D07">
              <w:rPr>
                <w:rFonts w:eastAsia="Calibri"/>
              </w:rPr>
              <w:t>In WA for example, the Wardens Court is a court to resolve administration issues associated with the Mining Act and is not a place for issues relating to the environmental policy.</w:t>
            </w:r>
          </w:p>
          <w:p w:rsidR="0028006C" w:rsidRPr="006A2D07" w:rsidRDefault="0028006C" w:rsidP="00B230CC">
            <w:pPr>
              <w:pStyle w:val="BoxQuote"/>
              <w:rPr>
                <w:rFonts w:eastAsia="Calibri"/>
              </w:rPr>
            </w:pPr>
            <w:r w:rsidRPr="006A2D07">
              <w:rPr>
                <w:rFonts w:eastAsia="Calibri"/>
              </w:rPr>
              <w:t xml:space="preserve">A good case study that AMEC considers highlights the issue is that of Darling Range South P/L v Ferrell &amp; </w:t>
            </w:r>
            <w:proofErr w:type="spellStart"/>
            <w:r w:rsidRPr="006A2D07">
              <w:rPr>
                <w:rFonts w:eastAsia="Calibri"/>
              </w:rPr>
              <w:t>ors</w:t>
            </w:r>
            <w:proofErr w:type="spellEnd"/>
            <w:r w:rsidRPr="006A2D07">
              <w:rPr>
                <w:rFonts w:eastAsia="Calibri"/>
              </w:rPr>
              <w:t xml:space="preserve"> [2012] </w:t>
            </w:r>
            <w:proofErr w:type="spellStart"/>
            <w:r w:rsidRPr="006A2D07">
              <w:rPr>
                <w:rFonts w:eastAsia="Calibri"/>
              </w:rPr>
              <w:t>WAMW</w:t>
            </w:r>
            <w:proofErr w:type="spellEnd"/>
            <w:r w:rsidRPr="006A2D07">
              <w:rPr>
                <w:rFonts w:eastAsia="Calibri"/>
              </w:rPr>
              <w:t xml:space="preserve"> 1214. In this case the Warden has recommended the Minister for Mines and Petroleum not grant the exploration licence based on the premise that exploration will inevitably lead to mining and that mining will be incompatible with the environmental values contained within the exploration lease. The Minister has yet to make his decision adding further delays and uncertainty to the company’s operations.</w:t>
            </w:r>
            <w:r w:rsidR="00B324EE">
              <w:rPr>
                <w:rFonts w:eastAsia="Calibri"/>
              </w:rPr>
              <w:t xml:space="preserve"> …</w:t>
            </w:r>
            <w:r w:rsidRPr="006A2D07">
              <w:rPr>
                <w:rFonts w:eastAsia="Calibri"/>
              </w:rPr>
              <w:t xml:space="preserve"> </w:t>
            </w:r>
            <w:r w:rsidR="00B324EE">
              <w:rPr>
                <w:rFonts w:eastAsia="Calibri"/>
              </w:rPr>
              <w:t>[T]</w:t>
            </w:r>
            <w:r w:rsidRPr="006A2D07">
              <w:rPr>
                <w:rFonts w:eastAsia="Calibri"/>
              </w:rPr>
              <w:t xml:space="preserve">he case highlights how the Warden’s Court has been hijacked by unrelated and </w:t>
            </w:r>
            <w:proofErr w:type="spellStart"/>
            <w:r w:rsidRPr="006A2D07">
              <w:rPr>
                <w:rFonts w:eastAsia="Calibri"/>
              </w:rPr>
              <w:t>ill informed</w:t>
            </w:r>
            <w:proofErr w:type="spellEnd"/>
            <w:r w:rsidRPr="006A2D07">
              <w:rPr>
                <w:rFonts w:eastAsia="Calibri"/>
              </w:rPr>
              <w:t xml:space="preserve"> third parties.</w:t>
            </w:r>
          </w:p>
          <w:p w:rsidR="0028006C" w:rsidRDefault="0028006C" w:rsidP="00B230CC">
            <w:pPr>
              <w:pStyle w:val="BoxQuote"/>
            </w:pPr>
            <w:r>
              <w:rPr>
                <w:rFonts w:eastAsia="Calibri"/>
              </w:rPr>
              <w:t>… [T]</w:t>
            </w:r>
            <w:r w:rsidRPr="006A2D07">
              <w:rPr>
                <w:rFonts w:eastAsia="Calibri"/>
              </w:rPr>
              <w:t>he Warden appears not to fully understand the environmental approval process and conflate the hearing of the applications/objections of mining tenure with the environmental impact assessment process, and potentially create a case law precedent.</w:t>
            </w:r>
          </w:p>
        </w:tc>
      </w:tr>
      <w:tr w:rsidR="0028006C" w:rsidTr="00B230CC">
        <w:trPr>
          <w:cantSplit/>
        </w:trPr>
        <w:tc>
          <w:tcPr>
            <w:tcW w:w="8771" w:type="dxa"/>
            <w:tcBorders>
              <w:top w:val="nil"/>
              <w:left w:val="single" w:sz="6" w:space="0" w:color="auto"/>
              <w:bottom w:val="nil"/>
              <w:right w:val="single" w:sz="6" w:space="0" w:color="auto"/>
            </w:tcBorders>
          </w:tcPr>
          <w:p w:rsidR="0028006C" w:rsidRDefault="0028006C" w:rsidP="00B230CC">
            <w:pPr>
              <w:pStyle w:val="BoxSource"/>
            </w:pPr>
            <w:r>
              <w:rPr>
                <w:i/>
              </w:rPr>
              <w:t>Source</w:t>
            </w:r>
            <w:r>
              <w:t>:</w:t>
            </w:r>
            <w:r w:rsidRPr="006A2D07">
              <w:rPr>
                <w:rFonts w:eastAsia="Calibri" w:cs="Arial"/>
                <w:szCs w:val="18"/>
              </w:rPr>
              <w:t xml:space="preserve"> (sub.</w:t>
            </w:r>
            <w:r w:rsidR="00E92A4C">
              <w:rPr>
                <w:rFonts w:eastAsia="Calibri" w:cs="Arial"/>
                <w:szCs w:val="18"/>
              </w:rPr>
              <w:t> </w:t>
            </w:r>
            <w:r w:rsidRPr="006A2D07">
              <w:rPr>
                <w:rFonts w:eastAsia="Calibri" w:cs="Arial"/>
                <w:szCs w:val="18"/>
              </w:rPr>
              <w:t>24, p.</w:t>
            </w:r>
            <w:r w:rsidR="00B324EE">
              <w:rPr>
                <w:rFonts w:eastAsia="Calibri" w:cs="Arial"/>
                <w:szCs w:val="18"/>
              </w:rPr>
              <w:t> 11</w:t>
            </w:r>
            <w:r w:rsidRPr="006A2D07">
              <w:rPr>
                <w:rFonts w:eastAsia="Calibri" w:cs="Arial"/>
                <w:szCs w:val="18"/>
              </w:rPr>
              <w:t>).</w:t>
            </w:r>
          </w:p>
        </w:tc>
      </w:tr>
      <w:tr w:rsidR="0028006C" w:rsidTr="00B230CC">
        <w:trPr>
          <w:cantSplit/>
        </w:trPr>
        <w:tc>
          <w:tcPr>
            <w:tcW w:w="8771" w:type="dxa"/>
            <w:tcBorders>
              <w:top w:val="nil"/>
              <w:left w:val="single" w:sz="6" w:space="0" w:color="auto"/>
              <w:bottom w:val="single" w:sz="6" w:space="0" w:color="auto"/>
              <w:right w:val="single" w:sz="6" w:space="0" w:color="auto"/>
            </w:tcBorders>
          </w:tcPr>
          <w:p w:rsidR="0028006C" w:rsidRDefault="0028006C" w:rsidP="00B230CC">
            <w:pPr>
              <w:pStyle w:val="Box"/>
              <w:spacing w:before="0" w:line="120" w:lineRule="exact"/>
            </w:pPr>
          </w:p>
        </w:tc>
      </w:tr>
      <w:tr w:rsidR="0028006C" w:rsidRPr="000863A5" w:rsidTr="00B230CC">
        <w:tc>
          <w:tcPr>
            <w:tcW w:w="8771" w:type="dxa"/>
            <w:tcBorders>
              <w:top w:val="nil"/>
              <w:left w:val="nil"/>
              <w:bottom w:val="nil"/>
              <w:right w:val="nil"/>
            </w:tcBorders>
          </w:tcPr>
          <w:p w:rsidR="0028006C" w:rsidRPr="00626D32" w:rsidRDefault="0028006C" w:rsidP="00B230CC">
            <w:pPr>
              <w:pStyle w:val="BoxSpaceBelow"/>
            </w:pPr>
          </w:p>
        </w:tc>
      </w:tr>
    </w:tbl>
    <w:p w:rsidR="0028006C" w:rsidRDefault="0028006C" w:rsidP="0028006C">
      <w:pPr>
        <w:pStyle w:val="BodyText"/>
      </w:pPr>
      <w:r>
        <w:t>applying a different set of criteria from that applying to exploration activity. Also</w:t>
      </w:r>
      <w:r w:rsidR="00A95142">
        <w:t>,</w:t>
      </w:r>
      <w:r>
        <w:t xml:space="preserve"> this view does not recognise that exploration can </w:t>
      </w:r>
      <w:r w:rsidR="00B630DC">
        <w:t xml:space="preserve">be </w:t>
      </w:r>
      <w:r>
        <w:t xml:space="preserve">valuable in its own right, regardless of whether it leads to resource extraction. </w:t>
      </w:r>
      <w:r w:rsidR="00B630DC">
        <w:t xml:space="preserve">In particular, exploration activity can </w:t>
      </w:r>
      <w:r>
        <w:t xml:space="preserve">improve the </w:t>
      </w:r>
      <w:r w:rsidR="00B630DC">
        <w:t xml:space="preserve">community’s </w:t>
      </w:r>
      <w:r>
        <w:t xml:space="preserve">knowledge </w:t>
      </w:r>
      <w:r w:rsidR="00B630DC">
        <w:t>of its resources</w:t>
      </w:r>
      <w:r>
        <w:t>.</w:t>
      </w:r>
    </w:p>
    <w:p w:rsidR="007336F6" w:rsidRPr="00143E19" w:rsidRDefault="007336F6" w:rsidP="007336F6">
      <w:pPr>
        <w:pStyle w:val="BodyText"/>
      </w:pPr>
      <w:r>
        <w:lastRenderedPageBreak/>
        <w:t xml:space="preserve">Participants were supportive of aligning regulatory requirements to the likely level of impacts. </w:t>
      </w:r>
      <w:r w:rsidRPr="00143E19">
        <w:t xml:space="preserve">Resource Futures Pty Ltd also </w:t>
      </w:r>
      <w:r>
        <w:t>noted</w:t>
      </w:r>
      <w:r w:rsidRPr="00143E19">
        <w:t xml:space="preserve"> the benefits of designing regulation from the bottom up rather than from the top down:</w:t>
      </w:r>
    </w:p>
    <w:p w:rsidR="007336F6" w:rsidRPr="007336F6" w:rsidRDefault="007336F6" w:rsidP="007336F6">
      <w:pPr>
        <w:pStyle w:val="Quote"/>
      </w:pPr>
      <w:r w:rsidRPr="007336F6">
        <w:t>… [E]</w:t>
      </w:r>
      <w:proofErr w:type="spellStart"/>
      <w:r w:rsidRPr="007336F6">
        <w:t>xploration</w:t>
      </w:r>
      <w:proofErr w:type="spellEnd"/>
      <w:r w:rsidRPr="007336F6">
        <w:t xml:space="preserve"> related approvals processes have particularly suffered from ‘top down’ regulatory creep over the decades leading to the insertion of mining</w:t>
      </w:r>
      <w:r w:rsidR="00E92A4C">
        <w:noBreakHyphen/>
      </w:r>
      <w:r w:rsidRPr="007336F6">
        <w:t xml:space="preserve">related risk assessment parameters into the exploration process. … </w:t>
      </w:r>
    </w:p>
    <w:p w:rsidR="007336F6" w:rsidRPr="007336F6" w:rsidRDefault="007336F6" w:rsidP="007336F6">
      <w:pPr>
        <w:pStyle w:val="Quote"/>
      </w:pPr>
      <w:r w:rsidRPr="007336F6">
        <w:t>Unravelling the added red tape to understand more specifically what risks are experienced during the exploration process and then to engineer approvals and regulatory processes better matched to such risks would seem a smarter and more cost</w:t>
      </w:r>
      <w:r w:rsidR="00E92A4C">
        <w:noBreakHyphen/>
      </w:r>
      <w:r w:rsidRPr="007336F6">
        <w:t>effective way to proceed.</w:t>
      </w:r>
      <w:r w:rsidR="00A260BE">
        <w:t xml:space="preserve"> (sub. 14, p. 9)</w:t>
      </w:r>
    </w:p>
    <w:p w:rsidR="007336F6" w:rsidRDefault="007336F6" w:rsidP="007336F6">
      <w:pPr>
        <w:pStyle w:val="BodyText"/>
      </w:pPr>
      <w:r>
        <w:t>The Queensland Government has recently introduced legislation to provide an increased range of standard applications with standard conditions for low risk exploration activities, thus reducing the need for case</w:t>
      </w:r>
      <w:r w:rsidR="00E92A4C">
        <w:noBreakHyphen/>
      </w:r>
      <w:r>
        <w:t>by</w:t>
      </w:r>
      <w:r w:rsidR="00E92A4C">
        <w:noBreakHyphen/>
      </w:r>
      <w:r>
        <w:t>case assessments (sub. 25, p. 12). Appropriately designed reforms such as these help to better align environmental risks with the level of regulator</w:t>
      </w:r>
      <w:r w:rsidR="00B73AEB">
        <w:t>y</w:t>
      </w:r>
      <w:r>
        <w:t xml:space="preserve"> scrutiny and control and, in so doing, lower business compliance costs and reduce administrative costs for governments, without adversely affecting environmental outcomes.</w:t>
      </w:r>
    </w:p>
    <w:p w:rsidR="007336F6" w:rsidRPr="007336F6" w:rsidRDefault="00B73AEB" w:rsidP="007336F6">
      <w:pPr>
        <w:pStyle w:val="BodyText"/>
      </w:pPr>
      <w:r>
        <w:t xml:space="preserve">Resource extraction usually involves a much larger scale of activity than does exploration activity and the processes of extraction can themselves be more invasive, for example open cut mines. Accordingly, the level of risk and the significance of potential adverse environmental impacts from resource extraction will generally be considerably higher than those arising from exploration. </w:t>
      </w:r>
      <w:r w:rsidR="00BA518D">
        <w:t>Further, a</w:t>
      </w:r>
      <w:r w:rsidR="007336F6" w:rsidRPr="007336F6">
        <w:t>s noted elsewhere in this report, only a small proportion of expl</w:t>
      </w:r>
      <w:r w:rsidR="00D143DB">
        <w:t>oration activity leads to extraction</w:t>
      </w:r>
      <w:r w:rsidR="007336F6" w:rsidRPr="007336F6">
        <w:t xml:space="preserve">. </w:t>
      </w:r>
    </w:p>
    <w:p w:rsidR="0028006C" w:rsidRDefault="0028006C" w:rsidP="0028006C">
      <w:pPr>
        <w:pStyle w:val="BodyText"/>
      </w:pPr>
      <w:r>
        <w:t>The Commission is of the view that r</w:t>
      </w:r>
      <w:r w:rsidRPr="002B6EF1">
        <w:t xml:space="preserve">egulatory requirements should be </w:t>
      </w:r>
      <w:r w:rsidR="007336F6">
        <w:t>proportionate to</w:t>
      </w:r>
      <w:r w:rsidRPr="002B6EF1">
        <w:t xml:space="preserve"> the likely level of impacts from exploration.</w:t>
      </w:r>
      <w:r>
        <w:t xml:space="preserve"> </w:t>
      </w:r>
      <w:r w:rsidR="007336F6">
        <w:t xml:space="preserve">In effect, </w:t>
      </w:r>
      <w:r>
        <w:t xml:space="preserve">the </w:t>
      </w:r>
      <w:proofErr w:type="spellStart"/>
      <w:r>
        <w:t>COAG</w:t>
      </w:r>
      <w:proofErr w:type="spellEnd"/>
      <w:r>
        <w:t xml:space="preserve"> principles of best practice regulation </w:t>
      </w:r>
      <w:r w:rsidR="007336F6">
        <w:t xml:space="preserve">should be adhered to — they </w:t>
      </w:r>
      <w:r>
        <w:t>specify</w:t>
      </w:r>
      <w:r w:rsidR="007336F6">
        <w:t xml:space="preserve"> that</w:t>
      </w:r>
      <w:r>
        <w:t xml:space="preserve"> g</w:t>
      </w:r>
      <w:r w:rsidRPr="00DC64C1">
        <w:t>overnment action should b</w:t>
      </w:r>
      <w:r w:rsidR="00801C0E">
        <w:t xml:space="preserve">e </w:t>
      </w:r>
      <w:r w:rsidRPr="00DC64C1">
        <w:t>proportional to the issue being addressed</w:t>
      </w:r>
      <w:r>
        <w:t>:</w:t>
      </w:r>
    </w:p>
    <w:p w:rsidR="0028006C" w:rsidRDefault="0028006C" w:rsidP="0028006C">
      <w:pPr>
        <w:pStyle w:val="Quote"/>
      </w:pPr>
      <w:r w:rsidRPr="0019571B">
        <w:t>Proportionality involves ensuring that government action does not ‘overreach’, or extend beyond</w:t>
      </w:r>
      <w:r>
        <w:t xml:space="preserve"> </w:t>
      </w:r>
      <w:r w:rsidRPr="0019571B">
        <w:t>addressing a specific problem or achieving the identified objective. The scope or nature of government</w:t>
      </w:r>
      <w:r>
        <w:t xml:space="preserve"> </w:t>
      </w:r>
      <w:r w:rsidRPr="0019571B">
        <w:t>action should be commensurate with the magnitude of a problem, its impacts, or the level of risk without</w:t>
      </w:r>
      <w:r>
        <w:t xml:space="preserve"> </w:t>
      </w:r>
      <w:r w:rsidRPr="0019571B">
        <w:t>action. The principle of proportionality applies equally to the implementation of regulation, including the</w:t>
      </w:r>
      <w:r>
        <w:t xml:space="preserve"> </w:t>
      </w:r>
      <w:r w:rsidRPr="0019571B">
        <w:t>development of frameworks for ensuring compliance.</w:t>
      </w:r>
      <w:r>
        <w:t xml:space="preserve"> (</w:t>
      </w:r>
      <w:proofErr w:type="spellStart"/>
      <w:r>
        <w:t>COAG</w:t>
      </w:r>
      <w:proofErr w:type="spellEnd"/>
      <w:r>
        <w:t> 2007, p. 6)</w:t>
      </w:r>
    </w:p>
    <w:p w:rsidR="00D10C28" w:rsidRDefault="00D10C28">
      <w:pPr>
        <w:rPr>
          <w:caps/>
          <w:sz w:val="20"/>
          <w:szCs w:val="20"/>
        </w:rPr>
      </w:pPr>
      <w:r>
        <w:br w:type="page"/>
      </w:r>
    </w:p>
    <w:p w:rsidR="0028006C" w:rsidRDefault="0028006C" w:rsidP="0028006C">
      <w:pPr>
        <w:pStyle w:val="RecTitle"/>
      </w:pPr>
      <w:r>
        <w:lastRenderedPageBreak/>
        <w:t>draft Recommendation 6.</w:t>
      </w:r>
      <w:r w:rsidR="003317B4">
        <w:t>4</w:t>
      </w:r>
    </w:p>
    <w:p w:rsidR="00101351" w:rsidRPr="007C6A2E" w:rsidRDefault="00101351" w:rsidP="00101351">
      <w:pPr>
        <w:pStyle w:val="Rec"/>
      </w:pPr>
      <w:r>
        <w:t>Governments should ensure that their e</w:t>
      </w:r>
      <w:r w:rsidRPr="007C6A2E">
        <w:t>nvironment</w:t>
      </w:r>
      <w:r w:rsidR="00D21A37">
        <w:noBreakHyphen/>
      </w:r>
      <w:r w:rsidRPr="007C6A2E">
        <w:t xml:space="preserve">related regulatory requirements </w:t>
      </w:r>
      <w:r>
        <w:t>relating to exploration</w:t>
      </w:r>
      <w:r w:rsidRPr="007C6A2E">
        <w:t>:</w:t>
      </w:r>
    </w:p>
    <w:p w:rsidR="00101351" w:rsidRPr="007C6A2E" w:rsidRDefault="00101351" w:rsidP="00101351">
      <w:pPr>
        <w:pStyle w:val="RecBullet"/>
      </w:pPr>
      <w:r>
        <w:t>are the minimum</w:t>
      </w:r>
      <w:r w:rsidRPr="007C6A2E">
        <w:t xml:space="preserve"> necessary to meet </w:t>
      </w:r>
      <w:r>
        <w:t>their</w:t>
      </w:r>
      <w:r w:rsidRPr="007C6A2E">
        <w:t xml:space="preserve"> policy objective</w:t>
      </w:r>
      <w:r>
        <w:t>s</w:t>
      </w:r>
    </w:p>
    <w:p w:rsidR="0028006C" w:rsidRPr="00612F5B" w:rsidRDefault="00101351" w:rsidP="00CD2D6C">
      <w:pPr>
        <w:pStyle w:val="RecBullet"/>
      </w:pPr>
      <w:r>
        <w:t xml:space="preserve">proportionate to the impacts and risks associated with </w:t>
      </w:r>
      <w:r w:rsidRPr="007C6A2E">
        <w:t>the nature</w:t>
      </w:r>
      <w:r>
        <w:t>,</w:t>
      </w:r>
      <w:r w:rsidRPr="007C6A2E">
        <w:t xml:space="preserve"> scale </w:t>
      </w:r>
      <w:r>
        <w:t xml:space="preserve">and location </w:t>
      </w:r>
      <w:r w:rsidRPr="007C6A2E">
        <w:t>of the</w:t>
      </w:r>
      <w:r w:rsidR="00856A4D">
        <w:t xml:space="preserve"> proposed exploration</w:t>
      </w:r>
      <w:r w:rsidRPr="007C6A2E">
        <w:t xml:space="preserve"> </w:t>
      </w:r>
      <w:r>
        <w:t>activity</w:t>
      </w:r>
      <w:r w:rsidRPr="007C6A2E">
        <w:t>.</w:t>
      </w:r>
    </w:p>
    <w:p w:rsidR="005A6D2C" w:rsidRPr="00300744" w:rsidRDefault="00123C86" w:rsidP="007B59F9">
      <w:pPr>
        <w:pStyle w:val="Heading3"/>
      </w:pPr>
      <w:r>
        <w:t>O</w:t>
      </w:r>
      <w:r w:rsidR="00817335" w:rsidRPr="00300744">
        <w:t>utcome</w:t>
      </w:r>
      <w:r w:rsidR="00E92A4C">
        <w:noBreakHyphen/>
      </w:r>
      <w:r w:rsidR="00817335" w:rsidRPr="00300744">
        <w:t>focused</w:t>
      </w:r>
      <w:r>
        <w:t xml:space="preserve"> regulation</w:t>
      </w:r>
    </w:p>
    <w:p w:rsidR="008D53CF" w:rsidRDefault="008D53CF" w:rsidP="00021B78">
      <w:pPr>
        <w:pStyle w:val="BodyText"/>
      </w:pPr>
      <w:r>
        <w:t xml:space="preserve">AMEC described </w:t>
      </w:r>
      <w:r w:rsidR="00B73AEB">
        <w:t>an</w:t>
      </w:r>
      <w:r>
        <w:t xml:space="preserve"> outcome</w:t>
      </w:r>
      <w:r w:rsidR="00E92A4C">
        <w:noBreakHyphen/>
      </w:r>
      <w:r>
        <w:t xml:space="preserve">focused </w:t>
      </w:r>
      <w:r w:rsidR="00B73AEB">
        <w:t>approach in the following terms</w:t>
      </w:r>
      <w:r>
        <w:t>:</w:t>
      </w:r>
    </w:p>
    <w:p w:rsidR="008D53CF" w:rsidRPr="008D53CF" w:rsidRDefault="008D53CF" w:rsidP="008D53CF">
      <w:pPr>
        <w:pStyle w:val="Quote"/>
      </w:pPr>
      <w:r w:rsidRPr="008D53CF">
        <w:t>‘Outcomes focused’ means a regulatory system that focuses on high</w:t>
      </w:r>
      <w:r w:rsidR="00E92A4C">
        <w:noBreakHyphen/>
      </w:r>
      <w:r w:rsidRPr="008D53CF">
        <w:t>level principles and a requirement to achieve the best outcomes for the environment, business and the community. It should enable business to use appropriate methods of achieving outcomes which suit their business, their type of operation and their workplace without having to follow prescriptive rules. (sub. 24, p. 18)</w:t>
      </w:r>
    </w:p>
    <w:p w:rsidR="00A076CA" w:rsidRDefault="00D74F3D" w:rsidP="0068607F">
      <w:pPr>
        <w:pStyle w:val="BodyText"/>
      </w:pPr>
      <w:r>
        <w:t>Industry p</w:t>
      </w:r>
      <w:r w:rsidR="00931587">
        <w:t>articipants to the inquiry were</w:t>
      </w:r>
      <w:r w:rsidR="00CF4549">
        <w:t xml:space="preserve"> gen</w:t>
      </w:r>
      <w:r w:rsidR="00817335">
        <w:t>erally supportive of outcome</w:t>
      </w:r>
      <w:r w:rsidR="00E92A4C">
        <w:noBreakHyphen/>
      </w:r>
      <w:r w:rsidR="00817335">
        <w:t>fo</w:t>
      </w:r>
      <w:r w:rsidR="00CF4549">
        <w:t>cused approaches, noting that they allow for more flexibility in achieving the sought after environmental outcome</w:t>
      </w:r>
      <w:r w:rsidR="00B324EE">
        <w:t xml:space="preserve"> — directly lowering compliance costs —</w:t>
      </w:r>
      <w:r w:rsidR="00CF4549">
        <w:t xml:space="preserve"> and allow for innovative methods to be </w:t>
      </w:r>
      <w:r w:rsidR="00B324EE">
        <w:t>developed</w:t>
      </w:r>
      <w:r w:rsidR="00364026">
        <w:t xml:space="preserve"> and used</w:t>
      </w:r>
      <w:r w:rsidR="00CF4549">
        <w:t>.</w:t>
      </w:r>
      <w:r w:rsidR="0068607F">
        <w:t xml:space="preserve"> </w:t>
      </w:r>
    </w:p>
    <w:p w:rsidR="00D74F3D" w:rsidRDefault="00D74F3D" w:rsidP="00D74F3D">
      <w:pPr>
        <w:pStyle w:val="BodyText"/>
      </w:pPr>
      <w:r>
        <w:t>The Australian Institute of Mining and Metallurgy claims that there have been significant advances in industry capabilities in recent years:</w:t>
      </w:r>
    </w:p>
    <w:p w:rsidR="00D74F3D" w:rsidRDefault="00D74F3D" w:rsidP="00D74F3D">
      <w:pPr>
        <w:pStyle w:val="Quote"/>
      </w:pPr>
      <w:r w:rsidRPr="0007034B">
        <w:t>There is considerable opportunity to update Australian regulatory practice to reflect the significant</w:t>
      </w:r>
      <w:r>
        <w:t xml:space="preserve"> </w:t>
      </w:r>
      <w:r w:rsidRPr="0007034B">
        <w:t>advances in industry performance and capability that have occurred in recent decades. Without</w:t>
      </w:r>
      <w:r>
        <w:t xml:space="preserve"> </w:t>
      </w:r>
      <w:r w:rsidRPr="0007034B">
        <w:t>commenting on any specific government’s regulations, businesses are often required to seek</w:t>
      </w:r>
      <w:r>
        <w:t xml:space="preserve"> </w:t>
      </w:r>
      <w:r w:rsidRPr="0007034B">
        <w:t>regulatory approval or report to regulators on their steps to manage community relationships and</w:t>
      </w:r>
      <w:r>
        <w:t xml:space="preserve"> </w:t>
      </w:r>
      <w:r w:rsidRPr="0007034B">
        <w:t>environmental or OHS risks that are now well understood and can be competently managed by the</w:t>
      </w:r>
      <w:r>
        <w:t xml:space="preserve"> </w:t>
      </w:r>
      <w:r w:rsidRPr="0007034B">
        <w:t>companies on a day to day basis with or without regulatory oversight.</w:t>
      </w:r>
      <w:r>
        <w:t xml:space="preserve"> (sub. 12, p. 5)</w:t>
      </w:r>
    </w:p>
    <w:p w:rsidR="00A076CA" w:rsidRPr="00D82222" w:rsidRDefault="00A076CA" w:rsidP="00A076CA">
      <w:pPr>
        <w:pStyle w:val="BodyText"/>
      </w:pPr>
      <w:r w:rsidRPr="00A076CA">
        <w:t xml:space="preserve">The NSW </w:t>
      </w:r>
      <w:r w:rsidRPr="00D82222">
        <w:t>Minerals Council provided an example of how prescriptive conditions can directly increase compliance costs</w:t>
      </w:r>
      <w:r w:rsidR="00D143DB">
        <w:t xml:space="preserve"> — in this case the cost</w:t>
      </w:r>
      <w:r w:rsidR="00647427">
        <w:t>s associated with</w:t>
      </w:r>
      <w:r w:rsidR="00D143DB">
        <w:t xml:space="preserve"> transporting waste water potentially long distances:</w:t>
      </w:r>
    </w:p>
    <w:p w:rsidR="00A076CA" w:rsidRPr="00D82222" w:rsidRDefault="00A076CA" w:rsidP="00A076CA">
      <w:pPr>
        <w:pStyle w:val="Quote"/>
      </w:pPr>
      <w:r w:rsidRPr="00A076CA">
        <w:t>An example is when waste water from drill sumps cannot be disposed of in an adjacent tailings impoundment owned by the same company, but mu</w:t>
      </w:r>
      <w:r w:rsidRPr="00D82222">
        <w:t>st be transported to an ‘approved waste facility’. (sub. 11, p. 8)</w:t>
      </w:r>
    </w:p>
    <w:p w:rsidR="00290F8F" w:rsidRDefault="00290F8F" w:rsidP="00290F8F">
      <w:pPr>
        <w:pStyle w:val="BodyText"/>
      </w:pPr>
      <w:r>
        <w:t xml:space="preserve">In </w:t>
      </w:r>
      <w:proofErr w:type="spellStart"/>
      <w:r>
        <w:t>APPEA’s</w:t>
      </w:r>
      <w:proofErr w:type="spellEnd"/>
      <w:r>
        <w:t xml:space="preserve"> view, prescriptive regulations have a negative effect on the capability of regulators to undertake their function compared to more objective</w:t>
      </w:r>
      <w:r w:rsidR="00E92A4C">
        <w:noBreakHyphen/>
      </w:r>
      <w:r>
        <w:t>based systems:</w:t>
      </w:r>
    </w:p>
    <w:p w:rsidR="00290F8F" w:rsidRDefault="00290F8F" w:rsidP="00290F8F">
      <w:pPr>
        <w:pStyle w:val="Quote"/>
      </w:pPr>
      <w:r w:rsidRPr="00DA5B33">
        <w:t xml:space="preserve">Industry remains concerned about the capability of the regulators to undertake the full suite of regulatory functions. This is primarily a skills rather than funding issue. </w:t>
      </w:r>
      <w:r>
        <w:t>…</w:t>
      </w:r>
      <w:r w:rsidRPr="00DA5B33">
        <w:t xml:space="preserve"> It is critical that regulators are </w:t>
      </w:r>
      <w:r>
        <w:t>adequately ‘</w:t>
      </w:r>
      <w:r w:rsidRPr="00DA5B33">
        <w:t>skilled</w:t>
      </w:r>
      <w:r w:rsidR="00E92A4C">
        <w:noBreakHyphen/>
      </w:r>
      <w:r w:rsidRPr="00DA5B33">
        <w:t>up</w:t>
      </w:r>
      <w:r w:rsidR="00BB3F1C">
        <w:t>’</w:t>
      </w:r>
      <w:r w:rsidRPr="00DA5B33">
        <w:t xml:space="preserve"> to perform their duties. Overall, the experience of a </w:t>
      </w:r>
      <w:r w:rsidRPr="00DA5B33">
        <w:lastRenderedPageBreak/>
        <w:t>number of companies is that the regulators are suffering from a lack of relevant experience of the industry</w:t>
      </w:r>
      <w:r w:rsidR="00BB3F1C">
        <w:t>’</w:t>
      </w:r>
      <w:r w:rsidRPr="00DA5B33">
        <w:t xml:space="preserve">s operations. </w:t>
      </w:r>
      <w:proofErr w:type="spellStart"/>
      <w:r w:rsidRPr="00DA5B33">
        <w:t>APPEA</w:t>
      </w:r>
      <w:proofErr w:type="spellEnd"/>
      <w:r w:rsidRPr="00DA5B33">
        <w:t xml:space="preserve"> acknowledges that this skilling requirement is more prevalent in a prescriptive regime such as the </w:t>
      </w:r>
      <w:proofErr w:type="spellStart"/>
      <w:r w:rsidRPr="00DA5B33">
        <w:t>EPBC</w:t>
      </w:r>
      <w:proofErr w:type="spellEnd"/>
      <w:r w:rsidRPr="00DA5B33">
        <w:t xml:space="preserve"> Act, rather than an objective based system, such as the </w:t>
      </w:r>
      <w:proofErr w:type="spellStart"/>
      <w:r w:rsidRPr="00DA5B33">
        <w:t>OPGGS</w:t>
      </w:r>
      <w:proofErr w:type="spellEnd"/>
      <w:r w:rsidRPr="00DA5B33">
        <w:t xml:space="preserve"> Act.</w:t>
      </w:r>
      <w:r>
        <w:t xml:space="preserve"> (sub. 22, p. 15)</w:t>
      </w:r>
    </w:p>
    <w:p w:rsidR="00290F8F" w:rsidRPr="00AD049C" w:rsidRDefault="00290F8F">
      <w:pPr>
        <w:pStyle w:val="BodyText"/>
      </w:pPr>
      <w:r w:rsidRPr="00AD049C">
        <w:t xml:space="preserve">Previous studies, such as the </w:t>
      </w:r>
      <w:r w:rsidR="00AD049C" w:rsidRPr="00AD049C">
        <w:t>(Victorian) Economic Development and Infrastructure Committee’s</w:t>
      </w:r>
      <w:r w:rsidRPr="00AD049C">
        <w:t xml:space="preserve"> (2012) inquiry into </w:t>
      </w:r>
      <w:proofErr w:type="spellStart"/>
      <w:r w:rsidRPr="00AD049C">
        <w:t>greenfields</w:t>
      </w:r>
      <w:proofErr w:type="spellEnd"/>
      <w:r w:rsidRPr="00AD049C">
        <w:t xml:space="preserve"> exploration, have aired industry concerns about insufficient use being made of performance based standards and other more risk</w:t>
      </w:r>
      <w:r w:rsidR="00E92A4C">
        <w:noBreakHyphen/>
      </w:r>
      <w:r w:rsidRPr="00AD049C">
        <w:t xml:space="preserve">based approaches, and excessive use of prescriptive regulations. </w:t>
      </w:r>
    </w:p>
    <w:p w:rsidR="004D698B" w:rsidRDefault="004D698B" w:rsidP="004D698B">
      <w:pPr>
        <w:pStyle w:val="BodyText"/>
      </w:pPr>
      <w:r>
        <w:t>The Minerals Council of Australia stated:</w:t>
      </w:r>
    </w:p>
    <w:p w:rsidR="004D698B" w:rsidRDefault="004D698B" w:rsidP="004D698B">
      <w:pPr>
        <w:pStyle w:val="Quote"/>
      </w:pPr>
      <w:r>
        <w:t xml:space="preserve">More attention also needs to be paid to outcomes rather than process. Clarification of desired outcomes that decision makers are seeking through the use of </w:t>
      </w:r>
      <w:proofErr w:type="spellStart"/>
      <w:r>
        <w:t>EIA</w:t>
      </w:r>
      <w:proofErr w:type="spellEnd"/>
      <w:r>
        <w:t xml:space="preserve"> would help facilitate greater consistency between Australian jurisdictions. It would also help restore the community’s confidence. Such clarification should be achieved through outcome standards that are both specific and measurable.</w:t>
      </w:r>
    </w:p>
    <w:p w:rsidR="004D698B" w:rsidRPr="004D698B" w:rsidRDefault="004D698B" w:rsidP="004D698B">
      <w:pPr>
        <w:pStyle w:val="Quote"/>
      </w:pPr>
      <w:r>
        <w:t>Clear outcome standards would also assist in identifying key risks associated with new proposals. This would help regulators to adopt a more effective risk management approach than is often currently the case. (sub. 27, pp. 28</w:t>
      </w:r>
      <w:r w:rsidR="00E92A4C">
        <w:t>–</w:t>
      </w:r>
      <w:r>
        <w:t>29)</w:t>
      </w:r>
    </w:p>
    <w:p w:rsidR="005A121B" w:rsidRDefault="005A121B" w:rsidP="005A121B">
      <w:pPr>
        <w:pStyle w:val="BodyText"/>
      </w:pPr>
      <w:r>
        <w:t xml:space="preserve">The Commission notes </w:t>
      </w:r>
      <w:r w:rsidR="00B7076D">
        <w:t xml:space="preserve">that </w:t>
      </w:r>
      <w:r>
        <w:t>there has been a general shift away from prescriptive regulatory requirements towards more outcome</w:t>
      </w:r>
      <w:r w:rsidR="00E92A4C">
        <w:noBreakHyphen/>
      </w:r>
      <w:r>
        <w:t>focused regulatory requirements in recent years — such as performance based standards —</w:t>
      </w:r>
      <w:r w:rsidRPr="00E7606D">
        <w:t xml:space="preserve"> </w:t>
      </w:r>
      <w:r>
        <w:t>as exemplified in South Australia</w:t>
      </w:r>
      <w:r w:rsidR="00643054">
        <w:t>.</w:t>
      </w:r>
      <w:r w:rsidR="00DE60DC">
        <w:t xml:space="preserve"> </w:t>
      </w:r>
      <w:r>
        <w:t xml:space="preserve">In some jurisdictions, however, </w:t>
      </w:r>
      <w:r w:rsidRPr="00E7606D">
        <w:t xml:space="preserve">there </w:t>
      </w:r>
      <w:r>
        <w:t>is</w:t>
      </w:r>
      <w:r w:rsidRPr="00E7606D">
        <w:t xml:space="preserve"> room </w:t>
      </w:r>
      <w:r>
        <w:t xml:space="preserve">for further reform in this direction. </w:t>
      </w:r>
    </w:p>
    <w:p w:rsidR="005A121B" w:rsidRDefault="005A121B" w:rsidP="005A121B">
      <w:pPr>
        <w:pStyle w:val="BodyText"/>
      </w:pPr>
      <w:r>
        <w:t xml:space="preserve">The Commission </w:t>
      </w:r>
      <w:r w:rsidR="00123C86">
        <w:t>supports</w:t>
      </w:r>
      <w:r>
        <w:t xml:space="preserve"> outcomes</w:t>
      </w:r>
      <w:r w:rsidR="00E92A4C">
        <w:noBreakHyphen/>
      </w:r>
      <w:r>
        <w:t xml:space="preserve">based approaches, recognising that exploration companies will often be in a better position than regulators to identify the most efficient and effective means to minimise — or reduce the risk of the occurrence of — a particular adverse impact. </w:t>
      </w:r>
      <w:r w:rsidR="00123C86">
        <w:t>Equally, explorers must be accountable for their actions, as assessed against performance</w:t>
      </w:r>
      <w:r w:rsidR="00E92A4C">
        <w:noBreakHyphen/>
      </w:r>
      <w:r w:rsidR="00123C86">
        <w:t>based standards</w:t>
      </w:r>
      <w:r w:rsidR="00BB3F1C">
        <w:t>.</w:t>
      </w:r>
    </w:p>
    <w:p w:rsidR="005A121B" w:rsidRDefault="005A121B" w:rsidP="005A121B">
      <w:pPr>
        <w:pStyle w:val="BodyText"/>
      </w:pPr>
      <w:r>
        <w:t xml:space="preserve">This is </w:t>
      </w:r>
      <w:r w:rsidR="00123C86">
        <w:t xml:space="preserve">a further case where jurisdictions should comply </w:t>
      </w:r>
      <w:r>
        <w:t xml:space="preserve">with the </w:t>
      </w:r>
      <w:proofErr w:type="spellStart"/>
      <w:r>
        <w:t>COAG</w:t>
      </w:r>
      <w:proofErr w:type="spellEnd"/>
      <w:r>
        <w:t xml:space="preserve"> principles of best practice regulation:</w:t>
      </w:r>
    </w:p>
    <w:p w:rsidR="005A121B" w:rsidRDefault="005A121B" w:rsidP="005A121B">
      <w:pPr>
        <w:pStyle w:val="Quote"/>
      </w:pPr>
      <w:r>
        <w:t>Regulation should have clearly identifiable outcomes and unless prescriptive requirements are unavoidable in order to ensure public safety in high</w:t>
      </w:r>
      <w:r w:rsidR="00E92A4C">
        <w:noBreakHyphen/>
      </w:r>
      <w:r>
        <w:t>risk situations, performance</w:t>
      </w:r>
      <w:r w:rsidR="00E92A4C">
        <w:noBreakHyphen/>
      </w:r>
      <w:r>
        <w:t>based requirements that specify outcomes rather than inputs or other prescriptive requirements should be used. (</w:t>
      </w:r>
      <w:proofErr w:type="spellStart"/>
      <w:r>
        <w:t>COAG</w:t>
      </w:r>
      <w:proofErr w:type="spellEnd"/>
      <w:r>
        <w:t xml:space="preserve"> 2007, p. 5)</w:t>
      </w:r>
    </w:p>
    <w:p w:rsidR="005A121B" w:rsidRDefault="00123C86" w:rsidP="005A121B">
      <w:pPr>
        <w:pStyle w:val="BodyText"/>
      </w:pPr>
      <w:r>
        <w:t>As</w:t>
      </w:r>
      <w:r w:rsidR="00AE47CD">
        <w:t xml:space="preserve"> </w:t>
      </w:r>
      <w:proofErr w:type="spellStart"/>
      <w:r w:rsidR="00AE47CD">
        <w:t>COAG</w:t>
      </w:r>
      <w:proofErr w:type="spellEnd"/>
      <w:r>
        <w:t xml:space="preserve"> noted</w:t>
      </w:r>
      <w:r w:rsidR="00AE47CD">
        <w:t>, t</w:t>
      </w:r>
      <w:r w:rsidR="005A121B">
        <w:t xml:space="preserve">here may be instances where </w:t>
      </w:r>
      <w:r w:rsidR="00AE47CD">
        <w:t>some level of prescription is</w:t>
      </w:r>
      <w:r w:rsidR="005A121B">
        <w:t xml:space="preserve"> appropriate</w:t>
      </w:r>
      <w:r w:rsidR="00AE47CD">
        <w:t xml:space="preserve">. </w:t>
      </w:r>
      <w:r w:rsidR="00BB3F1C">
        <w:t>T</w:t>
      </w:r>
      <w:r w:rsidR="00AE47CD">
        <w:t>he Commission notes that</w:t>
      </w:r>
      <w:r w:rsidR="005A121B">
        <w:t xml:space="preserve"> prescriptive requirements can provide companies with a relatively high degree of certainty about what is required, and they can be simpler for the regulating agency to enforce and monitor. </w:t>
      </w:r>
    </w:p>
    <w:p w:rsidR="005A121B" w:rsidRPr="002F2F14" w:rsidRDefault="005A121B" w:rsidP="005A121B">
      <w:pPr>
        <w:pStyle w:val="BodyText"/>
      </w:pPr>
      <w:r>
        <w:t>However, regulators should be mindful of the many advantages of outcomes</w:t>
      </w:r>
      <w:r w:rsidR="00E92A4C">
        <w:noBreakHyphen/>
      </w:r>
      <w:r>
        <w:t>based approaches</w:t>
      </w:r>
      <w:r w:rsidR="00AE47CD">
        <w:t>. They</w:t>
      </w:r>
      <w:r>
        <w:t xml:space="preserve"> </w:t>
      </w:r>
      <w:r w:rsidR="00AE47CD">
        <w:t xml:space="preserve">provide </w:t>
      </w:r>
      <w:r>
        <w:t xml:space="preserve">scope for flexible and innovative </w:t>
      </w:r>
      <w:r w:rsidR="00AE47CD">
        <w:t xml:space="preserve">solutions to environmental </w:t>
      </w:r>
      <w:r w:rsidR="00AE47CD">
        <w:lastRenderedPageBreak/>
        <w:t>issues, and they permit companies to</w:t>
      </w:r>
      <w:r>
        <w:t xml:space="preserve"> adapt to changing circumstances without compromising the environmental outcome sought.</w:t>
      </w:r>
    </w:p>
    <w:p w:rsidR="005A121B" w:rsidRPr="002F2F14" w:rsidRDefault="00171270" w:rsidP="005A121B">
      <w:pPr>
        <w:pStyle w:val="RecTitle"/>
      </w:pPr>
      <w:r>
        <w:t>Draft recommendation</w:t>
      </w:r>
      <w:r w:rsidR="005A121B">
        <w:t xml:space="preserve"> 6.</w:t>
      </w:r>
      <w:r w:rsidR="003317B4">
        <w:t>5</w:t>
      </w:r>
    </w:p>
    <w:p w:rsidR="005A121B" w:rsidRDefault="00A75074" w:rsidP="005A121B">
      <w:pPr>
        <w:pStyle w:val="Rec"/>
      </w:pPr>
      <w:r w:rsidRPr="00A75074">
        <w:t>Governments should ensure that their environment</w:t>
      </w:r>
      <w:r w:rsidR="00E92A4C">
        <w:noBreakHyphen/>
      </w:r>
      <w:r w:rsidRPr="00A75074">
        <w:t>related regulation of exploration activities should be focused towards performance</w:t>
      </w:r>
      <w:r w:rsidR="00E92A4C">
        <w:noBreakHyphen/>
      </w:r>
      <w:r w:rsidRPr="00A75074">
        <w:t>based environmental outcome measures and away from prescriptive conditions, in order to better manage risk and achieve environmentally sound outcomes.</w:t>
      </w:r>
    </w:p>
    <w:p w:rsidR="00CE59DF" w:rsidRPr="00CB6B25" w:rsidRDefault="007C13E3" w:rsidP="007B59F9">
      <w:pPr>
        <w:pStyle w:val="Heading3"/>
      </w:pPr>
      <w:r w:rsidRPr="00CB6B25">
        <w:t>Dealing with uncertainty</w:t>
      </w:r>
    </w:p>
    <w:p w:rsidR="00894018" w:rsidRDefault="00894018" w:rsidP="00894018">
      <w:pPr>
        <w:pStyle w:val="BodyText"/>
      </w:pPr>
      <w:r>
        <w:t>Information about the nature, magnitude and likelihood of adverse consequences from particular activities may b</w:t>
      </w:r>
      <w:r w:rsidR="002F4603">
        <w:t>e uncertain and/or incomplete. This u</w:t>
      </w:r>
      <w:r>
        <w:t xml:space="preserve">ncertainty is often heightened </w:t>
      </w:r>
      <w:r w:rsidRPr="006668A7">
        <w:t xml:space="preserve">when a new industry is establishing (such as </w:t>
      </w:r>
      <w:proofErr w:type="spellStart"/>
      <w:r w:rsidRPr="006668A7">
        <w:t>CSG</w:t>
      </w:r>
      <w:proofErr w:type="spellEnd"/>
      <w:r w:rsidRPr="006668A7">
        <w:t xml:space="preserve">) or new technology is introduced (such as </w:t>
      </w:r>
      <w:r w:rsidR="00DC34D9" w:rsidRPr="006668A7">
        <w:t>frac</w:t>
      </w:r>
      <w:r w:rsidR="00DC34D9">
        <w:t>k</w:t>
      </w:r>
      <w:r w:rsidR="00DC34D9" w:rsidRPr="006668A7">
        <w:t>ing</w:t>
      </w:r>
      <w:r w:rsidRPr="006668A7">
        <w:t xml:space="preserve">). </w:t>
      </w:r>
    </w:p>
    <w:p w:rsidR="00604D5C" w:rsidRDefault="002F4603" w:rsidP="00604D5C">
      <w:pPr>
        <w:pStyle w:val="BodyText"/>
      </w:pPr>
      <w:r>
        <w:t xml:space="preserve">Several participants in the inquiry commented on the presence of such uncertainty in </w:t>
      </w:r>
      <w:r w:rsidR="00290F8F">
        <w:t xml:space="preserve">resource </w:t>
      </w:r>
      <w:r>
        <w:t xml:space="preserve">exploration. </w:t>
      </w:r>
      <w:r w:rsidR="00604D5C">
        <w:t xml:space="preserve">For example, </w:t>
      </w:r>
      <w:r w:rsidR="00BD11C9">
        <w:t xml:space="preserve">the </w:t>
      </w:r>
      <w:r w:rsidR="00A125D0">
        <w:t>New South Wales Irrigators’ Council stat</w:t>
      </w:r>
      <w:r w:rsidR="00604D5C">
        <w:t xml:space="preserve">ed </w:t>
      </w:r>
      <w:r w:rsidR="00464184">
        <w:t xml:space="preserve">that </w:t>
      </w:r>
      <w:r w:rsidR="00604D5C">
        <w:t xml:space="preserve">there was insufficient information to assess the likely </w:t>
      </w:r>
      <w:r w:rsidR="00B324EE">
        <w:t xml:space="preserve">environmental </w:t>
      </w:r>
      <w:r w:rsidR="00604D5C">
        <w:t xml:space="preserve">impacts of exploration and subsequent resource development of </w:t>
      </w:r>
      <w:proofErr w:type="spellStart"/>
      <w:r w:rsidR="00604D5C">
        <w:t>CSG</w:t>
      </w:r>
      <w:proofErr w:type="spellEnd"/>
      <w:r w:rsidR="00604D5C">
        <w:t>:</w:t>
      </w:r>
    </w:p>
    <w:p w:rsidR="00604D5C" w:rsidRDefault="00604D5C" w:rsidP="00604D5C">
      <w:pPr>
        <w:pStyle w:val="Quote"/>
      </w:pPr>
      <w:r>
        <w:t xml:space="preserve">… the potential threat that mining and energy resource exploration activities pose to water sources </w:t>
      </w:r>
      <w:r w:rsidR="00BB3F1C">
        <w:t>—</w:t>
      </w:r>
      <w:r>
        <w:t xml:space="preserve"> i.e. structural damage to existing water sources, contamination and changes in water pressure and quality </w:t>
      </w:r>
      <w:r w:rsidR="00BB3F1C">
        <w:t>—</w:t>
      </w:r>
      <w:r>
        <w:t xml:space="preserve"> are additional sources of concern for </w:t>
      </w:r>
      <w:proofErr w:type="spellStart"/>
      <w:r>
        <w:t>NSWIC</w:t>
      </w:r>
      <w:proofErr w:type="spellEnd"/>
      <w:r>
        <w:t>. While data and information on mineral and energy resource deposits are extensive, insufficient work has been done to assess the impact of mining and energy resource exploration and extraction on water resource</w:t>
      </w:r>
      <w:r w:rsidR="00B324EE">
        <w:t>s</w:t>
      </w:r>
      <w:r>
        <w:t xml:space="preserve">. (sub. 5, </w:t>
      </w:r>
      <w:r w:rsidR="00115AA2">
        <w:t>p. 5</w:t>
      </w:r>
      <w:r>
        <w:t>)</w:t>
      </w:r>
    </w:p>
    <w:p w:rsidR="006668A7" w:rsidRDefault="006668A7" w:rsidP="006668A7">
      <w:pPr>
        <w:pStyle w:val="BodyText"/>
      </w:pPr>
      <w:r w:rsidRPr="006668A7">
        <w:t xml:space="preserve">While the environmental risks associated with exploration are generally </w:t>
      </w:r>
      <w:r w:rsidR="00CF670F">
        <w:t>l</w:t>
      </w:r>
      <w:r w:rsidR="00EA1405">
        <w:t>ow</w:t>
      </w:r>
      <w:r w:rsidR="00CF670F">
        <w:t>er</w:t>
      </w:r>
      <w:r w:rsidRPr="006668A7">
        <w:t xml:space="preserve"> than those associated with </w:t>
      </w:r>
      <w:r w:rsidR="00290F8F">
        <w:t>resource extraction</w:t>
      </w:r>
      <w:r w:rsidRPr="006668A7">
        <w:t xml:space="preserve">, exploration activities can pose risks to the environment. </w:t>
      </w:r>
      <w:r w:rsidR="007602DE">
        <w:t xml:space="preserve">For example, </w:t>
      </w:r>
      <w:r w:rsidR="008145F3">
        <w:t xml:space="preserve">in relation to </w:t>
      </w:r>
      <w:r w:rsidR="007602DE">
        <w:t xml:space="preserve">exploration for </w:t>
      </w:r>
      <w:proofErr w:type="spellStart"/>
      <w:r w:rsidR="004345B5">
        <w:t>CSG</w:t>
      </w:r>
      <w:proofErr w:type="spellEnd"/>
      <w:r w:rsidR="008145F3">
        <w:t>,</w:t>
      </w:r>
      <w:r w:rsidR="00200107">
        <w:t xml:space="preserve"> Edwards</w:t>
      </w:r>
      <w:r w:rsidR="00BF4B62">
        <w:t xml:space="preserve"> observed:</w:t>
      </w:r>
    </w:p>
    <w:p w:rsidR="00BF4B62" w:rsidRDefault="00BF4B62" w:rsidP="00BF4B62">
      <w:pPr>
        <w:pStyle w:val="Quote"/>
      </w:pPr>
      <w:r w:rsidRPr="00BF4B62">
        <w:t xml:space="preserve">Exploration in this </w:t>
      </w:r>
      <w:r>
        <w:t>[</w:t>
      </w:r>
      <w:proofErr w:type="spellStart"/>
      <w:r>
        <w:t>CSG</w:t>
      </w:r>
      <w:proofErr w:type="spellEnd"/>
      <w:r>
        <w:t xml:space="preserve">] </w:t>
      </w:r>
      <w:r w:rsidRPr="00BF4B62">
        <w:t>industry is intensive,</w:t>
      </w:r>
      <w:r>
        <w:t xml:space="preserve"> </w:t>
      </w:r>
      <w:r w:rsidRPr="00BF4B62">
        <w:t>conducted on a 1 km grid, and requiring extraction of large volumes of water</w:t>
      </w:r>
      <w:r>
        <w:t xml:space="preserve"> </w:t>
      </w:r>
      <w:r w:rsidRPr="00BF4B62">
        <w:t>(and hence construction of evaporation ponds) even to prove the resource.</w:t>
      </w:r>
      <w:r w:rsidR="00D17F6A">
        <w:t xml:space="preserve"> (</w:t>
      </w:r>
      <w:r w:rsidR="00733BD9">
        <w:t xml:space="preserve">2006, </w:t>
      </w:r>
      <w:r w:rsidR="00D17F6A">
        <w:t>p. 18)</w:t>
      </w:r>
    </w:p>
    <w:p w:rsidR="00B452C2" w:rsidRDefault="00B452C2" w:rsidP="00B452C2">
      <w:pPr>
        <w:pStyle w:val="BodyText"/>
      </w:pPr>
      <w:r>
        <w:t xml:space="preserve">Uncertainty about impacts can present difficulties for policy makers. It </w:t>
      </w:r>
      <w:r w:rsidR="00EA1405">
        <w:t>can be</w:t>
      </w:r>
      <w:r>
        <w:t xml:space="preserve"> difficult to link causes and effects, </w:t>
      </w:r>
      <w:r w:rsidR="00D74F3D">
        <w:t>such as in the example of</w:t>
      </w:r>
      <w:r>
        <w:t xml:space="preserve"> the impacts of fracking on groundwater quality (which can be affected by a number of </w:t>
      </w:r>
      <w:r w:rsidR="00604D5C">
        <w:t xml:space="preserve">other </w:t>
      </w:r>
      <w:r>
        <w:t>factors</w:t>
      </w:r>
      <w:r w:rsidR="00604D5C">
        <w:t xml:space="preserve"> unrelated to exploration</w:t>
      </w:r>
      <w:r>
        <w:t xml:space="preserve">). Long term and cumulative impacts can be particularly difficult to understand, </w:t>
      </w:r>
      <w:r w:rsidR="0084277B">
        <w:t>measure and attribute.</w:t>
      </w:r>
    </w:p>
    <w:p w:rsidR="006B165A" w:rsidRPr="009C5114" w:rsidRDefault="002F4603" w:rsidP="009C5114">
      <w:pPr>
        <w:pStyle w:val="BodyText"/>
      </w:pPr>
      <w:r w:rsidRPr="009C5114">
        <w:t>High levels of uncertainty over environmental impacts can make policy making and subsequent decisions vulnerable to popula</w:t>
      </w:r>
      <w:r w:rsidR="008145F3" w:rsidRPr="009C5114">
        <w:t>r</w:t>
      </w:r>
      <w:r w:rsidRPr="009C5114">
        <w:t xml:space="preserve"> pressure. For example, the </w:t>
      </w:r>
      <w:proofErr w:type="spellStart"/>
      <w:r w:rsidRPr="009C5114">
        <w:t>CSG</w:t>
      </w:r>
      <w:proofErr w:type="spellEnd"/>
      <w:r w:rsidRPr="009C5114">
        <w:t xml:space="preserve"> industry has been subject to a moratorium in Victoria</w:t>
      </w:r>
      <w:r w:rsidR="00265C9F" w:rsidRPr="009C5114">
        <w:t xml:space="preserve"> and</w:t>
      </w:r>
      <w:r w:rsidR="006B165A" w:rsidRPr="009C5114">
        <w:t xml:space="preserve"> </w:t>
      </w:r>
      <w:r w:rsidR="00265C9F" w:rsidRPr="009C5114">
        <w:t xml:space="preserve">a number of </w:t>
      </w:r>
      <w:r w:rsidR="006B165A" w:rsidRPr="009C5114">
        <w:t xml:space="preserve">regulatory </w:t>
      </w:r>
      <w:r w:rsidR="00265C9F" w:rsidRPr="009C5114">
        <w:t>restrictions</w:t>
      </w:r>
      <w:r w:rsidR="006B165A" w:rsidRPr="009C5114">
        <w:t xml:space="preserve"> in New South Wales. </w:t>
      </w:r>
      <w:r w:rsidRPr="009C5114">
        <w:t xml:space="preserve">And the Federal Government </w:t>
      </w:r>
      <w:r w:rsidR="00265C9F" w:rsidRPr="009C5114">
        <w:t xml:space="preserve">recently </w:t>
      </w:r>
      <w:r w:rsidRPr="009C5114">
        <w:t xml:space="preserve">announced </w:t>
      </w:r>
      <w:r w:rsidR="00DC3256" w:rsidRPr="009C5114">
        <w:t xml:space="preserve">that it is introducing an </w:t>
      </w:r>
      <w:r w:rsidR="00DC3256" w:rsidRPr="009C5114">
        <w:lastRenderedPageBreak/>
        <w:t xml:space="preserve">amendment to the </w:t>
      </w:r>
      <w:proofErr w:type="spellStart"/>
      <w:r w:rsidR="00DC3256" w:rsidRPr="009C5114">
        <w:t>EPBC</w:t>
      </w:r>
      <w:proofErr w:type="spellEnd"/>
      <w:r w:rsidR="00DC3256" w:rsidRPr="009C5114">
        <w:t xml:space="preserve"> Act to define water resources as a matter of national environmental significance in relation to coal seam gas and large coal mining developments (such developments </w:t>
      </w:r>
      <w:r w:rsidRPr="009C5114">
        <w:t>are currently largely the responsibility of stat</w:t>
      </w:r>
      <w:r w:rsidR="00DC3256" w:rsidRPr="009C5114">
        <w:t xml:space="preserve">es and territory governments). This </w:t>
      </w:r>
      <w:r w:rsidR="00FE13B4" w:rsidRPr="009C5114">
        <w:t>decision</w:t>
      </w:r>
      <w:r w:rsidRPr="009C5114">
        <w:t xml:space="preserve"> appears to have been made without appropriate regulatory impact analysis </w:t>
      </w:r>
      <w:r w:rsidR="008145F3" w:rsidRPr="009C5114">
        <w:t xml:space="preserve">to </w:t>
      </w:r>
      <w:r w:rsidR="002E0427" w:rsidRPr="009C5114">
        <w:t>assess</w:t>
      </w:r>
      <w:r w:rsidRPr="009C5114">
        <w:t xml:space="preserve"> the benefits and costs associated with </w:t>
      </w:r>
      <w:r w:rsidR="00B324EE" w:rsidRPr="009C5114">
        <w:t xml:space="preserve">the </w:t>
      </w:r>
      <w:r w:rsidRPr="009C5114">
        <w:t>proposed amendment.</w:t>
      </w:r>
    </w:p>
    <w:p w:rsidR="006B165A" w:rsidRPr="009C5114" w:rsidRDefault="006B165A" w:rsidP="009C5114">
      <w:pPr>
        <w:pStyle w:val="BodyText"/>
      </w:pPr>
      <w:r w:rsidRPr="009C5114">
        <w:t xml:space="preserve">Some companies have suspended certain </w:t>
      </w:r>
      <w:proofErr w:type="spellStart"/>
      <w:r w:rsidR="0031388D" w:rsidRPr="009C5114">
        <w:t>CSG</w:t>
      </w:r>
      <w:proofErr w:type="spellEnd"/>
      <w:r w:rsidR="0031388D" w:rsidRPr="009C5114">
        <w:t xml:space="preserve"> </w:t>
      </w:r>
      <w:r w:rsidRPr="009C5114">
        <w:t xml:space="preserve">activities as a result of the regulatory </w:t>
      </w:r>
      <w:r w:rsidR="002413F2" w:rsidRPr="009C5114">
        <w:t>situation</w:t>
      </w:r>
      <w:r w:rsidRPr="009C5114">
        <w:t xml:space="preserve">. For example, </w:t>
      </w:r>
      <w:r w:rsidR="00265C9F" w:rsidRPr="009C5114">
        <w:t>Dart Energy</w:t>
      </w:r>
      <w:r w:rsidRPr="009C5114">
        <w:t xml:space="preserve"> announced that:</w:t>
      </w:r>
    </w:p>
    <w:p w:rsidR="002F4603" w:rsidRDefault="006B165A" w:rsidP="00265C9F">
      <w:pPr>
        <w:pStyle w:val="Quote"/>
        <w:rPr>
          <w:lang w:val="en"/>
        </w:rPr>
      </w:pPr>
      <w:r>
        <w:t xml:space="preserve">… </w:t>
      </w:r>
      <w:r w:rsidRPr="006B165A">
        <w:t>following the recent regulatory changes by the NSW and Federal Governments, the Company has</w:t>
      </w:r>
      <w:r>
        <w:t xml:space="preserve"> </w:t>
      </w:r>
      <w:r w:rsidRPr="006B165A">
        <w:t>decided to not undertake any further work on its NSW assets until there is greater regulatory clarity</w:t>
      </w:r>
      <w:r>
        <w:t xml:space="preserve"> </w:t>
      </w:r>
      <w:r w:rsidRPr="006B165A">
        <w:t xml:space="preserve">and certainty. </w:t>
      </w:r>
      <w:r>
        <w:t>(2013</w:t>
      </w:r>
      <w:r w:rsidR="00342D89">
        <w:t>, p. 5</w:t>
      </w:r>
      <w:r>
        <w:t>)</w:t>
      </w:r>
    </w:p>
    <w:p w:rsidR="00BF3998" w:rsidRDefault="00BF3998" w:rsidP="007B59F9">
      <w:pPr>
        <w:pStyle w:val="Heading4"/>
      </w:pPr>
      <w:r>
        <w:t>Stakeholder</w:t>
      </w:r>
      <w:r w:rsidR="00D42C4F">
        <w:t>s’</w:t>
      </w:r>
      <w:r>
        <w:t xml:space="preserve"> views</w:t>
      </w:r>
      <w:r w:rsidR="00214D09">
        <w:t xml:space="preserve"> on uncertainty</w:t>
      </w:r>
    </w:p>
    <w:p w:rsidR="00BF3998" w:rsidRDefault="0084277B" w:rsidP="0084277B">
      <w:pPr>
        <w:pStyle w:val="BodyText"/>
      </w:pPr>
      <w:r w:rsidRPr="0084277B">
        <w:t>Several participants</w:t>
      </w:r>
      <w:r w:rsidR="00440337">
        <w:t xml:space="preserve"> </w:t>
      </w:r>
      <w:r>
        <w:t>expressed concern that current regulatory arrangements do not sufficiently take into account the uncertainty associated with possible impacts of current exploration activities. For example, the Basin Sustainabilit</w:t>
      </w:r>
      <w:r w:rsidR="00BF3998" w:rsidRPr="0084277B">
        <w:t>y Alliance</w:t>
      </w:r>
      <w:r w:rsidR="007A4AE0">
        <w:t xml:space="preserve"> (</w:t>
      </w:r>
      <w:r w:rsidR="008145F3">
        <w:t xml:space="preserve">which describes itself as </w:t>
      </w:r>
      <w:r w:rsidR="007A4AE0">
        <w:t>a ‘</w:t>
      </w:r>
      <w:r w:rsidR="007A4AE0" w:rsidRPr="007A4AE0">
        <w:t>Queensland</w:t>
      </w:r>
      <w:r w:rsidR="00E92A4C">
        <w:noBreakHyphen/>
      </w:r>
      <w:r w:rsidR="007A4AE0" w:rsidRPr="007A4AE0">
        <w:t>based group representing the concerns of landholders and rural communities in relation to the unprecedented scale and pace of development</w:t>
      </w:r>
      <w:r w:rsidR="00E47825">
        <w:t xml:space="preserve"> underway in the </w:t>
      </w:r>
      <w:proofErr w:type="spellStart"/>
      <w:r w:rsidR="009A33F0">
        <w:t>CSG</w:t>
      </w:r>
      <w:proofErr w:type="spellEnd"/>
      <w:r w:rsidR="007A4AE0" w:rsidRPr="007A4AE0">
        <w:t xml:space="preserve"> industry in Queensland</w:t>
      </w:r>
      <w:r w:rsidR="007A4AE0">
        <w:t>’)</w:t>
      </w:r>
      <w:r>
        <w:t xml:space="preserve"> noted:</w:t>
      </w:r>
    </w:p>
    <w:p w:rsidR="007A4AE0" w:rsidRDefault="007A4AE0" w:rsidP="00E47825">
      <w:pPr>
        <w:pStyle w:val="Quote"/>
      </w:pPr>
      <w:r>
        <w:t xml:space="preserve">… </w:t>
      </w:r>
      <w:r w:rsidRPr="007A4AE0">
        <w:t xml:space="preserve">it is our view that there is still currently not enough science and baseline information available to assess the true impacts that the coal seam gas industry will have on the future sustainability of our land and water resources. </w:t>
      </w:r>
      <w:r>
        <w:t xml:space="preserve">… </w:t>
      </w:r>
      <w:r w:rsidR="00B324EE">
        <w:t>[I]</w:t>
      </w:r>
      <w:r w:rsidRPr="007A4AE0">
        <w:t>f water or any other environmental related impacts are greater than intended</w:t>
      </w:r>
      <w:r w:rsidR="00B324EE">
        <w:t xml:space="preserve"> …</w:t>
      </w:r>
      <w:r w:rsidRPr="007A4AE0">
        <w:t xml:space="preserve"> or predictions of impact change for the worse – how does the Queensland Government wind back conditions for projects already approved in order to give assurance that water resources are not severely compromised?</w:t>
      </w:r>
      <w:r w:rsidR="008165CE">
        <w:t xml:space="preserve"> (sub.</w:t>
      </w:r>
      <w:r w:rsidR="00E92A4C">
        <w:t> </w:t>
      </w:r>
      <w:r w:rsidR="008165CE">
        <w:t>18</w:t>
      </w:r>
      <w:r w:rsidR="00BB3F1C">
        <w:t>,</w:t>
      </w:r>
      <w:r w:rsidR="008165CE">
        <w:t xml:space="preserve"> p. </w:t>
      </w:r>
      <w:r w:rsidR="00A27ABD">
        <w:t>3</w:t>
      </w:r>
      <w:r w:rsidR="008165CE">
        <w:t>)</w:t>
      </w:r>
    </w:p>
    <w:p w:rsidR="00042EBB" w:rsidRDefault="00042EBB" w:rsidP="00042EBB">
      <w:pPr>
        <w:pStyle w:val="BodyText"/>
      </w:pPr>
      <w:r>
        <w:t xml:space="preserve">Others, however, observed </w:t>
      </w:r>
      <w:r w:rsidR="008145F3">
        <w:t xml:space="preserve">that </w:t>
      </w:r>
      <w:r>
        <w:t xml:space="preserve">risks </w:t>
      </w:r>
      <w:r w:rsidR="008145F3">
        <w:t xml:space="preserve">tend </w:t>
      </w:r>
      <w:r>
        <w:t xml:space="preserve">to be overstated and </w:t>
      </w:r>
      <w:r w:rsidR="008145F3">
        <w:t xml:space="preserve">that there </w:t>
      </w:r>
      <w:r w:rsidR="00BB3F1C">
        <w:t>is</w:t>
      </w:r>
      <w:r w:rsidR="008145F3">
        <w:t xml:space="preserve"> </w:t>
      </w:r>
      <w:r>
        <w:t>a need for better communicati</w:t>
      </w:r>
      <w:r w:rsidR="00440337">
        <w:t xml:space="preserve">on of the actual risks involved. Resource Futures Pty Ltd </w:t>
      </w:r>
      <w:r w:rsidR="002E0427">
        <w:t>stated</w:t>
      </w:r>
      <w:r w:rsidR="00440337">
        <w:t>:</w:t>
      </w:r>
    </w:p>
    <w:p w:rsidR="00042EBB" w:rsidRPr="00042EBB" w:rsidRDefault="00042EBB" w:rsidP="00042EBB">
      <w:pPr>
        <w:pStyle w:val="Quote"/>
      </w:pPr>
      <w:r w:rsidRPr="00042EBB">
        <w:t>Risk perceptions may frequently be overstated by project opponents, leading to excessive prudence on the part of decision makers. The result, however, is often to prevaricate and delay, leading investors to give up and look elsewhere. More effective engagement and communication mechanisms, involving both resource stewards and resource developers, are needed to diminish the red tape and delay that have grown over the past few decades in soothing community concerns. (sub. 14, p. 7)</w:t>
      </w:r>
    </w:p>
    <w:p w:rsidR="00CB548E" w:rsidRPr="00096145" w:rsidRDefault="00096145" w:rsidP="00096145">
      <w:pPr>
        <w:pStyle w:val="Heading4"/>
      </w:pPr>
      <w:r w:rsidRPr="00096145">
        <w:t>Improving policy responses when there is a high level of uncertainty</w:t>
      </w:r>
    </w:p>
    <w:p w:rsidR="009E06CD" w:rsidRDefault="00183B6F" w:rsidP="00183B6F">
      <w:pPr>
        <w:pStyle w:val="BodyText"/>
      </w:pPr>
      <w:r w:rsidRPr="00BF3998">
        <w:t xml:space="preserve">In cases </w:t>
      </w:r>
      <w:r w:rsidR="00A27ABD">
        <w:t>where there is</w:t>
      </w:r>
      <w:r w:rsidRPr="00BF3998">
        <w:t xml:space="preserve"> scientific </w:t>
      </w:r>
      <w:r w:rsidR="00A27ABD">
        <w:t>un</w:t>
      </w:r>
      <w:r w:rsidRPr="00BF3998">
        <w:t xml:space="preserve">certainty </w:t>
      </w:r>
      <w:r w:rsidR="00A27ABD">
        <w:t>about impacts</w:t>
      </w:r>
      <w:r w:rsidR="000342E4">
        <w:t xml:space="preserve">, </w:t>
      </w:r>
      <w:r w:rsidR="00984836">
        <w:t>adoption of</w:t>
      </w:r>
      <w:r w:rsidRPr="00BF3998">
        <w:t xml:space="preserve"> </w:t>
      </w:r>
      <w:r w:rsidR="00647427">
        <w:t xml:space="preserve">a precautionary approach </w:t>
      </w:r>
      <w:r w:rsidR="00984836">
        <w:t xml:space="preserve">would enable </w:t>
      </w:r>
      <w:r w:rsidR="00647427">
        <w:t xml:space="preserve">a </w:t>
      </w:r>
      <w:r w:rsidRPr="00BF3998">
        <w:t xml:space="preserve">course of action </w:t>
      </w:r>
      <w:r w:rsidR="00984836">
        <w:t xml:space="preserve">to be determined </w:t>
      </w:r>
      <w:r w:rsidR="00647427">
        <w:t>that</w:t>
      </w:r>
      <w:r w:rsidRPr="00BF3998">
        <w:t xml:space="preserve"> maximises the benefits to society, taking account of the probabilities of all possible</w:t>
      </w:r>
      <w:r w:rsidR="00CF670F">
        <w:t xml:space="preserve"> </w:t>
      </w:r>
      <w:r w:rsidR="00647427">
        <w:t>impacts</w:t>
      </w:r>
      <w:r w:rsidRPr="00BF3998">
        <w:t xml:space="preserve">. </w:t>
      </w:r>
    </w:p>
    <w:p w:rsidR="004A6A57" w:rsidRDefault="009E06CD" w:rsidP="00183B6F">
      <w:pPr>
        <w:pStyle w:val="BodyText"/>
      </w:pPr>
      <w:r w:rsidRPr="009E06CD">
        <w:lastRenderedPageBreak/>
        <w:t xml:space="preserve">Uncertainty </w:t>
      </w:r>
      <w:r w:rsidR="008145F3">
        <w:t>about</w:t>
      </w:r>
      <w:r w:rsidRPr="009E06CD">
        <w:t xml:space="preserve"> the science should not lead</w:t>
      </w:r>
      <w:r>
        <w:t xml:space="preserve"> to poor regulatory processes and decision making</w:t>
      </w:r>
      <w:r w:rsidRPr="009E06CD">
        <w:t xml:space="preserve">. </w:t>
      </w:r>
      <w:r w:rsidR="00647427">
        <w:t>W</w:t>
      </w:r>
      <w:r w:rsidRPr="009E06CD">
        <w:t xml:space="preserve">here there is a concern of substantial or permanent damage, a lack of certainty should not be used to justify a lack of action to mitigate or prevent such damage. </w:t>
      </w:r>
      <w:r w:rsidR="00647427">
        <w:t>But nor</w:t>
      </w:r>
      <w:r w:rsidRPr="009E06CD">
        <w:t xml:space="preserve"> does uncertainty with the science reduce the need to identify the b</w:t>
      </w:r>
      <w:r w:rsidR="006D6A26">
        <w:t>enefits and costs of</w:t>
      </w:r>
      <w:r w:rsidRPr="009E06CD">
        <w:t xml:space="preserve"> activities</w:t>
      </w:r>
      <w:r w:rsidR="008145F3">
        <w:t xml:space="preserve"> such as exploration</w:t>
      </w:r>
      <w:r w:rsidRPr="009E06CD">
        <w:t>. Rather</w:t>
      </w:r>
      <w:r w:rsidR="008145F3">
        <w:t xml:space="preserve">, </w:t>
      </w:r>
      <w:r w:rsidRPr="009E06CD">
        <w:t xml:space="preserve">scientific uncertainty is one factor that should be considered when deciding whether exploration can reasonably </w:t>
      </w:r>
      <w:r w:rsidR="00D96855">
        <w:t xml:space="preserve">be </w:t>
      </w:r>
      <w:r w:rsidRPr="009E06CD">
        <w:t xml:space="preserve">expected to increase the community’s wellbeing. </w:t>
      </w:r>
    </w:p>
    <w:p w:rsidR="00183B6F" w:rsidRDefault="009E06CD" w:rsidP="00C97862">
      <w:pPr>
        <w:pStyle w:val="BodyText"/>
      </w:pPr>
      <w:r w:rsidRPr="009E06CD">
        <w:t xml:space="preserve">Decision makers should </w:t>
      </w:r>
      <w:r>
        <w:t>take into</w:t>
      </w:r>
      <w:r w:rsidR="00183B6F" w:rsidRPr="00BF3998">
        <w:t xml:space="preserve"> </w:t>
      </w:r>
      <w:r w:rsidR="00440337">
        <w:t xml:space="preserve">account </w:t>
      </w:r>
      <w:r w:rsidR="00183B6F" w:rsidRPr="00BF3998">
        <w:t>all available information</w:t>
      </w:r>
      <w:r w:rsidR="00D30AE1">
        <w:t xml:space="preserve"> on the impacts and risks of a proposed exploration activity</w:t>
      </w:r>
      <w:r w:rsidR="00183B6F" w:rsidRPr="00BF3998">
        <w:t xml:space="preserve">, </w:t>
      </w:r>
      <w:r w:rsidR="00D30AE1">
        <w:t>and assign probabilities to all of the impacts and risks</w:t>
      </w:r>
      <w:r w:rsidR="00A27ABD">
        <w:t xml:space="preserve">. </w:t>
      </w:r>
      <w:r w:rsidR="00D30AE1">
        <w:t xml:space="preserve">Such an approach allows policy options to be compared. </w:t>
      </w:r>
      <w:r w:rsidR="00A27ABD">
        <w:t>The basis for policy decisions should be transparent, and policies should</w:t>
      </w:r>
      <w:r w:rsidR="00183B6F" w:rsidRPr="00BF3998">
        <w:t xml:space="preserve"> be open to revision i</w:t>
      </w:r>
      <w:r>
        <w:t>n the light of new information — that is, an adaptive management approach</w:t>
      </w:r>
      <w:r w:rsidR="00C97862">
        <w:t xml:space="preserve"> </w:t>
      </w:r>
      <w:r w:rsidR="00183B6F" w:rsidRPr="00BF3998">
        <w:t>(</w:t>
      </w:r>
      <w:r w:rsidR="00183B6F" w:rsidRPr="00194E7E">
        <w:t>box </w:t>
      </w:r>
      <w:r w:rsidR="00D13ACE" w:rsidRPr="00D13ACE">
        <w:t>6.5</w:t>
      </w:r>
      <w:r w:rsidR="00183B6F" w:rsidRPr="00194E7E">
        <w:t xml:space="preserve">). </w:t>
      </w:r>
    </w:p>
    <w:p w:rsidR="0082619B" w:rsidRDefault="0082619B" w:rsidP="0082619B">
      <w:pPr>
        <w:pStyle w:val="BodyText"/>
      </w:pPr>
      <w:r>
        <w:t>Policy responses that can be implemented to manage potentially hazardous activities include:</w:t>
      </w:r>
    </w:p>
    <w:p w:rsidR="0082619B" w:rsidRDefault="0082619B" w:rsidP="0082619B">
      <w:pPr>
        <w:pStyle w:val="ListBullet"/>
      </w:pPr>
      <w:r>
        <w:t>conducting research to improve information and reduce uncertainties</w:t>
      </w:r>
    </w:p>
    <w:p w:rsidR="0082619B" w:rsidRDefault="0082619B" w:rsidP="0082619B">
      <w:pPr>
        <w:pStyle w:val="ListBullet"/>
      </w:pPr>
      <w:r w:rsidRPr="00306C96">
        <w:t>incorporating ‘safety margins’ or ‘uncertainty factors’ in risk assessments</w:t>
      </w:r>
    </w:p>
    <w:p w:rsidR="0082619B" w:rsidRDefault="0082619B" w:rsidP="0082619B">
      <w:pPr>
        <w:pStyle w:val="ListBullet"/>
      </w:pPr>
      <w:r>
        <w:t>regulating the activity to reduce the potential for adverse impacts</w:t>
      </w:r>
    </w:p>
    <w:p w:rsidR="0082619B" w:rsidRDefault="0082619B" w:rsidP="0082619B">
      <w:pPr>
        <w:pStyle w:val="ListBullet"/>
      </w:pPr>
      <w:r w:rsidRPr="00345AE8">
        <w:t>banning</w:t>
      </w:r>
      <w:r>
        <w:t xml:space="preserve"> an activity</w:t>
      </w:r>
      <w:r w:rsidRPr="00345AE8">
        <w:t>, either temporarily or permanently</w:t>
      </w:r>
      <w:r>
        <w:t xml:space="preserve"> — for example, if the activity is demonstrably likely to have impacts that will outweigh the benefits (</w:t>
      </w:r>
      <w:proofErr w:type="spellStart"/>
      <w:r>
        <w:t>Weier</w:t>
      </w:r>
      <w:proofErr w:type="spellEnd"/>
      <w:r>
        <w:t xml:space="preserve"> </w:t>
      </w:r>
      <w:r w:rsidRPr="00397CEE">
        <w:t xml:space="preserve">and </w:t>
      </w:r>
      <w:proofErr w:type="spellStart"/>
      <w:r w:rsidRPr="00397CEE">
        <w:t>Loke</w:t>
      </w:r>
      <w:proofErr w:type="spellEnd"/>
      <w:r w:rsidRPr="00397CEE">
        <w:t xml:space="preserve"> 2007</w:t>
      </w:r>
      <w:r>
        <w:t>).</w:t>
      </w:r>
    </w:p>
    <w:p w:rsidR="0082619B" w:rsidRDefault="0082619B" w:rsidP="0082619B">
      <w:pPr>
        <w:pStyle w:val="BodyText"/>
      </w:pPr>
      <w:r w:rsidRPr="009E06CD">
        <w:t>Options may be combined — for example cond</w:t>
      </w:r>
      <w:r>
        <w:t>ucting research while regulating the activity in the short term.</w:t>
      </w:r>
    </w:p>
    <w:p w:rsidR="0082619B" w:rsidRDefault="0082619B" w:rsidP="0082619B">
      <w:pPr>
        <w:pStyle w:val="BodyText"/>
      </w:pPr>
      <w:r>
        <w:t>Dr Nicola Swayne, at the Queensland University of Technology, noted that an effective adaptive management approach would require that the:</w:t>
      </w:r>
    </w:p>
    <w:p w:rsidR="0082619B" w:rsidRDefault="0082619B" w:rsidP="0082619B">
      <w:pPr>
        <w:pStyle w:val="Quote"/>
      </w:pPr>
      <w:r>
        <w:t xml:space="preserve">… approach be integrated into statutory provisions for the approval and management of </w:t>
      </w:r>
      <w:proofErr w:type="spellStart"/>
      <w:r>
        <w:t>CSG</w:t>
      </w:r>
      <w:proofErr w:type="spellEnd"/>
      <w:r>
        <w:t xml:space="preserve"> projects. … [and] … that the statutory regime be designed with sufficient flexibility to enable changes to be made to the regulatory framework in response to the improved knowledge and understanding of the impacts … ’ (2012, p. 34)</w:t>
      </w:r>
    </w:p>
    <w:p w:rsidR="00183B6F" w:rsidRPr="00D8291F" w:rsidRDefault="00183B6F" w:rsidP="009E06CD">
      <w:pPr>
        <w:spacing w:before="360" w:after="60" w:line="80" w:lineRule="exact"/>
        <w:jc w:val="both"/>
        <w:rPr>
          <w:b/>
          <w:sz w:val="14"/>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83B6F" w:rsidRPr="007611F9" w:rsidTr="00700615">
        <w:tc>
          <w:tcPr>
            <w:tcW w:w="8771" w:type="dxa"/>
            <w:tcBorders>
              <w:top w:val="single" w:sz="6" w:space="0" w:color="auto"/>
              <w:bottom w:val="nil"/>
            </w:tcBorders>
          </w:tcPr>
          <w:p w:rsidR="00183B6F" w:rsidRPr="00862978" w:rsidRDefault="00183B6F" w:rsidP="00D13ACE">
            <w:pPr>
              <w:pStyle w:val="BoxTitle"/>
            </w:pPr>
            <w:r w:rsidRPr="00862978">
              <w:rPr>
                <w:b w:val="0"/>
              </w:rPr>
              <w:lastRenderedPageBreak/>
              <w:t xml:space="preserve">Box </w:t>
            </w:r>
            <w:bookmarkStart w:id="3" w:name="OLE_LINK1"/>
            <w:r w:rsidR="00194E7E">
              <w:rPr>
                <w:b w:val="0"/>
              </w:rPr>
              <w:t>6</w:t>
            </w:r>
            <w:r w:rsidR="00D13ACE">
              <w:rPr>
                <w:b w:val="0"/>
              </w:rPr>
              <w:t>.5</w:t>
            </w:r>
            <w:bookmarkEnd w:id="3"/>
            <w:r w:rsidRPr="00862978">
              <w:tab/>
            </w:r>
            <w:r w:rsidR="00BA10BE">
              <w:t>A</w:t>
            </w:r>
            <w:r w:rsidRPr="00862978">
              <w:t>daptive management</w:t>
            </w:r>
          </w:p>
        </w:tc>
      </w:tr>
      <w:tr w:rsidR="00183B6F" w:rsidRPr="007611F9" w:rsidTr="00700615">
        <w:trPr>
          <w:cantSplit/>
        </w:trPr>
        <w:tc>
          <w:tcPr>
            <w:tcW w:w="8771" w:type="dxa"/>
            <w:tcBorders>
              <w:top w:val="nil"/>
              <w:left w:val="single" w:sz="6" w:space="0" w:color="auto"/>
              <w:bottom w:val="nil"/>
              <w:right w:val="single" w:sz="6" w:space="0" w:color="auto"/>
            </w:tcBorders>
          </w:tcPr>
          <w:p w:rsidR="005D6508" w:rsidRDefault="00B02E3D" w:rsidP="00FD17C0">
            <w:pPr>
              <w:pStyle w:val="Box"/>
            </w:pPr>
            <w:r w:rsidRPr="00FD17C0">
              <w:rPr>
                <w:i/>
              </w:rPr>
              <w:t>Risk</w:t>
            </w:r>
            <w:r w:rsidR="004345B5">
              <w:t xml:space="preserve"> </w:t>
            </w:r>
            <w:r w:rsidR="00183B6F">
              <w:t xml:space="preserve">can be defined </w:t>
            </w:r>
            <w:r w:rsidR="00317D4E">
              <w:t xml:space="preserve">in terms of two key concepts — </w:t>
            </w:r>
            <w:r w:rsidR="00183B6F">
              <w:t>the probability of an event</w:t>
            </w:r>
            <w:r w:rsidR="00317D4E">
              <w:t xml:space="preserve"> occurring,</w:t>
            </w:r>
            <w:r w:rsidR="00183B6F">
              <w:t xml:space="preserve"> </w:t>
            </w:r>
            <w:r w:rsidR="00317D4E">
              <w:t>and</w:t>
            </w:r>
            <w:r>
              <w:t xml:space="preserve"> the </w:t>
            </w:r>
            <w:r w:rsidR="004A6A57">
              <w:t>level of benefit or cost</w:t>
            </w:r>
            <w:r>
              <w:t xml:space="preserve"> should</w:t>
            </w:r>
            <w:r w:rsidR="001840A5">
              <w:t xml:space="preserve"> the event occur.</w:t>
            </w:r>
            <w:r w:rsidR="00FD17C0">
              <w:t xml:space="preserve"> </w:t>
            </w:r>
            <w:r w:rsidRPr="00FD17C0">
              <w:rPr>
                <w:i/>
              </w:rPr>
              <w:t>Uncertainty</w:t>
            </w:r>
            <w:r w:rsidR="00FD17C0">
              <w:t>, on the other hand, characterises a situation where the probabilit</w:t>
            </w:r>
            <w:r w:rsidR="00C6177A">
              <w:t>y</w:t>
            </w:r>
            <w:r w:rsidR="00FD17C0">
              <w:t xml:space="preserve"> of an event occurring </w:t>
            </w:r>
            <w:r w:rsidR="00165ED3">
              <w:t>is</w:t>
            </w:r>
            <w:r w:rsidR="00FD17C0">
              <w:t xml:space="preserve"> unknown.</w:t>
            </w:r>
          </w:p>
          <w:p w:rsidR="00FD17C0" w:rsidRDefault="005D6508" w:rsidP="00FD17C0">
            <w:pPr>
              <w:pStyle w:val="Box"/>
            </w:pPr>
            <w:r>
              <w:t xml:space="preserve">A </w:t>
            </w:r>
            <w:r w:rsidR="00317D4E">
              <w:t>decision</w:t>
            </w:r>
            <w:r w:rsidR="00E92A4C">
              <w:noBreakHyphen/>
            </w:r>
            <w:r w:rsidR="00317D4E">
              <w:t>making</w:t>
            </w:r>
            <w:r w:rsidR="00FD17C0">
              <w:t xml:space="preserve"> rule when making a decision in situations of uncertainty is to choose the </w:t>
            </w:r>
            <w:r w:rsidR="00B62FF0">
              <w:t>option</w:t>
            </w:r>
            <w:r w:rsidR="00FD17C0">
              <w:t xml:space="preserve"> </w:t>
            </w:r>
            <w:r w:rsidR="005573DA">
              <w:t xml:space="preserve">that </w:t>
            </w:r>
            <w:r w:rsidR="00FD17C0">
              <w:t>maximi</w:t>
            </w:r>
            <w:r>
              <w:t xml:space="preserve">ses the expected </w:t>
            </w:r>
            <w:r w:rsidR="004A6A57">
              <w:t xml:space="preserve">net </w:t>
            </w:r>
            <w:r>
              <w:t>benefit</w:t>
            </w:r>
            <w:r w:rsidR="00317D4E">
              <w:t xml:space="preserve">, taking into account </w:t>
            </w:r>
            <w:r w:rsidR="00692ADA">
              <w:t xml:space="preserve">all of </w:t>
            </w:r>
            <w:r w:rsidR="00317D4E">
              <w:t>the possible impacts and their associated probabilities</w:t>
            </w:r>
            <w:r>
              <w:t>.</w:t>
            </w:r>
          </w:p>
          <w:p w:rsidR="00683CF3" w:rsidRDefault="005D6508" w:rsidP="00700615">
            <w:pPr>
              <w:pStyle w:val="Box"/>
            </w:pPr>
            <w:r>
              <w:t>Th</w:t>
            </w:r>
            <w:r w:rsidR="00692ADA">
              <w:t>is rule requires</w:t>
            </w:r>
            <w:r w:rsidR="00317D4E">
              <w:t xml:space="preserve"> </w:t>
            </w:r>
            <w:r w:rsidR="001840A5">
              <w:t>a</w:t>
            </w:r>
            <w:r w:rsidRPr="005D6508">
              <w:t xml:space="preserve"> regulator to analyse all relevant di</w:t>
            </w:r>
            <w:r w:rsidR="001840A5">
              <w:t>mensions of a</w:t>
            </w:r>
            <w:r w:rsidR="00AD0800">
              <w:t xml:space="preserve"> situation</w:t>
            </w:r>
            <w:r w:rsidRPr="005D6508">
              <w:t xml:space="preserve">. </w:t>
            </w:r>
            <w:r w:rsidR="00692ADA">
              <w:t>It</w:t>
            </w:r>
            <w:r w:rsidRPr="005D6508">
              <w:t xml:space="preserve"> acknowledges</w:t>
            </w:r>
            <w:r>
              <w:t xml:space="preserve"> </w:t>
            </w:r>
            <w:r w:rsidRPr="005D6508">
              <w:t>that m</w:t>
            </w:r>
            <w:r w:rsidR="00D96855">
              <w:t>any</w:t>
            </w:r>
            <w:r w:rsidRPr="005D6508">
              <w:t xml:space="preserve"> </w:t>
            </w:r>
            <w:r w:rsidR="00692ADA">
              <w:t xml:space="preserve">aspects of an </w:t>
            </w:r>
            <w:r w:rsidRPr="005D6508">
              <w:t xml:space="preserve">assessment </w:t>
            </w:r>
            <w:r w:rsidR="00692ADA">
              <w:t>may be</w:t>
            </w:r>
            <w:r>
              <w:t xml:space="preserve"> subjective. However, </w:t>
            </w:r>
            <w:r w:rsidR="002E0427">
              <w:t>analysing</w:t>
            </w:r>
            <w:r>
              <w:t xml:space="preserve"> uncertainty </w:t>
            </w:r>
            <w:r w:rsidR="002E0427">
              <w:t>by expressing</w:t>
            </w:r>
            <w:r w:rsidR="00183B6F">
              <w:t xml:space="preserve"> probabilities</w:t>
            </w:r>
            <w:r w:rsidR="00165ED3">
              <w:t xml:space="preserve"> </w:t>
            </w:r>
            <w:r w:rsidR="002E0427">
              <w:t xml:space="preserve">quantitatively </w:t>
            </w:r>
            <w:r w:rsidR="00165ED3">
              <w:t xml:space="preserve">(that is, converting </w:t>
            </w:r>
            <w:r w:rsidR="00692ADA">
              <w:t>uncertainties into</w:t>
            </w:r>
            <w:r w:rsidR="00683CF3">
              <w:t xml:space="preserve"> </w:t>
            </w:r>
            <w:r w:rsidR="00683CF3" w:rsidRPr="00CD2D6C">
              <w:rPr>
                <w:i/>
              </w:rPr>
              <w:t>risk</w:t>
            </w:r>
            <w:r w:rsidR="00692ADA">
              <w:rPr>
                <w:i/>
              </w:rPr>
              <w:t>s</w:t>
            </w:r>
            <w:r w:rsidR="00683CF3">
              <w:t>)</w:t>
            </w:r>
            <w:r w:rsidR="00D96855">
              <w:t xml:space="preserve"> —</w:t>
            </w:r>
            <w:r w:rsidR="00183B6F">
              <w:t xml:space="preserve"> rather than in a purely intuitive or qualitative way</w:t>
            </w:r>
            <w:r w:rsidR="00D96855">
              <w:t xml:space="preserve"> —</w:t>
            </w:r>
            <w:r w:rsidR="00183B6F">
              <w:t xml:space="preserve"> has a number of </w:t>
            </w:r>
            <w:r w:rsidR="004A6A57">
              <w:t>advantages</w:t>
            </w:r>
            <w:r w:rsidR="00183B6F">
              <w:t>. While the probabilities are necessarily subjective, the</w:t>
            </w:r>
            <w:r w:rsidR="00317D4E">
              <w:t>ir assumed values</w:t>
            </w:r>
            <w:r w:rsidR="00183B6F">
              <w:t xml:space="preserve"> are </w:t>
            </w:r>
            <w:r w:rsidR="00317D4E">
              <w:t xml:space="preserve">made </w:t>
            </w:r>
            <w:r w:rsidR="00183B6F">
              <w:t>explicit, and hence</w:t>
            </w:r>
            <w:r w:rsidR="00692ADA">
              <w:t xml:space="preserve"> are </w:t>
            </w:r>
            <w:r w:rsidR="00183B6F">
              <w:t>open to scrutiny by third parties. They can also be revised in a logically consistent way when new information becomes available.</w:t>
            </w:r>
          </w:p>
          <w:p w:rsidR="00183B6F" w:rsidRDefault="00183B6F" w:rsidP="00700615">
            <w:pPr>
              <w:pStyle w:val="Box"/>
            </w:pPr>
            <w:r>
              <w:t xml:space="preserve">Such an approach allows </w:t>
            </w:r>
            <w:r w:rsidR="00BA10BE">
              <w:t>policy options</w:t>
            </w:r>
            <w:r w:rsidR="002C5D98">
              <w:t xml:space="preserve"> to be compared</w:t>
            </w:r>
            <w:r w:rsidR="00692ADA">
              <w:t xml:space="preserve">, </w:t>
            </w:r>
            <w:r>
              <w:t xml:space="preserve">and for the decision maker to choose the </w:t>
            </w:r>
            <w:r w:rsidR="00BA10BE">
              <w:t>option</w:t>
            </w:r>
            <w:r>
              <w:t xml:space="preserve"> </w:t>
            </w:r>
            <w:r w:rsidR="003624AE">
              <w:t xml:space="preserve">that </w:t>
            </w:r>
            <w:r>
              <w:t xml:space="preserve">provides the greatest </w:t>
            </w:r>
            <w:r w:rsidR="000652AB">
              <w:t xml:space="preserve">expected </w:t>
            </w:r>
            <w:r>
              <w:t>net benefit to the community.</w:t>
            </w:r>
            <w:r w:rsidR="001840A5">
              <w:t xml:space="preserve"> Sensitivity analysis can be used to provide information about how changes in </w:t>
            </w:r>
            <w:r w:rsidR="00692ADA">
              <w:t xml:space="preserve">the </w:t>
            </w:r>
            <w:r w:rsidR="001840A5">
              <w:t>values of variables will affect the overall costs and benefits.</w:t>
            </w:r>
          </w:p>
          <w:p w:rsidR="00183B6F" w:rsidRDefault="00183B6F" w:rsidP="00700615">
            <w:pPr>
              <w:pStyle w:val="Box"/>
            </w:pPr>
            <w:r>
              <w:t xml:space="preserve">Adaptive management approaches should be built on </w:t>
            </w:r>
            <w:r w:rsidR="001F0318">
              <w:t>these</w:t>
            </w:r>
            <w:r>
              <w:t xml:space="preserve"> criteria. </w:t>
            </w:r>
            <w:r w:rsidR="00AB6D0C">
              <w:t xml:space="preserve">Adaptive management </w:t>
            </w:r>
            <w:r w:rsidR="00AB6D0C" w:rsidRPr="00AB6D0C">
              <w:t xml:space="preserve">involves drawing on research, monitoring and evaluation to improve the effectiveness of environmental </w:t>
            </w:r>
            <w:r w:rsidR="008F0123">
              <w:t>management (</w:t>
            </w:r>
            <w:proofErr w:type="spellStart"/>
            <w:r w:rsidR="00AB6D0C" w:rsidRPr="00AB6D0C">
              <w:t>Stankey</w:t>
            </w:r>
            <w:proofErr w:type="spellEnd"/>
            <w:r w:rsidR="00AB6D0C" w:rsidRPr="00AB6D0C">
              <w:t xml:space="preserve"> and Allan 2009). </w:t>
            </w:r>
            <w:r w:rsidR="001840A5">
              <w:rPr>
                <w:bCs/>
                <w:lang w:val="en"/>
              </w:rPr>
              <w:t xml:space="preserve">Such approaches </w:t>
            </w:r>
            <w:r w:rsidR="00692ADA">
              <w:rPr>
                <w:lang w:val="en"/>
              </w:rPr>
              <w:t>help</w:t>
            </w:r>
            <w:r>
              <w:rPr>
                <w:lang w:val="en"/>
              </w:rPr>
              <w:t xml:space="preserve"> to ensure that flexibility is incorporated into </w:t>
            </w:r>
            <w:r w:rsidR="001840A5">
              <w:rPr>
                <w:lang w:val="en"/>
              </w:rPr>
              <w:t>policy making</w:t>
            </w:r>
            <w:r>
              <w:rPr>
                <w:lang w:val="en"/>
              </w:rPr>
              <w:t xml:space="preserve"> to deal with changing risks and uncertainties. Policy </w:t>
            </w:r>
            <w:r w:rsidR="00692ADA">
              <w:rPr>
                <w:lang w:val="en"/>
              </w:rPr>
              <w:t>can then</w:t>
            </w:r>
            <w:r>
              <w:rPr>
                <w:lang w:val="en"/>
              </w:rPr>
              <w:t xml:space="preserve"> </w:t>
            </w:r>
            <w:r w:rsidR="00692ADA">
              <w:rPr>
                <w:lang w:val="en"/>
              </w:rPr>
              <w:t xml:space="preserve">be </w:t>
            </w:r>
            <w:r>
              <w:rPr>
                <w:lang w:val="en"/>
              </w:rPr>
              <w:t>implemented iteratively over time</w:t>
            </w:r>
            <w:r w:rsidR="007E2B96">
              <w:rPr>
                <w:lang w:val="en"/>
              </w:rPr>
              <w:t xml:space="preserve"> in order to maintain </w:t>
            </w:r>
            <w:r>
              <w:rPr>
                <w:lang w:val="en"/>
              </w:rPr>
              <w:t xml:space="preserve">risk </w:t>
            </w:r>
            <w:r w:rsidR="007E2B96">
              <w:rPr>
                <w:lang w:val="en"/>
              </w:rPr>
              <w:t>levels within tolerable bounds, with the</w:t>
            </w:r>
            <w:r>
              <w:rPr>
                <w:lang w:val="en"/>
              </w:rPr>
              <w:t xml:space="preserve"> aim of</w:t>
            </w:r>
            <w:r w:rsidRPr="005F2F15">
              <w:rPr>
                <w:lang w:val="en"/>
              </w:rPr>
              <w:t xml:space="preserve"> re</w:t>
            </w:r>
            <w:r>
              <w:rPr>
                <w:lang w:val="en"/>
              </w:rPr>
              <w:t>ducing uncertainty over time through</w:t>
            </w:r>
            <w:r w:rsidRPr="00D10C28">
              <w:rPr>
                <w:lang w:val="en"/>
              </w:rPr>
              <w:t xml:space="preserve"> monitoring</w:t>
            </w:r>
            <w:r w:rsidR="007E2B96">
              <w:rPr>
                <w:rStyle w:val="Hyperlink"/>
                <w:color w:val="auto"/>
                <w:u w:val="none"/>
                <w:lang w:val="en"/>
              </w:rPr>
              <w:t>. This learning process improves</w:t>
            </w:r>
            <w:r w:rsidR="002C5D98">
              <w:rPr>
                <w:lang w:val="en"/>
              </w:rPr>
              <w:t xml:space="preserve"> long run</w:t>
            </w:r>
            <w:r w:rsidR="00B62FF0">
              <w:rPr>
                <w:lang w:val="en"/>
              </w:rPr>
              <w:t xml:space="preserve"> environmental and regulatory</w:t>
            </w:r>
            <w:r w:rsidR="002C5D98">
              <w:rPr>
                <w:lang w:val="en"/>
              </w:rPr>
              <w:t xml:space="preserve"> </w:t>
            </w:r>
            <w:r>
              <w:rPr>
                <w:lang w:val="en"/>
              </w:rPr>
              <w:t>outcomes</w:t>
            </w:r>
            <w:r w:rsidR="007E2B96">
              <w:rPr>
                <w:lang w:val="en"/>
              </w:rPr>
              <w:t>.</w:t>
            </w:r>
          </w:p>
          <w:p w:rsidR="00183B6F" w:rsidRPr="007611F9" w:rsidRDefault="00317D4E">
            <w:pPr>
              <w:pStyle w:val="Box"/>
            </w:pPr>
            <w:r>
              <w:t>Ex</w:t>
            </w:r>
            <w:r w:rsidR="00E92A4C">
              <w:noBreakHyphen/>
            </w:r>
            <w:r>
              <w:t>post r</w:t>
            </w:r>
            <w:r w:rsidR="00183B6F" w:rsidRPr="00203C97">
              <w:t>eview</w:t>
            </w:r>
            <w:r w:rsidR="00183B6F">
              <w:t>s are essential to</w:t>
            </w:r>
            <w:r w:rsidR="00183B6F" w:rsidRPr="00203C97">
              <w:t xml:space="preserve"> adaptive</w:t>
            </w:r>
            <w:r w:rsidR="00183B6F">
              <w:t xml:space="preserve"> </w:t>
            </w:r>
            <w:r w:rsidR="00183B6F" w:rsidRPr="00203C97">
              <w:t>management</w:t>
            </w:r>
            <w:r w:rsidR="00692ADA">
              <w:t>, and</w:t>
            </w:r>
            <w:r>
              <w:t xml:space="preserve"> </w:t>
            </w:r>
            <w:r w:rsidR="00692ADA">
              <w:t xml:space="preserve">they </w:t>
            </w:r>
            <w:r>
              <w:t xml:space="preserve">help </w:t>
            </w:r>
            <w:r w:rsidR="00183B6F" w:rsidRPr="00203C97">
              <w:t xml:space="preserve">to validate and improve </w:t>
            </w:r>
            <w:r>
              <w:t>ex</w:t>
            </w:r>
            <w:r w:rsidR="00E92A4C">
              <w:noBreakHyphen/>
            </w:r>
            <w:r>
              <w:t xml:space="preserve">ante </w:t>
            </w:r>
            <w:r w:rsidR="00183B6F" w:rsidRPr="00203C97">
              <w:t xml:space="preserve">assessment methodologies </w:t>
            </w:r>
            <w:r w:rsidR="00B62FF0">
              <w:t>and</w:t>
            </w:r>
            <w:r w:rsidR="00692ADA">
              <w:t xml:space="preserve"> </w:t>
            </w:r>
            <w:r w:rsidR="00183B6F" w:rsidRPr="00203C97">
              <w:t>better inform future decision making.</w:t>
            </w:r>
          </w:p>
        </w:tc>
      </w:tr>
      <w:tr w:rsidR="00183B6F" w:rsidRPr="007611F9" w:rsidTr="00700615">
        <w:trPr>
          <w:cantSplit/>
        </w:trPr>
        <w:tc>
          <w:tcPr>
            <w:tcW w:w="8771" w:type="dxa"/>
            <w:tcBorders>
              <w:top w:val="nil"/>
              <w:left w:val="single" w:sz="6" w:space="0" w:color="auto"/>
              <w:bottom w:val="nil"/>
              <w:right w:val="single" w:sz="6" w:space="0" w:color="auto"/>
            </w:tcBorders>
          </w:tcPr>
          <w:p w:rsidR="00183B6F" w:rsidRPr="007611F9" w:rsidRDefault="00183B6F" w:rsidP="00700615">
            <w:pPr>
              <w:keepLines/>
              <w:spacing w:before="180" w:line="220" w:lineRule="exact"/>
              <w:jc w:val="both"/>
              <w:rPr>
                <w:rFonts w:ascii="Arial" w:hAnsi="Arial"/>
                <w:sz w:val="18"/>
                <w:szCs w:val="20"/>
              </w:rPr>
            </w:pPr>
            <w:r w:rsidRPr="007611F9">
              <w:rPr>
                <w:rFonts w:ascii="Arial" w:hAnsi="Arial"/>
                <w:i/>
                <w:sz w:val="18"/>
                <w:szCs w:val="20"/>
              </w:rPr>
              <w:t>Source</w:t>
            </w:r>
            <w:r w:rsidRPr="007611F9">
              <w:rPr>
                <w:rFonts w:ascii="Arial" w:hAnsi="Arial"/>
                <w:sz w:val="18"/>
                <w:szCs w:val="20"/>
              </w:rPr>
              <w:t xml:space="preserve">: </w:t>
            </w:r>
            <w:r>
              <w:rPr>
                <w:rFonts w:ascii="Arial" w:hAnsi="Arial"/>
                <w:sz w:val="18"/>
                <w:szCs w:val="20"/>
              </w:rPr>
              <w:t>OECD 2010; PC 2012.</w:t>
            </w:r>
          </w:p>
        </w:tc>
      </w:tr>
      <w:tr w:rsidR="00183B6F" w:rsidRPr="007611F9" w:rsidTr="00700615">
        <w:trPr>
          <w:cantSplit/>
        </w:trPr>
        <w:tc>
          <w:tcPr>
            <w:tcW w:w="8771" w:type="dxa"/>
            <w:tcBorders>
              <w:top w:val="nil"/>
              <w:left w:val="single" w:sz="6" w:space="0" w:color="auto"/>
              <w:bottom w:val="single" w:sz="6" w:space="0" w:color="auto"/>
              <w:right w:val="single" w:sz="6" w:space="0" w:color="auto"/>
            </w:tcBorders>
          </w:tcPr>
          <w:p w:rsidR="00183B6F" w:rsidRPr="007611F9" w:rsidRDefault="00183B6F" w:rsidP="00700615">
            <w:pPr>
              <w:keepNext/>
              <w:spacing w:line="120" w:lineRule="exact"/>
              <w:jc w:val="both"/>
              <w:rPr>
                <w:rFonts w:ascii="Arial" w:hAnsi="Arial"/>
                <w:sz w:val="22"/>
                <w:szCs w:val="20"/>
              </w:rPr>
            </w:pPr>
          </w:p>
        </w:tc>
      </w:tr>
      <w:tr w:rsidR="00183B6F" w:rsidRPr="007611F9" w:rsidTr="00700615">
        <w:tc>
          <w:tcPr>
            <w:tcW w:w="8771" w:type="dxa"/>
            <w:tcBorders>
              <w:top w:val="nil"/>
              <w:left w:val="nil"/>
              <w:bottom w:val="nil"/>
              <w:right w:val="nil"/>
            </w:tcBorders>
          </w:tcPr>
          <w:p w:rsidR="00183B6F" w:rsidRPr="007611F9" w:rsidRDefault="00183B6F" w:rsidP="00700615">
            <w:pPr>
              <w:spacing w:before="60" w:after="60" w:line="80" w:lineRule="exact"/>
              <w:jc w:val="both"/>
              <w:rPr>
                <w:rFonts w:ascii="Arial" w:hAnsi="Arial"/>
                <w:sz w:val="14"/>
                <w:szCs w:val="20"/>
              </w:rPr>
            </w:pPr>
          </w:p>
        </w:tc>
      </w:tr>
    </w:tbl>
    <w:p w:rsidR="00183B6F" w:rsidRDefault="00C97862" w:rsidP="00183B6F">
      <w:pPr>
        <w:pStyle w:val="BodyText"/>
      </w:pPr>
      <w:r>
        <w:t xml:space="preserve">The </w:t>
      </w:r>
      <w:r w:rsidR="00183B6F">
        <w:t>Queensland</w:t>
      </w:r>
      <w:r>
        <w:t xml:space="preserve"> Government has adopted an</w:t>
      </w:r>
      <w:r w:rsidR="00183B6F">
        <w:t xml:space="preserve"> adaptive management approach:</w:t>
      </w:r>
    </w:p>
    <w:p w:rsidR="00183B6F" w:rsidRPr="00DB4B12" w:rsidRDefault="00183B6F" w:rsidP="00DB4B12">
      <w:pPr>
        <w:pStyle w:val="Quote"/>
      </w:pPr>
      <w:r w:rsidRPr="00DB4B12">
        <w:t xml:space="preserve">Existing provisions of the </w:t>
      </w:r>
      <w:r w:rsidRPr="0031388D">
        <w:rPr>
          <w:i/>
        </w:rPr>
        <w:t>Environmental Protection Act 1994</w:t>
      </w:r>
      <w:r w:rsidRPr="00DB4B12">
        <w:t xml:space="preserve"> allow the Department of Environment and Resource Management to amend </w:t>
      </w:r>
      <w:proofErr w:type="spellStart"/>
      <w:r w:rsidRPr="00DB4B12">
        <w:t>CSG</w:t>
      </w:r>
      <w:proofErr w:type="spellEnd"/>
      <w:r w:rsidRPr="00DB4B12">
        <w:t xml:space="preserve"> environmental authorities to protect the environment from unintended impacts. Such an amendment might be triggered if information submitted with an annual evaluation of the effectiveness of the management of </w:t>
      </w:r>
      <w:proofErr w:type="spellStart"/>
      <w:r w:rsidRPr="00DB4B12">
        <w:t>CSG</w:t>
      </w:r>
      <w:proofErr w:type="spellEnd"/>
      <w:r w:rsidRPr="00DB4B12">
        <w:t xml:space="preserve"> water showed that unintended impacts were occurring to the environment.</w:t>
      </w:r>
      <w:r w:rsidR="00604FB4" w:rsidRPr="00DB4B12">
        <w:t xml:space="preserve"> (Queensland Government 201</w:t>
      </w:r>
      <w:r w:rsidR="00DB4B12" w:rsidRPr="00DB4B12">
        <w:t>0</w:t>
      </w:r>
      <w:r w:rsidR="00A260BE">
        <w:t>, p. 1</w:t>
      </w:r>
      <w:r w:rsidR="00DB4B12">
        <w:t>)</w:t>
      </w:r>
    </w:p>
    <w:p w:rsidR="00005AA5" w:rsidRDefault="00183B6F" w:rsidP="00183B6F">
      <w:pPr>
        <w:pStyle w:val="BodyText"/>
      </w:pPr>
      <w:r w:rsidRPr="00571624">
        <w:t xml:space="preserve">Queensland’s approach is accompanied by the imposition of layered monitoring and reporting duties on </w:t>
      </w:r>
      <w:proofErr w:type="spellStart"/>
      <w:r w:rsidR="00223ECE">
        <w:t>CSG</w:t>
      </w:r>
      <w:proofErr w:type="spellEnd"/>
      <w:r w:rsidRPr="00571624">
        <w:t xml:space="preserve"> operators alongside obligations to compensate and ‘make good’ </w:t>
      </w:r>
      <w:r w:rsidR="00C97862">
        <w:t xml:space="preserve">any </w:t>
      </w:r>
      <w:r w:rsidRPr="00571624">
        <w:t>harm caused (Swayne 2012). Arrangements to ‘make good’ an</w:t>
      </w:r>
      <w:r w:rsidR="001D132B">
        <w:t>y</w:t>
      </w:r>
      <w:r w:rsidRPr="00571624">
        <w:t xml:space="preserve"> impact on groundwater may, for example, include restoration of the water supply (such as by deepening a bore) or financial compensation for the loss of supply to the bore owner.</w:t>
      </w:r>
      <w:r w:rsidR="00942D11">
        <w:t xml:space="preserve"> </w:t>
      </w:r>
    </w:p>
    <w:p w:rsidR="00183B6F" w:rsidRDefault="00486D26" w:rsidP="00183B6F">
      <w:pPr>
        <w:pStyle w:val="BodyText"/>
      </w:pPr>
      <w:r>
        <w:lastRenderedPageBreak/>
        <w:t xml:space="preserve">In its comments on the draft Queensland approach to </w:t>
      </w:r>
      <w:r w:rsidR="000715B2">
        <w:t xml:space="preserve">managing the water impacts of </w:t>
      </w:r>
      <w:proofErr w:type="spellStart"/>
      <w:r w:rsidR="00B7076D">
        <w:t>CSG</w:t>
      </w:r>
      <w:proofErr w:type="spellEnd"/>
      <w:r>
        <w:t xml:space="preserve"> development</w:t>
      </w:r>
      <w:r w:rsidR="000715B2">
        <w:t xml:space="preserve"> (</w:t>
      </w:r>
      <w:r w:rsidR="000715B2" w:rsidRPr="000715B2">
        <w:rPr>
          <w:i/>
          <w:iCs/>
        </w:rPr>
        <w:t>Coal Seam Gas Water</w:t>
      </w:r>
      <w:r w:rsidR="000715B2">
        <w:rPr>
          <w:i/>
          <w:iCs/>
        </w:rPr>
        <w:t xml:space="preserve"> Management Policy Draft </w:t>
      </w:r>
      <w:r w:rsidR="00E92A4C">
        <w:rPr>
          <w:i/>
          <w:iCs/>
        </w:rPr>
        <w:noBreakHyphen/>
      </w:r>
      <w:r w:rsidR="000715B2">
        <w:rPr>
          <w:i/>
          <w:iCs/>
        </w:rPr>
        <w:t xml:space="preserve"> 2012</w:t>
      </w:r>
      <w:r w:rsidR="000715B2" w:rsidRPr="00CE438B">
        <w:t>)</w:t>
      </w:r>
      <w:r w:rsidRPr="00CF35DE">
        <w:t>,</w:t>
      </w:r>
      <w:r>
        <w:t xml:space="preserve"> </w:t>
      </w:r>
      <w:proofErr w:type="spellStart"/>
      <w:r w:rsidR="00942D11">
        <w:t>AgForce</w:t>
      </w:r>
      <w:proofErr w:type="spellEnd"/>
      <w:r w:rsidR="00942D11">
        <w:t xml:space="preserve"> Queensland </w:t>
      </w:r>
      <w:r w:rsidR="008F5669">
        <w:t xml:space="preserve">(2012) </w:t>
      </w:r>
      <w:r w:rsidR="00942D11">
        <w:t xml:space="preserve">was </w:t>
      </w:r>
      <w:r w:rsidR="00C14EC8">
        <w:t>broadly supportive of</w:t>
      </w:r>
      <w:r w:rsidR="00942D11">
        <w:t xml:space="preserve"> </w:t>
      </w:r>
      <w:r w:rsidR="000C56F3">
        <w:t>the proposed approach</w:t>
      </w:r>
      <w:r w:rsidR="00C14EC8">
        <w:t>, but noted</w:t>
      </w:r>
      <w:r w:rsidR="00942D11">
        <w:t>:</w:t>
      </w:r>
    </w:p>
    <w:p w:rsidR="00942D11" w:rsidRPr="00571624" w:rsidRDefault="00942D11" w:rsidP="00942D11">
      <w:pPr>
        <w:pStyle w:val="Quote"/>
      </w:pPr>
      <w:r>
        <w:t xml:space="preserve">… </w:t>
      </w:r>
      <w:r w:rsidRPr="00942D11">
        <w:t xml:space="preserve">it is important that </w:t>
      </w:r>
      <w:proofErr w:type="spellStart"/>
      <w:r w:rsidRPr="00942D11">
        <w:t>CSG</w:t>
      </w:r>
      <w:proofErr w:type="spellEnd"/>
      <w:r w:rsidRPr="00942D11">
        <w:t xml:space="preserve"> companies can demonstrate in their water management plans that they have considered their potential impacts on the environment and other water users and have a robust and strategic plan for the amelioration of these environmental impacts and to deliver on their ‘make good’ provisions into the future, including providing an ongoing supply of an equivalent amount</w:t>
      </w:r>
      <w:r w:rsidR="008F5669">
        <w:t xml:space="preserve"> of water of a suitable quality</w:t>
      </w:r>
      <w:r w:rsidRPr="00942D11">
        <w:t xml:space="preserve"> where that is required.</w:t>
      </w:r>
      <w:r w:rsidR="008F5669">
        <w:t> (p. 3)</w:t>
      </w:r>
    </w:p>
    <w:p w:rsidR="00183B6F" w:rsidRPr="00571624" w:rsidRDefault="00183B6F" w:rsidP="00183B6F">
      <w:pPr>
        <w:pStyle w:val="BodyText"/>
      </w:pPr>
      <w:r w:rsidRPr="00571624">
        <w:t xml:space="preserve">The Commission supports an adaptive management approach, combined with obligations on operators to compensate affected parties for any environmental impacts their activities may cause. To be effective, </w:t>
      </w:r>
      <w:r w:rsidR="000715B2">
        <w:t>such</w:t>
      </w:r>
      <w:r w:rsidRPr="00571624">
        <w:t xml:space="preserve"> approaches need to incorporate sufficient flexibility to allow regulations to change in response to improved knowledge of environmental impacts. This could mean, for example, that approval for certain exploration activities is conditional on environmental impacts not being significantly greater than anticipated at the time approval was granted</w:t>
      </w:r>
      <w:r w:rsidR="00223ECE">
        <w:t>. T</w:t>
      </w:r>
      <w:r w:rsidRPr="00571624">
        <w:t>hat is, there</w:t>
      </w:r>
      <w:r w:rsidR="00EA5741">
        <w:t xml:space="preserve"> need</w:t>
      </w:r>
      <w:r w:rsidR="000715B2">
        <w:t>s</w:t>
      </w:r>
      <w:r w:rsidR="00EA5741">
        <w:t xml:space="preserve"> to </w:t>
      </w:r>
      <w:r w:rsidRPr="00571624">
        <w:t xml:space="preserve">be </w:t>
      </w:r>
      <w:r w:rsidR="000715B2">
        <w:t>a</w:t>
      </w:r>
      <w:r w:rsidRPr="00571624">
        <w:t xml:space="preserve"> tradeoff between providing certainty for explor</w:t>
      </w:r>
      <w:r w:rsidR="00EA5741">
        <w:t>ers</w:t>
      </w:r>
      <w:r w:rsidRPr="00571624">
        <w:t xml:space="preserve"> </w:t>
      </w:r>
      <w:r w:rsidR="000715B2">
        <w:t xml:space="preserve">and being able </w:t>
      </w:r>
      <w:r w:rsidRPr="00571624">
        <w:t>to take action if impacts (or the risks of impacts) turn out to be greater than expected.</w:t>
      </w:r>
    </w:p>
    <w:p w:rsidR="00183B6F" w:rsidRDefault="00D94B80" w:rsidP="00183B6F">
      <w:pPr>
        <w:pStyle w:val="RecTitle"/>
      </w:pPr>
      <w:r>
        <w:t>draft recommendation 6</w:t>
      </w:r>
      <w:r w:rsidR="00183B6F">
        <w:t>.</w:t>
      </w:r>
      <w:r w:rsidR="003317B4">
        <w:t>6</w:t>
      </w:r>
    </w:p>
    <w:p w:rsidR="00183B6F" w:rsidRPr="00866251" w:rsidRDefault="00A75074" w:rsidP="00183B6F">
      <w:pPr>
        <w:pStyle w:val="Rec"/>
      </w:pPr>
      <w:r w:rsidRPr="00A75074">
        <w:t>Governments should ensure that when there is scientific uncertainty surrounding the environmental impacts of exploration activities, regulatory settings should evolve with the best</w:t>
      </w:r>
      <w:r w:rsidR="00E92A4C">
        <w:noBreakHyphen/>
      </w:r>
      <w:r w:rsidRPr="00A75074">
        <w:t>available science (adaptive management) and decisions on environmental approvals should be evidence</w:t>
      </w:r>
      <w:r w:rsidR="00E92A4C">
        <w:noBreakHyphen/>
      </w:r>
      <w:r w:rsidRPr="00A75074">
        <w:t>based.</w:t>
      </w:r>
    </w:p>
    <w:p w:rsidR="00700615" w:rsidRPr="00E656EB" w:rsidRDefault="0090101F" w:rsidP="00E656EB">
      <w:pPr>
        <w:pStyle w:val="Heading5"/>
        <w:rPr>
          <w:rStyle w:val="Heading4Char"/>
          <w:rFonts w:ascii="Times New Roman" w:hAnsi="Times New Roman"/>
          <w:i w:val="0"/>
          <w:sz w:val="26"/>
        </w:rPr>
      </w:pPr>
      <w:r w:rsidRPr="00E656EB">
        <w:rPr>
          <w:rStyle w:val="Heading4Char"/>
          <w:rFonts w:ascii="Times New Roman" w:hAnsi="Times New Roman"/>
          <w:sz w:val="26"/>
        </w:rPr>
        <w:t>Research to improve the understanding of</w:t>
      </w:r>
      <w:r w:rsidR="00700615" w:rsidRPr="00E656EB">
        <w:rPr>
          <w:rStyle w:val="Heading4Char"/>
          <w:rFonts w:ascii="Times New Roman" w:hAnsi="Times New Roman"/>
          <w:sz w:val="26"/>
        </w:rPr>
        <w:t xml:space="preserve"> impacts</w:t>
      </w:r>
    </w:p>
    <w:p w:rsidR="00E656EB" w:rsidRDefault="00E656EB" w:rsidP="00700615">
      <w:pPr>
        <w:pStyle w:val="BodyText"/>
      </w:pPr>
      <w:r>
        <w:t xml:space="preserve">In instances where there is significant scientific uncertainty about the environmental impacts of exploration — particularly for impacts that extend beyond the actual exploration site, </w:t>
      </w:r>
      <w:r w:rsidR="000715B2">
        <w:t xml:space="preserve">or that </w:t>
      </w:r>
      <w:r>
        <w:t xml:space="preserve">are cumulative over time, or </w:t>
      </w:r>
      <w:r w:rsidR="00EA44C1">
        <w:t xml:space="preserve">are </w:t>
      </w:r>
      <w:r>
        <w:t xml:space="preserve">otherwise difficult to </w:t>
      </w:r>
      <w:r w:rsidR="00EA44C1">
        <w:t>measure or</w:t>
      </w:r>
      <w:r>
        <w:t xml:space="preserve"> attribute — research may help to improve the evidence base for decision making.</w:t>
      </w:r>
    </w:p>
    <w:p w:rsidR="00700615" w:rsidRDefault="00065E00" w:rsidP="00700615">
      <w:pPr>
        <w:pStyle w:val="BodyText"/>
      </w:pPr>
      <w:r>
        <w:t xml:space="preserve">In this regard, </w:t>
      </w:r>
      <w:proofErr w:type="spellStart"/>
      <w:r w:rsidR="00700615" w:rsidRPr="00D02F2F">
        <w:t>COAG</w:t>
      </w:r>
      <w:proofErr w:type="spellEnd"/>
      <w:r w:rsidR="00E656EB">
        <w:t xml:space="preserve"> has develop</w:t>
      </w:r>
      <w:r w:rsidR="00700615">
        <w:t xml:space="preserve">ed </w:t>
      </w:r>
      <w:r w:rsidR="00700615" w:rsidRPr="00D02F2F">
        <w:t>the Coal Seam Gas National Partnership Agreement</w:t>
      </w:r>
      <w:r w:rsidR="00700615">
        <w:t xml:space="preserve">. The agreement </w:t>
      </w:r>
      <w:r w:rsidR="00700615" w:rsidRPr="00D02F2F">
        <w:t xml:space="preserve">aims to </w:t>
      </w:r>
      <w:r w:rsidR="00700615">
        <w:t>improve</w:t>
      </w:r>
      <w:r w:rsidR="00700615" w:rsidRPr="00D02F2F">
        <w:t xml:space="preserve"> the regulation of </w:t>
      </w:r>
      <w:proofErr w:type="spellStart"/>
      <w:r w:rsidR="00700615" w:rsidRPr="00D02F2F">
        <w:t>CSG</w:t>
      </w:r>
      <w:proofErr w:type="spellEnd"/>
      <w:r w:rsidR="00700615" w:rsidRPr="00D02F2F">
        <w:t xml:space="preserve"> and large coal mining development</w:t>
      </w:r>
      <w:r w:rsidR="00BB3F1C">
        <w:t>s</w:t>
      </w:r>
      <w:r w:rsidR="00700615" w:rsidRPr="00D02F2F">
        <w:t xml:space="preserve"> by ensuring that future decisions are informed by substantially improved scienc</w:t>
      </w:r>
      <w:r w:rsidR="00700615">
        <w:t xml:space="preserve">e and independent expert advice. </w:t>
      </w:r>
    </w:p>
    <w:p w:rsidR="00700615" w:rsidRDefault="00700615" w:rsidP="00700615">
      <w:pPr>
        <w:pStyle w:val="BodyText"/>
      </w:pPr>
      <w:r>
        <w:t>As a signatory</w:t>
      </w:r>
      <w:r w:rsidR="00B2157D">
        <w:t xml:space="preserve"> to the partnership agreement, the</w:t>
      </w:r>
      <w:r w:rsidRPr="00D02F2F">
        <w:rPr>
          <w:lang w:val="x-none"/>
        </w:rPr>
        <w:t xml:space="preserve"> Commonwealth Government is providing $150 million to fund scientific research on the potential water</w:t>
      </w:r>
      <w:r w:rsidR="00E92A4C">
        <w:rPr>
          <w:lang w:val="x-none"/>
        </w:rPr>
        <w:noBreakHyphen/>
      </w:r>
      <w:r w:rsidR="009A33F0">
        <w:rPr>
          <w:lang w:val="x-none"/>
        </w:rPr>
        <w:t xml:space="preserve">related impacts of </w:t>
      </w:r>
      <w:proofErr w:type="spellStart"/>
      <w:r w:rsidR="009A33F0">
        <w:t>CSG</w:t>
      </w:r>
      <w:proofErr w:type="spellEnd"/>
      <w:r w:rsidRPr="00D02F2F">
        <w:rPr>
          <w:lang w:val="x-none"/>
        </w:rPr>
        <w:t xml:space="preserve"> and large coal mining activities</w:t>
      </w:r>
      <w:r>
        <w:t xml:space="preserve"> through the </w:t>
      </w:r>
      <w:r w:rsidR="00586B5A" w:rsidRPr="00586B5A">
        <w:rPr>
          <w:lang w:val="en"/>
        </w:rPr>
        <w:t>Independent Expert Scientific Committee on Coal Seam Gas and Large Coal Mining Development</w:t>
      </w:r>
      <w:r w:rsidR="00586B5A">
        <w:rPr>
          <w:lang w:val="en"/>
        </w:rPr>
        <w:t xml:space="preserve"> (a committee of experts established by the Australian Government in 2012)</w:t>
      </w:r>
      <w:r>
        <w:t xml:space="preserve">. </w:t>
      </w:r>
    </w:p>
    <w:p w:rsidR="00700615" w:rsidRPr="00D02F2F" w:rsidRDefault="00700615" w:rsidP="00700615">
      <w:pPr>
        <w:pStyle w:val="BodyText"/>
      </w:pPr>
      <w:r w:rsidRPr="00D02F2F">
        <w:lastRenderedPageBreak/>
        <w:t xml:space="preserve">The three priority areas for strengthening decision making </w:t>
      </w:r>
      <w:r>
        <w:t xml:space="preserve">under the partnership agreement </w:t>
      </w:r>
      <w:r w:rsidRPr="00D02F2F">
        <w:t xml:space="preserve">are: </w:t>
      </w:r>
    </w:p>
    <w:p w:rsidR="00700615" w:rsidRPr="00D02F2F" w:rsidRDefault="00700615" w:rsidP="00700615">
      <w:pPr>
        <w:pStyle w:val="ListBullet"/>
      </w:pPr>
      <w:r w:rsidRPr="00D02F2F">
        <w:t xml:space="preserve">more closely identifying potential and actual impacts on water resources, and supporting </w:t>
      </w:r>
      <w:r w:rsidR="00BB3F1C">
        <w:t>p</w:t>
      </w:r>
      <w:r w:rsidRPr="00D02F2F">
        <w:t>arties to avoid or minimise significant impacts through a transparent process that builds public confidence</w:t>
      </w:r>
    </w:p>
    <w:p w:rsidR="00700615" w:rsidRPr="00D02F2F" w:rsidRDefault="00700615" w:rsidP="00700615">
      <w:pPr>
        <w:pStyle w:val="ListBullet"/>
      </w:pPr>
      <w:r w:rsidRPr="00D02F2F">
        <w:t xml:space="preserve">substantially improving governments’ collective scientific understanding of the actual and potential effects of </w:t>
      </w:r>
      <w:proofErr w:type="spellStart"/>
      <w:r w:rsidRPr="00D02F2F">
        <w:t>CSG</w:t>
      </w:r>
      <w:proofErr w:type="spellEnd"/>
      <w:r w:rsidRPr="00D02F2F">
        <w:t xml:space="preserve"> and coal mining developments on water resources</w:t>
      </w:r>
    </w:p>
    <w:p w:rsidR="00700615" w:rsidRPr="008C6CD9" w:rsidRDefault="00700615" w:rsidP="00700615">
      <w:pPr>
        <w:pStyle w:val="ListBullet"/>
        <w:rPr>
          <w:szCs w:val="24"/>
        </w:rPr>
      </w:pPr>
      <w:r w:rsidRPr="00D02F2F">
        <w:t>ensuring that the best scientific information and expertise underpins all relevant reg</w:t>
      </w:r>
      <w:r>
        <w:t>u</w:t>
      </w:r>
      <w:r w:rsidR="00E656EB">
        <w:t>latory processes and decisions (</w:t>
      </w:r>
      <w:proofErr w:type="spellStart"/>
      <w:r w:rsidRPr="008C6CD9">
        <w:rPr>
          <w:szCs w:val="24"/>
        </w:rPr>
        <w:t>COAG</w:t>
      </w:r>
      <w:proofErr w:type="spellEnd"/>
      <w:r w:rsidRPr="008C6CD9">
        <w:rPr>
          <w:szCs w:val="24"/>
        </w:rPr>
        <w:t xml:space="preserve"> Reform Council</w:t>
      </w:r>
      <w:r w:rsidR="00E656EB">
        <w:rPr>
          <w:szCs w:val="24"/>
        </w:rPr>
        <w:t>, 2013).</w:t>
      </w:r>
    </w:p>
    <w:p w:rsidR="00700615" w:rsidRDefault="00700615" w:rsidP="00700615">
      <w:pPr>
        <w:pStyle w:val="BodyText"/>
      </w:pPr>
      <w:r>
        <w:t xml:space="preserve">As the </w:t>
      </w:r>
      <w:r w:rsidR="000715B2">
        <w:t xml:space="preserve">community is the </w:t>
      </w:r>
      <w:r>
        <w:t xml:space="preserve">owner of mineral and energy resources, </w:t>
      </w:r>
      <w:r w:rsidR="00CF670F">
        <w:t xml:space="preserve">and </w:t>
      </w:r>
      <w:r w:rsidR="000715B2">
        <w:t xml:space="preserve">can be a </w:t>
      </w:r>
      <w:r w:rsidR="00CF670F">
        <w:t>beneficiar</w:t>
      </w:r>
      <w:r w:rsidR="000715B2">
        <w:t>y</w:t>
      </w:r>
      <w:r w:rsidR="00CF670F">
        <w:t xml:space="preserve"> </w:t>
      </w:r>
      <w:r w:rsidR="000715B2">
        <w:t>of</w:t>
      </w:r>
      <w:r w:rsidR="00CF670F">
        <w:t xml:space="preserve"> successful exploration, </w:t>
      </w:r>
      <w:r>
        <w:t xml:space="preserve">it is </w:t>
      </w:r>
      <w:r w:rsidR="00CF670F">
        <w:t xml:space="preserve">appropriate </w:t>
      </w:r>
      <w:r>
        <w:t xml:space="preserve">that Australian governments </w:t>
      </w:r>
      <w:r w:rsidR="000715B2">
        <w:t xml:space="preserve">contribute to </w:t>
      </w:r>
      <w:r>
        <w:t xml:space="preserve">improving the knowledge base of </w:t>
      </w:r>
      <w:r w:rsidR="000715B2">
        <w:t xml:space="preserve">not only the resource (see chapter 7) but also </w:t>
      </w:r>
      <w:r>
        <w:t xml:space="preserve">the impacts associated with the development of </w:t>
      </w:r>
      <w:r w:rsidR="000715B2">
        <w:t xml:space="preserve">those </w:t>
      </w:r>
      <w:r>
        <w:t>resources, including exploration activity.</w:t>
      </w:r>
    </w:p>
    <w:p w:rsidR="00CE59DF" w:rsidRPr="007B59F9" w:rsidRDefault="001A2F67" w:rsidP="007B59F9">
      <w:pPr>
        <w:pStyle w:val="Heading2"/>
      </w:pPr>
      <w:r>
        <w:t>6</w:t>
      </w:r>
      <w:r w:rsidR="007B59F9">
        <w:t>.5</w:t>
      </w:r>
      <w:r w:rsidR="007B59F9">
        <w:tab/>
      </w:r>
      <w:r w:rsidR="00321BFA">
        <w:t xml:space="preserve">Improving </w:t>
      </w:r>
      <w:r w:rsidR="00984836">
        <w:t xml:space="preserve">the administration of </w:t>
      </w:r>
      <w:r w:rsidR="00321BFA">
        <w:t>a</w:t>
      </w:r>
      <w:r w:rsidR="00814EBF">
        <w:t>ssessment and a</w:t>
      </w:r>
      <w:r w:rsidR="00CE59DF" w:rsidRPr="007B59F9">
        <w:t>pproval processes</w:t>
      </w:r>
    </w:p>
    <w:p w:rsidR="008327BF" w:rsidRPr="00571624" w:rsidRDefault="008327BF" w:rsidP="007B59F9">
      <w:pPr>
        <w:pStyle w:val="Heading3"/>
      </w:pPr>
      <w:r w:rsidRPr="00571624">
        <w:t xml:space="preserve">Are </w:t>
      </w:r>
      <w:r w:rsidR="003352AF">
        <w:t xml:space="preserve">regulatory </w:t>
      </w:r>
      <w:r w:rsidRPr="00571624">
        <w:t>requirements clear and well publicised?</w:t>
      </w:r>
    </w:p>
    <w:p w:rsidR="00113679" w:rsidRDefault="00113679" w:rsidP="00113679">
      <w:pPr>
        <w:pStyle w:val="BodyText"/>
      </w:pPr>
      <w:r>
        <w:t xml:space="preserve">There has been </w:t>
      </w:r>
      <w:r w:rsidR="00321BFA">
        <w:t xml:space="preserve">some </w:t>
      </w:r>
      <w:r>
        <w:t xml:space="preserve">criticism about </w:t>
      </w:r>
      <w:r w:rsidR="00321BFA">
        <w:t>a</w:t>
      </w:r>
      <w:r>
        <w:t xml:space="preserve"> lack of clarity or certainty with respect to </w:t>
      </w:r>
      <w:r w:rsidR="00321BFA">
        <w:t>regulatory requirements</w:t>
      </w:r>
      <w:r w:rsidR="001B509A">
        <w:t xml:space="preserve"> under the </w:t>
      </w:r>
      <w:proofErr w:type="spellStart"/>
      <w:r w:rsidR="001B509A">
        <w:t>EPBC</w:t>
      </w:r>
      <w:proofErr w:type="spellEnd"/>
      <w:r w:rsidR="001B509A">
        <w:t xml:space="preserve"> Act</w:t>
      </w:r>
      <w:r w:rsidR="00321BFA">
        <w:t xml:space="preserve">. </w:t>
      </w:r>
      <w:r w:rsidR="00586B5A">
        <w:t xml:space="preserve">In this regard, </w:t>
      </w:r>
      <w:proofErr w:type="spellStart"/>
      <w:r w:rsidR="00586B5A">
        <w:t>APPEA</w:t>
      </w:r>
      <w:proofErr w:type="spellEnd"/>
      <w:r w:rsidR="00586B5A">
        <w:t xml:space="preserve"> </w:t>
      </w:r>
      <w:r w:rsidR="006B6C3F">
        <w:t>supported</w:t>
      </w:r>
      <w:r w:rsidR="00586B5A">
        <w:t>:</w:t>
      </w:r>
    </w:p>
    <w:p w:rsidR="00113679" w:rsidRDefault="00113679" w:rsidP="00113679">
      <w:pPr>
        <w:pStyle w:val="QuoteBullet"/>
        <w:numPr>
          <w:ilvl w:val="0"/>
          <w:numId w:val="0"/>
        </w:numPr>
        <w:ind w:left="680"/>
      </w:pPr>
      <w:r>
        <w:t xml:space="preserve">… </w:t>
      </w:r>
      <w:r w:rsidRPr="000E3774">
        <w:t>improved and additional government guidelines to facilitate a better understanding of the regulatory</w:t>
      </w:r>
      <w:r>
        <w:t xml:space="preserve"> </w:t>
      </w:r>
      <w:r w:rsidRPr="000E3774">
        <w:t>process. For example, additional guidance on matters of National Environmental Significance (</w:t>
      </w:r>
      <w:proofErr w:type="spellStart"/>
      <w:r w:rsidRPr="000E3774">
        <w:t>NES</w:t>
      </w:r>
      <w:proofErr w:type="spellEnd"/>
      <w:r w:rsidRPr="000E3774">
        <w:t>) would</w:t>
      </w:r>
      <w:r>
        <w:t xml:space="preserve"> </w:t>
      </w:r>
      <w:r w:rsidRPr="000E3774">
        <w:t xml:space="preserve">alleviate confusion and improve the functioning of the </w:t>
      </w:r>
      <w:proofErr w:type="spellStart"/>
      <w:r w:rsidRPr="000E3774">
        <w:t>EPBC</w:t>
      </w:r>
      <w:proofErr w:type="spellEnd"/>
      <w:r w:rsidRPr="000E3774">
        <w:t xml:space="preserve"> Act with respect to </w:t>
      </w:r>
      <w:proofErr w:type="spellStart"/>
      <w:r w:rsidRPr="000E3774">
        <w:t>NES</w:t>
      </w:r>
      <w:proofErr w:type="spellEnd"/>
      <w:r w:rsidRPr="000E3774">
        <w:t xml:space="preserve"> triggers.</w:t>
      </w:r>
      <w:r>
        <w:t xml:space="preserve"> (</w:t>
      </w:r>
      <w:proofErr w:type="spellStart"/>
      <w:r>
        <w:t>APPEA</w:t>
      </w:r>
      <w:proofErr w:type="spellEnd"/>
      <w:r>
        <w:t xml:space="preserve"> 2013, p.</w:t>
      </w:r>
      <w:r w:rsidR="00E92A4C">
        <w:t> </w:t>
      </w:r>
      <w:r>
        <w:t>10)</w:t>
      </w:r>
    </w:p>
    <w:p w:rsidR="00113679" w:rsidRDefault="00321BFA" w:rsidP="00113679">
      <w:pPr>
        <w:pStyle w:val="BodyText"/>
      </w:pPr>
      <w:r>
        <w:t>Such an</w:t>
      </w:r>
      <w:r w:rsidR="006E57A1">
        <w:t xml:space="preserve"> approach is consistent with </w:t>
      </w:r>
      <w:proofErr w:type="spellStart"/>
      <w:r w:rsidR="00113679">
        <w:t>COAG’s</w:t>
      </w:r>
      <w:proofErr w:type="spellEnd"/>
      <w:r w:rsidR="00113679">
        <w:t xml:space="preserve"> princip</w:t>
      </w:r>
      <w:r w:rsidR="006B6C3F">
        <w:t>les of best practice regulation</w:t>
      </w:r>
      <w:r w:rsidR="006E57A1">
        <w:t xml:space="preserve"> which </w:t>
      </w:r>
      <w:r w:rsidR="00113679">
        <w:t>state that:</w:t>
      </w:r>
    </w:p>
    <w:p w:rsidR="00113679" w:rsidRDefault="00113679" w:rsidP="006B6C3F">
      <w:pPr>
        <w:pStyle w:val="Quote"/>
      </w:pPr>
      <w:r>
        <w:t xml:space="preserve">… </w:t>
      </w:r>
      <w:r w:rsidRPr="00F70C87">
        <w:t xml:space="preserve">it is necessary to clearly articulate </w:t>
      </w:r>
      <w:r>
        <w:t>…</w:t>
      </w:r>
      <w:r w:rsidRPr="00F70C87">
        <w:t xml:space="preserve"> regulations for the</w:t>
      </w:r>
      <w:r>
        <w:t xml:space="preserve"> </w:t>
      </w:r>
      <w:r w:rsidRPr="00F70C87">
        <w:t>benefit of regulators administering the solution as well as regulated parties.</w:t>
      </w:r>
      <w:r>
        <w:t xml:space="preserve"> … </w:t>
      </w:r>
      <w:r w:rsidRPr="00F70C87">
        <w:t>Good regulation should attempt to standardise the exercise of bureaucratic discretion, so as to reduce</w:t>
      </w:r>
      <w:r>
        <w:t xml:space="preserve"> </w:t>
      </w:r>
      <w:r w:rsidRPr="00F70C87">
        <w:t>discrepancies between government regulators, reduce uncertainty and lower compliance costs.</w:t>
      </w:r>
      <w:r>
        <w:t xml:space="preserve"> </w:t>
      </w:r>
      <w:r w:rsidR="00C52F69">
        <w:t xml:space="preserve">… </w:t>
      </w:r>
      <w:r w:rsidRPr="00F70C87">
        <w:t>Where possible, regulatory instruments should be drafted in ‘plain language’ to improve clarity and</w:t>
      </w:r>
      <w:r>
        <w:t xml:space="preserve"> </w:t>
      </w:r>
      <w:r w:rsidRPr="00F70C87">
        <w:t>simplicity, reduce uncertainty and enable the public to understand better the implications of regulatory</w:t>
      </w:r>
      <w:r>
        <w:t xml:space="preserve"> </w:t>
      </w:r>
      <w:r w:rsidRPr="00F70C87">
        <w:t>measures</w:t>
      </w:r>
      <w:r w:rsidR="006B6C3F">
        <w:t>. (</w:t>
      </w:r>
      <w:proofErr w:type="spellStart"/>
      <w:r w:rsidR="006B6C3F">
        <w:t>COAG</w:t>
      </w:r>
      <w:proofErr w:type="spellEnd"/>
      <w:r w:rsidR="006B6C3F">
        <w:t xml:space="preserve"> 2007, p. 5)</w:t>
      </w:r>
    </w:p>
    <w:p w:rsidR="00DD177C" w:rsidRPr="00726D78" w:rsidRDefault="006B6C3F" w:rsidP="00DD177C">
      <w:pPr>
        <w:pStyle w:val="BodyText"/>
        <w:rPr>
          <w:lang w:val="en"/>
        </w:rPr>
      </w:pPr>
      <w:r>
        <w:t>The Commission notes that a</w:t>
      </w:r>
      <w:r w:rsidR="00DD177C">
        <w:t xml:space="preserve">dministrative efficiency </w:t>
      </w:r>
      <w:r w:rsidR="00113679">
        <w:t>in environmental approval proces</w:t>
      </w:r>
      <w:r>
        <w:t xml:space="preserve">ses has </w:t>
      </w:r>
      <w:r w:rsidR="00113679">
        <w:t xml:space="preserve">improved </w:t>
      </w:r>
      <w:r w:rsidR="00DD177C" w:rsidRPr="00E7606D">
        <w:t xml:space="preserve">in recent years </w:t>
      </w:r>
      <w:r w:rsidR="00113679">
        <w:t>through</w:t>
      </w:r>
      <w:r w:rsidR="00DD177C" w:rsidRPr="00E7606D">
        <w:t xml:space="preserve"> the use of the </w:t>
      </w:r>
      <w:proofErr w:type="spellStart"/>
      <w:r w:rsidR="00DD177C" w:rsidRPr="00E7606D">
        <w:t>internet</w:t>
      </w:r>
      <w:proofErr w:type="spellEnd"/>
      <w:r w:rsidR="00DD177C" w:rsidRPr="00E7606D">
        <w:t xml:space="preserve"> to publicise regulatory requirements. </w:t>
      </w:r>
      <w:r>
        <w:t xml:space="preserve">For example, </w:t>
      </w:r>
      <w:r w:rsidR="00DD177C">
        <w:t>Western Australia’s</w:t>
      </w:r>
      <w:r w:rsidR="00DD177C" w:rsidRPr="00726D78">
        <w:t xml:space="preserve"> Department of Mines and Pet</w:t>
      </w:r>
      <w:r w:rsidR="00DD177C">
        <w:t xml:space="preserve">roleum has </w:t>
      </w:r>
      <w:r w:rsidR="00DD177C" w:rsidRPr="00726D78">
        <w:rPr>
          <w:lang w:val="en"/>
        </w:rPr>
        <w:t>implement</w:t>
      </w:r>
      <w:r w:rsidR="00DD177C">
        <w:rPr>
          <w:lang w:val="en"/>
        </w:rPr>
        <w:t>ed an</w:t>
      </w:r>
      <w:r w:rsidR="00DD177C" w:rsidRPr="00726D78">
        <w:rPr>
          <w:lang w:val="en"/>
        </w:rPr>
        <w:t xml:space="preserve"> online Environmental Assessment Regulatory System (EARS online) that </w:t>
      </w:r>
      <w:r w:rsidR="00DD177C" w:rsidRPr="00726D78">
        <w:rPr>
          <w:lang w:val="en"/>
        </w:rPr>
        <w:lastRenderedPageBreak/>
        <w:t xml:space="preserve">allows the lodgment, submission and tracking of </w:t>
      </w:r>
      <w:r w:rsidR="00DD177C">
        <w:rPr>
          <w:lang w:val="en"/>
        </w:rPr>
        <w:t>applications, accompanied by guidelines to assist applicants.</w:t>
      </w:r>
    </w:p>
    <w:p w:rsidR="00545D15" w:rsidRPr="00391176" w:rsidRDefault="0092505B" w:rsidP="008145F3">
      <w:pPr>
        <w:pStyle w:val="BodyText"/>
      </w:pPr>
      <w:r w:rsidRPr="008145F3">
        <w:t xml:space="preserve">In its report </w:t>
      </w:r>
      <w:r w:rsidRPr="00CE438B">
        <w:rPr>
          <w:i/>
        </w:rPr>
        <w:t>A Sustainable Future for</w:t>
      </w:r>
      <w:r w:rsidRPr="00AE1AB7">
        <w:rPr>
          <w:i/>
        </w:rPr>
        <w:t xml:space="preserve"> Victoria: Getting Environmental Regulation Right</w:t>
      </w:r>
      <w:r w:rsidRPr="00391176">
        <w:t xml:space="preserve">, </w:t>
      </w:r>
      <w:r w:rsidR="00B93A2A" w:rsidRPr="00391176">
        <w:t>the Victorian Competition and Efficiency Commission recommended</w:t>
      </w:r>
      <w:r w:rsidR="00545D15" w:rsidRPr="00391176">
        <w:t xml:space="preserve">: </w:t>
      </w:r>
    </w:p>
    <w:p w:rsidR="00545D15" w:rsidRDefault="00545D15" w:rsidP="005A7DBA">
      <w:pPr>
        <w:pStyle w:val="Quote"/>
      </w:pPr>
      <w:r w:rsidRPr="005A7DBA">
        <w:t xml:space="preserve">… the </w:t>
      </w:r>
      <w:r w:rsidR="0092505B" w:rsidRPr="005A7DBA">
        <w:t xml:space="preserve">[Victorian] </w:t>
      </w:r>
      <w:r w:rsidRPr="005A7DBA">
        <w:t>Department of Primary Industries (DPI) expand its website to list all the approvals that a mining or extractive industries proponent may need, and to provide guidelines, policy notes and advice on the requirements of each approval. The DPI should regularly update the website, to ensure proponents are informed of any proposed changes to the legislation or the approvals process.</w:t>
      </w:r>
      <w:r w:rsidR="00DC4186">
        <w:t xml:space="preserve"> (2009, p. 269)</w:t>
      </w:r>
    </w:p>
    <w:p w:rsidR="00113679" w:rsidRDefault="00B979C0" w:rsidP="00B979C0">
      <w:pPr>
        <w:pStyle w:val="BodyText"/>
      </w:pPr>
      <w:r>
        <w:t xml:space="preserve">The recommendation was supported by the Victorian Government. </w:t>
      </w:r>
    </w:p>
    <w:p w:rsidR="009F102C" w:rsidRPr="00B979C0" w:rsidRDefault="00CF670F" w:rsidP="00B979C0">
      <w:pPr>
        <w:pStyle w:val="BodyText"/>
      </w:pPr>
      <w:r w:rsidRPr="00B979C0">
        <w:t xml:space="preserve">The Commission sees value </w:t>
      </w:r>
      <w:r w:rsidR="00DC4F4B">
        <w:t>in</w:t>
      </w:r>
      <w:r w:rsidRPr="00B979C0">
        <w:t xml:space="preserve"> </w:t>
      </w:r>
      <w:r w:rsidR="00B979C0">
        <w:t>all</w:t>
      </w:r>
      <w:r w:rsidRPr="00B979C0">
        <w:t xml:space="preserve"> jurisdictions </w:t>
      </w:r>
      <w:r w:rsidR="00E84BD7">
        <w:t>having high standards of transparency in</w:t>
      </w:r>
      <w:r w:rsidR="00B979C0" w:rsidRPr="00B979C0">
        <w:t xml:space="preserve"> their regulatory requirement</w:t>
      </w:r>
      <w:r w:rsidR="00DC4F4B">
        <w:t>s</w:t>
      </w:r>
      <w:r w:rsidR="00E84BD7">
        <w:t xml:space="preserve"> (and changes to those requirements)</w:t>
      </w:r>
      <w:r w:rsidR="00DC4F4B">
        <w:t>, including h</w:t>
      </w:r>
      <w:r w:rsidR="00B979C0" w:rsidRPr="00B979C0">
        <w:t xml:space="preserve">ow these </w:t>
      </w:r>
      <w:r w:rsidRPr="00B979C0">
        <w:t>requirements are interpreted and enforced by agencies</w:t>
      </w:r>
      <w:r w:rsidR="00DC4F4B">
        <w:t xml:space="preserve">. </w:t>
      </w:r>
      <w:r w:rsidR="00E84BD7">
        <w:t xml:space="preserve">This will </w:t>
      </w:r>
      <w:r w:rsidR="009F102C">
        <w:t>enhance understan</w:t>
      </w:r>
      <w:r w:rsidR="00B93A2A">
        <w:t xml:space="preserve">ding </w:t>
      </w:r>
      <w:r w:rsidR="00E84BD7">
        <w:t xml:space="preserve">and </w:t>
      </w:r>
      <w:r w:rsidR="009F102C">
        <w:t xml:space="preserve">help to improve the quality of applications. In turn, this can facilitate a quicker and smoother flow of applications through the assessment process. </w:t>
      </w:r>
    </w:p>
    <w:p w:rsidR="00545D15" w:rsidRPr="00A00FC3" w:rsidRDefault="00D94B80" w:rsidP="00B979C0">
      <w:pPr>
        <w:pStyle w:val="RecTitle"/>
      </w:pPr>
      <w:r>
        <w:t>draft recommendation 6.</w:t>
      </w:r>
      <w:r w:rsidR="003317B4">
        <w:t>7</w:t>
      </w:r>
    </w:p>
    <w:p w:rsidR="00545D15" w:rsidRPr="00B37F2E" w:rsidRDefault="00A75074" w:rsidP="00545D15">
      <w:pPr>
        <w:pStyle w:val="Rec"/>
      </w:pPr>
      <w:r w:rsidRPr="00A75074">
        <w:t xml:space="preserve">Governments should clearly set out in a single location on the </w:t>
      </w:r>
      <w:proofErr w:type="spellStart"/>
      <w:r w:rsidRPr="00A75074">
        <w:t>internet</w:t>
      </w:r>
      <w:proofErr w:type="spellEnd"/>
      <w:r w:rsidRPr="00A75074">
        <w:t xml:space="preserve"> environment</w:t>
      </w:r>
      <w:r w:rsidR="00E92A4C">
        <w:noBreakHyphen/>
      </w:r>
      <w:r w:rsidRPr="00A75074">
        <w:t>related guidance on the range of approvals that may be required.</w:t>
      </w:r>
    </w:p>
    <w:p w:rsidR="00402846" w:rsidRPr="00571624" w:rsidRDefault="00E84BD7" w:rsidP="007B59F9">
      <w:pPr>
        <w:pStyle w:val="Heading3"/>
      </w:pPr>
      <w:r>
        <w:t>T</w:t>
      </w:r>
      <w:r w:rsidR="00452509" w:rsidRPr="00571624">
        <w:t xml:space="preserve">he issue of </w:t>
      </w:r>
      <w:r w:rsidR="00816469" w:rsidRPr="00571624">
        <w:t>‘shifting goalposts’</w:t>
      </w:r>
    </w:p>
    <w:p w:rsidR="00816469" w:rsidRDefault="00113679" w:rsidP="00EA3EF7">
      <w:pPr>
        <w:pStyle w:val="BodyText"/>
      </w:pPr>
      <w:r>
        <w:t>T</w:t>
      </w:r>
      <w:r w:rsidR="0092505B">
        <w:t xml:space="preserve">he Commission </w:t>
      </w:r>
      <w:r w:rsidR="00E84BD7">
        <w:t xml:space="preserve">was advised of concern that there were instances where </w:t>
      </w:r>
      <w:r w:rsidR="00255436">
        <w:t>explorers’</w:t>
      </w:r>
      <w:r w:rsidR="00255436" w:rsidRPr="00E554F7">
        <w:t xml:space="preserve"> </w:t>
      </w:r>
      <w:r w:rsidR="00E554F7" w:rsidRPr="00E554F7">
        <w:t>environmenta</w:t>
      </w:r>
      <w:r w:rsidR="00452509">
        <w:t>l plans</w:t>
      </w:r>
      <w:r w:rsidR="00F66E90">
        <w:t xml:space="preserve"> or environmental impact statements</w:t>
      </w:r>
      <w:r w:rsidR="00427CE8">
        <w:t xml:space="preserve"> (or equivalent documents</w:t>
      </w:r>
      <w:r w:rsidR="00F66E90">
        <w:t xml:space="preserve">) </w:t>
      </w:r>
      <w:r w:rsidR="00E84BD7">
        <w:t>were</w:t>
      </w:r>
      <w:r w:rsidR="00452509">
        <w:t xml:space="preserve"> rejected several times</w:t>
      </w:r>
      <w:r w:rsidR="00427CE8">
        <w:t xml:space="preserve"> with the regula</w:t>
      </w:r>
      <w:r w:rsidR="00E375D4">
        <w:t>ting agencies</w:t>
      </w:r>
      <w:r w:rsidR="00E554F7" w:rsidRPr="00E554F7">
        <w:t xml:space="preserve"> adding new </w:t>
      </w:r>
      <w:r w:rsidR="00AE0833">
        <w:t xml:space="preserve">grounds for rejection — and </w:t>
      </w:r>
      <w:r w:rsidR="00E554F7" w:rsidRPr="00E554F7">
        <w:t xml:space="preserve">issues to be addressed </w:t>
      </w:r>
      <w:r w:rsidR="00AE0833">
        <w:t xml:space="preserve">— </w:t>
      </w:r>
      <w:r w:rsidR="00452509">
        <w:t xml:space="preserve">following each assessment of </w:t>
      </w:r>
      <w:r w:rsidR="00427CE8">
        <w:t>the document.</w:t>
      </w:r>
      <w:r w:rsidR="00E554F7" w:rsidRPr="00E554F7">
        <w:t xml:space="preserve"> </w:t>
      </w:r>
    </w:p>
    <w:p w:rsidR="00AE0833" w:rsidRDefault="00A53977" w:rsidP="00AE0833">
      <w:pPr>
        <w:pStyle w:val="BodyText"/>
      </w:pPr>
      <w:r>
        <w:t>S</w:t>
      </w:r>
      <w:r w:rsidR="00AE0833" w:rsidRPr="00214D09">
        <w:t>uch problems c</w:t>
      </w:r>
      <w:r w:rsidR="00AE0833">
        <w:t>an reflect staff turnover</w:t>
      </w:r>
      <w:r w:rsidR="00683936">
        <w:t xml:space="preserve"> — </w:t>
      </w:r>
      <w:r w:rsidR="00AE0833">
        <w:t xml:space="preserve">for example, </w:t>
      </w:r>
      <w:r w:rsidR="00683936">
        <w:t xml:space="preserve">if </w:t>
      </w:r>
      <w:r w:rsidR="00AE0833">
        <w:t>a new case officer</w:t>
      </w:r>
      <w:r w:rsidR="00683936">
        <w:t xml:space="preserve"> is</w:t>
      </w:r>
      <w:r w:rsidR="00AE0833" w:rsidRPr="00214D09">
        <w:t xml:space="preserve"> assigned </w:t>
      </w:r>
      <w:r w:rsidR="00B7076D">
        <w:t xml:space="preserve">part of the way through </w:t>
      </w:r>
      <w:r w:rsidR="00AE0833" w:rsidRPr="00214D09">
        <w:t>the assessment of a particular proposal. They may also reflect an oversi</w:t>
      </w:r>
      <w:r w:rsidR="0092505B">
        <w:t>ght on the part of the</w:t>
      </w:r>
      <w:r w:rsidR="00AE0833" w:rsidRPr="00214D09">
        <w:t xml:space="preserve"> </w:t>
      </w:r>
      <w:r w:rsidR="0092505B">
        <w:t xml:space="preserve">assessing </w:t>
      </w:r>
      <w:r w:rsidR="00BF5EEE">
        <w:t>regulator</w:t>
      </w:r>
      <w:r w:rsidR="00BF5EEE" w:rsidRPr="00214D09">
        <w:t xml:space="preserve"> </w:t>
      </w:r>
      <w:r w:rsidR="00AE0833" w:rsidRPr="00214D09">
        <w:t>in its initial response to a draft environment plan.</w:t>
      </w:r>
    </w:p>
    <w:p w:rsidR="00FB04B9" w:rsidRDefault="00FB04B9" w:rsidP="00FB04B9">
      <w:pPr>
        <w:pStyle w:val="BodyText"/>
      </w:pPr>
      <w:r>
        <w:t xml:space="preserve">The Commission notes that in some cases there may be merit in the assessing </w:t>
      </w:r>
      <w:r w:rsidR="00BF5EEE">
        <w:t xml:space="preserve">regulator </w:t>
      </w:r>
      <w:r>
        <w:t xml:space="preserve">providing some early ‘informal’ advice to a proponent in order to expedite and smooth the process. For example, where there are some clear shortcomings </w:t>
      </w:r>
      <w:r w:rsidR="00E84BD7">
        <w:t>in</w:t>
      </w:r>
      <w:r>
        <w:t xml:space="preserve"> the first draft of an environmental plan, the agency could notify the proponent of some of these main concerns before providing its full, detailed response to the proponent and in this way potentially reduce the turnover time between versions of the environment plan.</w:t>
      </w:r>
    </w:p>
    <w:p w:rsidR="00FB04B9" w:rsidRDefault="00FB04B9" w:rsidP="00FB04B9">
      <w:pPr>
        <w:pStyle w:val="BodyText"/>
      </w:pPr>
      <w:r>
        <w:t>While some flexibility should be permitted, for example to allow</w:t>
      </w:r>
      <w:r w:rsidR="00255436">
        <w:t xml:space="preserve"> </w:t>
      </w:r>
      <w:r w:rsidR="00E375D4">
        <w:t>informal,</w:t>
      </w:r>
      <w:r>
        <w:t xml:space="preserve"> preliminary advice to be given to the proponent, or for an agency to address a significant oversight in </w:t>
      </w:r>
      <w:r>
        <w:lastRenderedPageBreak/>
        <w:t>its initial assessment, in general agencies should take all reasonable steps to avoid any ‘shifting of the goalposts’ during the assessment and approval process.</w:t>
      </w:r>
    </w:p>
    <w:p w:rsidR="00CA7ACA" w:rsidRPr="00CA7ACA" w:rsidRDefault="00CA7ACA" w:rsidP="00CA7ACA">
      <w:pPr>
        <w:pStyle w:val="Heading3"/>
      </w:pPr>
      <w:r>
        <w:t>The environmental information base</w:t>
      </w:r>
    </w:p>
    <w:p w:rsidR="00CA7ACA" w:rsidRPr="00D913FA" w:rsidRDefault="00CA7ACA" w:rsidP="00CA7ACA">
      <w:pPr>
        <w:pStyle w:val="BodyText"/>
      </w:pPr>
      <w:r w:rsidRPr="00D913FA">
        <w:t xml:space="preserve">A number of stakeholders have called for better management of environmental data that has been submitted in the form of environmental plans, environmental impact statements and equivalent documents. </w:t>
      </w:r>
    </w:p>
    <w:p w:rsidR="00CA7ACA" w:rsidRDefault="00CA7ACA" w:rsidP="008B7849">
      <w:pPr>
        <w:pStyle w:val="BodyText"/>
      </w:pPr>
      <w:r>
        <w:t xml:space="preserve">For example, </w:t>
      </w:r>
      <w:r w:rsidR="00486D26">
        <w:t xml:space="preserve">in consultations </w:t>
      </w:r>
      <w:r>
        <w:t>t</w:t>
      </w:r>
      <w:r w:rsidRPr="00D913FA">
        <w:t>he</w:t>
      </w:r>
      <w:r w:rsidR="00E375D4">
        <w:t xml:space="preserve"> Conservation Council of WA</w:t>
      </w:r>
      <w:r w:rsidRPr="00D913FA">
        <w:t xml:space="preserve"> called for </w:t>
      </w:r>
      <w:r>
        <w:t xml:space="preserve">a </w:t>
      </w:r>
      <w:r w:rsidRPr="00D913FA">
        <w:t xml:space="preserve">better register of environmental studies </w:t>
      </w:r>
      <w:r>
        <w:t xml:space="preserve">that have been </w:t>
      </w:r>
      <w:r w:rsidRPr="00D913FA">
        <w:t>conducted so that work does not need to be re</w:t>
      </w:r>
      <w:r w:rsidR="00E92A4C">
        <w:noBreakHyphen/>
      </w:r>
      <w:r w:rsidRPr="00D913FA">
        <w:t>done. In its view, current processes amount to a ‘piecemeal gathering of information’</w:t>
      </w:r>
      <w:r>
        <w:t>.</w:t>
      </w:r>
    </w:p>
    <w:p w:rsidR="00395ADB" w:rsidRDefault="00CA7ACA" w:rsidP="008B7849">
      <w:pPr>
        <w:pStyle w:val="BodyText"/>
      </w:pPr>
      <w:r>
        <w:t>D</w:t>
      </w:r>
      <w:r w:rsidR="00214D09">
        <w:t>uplication in assessment process</w:t>
      </w:r>
      <w:r w:rsidR="00CA3D0E">
        <w:t>e</w:t>
      </w:r>
      <w:r w:rsidR="008E5550">
        <w:t>s</w:t>
      </w:r>
      <w:r w:rsidR="00395ADB">
        <w:t xml:space="preserve"> may </w:t>
      </w:r>
      <w:r w:rsidR="00F66E90">
        <w:t xml:space="preserve">be caused by a range of factors, such as </w:t>
      </w:r>
      <w:r w:rsidR="00395ADB">
        <w:t>inadequate record keeping by en</w:t>
      </w:r>
      <w:r w:rsidR="00F66E90">
        <w:t>vironment agencies, insufficient cross</w:t>
      </w:r>
      <w:r w:rsidR="00E92A4C">
        <w:noBreakHyphen/>
      </w:r>
      <w:r w:rsidR="00F66E90">
        <w:t>referencing</w:t>
      </w:r>
      <w:r w:rsidR="0078774B">
        <w:t xml:space="preserve"> </w:t>
      </w:r>
      <w:r w:rsidR="00E84BD7">
        <w:t>of</w:t>
      </w:r>
      <w:r w:rsidR="00395ADB">
        <w:t xml:space="preserve"> approvals </w:t>
      </w:r>
      <w:r w:rsidR="00E84BD7">
        <w:t xml:space="preserve">that </w:t>
      </w:r>
      <w:r w:rsidR="00395ADB">
        <w:t>have previously been granted in a p</w:t>
      </w:r>
      <w:r w:rsidR="0078774B">
        <w:t>articular area</w:t>
      </w:r>
      <w:r w:rsidR="00F66E90">
        <w:t>, or lack of information sharing between agencies</w:t>
      </w:r>
      <w:r>
        <w:t xml:space="preserve"> and with explorers when they acquire tenements</w:t>
      </w:r>
      <w:r w:rsidR="00501A0C">
        <w:t>.</w:t>
      </w:r>
    </w:p>
    <w:p w:rsidR="00304CAE" w:rsidRDefault="0074797F" w:rsidP="00D913FA">
      <w:pPr>
        <w:pStyle w:val="BodyText"/>
      </w:pPr>
      <w:r>
        <w:t>The Department of Resources, Energy and Tourism</w:t>
      </w:r>
      <w:r w:rsidR="00D913FA" w:rsidRPr="00D913FA">
        <w:t xml:space="preserve"> </w:t>
      </w:r>
      <w:r w:rsidR="00113679">
        <w:t>highlighted deficiencies in this regard</w:t>
      </w:r>
      <w:r w:rsidR="00304CAE">
        <w:t xml:space="preserve">: </w:t>
      </w:r>
    </w:p>
    <w:p w:rsidR="00D913FA" w:rsidRPr="00D913FA" w:rsidRDefault="00D913FA" w:rsidP="005A7DBA">
      <w:pPr>
        <w:pStyle w:val="Quote"/>
      </w:pPr>
      <w:r w:rsidRPr="00304CAE">
        <w:rPr>
          <w:rStyle w:val="QuoteChar"/>
        </w:rPr>
        <w:t xml:space="preserve">The offshore petroleum industry acquires a range of geotechnical and marine data to fulfil requirements under the </w:t>
      </w:r>
      <w:proofErr w:type="spellStart"/>
      <w:r w:rsidRPr="00304CAE">
        <w:rPr>
          <w:rStyle w:val="QuoteChar"/>
        </w:rPr>
        <w:t>OPGGS</w:t>
      </w:r>
      <w:proofErr w:type="spellEnd"/>
      <w:r w:rsidR="00F41AC5">
        <w:rPr>
          <w:rStyle w:val="QuoteChar"/>
        </w:rPr>
        <w:t xml:space="preserve"> </w:t>
      </w:r>
      <w:r w:rsidRPr="00304CAE">
        <w:rPr>
          <w:rStyle w:val="QuoteChar"/>
        </w:rPr>
        <w:t>A</w:t>
      </w:r>
      <w:r w:rsidR="00F41AC5">
        <w:rPr>
          <w:rStyle w:val="QuoteChar"/>
        </w:rPr>
        <w:t>ct</w:t>
      </w:r>
      <w:r w:rsidR="00734D6D">
        <w:rPr>
          <w:rStyle w:val="QuoteChar"/>
        </w:rPr>
        <w:t xml:space="preserve">. … </w:t>
      </w:r>
      <w:r w:rsidRPr="00304CAE">
        <w:rPr>
          <w:rStyle w:val="QuoteChar"/>
        </w:rPr>
        <w:t>Greater accessibility and use of archived industry data would help promote sustained economic and social dividends from Australia’s coasts and oceans, while protecting the integrity of their ecosystems.</w:t>
      </w:r>
      <w:r w:rsidR="00734D6D">
        <w:rPr>
          <w:rStyle w:val="QuoteChar"/>
        </w:rPr>
        <w:t xml:space="preserve"> (</w:t>
      </w:r>
      <w:proofErr w:type="spellStart"/>
      <w:r w:rsidR="00734D6D">
        <w:rPr>
          <w:rStyle w:val="QuoteChar"/>
        </w:rPr>
        <w:t>DRET</w:t>
      </w:r>
      <w:proofErr w:type="spellEnd"/>
      <w:r w:rsidR="00734D6D">
        <w:rPr>
          <w:rStyle w:val="QuoteChar"/>
        </w:rPr>
        <w:t xml:space="preserve"> pers. comm. 27</w:t>
      </w:r>
      <w:r w:rsidR="00E92A4C">
        <w:rPr>
          <w:rStyle w:val="QuoteChar"/>
        </w:rPr>
        <w:t> </w:t>
      </w:r>
      <w:r w:rsidR="00734D6D">
        <w:rPr>
          <w:rStyle w:val="QuoteChar"/>
        </w:rPr>
        <w:t>November 2012)</w:t>
      </w:r>
    </w:p>
    <w:p w:rsidR="003D3E5F" w:rsidRDefault="00D913FA" w:rsidP="003D3E5F">
      <w:pPr>
        <w:pStyle w:val="BodyText"/>
      </w:pPr>
      <w:r w:rsidRPr="001840A5">
        <w:t xml:space="preserve">The </w:t>
      </w:r>
      <w:r w:rsidR="00304CAE" w:rsidRPr="001840A5">
        <w:t xml:space="preserve">Hawke Review </w:t>
      </w:r>
      <w:r w:rsidRPr="001840A5">
        <w:t>recommended</w:t>
      </w:r>
      <w:r w:rsidR="00304CAE" w:rsidRPr="001840A5">
        <w:t xml:space="preserve"> that</w:t>
      </w:r>
      <w:r w:rsidR="001840A5" w:rsidRPr="001840A5">
        <w:t xml:space="preserve"> the </w:t>
      </w:r>
      <w:proofErr w:type="spellStart"/>
      <w:r w:rsidR="001840A5" w:rsidRPr="001840A5">
        <w:t>EPBC</w:t>
      </w:r>
      <w:proofErr w:type="spellEnd"/>
      <w:r w:rsidR="001840A5" w:rsidRPr="001840A5">
        <w:t xml:space="preserve"> Act be amended to require</w:t>
      </w:r>
      <w:r w:rsidRPr="001840A5">
        <w:rPr>
          <w:rStyle w:val="QuoteChar"/>
          <w:sz w:val="26"/>
        </w:rPr>
        <w:t xml:space="preserve"> publication of a greater range of i</w:t>
      </w:r>
      <w:r w:rsidR="003D3E5F" w:rsidRPr="001840A5">
        <w:rPr>
          <w:rStyle w:val="QuoteChar"/>
          <w:sz w:val="26"/>
        </w:rPr>
        <w:t>nformation</w:t>
      </w:r>
      <w:r w:rsidR="001840A5" w:rsidRPr="001840A5">
        <w:rPr>
          <w:rStyle w:val="QuoteChar"/>
          <w:sz w:val="26"/>
        </w:rPr>
        <w:t xml:space="preserve"> gathered during assessment processes</w:t>
      </w:r>
      <w:r w:rsidR="00CA3D0E">
        <w:rPr>
          <w:rStyle w:val="QuoteChar"/>
          <w:sz w:val="26"/>
        </w:rPr>
        <w:t>. Th</w:t>
      </w:r>
      <w:r w:rsidR="008E5550">
        <w:rPr>
          <w:rStyle w:val="QuoteChar"/>
          <w:sz w:val="26"/>
        </w:rPr>
        <w:t>e recommendation</w:t>
      </w:r>
      <w:r w:rsidR="00CA3D0E">
        <w:rPr>
          <w:rStyle w:val="QuoteChar"/>
          <w:sz w:val="26"/>
        </w:rPr>
        <w:t xml:space="preserve"> </w:t>
      </w:r>
      <w:r w:rsidR="001840A5" w:rsidRPr="001840A5">
        <w:rPr>
          <w:rStyle w:val="QuoteChar"/>
          <w:sz w:val="26"/>
        </w:rPr>
        <w:t>includ</w:t>
      </w:r>
      <w:r w:rsidR="00CA3D0E">
        <w:rPr>
          <w:rStyle w:val="QuoteChar"/>
          <w:sz w:val="26"/>
        </w:rPr>
        <w:t>ed</w:t>
      </w:r>
      <w:r w:rsidR="001840A5" w:rsidRPr="001840A5">
        <w:rPr>
          <w:rStyle w:val="QuoteChar"/>
          <w:sz w:val="26"/>
        </w:rPr>
        <w:t xml:space="preserve"> </w:t>
      </w:r>
      <w:r w:rsidR="00E84BD7">
        <w:rPr>
          <w:rStyle w:val="QuoteChar"/>
          <w:sz w:val="26"/>
        </w:rPr>
        <w:t xml:space="preserve">reference to </w:t>
      </w:r>
      <w:r w:rsidR="00C266E9">
        <w:rPr>
          <w:rStyle w:val="QuoteChar"/>
          <w:sz w:val="26"/>
        </w:rPr>
        <w:t xml:space="preserve">‘all additional </w:t>
      </w:r>
      <w:r w:rsidRPr="001840A5">
        <w:rPr>
          <w:rStyle w:val="QuoteChar"/>
          <w:sz w:val="26"/>
        </w:rPr>
        <w:t>information requested from</w:t>
      </w:r>
      <w:r w:rsidR="003D3E5F" w:rsidRPr="001840A5">
        <w:rPr>
          <w:rStyle w:val="QuoteChar"/>
          <w:sz w:val="26"/>
        </w:rPr>
        <w:t xml:space="preserve"> proponents</w:t>
      </w:r>
      <w:r w:rsidR="00C266E9">
        <w:rPr>
          <w:rStyle w:val="QuoteChar"/>
          <w:sz w:val="26"/>
        </w:rPr>
        <w:t xml:space="preserve"> to support decision</w:t>
      </w:r>
      <w:r w:rsidR="00E92A4C">
        <w:rPr>
          <w:rStyle w:val="QuoteChar"/>
          <w:sz w:val="26"/>
        </w:rPr>
        <w:noBreakHyphen/>
      </w:r>
      <w:r w:rsidR="00C266E9">
        <w:rPr>
          <w:rStyle w:val="QuoteChar"/>
          <w:sz w:val="26"/>
        </w:rPr>
        <w:t>making’</w:t>
      </w:r>
      <w:r w:rsidR="003D3E5F" w:rsidRPr="001840A5">
        <w:rPr>
          <w:rStyle w:val="QuoteChar"/>
          <w:sz w:val="26"/>
        </w:rPr>
        <w:t xml:space="preserve"> </w:t>
      </w:r>
      <w:r w:rsidR="008E5550">
        <w:rPr>
          <w:rStyle w:val="QuoteChar"/>
          <w:sz w:val="26"/>
        </w:rPr>
        <w:t>a</w:t>
      </w:r>
      <w:r w:rsidR="001840A5" w:rsidRPr="001840A5">
        <w:rPr>
          <w:rStyle w:val="QuoteChar"/>
          <w:sz w:val="26"/>
        </w:rPr>
        <w:t>nd</w:t>
      </w:r>
      <w:r w:rsidR="00CA3D0E">
        <w:rPr>
          <w:rStyle w:val="QuoteChar"/>
          <w:sz w:val="26"/>
        </w:rPr>
        <w:t xml:space="preserve"> </w:t>
      </w:r>
      <w:r w:rsidR="00C266E9">
        <w:rPr>
          <w:rStyle w:val="QuoteChar"/>
          <w:sz w:val="26"/>
        </w:rPr>
        <w:t>‘</w:t>
      </w:r>
      <w:r w:rsidRPr="001840A5">
        <w:rPr>
          <w:rStyle w:val="QuoteChar"/>
          <w:sz w:val="26"/>
        </w:rPr>
        <w:t xml:space="preserve">environmental management plans made in accordance with </w:t>
      </w:r>
      <w:r w:rsidR="001840A5" w:rsidRPr="001840A5">
        <w:rPr>
          <w:rStyle w:val="QuoteChar"/>
          <w:sz w:val="26"/>
        </w:rPr>
        <w:t>an approval under the Act</w:t>
      </w:r>
      <w:r w:rsidR="00C266E9">
        <w:rPr>
          <w:rStyle w:val="QuoteChar"/>
          <w:sz w:val="26"/>
        </w:rPr>
        <w:t xml:space="preserve">’ </w:t>
      </w:r>
      <w:r w:rsidR="003D3E5F" w:rsidRPr="001840A5">
        <w:rPr>
          <w:rStyle w:val="QuoteChar"/>
          <w:sz w:val="26"/>
        </w:rPr>
        <w:t>(</w:t>
      </w:r>
      <w:proofErr w:type="spellStart"/>
      <w:r w:rsidR="00AD049C">
        <w:t>DEWHA</w:t>
      </w:r>
      <w:proofErr w:type="spellEnd"/>
      <w:r w:rsidR="003D3E5F" w:rsidRPr="001840A5">
        <w:t xml:space="preserve"> </w:t>
      </w:r>
      <w:proofErr w:type="spellStart"/>
      <w:r w:rsidR="003D3E5F" w:rsidRPr="001840A5">
        <w:t>2009</w:t>
      </w:r>
      <w:r w:rsidR="00AD049C">
        <w:t>a</w:t>
      </w:r>
      <w:proofErr w:type="spellEnd"/>
      <w:r w:rsidR="003D3E5F" w:rsidRPr="001840A5">
        <w:t>, </w:t>
      </w:r>
      <w:r w:rsidR="003D3E5F" w:rsidRPr="001840A5">
        <w:rPr>
          <w:rStyle w:val="QuoteChar"/>
          <w:sz w:val="26"/>
        </w:rPr>
        <w:t>p. 38)</w:t>
      </w:r>
      <w:r w:rsidR="001840A5" w:rsidRPr="001840A5">
        <w:rPr>
          <w:rStyle w:val="QuoteChar"/>
          <w:sz w:val="26"/>
        </w:rPr>
        <w:t>.</w:t>
      </w:r>
    </w:p>
    <w:p w:rsidR="00FB04B9" w:rsidRDefault="007B59F9" w:rsidP="007B59F9">
      <w:pPr>
        <w:pStyle w:val="Heading4"/>
      </w:pPr>
      <w:r>
        <w:t>Improving the information base</w:t>
      </w:r>
    </w:p>
    <w:p w:rsidR="00FB04B9" w:rsidRDefault="00FB04B9" w:rsidP="00FB04B9">
      <w:pPr>
        <w:pStyle w:val="BodyText"/>
      </w:pPr>
      <w:r>
        <w:t>Environment a</w:t>
      </w:r>
      <w:r w:rsidRPr="002370E4">
        <w:t xml:space="preserve">gencies should keep a </w:t>
      </w:r>
      <w:r>
        <w:t xml:space="preserve">complete </w:t>
      </w:r>
      <w:r w:rsidRPr="002370E4">
        <w:t xml:space="preserve">record of environmental information provided by </w:t>
      </w:r>
      <w:r w:rsidR="00113679">
        <w:t>explorers</w:t>
      </w:r>
      <w:r w:rsidR="00E84BD7">
        <w:t xml:space="preserve"> and others who conduct environmental surveys and studies</w:t>
      </w:r>
      <w:r>
        <w:t xml:space="preserve">. This information </w:t>
      </w:r>
      <w:r w:rsidR="001840A5">
        <w:t xml:space="preserve">will often be of use </w:t>
      </w:r>
      <w:r>
        <w:t>to other relevant agencies and to proponents of activities on areas that have already been studied or assessed.</w:t>
      </w:r>
    </w:p>
    <w:p w:rsidR="007607FF" w:rsidRPr="00D913FA" w:rsidRDefault="007607FF" w:rsidP="007607FF">
      <w:pPr>
        <w:pStyle w:val="BodyText"/>
      </w:pPr>
      <w:r>
        <w:t>The Commission notes</w:t>
      </w:r>
      <w:r w:rsidRPr="002370E4">
        <w:t xml:space="preserve"> </w:t>
      </w:r>
      <w:r w:rsidR="00E84BD7">
        <w:t xml:space="preserve">that </w:t>
      </w:r>
      <w:r>
        <w:t>some jurisdictions perform better in this area than others. It also notes a proposal in Western Australia to establish a</w:t>
      </w:r>
      <w:r w:rsidRPr="002370E4">
        <w:t xml:space="preserve"> St</w:t>
      </w:r>
      <w:r>
        <w:t xml:space="preserve">ate Environmental Data Library </w:t>
      </w:r>
      <w:r w:rsidR="003624AE">
        <w:t xml:space="preserve">that </w:t>
      </w:r>
      <w:r>
        <w:t xml:space="preserve">would feature </w:t>
      </w:r>
      <w:r w:rsidRPr="002370E4">
        <w:t>a publicly available online biodiversity, water and cult</w:t>
      </w:r>
      <w:r>
        <w:t>ural heritage database</w:t>
      </w:r>
      <w:r w:rsidR="000C496B">
        <w:t xml:space="preserve"> — </w:t>
      </w:r>
      <w:r w:rsidR="003B35A6">
        <w:t>which</w:t>
      </w:r>
      <w:r w:rsidR="005573DA">
        <w:t xml:space="preserve"> </w:t>
      </w:r>
      <w:r>
        <w:t xml:space="preserve">should help to make </w:t>
      </w:r>
      <w:r w:rsidRPr="00D913FA">
        <w:t>cultural and environmental assessment processes associated with project approvals more efficient and cost effective.</w:t>
      </w:r>
    </w:p>
    <w:p w:rsidR="00FB04B9" w:rsidRDefault="00FB04B9" w:rsidP="00FB04B9">
      <w:pPr>
        <w:pStyle w:val="BodyText"/>
      </w:pPr>
      <w:r>
        <w:lastRenderedPageBreak/>
        <w:t xml:space="preserve">Such information </w:t>
      </w:r>
      <w:r w:rsidRPr="002370E4">
        <w:t>system</w:t>
      </w:r>
      <w:r>
        <w:t xml:space="preserve">s help to </w:t>
      </w:r>
      <w:r w:rsidRPr="002370E4">
        <w:t>ensure that environmental assessment processes associ</w:t>
      </w:r>
      <w:r>
        <w:t>ated with project approvals are</w:t>
      </w:r>
      <w:r w:rsidRPr="002370E4">
        <w:t xml:space="preserve"> efficient and cost effective</w:t>
      </w:r>
      <w:r>
        <w:t>, lessening</w:t>
      </w:r>
      <w:r w:rsidRPr="00716B31">
        <w:t xml:space="preserve"> </w:t>
      </w:r>
      <w:r>
        <w:t>the</w:t>
      </w:r>
      <w:r w:rsidRPr="002370E4">
        <w:t xml:space="preserve"> need for duplication of </w:t>
      </w:r>
      <w:r>
        <w:t>assessments and</w:t>
      </w:r>
      <w:r w:rsidRPr="002370E4">
        <w:t xml:space="preserve"> studies</w:t>
      </w:r>
      <w:r>
        <w:t xml:space="preserve"> and expediting approvals processes</w:t>
      </w:r>
      <w:r w:rsidRPr="002370E4">
        <w:t xml:space="preserve">. </w:t>
      </w:r>
      <w:r>
        <w:t xml:space="preserve">They would help to inform environmental plans, assessments, monitoring and planning — effectively facilitating </w:t>
      </w:r>
      <w:r w:rsidR="00E84BD7">
        <w:t>g</w:t>
      </w:r>
      <w:r>
        <w:t>reater accessibility and use of archived industry data</w:t>
      </w:r>
      <w:r w:rsidR="00E84BD7">
        <w:t>.</w:t>
      </w:r>
      <w:r>
        <w:t xml:space="preserve"> </w:t>
      </w:r>
      <w:r w:rsidR="00E84BD7">
        <w:t xml:space="preserve">This </w:t>
      </w:r>
      <w:r>
        <w:t xml:space="preserve">would help promote sustained economic and social dividends from Australia’s lands and </w:t>
      </w:r>
      <w:r w:rsidR="00B7292A">
        <w:t>marine</w:t>
      </w:r>
      <w:r>
        <w:t xml:space="preserve"> resources, while helping to protect the integrity of their ecosystems.</w:t>
      </w:r>
    </w:p>
    <w:p w:rsidR="001B509A" w:rsidRPr="000E18D9" w:rsidRDefault="001B509A" w:rsidP="00FB04B9">
      <w:pPr>
        <w:pStyle w:val="BodyText"/>
      </w:pPr>
      <w:r>
        <w:t xml:space="preserve">Additionally such environmental information could form the basis for the development of an integrated package of </w:t>
      </w:r>
      <w:r w:rsidR="00E128CC">
        <w:t xml:space="preserve">spatially </w:t>
      </w:r>
      <w:r>
        <w:t>based information containing pre</w:t>
      </w:r>
      <w:r w:rsidR="00E92A4C">
        <w:noBreakHyphen/>
      </w:r>
      <w:r>
        <w:t xml:space="preserve">competitive </w:t>
      </w:r>
      <w:proofErr w:type="spellStart"/>
      <w:r>
        <w:t>geoscientific</w:t>
      </w:r>
      <w:proofErr w:type="spellEnd"/>
      <w:r>
        <w:t xml:space="preserve">, heritage </w:t>
      </w:r>
      <w:r w:rsidR="00A95142">
        <w:t>and</w:t>
      </w:r>
      <w:r>
        <w:t xml:space="preserve"> environmental information.</w:t>
      </w:r>
    </w:p>
    <w:p w:rsidR="00FB04B9" w:rsidRDefault="00FB04B9" w:rsidP="00FB04B9">
      <w:pPr>
        <w:pStyle w:val="RecTitle"/>
      </w:pPr>
      <w:r>
        <w:t xml:space="preserve">draft Recommendation </w:t>
      </w:r>
      <w:r w:rsidR="00D94B80">
        <w:t>6</w:t>
      </w:r>
      <w:r>
        <w:t>.</w:t>
      </w:r>
      <w:r w:rsidR="003317B4">
        <w:t>8</w:t>
      </w:r>
    </w:p>
    <w:p w:rsidR="00814EBF" w:rsidRPr="00814EBF" w:rsidRDefault="00A75074" w:rsidP="00814EBF">
      <w:pPr>
        <w:pStyle w:val="Rec"/>
      </w:pPr>
      <w:r w:rsidRPr="00A75074">
        <w:t xml:space="preserve">Governments should ensure that their authorities responsible for assessing environmental plans and environmental impact statements (and equivalent documents) should make archived industry data publicly available on the </w:t>
      </w:r>
      <w:proofErr w:type="spellStart"/>
      <w:r w:rsidRPr="00A75074">
        <w:t>internet</w:t>
      </w:r>
      <w:proofErr w:type="spellEnd"/>
      <w:r w:rsidRPr="00A75074">
        <w:t>.</w:t>
      </w:r>
    </w:p>
    <w:sectPr w:rsidR="00814EBF" w:rsidRPr="00814EBF" w:rsidSect="00D10C28">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418" w:left="1814" w:header="1701" w:footer="567" w:gutter="0"/>
      <w:pgNumType w:start="16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A4C" w:rsidRDefault="00E92A4C">
      <w:r>
        <w:separator/>
      </w:r>
    </w:p>
  </w:endnote>
  <w:endnote w:type="continuationSeparator" w:id="0">
    <w:p w:rsidR="00E92A4C" w:rsidRDefault="00E92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Caslon Pro Bold">
    <w:panose1 w:val="00000000000000000000"/>
    <w:charset w:val="00"/>
    <w:family w:val="roman"/>
    <w:notTrueType/>
    <w:pitch w:val="variable"/>
    <w:sig w:usb0="00000007" w:usb1="00000001" w:usb2="00000000" w:usb3="00000000" w:csb0="00000093" w:csb1="00000000"/>
  </w:font>
  <w:font w:name="Adobe Caslon Pro">
    <w:panose1 w:val="00000000000000000000"/>
    <w:charset w:val="00"/>
    <w:family w:val="roman"/>
    <w:notTrueType/>
    <w:pitch w:val="variable"/>
    <w:sig w:usb0="00000007" w:usb1="00000001"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E92A4C">
      <w:trPr>
        <w:trHeight w:hRule="exact" w:val="740"/>
      </w:trPr>
      <w:tc>
        <w:tcPr>
          <w:tcW w:w="510" w:type="dxa"/>
          <w:tcBorders>
            <w:top w:val="single" w:sz="6" w:space="0" w:color="auto"/>
          </w:tcBorders>
        </w:tcPr>
        <w:p w:rsidR="00E92A4C" w:rsidRDefault="00E92A4C"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095E2D">
            <w:rPr>
              <w:rStyle w:val="PageNumber"/>
              <w:noProof/>
            </w:rPr>
            <w:t>202</w:t>
          </w:r>
          <w:r>
            <w:rPr>
              <w:rStyle w:val="PageNumber"/>
            </w:rPr>
            <w:fldChar w:fldCharType="end"/>
          </w:r>
        </w:p>
      </w:tc>
      <w:tc>
        <w:tcPr>
          <w:tcW w:w="1644" w:type="dxa"/>
          <w:tcBorders>
            <w:top w:val="single" w:sz="6" w:space="0" w:color="auto"/>
          </w:tcBorders>
        </w:tcPr>
        <w:p w:rsidR="00E92A4C" w:rsidRDefault="002F4BA6" w:rsidP="0019293B">
          <w:pPr>
            <w:pStyle w:val="Footer"/>
          </w:pPr>
          <w:fldSimple w:instr=" SUBJECT  \* MERGEFORMAT ">
            <w:r w:rsidR="00EE2DC2">
              <w:t>Resource exploration</w:t>
            </w:r>
          </w:fldSimple>
        </w:p>
      </w:tc>
      <w:tc>
        <w:tcPr>
          <w:tcW w:w="6634" w:type="dxa"/>
        </w:tcPr>
        <w:p w:rsidR="00E92A4C" w:rsidRDefault="00E92A4C" w:rsidP="0019293B">
          <w:pPr>
            <w:pStyle w:val="Footer"/>
          </w:pPr>
        </w:p>
      </w:tc>
    </w:tr>
  </w:tbl>
  <w:p w:rsidR="00E92A4C" w:rsidRDefault="00E92A4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E92A4C">
      <w:trPr>
        <w:trHeight w:hRule="exact" w:val="740"/>
      </w:trPr>
      <w:tc>
        <w:tcPr>
          <w:tcW w:w="6634" w:type="dxa"/>
        </w:tcPr>
        <w:p w:rsidR="00E92A4C" w:rsidRDefault="00E92A4C">
          <w:pPr>
            <w:pStyle w:val="Footer"/>
            <w:ind w:right="360" w:firstLine="360"/>
          </w:pPr>
        </w:p>
      </w:tc>
      <w:tc>
        <w:tcPr>
          <w:tcW w:w="1644" w:type="dxa"/>
          <w:tcBorders>
            <w:top w:val="single" w:sz="6" w:space="0" w:color="auto"/>
          </w:tcBorders>
        </w:tcPr>
        <w:p w:rsidR="00E92A4C" w:rsidRDefault="002F4BA6">
          <w:pPr>
            <w:pStyle w:val="Footer"/>
          </w:pPr>
          <w:fldSimple w:instr=" TITLE  \* MERGEFORMAT ">
            <w:r w:rsidR="00EE2DC2">
              <w:t>Environmental management</w:t>
            </w:r>
          </w:fldSimple>
        </w:p>
      </w:tc>
      <w:tc>
        <w:tcPr>
          <w:tcW w:w="510" w:type="dxa"/>
          <w:tcBorders>
            <w:top w:val="single" w:sz="6" w:space="0" w:color="auto"/>
          </w:tcBorders>
        </w:tcPr>
        <w:p w:rsidR="00E92A4C" w:rsidRDefault="00E92A4C">
          <w:pPr>
            <w:pStyle w:val="Footer"/>
            <w:jc w:val="right"/>
          </w:pPr>
          <w:r>
            <w:rPr>
              <w:rStyle w:val="PageNumber"/>
            </w:rPr>
            <w:fldChar w:fldCharType="begin"/>
          </w:r>
          <w:r>
            <w:rPr>
              <w:rStyle w:val="PageNumber"/>
            </w:rPr>
            <w:instrText xml:space="preserve">PAGE  </w:instrText>
          </w:r>
          <w:r>
            <w:rPr>
              <w:rStyle w:val="PageNumber"/>
            </w:rPr>
            <w:fldChar w:fldCharType="separate"/>
          </w:r>
          <w:r w:rsidR="00095E2D">
            <w:rPr>
              <w:rStyle w:val="PageNumber"/>
              <w:noProof/>
            </w:rPr>
            <w:t>201</w:t>
          </w:r>
          <w:r>
            <w:rPr>
              <w:rStyle w:val="PageNumber"/>
            </w:rPr>
            <w:fldChar w:fldCharType="end"/>
          </w:r>
        </w:p>
      </w:tc>
    </w:tr>
  </w:tbl>
  <w:p w:rsidR="00E92A4C" w:rsidRDefault="00E92A4C">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E2D" w:rsidRDefault="00095E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A4C" w:rsidRDefault="00E92A4C">
      <w:r>
        <w:separator/>
      </w:r>
    </w:p>
  </w:footnote>
  <w:footnote w:type="continuationSeparator" w:id="0">
    <w:p w:rsidR="00E92A4C" w:rsidRDefault="00E92A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92A4C">
      <w:tc>
        <w:tcPr>
          <w:tcW w:w="2155" w:type="dxa"/>
          <w:tcBorders>
            <w:top w:val="single" w:sz="24" w:space="0" w:color="auto"/>
          </w:tcBorders>
        </w:tcPr>
        <w:p w:rsidR="00E92A4C" w:rsidRDefault="00095E2D" w:rsidP="0019293B">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10496" o:spid="_x0000_s307202" type="#_x0000_t136" style="position:absolute;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E92A4C" w:rsidRDefault="00095E2D" w:rsidP="0019293B">
          <w:pPr>
            <w:pStyle w:val="HeaderEven"/>
          </w:pPr>
          <w:r>
            <w:rPr>
              <w:color w:val="FF0000"/>
              <w:sz w:val="14"/>
              <w:szCs w:val="14"/>
            </w:rPr>
            <w:t>draft report: For final outcomes of this project refer to the inquiry report.</w:t>
          </w:r>
        </w:p>
      </w:tc>
    </w:tr>
  </w:tbl>
  <w:p w:rsidR="00E92A4C" w:rsidRDefault="00E92A4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92A4C">
      <w:tc>
        <w:tcPr>
          <w:tcW w:w="6634" w:type="dxa"/>
          <w:tcBorders>
            <w:top w:val="single" w:sz="6" w:space="0" w:color="auto"/>
          </w:tcBorders>
        </w:tcPr>
        <w:p w:rsidR="00E92A4C" w:rsidRDefault="00095E2D" w:rsidP="00E669E2">
          <w:pPr>
            <w:pStyle w:val="HeaderOd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10497" o:spid="_x0000_s307203"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r>
            <w:rPr>
              <w:color w:val="FF0000"/>
              <w:sz w:val="14"/>
              <w:szCs w:val="14"/>
            </w:rPr>
            <w:t>draft report: For final outcomes of this project refer to the inquiry report.</w:t>
          </w:r>
        </w:p>
      </w:tc>
      <w:tc>
        <w:tcPr>
          <w:tcW w:w="2155" w:type="dxa"/>
          <w:tcBorders>
            <w:top w:val="single" w:sz="24" w:space="0" w:color="auto"/>
          </w:tcBorders>
        </w:tcPr>
        <w:p w:rsidR="00E92A4C" w:rsidRDefault="00E92A4C" w:rsidP="00E669E2">
          <w:pPr>
            <w:pStyle w:val="HeaderOdd"/>
          </w:pPr>
        </w:p>
      </w:tc>
    </w:tr>
  </w:tbl>
  <w:p w:rsidR="00E92A4C" w:rsidRDefault="00E92A4C"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E2D" w:rsidRDefault="00095E2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10495" o:spid="_x0000_s307201"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11EA6C7A"/>
    <w:multiLevelType w:val="multilevel"/>
    <w:tmpl w:val="C096D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0">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2">
    <w:nsid w:val="2D2B7A50"/>
    <w:multiLevelType w:val="hybridMultilevel"/>
    <w:tmpl w:val="BEFC60F4"/>
    <w:lvl w:ilvl="0" w:tplc="EBBA06FE">
      <w:start w:val="1"/>
      <w:numFmt w:val="decimal"/>
      <w:lvlText w:val="%1."/>
      <w:lvlJc w:val="left"/>
      <w:pPr>
        <w:ind w:left="700" w:hanging="36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2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4">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7">
    <w:nsid w:val="51F74561"/>
    <w:multiLevelType w:val="singleLevel"/>
    <w:tmpl w:val="ED98921A"/>
    <w:lvl w:ilvl="0">
      <w:start w:val="1"/>
      <w:numFmt w:val="decimal"/>
      <w:lvlText w:val="%1."/>
      <w:legacy w:legacy="1" w:legacySpace="0" w:legacyIndent="340"/>
      <w:lvlJc w:val="left"/>
      <w:pPr>
        <w:ind w:left="340" w:hanging="340"/>
      </w:pPr>
    </w:lvl>
  </w:abstractNum>
  <w:abstractNum w:abstractNumId="2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0">
    <w:nsid w:val="54C808CF"/>
    <w:multiLevelType w:val="hybridMultilevel"/>
    <w:tmpl w:val="91437BC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3">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5">
    <w:nsid w:val="5A096576"/>
    <w:multiLevelType w:val="singleLevel"/>
    <w:tmpl w:val="ED98921A"/>
    <w:lvl w:ilvl="0">
      <w:start w:val="1"/>
      <w:numFmt w:val="decimal"/>
      <w:lvlText w:val="%1."/>
      <w:legacy w:legacy="1" w:legacySpace="0" w:legacyIndent="340"/>
      <w:lvlJc w:val="left"/>
      <w:pPr>
        <w:ind w:left="340" w:hanging="340"/>
      </w:pPr>
    </w:lvl>
  </w:abstractNum>
  <w:abstractNum w:abstractNumId="36">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nsid w:val="60055F7F"/>
    <w:multiLevelType w:val="singleLevel"/>
    <w:tmpl w:val="ED98921A"/>
    <w:lvl w:ilvl="0">
      <w:start w:val="1"/>
      <w:numFmt w:val="decimal"/>
      <w:lvlText w:val="%1."/>
      <w:legacy w:legacy="1" w:legacySpace="0" w:legacyIndent="340"/>
      <w:lvlJc w:val="left"/>
      <w:pPr>
        <w:ind w:left="340" w:hanging="340"/>
      </w:pPr>
    </w:lvl>
  </w:abstractNum>
  <w:abstractNum w:abstractNumId="38">
    <w:nsid w:val="608E741E"/>
    <w:multiLevelType w:val="singleLevel"/>
    <w:tmpl w:val="ED98921A"/>
    <w:lvl w:ilvl="0">
      <w:start w:val="1"/>
      <w:numFmt w:val="decimal"/>
      <w:lvlText w:val="%1."/>
      <w:legacy w:legacy="1" w:legacySpace="0" w:legacyIndent="340"/>
      <w:lvlJc w:val="left"/>
      <w:pPr>
        <w:ind w:left="340" w:hanging="340"/>
      </w:pPr>
    </w:lvl>
  </w:abstractNum>
  <w:abstractNum w:abstractNumId="3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61320C1E"/>
    <w:multiLevelType w:val="singleLevel"/>
    <w:tmpl w:val="C444122C"/>
    <w:lvl w:ilvl="0">
      <w:start w:val="1"/>
      <w:numFmt w:val="decimal"/>
      <w:lvlText w:val="%1."/>
      <w:legacy w:legacy="1" w:legacySpace="0" w:legacyIndent="284"/>
      <w:lvlJc w:val="left"/>
      <w:pPr>
        <w:ind w:left="284" w:hanging="284"/>
      </w:pPr>
    </w:lvl>
  </w:abstractNum>
  <w:abstractNum w:abstractNumId="41">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2">
    <w:nsid w:val="63AE4DA3"/>
    <w:multiLevelType w:val="multilevel"/>
    <w:tmpl w:val="480A23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4">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5">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6">
    <w:nsid w:val="71AF154A"/>
    <w:multiLevelType w:val="hybridMultilevel"/>
    <w:tmpl w:val="AF18D1D6"/>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5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51">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3"/>
  </w:num>
  <w:num w:numId="2">
    <w:abstractNumId w:val="10"/>
  </w:num>
  <w:num w:numId="3">
    <w:abstractNumId w:val="49"/>
  </w:num>
  <w:num w:numId="4">
    <w:abstractNumId w:val="7"/>
  </w:num>
  <w:num w:numId="5">
    <w:abstractNumId w:val="28"/>
  </w:num>
  <w:num w:numId="6">
    <w:abstractNumId w:val="9"/>
  </w:num>
  <w:num w:numId="7">
    <w:abstractNumId w:val="43"/>
  </w:num>
  <w:num w:numId="8">
    <w:abstractNumId w:val="32"/>
  </w:num>
  <w:num w:numId="9">
    <w:abstractNumId w:val="50"/>
  </w:num>
  <w:num w:numId="10">
    <w:abstractNumId w:val="16"/>
  </w:num>
  <w:num w:numId="11">
    <w:abstractNumId w:val="29"/>
  </w:num>
  <w:num w:numId="12">
    <w:abstractNumId w:val="15"/>
  </w:num>
  <w:num w:numId="13">
    <w:abstractNumId w:val="14"/>
  </w:num>
  <w:num w:numId="14">
    <w:abstractNumId w:val="19"/>
  </w:num>
  <w:num w:numId="15">
    <w:abstractNumId w:val="28"/>
  </w:num>
  <w:num w:numId="16">
    <w:abstractNumId w:val="46"/>
  </w:num>
  <w:num w:numId="17">
    <w:abstractNumId w:val="22"/>
  </w:num>
  <w:num w:numId="18">
    <w:abstractNumId w:val="17"/>
  </w:num>
  <w:num w:numId="19">
    <w:abstractNumId w:val="42"/>
  </w:num>
  <w:num w:numId="20">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1">
    <w:abstractNumId w:val="4"/>
  </w:num>
  <w:num w:numId="22">
    <w:abstractNumId w:val="30"/>
  </w:num>
  <w:num w:numId="23">
    <w:abstractNumId w:val="5"/>
  </w:num>
  <w:num w:numId="24">
    <w:abstractNumId w:val="3"/>
  </w:num>
  <w:num w:numId="25">
    <w:abstractNumId w:val="2"/>
  </w:num>
  <w:num w:numId="26">
    <w:abstractNumId w:val="1"/>
  </w:num>
  <w:num w:numId="27">
    <w:abstractNumId w:val="0"/>
  </w:num>
  <w:num w:numId="28">
    <w:abstractNumId w:val="12"/>
  </w:num>
  <w:num w:numId="29">
    <w:abstractNumId w:val="38"/>
  </w:num>
  <w:num w:numId="30">
    <w:abstractNumId w:val="41"/>
  </w:num>
  <w:num w:numId="31">
    <w:abstractNumId w:val="27"/>
  </w:num>
  <w:num w:numId="32">
    <w:abstractNumId w:val="31"/>
  </w:num>
  <w:num w:numId="33">
    <w:abstractNumId w:val="33"/>
  </w:num>
  <w:num w:numId="34">
    <w:abstractNumId w:val="48"/>
  </w:num>
  <w:num w:numId="35">
    <w:abstractNumId w:val="37"/>
  </w:num>
  <w:num w:numId="36">
    <w:abstractNumId w:val="44"/>
  </w:num>
  <w:num w:numId="37">
    <w:abstractNumId w:val="45"/>
  </w:num>
  <w:num w:numId="38">
    <w:abstractNumId w:val="35"/>
  </w:num>
  <w:num w:numId="39">
    <w:abstractNumId w:val="24"/>
  </w:num>
  <w:num w:numId="40">
    <w:abstractNumId w:val="51"/>
  </w:num>
  <w:num w:numId="41">
    <w:abstractNumId w:val="8"/>
  </w:num>
  <w:num w:numId="42">
    <w:abstractNumId w:val="20"/>
  </w:num>
  <w:num w:numId="43">
    <w:abstractNumId w:val="47"/>
  </w:num>
  <w:num w:numId="44">
    <w:abstractNumId w:val="36"/>
  </w:num>
  <w:num w:numId="45">
    <w:abstractNumId w:val="13"/>
  </w:num>
  <w:num w:numId="46">
    <w:abstractNumId w:val="40"/>
  </w:num>
  <w:num w:numId="47">
    <w:abstractNumId w:val="26"/>
  </w:num>
  <w:num w:numId="48">
    <w:abstractNumId w:val="11"/>
  </w:num>
  <w:num w:numId="49">
    <w:abstractNumId w:val="21"/>
  </w:num>
  <w:num w:numId="50">
    <w:abstractNumId w:val="25"/>
  </w:num>
  <w:num w:numId="51">
    <w:abstractNumId w:val="34"/>
  </w:num>
  <w:num w:numId="52">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53">
    <w:abstractNumId w:val="39"/>
  </w:num>
  <w:num w:numId="54">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07204"/>
    <o:shapelayout v:ext="edit">
      <o:idmap v:ext="edit" data="300"/>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Environmental management"/>
    <w:docVar w:name="ShortReportTitle" w:val="Resource exploration"/>
  </w:docVars>
  <w:rsids>
    <w:rsidRoot w:val="006868BF"/>
    <w:rsid w:val="000015E9"/>
    <w:rsid w:val="00003130"/>
    <w:rsid w:val="00003BFF"/>
    <w:rsid w:val="00003D17"/>
    <w:rsid w:val="00005AA5"/>
    <w:rsid w:val="0001009C"/>
    <w:rsid w:val="000103FF"/>
    <w:rsid w:val="000139B1"/>
    <w:rsid w:val="00013AAC"/>
    <w:rsid w:val="0001461F"/>
    <w:rsid w:val="000152C4"/>
    <w:rsid w:val="000203BC"/>
    <w:rsid w:val="00021B78"/>
    <w:rsid w:val="00021CE9"/>
    <w:rsid w:val="000224A6"/>
    <w:rsid w:val="000229BB"/>
    <w:rsid w:val="00023D66"/>
    <w:rsid w:val="000245AA"/>
    <w:rsid w:val="000256B8"/>
    <w:rsid w:val="00026B97"/>
    <w:rsid w:val="00030177"/>
    <w:rsid w:val="00030B61"/>
    <w:rsid w:val="00032E28"/>
    <w:rsid w:val="000342E4"/>
    <w:rsid w:val="0003596C"/>
    <w:rsid w:val="00035E46"/>
    <w:rsid w:val="00035ED1"/>
    <w:rsid w:val="0003664B"/>
    <w:rsid w:val="0004111F"/>
    <w:rsid w:val="000424A3"/>
    <w:rsid w:val="00042EBB"/>
    <w:rsid w:val="00043A9A"/>
    <w:rsid w:val="00043F32"/>
    <w:rsid w:val="0004791B"/>
    <w:rsid w:val="00052718"/>
    <w:rsid w:val="000555B1"/>
    <w:rsid w:val="000565B3"/>
    <w:rsid w:val="00061A81"/>
    <w:rsid w:val="0006286F"/>
    <w:rsid w:val="00062CD7"/>
    <w:rsid w:val="00063CFD"/>
    <w:rsid w:val="00063E71"/>
    <w:rsid w:val="00064647"/>
    <w:rsid w:val="000652AB"/>
    <w:rsid w:val="00065E00"/>
    <w:rsid w:val="00065F99"/>
    <w:rsid w:val="000667EF"/>
    <w:rsid w:val="0006698A"/>
    <w:rsid w:val="000673DE"/>
    <w:rsid w:val="0007034B"/>
    <w:rsid w:val="000703FC"/>
    <w:rsid w:val="000705D2"/>
    <w:rsid w:val="0007150B"/>
    <w:rsid w:val="000715B2"/>
    <w:rsid w:val="0007212E"/>
    <w:rsid w:val="0007340A"/>
    <w:rsid w:val="000752C6"/>
    <w:rsid w:val="00076E24"/>
    <w:rsid w:val="000771F0"/>
    <w:rsid w:val="00077B15"/>
    <w:rsid w:val="000819AA"/>
    <w:rsid w:val="00081FF5"/>
    <w:rsid w:val="000835CC"/>
    <w:rsid w:val="00083ED4"/>
    <w:rsid w:val="00084CF9"/>
    <w:rsid w:val="0008564F"/>
    <w:rsid w:val="00085E12"/>
    <w:rsid w:val="000866C2"/>
    <w:rsid w:val="00086B2E"/>
    <w:rsid w:val="00086C79"/>
    <w:rsid w:val="00090881"/>
    <w:rsid w:val="00091F49"/>
    <w:rsid w:val="0009238F"/>
    <w:rsid w:val="00092485"/>
    <w:rsid w:val="00093293"/>
    <w:rsid w:val="000938F5"/>
    <w:rsid w:val="00094DD9"/>
    <w:rsid w:val="00095E2D"/>
    <w:rsid w:val="00096145"/>
    <w:rsid w:val="000975C3"/>
    <w:rsid w:val="000A0E3E"/>
    <w:rsid w:val="000A2560"/>
    <w:rsid w:val="000A4C49"/>
    <w:rsid w:val="000A6D59"/>
    <w:rsid w:val="000A7F6A"/>
    <w:rsid w:val="000B601B"/>
    <w:rsid w:val="000B688B"/>
    <w:rsid w:val="000B7615"/>
    <w:rsid w:val="000C207E"/>
    <w:rsid w:val="000C496B"/>
    <w:rsid w:val="000C56F3"/>
    <w:rsid w:val="000C6E2F"/>
    <w:rsid w:val="000C7D91"/>
    <w:rsid w:val="000C7DF8"/>
    <w:rsid w:val="000D027F"/>
    <w:rsid w:val="000D36D4"/>
    <w:rsid w:val="000D400C"/>
    <w:rsid w:val="000D6239"/>
    <w:rsid w:val="000D6680"/>
    <w:rsid w:val="000D6839"/>
    <w:rsid w:val="000D6C93"/>
    <w:rsid w:val="000E0C01"/>
    <w:rsid w:val="000E18D9"/>
    <w:rsid w:val="000E1E05"/>
    <w:rsid w:val="000E3774"/>
    <w:rsid w:val="000E470E"/>
    <w:rsid w:val="000E5502"/>
    <w:rsid w:val="000E78DD"/>
    <w:rsid w:val="000F5B95"/>
    <w:rsid w:val="000F7876"/>
    <w:rsid w:val="00101351"/>
    <w:rsid w:val="001024D2"/>
    <w:rsid w:val="00105B11"/>
    <w:rsid w:val="00105CF4"/>
    <w:rsid w:val="0010729F"/>
    <w:rsid w:val="00107E46"/>
    <w:rsid w:val="00110116"/>
    <w:rsid w:val="0011017D"/>
    <w:rsid w:val="0011037F"/>
    <w:rsid w:val="00113679"/>
    <w:rsid w:val="00115AA2"/>
    <w:rsid w:val="00123AC5"/>
    <w:rsid w:val="00123C86"/>
    <w:rsid w:val="001258DC"/>
    <w:rsid w:val="00126EB8"/>
    <w:rsid w:val="001274D4"/>
    <w:rsid w:val="00127528"/>
    <w:rsid w:val="00130325"/>
    <w:rsid w:val="0013210E"/>
    <w:rsid w:val="0013357B"/>
    <w:rsid w:val="001358D6"/>
    <w:rsid w:val="00135CD1"/>
    <w:rsid w:val="001363AA"/>
    <w:rsid w:val="0013796D"/>
    <w:rsid w:val="0014029B"/>
    <w:rsid w:val="00140950"/>
    <w:rsid w:val="001423C6"/>
    <w:rsid w:val="00143C26"/>
    <w:rsid w:val="00143E19"/>
    <w:rsid w:val="0014458A"/>
    <w:rsid w:val="00150B94"/>
    <w:rsid w:val="00150D98"/>
    <w:rsid w:val="0015715E"/>
    <w:rsid w:val="00160B42"/>
    <w:rsid w:val="00160C3D"/>
    <w:rsid w:val="001616E9"/>
    <w:rsid w:val="001619F5"/>
    <w:rsid w:val="00161EF5"/>
    <w:rsid w:val="00162136"/>
    <w:rsid w:val="00163B2B"/>
    <w:rsid w:val="00164B4E"/>
    <w:rsid w:val="00165ED3"/>
    <w:rsid w:val="00166B01"/>
    <w:rsid w:val="00166F65"/>
    <w:rsid w:val="00167886"/>
    <w:rsid w:val="00171270"/>
    <w:rsid w:val="001712CB"/>
    <w:rsid w:val="00172214"/>
    <w:rsid w:val="001724D3"/>
    <w:rsid w:val="00175081"/>
    <w:rsid w:val="001751FA"/>
    <w:rsid w:val="00176AEE"/>
    <w:rsid w:val="0018029F"/>
    <w:rsid w:val="00183214"/>
    <w:rsid w:val="0018344F"/>
    <w:rsid w:val="00183A77"/>
    <w:rsid w:val="00183B6F"/>
    <w:rsid w:val="00183E82"/>
    <w:rsid w:val="001840A5"/>
    <w:rsid w:val="00185982"/>
    <w:rsid w:val="00185E75"/>
    <w:rsid w:val="0019148C"/>
    <w:rsid w:val="00191AE0"/>
    <w:rsid w:val="0019215B"/>
    <w:rsid w:val="0019293B"/>
    <w:rsid w:val="00192C64"/>
    <w:rsid w:val="001948C5"/>
    <w:rsid w:val="00194E7E"/>
    <w:rsid w:val="0019571B"/>
    <w:rsid w:val="00195DC8"/>
    <w:rsid w:val="0019689F"/>
    <w:rsid w:val="001968EC"/>
    <w:rsid w:val="001978DA"/>
    <w:rsid w:val="001A08B6"/>
    <w:rsid w:val="001A29E2"/>
    <w:rsid w:val="001A2F67"/>
    <w:rsid w:val="001A4EB2"/>
    <w:rsid w:val="001A524E"/>
    <w:rsid w:val="001A6507"/>
    <w:rsid w:val="001A6547"/>
    <w:rsid w:val="001B0866"/>
    <w:rsid w:val="001B0D7F"/>
    <w:rsid w:val="001B0E50"/>
    <w:rsid w:val="001B2755"/>
    <w:rsid w:val="001B2B58"/>
    <w:rsid w:val="001B38BE"/>
    <w:rsid w:val="001B49F5"/>
    <w:rsid w:val="001B509A"/>
    <w:rsid w:val="001C0865"/>
    <w:rsid w:val="001C1B89"/>
    <w:rsid w:val="001C229B"/>
    <w:rsid w:val="001C2924"/>
    <w:rsid w:val="001C2DF7"/>
    <w:rsid w:val="001C3ABA"/>
    <w:rsid w:val="001C3AE6"/>
    <w:rsid w:val="001C569F"/>
    <w:rsid w:val="001C6574"/>
    <w:rsid w:val="001C6C5A"/>
    <w:rsid w:val="001D132B"/>
    <w:rsid w:val="001D2C37"/>
    <w:rsid w:val="001D330F"/>
    <w:rsid w:val="001D417C"/>
    <w:rsid w:val="001D46B7"/>
    <w:rsid w:val="001D521A"/>
    <w:rsid w:val="001D6D86"/>
    <w:rsid w:val="001E0638"/>
    <w:rsid w:val="001E1EEE"/>
    <w:rsid w:val="001E3508"/>
    <w:rsid w:val="001E7943"/>
    <w:rsid w:val="001E7BE8"/>
    <w:rsid w:val="001F00B3"/>
    <w:rsid w:val="001F0237"/>
    <w:rsid w:val="001F0248"/>
    <w:rsid w:val="001F0318"/>
    <w:rsid w:val="001F104C"/>
    <w:rsid w:val="001F160F"/>
    <w:rsid w:val="001F189C"/>
    <w:rsid w:val="001F2191"/>
    <w:rsid w:val="001F244B"/>
    <w:rsid w:val="001F3610"/>
    <w:rsid w:val="001F3A77"/>
    <w:rsid w:val="001F3EB3"/>
    <w:rsid w:val="001F4787"/>
    <w:rsid w:val="001F4E17"/>
    <w:rsid w:val="001F7340"/>
    <w:rsid w:val="001F7374"/>
    <w:rsid w:val="00200107"/>
    <w:rsid w:val="0020095C"/>
    <w:rsid w:val="0020168D"/>
    <w:rsid w:val="00202214"/>
    <w:rsid w:val="00202C2C"/>
    <w:rsid w:val="00203C97"/>
    <w:rsid w:val="002043E6"/>
    <w:rsid w:val="00204F45"/>
    <w:rsid w:val="00205B0F"/>
    <w:rsid w:val="00214D09"/>
    <w:rsid w:val="0021610A"/>
    <w:rsid w:val="002173A8"/>
    <w:rsid w:val="00223ECE"/>
    <w:rsid w:val="00224928"/>
    <w:rsid w:val="00224D23"/>
    <w:rsid w:val="00224E21"/>
    <w:rsid w:val="00226F73"/>
    <w:rsid w:val="0022732E"/>
    <w:rsid w:val="002328A6"/>
    <w:rsid w:val="002352CC"/>
    <w:rsid w:val="00235D53"/>
    <w:rsid w:val="00236E77"/>
    <w:rsid w:val="002370E4"/>
    <w:rsid w:val="00240301"/>
    <w:rsid w:val="00241020"/>
    <w:rsid w:val="002413F2"/>
    <w:rsid w:val="00242279"/>
    <w:rsid w:val="00242D50"/>
    <w:rsid w:val="0024435B"/>
    <w:rsid w:val="00245B95"/>
    <w:rsid w:val="00245C82"/>
    <w:rsid w:val="00246E3A"/>
    <w:rsid w:val="002476E3"/>
    <w:rsid w:val="00250E93"/>
    <w:rsid w:val="002538AE"/>
    <w:rsid w:val="00254A4D"/>
    <w:rsid w:val="00255436"/>
    <w:rsid w:val="00257A08"/>
    <w:rsid w:val="00257F0C"/>
    <w:rsid w:val="00260446"/>
    <w:rsid w:val="00260AF8"/>
    <w:rsid w:val="0026283B"/>
    <w:rsid w:val="002636D0"/>
    <w:rsid w:val="002645F9"/>
    <w:rsid w:val="00265C9F"/>
    <w:rsid w:val="00274F96"/>
    <w:rsid w:val="00275830"/>
    <w:rsid w:val="0028006C"/>
    <w:rsid w:val="0028163B"/>
    <w:rsid w:val="002819A2"/>
    <w:rsid w:val="00281D7B"/>
    <w:rsid w:val="00282260"/>
    <w:rsid w:val="00282DCD"/>
    <w:rsid w:val="00283831"/>
    <w:rsid w:val="002849A1"/>
    <w:rsid w:val="002852CF"/>
    <w:rsid w:val="00287633"/>
    <w:rsid w:val="00290F8F"/>
    <w:rsid w:val="00291A36"/>
    <w:rsid w:val="00291B40"/>
    <w:rsid w:val="0029466E"/>
    <w:rsid w:val="002A3375"/>
    <w:rsid w:val="002A36F8"/>
    <w:rsid w:val="002A3B52"/>
    <w:rsid w:val="002A51AC"/>
    <w:rsid w:val="002A5912"/>
    <w:rsid w:val="002A5E86"/>
    <w:rsid w:val="002A717F"/>
    <w:rsid w:val="002B2B58"/>
    <w:rsid w:val="002B4008"/>
    <w:rsid w:val="002B468B"/>
    <w:rsid w:val="002B6E84"/>
    <w:rsid w:val="002B6EF1"/>
    <w:rsid w:val="002C29FD"/>
    <w:rsid w:val="002C49C7"/>
    <w:rsid w:val="002C4EDA"/>
    <w:rsid w:val="002C5D98"/>
    <w:rsid w:val="002C7943"/>
    <w:rsid w:val="002D01F9"/>
    <w:rsid w:val="002D0757"/>
    <w:rsid w:val="002D09EB"/>
    <w:rsid w:val="002D0E8E"/>
    <w:rsid w:val="002D463E"/>
    <w:rsid w:val="002D4EAD"/>
    <w:rsid w:val="002E0340"/>
    <w:rsid w:val="002E0427"/>
    <w:rsid w:val="002E0F24"/>
    <w:rsid w:val="002E1055"/>
    <w:rsid w:val="002E4A61"/>
    <w:rsid w:val="002E4DBE"/>
    <w:rsid w:val="002E4F6A"/>
    <w:rsid w:val="002E5085"/>
    <w:rsid w:val="002E60B9"/>
    <w:rsid w:val="002E6BC4"/>
    <w:rsid w:val="002E70DF"/>
    <w:rsid w:val="002F2F14"/>
    <w:rsid w:val="002F4475"/>
    <w:rsid w:val="002F4603"/>
    <w:rsid w:val="002F4BA6"/>
    <w:rsid w:val="002F56D6"/>
    <w:rsid w:val="002F628C"/>
    <w:rsid w:val="00300744"/>
    <w:rsid w:val="00301189"/>
    <w:rsid w:val="003018DC"/>
    <w:rsid w:val="003019A1"/>
    <w:rsid w:val="0030475E"/>
    <w:rsid w:val="003049EF"/>
    <w:rsid w:val="00304CAE"/>
    <w:rsid w:val="00306C96"/>
    <w:rsid w:val="00306D60"/>
    <w:rsid w:val="00310314"/>
    <w:rsid w:val="003103D9"/>
    <w:rsid w:val="00312340"/>
    <w:rsid w:val="0031253F"/>
    <w:rsid w:val="0031388D"/>
    <w:rsid w:val="00317D4E"/>
    <w:rsid w:val="00320C9D"/>
    <w:rsid w:val="00321BFA"/>
    <w:rsid w:val="00322399"/>
    <w:rsid w:val="00322EFC"/>
    <w:rsid w:val="00323E09"/>
    <w:rsid w:val="003240BF"/>
    <w:rsid w:val="00326612"/>
    <w:rsid w:val="00330AC7"/>
    <w:rsid w:val="00331476"/>
    <w:rsid w:val="00331483"/>
    <w:rsid w:val="003317B4"/>
    <w:rsid w:val="00331972"/>
    <w:rsid w:val="0033217A"/>
    <w:rsid w:val="00333932"/>
    <w:rsid w:val="00334585"/>
    <w:rsid w:val="003352AF"/>
    <w:rsid w:val="00337AD7"/>
    <w:rsid w:val="00341258"/>
    <w:rsid w:val="0034142E"/>
    <w:rsid w:val="003419A0"/>
    <w:rsid w:val="00342D89"/>
    <w:rsid w:val="00343C16"/>
    <w:rsid w:val="00345AE8"/>
    <w:rsid w:val="00350950"/>
    <w:rsid w:val="003518AA"/>
    <w:rsid w:val="00352165"/>
    <w:rsid w:val="00352415"/>
    <w:rsid w:val="00353182"/>
    <w:rsid w:val="003553FE"/>
    <w:rsid w:val="0035619A"/>
    <w:rsid w:val="003565D9"/>
    <w:rsid w:val="00356732"/>
    <w:rsid w:val="003602E1"/>
    <w:rsid w:val="00361E56"/>
    <w:rsid w:val="003624AE"/>
    <w:rsid w:val="003627CE"/>
    <w:rsid w:val="0036397A"/>
    <w:rsid w:val="00364026"/>
    <w:rsid w:val="0036508B"/>
    <w:rsid w:val="0036663D"/>
    <w:rsid w:val="00367415"/>
    <w:rsid w:val="00367B64"/>
    <w:rsid w:val="0037026F"/>
    <w:rsid w:val="00370D49"/>
    <w:rsid w:val="00371240"/>
    <w:rsid w:val="00373B7E"/>
    <w:rsid w:val="00374731"/>
    <w:rsid w:val="00374EE7"/>
    <w:rsid w:val="00375DF8"/>
    <w:rsid w:val="00377573"/>
    <w:rsid w:val="00381D10"/>
    <w:rsid w:val="00382F4A"/>
    <w:rsid w:val="00383ED8"/>
    <w:rsid w:val="003846B2"/>
    <w:rsid w:val="00384EF3"/>
    <w:rsid w:val="003879F3"/>
    <w:rsid w:val="00387BDA"/>
    <w:rsid w:val="00391176"/>
    <w:rsid w:val="003919F9"/>
    <w:rsid w:val="00393A3B"/>
    <w:rsid w:val="0039469B"/>
    <w:rsid w:val="00395ADB"/>
    <w:rsid w:val="00397228"/>
    <w:rsid w:val="00397CEE"/>
    <w:rsid w:val="003A05B4"/>
    <w:rsid w:val="003A0B34"/>
    <w:rsid w:val="003A0CDE"/>
    <w:rsid w:val="003A2AB9"/>
    <w:rsid w:val="003A30AB"/>
    <w:rsid w:val="003A4799"/>
    <w:rsid w:val="003A5A31"/>
    <w:rsid w:val="003A67E1"/>
    <w:rsid w:val="003B3408"/>
    <w:rsid w:val="003B35A6"/>
    <w:rsid w:val="003B3FDD"/>
    <w:rsid w:val="003B79CD"/>
    <w:rsid w:val="003C1375"/>
    <w:rsid w:val="003C38B5"/>
    <w:rsid w:val="003C5775"/>
    <w:rsid w:val="003C5D99"/>
    <w:rsid w:val="003D02C4"/>
    <w:rsid w:val="003D1C48"/>
    <w:rsid w:val="003D201A"/>
    <w:rsid w:val="003D3E5F"/>
    <w:rsid w:val="003D474A"/>
    <w:rsid w:val="003D62A5"/>
    <w:rsid w:val="003D6AB7"/>
    <w:rsid w:val="003D72FB"/>
    <w:rsid w:val="003D74BD"/>
    <w:rsid w:val="003E29F9"/>
    <w:rsid w:val="003E2F59"/>
    <w:rsid w:val="003E3837"/>
    <w:rsid w:val="003E4812"/>
    <w:rsid w:val="003E4C56"/>
    <w:rsid w:val="003E595E"/>
    <w:rsid w:val="003E5965"/>
    <w:rsid w:val="003E5A20"/>
    <w:rsid w:val="003E6494"/>
    <w:rsid w:val="003E68FB"/>
    <w:rsid w:val="003F0789"/>
    <w:rsid w:val="003F09A9"/>
    <w:rsid w:val="003F0C5F"/>
    <w:rsid w:val="003F0E72"/>
    <w:rsid w:val="003F0F59"/>
    <w:rsid w:val="003F3945"/>
    <w:rsid w:val="003F53CC"/>
    <w:rsid w:val="003F591C"/>
    <w:rsid w:val="003F5A86"/>
    <w:rsid w:val="003F5D1C"/>
    <w:rsid w:val="003F70E5"/>
    <w:rsid w:val="003F71EF"/>
    <w:rsid w:val="003F74B5"/>
    <w:rsid w:val="00401882"/>
    <w:rsid w:val="00401ABD"/>
    <w:rsid w:val="00402846"/>
    <w:rsid w:val="0040287E"/>
    <w:rsid w:val="0040337F"/>
    <w:rsid w:val="00403457"/>
    <w:rsid w:val="00405D5F"/>
    <w:rsid w:val="00406E35"/>
    <w:rsid w:val="004100C8"/>
    <w:rsid w:val="00410214"/>
    <w:rsid w:val="00411DBD"/>
    <w:rsid w:val="00412ACE"/>
    <w:rsid w:val="00412CAC"/>
    <w:rsid w:val="004139AA"/>
    <w:rsid w:val="00416579"/>
    <w:rsid w:val="00421C3E"/>
    <w:rsid w:val="00425D98"/>
    <w:rsid w:val="00426460"/>
    <w:rsid w:val="004277E9"/>
    <w:rsid w:val="00427CE8"/>
    <w:rsid w:val="004301F3"/>
    <w:rsid w:val="004304ED"/>
    <w:rsid w:val="00430BAD"/>
    <w:rsid w:val="00431230"/>
    <w:rsid w:val="00431249"/>
    <w:rsid w:val="004323C9"/>
    <w:rsid w:val="00432C2E"/>
    <w:rsid w:val="004345B5"/>
    <w:rsid w:val="00434C19"/>
    <w:rsid w:val="0043532A"/>
    <w:rsid w:val="00436E2A"/>
    <w:rsid w:val="00440337"/>
    <w:rsid w:val="0044095F"/>
    <w:rsid w:val="00442D01"/>
    <w:rsid w:val="004430AC"/>
    <w:rsid w:val="0044347B"/>
    <w:rsid w:val="00450810"/>
    <w:rsid w:val="004514A9"/>
    <w:rsid w:val="0045156D"/>
    <w:rsid w:val="00452509"/>
    <w:rsid w:val="00453CF8"/>
    <w:rsid w:val="004543F0"/>
    <w:rsid w:val="0045538B"/>
    <w:rsid w:val="00457564"/>
    <w:rsid w:val="004601A6"/>
    <w:rsid w:val="00460482"/>
    <w:rsid w:val="00460C98"/>
    <w:rsid w:val="00460D33"/>
    <w:rsid w:val="00461C2B"/>
    <w:rsid w:val="00461CB6"/>
    <w:rsid w:val="00463480"/>
    <w:rsid w:val="00464184"/>
    <w:rsid w:val="00465885"/>
    <w:rsid w:val="00465D5F"/>
    <w:rsid w:val="00465DA6"/>
    <w:rsid w:val="004673B4"/>
    <w:rsid w:val="00467502"/>
    <w:rsid w:val="004703F5"/>
    <w:rsid w:val="00471518"/>
    <w:rsid w:val="00472F3F"/>
    <w:rsid w:val="00473954"/>
    <w:rsid w:val="004742D7"/>
    <w:rsid w:val="0047448E"/>
    <w:rsid w:val="00477144"/>
    <w:rsid w:val="00477602"/>
    <w:rsid w:val="00480F07"/>
    <w:rsid w:val="00483713"/>
    <w:rsid w:val="00483D70"/>
    <w:rsid w:val="004850FD"/>
    <w:rsid w:val="004855F0"/>
    <w:rsid w:val="00486A9A"/>
    <w:rsid w:val="00486D26"/>
    <w:rsid w:val="00492920"/>
    <w:rsid w:val="00493285"/>
    <w:rsid w:val="00493BFB"/>
    <w:rsid w:val="0049459F"/>
    <w:rsid w:val="004965E6"/>
    <w:rsid w:val="0049719D"/>
    <w:rsid w:val="004A052D"/>
    <w:rsid w:val="004A1062"/>
    <w:rsid w:val="004A1471"/>
    <w:rsid w:val="004A33BB"/>
    <w:rsid w:val="004A38DD"/>
    <w:rsid w:val="004A4D29"/>
    <w:rsid w:val="004A612B"/>
    <w:rsid w:val="004A6A57"/>
    <w:rsid w:val="004A70AF"/>
    <w:rsid w:val="004B0511"/>
    <w:rsid w:val="004B43AE"/>
    <w:rsid w:val="004B5734"/>
    <w:rsid w:val="004B650A"/>
    <w:rsid w:val="004B7C56"/>
    <w:rsid w:val="004C22B9"/>
    <w:rsid w:val="004C27C6"/>
    <w:rsid w:val="004C30ED"/>
    <w:rsid w:val="004C4BF6"/>
    <w:rsid w:val="004C62DB"/>
    <w:rsid w:val="004C6424"/>
    <w:rsid w:val="004C7EB7"/>
    <w:rsid w:val="004D1002"/>
    <w:rsid w:val="004D3065"/>
    <w:rsid w:val="004D31B1"/>
    <w:rsid w:val="004D3CCB"/>
    <w:rsid w:val="004D51A8"/>
    <w:rsid w:val="004D5675"/>
    <w:rsid w:val="004D698B"/>
    <w:rsid w:val="004D6BF2"/>
    <w:rsid w:val="004E0502"/>
    <w:rsid w:val="004E1596"/>
    <w:rsid w:val="004E287E"/>
    <w:rsid w:val="004E496D"/>
    <w:rsid w:val="004E7282"/>
    <w:rsid w:val="004F3144"/>
    <w:rsid w:val="004F48F3"/>
    <w:rsid w:val="004F5222"/>
    <w:rsid w:val="004F5874"/>
    <w:rsid w:val="004F777F"/>
    <w:rsid w:val="00501A0C"/>
    <w:rsid w:val="005039F6"/>
    <w:rsid w:val="00503EAC"/>
    <w:rsid w:val="005063BB"/>
    <w:rsid w:val="005067B8"/>
    <w:rsid w:val="0050689A"/>
    <w:rsid w:val="00506EB2"/>
    <w:rsid w:val="00507BBB"/>
    <w:rsid w:val="0051072C"/>
    <w:rsid w:val="00510C64"/>
    <w:rsid w:val="00510E90"/>
    <w:rsid w:val="0051135D"/>
    <w:rsid w:val="00511A0D"/>
    <w:rsid w:val="00511BD6"/>
    <w:rsid w:val="0051365C"/>
    <w:rsid w:val="005142CE"/>
    <w:rsid w:val="00514EEC"/>
    <w:rsid w:val="00515899"/>
    <w:rsid w:val="005175C3"/>
    <w:rsid w:val="00517DD0"/>
    <w:rsid w:val="00521381"/>
    <w:rsid w:val="0052142C"/>
    <w:rsid w:val="00522306"/>
    <w:rsid w:val="00522BCC"/>
    <w:rsid w:val="00523639"/>
    <w:rsid w:val="00526DDB"/>
    <w:rsid w:val="0053051D"/>
    <w:rsid w:val="00534ECC"/>
    <w:rsid w:val="00535787"/>
    <w:rsid w:val="005358CD"/>
    <w:rsid w:val="00541554"/>
    <w:rsid w:val="00545D15"/>
    <w:rsid w:val="00547797"/>
    <w:rsid w:val="00550FD4"/>
    <w:rsid w:val="00553718"/>
    <w:rsid w:val="00555411"/>
    <w:rsid w:val="005573DA"/>
    <w:rsid w:val="00557491"/>
    <w:rsid w:val="0055751F"/>
    <w:rsid w:val="0056103A"/>
    <w:rsid w:val="0056268B"/>
    <w:rsid w:val="005629B9"/>
    <w:rsid w:val="0056377B"/>
    <w:rsid w:val="0056684A"/>
    <w:rsid w:val="00567007"/>
    <w:rsid w:val="005709C9"/>
    <w:rsid w:val="005714CD"/>
    <w:rsid w:val="005715AE"/>
    <w:rsid w:val="00571624"/>
    <w:rsid w:val="00571D6A"/>
    <w:rsid w:val="00572BB9"/>
    <w:rsid w:val="005736B9"/>
    <w:rsid w:val="00580D9A"/>
    <w:rsid w:val="00583658"/>
    <w:rsid w:val="00583C39"/>
    <w:rsid w:val="005851FE"/>
    <w:rsid w:val="00586B5A"/>
    <w:rsid w:val="005909CF"/>
    <w:rsid w:val="00591E71"/>
    <w:rsid w:val="005A0D41"/>
    <w:rsid w:val="005A121B"/>
    <w:rsid w:val="005A3043"/>
    <w:rsid w:val="005A3258"/>
    <w:rsid w:val="005A5635"/>
    <w:rsid w:val="005A662F"/>
    <w:rsid w:val="005A6D2C"/>
    <w:rsid w:val="005A7DBA"/>
    <w:rsid w:val="005B0CCC"/>
    <w:rsid w:val="005B2570"/>
    <w:rsid w:val="005B2D70"/>
    <w:rsid w:val="005B36DC"/>
    <w:rsid w:val="005B471D"/>
    <w:rsid w:val="005B477A"/>
    <w:rsid w:val="005B520B"/>
    <w:rsid w:val="005B7BA2"/>
    <w:rsid w:val="005C7012"/>
    <w:rsid w:val="005D457A"/>
    <w:rsid w:val="005D5252"/>
    <w:rsid w:val="005D6508"/>
    <w:rsid w:val="005D6565"/>
    <w:rsid w:val="005D66CA"/>
    <w:rsid w:val="005E0294"/>
    <w:rsid w:val="005E168D"/>
    <w:rsid w:val="005E1D2B"/>
    <w:rsid w:val="005E42E4"/>
    <w:rsid w:val="005E6E37"/>
    <w:rsid w:val="005E72FA"/>
    <w:rsid w:val="005F2A4B"/>
    <w:rsid w:val="005F2A89"/>
    <w:rsid w:val="005F2F15"/>
    <w:rsid w:val="005F5BB6"/>
    <w:rsid w:val="005F6EB9"/>
    <w:rsid w:val="005F7253"/>
    <w:rsid w:val="005F74E4"/>
    <w:rsid w:val="00600D77"/>
    <w:rsid w:val="00601226"/>
    <w:rsid w:val="00601CD8"/>
    <w:rsid w:val="006030D3"/>
    <w:rsid w:val="00603F39"/>
    <w:rsid w:val="00604123"/>
    <w:rsid w:val="00604D5C"/>
    <w:rsid w:val="00604FB4"/>
    <w:rsid w:val="00605451"/>
    <w:rsid w:val="0060547E"/>
    <w:rsid w:val="00607BF1"/>
    <w:rsid w:val="00612F5B"/>
    <w:rsid w:val="006208B3"/>
    <w:rsid w:val="00620A40"/>
    <w:rsid w:val="006216DA"/>
    <w:rsid w:val="00621ED4"/>
    <w:rsid w:val="00622FCE"/>
    <w:rsid w:val="00623A8E"/>
    <w:rsid w:val="00625A66"/>
    <w:rsid w:val="0062747C"/>
    <w:rsid w:val="0062753E"/>
    <w:rsid w:val="00630D4D"/>
    <w:rsid w:val="00631B50"/>
    <w:rsid w:val="00632609"/>
    <w:rsid w:val="0063276D"/>
    <w:rsid w:val="00632A74"/>
    <w:rsid w:val="00633A6A"/>
    <w:rsid w:val="00635581"/>
    <w:rsid w:val="00635E4B"/>
    <w:rsid w:val="00640BC2"/>
    <w:rsid w:val="0064267B"/>
    <w:rsid w:val="00642C3B"/>
    <w:rsid w:val="00643054"/>
    <w:rsid w:val="0064488B"/>
    <w:rsid w:val="00646A63"/>
    <w:rsid w:val="00647427"/>
    <w:rsid w:val="006478BB"/>
    <w:rsid w:val="00650578"/>
    <w:rsid w:val="006508E7"/>
    <w:rsid w:val="00652481"/>
    <w:rsid w:val="00653363"/>
    <w:rsid w:val="00653EC3"/>
    <w:rsid w:val="00655504"/>
    <w:rsid w:val="0065621C"/>
    <w:rsid w:val="00660DAF"/>
    <w:rsid w:val="00663CF0"/>
    <w:rsid w:val="00663F25"/>
    <w:rsid w:val="0066486C"/>
    <w:rsid w:val="0066578F"/>
    <w:rsid w:val="006668A7"/>
    <w:rsid w:val="00670D7A"/>
    <w:rsid w:val="006726BE"/>
    <w:rsid w:val="006731A0"/>
    <w:rsid w:val="006733A7"/>
    <w:rsid w:val="00676650"/>
    <w:rsid w:val="00682300"/>
    <w:rsid w:val="0068280A"/>
    <w:rsid w:val="00682885"/>
    <w:rsid w:val="00682BDC"/>
    <w:rsid w:val="006837C2"/>
    <w:rsid w:val="00683936"/>
    <w:rsid w:val="00683CF3"/>
    <w:rsid w:val="0068607F"/>
    <w:rsid w:val="006868BF"/>
    <w:rsid w:val="00691AAC"/>
    <w:rsid w:val="006924A9"/>
    <w:rsid w:val="00692ADA"/>
    <w:rsid w:val="006938E6"/>
    <w:rsid w:val="00693BDF"/>
    <w:rsid w:val="00693CC3"/>
    <w:rsid w:val="0069473A"/>
    <w:rsid w:val="006A0E7E"/>
    <w:rsid w:val="006A203B"/>
    <w:rsid w:val="006A247B"/>
    <w:rsid w:val="006A2D07"/>
    <w:rsid w:val="006A3E03"/>
    <w:rsid w:val="006A4655"/>
    <w:rsid w:val="006A53DA"/>
    <w:rsid w:val="006A6258"/>
    <w:rsid w:val="006B003E"/>
    <w:rsid w:val="006B0707"/>
    <w:rsid w:val="006B165A"/>
    <w:rsid w:val="006B1F07"/>
    <w:rsid w:val="006B2B3C"/>
    <w:rsid w:val="006B5106"/>
    <w:rsid w:val="006B5134"/>
    <w:rsid w:val="006B6C3F"/>
    <w:rsid w:val="006B773F"/>
    <w:rsid w:val="006C0BDC"/>
    <w:rsid w:val="006C1D81"/>
    <w:rsid w:val="006C46BE"/>
    <w:rsid w:val="006C5FD5"/>
    <w:rsid w:val="006C66F0"/>
    <w:rsid w:val="006C7038"/>
    <w:rsid w:val="006D15A7"/>
    <w:rsid w:val="006D46CF"/>
    <w:rsid w:val="006D6A26"/>
    <w:rsid w:val="006D7505"/>
    <w:rsid w:val="006E29C7"/>
    <w:rsid w:val="006E4AFB"/>
    <w:rsid w:val="006E5595"/>
    <w:rsid w:val="006E57A1"/>
    <w:rsid w:val="006E5D20"/>
    <w:rsid w:val="006E6008"/>
    <w:rsid w:val="006E62AE"/>
    <w:rsid w:val="006E63EE"/>
    <w:rsid w:val="006E687B"/>
    <w:rsid w:val="006E73EF"/>
    <w:rsid w:val="006F0804"/>
    <w:rsid w:val="006F1775"/>
    <w:rsid w:val="006F293D"/>
    <w:rsid w:val="006F46DC"/>
    <w:rsid w:val="006F4D84"/>
    <w:rsid w:val="006F4E12"/>
    <w:rsid w:val="006F63BC"/>
    <w:rsid w:val="006F6655"/>
    <w:rsid w:val="006F6C55"/>
    <w:rsid w:val="007000B1"/>
    <w:rsid w:val="00700615"/>
    <w:rsid w:val="0070124C"/>
    <w:rsid w:val="00701361"/>
    <w:rsid w:val="007017D4"/>
    <w:rsid w:val="00703B45"/>
    <w:rsid w:val="00706CE0"/>
    <w:rsid w:val="00710D7B"/>
    <w:rsid w:val="00711434"/>
    <w:rsid w:val="00711927"/>
    <w:rsid w:val="00712657"/>
    <w:rsid w:val="00712B76"/>
    <w:rsid w:val="00712D9E"/>
    <w:rsid w:val="0071334E"/>
    <w:rsid w:val="00714D4D"/>
    <w:rsid w:val="007151BB"/>
    <w:rsid w:val="0071648D"/>
    <w:rsid w:val="00716B31"/>
    <w:rsid w:val="00717F53"/>
    <w:rsid w:val="00720F33"/>
    <w:rsid w:val="00722B29"/>
    <w:rsid w:val="00723A11"/>
    <w:rsid w:val="00725A09"/>
    <w:rsid w:val="00725B43"/>
    <w:rsid w:val="007260F5"/>
    <w:rsid w:val="00726340"/>
    <w:rsid w:val="00726BB0"/>
    <w:rsid w:val="00726CCB"/>
    <w:rsid w:val="00727403"/>
    <w:rsid w:val="00727CF0"/>
    <w:rsid w:val="0073229D"/>
    <w:rsid w:val="00732F63"/>
    <w:rsid w:val="007336F6"/>
    <w:rsid w:val="00733BD9"/>
    <w:rsid w:val="007341B4"/>
    <w:rsid w:val="00734865"/>
    <w:rsid w:val="00734D6D"/>
    <w:rsid w:val="007367A8"/>
    <w:rsid w:val="00740D62"/>
    <w:rsid w:val="00740E0D"/>
    <w:rsid w:val="00740E16"/>
    <w:rsid w:val="00740F17"/>
    <w:rsid w:val="007420D1"/>
    <w:rsid w:val="0074573C"/>
    <w:rsid w:val="0074797F"/>
    <w:rsid w:val="00752164"/>
    <w:rsid w:val="00753DFB"/>
    <w:rsid w:val="00755EE2"/>
    <w:rsid w:val="00755F9B"/>
    <w:rsid w:val="007602DE"/>
    <w:rsid w:val="007604BB"/>
    <w:rsid w:val="007604C4"/>
    <w:rsid w:val="007607FF"/>
    <w:rsid w:val="007611F9"/>
    <w:rsid w:val="00763B97"/>
    <w:rsid w:val="00763E76"/>
    <w:rsid w:val="00771235"/>
    <w:rsid w:val="0077136F"/>
    <w:rsid w:val="007725E8"/>
    <w:rsid w:val="00773D54"/>
    <w:rsid w:val="00775F46"/>
    <w:rsid w:val="0077632D"/>
    <w:rsid w:val="00776F22"/>
    <w:rsid w:val="00777358"/>
    <w:rsid w:val="00783247"/>
    <w:rsid w:val="00784E6C"/>
    <w:rsid w:val="00785232"/>
    <w:rsid w:val="0078774B"/>
    <w:rsid w:val="00791651"/>
    <w:rsid w:val="007931EB"/>
    <w:rsid w:val="00794E0D"/>
    <w:rsid w:val="00797C6F"/>
    <w:rsid w:val="007A1E23"/>
    <w:rsid w:val="007A21EB"/>
    <w:rsid w:val="007A3125"/>
    <w:rsid w:val="007A4A99"/>
    <w:rsid w:val="007A4AE0"/>
    <w:rsid w:val="007A615F"/>
    <w:rsid w:val="007A7A6F"/>
    <w:rsid w:val="007B0E27"/>
    <w:rsid w:val="007B19FC"/>
    <w:rsid w:val="007B1A93"/>
    <w:rsid w:val="007B44B6"/>
    <w:rsid w:val="007B59F9"/>
    <w:rsid w:val="007B69DE"/>
    <w:rsid w:val="007B7657"/>
    <w:rsid w:val="007B7F29"/>
    <w:rsid w:val="007C0225"/>
    <w:rsid w:val="007C13E3"/>
    <w:rsid w:val="007C1C57"/>
    <w:rsid w:val="007C25A3"/>
    <w:rsid w:val="007C3129"/>
    <w:rsid w:val="007C36C9"/>
    <w:rsid w:val="007C38CC"/>
    <w:rsid w:val="007C3CAF"/>
    <w:rsid w:val="007C3FD1"/>
    <w:rsid w:val="007C4081"/>
    <w:rsid w:val="007C425C"/>
    <w:rsid w:val="007C57CC"/>
    <w:rsid w:val="007C5C3D"/>
    <w:rsid w:val="007D0768"/>
    <w:rsid w:val="007D0917"/>
    <w:rsid w:val="007D22A6"/>
    <w:rsid w:val="007D2AB6"/>
    <w:rsid w:val="007D3DCC"/>
    <w:rsid w:val="007D554D"/>
    <w:rsid w:val="007D61E6"/>
    <w:rsid w:val="007D6401"/>
    <w:rsid w:val="007E01E4"/>
    <w:rsid w:val="007E117D"/>
    <w:rsid w:val="007E2B96"/>
    <w:rsid w:val="007E3D9A"/>
    <w:rsid w:val="007E7892"/>
    <w:rsid w:val="007E7D4A"/>
    <w:rsid w:val="007F7107"/>
    <w:rsid w:val="007F7AB5"/>
    <w:rsid w:val="00800F08"/>
    <w:rsid w:val="00801C0E"/>
    <w:rsid w:val="0081030F"/>
    <w:rsid w:val="00812191"/>
    <w:rsid w:val="008145F3"/>
    <w:rsid w:val="00814ADA"/>
    <w:rsid w:val="00814C05"/>
    <w:rsid w:val="00814EBF"/>
    <w:rsid w:val="00816469"/>
    <w:rsid w:val="008165CE"/>
    <w:rsid w:val="00817335"/>
    <w:rsid w:val="00820557"/>
    <w:rsid w:val="0082087D"/>
    <w:rsid w:val="00822944"/>
    <w:rsid w:val="00822A99"/>
    <w:rsid w:val="008257E6"/>
    <w:rsid w:val="0082619B"/>
    <w:rsid w:val="0082682E"/>
    <w:rsid w:val="00831075"/>
    <w:rsid w:val="008318E6"/>
    <w:rsid w:val="00831A9A"/>
    <w:rsid w:val="00831BEF"/>
    <w:rsid w:val="00831E56"/>
    <w:rsid w:val="008327BF"/>
    <w:rsid w:val="008353FD"/>
    <w:rsid w:val="0083557C"/>
    <w:rsid w:val="008359A0"/>
    <w:rsid w:val="008365EF"/>
    <w:rsid w:val="00836619"/>
    <w:rsid w:val="00836837"/>
    <w:rsid w:val="00841BB9"/>
    <w:rsid w:val="0084277B"/>
    <w:rsid w:val="00842933"/>
    <w:rsid w:val="00843A83"/>
    <w:rsid w:val="00852D28"/>
    <w:rsid w:val="008530EE"/>
    <w:rsid w:val="00853443"/>
    <w:rsid w:val="00854C34"/>
    <w:rsid w:val="00856A4D"/>
    <w:rsid w:val="00857B09"/>
    <w:rsid w:val="0086082C"/>
    <w:rsid w:val="00862978"/>
    <w:rsid w:val="008630C3"/>
    <w:rsid w:val="008634AD"/>
    <w:rsid w:val="00864ADC"/>
    <w:rsid w:val="00866251"/>
    <w:rsid w:val="00870F16"/>
    <w:rsid w:val="00877BC2"/>
    <w:rsid w:val="00880102"/>
    <w:rsid w:val="00880153"/>
    <w:rsid w:val="00880745"/>
    <w:rsid w:val="008809FF"/>
    <w:rsid w:val="00880F97"/>
    <w:rsid w:val="0088133A"/>
    <w:rsid w:val="00881CBF"/>
    <w:rsid w:val="00882200"/>
    <w:rsid w:val="00884B5B"/>
    <w:rsid w:val="008851DD"/>
    <w:rsid w:val="0088622E"/>
    <w:rsid w:val="00886613"/>
    <w:rsid w:val="00891593"/>
    <w:rsid w:val="0089285E"/>
    <w:rsid w:val="00894018"/>
    <w:rsid w:val="0089436C"/>
    <w:rsid w:val="0089519A"/>
    <w:rsid w:val="008974FB"/>
    <w:rsid w:val="008A0707"/>
    <w:rsid w:val="008A0D86"/>
    <w:rsid w:val="008A1D03"/>
    <w:rsid w:val="008A2BBF"/>
    <w:rsid w:val="008A3F96"/>
    <w:rsid w:val="008A494A"/>
    <w:rsid w:val="008A57CB"/>
    <w:rsid w:val="008A7640"/>
    <w:rsid w:val="008B0CCD"/>
    <w:rsid w:val="008B1CB9"/>
    <w:rsid w:val="008B357B"/>
    <w:rsid w:val="008B67AE"/>
    <w:rsid w:val="008B7236"/>
    <w:rsid w:val="008B7849"/>
    <w:rsid w:val="008C1E2B"/>
    <w:rsid w:val="008C1ED9"/>
    <w:rsid w:val="008C4A4A"/>
    <w:rsid w:val="008C4B21"/>
    <w:rsid w:val="008C6CD9"/>
    <w:rsid w:val="008C7677"/>
    <w:rsid w:val="008C7AB6"/>
    <w:rsid w:val="008C7DCD"/>
    <w:rsid w:val="008D0678"/>
    <w:rsid w:val="008D0E94"/>
    <w:rsid w:val="008D365C"/>
    <w:rsid w:val="008D50FB"/>
    <w:rsid w:val="008D53CF"/>
    <w:rsid w:val="008D7BED"/>
    <w:rsid w:val="008E20A3"/>
    <w:rsid w:val="008E2D8C"/>
    <w:rsid w:val="008E390D"/>
    <w:rsid w:val="008E39F6"/>
    <w:rsid w:val="008E4957"/>
    <w:rsid w:val="008E4B1D"/>
    <w:rsid w:val="008E5550"/>
    <w:rsid w:val="008E56A9"/>
    <w:rsid w:val="008E6E70"/>
    <w:rsid w:val="008E6F32"/>
    <w:rsid w:val="008F0123"/>
    <w:rsid w:val="008F0A70"/>
    <w:rsid w:val="008F3108"/>
    <w:rsid w:val="008F5669"/>
    <w:rsid w:val="009008B8"/>
    <w:rsid w:val="0090101F"/>
    <w:rsid w:val="00903067"/>
    <w:rsid w:val="009030BF"/>
    <w:rsid w:val="00905F75"/>
    <w:rsid w:val="00906860"/>
    <w:rsid w:val="00910296"/>
    <w:rsid w:val="0091032F"/>
    <w:rsid w:val="00914368"/>
    <w:rsid w:val="00914AE3"/>
    <w:rsid w:val="00915823"/>
    <w:rsid w:val="00921716"/>
    <w:rsid w:val="00923476"/>
    <w:rsid w:val="00924CBD"/>
    <w:rsid w:val="0092505B"/>
    <w:rsid w:val="009278EE"/>
    <w:rsid w:val="009301B3"/>
    <w:rsid w:val="00930D9E"/>
    <w:rsid w:val="00931076"/>
    <w:rsid w:val="00931587"/>
    <w:rsid w:val="009334CF"/>
    <w:rsid w:val="009345D9"/>
    <w:rsid w:val="00934624"/>
    <w:rsid w:val="00934B15"/>
    <w:rsid w:val="00935D6E"/>
    <w:rsid w:val="00941271"/>
    <w:rsid w:val="00942B62"/>
    <w:rsid w:val="00942D11"/>
    <w:rsid w:val="00944935"/>
    <w:rsid w:val="00946AD4"/>
    <w:rsid w:val="00947A34"/>
    <w:rsid w:val="00947F85"/>
    <w:rsid w:val="00950052"/>
    <w:rsid w:val="0095027A"/>
    <w:rsid w:val="00950B6F"/>
    <w:rsid w:val="0095186C"/>
    <w:rsid w:val="0095360D"/>
    <w:rsid w:val="00956A0C"/>
    <w:rsid w:val="00956BD9"/>
    <w:rsid w:val="009611F7"/>
    <w:rsid w:val="00962489"/>
    <w:rsid w:val="00963ABB"/>
    <w:rsid w:val="0096574F"/>
    <w:rsid w:val="009665A1"/>
    <w:rsid w:val="00966B05"/>
    <w:rsid w:val="009700FF"/>
    <w:rsid w:val="0097244E"/>
    <w:rsid w:val="00975EEF"/>
    <w:rsid w:val="00983745"/>
    <w:rsid w:val="00983C6C"/>
    <w:rsid w:val="00984836"/>
    <w:rsid w:val="009866D0"/>
    <w:rsid w:val="009871E8"/>
    <w:rsid w:val="00990C2C"/>
    <w:rsid w:val="00992069"/>
    <w:rsid w:val="0099317B"/>
    <w:rsid w:val="00994CD3"/>
    <w:rsid w:val="009959E2"/>
    <w:rsid w:val="0099617F"/>
    <w:rsid w:val="00997F9A"/>
    <w:rsid w:val="009A118A"/>
    <w:rsid w:val="009A2C84"/>
    <w:rsid w:val="009A33F0"/>
    <w:rsid w:val="009A3D14"/>
    <w:rsid w:val="009A4980"/>
    <w:rsid w:val="009A50C1"/>
    <w:rsid w:val="009A5C6F"/>
    <w:rsid w:val="009A5CCC"/>
    <w:rsid w:val="009A5DCB"/>
    <w:rsid w:val="009A5F4A"/>
    <w:rsid w:val="009B0870"/>
    <w:rsid w:val="009B2AB5"/>
    <w:rsid w:val="009B56F1"/>
    <w:rsid w:val="009B6244"/>
    <w:rsid w:val="009C0116"/>
    <w:rsid w:val="009C23A7"/>
    <w:rsid w:val="009C3022"/>
    <w:rsid w:val="009C4ACF"/>
    <w:rsid w:val="009C5114"/>
    <w:rsid w:val="009C70C3"/>
    <w:rsid w:val="009C7652"/>
    <w:rsid w:val="009D03B0"/>
    <w:rsid w:val="009D0826"/>
    <w:rsid w:val="009D29E8"/>
    <w:rsid w:val="009D6243"/>
    <w:rsid w:val="009E06CD"/>
    <w:rsid w:val="009E13F8"/>
    <w:rsid w:val="009E2357"/>
    <w:rsid w:val="009E284F"/>
    <w:rsid w:val="009E7759"/>
    <w:rsid w:val="009E7C44"/>
    <w:rsid w:val="009F102C"/>
    <w:rsid w:val="009F32AF"/>
    <w:rsid w:val="009F58E0"/>
    <w:rsid w:val="009F696D"/>
    <w:rsid w:val="009F6BC6"/>
    <w:rsid w:val="009F7035"/>
    <w:rsid w:val="00A00FC3"/>
    <w:rsid w:val="00A02FF1"/>
    <w:rsid w:val="00A03CF6"/>
    <w:rsid w:val="00A06AAD"/>
    <w:rsid w:val="00A076CA"/>
    <w:rsid w:val="00A110D3"/>
    <w:rsid w:val="00A125D0"/>
    <w:rsid w:val="00A15486"/>
    <w:rsid w:val="00A154A8"/>
    <w:rsid w:val="00A16309"/>
    <w:rsid w:val="00A17328"/>
    <w:rsid w:val="00A20935"/>
    <w:rsid w:val="00A21373"/>
    <w:rsid w:val="00A22891"/>
    <w:rsid w:val="00A22E5D"/>
    <w:rsid w:val="00A23A20"/>
    <w:rsid w:val="00A24A2A"/>
    <w:rsid w:val="00A260BE"/>
    <w:rsid w:val="00A268B9"/>
    <w:rsid w:val="00A2703A"/>
    <w:rsid w:val="00A27069"/>
    <w:rsid w:val="00A27ABD"/>
    <w:rsid w:val="00A33DFF"/>
    <w:rsid w:val="00A35115"/>
    <w:rsid w:val="00A3521E"/>
    <w:rsid w:val="00A36600"/>
    <w:rsid w:val="00A3709D"/>
    <w:rsid w:val="00A40359"/>
    <w:rsid w:val="00A4048F"/>
    <w:rsid w:val="00A41149"/>
    <w:rsid w:val="00A43F39"/>
    <w:rsid w:val="00A440BF"/>
    <w:rsid w:val="00A504B0"/>
    <w:rsid w:val="00A52DB6"/>
    <w:rsid w:val="00A53977"/>
    <w:rsid w:val="00A5486D"/>
    <w:rsid w:val="00A554AB"/>
    <w:rsid w:val="00A6098A"/>
    <w:rsid w:val="00A61CA2"/>
    <w:rsid w:val="00A66F62"/>
    <w:rsid w:val="00A728DD"/>
    <w:rsid w:val="00A733CD"/>
    <w:rsid w:val="00A73B43"/>
    <w:rsid w:val="00A74B1C"/>
    <w:rsid w:val="00A75074"/>
    <w:rsid w:val="00A751BF"/>
    <w:rsid w:val="00A813E6"/>
    <w:rsid w:val="00A82556"/>
    <w:rsid w:val="00A82698"/>
    <w:rsid w:val="00A85CC8"/>
    <w:rsid w:val="00A85FA4"/>
    <w:rsid w:val="00A86C33"/>
    <w:rsid w:val="00A87A76"/>
    <w:rsid w:val="00A92B53"/>
    <w:rsid w:val="00A94FA6"/>
    <w:rsid w:val="00A95142"/>
    <w:rsid w:val="00AA0347"/>
    <w:rsid w:val="00AA28A0"/>
    <w:rsid w:val="00AA387C"/>
    <w:rsid w:val="00AA49A0"/>
    <w:rsid w:val="00AA6710"/>
    <w:rsid w:val="00AA7B69"/>
    <w:rsid w:val="00AA7C9A"/>
    <w:rsid w:val="00AB0256"/>
    <w:rsid w:val="00AB0681"/>
    <w:rsid w:val="00AB3862"/>
    <w:rsid w:val="00AB6D0C"/>
    <w:rsid w:val="00AB6DAD"/>
    <w:rsid w:val="00AB78FA"/>
    <w:rsid w:val="00AC083C"/>
    <w:rsid w:val="00AC0C42"/>
    <w:rsid w:val="00AC130A"/>
    <w:rsid w:val="00AC414E"/>
    <w:rsid w:val="00AC4FA9"/>
    <w:rsid w:val="00AC729B"/>
    <w:rsid w:val="00AD049C"/>
    <w:rsid w:val="00AD0800"/>
    <w:rsid w:val="00AD199F"/>
    <w:rsid w:val="00AD2B87"/>
    <w:rsid w:val="00AD4769"/>
    <w:rsid w:val="00AD4F68"/>
    <w:rsid w:val="00AD520B"/>
    <w:rsid w:val="00AD6899"/>
    <w:rsid w:val="00AD7633"/>
    <w:rsid w:val="00AE01E5"/>
    <w:rsid w:val="00AE0833"/>
    <w:rsid w:val="00AE0D37"/>
    <w:rsid w:val="00AE1AB7"/>
    <w:rsid w:val="00AE1C45"/>
    <w:rsid w:val="00AE20A2"/>
    <w:rsid w:val="00AE2706"/>
    <w:rsid w:val="00AE4096"/>
    <w:rsid w:val="00AE47CD"/>
    <w:rsid w:val="00AE5FCF"/>
    <w:rsid w:val="00AE64E7"/>
    <w:rsid w:val="00AE74A5"/>
    <w:rsid w:val="00AE7911"/>
    <w:rsid w:val="00AF0AE0"/>
    <w:rsid w:val="00AF1951"/>
    <w:rsid w:val="00AF197A"/>
    <w:rsid w:val="00AF4404"/>
    <w:rsid w:val="00AF52E8"/>
    <w:rsid w:val="00AF55D0"/>
    <w:rsid w:val="00AF76B9"/>
    <w:rsid w:val="00B003A9"/>
    <w:rsid w:val="00B00C73"/>
    <w:rsid w:val="00B01AF4"/>
    <w:rsid w:val="00B01E93"/>
    <w:rsid w:val="00B02D21"/>
    <w:rsid w:val="00B02E3D"/>
    <w:rsid w:val="00B03FA8"/>
    <w:rsid w:val="00B04EA3"/>
    <w:rsid w:val="00B0533F"/>
    <w:rsid w:val="00B065C9"/>
    <w:rsid w:val="00B070F6"/>
    <w:rsid w:val="00B10E87"/>
    <w:rsid w:val="00B11C39"/>
    <w:rsid w:val="00B12DBE"/>
    <w:rsid w:val="00B14FF9"/>
    <w:rsid w:val="00B2157D"/>
    <w:rsid w:val="00B230CC"/>
    <w:rsid w:val="00B24600"/>
    <w:rsid w:val="00B24DF7"/>
    <w:rsid w:val="00B25FA3"/>
    <w:rsid w:val="00B27311"/>
    <w:rsid w:val="00B3045A"/>
    <w:rsid w:val="00B324EE"/>
    <w:rsid w:val="00B33BEA"/>
    <w:rsid w:val="00B3513E"/>
    <w:rsid w:val="00B36727"/>
    <w:rsid w:val="00B379D6"/>
    <w:rsid w:val="00B37E76"/>
    <w:rsid w:val="00B4149F"/>
    <w:rsid w:val="00B42495"/>
    <w:rsid w:val="00B44049"/>
    <w:rsid w:val="00B440AD"/>
    <w:rsid w:val="00B45239"/>
    <w:rsid w:val="00B452C2"/>
    <w:rsid w:val="00B45F06"/>
    <w:rsid w:val="00B47614"/>
    <w:rsid w:val="00B51328"/>
    <w:rsid w:val="00B51D6D"/>
    <w:rsid w:val="00B525F7"/>
    <w:rsid w:val="00B53B2C"/>
    <w:rsid w:val="00B53E7E"/>
    <w:rsid w:val="00B5520D"/>
    <w:rsid w:val="00B56D80"/>
    <w:rsid w:val="00B57260"/>
    <w:rsid w:val="00B57FD3"/>
    <w:rsid w:val="00B61008"/>
    <w:rsid w:val="00B622B1"/>
    <w:rsid w:val="00B6232A"/>
    <w:rsid w:val="00B62FF0"/>
    <w:rsid w:val="00B630DC"/>
    <w:rsid w:val="00B6342E"/>
    <w:rsid w:val="00B63574"/>
    <w:rsid w:val="00B63ADA"/>
    <w:rsid w:val="00B65248"/>
    <w:rsid w:val="00B65E94"/>
    <w:rsid w:val="00B66C77"/>
    <w:rsid w:val="00B6770C"/>
    <w:rsid w:val="00B701D3"/>
    <w:rsid w:val="00B7076D"/>
    <w:rsid w:val="00B7113F"/>
    <w:rsid w:val="00B71566"/>
    <w:rsid w:val="00B7224F"/>
    <w:rsid w:val="00B7262C"/>
    <w:rsid w:val="00B7292A"/>
    <w:rsid w:val="00B72A93"/>
    <w:rsid w:val="00B73AEB"/>
    <w:rsid w:val="00B7457A"/>
    <w:rsid w:val="00B7537A"/>
    <w:rsid w:val="00B758DD"/>
    <w:rsid w:val="00B75ABD"/>
    <w:rsid w:val="00B7611D"/>
    <w:rsid w:val="00B82155"/>
    <w:rsid w:val="00B823D3"/>
    <w:rsid w:val="00B85253"/>
    <w:rsid w:val="00B8670E"/>
    <w:rsid w:val="00B8704A"/>
    <w:rsid w:val="00B93962"/>
    <w:rsid w:val="00B93A2A"/>
    <w:rsid w:val="00B93B42"/>
    <w:rsid w:val="00B93F49"/>
    <w:rsid w:val="00B95CC5"/>
    <w:rsid w:val="00B979C0"/>
    <w:rsid w:val="00BA019C"/>
    <w:rsid w:val="00BA10BE"/>
    <w:rsid w:val="00BA29E1"/>
    <w:rsid w:val="00BA518D"/>
    <w:rsid w:val="00BA533D"/>
    <w:rsid w:val="00BA6546"/>
    <w:rsid w:val="00BA6A5B"/>
    <w:rsid w:val="00BA73B6"/>
    <w:rsid w:val="00BA7D55"/>
    <w:rsid w:val="00BB0963"/>
    <w:rsid w:val="00BB2603"/>
    <w:rsid w:val="00BB3F1C"/>
    <w:rsid w:val="00BB4FCD"/>
    <w:rsid w:val="00BB5C5F"/>
    <w:rsid w:val="00BB5D57"/>
    <w:rsid w:val="00BB7384"/>
    <w:rsid w:val="00BB7F47"/>
    <w:rsid w:val="00BC3821"/>
    <w:rsid w:val="00BC3A99"/>
    <w:rsid w:val="00BC5B15"/>
    <w:rsid w:val="00BC79B2"/>
    <w:rsid w:val="00BD11C9"/>
    <w:rsid w:val="00BD13EA"/>
    <w:rsid w:val="00BD38D7"/>
    <w:rsid w:val="00BD4F2A"/>
    <w:rsid w:val="00BE2435"/>
    <w:rsid w:val="00BE3808"/>
    <w:rsid w:val="00BF3998"/>
    <w:rsid w:val="00BF4B62"/>
    <w:rsid w:val="00BF56F5"/>
    <w:rsid w:val="00BF5EEE"/>
    <w:rsid w:val="00BF6B02"/>
    <w:rsid w:val="00C019AC"/>
    <w:rsid w:val="00C04BD2"/>
    <w:rsid w:val="00C055F5"/>
    <w:rsid w:val="00C05D3A"/>
    <w:rsid w:val="00C062E9"/>
    <w:rsid w:val="00C0673C"/>
    <w:rsid w:val="00C07B64"/>
    <w:rsid w:val="00C07BD3"/>
    <w:rsid w:val="00C07F0E"/>
    <w:rsid w:val="00C101D6"/>
    <w:rsid w:val="00C11455"/>
    <w:rsid w:val="00C1152A"/>
    <w:rsid w:val="00C12717"/>
    <w:rsid w:val="00C13721"/>
    <w:rsid w:val="00C14EC8"/>
    <w:rsid w:val="00C15772"/>
    <w:rsid w:val="00C15A5E"/>
    <w:rsid w:val="00C15C37"/>
    <w:rsid w:val="00C15EB3"/>
    <w:rsid w:val="00C163C4"/>
    <w:rsid w:val="00C1792D"/>
    <w:rsid w:val="00C21D4B"/>
    <w:rsid w:val="00C21F2B"/>
    <w:rsid w:val="00C241DB"/>
    <w:rsid w:val="00C2575D"/>
    <w:rsid w:val="00C25F95"/>
    <w:rsid w:val="00C266E9"/>
    <w:rsid w:val="00C2742E"/>
    <w:rsid w:val="00C27A42"/>
    <w:rsid w:val="00C3066D"/>
    <w:rsid w:val="00C309BA"/>
    <w:rsid w:val="00C32F66"/>
    <w:rsid w:val="00C33A51"/>
    <w:rsid w:val="00C3505C"/>
    <w:rsid w:val="00C3531A"/>
    <w:rsid w:val="00C366A8"/>
    <w:rsid w:val="00C37D17"/>
    <w:rsid w:val="00C423C8"/>
    <w:rsid w:val="00C4296E"/>
    <w:rsid w:val="00C44E2B"/>
    <w:rsid w:val="00C45780"/>
    <w:rsid w:val="00C457A8"/>
    <w:rsid w:val="00C457DB"/>
    <w:rsid w:val="00C509FD"/>
    <w:rsid w:val="00C520A5"/>
    <w:rsid w:val="00C521A1"/>
    <w:rsid w:val="00C52F69"/>
    <w:rsid w:val="00C543F4"/>
    <w:rsid w:val="00C544FC"/>
    <w:rsid w:val="00C57356"/>
    <w:rsid w:val="00C60F48"/>
    <w:rsid w:val="00C6177A"/>
    <w:rsid w:val="00C6279A"/>
    <w:rsid w:val="00C6291C"/>
    <w:rsid w:val="00C633CB"/>
    <w:rsid w:val="00C643FF"/>
    <w:rsid w:val="00C644AD"/>
    <w:rsid w:val="00C644B8"/>
    <w:rsid w:val="00C67E63"/>
    <w:rsid w:val="00C701B4"/>
    <w:rsid w:val="00C7468D"/>
    <w:rsid w:val="00C75902"/>
    <w:rsid w:val="00C763F9"/>
    <w:rsid w:val="00C8220F"/>
    <w:rsid w:val="00C87430"/>
    <w:rsid w:val="00C8762C"/>
    <w:rsid w:val="00C87681"/>
    <w:rsid w:val="00C90BCB"/>
    <w:rsid w:val="00C90CBA"/>
    <w:rsid w:val="00C90D78"/>
    <w:rsid w:val="00C91B9F"/>
    <w:rsid w:val="00C947FC"/>
    <w:rsid w:val="00C97862"/>
    <w:rsid w:val="00C9789A"/>
    <w:rsid w:val="00CA00DC"/>
    <w:rsid w:val="00CA00F9"/>
    <w:rsid w:val="00CA0647"/>
    <w:rsid w:val="00CA1D14"/>
    <w:rsid w:val="00CA2961"/>
    <w:rsid w:val="00CA33C7"/>
    <w:rsid w:val="00CA3D0E"/>
    <w:rsid w:val="00CA4F9D"/>
    <w:rsid w:val="00CA74AD"/>
    <w:rsid w:val="00CA74AE"/>
    <w:rsid w:val="00CA7ACA"/>
    <w:rsid w:val="00CB0048"/>
    <w:rsid w:val="00CB0E03"/>
    <w:rsid w:val="00CB11D9"/>
    <w:rsid w:val="00CB2BAF"/>
    <w:rsid w:val="00CB4C77"/>
    <w:rsid w:val="00CB50D7"/>
    <w:rsid w:val="00CB5707"/>
    <w:rsid w:val="00CB5B9B"/>
    <w:rsid w:val="00CB66C3"/>
    <w:rsid w:val="00CB6B25"/>
    <w:rsid w:val="00CB7177"/>
    <w:rsid w:val="00CC0462"/>
    <w:rsid w:val="00CC1998"/>
    <w:rsid w:val="00CC2F6E"/>
    <w:rsid w:val="00CC338C"/>
    <w:rsid w:val="00CC3766"/>
    <w:rsid w:val="00CC450E"/>
    <w:rsid w:val="00CC4946"/>
    <w:rsid w:val="00CC6AA2"/>
    <w:rsid w:val="00CC7582"/>
    <w:rsid w:val="00CD0E97"/>
    <w:rsid w:val="00CD2A21"/>
    <w:rsid w:val="00CD2D6C"/>
    <w:rsid w:val="00CD3762"/>
    <w:rsid w:val="00CD3BC0"/>
    <w:rsid w:val="00CD4213"/>
    <w:rsid w:val="00CD65EB"/>
    <w:rsid w:val="00CE00A5"/>
    <w:rsid w:val="00CE3E96"/>
    <w:rsid w:val="00CE438B"/>
    <w:rsid w:val="00CE496A"/>
    <w:rsid w:val="00CE4B5C"/>
    <w:rsid w:val="00CE59DF"/>
    <w:rsid w:val="00CF093A"/>
    <w:rsid w:val="00CF1805"/>
    <w:rsid w:val="00CF35DE"/>
    <w:rsid w:val="00CF4549"/>
    <w:rsid w:val="00CF670F"/>
    <w:rsid w:val="00CF6872"/>
    <w:rsid w:val="00CF7173"/>
    <w:rsid w:val="00D01B75"/>
    <w:rsid w:val="00D02F2F"/>
    <w:rsid w:val="00D05150"/>
    <w:rsid w:val="00D10BC0"/>
    <w:rsid w:val="00D10C28"/>
    <w:rsid w:val="00D10F71"/>
    <w:rsid w:val="00D11104"/>
    <w:rsid w:val="00D13ACE"/>
    <w:rsid w:val="00D13D39"/>
    <w:rsid w:val="00D13FA6"/>
    <w:rsid w:val="00D143DB"/>
    <w:rsid w:val="00D14DA6"/>
    <w:rsid w:val="00D14F63"/>
    <w:rsid w:val="00D17032"/>
    <w:rsid w:val="00D17F6A"/>
    <w:rsid w:val="00D20248"/>
    <w:rsid w:val="00D20E54"/>
    <w:rsid w:val="00D215FA"/>
    <w:rsid w:val="00D21A37"/>
    <w:rsid w:val="00D23860"/>
    <w:rsid w:val="00D23D04"/>
    <w:rsid w:val="00D270A4"/>
    <w:rsid w:val="00D27C43"/>
    <w:rsid w:val="00D3052C"/>
    <w:rsid w:val="00D30AE1"/>
    <w:rsid w:val="00D31FE9"/>
    <w:rsid w:val="00D32A42"/>
    <w:rsid w:val="00D337FA"/>
    <w:rsid w:val="00D34092"/>
    <w:rsid w:val="00D34E1B"/>
    <w:rsid w:val="00D3706B"/>
    <w:rsid w:val="00D376BA"/>
    <w:rsid w:val="00D40F08"/>
    <w:rsid w:val="00D42C4F"/>
    <w:rsid w:val="00D438CD"/>
    <w:rsid w:val="00D4497F"/>
    <w:rsid w:val="00D457E8"/>
    <w:rsid w:val="00D46C33"/>
    <w:rsid w:val="00D47C46"/>
    <w:rsid w:val="00D5568A"/>
    <w:rsid w:val="00D5671A"/>
    <w:rsid w:val="00D578E5"/>
    <w:rsid w:val="00D618F4"/>
    <w:rsid w:val="00D625BF"/>
    <w:rsid w:val="00D62CAC"/>
    <w:rsid w:val="00D63D73"/>
    <w:rsid w:val="00D6430B"/>
    <w:rsid w:val="00D64A4F"/>
    <w:rsid w:val="00D651B5"/>
    <w:rsid w:val="00D66E1E"/>
    <w:rsid w:val="00D67DDB"/>
    <w:rsid w:val="00D705CD"/>
    <w:rsid w:val="00D70906"/>
    <w:rsid w:val="00D71275"/>
    <w:rsid w:val="00D72529"/>
    <w:rsid w:val="00D74F3D"/>
    <w:rsid w:val="00D7563F"/>
    <w:rsid w:val="00D75722"/>
    <w:rsid w:val="00D76867"/>
    <w:rsid w:val="00D812C2"/>
    <w:rsid w:val="00D8291F"/>
    <w:rsid w:val="00D85D5F"/>
    <w:rsid w:val="00D85E2A"/>
    <w:rsid w:val="00D913FA"/>
    <w:rsid w:val="00D91484"/>
    <w:rsid w:val="00D931CE"/>
    <w:rsid w:val="00D9329F"/>
    <w:rsid w:val="00D93F64"/>
    <w:rsid w:val="00D94B80"/>
    <w:rsid w:val="00D95091"/>
    <w:rsid w:val="00D96855"/>
    <w:rsid w:val="00D96E75"/>
    <w:rsid w:val="00DA0976"/>
    <w:rsid w:val="00DA2289"/>
    <w:rsid w:val="00DA2E6B"/>
    <w:rsid w:val="00DA3349"/>
    <w:rsid w:val="00DA3DC9"/>
    <w:rsid w:val="00DA4EAC"/>
    <w:rsid w:val="00DA5B33"/>
    <w:rsid w:val="00DA5BBA"/>
    <w:rsid w:val="00DB19D8"/>
    <w:rsid w:val="00DB3032"/>
    <w:rsid w:val="00DB47D0"/>
    <w:rsid w:val="00DB4B12"/>
    <w:rsid w:val="00DB5AAC"/>
    <w:rsid w:val="00DB67C9"/>
    <w:rsid w:val="00DC0C95"/>
    <w:rsid w:val="00DC0D4D"/>
    <w:rsid w:val="00DC17A5"/>
    <w:rsid w:val="00DC321D"/>
    <w:rsid w:val="00DC3256"/>
    <w:rsid w:val="00DC34D9"/>
    <w:rsid w:val="00DC3527"/>
    <w:rsid w:val="00DC4186"/>
    <w:rsid w:val="00DC4F4B"/>
    <w:rsid w:val="00DC5FED"/>
    <w:rsid w:val="00DC61A5"/>
    <w:rsid w:val="00DC64C1"/>
    <w:rsid w:val="00DC783C"/>
    <w:rsid w:val="00DD0D7A"/>
    <w:rsid w:val="00DD177C"/>
    <w:rsid w:val="00DD3C35"/>
    <w:rsid w:val="00DD4B63"/>
    <w:rsid w:val="00DD5A02"/>
    <w:rsid w:val="00DD6580"/>
    <w:rsid w:val="00DD6BD5"/>
    <w:rsid w:val="00DD7609"/>
    <w:rsid w:val="00DE047F"/>
    <w:rsid w:val="00DE0F6A"/>
    <w:rsid w:val="00DE1D24"/>
    <w:rsid w:val="00DE2C53"/>
    <w:rsid w:val="00DE3F5F"/>
    <w:rsid w:val="00DE424D"/>
    <w:rsid w:val="00DE4D50"/>
    <w:rsid w:val="00DE60DC"/>
    <w:rsid w:val="00DE6872"/>
    <w:rsid w:val="00DF3749"/>
    <w:rsid w:val="00DF5F9D"/>
    <w:rsid w:val="00DF6FE2"/>
    <w:rsid w:val="00E0111F"/>
    <w:rsid w:val="00E039C1"/>
    <w:rsid w:val="00E04DF0"/>
    <w:rsid w:val="00E0509F"/>
    <w:rsid w:val="00E0560E"/>
    <w:rsid w:val="00E077E4"/>
    <w:rsid w:val="00E07D0B"/>
    <w:rsid w:val="00E128CC"/>
    <w:rsid w:val="00E133E6"/>
    <w:rsid w:val="00E14CAD"/>
    <w:rsid w:val="00E15653"/>
    <w:rsid w:val="00E15926"/>
    <w:rsid w:val="00E15DA5"/>
    <w:rsid w:val="00E17272"/>
    <w:rsid w:val="00E17C72"/>
    <w:rsid w:val="00E2096C"/>
    <w:rsid w:val="00E20A94"/>
    <w:rsid w:val="00E21CB7"/>
    <w:rsid w:val="00E21FC6"/>
    <w:rsid w:val="00E220CE"/>
    <w:rsid w:val="00E22348"/>
    <w:rsid w:val="00E23200"/>
    <w:rsid w:val="00E23DF7"/>
    <w:rsid w:val="00E24D0B"/>
    <w:rsid w:val="00E24E6B"/>
    <w:rsid w:val="00E256B2"/>
    <w:rsid w:val="00E301E2"/>
    <w:rsid w:val="00E30A7A"/>
    <w:rsid w:val="00E31A67"/>
    <w:rsid w:val="00E3212F"/>
    <w:rsid w:val="00E32D8E"/>
    <w:rsid w:val="00E3547D"/>
    <w:rsid w:val="00E35819"/>
    <w:rsid w:val="00E36E32"/>
    <w:rsid w:val="00E370B0"/>
    <w:rsid w:val="00E375D4"/>
    <w:rsid w:val="00E419BA"/>
    <w:rsid w:val="00E42030"/>
    <w:rsid w:val="00E42080"/>
    <w:rsid w:val="00E431A9"/>
    <w:rsid w:val="00E43905"/>
    <w:rsid w:val="00E47825"/>
    <w:rsid w:val="00E47901"/>
    <w:rsid w:val="00E47C27"/>
    <w:rsid w:val="00E51AED"/>
    <w:rsid w:val="00E520FC"/>
    <w:rsid w:val="00E53F73"/>
    <w:rsid w:val="00E554F7"/>
    <w:rsid w:val="00E555F3"/>
    <w:rsid w:val="00E565D7"/>
    <w:rsid w:val="00E64B1A"/>
    <w:rsid w:val="00E65658"/>
    <w:rsid w:val="00E656EB"/>
    <w:rsid w:val="00E65A71"/>
    <w:rsid w:val="00E6615C"/>
    <w:rsid w:val="00E669E2"/>
    <w:rsid w:val="00E66B67"/>
    <w:rsid w:val="00E673E5"/>
    <w:rsid w:val="00E716CB"/>
    <w:rsid w:val="00E7186C"/>
    <w:rsid w:val="00E7282A"/>
    <w:rsid w:val="00E739A4"/>
    <w:rsid w:val="00E76135"/>
    <w:rsid w:val="00E7614B"/>
    <w:rsid w:val="00E77CE7"/>
    <w:rsid w:val="00E81157"/>
    <w:rsid w:val="00E81D73"/>
    <w:rsid w:val="00E84BD7"/>
    <w:rsid w:val="00E90021"/>
    <w:rsid w:val="00E92A4C"/>
    <w:rsid w:val="00E93F2F"/>
    <w:rsid w:val="00E94AFE"/>
    <w:rsid w:val="00E961AB"/>
    <w:rsid w:val="00E97117"/>
    <w:rsid w:val="00E9717A"/>
    <w:rsid w:val="00E979AE"/>
    <w:rsid w:val="00EA01AB"/>
    <w:rsid w:val="00EA0250"/>
    <w:rsid w:val="00EA1405"/>
    <w:rsid w:val="00EA1827"/>
    <w:rsid w:val="00EA208E"/>
    <w:rsid w:val="00EA3EF7"/>
    <w:rsid w:val="00EA44C1"/>
    <w:rsid w:val="00EA5741"/>
    <w:rsid w:val="00EA57A3"/>
    <w:rsid w:val="00EA5DFB"/>
    <w:rsid w:val="00EA6C9E"/>
    <w:rsid w:val="00EB174C"/>
    <w:rsid w:val="00EB267F"/>
    <w:rsid w:val="00EB5653"/>
    <w:rsid w:val="00EB5778"/>
    <w:rsid w:val="00EB6091"/>
    <w:rsid w:val="00EB7C36"/>
    <w:rsid w:val="00EB7CE5"/>
    <w:rsid w:val="00EC2844"/>
    <w:rsid w:val="00EC4C81"/>
    <w:rsid w:val="00ED1CF1"/>
    <w:rsid w:val="00ED3E36"/>
    <w:rsid w:val="00ED4BE3"/>
    <w:rsid w:val="00ED503C"/>
    <w:rsid w:val="00ED6236"/>
    <w:rsid w:val="00ED6D70"/>
    <w:rsid w:val="00ED7C83"/>
    <w:rsid w:val="00EE2DC2"/>
    <w:rsid w:val="00EE3C04"/>
    <w:rsid w:val="00EE40A3"/>
    <w:rsid w:val="00EE53B0"/>
    <w:rsid w:val="00EE577C"/>
    <w:rsid w:val="00EE5DCD"/>
    <w:rsid w:val="00EE7E13"/>
    <w:rsid w:val="00EF0B64"/>
    <w:rsid w:val="00EF37B5"/>
    <w:rsid w:val="00EF3FE8"/>
    <w:rsid w:val="00EF4CC3"/>
    <w:rsid w:val="00EF52E8"/>
    <w:rsid w:val="00EF60FB"/>
    <w:rsid w:val="00EF65C1"/>
    <w:rsid w:val="00EF6C6C"/>
    <w:rsid w:val="00EF7992"/>
    <w:rsid w:val="00F056FC"/>
    <w:rsid w:val="00F05CBD"/>
    <w:rsid w:val="00F10476"/>
    <w:rsid w:val="00F1107A"/>
    <w:rsid w:val="00F11F96"/>
    <w:rsid w:val="00F12198"/>
    <w:rsid w:val="00F135D8"/>
    <w:rsid w:val="00F13BBE"/>
    <w:rsid w:val="00F13E3C"/>
    <w:rsid w:val="00F1517A"/>
    <w:rsid w:val="00F161A5"/>
    <w:rsid w:val="00F24B0C"/>
    <w:rsid w:val="00F255D0"/>
    <w:rsid w:val="00F260C8"/>
    <w:rsid w:val="00F26BD8"/>
    <w:rsid w:val="00F30A8A"/>
    <w:rsid w:val="00F31299"/>
    <w:rsid w:val="00F31651"/>
    <w:rsid w:val="00F319A5"/>
    <w:rsid w:val="00F31E79"/>
    <w:rsid w:val="00F32A06"/>
    <w:rsid w:val="00F33DFC"/>
    <w:rsid w:val="00F3534A"/>
    <w:rsid w:val="00F4193E"/>
    <w:rsid w:val="00F41AC5"/>
    <w:rsid w:val="00F443B0"/>
    <w:rsid w:val="00F50880"/>
    <w:rsid w:val="00F533A7"/>
    <w:rsid w:val="00F53761"/>
    <w:rsid w:val="00F56E94"/>
    <w:rsid w:val="00F60451"/>
    <w:rsid w:val="00F61ACB"/>
    <w:rsid w:val="00F63806"/>
    <w:rsid w:val="00F64406"/>
    <w:rsid w:val="00F66E90"/>
    <w:rsid w:val="00F70659"/>
    <w:rsid w:val="00F70C87"/>
    <w:rsid w:val="00F71A03"/>
    <w:rsid w:val="00F71C78"/>
    <w:rsid w:val="00F7322D"/>
    <w:rsid w:val="00F7424D"/>
    <w:rsid w:val="00F74F47"/>
    <w:rsid w:val="00F764E6"/>
    <w:rsid w:val="00F84EC4"/>
    <w:rsid w:val="00F851E4"/>
    <w:rsid w:val="00F85325"/>
    <w:rsid w:val="00F86483"/>
    <w:rsid w:val="00F8728D"/>
    <w:rsid w:val="00F9416E"/>
    <w:rsid w:val="00F95326"/>
    <w:rsid w:val="00F95A2D"/>
    <w:rsid w:val="00F97388"/>
    <w:rsid w:val="00F97813"/>
    <w:rsid w:val="00F97828"/>
    <w:rsid w:val="00FA03DA"/>
    <w:rsid w:val="00FA0A35"/>
    <w:rsid w:val="00FA2644"/>
    <w:rsid w:val="00FA3F7D"/>
    <w:rsid w:val="00FA5DB0"/>
    <w:rsid w:val="00FA7BFE"/>
    <w:rsid w:val="00FB04B9"/>
    <w:rsid w:val="00FB20C7"/>
    <w:rsid w:val="00FB2DDF"/>
    <w:rsid w:val="00FB3EDD"/>
    <w:rsid w:val="00FB5923"/>
    <w:rsid w:val="00FB594B"/>
    <w:rsid w:val="00FC0A0A"/>
    <w:rsid w:val="00FC368E"/>
    <w:rsid w:val="00FC382D"/>
    <w:rsid w:val="00FC3C6D"/>
    <w:rsid w:val="00FC5D1B"/>
    <w:rsid w:val="00FC66FD"/>
    <w:rsid w:val="00FD0B1A"/>
    <w:rsid w:val="00FD0CE3"/>
    <w:rsid w:val="00FD17C0"/>
    <w:rsid w:val="00FD22B1"/>
    <w:rsid w:val="00FD4485"/>
    <w:rsid w:val="00FD4FDF"/>
    <w:rsid w:val="00FD742C"/>
    <w:rsid w:val="00FD7B08"/>
    <w:rsid w:val="00FE13B4"/>
    <w:rsid w:val="00FE2FDF"/>
    <w:rsid w:val="00FE2FFC"/>
    <w:rsid w:val="00FE4750"/>
    <w:rsid w:val="00FE5A92"/>
    <w:rsid w:val="00FE679C"/>
    <w:rsid w:val="00FE7DCE"/>
    <w:rsid w:val="00FF0732"/>
    <w:rsid w:val="00FF2B86"/>
    <w:rsid w:val="00FF3189"/>
    <w:rsid w:val="00FF4BB4"/>
    <w:rsid w:val="00FF4DCE"/>
    <w:rsid w:val="00FF53F7"/>
    <w:rsid w:val="00FF69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0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95E2D"/>
    <w:rPr>
      <w:sz w:val="24"/>
      <w:szCs w:val="24"/>
    </w:rPr>
  </w:style>
  <w:style w:type="paragraph" w:styleId="Heading1">
    <w:name w:val="heading 1"/>
    <w:basedOn w:val="BodyText"/>
    <w:next w:val="BodyText"/>
    <w:link w:val="Heading1Char"/>
    <w:rsid w:val="00095E2D"/>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095E2D"/>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095E2D"/>
    <w:pPr>
      <w:spacing w:before="560" w:line="320" w:lineRule="exact"/>
      <w:ind w:left="0" w:firstLine="0"/>
      <w:outlineLvl w:val="2"/>
    </w:pPr>
    <w:rPr>
      <w:sz w:val="26"/>
    </w:rPr>
  </w:style>
  <w:style w:type="paragraph" w:styleId="Heading4">
    <w:name w:val="heading 4"/>
    <w:basedOn w:val="Heading3"/>
    <w:next w:val="BodyText"/>
    <w:link w:val="Heading4Char"/>
    <w:qFormat/>
    <w:rsid w:val="00095E2D"/>
    <w:pPr>
      <w:spacing w:before="480"/>
      <w:outlineLvl w:val="3"/>
    </w:pPr>
    <w:rPr>
      <w:b w:val="0"/>
      <w:sz w:val="24"/>
    </w:rPr>
  </w:style>
  <w:style w:type="paragraph" w:styleId="Heading5">
    <w:name w:val="heading 5"/>
    <w:basedOn w:val="Heading4"/>
    <w:next w:val="BodyText"/>
    <w:link w:val="Heading5Char"/>
    <w:qFormat/>
    <w:rsid w:val="00095E2D"/>
    <w:pPr>
      <w:outlineLvl w:val="4"/>
    </w:pPr>
    <w:rPr>
      <w:i/>
      <w:sz w:val="22"/>
    </w:rPr>
  </w:style>
  <w:style w:type="paragraph" w:styleId="Heading6">
    <w:name w:val="heading 6"/>
    <w:basedOn w:val="BodyText"/>
    <w:next w:val="BodyText"/>
    <w:link w:val="Heading6Char"/>
    <w:rsid w:val="00095E2D"/>
    <w:pPr>
      <w:spacing w:after="60"/>
      <w:jc w:val="left"/>
      <w:outlineLvl w:val="5"/>
    </w:pPr>
    <w:rPr>
      <w:i/>
      <w:sz w:val="22"/>
    </w:rPr>
  </w:style>
  <w:style w:type="paragraph" w:styleId="Heading7">
    <w:name w:val="heading 7"/>
    <w:basedOn w:val="BodyText"/>
    <w:next w:val="BodyText"/>
    <w:rsid w:val="00095E2D"/>
    <w:pPr>
      <w:spacing w:after="60" w:line="240" w:lineRule="auto"/>
      <w:jc w:val="left"/>
      <w:outlineLvl w:val="6"/>
    </w:pPr>
    <w:rPr>
      <w:rFonts w:ascii="Arial" w:hAnsi="Arial"/>
      <w:sz w:val="20"/>
    </w:rPr>
  </w:style>
  <w:style w:type="paragraph" w:styleId="Heading8">
    <w:name w:val="heading 8"/>
    <w:basedOn w:val="BodyText"/>
    <w:next w:val="BodyText"/>
    <w:rsid w:val="00095E2D"/>
    <w:pPr>
      <w:spacing w:after="60" w:line="240" w:lineRule="auto"/>
      <w:jc w:val="left"/>
      <w:outlineLvl w:val="7"/>
    </w:pPr>
    <w:rPr>
      <w:rFonts w:ascii="Arial" w:hAnsi="Arial"/>
      <w:i/>
      <w:sz w:val="20"/>
    </w:rPr>
  </w:style>
  <w:style w:type="paragraph" w:styleId="Heading9">
    <w:name w:val="heading 9"/>
    <w:basedOn w:val="BodyText"/>
    <w:next w:val="BodyText"/>
    <w:rsid w:val="00095E2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95E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5E2D"/>
  </w:style>
  <w:style w:type="paragraph" w:styleId="BodyText">
    <w:name w:val="Body Text"/>
    <w:aliases w:val="Body Text Char Char,Body Text Char1 Char Char,Body Text Char Char Char Char,Body Text Char1 Char Char Char Char,Body Text Char Char Char Char Char Char,Body Text Char1 Char Char Char Char Char Char,Body Text Char2 Char1 Char,Body Text Char1"/>
    <w:link w:val="BodyTextChar"/>
    <w:qFormat/>
    <w:rsid w:val="00095E2D"/>
    <w:pPr>
      <w:spacing w:before="240" w:line="300" w:lineRule="atLeast"/>
      <w:jc w:val="both"/>
    </w:pPr>
    <w:rPr>
      <w:sz w:val="24"/>
    </w:rPr>
  </w:style>
  <w:style w:type="paragraph" w:styleId="Footer">
    <w:name w:val="footer"/>
    <w:basedOn w:val="BodyText"/>
    <w:link w:val="FooterChar"/>
    <w:semiHidden/>
    <w:rsid w:val="00095E2D"/>
    <w:pPr>
      <w:spacing w:before="80" w:line="200" w:lineRule="exact"/>
      <w:ind w:right="6"/>
      <w:jc w:val="left"/>
    </w:pPr>
    <w:rPr>
      <w:rFonts w:ascii="Arial" w:hAnsi="Arial"/>
      <w:caps/>
      <w:spacing w:val="-4"/>
      <w:sz w:val="16"/>
    </w:rPr>
  </w:style>
  <w:style w:type="paragraph" w:customStyle="1" w:styleId="FooterEnd">
    <w:name w:val="Footer End"/>
    <w:basedOn w:val="Footer"/>
    <w:rsid w:val="00095E2D"/>
    <w:pPr>
      <w:spacing w:before="0" w:line="20" w:lineRule="exact"/>
    </w:pPr>
  </w:style>
  <w:style w:type="paragraph" w:styleId="Header">
    <w:name w:val="header"/>
    <w:basedOn w:val="BodyText"/>
    <w:rsid w:val="00095E2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95E2D"/>
    <w:pPr>
      <w:spacing w:line="20" w:lineRule="exact"/>
    </w:pPr>
    <w:rPr>
      <w:sz w:val="16"/>
    </w:rPr>
  </w:style>
  <w:style w:type="paragraph" w:customStyle="1" w:styleId="HeaderEven">
    <w:name w:val="Header Even"/>
    <w:basedOn w:val="Header"/>
    <w:semiHidden/>
    <w:rsid w:val="00095E2D"/>
  </w:style>
  <w:style w:type="paragraph" w:customStyle="1" w:styleId="HeaderOdd">
    <w:name w:val="Header Odd"/>
    <w:basedOn w:val="Header"/>
    <w:semiHidden/>
    <w:rsid w:val="00095E2D"/>
  </w:style>
  <w:style w:type="character" w:styleId="PageNumber">
    <w:name w:val="page number"/>
    <w:basedOn w:val="DefaultParagraphFont"/>
    <w:rsid w:val="00095E2D"/>
    <w:rPr>
      <w:rFonts w:ascii="Arial" w:hAnsi="Arial"/>
      <w:b/>
      <w:sz w:val="16"/>
    </w:rPr>
  </w:style>
  <w:style w:type="paragraph" w:customStyle="1" w:styleId="Abbreviation">
    <w:name w:val="Abbreviation"/>
    <w:basedOn w:val="BodyText"/>
    <w:rsid w:val="00095E2D"/>
    <w:pPr>
      <w:spacing w:before="120"/>
      <w:ind w:left="2381" w:hanging="2381"/>
      <w:jc w:val="left"/>
    </w:pPr>
  </w:style>
  <w:style w:type="paragraph" w:customStyle="1" w:styleId="Box">
    <w:name w:val="Box"/>
    <w:basedOn w:val="BodyText"/>
    <w:qFormat/>
    <w:rsid w:val="00095E2D"/>
    <w:pPr>
      <w:keepNext/>
      <w:spacing w:before="120" w:line="260" w:lineRule="atLeast"/>
    </w:pPr>
    <w:rPr>
      <w:rFonts w:ascii="Arial" w:hAnsi="Arial"/>
      <w:sz w:val="20"/>
    </w:rPr>
  </w:style>
  <w:style w:type="paragraph" w:customStyle="1" w:styleId="BoxContinued">
    <w:name w:val="Box Continued"/>
    <w:basedOn w:val="BodyText"/>
    <w:next w:val="BodyText"/>
    <w:semiHidden/>
    <w:rsid w:val="00095E2D"/>
    <w:pPr>
      <w:spacing w:before="180" w:line="220" w:lineRule="exact"/>
      <w:jc w:val="right"/>
    </w:pPr>
    <w:rPr>
      <w:rFonts w:ascii="Arial" w:hAnsi="Arial"/>
      <w:sz w:val="18"/>
    </w:rPr>
  </w:style>
  <w:style w:type="paragraph" w:customStyle="1" w:styleId="BoxHeading1">
    <w:name w:val="Box Heading 1"/>
    <w:basedOn w:val="BodyText"/>
    <w:next w:val="Box"/>
    <w:rsid w:val="00095E2D"/>
    <w:pPr>
      <w:keepNext/>
      <w:spacing w:before="200" w:line="280" w:lineRule="atLeast"/>
    </w:pPr>
    <w:rPr>
      <w:rFonts w:ascii="Arial" w:hAnsi="Arial"/>
      <w:b/>
      <w:sz w:val="22"/>
    </w:rPr>
  </w:style>
  <w:style w:type="paragraph" w:customStyle="1" w:styleId="BoxHeading2">
    <w:name w:val="Box Heading 2"/>
    <w:basedOn w:val="BoxHeading1"/>
    <w:next w:val="Normal"/>
    <w:rsid w:val="00095E2D"/>
    <w:rPr>
      <w:b w:val="0"/>
      <w:i/>
    </w:rPr>
  </w:style>
  <w:style w:type="paragraph" w:customStyle="1" w:styleId="BoxListBullet">
    <w:name w:val="Box List Bullet"/>
    <w:basedOn w:val="BodyText"/>
    <w:rsid w:val="00095E2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095E2D"/>
    <w:pPr>
      <w:numPr>
        <w:numId w:val="2"/>
      </w:numPr>
      <w:ind w:left="568" w:hanging="284"/>
    </w:pPr>
  </w:style>
  <w:style w:type="paragraph" w:customStyle="1" w:styleId="BoxListNumber">
    <w:name w:val="Box List Number"/>
    <w:basedOn w:val="BodyText"/>
    <w:rsid w:val="00095E2D"/>
    <w:pPr>
      <w:keepNext/>
      <w:numPr>
        <w:numId w:val="13"/>
      </w:numPr>
      <w:spacing w:before="100" w:line="260" w:lineRule="atLeast"/>
    </w:pPr>
    <w:rPr>
      <w:rFonts w:ascii="Arial" w:hAnsi="Arial"/>
      <w:sz w:val="20"/>
    </w:rPr>
  </w:style>
  <w:style w:type="paragraph" w:customStyle="1" w:styleId="BoxListNumber2">
    <w:name w:val="Box List Number 2"/>
    <w:basedOn w:val="BoxListNumber"/>
    <w:rsid w:val="00095E2D"/>
    <w:pPr>
      <w:numPr>
        <w:ilvl w:val="1"/>
      </w:numPr>
      <w:ind w:left="681" w:hanging="397"/>
    </w:pPr>
  </w:style>
  <w:style w:type="paragraph" w:customStyle="1" w:styleId="BoxQuote">
    <w:name w:val="Box Quote"/>
    <w:basedOn w:val="BodyText"/>
    <w:next w:val="Box"/>
    <w:qFormat/>
    <w:rsid w:val="00095E2D"/>
    <w:pPr>
      <w:keepNext/>
      <w:spacing w:before="60" w:line="240" w:lineRule="exact"/>
      <w:ind w:left="284"/>
    </w:pPr>
    <w:rPr>
      <w:rFonts w:ascii="Arial" w:hAnsi="Arial"/>
      <w:sz w:val="18"/>
    </w:rPr>
  </w:style>
  <w:style w:type="paragraph" w:customStyle="1" w:styleId="Note">
    <w:name w:val="Note"/>
    <w:basedOn w:val="BodyText"/>
    <w:next w:val="BodyText"/>
    <w:rsid w:val="00095E2D"/>
    <w:pPr>
      <w:keepLines/>
      <w:spacing w:before="80" w:line="220" w:lineRule="exact"/>
    </w:pPr>
    <w:rPr>
      <w:rFonts w:ascii="Arial" w:hAnsi="Arial"/>
      <w:sz w:val="18"/>
    </w:rPr>
  </w:style>
  <w:style w:type="paragraph" w:customStyle="1" w:styleId="Source">
    <w:name w:val="Source"/>
    <w:basedOn w:val="Normal"/>
    <w:next w:val="BodyText"/>
    <w:rsid w:val="00095E2D"/>
    <w:pPr>
      <w:keepLines/>
      <w:spacing w:before="80" w:line="220" w:lineRule="exact"/>
      <w:jc w:val="both"/>
    </w:pPr>
    <w:rPr>
      <w:rFonts w:ascii="Arial" w:hAnsi="Arial"/>
      <w:sz w:val="18"/>
      <w:szCs w:val="20"/>
    </w:rPr>
  </w:style>
  <w:style w:type="paragraph" w:customStyle="1" w:styleId="BoxSource">
    <w:name w:val="Box Source"/>
    <w:basedOn w:val="Source"/>
    <w:next w:val="BodyText"/>
    <w:rsid w:val="00095E2D"/>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095E2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095E2D"/>
    <w:pPr>
      <w:spacing w:before="120" w:after="0"/>
    </w:pPr>
  </w:style>
  <w:style w:type="paragraph" w:customStyle="1" w:styleId="BoxSubtitle">
    <w:name w:val="Box Subtitle"/>
    <w:basedOn w:val="BoxTitle"/>
    <w:next w:val="Normal"/>
    <w:rsid w:val="00095E2D"/>
    <w:pPr>
      <w:spacing w:after="80" w:line="200" w:lineRule="exact"/>
      <w:ind w:firstLine="0"/>
    </w:pPr>
    <w:rPr>
      <w:b w:val="0"/>
      <w:sz w:val="20"/>
    </w:rPr>
  </w:style>
  <w:style w:type="paragraph" w:customStyle="1" w:styleId="Chapter">
    <w:name w:val="Chapter"/>
    <w:basedOn w:val="Heading1"/>
    <w:next w:val="BodyText"/>
    <w:semiHidden/>
    <w:rsid w:val="00095E2D"/>
    <w:pPr>
      <w:ind w:left="0" w:firstLine="0"/>
      <w:outlineLvl w:val="9"/>
    </w:pPr>
  </w:style>
  <w:style w:type="paragraph" w:customStyle="1" w:styleId="ChapterSummary">
    <w:name w:val="Chapter Summary"/>
    <w:basedOn w:val="BodyText"/>
    <w:rsid w:val="00095E2D"/>
    <w:pPr>
      <w:spacing w:line="280" w:lineRule="atLeast"/>
      <w:ind w:left="907"/>
    </w:pPr>
    <w:rPr>
      <w:rFonts w:ascii="Arial" w:hAnsi="Arial"/>
      <w:b/>
      <w:sz w:val="20"/>
    </w:rPr>
  </w:style>
  <w:style w:type="character" w:styleId="CommentReference">
    <w:name w:val="annotation reference"/>
    <w:basedOn w:val="DefaultParagraphFont"/>
    <w:semiHidden/>
    <w:rsid w:val="00095E2D"/>
    <w:rPr>
      <w:b/>
      <w:vanish/>
      <w:color w:val="FF00FF"/>
      <w:sz w:val="20"/>
    </w:rPr>
  </w:style>
  <w:style w:type="paragraph" w:styleId="CommentText">
    <w:name w:val="annotation text"/>
    <w:basedOn w:val="Normal"/>
    <w:link w:val="CommentTextChar"/>
    <w:semiHidden/>
    <w:rsid w:val="00095E2D"/>
    <w:pPr>
      <w:spacing w:before="120" w:line="240" w:lineRule="atLeast"/>
      <w:ind w:left="567" w:hanging="567"/>
    </w:pPr>
    <w:rPr>
      <w:sz w:val="20"/>
    </w:rPr>
  </w:style>
  <w:style w:type="paragraph" w:customStyle="1" w:styleId="Continued">
    <w:name w:val="Continued"/>
    <w:basedOn w:val="BoxContinued"/>
    <w:next w:val="BodyText"/>
    <w:rsid w:val="00095E2D"/>
  </w:style>
  <w:style w:type="character" w:customStyle="1" w:styleId="DocumentInfo">
    <w:name w:val="Document Info"/>
    <w:basedOn w:val="DefaultParagraphFont"/>
    <w:semiHidden/>
    <w:rsid w:val="00095E2D"/>
    <w:rPr>
      <w:rFonts w:ascii="Arial" w:hAnsi="Arial"/>
      <w:sz w:val="14"/>
    </w:rPr>
  </w:style>
  <w:style w:type="character" w:customStyle="1" w:styleId="DraftingNote">
    <w:name w:val="Drafting Note"/>
    <w:basedOn w:val="DefaultParagraphFont"/>
    <w:rsid w:val="00095E2D"/>
    <w:rPr>
      <w:b/>
      <w:color w:val="FF0000"/>
      <w:sz w:val="24"/>
      <w:u w:val="dotted"/>
    </w:rPr>
  </w:style>
  <w:style w:type="paragraph" w:customStyle="1" w:styleId="Figure">
    <w:name w:val="Figure"/>
    <w:basedOn w:val="BodyText"/>
    <w:rsid w:val="00095E2D"/>
    <w:pPr>
      <w:keepNext/>
      <w:spacing w:before="120" w:after="120" w:line="240" w:lineRule="atLeast"/>
      <w:jc w:val="center"/>
    </w:pPr>
  </w:style>
  <w:style w:type="paragraph" w:customStyle="1" w:styleId="FigureTitle">
    <w:name w:val="Figure Title"/>
    <w:basedOn w:val="Caption"/>
    <w:next w:val="Subtitle"/>
    <w:rsid w:val="00095E2D"/>
    <w:pPr>
      <w:spacing w:before="120"/>
    </w:pPr>
  </w:style>
  <w:style w:type="paragraph" w:styleId="Subtitle">
    <w:name w:val="Subtitle"/>
    <w:basedOn w:val="Caption"/>
    <w:link w:val="SubtitleChar"/>
    <w:qFormat/>
    <w:rsid w:val="00095E2D"/>
    <w:pPr>
      <w:spacing w:before="0" w:line="200" w:lineRule="exact"/>
      <w:ind w:firstLine="0"/>
    </w:pPr>
    <w:rPr>
      <w:b w:val="0"/>
      <w:sz w:val="20"/>
    </w:rPr>
  </w:style>
  <w:style w:type="paragraph" w:customStyle="1" w:styleId="Finding">
    <w:name w:val="Finding"/>
    <w:basedOn w:val="BodyText"/>
    <w:rsid w:val="00095E2D"/>
    <w:pPr>
      <w:keepLines/>
      <w:spacing w:before="120" w:line="280" w:lineRule="atLeast"/>
    </w:pPr>
    <w:rPr>
      <w:rFonts w:ascii="Arial" w:hAnsi="Arial"/>
      <w:sz w:val="22"/>
    </w:rPr>
  </w:style>
  <w:style w:type="paragraph" w:customStyle="1" w:styleId="FindingBullet">
    <w:name w:val="Finding Bullet"/>
    <w:basedOn w:val="Finding"/>
    <w:rsid w:val="00095E2D"/>
    <w:pPr>
      <w:numPr>
        <w:numId w:val="3"/>
      </w:numPr>
      <w:spacing w:before="80"/>
    </w:pPr>
  </w:style>
  <w:style w:type="paragraph" w:customStyle="1" w:styleId="FindingNoTitle">
    <w:name w:val="Finding NoTitle"/>
    <w:basedOn w:val="Finding"/>
    <w:rsid w:val="00095E2D"/>
    <w:pPr>
      <w:spacing w:before="240"/>
    </w:pPr>
  </w:style>
  <w:style w:type="paragraph" w:customStyle="1" w:styleId="RecTitle">
    <w:name w:val="Rec Title"/>
    <w:basedOn w:val="BodyText"/>
    <w:next w:val="Rec"/>
    <w:qFormat/>
    <w:rsid w:val="00095E2D"/>
    <w:pPr>
      <w:keepNext/>
      <w:keepLines/>
      <w:spacing w:line="280" w:lineRule="atLeast"/>
    </w:pPr>
    <w:rPr>
      <w:rFonts w:ascii="Arial" w:hAnsi="Arial"/>
      <w:caps/>
      <w:sz w:val="18"/>
    </w:rPr>
  </w:style>
  <w:style w:type="paragraph" w:customStyle="1" w:styleId="FindingTitle">
    <w:name w:val="Finding Title"/>
    <w:basedOn w:val="RecTitle"/>
    <w:next w:val="Finding"/>
    <w:rsid w:val="00095E2D"/>
  </w:style>
  <w:style w:type="character" w:styleId="FootnoteReference">
    <w:name w:val="footnote reference"/>
    <w:basedOn w:val="DefaultParagraphFont"/>
    <w:semiHidden/>
    <w:rsid w:val="00095E2D"/>
    <w:rPr>
      <w:rFonts w:ascii="Times New Roman" w:hAnsi="Times New Roman"/>
      <w:position w:val="6"/>
      <w:sz w:val="20"/>
      <w:vertAlign w:val="baseline"/>
    </w:rPr>
  </w:style>
  <w:style w:type="paragraph" w:styleId="FootnoteText">
    <w:name w:val="footnote text"/>
    <w:basedOn w:val="BodyText"/>
    <w:rsid w:val="00095E2D"/>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095E2D"/>
    <w:rPr>
      <w:i/>
    </w:rPr>
  </w:style>
  <w:style w:type="paragraph" w:customStyle="1" w:styleId="Jurisdictioncommentsbodytext">
    <w:name w:val="Jurisdiction comments body text"/>
    <w:rsid w:val="00095E2D"/>
    <w:pPr>
      <w:spacing w:after="140"/>
      <w:jc w:val="both"/>
    </w:pPr>
    <w:rPr>
      <w:rFonts w:ascii="Arial" w:hAnsi="Arial"/>
      <w:sz w:val="24"/>
      <w:lang w:eastAsia="en-US"/>
    </w:rPr>
  </w:style>
  <w:style w:type="paragraph" w:customStyle="1" w:styleId="Jurisdictioncommentsheading">
    <w:name w:val="Jurisdiction comments heading"/>
    <w:rsid w:val="00095E2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95E2D"/>
    <w:pPr>
      <w:numPr>
        <w:numId w:val="4"/>
      </w:numPr>
      <w:spacing w:after="140"/>
      <w:jc w:val="both"/>
    </w:pPr>
    <w:rPr>
      <w:rFonts w:ascii="Arial" w:hAnsi="Arial"/>
      <w:sz w:val="24"/>
      <w:lang w:eastAsia="en-US"/>
    </w:rPr>
  </w:style>
  <w:style w:type="paragraph" w:styleId="ListBullet">
    <w:name w:val="List Bullet"/>
    <w:basedOn w:val="BodyText"/>
    <w:rsid w:val="00095E2D"/>
    <w:pPr>
      <w:numPr>
        <w:numId w:val="5"/>
      </w:numPr>
      <w:spacing w:before="120"/>
    </w:pPr>
  </w:style>
  <w:style w:type="paragraph" w:styleId="ListBullet2">
    <w:name w:val="List Bullet 2"/>
    <w:basedOn w:val="BodyText"/>
    <w:rsid w:val="00095E2D"/>
    <w:pPr>
      <w:numPr>
        <w:numId w:val="6"/>
      </w:numPr>
      <w:spacing w:before="120"/>
    </w:pPr>
  </w:style>
  <w:style w:type="paragraph" w:styleId="ListBullet3">
    <w:name w:val="List Bullet 3"/>
    <w:basedOn w:val="BodyText"/>
    <w:rsid w:val="00095E2D"/>
    <w:pPr>
      <w:numPr>
        <w:numId w:val="7"/>
      </w:numPr>
      <w:spacing w:before="120"/>
      <w:ind w:left="1020" w:hanging="340"/>
    </w:pPr>
  </w:style>
  <w:style w:type="paragraph" w:styleId="ListNumber">
    <w:name w:val="List Number"/>
    <w:basedOn w:val="BodyText"/>
    <w:rsid w:val="00095E2D"/>
    <w:pPr>
      <w:numPr>
        <w:numId w:val="12"/>
      </w:numPr>
      <w:spacing w:before="120"/>
    </w:pPr>
  </w:style>
  <w:style w:type="paragraph" w:styleId="ListNumber2">
    <w:name w:val="List Number 2"/>
    <w:basedOn w:val="ListNumber"/>
    <w:rsid w:val="00095E2D"/>
    <w:pPr>
      <w:numPr>
        <w:ilvl w:val="1"/>
      </w:numPr>
    </w:pPr>
  </w:style>
  <w:style w:type="paragraph" w:styleId="ListNumber3">
    <w:name w:val="List Number 3"/>
    <w:basedOn w:val="ListNumber2"/>
    <w:rsid w:val="00095E2D"/>
    <w:pPr>
      <w:numPr>
        <w:ilvl w:val="2"/>
      </w:numPr>
    </w:pPr>
  </w:style>
  <w:style w:type="character" w:customStyle="1" w:styleId="NoteLabel">
    <w:name w:val="Note Label"/>
    <w:basedOn w:val="DefaultParagraphFont"/>
    <w:rsid w:val="00095E2D"/>
    <w:rPr>
      <w:rFonts w:ascii="Arial" w:hAnsi="Arial"/>
      <w:b/>
      <w:position w:val="6"/>
      <w:sz w:val="18"/>
    </w:rPr>
  </w:style>
  <w:style w:type="paragraph" w:customStyle="1" w:styleId="PartDivider">
    <w:name w:val="Part Divider"/>
    <w:basedOn w:val="BodyText"/>
    <w:next w:val="BodyText"/>
    <w:semiHidden/>
    <w:rsid w:val="00095E2D"/>
    <w:pPr>
      <w:spacing w:before="0" w:line="40" w:lineRule="exact"/>
      <w:jc w:val="right"/>
    </w:pPr>
    <w:rPr>
      <w:smallCaps/>
      <w:sz w:val="16"/>
    </w:rPr>
  </w:style>
  <w:style w:type="paragraph" w:customStyle="1" w:styleId="PartNumber">
    <w:name w:val="Part Number"/>
    <w:basedOn w:val="BodyText"/>
    <w:next w:val="BodyText"/>
    <w:semiHidden/>
    <w:rsid w:val="00095E2D"/>
    <w:pPr>
      <w:spacing w:before="4000" w:line="320" w:lineRule="exact"/>
      <w:ind w:left="6634"/>
      <w:jc w:val="right"/>
    </w:pPr>
    <w:rPr>
      <w:smallCaps/>
      <w:spacing w:val="60"/>
      <w:sz w:val="32"/>
    </w:rPr>
  </w:style>
  <w:style w:type="paragraph" w:customStyle="1" w:styleId="PartTitle">
    <w:name w:val="Part Title"/>
    <w:basedOn w:val="BodyText"/>
    <w:semiHidden/>
    <w:rsid w:val="00095E2D"/>
    <w:pPr>
      <w:spacing w:before="160" w:after="1360" w:line="520" w:lineRule="exact"/>
      <w:ind w:right="2381"/>
      <w:jc w:val="right"/>
    </w:pPr>
    <w:rPr>
      <w:smallCaps/>
      <w:sz w:val="52"/>
    </w:rPr>
  </w:style>
  <w:style w:type="paragraph" w:styleId="Quote">
    <w:name w:val="Quote"/>
    <w:basedOn w:val="BodyText"/>
    <w:next w:val="BodyText"/>
    <w:link w:val="QuoteChar"/>
    <w:qFormat/>
    <w:rsid w:val="00095E2D"/>
    <w:pPr>
      <w:spacing w:before="120" w:line="280" w:lineRule="exact"/>
      <w:ind w:left="340"/>
    </w:pPr>
    <w:rPr>
      <w:sz w:val="22"/>
    </w:rPr>
  </w:style>
  <w:style w:type="paragraph" w:customStyle="1" w:styleId="QuoteBullet">
    <w:name w:val="Quote Bullet"/>
    <w:basedOn w:val="Quote"/>
    <w:rsid w:val="00095E2D"/>
    <w:pPr>
      <w:numPr>
        <w:numId w:val="8"/>
      </w:numPr>
    </w:pPr>
  </w:style>
  <w:style w:type="paragraph" w:customStyle="1" w:styleId="Rec">
    <w:name w:val="Rec"/>
    <w:basedOn w:val="BodyText"/>
    <w:qFormat/>
    <w:rsid w:val="00095E2D"/>
    <w:pPr>
      <w:keepLines/>
      <w:spacing w:before="120" w:line="280" w:lineRule="atLeast"/>
    </w:pPr>
    <w:rPr>
      <w:rFonts w:ascii="Arial" w:hAnsi="Arial"/>
      <w:sz w:val="22"/>
    </w:rPr>
  </w:style>
  <w:style w:type="paragraph" w:customStyle="1" w:styleId="RecBullet">
    <w:name w:val="Rec Bullet"/>
    <w:basedOn w:val="Rec"/>
    <w:rsid w:val="00095E2D"/>
    <w:pPr>
      <w:numPr>
        <w:numId w:val="9"/>
      </w:numPr>
      <w:spacing w:before="80"/>
    </w:pPr>
  </w:style>
  <w:style w:type="paragraph" w:customStyle="1" w:styleId="RecB">
    <w:name w:val="RecB"/>
    <w:basedOn w:val="Normal"/>
    <w:rsid w:val="00095E2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95E2D"/>
    <w:pPr>
      <w:numPr>
        <w:numId w:val="14"/>
      </w:numPr>
      <w:spacing w:before="80"/>
    </w:pPr>
  </w:style>
  <w:style w:type="paragraph" w:customStyle="1" w:styleId="RecBNoTitle">
    <w:name w:val="RecB NoTitle"/>
    <w:basedOn w:val="RecB"/>
    <w:rsid w:val="00095E2D"/>
    <w:pPr>
      <w:spacing w:before="240"/>
    </w:pPr>
  </w:style>
  <w:style w:type="paragraph" w:customStyle="1" w:styleId="Reference">
    <w:name w:val="Reference"/>
    <w:basedOn w:val="BodyText"/>
    <w:rsid w:val="00095E2D"/>
    <w:pPr>
      <w:spacing w:before="120"/>
      <w:ind w:left="340" w:hanging="340"/>
    </w:pPr>
  </w:style>
  <w:style w:type="paragraph" w:customStyle="1" w:styleId="SequenceInfo">
    <w:name w:val="Sequence Info"/>
    <w:basedOn w:val="BodyText"/>
    <w:semiHidden/>
    <w:rsid w:val="00095E2D"/>
    <w:rPr>
      <w:vanish/>
      <w:sz w:val="16"/>
    </w:rPr>
  </w:style>
  <w:style w:type="paragraph" w:customStyle="1" w:styleId="SideNote">
    <w:name w:val="Side Note"/>
    <w:basedOn w:val="BodyText"/>
    <w:next w:val="BodyText"/>
    <w:semiHidden/>
    <w:rsid w:val="00095E2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95E2D"/>
    <w:pPr>
      <w:framePr w:wrap="around"/>
      <w:numPr>
        <w:numId w:val="10"/>
      </w:numPr>
      <w:tabs>
        <w:tab w:val="left" w:pos="227"/>
      </w:tabs>
    </w:pPr>
  </w:style>
  <w:style w:type="paragraph" w:customStyle="1" w:styleId="SideNoteGraphic">
    <w:name w:val="Side Note Graphic"/>
    <w:basedOn w:val="SideNote"/>
    <w:next w:val="BodyText"/>
    <w:semiHidden/>
    <w:rsid w:val="00095E2D"/>
    <w:pPr>
      <w:framePr w:wrap="around"/>
    </w:pPr>
  </w:style>
  <w:style w:type="paragraph" w:customStyle="1" w:styleId="TableBodyText">
    <w:name w:val="Table Body Text"/>
    <w:basedOn w:val="BodyText"/>
    <w:rsid w:val="00095E2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095E2D"/>
    <w:pPr>
      <w:numPr>
        <w:numId w:val="11"/>
      </w:numPr>
      <w:jc w:val="left"/>
    </w:pPr>
  </w:style>
  <w:style w:type="paragraph" w:customStyle="1" w:styleId="TableColumnHeading">
    <w:name w:val="Table Column Heading"/>
    <w:basedOn w:val="TableBodyText"/>
    <w:rsid w:val="00095E2D"/>
    <w:pPr>
      <w:spacing w:before="80" w:after="80"/>
    </w:pPr>
    <w:rPr>
      <w:i/>
    </w:rPr>
  </w:style>
  <w:style w:type="paragraph" w:styleId="TOC2">
    <w:name w:val="toc 2"/>
    <w:basedOn w:val="TOC1"/>
    <w:rsid w:val="00095E2D"/>
    <w:pPr>
      <w:ind w:left="1134" w:hanging="624"/>
    </w:pPr>
    <w:rPr>
      <w:b w:val="0"/>
    </w:rPr>
  </w:style>
  <w:style w:type="paragraph" w:styleId="TOC3">
    <w:name w:val="toc 3"/>
    <w:basedOn w:val="TOC2"/>
    <w:rsid w:val="00095E2D"/>
    <w:pPr>
      <w:spacing w:before="60"/>
      <w:ind w:left="1190" w:hanging="680"/>
    </w:pPr>
  </w:style>
  <w:style w:type="paragraph" w:styleId="TableofFigures">
    <w:name w:val="table of figures"/>
    <w:basedOn w:val="TOC3"/>
    <w:next w:val="BodyText"/>
    <w:semiHidden/>
    <w:rsid w:val="00095E2D"/>
    <w:pPr>
      <w:ind w:left="737" w:hanging="737"/>
    </w:pPr>
  </w:style>
  <w:style w:type="paragraph" w:customStyle="1" w:styleId="TableTitle">
    <w:name w:val="Table Title"/>
    <w:basedOn w:val="Caption"/>
    <w:next w:val="Subtitle"/>
    <w:qFormat/>
    <w:rsid w:val="00095E2D"/>
    <w:pPr>
      <w:spacing w:before="120"/>
    </w:pPr>
  </w:style>
  <w:style w:type="paragraph" w:customStyle="1" w:styleId="TableUnitsRow">
    <w:name w:val="Table Units Row"/>
    <w:basedOn w:val="TableBodyText"/>
    <w:rsid w:val="00095E2D"/>
    <w:pPr>
      <w:spacing w:before="40"/>
    </w:pPr>
  </w:style>
  <w:style w:type="paragraph" w:styleId="TOC1">
    <w:name w:val="toc 1"/>
    <w:basedOn w:val="Normal"/>
    <w:next w:val="TOC2"/>
    <w:link w:val="TOC1Char"/>
    <w:rsid w:val="00095E2D"/>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095E2D"/>
    <w:pPr>
      <w:ind w:left="1191" w:firstLine="0"/>
    </w:pPr>
  </w:style>
  <w:style w:type="paragraph" w:customStyle="1" w:styleId="RecBBullet2">
    <w:name w:val="RecB Bullet 2"/>
    <w:basedOn w:val="ListBullet2"/>
    <w:rsid w:val="00095E2D"/>
    <w:pPr>
      <w:pBdr>
        <w:left w:val="single" w:sz="24" w:space="29" w:color="C0C0C0"/>
      </w:pBdr>
    </w:pPr>
    <w:rPr>
      <w:b/>
      <w:i/>
    </w:rPr>
  </w:style>
  <w:style w:type="paragraph" w:styleId="BalloonText">
    <w:name w:val="Balloon Text"/>
    <w:basedOn w:val="Normal"/>
    <w:link w:val="BalloonTextChar"/>
    <w:rsid w:val="00095E2D"/>
    <w:rPr>
      <w:rFonts w:ascii="Tahoma" w:hAnsi="Tahoma" w:cs="Tahoma"/>
      <w:sz w:val="16"/>
      <w:szCs w:val="16"/>
    </w:rPr>
  </w:style>
  <w:style w:type="character" w:customStyle="1" w:styleId="BalloonTextChar">
    <w:name w:val="Balloon Text Char"/>
    <w:basedOn w:val="DefaultParagraphFont"/>
    <w:link w:val="BalloonText"/>
    <w:rsid w:val="00095E2D"/>
    <w:rPr>
      <w:rFonts w:ascii="Tahoma" w:hAnsi="Tahoma" w:cs="Tahoma"/>
      <w:sz w:val="16"/>
      <w:szCs w:val="16"/>
    </w:rPr>
  </w:style>
  <w:style w:type="character" w:customStyle="1" w:styleId="SubtitleChar">
    <w:name w:val="Subtitle Char"/>
    <w:basedOn w:val="DefaultParagraphFont"/>
    <w:link w:val="Subtitle"/>
    <w:rsid w:val="00095E2D"/>
    <w:rPr>
      <w:rFonts w:ascii="Arial" w:hAnsi="Arial"/>
      <w:szCs w:val="24"/>
    </w:rPr>
  </w:style>
  <w:style w:type="paragraph" w:customStyle="1" w:styleId="BoxListBullet3">
    <w:name w:val="Box List Bullet 3"/>
    <w:basedOn w:val="ListBullet3"/>
    <w:rsid w:val="00095E2D"/>
    <w:pPr>
      <w:numPr>
        <w:numId w:val="51"/>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95E2D"/>
    <w:rPr>
      <w:i/>
      <w:iCs/>
    </w:rPr>
  </w:style>
  <w:style w:type="character" w:customStyle="1" w:styleId="Heading3Char">
    <w:name w:val="Heading 3 Char"/>
    <w:basedOn w:val="DefaultParagraphFont"/>
    <w:link w:val="Heading3"/>
    <w:rsid w:val="00A73B43"/>
    <w:rPr>
      <w:rFonts w:ascii="Arial" w:hAnsi="Arial"/>
      <w:b/>
      <w:sz w:val="26"/>
    </w:rPr>
  </w:style>
  <w:style w:type="character" w:customStyle="1" w:styleId="Heading4Char">
    <w:name w:val="Heading 4 Char"/>
    <w:basedOn w:val="DefaultParagraphFont"/>
    <w:link w:val="Heading4"/>
    <w:rsid w:val="00A73B43"/>
    <w:rPr>
      <w:rFonts w:ascii="Arial" w:hAnsi="Arial"/>
      <w:sz w:val="24"/>
    </w:rPr>
  </w:style>
  <w:style w:type="character" w:customStyle="1" w:styleId="BodyTextChar">
    <w:name w:val="Body Text Char"/>
    <w:aliases w:val="Body Text Char Char Char,Body Text Char1 Char Char Char,Body Text Char Char Char Char Char,Body Text Char1 Char Char Char Char Char,Body Text Char Char Char Char Char Char Char,Body Text Char1 Char Char Char Char Char Char Char"/>
    <w:basedOn w:val="DefaultParagraphFont"/>
    <w:link w:val="BodyText"/>
    <w:rsid w:val="00095E2D"/>
    <w:rPr>
      <w:sz w:val="24"/>
    </w:rPr>
  </w:style>
  <w:style w:type="paragraph" w:customStyle="1" w:styleId="BoxSpaceAbove">
    <w:name w:val="Box Space Above"/>
    <w:basedOn w:val="BodyText"/>
    <w:rsid w:val="00095E2D"/>
    <w:pPr>
      <w:keepNext/>
      <w:spacing w:before="360" w:line="80" w:lineRule="exact"/>
      <w:jc w:val="left"/>
    </w:pPr>
  </w:style>
  <w:style w:type="paragraph" w:customStyle="1" w:styleId="BoxSpaceBelow">
    <w:name w:val="Box Space Below"/>
    <w:basedOn w:val="Box"/>
    <w:rsid w:val="00095E2D"/>
    <w:pPr>
      <w:keepNext w:val="0"/>
      <w:spacing w:before="60" w:after="60" w:line="80" w:lineRule="exact"/>
    </w:pPr>
    <w:rPr>
      <w:sz w:val="14"/>
    </w:rPr>
  </w:style>
  <w:style w:type="character" w:styleId="Hyperlink">
    <w:name w:val="Hyperlink"/>
    <w:basedOn w:val="DefaultParagraphFont"/>
    <w:rsid w:val="00DB3032"/>
    <w:rPr>
      <w:color w:val="0000FF" w:themeColor="hyperlink"/>
      <w:u w:val="single"/>
    </w:rPr>
  </w:style>
  <w:style w:type="character" w:customStyle="1" w:styleId="QuoteChar">
    <w:name w:val="Quote Char"/>
    <w:basedOn w:val="DefaultParagraphFont"/>
    <w:link w:val="Quote"/>
    <w:rsid w:val="00EA3EF7"/>
    <w:rPr>
      <w:sz w:val="22"/>
    </w:rPr>
  </w:style>
  <w:style w:type="character" w:customStyle="1" w:styleId="Heading1Char">
    <w:name w:val="Heading 1 Char"/>
    <w:basedOn w:val="DefaultParagraphFont"/>
    <w:link w:val="Heading1"/>
    <w:rsid w:val="007D61E6"/>
    <w:rPr>
      <w:sz w:val="52"/>
    </w:rPr>
  </w:style>
  <w:style w:type="paragraph" w:customStyle="1" w:styleId="Default">
    <w:name w:val="Default"/>
    <w:rsid w:val="00EB5778"/>
    <w:pPr>
      <w:autoSpaceDE w:val="0"/>
      <w:autoSpaceDN w:val="0"/>
      <w:adjustRightInd w:val="0"/>
    </w:pPr>
    <w:rPr>
      <w:rFonts w:ascii="Arial" w:hAnsi="Arial" w:cs="Arial"/>
      <w:color w:val="000000"/>
      <w:sz w:val="24"/>
      <w:szCs w:val="24"/>
    </w:rPr>
  </w:style>
  <w:style w:type="paragraph" w:styleId="NormalWeb">
    <w:name w:val="Normal (Web)"/>
    <w:basedOn w:val="Normal"/>
    <w:rsid w:val="005F2F15"/>
  </w:style>
  <w:style w:type="character" w:customStyle="1" w:styleId="Heading2Char">
    <w:name w:val="Heading 2 Char"/>
    <w:basedOn w:val="DefaultParagraphFont"/>
    <w:link w:val="Heading2"/>
    <w:rsid w:val="001B0866"/>
    <w:rPr>
      <w:rFonts w:ascii="Arial" w:hAnsi="Arial"/>
      <w:b/>
      <w:sz w:val="32"/>
    </w:rPr>
  </w:style>
  <w:style w:type="character" w:customStyle="1" w:styleId="Heading5Char">
    <w:name w:val="Heading 5 Char"/>
    <w:basedOn w:val="DefaultParagraphFont"/>
    <w:link w:val="Heading5"/>
    <w:rsid w:val="00095E2D"/>
    <w:rPr>
      <w:rFonts w:ascii="Arial" w:hAnsi="Arial"/>
      <w:i/>
      <w:sz w:val="22"/>
    </w:rPr>
  </w:style>
  <w:style w:type="character" w:styleId="FollowedHyperlink">
    <w:name w:val="FollowedHyperlink"/>
    <w:basedOn w:val="DefaultParagraphFont"/>
    <w:rsid w:val="00C15C37"/>
    <w:rPr>
      <w:color w:val="800080" w:themeColor="followedHyperlink"/>
      <w:u w:val="single"/>
    </w:rPr>
  </w:style>
  <w:style w:type="paragraph" w:customStyle="1" w:styleId="Pa25">
    <w:name w:val="Pa25"/>
    <w:basedOn w:val="Default"/>
    <w:next w:val="Default"/>
    <w:uiPriority w:val="99"/>
    <w:rsid w:val="007F7AB5"/>
    <w:pPr>
      <w:spacing w:line="221" w:lineRule="atLeast"/>
    </w:pPr>
    <w:rPr>
      <w:rFonts w:ascii="Adobe Caslon Pro Bold" w:hAnsi="Adobe Caslon Pro Bold" w:cs="Times New Roman"/>
      <w:color w:val="auto"/>
    </w:rPr>
  </w:style>
  <w:style w:type="paragraph" w:customStyle="1" w:styleId="Pa5">
    <w:name w:val="Pa5"/>
    <w:basedOn w:val="Default"/>
    <w:next w:val="Default"/>
    <w:uiPriority w:val="99"/>
    <w:rsid w:val="007F7AB5"/>
    <w:pPr>
      <w:spacing w:line="191" w:lineRule="atLeast"/>
    </w:pPr>
    <w:rPr>
      <w:rFonts w:ascii="Adobe Caslon Pro Bold" w:hAnsi="Adobe Caslon Pro Bold" w:cs="Times New Roman"/>
      <w:color w:val="auto"/>
    </w:rPr>
  </w:style>
  <w:style w:type="paragraph" w:customStyle="1" w:styleId="Pa7">
    <w:name w:val="Pa7"/>
    <w:basedOn w:val="Default"/>
    <w:next w:val="Default"/>
    <w:uiPriority w:val="99"/>
    <w:rsid w:val="007F7AB5"/>
    <w:pPr>
      <w:spacing w:line="191" w:lineRule="atLeast"/>
    </w:pPr>
    <w:rPr>
      <w:rFonts w:ascii="Adobe Caslon Pro Bold" w:hAnsi="Adobe Caslon Pro Bold" w:cs="Times New Roman"/>
      <w:color w:val="auto"/>
    </w:rPr>
  </w:style>
  <w:style w:type="character" w:customStyle="1" w:styleId="A9">
    <w:name w:val="A9"/>
    <w:uiPriority w:val="99"/>
    <w:rsid w:val="007F7AB5"/>
    <w:rPr>
      <w:rFonts w:ascii="Adobe Caslon Pro" w:hAnsi="Adobe Caslon Pro" w:cs="Adobe Caslon Pro"/>
      <w:color w:val="000000"/>
      <w:sz w:val="19"/>
      <w:szCs w:val="19"/>
    </w:rPr>
  </w:style>
  <w:style w:type="paragraph" w:customStyle="1" w:styleId="Pa26">
    <w:name w:val="Pa26"/>
    <w:basedOn w:val="Default"/>
    <w:next w:val="Default"/>
    <w:uiPriority w:val="99"/>
    <w:rsid w:val="007F7AB5"/>
    <w:pPr>
      <w:spacing w:line="191" w:lineRule="atLeast"/>
    </w:pPr>
    <w:rPr>
      <w:rFonts w:ascii="Adobe Caslon Pro Bold" w:hAnsi="Adobe Caslon Pro Bold" w:cs="Times New Roman"/>
      <w:color w:val="auto"/>
    </w:rPr>
  </w:style>
  <w:style w:type="character" w:customStyle="1" w:styleId="Heading6Char">
    <w:name w:val="Heading 6 Char"/>
    <w:basedOn w:val="DefaultParagraphFont"/>
    <w:link w:val="Heading6"/>
    <w:rsid w:val="00127528"/>
    <w:rPr>
      <w:i/>
      <w:sz w:val="22"/>
    </w:rPr>
  </w:style>
  <w:style w:type="paragraph" w:styleId="CommentSubject">
    <w:name w:val="annotation subject"/>
    <w:basedOn w:val="CommentText"/>
    <w:next w:val="CommentText"/>
    <w:link w:val="CommentSubjectChar"/>
    <w:rsid w:val="00CF1805"/>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F1805"/>
    <w:rPr>
      <w:szCs w:val="24"/>
    </w:rPr>
  </w:style>
  <w:style w:type="character" w:customStyle="1" w:styleId="CommentSubjectChar">
    <w:name w:val="Comment Subject Char"/>
    <w:basedOn w:val="CommentTextChar"/>
    <w:link w:val="CommentSubject"/>
    <w:rsid w:val="00CF1805"/>
    <w:rPr>
      <w:b/>
      <w:bCs/>
      <w:szCs w:val="24"/>
    </w:rPr>
  </w:style>
  <w:style w:type="paragraph" w:styleId="Revision">
    <w:name w:val="Revision"/>
    <w:hidden/>
    <w:uiPriority w:val="99"/>
    <w:semiHidden/>
    <w:rsid w:val="00643054"/>
    <w:rPr>
      <w:sz w:val="26"/>
      <w:szCs w:val="24"/>
    </w:rPr>
  </w:style>
  <w:style w:type="paragraph" w:customStyle="1" w:styleId="BoxQuoteBullet">
    <w:name w:val="Box Quote Bullet"/>
    <w:basedOn w:val="BoxQuote"/>
    <w:next w:val="Box"/>
    <w:rsid w:val="00095E2D"/>
    <w:pPr>
      <w:numPr>
        <w:numId w:val="49"/>
      </w:numPr>
      <w:ind w:left="568" w:hanging="284"/>
    </w:pPr>
  </w:style>
  <w:style w:type="paragraph" w:customStyle="1" w:styleId="InformationRequestBullet">
    <w:name w:val="Information Request Bullet"/>
    <w:basedOn w:val="ListBullet"/>
    <w:next w:val="BodyText"/>
    <w:rsid w:val="00095E2D"/>
    <w:pPr>
      <w:numPr>
        <w:numId w:val="50"/>
      </w:numPr>
      <w:spacing w:before="80" w:line="280" w:lineRule="atLeast"/>
      <w:ind w:left="357" w:hanging="357"/>
    </w:pPr>
    <w:rPr>
      <w:rFonts w:ascii="Arial" w:hAnsi="Arial"/>
      <w:i/>
      <w:sz w:val="22"/>
    </w:rPr>
  </w:style>
  <w:style w:type="paragraph" w:customStyle="1" w:styleId="KeyPointsListBullet">
    <w:name w:val="Key Points List Bullet"/>
    <w:basedOn w:val="Normal"/>
    <w:qFormat/>
    <w:rsid w:val="00095E2D"/>
    <w:pPr>
      <w:keepNext/>
      <w:numPr>
        <w:numId w:val="53"/>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95E2D"/>
    <w:pPr>
      <w:numPr>
        <w:numId w:val="54"/>
      </w:numPr>
      <w:ind w:left="568" w:hanging="284"/>
    </w:pPr>
  </w:style>
  <w:style w:type="paragraph" w:customStyle="1" w:styleId="InformationRequestTitle">
    <w:name w:val="Information Request Title"/>
    <w:basedOn w:val="FindingTitle"/>
    <w:next w:val="InformationRequest"/>
    <w:rsid w:val="00095E2D"/>
    <w:rPr>
      <w:i/>
    </w:rPr>
  </w:style>
  <w:style w:type="paragraph" w:customStyle="1" w:styleId="Space">
    <w:name w:val="Space"/>
    <w:basedOn w:val="Normal"/>
    <w:rsid w:val="00095E2D"/>
    <w:pPr>
      <w:keepNext/>
      <w:spacing w:line="120" w:lineRule="exact"/>
      <w:jc w:val="both"/>
    </w:pPr>
    <w:rPr>
      <w:rFonts w:ascii="Arial" w:hAnsi="Arial"/>
      <w:sz w:val="20"/>
      <w:szCs w:val="20"/>
    </w:rPr>
  </w:style>
  <w:style w:type="paragraph" w:customStyle="1" w:styleId="Heading1nochapterno">
    <w:name w:val="Heading 1 (no chapter no.)"/>
    <w:basedOn w:val="Heading1"/>
    <w:rsid w:val="00095E2D"/>
    <w:pPr>
      <w:spacing w:before="0"/>
      <w:ind w:left="0" w:firstLine="0"/>
    </w:pPr>
  </w:style>
  <w:style w:type="paragraph" w:customStyle="1" w:styleId="Heading2nosectionno">
    <w:name w:val="Heading 2 (no section no.)"/>
    <w:basedOn w:val="Heading2"/>
    <w:rsid w:val="00095E2D"/>
    <w:pPr>
      <w:ind w:left="0" w:firstLine="0"/>
    </w:pPr>
  </w:style>
  <w:style w:type="paragraph" w:customStyle="1" w:styleId="Figurespace">
    <w:name w:val="Figure space"/>
    <w:basedOn w:val="Box"/>
    <w:rsid w:val="00095E2D"/>
    <w:pPr>
      <w:spacing w:before="0" w:line="120" w:lineRule="exact"/>
    </w:pPr>
  </w:style>
  <w:style w:type="paragraph" w:customStyle="1" w:styleId="FooterDraftReport">
    <w:name w:val="FooterDraftReport"/>
    <w:basedOn w:val="Footer"/>
    <w:link w:val="FooterDraftReportChar"/>
    <w:rsid w:val="00095E2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semiHidden/>
    <w:rsid w:val="00095E2D"/>
    <w:rPr>
      <w:rFonts w:ascii="Arial" w:hAnsi="Arial"/>
      <w:caps/>
      <w:spacing w:val="-4"/>
      <w:sz w:val="16"/>
    </w:rPr>
  </w:style>
  <w:style w:type="character" w:customStyle="1" w:styleId="FooterDraftReportChar">
    <w:name w:val="FooterDraftReport Char"/>
    <w:basedOn w:val="FooterChar"/>
    <w:link w:val="FooterDraftReport"/>
    <w:rsid w:val="00095E2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095E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095E2D"/>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95E2D"/>
    <w:rPr>
      <w:sz w:val="24"/>
      <w:szCs w:val="24"/>
    </w:rPr>
  </w:style>
  <w:style w:type="paragraph" w:styleId="Heading1">
    <w:name w:val="heading 1"/>
    <w:basedOn w:val="BodyText"/>
    <w:next w:val="BodyText"/>
    <w:link w:val="Heading1Char"/>
    <w:rsid w:val="00095E2D"/>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095E2D"/>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095E2D"/>
    <w:pPr>
      <w:spacing w:before="560" w:line="320" w:lineRule="exact"/>
      <w:ind w:left="0" w:firstLine="0"/>
      <w:outlineLvl w:val="2"/>
    </w:pPr>
    <w:rPr>
      <w:sz w:val="26"/>
    </w:rPr>
  </w:style>
  <w:style w:type="paragraph" w:styleId="Heading4">
    <w:name w:val="heading 4"/>
    <w:basedOn w:val="Heading3"/>
    <w:next w:val="BodyText"/>
    <w:link w:val="Heading4Char"/>
    <w:qFormat/>
    <w:rsid w:val="00095E2D"/>
    <w:pPr>
      <w:spacing w:before="480"/>
      <w:outlineLvl w:val="3"/>
    </w:pPr>
    <w:rPr>
      <w:b w:val="0"/>
      <w:sz w:val="24"/>
    </w:rPr>
  </w:style>
  <w:style w:type="paragraph" w:styleId="Heading5">
    <w:name w:val="heading 5"/>
    <w:basedOn w:val="Heading4"/>
    <w:next w:val="BodyText"/>
    <w:link w:val="Heading5Char"/>
    <w:qFormat/>
    <w:rsid w:val="00095E2D"/>
    <w:pPr>
      <w:outlineLvl w:val="4"/>
    </w:pPr>
    <w:rPr>
      <w:i/>
      <w:sz w:val="22"/>
    </w:rPr>
  </w:style>
  <w:style w:type="paragraph" w:styleId="Heading6">
    <w:name w:val="heading 6"/>
    <w:basedOn w:val="BodyText"/>
    <w:next w:val="BodyText"/>
    <w:link w:val="Heading6Char"/>
    <w:rsid w:val="00095E2D"/>
    <w:pPr>
      <w:spacing w:after="60"/>
      <w:jc w:val="left"/>
      <w:outlineLvl w:val="5"/>
    </w:pPr>
    <w:rPr>
      <w:i/>
      <w:sz w:val="22"/>
    </w:rPr>
  </w:style>
  <w:style w:type="paragraph" w:styleId="Heading7">
    <w:name w:val="heading 7"/>
    <w:basedOn w:val="BodyText"/>
    <w:next w:val="BodyText"/>
    <w:rsid w:val="00095E2D"/>
    <w:pPr>
      <w:spacing w:after="60" w:line="240" w:lineRule="auto"/>
      <w:jc w:val="left"/>
      <w:outlineLvl w:val="6"/>
    </w:pPr>
    <w:rPr>
      <w:rFonts w:ascii="Arial" w:hAnsi="Arial"/>
      <w:sz w:val="20"/>
    </w:rPr>
  </w:style>
  <w:style w:type="paragraph" w:styleId="Heading8">
    <w:name w:val="heading 8"/>
    <w:basedOn w:val="BodyText"/>
    <w:next w:val="BodyText"/>
    <w:rsid w:val="00095E2D"/>
    <w:pPr>
      <w:spacing w:after="60" w:line="240" w:lineRule="auto"/>
      <w:jc w:val="left"/>
      <w:outlineLvl w:val="7"/>
    </w:pPr>
    <w:rPr>
      <w:rFonts w:ascii="Arial" w:hAnsi="Arial"/>
      <w:i/>
      <w:sz w:val="20"/>
    </w:rPr>
  </w:style>
  <w:style w:type="paragraph" w:styleId="Heading9">
    <w:name w:val="heading 9"/>
    <w:basedOn w:val="BodyText"/>
    <w:next w:val="BodyText"/>
    <w:rsid w:val="00095E2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95E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5E2D"/>
  </w:style>
  <w:style w:type="paragraph" w:styleId="BodyText">
    <w:name w:val="Body Text"/>
    <w:aliases w:val="Body Text Char Char,Body Text Char1 Char Char,Body Text Char Char Char Char,Body Text Char1 Char Char Char Char,Body Text Char Char Char Char Char Char,Body Text Char1 Char Char Char Char Char Char,Body Text Char2 Char1 Char,Body Text Char1"/>
    <w:link w:val="BodyTextChar"/>
    <w:qFormat/>
    <w:rsid w:val="00095E2D"/>
    <w:pPr>
      <w:spacing w:before="240" w:line="300" w:lineRule="atLeast"/>
      <w:jc w:val="both"/>
    </w:pPr>
    <w:rPr>
      <w:sz w:val="24"/>
    </w:rPr>
  </w:style>
  <w:style w:type="paragraph" w:styleId="Footer">
    <w:name w:val="footer"/>
    <w:basedOn w:val="BodyText"/>
    <w:link w:val="FooterChar"/>
    <w:semiHidden/>
    <w:rsid w:val="00095E2D"/>
    <w:pPr>
      <w:spacing w:before="80" w:line="200" w:lineRule="exact"/>
      <w:ind w:right="6"/>
      <w:jc w:val="left"/>
    </w:pPr>
    <w:rPr>
      <w:rFonts w:ascii="Arial" w:hAnsi="Arial"/>
      <w:caps/>
      <w:spacing w:val="-4"/>
      <w:sz w:val="16"/>
    </w:rPr>
  </w:style>
  <w:style w:type="paragraph" w:customStyle="1" w:styleId="FooterEnd">
    <w:name w:val="Footer End"/>
    <w:basedOn w:val="Footer"/>
    <w:rsid w:val="00095E2D"/>
    <w:pPr>
      <w:spacing w:before="0" w:line="20" w:lineRule="exact"/>
    </w:pPr>
  </w:style>
  <w:style w:type="paragraph" w:styleId="Header">
    <w:name w:val="header"/>
    <w:basedOn w:val="BodyText"/>
    <w:rsid w:val="00095E2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95E2D"/>
    <w:pPr>
      <w:spacing w:line="20" w:lineRule="exact"/>
    </w:pPr>
    <w:rPr>
      <w:sz w:val="16"/>
    </w:rPr>
  </w:style>
  <w:style w:type="paragraph" w:customStyle="1" w:styleId="HeaderEven">
    <w:name w:val="Header Even"/>
    <w:basedOn w:val="Header"/>
    <w:semiHidden/>
    <w:rsid w:val="00095E2D"/>
  </w:style>
  <w:style w:type="paragraph" w:customStyle="1" w:styleId="HeaderOdd">
    <w:name w:val="Header Odd"/>
    <w:basedOn w:val="Header"/>
    <w:semiHidden/>
    <w:rsid w:val="00095E2D"/>
  </w:style>
  <w:style w:type="character" w:styleId="PageNumber">
    <w:name w:val="page number"/>
    <w:basedOn w:val="DefaultParagraphFont"/>
    <w:rsid w:val="00095E2D"/>
    <w:rPr>
      <w:rFonts w:ascii="Arial" w:hAnsi="Arial"/>
      <w:b/>
      <w:sz w:val="16"/>
    </w:rPr>
  </w:style>
  <w:style w:type="paragraph" w:customStyle="1" w:styleId="Abbreviation">
    <w:name w:val="Abbreviation"/>
    <w:basedOn w:val="BodyText"/>
    <w:rsid w:val="00095E2D"/>
    <w:pPr>
      <w:spacing w:before="120"/>
      <w:ind w:left="2381" w:hanging="2381"/>
      <w:jc w:val="left"/>
    </w:pPr>
  </w:style>
  <w:style w:type="paragraph" w:customStyle="1" w:styleId="Box">
    <w:name w:val="Box"/>
    <w:basedOn w:val="BodyText"/>
    <w:qFormat/>
    <w:rsid w:val="00095E2D"/>
    <w:pPr>
      <w:keepNext/>
      <w:spacing w:before="120" w:line="260" w:lineRule="atLeast"/>
    </w:pPr>
    <w:rPr>
      <w:rFonts w:ascii="Arial" w:hAnsi="Arial"/>
      <w:sz w:val="20"/>
    </w:rPr>
  </w:style>
  <w:style w:type="paragraph" w:customStyle="1" w:styleId="BoxContinued">
    <w:name w:val="Box Continued"/>
    <w:basedOn w:val="BodyText"/>
    <w:next w:val="BodyText"/>
    <w:semiHidden/>
    <w:rsid w:val="00095E2D"/>
    <w:pPr>
      <w:spacing w:before="180" w:line="220" w:lineRule="exact"/>
      <w:jc w:val="right"/>
    </w:pPr>
    <w:rPr>
      <w:rFonts w:ascii="Arial" w:hAnsi="Arial"/>
      <w:sz w:val="18"/>
    </w:rPr>
  </w:style>
  <w:style w:type="paragraph" w:customStyle="1" w:styleId="BoxHeading1">
    <w:name w:val="Box Heading 1"/>
    <w:basedOn w:val="BodyText"/>
    <w:next w:val="Box"/>
    <w:rsid w:val="00095E2D"/>
    <w:pPr>
      <w:keepNext/>
      <w:spacing w:before="200" w:line="280" w:lineRule="atLeast"/>
    </w:pPr>
    <w:rPr>
      <w:rFonts w:ascii="Arial" w:hAnsi="Arial"/>
      <w:b/>
      <w:sz w:val="22"/>
    </w:rPr>
  </w:style>
  <w:style w:type="paragraph" w:customStyle="1" w:styleId="BoxHeading2">
    <w:name w:val="Box Heading 2"/>
    <w:basedOn w:val="BoxHeading1"/>
    <w:next w:val="Normal"/>
    <w:rsid w:val="00095E2D"/>
    <w:rPr>
      <w:b w:val="0"/>
      <w:i/>
    </w:rPr>
  </w:style>
  <w:style w:type="paragraph" w:customStyle="1" w:styleId="BoxListBullet">
    <w:name w:val="Box List Bullet"/>
    <w:basedOn w:val="BodyText"/>
    <w:rsid w:val="00095E2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095E2D"/>
    <w:pPr>
      <w:numPr>
        <w:numId w:val="2"/>
      </w:numPr>
      <w:ind w:left="568" w:hanging="284"/>
    </w:pPr>
  </w:style>
  <w:style w:type="paragraph" w:customStyle="1" w:styleId="BoxListNumber">
    <w:name w:val="Box List Number"/>
    <w:basedOn w:val="BodyText"/>
    <w:rsid w:val="00095E2D"/>
    <w:pPr>
      <w:keepNext/>
      <w:numPr>
        <w:numId w:val="13"/>
      </w:numPr>
      <w:spacing w:before="100" w:line="260" w:lineRule="atLeast"/>
    </w:pPr>
    <w:rPr>
      <w:rFonts w:ascii="Arial" w:hAnsi="Arial"/>
      <w:sz w:val="20"/>
    </w:rPr>
  </w:style>
  <w:style w:type="paragraph" w:customStyle="1" w:styleId="BoxListNumber2">
    <w:name w:val="Box List Number 2"/>
    <w:basedOn w:val="BoxListNumber"/>
    <w:rsid w:val="00095E2D"/>
    <w:pPr>
      <w:numPr>
        <w:ilvl w:val="1"/>
      </w:numPr>
      <w:ind w:left="681" w:hanging="397"/>
    </w:pPr>
  </w:style>
  <w:style w:type="paragraph" w:customStyle="1" w:styleId="BoxQuote">
    <w:name w:val="Box Quote"/>
    <w:basedOn w:val="BodyText"/>
    <w:next w:val="Box"/>
    <w:qFormat/>
    <w:rsid w:val="00095E2D"/>
    <w:pPr>
      <w:keepNext/>
      <w:spacing w:before="60" w:line="240" w:lineRule="exact"/>
      <w:ind w:left="284"/>
    </w:pPr>
    <w:rPr>
      <w:rFonts w:ascii="Arial" w:hAnsi="Arial"/>
      <w:sz w:val="18"/>
    </w:rPr>
  </w:style>
  <w:style w:type="paragraph" w:customStyle="1" w:styleId="Note">
    <w:name w:val="Note"/>
    <w:basedOn w:val="BodyText"/>
    <w:next w:val="BodyText"/>
    <w:rsid w:val="00095E2D"/>
    <w:pPr>
      <w:keepLines/>
      <w:spacing w:before="80" w:line="220" w:lineRule="exact"/>
    </w:pPr>
    <w:rPr>
      <w:rFonts w:ascii="Arial" w:hAnsi="Arial"/>
      <w:sz w:val="18"/>
    </w:rPr>
  </w:style>
  <w:style w:type="paragraph" w:customStyle="1" w:styleId="Source">
    <w:name w:val="Source"/>
    <w:basedOn w:val="Normal"/>
    <w:next w:val="BodyText"/>
    <w:rsid w:val="00095E2D"/>
    <w:pPr>
      <w:keepLines/>
      <w:spacing w:before="80" w:line="220" w:lineRule="exact"/>
      <w:jc w:val="both"/>
    </w:pPr>
    <w:rPr>
      <w:rFonts w:ascii="Arial" w:hAnsi="Arial"/>
      <w:sz w:val="18"/>
      <w:szCs w:val="20"/>
    </w:rPr>
  </w:style>
  <w:style w:type="paragraph" w:customStyle="1" w:styleId="BoxSource">
    <w:name w:val="Box Source"/>
    <w:basedOn w:val="Source"/>
    <w:next w:val="BodyText"/>
    <w:rsid w:val="00095E2D"/>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095E2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095E2D"/>
    <w:pPr>
      <w:spacing w:before="120" w:after="0"/>
    </w:pPr>
  </w:style>
  <w:style w:type="paragraph" w:customStyle="1" w:styleId="BoxSubtitle">
    <w:name w:val="Box Subtitle"/>
    <w:basedOn w:val="BoxTitle"/>
    <w:next w:val="Normal"/>
    <w:rsid w:val="00095E2D"/>
    <w:pPr>
      <w:spacing w:after="80" w:line="200" w:lineRule="exact"/>
      <w:ind w:firstLine="0"/>
    </w:pPr>
    <w:rPr>
      <w:b w:val="0"/>
      <w:sz w:val="20"/>
    </w:rPr>
  </w:style>
  <w:style w:type="paragraph" w:customStyle="1" w:styleId="Chapter">
    <w:name w:val="Chapter"/>
    <w:basedOn w:val="Heading1"/>
    <w:next w:val="BodyText"/>
    <w:semiHidden/>
    <w:rsid w:val="00095E2D"/>
    <w:pPr>
      <w:ind w:left="0" w:firstLine="0"/>
      <w:outlineLvl w:val="9"/>
    </w:pPr>
  </w:style>
  <w:style w:type="paragraph" w:customStyle="1" w:styleId="ChapterSummary">
    <w:name w:val="Chapter Summary"/>
    <w:basedOn w:val="BodyText"/>
    <w:rsid w:val="00095E2D"/>
    <w:pPr>
      <w:spacing w:line="280" w:lineRule="atLeast"/>
      <w:ind w:left="907"/>
    </w:pPr>
    <w:rPr>
      <w:rFonts w:ascii="Arial" w:hAnsi="Arial"/>
      <w:b/>
      <w:sz w:val="20"/>
    </w:rPr>
  </w:style>
  <w:style w:type="character" w:styleId="CommentReference">
    <w:name w:val="annotation reference"/>
    <w:basedOn w:val="DefaultParagraphFont"/>
    <w:semiHidden/>
    <w:rsid w:val="00095E2D"/>
    <w:rPr>
      <w:b/>
      <w:vanish/>
      <w:color w:val="FF00FF"/>
      <w:sz w:val="20"/>
    </w:rPr>
  </w:style>
  <w:style w:type="paragraph" w:styleId="CommentText">
    <w:name w:val="annotation text"/>
    <w:basedOn w:val="Normal"/>
    <w:link w:val="CommentTextChar"/>
    <w:semiHidden/>
    <w:rsid w:val="00095E2D"/>
    <w:pPr>
      <w:spacing w:before="120" w:line="240" w:lineRule="atLeast"/>
      <w:ind w:left="567" w:hanging="567"/>
    </w:pPr>
    <w:rPr>
      <w:sz w:val="20"/>
    </w:rPr>
  </w:style>
  <w:style w:type="paragraph" w:customStyle="1" w:styleId="Continued">
    <w:name w:val="Continued"/>
    <w:basedOn w:val="BoxContinued"/>
    <w:next w:val="BodyText"/>
    <w:rsid w:val="00095E2D"/>
  </w:style>
  <w:style w:type="character" w:customStyle="1" w:styleId="DocumentInfo">
    <w:name w:val="Document Info"/>
    <w:basedOn w:val="DefaultParagraphFont"/>
    <w:semiHidden/>
    <w:rsid w:val="00095E2D"/>
    <w:rPr>
      <w:rFonts w:ascii="Arial" w:hAnsi="Arial"/>
      <w:sz w:val="14"/>
    </w:rPr>
  </w:style>
  <w:style w:type="character" w:customStyle="1" w:styleId="DraftingNote">
    <w:name w:val="Drafting Note"/>
    <w:basedOn w:val="DefaultParagraphFont"/>
    <w:rsid w:val="00095E2D"/>
    <w:rPr>
      <w:b/>
      <w:color w:val="FF0000"/>
      <w:sz w:val="24"/>
      <w:u w:val="dotted"/>
    </w:rPr>
  </w:style>
  <w:style w:type="paragraph" w:customStyle="1" w:styleId="Figure">
    <w:name w:val="Figure"/>
    <w:basedOn w:val="BodyText"/>
    <w:rsid w:val="00095E2D"/>
    <w:pPr>
      <w:keepNext/>
      <w:spacing w:before="120" w:after="120" w:line="240" w:lineRule="atLeast"/>
      <w:jc w:val="center"/>
    </w:pPr>
  </w:style>
  <w:style w:type="paragraph" w:customStyle="1" w:styleId="FigureTitle">
    <w:name w:val="Figure Title"/>
    <w:basedOn w:val="Caption"/>
    <w:next w:val="Subtitle"/>
    <w:rsid w:val="00095E2D"/>
    <w:pPr>
      <w:spacing w:before="120"/>
    </w:pPr>
  </w:style>
  <w:style w:type="paragraph" w:styleId="Subtitle">
    <w:name w:val="Subtitle"/>
    <w:basedOn w:val="Caption"/>
    <w:link w:val="SubtitleChar"/>
    <w:qFormat/>
    <w:rsid w:val="00095E2D"/>
    <w:pPr>
      <w:spacing w:before="0" w:line="200" w:lineRule="exact"/>
      <w:ind w:firstLine="0"/>
    </w:pPr>
    <w:rPr>
      <w:b w:val="0"/>
      <w:sz w:val="20"/>
    </w:rPr>
  </w:style>
  <w:style w:type="paragraph" w:customStyle="1" w:styleId="Finding">
    <w:name w:val="Finding"/>
    <w:basedOn w:val="BodyText"/>
    <w:rsid w:val="00095E2D"/>
    <w:pPr>
      <w:keepLines/>
      <w:spacing w:before="120" w:line="280" w:lineRule="atLeast"/>
    </w:pPr>
    <w:rPr>
      <w:rFonts w:ascii="Arial" w:hAnsi="Arial"/>
      <w:sz w:val="22"/>
    </w:rPr>
  </w:style>
  <w:style w:type="paragraph" w:customStyle="1" w:styleId="FindingBullet">
    <w:name w:val="Finding Bullet"/>
    <w:basedOn w:val="Finding"/>
    <w:rsid w:val="00095E2D"/>
    <w:pPr>
      <w:numPr>
        <w:numId w:val="3"/>
      </w:numPr>
      <w:spacing w:before="80"/>
    </w:pPr>
  </w:style>
  <w:style w:type="paragraph" w:customStyle="1" w:styleId="FindingNoTitle">
    <w:name w:val="Finding NoTitle"/>
    <w:basedOn w:val="Finding"/>
    <w:rsid w:val="00095E2D"/>
    <w:pPr>
      <w:spacing w:before="240"/>
    </w:pPr>
  </w:style>
  <w:style w:type="paragraph" w:customStyle="1" w:styleId="RecTitle">
    <w:name w:val="Rec Title"/>
    <w:basedOn w:val="BodyText"/>
    <w:next w:val="Rec"/>
    <w:qFormat/>
    <w:rsid w:val="00095E2D"/>
    <w:pPr>
      <w:keepNext/>
      <w:keepLines/>
      <w:spacing w:line="280" w:lineRule="atLeast"/>
    </w:pPr>
    <w:rPr>
      <w:rFonts w:ascii="Arial" w:hAnsi="Arial"/>
      <w:caps/>
      <w:sz w:val="18"/>
    </w:rPr>
  </w:style>
  <w:style w:type="paragraph" w:customStyle="1" w:styleId="FindingTitle">
    <w:name w:val="Finding Title"/>
    <w:basedOn w:val="RecTitle"/>
    <w:next w:val="Finding"/>
    <w:rsid w:val="00095E2D"/>
  </w:style>
  <w:style w:type="character" w:styleId="FootnoteReference">
    <w:name w:val="footnote reference"/>
    <w:basedOn w:val="DefaultParagraphFont"/>
    <w:semiHidden/>
    <w:rsid w:val="00095E2D"/>
    <w:rPr>
      <w:rFonts w:ascii="Times New Roman" w:hAnsi="Times New Roman"/>
      <w:position w:val="6"/>
      <w:sz w:val="20"/>
      <w:vertAlign w:val="baseline"/>
    </w:rPr>
  </w:style>
  <w:style w:type="paragraph" w:styleId="FootnoteText">
    <w:name w:val="footnote text"/>
    <w:basedOn w:val="BodyText"/>
    <w:rsid w:val="00095E2D"/>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095E2D"/>
    <w:rPr>
      <w:i/>
    </w:rPr>
  </w:style>
  <w:style w:type="paragraph" w:customStyle="1" w:styleId="Jurisdictioncommentsbodytext">
    <w:name w:val="Jurisdiction comments body text"/>
    <w:rsid w:val="00095E2D"/>
    <w:pPr>
      <w:spacing w:after="140"/>
      <w:jc w:val="both"/>
    </w:pPr>
    <w:rPr>
      <w:rFonts w:ascii="Arial" w:hAnsi="Arial"/>
      <w:sz w:val="24"/>
      <w:lang w:eastAsia="en-US"/>
    </w:rPr>
  </w:style>
  <w:style w:type="paragraph" w:customStyle="1" w:styleId="Jurisdictioncommentsheading">
    <w:name w:val="Jurisdiction comments heading"/>
    <w:rsid w:val="00095E2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95E2D"/>
    <w:pPr>
      <w:numPr>
        <w:numId w:val="4"/>
      </w:numPr>
      <w:spacing w:after="140"/>
      <w:jc w:val="both"/>
    </w:pPr>
    <w:rPr>
      <w:rFonts w:ascii="Arial" w:hAnsi="Arial"/>
      <w:sz w:val="24"/>
      <w:lang w:eastAsia="en-US"/>
    </w:rPr>
  </w:style>
  <w:style w:type="paragraph" w:styleId="ListBullet">
    <w:name w:val="List Bullet"/>
    <w:basedOn w:val="BodyText"/>
    <w:rsid w:val="00095E2D"/>
    <w:pPr>
      <w:numPr>
        <w:numId w:val="5"/>
      </w:numPr>
      <w:spacing w:before="120"/>
    </w:pPr>
  </w:style>
  <w:style w:type="paragraph" w:styleId="ListBullet2">
    <w:name w:val="List Bullet 2"/>
    <w:basedOn w:val="BodyText"/>
    <w:rsid w:val="00095E2D"/>
    <w:pPr>
      <w:numPr>
        <w:numId w:val="6"/>
      </w:numPr>
      <w:spacing w:before="120"/>
    </w:pPr>
  </w:style>
  <w:style w:type="paragraph" w:styleId="ListBullet3">
    <w:name w:val="List Bullet 3"/>
    <w:basedOn w:val="BodyText"/>
    <w:rsid w:val="00095E2D"/>
    <w:pPr>
      <w:numPr>
        <w:numId w:val="7"/>
      </w:numPr>
      <w:spacing w:before="120"/>
      <w:ind w:left="1020" w:hanging="340"/>
    </w:pPr>
  </w:style>
  <w:style w:type="paragraph" w:styleId="ListNumber">
    <w:name w:val="List Number"/>
    <w:basedOn w:val="BodyText"/>
    <w:rsid w:val="00095E2D"/>
    <w:pPr>
      <w:numPr>
        <w:numId w:val="12"/>
      </w:numPr>
      <w:spacing w:before="120"/>
    </w:pPr>
  </w:style>
  <w:style w:type="paragraph" w:styleId="ListNumber2">
    <w:name w:val="List Number 2"/>
    <w:basedOn w:val="ListNumber"/>
    <w:rsid w:val="00095E2D"/>
    <w:pPr>
      <w:numPr>
        <w:ilvl w:val="1"/>
      </w:numPr>
    </w:pPr>
  </w:style>
  <w:style w:type="paragraph" w:styleId="ListNumber3">
    <w:name w:val="List Number 3"/>
    <w:basedOn w:val="ListNumber2"/>
    <w:rsid w:val="00095E2D"/>
    <w:pPr>
      <w:numPr>
        <w:ilvl w:val="2"/>
      </w:numPr>
    </w:pPr>
  </w:style>
  <w:style w:type="character" w:customStyle="1" w:styleId="NoteLabel">
    <w:name w:val="Note Label"/>
    <w:basedOn w:val="DefaultParagraphFont"/>
    <w:rsid w:val="00095E2D"/>
    <w:rPr>
      <w:rFonts w:ascii="Arial" w:hAnsi="Arial"/>
      <w:b/>
      <w:position w:val="6"/>
      <w:sz w:val="18"/>
    </w:rPr>
  </w:style>
  <w:style w:type="paragraph" w:customStyle="1" w:styleId="PartDivider">
    <w:name w:val="Part Divider"/>
    <w:basedOn w:val="BodyText"/>
    <w:next w:val="BodyText"/>
    <w:semiHidden/>
    <w:rsid w:val="00095E2D"/>
    <w:pPr>
      <w:spacing w:before="0" w:line="40" w:lineRule="exact"/>
      <w:jc w:val="right"/>
    </w:pPr>
    <w:rPr>
      <w:smallCaps/>
      <w:sz w:val="16"/>
    </w:rPr>
  </w:style>
  <w:style w:type="paragraph" w:customStyle="1" w:styleId="PartNumber">
    <w:name w:val="Part Number"/>
    <w:basedOn w:val="BodyText"/>
    <w:next w:val="BodyText"/>
    <w:semiHidden/>
    <w:rsid w:val="00095E2D"/>
    <w:pPr>
      <w:spacing w:before="4000" w:line="320" w:lineRule="exact"/>
      <w:ind w:left="6634"/>
      <w:jc w:val="right"/>
    </w:pPr>
    <w:rPr>
      <w:smallCaps/>
      <w:spacing w:val="60"/>
      <w:sz w:val="32"/>
    </w:rPr>
  </w:style>
  <w:style w:type="paragraph" w:customStyle="1" w:styleId="PartTitle">
    <w:name w:val="Part Title"/>
    <w:basedOn w:val="BodyText"/>
    <w:semiHidden/>
    <w:rsid w:val="00095E2D"/>
    <w:pPr>
      <w:spacing w:before="160" w:after="1360" w:line="520" w:lineRule="exact"/>
      <w:ind w:right="2381"/>
      <w:jc w:val="right"/>
    </w:pPr>
    <w:rPr>
      <w:smallCaps/>
      <w:sz w:val="52"/>
    </w:rPr>
  </w:style>
  <w:style w:type="paragraph" w:styleId="Quote">
    <w:name w:val="Quote"/>
    <w:basedOn w:val="BodyText"/>
    <w:next w:val="BodyText"/>
    <w:link w:val="QuoteChar"/>
    <w:qFormat/>
    <w:rsid w:val="00095E2D"/>
    <w:pPr>
      <w:spacing w:before="120" w:line="280" w:lineRule="exact"/>
      <w:ind w:left="340"/>
    </w:pPr>
    <w:rPr>
      <w:sz w:val="22"/>
    </w:rPr>
  </w:style>
  <w:style w:type="paragraph" w:customStyle="1" w:styleId="QuoteBullet">
    <w:name w:val="Quote Bullet"/>
    <w:basedOn w:val="Quote"/>
    <w:rsid w:val="00095E2D"/>
    <w:pPr>
      <w:numPr>
        <w:numId w:val="8"/>
      </w:numPr>
    </w:pPr>
  </w:style>
  <w:style w:type="paragraph" w:customStyle="1" w:styleId="Rec">
    <w:name w:val="Rec"/>
    <w:basedOn w:val="BodyText"/>
    <w:qFormat/>
    <w:rsid w:val="00095E2D"/>
    <w:pPr>
      <w:keepLines/>
      <w:spacing w:before="120" w:line="280" w:lineRule="atLeast"/>
    </w:pPr>
    <w:rPr>
      <w:rFonts w:ascii="Arial" w:hAnsi="Arial"/>
      <w:sz w:val="22"/>
    </w:rPr>
  </w:style>
  <w:style w:type="paragraph" w:customStyle="1" w:styleId="RecBullet">
    <w:name w:val="Rec Bullet"/>
    <w:basedOn w:val="Rec"/>
    <w:rsid w:val="00095E2D"/>
    <w:pPr>
      <w:numPr>
        <w:numId w:val="9"/>
      </w:numPr>
      <w:spacing w:before="80"/>
    </w:pPr>
  </w:style>
  <w:style w:type="paragraph" w:customStyle="1" w:styleId="RecB">
    <w:name w:val="RecB"/>
    <w:basedOn w:val="Normal"/>
    <w:rsid w:val="00095E2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95E2D"/>
    <w:pPr>
      <w:numPr>
        <w:numId w:val="14"/>
      </w:numPr>
      <w:spacing w:before="80"/>
    </w:pPr>
  </w:style>
  <w:style w:type="paragraph" w:customStyle="1" w:styleId="RecBNoTitle">
    <w:name w:val="RecB NoTitle"/>
    <w:basedOn w:val="RecB"/>
    <w:rsid w:val="00095E2D"/>
    <w:pPr>
      <w:spacing w:before="240"/>
    </w:pPr>
  </w:style>
  <w:style w:type="paragraph" w:customStyle="1" w:styleId="Reference">
    <w:name w:val="Reference"/>
    <w:basedOn w:val="BodyText"/>
    <w:rsid w:val="00095E2D"/>
    <w:pPr>
      <w:spacing w:before="120"/>
      <w:ind w:left="340" w:hanging="340"/>
    </w:pPr>
  </w:style>
  <w:style w:type="paragraph" w:customStyle="1" w:styleId="SequenceInfo">
    <w:name w:val="Sequence Info"/>
    <w:basedOn w:val="BodyText"/>
    <w:semiHidden/>
    <w:rsid w:val="00095E2D"/>
    <w:rPr>
      <w:vanish/>
      <w:sz w:val="16"/>
    </w:rPr>
  </w:style>
  <w:style w:type="paragraph" w:customStyle="1" w:styleId="SideNote">
    <w:name w:val="Side Note"/>
    <w:basedOn w:val="BodyText"/>
    <w:next w:val="BodyText"/>
    <w:semiHidden/>
    <w:rsid w:val="00095E2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95E2D"/>
    <w:pPr>
      <w:framePr w:wrap="around"/>
      <w:numPr>
        <w:numId w:val="10"/>
      </w:numPr>
      <w:tabs>
        <w:tab w:val="left" w:pos="227"/>
      </w:tabs>
    </w:pPr>
  </w:style>
  <w:style w:type="paragraph" w:customStyle="1" w:styleId="SideNoteGraphic">
    <w:name w:val="Side Note Graphic"/>
    <w:basedOn w:val="SideNote"/>
    <w:next w:val="BodyText"/>
    <w:semiHidden/>
    <w:rsid w:val="00095E2D"/>
    <w:pPr>
      <w:framePr w:wrap="around"/>
    </w:pPr>
  </w:style>
  <w:style w:type="paragraph" w:customStyle="1" w:styleId="TableBodyText">
    <w:name w:val="Table Body Text"/>
    <w:basedOn w:val="BodyText"/>
    <w:rsid w:val="00095E2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095E2D"/>
    <w:pPr>
      <w:numPr>
        <w:numId w:val="11"/>
      </w:numPr>
      <w:jc w:val="left"/>
    </w:pPr>
  </w:style>
  <w:style w:type="paragraph" w:customStyle="1" w:styleId="TableColumnHeading">
    <w:name w:val="Table Column Heading"/>
    <w:basedOn w:val="TableBodyText"/>
    <w:rsid w:val="00095E2D"/>
    <w:pPr>
      <w:spacing w:before="80" w:after="80"/>
    </w:pPr>
    <w:rPr>
      <w:i/>
    </w:rPr>
  </w:style>
  <w:style w:type="paragraph" w:styleId="TOC2">
    <w:name w:val="toc 2"/>
    <w:basedOn w:val="TOC1"/>
    <w:rsid w:val="00095E2D"/>
    <w:pPr>
      <w:ind w:left="1134" w:hanging="624"/>
    </w:pPr>
    <w:rPr>
      <w:b w:val="0"/>
    </w:rPr>
  </w:style>
  <w:style w:type="paragraph" w:styleId="TOC3">
    <w:name w:val="toc 3"/>
    <w:basedOn w:val="TOC2"/>
    <w:rsid w:val="00095E2D"/>
    <w:pPr>
      <w:spacing w:before="60"/>
      <w:ind w:left="1190" w:hanging="680"/>
    </w:pPr>
  </w:style>
  <w:style w:type="paragraph" w:styleId="TableofFigures">
    <w:name w:val="table of figures"/>
    <w:basedOn w:val="TOC3"/>
    <w:next w:val="BodyText"/>
    <w:semiHidden/>
    <w:rsid w:val="00095E2D"/>
    <w:pPr>
      <w:ind w:left="737" w:hanging="737"/>
    </w:pPr>
  </w:style>
  <w:style w:type="paragraph" w:customStyle="1" w:styleId="TableTitle">
    <w:name w:val="Table Title"/>
    <w:basedOn w:val="Caption"/>
    <w:next w:val="Subtitle"/>
    <w:qFormat/>
    <w:rsid w:val="00095E2D"/>
    <w:pPr>
      <w:spacing w:before="120"/>
    </w:pPr>
  </w:style>
  <w:style w:type="paragraph" w:customStyle="1" w:styleId="TableUnitsRow">
    <w:name w:val="Table Units Row"/>
    <w:basedOn w:val="TableBodyText"/>
    <w:rsid w:val="00095E2D"/>
    <w:pPr>
      <w:spacing w:before="40"/>
    </w:pPr>
  </w:style>
  <w:style w:type="paragraph" w:styleId="TOC1">
    <w:name w:val="toc 1"/>
    <w:basedOn w:val="Normal"/>
    <w:next w:val="TOC2"/>
    <w:link w:val="TOC1Char"/>
    <w:rsid w:val="00095E2D"/>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095E2D"/>
    <w:pPr>
      <w:ind w:left="1191" w:firstLine="0"/>
    </w:pPr>
  </w:style>
  <w:style w:type="paragraph" w:customStyle="1" w:styleId="RecBBullet2">
    <w:name w:val="RecB Bullet 2"/>
    <w:basedOn w:val="ListBullet2"/>
    <w:rsid w:val="00095E2D"/>
    <w:pPr>
      <w:pBdr>
        <w:left w:val="single" w:sz="24" w:space="29" w:color="C0C0C0"/>
      </w:pBdr>
    </w:pPr>
    <w:rPr>
      <w:b/>
      <w:i/>
    </w:rPr>
  </w:style>
  <w:style w:type="paragraph" w:styleId="BalloonText">
    <w:name w:val="Balloon Text"/>
    <w:basedOn w:val="Normal"/>
    <w:link w:val="BalloonTextChar"/>
    <w:rsid w:val="00095E2D"/>
    <w:rPr>
      <w:rFonts w:ascii="Tahoma" w:hAnsi="Tahoma" w:cs="Tahoma"/>
      <w:sz w:val="16"/>
      <w:szCs w:val="16"/>
    </w:rPr>
  </w:style>
  <w:style w:type="character" w:customStyle="1" w:styleId="BalloonTextChar">
    <w:name w:val="Balloon Text Char"/>
    <w:basedOn w:val="DefaultParagraphFont"/>
    <w:link w:val="BalloonText"/>
    <w:rsid w:val="00095E2D"/>
    <w:rPr>
      <w:rFonts w:ascii="Tahoma" w:hAnsi="Tahoma" w:cs="Tahoma"/>
      <w:sz w:val="16"/>
      <w:szCs w:val="16"/>
    </w:rPr>
  </w:style>
  <w:style w:type="character" w:customStyle="1" w:styleId="SubtitleChar">
    <w:name w:val="Subtitle Char"/>
    <w:basedOn w:val="DefaultParagraphFont"/>
    <w:link w:val="Subtitle"/>
    <w:rsid w:val="00095E2D"/>
    <w:rPr>
      <w:rFonts w:ascii="Arial" w:hAnsi="Arial"/>
      <w:szCs w:val="24"/>
    </w:rPr>
  </w:style>
  <w:style w:type="paragraph" w:customStyle="1" w:styleId="BoxListBullet3">
    <w:name w:val="Box List Bullet 3"/>
    <w:basedOn w:val="ListBullet3"/>
    <w:rsid w:val="00095E2D"/>
    <w:pPr>
      <w:numPr>
        <w:numId w:val="51"/>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95E2D"/>
    <w:rPr>
      <w:i/>
      <w:iCs/>
    </w:rPr>
  </w:style>
  <w:style w:type="character" w:customStyle="1" w:styleId="Heading3Char">
    <w:name w:val="Heading 3 Char"/>
    <w:basedOn w:val="DefaultParagraphFont"/>
    <w:link w:val="Heading3"/>
    <w:rsid w:val="00A73B43"/>
    <w:rPr>
      <w:rFonts w:ascii="Arial" w:hAnsi="Arial"/>
      <w:b/>
      <w:sz w:val="26"/>
    </w:rPr>
  </w:style>
  <w:style w:type="character" w:customStyle="1" w:styleId="Heading4Char">
    <w:name w:val="Heading 4 Char"/>
    <w:basedOn w:val="DefaultParagraphFont"/>
    <w:link w:val="Heading4"/>
    <w:rsid w:val="00A73B43"/>
    <w:rPr>
      <w:rFonts w:ascii="Arial" w:hAnsi="Arial"/>
      <w:sz w:val="24"/>
    </w:rPr>
  </w:style>
  <w:style w:type="character" w:customStyle="1" w:styleId="BodyTextChar">
    <w:name w:val="Body Text Char"/>
    <w:aliases w:val="Body Text Char Char Char,Body Text Char1 Char Char Char,Body Text Char Char Char Char Char,Body Text Char1 Char Char Char Char Char,Body Text Char Char Char Char Char Char Char,Body Text Char1 Char Char Char Char Char Char Char"/>
    <w:basedOn w:val="DefaultParagraphFont"/>
    <w:link w:val="BodyText"/>
    <w:rsid w:val="00095E2D"/>
    <w:rPr>
      <w:sz w:val="24"/>
    </w:rPr>
  </w:style>
  <w:style w:type="paragraph" w:customStyle="1" w:styleId="BoxSpaceAbove">
    <w:name w:val="Box Space Above"/>
    <w:basedOn w:val="BodyText"/>
    <w:rsid w:val="00095E2D"/>
    <w:pPr>
      <w:keepNext/>
      <w:spacing w:before="360" w:line="80" w:lineRule="exact"/>
      <w:jc w:val="left"/>
    </w:pPr>
  </w:style>
  <w:style w:type="paragraph" w:customStyle="1" w:styleId="BoxSpaceBelow">
    <w:name w:val="Box Space Below"/>
    <w:basedOn w:val="Box"/>
    <w:rsid w:val="00095E2D"/>
    <w:pPr>
      <w:keepNext w:val="0"/>
      <w:spacing w:before="60" w:after="60" w:line="80" w:lineRule="exact"/>
    </w:pPr>
    <w:rPr>
      <w:sz w:val="14"/>
    </w:rPr>
  </w:style>
  <w:style w:type="character" w:styleId="Hyperlink">
    <w:name w:val="Hyperlink"/>
    <w:basedOn w:val="DefaultParagraphFont"/>
    <w:rsid w:val="00DB3032"/>
    <w:rPr>
      <w:color w:val="0000FF" w:themeColor="hyperlink"/>
      <w:u w:val="single"/>
    </w:rPr>
  </w:style>
  <w:style w:type="character" w:customStyle="1" w:styleId="QuoteChar">
    <w:name w:val="Quote Char"/>
    <w:basedOn w:val="DefaultParagraphFont"/>
    <w:link w:val="Quote"/>
    <w:rsid w:val="00EA3EF7"/>
    <w:rPr>
      <w:sz w:val="22"/>
    </w:rPr>
  </w:style>
  <w:style w:type="character" w:customStyle="1" w:styleId="Heading1Char">
    <w:name w:val="Heading 1 Char"/>
    <w:basedOn w:val="DefaultParagraphFont"/>
    <w:link w:val="Heading1"/>
    <w:rsid w:val="007D61E6"/>
    <w:rPr>
      <w:sz w:val="52"/>
    </w:rPr>
  </w:style>
  <w:style w:type="paragraph" w:customStyle="1" w:styleId="Default">
    <w:name w:val="Default"/>
    <w:rsid w:val="00EB5778"/>
    <w:pPr>
      <w:autoSpaceDE w:val="0"/>
      <w:autoSpaceDN w:val="0"/>
      <w:adjustRightInd w:val="0"/>
    </w:pPr>
    <w:rPr>
      <w:rFonts w:ascii="Arial" w:hAnsi="Arial" w:cs="Arial"/>
      <w:color w:val="000000"/>
      <w:sz w:val="24"/>
      <w:szCs w:val="24"/>
    </w:rPr>
  </w:style>
  <w:style w:type="paragraph" w:styleId="NormalWeb">
    <w:name w:val="Normal (Web)"/>
    <w:basedOn w:val="Normal"/>
    <w:rsid w:val="005F2F15"/>
  </w:style>
  <w:style w:type="character" w:customStyle="1" w:styleId="Heading2Char">
    <w:name w:val="Heading 2 Char"/>
    <w:basedOn w:val="DefaultParagraphFont"/>
    <w:link w:val="Heading2"/>
    <w:rsid w:val="001B0866"/>
    <w:rPr>
      <w:rFonts w:ascii="Arial" w:hAnsi="Arial"/>
      <w:b/>
      <w:sz w:val="32"/>
    </w:rPr>
  </w:style>
  <w:style w:type="character" w:customStyle="1" w:styleId="Heading5Char">
    <w:name w:val="Heading 5 Char"/>
    <w:basedOn w:val="DefaultParagraphFont"/>
    <w:link w:val="Heading5"/>
    <w:rsid w:val="00095E2D"/>
    <w:rPr>
      <w:rFonts w:ascii="Arial" w:hAnsi="Arial"/>
      <w:i/>
      <w:sz w:val="22"/>
    </w:rPr>
  </w:style>
  <w:style w:type="character" w:styleId="FollowedHyperlink">
    <w:name w:val="FollowedHyperlink"/>
    <w:basedOn w:val="DefaultParagraphFont"/>
    <w:rsid w:val="00C15C37"/>
    <w:rPr>
      <w:color w:val="800080" w:themeColor="followedHyperlink"/>
      <w:u w:val="single"/>
    </w:rPr>
  </w:style>
  <w:style w:type="paragraph" w:customStyle="1" w:styleId="Pa25">
    <w:name w:val="Pa25"/>
    <w:basedOn w:val="Default"/>
    <w:next w:val="Default"/>
    <w:uiPriority w:val="99"/>
    <w:rsid w:val="007F7AB5"/>
    <w:pPr>
      <w:spacing w:line="221" w:lineRule="atLeast"/>
    </w:pPr>
    <w:rPr>
      <w:rFonts w:ascii="Adobe Caslon Pro Bold" w:hAnsi="Adobe Caslon Pro Bold" w:cs="Times New Roman"/>
      <w:color w:val="auto"/>
    </w:rPr>
  </w:style>
  <w:style w:type="paragraph" w:customStyle="1" w:styleId="Pa5">
    <w:name w:val="Pa5"/>
    <w:basedOn w:val="Default"/>
    <w:next w:val="Default"/>
    <w:uiPriority w:val="99"/>
    <w:rsid w:val="007F7AB5"/>
    <w:pPr>
      <w:spacing w:line="191" w:lineRule="atLeast"/>
    </w:pPr>
    <w:rPr>
      <w:rFonts w:ascii="Adobe Caslon Pro Bold" w:hAnsi="Adobe Caslon Pro Bold" w:cs="Times New Roman"/>
      <w:color w:val="auto"/>
    </w:rPr>
  </w:style>
  <w:style w:type="paragraph" w:customStyle="1" w:styleId="Pa7">
    <w:name w:val="Pa7"/>
    <w:basedOn w:val="Default"/>
    <w:next w:val="Default"/>
    <w:uiPriority w:val="99"/>
    <w:rsid w:val="007F7AB5"/>
    <w:pPr>
      <w:spacing w:line="191" w:lineRule="atLeast"/>
    </w:pPr>
    <w:rPr>
      <w:rFonts w:ascii="Adobe Caslon Pro Bold" w:hAnsi="Adobe Caslon Pro Bold" w:cs="Times New Roman"/>
      <w:color w:val="auto"/>
    </w:rPr>
  </w:style>
  <w:style w:type="character" w:customStyle="1" w:styleId="A9">
    <w:name w:val="A9"/>
    <w:uiPriority w:val="99"/>
    <w:rsid w:val="007F7AB5"/>
    <w:rPr>
      <w:rFonts w:ascii="Adobe Caslon Pro" w:hAnsi="Adobe Caslon Pro" w:cs="Adobe Caslon Pro"/>
      <w:color w:val="000000"/>
      <w:sz w:val="19"/>
      <w:szCs w:val="19"/>
    </w:rPr>
  </w:style>
  <w:style w:type="paragraph" w:customStyle="1" w:styleId="Pa26">
    <w:name w:val="Pa26"/>
    <w:basedOn w:val="Default"/>
    <w:next w:val="Default"/>
    <w:uiPriority w:val="99"/>
    <w:rsid w:val="007F7AB5"/>
    <w:pPr>
      <w:spacing w:line="191" w:lineRule="atLeast"/>
    </w:pPr>
    <w:rPr>
      <w:rFonts w:ascii="Adobe Caslon Pro Bold" w:hAnsi="Adobe Caslon Pro Bold" w:cs="Times New Roman"/>
      <w:color w:val="auto"/>
    </w:rPr>
  </w:style>
  <w:style w:type="character" w:customStyle="1" w:styleId="Heading6Char">
    <w:name w:val="Heading 6 Char"/>
    <w:basedOn w:val="DefaultParagraphFont"/>
    <w:link w:val="Heading6"/>
    <w:rsid w:val="00127528"/>
    <w:rPr>
      <w:i/>
      <w:sz w:val="22"/>
    </w:rPr>
  </w:style>
  <w:style w:type="paragraph" w:styleId="CommentSubject">
    <w:name w:val="annotation subject"/>
    <w:basedOn w:val="CommentText"/>
    <w:next w:val="CommentText"/>
    <w:link w:val="CommentSubjectChar"/>
    <w:rsid w:val="00CF1805"/>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F1805"/>
    <w:rPr>
      <w:szCs w:val="24"/>
    </w:rPr>
  </w:style>
  <w:style w:type="character" w:customStyle="1" w:styleId="CommentSubjectChar">
    <w:name w:val="Comment Subject Char"/>
    <w:basedOn w:val="CommentTextChar"/>
    <w:link w:val="CommentSubject"/>
    <w:rsid w:val="00CF1805"/>
    <w:rPr>
      <w:b/>
      <w:bCs/>
      <w:szCs w:val="24"/>
    </w:rPr>
  </w:style>
  <w:style w:type="paragraph" w:styleId="Revision">
    <w:name w:val="Revision"/>
    <w:hidden/>
    <w:uiPriority w:val="99"/>
    <w:semiHidden/>
    <w:rsid w:val="00643054"/>
    <w:rPr>
      <w:sz w:val="26"/>
      <w:szCs w:val="24"/>
    </w:rPr>
  </w:style>
  <w:style w:type="paragraph" w:customStyle="1" w:styleId="BoxQuoteBullet">
    <w:name w:val="Box Quote Bullet"/>
    <w:basedOn w:val="BoxQuote"/>
    <w:next w:val="Box"/>
    <w:rsid w:val="00095E2D"/>
    <w:pPr>
      <w:numPr>
        <w:numId w:val="49"/>
      </w:numPr>
      <w:ind w:left="568" w:hanging="284"/>
    </w:pPr>
  </w:style>
  <w:style w:type="paragraph" w:customStyle="1" w:styleId="InformationRequestBullet">
    <w:name w:val="Information Request Bullet"/>
    <w:basedOn w:val="ListBullet"/>
    <w:next w:val="BodyText"/>
    <w:rsid w:val="00095E2D"/>
    <w:pPr>
      <w:numPr>
        <w:numId w:val="50"/>
      </w:numPr>
      <w:spacing w:before="80" w:line="280" w:lineRule="atLeast"/>
      <w:ind w:left="357" w:hanging="357"/>
    </w:pPr>
    <w:rPr>
      <w:rFonts w:ascii="Arial" w:hAnsi="Arial"/>
      <w:i/>
      <w:sz w:val="22"/>
    </w:rPr>
  </w:style>
  <w:style w:type="paragraph" w:customStyle="1" w:styleId="KeyPointsListBullet">
    <w:name w:val="Key Points List Bullet"/>
    <w:basedOn w:val="Normal"/>
    <w:qFormat/>
    <w:rsid w:val="00095E2D"/>
    <w:pPr>
      <w:keepNext/>
      <w:numPr>
        <w:numId w:val="53"/>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95E2D"/>
    <w:pPr>
      <w:numPr>
        <w:numId w:val="54"/>
      </w:numPr>
      <w:ind w:left="568" w:hanging="284"/>
    </w:pPr>
  </w:style>
  <w:style w:type="paragraph" w:customStyle="1" w:styleId="InformationRequestTitle">
    <w:name w:val="Information Request Title"/>
    <w:basedOn w:val="FindingTitle"/>
    <w:next w:val="InformationRequest"/>
    <w:rsid w:val="00095E2D"/>
    <w:rPr>
      <w:i/>
    </w:rPr>
  </w:style>
  <w:style w:type="paragraph" w:customStyle="1" w:styleId="Space">
    <w:name w:val="Space"/>
    <w:basedOn w:val="Normal"/>
    <w:rsid w:val="00095E2D"/>
    <w:pPr>
      <w:keepNext/>
      <w:spacing w:line="120" w:lineRule="exact"/>
      <w:jc w:val="both"/>
    </w:pPr>
    <w:rPr>
      <w:rFonts w:ascii="Arial" w:hAnsi="Arial"/>
      <w:sz w:val="20"/>
      <w:szCs w:val="20"/>
    </w:rPr>
  </w:style>
  <w:style w:type="paragraph" w:customStyle="1" w:styleId="Heading1nochapterno">
    <w:name w:val="Heading 1 (no chapter no.)"/>
    <w:basedOn w:val="Heading1"/>
    <w:rsid w:val="00095E2D"/>
    <w:pPr>
      <w:spacing w:before="0"/>
      <w:ind w:left="0" w:firstLine="0"/>
    </w:pPr>
  </w:style>
  <w:style w:type="paragraph" w:customStyle="1" w:styleId="Heading2nosectionno">
    <w:name w:val="Heading 2 (no section no.)"/>
    <w:basedOn w:val="Heading2"/>
    <w:rsid w:val="00095E2D"/>
    <w:pPr>
      <w:ind w:left="0" w:firstLine="0"/>
    </w:pPr>
  </w:style>
  <w:style w:type="paragraph" w:customStyle="1" w:styleId="Figurespace">
    <w:name w:val="Figure space"/>
    <w:basedOn w:val="Box"/>
    <w:rsid w:val="00095E2D"/>
    <w:pPr>
      <w:spacing w:before="0" w:line="120" w:lineRule="exact"/>
    </w:pPr>
  </w:style>
  <w:style w:type="paragraph" w:customStyle="1" w:styleId="FooterDraftReport">
    <w:name w:val="FooterDraftReport"/>
    <w:basedOn w:val="Footer"/>
    <w:link w:val="FooterDraftReportChar"/>
    <w:rsid w:val="00095E2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semiHidden/>
    <w:rsid w:val="00095E2D"/>
    <w:rPr>
      <w:rFonts w:ascii="Arial" w:hAnsi="Arial"/>
      <w:caps/>
      <w:spacing w:val="-4"/>
      <w:sz w:val="16"/>
    </w:rPr>
  </w:style>
  <w:style w:type="character" w:customStyle="1" w:styleId="FooterDraftReportChar">
    <w:name w:val="FooterDraftReport Char"/>
    <w:basedOn w:val="FooterChar"/>
    <w:link w:val="FooterDraftReport"/>
    <w:rsid w:val="00095E2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095E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095E2D"/>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9552">
      <w:bodyDiv w:val="1"/>
      <w:marLeft w:val="0"/>
      <w:marRight w:val="0"/>
      <w:marTop w:val="0"/>
      <w:marBottom w:val="0"/>
      <w:divBdr>
        <w:top w:val="none" w:sz="0" w:space="0" w:color="auto"/>
        <w:left w:val="none" w:sz="0" w:space="0" w:color="auto"/>
        <w:bottom w:val="none" w:sz="0" w:space="0" w:color="auto"/>
        <w:right w:val="none" w:sz="0" w:space="0" w:color="auto"/>
      </w:divBdr>
      <w:divsChild>
        <w:div w:id="855851293">
          <w:marLeft w:val="0"/>
          <w:marRight w:val="0"/>
          <w:marTop w:val="0"/>
          <w:marBottom w:val="0"/>
          <w:divBdr>
            <w:top w:val="none" w:sz="0" w:space="0" w:color="auto"/>
            <w:left w:val="none" w:sz="0" w:space="0" w:color="auto"/>
            <w:bottom w:val="none" w:sz="0" w:space="0" w:color="auto"/>
            <w:right w:val="none" w:sz="0" w:space="0" w:color="auto"/>
          </w:divBdr>
          <w:divsChild>
            <w:div w:id="46728237">
              <w:marLeft w:val="0"/>
              <w:marRight w:val="0"/>
              <w:marTop w:val="0"/>
              <w:marBottom w:val="0"/>
              <w:divBdr>
                <w:top w:val="none" w:sz="0" w:space="0" w:color="auto"/>
                <w:left w:val="none" w:sz="0" w:space="0" w:color="auto"/>
                <w:bottom w:val="none" w:sz="0" w:space="0" w:color="auto"/>
                <w:right w:val="none" w:sz="0" w:space="0" w:color="auto"/>
              </w:divBdr>
              <w:divsChild>
                <w:div w:id="1126893785">
                  <w:marLeft w:val="0"/>
                  <w:marRight w:val="0"/>
                  <w:marTop w:val="0"/>
                  <w:marBottom w:val="0"/>
                  <w:divBdr>
                    <w:top w:val="none" w:sz="0" w:space="0" w:color="auto"/>
                    <w:left w:val="none" w:sz="0" w:space="0" w:color="auto"/>
                    <w:bottom w:val="none" w:sz="0" w:space="0" w:color="auto"/>
                    <w:right w:val="none" w:sz="0" w:space="0" w:color="auto"/>
                  </w:divBdr>
                  <w:divsChild>
                    <w:div w:id="227151765">
                      <w:marLeft w:val="0"/>
                      <w:marRight w:val="0"/>
                      <w:marTop w:val="0"/>
                      <w:marBottom w:val="0"/>
                      <w:divBdr>
                        <w:top w:val="none" w:sz="0" w:space="0" w:color="auto"/>
                        <w:left w:val="none" w:sz="0" w:space="0" w:color="auto"/>
                        <w:bottom w:val="none" w:sz="0" w:space="0" w:color="auto"/>
                        <w:right w:val="none" w:sz="0" w:space="0" w:color="auto"/>
                      </w:divBdr>
                      <w:divsChild>
                        <w:div w:id="433982962">
                          <w:marLeft w:val="0"/>
                          <w:marRight w:val="0"/>
                          <w:marTop w:val="0"/>
                          <w:marBottom w:val="0"/>
                          <w:divBdr>
                            <w:top w:val="none" w:sz="0" w:space="0" w:color="auto"/>
                            <w:left w:val="none" w:sz="0" w:space="0" w:color="auto"/>
                            <w:bottom w:val="none" w:sz="0" w:space="0" w:color="auto"/>
                            <w:right w:val="none" w:sz="0" w:space="0" w:color="auto"/>
                          </w:divBdr>
                          <w:divsChild>
                            <w:div w:id="91135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794778">
      <w:bodyDiv w:val="1"/>
      <w:marLeft w:val="0"/>
      <w:marRight w:val="0"/>
      <w:marTop w:val="0"/>
      <w:marBottom w:val="0"/>
      <w:divBdr>
        <w:top w:val="none" w:sz="0" w:space="0" w:color="auto"/>
        <w:left w:val="none" w:sz="0" w:space="0" w:color="auto"/>
        <w:bottom w:val="none" w:sz="0" w:space="0" w:color="auto"/>
        <w:right w:val="none" w:sz="0" w:space="0" w:color="auto"/>
      </w:divBdr>
      <w:divsChild>
        <w:div w:id="848368148">
          <w:marLeft w:val="0"/>
          <w:marRight w:val="0"/>
          <w:marTop w:val="0"/>
          <w:marBottom w:val="0"/>
          <w:divBdr>
            <w:top w:val="none" w:sz="0" w:space="0" w:color="auto"/>
            <w:left w:val="none" w:sz="0" w:space="0" w:color="auto"/>
            <w:bottom w:val="none" w:sz="0" w:space="0" w:color="auto"/>
            <w:right w:val="none" w:sz="0" w:space="0" w:color="auto"/>
          </w:divBdr>
        </w:div>
      </w:divsChild>
    </w:div>
    <w:div w:id="112333789">
      <w:bodyDiv w:val="1"/>
      <w:marLeft w:val="0"/>
      <w:marRight w:val="0"/>
      <w:marTop w:val="0"/>
      <w:marBottom w:val="0"/>
      <w:divBdr>
        <w:top w:val="none" w:sz="0" w:space="0" w:color="auto"/>
        <w:left w:val="none" w:sz="0" w:space="0" w:color="auto"/>
        <w:bottom w:val="none" w:sz="0" w:space="0" w:color="auto"/>
        <w:right w:val="none" w:sz="0" w:space="0" w:color="auto"/>
      </w:divBdr>
      <w:divsChild>
        <w:div w:id="1390423857">
          <w:marLeft w:val="0"/>
          <w:marRight w:val="0"/>
          <w:marTop w:val="150"/>
          <w:marBottom w:val="0"/>
          <w:divBdr>
            <w:top w:val="none" w:sz="0" w:space="0" w:color="auto"/>
            <w:left w:val="none" w:sz="0" w:space="0" w:color="auto"/>
            <w:bottom w:val="none" w:sz="0" w:space="0" w:color="auto"/>
            <w:right w:val="none" w:sz="0" w:space="0" w:color="auto"/>
          </w:divBdr>
          <w:divsChild>
            <w:div w:id="349720684">
              <w:marLeft w:val="0"/>
              <w:marRight w:val="0"/>
              <w:marTop w:val="0"/>
              <w:marBottom w:val="0"/>
              <w:divBdr>
                <w:top w:val="none" w:sz="0" w:space="0" w:color="auto"/>
                <w:left w:val="none" w:sz="0" w:space="0" w:color="auto"/>
                <w:bottom w:val="none" w:sz="0" w:space="0" w:color="auto"/>
                <w:right w:val="none" w:sz="0" w:space="0" w:color="auto"/>
              </w:divBdr>
              <w:divsChild>
                <w:div w:id="2055544444">
                  <w:marLeft w:val="0"/>
                  <w:marRight w:val="0"/>
                  <w:marTop w:val="0"/>
                  <w:marBottom w:val="0"/>
                  <w:divBdr>
                    <w:top w:val="none" w:sz="0" w:space="0" w:color="auto"/>
                    <w:left w:val="none" w:sz="0" w:space="0" w:color="auto"/>
                    <w:bottom w:val="none" w:sz="0" w:space="0" w:color="auto"/>
                    <w:right w:val="none" w:sz="0" w:space="0" w:color="auto"/>
                  </w:divBdr>
                  <w:divsChild>
                    <w:div w:id="108318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17561">
      <w:bodyDiv w:val="1"/>
      <w:marLeft w:val="0"/>
      <w:marRight w:val="0"/>
      <w:marTop w:val="0"/>
      <w:marBottom w:val="0"/>
      <w:divBdr>
        <w:top w:val="none" w:sz="0" w:space="0" w:color="auto"/>
        <w:left w:val="none" w:sz="0" w:space="0" w:color="auto"/>
        <w:bottom w:val="none" w:sz="0" w:space="0" w:color="auto"/>
        <w:right w:val="none" w:sz="0" w:space="0" w:color="auto"/>
      </w:divBdr>
      <w:divsChild>
        <w:div w:id="1682581277">
          <w:marLeft w:val="0"/>
          <w:marRight w:val="0"/>
          <w:marTop w:val="0"/>
          <w:marBottom w:val="0"/>
          <w:divBdr>
            <w:top w:val="none" w:sz="0" w:space="0" w:color="auto"/>
            <w:left w:val="none" w:sz="0" w:space="0" w:color="auto"/>
            <w:bottom w:val="none" w:sz="0" w:space="0" w:color="auto"/>
            <w:right w:val="none" w:sz="0" w:space="0" w:color="auto"/>
          </w:divBdr>
          <w:divsChild>
            <w:div w:id="1029600020">
              <w:marLeft w:val="0"/>
              <w:marRight w:val="0"/>
              <w:marTop w:val="0"/>
              <w:marBottom w:val="0"/>
              <w:divBdr>
                <w:top w:val="none" w:sz="0" w:space="0" w:color="auto"/>
                <w:left w:val="none" w:sz="0" w:space="0" w:color="auto"/>
                <w:bottom w:val="none" w:sz="0" w:space="0" w:color="auto"/>
                <w:right w:val="none" w:sz="0" w:space="0" w:color="auto"/>
              </w:divBdr>
              <w:divsChild>
                <w:div w:id="166483839">
                  <w:marLeft w:val="0"/>
                  <w:marRight w:val="0"/>
                  <w:marTop w:val="0"/>
                  <w:marBottom w:val="0"/>
                  <w:divBdr>
                    <w:top w:val="none" w:sz="0" w:space="0" w:color="auto"/>
                    <w:left w:val="none" w:sz="0" w:space="0" w:color="auto"/>
                    <w:bottom w:val="none" w:sz="0" w:space="0" w:color="auto"/>
                    <w:right w:val="none" w:sz="0" w:space="0" w:color="auto"/>
                  </w:divBdr>
                  <w:divsChild>
                    <w:div w:id="630793959">
                      <w:marLeft w:val="0"/>
                      <w:marRight w:val="0"/>
                      <w:marTop w:val="0"/>
                      <w:marBottom w:val="0"/>
                      <w:divBdr>
                        <w:top w:val="none" w:sz="0" w:space="0" w:color="auto"/>
                        <w:left w:val="none" w:sz="0" w:space="0" w:color="auto"/>
                        <w:bottom w:val="none" w:sz="0" w:space="0" w:color="auto"/>
                        <w:right w:val="none" w:sz="0" w:space="0" w:color="auto"/>
                      </w:divBdr>
                      <w:divsChild>
                        <w:div w:id="350422127">
                          <w:marLeft w:val="0"/>
                          <w:marRight w:val="0"/>
                          <w:marTop w:val="0"/>
                          <w:marBottom w:val="0"/>
                          <w:divBdr>
                            <w:top w:val="none" w:sz="0" w:space="0" w:color="auto"/>
                            <w:left w:val="none" w:sz="0" w:space="0" w:color="auto"/>
                            <w:bottom w:val="none" w:sz="0" w:space="0" w:color="auto"/>
                            <w:right w:val="none" w:sz="0" w:space="0" w:color="auto"/>
                          </w:divBdr>
                          <w:divsChild>
                            <w:div w:id="91528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9197660">
      <w:bodyDiv w:val="1"/>
      <w:marLeft w:val="0"/>
      <w:marRight w:val="0"/>
      <w:marTop w:val="0"/>
      <w:marBottom w:val="0"/>
      <w:divBdr>
        <w:top w:val="none" w:sz="0" w:space="0" w:color="auto"/>
        <w:left w:val="none" w:sz="0" w:space="0" w:color="auto"/>
        <w:bottom w:val="none" w:sz="0" w:space="0" w:color="auto"/>
        <w:right w:val="none" w:sz="0" w:space="0" w:color="auto"/>
      </w:divBdr>
    </w:div>
    <w:div w:id="256720017">
      <w:bodyDiv w:val="1"/>
      <w:marLeft w:val="0"/>
      <w:marRight w:val="0"/>
      <w:marTop w:val="0"/>
      <w:marBottom w:val="0"/>
      <w:divBdr>
        <w:top w:val="none" w:sz="0" w:space="0" w:color="auto"/>
        <w:left w:val="none" w:sz="0" w:space="0" w:color="auto"/>
        <w:bottom w:val="none" w:sz="0" w:space="0" w:color="auto"/>
        <w:right w:val="none" w:sz="0" w:space="0" w:color="auto"/>
      </w:divBdr>
    </w:div>
    <w:div w:id="312488556">
      <w:bodyDiv w:val="1"/>
      <w:marLeft w:val="0"/>
      <w:marRight w:val="0"/>
      <w:marTop w:val="0"/>
      <w:marBottom w:val="0"/>
      <w:divBdr>
        <w:top w:val="none" w:sz="0" w:space="0" w:color="auto"/>
        <w:left w:val="none" w:sz="0" w:space="0" w:color="auto"/>
        <w:bottom w:val="none" w:sz="0" w:space="0" w:color="auto"/>
        <w:right w:val="none" w:sz="0" w:space="0" w:color="auto"/>
      </w:divBdr>
    </w:div>
    <w:div w:id="325865374">
      <w:bodyDiv w:val="1"/>
      <w:marLeft w:val="0"/>
      <w:marRight w:val="0"/>
      <w:marTop w:val="0"/>
      <w:marBottom w:val="0"/>
      <w:divBdr>
        <w:top w:val="none" w:sz="0" w:space="0" w:color="auto"/>
        <w:left w:val="none" w:sz="0" w:space="0" w:color="auto"/>
        <w:bottom w:val="none" w:sz="0" w:space="0" w:color="auto"/>
        <w:right w:val="none" w:sz="0" w:space="0" w:color="auto"/>
      </w:divBdr>
      <w:divsChild>
        <w:div w:id="1601523031">
          <w:marLeft w:val="0"/>
          <w:marRight w:val="0"/>
          <w:marTop w:val="0"/>
          <w:marBottom w:val="0"/>
          <w:divBdr>
            <w:top w:val="none" w:sz="0" w:space="0" w:color="auto"/>
            <w:left w:val="none" w:sz="0" w:space="0" w:color="auto"/>
            <w:bottom w:val="none" w:sz="0" w:space="0" w:color="auto"/>
            <w:right w:val="none" w:sz="0" w:space="0" w:color="auto"/>
          </w:divBdr>
          <w:divsChild>
            <w:div w:id="161627313">
              <w:marLeft w:val="0"/>
              <w:marRight w:val="0"/>
              <w:marTop w:val="0"/>
              <w:marBottom w:val="0"/>
              <w:divBdr>
                <w:top w:val="none" w:sz="0" w:space="0" w:color="auto"/>
                <w:left w:val="none" w:sz="0" w:space="0" w:color="auto"/>
                <w:bottom w:val="none" w:sz="0" w:space="0" w:color="auto"/>
                <w:right w:val="none" w:sz="0" w:space="0" w:color="auto"/>
              </w:divBdr>
              <w:divsChild>
                <w:div w:id="2044789967">
                  <w:marLeft w:val="0"/>
                  <w:marRight w:val="0"/>
                  <w:marTop w:val="0"/>
                  <w:marBottom w:val="0"/>
                  <w:divBdr>
                    <w:top w:val="none" w:sz="0" w:space="0" w:color="auto"/>
                    <w:left w:val="none" w:sz="0" w:space="0" w:color="auto"/>
                    <w:bottom w:val="none" w:sz="0" w:space="0" w:color="auto"/>
                    <w:right w:val="none" w:sz="0" w:space="0" w:color="auto"/>
                  </w:divBdr>
                  <w:divsChild>
                    <w:div w:id="577787256">
                      <w:marLeft w:val="0"/>
                      <w:marRight w:val="0"/>
                      <w:marTop w:val="0"/>
                      <w:marBottom w:val="0"/>
                      <w:divBdr>
                        <w:top w:val="none" w:sz="0" w:space="0" w:color="auto"/>
                        <w:left w:val="none" w:sz="0" w:space="0" w:color="auto"/>
                        <w:bottom w:val="none" w:sz="0" w:space="0" w:color="auto"/>
                        <w:right w:val="none" w:sz="0" w:space="0" w:color="auto"/>
                      </w:divBdr>
                      <w:divsChild>
                        <w:div w:id="1112437846">
                          <w:marLeft w:val="0"/>
                          <w:marRight w:val="0"/>
                          <w:marTop w:val="0"/>
                          <w:marBottom w:val="0"/>
                          <w:divBdr>
                            <w:top w:val="none" w:sz="0" w:space="0" w:color="auto"/>
                            <w:left w:val="none" w:sz="0" w:space="0" w:color="auto"/>
                            <w:bottom w:val="none" w:sz="0" w:space="0" w:color="auto"/>
                            <w:right w:val="none" w:sz="0" w:space="0" w:color="auto"/>
                          </w:divBdr>
                          <w:divsChild>
                            <w:div w:id="32914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6876714">
      <w:bodyDiv w:val="1"/>
      <w:marLeft w:val="0"/>
      <w:marRight w:val="0"/>
      <w:marTop w:val="0"/>
      <w:marBottom w:val="0"/>
      <w:divBdr>
        <w:top w:val="none" w:sz="0" w:space="0" w:color="auto"/>
        <w:left w:val="none" w:sz="0" w:space="0" w:color="auto"/>
        <w:bottom w:val="none" w:sz="0" w:space="0" w:color="auto"/>
        <w:right w:val="none" w:sz="0" w:space="0" w:color="auto"/>
      </w:divBdr>
      <w:divsChild>
        <w:div w:id="1311401638">
          <w:marLeft w:val="0"/>
          <w:marRight w:val="0"/>
          <w:marTop w:val="0"/>
          <w:marBottom w:val="0"/>
          <w:divBdr>
            <w:top w:val="none" w:sz="0" w:space="0" w:color="auto"/>
            <w:left w:val="none" w:sz="0" w:space="0" w:color="auto"/>
            <w:bottom w:val="none" w:sz="0" w:space="0" w:color="auto"/>
            <w:right w:val="none" w:sz="0" w:space="0" w:color="auto"/>
          </w:divBdr>
          <w:divsChild>
            <w:div w:id="1371606469">
              <w:marLeft w:val="0"/>
              <w:marRight w:val="0"/>
              <w:marTop w:val="0"/>
              <w:marBottom w:val="0"/>
              <w:divBdr>
                <w:top w:val="none" w:sz="0" w:space="0" w:color="auto"/>
                <w:left w:val="none" w:sz="0" w:space="0" w:color="auto"/>
                <w:bottom w:val="none" w:sz="0" w:space="0" w:color="auto"/>
                <w:right w:val="none" w:sz="0" w:space="0" w:color="auto"/>
              </w:divBdr>
              <w:divsChild>
                <w:div w:id="1541087583">
                  <w:marLeft w:val="0"/>
                  <w:marRight w:val="0"/>
                  <w:marTop w:val="0"/>
                  <w:marBottom w:val="0"/>
                  <w:divBdr>
                    <w:top w:val="none" w:sz="0" w:space="0" w:color="auto"/>
                    <w:left w:val="none" w:sz="0" w:space="0" w:color="auto"/>
                    <w:bottom w:val="none" w:sz="0" w:space="0" w:color="auto"/>
                    <w:right w:val="none" w:sz="0" w:space="0" w:color="auto"/>
                  </w:divBdr>
                  <w:divsChild>
                    <w:div w:id="1472601603">
                      <w:marLeft w:val="0"/>
                      <w:marRight w:val="0"/>
                      <w:marTop w:val="0"/>
                      <w:marBottom w:val="0"/>
                      <w:divBdr>
                        <w:top w:val="none" w:sz="0" w:space="0" w:color="auto"/>
                        <w:left w:val="none" w:sz="0" w:space="0" w:color="auto"/>
                        <w:bottom w:val="none" w:sz="0" w:space="0" w:color="auto"/>
                        <w:right w:val="none" w:sz="0" w:space="0" w:color="auto"/>
                      </w:divBdr>
                      <w:divsChild>
                        <w:div w:id="2042124119">
                          <w:marLeft w:val="0"/>
                          <w:marRight w:val="0"/>
                          <w:marTop w:val="0"/>
                          <w:marBottom w:val="0"/>
                          <w:divBdr>
                            <w:top w:val="none" w:sz="0" w:space="0" w:color="auto"/>
                            <w:left w:val="none" w:sz="0" w:space="0" w:color="auto"/>
                            <w:bottom w:val="none" w:sz="0" w:space="0" w:color="auto"/>
                            <w:right w:val="none" w:sz="0" w:space="0" w:color="auto"/>
                          </w:divBdr>
                          <w:divsChild>
                            <w:div w:id="348220547">
                              <w:marLeft w:val="0"/>
                              <w:marRight w:val="0"/>
                              <w:marTop w:val="0"/>
                              <w:marBottom w:val="0"/>
                              <w:divBdr>
                                <w:top w:val="none" w:sz="0" w:space="0" w:color="auto"/>
                                <w:left w:val="none" w:sz="0" w:space="0" w:color="auto"/>
                                <w:bottom w:val="none" w:sz="0" w:space="0" w:color="auto"/>
                                <w:right w:val="none" w:sz="0" w:space="0" w:color="auto"/>
                              </w:divBdr>
                              <w:divsChild>
                                <w:div w:id="2045861575">
                                  <w:marLeft w:val="0"/>
                                  <w:marRight w:val="0"/>
                                  <w:marTop w:val="0"/>
                                  <w:marBottom w:val="0"/>
                                  <w:divBdr>
                                    <w:top w:val="none" w:sz="0" w:space="0" w:color="auto"/>
                                    <w:left w:val="none" w:sz="0" w:space="0" w:color="auto"/>
                                    <w:bottom w:val="none" w:sz="0" w:space="0" w:color="auto"/>
                                    <w:right w:val="none" w:sz="0" w:space="0" w:color="auto"/>
                                  </w:divBdr>
                                  <w:divsChild>
                                    <w:div w:id="112978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0296041">
      <w:bodyDiv w:val="1"/>
      <w:marLeft w:val="0"/>
      <w:marRight w:val="0"/>
      <w:marTop w:val="0"/>
      <w:marBottom w:val="0"/>
      <w:divBdr>
        <w:top w:val="none" w:sz="0" w:space="0" w:color="auto"/>
        <w:left w:val="none" w:sz="0" w:space="0" w:color="auto"/>
        <w:bottom w:val="none" w:sz="0" w:space="0" w:color="auto"/>
        <w:right w:val="none" w:sz="0" w:space="0" w:color="auto"/>
      </w:divBdr>
      <w:divsChild>
        <w:div w:id="595674307">
          <w:marLeft w:val="0"/>
          <w:marRight w:val="0"/>
          <w:marTop w:val="0"/>
          <w:marBottom w:val="0"/>
          <w:divBdr>
            <w:top w:val="none" w:sz="0" w:space="0" w:color="auto"/>
            <w:left w:val="none" w:sz="0" w:space="0" w:color="auto"/>
            <w:bottom w:val="none" w:sz="0" w:space="0" w:color="auto"/>
            <w:right w:val="none" w:sz="0" w:space="0" w:color="auto"/>
          </w:divBdr>
        </w:div>
      </w:divsChild>
    </w:div>
    <w:div w:id="404769676">
      <w:bodyDiv w:val="1"/>
      <w:marLeft w:val="0"/>
      <w:marRight w:val="0"/>
      <w:marTop w:val="0"/>
      <w:marBottom w:val="0"/>
      <w:divBdr>
        <w:top w:val="none" w:sz="0" w:space="0" w:color="auto"/>
        <w:left w:val="none" w:sz="0" w:space="0" w:color="auto"/>
        <w:bottom w:val="none" w:sz="0" w:space="0" w:color="auto"/>
        <w:right w:val="none" w:sz="0" w:space="0" w:color="auto"/>
      </w:divBdr>
      <w:divsChild>
        <w:div w:id="1109466768">
          <w:marLeft w:val="0"/>
          <w:marRight w:val="0"/>
          <w:marTop w:val="150"/>
          <w:marBottom w:val="0"/>
          <w:divBdr>
            <w:top w:val="none" w:sz="0" w:space="0" w:color="auto"/>
            <w:left w:val="none" w:sz="0" w:space="0" w:color="auto"/>
            <w:bottom w:val="none" w:sz="0" w:space="0" w:color="auto"/>
            <w:right w:val="none" w:sz="0" w:space="0" w:color="auto"/>
          </w:divBdr>
          <w:divsChild>
            <w:div w:id="1848516512">
              <w:marLeft w:val="0"/>
              <w:marRight w:val="0"/>
              <w:marTop w:val="0"/>
              <w:marBottom w:val="0"/>
              <w:divBdr>
                <w:top w:val="none" w:sz="0" w:space="0" w:color="auto"/>
                <w:left w:val="none" w:sz="0" w:space="0" w:color="auto"/>
                <w:bottom w:val="none" w:sz="0" w:space="0" w:color="auto"/>
                <w:right w:val="none" w:sz="0" w:space="0" w:color="auto"/>
              </w:divBdr>
              <w:divsChild>
                <w:div w:id="1625771723">
                  <w:marLeft w:val="0"/>
                  <w:marRight w:val="0"/>
                  <w:marTop w:val="0"/>
                  <w:marBottom w:val="0"/>
                  <w:divBdr>
                    <w:top w:val="none" w:sz="0" w:space="0" w:color="auto"/>
                    <w:left w:val="none" w:sz="0" w:space="0" w:color="auto"/>
                    <w:bottom w:val="none" w:sz="0" w:space="0" w:color="auto"/>
                    <w:right w:val="none" w:sz="0" w:space="0" w:color="auto"/>
                  </w:divBdr>
                  <w:divsChild>
                    <w:div w:id="131487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124172">
      <w:bodyDiv w:val="1"/>
      <w:marLeft w:val="0"/>
      <w:marRight w:val="0"/>
      <w:marTop w:val="0"/>
      <w:marBottom w:val="0"/>
      <w:divBdr>
        <w:top w:val="none" w:sz="0" w:space="0" w:color="auto"/>
        <w:left w:val="none" w:sz="0" w:space="0" w:color="auto"/>
        <w:bottom w:val="none" w:sz="0" w:space="0" w:color="auto"/>
        <w:right w:val="none" w:sz="0" w:space="0" w:color="auto"/>
      </w:divBdr>
    </w:div>
    <w:div w:id="552277210">
      <w:bodyDiv w:val="1"/>
      <w:marLeft w:val="0"/>
      <w:marRight w:val="0"/>
      <w:marTop w:val="0"/>
      <w:marBottom w:val="0"/>
      <w:divBdr>
        <w:top w:val="none" w:sz="0" w:space="0" w:color="auto"/>
        <w:left w:val="none" w:sz="0" w:space="0" w:color="auto"/>
        <w:bottom w:val="none" w:sz="0" w:space="0" w:color="auto"/>
        <w:right w:val="none" w:sz="0" w:space="0" w:color="auto"/>
      </w:divBdr>
      <w:divsChild>
        <w:div w:id="878981394">
          <w:marLeft w:val="0"/>
          <w:marRight w:val="0"/>
          <w:marTop w:val="0"/>
          <w:marBottom w:val="0"/>
          <w:divBdr>
            <w:top w:val="none" w:sz="0" w:space="0" w:color="auto"/>
            <w:left w:val="none" w:sz="0" w:space="0" w:color="auto"/>
            <w:bottom w:val="none" w:sz="0" w:space="0" w:color="auto"/>
            <w:right w:val="none" w:sz="0" w:space="0" w:color="auto"/>
          </w:divBdr>
        </w:div>
      </w:divsChild>
    </w:div>
    <w:div w:id="582181075">
      <w:bodyDiv w:val="1"/>
      <w:marLeft w:val="0"/>
      <w:marRight w:val="0"/>
      <w:marTop w:val="0"/>
      <w:marBottom w:val="0"/>
      <w:divBdr>
        <w:top w:val="none" w:sz="0" w:space="0" w:color="auto"/>
        <w:left w:val="none" w:sz="0" w:space="0" w:color="auto"/>
        <w:bottom w:val="none" w:sz="0" w:space="0" w:color="auto"/>
        <w:right w:val="none" w:sz="0" w:space="0" w:color="auto"/>
      </w:divBdr>
    </w:div>
    <w:div w:id="610477544">
      <w:bodyDiv w:val="1"/>
      <w:marLeft w:val="0"/>
      <w:marRight w:val="0"/>
      <w:marTop w:val="0"/>
      <w:marBottom w:val="0"/>
      <w:divBdr>
        <w:top w:val="none" w:sz="0" w:space="0" w:color="auto"/>
        <w:left w:val="none" w:sz="0" w:space="0" w:color="auto"/>
        <w:bottom w:val="none" w:sz="0" w:space="0" w:color="auto"/>
        <w:right w:val="none" w:sz="0" w:space="0" w:color="auto"/>
      </w:divBdr>
      <w:divsChild>
        <w:div w:id="627013935">
          <w:marLeft w:val="0"/>
          <w:marRight w:val="0"/>
          <w:marTop w:val="0"/>
          <w:marBottom w:val="0"/>
          <w:divBdr>
            <w:top w:val="none" w:sz="0" w:space="0" w:color="auto"/>
            <w:left w:val="none" w:sz="0" w:space="0" w:color="auto"/>
            <w:bottom w:val="none" w:sz="0" w:space="0" w:color="auto"/>
            <w:right w:val="none" w:sz="0" w:space="0" w:color="auto"/>
          </w:divBdr>
          <w:divsChild>
            <w:div w:id="1470050288">
              <w:marLeft w:val="0"/>
              <w:marRight w:val="0"/>
              <w:marTop w:val="0"/>
              <w:marBottom w:val="0"/>
              <w:divBdr>
                <w:top w:val="none" w:sz="0" w:space="0" w:color="auto"/>
                <w:left w:val="none" w:sz="0" w:space="0" w:color="auto"/>
                <w:bottom w:val="none" w:sz="0" w:space="0" w:color="auto"/>
                <w:right w:val="none" w:sz="0" w:space="0" w:color="auto"/>
              </w:divBdr>
              <w:divsChild>
                <w:div w:id="683289175">
                  <w:marLeft w:val="0"/>
                  <w:marRight w:val="0"/>
                  <w:marTop w:val="0"/>
                  <w:marBottom w:val="0"/>
                  <w:divBdr>
                    <w:top w:val="none" w:sz="0" w:space="0" w:color="auto"/>
                    <w:left w:val="none" w:sz="0" w:space="0" w:color="auto"/>
                    <w:bottom w:val="none" w:sz="0" w:space="0" w:color="auto"/>
                    <w:right w:val="none" w:sz="0" w:space="0" w:color="auto"/>
                  </w:divBdr>
                  <w:divsChild>
                    <w:div w:id="697196305">
                      <w:marLeft w:val="0"/>
                      <w:marRight w:val="0"/>
                      <w:marTop w:val="0"/>
                      <w:marBottom w:val="0"/>
                      <w:divBdr>
                        <w:top w:val="none" w:sz="0" w:space="0" w:color="auto"/>
                        <w:left w:val="none" w:sz="0" w:space="0" w:color="auto"/>
                        <w:bottom w:val="none" w:sz="0" w:space="0" w:color="auto"/>
                        <w:right w:val="none" w:sz="0" w:space="0" w:color="auto"/>
                      </w:divBdr>
                      <w:divsChild>
                        <w:div w:id="1559125436">
                          <w:marLeft w:val="0"/>
                          <w:marRight w:val="0"/>
                          <w:marTop w:val="0"/>
                          <w:marBottom w:val="0"/>
                          <w:divBdr>
                            <w:top w:val="none" w:sz="0" w:space="0" w:color="auto"/>
                            <w:left w:val="none" w:sz="0" w:space="0" w:color="auto"/>
                            <w:bottom w:val="none" w:sz="0" w:space="0" w:color="auto"/>
                            <w:right w:val="none" w:sz="0" w:space="0" w:color="auto"/>
                          </w:divBdr>
                          <w:divsChild>
                            <w:div w:id="174012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3079286">
      <w:bodyDiv w:val="1"/>
      <w:marLeft w:val="0"/>
      <w:marRight w:val="0"/>
      <w:marTop w:val="0"/>
      <w:marBottom w:val="0"/>
      <w:divBdr>
        <w:top w:val="none" w:sz="0" w:space="0" w:color="auto"/>
        <w:left w:val="none" w:sz="0" w:space="0" w:color="auto"/>
        <w:bottom w:val="none" w:sz="0" w:space="0" w:color="auto"/>
        <w:right w:val="none" w:sz="0" w:space="0" w:color="auto"/>
      </w:divBdr>
    </w:div>
    <w:div w:id="647172753">
      <w:bodyDiv w:val="1"/>
      <w:marLeft w:val="0"/>
      <w:marRight w:val="0"/>
      <w:marTop w:val="0"/>
      <w:marBottom w:val="0"/>
      <w:divBdr>
        <w:top w:val="none" w:sz="0" w:space="0" w:color="auto"/>
        <w:left w:val="none" w:sz="0" w:space="0" w:color="auto"/>
        <w:bottom w:val="none" w:sz="0" w:space="0" w:color="auto"/>
        <w:right w:val="none" w:sz="0" w:space="0" w:color="auto"/>
      </w:divBdr>
      <w:divsChild>
        <w:div w:id="333805017">
          <w:marLeft w:val="0"/>
          <w:marRight w:val="0"/>
          <w:marTop w:val="150"/>
          <w:marBottom w:val="0"/>
          <w:divBdr>
            <w:top w:val="none" w:sz="0" w:space="0" w:color="auto"/>
            <w:left w:val="none" w:sz="0" w:space="0" w:color="auto"/>
            <w:bottom w:val="none" w:sz="0" w:space="0" w:color="auto"/>
            <w:right w:val="none" w:sz="0" w:space="0" w:color="auto"/>
          </w:divBdr>
          <w:divsChild>
            <w:div w:id="791746352">
              <w:marLeft w:val="0"/>
              <w:marRight w:val="0"/>
              <w:marTop w:val="0"/>
              <w:marBottom w:val="0"/>
              <w:divBdr>
                <w:top w:val="none" w:sz="0" w:space="0" w:color="auto"/>
                <w:left w:val="none" w:sz="0" w:space="0" w:color="auto"/>
                <w:bottom w:val="none" w:sz="0" w:space="0" w:color="auto"/>
                <w:right w:val="none" w:sz="0" w:space="0" w:color="auto"/>
              </w:divBdr>
              <w:divsChild>
                <w:div w:id="345791205">
                  <w:marLeft w:val="0"/>
                  <w:marRight w:val="0"/>
                  <w:marTop w:val="0"/>
                  <w:marBottom w:val="0"/>
                  <w:divBdr>
                    <w:top w:val="none" w:sz="0" w:space="0" w:color="auto"/>
                    <w:left w:val="none" w:sz="0" w:space="0" w:color="auto"/>
                    <w:bottom w:val="none" w:sz="0" w:space="0" w:color="auto"/>
                    <w:right w:val="none" w:sz="0" w:space="0" w:color="auto"/>
                  </w:divBdr>
                  <w:divsChild>
                    <w:div w:id="135707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644824">
      <w:bodyDiv w:val="1"/>
      <w:marLeft w:val="0"/>
      <w:marRight w:val="0"/>
      <w:marTop w:val="0"/>
      <w:marBottom w:val="0"/>
      <w:divBdr>
        <w:top w:val="none" w:sz="0" w:space="0" w:color="auto"/>
        <w:left w:val="none" w:sz="0" w:space="0" w:color="auto"/>
        <w:bottom w:val="none" w:sz="0" w:space="0" w:color="auto"/>
        <w:right w:val="none" w:sz="0" w:space="0" w:color="auto"/>
      </w:divBdr>
      <w:divsChild>
        <w:div w:id="2068798655">
          <w:marLeft w:val="0"/>
          <w:marRight w:val="0"/>
          <w:marTop w:val="0"/>
          <w:marBottom w:val="0"/>
          <w:divBdr>
            <w:top w:val="none" w:sz="0" w:space="0" w:color="auto"/>
            <w:left w:val="none" w:sz="0" w:space="0" w:color="auto"/>
            <w:bottom w:val="none" w:sz="0" w:space="0" w:color="auto"/>
            <w:right w:val="none" w:sz="0" w:space="0" w:color="auto"/>
          </w:divBdr>
          <w:divsChild>
            <w:div w:id="513957698">
              <w:marLeft w:val="0"/>
              <w:marRight w:val="0"/>
              <w:marTop w:val="0"/>
              <w:marBottom w:val="0"/>
              <w:divBdr>
                <w:top w:val="none" w:sz="0" w:space="0" w:color="auto"/>
                <w:left w:val="none" w:sz="0" w:space="0" w:color="auto"/>
                <w:bottom w:val="none" w:sz="0" w:space="0" w:color="auto"/>
                <w:right w:val="none" w:sz="0" w:space="0" w:color="auto"/>
              </w:divBdr>
              <w:divsChild>
                <w:div w:id="1922443905">
                  <w:marLeft w:val="0"/>
                  <w:marRight w:val="0"/>
                  <w:marTop w:val="0"/>
                  <w:marBottom w:val="0"/>
                  <w:divBdr>
                    <w:top w:val="none" w:sz="0" w:space="0" w:color="auto"/>
                    <w:left w:val="none" w:sz="0" w:space="0" w:color="auto"/>
                    <w:bottom w:val="none" w:sz="0" w:space="0" w:color="auto"/>
                    <w:right w:val="none" w:sz="0" w:space="0" w:color="auto"/>
                  </w:divBdr>
                  <w:divsChild>
                    <w:div w:id="30423624">
                      <w:marLeft w:val="0"/>
                      <w:marRight w:val="0"/>
                      <w:marTop w:val="0"/>
                      <w:marBottom w:val="0"/>
                      <w:divBdr>
                        <w:top w:val="none" w:sz="0" w:space="0" w:color="auto"/>
                        <w:left w:val="none" w:sz="0" w:space="0" w:color="auto"/>
                        <w:bottom w:val="none" w:sz="0" w:space="0" w:color="auto"/>
                        <w:right w:val="none" w:sz="0" w:space="0" w:color="auto"/>
                      </w:divBdr>
                      <w:divsChild>
                        <w:div w:id="731195652">
                          <w:marLeft w:val="0"/>
                          <w:marRight w:val="0"/>
                          <w:marTop w:val="0"/>
                          <w:marBottom w:val="0"/>
                          <w:divBdr>
                            <w:top w:val="none" w:sz="0" w:space="0" w:color="auto"/>
                            <w:left w:val="none" w:sz="0" w:space="0" w:color="auto"/>
                            <w:bottom w:val="none" w:sz="0" w:space="0" w:color="auto"/>
                            <w:right w:val="none" w:sz="0" w:space="0" w:color="auto"/>
                          </w:divBdr>
                          <w:divsChild>
                            <w:div w:id="97637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7117779">
      <w:bodyDiv w:val="1"/>
      <w:marLeft w:val="0"/>
      <w:marRight w:val="0"/>
      <w:marTop w:val="0"/>
      <w:marBottom w:val="0"/>
      <w:divBdr>
        <w:top w:val="none" w:sz="0" w:space="0" w:color="auto"/>
        <w:left w:val="none" w:sz="0" w:space="0" w:color="auto"/>
        <w:bottom w:val="none" w:sz="0" w:space="0" w:color="auto"/>
        <w:right w:val="none" w:sz="0" w:space="0" w:color="auto"/>
      </w:divBdr>
      <w:divsChild>
        <w:div w:id="29382436">
          <w:marLeft w:val="0"/>
          <w:marRight w:val="0"/>
          <w:marTop w:val="150"/>
          <w:marBottom w:val="0"/>
          <w:divBdr>
            <w:top w:val="none" w:sz="0" w:space="0" w:color="auto"/>
            <w:left w:val="none" w:sz="0" w:space="0" w:color="auto"/>
            <w:bottom w:val="none" w:sz="0" w:space="0" w:color="auto"/>
            <w:right w:val="none" w:sz="0" w:space="0" w:color="auto"/>
          </w:divBdr>
          <w:divsChild>
            <w:div w:id="1284266948">
              <w:marLeft w:val="0"/>
              <w:marRight w:val="0"/>
              <w:marTop w:val="0"/>
              <w:marBottom w:val="0"/>
              <w:divBdr>
                <w:top w:val="none" w:sz="0" w:space="0" w:color="auto"/>
                <w:left w:val="none" w:sz="0" w:space="0" w:color="auto"/>
                <w:bottom w:val="none" w:sz="0" w:space="0" w:color="auto"/>
                <w:right w:val="none" w:sz="0" w:space="0" w:color="auto"/>
              </w:divBdr>
              <w:divsChild>
                <w:div w:id="1901555785">
                  <w:marLeft w:val="0"/>
                  <w:marRight w:val="0"/>
                  <w:marTop w:val="0"/>
                  <w:marBottom w:val="0"/>
                  <w:divBdr>
                    <w:top w:val="none" w:sz="0" w:space="0" w:color="auto"/>
                    <w:left w:val="none" w:sz="0" w:space="0" w:color="auto"/>
                    <w:bottom w:val="none" w:sz="0" w:space="0" w:color="auto"/>
                    <w:right w:val="none" w:sz="0" w:space="0" w:color="auto"/>
                  </w:divBdr>
                  <w:divsChild>
                    <w:div w:id="207874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307709">
      <w:bodyDiv w:val="1"/>
      <w:marLeft w:val="0"/>
      <w:marRight w:val="0"/>
      <w:marTop w:val="0"/>
      <w:marBottom w:val="0"/>
      <w:divBdr>
        <w:top w:val="none" w:sz="0" w:space="0" w:color="auto"/>
        <w:left w:val="none" w:sz="0" w:space="0" w:color="auto"/>
        <w:bottom w:val="none" w:sz="0" w:space="0" w:color="auto"/>
        <w:right w:val="none" w:sz="0" w:space="0" w:color="auto"/>
      </w:divBdr>
      <w:divsChild>
        <w:div w:id="1302228063">
          <w:marLeft w:val="0"/>
          <w:marRight w:val="0"/>
          <w:marTop w:val="150"/>
          <w:marBottom w:val="0"/>
          <w:divBdr>
            <w:top w:val="none" w:sz="0" w:space="0" w:color="auto"/>
            <w:left w:val="none" w:sz="0" w:space="0" w:color="auto"/>
            <w:bottom w:val="none" w:sz="0" w:space="0" w:color="auto"/>
            <w:right w:val="none" w:sz="0" w:space="0" w:color="auto"/>
          </w:divBdr>
          <w:divsChild>
            <w:div w:id="1483767215">
              <w:marLeft w:val="0"/>
              <w:marRight w:val="0"/>
              <w:marTop w:val="0"/>
              <w:marBottom w:val="0"/>
              <w:divBdr>
                <w:top w:val="none" w:sz="0" w:space="0" w:color="auto"/>
                <w:left w:val="none" w:sz="0" w:space="0" w:color="auto"/>
                <w:bottom w:val="none" w:sz="0" w:space="0" w:color="auto"/>
                <w:right w:val="none" w:sz="0" w:space="0" w:color="auto"/>
              </w:divBdr>
              <w:divsChild>
                <w:div w:id="40524899">
                  <w:marLeft w:val="0"/>
                  <w:marRight w:val="0"/>
                  <w:marTop w:val="0"/>
                  <w:marBottom w:val="0"/>
                  <w:divBdr>
                    <w:top w:val="none" w:sz="0" w:space="0" w:color="auto"/>
                    <w:left w:val="none" w:sz="0" w:space="0" w:color="auto"/>
                    <w:bottom w:val="none" w:sz="0" w:space="0" w:color="auto"/>
                    <w:right w:val="none" w:sz="0" w:space="0" w:color="auto"/>
                  </w:divBdr>
                  <w:divsChild>
                    <w:div w:id="120063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841710">
      <w:bodyDiv w:val="1"/>
      <w:marLeft w:val="0"/>
      <w:marRight w:val="0"/>
      <w:marTop w:val="0"/>
      <w:marBottom w:val="0"/>
      <w:divBdr>
        <w:top w:val="none" w:sz="0" w:space="0" w:color="auto"/>
        <w:left w:val="none" w:sz="0" w:space="0" w:color="auto"/>
        <w:bottom w:val="none" w:sz="0" w:space="0" w:color="auto"/>
        <w:right w:val="none" w:sz="0" w:space="0" w:color="auto"/>
      </w:divBdr>
      <w:divsChild>
        <w:div w:id="1192718018">
          <w:marLeft w:val="0"/>
          <w:marRight w:val="0"/>
          <w:marTop w:val="150"/>
          <w:marBottom w:val="0"/>
          <w:divBdr>
            <w:top w:val="none" w:sz="0" w:space="0" w:color="auto"/>
            <w:left w:val="none" w:sz="0" w:space="0" w:color="auto"/>
            <w:bottom w:val="none" w:sz="0" w:space="0" w:color="auto"/>
            <w:right w:val="none" w:sz="0" w:space="0" w:color="auto"/>
          </w:divBdr>
          <w:divsChild>
            <w:div w:id="1385986792">
              <w:marLeft w:val="0"/>
              <w:marRight w:val="0"/>
              <w:marTop w:val="0"/>
              <w:marBottom w:val="0"/>
              <w:divBdr>
                <w:top w:val="none" w:sz="0" w:space="0" w:color="auto"/>
                <w:left w:val="none" w:sz="0" w:space="0" w:color="auto"/>
                <w:bottom w:val="none" w:sz="0" w:space="0" w:color="auto"/>
                <w:right w:val="none" w:sz="0" w:space="0" w:color="auto"/>
              </w:divBdr>
              <w:divsChild>
                <w:div w:id="531773760">
                  <w:marLeft w:val="0"/>
                  <w:marRight w:val="0"/>
                  <w:marTop w:val="0"/>
                  <w:marBottom w:val="0"/>
                  <w:divBdr>
                    <w:top w:val="none" w:sz="0" w:space="0" w:color="auto"/>
                    <w:left w:val="none" w:sz="0" w:space="0" w:color="auto"/>
                    <w:bottom w:val="none" w:sz="0" w:space="0" w:color="auto"/>
                    <w:right w:val="none" w:sz="0" w:space="0" w:color="auto"/>
                  </w:divBdr>
                  <w:divsChild>
                    <w:div w:id="17985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376590">
      <w:bodyDiv w:val="1"/>
      <w:marLeft w:val="0"/>
      <w:marRight w:val="0"/>
      <w:marTop w:val="0"/>
      <w:marBottom w:val="0"/>
      <w:divBdr>
        <w:top w:val="none" w:sz="0" w:space="0" w:color="auto"/>
        <w:left w:val="none" w:sz="0" w:space="0" w:color="auto"/>
        <w:bottom w:val="none" w:sz="0" w:space="0" w:color="auto"/>
        <w:right w:val="none" w:sz="0" w:space="0" w:color="auto"/>
      </w:divBdr>
    </w:div>
    <w:div w:id="1021590432">
      <w:bodyDiv w:val="1"/>
      <w:marLeft w:val="0"/>
      <w:marRight w:val="0"/>
      <w:marTop w:val="0"/>
      <w:marBottom w:val="0"/>
      <w:divBdr>
        <w:top w:val="none" w:sz="0" w:space="0" w:color="auto"/>
        <w:left w:val="none" w:sz="0" w:space="0" w:color="auto"/>
        <w:bottom w:val="none" w:sz="0" w:space="0" w:color="auto"/>
        <w:right w:val="none" w:sz="0" w:space="0" w:color="auto"/>
      </w:divBdr>
    </w:div>
    <w:div w:id="1098017731">
      <w:bodyDiv w:val="1"/>
      <w:marLeft w:val="0"/>
      <w:marRight w:val="0"/>
      <w:marTop w:val="0"/>
      <w:marBottom w:val="0"/>
      <w:divBdr>
        <w:top w:val="none" w:sz="0" w:space="0" w:color="auto"/>
        <w:left w:val="none" w:sz="0" w:space="0" w:color="auto"/>
        <w:bottom w:val="none" w:sz="0" w:space="0" w:color="auto"/>
        <w:right w:val="none" w:sz="0" w:space="0" w:color="auto"/>
      </w:divBdr>
      <w:divsChild>
        <w:div w:id="165487550">
          <w:marLeft w:val="0"/>
          <w:marRight w:val="0"/>
          <w:marTop w:val="150"/>
          <w:marBottom w:val="0"/>
          <w:divBdr>
            <w:top w:val="none" w:sz="0" w:space="0" w:color="auto"/>
            <w:left w:val="none" w:sz="0" w:space="0" w:color="auto"/>
            <w:bottom w:val="none" w:sz="0" w:space="0" w:color="auto"/>
            <w:right w:val="none" w:sz="0" w:space="0" w:color="auto"/>
          </w:divBdr>
          <w:divsChild>
            <w:div w:id="1752312094">
              <w:marLeft w:val="0"/>
              <w:marRight w:val="0"/>
              <w:marTop w:val="0"/>
              <w:marBottom w:val="0"/>
              <w:divBdr>
                <w:top w:val="none" w:sz="0" w:space="0" w:color="auto"/>
                <w:left w:val="none" w:sz="0" w:space="0" w:color="auto"/>
                <w:bottom w:val="none" w:sz="0" w:space="0" w:color="auto"/>
                <w:right w:val="none" w:sz="0" w:space="0" w:color="auto"/>
              </w:divBdr>
              <w:divsChild>
                <w:div w:id="1791583805">
                  <w:marLeft w:val="0"/>
                  <w:marRight w:val="0"/>
                  <w:marTop w:val="0"/>
                  <w:marBottom w:val="0"/>
                  <w:divBdr>
                    <w:top w:val="none" w:sz="0" w:space="0" w:color="auto"/>
                    <w:left w:val="none" w:sz="0" w:space="0" w:color="auto"/>
                    <w:bottom w:val="none" w:sz="0" w:space="0" w:color="auto"/>
                    <w:right w:val="none" w:sz="0" w:space="0" w:color="auto"/>
                  </w:divBdr>
                  <w:divsChild>
                    <w:div w:id="11410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682559">
      <w:bodyDiv w:val="1"/>
      <w:marLeft w:val="0"/>
      <w:marRight w:val="0"/>
      <w:marTop w:val="0"/>
      <w:marBottom w:val="0"/>
      <w:divBdr>
        <w:top w:val="none" w:sz="0" w:space="0" w:color="auto"/>
        <w:left w:val="none" w:sz="0" w:space="0" w:color="auto"/>
        <w:bottom w:val="none" w:sz="0" w:space="0" w:color="auto"/>
        <w:right w:val="none" w:sz="0" w:space="0" w:color="auto"/>
      </w:divBdr>
      <w:divsChild>
        <w:div w:id="1867329318">
          <w:marLeft w:val="0"/>
          <w:marRight w:val="0"/>
          <w:marTop w:val="0"/>
          <w:marBottom w:val="0"/>
          <w:divBdr>
            <w:top w:val="none" w:sz="0" w:space="0" w:color="auto"/>
            <w:left w:val="none" w:sz="0" w:space="0" w:color="auto"/>
            <w:bottom w:val="none" w:sz="0" w:space="0" w:color="auto"/>
            <w:right w:val="none" w:sz="0" w:space="0" w:color="auto"/>
          </w:divBdr>
          <w:divsChild>
            <w:div w:id="1583222468">
              <w:marLeft w:val="0"/>
              <w:marRight w:val="0"/>
              <w:marTop w:val="0"/>
              <w:marBottom w:val="0"/>
              <w:divBdr>
                <w:top w:val="none" w:sz="0" w:space="0" w:color="auto"/>
                <w:left w:val="none" w:sz="0" w:space="0" w:color="auto"/>
                <w:bottom w:val="none" w:sz="0" w:space="0" w:color="auto"/>
                <w:right w:val="none" w:sz="0" w:space="0" w:color="auto"/>
              </w:divBdr>
              <w:divsChild>
                <w:div w:id="1910579074">
                  <w:marLeft w:val="0"/>
                  <w:marRight w:val="0"/>
                  <w:marTop w:val="0"/>
                  <w:marBottom w:val="0"/>
                  <w:divBdr>
                    <w:top w:val="none" w:sz="0" w:space="0" w:color="auto"/>
                    <w:left w:val="none" w:sz="0" w:space="0" w:color="auto"/>
                    <w:bottom w:val="none" w:sz="0" w:space="0" w:color="auto"/>
                    <w:right w:val="none" w:sz="0" w:space="0" w:color="auto"/>
                  </w:divBdr>
                  <w:divsChild>
                    <w:div w:id="328601681">
                      <w:marLeft w:val="0"/>
                      <w:marRight w:val="0"/>
                      <w:marTop w:val="0"/>
                      <w:marBottom w:val="0"/>
                      <w:divBdr>
                        <w:top w:val="none" w:sz="0" w:space="0" w:color="auto"/>
                        <w:left w:val="none" w:sz="0" w:space="0" w:color="auto"/>
                        <w:bottom w:val="none" w:sz="0" w:space="0" w:color="auto"/>
                        <w:right w:val="none" w:sz="0" w:space="0" w:color="auto"/>
                      </w:divBdr>
                      <w:divsChild>
                        <w:div w:id="1518501220">
                          <w:marLeft w:val="0"/>
                          <w:marRight w:val="0"/>
                          <w:marTop w:val="0"/>
                          <w:marBottom w:val="0"/>
                          <w:divBdr>
                            <w:top w:val="none" w:sz="0" w:space="0" w:color="auto"/>
                            <w:left w:val="none" w:sz="0" w:space="0" w:color="auto"/>
                            <w:bottom w:val="none" w:sz="0" w:space="0" w:color="auto"/>
                            <w:right w:val="none" w:sz="0" w:space="0" w:color="auto"/>
                          </w:divBdr>
                          <w:divsChild>
                            <w:div w:id="133491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5988231">
      <w:bodyDiv w:val="1"/>
      <w:marLeft w:val="0"/>
      <w:marRight w:val="0"/>
      <w:marTop w:val="0"/>
      <w:marBottom w:val="0"/>
      <w:divBdr>
        <w:top w:val="none" w:sz="0" w:space="0" w:color="auto"/>
        <w:left w:val="none" w:sz="0" w:space="0" w:color="auto"/>
        <w:bottom w:val="none" w:sz="0" w:space="0" w:color="auto"/>
        <w:right w:val="none" w:sz="0" w:space="0" w:color="auto"/>
      </w:divBdr>
      <w:divsChild>
        <w:div w:id="261187456">
          <w:marLeft w:val="0"/>
          <w:marRight w:val="0"/>
          <w:marTop w:val="0"/>
          <w:marBottom w:val="0"/>
          <w:divBdr>
            <w:top w:val="none" w:sz="0" w:space="0" w:color="auto"/>
            <w:left w:val="none" w:sz="0" w:space="0" w:color="auto"/>
            <w:bottom w:val="none" w:sz="0" w:space="0" w:color="auto"/>
            <w:right w:val="none" w:sz="0" w:space="0" w:color="auto"/>
          </w:divBdr>
          <w:divsChild>
            <w:div w:id="1279215438">
              <w:marLeft w:val="0"/>
              <w:marRight w:val="0"/>
              <w:marTop w:val="0"/>
              <w:marBottom w:val="0"/>
              <w:divBdr>
                <w:top w:val="none" w:sz="0" w:space="0" w:color="auto"/>
                <w:left w:val="none" w:sz="0" w:space="0" w:color="auto"/>
                <w:bottom w:val="none" w:sz="0" w:space="0" w:color="auto"/>
                <w:right w:val="none" w:sz="0" w:space="0" w:color="auto"/>
              </w:divBdr>
              <w:divsChild>
                <w:div w:id="927273874">
                  <w:marLeft w:val="0"/>
                  <w:marRight w:val="0"/>
                  <w:marTop w:val="0"/>
                  <w:marBottom w:val="0"/>
                  <w:divBdr>
                    <w:top w:val="none" w:sz="0" w:space="0" w:color="auto"/>
                    <w:left w:val="none" w:sz="0" w:space="0" w:color="auto"/>
                    <w:bottom w:val="none" w:sz="0" w:space="0" w:color="auto"/>
                    <w:right w:val="none" w:sz="0" w:space="0" w:color="auto"/>
                  </w:divBdr>
                  <w:divsChild>
                    <w:div w:id="2094275067">
                      <w:marLeft w:val="0"/>
                      <w:marRight w:val="0"/>
                      <w:marTop w:val="0"/>
                      <w:marBottom w:val="0"/>
                      <w:divBdr>
                        <w:top w:val="none" w:sz="0" w:space="0" w:color="auto"/>
                        <w:left w:val="none" w:sz="0" w:space="0" w:color="auto"/>
                        <w:bottom w:val="none" w:sz="0" w:space="0" w:color="auto"/>
                        <w:right w:val="none" w:sz="0" w:space="0" w:color="auto"/>
                      </w:divBdr>
                      <w:divsChild>
                        <w:div w:id="774249007">
                          <w:marLeft w:val="0"/>
                          <w:marRight w:val="0"/>
                          <w:marTop w:val="0"/>
                          <w:marBottom w:val="0"/>
                          <w:divBdr>
                            <w:top w:val="none" w:sz="0" w:space="0" w:color="auto"/>
                            <w:left w:val="none" w:sz="0" w:space="0" w:color="auto"/>
                            <w:bottom w:val="none" w:sz="0" w:space="0" w:color="auto"/>
                            <w:right w:val="none" w:sz="0" w:space="0" w:color="auto"/>
                          </w:divBdr>
                          <w:divsChild>
                            <w:div w:id="165715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9004526">
      <w:bodyDiv w:val="1"/>
      <w:marLeft w:val="0"/>
      <w:marRight w:val="0"/>
      <w:marTop w:val="0"/>
      <w:marBottom w:val="0"/>
      <w:divBdr>
        <w:top w:val="none" w:sz="0" w:space="0" w:color="auto"/>
        <w:left w:val="none" w:sz="0" w:space="0" w:color="auto"/>
        <w:bottom w:val="none" w:sz="0" w:space="0" w:color="auto"/>
        <w:right w:val="none" w:sz="0" w:space="0" w:color="auto"/>
      </w:divBdr>
      <w:divsChild>
        <w:div w:id="185024602">
          <w:marLeft w:val="0"/>
          <w:marRight w:val="0"/>
          <w:marTop w:val="0"/>
          <w:marBottom w:val="0"/>
          <w:divBdr>
            <w:top w:val="none" w:sz="0" w:space="0" w:color="auto"/>
            <w:left w:val="none" w:sz="0" w:space="0" w:color="auto"/>
            <w:bottom w:val="none" w:sz="0" w:space="0" w:color="auto"/>
            <w:right w:val="none" w:sz="0" w:space="0" w:color="auto"/>
          </w:divBdr>
          <w:divsChild>
            <w:div w:id="652639154">
              <w:marLeft w:val="0"/>
              <w:marRight w:val="0"/>
              <w:marTop w:val="0"/>
              <w:marBottom w:val="0"/>
              <w:divBdr>
                <w:top w:val="none" w:sz="0" w:space="0" w:color="auto"/>
                <w:left w:val="none" w:sz="0" w:space="0" w:color="auto"/>
                <w:bottom w:val="none" w:sz="0" w:space="0" w:color="auto"/>
                <w:right w:val="none" w:sz="0" w:space="0" w:color="auto"/>
              </w:divBdr>
              <w:divsChild>
                <w:div w:id="882208583">
                  <w:marLeft w:val="0"/>
                  <w:marRight w:val="0"/>
                  <w:marTop w:val="0"/>
                  <w:marBottom w:val="0"/>
                  <w:divBdr>
                    <w:top w:val="none" w:sz="0" w:space="0" w:color="auto"/>
                    <w:left w:val="none" w:sz="0" w:space="0" w:color="auto"/>
                    <w:bottom w:val="none" w:sz="0" w:space="0" w:color="auto"/>
                    <w:right w:val="none" w:sz="0" w:space="0" w:color="auto"/>
                  </w:divBdr>
                  <w:divsChild>
                    <w:div w:id="1863397220">
                      <w:marLeft w:val="0"/>
                      <w:marRight w:val="0"/>
                      <w:marTop w:val="0"/>
                      <w:marBottom w:val="0"/>
                      <w:divBdr>
                        <w:top w:val="none" w:sz="0" w:space="0" w:color="auto"/>
                        <w:left w:val="none" w:sz="0" w:space="0" w:color="auto"/>
                        <w:bottom w:val="none" w:sz="0" w:space="0" w:color="auto"/>
                        <w:right w:val="none" w:sz="0" w:space="0" w:color="auto"/>
                      </w:divBdr>
                      <w:divsChild>
                        <w:div w:id="1806048995">
                          <w:marLeft w:val="0"/>
                          <w:marRight w:val="0"/>
                          <w:marTop w:val="0"/>
                          <w:marBottom w:val="0"/>
                          <w:divBdr>
                            <w:top w:val="none" w:sz="0" w:space="0" w:color="auto"/>
                            <w:left w:val="none" w:sz="0" w:space="0" w:color="auto"/>
                            <w:bottom w:val="none" w:sz="0" w:space="0" w:color="auto"/>
                            <w:right w:val="none" w:sz="0" w:space="0" w:color="auto"/>
                          </w:divBdr>
                          <w:divsChild>
                            <w:div w:id="2118595247">
                              <w:marLeft w:val="0"/>
                              <w:marRight w:val="0"/>
                              <w:marTop w:val="0"/>
                              <w:marBottom w:val="0"/>
                              <w:divBdr>
                                <w:top w:val="none" w:sz="0" w:space="0" w:color="auto"/>
                                <w:left w:val="none" w:sz="0" w:space="0" w:color="auto"/>
                                <w:bottom w:val="none" w:sz="0" w:space="0" w:color="auto"/>
                                <w:right w:val="none" w:sz="0" w:space="0" w:color="auto"/>
                              </w:divBdr>
                              <w:divsChild>
                                <w:div w:id="142561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1702039">
      <w:bodyDiv w:val="1"/>
      <w:marLeft w:val="0"/>
      <w:marRight w:val="0"/>
      <w:marTop w:val="0"/>
      <w:marBottom w:val="0"/>
      <w:divBdr>
        <w:top w:val="none" w:sz="0" w:space="0" w:color="auto"/>
        <w:left w:val="none" w:sz="0" w:space="0" w:color="auto"/>
        <w:bottom w:val="none" w:sz="0" w:space="0" w:color="auto"/>
        <w:right w:val="none" w:sz="0" w:space="0" w:color="auto"/>
      </w:divBdr>
    </w:div>
    <w:div w:id="1433742361">
      <w:bodyDiv w:val="1"/>
      <w:marLeft w:val="0"/>
      <w:marRight w:val="0"/>
      <w:marTop w:val="0"/>
      <w:marBottom w:val="0"/>
      <w:divBdr>
        <w:top w:val="none" w:sz="0" w:space="0" w:color="auto"/>
        <w:left w:val="none" w:sz="0" w:space="0" w:color="auto"/>
        <w:bottom w:val="none" w:sz="0" w:space="0" w:color="auto"/>
        <w:right w:val="none" w:sz="0" w:space="0" w:color="auto"/>
      </w:divBdr>
      <w:divsChild>
        <w:div w:id="1739286327">
          <w:marLeft w:val="0"/>
          <w:marRight w:val="0"/>
          <w:marTop w:val="0"/>
          <w:marBottom w:val="0"/>
          <w:divBdr>
            <w:top w:val="none" w:sz="0" w:space="0" w:color="auto"/>
            <w:left w:val="none" w:sz="0" w:space="0" w:color="auto"/>
            <w:bottom w:val="none" w:sz="0" w:space="0" w:color="auto"/>
            <w:right w:val="none" w:sz="0" w:space="0" w:color="auto"/>
          </w:divBdr>
          <w:divsChild>
            <w:div w:id="1536964104">
              <w:marLeft w:val="0"/>
              <w:marRight w:val="0"/>
              <w:marTop w:val="0"/>
              <w:marBottom w:val="0"/>
              <w:divBdr>
                <w:top w:val="none" w:sz="0" w:space="0" w:color="auto"/>
                <w:left w:val="none" w:sz="0" w:space="0" w:color="auto"/>
                <w:bottom w:val="none" w:sz="0" w:space="0" w:color="auto"/>
                <w:right w:val="none" w:sz="0" w:space="0" w:color="auto"/>
              </w:divBdr>
              <w:divsChild>
                <w:div w:id="1429617133">
                  <w:marLeft w:val="0"/>
                  <w:marRight w:val="0"/>
                  <w:marTop w:val="0"/>
                  <w:marBottom w:val="0"/>
                  <w:divBdr>
                    <w:top w:val="none" w:sz="0" w:space="0" w:color="auto"/>
                    <w:left w:val="none" w:sz="0" w:space="0" w:color="auto"/>
                    <w:bottom w:val="none" w:sz="0" w:space="0" w:color="auto"/>
                    <w:right w:val="none" w:sz="0" w:space="0" w:color="auto"/>
                  </w:divBdr>
                  <w:divsChild>
                    <w:div w:id="1150487625">
                      <w:marLeft w:val="0"/>
                      <w:marRight w:val="0"/>
                      <w:marTop w:val="0"/>
                      <w:marBottom w:val="0"/>
                      <w:divBdr>
                        <w:top w:val="none" w:sz="0" w:space="0" w:color="auto"/>
                        <w:left w:val="none" w:sz="0" w:space="0" w:color="auto"/>
                        <w:bottom w:val="none" w:sz="0" w:space="0" w:color="auto"/>
                        <w:right w:val="none" w:sz="0" w:space="0" w:color="auto"/>
                      </w:divBdr>
                      <w:divsChild>
                        <w:div w:id="2055498941">
                          <w:marLeft w:val="0"/>
                          <w:marRight w:val="0"/>
                          <w:marTop w:val="0"/>
                          <w:marBottom w:val="0"/>
                          <w:divBdr>
                            <w:top w:val="none" w:sz="0" w:space="0" w:color="auto"/>
                            <w:left w:val="none" w:sz="0" w:space="0" w:color="auto"/>
                            <w:bottom w:val="none" w:sz="0" w:space="0" w:color="auto"/>
                            <w:right w:val="none" w:sz="0" w:space="0" w:color="auto"/>
                          </w:divBdr>
                          <w:divsChild>
                            <w:div w:id="117568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509516">
      <w:bodyDiv w:val="1"/>
      <w:marLeft w:val="0"/>
      <w:marRight w:val="0"/>
      <w:marTop w:val="0"/>
      <w:marBottom w:val="0"/>
      <w:divBdr>
        <w:top w:val="none" w:sz="0" w:space="0" w:color="auto"/>
        <w:left w:val="none" w:sz="0" w:space="0" w:color="auto"/>
        <w:bottom w:val="none" w:sz="0" w:space="0" w:color="auto"/>
        <w:right w:val="none" w:sz="0" w:space="0" w:color="auto"/>
      </w:divBdr>
      <w:divsChild>
        <w:div w:id="1066337546">
          <w:marLeft w:val="0"/>
          <w:marRight w:val="0"/>
          <w:marTop w:val="150"/>
          <w:marBottom w:val="0"/>
          <w:divBdr>
            <w:top w:val="none" w:sz="0" w:space="0" w:color="auto"/>
            <w:left w:val="none" w:sz="0" w:space="0" w:color="auto"/>
            <w:bottom w:val="none" w:sz="0" w:space="0" w:color="auto"/>
            <w:right w:val="none" w:sz="0" w:space="0" w:color="auto"/>
          </w:divBdr>
          <w:divsChild>
            <w:div w:id="1680111836">
              <w:marLeft w:val="0"/>
              <w:marRight w:val="0"/>
              <w:marTop w:val="0"/>
              <w:marBottom w:val="0"/>
              <w:divBdr>
                <w:top w:val="none" w:sz="0" w:space="0" w:color="auto"/>
                <w:left w:val="none" w:sz="0" w:space="0" w:color="auto"/>
                <w:bottom w:val="none" w:sz="0" w:space="0" w:color="auto"/>
                <w:right w:val="none" w:sz="0" w:space="0" w:color="auto"/>
              </w:divBdr>
              <w:divsChild>
                <w:div w:id="134223636">
                  <w:marLeft w:val="0"/>
                  <w:marRight w:val="0"/>
                  <w:marTop w:val="0"/>
                  <w:marBottom w:val="0"/>
                  <w:divBdr>
                    <w:top w:val="none" w:sz="0" w:space="0" w:color="auto"/>
                    <w:left w:val="none" w:sz="0" w:space="0" w:color="auto"/>
                    <w:bottom w:val="none" w:sz="0" w:space="0" w:color="auto"/>
                    <w:right w:val="none" w:sz="0" w:space="0" w:color="auto"/>
                  </w:divBdr>
                  <w:divsChild>
                    <w:div w:id="144226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779604">
      <w:bodyDiv w:val="1"/>
      <w:marLeft w:val="0"/>
      <w:marRight w:val="0"/>
      <w:marTop w:val="0"/>
      <w:marBottom w:val="0"/>
      <w:divBdr>
        <w:top w:val="none" w:sz="0" w:space="0" w:color="auto"/>
        <w:left w:val="none" w:sz="0" w:space="0" w:color="auto"/>
        <w:bottom w:val="none" w:sz="0" w:space="0" w:color="auto"/>
        <w:right w:val="none" w:sz="0" w:space="0" w:color="auto"/>
      </w:divBdr>
      <w:divsChild>
        <w:div w:id="240145686">
          <w:marLeft w:val="0"/>
          <w:marRight w:val="0"/>
          <w:marTop w:val="0"/>
          <w:marBottom w:val="0"/>
          <w:divBdr>
            <w:top w:val="none" w:sz="0" w:space="0" w:color="auto"/>
            <w:left w:val="none" w:sz="0" w:space="0" w:color="auto"/>
            <w:bottom w:val="none" w:sz="0" w:space="0" w:color="auto"/>
            <w:right w:val="none" w:sz="0" w:space="0" w:color="auto"/>
          </w:divBdr>
        </w:div>
      </w:divsChild>
    </w:div>
    <w:div w:id="1585339539">
      <w:bodyDiv w:val="1"/>
      <w:marLeft w:val="0"/>
      <w:marRight w:val="0"/>
      <w:marTop w:val="0"/>
      <w:marBottom w:val="0"/>
      <w:divBdr>
        <w:top w:val="none" w:sz="0" w:space="0" w:color="auto"/>
        <w:left w:val="none" w:sz="0" w:space="0" w:color="auto"/>
        <w:bottom w:val="none" w:sz="0" w:space="0" w:color="auto"/>
        <w:right w:val="none" w:sz="0" w:space="0" w:color="auto"/>
      </w:divBdr>
      <w:divsChild>
        <w:div w:id="689599752">
          <w:marLeft w:val="0"/>
          <w:marRight w:val="0"/>
          <w:marTop w:val="150"/>
          <w:marBottom w:val="0"/>
          <w:divBdr>
            <w:top w:val="none" w:sz="0" w:space="0" w:color="auto"/>
            <w:left w:val="none" w:sz="0" w:space="0" w:color="auto"/>
            <w:bottom w:val="none" w:sz="0" w:space="0" w:color="auto"/>
            <w:right w:val="none" w:sz="0" w:space="0" w:color="auto"/>
          </w:divBdr>
          <w:divsChild>
            <w:div w:id="1244803964">
              <w:marLeft w:val="0"/>
              <w:marRight w:val="0"/>
              <w:marTop w:val="0"/>
              <w:marBottom w:val="0"/>
              <w:divBdr>
                <w:top w:val="none" w:sz="0" w:space="0" w:color="auto"/>
                <w:left w:val="none" w:sz="0" w:space="0" w:color="auto"/>
                <w:bottom w:val="none" w:sz="0" w:space="0" w:color="auto"/>
                <w:right w:val="none" w:sz="0" w:space="0" w:color="auto"/>
              </w:divBdr>
              <w:divsChild>
                <w:div w:id="2086611209">
                  <w:marLeft w:val="0"/>
                  <w:marRight w:val="0"/>
                  <w:marTop w:val="0"/>
                  <w:marBottom w:val="0"/>
                  <w:divBdr>
                    <w:top w:val="none" w:sz="0" w:space="0" w:color="auto"/>
                    <w:left w:val="none" w:sz="0" w:space="0" w:color="auto"/>
                    <w:bottom w:val="none" w:sz="0" w:space="0" w:color="auto"/>
                    <w:right w:val="none" w:sz="0" w:space="0" w:color="auto"/>
                  </w:divBdr>
                  <w:divsChild>
                    <w:div w:id="82570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424935">
      <w:bodyDiv w:val="1"/>
      <w:marLeft w:val="0"/>
      <w:marRight w:val="0"/>
      <w:marTop w:val="0"/>
      <w:marBottom w:val="0"/>
      <w:divBdr>
        <w:top w:val="none" w:sz="0" w:space="0" w:color="auto"/>
        <w:left w:val="none" w:sz="0" w:space="0" w:color="auto"/>
        <w:bottom w:val="none" w:sz="0" w:space="0" w:color="auto"/>
        <w:right w:val="none" w:sz="0" w:space="0" w:color="auto"/>
      </w:divBdr>
      <w:divsChild>
        <w:div w:id="374237330">
          <w:marLeft w:val="0"/>
          <w:marRight w:val="0"/>
          <w:marTop w:val="0"/>
          <w:marBottom w:val="0"/>
          <w:divBdr>
            <w:top w:val="none" w:sz="0" w:space="0" w:color="auto"/>
            <w:left w:val="none" w:sz="0" w:space="0" w:color="auto"/>
            <w:bottom w:val="none" w:sz="0" w:space="0" w:color="auto"/>
            <w:right w:val="none" w:sz="0" w:space="0" w:color="auto"/>
          </w:divBdr>
        </w:div>
      </w:divsChild>
    </w:div>
    <w:div w:id="1597909287">
      <w:bodyDiv w:val="1"/>
      <w:marLeft w:val="0"/>
      <w:marRight w:val="0"/>
      <w:marTop w:val="0"/>
      <w:marBottom w:val="0"/>
      <w:divBdr>
        <w:top w:val="none" w:sz="0" w:space="0" w:color="auto"/>
        <w:left w:val="none" w:sz="0" w:space="0" w:color="auto"/>
        <w:bottom w:val="none" w:sz="0" w:space="0" w:color="auto"/>
        <w:right w:val="none" w:sz="0" w:space="0" w:color="auto"/>
      </w:divBdr>
      <w:divsChild>
        <w:div w:id="1223827324">
          <w:marLeft w:val="0"/>
          <w:marRight w:val="0"/>
          <w:marTop w:val="150"/>
          <w:marBottom w:val="0"/>
          <w:divBdr>
            <w:top w:val="none" w:sz="0" w:space="0" w:color="auto"/>
            <w:left w:val="none" w:sz="0" w:space="0" w:color="auto"/>
            <w:bottom w:val="none" w:sz="0" w:space="0" w:color="auto"/>
            <w:right w:val="none" w:sz="0" w:space="0" w:color="auto"/>
          </w:divBdr>
          <w:divsChild>
            <w:div w:id="564683278">
              <w:marLeft w:val="0"/>
              <w:marRight w:val="0"/>
              <w:marTop w:val="0"/>
              <w:marBottom w:val="0"/>
              <w:divBdr>
                <w:top w:val="none" w:sz="0" w:space="0" w:color="auto"/>
                <w:left w:val="none" w:sz="0" w:space="0" w:color="auto"/>
                <w:bottom w:val="none" w:sz="0" w:space="0" w:color="auto"/>
                <w:right w:val="none" w:sz="0" w:space="0" w:color="auto"/>
              </w:divBdr>
              <w:divsChild>
                <w:div w:id="1654943379">
                  <w:marLeft w:val="0"/>
                  <w:marRight w:val="0"/>
                  <w:marTop w:val="0"/>
                  <w:marBottom w:val="0"/>
                  <w:divBdr>
                    <w:top w:val="none" w:sz="0" w:space="0" w:color="auto"/>
                    <w:left w:val="none" w:sz="0" w:space="0" w:color="auto"/>
                    <w:bottom w:val="none" w:sz="0" w:space="0" w:color="auto"/>
                    <w:right w:val="none" w:sz="0" w:space="0" w:color="auto"/>
                  </w:divBdr>
                  <w:divsChild>
                    <w:div w:id="193994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190488">
      <w:bodyDiv w:val="1"/>
      <w:marLeft w:val="0"/>
      <w:marRight w:val="0"/>
      <w:marTop w:val="0"/>
      <w:marBottom w:val="0"/>
      <w:divBdr>
        <w:top w:val="none" w:sz="0" w:space="0" w:color="auto"/>
        <w:left w:val="none" w:sz="0" w:space="0" w:color="auto"/>
        <w:bottom w:val="none" w:sz="0" w:space="0" w:color="auto"/>
        <w:right w:val="none" w:sz="0" w:space="0" w:color="auto"/>
      </w:divBdr>
      <w:divsChild>
        <w:div w:id="1184513865">
          <w:marLeft w:val="0"/>
          <w:marRight w:val="0"/>
          <w:marTop w:val="150"/>
          <w:marBottom w:val="0"/>
          <w:divBdr>
            <w:top w:val="none" w:sz="0" w:space="0" w:color="auto"/>
            <w:left w:val="none" w:sz="0" w:space="0" w:color="auto"/>
            <w:bottom w:val="none" w:sz="0" w:space="0" w:color="auto"/>
            <w:right w:val="none" w:sz="0" w:space="0" w:color="auto"/>
          </w:divBdr>
          <w:divsChild>
            <w:div w:id="1095442636">
              <w:marLeft w:val="0"/>
              <w:marRight w:val="0"/>
              <w:marTop w:val="0"/>
              <w:marBottom w:val="0"/>
              <w:divBdr>
                <w:top w:val="none" w:sz="0" w:space="0" w:color="auto"/>
                <w:left w:val="none" w:sz="0" w:space="0" w:color="auto"/>
                <w:bottom w:val="none" w:sz="0" w:space="0" w:color="auto"/>
                <w:right w:val="none" w:sz="0" w:space="0" w:color="auto"/>
              </w:divBdr>
              <w:divsChild>
                <w:div w:id="1098645766">
                  <w:marLeft w:val="0"/>
                  <w:marRight w:val="0"/>
                  <w:marTop w:val="0"/>
                  <w:marBottom w:val="0"/>
                  <w:divBdr>
                    <w:top w:val="none" w:sz="0" w:space="0" w:color="auto"/>
                    <w:left w:val="none" w:sz="0" w:space="0" w:color="auto"/>
                    <w:bottom w:val="none" w:sz="0" w:space="0" w:color="auto"/>
                    <w:right w:val="none" w:sz="0" w:space="0" w:color="auto"/>
                  </w:divBdr>
                  <w:divsChild>
                    <w:div w:id="2067334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552191">
      <w:bodyDiv w:val="1"/>
      <w:marLeft w:val="0"/>
      <w:marRight w:val="0"/>
      <w:marTop w:val="0"/>
      <w:marBottom w:val="0"/>
      <w:divBdr>
        <w:top w:val="none" w:sz="0" w:space="0" w:color="auto"/>
        <w:left w:val="none" w:sz="0" w:space="0" w:color="auto"/>
        <w:bottom w:val="none" w:sz="0" w:space="0" w:color="auto"/>
        <w:right w:val="none" w:sz="0" w:space="0" w:color="auto"/>
      </w:divBdr>
      <w:divsChild>
        <w:div w:id="1188981650">
          <w:marLeft w:val="0"/>
          <w:marRight w:val="0"/>
          <w:marTop w:val="0"/>
          <w:marBottom w:val="0"/>
          <w:divBdr>
            <w:top w:val="none" w:sz="0" w:space="0" w:color="auto"/>
            <w:left w:val="none" w:sz="0" w:space="0" w:color="auto"/>
            <w:bottom w:val="none" w:sz="0" w:space="0" w:color="auto"/>
            <w:right w:val="none" w:sz="0" w:space="0" w:color="auto"/>
          </w:divBdr>
        </w:div>
      </w:divsChild>
    </w:div>
    <w:div w:id="1810049211">
      <w:bodyDiv w:val="1"/>
      <w:marLeft w:val="0"/>
      <w:marRight w:val="0"/>
      <w:marTop w:val="0"/>
      <w:marBottom w:val="0"/>
      <w:divBdr>
        <w:top w:val="none" w:sz="0" w:space="0" w:color="auto"/>
        <w:left w:val="none" w:sz="0" w:space="0" w:color="auto"/>
        <w:bottom w:val="none" w:sz="0" w:space="0" w:color="auto"/>
        <w:right w:val="none" w:sz="0" w:space="0" w:color="auto"/>
      </w:divBdr>
      <w:divsChild>
        <w:div w:id="906064330">
          <w:marLeft w:val="0"/>
          <w:marRight w:val="0"/>
          <w:marTop w:val="0"/>
          <w:marBottom w:val="0"/>
          <w:divBdr>
            <w:top w:val="none" w:sz="0" w:space="0" w:color="auto"/>
            <w:left w:val="none" w:sz="0" w:space="0" w:color="auto"/>
            <w:bottom w:val="none" w:sz="0" w:space="0" w:color="auto"/>
            <w:right w:val="none" w:sz="0" w:space="0" w:color="auto"/>
          </w:divBdr>
          <w:divsChild>
            <w:div w:id="801077741">
              <w:marLeft w:val="0"/>
              <w:marRight w:val="0"/>
              <w:marTop w:val="0"/>
              <w:marBottom w:val="0"/>
              <w:divBdr>
                <w:top w:val="none" w:sz="0" w:space="0" w:color="auto"/>
                <w:left w:val="none" w:sz="0" w:space="0" w:color="auto"/>
                <w:bottom w:val="none" w:sz="0" w:space="0" w:color="auto"/>
                <w:right w:val="none" w:sz="0" w:space="0" w:color="auto"/>
              </w:divBdr>
              <w:divsChild>
                <w:div w:id="1057321576">
                  <w:marLeft w:val="0"/>
                  <w:marRight w:val="0"/>
                  <w:marTop w:val="0"/>
                  <w:marBottom w:val="0"/>
                  <w:divBdr>
                    <w:top w:val="none" w:sz="0" w:space="0" w:color="auto"/>
                    <w:left w:val="none" w:sz="0" w:space="0" w:color="auto"/>
                    <w:bottom w:val="none" w:sz="0" w:space="0" w:color="auto"/>
                    <w:right w:val="none" w:sz="0" w:space="0" w:color="auto"/>
                  </w:divBdr>
                  <w:divsChild>
                    <w:div w:id="584997279">
                      <w:marLeft w:val="0"/>
                      <w:marRight w:val="0"/>
                      <w:marTop w:val="0"/>
                      <w:marBottom w:val="0"/>
                      <w:divBdr>
                        <w:top w:val="none" w:sz="0" w:space="0" w:color="auto"/>
                        <w:left w:val="none" w:sz="0" w:space="0" w:color="auto"/>
                        <w:bottom w:val="none" w:sz="0" w:space="0" w:color="auto"/>
                        <w:right w:val="none" w:sz="0" w:space="0" w:color="auto"/>
                      </w:divBdr>
                      <w:divsChild>
                        <w:div w:id="1834493165">
                          <w:marLeft w:val="0"/>
                          <w:marRight w:val="0"/>
                          <w:marTop w:val="0"/>
                          <w:marBottom w:val="0"/>
                          <w:divBdr>
                            <w:top w:val="none" w:sz="0" w:space="0" w:color="auto"/>
                            <w:left w:val="none" w:sz="0" w:space="0" w:color="auto"/>
                            <w:bottom w:val="none" w:sz="0" w:space="0" w:color="auto"/>
                            <w:right w:val="none" w:sz="0" w:space="0" w:color="auto"/>
                          </w:divBdr>
                          <w:divsChild>
                            <w:div w:id="68178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4005858">
      <w:bodyDiv w:val="1"/>
      <w:marLeft w:val="0"/>
      <w:marRight w:val="0"/>
      <w:marTop w:val="0"/>
      <w:marBottom w:val="0"/>
      <w:divBdr>
        <w:top w:val="none" w:sz="0" w:space="0" w:color="auto"/>
        <w:left w:val="none" w:sz="0" w:space="0" w:color="auto"/>
        <w:bottom w:val="none" w:sz="0" w:space="0" w:color="auto"/>
        <w:right w:val="none" w:sz="0" w:space="0" w:color="auto"/>
      </w:divBdr>
      <w:divsChild>
        <w:div w:id="367336346">
          <w:marLeft w:val="0"/>
          <w:marRight w:val="0"/>
          <w:marTop w:val="0"/>
          <w:marBottom w:val="0"/>
          <w:divBdr>
            <w:top w:val="none" w:sz="0" w:space="0" w:color="auto"/>
            <w:left w:val="none" w:sz="0" w:space="0" w:color="auto"/>
            <w:bottom w:val="none" w:sz="0" w:space="0" w:color="auto"/>
            <w:right w:val="none" w:sz="0" w:space="0" w:color="auto"/>
          </w:divBdr>
          <w:divsChild>
            <w:div w:id="295528469">
              <w:marLeft w:val="0"/>
              <w:marRight w:val="0"/>
              <w:marTop w:val="0"/>
              <w:marBottom w:val="0"/>
              <w:divBdr>
                <w:top w:val="none" w:sz="0" w:space="0" w:color="auto"/>
                <w:left w:val="none" w:sz="0" w:space="0" w:color="auto"/>
                <w:bottom w:val="none" w:sz="0" w:space="0" w:color="auto"/>
                <w:right w:val="none" w:sz="0" w:space="0" w:color="auto"/>
              </w:divBdr>
              <w:divsChild>
                <w:div w:id="2045934478">
                  <w:marLeft w:val="0"/>
                  <w:marRight w:val="0"/>
                  <w:marTop w:val="0"/>
                  <w:marBottom w:val="0"/>
                  <w:divBdr>
                    <w:top w:val="none" w:sz="0" w:space="0" w:color="auto"/>
                    <w:left w:val="none" w:sz="0" w:space="0" w:color="auto"/>
                    <w:bottom w:val="none" w:sz="0" w:space="0" w:color="auto"/>
                    <w:right w:val="none" w:sz="0" w:space="0" w:color="auto"/>
                  </w:divBdr>
                  <w:divsChild>
                    <w:div w:id="668019688">
                      <w:marLeft w:val="0"/>
                      <w:marRight w:val="0"/>
                      <w:marTop w:val="0"/>
                      <w:marBottom w:val="0"/>
                      <w:divBdr>
                        <w:top w:val="none" w:sz="0" w:space="0" w:color="auto"/>
                        <w:left w:val="none" w:sz="0" w:space="0" w:color="auto"/>
                        <w:bottom w:val="none" w:sz="0" w:space="0" w:color="auto"/>
                        <w:right w:val="none" w:sz="0" w:space="0" w:color="auto"/>
                      </w:divBdr>
                      <w:divsChild>
                        <w:div w:id="240675865">
                          <w:marLeft w:val="0"/>
                          <w:marRight w:val="0"/>
                          <w:marTop w:val="0"/>
                          <w:marBottom w:val="0"/>
                          <w:divBdr>
                            <w:top w:val="none" w:sz="0" w:space="0" w:color="auto"/>
                            <w:left w:val="none" w:sz="0" w:space="0" w:color="auto"/>
                            <w:bottom w:val="none" w:sz="0" w:space="0" w:color="auto"/>
                            <w:right w:val="none" w:sz="0" w:space="0" w:color="auto"/>
                          </w:divBdr>
                          <w:divsChild>
                            <w:div w:id="104872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0360345">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42563144">
      <w:bodyDiv w:val="1"/>
      <w:marLeft w:val="0"/>
      <w:marRight w:val="0"/>
      <w:marTop w:val="0"/>
      <w:marBottom w:val="0"/>
      <w:divBdr>
        <w:top w:val="none" w:sz="0" w:space="0" w:color="auto"/>
        <w:left w:val="none" w:sz="0" w:space="0" w:color="auto"/>
        <w:bottom w:val="none" w:sz="0" w:space="0" w:color="auto"/>
        <w:right w:val="none" w:sz="0" w:space="0" w:color="auto"/>
      </w:divBdr>
      <w:divsChild>
        <w:div w:id="1114520496">
          <w:marLeft w:val="0"/>
          <w:marRight w:val="0"/>
          <w:marTop w:val="150"/>
          <w:marBottom w:val="0"/>
          <w:divBdr>
            <w:top w:val="none" w:sz="0" w:space="0" w:color="auto"/>
            <w:left w:val="none" w:sz="0" w:space="0" w:color="auto"/>
            <w:bottom w:val="none" w:sz="0" w:space="0" w:color="auto"/>
            <w:right w:val="none" w:sz="0" w:space="0" w:color="auto"/>
          </w:divBdr>
          <w:divsChild>
            <w:div w:id="517087182">
              <w:marLeft w:val="0"/>
              <w:marRight w:val="0"/>
              <w:marTop w:val="0"/>
              <w:marBottom w:val="0"/>
              <w:divBdr>
                <w:top w:val="none" w:sz="0" w:space="0" w:color="auto"/>
                <w:left w:val="none" w:sz="0" w:space="0" w:color="auto"/>
                <w:bottom w:val="none" w:sz="0" w:space="0" w:color="auto"/>
                <w:right w:val="none" w:sz="0" w:space="0" w:color="auto"/>
              </w:divBdr>
              <w:divsChild>
                <w:div w:id="996808800">
                  <w:marLeft w:val="0"/>
                  <w:marRight w:val="0"/>
                  <w:marTop w:val="0"/>
                  <w:marBottom w:val="0"/>
                  <w:divBdr>
                    <w:top w:val="none" w:sz="0" w:space="0" w:color="auto"/>
                    <w:left w:val="none" w:sz="0" w:space="0" w:color="auto"/>
                    <w:bottom w:val="none" w:sz="0" w:space="0" w:color="auto"/>
                    <w:right w:val="none" w:sz="0" w:space="0" w:color="auto"/>
                  </w:divBdr>
                  <w:divsChild>
                    <w:div w:id="155654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511894">
      <w:bodyDiv w:val="1"/>
      <w:marLeft w:val="0"/>
      <w:marRight w:val="0"/>
      <w:marTop w:val="0"/>
      <w:marBottom w:val="0"/>
      <w:divBdr>
        <w:top w:val="none" w:sz="0" w:space="0" w:color="auto"/>
        <w:left w:val="none" w:sz="0" w:space="0" w:color="auto"/>
        <w:bottom w:val="none" w:sz="0" w:space="0" w:color="auto"/>
        <w:right w:val="none" w:sz="0" w:space="0" w:color="auto"/>
      </w:divBdr>
      <w:divsChild>
        <w:div w:id="1261837120">
          <w:marLeft w:val="0"/>
          <w:marRight w:val="0"/>
          <w:marTop w:val="0"/>
          <w:marBottom w:val="0"/>
          <w:divBdr>
            <w:top w:val="none" w:sz="0" w:space="0" w:color="auto"/>
            <w:left w:val="none" w:sz="0" w:space="0" w:color="auto"/>
            <w:bottom w:val="none" w:sz="0" w:space="0" w:color="auto"/>
            <w:right w:val="none" w:sz="0" w:space="0" w:color="auto"/>
          </w:divBdr>
          <w:divsChild>
            <w:div w:id="668679795">
              <w:marLeft w:val="0"/>
              <w:marRight w:val="0"/>
              <w:marTop w:val="0"/>
              <w:marBottom w:val="0"/>
              <w:divBdr>
                <w:top w:val="none" w:sz="0" w:space="0" w:color="auto"/>
                <w:left w:val="none" w:sz="0" w:space="0" w:color="auto"/>
                <w:bottom w:val="none" w:sz="0" w:space="0" w:color="auto"/>
                <w:right w:val="none" w:sz="0" w:space="0" w:color="auto"/>
              </w:divBdr>
              <w:divsChild>
                <w:div w:id="45517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D60EC-1D74-4B30-ABF7-89808F159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36</Pages>
  <Words>13085</Words>
  <Characters>78073</Characters>
  <Application>Microsoft Office Word</Application>
  <DocSecurity>0</DocSecurity>
  <Lines>650</Lines>
  <Paragraphs>181</Paragraphs>
  <ScaleCrop>false</ScaleCrop>
  <HeadingPairs>
    <vt:vector size="2" baseType="variant">
      <vt:variant>
        <vt:lpstr>Title</vt:lpstr>
      </vt:variant>
      <vt:variant>
        <vt:i4>1</vt:i4>
      </vt:variant>
    </vt:vector>
  </HeadingPairs>
  <TitlesOfParts>
    <vt:vector size="1" baseType="lpstr">
      <vt:lpstr>Environmental management</vt:lpstr>
    </vt:vector>
  </TitlesOfParts>
  <Company>Productivity Commission</Company>
  <LinksUpToDate>false</LinksUpToDate>
  <CharactersWithSpaces>90977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Environmental management</dc:title>
  <dc:subject>Resource exploration</dc:subject>
  <dc:creator>Productivity Commission</dc:creator>
  <dc:description>6.</dc:description>
  <cp:lastModifiedBy>Productivity Commission</cp:lastModifiedBy>
  <cp:revision>3</cp:revision>
  <cp:lastPrinted>2013-05-22T23:38:00Z</cp:lastPrinted>
  <dcterms:created xsi:type="dcterms:W3CDTF">2013-05-29T02:40:00Z</dcterms:created>
  <dcterms:modified xsi:type="dcterms:W3CDTF">2015-05-08T02:19:00Z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-2080619471</vt:i4>
  </property>
  <property fmtid="{D5CDD505-2E9C-101B-9397-08002B2CF9AE}" pid="3" name="_NewReviewCycle">
    <vt:lpwstr/>
  </property>
  <property fmtid="{D5CDD505-2E9C-101B-9397-08002B2CF9AE}" pid="4" name="_EmailSubject">
    <vt:lpwstr>web files - minerals draft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