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4201F1" w:rsidP="004201F1">
      <w:pPr>
        <w:pStyle w:val="Heading1"/>
        <w:spacing w:before="0"/>
      </w:pPr>
      <w:bookmarkStart w:id="0" w:name="ChapterNumber"/>
      <w:r>
        <w:t>7</w:t>
      </w:r>
      <w:bookmarkEnd w:id="0"/>
      <w:r>
        <w:tab/>
      </w:r>
      <w:bookmarkStart w:id="1" w:name="ChapterTitle"/>
      <w:r>
        <w:t>Pre-competitive geoscience information</w:t>
      </w:r>
      <w:bookmarkEnd w:id="1"/>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4A0" w:firstRow="1" w:lastRow="0" w:firstColumn="1" w:lastColumn="0" w:noHBand="0" w:noVBand="1"/>
      </w:tblPr>
      <w:tblGrid>
        <w:gridCol w:w="8771"/>
      </w:tblGrid>
      <w:tr w:rsidR="007E4B2B" w:rsidTr="00401A53">
        <w:tc>
          <w:tcPr>
            <w:tcW w:w="8771" w:type="dxa"/>
            <w:tcBorders>
              <w:top w:val="single" w:sz="6" w:space="0" w:color="auto"/>
              <w:left w:val="single" w:sz="6" w:space="0" w:color="auto"/>
              <w:bottom w:val="nil"/>
              <w:right w:val="single" w:sz="6" w:space="0" w:color="auto"/>
            </w:tcBorders>
            <w:hideMark/>
          </w:tcPr>
          <w:p w:rsidR="007E4B2B" w:rsidRDefault="007E4B2B" w:rsidP="00401A53">
            <w:pPr>
              <w:pStyle w:val="BoxTitle"/>
            </w:pPr>
            <w:bookmarkStart w:id="2" w:name="begin"/>
            <w:bookmarkEnd w:id="2"/>
            <w:r>
              <w:rPr>
                <w:b w:val="0"/>
              </w:rPr>
              <w:t>Key points</w:t>
            </w:r>
          </w:p>
        </w:tc>
      </w:tr>
      <w:tr w:rsidR="007E4B2B" w:rsidTr="00401A53">
        <w:trPr>
          <w:cantSplit/>
        </w:trPr>
        <w:tc>
          <w:tcPr>
            <w:tcW w:w="8771" w:type="dxa"/>
            <w:tcBorders>
              <w:top w:val="nil"/>
              <w:left w:val="single" w:sz="6" w:space="0" w:color="auto"/>
              <w:bottom w:val="nil"/>
              <w:right w:val="single" w:sz="6" w:space="0" w:color="auto"/>
            </w:tcBorders>
            <w:hideMark/>
          </w:tcPr>
          <w:p w:rsidR="007E4B2B" w:rsidRDefault="007E4B2B" w:rsidP="00401A53">
            <w:pPr>
              <w:pStyle w:val="BoxListBullet"/>
              <w:numPr>
                <w:ilvl w:val="0"/>
                <w:numId w:val="49"/>
              </w:numPr>
              <w:spacing w:before="120"/>
            </w:pPr>
            <w:r>
              <w:t>Pre</w:t>
            </w:r>
            <w:r>
              <w:noBreakHyphen/>
              <w:t xml:space="preserve">competitive geoscience information is generated from early stage, broad area geological surveying and analysis of the resulting data. </w:t>
            </w:r>
            <w:r w:rsidR="00BF22A7">
              <w:t>The</w:t>
            </w:r>
            <w:r>
              <w:t xml:space="preserve"> information is </w:t>
            </w:r>
            <w:r w:rsidR="00BF22A7">
              <w:t>made</w:t>
            </w:r>
            <w:r>
              <w:t xml:space="preserve"> available to private explorers to target prospective mineral </w:t>
            </w:r>
            <w:r>
              <w:rPr>
                <w:lang w:val="en"/>
              </w:rPr>
              <w:t>and petroleum deposits.</w:t>
            </w:r>
          </w:p>
          <w:p w:rsidR="007E4B2B" w:rsidRDefault="007E4B2B" w:rsidP="00401A53">
            <w:pPr>
              <w:pStyle w:val="BoxListBullet"/>
              <w:numPr>
                <w:ilvl w:val="0"/>
                <w:numId w:val="49"/>
              </w:numPr>
              <w:spacing w:before="120"/>
              <w:rPr>
                <w:szCs w:val="24"/>
              </w:rPr>
            </w:pPr>
            <w:r>
              <w:t>The case for public funding of pre</w:t>
            </w:r>
            <w:r w:rsidR="00DC4E50">
              <w:rPr>
                <w:szCs w:val="24"/>
              </w:rPr>
              <w:noBreakHyphen/>
            </w:r>
            <w:r>
              <w:t xml:space="preserve">competitive geoscience information is widely accepted on the grounds of partial public good characteristics, primarily that the use of </w:t>
            </w:r>
            <w:r w:rsidR="00BF22A7">
              <w:t>the</w:t>
            </w:r>
            <w:r>
              <w:t xml:space="preserve"> information by one explorer does not prevent its use by others. Public provision of such information can also be considered analogous to the information required to prepare a prospectus to maximise the value of selling a community</w:t>
            </w:r>
            <w:r>
              <w:noBreakHyphen/>
              <w:t>owned asset (in this case Australia’s mineral and energy resources).</w:t>
            </w:r>
          </w:p>
          <w:p w:rsidR="007E4B2B" w:rsidRPr="0029663C" w:rsidRDefault="007E4B2B" w:rsidP="00401A53">
            <w:pPr>
              <w:pStyle w:val="BoxListBullet"/>
              <w:numPr>
                <w:ilvl w:val="0"/>
                <w:numId w:val="49"/>
              </w:numPr>
              <w:spacing w:before="120"/>
              <w:rPr>
                <w:color w:val="000000" w:themeColor="text1"/>
              </w:rPr>
            </w:pPr>
            <w:r w:rsidRPr="0029663C">
              <w:rPr>
                <w:color w:val="000000" w:themeColor="text1"/>
              </w:rPr>
              <w:t>Australia’s pre</w:t>
            </w:r>
            <w:r w:rsidR="00DC4E50">
              <w:rPr>
                <w:color w:val="000000" w:themeColor="text1"/>
              </w:rPr>
              <w:noBreakHyphen/>
            </w:r>
            <w:r w:rsidRPr="0029663C">
              <w:rPr>
                <w:color w:val="000000" w:themeColor="text1"/>
              </w:rPr>
              <w:t xml:space="preserve">competitive </w:t>
            </w:r>
            <w:r>
              <w:rPr>
                <w:color w:val="000000" w:themeColor="text1"/>
              </w:rPr>
              <w:t xml:space="preserve">geoscience </w:t>
            </w:r>
            <w:r w:rsidRPr="0029663C">
              <w:rPr>
                <w:color w:val="000000" w:themeColor="text1"/>
              </w:rPr>
              <w:t>information is highly regarded by domestic and international explorers. It is not viewed as a barrier to resource exploration</w:t>
            </w:r>
            <w:r>
              <w:rPr>
                <w:color w:val="000000" w:themeColor="text1"/>
              </w:rPr>
              <w:t>,</w:t>
            </w:r>
            <w:r w:rsidRPr="0029663C">
              <w:rPr>
                <w:color w:val="000000" w:themeColor="text1"/>
              </w:rPr>
              <w:t xml:space="preserve"> but rather as an asset that encourages exploration investment in Australia</w:t>
            </w:r>
            <w:r>
              <w:rPr>
                <w:color w:val="000000" w:themeColor="text1"/>
              </w:rPr>
              <w:t>.</w:t>
            </w:r>
          </w:p>
          <w:p w:rsidR="007E4B2B" w:rsidRDefault="007E4B2B" w:rsidP="00401A53">
            <w:pPr>
              <w:pStyle w:val="BoxListBullet"/>
              <w:numPr>
                <w:ilvl w:val="0"/>
                <w:numId w:val="49"/>
              </w:numPr>
              <w:spacing w:before="120"/>
              <w:rPr>
                <w:szCs w:val="24"/>
              </w:rPr>
            </w:pPr>
            <w:r>
              <w:rPr>
                <w:szCs w:val="24"/>
              </w:rPr>
              <w:t>Comprehensive reform of Australia’s pre</w:t>
            </w:r>
            <w:r w:rsidR="00DC4E50">
              <w:rPr>
                <w:szCs w:val="24"/>
              </w:rPr>
              <w:noBreakHyphen/>
            </w:r>
            <w:r>
              <w:rPr>
                <w:szCs w:val="24"/>
              </w:rPr>
              <w:t>competitive geoscience information arrangements is not required. However, there may be opportunities to improve the funding of Australia’s geoscience agencies and the coverage of Australia’s geological database.</w:t>
            </w:r>
          </w:p>
          <w:p w:rsidR="007E4B2B" w:rsidRDefault="007E4B2B" w:rsidP="00401A53">
            <w:pPr>
              <w:pStyle w:val="BoxListBullet2"/>
              <w:numPr>
                <w:ilvl w:val="0"/>
                <w:numId w:val="2"/>
              </w:numPr>
            </w:pPr>
            <w:r>
              <w:t>The movement towards a cost recovery framework in New South Wales provides an opportunity for other jurisdictions to assess the costs and benefits of this model.</w:t>
            </w:r>
          </w:p>
          <w:p w:rsidR="007E4B2B" w:rsidRDefault="007E4B2B" w:rsidP="00401A53">
            <w:pPr>
              <w:pStyle w:val="BoxListBullet2"/>
              <w:numPr>
                <w:ilvl w:val="0"/>
                <w:numId w:val="2"/>
              </w:numPr>
            </w:pPr>
            <w:r>
              <w:t>The Commission notes the increasing use of initiative funding to finance pre</w:t>
            </w:r>
            <w:r w:rsidR="00DC4E50">
              <w:noBreakHyphen/>
            </w:r>
            <w:r>
              <w:t xml:space="preserve">competitive geoscience information collection and is seeking feedback from stakeholders as to whether this represents a more effective and efficient way to finance geoscience activities compared to a more stable long term funding base. </w:t>
            </w:r>
          </w:p>
          <w:p w:rsidR="007E4B2B" w:rsidRDefault="007E4B2B" w:rsidP="00401A53">
            <w:pPr>
              <w:pStyle w:val="BoxListBullet2"/>
              <w:numPr>
                <w:ilvl w:val="0"/>
                <w:numId w:val="2"/>
              </w:numPr>
            </w:pPr>
            <w:r>
              <w:t>Extending the public collection of data to those exploration companies which do not currently report publically on their mineral and energy reserves would address current gaps in the resource reserve information base and hence improve the attractiveness of Australia as an exploration destination.</w:t>
            </w:r>
          </w:p>
          <w:p w:rsidR="007E4B2B" w:rsidRPr="00351769" w:rsidRDefault="007E4B2B" w:rsidP="00401A53">
            <w:pPr>
              <w:pStyle w:val="BoxListBullet3"/>
            </w:pPr>
            <w:r>
              <w:t>The Exploration Investment and Geoscience Working Group of the Standing Council of Minerals and Resources is currently exploring policy options</w:t>
            </w:r>
            <w:r w:rsidR="00D7691E">
              <w:t xml:space="preserve"> to address this</w:t>
            </w:r>
            <w:r>
              <w:t xml:space="preserve">. </w:t>
            </w:r>
          </w:p>
        </w:tc>
      </w:tr>
      <w:tr w:rsidR="007E4B2B" w:rsidTr="00401A53">
        <w:trPr>
          <w:cantSplit/>
        </w:trPr>
        <w:tc>
          <w:tcPr>
            <w:tcW w:w="8771" w:type="dxa"/>
            <w:tcBorders>
              <w:top w:val="nil"/>
              <w:left w:val="single" w:sz="6" w:space="0" w:color="auto"/>
              <w:bottom w:val="single" w:sz="6" w:space="0" w:color="auto"/>
              <w:right w:val="single" w:sz="6" w:space="0" w:color="auto"/>
            </w:tcBorders>
          </w:tcPr>
          <w:p w:rsidR="007E4B2B" w:rsidRDefault="007E4B2B" w:rsidP="00401A53">
            <w:pPr>
              <w:pStyle w:val="Box"/>
              <w:spacing w:before="0" w:line="120" w:lineRule="exact"/>
            </w:pPr>
          </w:p>
        </w:tc>
      </w:tr>
      <w:tr w:rsidR="007E4B2B" w:rsidTr="00401A53">
        <w:tc>
          <w:tcPr>
            <w:tcW w:w="8771" w:type="dxa"/>
            <w:tcBorders>
              <w:top w:val="nil"/>
              <w:left w:val="nil"/>
              <w:bottom w:val="nil"/>
              <w:right w:val="nil"/>
            </w:tcBorders>
            <w:hideMark/>
          </w:tcPr>
          <w:p w:rsidR="007E4B2B" w:rsidRDefault="007E4B2B" w:rsidP="00401A53">
            <w:pPr>
              <w:pStyle w:val="BoxSpaceBelow"/>
            </w:pPr>
          </w:p>
        </w:tc>
      </w:tr>
    </w:tbl>
    <w:p w:rsidR="007E4B2B" w:rsidRDefault="007E4B2B" w:rsidP="007E4B2B">
      <w:pPr>
        <w:pStyle w:val="BodyText"/>
      </w:pPr>
      <w:r>
        <w:t>This chapter examines the government provision of pre</w:t>
      </w:r>
      <w:r w:rsidR="00DC4E50">
        <w:rPr>
          <w:szCs w:val="24"/>
        </w:rPr>
        <w:noBreakHyphen/>
      </w:r>
      <w:r>
        <w:t xml:space="preserve">competitive geoscience information in Australia. It examines why and how governments are involved in </w:t>
      </w:r>
      <w:r>
        <w:lastRenderedPageBreak/>
        <w:t>delivering pre</w:t>
      </w:r>
      <w:r w:rsidR="00DC4E50">
        <w:rPr>
          <w:szCs w:val="24"/>
        </w:rPr>
        <w:noBreakHyphen/>
      </w:r>
      <w:r>
        <w:t>competitive geoscience information, assesses the quality of Australia’s geoscience database and explores some possibilities for improvement in Australia’s</w:t>
      </w:r>
      <w:r w:rsidR="000025F9">
        <w:t xml:space="preserve"> pre</w:t>
      </w:r>
      <w:r w:rsidR="00DC4E50">
        <w:rPr>
          <w:szCs w:val="24"/>
        </w:rPr>
        <w:noBreakHyphen/>
      </w:r>
      <w:r w:rsidR="000025F9">
        <w:t>competitive</w:t>
      </w:r>
      <w:r>
        <w:t xml:space="preserve"> geoscience </w:t>
      </w:r>
      <w:r w:rsidR="000025F9">
        <w:t>information provision</w:t>
      </w:r>
      <w:r w:rsidR="003807BF">
        <w:t>.</w:t>
      </w:r>
    </w:p>
    <w:p w:rsidR="007E4B2B" w:rsidRDefault="004201F1" w:rsidP="007E4B2B">
      <w:pPr>
        <w:pStyle w:val="Heading2"/>
      </w:pPr>
      <w:r>
        <w:t>7.</w:t>
      </w:r>
      <w:r w:rsidR="00DE2D5C">
        <w:rPr>
          <w:noProof/>
        </w:rPr>
        <w:t>1</w:t>
      </w:r>
      <w:r w:rsidR="007E4B2B">
        <w:tab/>
        <w:t>Government involvement in pre</w:t>
      </w:r>
      <w:r w:rsidR="00DC4E50">
        <w:noBreakHyphen/>
      </w:r>
      <w:r w:rsidR="007E4B2B">
        <w:t>competitive information</w:t>
      </w:r>
    </w:p>
    <w:p w:rsidR="007E4B2B" w:rsidRDefault="007E4B2B" w:rsidP="005C7C49">
      <w:pPr>
        <w:pStyle w:val="Heading4"/>
      </w:pPr>
      <w:r>
        <w:t>Why are governments involved in geoscience information?</w:t>
      </w:r>
    </w:p>
    <w:p w:rsidR="007E4B2B" w:rsidRDefault="007E4B2B" w:rsidP="007E4B2B">
      <w:pPr>
        <w:pStyle w:val="BodyText"/>
      </w:pPr>
      <w:r>
        <w:t>Pre</w:t>
      </w:r>
      <w:r>
        <w:noBreakHyphen/>
        <w:t xml:space="preserve">competitive geoscience information involves the collection and analysis of geological data about the Earth’s surface to inform decisions about the likely prospectivity of resource deposits. It involves the reconnaissance of broad areas to define the geology of a region, rather than </w:t>
      </w:r>
      <w:r w:rsidR="00D77473">
        <w:t xml:space="preserve">to </w:t>
      </w:r>
      <w:r>
        <w:t xml:space="preserve">locate specific mineral and resource deposits. </w:t>
      </w:r>
    </w:p>
    <w:p w:rsidR="007E4B2B" w:rsidRDefault="007E4B2B" w:rsidP="007E4B2B">
      <w:pPr>
        <w:pStyle w:val="BodyText"/>
      </w:pPr>
      <w:r>
        <w:t>Government involvement in the provision of pre</w:t>
      </w:r>
      <w:r w:rsidR="00DC4E50">
        <w:rPr>
          <w:szCs w:val="24"/>
        </w:rPr>
        <w:noBreakHyphen/>
      </w:r>
      <w:r>
        <w:t>competitive information is typically justified because it possesses some attributes of a public good. The key attribute in this case is that, unlike most goods and services, pre</w:t>
      </w:r>
      <w:r w:rsidR="00DC4E50">
        <w:rPr>
          <w:szCs w:val="24"/>
        </w:rPr>
        <w:noBreakHyphen/>
      </w:r>
      <w:r>
        <w:t>competitive information can be used by one explorer without preventing the use of the same information by another explorer. This means that pre</w:t>
      </w:r>
      <w:r w:rsidR="00DC4E50">
        <w:rPr>
          <w:szCs w:val="24"/>
        </w:rPr>
        <w:noBreakHyphen/>
      </w:r>
      <w:r>
        <w:t xml:space="preserve">competitive information is </w:t>
      </w:r>
      <w:r>
        <w:rPr>
          <w:i/>
        </w:rPr>
        <w:t>non</w:t>
      </w:r>
      <w:r w:rsidR="00DC4E50">
        <w:rPr>
          <w:i/>
        </w:rPr>
        <w:noBreakHyphen/>
      </w:r>
      <w:proofErr w:type="spellStart"/>
      <w:r>
        <w:rPr>
          <w:i/>
        </w:rPr>
        <w:t>rivalrous</w:t>
      </w:r>
      <w:proofErr w:type="spellEnd"/>
      <w:r w:rsidR="00F0004F">
        <w:rPr>
          <w:i/>
        </w:rPr>
        <w:t xml:space="preserve"> </w:t>
      </w:r>
      <w:r w:rsidR="00F0004F">
        <w:t xml:space="preserve">in </w:t>
      </w:r>
      <w:r w:rsidR="001A1C37">
        <w:t xml:space="preserve">its </w:t>
      </w:r>
      <w:r w:rsidR="00F0004F">
        <w:t>use</w:t>
      </w:r>
      <w:r>
        <w:t xml:space="preserve">. </w:t>
      </w:r>
    </w:p>
    <w:p w:rsidR="007E4B2B" w:rsidRDefault="007E4B2B" w:rsidP="007E4B2B">
      <w:pPr>
        <w:pStyle w:val="BodyText"/>
      </w:pPr>
      <w:r>
        <w:t>Government involvement in the provision of pre</w:t>
      </w:r>
      <w:r w:rsidR="00DC4E50">
        <w:rPr>
          <w:szCs w:val="24"/>
        </w:rPr>
        <w:noBreakHyphen/>
      </w:r>
      <w:r>
        <w:t>competitive geoscien</w:t>
      </w:r>
      <w:r w:rsidR="003807BF">
        <w:t>tific</w:t>
      </w:r>
      <w:r>
        <w:t xml:space="preserve"> information may also be attributed to other purposes. Geoscience Australia</w:t>
      </w:r>
      <w:r w:rsidR="000023C0">
        <w:t xml:space="preserve"> (GA)</w:t>
      </w:r>
      <w:r>
        <w:t xml:space="preserve"> argued that geoscientific information assists with the planning and management of community</w:t>
      </w:r>
      <w:r w:rsidR="00826DA6">
        <w:noBreakHyphen/>
      </w:r>
      <w:r>
        <w:t>owned resources:</w:t>
      </w:r>
    </w:p>
    <w:p w:rsidR="007E4B2B" w:rsidRDefault="007E4B2B" w:rsidP="007E4B2B">
      <w:pPr>
        <w:pStyle w:val="Quote"/>
      </w:pPr>
      <w:r>
        <w:t>GA provides geoscientific information and knowledge to enable the government and the community to make informed decisions on the economic, social and environmental management and exploration of the nation’s natural resources</w:t>
      </w:r>
      <w:r w:rsidR="00BF22A7">
        <w:t>.</w:t>
      </w:r>
      <w:r w:rsidR="000023C0">
        <w:t xml:space="preserve"> (sub</w:t>
      </w:r>
      <w:r>
        <w:t>.</w:t>
      </w:r>
      <w:r w:rsidR="00826DA6">
        <w:t> </w:t>
      </w:r>
      <w:r w:rsidR="000023C0">
        <w:t>6, p.</w:t>
      </w:r>
      <w:r w:rsidR="00826DA6">
        <w:t> </w:t>
      </w:r>
      <w:r w:rsidR="00BF22A7">
        <w:t>1)</w:t>
      </w:r>
    </w:p>
    <w:p w:rsidR="007E4B2B" w:rsidRDefault="007E4B2B" w:rsidP="007E4B2B">
      <w:pPr>
        <w:pStyle w:val="BodyText"/>
      </w:pPr>
      <w:r>
        <w:t>Duke (2010) further justifies government involvement in geoscience by citing the effects it has on risk, costs and therefore investment attractiveness:</w:t>
      </w:r>
    </w:p>
    <w:p w:rsidR="007E4B2B" w:rsidRDefault="007E4B2B" w:rsidP="007E4B2B">
      <w:pPr>
        <w:pStyle w:val="Quote"/>
      </w:pPr>
      <w:r>
        <w:t>[public geoscience] attracts exploration investment by allowing industry to identify areas of favourable mineral potential. It increases exploration efficiency by making it unnecessary for individual companies to duplicate common information, or spend money on non</w:t>
      </w:r>
      <w:r>
        <w:noBreakHyphen/>
        <w:t>prospective ground. It increases exploration effectiveness by providing key information inputs to risk</w:t>
      </w:r>
      <w:r>
        <w:noBreakHyphen/>
        <w:t>based decision</w:t>
      </w:r>
      <w:r>
        <w:noBreakHyphen/>
        <w:t>making. By reducing exploration costs and risk, public geoscience not only improves returns on private investment but also increases revenues accruing to governments as royalties and taxes</w:t>
      </w:r>
      <w:r w:rsidR="00BF22A7">
        <w:t>. (p. 28)</w:t>
      </w:r>
    </w:p>
    <w:p w:rsidR="007E4B2B" w:rsidRDefault="007E4B2B" w:rsidP="007E4B2B">
      <w:pPr>
        <w:pStyle w:val="Heading4"/>
      </w:pPr>
      <w:r>
        <w:lastRenderedPageBreak/>
        <w:t>How are governments involved in geoscience information</w:t>
      </w:r>
    </w:p>
    <w:p w:rsidR="007E4B2B" w:rsidRDefault="007E4B2B" w:rsidP="007E4B2B">
      <w:pPr>
        <w:pStyle w:val="BodyText"/>
      </w:pPr>
      <w:r>
        <w:t xml:space="preserve">The responsibility of collecting geoscience information is shared between the Australian and the State and Territory Governments. Each State and Territory, except the ACT, has their own geological survey organisation, and these are responsible for collecting </w:t>
      </w:r>
      <w:r>
        <w:rPr>
          <w:i/>
        </w:rPr>
        <w:t xml:space="preserve">onshore </w:t>
      </w:r>
      <w:r>
        <w:t>pre</w:t>
      </w:r>
      <w:r w:rsidR="00DC4E50">
        <w:rPr>
          <w:szCs w:val="24"/>
        </w:rPr>
        <w:noBreakHyphen/>
      </w:r>
      <w:r>
        <w:t xml:space="preserve">competitive geoscience information. </w:t>
      </w:r>
    </w:p>
    <w:p w:rsidR="007E4B2B" w:rsidRPr="00701875" w:rsidRDefault="007E4B2B" w:rsidP="007E4B2B">
      <w:pPr>
        <w:pStyle w:val="BodyText"/>
      </w:pPr>
      <w:r>
        <w:rPr>
          <w:lang w:val="en"/>
        </w:rPr>
        <w:t xml:space="preserve">GA, a Commonwealth agency, has prime responsibility for </w:t>
      </w:r>
      <w:r>
        <w:rPr>
          <w:i/>
          <w:lang w:val="en"/>
        </w:rPr>
        <w:t>offshore</w:t>
      </w:r>
      <w:r>
        <w:rPr>
          <w:lang w:val="en"/>
        </w:rPr>
        <w:t xml:space="preserve"> pre</w:t>
      </w:r>
      <w:r>
        <w:rPr>
          <w:lang w:val="en"/>
        </w:rPr>
        <w:noBreakHyphen/>
        <w:t>competitive information and mapping activities. It also conducts applied research and provides data, information and services to a wide range of government agencies, industry and international partners.</w:t>
      </w:r>
      <w:r w:rsidRPr="00261FEF">
        <w:t xml:space="preserve"> </w:t>
      </w:r>
    </w:p>
    <w:p w:rsidR="007E4B2B" w:rsidRDefault="007E4B2B" w:rsidP="007E4B2B">
      <w:pPr>
        <w:pStyle w:val="BodyText"/>
      </w:pPr>
      <w:r>
        <w:rPr>
          <w:lang w:val="en"/>
        </w:rPr>
        <w:t xml:space="preserve">GA stores data, information </w:t>
      </w:r>
      <w:r w:rsidRPr="00261FEF">
        <w:t xml:space="preserve">and the physical samples generated by exploration companies through drilling and exploring offshore basins. GA also formally collaborates with its jurisdictional counterparts under the National Geoscience Agreement in gathering and assessing onshore </w:t>
      </w:r>
      <w:r>
        <w:t>geoscientific</w:t>
      </w:r>
      <w:r w:rsidRPr="00261FEF">
        <w:t xml:space="preserve"> data (at national and regional scale)</w:t>
      </w:r>
      <w:r>
        <w:t xml:space="preserve">. </w:t>
      </w:r>
    </w:p>
    <w:p w:rsidR="007E4B2B" w:rsidRPr="00261FEF" w:rsidRDefault="007E4B2B" w:rsidP="007E4B2B">
      <w:pPr>
        <w:pStyle w:val="BodyText"/>
      </w:pPr>
      <w:r>
        <w:t xml:space="preserve">In addition to collecting and disseminating geological data, governments also implement geoscience initiatives that aim to encourage private exploration activity within their jurisdiction. These initiatives </w:t>
      </w:r>
      <w:r w:rsidRPr="00261FEF">
        <w:t>have included co</w:t>
      </w:r>
      <w:r w:rsidR="00DC4E50">
        <w:rPr>
          <w:szCs w:val="24"/>
        </w:rPr>
        <w:noBreakHyphen/>
      </w:r>
      <w:r w:rsidRPr="00261FEF">
        <w:t>fund</w:t>
      </w:r>
      <w:r>
        <w:t>ing</w:t>
      </w:r>
      <w:r w:rsidRPr="00261FEF">
        <w:t xml:space="preserve"> drilling</w:t>
      </w:r>
      <w:r>
        <w:t xml:space="preserve"> and</w:t>
      </w:r>
      <w:r w:rsidRPr="00261FEF">
        <w:t xml:space="preserve"> facilitating the transfer of </w:t>
      </w:r>
      <w:r>
        <w:t xml:space="preserve">exploration </w:t>
      </w:r>
      <w:r w:rsidRPr="00261FEF">
        <w:t>technology.</w:t>
      </w:r>
      <w:r>
        <w:t xml:space="preserve"> </w:t>
      </w:r>
    </w:p>
    <w:p w:rsidR="007E4B2B" w:rsidRPr="00EF4E14" w:rsidRDefault="007E4B2B" w:rsidP="007E4B2B">
      <w:pPr>
        <w:pStyle w:val="BodyText"/>
      </w:pPr>
      <w:r>
        <w:t>Pre</w:t>
      </w:r>
      <w:r>
        <w:noBreakHyphen/>
        <w:t xml:space="preserve">competitive geoscience information is largely provided to explorers free of charge. The exception to this is New South Wales, which has recently moved towards full cost recovery charging. </w:t>
      </w:r>
      <w:r w:rsidR="00BF22A7">
        <w:t>This issue is considered later in the chapter</w:t>
      </w:r>
      <w:r>
        <w:t xml:space="preserve">. </w:t>
      </w:r>
    </w:p>
    <w:p w:rsidR="007E4B2B" w:rsidRDefault="004201F1" w:rsidP="007E4B2B">
      <w:pPr>
        <w:pStyle w:val="Heading2"/>
      </w:pPr>
      <w:r>
        <w:t>7.</w:t>
      </w:r>
      <w:r w:rsidR="00DE2D5C">
        <w:rPr>
          <w:noProof/>
        </w:rPr>
        <w:t>2</w:t>
      </w:r>
      <w:r w:rsidR="007E4B2B">
        <w:tab/>
        <w:t xml:space="preserve">The quality of Australia’s geological database </w:t>
      </w:r>
    </w:p>
    <w:p w:rsidR="007E4B2B" w:rsidRPr="00043216" w:rsidRDefault="007E4B2B" w:rsidP="007E4B2B">
      <w:pPr>
        <w:pStyle w:val="BodyText"/>
        <w:rPr>
          <w:lang w:val="en"/>
        </w:rPr>
      </w:pPr>
      <w:r>
        <w:rPr>
          <w:lang w:val="en"/>
        </w:rPr>
        <w:t xml:space="preserve">Around 80 per cent of the Australian continent is currently mapped by high resolution magnetic data while about 60 per cent is covered by radiometric data. Gravity datasets are available at reconnaissance scale (1:250 000) over most of the continent. </w:t>
      </w:r>
      <w:r>
        <w:t>Offshore oil, gas and condensate basins remain largely uncharted and are comparatively under</w:t>
      </w:r>
      <w:r>
        <w:noBreakHyphen/>
        <w:t>explored despite being estimated to hold more than 90 per cent of Australia’s known oil and condensate reserve (</w:t>
      </w:r>
      <w:proofErr w:type="spellStart"/>
      <w:r>
        <w:t>ACIL</w:t>
      </w:r>
      <w:proofErr w:type="spellEnd"/>
      <w:r>
        <w:t xml:space="preserve"> Tasman 2010, 2011). </w:t>
      </w:r>
    </w:p>
    <w:p w:rsidR="007E4B2B" w:rsidRDefault="007E4B2B" w:rsidP="007E4B2B">
      <w:pPr>
        <w:pStyle w:val="BodyText"/>
        <w:rPr>
          <w:lang w:val="en"/>
        </w:rPr>
      </w:pPr>
      <w:r>
        <w:rPr>
          <w:lang w:val="en"/>
        </w:rPr>
        <w:t>Australia’s geological mapping is less detailed than in many other APEC economies (table 7.1). Many APEC economies provide maps at twice the resolution of those available in Australia while in several countries, including the United States, maps are at least four times more detailed.</w:t>
      </w:r>
    </w:p>
    <w:p w:rsidR="007E4B2B" w:rsidRDefault="007E4B2B" w:rsidP="007E4B2B">
      <w:pPr>
        <w:pStyle w:val="TableTitle"/>
      </w:pPr>
      <w:r>
        <w:rPr>
          <w:b w:val="0"/>
        </w:rPr>
        <w:lastRenderedPageBreak/>
        <w:t xml:space="preserve">Table </w:t>
      </w:r>
      <w:r w:rsidR="004201F1">
        <w:rPr>
          <w:b w:val="0"/>
        </w:rPr>
        <w:t>7.</w:t>
      </w:r>
      <w:r>
        <w:rPr>
          <w:b w:val="0"/>
        </w:rPr>
        <w:t>1</w:t>
      </w:r>
      <w:r>
        <w:tab/>
        <w:t xml:space="preserve">Availability of geological information </w:t>
      </w:r>
      <w:r w:rsidR="00DC4E50">
        <w:noBreakHyphen/>
      </w:r>
      <w:r>
        <w:t xml:space="preserve"> APEC economies</w:t>
      </w:r>
    </w:p>
    <w:p w:rsidR="007E4B2B" w:rsidRDefault="007E4B2B" w:rsidP="007E4B2B">
      <w:pPr>
        <w:pStyle w:val="Subtitle"/>
      </w:pPr>
      <w:r>
        <w:rPr>
          <w:noProof/>
        </w:rPr>
        <mc:AlternateContent>
          <mc:Choice Requires="wps">
            <w:drawing>
              <wp:anchor distT="0" distB="0" distL="114300" distR="114300" simplePos="0" relativeHeight="251659264" behindDoc="0" locked="0" layoutInCell="1" allowOverlap="1" wp14:anchorId="16D77B4D" wp14:editId="63A204A6">
                <wp:simplePos x="0" y="0"/>
                <wp:positionH relativeFrom="column">
                  <wp:posOffset>1551305</wp:posOffset>
                </wp:positionH>
                <wp:positionV relativeFrom="paragraph">
                  <wp:posOffset>1699</wp:posOffset>
                </wp:positionV>
                <wp:extent cx="214630" cy="111125"/>
                <wp:effectExtent l="0" t="0" r="13970" b="22225"/>
                <wp:wrapNone/>
                <wp:docPr id="2" name="Rectangle 2"/>
                <wp:cNvGraphicFramePr/>
                <a:graphic xmlns:a="http://schemas.openxmlformats.org/drawingml/2006/main">
                  <a:graphicData uri="http://schemas.microsoft.com/office/word/2010/wordprocessingShape">
                    <wps:wsp>
                      <wps:cNvSpPr/>
                      <wps:spPr>
                        <a:xfrm>
                          <a:off x="0" y="0"/>
                          <a:ext cx="214630" cy="1111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22.15pt;margin-top:.15pt;width:16.9pt;height: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" filled="f" strokecolor="black [3213]" strokeweight=".5pt"/>
            </w:pict>
          </mc:Fallback>
        </mc:AlternateContent>
      </w:r>
      <w:r>
        <w:rPr>
          <w:noProof/>
        </w:rPr>
        <mc:AlternateContent>
          <mc:Choice Requires="wps">
            <w:drawing>
              <wp:anchor distT="0" distB="0" distL="114300" distR="114300" simplePos="0" relativeHeight="251661312" behindDoc="0" locked="0" layoutInCell="1" allowOverlap="1" wp14:anchorId="59993FAD" wp14:editId="672CB4D9">
                <wp:simplePos x="0" y="0"/>
                <wp:positionH relativeFrom="column">
                  <wp:posOffset>2129790</wp:posOffset>
                </wp:positionH>
                <wp:positionV relativeFrom="paragraph">
                  <wp:posOffset>6046</wp:posOffset>
                </wp:positionV>
                <wp:extent cx="214630" cy="111125"/>
                <wp:effectExtent l="0" t="0" r="0" b="3175"/>
                <wp:wrapNone/>
                <wp:docPr id="3" name="Rectangle 3"/>
                <wp:cNvGraphicFramePr/>
                <a:graphic xmlns:a="http://schemas.openxmlformats.org/drawingml/2006/main">
                  <a:graphicData uri="http://schemas.microsoft.com/office/word/2010/wordprocessingShape">
                    <wps:wsp>
                      <wps:cNvSpPr/>
                      <wps:spPr>
                        <a:xfrm>
                          <a:off x="0" y="0"/>
                          <a:ext cx="214630" cy="111125"/>
                        </a:xfrm>
                        <a:prstGeom prst="rect">
                          <a:avLst/>
                        </a:prstGeom>
                        <a:solidFill>
                          <a:schemeClr val="bg1">
                            <a:lumMod val="7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67.7pt;margin-top:.5pt;width:16.9pt;height: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" fillcolor="#bfbfbf [2412]" stroked="f" strokeweight="2pt"/>
            </w:pict>
          </mc:Fallback>
        </mc:AlternateContent>
      </w:r>
      <w:r>
        <w:rPr>
          <w:noProof/>
        </w:rPr>
        <mc:AlternateContent>
          <mc:Choice Requires="wps">
            <w:drawing>
              <wp:anchor distT="0" distB="0" distL="114300" distR="114300" simplePos="0" relativeHeight="251660288" behindDoc="0" locked="0" layoutInCell="1" allowOverlap="1" wp14:anchorId="3922E357" wp14:editId="0A7859C6">
                <wp:simplePos x="0" y="0"/>
                <wp:positionH relativeFrom="column">
                  <wp:posOffset>936625</wp:posOffset>
                </wp:positionH>
                <wp:positionV relativeFrom="paragraph">
                  <wp:posOffset>-2236</wp:posOffset>
                </wp:positionV>
                <wp:extent cx="214630" cy="111125"/>
                <wp:effectExtent l="0" t="0" r="0" b="3175"/>
                <wp:wrapNone/>
                <wp:docPr id="1" name="Rectangle 1"/>
                <wp:cNvGraphicFramePr/>
                <a:graphic xmlns:a="http://schemas.openxmlformats.org/drawingml/2006/main">
                  <a:graphicData uri="http://schemas.microsoft.com/office/word/2010/wordprocessingShape">
                    <wps:wsp>
                      <wps:cNvSpPr/>
                      <wps:spPr>
                        <a:xfrm>
                          <a:off x="0" y="0"/>
                          <a:ext cx="214630" cy="111125"/>
                        </a:xfrm>
                        <a:prstGeom prst="rect">
                          <a:avLst/>
                        </a:prstGeom>
                        <a:solidFill>
                          <a:schemeClr val="tx1"/>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73.75pt;margin-top:-.2pt;width:16.9pt;height: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" fillcolor="black [3213]" stroked="f" strokeweight="2pt"/>
            </w:pict>
          </mc:Fallback>
        </mc:AlternateContent>
      </w:r>
      <w:r>
        <w:t xml:space="preserve">       Yes            No            Not indicated </w:t>
      </w:r>
    </w:p>
    <w:tbl>
      <w:tblPr>
        <w:tblW w:w="5000" w:type="pct"/>
        <w:tblLayout w:type="fixed"/>
        <w:tblCellMar>
          <w:left w:w="0" w:type="dxa"/>
          <w:right w:w="0" w:type="dxa"/>
        </w:tblCellMar>
        <w:tblLook w:val="0000" w:firstRow="0" w:lastRow="0" w:firstColumn="0" w:lastColumn="0" w:noHBand="0" w:noVBand="0"/>
      </w:tblPr>
      <w:tblGrid>
        <w:gridCol w:w="1560"/>
        <w:gridCol w:w="1042"/>
        <w:gridCol w:w="896"/>
        <w:gridCol w:w="896"/>
        <w:gridCol w:w="1134"/>
        <w:gridCol w:w="3261"/>
      </w:tblGrid>
      <w:tr w:rsidR="007E4B2B" w:rsidTr="00401A53">
        <w:tc>
          <w:tcPr>
            <w:tcW w:w="887" w:type="pct"/>
            <w:tcBorders>
              <w:top w:val="single" w:sz="6" w:space="0" w:color="auto"/>
              <w:bottom w:val="single" w:sz="6" w:space="0" w:color="auto"/>
            </w:tcBorders>
            <w:shd w:val="clear" w:color="auto" w:fill="auto"/>
          </w:tcPr>
          <w:p w:rsidR="007E4B2B" w:rsidRDefault="007E4B2B" w:rsidP="00401A53">
            <w:pPr>
              <w:pStyle w:val="TableColumnHeading"/>
              <w:jc w:val="left"/>
            </w:pPr>
            <w:r>
              <w:t>Country</w:t>
            </w:r>
          </w:p>
        </w:tc>
        <w:tc>
          <w:tcPr>
            <w:tcW w:w="593" w:type="pct"/>
            <w:tcBorders>
              <w:top w:val="single" w:sz="6" w:space="0" w:color="auto"/>
              <w:bottom w:val="single" w:sz="6" w:space="0" w:color="auto"/>
            </w:tcBorders>
            <w:shd w:val="clear" w:color="auto" w:fill="auto"/>
          </w:tcPr>
          <w:p w:rsidR="007E4B2B" w:rsidRPr="00A36633" w:rsidRDefault="007E4B2B" w:rsidP="00401A53">
            <w:pPr>
              <w:pStyle w:val="TableColumnHeading"/>
              <w:rPr>
                <w:sz w:val="16"/>
              </w:rPr>
            </w:pPr>
            <w:r w:rsidRPr="00A36633">
              <w:rPr>
                <w:sz w:val="16"/>
              </w:rPr>
              <w:t>Restrictions on who can access data</w:t>
            </w:r>
          </w:p>
        </w:tc>
        <w:tc>
          <w:tcPr>
            <w:tcW w:w="510" w:type="pct"/>
            <w:tcBorders>
              <w:top w:val="single" w:sz="6" w:space="0" w:color="auto"/>
              <w:bottom w:val="single" w:sz="6" w:space="0" w:color="auto"/>
            </w:tcBorders>
            <w:shd w:val="clear" w:color="auto" w:fill="auto"/>
          </w:tcPr>
          <w:p w:rsidR="007E4B2B" w:rsidRPr="00A36633" w:rsidRDefault="007E4B2B" w:rsidP="00401A53">
            <w:pPr>
              <w:pStyle w:val="TableColumnHeading"/>
              <w:rPr>
                <w:sz w:val="16"/>
              </w:rPr>
            </w:pPr>
            <w:r w:rsidRPr="00A36633">
              <w:rPr>
                <w:sz w:val="16"/>
              </w:rPr>
              <w:t>Data is available online</w:t>
            </w:r>
          </w:p>
        </w:tc>
        <w:tc>
          <w:tcPr>
            <w:tcW w:w="510" w:type="pct"/>
            <w:tcBorders>
              <w:top w:val="single" w:sz="6" w:space="0" w:color="auto"/>
              <w:bottom w:val="single" w:sz="6" w:space="0" w:color="auto"/>
            </w:tcBorders>
            <w:shd w:val="clear" w:color="auto" w:fill="auto"/>
          </w:tcPr>
          <w:p w:rsidR="007E4B2B" w:rsidRPr="00A36633" w:rsidRDefault="007E4B2B" w:rsidP="00401A53">
            <w:pPr>
              <w:pStyle w:val="TableColumnHeading"/>
              <w:rPr>
                <w:sz w:val="16"/>
              </w:rPr>
            </w:pPr>
            <w:r w:rsidRPr="00A36633">
              <w:rPr>
                <w:sz w:val="16"/>
              </w:rPr>
              <w:t>Data is available free of charge</w:t>
            </w:r>
          </w:p>
        </w:tc>
        <w:tc>
          <w:tcPr>
            <w:tcW w:w="645" w:type="pct"/>
            <w:tcBorders>
              <w:top w:val="single" w:sz="6" w:space="0" w:color="auto"/>
              <w:bottom w:val="single" w:sz="6" w:space="0" w:color="auto"/>
            </w:tcBorders>
            <w:shd w:val="clear" w:color="auto" w:fill="auto"/>
          </w:tcPr>
          <w:p w:rsidR="007E4B2B" w:rsidRPr="00A36633" w:rsidRDefault="007E4B2B" w:rsidP="00401A53">
            <w:pPr>
              <w:pStyle w:val="TableColumnHeading"/>
              <w:rPr>
                <w:sz w:val="16"/>
              </w:rPr>
            </w:pPr>
            <w:r w:rsidRPr="00A36633">
              <w:rPr>
                <w:sz w:val="16"/>
              </w:rPr>
              <w:t>Smallest scale at which data available</w:t>
            </w:r>
          </w:p>
        </w:tc>
        <w:tc>
          <w:tcPr>
            <w:tcW w:w="1855" w:type="pct"/>
            <w:tcBorders>
              <w:top w:val="single" w:sz="6" w:space="0" w:color="auto"/>
              <w:bottom w:val="single" w:sz="6" w:space="0" w:color="auto"/>
            </w:tcBorders>
            <w:shd w:val="clear" w:color="auto" w:fill="auto"/>
          </w:tcPr>
          <w:p w:rsidR="007E4B2B" w:rsidRPr="0014720A" w:rsidRDefault="007E4B2B" w:rsidP="00401A53">
            <w:pPr>
              <w:pStyle w:val="TableColumnHeading"/>
              <w:ind w:right="28"/>
              <w:rPr>
                <w:sz w:val="18"/>
              </w:rPr>
            </w:pPr>
            <w:r w:rsidRPr="0014720A">
              <w:rPr>
                <w:sz w:val="18"/>
              </w:rPr>
              <w:t>Name of agency</w:t>
            </w:r>
          </w:p>
        </w:tc>
      </w:tr>
      <w:tr w:rsidR="007E4B2B" w:rsidTr="00401A53">
        <w:trPr>
          <w:trHeight w:val="510"/>
        </w:trPr>
        <w:tc>
          <w:tcPr>
            <w:tcW w:w="887" w:type="pct"/>
            <w:vAlign w:val="center"/>
          </w:tcPr>
          <w:p w:rsidR="007E4B2B" w:rsidRPr="00A36633" w:rsidRDefault="007E4B2B" w:rsidP="00401A53">
            <w:pPr>
              <w:pStyle w:val="TableBodyText"/>
              <w:spacing w:before="60"/>
              <w:jc w:val="left"/>
              <w:rPr>
                <w:sz w:val="16"/>
              </w:rPr>
            </w:pPr>
            <w:r w:rsidRPr="00A36633">
              <w:rPr>
                <w:sz w:val="16"/>
              </w:rPr>
              <w:t>Australia</w:t>
            </w:r>
          </w:p>
        </w:tc>
        <w:tc>
          <w:tcPr>
            <w:tcW w:w="593" w:type="pct"/>
            <w:vAlign w:val="center"/>
          </w:tcPr>
          <w:p w:rsidR="007E4B2B" w:rsidRPr="0025776F" w:rsidRDefault="007E4B2B" w:rsidP="00401A53">
            <w:pPr>
              <w:pStyle w:val="TableBodyText"/>
              <w:spacing w:after="0"/>
              <w:jc w:val="center"/>
              <w:rPr>
                <w:b/>
              </w:rPr>
            </w:pPr>
            <w:r>
              <w:rPr>
                <w:noProof/>
              </w:rPr>
              <mc:AlternateContent>
                <mc:Choice Requires="wps">
                  <w:drawing>
                    <wp:inline distT="0" distB="0" distL="0" distR="0" wp14:anchorId="4618BA40" wp14:editId="3DAE015E">
                      <wp:extent cx="144000" cy="144000"/>
                      <wp:effectExtent l="0" t="0" r="27940" b="27940"/>
                      <wp:docPr id="34" name="Rectangle 34"/>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4"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" filled="f" strokecolor="black [3213]">
                      <w10:anchorlock/>
                    </v:rect>
                  </w:pict>
                </mc:Fallback>
              </mc:AlternateContent>
            </w:r>
          </w:p>
        </w:tc>
        <w:tc>
          <w:tcPr>
            <w:tcW w:w="510" w:type="pct"/>
            <w:vAlign w:val="center"/>
          </w:tcPr>
          <w:p w:rsidR="007E4B2B" w:rsidRPr="0025776F" w:rsidRDefault="007E4B2B" w:rsidP="00401A53">
            <w:pPr>
              <w:pStyle w:val="TableBodyText"/>
              <w:spacing w:after="0"/>
              <w:jc w:val="center"/>
              <w:rPr>
                <w:b/>
              </w:rPr>
            </w:pPr>
            <w:r>
              <w:rPr>
                <w:noProof/>
              </w:rPr>
              <mc:AlternateContent>
                <mc:Choice Requires="wps">
                  <w:drawing>
                    <wp:inline distT="0" distB="0" distL="0" distR="0" wp14:anchorId="57773E00" wp14:editId="14927173">
                      <wp:extent cx="144000" cy="144000"/>
                      <wp:effectExtent l="0" t="0" r="8890" b="8890"/>
                      <wp:docPr id="4" name="Rectangle 4"/>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tx1"/>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" fillcolor="black [3213]" stroked="f" strokeweight="2pt">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51170E63" wp14:editId="7C8FBBFC">
                      <wp:extent cx="144000" cy="144000"/>
                      <wp:effectExtent l="0" t="0" r="8890" b="8890"/>
                      <wp:docPr id="12" name="Rectangle 12"/>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tx1"/>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12"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" fillcolor="black [3213]" stroked="f" strokeweight="2pt">
                      <w10:anchorlock/>
                    </v:rect>
                  </w:pict>
                </mc:Fallback>
              </mc:AlternateContent>
            </w:r>
          </w:p>
        </w:tc>
        <w:tc>
          <w:tcPr>
            <w:tcW w:w="645" w:type="pct"/>
            <w:vAlign w:val="center"/>
          </w:tcPr>
          <w:p w:rsidR="007E4B2B" w:rsidRPr="00A36633" w:rsidRDefault="007E4B2B" w:rsidP="00401A53">
            <w:pPr>
              <w:pStyle w:val="TableBodyText"/>
              <w:spacing w:before="60"/>
              <w:rPr>
                <w:sz w:val="18"/>
              </w:rPr>
            </w:pPr>
            <w:r w:rsidRPr="00A36633">
              <w:rPr>
                <w:sz w:val="18"/>
              </w:rPr>
              <w:t>1:100 000</w:t>
            </w:r>
          </w:p>
        </w:tc>
        <w:tc>
          <w:tcPr>
            <w:tcW w:w="1855" w:type="pct"/>
            <w:vAlign w:val="center"/>
          </w:tcPr>
          <w:p w:rsidR="007E4B2B" w:rsidRPr="00A36633" w:rsidRDefault="007E4B2B" w:rsidP="00401A53">
            <w:pPr>
              <w:pStyle w:val="TableBodyText"/>
              <w:spacing w:before="60"/>
              <w:ind w:right="28"/>
              <w:rPr>
                <w:sz w:val="16"/>
              </w:rPr>
            </w:pPr>
            <w:r w:rsidRPr="00A36633">
              <w:rPr>
                <w:sz w:val="16"/>
              </w:rPr>
              <w:t xml:space="preserve">Geoscience Australia, various state and territory </w:t>
            </w:r>
            <w:r>
              <w:rPr>
                <w:sz w:val="16"/>
              </w:rPr>
              <w:t xml:space="preserve">geological survey </w:t>
            </w:r>
            <w:r w:rsidRPr="00A36633">
              <w:rPr>
                <w:sz w:val="16"/>
              </w:rPr>
              <w:t>agencies</w:t>
            </w:r>
          </w:p>
        </w:tc>
      </w:tr>
      <w:tr w:rsidR="007E4B2B" w:rsidTr="00401A53">
        <w:trPr>
          <w:trHeight w:val="454"/>
        </w:trPr>
        <w:tc>
          <w:tcPr>
            <w:tcW w:w="887" w:type="pct"/>
            <w:vAlign w:val="center"/>
          </w:tcPr>
          <w:p w:rsidR="007E4B2B" w:rsidRPr="00A36633" w:rsidRDefault="007E4B2B" w:rsidP="00401A53">
            <w:pPr>
              <w:pStyle w:val="TableBodyText"/>
              <w:jc w:val="left"/>
              <w:rPr>
                <w:sz w:val="16"/>
              </w:rPr>
            </w:pPr>
            <w:r w:rsidRPr="00A36633">
              <w:rPr>
                <w:sz w:val="16"/>
              </w:rPr>
              <w:t>Brunei Darussalam</w:t>
            </w:r>
          </w:p>
        </w:tc>
        <w:tc>
          <w:tcPr>
            <w:tcW w:w="593" w:type="pct"/>
            <w:vAlign w:val="center"/>
          </w:tcPr>
          <w:p w:rsidR="007E4B2B" w:rsidRDefault="007E4B2B" w:rsidP="00401A53">
            <w:pPr>
              <w:pStyle w:val="TableBodyText"/>
              <w:spacing w:after="0"/>
              <w:jc w:val="center"/>
            </w:pPr>
            <w:r>
              <w:rPr>
                <w:noProof/>
              </w:rPr>
              <mc:AlternateContent>
                <mc:Choice Requires="wps">
                  <w:drawing>
                    <wp:inline distT="0" distB="0" distL="0" distR="0" wp14:anchorId="312BB273" wp14:editId="7469C203">
                      <wp:extent cx="144000" cy="144000"/>
                      <wp:effectExtent l="0" t="0" r="8890" b="8890"/>
                      <wp:docPr id="15" name="Rectangle 15"/>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tx1"/>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15"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" fillcolor="black [3213]" stroked="f" strokeweight="2pt">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1844DDEF" wp14:editId="2502E26F">
                      <wp:extent cx="144000" cy="144000"/>
                      <wp:effectExtent l="0" t="0" r="27940" b="27940"/>
                      <wp:docPr id="35" name="Rectangle 35"/>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5"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" filled="f" strokecolor="black [3213]">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7AB5702C" wp14:editId="1D9D3C80">
                      <wp:extent cx="144000" cy="144000"/>
                      <wp:effectExtent l="0" t="0" r="27940" b="27940"/>
                      <wp:docPr id="36" name="Rectangle 36"/>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6"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" filled="f" strokecolor="black [3213]">
                      <w10:anchorlock/>
                    </v:rect>
                  </w:pict>
                </mc:Fallback>
              </mc:AlternateContent>
            </w:r>
          </w:p>
        </w:tc>
        <w:tc>
          <w:tcPr>
            <w:tcW w:w="645" w:type="pct"/>
            <w:vAlign w:val="center"/>
          </w:tcPr>
          <w:p w:rsidR="007E4B2B" w:rsidRPr="00A36633" w:rsidRDefault="007E4B2B" w:rsidP="00401A53">
            <w:pPr>
              <w:pStyle w:val="TableBodyText"/>
              <w:rPr>
                <w:sz w:val="18"/>
              </w:rPr>
            </w:pPr>
            <w:r w:rsidRPr="00A36633">
              <w:rPr>
                <w:sz w:val="18"/>
              </w:rPr>
              <w:t>1:1</w:t>
            </w:r>
            <w:r>
              <w:rPr>
                <w:sz w:val="18"/>
              </w:rPr>
              <w:t> </w:t>
            </w:r>
            <w:r w:rsidRPr="00A36633">
              <w:rPr>
                <w:sz w:val="18"/>
              </w:rPr>
              <w:t>000</w:t>
            </w:r>
          </w:p>
        </w:tc>
        <w:tc>
          <w:tcPr>
            <w:tcW w:w="1855" w:type="pct"/>
            <w:vAlign w:val="center"/>
          </w:tcPr>
          <w:p w:rsidR="007E4B2B" w:rsidRPr="00A36633" w:rsidRDefault="007E4B2B" w:rsidP="00401A53">
            <w:pPr>
              <w:pStyle w:val="TableBodyText"/>
              <w:ind w:right="28"/>
              <w:rPr>
                <w:sz w:val="16"/>
              </w:rPr>
            </w:pPr>
            <w:r w:rsidRPr="00A36633">
              <w:rPr>
                <w:sz w:val="16"/>
              </w:rPr>
              <w:t>Survey Department</w:t>
            </w:r>
          </w:p>
        </w:tc>
      </w:tr>
      <w:tr w:rsidR="007E4B2B" w:rsidTr="00401A53">
        <w:trPr>
          <w:trHeight w:val="607"/>
        </w:trPr>
        <w:tc>
          <w:tcPr>
            <w:tcW w:w="887" w:type="pct"/>
            <w:vAlign w:val="center"/>
          </w:tcPr>
          <w:p w:rsidR="007E4B2B" w:rsidRPr="00A36633" w:rsidRDefault="007E4B2B" w:rsidP="00401A53">
            <w:pPr>
              <w:pStyle w:val="TableBodyText"/>
              <w:jc w:val="left"/>
              <w:rPr>
                <w:sz w:val="16"/>
              </w:rPr>
            </w:pPr>
            <w:r w:rsidRPr="00A36633">
              <w:rPr>
                <w:sz w:val="16"/>
              </w:rPr>
              <w:t>Canada</w:t>
            </w:r>
          </w:p>
        </w:tc>
        <w:tc>
          <w:tcPr>
            <w:tcW w:w="593" w:type="pct"/>
            <w:vAlign w:val="center"/>
          </w:tcPr>
          <w:p w:rsidR="007E4B2B" w:rsidRDefault="007E4B2B" w:rsidP="00401A53">
            <w:pPr>
              <w:pStyle w:val="TableBodyText"/>
              <w:spacing w:after="0"/>
              <w:jc w:val="center"/>
            </w:pPr>
            <w:r>
              <w:rPr>
                <w:noProof/>
              </w:rPr>
              <mc:AlternateContent>
                <mc:Choice Requires="wps">
                  <w:drawing>
                    <wp:inline distT="0" distB="0" distL="0" distR="0" wp14:anchorId="3426BF5C" wp14:editId="4D88037D">
                      <wp:extent cx="144000" cy="144000"/>
                      <wp:effectExtent l="0" t="0" r="27940" b="27940"/>
                      <wp:docPr id="37" name="Rectangle 37"/>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7"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" filled="f" strokecolor="black [3213]">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75FAAECB" wp14:editId="2D10A087">
                      <wp:extent cx="144000" cy="144000"/>
                      <wp:effectExtent l="0" t="0" r="8890" b="8890"/>
                      <wp:docPr id="14" name="Rectangle 14"/>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tx1"/>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14"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" fillcolor="black [3213]" stroked="f" strokeweight="2pt">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71EB1B67" wp14:editId="63873FBE">
                      <wp:extent cx="144000" cy="144000"/>
                      <wp:effectExtent l="0" t="0" r="8890" b="8890"/>
                      <wp:docPr id="13" name="Rectangle 13"/>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tx1"/>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13"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" fillcolor="black [3213]" stroked="f" strokeweight="2pt">
                      <w10:anchorlock/>
                    </v:rect>
                  </w:pict>
                </mc:Fallback>
              </mc:AlternateContent>
            </w:r>
          </w:p>
        </w:tc>
        <w:tc>
          <w:tcPr>
            <w:tcW w:w="645" w:type="pct"/>
            <w:vAlign w:val="center"/>
          </w:tcPr>
          <w:p w:rsidR="007E4B2B" w:rsidRPr="00A36633" w:rsidRDefault="007E4B2B" w:rsidP="00401A53">
            <w:pPr>
              <w:pStyle w:val="TableBodyText"/>
              <w:rPr>
                <w:sz w:val="18"/>
              </w:rPr>
            </w:pPr>
            <w:r w:rsidRPr="00A36633">
              <w:rPr>
                <w:sz w:val="18"/>
              </w:rPr>
              <w:t>1:50 000</w:t>
            </w:r>
          </w:p>
        </w:tc>
        <w:tc>
          <w:tcPr>
            <w:tcW w:w="1855" w:type="pct"/>
            <w:vAlign w:val="center"/>
          </w:tcPr>
          <w:p w:rsidR="007E4B2B" w:rsidRPr="00A36633" w:rsidRDefault="007E4B2B" w:rsidP="00401A53">
            <w:pPr>
              <w:pStyle w:val="TableBodyText"/>
              <w:ind w:right="28"/>
              <w:rPr>
                <w:sz w:val="16"/>
              </w:rPr>
            </w:pPr>
            <w:r w:rsidRPr="00A36633">
              <w:rPr>
                <w:sz w:val="16"/>
              </w:rPr>
              <w:t>Geological Survey of Canada, various provincial agencies</w:t>
            </w:r>
          </w:p>
        </w:tc>
      </w:tr>
      <w:tr w:rsidR="007E4B2B" w:rsidTr="00401A53">
        <w:trPr>
          <w:trHeight w:val="454"/>
        </w:trPr>
        <w:tc>
          <w:tcPr>
            <w:tcW w:w="887" w:type="pct"/>
            <w:vAlign w:val="center"/>
          </w:tcPr>
          <w:p w:rsidR="007E4B2B" w:rsidRPr="00A36633" w:rsidRDefault="007E4B2B" w:rsidP="00401A53">
            <w:pPr>
              <w:pStyle w:val="TableBodyText"/>
              <w:jc w:val="left"/>
              <w:rPr>
                <w:sz w:val="16"/>
              </w:rPr>
            </w:pPr>
            <w:r w:rsidRPr="00A36633">
              <w:rPr>
                <w:sz w:val="16"/>
              </w:rPr>
              <w:t>Chile</w:t>
            </w:r>
          </w:p>
        </w:tc>
        <w:tc>
          <w:tcPr>
            <w:tcW w:w="593" w:type="pct"/>
            <w:vAlign w:val="center"/>
          </w:tcPr>
          <w:p w:rsidR="007E4B2B" w:rsidRDefault="007E4B2B" w:rsidP="00401A53">
            <w:pPr>
              <w:pStyle w:val="TableBodyText"/>
              <w:spacing w:after="0"/>
              <w:jc w:val="center"/>
            </w:pPr>
            <w:r>
              <w:rPr>
                <w:noProof/>
              </w:rPr>
              <mc:AlternateContent>
                <mc:Choice Requires="wps">
                  <w:drawing>
                    <wp:inline distT="0" distB="0" distL="0" distR="0" wp14:anchorId="56A5497E" wp14:editId="1E014F13">
                      <wp:extent cx="144000" cy="144000"/>
                      <wp:effectExtent l="0" t="0" r="8890" b="8890"/>
                      <wp:docPr id="65" name="Rectangle 65"/>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bg1">
                                  <a:lumMod val="7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65"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" fillcolor="#bfbfbf [2412]" stroked="f" strokeweight="2pt">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33435FC0" wp14:editId="3ABD060B">
                      <wp:extent cx="144000" cy="144000"/>
                      <wp:effectExtent l="0" t="0" r="27940" b="27940"/>
                      <wp:docPr id="38" name="Rectangle 38"/>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8"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" filled="f" strokecolor="black [3213]">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009D9DCE" wp14:editId="39BB9817">
                      <wp:extent cx="144000" cy="144000"/>
                      <wp:effectExtent l="0" t="0" r="8890" b="8890"/>
                      <wp:docPr id="64" name="Rectangle 64"/>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bg1">
                                  <a:lumMod val="7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64"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" fillcolor="#bfbfbf [2412]" stroked="f" strokeweight="2pt">
                      <w10:anchorlock/>
                    </v:rect>
                  </w:pict>
                </mc:Fallback>
              </mc:AlternateContent>
            </w:r>
          </w:p>
        </w:tc>
        <w:tc>
          <w:tcPr>
            <w:tcW w:w="645" w:type="pct"/>
            <w:vAlign w:val="center"/>
          </w:tcPr>
          <w:p w:rsidR="007E4B2B" w:rsidRPr="00A36633" w:rsidRDefault="007E4B2B" w:rsidP="00401A53">
            <w:pPr>
              <w:pStyle w:val="TableBodyText"/>
              <w:rPr>
                <w:sz w:val="18"/>
              </w:rPr>
            </w:pPr>
            <w:r w:rsidRPr="00A36633">
              <w:rPr>
                <w:sz w:val="18"/>
              </w:rPr>
              <w:t>1:50 000</w:t>
            </w:r>
          </w:p>
        </w:tc>
        <w:tc>
          <w:tcPr>
            <w:tcW w:w="1855" w:type="pct"/>
            <w:vAlign w:val="center"/>
          </w:tcPr>
          <w:p w:rsidR="007E4B2B" w:rsidRPr="00A36633" w:rsidRDefault="007E4B2B" w:rsidP="00401A53">
            <w:pPr>
              <w:pStyle w:val="TableBodyText"/>
              <w:ind w:right="28"/>
              <w:rPr>
                <w:sz w:val="16"/>
              </w:rPr>
            </w:pPr>
            <w:proofErr w:type="spellStart"/>
            <w:r w:rsidRPr="00A36633">
              <w:rPr>
                <w:sz w:val="16"/>
              </w:rPr>
              <w:t>Sevicio</w:t>
            </w:r>
            <w:proofErr w:type="spellEnd"/>
            <w:r w:rsidRPr="00A36633">
              <w:rPr>
                <w:sz w:val="16"/>
              </w:rPr>
              <w:t xml:space="preserve"> </w:t>
            </w:r>
            <w:proofErr w:type="spellStart"/>
            <w:r w:rsidRPr="00A36633">
              <w:rPr>
                <w:sz w:val="16"/>
              </w:rPr>
              <w:t>Nacional</w:t>
            </w:r>
            <w:proofErr w:type="spellEnd"/>
            <w:r w:rsidRPr="00A36633">
              <w:rPr>
                <w:sz w:val="16"/>
              </w:rPr>
              <w:t xml:space="preserve"> de </w:t>
            </w:r>
            <w:proofErr w:type="spellStart"/>
            <w:r w:rsidRPr="00A36633">
              <w:rPr>
                <w:sz w:val="16"/>
              </w:rPr>
              <w:t>Geologia</w:t>
            </w:r>
            <w:proofErr w:type="spellEnd"/>
            <w:r w:rsidRPr="00A36633">
              <w:rPr>
                <w:sz w:val="16"/>
              </w:rPr>
              <w:t xml:space="preserve"> y </w:t>
            </w:r>
            <w:proofErr w:type="spellStart"/>
            <w:r w:rsidRPr="00A36633">
              <w:rPr>
                <w:sz w:val="16"/>
              </w:rPr>
              <w:t>Mineria</w:t>
            </w:r>
            <w:proofErr w:type="spellEnd"/>
            <w:r w:rsidRPr="00A36633">
              <w:rPr>
                <w:sz w:val="16"/>
              </w:rPr>
              <w:t xml:space="preserve"> (</w:t>
            </w:r>
            <w:proofErr w:type="spellStart"/>
            <w:r w:rsidRPr="00A36633">
              <w:rPr>
                <w:sz w:val="16"/>
              </w:rPr>
              <w:t>Sernageomin</w:t>
            </w:r>
            <w:proofErr w:type="spellEnd"/>
            <w:r w:rsidRPr="00A36633">
              <w:rPr>
                <w:sz w:val="16"/>
              </w:rPr>
              <w:t>)</w:t>
            </w:r>
          </w:p>
        </w:tc>
      </w:tr>
      <w:tr w:rsidR="007E4B2B" w:rsidTr="00401A53">
        <w:trPr>
          <w:trHeight w:val="454"/>
        </w:trPr>
        <w:tc>
          <w:tcPr>
            <w:tcW w:w="887" w:type="pct"/>
            <w:vAlign w:val="center"/>
          </w:tcPr>
          <w:p w:rsidR="007E4B2B" w:rsidRPr="00A36633" w:rsidRDefault="007E4B2B" w:rsidP="00401A53">
            <w:pPr>
              <w:pStyle w:val="TableBodyText"/>
              <w:jc w:val="left"/>
              <w:rPr>
                <w:sz w:val="16"/>
              </w:rPr>
            </w:pPr>
            <w:r w:rsidRPr="00A36633">
              <w:rPr>
                <w:sz w:val="16"/>
              </w:rPr>
              <w:t>China</w:t>
            </w:r>
          </w:p>
        </w:tc>
        <w:tc>
          <w:tcPr>
            <w:tcW w:w="593" w:type="pct"/>
            <w:vAlign w:val="center"/>
          </w:tcPr>
          <w:p w:rsidR="007E4B2B" w:rsidRDefault="007E4B2B" w:rsidP="00401A53">
            <w:pPr>
              <w:pStyle w:val="TableBodyText"/>
              <w:spacing w:after="0"/>
              <w:jc w:val="center"/>
            </w:pPr>
            <w:r>
              <w:rPr>
                <w:noProof/>
              </w:rPr>
              <mc:AlternateContent>
                <mc:Choice Requires="wps">
                  <w:drawing>
                    <wp:inline distT="0" distB="0" distL="0" distR="0" wp14:anchorId="6CC6834B" wp14:editId="16A7D0DB">
                      <wp:extent cx="144000" cy="144000"/>
                      <wp:effectExtent l="0" t="0" r="8890" b="8890"/>
                      <wp:docPr id="16" name="Rectangle 16"/>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tx1"/>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16"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" fillcolor="black [3213]" stroked="f" strokeweight="2pt">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3F0417BB" wp14:editId="1B0F474A">
                      <wp:extent cx="144000" cy="144000"/>
                      <wp:effectExtent l="0" t="0" r="27940" b="27940"/>
                      <wp:docPr id="39" name="Rectangle 39"/>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9"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" filled="f" strokecolor="black [3213]">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342E9A01" wp14:editId="7AD6F412">
                      <wp:extent cx="144000" cy="144000"/>
                      <wp:effectExtent l="0" t="0" r="8890" b="8890"/>
                      <wp:docPr id="69" name="Rectangle 69"/>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bg1">
                                  <a:lumMod val="7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69"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" fillcolor="#bfbfbf [2412]" stroked="f" strokeweight="2pt">
                      <w10:anchorlock/>
                    </v:rect>
                  </w:pict>
                </mc:Fallback>
              </mc:AlternateContent>
            </w:r>
          </w:p>
        </w:tc>
        <w:tc>
          <w:tcPr>
            <w:tcW w:w="645" w:type="pct"/>
            <w:vAlign w:val="center"/>
          </w:tcPr>
          <w:p w:rsidR="007E4B2B" w:rsidRPr="00A36633" w:rsidRDefault="007E4B2B" w:rsidP="00401A53">
            <w:pPr>
              <w:pStyle w:val="TableBodyText"/>
              <w:rPr>
                <w:sz w:val="18"/>
              </w:rPr>
            </w:pPr>
            <w:r w:rsidRPr="00A36633">
              <w:rPr>
                <w:sz w:val="18"/>
              </w:rPr>
              <w:t>1:</w:t>
            </w:r>
            <w:r>
              <w:rPr>
                <w:sz w:val="18"/>
              </w:rPr>
              <w:t>50</w:t>
            </w:r>
            <w:r w:rsidRPr="00A36633">
              <w:rPr>
                <w:sz w:val="18"/>
              </w:rPr>
              <w:t> 000</w:t>
            </w:r>
          </w:p>
        </w:tc>
        <w:tc>
          <w:tcPr>
            <w:tcW w:w="1855" w:type="pct"/>
            <w:vAlign w:val="center"/>
          </w:tcPr>
          <w:p w:rsidR="007E4B2B" w:rsidRPr="00A36633" w:rsidRDefault="007E4B2B" w:rsidP="00401A53">
            <w:pPr>
              <w:pStyle w:val="TableBodyText"/>
              <w:ind w:right="28"/>
              <w:rPr>
                <w:sz w:val="16"/>
              </w:rPr>
            </w:pPr>
            <w:r w:rsidRPr="00A36633">
              <w:rPr>
                <w:sz w:val="16"/>
              </w:rPr>
              <w:t>China Geological Survey</w:t>
            </w:r>
          </w:p>
        </w:tc>
      </w:tr>
      <w:tr w:rsidR="007E4B2B" w:rsidTr="00401A53">
        <w:trPr>
          <w:trHeight w:val="454"/>
        </w:trPr>
        <w:tc>
          <w:tcPr>
            <w:tcW w:w="887" w:type="pct"/>
            <w:vAlign w:val="center"/>
          </w:tcPr>
          <w:p w:rsidR="007E4B2B" w:rsidRPr="00A36633" w:rsidRDefault="007E4B2B" w:rsidP="00401A53">
            <w:pPr>
              <w:pStyle w:val="TableBodyText"/>
              <w:jc w:val="left"/>
              <w:rPr>
                <w:sz w:val="16"/>
              </w:rPr>
            </w:pPr>
            <w:r w:rsidRPr="00A36633">
              <w:rPr>
                <w:sz w:val="16"/>
              </w:rPr>
              <w:t>Chinese Taipei</w:t>
            </w:r>
          </w:p>
        </w:tc>
        <w:tc>
          <w:tcPr>
            <w:tcW w:w="593" w:type="pct"/>
            <w:vAlign w:val="center"/>
          </w:tcPr>
          <w:p w:rsidR="007E4B2B" w:rsidRDefault="007E4B2B" w:rsidP="00401A53">
            <w:pPr>
              <w:pStyle w:val="TableBodyText"/>
              <w:spacing w:after="0"/>
              <w:jc w:val="center"/>
            </w:pPr>
            <w:r>
              <w:rPr>
                <w:noProof/>
              </w:rPr>
              <mc:AlternateContent>
                <mc:Choice Requires="wps">
                  <w:drawing>
                    <wp:inline distT="0" distB="0" distL="0" distR="0" wp14:anchorId="235E6355" wp14:editId="7715730A">
                      <wp:extent cx="144000" cy="144000"/>
                      <wp:effectExtent l="0" t="0" r="27940" b="27940"/>
                      <wp:docPr id="40" name="Rectangle 40"/>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0"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" filled="f" strokecolor="black [3213]">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0CEB4B8F" wp14:editId="39BE6944">
                      <wp:extent cx="144000" cy="144000"/>
                      <wp:effectExtent l="0" t="0" r="8890" b="8890"/>
                      <wp:docPr id="17" name="Rectangle 17"/>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tx1"/>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17"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" fillcolor="black [3213]" stroked="f" strokeweight="2pt">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58D93802" wp14:editId="20468A8E">
                      <wp:extent cx="144000" cy="144000"/>
                      <wp:effectExtent l="0" t="0" r="8890" b="8890"/>
                      <wp:docPr id="18" name="Rectangle 18"/>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tx1"/>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18"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" fillcolor="black [3213]" stroked="f" strokeweight="2pt">
                      <w10:anchorlock/>
                    </v:rect>
                  </w:pict>
                </mc:Fallback>
              </mc:AlternateContent>
            </w:r>
          </w:p>
        </w:tc>
        <w:tc>
          <w:tcPr>
            <w:tcW w:w="645" w:type="pct"/>
            <w:vAlign w:val="center"/>
          </w:tcPr>
          <w:p w:rsidR="007E4B2B" w:rsidRPr="00A36633" w:rsidRDefault="007E4B2B" w:rsidP="00401A53">
            <w:pPr>
              <w:pStyle w:val="TableBodyText"/>
              <w:rPr>
                <w:sz w:val="18"/>
              </w:rPr>
            </w:pPr>
            <w:r w:rsidRPr="00A36633">
              <w:rPr>
                <w:sz w:val="18"/>
              </w:rPr>
              <w:t>1:25 000</w:t>
            </w:r>
          </w:p>
        </w:tc>
        <w:tc>
          <w:tcPr>
            <w:tcW w:w="1855" w:type="pct"/>
            <w:vAlign w:val="center"/>
          </w:tcPr>
          <w:p w:rsidR="007E4B2B" w:rsidRPr="00A36633" w:rsidRDefault="007E4B2B" w:rsidP="00401A53">
            <w:pPr>
              <w:pStyle w:val="TableBodyText"/>
              <w:ind w:right="28"/>
              <w:rPr>
                <w:sz w:val="16"/>
              </w:rPr>
            </w:pPr>
            <w:r w:rsidRPr="00A36633">
              <w:rPr>
                <w:sz w:val="16"/>
              </w:rPr>
              <w:t>Central Geological Survey</w:t>
            </w:r>
          </w:p>
        </w:tc>
      </w:tr>
      <w:tr w:rsidR="007E4B2B" w:rsidTr="00401A53">
        <w:trPr>
          <w:trHeight w:val="510"/>
        </w:trPr>
        <w:tc>
          <w:tcPr>
            <w:tcW w:w="887" w:type="pct"/>
            <w:vAlign w:val="center"/>
          </w:tcPr>
          <w:p w:rsidR="007E4B2B" w:rsidRPr="00A36633" w:rsidRDefault="007E4B2B" w:rsidP="00401A53">
            <w:pPr>
              <w:pStyle w:val="TableBodyText"/>
              <w:jc w:val="left"/>
              <w:rPr>
                <w:sz w:val="16"/>
              </w:rPr>
            </w:pPr>
            <w:r w:rsidRPr="00A36633">
              <w:rPr>
                <w:sz w:val="16"/>
              </w:rPr>
              <w:t>Hong Kong, China</w:t>
            </w:r>
          </w:p>
        </w:tc>
        <w:tc>
          <w:tcPr>
            <w:tcW w:w="593" w:type="pct"/>
            <w:vAlign w:val="center"/>
          </w:tcPr>
          <w:p w:rsidR="007E4B2B" w:rsidRDefault="007E4B2B" w:rsidP="00401A53">
            <w:pPr>
              <w:pStyle w:val="TableBodyText"/>
              <w:spacing w:after="0"/>
              <w:jc w:val="center"/>
            </w:pPr>
            <w:r>
              <w:rPr>
                <w:noProof/>
              </w:rPr>
              <mc:AlternateContent>
                <mc:Choice Requires="wps">
                  <w:drawing>
                    <wp:inline distT="0" distB="0" distL="0" distR="0" wp14:anchorId="4D3E3DA8" wp14:editId="67D0283A">
                      <wp:extent cx="144000" cy="144000"/>
                      <wp:effectExtent l="0" t="0" r="27940" b="27940"/>
                      <wp:docPr id="41" name="Rectangle 41"/>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1"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" filled="f" strokecolor="black [3213]">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37A41CE0" wp14:editId="2DF4951E">
                      <wp:extent cx="144000" cy="144000"/>
                      <wp:effectExtent l="0" t="0" r="8890" b="8890"/>
                      <wp:docPr id="19" name="Rectangle 19"/>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tx1"/>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19"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" fillcolor="black [3213]" stroked="f" strokeweight="2pt">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1B096E47" wp14:editId="53D84D1E">
                      <wp:extent cx="144000" cy="144000"/>
                      <wp:effectExtent l="0" t="0" r="8890" b="8890"/>
                      <wp:docPr id="20" name="Rectangle 20"/>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tx1"/>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0"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" fillcolor="black [3213]" stroked="f" strokeweight="2pt">
                      <w10:anchorlock/>
                    </v:rect>
                  </w:pict>
                </mc:Fallback>
              </mc:AlternateContent>
            </w:r>
          </w:p>
        </w:tc>
        <w:tc>
          <w:tcPr>
            <w:tcW w:w="645" w:type="pct"/>
            <w:vAlign w:val="center"/>
          </w:tcPr>
          <w:p w:rsidR="007E4B2B" w:rsidRPr="00A36633" w:rsidRDefault="007E4B2B" w:rsidP="00401A53">
            <w:pPr>
              <w:pStyle w:val="TableBodyText"/>
              <w:rPr>
                <w:sz w:val="18"/>
              </w:rPr>
            </w:pPr>
            <w:r w:rsidRPr="00A36633">
              <w:rPr>
                <w:sz w:val="18"/>
              </w:rPr>
              <w:t>1:5</w:t>
            </w:r>
            <w:r>
              <w:rPr>
                <w:sz w:val="18"/>
              </w:rPr>
              <w:t> </w:t>
            </w:r>
            <w:r w:rsidRPr="00A36633">
              <w:rPr>
                <w:sz w:val="18"/>
              </w:rPr>
              <w:t>000</w:t>
            </w:r>
          </w:p>
        </w:tc>
        <w:tc>
          <w:tcPr>
            <w:tcW w:w="1855" w:type="pct"/>
            <w:vAlign w:val="center"/>
          </w:tcPr>
          <w:p w:rsidR="007E4B2B" w:rsidRPr="00A36633" w:rsidRDefault="007E4B2B" w:rsidP="00401A53">
            <w:pPr>
              <w:pStyle w:val="TableBodyText"/>
              <w:ind w:right="28"/>
              <w:rPr>
                <w:sz w:val="16"/>
              </w:rPr>
            </w:pPr>
            <w:r w:rsidRPr="00A36633">
              <w:rPr>
                <w:sz w:val="16"/>
              </w:rPr>
              <w:t>Hong Kong Geological Survey Section, Civil Engineering and Development Department</w:t>
            </w:r>
          </w:p>
        </w:tc>
      </w:tr>
      <w:tr w:rsidR="007E4B2B" w:rsidTr="00401A53">
        <w:trPr>
          <w:trHeight w:val="454"/>
        </w:trPr>
        <w:tc>
          <w:tcPr>
            <w:tcW w:w="887" w:type="pct"/>
            <w:vAlign w:val="center"/>
          </w:tcPr>
          <w:p w:rsidR="007E4B2B" w:rsidRPr="00A36633" w:rsidRDefault="007E4B2B" w:rsidP="00401A53">
            <w:pPr>
              <w:pStyle w:val="TableBodyText"/>
              <w:jc w:val="left"/>
              <w:rPr>
                <w:sz w:val="16"/>
              </w:rPr>
            </w:pPr>
            <w:r w:rsidRPr="00A36633">
              <w:rPr>
                <w:sz w:val="16"/>
              </w:rPr>
              <w:t>Indonesia</w:t>
            </w:r>
          </w:p>
        </w:tc>
        <w:tc>
          <w:tcPr>
            <w:tcW w:w="593" w:type="pct"/>
            <w:vAlign w:val="center"/>
          </w:tcPr>
          <w:p w:rsidR="007E4B2B" w:rsidRDefault="007E4B2B" w:rsidP="00401A53">
            <w:pPr>
              <w:pStyle w:val="TableBodyText"/>
              <w:spacing w:after="0"/>
              <w:jc w:val="center"/>
            </w:pPr>
            <w:r>
              <w:rPr>
                <w:noProof/>
              </w:rPr>
              <mc:AlternateContent>
                <mc:Choice Requires="wps">
                  <w:drawing>
                    <wp:inline distT="0" distB="0" distL="0" distR="0" wp14:anchorId="2C136200" wp14:editId="7EA35544">
                      <wp:extent cx="144000" cy="144000"/>
                      <wp:effectExtent l="0" t="0" r="27940" b="27940"/>
                      <wp:docPr id="42" name="Rectangle 42"/>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2"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" filled="f" strokecolor="black [3213]">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5B0B058A" wp14:editId="50E0784B">
                      <wp:extent cx="144000" cy="144000"/>
                      <wp:effectExtent l="0" t="0" r="27940" b="27940"/>
                      <wp:docPr id="43" name="Rectangle 43"/>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3"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" filled="f" strokecolor="black [3213]">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4E73A412" wp14:editId="456A23AD">
                      <wp:extent cx="144000" cy="144000"/>
                      <wp:effectExtent l="0" t="0" r="8890" b="8890"/>
                      <wp:docPr id="68" name="Rectangle 68"/>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bg1">
                                  <a:lumMod val="7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68"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" fillcolor="#bfbfbf [2412]" stroked="f" strokeweight="2pt">
                      <w10:anchorlock/>
                    </v:rect>
                  </w:pict>
                </mc:Fallback>
              </mc:AlternateContent>
            </w:r>
          </w:p>
        </w:tc>
        <w:tc>
          <w:tcPr>
            <w:tcW w:w="645" w:type="pct"/>
            <w:vAlign w:val="center"/>
          </w:tcPr>
          <w:p w:rsidR="007E4B2B" w:rsidRPr="00A36633" w:rsidRDefault="007E4B2B" w:rsidP="00401A53">
            <w:pPr>
              <w:pStyle w:val="TableBodyText"/>
              <w:rPr>
                <w:sz w:val="18"/>
              </w:rPr>
            </w:pPr>
            <w:r w:rsidRPr="00A36633">
              <w:rPr>
                <w:sz w:val="18"/>
              </w:rPr>
              <w:t>1:100 000</w:t>
            </w:r>
          </w:p>
        </w:tc>
        <w:tc>
          <w:tcPr>
            <w:tcW w:w="1855" w:type="pct"/>
            <w:vAlign w:val="center"/>
          </w:tcPr>
          <w:p w:rsidR="007E4B2B" w:rsidRPr="00A36633" w:rsidRDefault="007E4B2B" w:rsidP="00401A53">
            <w:pPr>
              <w:pStyle w:val="TableBodyText"/>
              <w:ind w:right="28"/>
              <w:rPr>
                <w:sz w:val="16"/>
              </w:rPr>
            </w:pPr>
            <w:r w:rsidRPr="00A36633">
              <w:rPr>
                <w:sz w:val="16"/>
              </w:rPr>
              <w:t>Geological Agency</w:t>
            </w:r>
          </w:p>
        </w:tc>
      </w:tr>
      <w:tr w:rsidR="007E4B2B" w:rsidTr="00401A53">
        <w:trPr>
          <w:trHeight w:val="454"/>
        </w:trPr>
        <w:tc>
          <w:tcPr>
            <w:tcW w:w="887" w:type="pct"/>
            <w:vAlign w:val="center"/>
          </w:tcPr>
          <w:p w:rsidR="007E4B2B" w:rsidRPr="00A36633" w:rsidRDefault="007E4B2B" w:rsidP="00401A53">
            <w:pPr>
              <w:pStyle w:val="TableBodyText"/>
              <w:jc w:val="left"/>
              <w:rPr>
                <w:sz w:val="16"/>
              </w:rPr>
            </w:pPr>
            <w:r w:rsidRPr="00A36633">
              <w:rPr>
                <w:sz w:val="16"/>
              </w:rPr>
              <w:t>Japan</w:t>
            </w:r>
          </w:p>
        </w:tc>
        <w:tc>
          <w:tcPr>
            <w:tcW w:w="593" w:type="pct"/>
            <w:vAlign w:val="center"/>
          </w:tcPr>
          <w:p w:rsidR="007E4B2B" w:rsidRDefault="007E4B2B" w:rsidP="00401A53">
            <w:pPr>
              <w:pStyle w:val="TableBodyText"/>
              <w:spacing w:after="0"/>
              <w:jc w:val="center"/>
            </w:pPr>
            <w:r>
              <w:rPr>
                <w:noProof/>
              </w:rPr>
              <mc:AlternateContent>
                <mc:Choice Requires="wps">
                  <w:drawing>
                    <wp:inline distT="0" distB="0" distL="0" distR="0" wp14:anchorId="13E77539" wp14:editId="3188C939">
                      <wp:extent cx="144000" cy="144000"/>
                      <wp:effectExtent l="0" t="0" r="8890" b="8890"/>
                      <wp:docPr id="66" name="Rectangle 66"/>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bg1">
                                  <a:lumMod val="7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66"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" fillcolor="#bfbfbf [2412]" stroked="f" strokeweight="2pt">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679C6E6A" wp14:editId="7744C91F">
                      <wp:extent cx="144000" cy="144000"/>
                      <wp:effectExtent l="0" t="0" r="27940" b="27940"/>
                      <wp:docPr id="44" name="Rectangle 44"/>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4"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" filled="f" strokecolor="black [3213]">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24E4AAB1" wp14:editId="73750883">
                      <wp:extent cx="144000" cy="144000"/>
                      <wp:effectExtent l="0" t="0" r="8890" b="8890"/>
                      <wp:docPr id="70" name="Rectangle 70"/>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bg1">
                                  <a:lumMod val="7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70"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" fillcolor="#bfbfbf [2412]" stroked="f" strokeweight="2pt">
                      <w10:anchorlock/>
                    </v:rect>
                  </w:pict>
                </mc:Fallback>
              </mc:AlternateContent>
            </w:r>
          </w:p>
        </w:tc>
        <w:tc>
          <w:tcPr>
            <w:tcW w:w="645" w:type="pct"/>
            <w:vAlign w:val="center"/>
          </w:tcPr>
          <w:p w:rsidR="007E4B2B" w:rsidRPr="00A36633" w:rsidRDefault="007E4B2B" w:rsidP="00401A53">
            <w:pPr>
              <w:pStyle w:val="TableBodyText"/>
              <w:rPr>
                <w:sz w:val="18"/>
              </w:rPr>
            </w:pPr>
            <w:r w:rsidRPr="00D7301E">
              <w:rPr>
                <w:sz w:val="16"/>
              </w:rPr>
              <w:t>not indicated</w:t>
            </w:r>
          </w:p>
        </w:tc>
        <w:tc>
          <w:tcPr>
            <w:tcW w:w="1855" w:type="pct"/>
            <w:vAlign w:val="center"/>
          </w:tcPr>
          <w:p w:rsidR="007E4B2B" w:rsidRPr="00A36633" w:rsidRDefault="007E4B2B" w:rsidP="00401A53">
            <w:pPr>
              <w:pStyle w:val="TableBodyText"/>
              <w:ind w:right="28"/>
              <w:rPr>
                <w:sz w:val="16"/>
              </w:rPr>
            </w:pPr>
            <w:r w:rsidRPr="00A36633">
              <w:rPr>
                <w:sz w:val="16"/>
              </w:rPr>
              <w:t>Geological Survey of Japan</w:t>
            </w:r>
          </w:p>
        </w:tc>
      </w:tr>
      <w:tr w:rsidR="007E4B2B" w:rsidTr="00401A53">
        <w:trPr>
          <w:trHeight w:val="454"/>
        </w:trPr>
        <w:tc>
          <w:tcPr>
            <w:tcW w:w="887" w:type="pct"/>
            <w:vAlign w:val="center"/>
          </w:tcPr>
          <w:p w:rsidR="007E4B2B" w:rsidRPr="00A36633" w:rsidRDefault="007E4B2B" w:rsidP="00401A53">
            <w:pPr>
              <w:pStyle w:val="TableBodyText"/>
              <w:jc w:val="left"/>
              <w:rPr>
                <w:sz w:val="16"/>
              </w:rPr>
            </w:pPr>
            <w:r w:rsidRPr="00A36633">
              <w:rPr>
                <w:sz w:val="16"/>
              </w:rPr>
              <w:t>Malaysia</w:t>
            </w:r>
          </w:p>
        </w:tc>
        <w:tc>
          <w:tcPr>
            <w:tcW w:w="593" w:type="pct"/>
            <w:vAlign w:val="center"/>
          </w:tcPr>
          <w:p w:rsidR="007E4B2B" w:rsidRDefault="007E4B2B" w:rsidP="00401A53">
            <w:pPr>
              <w:pStyle w:val="TableBodyText"/>
              <w:spacing w:after="0"/>
              <w:jc w:val="center"/>
            </w:pPr>
            <w:r>
              <w:rPr>
                <w:noProof/>
              </w:rPr>
              <mc:AlternateContent>
                <mc:Choice Requires="wps">
                  <w:drawing>
                    <wp:inline distT="0" distB="0" distL="0" distR="0" wp14:anchorId="6BD47CFA" wp14:editId="51CB7888">
                      <wp:extent cx="144000" cy="144000"/>
                      <wp:effectExtent l="0" t="0" r="8890" b="8890"/>
                      <wp:docPr id="67" name="Rectangle 67"/>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bg1">
                                  <a:lumMod val="7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67"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" fillcolor="#bfbfbf [2412]" stroked="f" strokeweight="2pt">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05DBE109" wp14:editId="5F54D1C3">
                      <wp:extent cx="144000" cy="144000"/>
                      <wp:effectExtent l="0" t="0" r="8890" b="8890"/>
                      <wp:docPr id="72" name="Rectangle 72"/>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bg1">
                                  <a:lumMod val="7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72"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" fillcolor="#bfbfbf [2412]" stroked="f" strokeweight="2pt">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54000838" wp14:editId="20483924">
                      <wp:extent cx="144000" cy="144000"/>
                      <wp:effectExtent l="0" t="0" r="8890" b="8890"/>
                      <wp:docPr id="71" name="Rectangle 71"/>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bg1">
                                  <a:lumMod val="7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71"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" fillcolor="#bfbfbf [2412]" stroked="f" strokeweight="2pt">
                      <w10:anchorlock/>
                    </v:rect>
                  </w:pict>
                </mc:Fallback>
              </mc:AlternateContent>
            </w:r>
          </w:p>
        </w:tc>
        <w:tc>
          <w:tcPr>
            <w:tcW w:w="645" w:type="pct"/>
            <w:vAlign w:val="center"/>
          </w:tcPr>
          <w:p w:rsidR="007E4B2B" w:rsidRPr="00A36633" w:rsidRDefault="007E4B2B" w:rsidP="00401A53">
            <w:pPr>
              <w:pStyle w:val="TableBodyText"/>
              <w:rPr>
                <w:sz w:val="18"/>
              </w:rPr>
            </w:pPr>
            <w:r w:rsidRPr="00D7301E">
              <w:rPr>
                <w:sz w:val="16"/>
              </w:rPr>
              <w:t>not indicated</w:t>
            </w:r>
          </w:p>
        </w:tc>
        <w:tc>
          <w:tcPr>
            <w:tcW w:w="1855" w:type="pct"/>
            <w:vAlign w:val="center"/>
          </w:tcPr>
          <w:p w:rsidR="007E4B2B" w:rsidRPr="00A36633" w:rsidRDefault="007E4B2B" w:rsidP="00401A53">
            <w:pPr>
              <w:pStyle w:val="TableBodyText"/>
              <w:ind w:right="28"/>
              <w:rPr>
                <w:sz w:val="16"/>
              </w:rPr>
            </w:pPr>
            <w:r w:rsidRPr="00A36633">
              <w:rPr>
                <w:sz w:val="16"/>
              </w:rPr>
              <w:t>Minerals and Geoscience Department</w:t>
            </w:r>
          </w:p>
        </w:tc>
      </w:tr>
      <w:tr w:rsidR="007E4B2B" w:rsidTr="00401A53">
        <w:trPr>
          <w:trHeight w:val="454"/>
        </w:trPr>
        <w:tc>
          <w:tcPr>
            <w:tcW w:w="887" w:type="pct"/>
            <w:vAlign w:val="center"/>
          </w:tcPr>
          <w:p w:rsidR="007E4B2B" w:rsidRPr="00A36633" w:rsidRDefault="007E4B2B" w:rsidP="00401A53">
            <w:pPr>
              <w:pStyle w:val="TableBodyText"/>
              <w:jc w:val="left"/>
              <w:rPr>
                <w:sz w:val="16"/>
              </w:rPr>
            </w:pPr>
            <w:r w:rsidRPr="00A36633">
              <w:rPr>
                <w:sz w:val="16"/>
              </w:rPr>
              <w:t>Mexico</w:t>
            </w:r>
          </w:p>
        </w:tc>
        <w:tc>
          <w:tcPr>
            <w:tcW w:w="593" w:type="pct"/>
            <w:vAlign w:val="center"/>
          </w:tcPr>
          <w:p w:rsidR="007E4B2B" w:rsidRDefault="007E4B2B" w:rsidP="00401A53">
            <w:pPr>
              <w:pStyle w:val="TableBodyText"/>
              <w:spacing w:after="0"/>
              <w:jc w:val="center"/>
            </w:pPr>
            <w:r>
              <w:rPr>
                <w:noProof/>
              </w:rPr>
              <mc:AlternateContent>
                <mc:Choice Requires="wps">
                  <w:drawing>
                    <wp:inline distT="0" distB="0" distL="0" distR="0" wp14:anchorId="0DC4EA08" wp14:editId="5652E11D">
                      <wp:extent cx="144000" cy="144000"/>
                      <wp:effectExtent l="0" t="0" r="27940" b="27940"/>
                      <wp:docPr id="45" name="Rectangle 45"/>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5"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" filled="f" strokecolor="black [3213]">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4492F5D1" wp14:editId="54ED3C6D">
                      <wp:extent cx="144000" cy="144000"/>
                      <wp:effectExtent l="0" t="0" r="8890" b="8890"/>
                      <wp:docPr id="21" name="Rectangle 21"/>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tx1"/>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1"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" fillcolor="black [3213]" stroked="f" strokeweight="2pt">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2C33F1D9" wp14:editId="5FD1D9E9">
                      <wp:extent cx="144000" cy="144000"/>
                      <wp:effectExtent l="0" t="0" r="8890" b="8890"/>
                      <wp:docPr id="22" name="Rectangle 22"/>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tx1"/>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2"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" fillcolor="black [3213]" stroked="f" strokeweight="2pt">
                      <w10:anchorlock/>
                    </v:rect>
                  </w:pict>
                </mc:Fallback>
              </mc:AlternateContent>
            </w:r>
          </w:p>
        </w:tc>
        <w:tc>
          <w:tcPr>
            <w:tcW w:w="645" w:type="pct"/>
            <w:vAlign w:val="center"/>
          </w:tcPr>
          <w:p w:rsidR="007E4B2B" w:rsidRPr="00A36633" w:rsidRDefault="007E4B2B" w:rsidP="00401A53">
            <w:pPr>
              <w:pStyle w:val="TableBodyText"/>
              <w:rPr>
                <w:sz w:val="18"/>
              </w:rPr>
            </w:pPr>
            <w:r w:rsidRPr="00A36633">
              <w:rPr>
                <w:sz w:val="18"/>
              </w:rPr>
              <w:t>1:50 000</w:t>
            </w:r>
          </w:p>
        </w:tc>
        <w:tc>
          <w:tcPr>
            <w:tcW w:w="1855" w:type="pct"/>
            <w:vAlign w:val="center"/>
          </w:tcPr>
          <w:p w:rsidR="007E4B2B" w:rsidRPr="00A36633" w:rsidRDefault="007E4B2B" w:rsidP="00401A53">
            <w:pPr>
              <w:pStyle w:val="TableBodyText"/>
              <w:ind w:right="28"/>
              <w:rPr>
                <w:sz w:val="16"/>
              </w:rPr>
            </w:pPr>
            <w:proofErr w:type="spellStart"/>
            <w:r w:rsidRPr="00A36633">
              <w:rPr>
                <w:sz w:val="16"/>
              </w:rPr>
              <w:t>Servicio</w:t>
            </w:r>
            <w:proofErr w:type="spellEnd"/>
            <w:r w:rsidRPr="00A36633">
              <w:rPr>
                <w:sz w:val="16"/>
              </w:rPr>
              <w:t xml:space="preserve"> </w:t>
            </w:r>
            <w:proofErr w:type="spellStart"/>
            <w:r w:rsidRPr="00A36633">
              <w:rPr>
                <w:sz w:val="16"/>
              </w:rPr>
              <w:t>Geol</w:t>
            </w:r>
            <w:r w:rsidRPr="00A36633">
              <w:rPr>
                <w:rFonts w:cs="Arial"/>
                <w:sz w:val="16"/>
              </w:rPr>
              <w:t>ó</w:t>
            </w:r>
            <w:r w:rsidRPr="00A36633">
              <w:rPr>
                <w:sz w:val="16"/>
              </w:rPr>
              <w:t>gico</w:t>
            </w:r>
            <w:proofErr w:type="spellEnd"/>
            <w:r w:rsidRPr="00A36633">
              <w:rPr>
                <w:sz w:val="16"/>
              </w:rPr>
              <w:t xml:space="preserve"> </w:t>
            </w:r>
            <w:proofErr w:type="spellStart"/>
            <w:r w:rsidRPr="00A36633">
              <w:rPr>
                <w:sz w:val="16"/>
              </w:rPr>
              <w:t>Mexicano</w:t>
            </w:r>
            <w:proofErr w:type="spellEnd"/>
            <w:r w:rsidRPr="00A36633">
              <w:rPr>
                <w:sz w:val="16"/>
              </w:rPr>
              <w:t xml:space="preserve"> (Mexican Geological Survey)</w:t>
            </w:r>
          </w:p>
        </w:tc>
      </w:tr>
      <w:tr w:rsidR="007E4B2B" w:rsidTr="00401A53">
        <w:trPr>
          <w:trHeight w:val="454"/>
        </w:trPr>
        <w:tc>
          <w:tcPr>
            <w:tcW w:w="887" w:type="pct"/>
            <w:vAlign w:val="center"/>
          </w:tcPr>
          <w:p w:rsidR="007E4B2B" w:rsidRPr="00A36633" w:rsidRDefault="007E4B2B" w:rsidP="00401A53">
            <w:pPr>
              <w:pStyle w:val="TableBodyText"/>
              <w:jc w:val="left"/>
              <w:rPr>
                <w:sz w:val="16"/>
              </w:rPr>
            </w:pPr>
            <w:r w:rsidRPr="00A36633">
              <w:rPr>
                <w:sz w:val="16"/>
              </w:rPr>
              <w:t>New Zealand</w:t>
            </w:r>
          </w:p>
        </w:tc>
        <w:tc>
          <w:tcPr>
            <w:tcW w:w="593" w:type="pct"/>
            <w:vAlign w:val="center"/>
          </w:tcPr>
          <w:p w:rsidR="007E4B2B" w:rsidRDefault="007E4B2B" w:rsidP="00401A53">
            <w:pPr>
              <w:pStyle w:val="TableBodyText"/>
              <w:spacing w:after="0"/>
              <w:jc w:val="center"/>
            </w:pPr>
            <w:r>
              <w:rPr>
                <w:noProof/>
              </w:rPr>
              <mc:AlternateContent>
                <mc:Choice Requires="wps">
                  <w:drawing>
                    <wp:inline distT="0" distB="0" distL="0" distR="0" wp14:anchorId="10A1B5CF" wp14:editId="26C88AD6">
                      <wp:extent cx="144000" cy="144000"/>
                      <wp:effectExtent l="0" t="0" r="27940" b="27940"/>
                      <wp:docPr id="46" name="Rectangle 46"/>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6"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" filled="f" strokecolor="black [3213]">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7682F5E7" wp14:editId="192087AC">
                      <wp:extent cx="144000" cy="144000"/>
                      <wp:effectExtent l="0" t="0" r="27940" b="27940"/>
                      <wp:docPr id="47" name="Rectangle 47"/>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7"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" filled="f" strokecolor="black [3213]">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1001826A" wp14:editId="24F4E770">
                      <wp:extent cx="144000" cy="144000"/>
                      <wp:effectExtent l="0" t="0" r="27940" b="27940"/>
                      <wp:docPr id="48" name="Rectangle 48"/>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8"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" filled="f" strokecolor="black [3213]">
                      <w10:anchorlock/>
                    </v:rect>
                  </w:pict>
                </mc:Fallback>
              </mc:AlternateContent>
            </w:r>
          </w:p>
        </w:tc>
        <w:tc>
          <w:tcPr>
            <w:tcW w:w="645" w:type="pct"/>
            <w:vAlign w:val="center"/>
          </w:tcPr>
          <w:p w:rsidR="007E4B2B" w:rsidRPr="00A36633" w:rsidRDefault="007E4B2B" w:rsidP="00401A53">
            <w:pPr>
              <w:pStyle w:val="TableBodyText"/>
              <w:rPr>
                <w:sz w:val="18"/>
              </w:rPr>
            </w:pPr>
            <w:r w:rsidRPr="00A36633">
              <w:rPr>
                <w:sz w:val="18"/>
              </w:rPr>
              <w:t>1:50 000</w:t>
            </w:r>
          </w:p>
        </w:tc>
        <w:tc>
          <w:tcPr>
            <w:tcW w:w="1855" w:type="pct"/>
            <w:vAlign w:val="center"/>
          </w:tcPr>
          <w:p w:rsidR="007E4B2B" w:rsidRPr="00A36633" w:rsidRDefault="007E4B2B" w:rsidP="00401A53">
            <w:pPr>
              <w:pStyle w:val="TableBodyText"/>
              <w:ind w:right="28"/>
              <w:rPr>
                <w:sz w:val="16"/>
              </w:rPr>
            </w:pPr>
            <w:r w:rsidRPr="00A36633">
              <w:rPr>
                <w:sz w:val="16"/>
              </w:rPr>
              <w:t>Institute of Geological and Nuclear Science</w:t>
            </w:r>
          </w:p>
        </w:tc>
      </w:tr>
      <w:tr w:rsidR="007E4B2B" w:rsidTr="00401A53">
        <w:tc>
          <w:tcPr>
            <w:tcW w:w="887" w:type="pct"/>
            <w:vAlign w:val="center"/>
          </w:tcPr>
          <w:p w:rsidR="007E4B2B" w:rsidRPr="00A36633" w:rsidRDefault="007E4B2B" w:rsidP="00401A53">
            <w:pPr>
              <w:pStyle w:val="TableBodyText"/>
              <w:jc w:val="left"/>
              <w:rPr>
                <w:sz w:val="16"/>
              </w:rPr>
            </w:pPr>
            <w:r w:rsidRPr="00A36633">
              <w:rPr>
                <w:sz w:val="16"/>
              </w:rPr>
              <w:t>Papua New Guinea</w:t>
            </w:r>
          </w:p>
        </w:tc>
        <w:tc>
          <w:tcPr>
            <w:tcW w:w="593" w:type="pct"/>
            <w:vAlign w:val="center"/>
          </w:tcPr>
          <w:p w:rsidR="007E4B2B" w:rsidRDefault="007E4B2B" w:rsidP="00401A53">
            <w:pPr>
              <w:pStyle w:val="TableBodyText"/>
              <w:spacing w:after="0"/>
              <w:jc w:val="center"/>
            </w:pPr>
            <w:r>
              <w:rPr>
                <w:noProof/>
              </w:rPr>
              <mc:AlternateContent>
                <mc:Choice Requires="wps">
                  <w:drawing>
                    <wp:inline distT="0" distB="0" distL="0" distR="0" wp14:anchorId="625F7FBD" wp14:editId="04B45D84">
                      <wp:extent cx="144000" cy="144000"/>
                      <wp:effectExtent l="0" t="0" r="8890" b="8890"/>
                      <wp:docPr id="23" name="Rectangle 23"/>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tx1"/>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3"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" fillcolor="black [3213]" stroked="f" strokeweight="2pt">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16743AFE" wp14:editId="0407D1EF">
                      <wp:extent cx="144000" cy="144000"/>
                      <wp:effectExtent l="0" t="0" r="27940" b="27940"/>
                      <wp:docPr id="49" name="Rectangle 49"/>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9"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" filled="f" strokecolor="black [3213]">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3B0D5F05" wp14:editId="0B030834">
                      <wp:extent cx="144000" cy="144000"/>
                      <wp:effectExtent l="0" t="0" r="8890" b="8890"/>
                      <wp:docPr id="24" name="Rectangle 24"/>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tx1"/>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4"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" fillcolor="black [3213]" stroked="f" strokeweight="2pt">
                      <w10:anchorlock/>
                    </v:rect>
                  </w:pict>
                </mc:Fallback>
              </mc:AlternateContent>
            </w:r>
          </w:p>
        </w:tc>
        <w:tc>
          <w:tcPr>
            <w:tcW w:w="645" w:type="pct"/>
            <w:vAlign w:val="center"/>
          </w:tcPr>
          <w:p w:rsidR="007E4B2B" w:rsidRPr="00A36633" w:rsidRDefault="007E4B2B" w:rsidP="00401A53">
            <w:pPr>
              <w:pStyle w:val="TableBodyText"/>
              <w:rPr>
                <w:sz w:val="18"/>
              </w:rPr>
            </w:pPr>
            <w:r w:rsidRPr="00A36633">
              <w:rPr>
                <w:sz w:val="18"/>
              </w:rPr>
              <w:t>1:250 000</w:t>
            </w:r>
          </w:p>
        </w:tc>
        <w:tc>
          <w:tcPr>
            <w:tcW w:w="1855" w:type="pct"/>
            <w:vAlign w:val="center"/>
          </w:tcPr>
          <w:p w:rsidR="007E4B2B" w:rsidRPr="00A36633" w:rsidRDefault="007E4B2B" w:rsidP="00401A53">
            <w:pPr>
              <w:pStyle w:val="TableBodyText"/>
              <w:ind w:right="28"/>
              <w:rPr>
                <w:sz w:val="16"/>
              </w:rPr>
            </w:pPr>
            <w:r w:rsidRPr="00A36633">
              <w:rPr>
                <w:sz w:val="16"/>
              </w:rPr>
              <w:t>Mineral Resource Authority, Geological Survey of Papua New Guinea</w:t>
            </w:r>
          </w:p>
        </w:tc>
      </w:tr>
      <w:tr w:rsidR="007E4B2B" w:rsidTr="00401A53">
        <w:tc>
          <w:tcPr>
            <w:tcW w:w="887" w:type="pct"/>
            <w:vAlign w:val="center"/>
          </w:tcPr>
          <w:p w:rsidR="007E4B2B" w:rsidRPr="00A36633" w:rsidRDefault="007E4B2B" w:rsidP="00401A53">
            <w:pPr>
              <w:pStyle w:val="TableBodyText"/>
              <w:jc w:val="left"/>
              <w:rPr>
                <w:sz w:val="16"/>
              </w:rPr>
            </w:pPr>
            <w:r w:rsidRPr="00A36633">
              <w:rPr>
                <w:sz w:val="16"/>
              </w:rPr>
              <w:t>Peru</w:t>
            </w:r>
          </w:p>
        </w:tc>
        <w:tc>
          <w:tcPr>
            <w:tcW w:w="593" w:type="pct"/>
            <w:vAlign w:val="center"/>
          </w:tcPr>
          <w:p w:rsidR="007E4B2B" w:rsidRDefault="007E4B2B" w:rsidP="00401A53">
            <w:pPr>
              <w:pStyle w:val="TableBodyText"/>
              <w:spacing w:after="0"/>
              <w:jc w:val="center"/>
            </w:pPr>
            <w:r>
              <w:rPr>
                <w:noProof/>
              </w:rPr>
              <mc:AlternateContent>
                <mc:Choice Requires="wps">
                  <w:drawing>
                    <wp:inline distT="0" distB="0" distL="0" distR="0" wp14:anchorId="0E5E6E03" wp14:editId="57AF28A1">
                      <wp:extent cx="144000" cy="144000"/>
                      <wp:effectExtent l="0" t="0" r="27940" b="27940"/>
                      <wp:docPr id="50" name="Rectangle 50"/>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50"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" filled="f" strokecolor="black [3213]">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75B68386" wp14:editId="75E0A01E">
                      <wp:extent cx="144000" cy="144000"/>
                      <wp:effectExtent l="0" t="0" r="8890" b="8890"/>
                      <wp:docPr id="25" name="Rectangle 25"/>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tx1"/>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5"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" fillcolor="black [3213]" stroked="f" strokeweight="2pt">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456B8314" wp14:editId="48906A8F">
                      <wp:extent cx="144000" cy="144000"/>
                      <wp:effectExtent l="0" t="0" r="27940" b="27940"/>
                      <wp:docPr id="51" name="Rectangle 51"/>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51"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" filled="f" strokecolor="black [3213]">
                      <w10:anchorlock/>
                    </v:rect>
                  </w:pict>
                </mc:Fallback>
              </mc:AlternateContent>
            </w:r>
          </w:p>
        </w:tc>
        <w:tc>
          <w:tcPr>
            <w:tcW w:w="645" w:type="pct"/>
            <w:vAlign w:val="center"/>
          </w:tcPr>
          <w:p w:rsidR="007E4B2B" w:rsidRPr="00A36633" w:rsidRDefault="007E4B2B" w:rsidP="00401A53">
            <w:pPr>
              <w:pStyle w:val="TableBodyText"/>
              <w:rPr>
                <w:sz w:val="18"/>
              </w:rPr>
            </w:pPr>
            <w:r w:rsidRPr="00A36633">
              <w:rPr>
                <w:sz w:val="18"/>
              </w:rPr>
              <w:t>1:100 000</w:t>
            </w:r>
          </w:p>
        </w:tc>
        <w:tc>
          <w:tcPr>
            <w:tcW w:w="1855" w:type="pct"/>
            <w:vAlign w:val="center"/>
          </w:tcPr>
          <w:p w:rsidR="007E4B2B" w:rsidRPr="00A36633" w:rsidRDefault="007E4B2B" w:rsidP="00401A53">
            <w:pPr>
              <w:pStyle w:val="TableBodyText"/>
              <w:ind w:right="28"/>
              <w:rPr>
                <w:sz w:val="16"/>
              </w:rPr>
            </w:pPr>
            <w:proofErr w:type="spellStart"/>
            <w:r w:rsidRPr="00A36633">
              <w:rPr>
                <w:sz w:val="16"/>
              </w:rPr>
              <w:t>Instituto</w:t>
            </w:r>
            <w:proofErr w:type="spellEnd"/>
            <w:r w:rsidRPr="00A36633">
              <w:rPr>
                <w:sz w:val="16"/>
              </w:rPr>
              <w:t xml:space="preserve"> </w:t>
            </w:r>
            <w:proofErr w:type="spellStart"/>
            <w:r w:rsidRPr="00A36633">
              <w:rPr>
                <w:sz w:val="16"/>
              </w:rPr>
              <w:t>Geologica</w:t>
            </w:r>
            <w:proofErr w:type="spellEnd"/>
            <w:r w:rsidRPr="00A36633">
              <w:rPr>
                <w:sz w:val="16"/>
              </w:rPr>
              <w:t xml:space="preserve"> </w:t>
            </w:r>
            <w:proofErr w:type="spellStart"/>
            <w:r w:rsidRPr="00A36633">
              <w:rPr>
                <w:sz w:val="16"/>
              </w:rPr>
              <w:t>Mineroy</w:t>
            </w:r>
            <w:proofErr w:type="spellEnd"/>
            <w:r w:rsidRPr="00A36633">
              <w:rPr>
                <w:sz w:val="16"/>
              </w:rPr>
              <w:t xml:space="preserve"> </w:t>
            </w:r>
            <w:proofErr w:type="spellStart"/>
            <w:r w:rsidRPr="00A36633">
              <w:rPr>
                <w:sz w:val="16"/>
              </w:rPr>
              <w:t>Metalurgicc</w:t>
            </w:r>
            <w:proofErr w:type="spellEnd"/>
            <w:r w:rsidRPr="00A36633">
              <w:rPr>
                <w:sz w:val="16"/>
              </w:rPr>
              <w:t xml:space="preserve"> </w:t>
            </w:r>
            <w:r w:rsidR="00DC4E50">
              <w:rPr>
                <w:sz w:val="16"/>
              </w:rPr>
              <w:noBreakHyphen/>
            </w:r>
            <w:r w:rsidRPr="00A36633">
              <w:rPr>
                <w:sz w:val="16"/>
              </w:rPr>
              <w:t xml:space="preserve"> </w:t>
            </w:r>
            <w:proofErr w:type="spellStart"/>
            <w:r w:rsidRPr="00A36633">
              <w:rPr>
                <w:sz w:val="16"/>
              </w:rPr>
              <w:t>INGEMMET</w:t>
            </w:r>
            <w:proofErr w:type="spellEnd"/>
            <w:r w:rsidRPr="00A36633">
              <w:rPr>
                <w:sz w:val="16"/>
              </w:rPr>
              <w:t xml:space="preserve"> (Geological, Mining and Metallurgical Institute)</w:t>
            </w:r>
          </w:p>
        </w:tc>
      </w:tr>
      <w:tr w:rsidR="007E4B2B" w:rsidTr="00401A53">
        <w:trPr>
          <w:trHeight w:val="454"/>
        </w:trPr>
        <w:tc>
          <w:tcPr>
            <w:tcW w:w="887" w:type="pct"/>
            <w:vAlign w:val="center"/>
          </w:tcPr>
          <w:p w:rsidR="007E4B2B" w:rsidRPr="00A36633" w:rsidRDefault="007E4B2B" w:rsidP="00401A53">
            <w:pPr>
              <w:pStyle w:val="TableBodyText"/>
              <w:jc w:val="left"/>
              <w:rPr>
                <w:sz w:val="16"/>
              </w:rPr>
            </w:pPr>
            <w:r w:rsidRPr="00A36633">
              <w:rPr>
                <w:sz w:val="16"/>
              </w:rPr>
              <w:t>Philippines</w:t>
            </w:r>
          </w:p>
        </w:tc>
        <w:tc>
          <w:tcPr>
            <w:tcW w:w="593" w:type="pct"/>
            <w:vAlign w:val="center"/>
          </w:tcPr>
          <w:p w:rsidR="007E4B2B" w:rsidRDefault="007E4B2B" w:rsidP="00401A53">
            <w:pPr>
              <w:pStyle w:val="TableBodyText"/>
              <w:spacing w:after="0"/>
              <w:jc w:val="center"/>
            </w:pPr>
            <w:r>
              <w:rPr>
                <w:noProof/>
              </w:rPr>
              <mc:AlternateContent>
                <mc:Choice Requires="wps">
                  <w:drawing>
                    <wp:inline distT="0" distB="0" distL="0" distR="0" wp14:anchorId="6754D70C" wp14:editId="3CCAE52A">
                      <wp:extent cx="144000" cy="144000"/>
                      <wp:effectExtent l="0" t="0" r="27940" b="27940"/>
                      <wp:docPr id="52" name="Rectangle 52"/>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52"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" filled="f" strokecolor="black [3213]">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4EC6551F" wp14:editId="29BC7070">
                      <wp:extent cx="144000" cy="144000"/>
                      <wp:effectExtent l="0" t="0" r="27940" b="27940"/>
                      <wp:docPr id="53" name="Rectangle 53"/>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53"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" filled="f" strokecolor="black [3213]">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3D323AED" wp14:editId="4B0B5F74">
                      <wp:extent cx="144000" cy="144000"/>
                      <wp:effectExtent l="0" t="0" r="27940" b="27940"/>
                      <wp:docPr id="54" name="Rectangle 54"/>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54"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" filled="f" strokecolor="black [3213]">
                      <w10:anchorlock/>
                    </v:rect>
                  </w:pict>
                </mc:Fallback>
              </mc:AlternateContent>
            </w:r>
          </w:p>
        </w:tc>
        <w:tc>
          <w:tcPr>
            <w:tcW w:w="645" w:type="pct"/>
            <w:vAlign w:val="center"/>
          </w:tcPr>
          <w:p w:rsidR="007E4B2B" w:rsidRPr="00A36633" w:rsidRDefault="007E4B2B" w:rsidP="00401A53">
            <w:pPr>
              <w:pStyle w:val="TableBodyText"/>
              <w:rPr>
                <w:sz w:val="18"/>
              </w:rPr>
            </w:pPr>
            <w:r w:rsidRPr="00A36633">
              <w:rPr>
                <w:sz w:val="18"/>
              </w:rPr>
              <w:t>1:50 000</w:t>
            </w:r>
          </w:p>
        </w:tc>
        <w:tc>
          <w:tcPr>
            <w:tcW w:w="1855" w:type="pct"/>
            <w:vAlign w:val="center"/>
          </w:tcPr>
          <w:p w:rsidR="007E4B2B" w:rsidRPr="00A36633" w:rsidRDefault="007E4B2B" w:rsidP="00401A53">
            <w:pPr>
              <w:pStyle w:val="TableBodyText"/>
              <w:ind w:right="28"/>
              <w:rPr>
                <w:sz w:val="16"/>
              </w:rPr>
            </w:pPr>
            <w:r w:rsidRPr="00A36633">
              <w:rPr>
                <w:sz w:val="16"/>
              </w:rPr>
              <w:t>Mines and Geoscience Bureau</w:t>
            </w:r>
          </w:p>
        </w:tc>
      </w:tr>
      <w:tr w:rsidR="007E4B2B" w:rsidTr="00401A53">
        <w:trPr>
          <w:trHeight w:val="510"/>
        </w:trPr>
        <w:tc>
          <w:tcPr>
            <w:tcW w:w="887" w:type="pct"/>
            <w:vAlign w:val="center"/>
          </w:tcPr>
          <w:p w:rsidR="007E4B2B" w:rsidRPr="00A36633" w:rsidRDefault="007E4B2B" w:rsidP="00401A53">
            <w:pPr>
              <w:pStyle w:val="TableBodyText"/>
              <w:jc w:val="left"/>
              <w:rPr>
                <w:sz w:val="16"/>
              </w:rPr>
            </w:pPr>
            <w:r w:rsidRPr="00A36633">
              <w:rPr>
                <w:sz w:val="16"/>
              </w:rPr>
              <w:t>Republic of Korea</w:t>
            </w:r>
          </w:p>
        </w:tc>
        <w:tc>
          <w:tcPr>
            <w:tcW w:w="593" w:type="pct"/>
            <w:vAlign w:val="center"/>
          </w:tcPr>
          <w:p w:rsidR="007E4B2B" w:rsidRDefault="007E4B2B" w:rsidP="00401A53">
            <w:pPr>
              <w:pStyle w:val="TableBodyText"/>
              <w:spacing w:after="0"/>
              <w:jc w:val="center"/>
            </w:pPr>
            <w:r>
              <w:rPr>
                <w:noProof/>
              </w:rPr>
              <mc:AlternateContent>
                <mc:Choice Requires="wps">
                  <w:drawing>
                    <wp:inline distT="0" distB="0" distL="0" distR="0" wp14:anchorId="0E59B850" wp14:editId="2300A05E">
                      <wp:extent cx="144000" cy="144000"/>
                      <wp:effectExtent l="0" t="0" r="27940" b="27940"/>
                      <wp:docPr id="55" name="Rectangle 55"/>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55"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" filled="f" strokecolor="black [3213]">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6A14FEAD" wp14:editId="427B2C75">
                      <wp:extent cx="144000" cy="144000"/>
                      <wp:effectExtent l="0" t="0" r="8890" b="8890"/>
                      <wp:docPr id="26" name="Rectangle 26"/>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tx1"/>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6"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" fillcolor="black [3213]" stroked="f" strokeweight="2pt">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0A6556C7" wp14:editId="6CBED4B3">
                      <wp:extent cx="144000" cy="144000"/>
                      <wp:effectExtent l="0" t="0" r="8890" b="8890"/>
                      <wp:docPr id="27" name="Rectangle 27"/>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tx1"/>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7"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" fillcolor="black [3213]" stroked="f" strokeweight="2pt">
                      <w10:anchorlock/>
                    </v:rect>
                  </w:pict>
                </mc:Fallback>
              </mc:AlternateContent>
            </w:r>
          </w:p>
        </w:tc>
        <w:tc>
          <w:tcPr>
            <w:tcW w:w="645" w:type="pct"/>
            <w:vAlign w:val="center"/>
          </w:tcPr>
          <w:p w:rsidR="007E4B2B" w:rsidRPr="00A36633" w:rsidRDefault="007E4B2B" w:rsidP="00401A53">
            <w:pPr>
              <w:pStyle w:val="TableBodyText"/>
              <w:rPr>
                <w:sz w:val="18"/>
              </w:rPr>
            </w:pPr>
            <w:r w:rsidRPr="00A36633">
              <w:rPr>
                <w:sz w:val="18"/>
              </w:rPr>
              <w:t>1:</w:t>
            </w:r>
            <w:r>
              <w:rPr>
                <w:sz w:val="18"/>
              </w:rPr>
              <w:t>5</w:t>
            </w:r>
            <w:r w:rsidRPr="00A36633">
              <w:rPr>
                <w:sz w:val="18"/>
              </w:rPr>
              <w:t>0 000</w:t>
            </w:r>
          </w:p>
        </w:tc>
        <w:tc>
          <w:tcPr>
            <w:tcW w:w="1855" w:type="pct"/>
            <w:vAlign w:val="center"/>
          </w:tcPr>
          <w:p w:rsidR="007E4B2B" w:rsidRPr="00A36633" w:rsidRDefault="007E4B2B" w:rsidP="00401A53">
            <w:pPr>
              <w:pStyle w:val="TableBodyText"/>
              <w:ind w:right="28"/>
              <w:rPr>
                <w:sz w:val="16"/>
              </w:rPr>
            </w:pPr>
            <w:r w:rsidRPr="00A36633">
              <w:rPr>
                <w:sz w:val="16"/>
              </w:rPr>
              <w:t>Korea Institute of Geology, Mining and Materials</w:t>
            </w:r>
            <w:r w:rsidRPr="00A36633">
              <w:rPr>
                <w:rStyle w:val="NoteLabel"/>
                <w:sz w:val="16"/>
              </w:rPr>
              <w:t>a</w:t>
            </w:r>
          </w:p>
        </w:tc>
      </w:tr>
      <w:tr w:rsidR="007E4B2B" w:rsidTr="00401A53">
        <w:trPr>
          <w:trHeight w:val="454"/>
        </w:trPr>
        <w:tc>
          <w:tcPr>
            <w:tcW w:w="887" w:type="pct"/>
            <w:vAlign w:val="center"/>
          </w:tcPr>
          <w:p w:rsidR="007E4B2B" w:rsidRPr="00A36633" w:rsidRDefault="007E4B2B" w:rsidP="00401A53">
            <w:pPr>
              <w:pStyle w:val="TableBodyText"/>
              <w:jc w:val="left"/>
              <w:rPr>
                <w:sz w:val="16"/>
              </w:rPr>
            </w:pPr>
            <w:r w:rsidRPr="00A36633">
              <w:rPr>
                <w:sz w:val="16"/>
              </w:rPr>
              <w:t>Russian Federation</w:t>
            </w:r>
          </w:p>
        </w:tc>
        <w:tc>
          <w:tcPr>
            <w:tcW w:w="593" w:type="pct"/>
            <w:vAlign w:val="center"/>
          </w:tcPr>
          <w:p w:rsidR="007E4B2B" w:rsidRDefault="007E4B2B" w:rsidP="00401A53">
            <w:pPr>
              <w:pStyle w:val="TableBodyText"/>
              <w:spacing w:after="0"/>
              <w:jc w:val="center"/>
            </w:pPr>
            <w:r>
              <w:rPr>
                <w:noProof/>
              </w:rPr>
              <mc:AlternateContent>
                <mc:Choice Requires="wps">
                  <w:drawing>
                    <wp:inline distT="0" distB="0" distL="0" distR="0" wp14:anchorId="6FF2D102" wp14:editId="51492ED7">
                      <wp:extent cx="144000" cy="144000"/>
                      <wp:effectExtent l="0" t="0" r="8890" b="8890"/>
                      <wp:docPr id="28" name="Rectangle 28"/>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tx1"/>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8"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" fillcolor="black [3213]" stroked="f" strokeweight="2pt">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7F96C458" wp14:editId="55F766CB">
                      <wp:extent cx="144000" cy="144000"/>
                      <wp:effectExtent l="0" t="0" r="27940" b="27940"/>
                      <wp:docPr id="56" name="Rectangle 56"/>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56"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" filled="f" strokecolor="black [3213]">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0F2F5922" wp14:editId="267B2999">
                      <wp:extent cx="144000" cy="144000"/>
                      <wp:effectExtent l="0" t="0" r="8890" b="8890"/>
                      <wp:docPr id="73" name="Rectangle 73"/>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bg1">
                                  <a:lumMod val="75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73"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" fillcolor="#bfbfbf [2412]" stroked="f" strokeweight="2pt">
                      <w10:anchorlock/>
                    </v:rect>
                  </w:pict>
                </mc:Fallback>
              </mc:AlternateContent>
            </w:r>
          </w:p>
        </w:tc>
        <w:tc>
          <w:tcPr>
            <w:tcW w:w="645" w:type="pct"/>
            <w:vAlign w:val="center"/>
          </w:tcPr>
          <w:p w:rsidR="007E4B2B" w:rsidRPr="00D7301E" w:rsidRDefault="007E4B2B" w:rsidP="00401A53">
            <w:pPr>
              <w:pStyle w:val="TableBodyText"/>
              <w:rPr>
                <w:sz w:val="16"/>
              </w:rPr>
            </w:pPr>
            <w:r w:rsidRPr="00D7301E">
              <w:rPr>
                <w:sz w:val="16"/>
              </w:rPr>
              <w:t>not indicated</w:t>
            </w:r>
          </w:p>
        </w:tc>
        <w:tc>
          <w:tcPr>
            <w:tcW w:w="1855" w:type="pct"/>
            <w:vAlign w:val="center"/>
          </w:tcPr>
          <w:p w:rsidR="007E4B2B" w:rsidRPr="00A36633" w:rsidRDefault="007E4B2B" w:rsidP="00401A53">
            <w:pPr>
              <w:pStyle w:val="TableBodyText"/>
              <w:ind w:right="28"/>
              <w:rPr>
                <w:sz w:val="16"/>
              </w:rPr>
            </w:pPr>
            <w:r w:rsidRPr="00A36633">
              <w:rPr>
                <w:sz w:val="16"/>
              </w:rPr>
              <w:t>Institute of Geology</w:t>
            </w:r>
          </w:p>
        </w:tc>
      </w:tr>
      <w:tr w:rsidR="007E4B2B" w:rsidTr="00401A53">
        <w:trPr>
          <w:trHeight w:val="397"/>
        </w:trPr>
        <w:tc>
          <w:tcPr>
            <w:tcW w:w="887" w:type="pct"/>
            <w:vAlign w:val="center"/>
          </w:tcPr>
          <w:p w:rsidR="007E4B2B" w:rsidRPr="00A36633" w:rsidRDefault="007E4B2B" w:rsidP="00401A53">
            <w:pPr>
              <w:pStyle w:val="TableBodyText"/>
              <w:jc w:val="left"/>
              <w:rPr>
                <w:sz w:val="16"/>
              </w:rPr>
            </w:pPr>
            <w:r w:rsidRPr="00A36633">
              <w:rPr>
                <w:sz w:val="16"/>
              </w:rPr>
              <w:t>Singapore</w:t>
            </w:r>
          </w:p>
        </w:tc>
        <w:tc>
          <w:tcPr>
            <w:tcW w:w="593" w:type="pct"/>
            <w:vAlign w:val="center"/>
          </w:tcPr>
          <w:p w:rsidR="007E4B2B" w:rsidRDefault="007E4B2B" w:rsidP="00401A53">
            <w:pPr>
              <w:pStyle w:val="TableBodyText"/>
              <w:spacing w:after="0"/>
              <w:jc w:val="center"/>
            </w:pPr>
            <w:r>
              <w:rPr>
                <w:noProof/>
              </w:rPr>
              <mc:AlternateContent>
                <mc:Choice Requires="wps">
                  <w:drawing>
                    <wp:inline distT="0" distB="0" distL="0" distR="0" wp14:anchorId="5DF7878E" wp14:editId="7C183C88">
                      <wp:extent cx="144000" cy="144000"/>
                      <wp:effectExtent l="0" t="0" r="8890" b="8890"/>
                      <wp:docPr id="29" name="Rectangle 29"/>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tx1"/>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9"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" fillcolor="black [3213]" stroked="f" strokeweight="2pt">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48D72777" wp14:editId="0111D607">
                      <wp:extent cx="144000" cy="144000"/>
                      <wp:effectExtent l="0" t="0" r="27940" b="27940"/>
                      <wp:docPr id="57" name="Rectangle 57"/>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57"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" filled="f" strokecolor="black [3213]">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244C7D32" wp14:editId="256BB8EA">
                      <wp:extent cx="144000" cy="144000"/>
                      <wp:effectExtent l="0" t="0" r="27940" b="27940"/>
                      <wp:docPr id="58" name="Rectangle 58"/>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58"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" filled="f" strokecolor="black [3213]">
                      <w10:anchorlock/>
                    </v:rect>
                  </w:pict>
                </mc:Fallback>
              </mc:AlternateContent>
            </w:r>
          </w:p>
        </w:tc>
        <w:tc>
          <w:tcPr>
            <w:tcW w:w="645" w:type="pct"/>
            <w:vAlign w:val="center"/>
          </w:tcPr>
          <w:p w:rsidR="007E4B2B" w:rsidRPr="00D7301E" w:rsidRDefault="007E4B2B" w:rsidP="00401A53">
            <w:pPr>
              <w:pStyle w:val="TableBodyText"/>
              <w:rPr>
                <w:sz w:val="16"/>
              </w:rPr>
            </w:pPr>
            <w:r w:rsidRPr="00D7301E">
              <w:rPr>
                <w:sz w:val="16"/>
              </w:rPr>
              <w:t>not applicable</w:t>
            </w:r>
          </w:p>
        </w:tc>
        <w:tc>
          <w:tcPr>
            <w:tcW w:w="1855" w:type="pct"/>
            <w:vAlign w:val="center"/>
          </w:tcPr>
          <w:p w:rsidR="007E4B2B" w:rsidRPr="00A36633" w:rsidRDefault="007E4B2B" w:rsidP="00401A53">
            <w:pPr>
              <w:pStyle w:val="TableBodyText"/>
              <w:ind w:right="28"/>
              <w:rPr>
                <w:sz w:val="16"/>
              </w:rPr>
            </w:pPr>
            <w:r w:rsidRPr="00A36633">
              <w:rPr>
                <w:sz w:val="16"/>
              </w:rPr>
              <w:t>No applicable body</w:t>
            </w:r>
          </w:p>
        </w:tc>
      </w:tr>
      <w:tr w:rsidR="007E4B2B" w:rsidTr="00401A53">
        <w:trPr>
          <w:trHeight w:val="397"/>
        </w:trPr>
        <w:tc>
          <w:tcPr>
            <w:tcW w:w="887" w:type="pct"/>
            <w:vAlign w:val="center"/>
          </w:tcPr>
          <w:p w:rsidR="007E4B2B" w:rsidRPr="00A36633" w:rsidRDefault="007E4B2B" w:rsidP="00401A53">
            <w:pPr>
              <w:pStyle w:val="TableBodyText"/>
              <w:jc w:val="left"/>
              <w:rPr>
                <w:sz w:val="16"/>
              </w:rPr>
            </w:pPr>
            <w:r w:rsidRPr="00A36633">
              <w:rPr>
                <w:sz w:val="16"/>
              </w:rPr>
              <w:t>Thailand</w:t>
            </w:r>
          </w:p>
        </w:tc>
        <w:tc>
          <w:tcPr>
            <w:tcW w:w="593" w:type="pct"/>
            <w:vAlign w:val="center"/>
          </w:tcPr>
          <w:p w:rsidR="007E4B2B" w:rsidRDefault="007E4B2B" w:rsidP="00401A53">
            <w:pPr>
              <w:pStyle w:val="TableBodyText"/>
              <w:spacing w:after="0"/>
              <w:jc w:val="center"/>
            </w:pPr>
            <w:r>
              <w:rPr>
                <w:noProof/>
              </w:rPr>
              <mc:AlternateContent>
                <mc:Choice Requires="wps">
                  <w:drawing>
                    <wp:inline distT="0" distB="0" distL="0" distR="0" wp14:anchorId="30A1AE81" wp14:editId="45B0639E">
                      <wp:extent cx="144000" cy="144000"/>
                      <wp:effectExtent l="0" t="0" r="27940" b="27940"/>
                      <wp:docPr id="59" name="Rectangle 59"/>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59"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" filled="f" strokecolor="black [3213]">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1AEA70F1" wp14:editId="2EFB82D3">
                      <wp:extent cx="144000" cy="144000"/>
                      <wp:effectExtent l="0" t="0" r="8890" b="8890"/>
                      <wp:docPr id="30" name="Rectangle 30"/>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tx1"/>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0"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" fillcolor="black [3213]" stroked="f" strokeweight="2pt">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01D6B81D" wp14:editId="2561F3BF">
                      <wp:extent cx="144000" cy="144000"/>
                      <wp:effectExtent l="0" t="0" r="8890" b="8890"/>
                      <wp:docPr id="31" name="Rectangle 31"/>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tx1"/>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1"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" fillcolor="black [3213]" stroked="f" strokeweight="2pt">
                      <w10:anchorlock/>
                    </v:rect>
                  </w:pict>
                </mc:Fallback>
              </mc:AlternateContent>
            </w:r>
          </w:p>
        </w:tc>
        <w:tc>
          <w:tcPr>
            <w:tcW w:w="645" w:type="pct"/>
            <w:vAlign w:val="center"/>
          </w:tcPr>
          <w:p w:rsidR="007E4B2B" w:rsidRPr="00A36633" w:rsidRDefault="007E4B2B" w:rsidP="00401A53">
            <w:pPr>
              <w:pStyle w:val="TableBodyText"/>
              <w:rPr>
                <w:sz w:val="18"/>
              </w:rPr>
            </w:pPr>
            <w:r w:rsidRPr="00A36633">
              <w:rPr>
                <w:sz w:val="18"/>
              </w:rPr>
              <w:t>1:50 000</w:t>
            </w:r>
          </w:p>
        </w:tc>
        <w:tc>
          <w:tcPr>
            <w:tcW w:w="1855" w:type="pct"/>
            <w:vAlign w:val="center"/>
          </w:tcPr>
          <w:p w:rsidR="007E4B2B" w:rsidRPr="00A36633" w:rsidRDefault="007E4B2B" w:rsidP="00401A53">
            <w:pPr>
              <w:pStyle w:val="TableBodyText"/>
              <w:ind w:right="28"/>
              <w:rPr>
                <w:sz w:val="16"/>
              </w:rPr>
            </w:pPr>
            <w:r w:rsidRPr="00A36633">
              <w:rPr>
                <w:sz w:val="16"/>
              </w:rPr>
              <w:t>Department of Mineral Resources</w:t>
            </w:r>
          </w:p>
        </w:tc>
      </w:tr>
      <w:tr w:rsidR="007E4B2B" w:rsidTr="00401A53">
        <w:trPr>
          <w:trHeight w:val="454"/>
        </w:trPr>
        <w:tc>
          <w:tcPr>
            <w:tcW w:w="887" w:type="pct"/>
            <w:vAlign w:val="center"/>
          </w:tcPr>
          <w:p w:rsidR="007E4B2B" w:rsidRPr="00A36633" w:rsidRDefault="007E4B2B" w:rsidP="00401A53">
            <w:pPr>
              <w:pStyle w:val="TableBodyText"/>
              <w:jc w:val="left"/>
              <w:rPr>
                <w:sz w:val="16"/>
              </w:rPr>
            </w:pPr>
            <w:r w:rsidRPr="00A36633">
              <w:rPr>
                <w:sz w:val="16"/>
              </w:rPr>
              <w:t>United States</w:t>
            </w:r>
          </w:p>
        </w:tc>
        <w:tc>
          <w:tcPr>
            <w:tcW w:w="593" w:type="pct"/>
            <w:vAlign w:val="center"/>
          </w:tcPr>
          <w:p w:rsidR="007E4B2B" w:rsidRDefault="007E4B2B" w:rsidP="00401A53">
            <w:pPr>
              <w:pStyle w:val="TableBodyText"/>
              <w:spacing w:after="0"/>
              <w:jc w:val="center"/>
            </w:pPr>
            <w:r>
              <w:rPr>
                <w:noProof/>
              </w:rPr>
              <mc:AlternateContent>
                <mc:Choice Requires="wps">
                  <w:drawing>
                    <wp:inline distT="0" distB="0" distL="0" distR="0" wp14:anchorId="39D0BD9B" wp14:editId="1806BE46">
                      <wp:extent cx="144000" cy="144000"/>
                      <wp:effectExtent l="0" t="0" r="27940" b="27940"/>
                      <wp:docPr id="60" name="Rectangle 60"/>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60"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" filled="f" strokecolor="black [3213]">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55BE4A89" wp14:editId="003E5213">
                      <wp:extent cx="144000" cy="144000"/>
                      <wp:effectExtent l="0" t="0" r="27940" b="27940"/>
                      <wp:docPr id="61" name="Rectangle 61"/>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61"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" filled="f" strokecolor="black [3213]">
                      <w10:anchorlock/>
                    </v:rect>
                  </w:pict>
                </mc:Fallback>
              </mc:AlternateContent>
            </w:r>
          </w:p>
        </w:tc>
        <w:tc>
          <w:tcPr>
            <w:tcW w:w="510" w:type="pct"/>
            <w:vAlign w:val="center"/>
          </w:tcPr>
          <w:p w:rsidR="007E4B2B" w:rsidRDefault="007E4B2B" w:rsidP="00401A53">
            <w:pPr>
              <w:pStyle w:val="TableBodyText"/>
              <w:spacing w:after="0"/>
              <w:jc w:val="center"/>
            </w:pPr>
            <w:r>
              <w:rPr>
                <w:noProof/>
              </w:rPr>
              <mc:AlternateContent>
                <mc:Choice Requires="wps">
                  <w:drawing>
                    <wp:inline distT="0" distB="0" distL="0" distR="0" wp14:anchorId="71DF5062" wp14:editId="1F1BA343">
                      <wp:extent cx="144000" cy="144000"/>
                      <wp:effectExtent l="0" t="0" r="8890" b="8890"/>
                      <wp:docPr id="32" name="Rectangle 32"/>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tx1"/>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2"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" fillcolor="black [3213]" stroked="f" strokeweight="2pt">
                      <w10:anchorlock/>
                    </v:rect>
                  </w:pict>
                </mc:Fallback>
              </mc:AlternateContent>
            </w:r>
          </w:p>
        </w:tc>
        <w:tc>
          <w:tcPr>
            <w:tcW w:w="645" w:type="pct"/>
            <w:vAlign w:val="center"/>
          </w:tcPr>
          <w:p w:rsidR="007E4B2B" w:rsidRPr="00A36633" w:rsidRDefault="007E4B2B" w:rsidP="00401A53">
            <w:pPr>
              <w:pStyle w:val="TableBodyText"/>
              <w:rPr>
                <w:sz w:val="18"/>
              </w:rPr>
            </w:pPr>
            <w:r w:rsidRPr="00A36633">
              <w:rPr>
                <w:sz w:val="18"/>
              </w:rPr>
              <w:t>1:</w:t>
            </w:r>
            <w:r>
              <w:rPr>
                <w:sz w:val="18"/>
              </w:rPr>
              <w:t>24</w:t>
            </w:r>
            <w:r w:rsidRPr="00A36633">
              <w:rPr>
                <w:sz w:val="18"/>
              </w:rPr>
              <w:t> 000</w:t>
            </w:r>
          </w:p>
        </w:tc>
        <w:tc>
          <w:tcPr>
            <w:tcW w:w="1855" w:type="pct"/>
            <w:vAlign w:val="center"/>
          </w:tcPr>
          <w:p w:rsidR="007E4B2B" w:rsidRPr="00A36633" w:rsidRDefault="007E4B2B" w:rsidP="00401A53">
            <w:pPr>
              <w:pStyle w:val="TableBodyText"/>
              <w:ind w:right="28"/>
              <w:rPr>
                <w:sz w:val="16"/>
              </w:rPr>
            </w:pPr>
            <w:r w:rsidRPr="00A36633">
              <w:rPr>
                <w:sz w:val="16"/>
              </w:rPr>
              <w:t>United States Geological Survey</w:t>
            </w:r>
          </w:p>
        </w:tc>
      </w:tr>
      <w:tr w:rsidR="007E4B2B" w:rsidTr="00401A53">
        <w:trPr>
          <w:trHeight w:val="510"/>
        </w:trPr>
        <w:tc>
          <w:tcPr>
            <w:tcW w:w="887" w:type="pct"/>
            <w:tcBorders>
              <w:bottom w:val="single" w:sz="6" w:space="0" w:color="auto"/>
            </w:tcBorders>
            <w:shd w:val="clear" w:color="auto" w:fill="auto"/>
            <w:vAlign w:val="center"/>
          </w:tcPr>
          <w:p w:rsidR="007E4B2B" w:rsidRPr="00A36633" w:rsidRDefault="007E4B2B" w:rsidP="00401A53">
            <w:pPr>
              <w:pStyle w:val="TableBodyText"/>
              <w:jc w:val="left"/>
              <w:rPr>
                <w:sz w:val="16"/>
              </w:rPr>
            </w:pPr>
            <w:r w:rsidRPr="00A36633">
              <w:rPr>
                <w:sz w:val="16"/>
              </w:rPr>
              <w:t>Viet Nam</w:t>
            </w:r>
          </w:p>
        </w:tc>
        <w:tc>
          <w:tcPr>
            <w:tcW w:w="593" w:type="pct"/>
            <w:tcBorders>
              <w:bottom w:val="single" w:sz="6" w:space="0" w:color="auto"/>
            </w:tcBorders>
            <w:shd w:val="clear" w:color="auto" w:fill="auto"/>
            <w:vAlign w:val="center"/>
          </w:tcPr>
          <w:p w:rsidR="007E4B2B" w:rsidRDefault="007E4B2B" w:rsidP="00401A53">
            <w:pPr>
              <w:pStyle w:val="TableBodyText"/>
              <w:spacing w:after="0"/>
              <w:jc w:val="center"/>
            </w:pPr>
            <w:r>
              <w:rPr>
                <w:noProof/>
              </w:rPr>
              <mc:AlternateContent>
                <mc:Choice Requires="wps">
                  <w:drawing>
                    <wp:inline distT="0" distB="0" distL="0" distR="0" wp14:anchorId="0252F32C" wp14:editId="43478A71">
                      <wp:extent cx="144000" cy="144000"/>
                      <wp:effectExtent l="0" t="0" r="8890" b="8890"/>
                      <wp:docPr id="33" name="Rectangle 33"/>
                      <wp:cNvGraphicFramePr/>
                      <a:graphic xmlns:a="http://schemas.openxmlformats.org/drawingml/2006/main">
                        <a:graphicData uri="http://schemas.microsoft.com/office/word/2010/wordprocessingShape">
                          <wps:wsp>
                            <wps:cNvSpPr/>
                            <wps:spPr>
                              <a:xfrm>
                                <a:off x="0" y="0"/>
                                <a:ext cx="144000" cy="144000"/>
                              </a:xfrm>
                              <a:prstGeom prst="rect">
                                <a:avLst/>
                              </a:prstGeom>
                              <a:solidFill>
                                <a:schemeClr val="tx1"/>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3"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" fillcolor="black [3213]" stroked="f" strokeweight="2pt">
                      <w10:anchorlock/>
                    </v:rect>
                  </w:pict>
                </mc:Fallback>
              </mc:AlternateContent>
            </w:r>
          </w:p>
        </w:tc>
        <w:tc>
          <w:tcPr>
            <w:tcW w:w="510" w:type="pct"/>
            <w:tcBorders>
              <w:bottom w:val="single" w:sz="6" w:space="0" w:color="auto"/>
            </w:tcBorders>
            <w:shd w:val="clear" w:color="auto" w:fill="auto"/>
            <w:vAlign w:val="center"/>
          </w:tcPr>
          <w:p w:rsidR="007E4B2B" w:rsidRDefault="007E4B2B" w:rsidP="00401A53">
            <w:pPr>
              <w:pStyle w:val="TableBodyText"/>
              <w:spacing w:after="0"/>
              <w:jc w:val="center"/>
            </w:pPr>
            <w:r>
              <w:rPr>
                <w:noProof/>
              </w:rPr>
              <mc:AlternateContent>
                <mc:Choice Requires="wps">
                  <w:drawing>
                    <wp:inline distT="0" distB="0" distL="0" distR="0" wp14:anchorId="2A96F862" wp14:editId="7CC37E39">
                      <wp:extent cx="144000" cy="144000"/>
                      <wp:effectExtent l="0" t="0" r="27940" b="27940"/>
                      <wp:docPr id="62" name="Rectangle 62"/>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62"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" filled="f" strokecolor="black [3213]">
                      <w10:anchorlock/>
                    </v:rect>
                  </w:pict>
                </mc:Fallback>
              </mc:AlternateContent>
            </w:r>
          </w:p>
        </w:tc>
        <w:tc>
          <w:tcPr>
            <w:tcW w:w="510" w:type="pct"/>
            <w:tcBorders>
              <w:bottom w:val="single" w:sz="6" w:space="0" w:color="auto"/>
            </w:tcBorders>
            <w:shd w:val="clear" w:color="auto" w:fill="auto"/>
            <w:vAlign w:val="center"/>
          </w:tcPr>
          <w:p w:rsidR="007E4B2B" w:rsidRDefault="007E4B2B" w:rsidP="00401A53">
            <w:pPr>
              <w:pStyle w:val="TableBodyText"/>
              <w:spacing w:after="0"/>
              <w:jc w:val="center"/>
            </w:pPr>
            <w:r>
              <w:rPr>
                <w:noProof/>
              </w:rPr>
              <mc:AlternateContent>
                <mc:Choice Requires="wps">
                  <w:drawing>
                    <wp:inline distT="0" distB="0" distL="0" distR="0" wp14:anchorId="72CE3A81" wp14:editId="6CA752FB">
                      <wp:extent cx="144000" cy="144000"/>
                      <wp:effectExtent l="0" t="0" r="27940" b="27940"/>
                      <wp:docPr id="63" name="Rectangle 63"/>
                      <wp:cNvGraphicFramePr/>
                      <a:graphic xmlns:a="http://schemas.openxmlformats.org/drawingml/2006/main">
                        <a:graphicData uri="http://schemas.microsoft.com/office/word/2010/wordprocessingShape">
                          <wps:wsp>
                            <wps:cNvSpPr/>
                            <wps:spPr>
                              <a:xfrm>
                                <a:off x="0" y="0"/>
                                <a:ext cx="144000" cy="144000"/>
                              </a:xfrm>
                              <a:prstGeom prst="rect">
                                <a:avLst/>
                              </a:prstGeom>
                              <a:noFill/>
                              <a:ln w="9525">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63"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" filled="f" strokecolor="black [3213]">
                      <w10:anchorlock/>
                    </v:rect>
                  </w:pict>
                </mc:Fallback>
              </mc:AlternateContent>
            </w:r>
          </w:p>
        </w:tc>
        <w:tc>
          <w:tcPr>
            <w:tcW w:w="645" w:type="pct"/>
            <w:tcBorders>
              <w:bottom w:val="single" w:sz="6" w:space="0" w:color="auto"/>
            </w:tcBorders>
            <w:shd w:val="clear" w:color="auto" w:fill="auto"/>
            <w:vAlign w:val="center"/>
          </w:tcPr>
          <w:p w:rsidR="007E4B2B" w:rsidRPr="00A36633" w:rsidRDefault="007E4B2B" w:rsidP="00401A53">
            <w:pPr>
              <w:pStyle w:val="TableBodyText"/>
              <w:rPr>
                <w:sz w:val="18"/>
              </w:rPr>
            </w:pPr>
            <w:r w:rsidRPr="00A36633">
              <w:rPr>
                <w:sz w:val="18"/>
              </w:rPr>
              <w:t>1:</w:t>
            </w:r>
            <w:r>
              <w:rPr>
                <w:sz w:val="18"/>
              </w:rPr>
              <w:t>50</w:t>
            </w:r>
            <w:r w:rsidRPr="00A36633">
              <w:rPr>
                <w:sz w:val="18"/>
              </w:rPr>
              <w:t> 000</w:t>
            </w:r>
          </w:p>
        </w:tc>
        <w:tc>
          <w:tcPr>
            <w:tcW w:w="1855" w:type="pct"/>
            <w:tcBorders>
              <w:bottom w:val="single" w:sz="6" w:space="0" w:color="auto"/>
            </w:tcBorders>
            <w:shd w:val="clear" w:color="auto" w:fill="auto"/>
            <w:vAlign w:val="center"/>
          </w:tcPr>
          <w:p w:rsidR="007E4B2B" w:rsidRPr="00A36633" w:rsidRDefault="007E4B2B" w:rsidP="00401A53">
            <w:pPr>
              <w:pStyle w:val="TableBodyText"/>
              <w:ind w:right="28"/>
              <w:rPr>
                <w:sz w:val="16"/>
              </w:rPr>
            </w:pPr>
            <w:r w:rsidRPr="00A36633">
              <w:rPr>
                <w:sz w:val="16"/>
              </w:rPr>
              <w:t>Department o</w:t>
            </w:r>
            <w:r>
              <w:rPr>
                <w:sz w:val="16"/>
              </w:rPr>
              <w:t>f Geology and Minerals of      Vietn</w:t>
            </w:r>
            <w:r w:rsidRPr="00A36633">
              <w:rPr>
                <w:sz w:val="16"/>
              </w:rPr>
              <w:t>am</w:t>
            </w:r>
          </w:p>
        </w:tc>
      </w:tr>
    </w:tbl>
    <w:p w:rsidR="007E4B2B" w:rsidRDefault="007E4B2B" w:rsidP="007E4B2B">
      <w:pPr>
        <w:pStyle w:val="Note"/>
      </w:pPr>
      <w:r w:rsidRPr="0014720A">
        <w:rPr>
          <w:rStyle w:val="NoteLabel"/>
        </w:rPr>
        <w:t>a</w:t>
      </w:r>
      <w:r>
        <w:t xml:space="preserve"> </w:t>
      </w:r>
      <w:proofErr w:type="spellStart"/>
      <w:r>
        <w:t>KIGAM</w:t>
      </w:r>
      <w:proofErr w:type="spellEnd"/>
      <w:r>
        <w:t xml:space="preserve"> handles pure geological information. Information relating to the location of mineral and petroleum resources is managed by the Korea Resources Corporation (Korea). </w:t>
      </w:r>
    </w:p>
    <w:p w:rsidR="007E4B2B" w:rsidRDefault="007E4B2B" w:rsidP="007E4B2B">
      <w:pPr>
        <w:pStyle w:val="Source"/>
      </w:pPr>
      <w:r>
        <w:rPr>
          <w:i/>
        </w:rPr>
        <w:t>Source</w:t>
      </w:r>
      <w:r>
        <w:t>: Penn</w:t>
      </w:r>
      <w:r w:rsidR="001938BB">
        <w:t>e</w:t>
      </w:r>
      <w:r>
        <w:t>y</w:t>
      </w:r>
      <w:r w:rsidR="00645EDE">
        <w:t xml:space="preserve"> et al.</w:t>
      </w:r>
      <w:r>
        <w:t xml:space="preserve"> (2007).</w:t>
      </w:r>
    </w:p>
    <w:p w:rsidR="007E4B2B" w:rsidRDefault="007E4B2B" w:rsidP="007E4B2B">
      <w:pPr>
        <w:pStyle w:val="BodyText"/>
        <w:rPr>
          <w:lang w:val="en"/>
        </w:rPr>
      </w:pPr>
    </w:p>
    <w:p w:rsidR="007E4B2B" w:rsidRDefault="007E4B2B" w:rsidP="007E4B2B">
      <w:pPr>
        <w:pStyle w:val="BodyText"/>
        <w:rPr>
          <w:lang w:val="en"/>
        </w:rPr>
      </w:pPr>
      <w:r>
        <w:rPr>
          <w:lang w:val="en"/>
        </w:rPr>
        <w:lastRenderedPageBreak/>
        <w:t xml:space="preserve">Despite this, </w:t>
      </w:r>
      <w:r w:rsidR="00D7691E">
        <w:rPr>
          <w:lang w:val="en"/>
        </w:rPr>
        <w:t>Australia’s geological databases</w:t>
      </w:r>
      <w:r>
        <w:rPr>
          <w:lang w:val="en"/>
        </w:rPr>
        <w:t xml:space="preserve"> are generally considered to be of high and improving quality. The results of the Fraser Institute international </w:t>
      </w:r>
      <w:r>
        <w:rPr>
          <w:i/>
          <w:lang w:val="en"/>
        </w:rPr>
        <w:t>Survey of Mining Companies 2012/2013</w:t>
      </w:r>
      <w:r>
        <w:rPr>
          <w:lang w:val="en"/>
        </w:rPr>
        <w:t xml:space="preserve">, often quoted by industry, point to Australia’s geological databases </w:t>
      </w:r>
      <w:r w:rsidR="00BF22A7">
        <w:rPr>
          <w:lang w:val="en"/>
        </w:rPr>
        <w:t>as being</w:t>
      </w:r>
      <w:r>
        <w:rPr>
          <w:lang w:val="en"/>
        </w:rPr>
        <w:t xml:space="preserve"> among the best in the world (table</w:t>
      </w:r>
      <w:r w:rsidR="00826DA6">
        <w:rPr>
          <w:lang w:val="en"/>
        </w:rPr>
        <w:t> </w:t>
      </w:r>
      <w:r>
        <w:rPr>
          <w:lang w:val="en"/>
        </w:rPr>
        <w:t xml:space="preserve">7.2, left hand panel). In the latest </w:t>
      </w:r>
      <w:r w:rsidR="000025F9">
        <w:rPr>
          <w:lang w:val="en"/>
        </w:rPr>
        <w:t xml:space="preserve">edition </w:t>
      </w:r>
      <w:r>
        <w:rPr>
          <w:lang w:val="en"/>
        </w:rPr>
        <w:t xml:space="preserve">of the Institute’s mining survey, which ranked 62 national or subnational jurisdictions, the highest proportion of respondents identified the quality of </w:t>
      </w:r>
      <w:r w:rsidR="00971753">
        <w:rPr>
          <w:lang w:val="en"/>
        </w:rPr>
        <w:t xml:space="preserve">South Australia’s </w:t>
      </w:r>
      <w:r>
        <w:rPr>
          <w:lang w:val="en"/>
        </w:rPr>
        <w:t xml:space="preserve">geological information as ‘encouraging investment’. Western Australia (third), the Northern Territory (sixth) and Queensland (ninth) also ranked highly. </w:t>
      </w:r>
    </w:p>
    <w:p w:rsidR="007E4B2B" w:rsidRDefault="007E4B2B" w:rsidP="007E4B2B">
      <w:pPr>
        <w:pStyle w:val="BodyText"/>
        <w:rPr>
          <w:lang w:val="en"/>
        </w:rPr>
      </w:pPr>
      <w:r>
        <w:rPr>
          <w:lang w:val="en"/>
        </w:rPr>
        <w:t xml:space="preserve">Australia also performs well in the Institute’s equivalent petroleum survey (2012). Out of the 147 jurisdictions surveyed, South Australia, offshore Australia and Western Australia had the highest proportion of respondents who identified that the quality of geological information was encouraging investment in these jurisdictions (table 7.2, right hand panel). </w:t>
      </w:r>
    </w:p>
    <w:p w:rsidR="007E4B2B" w:rsidRDefault="007E4B2B" w:rsidP="007E4B2B">
      <w:pPr>
        <w:pStyle w:val="BodyText"/>
        <w:rPr>
          <w:lang w:val="en"/>
        </w:rPr>
      </w:pPr>
      <w:r>
        <w:rPr>
          <w:lang w:val="en"/>
        </w:rPr>
        <w:t>Submissions to this inquiry similarly praised the quality of Australia’s pre</w:t>
      </w:r>
      <w:r w:rsidR="00DC4E50">
        <w:rPr>
          <w:szCs w:val="24"/>
        </w:rPr>
        <w:noBreakHyphen/>
      </w:r>
      <w:r>
        <w:rPr>
          <w:lang w:val="en"/>
        </w:rPr>
        <w:t xml:space="preserve">competitive geoscience information. For example, </w:t>
      </w:r>
      <w:r w:rsidR="00645EDE" w:rsidRPr="00645EDE">
        <w:rPr>
          <w:lang w:val="en"/>
        </w:rPr>
        <w:t>the Australian Institute of Mining and Metallurgy (</w:t>
      </w:r>
      <w:proofErr w:type="spellStart"/>
      <w:r w:rsidR="00645EDE" w:rsidRPr="00645EDE">
        <w:rPr>
          <w:lang w:val="en"/>
        </w:rPr>
        <w:t>AusIMM</w:t>
      </w:r>
      <w:proofErr w:type="spellEnd"/>
      <w:r w:rsidR="00645EDE" w:rsidRPr="00645EDE">
        <w:rPr>
          <w:lang w:val="en"/>
        </w:rPr>
        <w:t xml:space="preserve">) </w:t>
      </w:r>
      <w:r>
        <w:rPr>
          <w:lang w:val="en"/>
        </w:rPr>
        <w:t>stated:</w:t>
      </w:r>
    </w:p>
    <w:p w:rsidR="007E4B2B" w:rsidRDefault="007E4B2B" w:rsidP="007E4B2B">
      <w:pPr>
        <w:pStyle w:val="Quote"/>
        <w:rPr>
          <w:lang w:val="en"/>
        </w:rPr>
      </w:pPr>
      <w:proofErr w:type="spellStart"/>
      <w:r>
        <w:rPr>
          <w:lang w:val="en"/>
        </w:rPr>
        <w:t>AusIMM</w:t>
      </w:r>
      <w:proofErr w:type="spellEnd"/>
      <w:r>
        <w:rPr>
          <w:lang w:val="en"/>
        </w:rPr>
        <w:t xml:space="preserve"> members are of the view that Australia’s various geoscience organisations produce very high quality pre</w:t>
      </w:r>
      <w:r>
        <w:rPr>
          <w:lang w:val="en"/>
        </w:rPr>
        <w:noBreakHyphen/>
        <w:t>competitive data, and play a very constructive role in supporting minerals exploration investment</w:t>
      </w:r>
      <w:r w:rsidR="00BF22A7">
        <w:rPr>
          <w:lang w:val="en"/>
        </w:rPr>
        <w:t>.</w:t>
      </w:r>
      <w:r>
        <w:rPr>
          <w:lang w:val="en"/>
        </w:rPr>
        <w:t xml:space="preserve"> (sub. 12, p. 2)</w:t>
      </w:r>
    </w:p>
    <w:p w:rsidR="007E4B2B" w:rsidRDefault="007E4B2B" w:rsidP="007E4B2B">
      <w:pPr>
        <w:pStyle w:val="BodyText"/>
        <w:rPr>
          <w:lang w:val="en"/>
        </w:rPr>
      </w:pPr>
      <w:r>
        <w:rPr>
          <w:lang w:val="en"/>
        </w:rPr>
        <w:t>Likewise, an industry participant to the South Australia Chamber of Minerals and Energy submission commented:</w:t>
      </w:r>
    </w:p>
    <w:p w:rsidR="007E4B2B" w:rsidRDefault="007E4B2B" w:rsidP="007E4B2B">
      <w:pPr>
        <w:pStyle w:val="Quote"/>
        <w:rPr>
          <w:lang w:val="en"/>
        </w:rPr>
      </w:pPr>
      <w:r>
        <w:rPr>
          <w:lang w:val="en"/>
        </w:rPr>
        <w:t xml:space="preserve">I think delivery of Geoscientific information is pretty good by both federal and state bodies. The </w:t>
      </w:r>
      <w:proofErr w:type="spellStart"/>
      <w:r>
        <w:rPr>
          <w:lang w:val="en"/>
        </w:rPr>
        <w:t>govt</w:t>
      </w:r>
      <w:proofErr w:type="spellEnd"/>
      <w:r>
        <w:rPr>
          <w:lang w:val="en"/>
        </w:rPr>
        <w:t xml:space="preserve"> needs to understand (and I think it does) that the mature exploration environment in Australia means that the search for new deposits is much harder and much more expensive these days</w:t>
      </w:r>
      <w:r w:rsidR="00BF22A7">
        <w:rPr>
          <w:lang w:val="en"/>
        </w:rPr>
        <w:t>.</w:t>
      </w:r>
      <w:r>
        <w:rPr>
          <w:lang w:val="en"/>
        </w:rPr>
        <w:t xml:space="preserve"> (sub. 9, p.</w:t>
      </w:r>
      <w:r w:rsidR="00826DA6">
        <w:rPr>
          <w:lang w:val="en"/>
        </w:rPr>
        <w:t> </w:t>
      </w:r>
      <w:r w:rsidR="00BF22A7">
        <w:rPr>
          <w:lang w:val="en"/>
        </w:rPr>
        <w:t>13)</w:t>
      </w:r>
    </w:p>
    <w:p w:rsidR="007E4B2B" w:rsidRDefault="007E4B2B" w:rsidP="007E4B2B">
      <w:pPr>
        <w:pStyle w:val="BodyText"/>
        <w:rPr>
          <w:lang w:val="en"/>
        </w:rPr>
      </w:pPr>
      <w:r>
        <w:rPr>
          <w:lang w:val="en"/>
        </w:rPr>
        <w:t>The Minerals Council of Australia, while warning that Australia should not rest on past achievements, noted that:</w:t>
      </w:r>
    </w:p>
    <w:p w:rsidR="007E4B2B" w:rsidRPr="009C796B" w:rsidRDefault="007E4B2B" w:rsidP="007E4B2B">
      <w:pPr>
        <w:pStyle w:val="Quote"/>
        <w:rPr>
          <w:lang w:val="en"/>
        </w:rPr>
      </w:pPr>
      <w:r>
        <w:rPr>
          <w:lang w:val="en"/>
        </w:rPr>
        <w:t>World</w:t>
      </w:r>
      <w:r>
        <w:rPr>
          <w:lang w:val="en"/>
        </w:rPr>
        <w:noBreakHyphen/>
        <w:t>leading exploration geoscience has been a key competitive advantage of Australia’s exploration sector and emerging mining regions are moving quickly to emulate this success</w:t>
      </w:r>
      <w:r w:rsidR="00BF22A7">
        <w:rPr>
          <w:lang w:val="en"/>
        </w:rPr>
        <w:t>.</w:t>
      </w:r>
      <w:r>
        <w:rPr>
          <w:lang w:val="en"/>
        </w:rPr>
        <w:t xml:space="preserve"> (sub. 27, p. 32)</w:t>
      </w:r>
    </w:p>
    <w:p w:rsidR="007E4B2B" w:rsidRDefault="00A33DFF" w:rsidP="007E4B2B">
      <w:pPr>
        <w:pStyle w:val="TableTitle"/>
      </w:pPr>
      <w:r>
        <w:br w:type="page"/>
      </w:r>
      <w:r w:rsidR="007E4B2B">
        <w:rPr>
          <w:b w:val="0"/>
        </w:rPr>
        <w:lastRenderedPageBreak/>
        <w:t xml:space="preserve">Table </w:t>
      </w:r>
      <w:r w:rsidR="004201F1">
        <w:rPr>
          <w:b w:val="0"/>
        </w:rPr>
        <w:t>7.</w:t>
      </w:r>
      <w:r w:rsidR="007E4B2B">
        <w:rPr>
          <w:b w:val="0"/>
        </w:rPr>
        <w:t>2</w:t>
      </w:r>
      <w:r w:rsidR="007E4B2B">
        <w:tab/>
        <w:t>Quality of the geological database: the highly ranked and selected other jurisdictions</w:t>
      </w:r>
    </w:p>
    <w:p w:rsidR="007E4B2B" w:rsidRDefault="00BF22A7" w:rsidP="007E4B2B">
      <w:pPr>
        <w:pStyle w:val="Subtitle"/>
      </w:pPr>
      <w:r>
        <w:t>Per cent</w:t>
      </w:r>
      <w:r w:rsidR="007E4B2B">
        <w:t xml:space="preserve"> of firms reporting that the available database encourages investment</w:t>
      </w:r>
      <w:r>
        <w:t xml:space="preserve"> </w:t>
      </w:r>
    </w:p>
    <w:tbl>
      <w:tblPr>
        <w:tblW w:w="5000" w:type="pct"/>
        <w:tblLayout w:type="fixed"/>
        <w:tblCellMar>
          <w:left w:w="0" w:type="dxa"/>
          <w:right w:w="0" w:type="dxa"/>
        </w:tblCellMar>
        <w:tblLook w:val="0000" w:firstRow="0" w:lastRow="0" w:firstColumn="0" w:lastColumn="0" w:noHBand="0" w:noVBand="0"/>
      </w:tblPr>
      <w:tblGrid>
        <w:gridCol w:w="3005"/>
        <w:gridCol w:w="1038"/>
        <w:gridCol w:w="1041"/>
        <w:gridCol w:w="1041"/>
        <w:gridCol w:w="888"/>
        <w:gridCol w:w="888"/>
        <w:gridCol w:w="888"/>
      </w:tblGrid>
      <w:tr w:rsidR="007E4B2B" w:rsidTr="00401A53">
        <w:tc>
          <w:tcPr>
            <w:tcW w:w="1710" w:type="pct"/>
            <w:tcBorders>
              <w:top w:val="single" w:sz="6" w:space="0" w:color="auto"/>
              <w:bottom w:val="single" w:sz="6" w:space="0" w:color="auto"/>
            </w:tcBorders>
            <w:shd w:val="clear" w:color="auto" w:fill="auto"/>
          </w:tcPr>
          <w:p w:rsidR="007E4B2B" w:rsidRDefault="007E4B2B" w:rsidP="007E4B2B">
            <w:pPr>
              <w:pStyle w:val="TableColumnHeading"/>
              <w:jc w:val="left"/>
            </w:pPr>
            <w:r>
              <w:t>Region</w:t>
            </w:r>
          </w:p>
        </w:tc>
        <w:tc>
          <w:tcPr>
            <w:tcW w:w="1775" w:type="pct"/>
            <w:gridSpan w:val="3"/>
            <w:tcBorders>
              <w:top w:val="single" w:sz="6" w:space="0" w:color="auto"/>
              <w:bottom w:val="single" w:sz="6" w:space="0" w:color="auto"/>
              <w:right w:val="single" w:sz="4" w:space="0" w:color="auto"/>
            </w:tcBorders>
          </w:tcPr>
          <w:p w:rsidR="007E4B2B" w:rsidRDefault="007E4B2B" w:rsidP="00401A53">
            <w:pPr>
              <w:pStyle w:val="TableColumnHeading"/>
              <w:jc w:val="center"/>
            </w:pPr>
            <w:r>
              <w:t>Survey of Mining Companies</w:t>
            </w:r>
          </w:p>
        </w:tc>
        <w:tc>
          <w:tcPr>
            <w:tcW w:w="1516" w:type="pct"/>
            <w:gridSpan w:val="3"/>
            <w:tcBorders>
              <w:top w:val="single" w:sz="6" w:space="0" w:color="auto"/>
              <w:left w:val="single" w:sz="4" w:space="0" w:color="auto"/>
              <w:bottom w:val="single" w:sz="6" w:space="0" w:color="auto"/>
            </w:tcBorders>
          </w:tcPr>
          <w:p w:rsidR="007E4B2B" w:rsidRDefault="007E4B2B" w:rsidP="00401A53">
            <w:pPr>
              <w:pStyle w:val="TableColumnHeading"/>
              <w:ind w:right="28"/>
              <w:jc w:val="center"/>
            </w:pPr>
            <w:r>
              <w:t>Global Petroleum Survey</w:t>
            </w:r>
          </w:p>
        </w:tc>
      </w:tr>
      <w:tr w:rsidR="007E4B2B" w:rsidRPr="00447CCE" w:rsidTr="00401A53">
        <w:tc>
          <w:tcPr>
            <w:tcW w:w="1710" w:type="pct"/>
            <w:tcBorders>
              <w:top w:val="single" w:sz="6" w:space="0" w:color="auto"/>
            </w:tcBorders>
          </w:tcPr>
          <w:p w:rsidR="007E4B2B" w:rsidRPr="00447CCE" w:rsidRDefault="007E4B2B" w:rsidP="00401A53">
            <w:pPr>
              <w:pStyle w:val="TableUnitsRow"/>
              <w:jc w:val="left"/>
              <w:rPr>
                <w:i/>
              </w:rPr>
            </w:pPr>
          </w:p>
        </w:tc>
        <w:tc>
          <w:tcPr>
            <w:tcW w:w="591" w:type="pct"/>
            <w:tcBorders>
              <w:top w:val="single" w:sz="6" w:space="0" w:color="auto"/>
            </w:tcBorders>
          </w:tcPr>
          <w:p w:rsidR="007E4B2B" w:rsidRDefault="007E4B2B" w:rsidP="00401A53">
            <w:pPr>
              <w:pStyle w:val="TableUnitsRow"/>
              <w:rPr>
                <w:i/>
              </w:rPr>
            </w:pPr>
            <w:r>
              <w:rPr>
                <w:i/>
              </w:rPr>
              <w:t>2004</w:t>
            </w:r>
            <w:r>
              <w:rPr>
                <w:i/>
              </w:rPr>
              <w:noBreakHyphen/>
              <w:t>05</w:t>
            </w:r>
          </w:p>
        </w:tc>
        <w:tc>
          <w:tcPr>
            <w:tcW w:w="592" w:type="pct"/>
            <w:tcBorders>
              <w:top w:val="single" w:sz="6" w:space="0" w:color="auto"/>
            </w:tcBorders>
          </w:tcPr>
          <w:p w:rsidR="007E4B2B" w:rsidRDefault="007E4B2B" w:rsidP="00401A53">
            <w:pPr>
              <w:pStyle w:val="TableUnitsRow"/>
              <w:rPr>
                <w:i/>
              </w:rPr>
            </w:pPr>
            <w:r>
              <w:rPr>
                <w:i/>
              </w:rPr>
              <w:t>2008</w:t>
            </w:r>
            <w:r>
              <w:rPr>
                <w:i/>
              </w:rPr>
              <w:noBreakHyphen/>
              <w:t>09</w:t>
            </w:r>
          </w:p>
        </w:tc>
        <w:tc>
          <w:tcPr>
            <w:tcW w:w="592" w:type="pct"/>
            <w:tcBorders>
              <w:top w:val="single" w:sz="6" w:space="0" w:color="auto"/>
              <w:right w:val="single" w:sz="4" w:space="0" w:color="auto"/>
            </w:tcBorders>
          </w:tcPr>
          <w:p w:rsidR="007E4B2B" w:rsidRDefault="007E4B2B" w:rsidP="00401A53">
            <w:pPr>
              <w:pStyle w:val="TableUnitsRow"/>
              <w:rPr>
                <w:i/>
              </w:rPr>
            </w:pPr>
            <w:r>
              <w:rPr>
                <w:i/>
              </w:rPr>
              <w:t>2012</w:t>
            </w:r>
            <w:r>
              <w:rPr>
                <w:i/>
              </w:rPr>
              <w:noBreakHyphen/>
              <w:t>13</w:t>
            </w:r>
          </w:p>
        </w:tc>
        <w:tc>
          <w:tcPr>
            <w:tcW w:w="505" w:type="pct"/>
            <w:tcBorders>
              <w:top w:val="single" w:sz="6" w:space="0" w:color="auto"/>
              <w:left w:val="single" w:sz="4" w:space="0" w:color="auto"/>
            </w:tcBorders>
          </w:tcPr>
          <w:p w:rsidR="007E4B2B" w:rsidRPr="00447CCE" w:rsidRDefault="007E4B2B" w:rsidP="00401A53">
            <w:pPr>
              <w:pStyle w:val="TableUnitsRow"/>
              <w:rPr>
                <w:i/>
              </w:rPr>
            </w:pPr>
            <w:r>
              <w:rPr>
                <w:i/>
              </w:rPr>
              <w:t>2007</w:t>
            </w:r>
          </w:p>
        </w:tc>
        <w:tc>
          <w:tcPr>
            <w:tcW w:w="505" w:type="pct"/>
            <w:tcBorders>
              <w:top w:val="single" w:sz="6" w:space="0" w:color="auto"/>
            </w:tcBorders>
          </w:tcPr>
          <w:p w:rsidR="007E4B2B" w:rsidRPr="00447CCE" w:rsidRDefault="007E4B2B" w:rsidP="00401A53">
            <w:pPr>
              <w:pStyle w:val="TableUnitsRow"/>
              <w:rPr>
                <w:i/>
              </w:rPr>
            </w:pPr>
            <w:r>
              <w:rPr>
                <w:i/>
              </w:rPr>
              <w:t>2010</w:t>
            </w:r>
          </w:p>
        </w:tc>
        <w:tc>
          <w:tcPr>
            <w:tcW w:w="505" w:type="pct"/>
            <w:tcBorders>
              <w:top w:val="single" w:sz="6" w:space="0" w:color="auto"/>
            </w:tcBorders>
          </w:tcPr>
          <w:p w:rsidR="007E4B2B" w:rsidRPr="00447CCE" w:rsidRDefault="007E4B2B" w:rsidP="00401A53">
            <w:pPr>
              <w:pStyle w:val="TableUnitsRow"/>
              <w:rPr>
                <w:i/>
              </w:rPr>
            </w:pPr>
            <w:r>
              <w:rPr>
                <w:i/>
              </w:rPr>
              <w:t>2012</w:t>
            </w:r>
          </w:p>
        </w:tc>
      </w:tr>
      <w:tr w:rsidR="007E4B2B" w:rsidRPr="00CF3A98" w:rsidTr="00401A53">
        <w:tc>
          <w:tcPr>
            <w:tcW w:w="1710" w:type="pct"/>
            <w:tcBorders>
              <w:top w:val="single" w:sz="6" w:space="0" w:color="auto"/>
            </w:tcBorders>
            <w:shd w:val="clear" w:color="auto" w:fill="D9D9D9" w:themeFill="background1" w:themeFillShade="D9"/>
          </w:tcPr>
          <w:p w:rsidR="007E4B2B" w:rsidRPr="00CF3A98" w:rsidRDefault="007E4B2B" w:rsidP="00401A53">
            <w:pPr>
              <w:pStyle w:val="TableUnitsRow"/>
              <w:spacing w:before="40" w:after="40"/>
              <w:jc w:val="left"/>
              <w:rPr>
                <w:b/>
                <w:i/>
              </w:rPr>
            </w:pPr>
            <w:r w:rsidRPr="00CF3A98">
              <w:rPr>
                <w:b/>
                <w:i/>
              </w:rPr>
              <w:t>Australia</w:t>
            </w:r>
          </w:p>
        </w:tc>
        <w:tc>
          <w:tcPr>
            <w:tcW w:w="591" w:type="pct"/>
            <w:tcBorders>
              <w:top w:val="single" w:sz="6" w:space="0" w:color="auto"/>
            </w:tcBorders>
            <w:shd w:val="clear" w:color="auto" w:fill="D9D9D9" w:themeFill="background1" w:themeFillShade="D9"/>
          </w:tcPr>
          <w:p w:rsidR="007E4B2B" w:rsidRPr="00CF3A98" w:rsidRDefault="007E4B2B" w:rsidP="00401A53">
            <w:pPr>
              <w:pStyle w:val="TableUnitsRow"/>
              <w:spacing w:before="40" w:after="40"/>
              <w:rPr>
                <w:b/>
                <w:i/>
              </w:rPr>
            </w:pPr>
          </w:p>
        </w:tc>
        <w:tc>
          <w:tcPr>
            <w:tcW w:w="592" w:type="pct"/>
            <w:tcBorders>
              <w:top w:val="single" w:sz="6" w:space="0" w:color="auto"/>
            </w:tcBorders>
            <w:shd w:val="clear" w:color="auto" w:fill="D9D9D9" w:themeFill="background1" w:themeFillShade="D9"/>
          </w:tcPr>
          <w:p w:rsidR="007E4B2B" w:rsidRPr="00CF3A98" w:rsidRDefault="007E4B2B" w:rsidP="00401A53">
            <w:pPr>
              <w:pStyle w:val="TableUnitsRow"/>
              <w:spacing w:before="40" w:after="40"/>
              <w:rPr>
                <w:b/>
                <w:i/>
              </w:rPr>
            </w:pPr>
          </w:p>
        </w:tc>
        <w:tc>
          <w:tcPr>
            <w:tcW w:w="592" w:type="pct"/>
            <w:tcBorders>
              <w:top w:val="single" w:sz="6" w:space="0" w:color="auto"/>
              <w:right w:val="single" w:sz="4" w:space="0" w:color="auto"/>
            </w:tcBorders>
            <w:shd w:val="clear" w:color="auto" w:fill="D9D9D9" w:themeFill="background1" w:themeFillShade="D9"/>
          </w:tcPr>
          <w:p w:rsidR="007E4B2B" w:rsidRPr="00CF3A98" w:rsidRDefault="007E4B2B" w:rsidP="00401A53">
            <w:pPr>
              <w:pStyle w:val="TableUnitsRow"/>
              <w:spacing w:before="40" w:after="40"/>
              <w:rPr>
                <w:b/>
                <w:i/>
              </w:rPr>
            </w:pPr>
          </w:p>
        </w:tc>
        <w:tc>
          <w:tcPr>
            <w:tcW w:w="505" w:type="pct"/>
            <w:tcBorders>
              <w:top w:val="single" w:sz="6" w:space="0" w:color="auto"/>
              <w:left w:val="single" w:sz="4" w:space="0" w:color="auto"/>
            </w:tcBorders>
            <w:shd w:val="clear" w:color="auto" w:fill="D9D9D9" w:themeFill="background1" w:themeFillShade="D9"/>
          </w:tcPr>
          <w:p w:rsidR="007E4B2B" w:rsidRPr="00CF3A98" w:rsidRDefault="007E4B2B" w:rsidP="00401A53">
            <w:pPr>
              <w:pStyle w:val="TableUnitsRow"/>
              <w:spacing w:before="40" w:after="40"/>
              <w:ind w:right="28"/>
              <w:rPr>
                <w:b/>
                <w:i/>
              </w:rPr>
            </w:pPr>
          </w:p>
        </w:tc>
        <w:tc>
          <w:tcPr>
            <w:tcW w:w="505" w:type="pct"/>
            <w:tcBorders>
              <w:top w:val="single" w:sz="6" w:space="0" w:color="auto"/>
            </w:tcBorders>
            <w:shd w:val="clear" w:color="auto" w:fill="D9D9D9" w:themeFill="background1" w:themeFillShade="D9"/>
          </w:tcPr>
          <w:p w:rsidR="007E4B2B" w:rsidRPr="00CF3A98" w:rsidRDefault="007E4B2B" w:rsidP="00401A53">
            <w:pPr>
              <w:pStyle w:val="TableUnitsRow"/>
              <w:spacing w:before="40" w:after="40"/>
              <w:ind w:right="28"/>
              <w:rPr>
                <w:b/>
                <w:i/>
              </w:rPr>
            </w:pPr>
          </w:p>
        </w:tc>
        <w:tc>
          <w:tcPr>
            <w:tcW w:w="505" w:type="pct"/>
            <w:tcBorders>
              <w:top w:val="single" w:sz="6" w:space="0" w:color="auto"/>
            </w:tcBorders>
            <w:shd w:val="clear" w:color="auto" w:fill="D9D9D9" w:themeFill="background1" w:themeFillShade="D9"/>
          </w:tcPr>
          <w:p w:rsidR="007E4B2B" w:rsidRPr="00CF3A98" w:rsidRDefault="007E4B2B" w:rsidP="00401A53">
            <w:pPr>
              <w:pStyle w:val="TableBodyText"/>
              <w:spacing w:before="40"/>
              <w:rPr>
                <w:b/>
                <w:i/>
              </w:rPr>
            </w:pPr>
          </w:p>
        </w:tc>
      </w:tr>
      <w:tr w:rsidR="007E4B2B" w:rsidTr="00401A53">
        <w:tc>
          <w:tcPr>
            <w:tcW w:w="1710" w:type="pct"/>
          </w:tcPr>
          <w:p w:rsidR="007E4B2B" w:rsidRDefault="007E4B2B" w:rsidP="00401A53">
            <w:pPr>
              <w:pStyle w:val="TableBodyText"/>
              <w:ind w:left="113" w:right="170"/>
              <w:jc w:val="left"/>
            </w:pPr>
            <w:r>
              <w:t>South Australia</w:t>
            </w:r>
          </w:p>
        </w:tc>
        <w:tc>
          <w:tcPr>
            <w:tcW w:w="591" w:type="pct"/>
          </w:tcPr>
          <w:p w:rsidR="007E4B2B" w:rsidRPr="00CF3A98" w:rsidRDefault="00BF22A7" w:rsidP="00401A53">
            <w:pPr>
              <w:pStyle w:val="TableBodyText"/>
              <w:rPr>
                <w:sz w:val="18"/>
              </w:rPr>
            </w:pPr>
            <w:r>
              <w:rPr>
                <w:sz w:val="18"/>
              </w:rPr>
              <w:t>48</w:t>
            </w:r>
          </w:p>
        </w:tc>
        <w:tc>
          <w:tcPr>
            <w:tcW w:w="592" w:type="pct"/>
          </w:tcPr>
          <w:p w:rsidR="007E4B2B" w:rsidRPr="00CF3A98" w:rsidRDefault="00BF22A7" w:rsidP="00401A53">
            <w:pPr>
              <w:pStyle w:val="TableBodyText"/>
              <w:rPr>
                <w:sz w:val="18"/>
              </w:rPr>
            </w:pPr>
            <w:r>
              <w:rPr>
                <w:sz w:val="18"/>
              </w:rPr>
              <w:t>75</w:t>
            </w:r>
          </w:p>
        </w:tc>
        <w:tc>
          <w:tcPr>
            <w:tcW w:w="592" w:type="pct"/>
            <w:tcBorders>
              <w:right w:val="single" w:sz="4" w:space="0" w:color="auto"/>
            </w:tcBorders>
          </w:tcPr>
          <w:p w:rsidR="007E4B2B" w:rsidRPr="00CF3A98" w:rsidRDefault="00BF22A7" w:rsidP="00401A53">
            <w:pPr>
              <w:pStyle w:val="TableBodyText"/>
              <w:rPr>
                <w:sz w:val="18"/>
              </w:rPr>
            </w:pPr>
            <w:r>
              <w:rPr>
                <w:sz w:val="18"/>
              </w:rPr>
              <w:t>81</w:t>
            </w:r>
          </w:p>
        </w:tc>
        <w:tc>
          <w:tcPr>
            <w:tcW w:w="505" w:type="pct"/>
            <w:tcBorders>
              <w:left w:val="single" w:sz="4" w:space="0" w:color="auto"/>
            </w:tcBorders>
          </w:tcPr>
          <w:p w:rsidR="007E4B2B" w:rsidRPr="00CF3A98" w:rsidRDefault="007E4B2B" w:rsidP="00401A53">
            <w:pPr>
              <w:pStyle w:val="TableBodyText"/>
              <w:ind w:right="28"/>
              <w:rPr>
                <w:sz w:val="18"/>
              </w:rPr>
            </w:pPr>
            <w:proofErr w:type="spellStart"/>
            <w:r>
              <w:rPr>
                <w:sz w:val="18"/>
              </w:rPr>
              <w:t>na</w:t>
            </w:r>
            <w:proofErr w:type="spellEnd"/>
          </w:p>
        </w:tc>
        <w:tc>
          <w:tcPr>
            <w:tcW w:w="505" w:type="pct"/>
          </w:tcPr>
          <w:p w:rsidR="007E4B2B" w:rsidRPr="00CF3A98" w:rsidRDefault="007E4B2B" w:rsidP="00BF22A7">
            <w:pPr>
              <w:pStyle w:val="TableBodyText"/>
              <w:ind w:right="28"/>
              <w:rPr>
                <w:sz w:val="18"/>
              </w:rPr>
            </w:pPr>
            <w:r>
              <w:rPr>
                <w:sz w:val="18"/>
              </w:rPr>
              <w:t>55</w:t>
            </w:r>
          </w:p>
        </w:tc>
        <w:tc>
          <w:tcPr>
            <w:tcW w:w="505" w:type="pct"/>
          </w:tcPr>
          <w:p w:rsidR="007E4B2B" w:rsidRPr="00CF3A98" w:rsidRDefault="00BF22A7" w:rsidP="00401A53">
            <w:pPr>
              <w:pStyle w:val="TableBodyText"/>
              <w:ind w:right="28"/>
              <w:rPr>
                <w:sz w:val="18"/>
              </w:rPr>
            </w:pPr>
            <w:r>
              <w:rPr>
                <w:sz w:val="18"/>
              </w:rPr>
              <w:t>81</w:t>
            </w:r>
          </w:p>
        </w:tc>
      </w:tr>
      <w:tr w:rsidR="007E4B2B" w:rsidTr="00401A53">
        <w:tc>
          <w:tcPr>
            <w:tcW w:w="1710" w:type="pct"/>
          </w:tcPr>
          <w:p w:rsidR="007E4B2B" w:rsidRDefault="007E4B2B" w:rsidP="00401A53">
            <w:pPr>
              <w:pStyle w:val="TableBodyText"/>
              <w:ind w:left="113" w:right="170"/>
              <w:jc w:val="left"/>
            </w:pPr>
            <w:r>
              <w:t>Western Australia</w:t>
            </w:r>
          </w:p>
        </w:tc>
        <w:tc>
          <w:tcPr>
            <w:tcW w:w="591" w:type="pct"/>
          </w:tcPr>
          <w:p w:rsidR="007E4B2B" w:rsidRPr="00CF3A98" w:rsidRDefault="00BF22A7" w:rsidP="00401A53">
            <w:pPr>
              <w:pStyle w:val="TableBodyText"/>
              <w:rPr>
                <w:sz w:val="18"/>
              </w:rPr>
            </w:pPr>
            <w:r>
              <w:rPr>
                <w:sz w:val="18"/>
              </w:rPr>
              <w:t>37</w:t>
            </w:r>
          </w:p>
        </w:tc>
        <w:tc>
          <w:tcPr>
            <w:tcW w:w="592" w:type="pct"/>
          </w:tcPr>
          <w:p w:rsidR="007E4B2B" w:rsidRPr="00CF3A98" w:rsidRDefault="00BF22A7" w:rsidP="00401A53">
            <w:pPr>
              <w:pStyle w:val="TableBodyText"/>
              <w:rPr>
                <w:sz w:val="18"/>
              </w:rPr>
            </w:pPr>
            <w:r>
              <w:rPr>
                <w:sz w:val="18"/>
              </w:rPr>
              <w:t>59</w:t>
            </w:r>
          </w:p>
        </w:tc>
        <w:tc>
          <w:tcPr>
            <w:tcW w:w="592" w:type="pct"/>
            <w:tcBorders>
              <w:right w:val="single" w:sz="4" w:space="0" w:color="auto"/>
            </w:tcBorders>
          </w:tcPr>
          <w:p w:rsidR="007E4B2B" w:rsidRPr="00CF3A98" w:rsidRDefault="00BF22A7" w:rsidP="00401A53">
            <w:pPr>
              <w:pStyle w:val="TableBodyText"/>
              <w:rPr>
                <w:sz w:val="18"/>
              </w:rPr>
            </w:pPr>
            <w:r>
              <w:rPr>
                <w:sz w:val="18"/>
              </w:rPr>
              <w:t>74</w:t>
            </w:r>
          </w:p>
        </w:tc>
        <w:tc>
          <w:tcPr>
            <w:tcW w:w="505" w:type="pct"/>
            <w:tcBorders>
              <w:left w:val="single" w:sz="4" w:space="0" w:color="auto"/>
            </w:tcBorders>
          </w:tcPr>
          <w:p w:rsidR="007E4B2B" w:rsidRPr="00CF3A98" w:rsidRDefault="007E4B2B" w:rsidP="00401A53">
            <w:pPr>
              <w:pStyle w:val="TableBodyText"/>
              <w:ind w:right="28"/>
              <w:rPr>
                <w:sz w:val="18"/>
              </w:rPr>
            </w:pPr>
            <w:proofErr w:type="spellStart"/>
            <w:r>
              <w:rPr>
                <w:sz w:val="18"/>
              </w:rPr>
              <w:t>na</w:t>
            </w:r>
            <w:proofErr w:type="spellEnd"/>
          </w:p>
        </w:tc>
        <w:tc>
          <w:tcPr>
            <w:tcW w:w="505" w:type="pct"/>
          </w:tcPr>
          <w:p w:rsidR="007E4B2B" w:rsidRPr="00CF3A98" w:rsidRDefault="00BF22A7" w:rsidP="00401A53">
            <w:pPr>
              <w:pStyle w:val="TableBodyText"/>
              <w:ind w:right="28"/>
              <w:rPr>
                <w:sz w:val="18"/>
              </w:rPr>
            </w:pPr>
            <w:r>
              <w:rPr>
                <w:sz w:val="18"/>
              </w:rPr>
              <w:t>64</w:t>
            </w:r>
          </w:p>
        </w:tc>
        <w:tc>
          <w:tcPr>
            <w:tcW w:w="505" w:type="pct"/>
          </w:tcPr>
          <w:p w:rsidR="007E4B2B" w:rsidRPr="00CF3A98" w:rsidRDefault="00BF22A7" w:rsidP="00401A53">
            <w:pPr>
              <w:pStyle w:val="TableBodyText"/>
              <w:ind w:right="28"/>
              <w:rPr>
                <w:sz w:val="18"/>
              </w:rPr>
            </w:pPr>
            <w:r>
              <w:rPr>
                <w:sz w:val="18"/>
              </w:rPr>
              <w:t>74</w:t>
            </w:r>
          </w:p>
        </w:tc>
      </w:tr>
      <w:tr w:rsidR="007E4B2B" w:rsidTr="00401A53">
        <w:tc>
          <w:tcPr>
            <w:tcW w:w="1710" w:type="pct"/>
          </w:tcPr>
          <w:p w:rsidR="007E4B2B" w:rsidRDefault="007E4B2B" w:rsidP="00401A53">
            <w:pPr>
              <w:pStyle w:val="TableBodyText"/>
              <w:ind w:left="113" w:right="170"/>
              <w:jc w:val="left"/>
            </w:pPr>
            <w:r>
              <w:t>Northern Territory</w:t>
            </w:r>
          </w:p>
        </w:tc>
        <w:tc>
          <w:tcPr>
            <w:tcW w:w="591" w:type="pct"/>
          </w:tcPr>
          <w:p w:rsidR="007E4B2B" w:rsidRPr="00CF3A98" w:rsidRDefault="00BF22A7" w:rsidP="00401A53">
            <w:pPr>
              <w:pStyle w:val="TableBodyText"/>
              <w:rPr>
                <w:sz w:val="18"/>
              </w:rPr>
            </w:pPr>
            <w:r>
              <w:rPr>
                <w:sz w:val="18"/>
              </w:rPr>
              <w:t>38</w:t>
            </w:r>
          </w:p>
        </w:tc>
        <w:tc>
          <w:tcPr>
            <w:tcW w:w="592" w:type="pct"/>
          </w:tcPr>
          <w:p w:rsidR="007E4B2B" w:rsidRPr="00CF3A98" w:rsidRDefault="00BF22A7" w:rsidP="00401A53">
            <w:pPr>
              <w:pStyle w:val="TableBodyText"/>
              <w:rPr>
                <w:sz w:val="18"/>
              </w:rPr>
            </w:pPr>
            <w:r>
              <w:rPr>
                <w:sz w:val="18"/>
              </w:rPr>
              <w:t>64</w:t>
            </w:r>
          </w:p>
        </w:tc>
        <w:tc>
          <w:tcPr>
            <w:tcW w:w="592" w:type="pct"/>
            <w:tcBorders>
              <w:right w:val="single" w:sz="4" w:space="0" w:color="auto"/>
            </w:tcBorders>
          </w:tcPr>
          <w:p w:rsidR="007E4B2B" w:rsidRPr="00CF3A98" w:rsidRDefault="00BF22A7" w:rsidP="00401A53">
            <w:pPr>
              <w:pStyle w:val="TableBodyText"/>
              <w:rPr>
                <w:sz w:val="18"/>
              </w:rPr>
            </w:pPr>
            <w:r>
              <w:rPr>
                <w:sz w:val="18"/>
              </w:rPr>
              <w:t>67</w:t>
            </w:r>
          </w:p>
        </w:tc>
        <w:tc>
          <w:tcPr>
            <w:tcW w:w="505" w:type="pct"/>
            <w:tcBorders>
              <w:left w:val="single" w:sz="4" w:space="0" w:color="auto"/>
            </w:tcBorders>
          </w:tcPr>
          <w:p w:rsidR="007E4B2B" w:rsidRPr="00CF3A98" w:rsidRDefault="007E4B2B" w:rsidP="00401A53">
            <w:pPr>
              <w:pStyle w:val="TableBodyText"/>
              <w:ind w:right="28"/>
              <w:rPr>
                <w:sz w:val="18"/>
              </w:rPr>
            </w:pPr>
            <w:proofErr w:type="spellStart"/>
            <w:r>
              <w:rPr>
                <w:sz w:val="18"/>
              </w:rPr>
              <w:t>na</w:t>
            </w:r>
            <w:proofErr w:type="spellEnd"/>
          </w:p>
        </w:tc>
        <w:tc>
          <w:tcPr>
            <w:tcW w:w="505" w:type="pct"/>
          </w:tcPr>
          <w:p w:rsidR="007E4B2B" w:rsidRPr="00CF3A98" w:rsidRDefault="00BF22A7" w:rsidP="00401A53">
            <w:pPr>
              <w:pStyle w:val="TableBodyText"/>
              <w:ind w:right="28"/>
              <w:rPr>
                <w:sz w:val="18"/>
              </w:rPr>
            </w:pPr>
            <w:r>
              <w:rPr>
                <w:sz w:val="18"/>
              </w:rPr>
              <w:t>67</w:t>
            </w:r>
          </w:p>
        </w:tc>
        <w:tc>
          <w:tcPr>
            <w:tcW w:w="505" w:type="pct"/>
          </w:tcPr>
          <w:p w:rsidR="007E4B2B" w:rsidRPr="00CF3A98" w:rsidRDefault="00BF22A7" w:rsidP="00401A53">
            <w:pPr>
              <w:pStyle w:val="TableBodyText"/>
              <w:ind w:right="28"/>
              <w:rPr>
                <w:sz w:val="18"/>
              </w:rPr>
            </w:pPr>
            <w:r>
              <w:rPr>
                <w:sz w:val="18"/>
              </w:rPr>
              <w:t>54</w:t>
            </w:r>
          </w:p>
        </w:tc>
      </w:tr>
      <w:tr w:rsidR="007E4B2B" w:rsidTr="00401A53">
        <w:tc>
          <w:tcPr>
            <w:tcW w:w="1710" w:type="pct"/>
          </w:tcPr>
          <w:p w:rsidR="007E4B2B" w:rsidRDefault="007E4B2B" w:rsidP="00401A53">
            <w:pPr>
              <w:pStyle w:val="TableBodyText"/>
              <w:ind w:left="113" w:right="170"/>
              <w:jc w:val="left"/>
            </w:pPr>
            <w:r>
              <w:t>Queensland</w:t>
            </w:r>
          </w:p>
        </w:tc>
        <w:tc>
          <w:tcPr>
            <w:tcW w:w="591" w:type="pct"/>
          </w:tcPr>
          <w:p w:rsidR="007E4B2B" w:rsidRPr="00CF3A98" w:rsidRDefault="00BF22A7" w:rsidP="00401A53">
            <w:pPr>
              <w:pStyle w:val="TableBodyText"/>
              <w:rPr>
                <w:sz w:val="18"/>
              </w:rPr>
            </w:pPr>
            <w:r>
              <w:rPr>
                <w:sz w:val="18"/>
              </w:rPr>
              <w:t>42</w:t>
            </w:r>
          </w:p>
        </w:tc>
        <w:tc>
          <w:tcPr>
            <w:tcW w:w="592" w:type="pct"/>
          </w:tcPr>
          <w:p w:rsidR="007E4B2B" w:rsidRPr="00CF3A98" w:rsidRDefault="00BF22A7" w:rsidP="00401A53">
            <w:pPr>
              <w:pStyle w:val="TableBodyText"/>
              <w:rPr>
                <w:sz w:val="18"/>
              </w:rPr>
            </w:pPr>
            <w:r>
              <w:rPr>
                <w:sz w:val="18"/>
              </w:rPr>
              <w:t>59</w:t>
            </w:r>
          </w:p>
        </w:tc>
        <w:tc>
          <w:tcPr>
            <w:tcW w:w="592" w:type="pct"/>
            <w:tcBorders>
              <w:right w:val="single" w:sz="4" w:space="0" w:color="auto"/>
            </w:tcBorders>
          </w:tcPr>
          <w:p w:rsidR="007E4B2B" w:rsidRPr="00CF3A98" w:rsidRDefault="00BF22A7" w:rsidP="00401A53">
            <w:pPr>
              <w:pStyle w:val="TableBodyText"/>
              <w:rPr>
                <w:sz w:val="18"/>
              </w:rPr>
            </w:pPr>
            <w:r>
              <w:rPr>
                <w:sz w:val="18"/>
              </w:rPr>
              <w:t>63</w:t>
            </w:r>
          </w:p>
        </w:tc>
        <w:tc>
          <w:tcPr>
            <w:tcW w:w="505" w:type="pct"/>
            <w:tcBorders>
              <w:left w:val="single" w:sz="4" w:space="0" w:color="auto"/>
            </w:tcBorders>
          </w:tcPr>
          <w:p w:rsidR="007E4B2B" w:rsidRPr="00CF3A98" w:rsidRDefault="007E4B2B" w:rsidP="00401A53">
            <w:pPr>
              <w:pStyle w:val="TableBodyText"/>
              <w:ind w:right="28"/>
              <w:rPr>
                <w:sz w:val="18"/>
              </w:rPr>
            </w:pPr>
            <w:proofErr w:type="spellStart"/>
            <w:r>
              <w:rPr>
                <w:sz w:val="18"/>
              </w:rPr>
              <w:t>na</w:t>
            </w:r>
            <w:proofErr w:type="spellEnd"/>
          </w:p>
        </w:tc>
        <w:tc>
          <w:tcPr>
            <w:tcW w:w="505" w:type="pct"/>
          </w:tcPr>
          <w:p w:rsidR="007E4B2B" w:rsidRPr="00CF3A98" w:rsidRDefault="00BF22A7" w:rsidP="00401A53">
            <w:pPr>
              <w:pStyle w:val="TableBodyText"/>
              <w:ind w:right="28"/>
              <w:rPr>
                <w:sz w:val="18"/>
              </w:rPr>
            </w:pPr>
            <w:r>
              <w:rPr>
                <w:sz w:val="18"/>
              </w:rPr>
              <w:t>47</w:t>
            </w:r>
          </w:p>
        </w:tc>
        <w:tc>
          <w:tcPr>
            <w:tcW w:w="505" w:type="pct"/>
          </w:tcPr>
          <w:p w:rsidR="007E4B2B" w:rsidRPr="00CF3A98" w:rsidRDefault="00BF22A7" w:rsidP="00401A53">
            <w:pPr>
              <w:pStyle w:val="TableBodyText"/>
              <w:ind w:right="28"/>
              <w:rPr>
                <w:sz w:val="18"/>
              </w:rPr>
            </w:pPr>
            <w:r>
              <w:rPr>
                <w:sz w:val="18"/>
              </w:rPr>
              <w:t>36</w:t>
            </w:r>
          </w:p>
        </w:tc>
      </w:tr>
      <w:tr w:rsidR="007E4B2B" w:rsidTr="00401A53">
        <w:tc>
          <w:tcPr>
            <w:tcW w:w="1710" w:type="pct"/>
          </w:tcPr>
          <w:p w:rsidR="007E4B2B" w:rsidRDefault="007E4B2B" w:rsidP="00401A53">
            <w:pPr>
              <w:pStyle w:val="TableBodyText"/>
              <w:ind w:left="113" w:right="170"/>
              <w:jc w:val="left"/>
            </w:pPr>
            <w:r>
              <w:t>New South Wales</w:t>
            </w:r>
          </w:p>
        </w:tc>
        <w:tc>
          <w:tcPr>
            <w:tcW w:w="591" w:type="pct"/>
          </w:tcPr>
          <w:p w:rsidR="007E4B2B" w:rsidRPr="00CF3A98" w:rsidRDefault="00BF22A7" w:rsidP="00401A53">
            <w:pPr>
              <w:pStyle w:val="TableBodyText"/>
              <w:rPr>
                <w:sz w:val="18"/>
              </w:rPr>
            </w:pPr>
            <w:r>
              <w:rPr>
                <w:sz w:val="18"/>
              </w:rPr>
              <w:t>35</w:t>
            </w:r>
          </w:p>
        </w:tc>
        <w:tc>
          <w:tcPr>
            <w:tcW w:w="592" w:type="pct"/>
          </w:tcPr>
          <w:p w:rsidR="007E4B2B" w:rsidRPr="00CF3A98" w:rsidRDefault="00BF22A7" w:rsidP="00401A53">
            <w:pPr>
              <w:pStyle w:val="TableBodyText"/>
              <w:rPr>
                <w:sz w:val="18"/>
              </w:rPr>
            </w:pPr>
            <w:r>
              <w:rPr>
                <w:sz w:val="18"/>
              </w:rPr>
              <w:t>64</w:t>
            </w:r>
          </w:p>
        </w:tc>
        <w:tc>
          <w:tcPr>
            <w:tcW w:w="592" w:type="pct"/>
            <w:tcBorders>
              <w:right w:val="single" w:sz="4" w:space="0" w:color="auto"/>
            </w:tcBorders>
          </w:tcPr>
          <w:p w:rsidR="007E4B2B" w:rsidRPr="00CF3A98" w:rsidRDefault="00BF22A7" w:rsidP="00401A53">
            <w:pPr>
              <w:pStyle w:val="TableBodyText"/>
              <w:rPr>
                <w:sz w:val="18"/>
              </w:rPr>
            </w:pPr>
            <w:r>
              <w:rPr>
                <w:sz w:val="18"/>
              </w:rPr>
              <w:t>60</w:t>
            </w:r>
          </w:p>
        </w:tc>
        <w:tc>
          <w:tcPr>
            <w:tcW w:w="505" w:type="pct"/>
            <w:tcBorders>
              <w:left w:val="single" w:sz="4" w:space="0" w:color="auto"/>
            </w:tcBorders>
          </w:tcPr>
          <w:p w:rsidR="007E4B2B" w:rsidRPr="00CF3A98" w:rsidRDefault="007E4B2B" w:rsidP="00401A53">
            <w:pPr>
              <w:pStyle w:val="TableBodyText"/>
              <w:ind w:right="28"/>
              <w:rPr>
                <w:sz w:val="18"/>
              </w:rPr>
            </w:pPr>
            <w:proofErr w:type="spellStart"/>
            <w:r>
              <w:rPr>
                <w:sz w:val="18"/>
              </w:rPr>
              <w:t>na</w:t>
            </w:r>
            <w:proofErr w:type="spellEnd"/>
          </w:p>
        </w:tc>
        <w:tc>
          <w:tcPr>
            <w:tcW w:w="505" w:type="pct"/>
          </w:tcPr>
          <w:p w:rsidR="007E4B2B" w:rsidRPr="00CF3A98" w:rsidRDefault="00BF22A7" w:rsidP="00401A53">
            <w:pPr>
              <w:pStyle w:val="TableBodyText"/>
              <w:ind w:right="28"/>
              <w:rPr>
                <w:sz w:val="18"/>
              </w:rPr>
            </w:pPr>
            <w:r>
              <w:rPr>
                <w:sz w:val="18"/>
              </w:rPr>
              <w:t>20</w:t>
            </w:r>
          </w:p>
        </w:tc>
        <w:tc>
          <w:tcPr>
            <w:tcW w:w="505" w:type="pct"/>
          </w:tcPr>
          <w:p w:rsidR="007E4B2B" w:rsidRPr="00CF3A98" w:rsidRDefault="00BF22A7" w:rsidP="00401A53">
            <w:pPr>
              <w:pStyle w:val="TableBodyText"/>
              <w:ind w:right="28"/>
              <w:rPr>
                <w:sz w:val="18"/>
              </w:rPr>
            </w:pPr>
            <w:r>
              <w:rPr>
                <w:sz w:val="18"/>
              </w:rPr>
              <w:t>42</w:t>
            </w:r>
          </w:p>
        </w:tc>
      </w:tr>
      <w:tr w:rsidR="007E4B2B" w:rsidTr="00401A53">
        <w:tc>
          <w:tcPr>
            <w:tcW w:w="1710" w:type="pct"/>
          </w:tcPr>
          <w:p w:rsidR="007E4B2B" w:rsidRDefault="007E4B2B" w:rsidP="00401A53">
            <w:pPr>
              <w:pStyle w:val="TableBodyText"/>
              <w:ind w:left="113" w:right="170"/>
              <w:jc w:val="left"/>
            </w:pPr>
            <w:r>
              <w:t>Victoria</w:t>
            </w:r>
          </w:p>
        </w:tc>
        <w:tc>
          <w:tcPr>
            <w:tcW w:w="591" w:type="pct"/>
          </w:tcPr>
          <w:p w:rsidR="007E4B2B" w:rsidRPr="00CF3A98" w:rsidRDefault="00BF22A7" w:rsidP="00401A53">
            <w:pPr>
              <w:pStyle w:val="TableBodyText"/>
              <w:rPr>
                <w:sz w:val="18"/>
              </w:rPr>
            </w:pPr>
            <w:r>
              <w:rPr>
                <w:sz w:val="18"/>
              </w:rPr>
              <w:t>38</w:t>
            </w:r>
          </w:p>
        </w:tc>
        <w:tc>
          <w:tcPr>
            <w:tcW w:w="592" w:type="pct"/>
          </w:tcPr>
          <w:p w:rsidR="007E4B2B" w:rsidRPr="00CF3A98" w:rsidRDefault="00BF22A7" w:rsidP="00401A53">
            <w:pPr>
              <w:pStyle w:val="TableBodyText"/>
              <w:rPr>
                <w:sz w:val="18"/>
              </w:rPr>
            </w:pPr>
            <w:r>
              <w:rPr>
                <w:sz w:val="18"/>
              </w:rPr>
              <w:t>61</w:t>
            </w:r>
          </w:p>
        </w:tc>
        <w:tc>
          <w:tcPr>
            <w:tcW w:w="592" w:type="pct"/>
            <w:tcBorders>
              <w:right w:val="single" w:sz="4" w:space="0" w:color="auto"/>
            </w:tcBorders>
          </w:tcPr>
          <w:p w:rsidR="007E4B2B" w:rsidRPr="00CF3A98" w:rsidRDefault="00BF22A7" w:rsidP="00401A53">
            <w:pPr>
              <w:pStyle w:val="TableBodyText"/>
              <w:rPr>
                <w:sz w:val="18"/>
              </w:rPr>
            </w:pPr>
            <w:r>
              <w:rPr>
                <w:sz w:val="18"/>
              </w:rPr>
              <w:t>58</w:t>
            </w:r>
          </w:p>
        </w:tc>
        <w:tc>
          <w:tcPr>
            <w:tcW w:w="505" w:type="pct"/>
            <w:tcBorders>
              <w:left w:val="single" w:sz="4" w:space="0" w:color="auto"/>
            </w:tcBorders>
          </w:tcPr>
          <w:p w:rsidR="007E4B2B" w:rsidRPr="00CF3A98" w:rsidRDefault="007E4B2B" w:rsidP="00401A53">
            <w:pPr>
              <w:pStyle w:val="TableBodyText"/>
              <w:ind w:right="28"/>
              <w:rPr>
                <w:sz w:val="18"/>
              </w:rPr>
            </w:pPr>
            <w:proofErr w:type="spellStart"/>
            <w:r>
              <w:rPr>
                <w:sz w:val="18"/>
              </w:rPr>
              <w:t>na</w:t>
            </w:r>
            <w:proofErr w:type="spellEnd"/>
          </w:p>
        </w:tc>
        <w:tc>
          <w:tcPr>
            <w:tcW w:w="505" w:type="pct"/>
          </w:tcPr>
          <w:p w:rsidR="007E4B2B" w:rsidRPr="00CF3A98" w:rsidRDefault="00BF22A7" w:rsidP="00401A53">
            <w:pPr>
              <w:pStyle w:val="TableBodyText"/>
              <w:ind w:right="28"/>
              <w:rPr>
                <w:sz w:val="18"/>
              </w:rPr>
            </w:pPr>
            <w:r>
              <w:rPr>
                <w:sz w:val="18"/>
              </w:rPr>
              <w:t>55</w:t>
            </w:r>
          </w:p>
        </w:tc>
        <w:tc>
          <w:tcPr>
            <w:tcW w:w="505" w:type="pct"/>
          </w:tcPr>
          <w:p w:rsidR="007E4B2B" w:rsidRPr="00CF3A98" w:rsidRDefault="00BF22A7" w:rsidP="00401A53">
            <w:pPr>
              <w:pStyle w:val="TableBodyText"/>
              <w:ind w:right="28"/>
              <w:rPr>
                <w:sz w:val="18"/>
              </w:rPr>
            </w:pPr>
            <w:r>
              <w:rPr>
                <w:sz w:val="18"/>
              </w:rPr>
              <w:t>46</w:t>
            </w:r>
          </w:p>
        </w:tc>
      </w:tr>
      <w:tr w:rsidR="007E4B2B" w:rsidTr="00401A53">
        <w:tc>
          <w:tcPr>
            <w:tcW w:w="1710" w:type="pct"/>
          </w:tcPr>
          <w:p w:rsidR="007E4B2B" w:rsidRDefault="007E4B2B" w:rsidP="00401A53">
            <w:pPr>
              <w:pStyle w:val="TableBodyText"/>
              <w:ind w:left="113" w:right="170"/>
              <w:jc w:val="left"/>
            </w:pPr>
            <w:r>
              <w:t>Tasmania</w:t>
            </w:r>
          </w:p>
        </w:tc>
        <w:tc>
          <w:tcPr>
            <w:tcW w:w="591" w:type="pct"/>
          </w:tcPr>
          <w:p w:rsidR="007E4B2B" w:rsidRPr="00CF3A98" w:rsidRDefault="00BF22A7" w:rsidP="00401A53">
            <w:pPr>
              <w:pStyle w:val="TableBodyText"/>
              <w:rPr>
                <w:sz w:val="18"/>
              </w:rPr>
            </w:pPr>
            <w:r>
              <w:rPr>
                <w:sz w:val="18"/>
              </w:rPr>
              <w:t>0</w:t>
            </w:r>
          </w:p>
        </w:tc>
        <w:tc>
          <w:tcPr>
            <w:tcW w:w="592" w:type="pct"/>
          </w:tcPr>
          <w:p w:rsidR="007E4B2B" w:rsidRPr="00CF3A98" w:rsidRDefault="007E4B2B" w:rsidP="00401A53">
            <w:pPr>
              <w:pStyle w:val="TableBodyText"/>
              <w:rPr>
                <w:sz w:val="18"/>
              </w:rPr>
            </w:pPr>
            <w:r w:rsidRPr="00CF3A98">
              <w:rPr>
                <w:sz w:val="18"/>
              </w:rPr>
              <w:t>60</w:t>
            </w:r>
          </w:p>
        </w:tc>
        <w:tc>
          <w:tcPr>
            <w:tcW w:w="592" w:type="pct"/>
            <w:tcBorders>
              <w:right w:val="single" w:sz="4" w:space="0" w:color="auto"/>
            </w:tcBorders>
          </w:tcPr>
          <w:p w:rsidR="007E4B2B" w:rsidRPr="00CF3A98" w:rsidRDefault="00BF22A7" w:rsidP="00401A53">
            <w:pPr>
              <w:pStyle w:val="TableBodyText"/>
              <w:rPr>
                <w:sz w:val="18"/>
              </w:rPr>
            </w:pPr>
            <w:r>
              <w:rPr>
                <w:sz w:val="18"/>
              </w:rPr>
              <w:t>48</w:t>
            </w:r>
          </w:p>
        </w:tc>
        <w:tc>
          <w:tcPr>
            <w:tcW w:w="505" w:type="pct"/>
            <w:tcBorders>
              <w:left w:val="single" w:sz="4" w:space="0" w:color="auto"/>
            </w:tcBorders>
          </w:tcPr>
          <w:p w:rsidR="007E4B2B" w:rsidRPr="00CF3A98" w:rsidRDefault="007E4B2B" w:rsidP="00401A53">
            <w:pPr>
              <w:pStyle w:val="TableBodyText"/>
              <w:ind w:right="28"/>
              <w:rPr>
                <w:sz w:val="18"/>
              </w:rPr>
            </w:pPr>
            <w:proofErr w:type="spellStart"/>
            <w:r>
              <w:rPr>
                <w:sz w:val="18"/>
              </w:rPr>
              <w:t>na</w:t>
            </w:r>
            <w:proofErr w:type="spellEnd"/>
          </w:p>
        </w:tc>
        <w:tc>
          <w:tcPr>
            <w:tcW w:w="505" w:type="pct"/>
          </w:tcPr>
          <w:p w:rsidR="007E4B2B" w:rsidRPr="00CF3A98" w:rsidRDefault="00BF22A7" w:rsidP="00401A53">
            <w:pPr>
              <w:pStyle w:val="TableBodyText"/>
              <w:ind w:right="28"/>
              <w:rPr>
                <w:sz w:val="18"/>
              </w:rPr>
            </w:pPr>
            <w:r>
              <w:rPr>
                <w:sz w:val="18"/>
              </w:rPr>
              <w:t>29</w:t>
            </w:r>
          </w:p>
        </w:tc>
        <w:tc>
          <w:tcPr>
            <w:tcW w:w="505" w:type="pct"/>
          </w:tcPr>
          <w:p w:rsidR="007E4B2B" w:rsidRPr="00CF3A98" w:rsidRDefault="00BF22A7" w:rsidP="00401A53">
            <w:pPr>
              <w:pStyle w:val="TableBodyText"/>
              <w:ind w:right="28"/>
              <w:rPr>
                <w:sz w:val="18"/>
              </w:rPr>
            </w:pPr>
            <w:r>
              <w:rPr>
                <w:sz w:val="18"/>
              </w:rPr>
              <w:t>27</w:t>
            </w:r>
          </w:p>
        </w:tc>
      </w:tr>
      <w:tr w:rsidR="007E4B2B" w:rsidTr="00401A53">
        <w:tc>
          <w:tcPr>
            <w:tcW w:w="1710" w:type="pct"/>
            <w:vAlign w:val="center"/>
          </w:tcPr>
          <w:p w:rsidR="007E4B2B" w:rsidRDefault="007E4B2B" w:rsidP="00401A53">
            <w:pPr>
              <w:pStyle w:val="TableBodyText"/>
              <w:ind w:left="113" w:right="170"/>
              <w:jc w:val="left"/>
            </w:pPr>
            <w:r>
              <w:t xml:space="preserve">Offshore </w:t>
            </w:r>
            <w:r>
              <w:noBreakHyphen/>
              <w:t xml:space="preserve"> Australia</w:t>
            </w:r>
          </w:p>
        </w:tc>
        <w:tc>
          <w:tcPr>
            <w:tcW w:w="591" w:type="pct"/>
          </w:tcPr>
          <w:p w:rsidR="007E4B2B" w:rsidRPr="00CF3A98" w:rsidRDefault="007E4B2B" w:rsidP="00401A53">
            <w:pPr>
              <w:pStyle w:val="TableBodyText"/>
              <w:rPr>
                <w:sz w:val="18"/>
              </w:rPr>
            </w:pPr>
          </w:p>
        </w:tc>
        <w:tc>
          <w:tcPr>
            <w:tcW w:w="592" w:type="pct"/>
          </w:tcPr>
          <w:p w:rsidR="007E4B2B" w:rsidRPr="00CF3A98" w:rsidRDefault="007E4B2B" w:rsidP="00401A53">
            <w:pPr>
              <w:pStyle w:val="TableBodyText"/>
              <w:rPr>
                <w:sz w:val="18"/>
              </w:rPr>
            </w:pPr>
          </w:p>
        </w:tc>
        <w:tc>
          <w:tcPr>
            <w:tcW w:w="592" w:type="pct"/>
            <w:tcBorders>
              <w:right w:val="single" w:sz="4" w:space="0" w:color="auto"/>
            </w:tcBorders>
          </w:tcPr>
          <w:p w:rsidR="007E4B2B" w:rsidRPr="00CF3A98" w:rsidRDefault="007E4B2B" w:rsidP="00401A53">
            <w:pPr>
              <w:pStyle w:val="TableBodyText"/>
              <w:rPr>
                <w:sz w:val="18"/>
              </w:rPr>
            </w:pPr>
          </w:p>
        </w:tc>
        <w:tc>
          <w:tcPr>
            <w:tcW w:w="505" w:type="pct"/>
            <w:tcBorders>
              <w:left w:val="single" w:sz="4" w:space="0" w:color="auto"/>
            </w:tcBorders>
          </w:tcPr>
          <w:p w:rsidR="007E4B2B" w:rsidRPr="00CF3A98" w:rsidRDefault="00BF22A7" w:rsidP="00401A53">
            <w:pPr>
              <w:pStyle w:val="TableBodyText"/>
              <w:ind w:right="28"/>
              <w:rPr>
                <w:sz w:val="18"/>
              </w:rPr>
            </w:pPr>
            <w:r>
              <w:rPr>
                <w:sz w:val="18"/>
              </w:rPr>
              <w:t>53</w:t>
            </w:r>
            <w:r w:rsidR="007E4B2B" w:rsidRPr="009F65B9">
              <w:rPr>
                <w:rStyle w:val="NoteLabel"/>
              </w:rPr>
              <w:t>a</w:t>
            </w:r>
          </w:p>
        </w:tc>
        <w:tc>
          <w:tcPr>
            <w:tcW w:w="505" w:type="pct"/>
            <w:vAlign w:val="center"/>
          </w:tcPr>
          <w:p w:rsidR="007E4B2B" w:rsidRPr="00CF3A98" w:rsidRDefault="00BF22A7" w:rsidP="00401A53">
            <w:pPr>
              <w:pStyle w:val="TableBodyText"/>
              <w:ind w:right="28"/>
              <w:rPr>
                <w:sz w:val="18"/>
              </w:rPr>
            </w:pPr>
            <w:r>
              <w:rPr>
                <w:sz w:val="18"/>
              </w:rPr>
              <w:t>59</w:t>
            </w:r>
          </w:p>
        </w:tc>
        <w:tc>
          <w:tcPr>
            <w:tcW w:w="505" w:type="pct"/>
            <w:vAlign w:val="center"/>
          </w:tcPr>
          <w:p w:rsidR="007E4B2B" w:rsidRPr="00CF3A98" w:rsidRDefault="00BF22A7" w:rsidP="00401A53">
            <w:pPr>
              <w:pStyle w:val="TableBodyText"/>
              <w:ind w:right="28"/>
              <w:rPr>
                <w:sz w:val="18"/>
              </w:rPr>
            </w:pPr>
            <w:r>
              <w:rPr>
                <w:sz w:val="18"/>
              </w:rPr>
              <w:t>79</w:t>
            </w:r>
          </w:p>
        </w:tc>
      </w:tr>
      <w:tr w:rsidR="007E4B2B" w:rsidRPr="00CF3A98" w:rsidTr="00401A53">
        <w:tc>
          <w:tcPr>
            <w:tcW w:w="1710" w:type="pct"/>
            <w:shd w:val="clear" w:color="auto" w:fill="D9D9D9" w:themeFill="background1" w:themeFillShade="D9"/>
          </w:tcPr>
          <w:p w:rsidR="007E4B2B" w:rsidRPr="00CF3A98" w:rsidRDefault="007E4B2B" w:rsidP="00401A53">
            <w:pPr>
              <w:pStyle w:val="TableBodyText"/>
              <w:jc w:val="left"/>
              <w:rPr>
                <w:b/>
                <w:i/>
              </w:rPr>
            </w:pPr>
            <w:r w:rsidRPr="00CF3A98">
              <w:rPr>
                <w:b/>
                <w:i/>
              </w:rPr>
              <w:t>Canada</w:t>
            </w:r>
          </w:p>
        </w:tc>
        <w:tc>
          <w:tcPr>
            <w:tcW w:w="591" w:type="pct"/>
            <w:shd w:val="clear" w:color="auto" w:fill="D9D9D9" w:themeFill="background1" w:themeFillShade="D9"/>
          </w:tcPr>
          <w:p w:rsidR="007E4B2B" w:rsidRPr="00CF3A98" w:rsidRDefault="007E4B2B" w:rsidP="00401A53">
            <w:pPr>
              <w:pStyle w:val="TableBodyText"/>
              <w:rPr>
                <w:b/>
                <w:i/>
              </w:rPr>
            </w:pPr>
          </w:p>
        </w:tc>
        <w:tc>
          <w:tcPr>
            <w:tcW w:w="592" w:type="pct"/>
            <w:shd w:val="clear" w:color="auto" w:fill="D9D9D9" w:themeFill="background1" w:themeFillShade="D9"/>
          </w:tcPr>
          <w:p w:rsidR="007E4B2B" w:rsidRPr="00CF3A98" w:rsidRDefault="007E4B2B" w:rsidP="00401A53">
            <w:pPr>
              <w:pStyle w:val="TableBodyText"/>
              <w:rPr>
                <w:b/>
                <w:i/>
              </w:rPr>
            </w:pPr>
          </w:p>
        </w:tc>
        <w:tc>
          <w:tcPr>
            <w:tcW w:w="592" w:type="pct"/>
            <w:tcBorders>
              <w:right w:val="single" w:sz="4" w:space="0" w:color="auto"/>
            </w:tcBorders>
            <w:shd w:val="clear" w:color="auto" w:fill="D9D9D9" w:themeFill="background1" w:themeFillShade="D9"/>
          </w:tcPr>
          <w:p w:rsidR="007E4B2B" w:rsidRPr="00CF3A98" w:rsidRDefault="007E4B2B" w:rsidP="00401A53">
            <w:pPr>
              <w:pStyle w:val="TableBodyText"/>
              <w:rPr>
                <w:b/>
                <w:i/>
              </w:rPr>
            </w:pPr>
          </w:p>
        </w:tc>
        <w:tc>
          <w:tcPr>
            <w:tcW w:w="505" w:type="pct"/>
            <w:tcBorders>
              <w:left w:val="single" w:sz="4" w:space="0" w:color="auto"/>
            </w:tcBorders>
            <w:shd w:val="clear" w:color="auto" w:fill="D9D9D9" w:themeFill="background1" w:themeFillShade="D9"/>
          </w:tcPr>
          <w:p w:rsidR="007E4B2B" w:rsidRPr="00944C0C" w:rsidRDefault="007E4B2B" w:rsidP="00401A53">
            <w:pPr>
              <w:pStyle w:val="TableBodyText"/>
              <w:ind w:right="28"/>
              <w:rPr>
                <w:b/>
                <w:i/>
              </w:rPr>
            </w:pPr>
          </w:p>
        </w:tc>
        <w:tc>
          <w:tcPr>
            <w:tcW w:w="505" w:type="pct"/>
            <w:shd w:val="clear" w:color="auto" w:fill="D9D9D9" w:themeFill="background1" w:themeFillShade="D9"/>
          </w:tcPr>
          <w:p w:rsidR="007E4B2B" w:rsidRPr="00944C0C" w:rsidRDefault="007E4B2B" w:rsidP="00401A53">
            <w:pPr>
              <w:pStyle w:val="TableBodyText"/>
              <w:ind w:right="28"/>
              <w:rPr>
                <w:b/>
                <w:i/>
              </w:rPr>
            </w:pPr>
          </w:p>
        </w:tc>
        <w:tc>
          <w:tcPr>
            <w:tcW w:w="505" w:type="pct"/>
            <w:shd w:val="clear" w:color="auto" w:fill="D9D9D9" w:themeFill="background1" w:themeFillShade="D9"/>
          </w:tcPr>
          <w:p w:rsidR="007E4B2B" w:rsidRPr="00CF3A98" w:rsidRDefault="007E4B2B" w:rsidP="00401A53">
            <w:pPr>
              <w:pStyle w:val="TableBodyText"/>
              <w:rPr>
                <w:b/>
                <w:i/>
              </w:rPr>
            </w:pPr>
          </w:p>
        </w:tc>
      </w:tr>
      <w:tr w:rsidR="007E4B2B" w:rsidTr="00401A53">
        <w:tc>
          <w:tcPr>
            <w:tcW w:w="1710" w:type="pct"/>
          </w:tcPr>
          <w:p w:rsidR="007E4B2B" w:rsidRDefault="007E4B2B" w:rsidP="00401A53">
            <w:pPr>
              <w:pStyle w:val="TableBodyText"/>
              <w:ind w:left="113" w:right="170"/>
              <w:jc w:val="left"/>
            </w:pPr>
            <w:r>
              <w:t>Quebec</w:t>
            </w:r>
          </w:p>
        </w:tc>
        <w:tc>
          <w:tcPr>
            <w:tcW w:w="591" w:type="pct"/>
          </w:tcPr>
          <w:p w:rsidR="007E4B2B" w:rsidRPr="00CF3A98" w:rsidRDefault="00BF22A7" w:rsidP="00401A53">
            <w:pPr>
              <w:pStyle w:val="TableBodyText"/>
              <w:rPr>
                <w:sz w:val="18"/>
              </w:rPr>
            </w:pPr>
            <w:r>
              <w:rPr>
                <w:sz w:val="18"/>
              </w:rPr>
              <w:t>61</w:t>
            </w:r>
          </w:p>
        </w:tc>
        <w:tc>
          <w:tcPr>
            <w:tcW w:w="592" w:type="pct"/>
          </w:tcPr>
          <w:p w:rsidR="007E4B2B" w:rsidRPr="00CF3A98" w:rsidRDefault="00BF22A7" w:rsidP="00401A53">
            <w:pPr>
              <w:pStyle w:val="TableBodyText"/>
              <w:rPr>
                <w:sz w:val="18"/>
              </w:rPr>
            </w:pPr>
            <w:r>
              <w:rPr>
                <w:sz w:val="18"/>
              </w:rPr>
              <w:t>81</w:t>
            </w:r>
          </w:p>
        </w:tc>
        <w:tc>
          <w:tcPr>
            <w:tcW w:w="592" w:type="pct"/>
            <w:tcBorders>
              <w:right w:val="single" w:sz="4" w:space="0" w:color="auto"/>
            </w:tcBorders>
          </w:tcPr>
          <w:p w:rsidR="007E4B2B" w:rsidRPr="00CF3A98" w:rsidRDefault="00BF22A7" w:rsidP="00401A53">
            <w:pPr>
              <w:pStyle w:val="TableBodyText"/>
              <w:rPr>
                <w:sz w:val="18"/>
              </w:rPr>
            </w:pPr>
            <w:r>
              <w:rPr>
                <w:sz w:val="18"/>
              </w:rPr>
              <w:t>76</w:t>
            </w:r>
          </w:p>
        </w:tc>
        <w:tc>
          <w:tcPr>
            <w:tcW w:w="505" w:type="pct"/>
            <w:tcBorders>
              <w:left w:val="single" w:sz="4" w:space="0" w:color="auto"/>
            </w:tcBorders>
          </w:tcPr>
          <w:p w:rsidR="007E4B2B" w:rsidRPr="00CF3A98" w:rsidRDefault="007E4B2B" w:rsidP="00401A53">
            <w:pPr>
              <w:pStyle w:val="TableBodyText"/>
              <w:ind w:right="28"/>
              <w:rPr>
                <w:sz w:val="18"/>
              </w:rPr>
            </w:pPr>
            <w:proofErr w:type="spellStart"/>
            <w:r>
              <w:rPr>
                <w:sz w:val="18"/>
              </w:rPr>
              <w:t>na</w:t>
            </w:r>
            <w:proofErr w:type="spellEnd"/>
          </w:p>
        </w:tc>
        <w:tc>
          <w:tcPr>
            <w:tcW w:w="505" w:type="pct"/>
          </w:tcPr>
          <w:p w:rsidR="007E4B2B" w:rsidRPr="00CF3A98" w:rsidRDefault="00BF22A7" w:rsidP="00401A53">
            <w:pPr>
              <w:pStyle w:val="TableBodyText"/>
              <w:ind w:right="28"/>
              <w:rPr>
                <w:sz w:val="18"/>
              </w:rPr>
            </w:pPr>
            <w:r>
              <w:rPr>
                <w:sz w:val="18"/>
              </w:rPr>
              <w:t>13</w:t>
            </w:r>
          </w:p>
        </w:tc>
        <w:tc>
          <w:tcPr>
            <w:tcW w:w="505" w:type="pct"/>
          </w:tcPr>
          <w:p w:rsidR="007E4B2B" w:rsidRPr="00CF3A98" w:rsidRDefault="00BF22A7" w:rsidP="00401A53">
            <w:pPr>
              <w:pStyle w:val="TableBodyText"/>
              <w:ind w:right="28"/>
              <w:rPr>
                <w:sz w:val="18"/>
              </w:rPr>
            </w:pPr>
            <w:r>
              <w:rPr>
                <w:sz w:val="18"/>
              </w:rPr>
              <w:t>8</w:t>
            </w:r>
          </w:p>
        </w:tc>
      </w:tr>
      <w:tr w:rsidR="007E4B2B" w:rsidTr="00401A53">
        <w:tc>
          <w:tcPr>
            <w:tcW w:w="1710" w:type="pct"/>
          </w:tcPr>
          <w:p w:rsidR="007E4B2B" w:rsidRDefault="007E4B2B" w:rsidP="00401A53">
            <w:pPr>
              <w:pStyle w:val="TableBodyText"/>
              <w:ind w:left="113" w:right="170"/>
              <w:jc w:val="left"/>
            </w:pPr>
            <w:r>
              <w:t>Ontario</w:t>
            </w:r>
          </w:p>
        </w:tc>
        <w:tc>
          <w:tcPr>
            <w:tcW w:w="591" w:type="pct"/>
          </w:tcPr>
          <w:p w:rsidR="007E4B2B" w:rsidRPr="00CF3A98" w:rsidRDefault="00BF22A7" w:rsidP="00401A53">
            <w:pPr>
              <w:pStyle w:val="TableBodyText"/>
              <w:rPr>
                <w:sz w:val="18"/>
              </w:rPr>
            </w:pPr>
            <w:r>
              <w:rPr>
                <w:sz w:val="18"/>
              </w:rPr>
              <w:t>55</w:t>
            </w:r>
          </w:p>
        </w:tc>
        <w:tc>
          <w:tcPr>
            <w:tcW w:w="592" w:type="pct"/>
          </w:tcPr>
          <w:p w:rsidR="007E4B2B" w:rsidRPr="00CF3A98" w:rsidRDefault="00BF22A7" w:rsidP="00401A53">
            <w:pPr>
              <w:pStyle w:val="TableBodyText"/>
              <w:rPr>
                <w:sz w:val="18"/>
              </w:rPr>
            </w:pPr>
            <w:r>
              <w:rPr>
                <w:sz w:val="18"/>
              </w:rPr>
              <w:t>66</w:t>
            </w:r>
          </w:p>
        </w:tc>
        <w:tc>
          <w:tcPr>
            <w:tcW w:w="592" w:type="pct"/>
            <w:tcBorders>
              <w:right w:val="single" w:sz="4" w:space="0" w:color="auto"/>
            </w:tcBorders>
          </w:tcPr>
          <w:p w:rsidR="007E4B2B" w:rsidRPr="00CF3A98" w:rsidRDefault="00BF22A7" w:rsidP="00401A53">
            <w:pPr>
              <w:pStyle w:val="TableBodyText"/>
              <w:rPr>
                <w:sz w:val="18"/>
              </w:rPr>
            </w:pPr>
            <w:r>
              <w:rPr>
                <w:sz w:val="18"/>
              </w:rPr>
              <w:t>71</w:t>
            </w:r>
          </w:p>
        </w:tc>
        <w:tc>
          <w:tcPr>
            <w:tcW w:w="505" w:type="pct"/>
            <w:tcBorders>
              <w:left w:val="single" w:sz="4" w:space="0" w:color="auto"/>
            </w:tcBorders>
          </w:tcPr>
          <w:p w:rsidR="007E4B2B" w:rsidRPr="00CF3A98" w:rsidRDefault="007E4B2B" w:rsidP="00401A53">
            <w:pPr>
              <w:pStyle w:val="TableBodyText"/>
              <w:ind w:right="28"/>
              <w:rPr>
                <w:sz w:val="18"/>
              </w:rPr>
            </w:pPr>
            <w:proofErr w:type="spellStart"/>
            <w:r>
              <w:rPr>
                <w:sz w:val="18"/>
              </w:rPr>
              <w:t>na</w:t>
            </w:r>
            <w:proofErr w:type="spellEnd"/>
          </w:p>
        </w:tc>
        <w:tc>
          <w:tcPr>
            <w:tcW w:w="505" w:type="pct"/>
          </w:tcPr>
          <w:p w:rsidR="007E4B2B" w:rsidRPr="00CF3A98" w:rsidRDefault="00BF22A7" w:rsidP="00401A53">
            <w:pPr>
              <w:pStyle w:val="TableBodyText"/>
              <w:ind w:right="28"/>
              <w:rPr>
                <w:sz w:val="18"/>
              </w:rPr>
            </w:pPr>
            <w:r>
              <w:rPr>
                <w:sz w:val="18"/>
              </w:rPr>
              <w:t>25</w:t>
            </w:r>
          </w:p>
        </w:tc>
        <w:tc>
          <w:tcPr>
            <w:tcW w:w="505" w:type="pct"/>
          </w:tcPr>
          <w:p w:rsidR="007E4B2B" w:rsidRPr="00CF3A98" w:rsidRDefault="00BD3A9B" w:rsidP="00401A53">
            <w:pPr>
              <w:pStyle w:val="TableBodyText"/>
              <w:ind w:right="28"/>
              <w:rPr>
                <w:sz w:val="18"/>
              </w:rPr>
            </w:pPr>
            <w:proofErr w:type="spellStart"/>
            <w:r>
              <w:rPr>
                <w:sz w:val="18"/>
              </w:rPr>
              <w:t>n</w:t>
            </w:r>
            <w:r w:rsidR="007E4B2B" w:rsidRPr="00CF3A98">
              <w:rPr>
                <w:sz w:val="18"/>
              </w:rPr>
              <w:t>a</w:t>
            </w:r>
            <w:proofErr w:type="spellEnd"/>
          </w:p>
        </w:tc>
      </w:tr>
      <w:tr w:rsidR="007E4B2B" w:rsidTr="00401A53">
        <w:tc>
          <w:tcPr>
            <w:tcW w:w="1710" w:type="pct"/>
          </w:tcPr>
          <w:p w:rsidR="007E4B2B" w:rsidRDefault="007E4B2B" w:rsidP="00401A53">
            <w:pPr>
              <w:pStyle w:val="TableBodyText"/>
              <w:ind w:left="113" w:right="170"/>
              <w:jc w:val="left"/>
            </w:pPr>
            <w:r>
              <w:t>British Columbia</w:t>
            </w:r>
          </w:p>
        </w:tc>
        <w:tc>
          <w:tcPr>
            <w:tcW w:w="591" w:type="pct"/>
          </w:tcPr>
          <w:p w:rsidR="007E4B2B" w:rsidRPr="00CF3A98" w:rsidRDefault="00BF22A7" w:rsidP="00401A53">
            <w:pPr>
              <w:pStyle w:val="TableBodyText"/>
              <w:rPr>
                <w:sz w:val="18"/>
              </w:rPr>
            </w:pPr>
            <w:r>
              <w:rPr>
                <w:sz w:val="18"/>
              </w:rPr>
              <w:t>66</w:t>
            </w:r>
          </w:p>
        </w:tc>
        <w:tc>
          <w:tcPr>
            <w:tcW w:w="592" w:type="pct"/>
          </w:tcPr>
          <w:p w:rsidR="007E4B2B" w:rsidRPr="00CF3A98" w:rsidRDefault="00BF22A7" w:rsidP="00401A53">
            <w:pPr>
              <w:pStyle w:val="TableBodyText"/>
              <w:rPr>
                <w:sz w:val="18"/>
              </w:rPr>
            </w:pPr>
            <w:r>
              <w:rPr>
                <w:sz w:val="18"/>
              </w:rPr>
              <w:t>63</w:t>
            </w:r>
          </w:p>
        </w:tc>
        <w:tc>
          <w:tcPr>
            <w:tcW w:w="592" w:type="pct"/>
            <w:tcBorders>
              <w:right w:val="single" w:sz="4" w:space="0" w:color="auto"/>
            </w:tcBorders>
          </w:tcPr>
          <w:p w:rsidR="007E4B2B" w:rsidRPr="00CF3A98" w:rsidRDefault="00BF22A7" w:rsidP="00401A53">
            <w:pPr>
              <w:pStyle w:val="TableBodyText"/>
              <w:rPr>
                <w:sz w:val="18"/>
              </w:rPr>
            </w:pPr>
            <w:r>
              <w:rPr>
                <w:sz w:val="18"/>
              </w:rPr>
              <w:t>69</w:t>
            </w:r>
          </w:p>
        </w:tc>
        <w:tc>
          <w:tcPr>
            <w:tcW w:w="505" w:type="pct"/>
            <w:tcBorders>
              <w:left w:val="single" w:sz="4" w:space="0" w:color="auto"/>
            </w:tcBorders>
          </w:tcPr>
          <w:p w:rsidR="007E4B2B" w:rsidRPr="00CF3A98" w:rsidRDefault="00BF22A7" w:rsidP="00401A53">
            <w:pPr>
              <w:pStyle w:val="TableBodyText"/>
              <w:ind w:right="28"/>
              <w:rPr>
                <w:sz w:val="18"/>
              </w:rPr>
            </w:pPr>
            <w:r>
              <w:rPr>
                <w:sz w:val="18"/>
              </w:rPr>
              <w:t>43</w:t>
            </w:r>
          </w:p>
        </w:tc>
        <w:tc>
          <w:tcPr>
            <w:tcW w:w="505" w:type="pct"/>
          </w:tcPr>
          <w:p w:rsidR="007E4B2B" w:rsidRPr="00CF3A98" w:rsidRDefault="00BF22A7" w:rsidP="00401A53">
            <w:pPr>
              <w:pStyle w:val="TableBodyText"/>
              <w:ind w:right="28"/>
              <w:rPr>
                <w:sz w:val="18"/>
              </w:rPr>
            </w:pPr>
            <w:r>
              <w:rPr>
                <w:sz w:val="18"/>
              </w:rPr>
              <w:t>65</w:t>
            </w:r>
          </w:p>
        </w:tc>
        <w:tc>
          <w:tcPr>
            <w:tcW w:w="505" w:type="pct"/>
          </w:tcPr>
          <w:p w:rsidR="007E4B2B" w:rsidRPr="00CF3A98" w:rsidRDefault="00BF22A7" w:rsidP="00401A53">
            <w:pPr>
              <w:pStyle w:val="TableBodyText"/>
              <w:ind w:right="28"/>
              <w:rPr>
                <w:sz w:val="18"/>
              </w:rPr>
            </w:pPr>
            <w:r>
              <w:rPr>
                <w:sz w:val="18"/>
              </w:rPr>
              <w:t>62</w:t>
            </w:r>
          </w:p>
        </w:tc>
      </w:tr>
      <w:tr w:rsidR="007E4B2B" w:rsidTr="00401A53">
        <w:tc>
          <w:tcPr>
            <w:tcW w:w="1710" w:type="pct"/>
          </w:tcPr>
          <w:p w:rsidR="007E4B2B" w:rsidRDefault="007E4B2B" w:rsidP="00401A53">
            <w:pPr>
              <w:pStyle w:val="TableBodyText"/>
              <w:ind w:left="113" w:right="170"/>
              <w:jc w:val="left"/>
            </w:pPr>
            <w:r>
              <w:t>New Foundland and Labrador</w:t>
            </w:r>
          </w:p>
        </w:tc>
        <w:tc>
          <w:tcPr>
            <w:tcW w:w="591" w:type="pct"/>
          </w:tcPr>
          <w:p w:rsidR="007E4B2B" w:rsidRPr="00CF3A98" w:rsidRDefault="00BF22A7" w:rsidP="00401A53">
            <w:pPr>
              <w:pStyle w:val="TableBodyText"/>
              <w:rPr>
                <w:sz w:val="18"/>
              </w:rPr>
            </w:pPr>
            <w:r>
              <w:rPr>
                <w:sz w:val="18"/>
              </w:rPr>
              <w:t>46</w:t>
            </w:r>
          </w:p>
        </w:tc>
        <w:tc>
          <w:tcPr>
            <w:tcW w:w="592" w:type="pct"/>
          </w:tcPr>
          <w:p w:rsidR="007E4B2B" w:rsidRPr="00CF3A98" w:rsidRDefault="00BF22A7" w:rsidP="00401A53">
            <w:pPr>
              <w:pStyle w:val="TableBodyText"/>
              <w:rPr>
                <w:sz w:val="18"/>
              </w:rPr>
            </w:pPr>
            <w:r>
              <w:rPr>
                <w:sz w:val="18"/>
              </w:rPr>
              <w:t>71</w:t>
            </w:r>
          </w:p>
        </w:tc>
        <w:tc>
          <w:tcPr>
            <w:tcW w:w="592" w:type="pct"/>
            <w:tcBorders>
              <w:right w:val="single" w:sz="4" w:space="0" w:color="auto"/>
            </w:tcBorders>
          </w:tcPr>
          <w:p w:rsidR="007E4B2B" w:rsidRPr="00CF3A98" w:rsidRDefault="00BF22A7" w:rsidP="00401A53">
            <w:pPr>
              <w:pStyle w:val="TableBodyText"/>
              <w:rPr>
                <w:sz w:val="18"/>
              </w:rPr>
            </w:pPr>
            <w:r>
              <w:rPr>
                <w:sz w:val="18"/>
              </w:rPr>
              <w:t>66</w:t>
            </w:r>
          </w:p>
        </w:tc>
        <w:tc>
          <w:tcPr>
            <w:tcW w:w="505" w:type="pct"/>
            <w:tcBorders>
              <w:left w:val="single" w:sz="4" w:space="0" w:color="auto"/>
            </w:tcBorders>
          </w:tcPr>
          <w:p w:rsidR="007E4B2B" w:rsidRPr="00CF3A98" w:rsidRDefault="00BF22A7" w:rsidP="00401A53">
            <w:pPr>
              <w:pStyle w:val="TableBodyText"/>
              <w:ind w:right="28"/>
              <w:rPr>
                <w:sz w:val="18"/>
              </w:rPr>
            </w:pPr>
            <w:r>
              <w:rPr>
                <w:sz w:val="18"/>
              </w:rPr>
              <w:t>63</w:t>
            </w:r>
          </w:p>
        </w:tc>
        <w:tc>
          <w:tcPr>
            <w:tcW w:w="505" w:type="pct"/>
          </w:tcPr>
          <w:p w:rsidR="007E4B2B" w:rsidRPr="00CF3A98" w:rsidRDefault="00BF22A7" w:rsidP="00401A53">
            <w:pPr>
              <w:pStyle w:val="TableBodyText"/>
              <w:ind w:right="28"/>
              <w:rPr>
                <w:sz w:val="18"/>
              </w:rPr>
            </w:pPr>
            <w:r>
              <w:rPr>
                <w:sz w:val="18"/>
              </w:rPr>
              <w:t>17</w:t>
            </w:r>
          </w:p>
        </w:tc>
        <w:tc>
          <w:tcPr>
            <w:tcW w:w="505" w:type="pct"/>
          </w:tcPr>
          <w:p w:rsidR="007E4B2B" w:rsidRPr="00CF3A98" w:rsidRDefault="00BF22A7" w:rsidP="00401A53">
            <w:pPr>
              <w:pStyle w:val="TableBodyText"/>
              <w:ind w:right="28"/>
              <w:rPr>
                <w:sz w:val="18"/>
              </w:rPr>
            </w:pPr>
            <w:r>
              <w:rPr>
                <w:sz w:val="18"/>
              </w:rPr>
              <w:t>15</w:t>
            </w:r>
          </w:p>
        </w:tc>
      </w:tr>
      <w:tr w:rsidR="007E4B2B" w:rsidRPr="00CF3A98" w:rsidTr="00401A53">
        <w:tc>
          <w:tcPr>
            <w:tcW w:w="1710" w:type="pct"/>
            <w:shd w:val="clear" w:color="auto" w:fill="D9D9D9" w:themeFill="background1" w:themeFillShade="D9"/>
          </w:tcPr>
          <w:p w:rsidR="007E4B2B" w:rsidRPr="00CF3A98" w:rsidRDefault="007E4B2B" w:rsidP="00401A53">
            <w:pPr>
              <w:pStyle w:val="TableBodyText"/>
              <w:jc w:val="left"/>
              <w:rPr>
                <w:b/>
                <w:i/>
              </w:rPr>
            </w:pPr>
            <w:r w:rsidRPr="00CF3A98">
              <w:rPr>
                <w:b/>
                <w:i/>
              </w:rPr>
              <w:t>United States</w:t>
            </w:r>
          </w:p>
        </w:tc>
        <w:tc>
          <w:tcPr>
            <w:tcW w:w="591" w:type="pct"/>
            <w:shd w:val="clear" w:color="auto" w:fill="D9D9D9" w:themeFill="background1" w:themeFillShade="D9"/>
          </w:tcPr>
          <w:p w:rsidR="007E4B2B" w:rsidRPr="00CF3A98" w:rsidRDefault="007E4B2B" w:rsidP="00401A53">
            <w:pPr>
              <w:pStyle w:val="TableBodyText"/>
              <w:rPr>
                <w:b/>
                <w:i/>
              </w:rPr>
            </w:pPr>
          </w:p>
        </w:tc>
        <w:tc>
          <w:tcPr>
            <w:tcW w:w="592" w:type="pct"/>
            <w:shd w:val="clear" w:color="auto" w:fill="D9D9D9" w:themeFill="background1" w:themeFillShade="D9"/>
          </w:tcPr>
          <w:p w:rsidR="007E4B2B" w:rsidRPr="00CF3A98" w:rsidRDefault="007E4B2B" w:rsidP="00401A53">
            <w:pPr>
              <w:pStyle w:val="TableBodyText"/>
              <w:rPr>
                <w:b/>
                <w:i/>
              </w:rPr>
            </w:pPr>
          </w:p>
        </w:tc>
        <w:tc>
          <w:tcPr>
            <w:tcW w:w="592" w:type="pct"/>
            <w:tcBorders>
              <w:right w:val="single" w:sz="4" w:space="0" w:color="auto"/>
            </w:tcBorders>
            <w:shd w:val="clear" w:color="auto" w:fill="D9D9D9" w:themeFill="background1" w:themeFillShade="D9"/>
          </w:tcPr>
          <w:p w:rsidR="007E4B2B" w:rsidRPr="00CF3A98" w:rsidRDefault="007E4B2B" w:rsidP="00401A53">
            <w:pPr>
              <w:pStyle w:val="TableBodyText"/>
              <w:rPr>
                <w:b/>
                <w:i/>
              </w:rPr>
            </w:pPr>
          </w:p>
        </w:tc>
        <w:tc>
          <w:tcPr>
            <w:tcW w:w="505" w:type="pct"/>
            <w:tcBorders>
              <w:left w:val="single" w:sz="4" w:space="0" w:color="auto"/>
            </w:tcBorders>
            <w:shd w:val="clear" w:color="auto" w:fill="D9D9D9" w:themeFill="background1" w:themeFillShade="D9"/>
          </w:tcPr>
          <w:p w:rsidR="007E4B2B" w:rsidRPr="00CF3A98" w:rsidRDefault="007E4B2B" w:rsidP="00401A53">
            <w:pPr>
              <w:pStyle w:val="TableBodyText"/>
              <w:ind w:right="28"/>
              <w:rPr>
                <w:b/>
                <w:i/>
              </w:rPr>
            </w:pPr>
          </w:p>
        </w:tc>
        <w:tc>
          <w:tcPr>
            <w:tcW w:w="505" w:type="pct"/>
            <w:shd w:val="clear" w:color="auto" w:fill="D9D9D9" w:themeFill="background1" w:themeFillShade="D9"/>
          </w:tcPr>
          <w:p w:rsidR="007E4B2B" w:rsidRPr="00CF3A98" w:rsidRDefault="007E4B2B" w:rsidP="00401A53">
            <w:pPr>
              <w:pStyle w:val="TableBodyText"/>
              <w:ind w:right="28"/>
              <w:rPr>
                <w:b/>
                <w:i/>
              </w:rPr>
            </w:pPr>
          </w:p>
        </w:tc>
        <w:tc>
          <w:tcPr>
            <w:tcW w:w="505" w:type="pct"/>
            <w:shd w:val="clear" w:color="auto" w:fill="D9D9D9" w:themeFill="background1" w:themeFillShade="D9"/>
          </w:tcPr>
          <w:p w:rsidR="007E4B2B" w:rsidRPr="00CF3A98" w:rsidRDefault="007E4B2B" w:rsidP="00401A53">
            <w:pPr>
              <w:pStyle w:val="TableBodyText"/>
              <w:rPr>
                <w:b/>
                <w:i/>
              </w:rPr>
            </w:pPr>
          </w:p>
        </w:tc>
      </w:tr>
      <w:tr w:rsidR="007E4B2B" w:rsidTr="00401A53">
        <w:tc>
          <w:tcPr>
            <w:tcW w:w="1710" w:type="pct"/>
          </w:tcPr>
          <w:p w:rsidR="007E4B2B" w:rsidRDefault="007E4B2B" w:rsidP="00401A53">
            <w:pPr>
              <w:pStyle w:val="TableBodyText"/>
              <w:ind w:left="113" w:right="170"/>
              <w:jc w:val="left"/>
            </w:pPr>
            <w:r>
              <w:t>Nevada</w:t>
            </w:r>
          </w:p>
        </w:tc>
        <w:tc>
          <w:tcPr>
            <w:tcW w:w="591" w:type="pct"/>
          </w:tcPr>
          <w:p w:rsidR="007E4B2B" w:rsidRPr="00CF3A98" w:rsidRDefault="00BF22A7" w:rsidP="00401A53">
            <w:pPr>
              <w:pStyle w:val="TableBodyText"/>
              <w:rPr>
                <w:sz w:val="18"/>
              </w:rPr>
            </w:pPr>
            <w:r>
              <w:rPr>
                <w:sz w:val="18"/>
              </w:rPr>
              <w:t>40</w:t>
            </w:r>
          </w:p>
        </w:tc>
        <w:tc>
          <w:tcPr>
            <w:tcW w:w="592" w:type="pct"/>
          </w:tcPr>
          <w:p w:rsidR="007E4B2B" w:rsidRPr="00CF3A98" w:rsidRDefault="00BF22A7" w:rsidP="00401A53">
            <w:pPr>
              <w:pStyle w:val="TableBodyText"/>
              <w:rPr>
                <w:sz w:val="18"/>
              </w:rPr>
            </w:pPr>
            <w:r>
              <w:rPr>
                <w:sz w:val="18"/>
              </w:rPr>
              <w:t>53</w:t>
            </w:r>
          </w:p>
        </w:tc>
        <w:tc>
          <w:tcPr>
            <w:tcW w:w="592" w:type="pct"/>
            <w:tcBorders>
              <w:right w:val="single" w:sz="4" w:space="0" w:color="auto"/>
            </w:tcBorders>
          </w:tcPr>
          <w:p w:rsidR="007E4B2B" w:rsidRPr="00CF3A98" w:rsidRDefault="00BF22A7" w:rsidP="00401A53">
            <w:pPr>
              <w:pStyle w:val="TableBodyText"/>
              <w:rPr>
                <w:sz w:val="18"/>
              </w:rPr>
            </w:pPr>
            <w:r>
              <w:rPr>
                <w:sz w:val="18"/>
              </w:rPr>
              <w:t>57</w:t>
            </w:r>
          </w:p>
        </w:tc>
        <w:tc>
          <w:tcPr>
            <w:tcW w:w="505" w:type="pct"/>
            <w:tcBorders>
              <w:left w:val="single" w:sz="4" w:space="0" w:color="auto"/>
            </w:tcBorders>
          </w:tcPr>
          <w:p w:rsidR="007E4B2B" w:rsidRPr="00CF3A98" w:rsidRDefault="007E4B2B" w:rsidP="00401A53">
            <w:pPr>
              <w:pStyle w:val="TableBodyText"/>
              <w:ind w:right="28"/>
              <w:rPr>
                <w:sz w:val="18"/>
              </w:rPr>
            </w:pPr>
            <w:proofErr w:type="spellStart"/>
            <w:r>
              <w:rPr>
                <w:sz w:val="18"/>
              </w:rPr>
              <w:t>na</w:t>
            </w:r>
            <w:proofErr w:type="spellEnd"/>
          </w:p>
        </w:tc>
        <w:tc>
          <w:tcPr>
            <w:tcW w:w="505" w:type="pct"/>
          </w:tcPr>
          <w:p w:rsidR="007E4B2B" w:rsidRPr="00CF3A98" w:rsidRDefault="007E4B2B" w:rsidP="00401A53">
            <w:pPr>
              <w:pStyle w:val="TableBodyText"/>
              <w:ind w:right="28"/>
              <w:rPr>
                <w:sz w:val="18"/>
              </w:rPr>
            </w:pPr>
            <w:proofErr w:type="spellStart"/>
            <w:r>
              <w:rPr>
                <w:sz w:val="18"/>
              </w:rPr>
              <w:t>na</w:t>
            </w:r>
            <w:proofErr w:type="spellEnd"/>
          </w:p>
        </w:tc>
        <w:tc>
          <w:tcPr>
            <w:tcW w:w="505" w:type="pct"/>
          </w:tcPr>
          <w:p w:rsidR="007E4B2B" w:rsidRPr="00CF3A98" w:rsidRDefault="007E4B2B" w:rsidP="00401A53">
            <w:pPr>
              <w:pStyle w:val="TableBodyText"/>
              <w:ind w:right="28"/>
              <w:rPr>
                <w:sz w:val="18"/>
              </w:rPr>
            </w:pPr>
            <w:proofErr w:type="spellStart"/>
            <w:r w:rsidRPr="00CF3A98">
              <w:rPr>
                <w:sz w:val="18"/>
              </w:rPr>
              <w:t>na</w:t>
            </w:r>
            <w:proofErr w:type="spellEnd"/>
          </w:p>
        </w:tc>
      </w:tr>
      <w:tr w:rsidR="007E4B2B" w:rsidTr="00401A53">
        <w:tc>
          <w:tcPr>
            <w:tcW w:w="1710" w:type="pct"/>
          </w:tcPr>
          <w:p w:rsidR="007E4B2B" w:rsidRDefault="007E4B2B" w:rsidP="00401A53">
            <w:pPr>
              <w:pStyle w:val="TableBodyText"/>
              <w:ind w:left="113" w:right="170"/>
              <w:jc w:val="left"/>
            </w:pPr>
            <w:r>
              <w:t>Alaska</w:t>
            </w:r>
          </w:p>
        </w:tc>
        <w:tc>
          <w:tcPr>
            <w:tcW w:w="591" w:type="pct"/>
          </w:tcPr>
          <w:p w:rsidR="007E4B2B" w:rsidRPr="00CF3A98" w:rsidRDefault="00BF22A7" w:rsidP="00401A53">
            <w:pPr>
              <w:pStyle w:val="TableBodyText"/>
              <w:rPr>
                <w:sz w:val="18"/>
              </w:rPr>
            </w:pPr>
            <w:r>
              <w:rPr>
                <w:sz w:val="18"/>
              </w:rPr>
              <w:t>16</w:t>
            </w:r>
          </w:p>
        </w:tc>
        <w:tc>
          <w:tcPr>
            <w:tcW w:w="592" w:type="pct"/>
          </w:tcPr>
          <w:p w:rsidR="007E4B2B" w:rsidRPr="00CF3A98" w:rsidRDefault="00BF22A7" w:rsidP="00401A53">
            <w:pPr>
              <w:pStyle w:val="TableBodyText"/>
              <w:rPr>
                <w:sz w:val="18"/>
              </w:rPr>
            </w:pPr>
            <w:r>
              <w:rPr>
                <w:sz w:val="18"/>
              </w:rPr>
              <w:t>43</w:t>
            </w:r>
          </w:p>
        </w:tc>
        <w:tc>
          <w:tcPr>
            <w:tcW w:w="592" w:type="pct"/>
            <w:tcBorders>
              <w:right w:val="single" w:sz="4" w:space="0" w:color="auto"/>
            </w:tcBorders>
          </w:tcPr>
          <w:p w:rsidR="007E4B2B" w:rsidRPr="00CF3A98" w:rsidRDefault="00BF22A7" w:rsidP="00401A53">
            <w:pPr>
              <w:pStyle w:val="TableBodyText"/>
              <w:rPr>
                <w:sz w:val="18"/>
              </w:rPr>
            </w:pPr>
            <w:r>
              <w:rPr>
                <w:sz w:val="18"/>
              </w:rPr>
              <w:t>56</w:t>
            </w:r>
          </w:p>
        </w:tc>
        <w:tc>
          <w:tcPr>
            <w:tcW w:w="505" w:type="pct"/>
            <w:tcBorders>
              <w:left w:val="single" w:sz="4" w:space="0" w:color="auto"/>
            </w:tcBorders>
          </w:tcPr>
          <w:p w:rsidR="007E4B2B" w:rsidRPr="00CF3A98" w:rsidRDefault="00BF22A7" w:rsidP="00401A53">
            <w:pPr>
              <w:pStyle w:val="TableBodyText"/>
              <w:ind w:right="28"/>
              <w:rPr>
                <w:sz w:val="18"/>
              </w:rPr>
            </w:pPr>
            <w:r>
              <w:rPr>
                <w:sz w:val="18"/>
              </w:rPr>
              <w:t>67</w:t>
            </w:r>
          </w:p>
        </w:tc>
        <w:tc>
          <w:tcPr>
            <w:tcW w:w="505" w:type="pct"/>
          </w:tcPr>
          <w:p w:rsidR="007E4B2B" w:rsidRPr="00CF3A98" w:rsidRDefault="00BF22A7" w:rsidP="00401A53">
            <w:pPr>
              <w:pStyle w:val="TableBodyText"/>
              <w:ind w:right="28"/>
              <w:rPr>
                <w:sz w:val="18"/>
              </w:rPr>
            </w:pPr>
            <w:r>
              <w:rPr>
                <w:sz w:val="18"/>
              </w:rPr>
              <w:t>58</w:t>
            </w:r>
          </w:p>
        </w:tc>
        <w:tc>
          <w:tcPr>
            <w:tcW w:w="505" w:type="pct"/>
          </w:tcPr>
          <w:p w:rsidR="007E4B2B" w:rsidRPr="00CF3A98" w:rsidRDefault="00BF22A7" w:rsidP="00401A53">
            <w:pPr>
              <w:pStyle w:val="TableBodyText"/>
              <w:ind w:right="28"/>
              <w:rPr>
                <w:sz w:val="18"/>
              </w:rPr>
            </w:pPr>
            <w:r>
              <w:rPr>
                <w:sz w:val="18"/>
              </w:rPr>
              <w:t>47</w:t>
            </w:r>
          </w:p>
        </w:tc>
      </w:tr>
      <w:tr w:rsidR="007E4B2B" w:rsidTr="00401A53">
        <w:tc>
          <w:tcPr>
            <w:tcW w:w="1710" w:type="pct"/>
          </w:tcPr>
          <w:p w:rsidR="007E4B2B" w:rsidRDefault="007E4B2B" w:rsidP="00401A53">
            <w:pPr>
              <w:pStyle w:val="TableBodyText"/>
              <w:ind w:left="113" w:right="170"/>
              <w:jc w:val="left"/>
            </w:pPr>
            <w:r>
              <w:t>Utah</w:t>
            </w:r>
          </w:p>
        </w:tc>
        <w:tc>
          <w:tcPr>
            <w:tcW w:w="591" w:type="pct"/>
          </w:tcPr>
          <w:p w:rsidR="007E4B2B" w:rsidRPr="00CF3A98" w:rsidRDefault="00BF22A7" w:rsidP="00401A53">
            <w:pPr>
              <w:pStyle w:val="TableBodyText"/>
              <w:rPr>
                <w:sz w:val="18"/>
              </w:rPr>
            </w:pPr>
            <w:r>
              <w:rPr>
                <w:sz w:val="18"/>
              </w:rPr>
              <w:t>22</w:t>
            </w:r>
          </w:p>
        </w:tc>
        <w:tc>
          <w:tcPr>
            <w:tcW w:w="592" w:type="pct"/>
          </w:tcPr>
          <w:p w:rsidR="007E4B2B" w:rsidRPr="00CF3A98" w:rsidRDefault="00BF22A7" w:rsidP="00401A53">
            <w:pPr>
              <w:pStyle w:val="TableBodyText"/>
              <w:rPr>
                <w:sz w:val="18"/>
              </w:rPr>
            </w:pPr>
            <w:r>
              <w:rPr>
                <w:sz w:val="18"/>
              </w:rPr>
              <w:t>41</w:t>
            </w:r>
          </w:p>
        </w:tc>
        <w:tc>
          <w:tcPr>
            <w:tcW w:w="592" w:type="pct"/>
            <w:tcBorders>
              <w:right w:val="single" w:sz="4" w:space="0" w:color="auto"/>
            </w:tcBorders>
          </w:tcPr>
          <w:p w:rsidR="007E4B2B" w:rsidRPr="00CF3A98" w:rsidRDefault="00BF22A7" w:rsidP="00401A53">
            <w:pPr>
              <w:pStyle w:val="TableBodyText"/>
              <w:rPr>
                <w:sz w:val="18"/>
              </w:rPr>
            </w:pPr>
            <w:r>
              <w:rPr>
                <w:sz w:val="18"/>
              </w:rPr>
              <w:t>56</w:t>
            </w:r>
          </w:p>
        </w:tc>
        <w:tc>
          <w:tcPr>
            <w:tcW w:w="505" w:type="pct"/>
            <w:tcBorders>
              <w:left w:val="single" w:sz="4" w:space="0" w:color="auto"/>
            </w:tcBorders>
          </w:tcPr>
          <w:p w:rsidR="007E4B2B" w:rsidRPr="00CF3A98" w:rsidRDefault="00BF22A7" w:rsidP="00401A53">
            <w:pPr>
              <w:pStyle w:val="TableBodyText"/>
              <w:ind w:right="28"/>
              <w:rPr>
                <w:sz w:val="18"/>
              </w:rPr>
            </w:pPr>
            <w:proofErr w:type="spellStart"/>
            <w:r>
              <w:rPr>
                <w:sz w:val="18"/>
              </w:rPr>
              <w:t>n</w:t>
            </w:r>
            <w:r w:rsidR="007E4B2B">
              <w:rPr>
                <w:sz w:val="18"/>
              </w:rPr>
              <w:t>a</w:t>
            </w:r>
            <w:proofErr w:type="spellEnd"/>
          </w:p>
        </w:tc>
        <w:tc>
          <w:tcPr>
            <w:tcW w:w="505" w:type="pct"/>
          </w:tcPr>
          <w:p w:rsidR="007E4B2B" w:rsidRPr="00CF3A98" w:rsidRDefault="00BF22A7" w:rsidP="00401A53">
            <w:pPr>
              <w:pStyle w:val="TableBodyText"/>
              <w:ind w:right="28"/>
              <w:rPr>
                <w:sz w:val="18"/>
              </w:rPr>
            </w:pPr>
            <w:r>
              <w:rPr>
                <w:sz w:val="18"/>
              </w:rPr>
              <w:t>58</w:t>
            </w:r>
          </w:p>
        </w:tc>
        <w:tc>
          <w:tcPr>
            <w:tcW w:w="505" w:type="pct"/>
          </w:tcPr>
          <w:p w:rsidR="007E4B2B" w:rsidRPr="00CF3A98" w:rsidRDefault="00BF22A7" w:rsidP="00401A53">
            <w:pPr>
              <w:pStyle w:val="TableBodyText"/>
              <w:ind w:right="28"/>
              <w:rPr>
                <w:sz w:val="18"/>
              </w:rPr>
            </w:pPr>
            <w:r>
              <w:rPr>
                <w:sz w:val="18"/>
              </w:rPr>
              <w:t>44</w:t>
            </w:r>
          </w:p>
        </w:tc>
      </w:tr>
      <w:tr w:rsidR="007E4B2B" w:rsidTr="00401A53">
        <w:tc>
          <w:tcPr>
            <w:tcW w:w="1710" w:type="pct"/>
          </w:tcPr>
          <w:p w:rsidR="007E4B2B" w:rsidRDefault="007E4B2B" w:rsidP="00401A53">
            <w:pPr>
              <w:pStyle w:val="TableBodyText"/>
              <w:ind w:left="113" w:right="170"/>
              <w:jc w:val="left"/>
            </w:pPr>
            <w:r>
              <w:t>Montana</w:t>
            </w:r>
          </w:p>
        </w:tc>
        <w:tc>
          <w:tcPr>
            <w:tcW w:w="591" w:type="pct"/>
          </w:tcPr>
          <w:p w:rsidR="007E4B2B" w:rsidRPr="00CF3A98" w:rsidRDefault="00BF22A7" w:rsidP="00401A53">
            <w:pPr>
              <w:pStyle w:val="TableBodyText"/>
              <w:rPr>
                <w:sz w:val="18"/>
              </w:rPr>
            </w:pPr>
            <w:r>
              <w:rPr>
                <w:sz w:val="18"/>
              </w:rPr>
              <w:t>23</w:t>
            </w:r>
          </w:p>
        </w:tc>
        <w:tc>
          <w:tcPr>
            <w:tcW w:w="592" w:type="pct"/>
          </w:tcPr>
          <w:p w:rsidR="007E4B2B" w:rsidRPr="00CF3A98" w:rsidRDefault="00BF22A7" w:rsidP="00401A53">
            <w:pPr>
              <w:pStyle w:val="TableBodyText"/>
              <w:rPr>
                <w:sz w:val="18"/>
              </w:rPr>
            </w:pPr>
            <w:r>
              <w:rPr>
                <w:sz w:val="18"/>
              </w:rPr>
              <w:t>35</w:t>
            </w:r>
          </w:p>
        </w:tc>
        <w:tc>
          <w:tcPr>
            <w:tcW w:w="592" w:type="pct"/>
            <w:tcBorders>
              <w:right w:val="single" w:sz="4" w:space="0" w:color="auto"/>
            </w:tcBorders>
          </w:tcPr>
          <w:p w:rsidR="007E4B2B" w:rsidRPr="00CF3A98" w:rsidRDefault="00BF22A7" w:rsidP="00401A53">
            <w:pPr>
              <w:pStyle w:val="TableBodyText"/>
              <w:rPr>
                <w:sz w:val="18"/>
              </w:rPr>
            </w:pPr>
            <w:r>
              <w:rPr>
                <w:sz w:val="18"/>
              </w:rPr>
              <w:t>55</w:t>
            </w:r>
          </w:p>
        </w:tc>
        <w:tc>
          <w:tcPr>
            <w:tcW w:w="505" w:type="pct"/>
            <w:tcBorders>
              <w:left w:val="single" w:sz="4" w:space="0" w:color="auto"/>
            </w:tcBorders>
          </w:tcPr>
          <w:p w:rsidR="007E4B2B" w:rsidRPr="00CF3A98" w:rsidRDefault="00BF22A7" w:rsidP="00401A53">
            <w:pPr>
              <w:pStyle w:val="TableBodyText"/>
              <w:ind w:right="28"/>
              <w:rPr>
                <w:sz w:val="18"/>
              </w:rPr>
            </w:pPr>
            <w:r>
              <w:rPr>
                <w:sz w:val="18"/>
              </w:rPr>
              <w:t>40</w:t>
            </w:r>
          </w:p>
        </w:tc>
        <w:tc>
          <w:tcPr>
            <w:tcW w:w="505" w:type="pct"/>
          </w:tcPr>
          <w:p w:rsidR="007E4B2B" w:rsidRPr="00CF3A98" w:rsidRDefault="00BF22A7" w:rsidP="00401A53">
            <w:pPr>
              <w:pStyle w:val="TableBodyText"/>
              <w:ind w:right="28"/>
              <w:rPr>
                <w:sz w:val="18"/>
              </w:rPr>
            </w:pPr>
            <w:r>
              <w:rPr>
                <w:sz w:val="18"/>
              </w:rPr>
              <w:t>31</w:t>
            </w:r>
          </w:p>
        </w:tc>
        <w:tc>
          <w:tcPr>
            <w:tcW w:w="505" w:type="pct"/>
          </w:tcPr>
          <w:p w:rsidR="007E4B2B" w:rsidRPr="00CF3A98" w:rsidRDefault="00BF22A7" w:rsidP="00401A53">
            <w:pPr>
              <w:pStyle w:val="TableBodyText"/>
              <w:ind w:right="28"/>
              <w:rPr>
                <w:sz w:val="18"/>
              </w:rPr>
            </w:pPr>
            <w:r>
              <w:rPr>
                <w:sz w:val="18"/>
              </w:rPr>
              <w:t>36</w:t>
            </w:r>
          </w:p>
        </w:tc>
      </w:tr>
      <w:tr w:rsidR="007E4B2B" w:rsidTr="00401A53">
        <w:tc>
          <w:tcPr>
            <w:tcW w:w="1710" w:type="pct"/>
          </w:tcPr>
          <w:p w:rsidR="007E4B2B" w:rsidRDefault="007E4B2B" w:rsidP="00401A53">
            <w:pPr>
              <w:pStyle w:val="TableBodyText"/>
              <w:ind w:left="113" w:right="170"/>
              <w:jc w:val="left"/>
            </w:pPr>
            <w:r>
              <w:t xml:space="preserve">Offshore </w:t>
            </w:r>
            <w:r>
              <w:noBreakHyphen/>
              <w:t xml:space="preserve"> Gulf of Mexico</w:t>
            </w:r>
          </w:p>
        </w:tc>
        <w:tc>
          <w:tcPr>
            <w:tcW w:w="591" w:type="pct"/>
          </w:tcPr>
          <w:p w:rsidR="007E4B2B" w:rsidRPr="00CF3A98" w:rsidRDefault="007E4B2B" w:rsidP="00401A53">
            <w:pPr>
              <w:pStyle w:val="TableBodyText"/>
              <w:rPr>
                <w:sz w:val="18"/>
              </w:rPr>
            </w:pPr>
            <w:proofErr w:type="spellStart"/>
            <w:r>
              <w:rPr>
                <w:sz w:val="18"/>
              </w:rPr>
              <w:t>na</w:t>
            </w:r>
            <w:proofErr w:type="spellEnd"/>
          </w:p>
        </w:tc>
        <w:tc>
          <w:tcPr>
            <w:tcW w:w="592" w:type="pct"/>
          </w:tcPr>
          <w:p w:rsidR="007E4B2B" w:rsidRPr="00CF3A98" w:rsidRDefault="007E4B2B" w:rsidP="00401A53">
            <w:pPr>
              <w:pStyle w:val="TableBodyText"/>
              <w:rPr>
                <w:sz w:val="18"/>
              </w:rPr>
            </w:pPr>
            <w:proofErr w:type="spellStart"/>
            <w:r>
              <w:rPr>
                <w:sz w:val="18"/>
              </w:rPr>
              <w:t>na</w:t>
            </w:r>
            <w:proofErr w:type="spellEnd"/>
          </w:p>
        </w:tc>
        <w:tc>
          <w:tcPr>
            <w:tcW w:w="592" w:type="pct"/>
            <w:tcBorders>
              <w:right w:val="single" w:sz="4" w:space="0" w:color="auto"/>
            </w:tcBorders>
          </w:tcPr>
          <w:p w:rsidR="007E4B2B" w:rsidRPr="00CF3A98" w:rsidRDefault="007E4B2B" w:rsidP="00401A53">
            <w:pPr>
              <w:pStyle w:val="TableBodyText"/>
              <w:rPr>
                <w:sz w:val="18"/>
              </w:rPr>
            </w:pPr>
            <w:proofErr w:type="spellStart"/>
            <w:r w:rsidRPr="00CF3A98">
              <w:rPr>
                <w:sz w:val="18"/>
              </w:rPr>
              <w:t>na</w:t>
            </w:r>
            <w:proofErr w:type="spellEnd"/>
          </w:p>
        </w:tc>
        <w:tc>
          <w:tcPr>
            <w:tcW w:w="505" w:type="pct"/>
            <w:tcBorders>
              <w:left w:val="single" w:sz="4" w:space="0" w:color="auto"/>
            </w:tcBorders>
          </w:tcPr>
          <w:p w:rsidR="007E4B2B" w:rsidRPr="00CF3A98" w:rsidRDefault="007E4B2B" w:rsidP="00401A53">
            <w:pPr>
              <w:pStyle w:val="TableBodyText"/>
              <w:ind w:right="28"/>
              <w:rPr>
                <w:sz w:val="18"/>
              </w:rPr>
            </w:pPr>
            <w:proofErr w:type="spellStart"/>
            <w:r>
              <w:rPr>
                <w:sz w:val="18"/>
              </w:rPr>
              <w:t>na</w:t>
            </w:r>
            <w:proofErr w:type="spellEnd"/>
          </w:p>
        </w:tc>
        <w:tc>
          <w:tcPr>
            <w:tcW w:w="505" w:type="pct"/>
          </w:tcPr>
          <w:p w:rsidR="007E4B2B" w:rsidRPr="00CF3A98" w:rsidRDefault="00BF22A7" w:rsidP="00401A53">
            <w:pPr>
              <w:pStyle w:val="TableBodyText"/>
              <w:ind w:right="28"/>
              <w:rPr>
                <w:sz w:val="18"/>
              </w:rPr>
            </w:pPr>
            <w:r>
              <w:rPr>
                <w:sz w:val="18"/>
              </w:rPr>
              <w:t>63</w:t>
            </w:r>
          </w:p>
        </w:tc>
        <w:tc>
          <w:tcPr>
            <w:tcW w:w="505" w:type="pct"/>
          </w:tcPr>
          <w:p w:rsidR="007E4B2B" w:rsidRPr="00CF3A98" w:rsidRDefault="00BF22A7" w:rsidP="00401A53">
            <w:pPr>
              <w:pStyle w:val="TableBodyText"/>
              <w:ind w:right="28"/>
              <w:rPr>
                <w:sz w:val="18"/>
              </w:rPr>
            </w:pPr>
            <w:r>
              <w:rPr>
                <w:sz w:val="18"/>
              </w:rPr>
              <w:t>55</w:t>
            </w:r>
          </w:p>
        </w:tc>
      </w:tr>
      <w:tr w:rsidR="007E4B2B" w:rsidTr="00401A53">
        <w:tc>
          <w:tcPr>
            <w:tcW w:w="1710" w:type="pct"/>
          </w:tcPr>
          <w:p w:rsidR="007E4B2B" w:rsidRDefault="007E4B2B" w:rsidP="00401A53">
            <w:pPr>
              <w:pStyle w:val="TableBodyText"/>
              <w:ind w:left="113" w:right="170"/>
              <w:jc w:val="left"/>
            </w:pPr>
            <w:r>
              <w:t xml:space="preserve">Offshore </w:t>
            </w:r>
            <w:r>
              <w:noBreakHyphen/>
              <w:t xml:space="preserve"> Alaska</w:t>
            </w:r>
          </w:p>
        </w:tc>
        <w:tc>
          <w:tcPr>
            <w:tcW w:w="591" w:type="pct"/>
          </w:tcPr>
          <w:p w:rsidR="007E4B2B" w:rsidRPr="00CF3A98" w:rsidRDefault="007E4B2B" w:rsidP="00401A53">
            <w:pPr>
              <w:pStyle w:val="TableBodyText"/>
              <w:rPr>
                <w:sz w:val="18"/>
              </w:rPr>
            </w:pPr>
            <w:proofErr w:type="spellStart"/>
            <w:r>
              <w:rPr>
                <w:sz w:val="18"/>
              </w:rPr>
              <w:t>na</w:t>
            </w:r>
            <w:proofErr w:type="spellEnd"/>
          </w:p>
        </w:tc>
        <w:tc>
          <w:tcPr>
            <w:tcW w:w="592" w:type="pct"/>
          </w:tcPr>
          <w:p w:rsidR="007E4B2B" w:rsidRPr="00CF3A98" w:rsidRDefault="007E4B2B" w:rsidP="00401A53">
            <w:pPr>
              <w:pStyle w:val="TableBodyText"/>
              <w:rPr>
                <w:sz w:val="18"/>
              </w:rPr>
            </w:pPr>
            <w:proofErr w:type="spellStart"/>
            <w:r>
              <w:rPr>
                <w:sz w:val="18"/>
              </w:rPr>
              <w:t>na</w:t>
            </w:r>
            <w:proofErr w:type="spellEnd"/>
          </w:p>
        </w:tc>
        <w:tc>
          <w:tcPr>
            <w:tcW w:w="592" w:type="pct"/>
            <w:tcBorders>
              <w:right w:val="single" w:sz="4" w:space="0" w:color="auto"/>
            </w:tcBorders>
          </w:tcPr>
          <w:p w:rsidR="007E4B2B" w:rsidRPr="00CF3A98" w:rsidRDefault="007E4B2B" w:rsidP="00401A53">
            <w:pPr>
              <w:pStyle w:val="TableBodyText"/>
              <w:rPr>
                <w:sz w:val="18"/>
              </w:rPr>
            </w:pPr>
            <w:proofErr w:type="spellStart"/>
            <w:r w:rsidRPr="00CF3A98">
              <w:rPr>
                <w:sz w:val="18"/>
              </w:rPr>
              <w:t>na</w:t>
            </w:r>
            <w:proofErr w:type="spellEnd"/>
          </w:p>
        </w:tc>
        <w:tc>
          <w:tcPr>
            <w:tcW w:w="505" w:type="pct"/>
            <w:tcBorders>
              <w:left w:val="single" w:sz="4" w:space="0" w:color="auto"/>
            </w:tcBorders>
          </w:tcPr>
          <w:p w:rsidR="007E4B2B" w:rsidRPr="00CF3A98" w:rsidRDefault="007E4B2B" w:rsidP="00401A53">
            <w:pPr>
              <w:pStyle w:val="TableBodyText"/>
              <w:ind w:right="28"/>
              <w:rPr>
                <w:sz w:val="18"/>
              </w:rPr>
            </w:pPr>
            <w:proofErr w:type="spellStart"/>
            <w:r>
              <w:rPr>
                <w:sz w:val="18"/>
              </w:rPr>
              <w:t>na</w:t>
            </w:r>
            <w:proofErr w:type="spellEnd"/>
          </w:p>
        </w:tc>
        <w:tc>
          <w:tcPr>
            <w:tcW w:w="505" w:type="pct"/>
          </w:tcPr>
          <w:p w:rsidR="007E4B2B" w:rsidRPr="00CF3A98" w:rsidRDefault="00BF22A7" w:rsidP="00401A53">
            <w:pPr>
              <w:pStyle w:val="TableBodyText"/>
              <w:ind w:right="28"/>
              <w:rPr>
                <w:sz w:val="18"/>
              </w:rPr>
            </w:pPr>
            <w:r>
              <w:rPr>
                <w:sz w:val="18"/>
              </w:rPr>
              <w:t>36</w:t>
            </w:r>
          </w:p>
        </w:tc>
        <w:tc>
          <w:tcPr>
            <w:tcW w:w="505" w:type="pct"/>
          </w:tcPr>
          <w:p w:rsidR="007E4B2B" w:rsidRPr="00CF3A98" w:rsidRDefault="00BF22A7" w:rsidP="00401A53">
            <w:pPr>
              <w:pStyle w:val="TableBodyText"/>
              <w:ind w:right="28"/>
              <w:rPr>
                <w:sz w:val="18"/>
              </w:rPr>
            </w:pPr>
            <w:r>
              <w:rPr>
                <w:sz w:val="18"/>
              </w:rPr>
              <w:t>33</w:t>
            </w:r>
          </w:p>
        </w:tc>
      </w:tr>
      <w:tr w:rsidR="007E4B2B" w:rsidRPr="00CF3A98" w:rsidTr="00401A53">
        <w:tc>
          <w:tcPr>
            <w:tcW w:w="1710" w:type="pct"/>
            <w:shd w:val="clear" w:color="auto" w:fill="D9D9D9" w:themeFill="background1" w:themeFillShade="D9"/>
          </w:tcPr>
          <w:p w:rsidR="007E4B2B" w:rsidRPr="00CF3A98" w:rsidRDefault="007E4B2B" w:rsidP="00401A53">
            <w:pPr>
              <w:pStyle w:val="TableBodyText"/>
              <w:jc w:val="left"/>
              <w:rPr>
                <w:b/>
                <w:i/>
              </w:rPr>
            </w:pPr>
            <w:r>
              <w:rPr>
                <w:b/>
                <w:i/>
              </w:rPr>
              <w:t>Eurasia</w:t>
            </w:r>
          </w:p>
        </w:tc>
        <w:tc>
          <w:tcPr>
            <w:tcW w:w="591" w:type="pct"/>
            <w:shd w:val="clear" w:color="auto" w:fill="D9D9D9" w:themeFill="background1" w:themeFillShade="D9"/>
          </w:tcPr>
          <w:p w:rsidR="007E4B2B" w:rsidRPr="00CF3A98" w:rsidRDefault="007E4B2B" w:rsidP="00401A53">
            <w:pPr>
              <w:pStyle w:val="TableBodyText"/>
              <w:rPr>
                <w:b/>
                <w:i/>
              </w:rPr>
            </w:pPr>
          </w:p>
        </w:tc>
        <w:tc>
          <w:tcPr>
            <w:tcW w:w="592" w:type="pct"/>
            <w:shd w:val="clear" w:color="auto" w:fill="D9D9D9" w:themeFill="background1" w:themeFillShade="D9"/>
          </w:tcPr>
          <w:p w:rsidR="007E4B2B" w:rsidRPr="00CF3A98" w:rsidRDefault="007E4B2B" w:rsidP="00401A53">
            <w:pPr>
              <w:pStyle w:val="TableBodyText"/>
              <w:rPr>
                <w:b/>
                <w:i/>
              </w:rPr>
            </w:pPr>
          </w:p>
        </w:tc>
        <w:tc>
          <w:tcPr>
            <w:tcW w:w="592" w:type="pct"/>
            <w:tcBorders>
              <w:right w:val="single" w:sz="4" w:space="0" w:color="auto"/>
            </w:tcBorders>
            <w:shd w:val="clear" w:color="auto" w:fill="D9D9D9" w:themeFill="background1" w:themeFillShade="D9"/>
          </w:tcPr>
          <w:p w:rsidR="007E4B2B" w:rsidRPr="00CF3A98" w:rsidRDefault="007E4B2B" w:rsidP="00401A53">
            <w:pPr>
              <w:pStyle w:val="TableBodyText"/>
              <w:rPr>
                <w:b/>
                <w:i/>
              </w:rPr>
            </w:pPr>
          </w:p>
        </w:tc>
        <w:tc>
          <w:tcPr>
            <w:tcW w:w="505" w:type="pct"/>
            <w:tcBorders>
              <w:left w:val="single" w:sz="4" w:space="0" w:color="auto"/>
            </w:tcBorders>
            <w:shd w:val="clear" w:color="auto" w:fill="D9D9D9" w:themeFill="background1" w:themeFillShade="D9"/>
          </w:tcPr>
          <w:p w:rsidR="007E4B2B" w:rsidRPr="00CF3A98" w:rsidRDefault="007E4B2B" w:rsidP="00401A53">
            <w:pPr>
              <w:pStyle w:val="TableBodyText"/>
              <w:ind w:right="28"/>
              <w:rPr>
                <w:b/>
                <w:i/>
              </w:rPr>
            </w:pPr>
          </w:p>
        </w:tc>
        <w:tc>
          <w:tcPr>
            <w:tcW w:w="505" w:type="pct"/>
            <w:shd w:val="clear" w:color="auto" w:fill="D9D9D9" w:themeFill="background1" w:themeFillShade="D9"/>
          </w:tcPr>
          <w:p w:rsidR="007E4B2B" w:rsidRPr="00CF3A98" w:rsidRDefault="007E4B2B" w:rsidP="00401A53">
            <w:pPr>
              <w:pStyle w:val="TableBodyText"/>
              <w:ind w:right="28"/>
              <w:rPr>
                <w:b/>
                <w:i/>
              </w:rPr>
            </w:pPr>
          </w:p>
        </w:tc>
        <w:tc>
          <w:tcPr>
            <w:tcW w:w="505" w:type="pct"/>
            <w:shd w:val="clear" w:color="auto" w:fill="D9D9D9" w:themeFill="background1" w:themeFillShade="D9"/>
          </w:tcPr>
          <w:p w:rsidR="007E4B2B" w:rsidRPr="00CF3A98" w:rsidRDefault="007E4B2B" w:rsidP="00401A53">
            <w:pPr>
              <w:pStyle w:val="TableBodyText"/>
              <w:rPr>
                <w:b/>
                <w:i/>
              </w:rPr>
            </w:pPr>
          </w:p>
        </w:tc>
      </w:tr>
      <w:tr w:rsidR="007E4B2B" w:rsidTr="00401A53">
        <w:tc>
          <w:tcPr>
            <w:tcW w:w="1710" w:type="pct"/>
          </w:tcPr>
          <w:p w:rsidR="007E4B2B" w:rsidRDefault="007E4B2B" w:rsidP="00401A53">
            <w:pPr>
              <w:pStyle w:val="TableBodyText"/>
              <w:ind w:left="113" w:right="170"/>
              <w:jc w:val="left"/>
            </w:pPr>
            <w:r>
              <w:t>Mongolia</w:t>
            </w:r>
          </w:p>
        </w:tc>
        <w:tc>
          <w:tcPr>
            <w:tcW w:w="591" w:type="pct"/>
          </w:tcPr>
          <w:p w:rsidR="007E4B2B" w:rsidRPr="00CF3A98" w:rsidRDefault="00BF22A7" w:rsidP="00401A53">
            <w:pPr>
              <w:pStyle w:val="TableBodyText"/>
              <w:rPr>
                <w:sz w:val="18"/>
              </w:rPr>
            </w:pPr>
            <w:r>
              <w:rPr>
                <w:sz w:val="18"/>
              </w:rPr>
              <w:t>0</w:t>
            </w:r>
          </w:p>
        </w:tc>
        <w:tc>
          <w:tcPr>
            <w:tcW w:w="592" w:type="pct"/>
          </w:tcPr>
          <w:p w:rsidR="007E4B2B" w:rsidRPr="00CF3A98" w:rsidRDefault="00BF22A7" w:rsidP="00401A53">
            <w:pPr>
              <w:pStyle w:val="TableBodyText"/>
              <w:rPr>
                <w:sz w:val="18"/>
              </w:rPr>
            </w:pPr>
            <w:r>
              <w:rPr>
                <w:sz w:val="18"/>
              </w:rPr>
              <w:t>22</w:t>
            </w:r>
          </w:p>
        </w:tc>
        <w:tc>
          <w:tcPr>
            <w:tcW w:w="592" w:type="pct"/>
            <w:tcBorders>
              <w:right w:val="single" w:sz="4" w:space="0" w:color="auto"/>
            </w:tcBorders>
          </w:tcPr>
          <w:p w:rsidR="007E4B2B" w:rsidRPr="00CF3A98" w:rsidRDefault="00BF22A7" w:rsidP="00401A53">
            <w:pPr>
              <w:pStyle w:val="TableBodyText"/>
              <w:rPr>
                <w:sz w:val="18"/>
              </w:rPr>
            </w:pPr>
            <w:r>
              <w:rPr>
                <w:sz w:val="18"/>
              </w:rPr>
              <w:t>6</w:t>
            </w:r>
          </w:p>
        </w:tc>
        <w:tc>
          <w:tcPr>
            <w:tcW w:w="505" w:type="pct"/>
            <w:tcBorders>
              <w:left w:val="single" w:sz="4" w:space="0" w:color="auto"/>
            </w:tcBorders>
          </w:tcPr>
          <w:p w:rsidR="007E4B2B" w:rsidRPr="00CF3A98" w:rsidRDefault="007E4B2B" w:rsidP="00401A53">
            <w:pPr>
              <w:pStyle w:val="TableBodyText"/>
              <w:ind w:right="28"/>
              <w:rPr>
                <w:sz w:val="18"/>
              </w:rPr>
            </w:pPr>
            <w:proofErr w:type="spellStart"/>
            <w:r>
              <w:rPr>
                <w:sz w:val="18"/>
              </w:rPr>
              <w:t>na</w:t>
            </w:r>
            <w:proofErr w:type="spellEnd"/>
          </w:p>
        </w:tc>
        <w:tc>
          <w:tcPr>
            <w:tcW w:w="505" w:type="pct"/>
          </w:tcPr>
          <w:p w:rsidR="007E4B2B" w:rsidRPr="00CF3A98" w:rsidRDefault="007E4B2B" w:rsidP="00401A53">
            <w:pPr>
              <w:pStyle w:val="TableBodyText"/>
              <w:ind w:right="28"/>
              <w:rPr>
                <w:sz w:val="18"/>
              </w:rPr>
            </w:pPr>
            <w:proofErr w:type="spellStart"/>
            <w:r>
              <w:rPr>
                <w:sz w:val="18"/>
              </w:rPr>
              <w:t>na</w:t>
            </w:r>
            <w:proofErr w:type="spellEnd"/>
          </w:p>
        </w:tc>
        <w:tc>
          <w:tcPr>
            <w:tcW w:w="505" w:type="pct"/>
          </w:tcPr>
          <w:p w:rsidR="007E4B2B" w:rsidRPr="00CF3A98" w:rsidRDefault="007E4B2B" w:rsidP="00401A53">
            <w:pPr>
              <w:pStyle w:val="TableBodyText"/>
              <w:ind w:right="28"/>
              <w:rPr>
                <w:sz w:val="18"/>
              </w:rPr>
            </w:pPr>
            <w:proofErr w:type="spellStart"/>
            <w:r>
              <w:rPr>
                <w:sz w:val="18"/>
              </w:rPr>
              <w:t>na</w:t>
            </w:r>
            <w:proofErr w:type="spellEnd"/>
          </w:p>
        </w:tc>
      </w:tr>
      <w:tr w:rsidR="007E4B2B" w:rsidTr="00401A53">
        <w:tc>
          <w:tcPr>
            <w:tcW w:w="1710" w:type="pct"/>
          </w:tcPr>
          <w:p w:rsidR="007E4B2B" w:rsidRDefault="007E4B2B" w:rsidP="00401A53">
            <w:pPr>
              <w:pStyle w:val="TableBodyText"/>
              <w:ind w:left="113" w:right="170"/>
              <w:jc w:val="left"/>
            </w:pPr>
            <w:r>
              <w:t>China</w:t>
            </w:r>
          </w:p>
        </w:tc>
        <w:tc>
          <w:tcPr>
            <w:tcW w:w="591" w:type="pct"/>
          </w:tcPr>
          <w:p w:rsidR="007E4B2B" w:rsidRPr="00CF3A98" w:rsidRDefault="00BF22A7" w:rsidP="00401A53">
            <w:pPr>
              <w:pStyle w:val="TableBodyText"/>
              <w:rPr>
                <w:sz w:val="18"/>
              </w:rPr>
            </w:pPr>
            <w:r>
              <w:rPr>
                <w:sz w:val="18"/>
              </w:rPr>
              <w:t>0</w:t>
            </w:r>
          </w:p>
        </w:tc>
        <w:tc>
          <w:tcPr>
            <w:tcW w:w="592" w:type="pct"/>
          </w:tcPr>
          <w:p w:rsidR="007E4B2B" w:rsidRPr="00CF3A98" w:rsidRDefault="00BF22A7" w:rsidP="00401A53">
            <w:pPr>
              <w:pStyle w:val="TableBodyText"/>
              <w:rPr>
                <w:sz w:val="18"/>
              </w:rPr>
            </w:pPr>
            <w:r>
              <w:rPr>
                <w:sz w:val="18"/>
              </w:rPr>
              <w:t>4</w:t>
            </w:r>
          </w:p>
        </w:tc>
        <w:tc>
          <w:tcPr>
            <w:tcW w:w="592" w:type="pct"/>
            <w:tcBorders>
              <w:right w:val="single" w:sz="4" w:space="0" w:color="auto"/>
            </w:tcBorders>
          </w:tcPr>
          <w:p w:rsidR="007E4B2B" w:rsidRPr="00CF3A98" w:rsidRDefault="00BF22A7" w:rsidP="00401A53">
            <w:pPr>
              <w:pStyle w:val="TableBodyText"/>
              <w:rPr>
                <w:sz w:val="18"/>
              </w:rPr>
            </w:pPr>
            <w:r>
              <w:rPr>
                <w:sz w:val="18"/>
              </w:rPr>
              <w:t>0</w:t>
            </w:r>
          </w:p>
        </w:tc>
        <w:tc>
          <w:tcPr>
            <w:tcW w:w="505" w:type="pct"/>
            <w:tcBorders>
              <w:left w:val="single" w:sz="4" w:space="0" w:color="auto"/>
            </w:tcBorders>
          </w:tcPr>
          <w:p w:rsidR="007E4B2B" w:rsidRPr="00CF3A98" w:rsidRDefault="00BF22A7" w:rsidP="00401A53">
            <w:pPr>
              <w:pStyle w:val="TableBodyText"/>
              <w:ind w:right="28"/>
              <w:rPr>
                <w:sz w:val="18"/>
              </w:rPr>
            </w:pPr>
            <w:r>
              <w:rPr>
                <w:sz w:val="18"/>
              </w:rPr>
              <w:t>0</w:t>
            </w:r>
          </w:p>
        </w:tc>
        <w:tc>
          <w:tcPr>
            <w:tcW w:w="505" w:type="pct"/>
          </w:tcPr>
          <w:p w:rsidR="007E4B2B" w:rsidRPr="00CF3A98" w:rsidRDefault="00BF22A7" w:rsidP="00401A53">
            <w:pPr>
              <w:pStyle w:val="TableBodyText"/>
              <w:ind w:right="28"/>
              <w:rPr>
                <w:sz w:val="18"/>
              </w:rPr>
            </w:pPr>
            <w:r>
              <w:rPr>
                <w:sz w:val="18"/>
              </w:rPr>
              <w:t>15</w:t>
            </w:r>
          </w:p>
        </w:tc>
        <w:tc>
          <w:tcPr>
            <w:tcW w:w="505" w:type="pct"/>
          </w:tcPr>
          <w:p w:rsidR="007E4B2B" w:rsidRPr="00CF3A98" w:rsidRDefault="00BF22A7" w:rsidP="00401A53">
            <w:pPr>
              <w:pStyle w:val="TableBodyText"/>
              <w:ind w:right="28"/>
              <w:rPr>
                <w:sz w:val="18"/>
              </w:rPr>
            </w:pPr>
            <w:r>
              <w:rPr>
                <w:sz w:val="18"/>
              </w:rPr>
              <w:t>8</w:t>
            </w:r>
          </w:p>
        </w:tc>
      </w:tr>
      <w:tr w:rsidR="007E4B2B" w:rsidTr="00401A53">
        <w:tc>
          <w:tcPr>
            <w:tcW w:w="1710" w:type="pct"/>
          </w:tcPr>
          <w:p w:rsidR="007E4B2B" w:rsidRDefault="007E4B2B" w:rsidP="00401A53">
            <w:pPr>
              <w:pStyle w:val="TableBodyText"/>
              <w:ind w:left="113" w:right="170"/>
              <w:jc w:val="left"/>
            </w:pPr>
            <w:r>
              <w:t>Russia</w:t>
            </w:r>
          </w:p>
        </w:tc>
        <w:tc>
          <w:tcPr>
            <w:tcW w:w="591" w:type="pct"/>
          </w:tcPr>
          <w:p w:rsidR="007E4B2B" w:rsidRDefault="00BF22A7" w:rsidP="00401A53">
            <w:pPr>
              <w:pStyle w:val="TableBodyText"/>
              <w:rPr>
                <w:sz w:val="18"/>
              </w:rPr>
            </w:pPr>
            <w:r>
              <w:rPr>
                <w:sz w:val="18"/>
              </w:rPr>
              <w:t>0</w:t>
            </w:r>
          </w:p>
        </w:tc>
        <w:tc>
          <w:tcPr>
            <w:tcW w:w="592" w:type="pct"/>
          </w:tcPr>
          <w:p w:rsidR="007E4B2B" w:rsidRDefault="00BF22A7" w:rsidP="00401A53">
            <w:pPr>
              <w:pStyle w:val="TableBodyText"/>
              <w:rPr>
                <w:sz w:val="18"/>
              </w:rPr>
            </w:pPr>
            <w:r>
              <w:rPr>
                <w:sz w:val="18"/>
              </w:rPr>
              <w:t>32</w:t>
            </w:r>
          </w:p>
        </w:tc>
        <w:tc>
          <w:tcPr>
            <w:tcW w:w="592" w:type="pct"/>
            <w:tcBorders>
              <w:right w:val="single" w:sz="4" w:space="0" w:color="auto"/>
            </w:tcBorders>
          </w:tcPr>
          <w:p w:rsidR="007E4B2B" w:rsidRPr="00CF3A98" w:rsidRDefault="00BF22A7" w:rsidP="00401A53">
            <w:pPr>
              <w:pStyle w:val="TableBodyText"/>
              <w:rPr>
                <w:sz w:val="18"/>
              </w:rPr>
            </w:pPr>
            <w:r>
              <w:rPr>
                <w:sz w:val="18"/>
              </w:rPr>
              <w:t>12</w:t>
            </w:r>
          </w:p>
        </w:tc>
        <w:tc>
          <w:tcPr>
            <w:tcW w:w="505" w:type="pct"/>
            <w:tcBorders>
              <w:left w:val="single" w:sz="4" w:space="0" w:color="auto"/>
            </w:tcBorders>
          </w:tcPr>
          <w:p w:rsidR="007E4B2B" w:rsidRDefault="00BF22A7" w:rsidP="00401A53">
            <w:pPr>
              <w:pStyle w:val="TableBodyText"/>
              <w:ind w:right="28"/>
              <w:rPr>
                <w:sz w:val="18"/>
              </w:rPr>
            </w:pPr>
            <w:r>
              <w:rPr>
                <w:sz w:val="18"/>
              </w:rPr>
              <w:t>7</w:t>
            </w:r>
          </w:p>
        </w:tc>
        <w:tc>
          <w:tcPr>
            <w:tcW w:w="505" w:type="pct"/>
          </w:tcPr>
          <w:p w:rsidR="007E4B2B" w:rsidRDefault="00BF22A7" w:rsidP="00401A53">
            <w:pPr>
              <w:pStyle w:val="TableBodyText"/>
              <w:ind w:right="28"/>
              <w:rPr>
                <w:sz w:val="18"/>
              </w:rPr>
            </w:pPr>
            <w:r>
              <w:rPr>
                <w:sz w:val="18"/>
              </w:rPr>
              <w:t>0</w:t>
            </w:r>
          </w:p>
        </w:tc>
        <w:tc>
          <w:tcPr>
            <w:tcW w:w="505" w:type="pct"/>
          </w:tcPr>
          <w:p w:rsidR="007E4B2B" w:rsidRDefault="00BF22A7" w:rsidP="00401A53">
            <w:pPr>
              <w:pStyle w:val="TableBodyText"/>
              <w:ind w:right="28"/>
              <w:rPr>
                <w:sz w:val="18"/>
              </w:rPr>
            </w:pPr>
            <w:r>
              <w:rPr>
                <w:sz w:val="18"/>
              </w:rPr>
              <w:t>0</w:t>
            </w:r>
          </w:p>
        </w:tc>
      </w:tr>
      <w:tr w:rsidR="007E4B2B" w:rsidRPr="003623BE" w:rsidTr="00401A53">
        <w:tc>
          <w:tcPr>
            <w:tcW w:w="1710" w:type="pct"/>
            <w:shd w:val="clear" w:color="auto" w:fill="D9D9D9" w:themeFill="background1" w:themeFillShade="D9"/>
          </w:tcPr>
          <w:p w:rsidR="007E4B2B" w:rsidRPr="003623BE" w:rsidRDefault="007E4B2B" w:rsidP="00401A53">
            <w:pPr>
              <w:pStyle w:val="TableBodyText"/>
              <w:jc w:val="left"/>
              <w:rPr>
                <w:b/>
                <w:i/>
              </w:rPr>
            </w:pPr>
            <w:r w:rsidRPr="003623BE">
              <w:rPr>
                <w:b/>
                <w:i/>
              </w:rPr>
              <w:t>Middle East</w:t>
            </w:r>
          </w:p>
        </w:tc>
        <w:tc>
          <w:tcPr>
            <w:tcW w:w="591" w:type="pct"/>
            <w:shd w:val="clear" w:color="auto" w:fill="D9D9D9" w:themeFill="background1" w:themeFillShade="D9"/>
          </w:tcPr>
          <w:p w:rsidR="007E4B2B" w:rsidRPr="003623BE" w:rsidRDefault="007E4B2B" w:rsidP="00401A53">
            <w:pPr>
              <w:pStyle w:val="TableBodyText"/>
              <w:jc w:val="left"/>
              <w:rPr>
                <w:b/>
                <w:i/>
              </w:rPr>
            </w:pPr>
          </w:p>
        </w:tc>
        <w:tc>
          <w:tcPr>
            <w:tcW w:w="592" w:type="pct"/>
            <w:shd w:val="clear" w:color="auto" w:fill="D9D9D9" w:themeFill="background1" w:themeFillShade="D9"/>
          </w:tcPr>
          <w:p w:rsidR="007E4B2B" w:rsidRPr="003623BE" w:rsidRDefault="007E4B2B" w:rsidP="00401A53">
            <w:pPr>
              <w:pStyle w:val="TableBodyText"/>
              <w:jc w:val="left"/>
              <w:rPr>
                <w:b/>
                <w:i/>
              </w:rPr>
            </w:pPr>
          </w:p>
        </w:tc>
        <w:tc>
          <w:tcPr>
            <w:tcW w:w="592" w:type="pct"/>
            <w:tcBorders>
              <w:right w:val="single" w:sz="4" w:space="0" w:color="auto"/>
            </w:tcBorders>
            <w:shd w:val="clear" w:color="auto" w:fill="D9D9D9" w:themeFill="background1" w:themeFillShade="D9"/>
          </w:tcPr>
          <w:p w:rsidR="007E4B2B" w:rsidRPr="003623BE" w:rsidRDefault="007E4B2B" w:rsidP="00401A53">
            <w:pPr>
              <w:pStyle w:val="TableBodyText"/>
              <w:jc w:val="left"/>
              <w:rPr>
                <w:b/>
                <w:i/>
              </w:rPr>
            </w:pPr>
          </w:p>
        </w:tc>
        <w:tc>
          <w:tcPr>
            <w:tcW w:w="505" w:type="pct"/>
            <w:tcBorders>
              <w:left w:val="single" w:sz="4" w:space="0" w:color="auto"/>
            </w:tcBorders>
            <w:shd w:val="clear" w:color="auto" w:fill="D9D9D9" w:themeFill="background1" w:themeFillShade="D9"/>
          </w:tcPr>
          <w:p w:rsidR="007E4B2B" w:rsidRPr="003623BE" w:rsidRDefault="007E4B2B" w:rsidP="00401A53">
            <w:pPr>
              <w:pStyle w:val="TableBodyText"/>
              <w:jc w:val="left"/>
              <w:rPr>
                <w:b/>
                <w:i/>
              </w:rPr>
            </w:pPr>
          </w:p>
        </w:tc>
        <w:tc>
          <w:tcPr>
            <w:tcW w:w="505" w:type="pct"/>
            <w:shd w:val="clear" w:color="auto" w:fill="D9D9D9" w:themeFill="background1" w:themeFillShade="D9"/>
          </w:tcPr>
          <w:p w:rsidR="007E4B2B" w:rsidRPr="003623BE" w:rsidRDefault="007E4B2B" w:rsidP="00401A53">
            <w:pPr>
              <w:pStyle w:val="TableBodyText"/>
              <w:jc w:val="left"/>
              <w:rPr>
                <w:b/>
                <w:i/>
              </w:rPr>
            </w:pPr>
          </w:p>
        </w:tc>
        <w:tc>
          <w:tcPr>
            <w:tcW w:w="505" w:type="pct"/>
            <w:shd w:val="clear" w:color="auto" w:fill="D9D9D9" w:themeFill="background1" w:themeFillShade="D9"/>
          </w:tcPr>
          <w:p w:rsidR="007E4B2B" w:rsidRPr="003623BE" w:rsidRDefault="007E4B2B" w:rsidP="00401A53">
            <w:pPr>
              <w:pStyle w:val="TableBodyText"/>
              <w:rPr>
                <w:b/>
                <w:i/>
              </w:rPr>
            </w:pPr>
          </w:p>
        </w:tc>
      </w:tr>
      <w:tr w:rsidR="007E4B2B" w:rsidTr="00401A53">
        <w:tc>
          <w:tcPr>
            <w:tcW w:w="1710" w:type="pct"/>
          </w:tcPr>
          <w:p w:rsidR="007E4B2B" w:rsidRDefault="007E4B2B" w:rsidP="00401A53">
            <w:pPr>
              <w:pStyle w:val="TableBodyText"/>
              <w:ind w:left="113" w:right="170"/>
              <w:jc w:val="left"/>
            </w:pPr>
            <w:r>
              <w:t>Kuwait</w:t>
            </w:r>
          </w:p>
        </w:tc>
        <w:tc>
          <w:tcPr>
            <w:tcW w:w="591" w:type="pct"/>
          </w:tcPr>
          <w:p w:rsidR="007E4B2B" w:rsidRPr="002E4584" w:rsidRDefault="007E4B2B" w:rsidP="00401A53">
            <w:pPr>
              <w:pStyle w:val="TableBodyText"/>
              <w:rPr>
                <w:sz w:val="18"/>
                <w:szCs w:val="18"/>
              </w:rPr>
            </w:pPr>
            <w:proofErr w:type="spellStart"/>
            <w:r>
              <w:rPr>
                <w:sz w:val="18"/>
                <w:szCs w:val="18"/>
              </w:rPr>
              <w:t>na</w:t>
            </w:r>
            <w:proofErr w:type="spellEnd"/>
          </w:p>
        </w:tc>
        <w:tc>
          <w:tcPr>
            <w:tcW w:w="592" w:type="pct"/>
          </w:tcPr>
          <w:p w:rsidR="007E4B2B" w:rsidRPr="002E4584" w:rsidRDefault="007E4B2B" w:rsidP="00401A53">
            <w:pPr>
              <w:pStyle w:val="TableBodyText"/>
              <w:rPr>
                <w:sz w:val="18"/>
                <w:szCs w:val="18"/>
              </w:rPr>
            </w:pPr>
            <w:proofErr w:type="spellStart"/>
            <w:r>
              <w:rPr>
                <w:sz w:val="18"/>
                <w:szCs w:val="18"/>
              </w:rPr>
              <w:t>na</w:t>
            </w:r>
            <w:proofErr w:type="spellEnd"/>
          </w:p>
        </w:tc>
        <w:tc>
          <w:tcPr>
            <w:tcW w:w="592" w:type="pct"/>
            <w:tcBorders>
              <w:right w:val="single" w:sz="4" w:space="0" w:color="auto"/>
            </w:tcBorders>
          </w:tcPr>
          <w:p w:rsidR="007E4B2B" w:rsidRPr="002E4584" w:rsidRDefault="007E4B2B" w:rsidP="00401A53">
            <w:pPr>
              <w:pStyle w:val="TableBodyText"/>
              <w:rPr>
                <w:sz w:val="18"/>
                <w:szCs w:val="18"/>
              </w:rPr>
            </w:pPr>
            <w:proofErr w:type="spellStart"/>
            <w:r>
              <w:rPr>
                <w:sz w:val="18"/>
                <w:szCs w:val="18"/>
              </w:rPr>
              <w:t>na</w:t>
            </w:r>
            <w:proofErr w:type="spellEnd"/>
          </w:p>
        </w:tc>
        <w:tc>
          <w:tcPr>
            <w:tcW w:w="505" w:type="pct"/>
            <w:tcBorders>
              <w:left w:val="single" w:sz="4" w:space="0" w:color="auto"/>
            </w:tcBorders>
          </w:tcPr>
          <w:p w:rsidR="007E4B2B" w:rsidRPr="002E4584" w:rsidRDefault="00BF22A7" w:rsidP="00401A53">
            <w:pPr>
              <w:pStyle w:val="TableBodyText"/>
              <w:ind w:right="28"/>
              <w:rPr>
                <w:sz w:val="18"/>
                <w:szCs w:val="18"/>
              </w:rPr>
            </w:pPr>
            <w:r>
              <w:rPr>
                <w:sz w:val="18"/>
                <w:szCs w:val="18"/>
              </w:rPr>
              <w:t>60</w:t>
            </w:r>
          </w:p>
        </w:tc>
        <w:tc>
          <w:tcPr>
            <w:tcW w:w="505" w:type="pct"/>
          </w:tcPr>
          <w:p w:rsidR="007E4B2B" w:rsidRPr="002E4584" w:rsidRDefault="00BF22A7" w:rsidP="00401A53">
            <w:pPr>
              <w:pStyle w:val="TableBodyText"/>
              <w:ind w:right="28"/>
              <w:rPr>
                <w:sz w:val="18"/>
                <w:szCs w:val="18"/>
              </w:rPr>
            </w:pPr>
            <w:r>
              <w:rPr>
                <w:sz w:val="18"/>
                <w:szCs w:val="18"/>
              </w:rPr>
              <w:t>5</w:t>
            </w:r>
          </w:p>
        </w:tc>
        <w:tc>
          <w:tcPr>
            <w:tcW w:w="505" w:type="pct"/>
          </w:tcPr>
          <w:p w:rsidR="007E4B2B" w:rsidRPr="002E4584" w:rsidRDefault="00BF22A7" w:rsidP="00401A53">
            <w:pPr>
              <w:pStyle w:val="TableBodyText"/>
              <w:ind w:right="28"/>
              <w:rPr>
                <w:sz w:val="18"/>
                <w:szCs w:val="18"/>
              </w:rPr>
            </w:pPr>
            <w:r>
              <w:rPr>
                <w:sz w:val="18"/>
                <w:szCs w:val="18"/>
              </w:rPr>
              <w:t>44</w:t>
            </w:r>
          </w:p>
        </w:tc>
      </w:tr>
      <w:tr w:rsidR="007E4B2B" w:rsidRPr="003623BE" w:rsidTr="00401A53">
        <w:trPr>
          <w:trHeight w:val="113"/>
        </w:trPr>
        <w:tc>
          <w:tcPr>
            <w:tcW w:w="1710" w:type="pct"/>
          </w:tcPr>
          <w:p w:rsidR="007E4B2B" w:rsidRPr="003623BE" w:rsidRDefault="007E4B2B" w:rsidP="00401A53">
            <w:pPr>
              <w:pStyle w:val="TableBodyText"/>
              <w:ind w:left="113" w:right="170"/>
              <w:jc w:val="left"/>
            </w:pPr>
            <w:r w:rsidRPr="003623BE">
              <w:t>Qatar</w:t>
            </w:r>
          </w:p>
        </w:tc>
        <w:tc>
          <w:tcPr>
            <w:tcW w:w="591" w:type="pct"/>
          </w:tcPr>
          <w:p w:rsidR="007E4B2B" w:rsidRPr="002E4584" w:rsidRDefault="007E4B2B" w:rsidP="00401A53">
            <w:pPr>
              <w:pStyle w:val="TableBodyText"/>
              <w:rPr>
                <w:sz w:val="18"/>
                <w:szCs w:val="18"/>
              </w:rPr>
            </w:pPr>
            <w:proofErr w:type="spellStart"/>
            <w:r>
              <w:rPr>
                <w:sz w:val="18"/>
                <w:szCs w:val="18"/>
              </w:rPr>
              <w:t>na</w:t>
            </w:r>
            <w:proofErr w:type="spellEnd"/>
          </w:p>
        </w:tc>
        <w:tc>
          <w:tcPr>
            <w:tcW w:w="592" w:type="pct"/>
          </w:tcPr>
          <w:p w:rsidR="007E4B2B" w:rsidRPr="002E4584" w:rsidRDefault="007E4B2B" w:rsidP="00401A53">
            <w:pPr>
              <w:pStyle w:val="TableBodyText"/>
              <w:rPr>
                <w:sz w:val="18"/>
                <w:szCs w:val="18"/>
              </w:rPr>
            </w:pPr>
            <w:proofErr w:type="spellStart"/>
            <w:r>
              <w:rPr>
                <w:sz w:val="18"/>
                <w:szCs w:val="18"/>
              </w:rPr>
              <w:t>na</w:t>
            </w:r>
            <w:proofErr w:type="spellEnd"/>
          </w:p>
        </w:tc>
        <w:tc>
          <w:tcPr>
            <w:tcW w:w="592" w:type="pct"/>
            <w:tcBorders>
              <w:right w:val="single" w:sz="4" w:space="0" w:color="auto"/>
            </w:tcBorders>
          </w:tcPr>
          <w:p w:rsidR="007E4B2B" w:rsidRPr="002E4584" w:rsidRDefault="007E4B2B" w:rsidP="00401A53">
            <w:pPr>
              <w:pStyle w:val="TableBodyText"/>
              <w:rPr>
                <w:sz w:val="18"/>
                <w:szCs w:val="18"/>
              </w:rPr>
            </w:pPr>
            <w:proofErr w:type="spellStart"/>
            <w:r>
              <w:rPr>
                <w:sz w:val="18"/>
                <w:szCs w:val="18"/>
              </w:rPr>
              <w:t>na</w:t>
            </w:r>
            <w:proofErr w:type="spellEnd"/>
          </w:p>
        </w:tc>
        <w:tc>
          <w:tcPr>
            <w:tcW w:w="505" w:type="pct"/>
            <w:tcBorders>
              <w:left w:val="single" w:sz="4" w:space="0" w:color="auto"/>
            </w:tcBorders>
          </w:tcPr>
          <w:p w:rsidR="007E4B2B" w:rsidRPr="002E4584" w:rsidRDefault="00BF22A7" w:rsidP="00401A53">
            <w:pPr>
              <w:pStyle w:val="TableBodyText"/>
              <w:ind w:right="28"/>
              <w:rPr>
                <w:sz w:val="18"/>
                <w:szCs w:val="18"/>
              </w:rPr>
            </w:pPr>
            <w:r>
              <w:rPr>
                <w:sz w:val="18"/>
                <w:szCs w:val="18"/>
              </w:rPr>
              <w:t>29</w:t>
            </w:r>
          </w:p>
        </w:tc>
        <w:tc>
          <w:tcPr>
            <w:tcW w:w="505" w:type="pct"/>
          </w:tcPr>
          <w:p w:rsidR="007E4B2B" w:rsidRPr="002E4584" w:rsidRDefault="00BF22A7" w:rsidP="00401A53">
            <w:pPr>
              <w:pStyle w:val="TableBodyText"/>
              <w:ind w:right="28"/>
              <w:rPr>
                <w:sz w:val="18"/>
                <w:szCs w:val="18"/>
              </w:rPr>
            </w:pPr>
            <w:r>
              <w:rPr>
                <w:sz w:val="18"/>
                <w:szCs w:val="18"/>
              </w:rPr>
              <w:t>23</w:t>
            </w:r>
          </w:p>
        </w:tc>
        <w:tc>
          <w:tcPr>
            <w:tcW w:w="505" w:type="pct"/>
          </w:tcPr>
          <w:p w:rsidR="007E4B2B" w:rsidRPr="002E4584" w:rsidRDefault="00BF22A7" w:rsidP="00401A53">
            <w:pPr>
              <w:pStyle w:val="TableBodyText"/>
              <w:ind w:right="28"/>
              <w:rPr>
                <w:sz w:val="18"/>
                <w:szCs w:val="18"/>
              </w:rPr>
            </w:pPr>
            <w:r>
              <w:rPr>
                <w:sz w:val="18"/>
                <w:szCs w:val="18"/>
              </w:rPr>
              <w:t>33</w:t>
            </w:r>
          </w:p>
        </w:tc>
      </w:tr>
      <w:tr w:rsidR="007E4B2B" w:rsidRPr="00CF3A98" w:rsidTr="00401A53">
        <w:tc>
          <w:tcPr>
            <w:tcW w:w="1710" w:type="pct"/>
            <w:shd w:val="clear" w:color="auto" w:fill="D9D9D9" w:themeFill="background1" w:themeFillShade="D9"/>
          </w:tcPr>
          <w:p w:rsidR="007E4B2B" w:rsidRPr="00CF3A98" w:rsidRDefault="007E4B2B" w:rsidP="00401A53">
            <w:pPr>
              <w:pStyle w:val="TableBodyText"/>
              <w:jc w:val="left"/>
              <w:rPr>
                <w:b/>
                <w:i/>
              </w:rPr>
            </w:pPr>
            <w:r w:rsidRPr="00CF3A98">
              <w:rPr>
                <w:b/>
                <w:i/>
              </w:rPr>
              <w:t>Africa</w:t>
            </w:r>
          </w:p>
        </w:tc>
        <w:tc>
          <w:tcPr>
            <w:tcW w:w="591" w:type="pct"/>
            <w:shd w:val="clear" w:color="auto" w:fill="D9D9D9" w:themeFill="background1" w:themeFillShade="D9"/>
          </w:tcPr>
          <w:p w:rsidR="007E4B2B" w:rsidRPr="00CF3A98" w:rsidRDefault="007E4B2B" w:rsidP="00401A53">
            <w:pPr>
              <w:pStyle w:val="TableBodyText"/>
              <w:rPr>
                <w:b/>
                <w:i/>
              </w:rPr>
            </w:pPr>
          </w:p>
        </w:tc>
        <w:tc>
          <w:tcPr>
            <w:tcW w:w="592" w:type="pct"/>
            <w:shd w:val="clear" w:color="auto" w:fill="D9D9D9" w:themeFill="background1" w:themeFillShade="D9"/>
          </w:tcPr>
          <w:p w:rsidR="007E4B2B" w:rsidRPr="00CF3A98" w:rsidRDefault="007E4B2B" w:rsidP="00401A53">
            <w:pPr>
              <w:pStyle w:val="TableBodyText"/>
              <w:rPr>
                <w:b/>
                <w:i/>
              </w:rPr>
            </w:pPr>
          </w:p>
        </w:tc>
        <w:tc>
          <w:tcPr>
            <w:tcW w:w="592" w:type="pct"/>
            <w:tcBorders>
              <w:right w:val="single" w:sz="4" w:space="0" w:color="auto"/>
            </w:tcBorders>
            <w:shd w:val="clear" w:color="auto" w:fill="D9D9D9" w:themeFill="background1" w:themeFillShade="D9"/>
          </w:tcPr>
          <w:p w:rsidR="007E4B2B" w:rsidRPr="00CF3A98" w:rsidRDefault="007E4B2B" w:rsidP="00401A53">
            <w:pPr>
              <w:pStyle w:val="TableBodyText"/>
              <w:rPr>
                <w:b/>
                <w:i/>
              </w:rPr>
            </w:pPr>
          </w:p>
        </w:tc>
        <w:tc>
          <w:tcPr>
            <w:tcW w:w="505" w:type="pct"/>
            <w:tcBorders>
              <w:left w:val="single" w:sz="4" w:space="0" w:color="auto"/>
            </w:tcBorders>
            <w:shd w:val="clear" w:color="auto" w:fill="D9D9D9" w:themeFill="background1" w:themeFillShade="D9"/>
          </w:tcPr>
          <w:p w:rsidR="007E4B2B" w:rsidRPr="00CF3A98" w:rsidRDefault="007E4B2B" w:rsidP="00401A53">
            <w:pPr>
              <w:pStyle w:val="TableBodyText"/>
              <w:ind w:right="28"/>
              <w:rPr>
                <w:b/>
                <w:i/>
              </w:rPr>
            </w:pPr>
          </w:p>
        </w:tc>
        <w:tc>
          <w:tcPr>
            <w:tcW w:w="505" w:type="pct"/>
            <w:shd w:val="clear" w:color="auto" w:fill="D9D9D9" w:themeFill="background1" w:themeFillShade="D9"/>
          </w:tcPr>
          <w:p w:rsidR="007E4B2B" w:rsidRPr="00CF3A98" w:rsidRDefault="007E4B2B" w:rsidP="00401A53">
            <w:pPr>
              <w:pStyle w:val="TableBodyText"/>
              <w:ind w:right="28"/>
              <w:rPr>
                <w:b/>
                <w:i/>
              </w:rPr>
            </w:pPr>
          </w:p>
        </w:tc>
        <w:tc>
          <w:tcPr>
            <w:tcW w:w="505" w:type="pct"/>
            <w:shd w:val="clear" w:color="auto" w:fill="D9D9D9" w:themeFill="background1" w:themeFillShade="D9"/>
          </w:tcPr>
          <w:p w:rsidR="007E4B2B" w:rsidRPr="00CF3A98" w:rsidRDefault="007E4B2B" w:rsidP="00401A53">
            <w:pPr>
              <w:pStyle w:val="TableBodyText"/>
              <w:rPr>
                <w:b/>
                <w:i/>
              </w:rPr>
            </w:pPr>
          </w:p>
        </w:tc>
      </w:tr>
      <w:tr w:rsidR="007E4B2B" w:rsidTr="00401A53">
        <w:tc>
          <w:tcPr>
            <w:tcW w:w="1710" w:type="pct"/>
          </w:tcPr>
          <w:p w:rsidR="007E4B2B" w:rsidRDefault="007E4B2B" w:rsidP="00401A53">
            <w:pPr>
              <w:pStyle w:val="TableBodyText"/>
              <w:ind w:left="113" w:right="170"/>
              <w:jc w:val="left"/>
            </w:pPr>
            <w:r>
              <w:t>Namibia</w:t>
            </w:r>
          </w:p>
        </w:tc>
        <w:tc>
          <w:tcPr>
            <w:tcW w:w="591" w:type="pct"/>
          </w:tcPr>
          <w:p w:rsidR="007E4B2B" w:rsidRPr="00CF3A98" w:rsidRDefault="007E4B2B" w:rsidP="00401A53">
            <w:pPr>
              <w:pStyle w:val="TableBodyText"/>
              <w:rPr>
                <w:sz w:val="18"/>
              </w:rPr>
            </w:pPr>
            <w:proofErr w:type="spellStart"/>
            <w:r>
              <w:rPr>
                <w:sz w:val="18"/>
              </w:rPr>
              <w:t>na</w:t>
            </w:r>
            <w:proofErr w:type="spellEnd"/>
          </w:p>
        </w:tc>
        <w:tc>
          <w:tcPr>
            <w:tcW w:w="592" w:type="pct"/>
          </w:tcPr>
          <w:p w:rsidR="007E4B2B" w:rsidRPr="00CF3A98" w:rsidRDefault="00BF22A7" w:rsidP="00401A53">
            <w:pPr>
              <w:pStyle w:val="TableBodyText"/>
              <w:rPr>
                <w:sz w:val="18"/>
              </w:rPr>
            </w:pPr>
            <w:r>
              <w:rPr>
                <w:sz w:val="18"/>
              </w:rPr>
              <w:t>35</w:t>
            </w:r>
          </w:p>
        </w:tc>
        <w:tc>
          <w:tcPr>
            <w:tcW w:w="592" w:type="pct"/>
            <w:tcBorders>
              <w:right w:val="single" w:sz="4" w:space="0" w:color="auto"/>
            </w:tcBorders>
          </w:tcPr>
          <w:p w:rsidR="007E4B2B" w:rsidRPr="00CF3A98" w:rsidRDefault="00BF22A7" w:rsidP="00401A53">
            <w:pPr>
              <w:pStyle w:val="TableBodyText"/>
              <w:rPr>
                <w:sz w:val="18"/>
              </w:rPr>
            </w:pPr>
            <w:r>
              <w:rPr>
                <w:sz w:val="18"/>
              </w:rPr>
              <w:t>30</w:t>
            </w:r>
          </w:p>
        </w:tc>
        <w:tc>
          <w:tcPr>
            <w:tcW w:w="505" w:type="pct"/>
            <w:tcBorders>
              <w:left w:val="single" w:sz="4" w:space="0" w:color="auto"/>
            </w:tcBorders>
          </w:tcPr>
          <w:p w:rsidR="007E4B2B" w:rsidRPr="00CF3A98" w:rsidRDefault="007E4B2B" w:rsidP="00401A53">
            <w:pPr>
              <w:pStyle w:val="TableBodyText"/>
              <w:ind w:right="28"/>
              <w:rPr>
                <w:sz w:val="18"/>
              </w:rPr>
            </w:pPr>
            <w:proofErr w:type="spellStart"/>
            <w:r>
              <w:rPr>
                <w:sz w:val="18"/>
              </w:rPr>
              <w:t>na</w:t>
            </w:r>
            <w:proofErr w:type="spellEnd"/>
          </w:p>
        </w:tc>
        <w:tc>
          <w:tcPr>
            <w:tcW w:w="505" w:type="pct"/>
          </w:tcPr>
          <w:p w:rsidR="007E4B2B" w:rsidRPr="00CF3A98" w:rsidRDefault="00BF22A7" w:rsidP="00401A53">
            <w:pPr>
              <w:pStyle w:val="TableBodyText"/>
              <w:ind w:right="28"/>
              <w:rPr>
                <w:sz w:val="18"/>
              </w:rPr>
            </w:pPr>
            <w:r>
              <w:rPr>
                <w:sz w:val="18"/>
              </w:rPr>
              <w:t>33</w:t>
            </w:r>
          </w:p>
        </w:tc>
        <w:tc>
          <w:tcPr>
            <w:tcW w:w="505" w:type="pct"/>
          </w:tcPr>
          <w:p w:rsidR="007E4B2B" w:rsidRPr="00CF3A98" w:rsidRDefault="00BF22A7" w:rsidP="00401A53">
            <w:pPr>
              <w:pStyle w:val="TableBodyText"/>
              <w:ind w:right="28"/>
              <w:rPr>
                <w:sz w:val="18"/>
              </w:rPr>
            </w:pPr>
            <w:r>
              <w:rPr>
                <w:sz w:val="18"/>
              </w:rPr>
              <w:t>0</w:t>
            </w:r>
          </w:p>
        </w:tc>
      </w:tr>
      <w:tr w:rsidR="007E4B2B" w:rsidTr="00401A53">
        <w:tc>
          <w:tcPr>
            <w:tcW w:w="1710" w:type="pct"/>
          </w:tcPr>
          <w:p w:rsidR="007E4B2B" w:rsidRDefault="007E4B2B" w:rsidP="00401A53">
            <w:pPr>
              <w:pStyle w:val="TableBodyText"/>
              <w:ind w:left="113" w:right="170"/>
              <w:jc w:val="left"/>
            </w:pPr>
            <w:r>
              <w:t>South Africa</w:t>
            </w:r>
          </w:p>
        </w:tc>
        <w:tc>
          <w:tcPr>
            <w:tcW w:w="591" w:type="pct"/>
          </w:tcPr>
          <w:p w:rsidR="007E4B2B" w:rsidRPr="00CF3A98" w:rsidRDefault="00BF22A7" w:rsidP="00401A53">
            <w:pPr>
              <w:pStyle w:val="TableBodyText"/>
              <w:rPr>
                <w:sz w:val="18"/>
              </w:rPr>
            </w:pPr>
            <w:r>
              <w:rPr>
                <w:sz w:val="18"/>
              </w:rPr>
              <w:t>21</w:t>
            </w:r>
          </w:p>
        </w:tc>
        <w:tc>
          <w:tcPr>
            <w:tcW w:w="592" w:type="pct"/>
          </w:tcPr>
          <w:p w:rsidR="007E4B2B" w:rsidRPr="00CF3A98" w:rsidRDefault="00BF22A7" w:rsidP="00401A53">
            <w:pPr>
              <w:pStyle w:val="TableBodyText"/>
              <w:rPr>
                <w:sz w:val="18"/>
              </w:rPr>
            </w:pPr>
            <w:r>
              <w:rPr>
                <w:sz w:val="18"/>
              </w:rPr>
              <w:t>34</w:t>
            </w:r>
          </w:p>
        </w:tc>
        <w:tc>
          <w:tcPr>
            <w:tcW w:w="592" w:type="pct"/>
            <w:tcBorders>
              <w:right w:val="single" w:sz="4" w:space="0" w:color="auto"/>
            </w:tcBorders>
          </w:tcPr>
          <w:p w:rsidR="007E4B2B" w:rsidRPr="00CF3A98" w:rsidRDefault="00BF22A7" w:rsidP="00401A53">
            <w:pPr>
              <w:pStyle w:val="TableBodyText"/>
              <w:rPr>
                <w:sz w:val="18"/>
              </w:rPr>
            </w:pPr>
            <w:r>
              <w:rPr>
                <w:sz w:val="18"/>
              </w:rPr>
              <w:t>22</w:t>
            </w:r>
          </w:p>
        </w:tc>
        <w:tc>
          <w:tcPr>
            <w:tcW w:w="505" w:type="pct"/>
            <w:tcBorders>
              <w:left w:val="single" w:sz="4" w:space="0" w:color="auto"/>
            </w:tcBorders>
          </w:tcPr>
          <w:p w:rsidR="007E4B2B" w:rsidRPr="00CF3A98" w:rsidRDefault="007E4B2B" w:rsidP="00401A53">
            <w:pPr>
              <w:pStyle w:val="TableBodyText"/>
              <w:ind w:right="28"/>
              <w:rPr>
                <w:sz w:val="18"/>
              </w:rPr>
            </w:pPr>
            <w:proofErr w:type="spellStart"/>
            <w:r>
              <w:rPr>
                <w:sz w:val="18"/>
              </w:rPr>
              <w:t>na</w:t>
            </w:r>
            <w:proofErr w:type="spellEnd"/>
          </w:p>
        </w:tc>
        <w:tc>
          <w:tcPr>
            <w:tcW w:w="505" w:type="pct"/>
          </w:tcPr>
          <w:p w:rsidR="007E4B2B" w:rsidRPr="00CF3A98" w:rsidRDefault="00BF22A7" w:rsidP="00401A53">
            <w:pPr>
              <w:pStyle w:val="TableBodyText"/>
              <w:ind w:right="28"/>
              <w:rPr>
                <w:sz w:val="18"/>
              </w:rPr>
            </w:pPr>
            <w:r>
              <w:rPr>
                <w:sz w:val="18"/>
              </w:rPr>
              <w:t>24</w:t>
            </w:r>
          </w:p>
        </w:tc>
        <w:tc>
          <w:tcPr>
            <w:tcW w:w="505" w:type="pct"/>
          </w:tcPr>
          <w:p w:rsidR="007E4B2B" w:rsidRPr="00CF3A98" w:rsidRDefault="00BF22A7" w:rsidP="00401A53">
            <w:pPr>
              <w:pStyle w:val="TableBodyText"/>
              <w:ind w:right="28"/>
              <w:rPr>
                <w:sz w:val="18"/>
              </w:rPr>
            </w:pPr>
            <w:r>
              <w:rPr>
                <w:sz w:val="18"/>
              </w:rPr>
              <w:t>10</w:t>
            </w:r>
          </w:p>
        </w:tc>
      </w:tr>
      <w:tr w:rsidR="007E4B2B" w:rsidTr="00401A53">
        <w:tc>
          <w:tcPr>
            <w:tcW w:w="1710" w:type="pct"/>
          </w:tcPr>
          <w:p w:rsidR="007E4B2B" w:rsidRDefault="007E4B2B" w:rsidP="00401A53">
            <w:pPr>
              <w:pStyle w:val="TableBodyText"/>
              <w:ind w:left="113" w:right="170"/>
              <w:jc w:val="left"/>
            </w:pPr>
            <w:r>
              <w:t>Botswana</w:t>
            </w:r>
          </w:p>
        </w:tc>
        <w:tc>
          <w:tcPr>
            <w:tcW w:w="591" w:type="pct"/>
          </w:tcPr>
          <w:p w:rsidR="007E4B2B" w:rsidRPr="00CF3A98" w:rsidRDefault="00BF22A7" w:rsidP="00401A53">
            <w:pPr>
              <w:pStyle w:val="TableBodyText"/>
              <w:rPr>
                <w:sz w:val="18"/>
              </w:rPr>
            </w:pPr>
            <w:r>
              <w:rPr>
                <w:sz w:val="18"/>
              </w:rPr>
              <w:t>8</w:t>
            </w:r>
          </w:p>
        </w:tc>
        <w:tc>
          <w:tcPr>
            <w:tcW w:w="592" w:type="pct"/>
          </w:tcPr>
          <w:p w:rsidR="007E4B2B" w:rsidRPr="00CF3A98" w:rsidRDefault="00BF22A7" w:rsidP="00401A53">
            <w:pPr>
              <w:pStyle w:val="TableBodyText"/>
              <w:rPr>
                <w:sz w:val="18"/>
              </w:rPr>
            </w:pPr>
            <w:r>
              <w:rPr>
                <w:sz w:val="18"/>
              </w:rPr>
              <w:t>32</w:t>
            </w:r>
          </w:p>
        </w:tc>
        <w:tc>
          <w:tcPr>
            <w:tcW w:w="592" w:type="pct"/>
            <w:tcBorders>
              <w:right w:val="single" w:sz="4" w:space="0" w:color="auto"/>
            </w:tcBorders>
          </w:tcPr>
          <w:p w:rsidR="007E4B2B" w:rsidRPr="00CF3A98" w:rsidRDefault="00BF22A7" w:rsidP="00401A53">
            <w:pPr>
              <w:pStyle w:val="TableBodyText"/>
              <w:rPr>
                <w:sz w:val="18"/>
              </w:rPr>
            </w:pPr>
            <w:r>
              <w:rPr>
                <w:sz w:val="18"/>
              </w:rPr>
              <w:t>21</w:t>
            </w:r>
          </w:p>
        </w:tc>
        <w:tc>
          <w:tcPr>
            <w:tcW w:w="505" w:type="pct"/>
            <w:tcBorders>
              <w:left w:val="single" w:sz="4" w:space="0" w:color="auto"/>
            </w:tcBorders>
          </w:tcPr>
          <w:p w:rsidR="007E4B2B" w:rsidRPr="00CF3A98" w:rsidRDefault="007E4B2B" w:rsidP="00401A53">
            <w:pPr>
              <w:pStyle w:val="TableBodyText"/>
              <w:ind w:right="28"/>
              <w:rPr>
                <w:sz w:val="18"/>
              </w:rPr>
            </w:pPr>
            <w:proofErr w:type="spellStart"/>
            <w:r>
              <w:rPr>
                <w:sz w:val="18"/>
              </w:rPr>
              <w:t>na</w:t>
            </w:r>
            <w:proofErr w:type="spellEnd"/>
          </w:p>
        </w:tc>
        <w:tc>
          <w:tcPr>
            <w:tcW w:w="505" w:type="pct"/>
          </w:tcPr>
          <w:p w:rsidR="007E4B2B" w:rsidRPr="00CF3A98" w:rsidRDefault="007E4B2B" w:rsidP="00401A53">
            <w:pPr>
              <w:pStyle w:val="TableBodyText"/>
              <w:ind w:right="28"/>
              <w:rPr>
                <w:sz w:val="18"/>
              </w:rPr>
            </w:pPr>
            <w:proofErr w:type="spellStart"/>
            <w:r>
              <w:rPr>
                <w:sz w:val="18"/>
              </w:rPr>
              <w:t>na</w:t>
            </w:r>
            <w:proofErr w:type="spellEnd"/>
          </w:p>
        </w:tc>
        <w:tc>
          <w:tcPr>
            <w:tcW w:w="505" w:type="pct"/>
          </w:tcPr>
          <w:p w:rsidR="007E4B2B" w:rsidRPr="00CF3A98" w:rsidRDefault="007E4B2B" w:rsidP="00401A53">
            <w:pPr>
              <w:pStyle w:val="TableBodyText"/>
              <w:ind w:right="28"/>
              <w:rPr>
                <w:sz w:val="18"/>
              </w:rPr>
            </w:pPr>
            <w:proofErr w:type="spellStart"/>
            <w:r w:rsidRPr="00CF3A98">
              <w:rPr>
                <w:sz w:val="18"/>
              </w:rPr>
              <w:t>na</w:t>
            </w:r>
            <w:proofErr w:type="spellEnd"/>
          </w:p>
        </w:tc>
      </w:tr>
      <w:tr w:rsidR="007E4B2B" w:rsidRPr="00CF3A98" w:rsidTr="00401A53">
        <w:tc>
          <w:tcPr>
            <w:tcW w:w="1710" w:type="pct"/>
            <w:shd w:val="clear" w:color="auto" w:fill="D9D9D9" w:themeFill="background1" w:themeFillShade="D9"/>
          </w:tcPr>
          <w:p w:rsidR="007E4B2B" w:rsidRPr="00CF3A98" w:rsidRDefault="007E4B2B" w:rsidP="00401A53">
            <w:pPr>
              <w:pStyle w:val="TableBodyText"/>
              <w:jc w:val="left"/>
              <w:rPr>
                <w:b/>
                <w:i/>
              </w:rPr>
            </w:pPr>
            <w:r w:rsidRPr="00CF3A98">
              <w:rPr>
                <w:b/>
                <w:i/>
              </w:rPr>
              <w:t>Latin America</w:t>
            </w:r>
          </w:p>
        </w:tc>
        <w:tc>
          <w:tcPr>
            <w:tcW w:w="591" w:type="pct"/>
            <w:shd w:val="clear" w:color="auto" w:fill="D9D9D9" w:themeFill="background1" w:themeFillShade="D9"/>
          </w:tcPr>
          <w:p w:rsidR="007E4B2B" w:rsidRPr="00CF3A98" w:rsidRDefault="007E4B2B" w:rsidP="00401A53">
            <w:pPr>
              <w:pStyle w:val="TableBodyText"/>
              <w:rPr>
                <w:b/>
                <w:i/>
              </w:rPr>
            </w:pPr>
          </w:p>
        </w:tc>
        <w:tc>
          <w:tcPr>
            <w:tcW w:w="592" w:type="pct"/>
            <w:shd w:val="clear" w:color="auto" w:fill="D9D9D9" w:themeFill="background1" w:themeFillShade="D9"/>
          </w:tcPr>
          <w:p w:rsidR="007E4B2B" w:rsidRPr="00CF3A98" w:rsidRDefault="007E4B2B" w:rsidP="00401A53">
            <w:pPr>
              <w:pStyle w:val="TableBodyText"/>
              <w:rPr>
                <w:b/>
                <w:i/>
              </w:rPr>
            </w:pPr>
          </w:p>
        </w:tc>
        <w:tc>
          <w:tcPr>
            <w:tcW w:w="592" w:type="pct"/>
            <w:tcBorders>
              <w:right w:val="single" w:sz="4" w:space="0" w:color="auto"/>
            </w:tcBorders>
            <w:shd w:val="clear" w:color="auto" w:fill="D9D9D9" w:themeFill="background1" w:themeFillShade="D9"/>
          </w:tcPr>
          <w:p w:rsidR="007E4B2B" w:rsidRPr="00CF3A98" w:rsidRDefault="007E4B2B" w:rsidP="00401A53">
            <w:pPr>
              <w:pStyle w:val="TableBodyText"/>
              <w:rPr>
                <w:b/>
                <w:i/>
              </w:rPr>
            </w:pPr>
          </w:p>
        </w:tc>
        <w:tc>
          <w:tcPr>
            <w:tcW w:w="505" w:type="pct"/>
            <w:tcBorders>
              <w:left w:val="single" w:sz="4" w:space="0" w:color="auto"/>
            </w:tcBorders>
            <w:shd w:val="clear" w:color="auto" w:fill="D9D9D9" w:themeFill="background1" w:themeFillShade="D9"/>
          </w:tcPr>
          <w:p w:rsidR="007E4B2B" w:rsidRPr="00CF3A98" w:rsidRDefault="007E4B2B" w:rsidP="00401A53">
            <w:pPr>
              <w:pStyle w:val="TableBodyText"/>
              <w:ind w:right="28"/>
              <w:rPr>
                <w:b/>
                <w:i/>
              </w:rPr>
            </w:pPr>
          </w:p>
        </w:tc>
        <w:tc>
          <w:tcPr>
            <w:tcW w:w="505" w:type="pct"/>
            <w:shd w:val="clear" w:color="auto" w:fill="D9D9D9" w:themeFill="background1" w:themeFillShade="D9"/>
          </w:tcPr>
          <w:p w:rsidR="007E4B2B" w:rsidRPr="00CF3A98" w:rsidRDefault="007E4B2B" w:rsidP="00401A53">
            <w:pPr>
              <w:pStyle w:val="TableBodyText"/>
              <w:ind w:right="28"/>
              <w:rPr>
                <w:b/>
                <w:i/>
              </w:rPr>
            </w:pPr>
          </w:p>
        </w:tc>
        <w:tc>
          <w:tcPr>
            <w:tcW w:w="505" w:type="pct"/>
            <w:shd w:val="clear" w:color="auto" w:fill="D9D9D9" w:themeFill="background1" w:themeFillShade="D9"/>
          </w:tcPr>
          <w:p w:rsidR="007E4B2B" w:rsidRPr="00CF3A98" w:rsidRDefault="007E4B2B" w:rsidP="00401A53">
            <w:pPr>
              <w:pStyle w:val="TableBodyText"/>
              <w:rPr>
                <w:b/>
                <w:i/>
              </w:rPr>
            </w:pPr>
          </w:p>
        </w:tc>
      </w:tr>
      <w:tr w:rsidR="007E4B2B" w:rsidTr="00401A53">
        <w:tc>
          <w:tcPr>
            <w:tcW w:w="1710" w:type="pct"/>
          </w:tcPr>
          <w:p w:rsidR="007E4B2B" w:rsidRDefault="007E4B2B" w:rsidP="00401A53">
            <w:pPr>
              <w:pStyle w:val="TableBodyText"/>
              <w:ind w:left="113" w:right="170"/>
              <w:jc w:val="left"/>
            </w:pPr>
            <w:r>
              <w:t>Mexico</w:t>
            </w:r>
          </w:p>
        </w:tc>
        <w:tc>
          <w:tcPr>
            <w:tcW w:w="591" w:type="pct"/>
          </w:tcPr>
          <w:p w:rsidR="007E4B2B" w:rsidRPr="00CF3A98" w:rsidRDefault="00BF22A7" w:rsidP="00401A53">
            <w:pPr>
              <w:pStyle w:val="TableBodyText"/>
              <w:rPr>
                <w:sz w:val="18"/>
              </w:rPr>
            </w:pPr>
            <w:r>
              <w:rPr>
                <w:sz w:val="18"/>
              </w:rPr>
              <w:t>7</w:t>
            </w:r>
          </w:p>
        </w:tc>
        <w:tc>
          <w:tcPr>
            <w:tcW w:w="592" w:type="pct"/>
          </w:tcPr>
          <w:p w:rsidR="007E4B2B" w:rsidRPr="00CF3A98" w:rsidRDefault="00BF22A7" w:rsidP="00401A53">
            <w:pPr>
              <w:pStyle w:val="TableBodyText"/>
              <w:rPr>
                <w:sz w:val="18"/>
              </w:rPr>
            </w:pPr>
            <w:r>
              <w:rPr>
                <w:sz w:val="18"/>
              </w:rPr>
              <w:t>22</w:t>
            </w:r>
          </w:p>
        </w:tc>
        <w:tc>
          <w:tcPr>
            <w:tcW w:w="592" w:type="pct"/>
            <w:tcBorders>
              <w:right w:val="single" w:sz="4" w:space="0" w:color="auto"/>
            </w:tcBorders>
          </w:tcPr>
          <w:p w:rsidR="007E4B2B" w:rsidRPr="00CF3A98" w:rsidRDefault="00BF22A7" w:rsidP="00401A53">
            <w:pPr>
              <w:pStyle w:val="TableBodyText"/>
              <w:rPr>
                <w:sz w:val="18"/>
              </w:rPr>
            </w:pPr>
            <w:r>
              <w:rPr>
                <w:sz w:val="18"/>
              </w:rPr>
              <w:t>28</w:t>
            </w:r>
          </w:p>
        </w:tc>
        <w:tc>
          <w:tcPr>
            <w:tcW w:w="1516" w:type="pct"/>
            <w:gridSpan w:val="3"/>
            <w:tcBorders>
              <w:left w:val="single" w:sz="4" w:space="0" w:color="auto"/>
            </w:tcBorders>
          </w:tcPr>
          <w:p w:rsidR="007E4B2B" w:rsidRPr="00CF3A98" w:rsidRDefault="007E4B2B" w:rsidP="00401A53">
            <w:pPr>
              <w:pStyle w:val="TableBodyText"/>
              <w:ind w:right="28"/>
              <w:rPr>
                <w:sz w:val="18"/>
              </w:rPr>
            </w:pPr>
            <w:r w:rsidRPr="00CF3A98">
              <w:rPr>
                <w:sz w:val="18"/>
              </w:rPr>
              <w:t xml:space="preserve">see United States above </w:t>
            </w:r>
          </w:p>
        </w:tc>
      </w:tr>
      <w:tr w:rsidR="007E4B2B" w:rsidTr="00401A53">
        <w:tc>
          <w:tcPr>
            <w:tcW w:w="1710" w:type="pct"/>
          </w:tcPr>
          <w:p w:rsidR="007E4B2B" w:rsidRDefault="007E4B2B" w:rsidP="00401A53">
            <w:pPr>
              <w:pStyle w:val="TableBodyText"/>
              <w:ind w:left="113" w:right="170"/>
              <w:jc w:val="left"/>
            </w:pPr>
            <w:r>
              <w:t>Chile</w:t>
            </w:r>
          </w:p>
        </w:tc>
        <w:tc>
          <w:tcPr>
            <w:tcW w:w="591" w:type="pct"/>
          </w:tcPr>
          <w:p w:rsidR="007E4B2B" w:rsidRPr="00CF3A98" w:rsidRDefault="00BF22A7" w:rsidP="00401A53">
            <w:pPr>
              <w:pStyle w:val="TableBodyText"/>
              <w:rPr>
                <w:sz w:val="18"/>
              </w:rPr>
            </w:pPr>
            <w:r>
              <w:rPr>
                <w:sz w:val="18"/>
              </w:rPr>
              <w:t>25</w:t>
            </w:r>
          </w:p>
        </w:tc>
        <w:tc>
          <w:tcPr>
            <w:tcW w:w="592" w:type="pct"/>
          </w:tcPr>
          <w:p w:rsidR="007E4B2B" w:rsidRPr="00CF3A98" w:rsidRDefault="00BF22A7" w:rsidP="00401A53">
            <w:pPr>
              <w:pStyle w:val="TableBodyText"/>
              <w:rPr>
                <w:sz w:val="18"/>
              </w:rPr>
            </w:pPr>
            <w:r>
              <w:rPr>
                <w:sz w:val="18"/>
              </w:rPr>
              <w:t>38</w:t>
            </w:r>
          </w:p>
        </w:tc>
        <w:tc>
          <w:tcPr>
            <w:tcW w:w="592" w:type="pct"/>
            <w:tcBorders>
              <w:right w:val="single" w:sz="4" w:space="0" w:color="auto"/>
            </w:tcBorders>
          </w:tcPr>
          <w:p w:rsidR="007E4B2B" w:rsidRPr="00CF3A98" w:rsidRDefault="00BF22A7" w:rsidP="00401A53">
            <w:pPr>
              <w:pStyle w:val="TableBodyText"/>
              <w:rPr>
                <w:sz w:val="18"/>
              </w:rPr>
            </w:pPr>
            <w:r>
              <w:rPr>
                <w:sz w:val="18"/>
              </w:rPr>
              <w:t>25</w:t>
            </w:r>
          </w:p>
        </w:tc>
        <w:tc>
          <w:tcPr>
            <w:tcW w:w="505" w:type="pct"/>
            <w:tcBorders>
              <w:left w:val="single" w:sz="4" w:space="0" w:color="auto"/>
            </w:tcBorders>
          </w:tcPr>
          <w:p w:rsidR="007E4B2B" w:rsidRPr="00CF3A98" w:rsidRDefault="007E4B2B" w:rsidP="00401A53">
            <w:pPr>
              <w:pStyle w:val="TableBodyText"/>
              <w:ind w:right="28"/>
              <w:rPr>
                <w:sz w:val="18"/>
              </w:rPr>
            </w:pPr>
            <w:proofErr w:type="spellStart"/>
            <w:r>
              <w:rPr>
                <w:sz w:val="18"/>
              </w:rPr>
              <w:t>na</w:t>
            </w:r>
            <w:proofErr w:type="spellEnd"/>
          </w:p>
        </w:tc>
        <w:tc>
          <w:tcPr>
            <w:tcW w:w="505" w:type="pct"/>
          </w:tcPr>
          <w:p w:rsidR="007E4B2B" w:rsidRPr="00CF3A98" w:rsidRDefault="00BF22A7" w:rsidP="00401A53">
            <w:pPr>
              <w:pStyle w:val="TableBodyText"/>
              <w:ind w:right="28"/>
              <w:rPr>
                <w:sz w:val="18"/>
              </w:rPr>
            </w:pPr>
            <w:r>
              <w:rPr>
                <w:sz w:val="18"/>
              </w:rPr>
              <w:t>0</w:t>
            </w:r>
          </w:p>
        </w:tc>
        <w:tc>
          <w:tcPr>
            <w:tcW w:w="505" w:type="pct"/>
          </w:tcPr>
          <w:p w:rsidR="007E4B2B" w:rsidRPr="00CF3A98" w:rsidRDefault="00BF22A7" w:rsidP="00401A53">
            <w:pPr>
              <w:pStyle w:val="TableBodyText"/>
              <w:ind w:right="28"/>
              <w:rPr>
                <w:sz w:val="18"/>
              </w:rPr>
            </w:pPr>
            <w:r>
              <w:rPr>
                <w:sz w:val="18"/>
              </w:rPr>
              <w:t>29</w:t>
            </w:r>
          </w:p>
        </w:tc>
      </w:tr>
      <w:tr w:rsidR="007E4B2B" w:rsidTr="00401A53">
        <w:tc>
          <w:tcPr>
            <w:tcW w:w="1710" w:type="pct"/>
          </w:tcPr>
          <w:p w:rsidR="007E4B2B" w:rsidRDefault="007E4B2B" w:rsidP="00401A53">
            <w:pPr>
              <w:pStyle w:val="TableBodyText"/>
              <w:ind w:left="113" w:right="170"/>
              <w:jc w:val="left"/>
            </w:pPr>
            <w:r>
              <w:t>Peru</w:t>
            </w:r>
          </w:p>
        </w:tc>
        <w:tc>
          <w:tcPr>
            <w:tcW w:w="591" w:type="pct"/>
          </w:tcPr>
          <w:p w:rsidR="007E4B2B" w:rsidRPr="00CF3A98" w:rsidRDefault="00BF22A7" w:rsidP="00401A53">
            <w:pPr>
              <w:pStyle w:val="TableBodyText"/>
              <w:rPr>
                <w:sz w:val="18"/>
              </w:rPr>
            </w:pPr>
            <w:r>
              <w:rPr>
                <w:sz w:val="18"/>
              </w:rPr>
              <w:t>24</w:t>
            </w:r>
          </w:p>
        </w:tc>
        <w:tc>
          <w:tcPr>
            <w:tcW w:w="592" w:type="pct"/>
          </w:tcPr>
          <w:p w:rsidR="007E4B2B" w:rsidRPr="00CF3A98" w:rsidRDefault="00BF22A7" w:rsidP="00401A53">
            <w:pPr>
              <w:pStyle w:val="TableBodyText"/>
              <w:rPr>
                <w:sz w:val="18"/>
              </w:rPr>
            </w:pPr>
            <w:r>
              <w:rPr>
                <w:sz w:val="18"/>
              </w:rPr>
              <w:t>27</w:t>
            </w:r>
          </w:p>
        </w:tc>
        <w:tc>
          <w:tcPr>
            <w:tcW w:w="592" w:type="pct"/>
            <w:tcBorders>
              <w:right w:val="single" w:sz="4" w:space="0" w:color="auto"/>
            </w:tcBorders>
          </w:tcPr>
          <w:p w:rsidR="007E4B2B" w:rsidRPr="00CF3A98" w:rsidRDefault="00BF22A7" w:rsidP="00401A53">
            <w:pPr>
              <w:pStyle w:val="TableBodyText"/>
              <w:rPr>
                <w:sz w:val="18"/>
              </w:rPr>
            </w:pPr>
            <w:r>
              <w:rPr>
                <w:sz w:val="18"/>
              </w:rPr>
              <w:t>24</w:t>
            </w:r>
          </w:p>
        </w:tc>
        <w:tc>
          <w:tcPr>
            <w:tcW w:w="505" w:type="pct"/>
            <w:tcBorders>
              <w:left w:val="single" w:sz="4" w:space="0" w:color="auto"/>
            </w:tcBorders>
          </w:tcPr>
          <w:p w:rsidR="007E4B2B" w:rsidRPr="00CF3A98" w:rsidRDefault="00BF22A7" w:rsidP="00401A53">
            <w:pPr>
              <w:pStyle w:val="TableBodyText"/>
              <w:ind w:right="28"/>
              <w:rPr>
                <w:sz w:val="18"/>
              </w:rPr>
            </w:pPr>
            <w:r>
              <w:rPr>
                <w:sz w:val="18"/>
              </w:rPr>
              <w:t>38</w:t>
            </w:r>
          </w:p>
        </w:tc>
        <w:tc>
          <w:tcPr>
            <w:tcW w:w="505" w:type="pct"/>
          </w:tcPr>
          <w:p w:rsidR="007E4B2B" w:rsidRPr="00CF3A98" w:rsidRDefault="00BF22A7" w:rsidP="00401A53">
            <w:pPr>
              <w:pStyle w:val="TableBodyText"/>
              <w:ind w:right="28"/>
              <w:rPr>
                <w:sz w:val="18"/>
              </w:rPr>
            </w:pPr>
            <w:r>
              <w:rPr>
                <w:sz w:val="18"/>
              </w:rPr>
              <w:t>20</w:t>
            </w:r>
          </w:p>
        </w:tc>
        <w:tc>
          <w:tcPr>
            <w:tcW w:w="505" w:type="pct"/>
          </w:tcPr>
          <w:p w:rsidR="007E4B2B" w:rsidRPr="00CF3A98" w:rsidRDefault="007E4B2B" w:rsidP="00BF22A7">
            <w:pPr>
              <w:pStyle w:val="TableBodyText"/>
              <w:ind w:right="28"/>
              <w:rPr>
                <w:sz w:val="18"/>
              </w:rPr>
            </w:pPr>
            <w:r w:rsidRPr="00CF3A98">
              <w:rPr>
                <w:sz w:val="18"/>
              </w:rPr>
              <w:t>21</w:t>
            </w:r>
          </w:p>
        </w:tc>
      </w:tr>
      <w:tr w:rsidR="007E4B2B" w:rsidTr="00401A53">
        <w:tc>
          <w:tcPr>
            <w:tcW w:w="1710" w:type="pct"/>
            <w:tcBorders>
              <w:bottom w:val="single" w:sz="6" w:space="0" w:color="auto"/>
            </w:tcBorders>
            <w:shd w:val="clear" w:color="auto" w:fill="auto"/>
          </w:tcPr>
          <w:p w:rsidR="007E4B2B" w:rsidRDefault="007E4B2B" w:rsidP="00401A53">
            <w:pPr>
              <w:pStyle w:val="TableBodyText"/>
              <w:ind w:left="113" w:right="170"/>
              <w:jc w:val="left"/>
            </w:pPr>
            <w:r>
              <w:t>Brazil</w:t>
            </w:r>
          </w:p>
        </w:tc>
        <w:tc>
          <w:tcPr>
            <w:tcW w:w="591" w:type="pct"/>
            <w:tcBorders>
              <w:bottom w:val="single" w:sz="6" w:space="0" w:color="auto"/>
            </w:tcBorders>
          </w:tcPr>
          <w:p w:rsidR="007E4B2B" w:rsidRPr="00CF3A98" w:rsidRDefault="00BF22A7" w:rsidP="00401A53">
            <w:pPr>
              <w:pStyle w:val="TableBodyText"/>
              <w:rPr>
                <w:sz w:val="18"/>
              </w:rPr>
            </w:pPr>
            <w:r>
              <w:rPr>
                <w:sz w:val="18"/>
              </w:rPr>
              <w:t>4</w:t>
            </w:r>
          </w:p>
        </w:tc>
        <w:tc>
          <w:tcPr>
            <w:tcW w:w="592" w:type="pct"/>
            <w:tcBorders>
              <w:bottom w:val="single" w:sz="6" w:space="0" w:color="auto"/>
            </w:tcBorders>
          </w:tcPr>
          <w:p w:rsidR="007E4B2B" w:rsidRPr="00CF3A98" w:rsidRDefault="00BF22A7" w:rsidP="00401A53">
            <w:pPr>
              <w:pStyle w:val="TableBodyText"/>
              <w:rPr>
                <w:sz w:val="18"/>
              </w:rPr>
            </w:pPr>
            <w:r>
              <w:rPr>
                <w:sz w:val="18"/>
              </w:rPr>
              <w:t>17</w:t>
            </w:r>
          </w:p>
        </w:tc>
        <w:tc>
          <w:tcPr>
            <w:tcW w:w="592" w:type="pct"/>
            <w:tcBorders>
              <w:bottom w:val="single" w:sz="6" w:space="0" w:color="auto"/>
              <w:right w:val="single" w:sz="4" w:space="0" w:color="auto"/>
            </w:tcBorders>
            <w:shd w:val="clear" w:color="auto" w:fill="auto"/>
          </w:tcPr>
          <w:p w:rsidR="007E4B2B" w:rsidRPr="00CF3A98" w:rsidRDefault="00BF22A7" w:rsidP="00401A53">
            <w:pPr>
              <w:pStyle w:val="TableBodyText"/>
              <w:rPr>
                <w:sz w:val="18"/>
              </w:rPr>
            </w:pPr>
            <w:r>
              <w:rPr>
                <w:sz w:val="18"/>
              </w:rPr>
              <w:t>13</w:t>
            </w:r>
          </w:p>
        </w:tc>
        <w:tc>
          <w:tcPr>
            <w:tcW w:w="505" w:type="pct"/>
            <w:tcBorders>
              <w:left w:val="single" w:sz="4" w:space="0" w:color="auto"/>
              <w:bottom w:val="single" w:sz="6" w:space="0" w:color="auto"/>
            </w:tcBorders>
          </w:tcPr>
          <w:p w:rsidR="007E4B2B" w:rsidRPr="00CF3A98" w:rsidRDefault="00BF22A7" w:rsidP="00401A53">
            <w:pPr>
              <w:pStyle w:val="TableBodyText"/>
              <w:ind w:right="28"/>
              <w:rPr>
                <w:sz w:val="18"/>
              </w:rPr>
            </w:pPr>
            <w:r>
              <w:rPr>
                <w:sz w:val="18"/>
              </w:rPr>
              <w:t>36</w:t>
            </w:r>
          </w:p>
        </w:tc>
        <w:tc>
          <w:tcPr>
            <w:tcW w:w="505" w:type="pct"/>
            <w:tcBorders>
              <w:bottom w:val="single" w:sz="6" w:space="0" w:color="auto"/>
            </w:tcBorders>
          </w:tcPr>
          <w:p w:rsidR="007E4B2B" w:rsidRPr="00CF3A98" w:rsidRDefault="00BF22A7" w:rsidP="00401A53">
            <w:pPr>
              <w:pStyle w:val="TableBodyText"/>
              <w:ind w:right="28"/>
              <w:rPr>
                <w:sz w:val="18"/>
              </w:rPr>
            </w:pPr>
            <w:r>
              <w:rPr>
                <w:sz w:val="18"/>
              </w:rPr>
              <w:t>14</w:t>
            </w:r>
          </w:p>
        </w:tc>
        <w:tc>
          <w:tcPr>
            <w:tcW w:w="505" w:type="pct"/>
            <w:tcBorders>
              <w:bottom w:val="single" w:sz="6" w:space="0" w:color="auto"/>
            </w:tcBorders>
            <w:shd w:val="clear" w:color="auto" w:fill="auto"/>
          </w:tcPr>
          <w:p w:rsidR="007E4B2B" w:rsidRPr="00CF3A98" w:rsidRDefault="00BF22A7" w:rsidP="00401A53">
            <w:pPr>
              <w:pStyle w:val="TableBodyText"/>
              <w:ind w:right="28"/>
              <w:rPr>
                <w:sz w:val="18"/>
              </w:rPr>
            </w:pPr>
            <w:r>
              <w:rPr>
                <w:sz w:val="18"/>
              </w:rPr>
              <w:t>27</w:t>
            </w:r>
            <w:r w:rsidR="007E4B2B" w:rsidRPr="00472C45">
              <w:rPr>
                <w:rStyle w:val="NoteLabel"/>
              </w:rPr>
              <w:t>b</w:t>
            </w:r>
          </w:p>
        </w:tc>
      </w:tr>
    </w:tbl>
    <w:p w:rsidR="00130B32" w:rsidRDefault="007E4B2B" w:rsidP="007E4B2B">
      <w:pPr>
        <w:pStyle w:val="Note"/>
        <w:rPr>
          <w:i/>
        </w:rPr>
      </w:pPr>
      <w:r w:rsidRPr="00701617">
        <w:rPr>
          <w:rStyle w:val="NoteLabel"/>
        </w:rPr>
        <w:t>a</w:t>
      </w:r>
      <w:r>
        <w:t xml:space="preserve"> Scores for individual states and territories were not recorded for this year. </w:t>
      </w:r>
      <w:r w:rsidRPr="00472C45">
        <w:rPr>
          <w:rStyle w:val="NoteLabel"/>
        </w:rPr>
        <w:t>b</w:t>
      </w:r>
      <w:r>
        <w:rPr>
          <w:rStyle w:val="NoteLabel"/>
        </w:rPr>
        <w:t xml:space="preserve"> </w:t>
      </w:r>
      <w:r>
        <w:t>Overall score for Brazil not recorded for this year, this score applies only to offshore concession contracts.</w:t>
      </w:r>
      <w:r w:rsidR="00130B32" w:rsidRPr="00130B32">
        <w:rPr>
          <w:i/>
        </w:rPr>
        <w:t xml:space="preserve"> </w:t>
      </w:r>
    </w:p>
    <w:p w:rsidR="007E4B2B" w:rsidRDefault="00130B32" w:rsidP="007E4B2B">
      <w:pPr>
        <w:pStyle w:val="Note"/>
      </w:pPr>
      <w:r>
        <w:rPr>
          <w:i/>
        </w:rPr>
        <w:t>Sources</w:t>
      </w:r>
      <w:r w:rsidR="004836DF">
        <w:t xml:space="preserve">: </w:t>
      </w:r>
      <w:proofErr w:type="spellStart"/>
      <w:r w:rsidR="004836DF">
        <w:t>Angevine</w:t>
      </w:r>
      <w:proofErr w:type="spellEnd"/>
      <w:r w:rsidR="004836DF">
        <w:t xml:space="preserve"> and Cameron </w:t>
      </w:r>
      <w:r w:rsidR="00BD3A9B">
        <w:t>(</w:t>
      </w:r>
      <w:r w:rsidR="004836DF">
        <w:t>2007</w:t>
      </w:r>
      <w:r w:rsidR="00BD3A9B">
        <w:t>)</w:t>
      </w:r>
      <w:r w:rsidR="004836DF">
        <w:t xml:space="preserve">; </w:t>
      </w:r>
      <w:proofErr w:type="spellStart"/>
      <w:r w:rsidR="004836DF">
        <w:t>Angevine</w:t>
      </w:r>
      <w:proofErr w:type="spellEnd"/>
      <w:r w:rsidR="004836DF">
        <w:t xml:space="preserve"> and Cervantes </w:t>
      </w:r>
      <w:r w:rsidR="00BD3A9B">
        <w:t>(</w:t>
      </w:r>
      <w:r w:rsidR="004836DF">
        <w:t>2010</w:t>
      </w:r>
      <w:r w:rsidR="00BD3A9B">
        <w:t>)</w:t>
      </w:r>
      <w:r w:rsidR="004836DF">
        <w:t xml:space="preserve">; </w:t>
      </w:r>
      <w:proofErr w:type="spellStart"/>
      <w:r w:rsidR="004836DF">
        <w:t>Angevine</w:t>
      </w:r>
      <w:proofErr w:type="spellEnd"/>
      <w:r w:rsidR="009E5000">
        <w:t xml:space="preserve"> et al.</w:t>
      </w:r>
      <w:r w:rsidR="004836DF">
        <w:t xml:space="preserve"> </w:t>
      </w:r>
      <w:r w:rsidR="00BD3A9B">
        <w:t>(</w:t>
      </w:r>
      <w:r w:rsidR="004836DF">
        <w:t>2010</w:t>
      </w:r>
      <w:r w:rsidR="00BD3A9B">
        <w:t>)</w:t>
      </w:r>
      <w:r w:rsidR="004836DF">
        <w:t xml:space="preserve">; McMahon </w:t>
      </w:r>
      <w:r w:rsidR="00BD3A9B">
        <w:t>(</w:t>
      </w:r>
      <w:r w:rsidR="004836DF">
        <w:t>2005</w:t>
      </w:r>
      <w:r w:rsidR="00BD3A9B">
        <w:t>);</w:t>
      </w:r>
      <w:r w:rsidR="004836DF">
        <w:t xml:space="preserve"> McMahon and Cervantes </w:t>
      </w:r>
      <w:r w:rsidR="00BD3A9B">
        <w:t>(</w:t>
      </w:r>
      <w:r w:rsidR="004836DF">
        <w:t>2009</w:t>
      </w:r>
      <w:r w:rsidR="00BD3A9B">
        <w:t>);</w:t>
      </w:r>
      <w:r w:rsidR="004836DF">
        <w:t xml:space="preserve"> Wilson</w:t>
      </w:r>
      <w:r w:rsidR="009E5000">
        <w:t xml:space="preserve"> et al.</w:t>
      </w:r>
      <w:r w:rsidR="004836DF">
        <w:t xml:space="preserve"> </w:t>
      </w:r>
      <w:r w:rsidR="00BD3A9B">
        <w:t>(</w:t>
      </w:r>
      <w:r w:rsidR="004836DF">
        <w:t>2013</w:t>
      </w:r>
      <w:r w:rsidR="00BD3A9B">
        <w:t>)</w:t>
      </w:r>
      <w:r w:rsidR="004836DF">
        <w:t>.</w:t>
      </w:r>
    </w:p>
    <w:p w:rsidR="00971753" w:rsidRDefault="00130B32" w:rsidP="00130B32">
      <w:pPr>
        <w:pStyle w:val="BodyText"/>
        <w:rPr>
          <w:lang w:val="en"/>
        </w:rPr>
      </w:pPr>
      <w:r>
        <w:rPr>
          <w:lang w:val="en"/>
        </w:rPr>
        <w:lastRenderedPageBreak/>
        <w:t>Broadly positive opinions on Australia’s pre</w:t>
      </w:r>
      <w:r w:rsidR="00DC4E50">
        <w:rPr>
          <w:lang w:val="en"/>
        </w:rPr>
        <w:noBreakHyphen/>
      </w:r>
      <w:r>
        <w:rPr>
          <w:lang w:val="en"/>
        </w:rPr>
        <w:t>competitive geoscience information were also expressed in submissions from</w:t>
      </w:r>
      <w:r w:rsidR="00645EDE">
        <w:rPr>
          <w:lang w:val="en"/>
        </w:rPr>
        <w:t xml:space="preserve"> the Australian Petroleum Production and Exploration Association</w:t>
      </w:r>
      <w:r>
        <w:rPr>
          <w:lang w:val="en"/>
        </w:rPr>
        <w:t xml:space="preserve"> </w:t>
      </w:r>
      <w:r w:rsidR="00645EDE">
        <w:rPr>
          <w:lang w:val="en"/>
        </w:rPr>
        <w:t>(</w:t>
      </w:r>
      <w:proofErr w:type="spellStart"/>
      <w:r>
        <w:rPr>
          <w:lang w:val="en"/>
        </w:rPr>
        <w:t>APPEA</w:t>
      </w:r>
      <w:proofErr w:type="spellEnd"/>
      <w:r w:rsidR="00645EDE">
        <w:rPr>
          <w:lang w:val="en"/>
        </w:rPr>
        <w:t>)</w:t>
      </w:r>
      <w:r>
        <w:rPr>
          <w:lang w:val="en"/>
        </w:rPr>
        <w:t xml:space="preserve"> (sub. 22) and </w:t>
      </w:r>
      <w:r w:rsidR="00645EDE">
        <w:rPr>
          <w:lang w:val="en"/>
        </w:rPr>
        <w:t>the Association of Mining and Exploration Companies (</w:t>
      </w:r>
      <w:r>
        <w:rPr>
          <w:lang w:val="en"/>
        </w:rPr>
        <w:t>AMEC</w:t>
      </w:r>
      <w:r w:rsidR="00645EDE">
        <w:rPr>
          <w:lang w:val="en"/>
        </w:rPr>
        <w:t>)</w:t>
      </w:r>
      <w:r>
        <w:rPr>
          <w:lang w:val="en"/>
        </w:rPr>
        <w:t xml:space="preserve"> (sub. 24). </w:t>
      </w:r>
      <w:r w:rsidR="00971753">
        <w:rPr>
          <w:lang w:val="en"/>
        </w:rPr>
        <w:t>Recent reviews by the Policy Transition Group (</w:t>
      </w:r>
      <w:proofErr w:type="spellStart"/>
      <w:r w:rsidR="00971753">
        <w:rPr>
          <w:lang w:val="en"/>
        </w:rPr>
        <w:t>PTG</w:t>
      </w:r>
      <w:proofErr w:type="spellEnd"/>
      <w:r w:rsidR="00971753">
        <w:rPr>
          <w:lang w:val="en"/>
        </w:rPr>
        <w:t xml:space="preserve"> 2010) and the Australian National Audit Office (</w:t>
      </w:r>
      <w:proofErr w:type="spellStart"/>
      <w:r w:rsidR="00971753">
        <w:rPr>
          <w:lang w:val="en"/>
        </w:rPr>
        <w:t>ANAO</w:t>
      </w:r>
      <w:proofErr w:type="spellEnd"/>
      <w:r w:rsidR="00971753">
        <w:rPr>
          <w:lang w:val="en"/>
        </w:rPr>
        <w:t xml:space="preserve"> 2010) similarly confirm industry satisfaction with Australia’s geological database</w:t>
      </w:r>
      <w:r w:rsidR="00BD3A9B">
        <w:rPr>
          <w:lang w:val="en"/>
        </w:rPr>
        <w:t>.</w:t>
      </w:r>
    </w:p>
    <w:p w:rsidR="00130B32" w:rsidRPr="00D57385" w:rsidRDefault="00130B32" w:rsidP="00130B32">
      <w:pPr>
        <w:pStyle w:val="BodyText"/>
        <w:rPr>
          <w:lang w:val="en"/>
        </w:rPr>
      </w:pPr>
      <w:r>
        <w:rPr>
          <w:lang w:val="en"/>
        </w:rPr>
        <w:t xml:space="preserve">This is not to say that submissions did not </w:t>
      </w:r>
      <w:r w:rsidR="00971753">
        <w:rPr>
          <w:lang w:val="en"/>
        </w:rPr>
        <w:t xml:space="preserve">express </w:t>
      </w:r>
      <w:r>
        <w:rPr>
          <w:lang w:val="en"/>
        </w:rPr>
        <w:t xml:space="preserve">concerns about current geoscience arrangements. For example, </w:t>
      </w:r>
      <w:proofErr w:type="spellStart"/>
      <w:r>
        <w:t>AusIMM</w:t>
      </w:r>
      <w:proofErr w:type="spellEnd"/>
      <w:r>
        <w:t xml:space="preserve"> (sub. 12) suggested that governments in Australia may be underinvesting in geoscience information and that this may be restricting greenfield exploration investment while </w:t>
      </w:r>
      <w:proofErr w:type="spellStart"/>
      <w:r>
        <w:t>APPEA</w:t>
      </w:r>
      <w:proofErr w:type="spellEnd"/>
      <w:r>
        <w:t xml:space="preserve"> (sub</w:t>
      </w:r>
      <w:r w:rsidR="00BA52FD">
        <w:t>.</w:t>
      </w:r>
      <w:r>
        <w:t> 22) noted that coverage in some jurisdictions is patchy.</w:t>
      </w:r>
    </w:p>
    <w:p w:rsidR="00652DD9" w:rsidRDefault="00652DD9" w:rsidP="00652DD9">
      <w:pPr>
        <w:pStyle w:val="BodyText"/>
        <w:rPr>
          <w:lang w:val="en"/>
        </w:rPr>
      </w:pPr>
      <w:r>
        <w:rPr>
          <w:lang w:val="en"/>
        </w:rPr>
        <w:t xml:space="preserve">Based on the available evidence, the Commission concludes that comprehensive and wide ranging reforms of Australia’s current geoscience arrangements are not required. That said, there are opportunities to pursue more focused reforms with a view to improving geoscience funding arrangements, governance and the coverage of Australia’s geological database. These </w:t>
      </w:r>
      <w:r w:rsidR="00971753">
        <w:rPr>
          <w:lang w:val="en"/>
        </w:rPr>
        <w:t xml:space="preserve">matters </w:t>
      </w:r>
      <w:r>
        <w:rPr>
          <w:lang w:val="en"/>
        </w:rPr>
        <w:t>are explored below.</w:t>
      </w:r>
      <w:r w:rsidR="00826DA6">
        <w:rPr>
          <w:lang w:val="en"/>
        </w:rPr>
        <w:t xml:space="preserve"> </w:t>
      </w:r>
    </w:p>
    <w:p w:rsidR="00652DD9" w:rsidRDefault="004201F1" w:rsidP="00652DD9">
      <w:pPr>
        <w:pStyle w:val="Heading2"/>
        <w:rPr>
          <w:lang w:val="en"/>
        </w:rPr>
      </w:pPr>
      <w:r>
        <w:rPr>
          <w:lang w:val="en"/>
        </w:rPr>
        <w:t>7.</w:t>
      </w:r>
      <w:r w:rsidR="00DE2D5C">
        <w:rPr>
          <w:noProof/>
          <w:lang w:val="en"/>
        </w:rPr>
        <w:t>3</w:t>
      </w:r>
      <w:r w:rsidR="00652DD9" w:rsidRPr="001B6D2F">
        <w:rPr>
          <w:lang w:val="en"/>
        </w:rPr>
        <w:tab/>
      </w:r>
      <w:r w:rsidR="00652DD9">
        <w:rPr>
          <w:lang w:val="en"/>
        </w:rPr>
        <w:t>Opportunities to improve pre</w:t>
      </w:r>
      <w:r w:rsidR="00652DD9">
        <w:rPr>
          <w:lang w:val="en"/>
        </w:rPr>
        <w:noBreakHyphen/>
        <w:t>competitive geoscience information</w:t>
      </w:r>
    </w:p>
    <w:p w:rsidR="00C834D7" w:rsidRDefault="0067325F" w:rsidP="00C834D7">
      <w:pPr>
        <w:pStyle w:val="BodyText"/>
      </w:pPr>
      <w:r>
        <w:t>T</w:t>
      </w:r>
      <w:r w:rsidR="00C834D7">
        <w:t>he proportion of GA’s funding secured from base (block) funding</w:t>
      </w:r>
      <w:r>
        <w:t xml:space="preserve"> has fallen in recent years (figure</w:t>
      </w:r>
      <w:r w:rsidR="00094E58">
        <w:t> </w:t>
      </w:r>
      <w:r>
        <w:t>7.1)</w:t>
      </w:r>
      <w:r w:rsidR="00C834D7">
        <w:t>. In 2002</w:t>
      </w:r>
      <w:r w:rsidR="00826DA6">
        <w:noBreakHyphen/>
      </w:r>
      <w:r w:rsidR="00C834D7">
        <w:t>03, over 80 per cent of GA’s resources were from base funding. This fell to 52 per cent by 2009</w:t>
      </w:r>
      <w:r w:rsidR="00826DA6">
        <w:noBreakHyphen/>
      </w:r>
      <w:r w:rsidR="00C834D7">
        <w:t>10, as program specific and Section</w:t>
      </w:r>
      <w:r w:rsidR="00826DA6">
        <w:t> </w:t>
      </w:r>
      <w:r w:rsidR="00C834D7">
        <w:t>31 funding methods gained in prominence</w:t>
      </w:r>
      <w:r w:rsidR="00C834D7">
        <w:rPr>
          <w:rStyle w:val="FootnoteReference"/>
        </w:rPr>
        <w:footnoteReference w:id="1"/>
      </w:r>
      <w:r w:rsidR="00C834D7">
        <w:t xml:space="preserve">. </w:t>
      </w:r>
    </w:p>
    <w:p w:rsidR="00C834D7" w:rsidRDefault="00C834D7" w:rsidP="00C834D7">
      <w:pPr>
        <w:pStyle w:val="FigureTitle"/>
      </w:pPr>
      <w:r>
        <w:rPr>
          <w:b w:val="0"/>
        </w:rPr>
        <w:lastRenderedPageBreak/>
        <w:t xml:space="preserve">Figure </w:t>
      </w:r>
      <w:r w:rsidR="004201F1">
        <w:rPr>
          <w:b w:val="0"/>
        </w:rPr>
        <w:t>7.</w:t>
      </w:r>
      <w:r>
        <w:rPr>
          <w:b w:val="0"/>
        </w:rPr>
        <w:t>1</w:t>
      </w:r>
      <w:r>
        <w:tab/>
        <w:t>Funding composition of Geoscience Australia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C834D7" w:rsidTr="00AC51A8">
        <w:tc>
          <w:tcPr>
            <w:tcW w:w="8777" w:type="dxa"/>
          </w:tcPr>
          <w:p w:rsidR="00C834D7" w:rsidRDefault="00AC51A8" w:rsidP="00C834D7">
            <w:pPr>
              <w:pStyle w:val="Figure"/>
            </w:pPr>
            <w:r>
              <w:rPr>
                <w:noProof/>
              </w:rPr>
              <w:drawing>
                <wp:inline distT="0" distB="0" distL="0" distR="0" wp14:anchorId="6A276B94" wp14:editId="05570B79">
                  <wp:extent cx="5467350" cy="3086100"/>
                  <wp:effectExtent l="0" t="0" r="0" b="0"/>
                  <wp:docPr id="5" name="Chart 5" descr="Figure 7.1 Funding composition of Geoscience Australia. The figure shows the funding composition of Geoscience Australia from 2002-03 to 2009-10. Over this time period, base funding as a proportion of total funding has fallen and measures funding and Section 31 funding have rise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C834D7" w:rsidRDefault="00C834D7" w:rsidP="00C834D7">
      <w:pPr>
        <w:pStyle w:val="Source"/>
      </w:pPr>
      <w:r>
        <w:rPr>
          <w:i/>
        </w:rPr>
        <w:t>Data source</w:t>
      </w:r>
      <w:r w:rsidRPr="00167F06">
        <w:t xml:space="preserve">: </w:t>
      </w:r>
      <w:proofErr w:type="spellStart"/>
      <w:r>
        <w:t>DoFD</w:t>
      </w:r>
      <w:proofErr w:type="spellEnd"/>
      <w:r>
        <w:t xml:space="preserve"> (2011). </w:t>
      </w:r>
    </w:p>
    <w:p w:rsidR="00C834D7" w:rsidRDefault="00C834D7" w:rsidP="00C834D7">
      <w:pPr>
        <w:pStyle w:val="BodyText"/>
      </w:pPr>
      <w:r>
        <w:t>While a similar breakdown for state</w:t>
      </w:r>
      <w:r>
        <w:noBreakHyphen/>
        <w:t>level geoscience agencies is not available, a survey of geoscience initiatives across jurisdictions (table 7.3) shows that the use of initiative programs to fund pre</w:t>
      </w:r>
      <w:r w:rsidR="00DC4E50">
        <w:noBreakHyphen/>
      </w:r>
      <w:r>
        <w:t>competitive geoscience activities is widespread. This raises questions as to whether the increasing prominence of initiative funding represents the optimal means to finance the collection and provision of pre</w:t>
      </w:r>
      <w:r w:rsidR="00DC4E50">
        <w:noBreakHyphen/>
      </w:r>
      <w:r>
        <w:t>competitive geoscience information.</w:t>
      </w:r>
    </w:p>
    <w:p w:rsidR="00C834D7" w:rsidRDefault="00C834D7" w:rsidP="00C834D7">
      <w:pPr>
        <w:pStyle w:val="BodyText"/>
      </w:pPr>
      <w:r>
        <w:t xml:space="preserve">Block funding offers a number of advantages over initiative funding arrangements for agencies such as GA and the State/Territory geological surveys. As the Commission argued in its report on </w:t>
      </w:r>
      <w:r>
        <w:rPr>
          <w:i/>
        </w:rPr>
        <w:t>Public Support for Science and Innovation</w:t>
      </w:r>
      <w:r>
        <w:t>, block funding:</w:t>
      </w:r>
    </w:p>
    <w:p w:rsidR="00C834D7" w:rsidRDefault="00C834D7" w:rsidP="00C834D7">
      <w:pPr>
        <w:pStyle w:val="ListBullet"/>
      </w:pPr>
      <w:r>
        <w:t>provides greater flexibility to make strategic decisions about research directions</w:t>
      </w:r>
    </w:p>
    <w:p w:rsidR="00C834D7" w:rsidRDefault="00C834D7" w:rsidP="00C834D7">
      <w:pPr>
        <w:pStyle w:val="ListBullet"/>
      </w:pPr>
      <w:r>
        <w:t>creates opportunities to respond to emerging priorities</w:t>
      </w:r>
    </w:p>
    <w:p w:rsidR="00C834D7" w:rsidRDefault="00C834D7" w:rsidP="00C834D7">
      <w:pPr>
        <w:pStyle w:val="ListBullet"/>
      </w:pPr>
      <w:r>
        <w:t>allows organisations to plan and build multi</w:t>
      </w:r>
      <w:r>
        <w:noBreakHyphen/>
        <w:t>disciplinary resource capability</w:t>
      </w:r>
    </w:p>
    <w:p w:rsidR="00C834D7" w:rsidRDefault="00C834D7" w:rsidP="00C834D7">
      <w:pPr>
        <w:pStyle w:val="ListBullet"/>
      </w:pPr>
      <w:r>
        <w:t>provides scope to engage in larger</w:t>
      </w:r>
      <w:r>
        <w:noBreakHyphen/>
        <w:t>scale, longer</w:t>
      </w:r>
      <w:r>
        <w:noBreakHyphen/>
        <w:t>term activities</w:t>
      </w:r>
    </w:p>
    <w:p w:rsidR="00C834D7" w:rsidRDefault="00C834D7" w:rsidP="00C834D7">
      <w:pPr>
        <w:pStyle w:val="ListBullet"/>
      </w:pPr>
      <w:r>
        <w:t>involves lower administrative and compliance costs compared to grant or program</w:t>
      </w:r>
      <w:r>
        <w:noBreakHyphen/>
        <w:t>specific funding (PC 2007).</w:t>
      </w:r>
    </w:p>
    <w:p w:rsidR="0067325F" w:rsidRPr="00562EE1" w:rsidRDefault="0067325F" w:rsidP="0067325F">
      <w:pPr>
        <w:pStyle w:val="BodyText"/>
      </w:pPr>
      <w:r>
        <w:t>The Commonwealth Scientific and Industrial Research Organisation (CSIRO)</w:t>
      </w:r>
      <w:r w:rsidR="00CF2BA3">
        <w:t xml:space="preserve"> —</w:t>
      </w:r>
      <w:r>
        <w:t xml:space="preserve"> like Australia’s geological surveys</w:t>
      </w:r>
      <w:r w:rsidR="00CF2BA3">
        <w:t xml:space="preserve"> —</w:t>
      </w:r>
      <w:r>
        <w:t xml:space="preserve"> undertake research that may be built upon by </w:t>
      </w:r>
      <w:r>
        <w:lastRenderedPageBreak/>
        <w:t>the private sector</w:t>
      </w:r>
      <w:r w:rsidR="00CF2BA3">
        <w:t>.</w:t>
      </w:r>
      <w:r>
        <w:t xml:space="preserve"> </w:t>
      </w:r>
      <w:r w:rsidR="00CF2BA3">
        <w:t>The CSIRO</w:t>
      </w:r>
      <w:r>
        <w:t xml:space="preserve"> noted in its submission to the Commission’s inquiry into </w:t>
      </w:r>
      <w:r>
        <w:rPr>
          <w:i/>
        </w:rPr>
        <w:t>Public Support for Science and Innovation</w:t>
      </w:r>
      <w:r>
        <w:t>:</w:t>
      </w:r>
    </w:p>
    <w:p w:rsidR="0067325F" w:rsidRDefault="0067325F" w:rsidP="0067325F">
      <w:pPr>
        <w:pStyle w:val="Quote"/>
      </w:pPr>
      <w:r>
        <w:t xml:space="preserve">The budget appropriation … provides for a degree of certainty and stability. This facilitates the strategic planning of research and investment in longer term, challenging projects, as well as the maintenance of capability. Appropriation funding supports basic </w:t>
      </w:r>
      <w:r w:rsidRPr="001D4132">
        <w:rPr>
          <w:rStyle w:val="QuoteChar"/>
        </w:rPr>
        <w:t>infrastructure, including facilities, equipment and expertise. Just as importantly, it provides an essential base from which it becomes possible to invest resources into the development of long term research projects requiring the assembly of large teams of experts from several disciplines across different organisations. Grant schemes do not support such planning or cover the considerable overheads required to manage such projects. Neither do grant schemes provide the single point accountability within one organisation which is necessary for the effective management of this kind of large scale program</w:t>
      </w:r>
      <w:r>
        <w:t>. (PC 2007, p. 481)</w:t>
      </w:r>
    </w:p>
    <w:p w:rsidR="0067325F" w:rsidRDefault="0067325F" w:rsidP="0067325F">
      <w:pPr>
        <w:pStyle w:val="BodyText"/>
      </w:pPr>
      <w:r>
        <w:t>A specific example of the type of activity that is not suited to short</w:t>
      </w:r>
      <w:r>
        <w:noBreakHyphen/>
        <w:t xml:space="preserve">term funding arrangements is the role played by Australia’s geological surveys in maintaining and updating databases of geoscientific information accumulated over the last 100 years. In that regard, geological and geospatial data has a long life cycle, primarily because of the requirement for time series continuity in certain fields but also because the development of new techniques and technology for data analysis and interpretation mean existing data can be continuously reinterpreted to provide new insights (PWC 2009). </w:t>
      </w:r>
    </w:p>
    <w:p w:rsidR="0067325F" w:rsidRDefault="0067325F" w:rsidP="0067325F">
      <w:pPr>
        <w:pStyle w:val="BodyText"/>
      </w:pPr>
      <w:r>
        <w:t>Updating collections to a form more easily accessed and analysed is also an ongoing requirement as the data needs of explorer</w:t>
      </w:r>
      <w:r w:rsidR="00CF2BA3">
        <w:t>s and other stakeholders change</w:t>
      </w:r>
      <w:r>
        <w:t xml:space="preserve"> over time (such as through a move away from physical to electronic data). Hence, the costs associated with custodial and stewardship activities associated with database management are ongoing.</w:t>
      </w:r>
    </w:p>
    <w:p w:rsidR="0067325F" w:rsidRDefault="0067325F" w:rsidP="0067325F">
      <w:pPr>
        <w:pStyle w:val="BodyText"/>
      </w:pPr>
      <w:r>
        <w:t>But there are also potential disadvantages associated with block funding including reduced external accountability (with initiative funding often tied to outcome</w:t>
      </w:r>
      <w:r>
        <w:noBreakHyphen/>
        <w:t>focused performance reporting requirements), less direct involvement in funding investment decisions by stakeholders and lower incentives to maintain or improve performance compared with more at risk</w:t>
      </w:r>
      <w:r w:rsidR="00CF2BA3">
        <w:t>,</w:t>
      </w:r>
      <w:r>
        <w:t xml:space="preserve"> shorter</w:t>
      </w:r>
      <w:r w:rsidR="00CF2BA3">
        <w:t>,</w:t>
      </w:r>
      <w:r>
        <w:t xml:space="preserve"> fixed</w:t>
      </w:r>
      <w:r>
        <w:noBreakHyphen/>
        <w:t xml:space="preserve">term funding sources. </w:t>
      </w:r>
    </w:p>
    <w:p w:rsidR="004201F1" w:rsidRDefault="004201F1">
      <w:pPr>
        <w:rPr>
          <w:szCs w:val="20"/>
        </w:rPr>
      </w:pPr>
      <w:r>
        <w:br w:type="page"/>
      </w:r>
    </w:p>
    <w:p w:rsidR="00C834D7" w:rsidRDefault="00C834D7">
      <w:pPr>
        <w:pStyle w:val="BodyText"/>
        <w:sectPr w:rsidR="00C834D7" w:rsidSect="004201F1">
          <w:headerReference w:type="even" r:id="rId10"/>
          <w:headerReference w:type="default" r:id="rId11"/>
          <w:footerReference w:type="even" r:id="rId12"/>
          <w:footerReference w:type="default" r:id="rId13"/>
          <w:headerReference w:type="first" r:id="rId14"/>
          <w:footerReference w:type="first" r:id="rId15"/>
          <w:pgSz w:w="11907" w:h="16840" w:code="9"/>
          <w:pgMar w:top="1985" w:right="1304" w:bottom="1418" w:left="1814" w:header="1701" w:footer="567" w:gutter="0"/>
          <w:pgNumType w:start="207" w:chapSep="period"/>
          <w:cols w:space="720"/>
        </w:sectPr>
      </w:pPr>
    </w:p>
    <w:p w:rsidR="005F51F7" w:rsidRDefault="005F51F7" w:rsidP="005F51F7">
      <w:pPr>
        <w:pStyle w:val="TableTitle"/>
      </w:pPr>
      <w:r>
        <w:rPr>
          <w:b w:val="0"/>
        </w:rPr>
        <w:lastRenderedPageBreak/>
        <w:t xml:space="preserve">Table </w:t>
      </w:r>
      <w:r w:rsidR="004201F1">
        <w:rPr>
          <w:b w:val="0"/>
        </w:rPr>
        <w:t>7.</w:t>
      </w:r>
      <w:r w:rsidR="00645EDE">
        <w:rPr>
          <w:b w:val="0"/>
        </w:rPr>
        <w:t>3</w:t>
      </w:r>
      <w:r>
        <w:tab/>
        <w:t>Geoscientific initiatives across jurisdictions</w:t>
      </w:r>
    </w:p>
    <w:tbl>
      <w:tblPr>
        <w:tblW w:w="5000" w:type="pct"/>
        <w:tblCellMar>
          <w:left w:w="0" w:type="dxa"/>
          <w:right w:w="0" w:type="dxa"/>
        </w:tblCellMar>
        <w:tblLook w:val="04A0" w:firstRow="1" w:lastRow="0" w:firstColumn="1" w:lastColumn="0" w:noHBand="0" w:noVBand="1"/>
      </w:tblPr>
      <w:tblGrid>
        <w:gridCol w:w="1847"/>
        <w:gridCol w:w="2550"/>
        <w:gridCol w:w="1134"/>
        <w:gridCol w:w="1134"/>
        <w:gridCol w:w="1556"/>
        <w:gridCol w:w="5216"/>
      </w:tblGrid>
      <w:tr w:rsidR="005F51F7" w:rsidTr="00E84672">
        <w:trPr>
          <w:cantSplit/>
          <w:tblHeader/>
        </w:trPr>
        <w:tc>
          <w:tcPr>
            <w:tcW w:w="687" w:type="pct"/>
            <w:tcBorders>
              <w:top w:val="single" w:sz="6" w:space="0" w:color="auto"/>
              <w:left w:val="nil"/>
              <w:bottom w:val="single" w:sz="6" w:space="0" w:color="auto"/>
              <w:right w:val="nil"/>
            </w:tcBorders>
            <w:hideMark/>
          </w:tcPr>
          <w:p w:rsidR="005F51F7" w:rsidRDefault="005F51F7">
            <w:pPr>
              <w:pStyle w:val="TableColumnHeading"/>
              <w:tabs>
                <w:tab w:val="right" w:pos="1734"/>
              </w:tabs>
              <w:jc w:val="left"/>
            </w:pPr>
            <w:r>
              <w:t>Jurisdiction</w:t>
            </w:r>
            <w:r>
              <w:tab/>
            </w:r>
          </w:p>
        </w:tc>
        <w:tc>
          <w:tcPr>
            <w:tcW w:w="949" w:type="pct"/>
            <w:tcBorders>
              <w:top w:val="single" w:sz="6" w:space="0" w:color="auto"/>
              <w:left w:val="nil"/>
              <w:bottom w:val="single" w:sz="6" w:space="0" w:color="auto"/>
              <w:right w:val="nil"/>
            </w:tcBorders>
            <w:hideMark/>
          </w:tcPr>
          <w:p w:rsidR="005F51F7" w:rsidRDefault="005F51F7">
            <w:pPr>
              <w:pStyle w:val="TableColumnHeading"/>
              <w:jc w:val="left"/>
            </w:pPr>
            <w:r>
              <w:t>Initiative Name</w:t>
            </w:r>
          </w:p>
        </w:tc>
        <w:tc>
          <w:tcPr>
            <w:tcW w:w="422" w:type="pct"/>
            <w:tcBorders>
              <w:top w:val="single" w:sz="6" w:space="0" w:color="auto"/>
              <w:left w:val="nil"/>
              <w:bottom w:val="single" w:sz="6" w:space="0" w:color="auto"/>
              <w:right w:val="nil"/>
            </w:tcBorders>
            <w:hideMark/>
          </w:tcPr>
          <w:p w:rsidR="005F51F7" w:rsidRDefault="005F51F7">
            <w:pPr>
              <w:pStyle w:val="TableColumnHeading"/>
              <w:jc w:val="left"/>
            </w:pPr>
            <w:r>
              <w:t>Start date</w:t>
            </w:r>
          </w:p>
        </w:tc>
        <w:tc>
          <w:tcPr>
            <w:tcW w:w="422" w:type="pct"/>
            <w:tcBorders>
              <w:top w:val="single" w:sz="6" w:space="0" w:color="auto"/>
              <w:left w:val="nil"/>
              <w:bottom w:val="single" w:sz="6" w:space="0" w:color="auto"/>
              <w:right w:val="nil"/>
            </w:tcBorders>
            <w:hideMark/>
          </w:tcPr>
          <w:p w:rsidR="005F51F7" w:rsidRDefault="005F51F7">
            <w:pPr>
              <w:pStyle w:val="TableColumnHeading"/>
              <w:jc w:val="left"/>
            </w:pPr>
            <w:r>
              <w:t>Timeframe</w:t>
            </w:r>
          </w:p>
        </w:tc>
        <w:tc>
          <w:tcPr>
            <w:tcW w:w="579" w:type="pct"/>
            <w:tcBorders>
              <w:top w:val="single" w:sz="6" w:space="0" w:color="auto"/>
              <w:left w:val="nil"/>
              <w:bottom w:val="single" w:sz="6" w:space="0" w:color="auto"/>
              <w:right w:val="nil"/>
            </w:tcBorders>
            <w:hideMark/>
          </w:tcPr>
          <w:p w:rsidR="005F51F7" w:rsidRDefault="005F51F7">
            <w:pPr>
              <w:pStyle w:val="TableColumnHeading"/>
              <w:jc w:val="left"/>
            </w:pPr>
            <w:r>
              <w:t>Funding</w:t>
            </w:r>
          </w:p>
        </w:tc>
        <w:tc>
          <w:tcPr>
            <w:tcW w:w="1941" w:type="pct"/>
            <w:tcBorders>
              <w:top w:val="single" w:sz="6" w:space="0" w:color="auto"/>
              <w:left w:val="nil"/>
              <w:bottom w:val="single" w:sz="6" w:space="0" w:color="auto"/>
              <w:right w:val="nil"/>
            </w:tcBorders>
            <w:hideMark/>
          </w:tcPr>
          <w:p w:rsidR="005F51F7" w:rsidRDefault="005F51F7">
            <w:pPr>
              <w:pStyle w:val="TableColumnHeading"/>
              <w:ind w:right="28"/>
              <w:jc w:val="left"/>
            </w:pPr>
            <w:r>
              <w:t>Key features</w:t>
            </w:r>
          </w:p>
        </w:tc>
      </w:tr>
      <w:tr w:rsidR="005F51F7" w:rsidTr="00E84672">
        <w:trPr>
          <w:cantSplit/>
        </w:trPr>
        <w:tc>
          <w:tcPr>
            <w:tcW w:w="687" w:type="pct"/>
            <w:tcBorders>
              <w:top w:val="single" w:sz="6" w:space="0" w:color="auto"/>
              <w:left w:val="nil"/>
              <w:bottom w:val="nil"/>
              <w:right w:val="nil"/>
            </w:tcBorders>
            <w:hideMark/>
          </w:tcPr>
          <w:p w:rsidR="005F51F7" w:rsidRDefault="005F51F7">
            <w:pPr>
              <w:pStyle w:val="TableUnitsRow"/>
              <w:spacing w:before="40" w:after="40"/>
              <w:jc w:val="left"/>
            </w:pPr>
            <w:r>
              <w:t>Commonwealth</w:t>
            </w:r>
          </w:p>
        </w:tc>
        <w:tc>
          <w:tcPr>
            <w:tcW w:w="949" w:type="pct"/>
            <w:tcBorders>
              <w:top w:val="single" w:sz="6" w:space="0" w:color="auto"/>
              <w:left w:val="nil"/>
              <w:bottom w:val="nil"/>
              <w:right w:val="nil"/>
            </w:tcBorders>
            <w:hideMark/>
          </w:tcPr>
          <w:p w:rsidR="005F51F7" w:rsidRDefault="005F51F7">
            <w:pPr>
              <w:pStyle w:val="TableUnitsRow"/>
              <w:spacing w:before="40" w:after="40"/>
              <w:jc w:val="left"/>
            </w:pPr>
            <w:r>
              <w:t>Energy Security Program</w:t>
            </w:r>
          </w:p>
        </w:tc>
        <w:tc>
          <w:tcPr>
            <w:tcW w:w="422" w:type="pct"/>
            <w:tcBorders>
              <w:top w:val="single" w:sz="6" w:space="0" w:color="auto"/>
              <w:left w:val="nil"/>
              <w:bottom w:val="nil"/>
              <w:right w:val="nil"/>
            </w:tcBorders>
            <w:hideMark/>
          </w:tcPr>
          <w:p w:rsidR="005F51F7" w:rsidRDefault="005F51F7">
            <w:pPr>
              <w:pStyle w:val="TableUnitsRow"/>
              <w:spacing w:before="40" w:after="40"/>
              <w:jc w:val="left"/>
            </w:pPr>
            <w:r>
              <w:t>2006</w:t>
            </w:r>
          </w:p>
        </w:tc>
        <w:tc>
          <w:tcPr>
            <w:tcW w:w="422" w:type="pct"/>
            <w:tcBorders>
              <w:top w:val="single" w:sz="6" w:space="0" w:color="auto"/>
              <w:left w:val="nil"/>
              <w:bottom w:val="nil"/>
              <w:right w:val="nil"/>
            </w:tcBorders>
            <w:hideMark/>
          </w:tcPr>
          <w:p w:rsidR="005F51F7" w:rsidRDefault="005F51F7">
            <w:pPr>
              <w:pStyle w:val="TableUnitsRow"/>
              <w:spacing w:before="40" w:after="40"/>
              <w:jc w:val="left"/>
            </w:pPr>
            <w:r>
              <w:t>5 years</w:t>
            </w:r>
          </w:p>
        </w:tc>
        <w:tc>
          <w:tcPr>
            <w:tcW w:w="579" w:type="pct"/>
            <w:tcBorders>
              <w:top w:val="single" w:sz="6" w:space="0" w:color="auto"/>
              <w:left w:val="nil"/>
              <w:bottom w:val="nil"/>
              <w:right w:val="nil"/>
            </w:tcBorders>
            <w:hideMark/>
          </w:tcPr>
          <w:p w:rsidR="005F51F7" w:rsidRDefault="005F51F7">
            <w:pPr>
              <w:pStyle w:val="TableUnitsRow"/>
              <w:spacing w:before="40" w:after="40"/>
              <w:jc w:val="left"/>
            </w:pPr>
            <w:r>
              <w:t>$134 million</w:t>
            </w:r>
          </w:p>
        </w:tc>
        <w:tc>
          <w:tcPr>
            <w:tcW w:w="1941" w:type="pct"/>
            <w:tcBorders>
              <w:top w:val="single" w:sz="6" w:space="0" w:color="auto"/>
              <w:left w:val="nil"/>
              <w:bottom w:val="nil"/>
              <w:right w:val="nil"/>
            </w:tcBorders>
            <w:hideMark/>
          </w:tcPr>
          <w:p w:rsidR="005F51F7" w:rsidRDefault="005F51F7" w:rsidP="005F51F7">
            <w:pPr>
              <w:pStyle w:val="TableBullet"/>
              <w:numPr>
                <w:ilvl w:val="0"/>
                <w:numId w:val="50"/>
              </w:numPr>
            </w:pPr>
            <w:r>
              <w:t>$58.9 million for onshore seismic surveying, radiometric mapping and geochemical surveying</w:t>
            </w:r>
          </w:p>
          <w:p w:rsidR="005F51F7" w:rsidRDefault="005F51F7" w:rsidP="005F51F7">
            <w:pPr>
              <w:pStyle w:val="TableBullet"/>
              <w:numPr>
                <w:ilvl w:val="0"/>
                <w:numId w:val="50"/>
              </w:numPr>
            </w:pPr>
            <w:r>
              <w:t>$75.1 million for offshore surveys, prospectivity assessments and information management</w:t>
            </w:r>
            <w:r w:rsidR="00826DA6">
              <w:t xml:space="preserve"> </w:t>
            </w:r>
          </w:p>
        </w:tc>
      </w:tr>
      <w:tr w:rsidR="005F51F7" w:rsidTr="00E84672">
        <w:trPr>
          <w:cantSplit/>
        </w:trPr>
        <w:tc>
          <w:tcPr>
            <w:tcW w:w="687" w:type="pct"/>
            <w:hideMark/>
          </w:tcPr>
          <w:p w:rsidR="005F51F7" w:rsidRDefault="005F51F7">
            <w:pPr>
              <w:pStyle w:val="TableBodyText"/>
              <w:jc w:val="left"/>
            </w:pPr>
            <w:r>
              <w:t>Western Australia</w:t>
            </w:r>
          </w:p>
        </w:tc>
        <w:tc>
          <w:tcPr>
            <w:tcW w:w="949" w:type="pct"/>
            <w:hideMark/>
          </w:tcPr>
          <w:p w:rsidR="005F51F7" w:rsidRDefault="005F51F7">
            <w:pPr>
              <w:pStyle w:val="TableBodyText"/>
              <w:jc w:val="left"/>
            </w:pPr>
            <w:r>
              <w:t>Exploration Incentive Scheme (</w:t>
            </w:r>
            <w:proofErr w:type="spellStart"/>
            <w:r>
              <w:t>EIS</w:t>
            </w:r>
            <w:proofErr w:type="spellEnd"/>
            <w:r>
              <w:t>) Phase 1</w:t>
            </w:r>
          </w:p>
        </w:tc>
        <w:tc>
          <w:tcPr>
            <w:tcW w:w="422" w:type="pct"/>
            <w:hideMark/>
          </w:tcPr>
          <w:p w:rsidR="005F51F7" w:rsidRDefault="005F51F7">
            <w:pPr>
              <w:pStyle w:val="TableBodyText"/>
              <w:jc w:val="left"/>
            </w:pPr>
            <w:r>
              <w:t>2009</w:t>
            </w:r>
          </w:p>
        </w:tc>
        <w:tc>
          <w:tcPr>
            <w:tcW w:w="422" w:type="pct"/>
            <w:hideMark/>
          </w:tcPr>
          <w:p w:rsidR="005F51F7" w:rsidRDefault="005F51F7">
            <w:pPr>
              <w:pStyle w:val="TableBodyText"/>
              <w:jc w:val="left"/>
            </w:pPr>
            <w:r>
              <w:t>5 years</w:t>
            </w:r>
          </w:p>
        </w:tc>
        <w:tc>
          <w:tcPr>
            <w:tcW w:w="579" w:type="pct"/>
            <w:hideMark/>
          </w:tcPr>
          <w:p w:rsidR="005F51F7" w:rsidRDefault="005F51F7">
            <w:pPr>
              <w:pStyle w:val="TableBodyText"/>
              <w:jc w:val="left"/>
            </w:pPr>
            <w:r>
              <w:t>$80 million</w:t>
            </w:r>
          </w:p>
        </w:tc>
        <w:tc>
          <w:tcPr>
            <w:tcW w:w="1941" w:type="pct"/>
            <w:hideMark/>
          </w:tcPr>
          <w:p w:rsidR="005F51F7" w:rsidRDefault="005F51F7" w:rsidP="005F51F7">
            <w:pPr>
              <w:pStyle w:val="TableBullet"/>
              <w:numPr>
                <w:ilvl w:val="0"/>
                <w:numId w:val="50"/>
              </w:numPr>
            </w:pPr>
            <w:r>
              <w:t>$1.5 million for online application processes</w:t>
            </w:r>
          </w:p>
          <w:p w:rsidR="005F51F7" w:rsidRDefault="005F51F7" w:rsidP="005F51F7">
            <w:pPr>
              <w:pStyle w:val="TableBullet"/>
              <w:numPr>
                <w:ilvl w:val="0"/>
                <w:numId w:val="50"/>
              </w:numPr>
            </w:pPr>
            <w:r>
              <w:t>$26.9 million for innovative drilling in greenfield areas</w:t>
            </w:r>
          </w:p>
          <w:p w:rsidR="005F51F7" w:rsidRDefault="005F51F7" w:rsidP="005F51F7">
            <w:pPr>
              <w:pStyle w:val="TableBullet"/>
              <w:numPr>
                <w:ilvl w:val="0"/>
                <w:numId w:val="50"/>
              </w:numPr>
            </w:pPr>
            <w:r>
              <w:t>$32.5 million for geophysical and geochemical surveys</w:t>
            </w:r>
          </w:p>
          <w:p w:rsidR="005F51F7" w:rsidRDefault="005F51F7" w:rsidP="005F51F7">
            <w:pPr>
              <w:pStyle w:val="TableBullet"/>
              <w:numPr>
                <w:ilvl w:val="0"/>
                <w:numId w:val="50"/>
              </w:numPr>
            </w:pPr>
            <w:r>
              <w:t>$13.8 million for an online geological mapping system</w:t>
            </w:r>
          </w:p>
          <w:p w:rsidR="005F51F7" w:rsidRDefault="005F51F7" w:rsidP="005F51F7">
            <w:pPr>
              <w:pStyle w:val="TableBullet"/>
              <w:numPr>
                <w:ilvl w:val="0"/>
                <w:numId w:val="50"/>
              </w:numPr>
            </w:pPr>
            <w:r>
              <w:t>$2.3 million for strategic research</w:t>
            </w:r>
          </w:p>
          <w:p w:rsidR="005F51F7" w:rsidRDefault="005F51F7" w:rsidP="005F51F7">
            <w:pPr>
              <w:pStyle w:val="TableBullet"/>
              <w:numPr>
                <w:ilvl w:val="0"/>
                <w:numId w:val="50"/>
              </w:numPr>
            </w:pPr>
            <w:r>
              <w:t>$3 million for Indigenous and environmental approval initiatives</w:t>
            </w:r>
          </w:p>
        </w:tc>
      </w:tr>
      <w:tr w:rsidR="005F51F7" w:rsidTr="00E84672">
        <w:trPr>
          <w:cantSplit/>
        </w:trPr>
        <w:tc>
          <w:tcPr>
            <w:tcW w:w="687" w:type="pct"/>
          </w:tcPr>
          <w:p w:rsidR="005F51F7" w:rsidRDefault="005F51F7">
            <w:pPr>
              <w:pStyle w:val="TableBodyText"/>
              <w:jc w:val="left"/>
            </w:pPr>
          </w:p>
        </w:tc>
        <w:tc>
          <w:tcPr>
            <w:tcW w:w="949" w:type="pct"/>
            <w:hideMark/>
          </w:tcPr>
          <w:p w:rsidR="005F51F7" w:rsidRDefault="005F51F7">
            <w:pPr>
              <w:pStyle w:val="TableBodyText"/>
              <w:jc w:val="left"/>
            </w:pPr>
            <w:r>
              <w:t>Exploration Incentive Scheme (</w:t>
            </w:r>
            <w:proofErr w:type="spellStart"/>
            <w:r>
              <w:t>EIS</w:t>
            </w:r>
            <w:proofErr w:type="spellEnd"/>
            <w:r>
              <w:t>) Phase 2</w:t>
            </w:r>
          </w:p>
        </w:tc>
        <w:tc>
          <w:tcPr>
            <w:tcW w:w="422" w:type="pct"/>
            <w:hideMark/>
          </w:tcPr>
          <w:p w:rsidR="005F51F7" w:rsidRDefault="005F51F7">
            <w:pPr>
              <w:pStyle w:val="TableBodyText"/>
              <w:jc w:val="left"/>
            </w:pPr>
            <w:r>
              <w:t>2014</w:t>
            </w:r>
          </w:p>
        </w:tc>
        <w:tc>
          <w:tcPr>
            <w:tcW w:w="422" w:type="pct"/>
            <w:hideMark/>
          </w:tcPr>
          <w:p w:rsidR="005F51F7" w:rsidRDefault="005F51F7">
            <w:pPr>
              <w:pStyle w:val="TableBodyText"/>
              <w:jc w:val="left"/>
            </w:pPr>
            <w:r>
              <w:t>2 years</w:t>
            </w:r>
          </w:p>
        </w:tc>
        <w:tc>
          <w:tcPr>
            <w:tcW w:w="579" w:type="pct"/>
            <w:hideMark/>
          </w:tcPr>
          <w:p w:rsidR="005F51F7" w:rsidRDefault="005F51F7">
            <w:pPr>
              <w:pStyle w:val="TableBodyText"/>
              <w:jc w:val="left"/>
            </w:pPr>
            <w:r>
              <w:t>$37.5 million</w:t>
            </w:r>
          </w:p>
        </w:tc>
        <w:tc>
          <w:tcPr>
            <w:tcW w:w="1941" w:type="pct"/>
            <w:hideMark/>
          </w:tcPr>
          <w:p w:rsidR="005F51F7" w:rsidRDefault="005F51F7" w:rsidP="00645EDE">
            <w:pPr>
              <w:pStyle w:val="TableBodyText"/>
              <w:jc w:val="left"/>
            </w:pPr>
            <w:r>
              <w:t>Funding to be continued along similar lines to the first phase of the Exploration Incentive Scheme.</w:t>
            </w:r>
            <w:r>
              <w:rPr>
                <w:rStyle w:val="NoteLabel"/>
              </w:rPr>
              <w:t>a</w:t>
            </w:r>
            <w:r>
              <w:t xml:space="preserve"> </w:t>
            </w:r>
          </w:p>
        </w:tc>
      </w:tr>
      <w:tr w:rsidR="005F51F7" w:rsidTr="00E84672">
        <w:trPr>
          <w:cantSplit/>
        </w:trPr>
        <w:tc>
          <w:tcPr>
            <w:tcW w:w="687" w:type="pct"/>
            <w:hideMark/>
          </w:tcPr>
          <w:p w:rsidR="005F51F7" w:rsidRDefault="005F51F7">
            <w:pPr>
              <w:pStyle w:val="TableBodyText"/>
              <w:jc w:val="left"/>
            </w:pPr>
            <w:r>
              <w:t>Queensland</w:t>
            </w:r>
          </w:p>
        </w:tc>
        <w:tc>
          <w:tcPr>
            <w:tcW w:w="949" w:type="pct"/>
            <w:hideMark/>
          </w:tcPr>
          <w:p w:rsidR="005F51F7" w:rsidRDefault="005F51F7">
            <w:pPr>
              <w:pStyle w:val="TableBodyText"/>
              <w:jc w:val="left"/>
            </w:pPr>
            <w:r>
              <w:t xml:space="preserve">Smart Mining </w:t>
            </w:r>
            <w:r w:rsidR="00DC4E50">
              <w:noBreakHyphen/>
            </w:r>
            <w:r>
              <w:t xml:space="preserve"> Future Prosperity</w:t>
            </w:r>
          </w:p>
        </w:tc>
        <w:tc>
          <w:tcPr>
            <w:tcW w:w="422" w:type="pct"/>
            <w:hideMark/>
          </w:tcPr>
          <w:p w:rsidR="005F51F7" w:rsidRDefault="005F51F7">
            <w:pPr>
              <w:pStyle w:val="TableBodyText"/>
              <w:jc w:val="left"/>
            </w:pPr>
            <w:r>
              <w:t>2006</w:t>
            </w:r>
          </w:p>
        </w:tc>
        <w:tc>
          <w:tcPr>
            <w:tcW w:w="422" w:type="pct"/>
            <w:hideMark/>
          </w:tcPr>
          <w:p w:rsidR="005F51F7" w:rsidRDefault="005F51F7">
            <w:pPr>
              <w:pStyle w:val="TableBodyText"/>
              <w:jc w:val="left"/>
            </w:pPr>
            <w:r>
              <w:t>4 years</w:t>
            </w:r>
          </w:p>
        </w:tc>
        <w:tc>
          <w:tcPr>
            <w:tcW w:w="579" w:type="pct"/>
            <w:hideMark/>
          </w:tcPr>
          <w:p w:rsidR="005F51F7" w:rsidRDefault="005F51F7">
            <w:pPr>
              <w:pStyle w:val="TableBodyText"/>
              <w:jc w:val="left"/>
            </w:pPr>
            <w:r>
              <w:t>$29.1 million</w:t>
            </w:r>
          </w:p>
        </w:tc>
        <w:tc>
          <w:tcPr>
            <w:tcW w:w="1941" w:type="pct"/>
            <w:hideMark/>
          </w:tcPr>
          <w:p w:rsidR="005F51F7" w:rsidRDefault="005F51F7" w:rsidP="005F51F7">
            <w:pPr>
              <w:pStyle w:val="TableBodyText"/>
              <w:jc w:val="left"/>
            </w:pPr>
            <w:r>
              <w:t xml:space="preserve">Funding was used to increase and accelerate investment in exploration, address skills shortages, and promote the involvement of women in mining. </w:t>
            </w:r>
          </w:p>
        </w:tc>
      </w:tr>
      <w:tr w:rsidR="005F51F7" w:rsidTr="00E84672">
        <w:trPr>
          <w:cantSplit/>
        </w:trPr>
        <w:tc>
          <w:tcPr>
            <w:tcW w:w="687" w:type="pct"/>
          </w:tcPr>
          <w:p w:rsidR="005F51F7" w:rsidRDefault="005F51F7">
            <w:pPr>
              <w:pStyle w:val="TableBodyText"/>
              <w:jc w:val="left"/>
            </w:pPr>
          </w:p>
        </w:tc>
        <w:tc>
          <w:tcPr>
            <w:tcW w:w="949" w:type="pct"/>
            <w:hideMark/>
          </w:tcPr>
          <w:p w:rsidR="005F51F7" w:rsidRDefault="005F51F7">
            <w:pPr>
              <w:pStyle w:val="TableBodyText"/>
              <w:jc w:val="left"/>
            </w:pPr>
            <w:r>
              <w:t>Greenfields 2020</w:t>
            </w:r>
          </w:p>
        </w:tc>
        <w:tc>
          <w:tcPr>
            <w:tcW w:w="422" w:type="pct"/>
            <w:hideMark/>
          </w:tcPr>
          <w:p w:rsidR="005F51F7" w:rsidRDefault="005F51F7">
            <w:pPr>
              <w:pStyle w:val="TableBodyText"/>
              <w:jc w:val="left"/>
            </w:pPr>
            <w:r>
              <w:t>2010</w:t>
            </w:r>
          </w:p>
        </w:tc>
        <w:tc>
          <w:tcPr>
            <w:tcW w:w="422" w:type="pct"/>
            <w:hideMark/>
          </w:tcPr>
          <w:p w:rsidR="005F51F7" w:rsidRDefault="005F51F7">
            <w:pPr>
              <w:pStyle w:val="TableBodyText"/>
              <w:jc w:val="left"/>
            </w:pPr>
            <w:r>
              <w:t>4 years</w:t>
            </w:r>
          </w:p>
        </w:tc>
        <w:tc>
          <w:tcPr>
            <w:tcW w:w="579" w:type="pct"/>
            <w:hideMark/>
          </w:tcPr>
          <w:p w:rsidR="005F51F7" w:rsidRDefault="005F51F7">
            <w:pPr>
              <w:pStyle w:val="TableBodyText"/>
              <w:jc w:val="left"/>
            </w:pPr>
            <w:r>
              <w:t>$18 million</w:t>
            </w:r>
          </w:p>
        </w:tc>
        <w:tc>
          <w:tcPr>
            <w:tcW w:w="1941" w:type="pct"/>
            <w:hideMark/>
          </w:tcPr>
          <w:p w:rsidR="005F51F7" w:rsidRDefault="005F51F7" w:rsidP="005F51F7">
            <w:pPr>
              <w:pStyle w:val="TableBodyText"/>
              <w:jc w:val="left"/>
            </w:pPr>
            <w:r>
              <w:t>Funding to be delivered through 8 programs, including collaborative drilling grants, geological mapping and the modernisation of data delivery and management.</w:t>
            </w:r>
            <w:r w:rsidR="00826DA6">
              <w:t xml:space="preserve"> </w:t>
            </w:r>
          </w:p>
        </w:tc>
      </w:tr>
      <w:tr w:rsidR="005F51F7" w:rsidTr="00E84672">
        <w:trPr>
          <w:cantSplit/>
        </w:trPr>
        <w:tc>
          <w:tcPr>
            <w:tcW w:w="687" w:type="pct"/>
            <w:hideMark/>
          </w:tcPr>
          <w:p w:rsidR="005F51F7" w:rsidRDefault="005F51F7">
            <w:pPr>
              <w:pStyle w:val="TableBodyText"/>
              <w:jc w:val="left"/>
            </w:pPr>
            <w:r>
              <w:t>New South Wales</w:t>
            </w:r>
          </w:p>
        </w:tc>
        <w:tc>
          <w:tcPr>
            <w:tcW w:w="949" w:type="pct"/>
            <w:hideMark/>
          </w:tcPr>
          <w:p w:rsidR="005F51F7" w:rsidRDefault="005F51F7">
            <w:pPr>
              <w:pStyle w:val="TableBodyText"/>
              <w:jc w:val="left"/>
            </w:pPr>
            <w:r>
              <w:t>Exploration NSW</w:t>
            </w:r>
          </w:p>
        </w:tc>
        <w:tc>
          <w:tcPr>
            <w:tcW w:w="422" w:type="pct"/>
            <w:hideMark/>
          </w:tcPr>
          <w:p w:rsidR="005F51F7" w:rsidRDefault="005F51F7">
            <w:pPr>
              <w:pStyle w:val="TableBodyText"/>
              <w:jc w:val="left"/>
            </w:pPr>
            <w:r>
              <w:t>2000</w:t>
            </w:r>
          </w:p>
        </w:tc>
        <w:tc>
          <w:tcPr>
            <w:tcW w:w="422" w:type="pct"/>
            <w:hideMark/>
          </w:tcPr>
          <w:p w:rsidR="005F51F7" w:rsidRDefault="005F51F7">
            <w:pPr>
              <w:pStyle w:val="TableBodyText"/>
              <w:jc w:val="left"/>
            </w:pPr>
            <w:r>
              <w:t>7 years</w:t>
            </w:r>
          </w:p>
        </w:tc>
        <w:tc>
          <w:tcPr>
            <w:tcW w:w="579" w:type="pct"/>
            <w:hideMark/>
          </w:tcPr>
          <w:p w:rsidR="005F51F7" w:rsidRDefault="005F51F7">
            <w:pPr>
              <w:pStyle w:val="TableBodyText"/>
              <w:jc w:val="left"/>
            </w:pPr>
            <w:r>
              <w:t>$30 million</w:t>
            </w:r>
          </w:p>
        </w:tc>
        <w:tc>
          <w:tcPr>
            <w:tcW w:w="1941" w:type="pct"/>
            <w:hideMark/>
          </w:tcPr>
          <w:p w:rsidR="005F51F7" w:rsidRDefault="005F51F7" w:rsidP="005F51F7">
            <w:pPr>
              <w:pStyle w:val="TableBullet"/>
              <w:numPr>
                <w:ilvl w:val="0"/>
                <w:numId w:val="50"/>
              </w:numPr>
            </w:pPr>
            <w:r>
              <w:t>$12 million for mineral and mapping program</w:t>
            </w:r>
          </w:p>
          <w:p w:rsidR="005F51F7" w:rsidRDefault="00BA52FD" w:rsidP="005F51F7">
            <w:pPr>
              <w:pStyle w:val="TableBullet"/>
              <w:numPr>
                <w:ilvl w:val="0"/>
                <w:numId w:val="50"/>
              </w:numPr>
            </w:pPr>
            <w:r>
              <w:t>$</w:t>
            </w:r>
            <w:r w:rsidR="005F51F7">
              <w:t>9.6 million to petroleum programs</w:t>
            </w:r>
          </w:p>
          <w:p w:rsidR="005F51F7" w:rsidRDefault="00BA52FD" w:rsidP="005F51F7">
            <w:pPr>
              <w:pStyle w:val="TableBullet"/>
              <w:numPr>
                <w:ilvl w:val="0"/>
                <w:numId w:val="50"/>
              </w:numPr>
            </w:pPr>
            <w:r>
              <w:t>$</w:t>
            </w:r>
            <w:r w:rsidR="005F51F7">
              <w:t>8.4 million to computer based data delivery, data maintenance and online systems</w:t>
            </w:r>
          </w:p>
        </w:tc>
      </w:tr>
      <w:tr w:rsidR="005F51F7" w:rsidTr="00E84672">
        <w:trPr>
          <w:cantSplit/>
        </w:trPr>
        <w:tc>
          <w:tcPr>
            <w:tcW w:w="687" w:type="pct"/>
            <w:tcBorders>
              <w:bottom w:val="single" w:sz="4" w:space="0" w:color="auto"/>
            </w:tcBorders>
          </w:tcPr>
          <w:p w:rsidR="005F51F7" w:rsidRDefault="005F51F7">
            <w:pPr>
              <w:pStyle w:val="TableBodyText"/>
              <w:jc w:val="left"/>
            </w:pPr>
          </w:p>
        </w:tc>
        <w:tc>
          <w:tcPr>
            <w:tcW w:w="949" w:type="pct"/>
            <w:tcBorders>
              <w:bottom w:val="single" w:sz="4" w:space="0" w:color="auto"/>
            </w:tcBorders>
            <w:hideMark/>
          </w:tcPr>
          <w:p w:rsidR="005F51F7" w:rsidRDefault="005F51F7">
            <w:pPr>
              <w:pStyle w:val="TableBodyText"/>
              <w:jc w:val="left"/>
            </w:pPr>
            <w:r>
              <w:t>New Frontiers Initiative</w:t>
            </w:r>
          </w:p>
        </w:tc>
        <w:tc>
          <w:tcPr>
            <w:tcW w:w="422" w:type="pct"/>
            <w:tcBorders>
              <w:bottom w:val="single" w:sz="4" w:space="0" w:color="auto"/>
            </w:tcBorders>
            <w:hideMark/>
          </w:tcPr>
          <w:p w:rsidR="005F51F7" w:rsidRDefault="005F51F7" w:rsidP="000E7614">
            <w:pPr>
              <w:pStyle w:val="TableBodyText"/>
              <w:jc w:val="left"/>
            </w:pPr>
            <w:r>
              <w:t>200</w:t>
            </w:r>
            <w:r w:rsidR="000E7614">
              <w:t>6</w:t>
            </w:r>
          </w:p>
        </w:tc>
        <w:tc>
          <w:tcPr>
            <w:tcW w:w="422" w:type="pct"/>
            <w:tcBorders>
              <w:bottom w:val="single" w:sz="4" w:space="0" w:color="auto"/>
            </w:tcBorders>
            <w:hideMark/>
          </w:tcPr>
          <w:p w:rsidR="005F51F7" w:rsidRDefault="005F51F7">
            <w:pPr>
              <w:pStyle w:val="TableBodyText"/>
              <w:jc w:val="left"/>
            </w:pPr>
            <w:r>
              <w:t>6 years</w:t>
            </w:r>
          </w:p>
        </w:tc>
        <w:tc>
          <w:tcPr>
            <w:tcW w:w="579" w:type="pct"/>
            <w:tcBorders>
              <w:bottom w:val="single" w:sz="4" w:space="0" w:color="auto"/>
            </w:tcBorders>
            <w:hideMark/>
          </w:tcPr>
          <w:p w:rsidR="005F51F7" w:rsidRDefault="005F51F7">
            <w:pPr>
              <w:pStyle w:val="TableBodyText"/>
              <w:jc w:val="left"/>
            </w:pPr>
            <w:r>
              <w:t>$30 million</w:t>
            </w:r>
          </w:p>
        </w:tc>
        <w:tc>
          <w:tcPr>
            <w:tcW w:w="1941" w:type="pct"/>
            <w:tcBorders>
              <w:bottom w:val="single" w:sz="4" w:space="0" w:color="auto"/>
            </w:tcBorders>
            <w:hideMark/>
          </w:tcPr>
          <w:p w:rsidR="005F51F7" w:rsidRDefault="005F51F7" w:rsidP="00993B99">
            <w:pPr>
              <w:pStyle w:val="TableBodyText"/>
              <w:ind w:right="28"/>
              <w:jc w:val="left"/>
            </w:pPr>
            <w:r>
              <w:t>Expenditure breakdown similar to Exploration NSW but varying according to priorities.</w:t>
            </w:r>
            <w:r w:rsidR="00993B99">
              <w:t xml:space="preserve"> Extended in 2010</w:t>
            </w:r>
            <w:r w:rsidR="00826DA6">
              <w:noBreakHyphen/>
            </w:r>
            <w:r w:rsidR="00993B99">
              <w:t>11 with the implementation of cost recovery funding.</w:t>
            </w:r>
          </w:p>
        </w:tc>
      </w:tr>
      <w:tr w:rsidR="005F51F7" w:rsidTr="00E84672">
        <w:trPr>
          <w:cantSplit/>
        </w:trPr>
        <w:tc>
          <w:tcPr>
            <w:tcW w:w="687" w:type="pct"/>
            <w:tcBorders>
              <w:top w:val="single" w:sz="4" w:space="0" w:color="auto"/>
            </w:tcBorders>
            <w:hideMark/>
          </w:tcPr>
          <w:p w:rsidR="005F51F7" w:rsidRDefault="005F51F7">
            <w:pPr>
              <w:pStyle w:val="TableBodyText"/>
              <w:jc w:val="left"/>
            </w:pPr>
            <w:r>
              <w:lastRenderedPageBreak/>
              <w:t>South Australia</w:t>
            </w:r>
          </w:p>
        </w:tc>
        <w:tc>
          <w:tcPr>
            <w:tcW w:w="949" w:type="pct"/>
            <w:tcBorders>
              <w:top w:val="single" w:sz="4" w:space="0" w:color="auto"/>
            </w:tcBorders>
            <w:hideMark/>
          </w:tcPr>
          <w:p w:rsidR="005F51F7" w:rsidRDefault="005F51F7">
            <w:pPr>
              <w:pStyle w:val="TableBodyText"/>
              <w:jc w:val="left"/>
            </w:pPr>
            <w:r>
              <w:t>Plan for Accelerating Exploration (PACE)</w:t>
            </w:r>
            <w:r>
              <w:rPr>
                <w:rStyle w:val="NoteLabel"/>
              </w:rPr>
              <w:t xml:space="preserve"> </w:t>
            </w:r>
          </w:p>
        </w:tc>
        <w:tc>
          <w:tcPr>
            <w:tcW w:w="422" w:type="pct"/>
            <w:tcBorders>
              <w:top w:val="single" w:sz="4" w:space="0" w:color="auto"/>
            </w:tcBorders>
            <w:hideMark/>
          </w:tcPr>
          <w:p w:rsidR="005F51F7" w:rsidRDefault="005F51F7">
            <w:pPr>
              <w:pStyle w:val="TableBodyText"/>
              <w:jc w:val="left"/>
            </w:pPr>
            <w:r>
              <w:t>2004</w:t>
            </w:r>
          </w:p>
        </w:tc>
        <w:tc>
          <w:tcPr>
            <w:tcW w:w="422" w:type="pct"/>
            <w:tcBorders>
              <w:top w:val="single" w:sz="4" w:space="0" w:color="auto"/>
            </w:tcBorders>
            <w:hideMark/>
          </w:tcPr>
          <w:p w:rsidR="005F51F7" w:rsidRDefault="005F51F7">
            <w:pPr>
              <w:pStyle w:val="TableBodyText"/>
              <w:jc w:val="left"/>
            </w:pPr>
            <w:r>
              <w:t>10 years</w:t>
            </w:r>
          </w:p>
        </w:tc>
        <w:tc>
          <w:tcPr>
            <w:tcW w:w="579" w:type="pct"/>
            <w:tcBorders>
              <w:top w:val="single" w:sz="4" w:space="0" w:color="auto"/>
            </w:tcBorders>
            <w:hideMark/>
          </w:tcPr>
          <w:p w:rsidR="005F51F7" w:rsidRDefault="005F51F7">
            <w:pPr>
              <w:pStyle w:val="TableBodyText"/>
              <w:jc w:val="left"/>
            </w:pPr>
            <w:r>
              <w:t>$53.9 million</w:t>
            </w:r>
          </w:p>
        </w:tc>
        <w:tc>
          <w:tcPr>
            <w:tcW w:w="1941" w:type="pct"/>
            <w:tcBorders>
              <w:top w:val="single" w:sz="4" w:space="0" w:color="auto"/>
            </w:tcBorders>
            <w:hideMark/>
          </w:tcPr>
          <w:p w:rsidR="005F51F7" w:rsidRDefault="005F51F7">
            <w:pPr>
              <w:pStyle w:val="TableBodyText"/>
              <w:ind w:right="28"/>
              <w:jc w:val="left"/>
            </w:pPr>
            <w:r>
              <w:t>Funding is distributed through four main work streams:</w:t>
            </w:r>
          </w:p>
          <w:p w:rsidR="005F51F7" w:rsidRDefault="005F51F7" w:rsidP="005F51F7">
            <w:pPr>
              <w:pStyle w:val="TableBullet"/>
              <w:numPr>
                <w:ilvl w:val="0"/>
                <w:numId w:val="50"/>
              </w:numPr>
            </w:pPr>
            <w:r>
              <w:t xml:space="preserve">PACE Exploration </w:t>
            </w:r>
          </w:p>
          <w:p w:rsidR="005F51F7" w:rsidRDefault="005F51F7" w:rsidP="005F51F7">
            <w:pPr>
              <w:pStyle w:val="TableBullet"/>
              <w:numPr>
                <w:ilvl w:val="0"/>
                <w:numId w:val="50"/>
              </w:numPr>
            </w:pPr>
            <w:r>
              <w:t>PACE Mining</w:t>
            </w:r>
          </w:p>
          <w:p w:rsidR="005F51F7" w:rsidRDefault="005F51F7" w:rsidP="005F51F7">
            <w:pPr>
              <w:pStyle w:val="TableBullet"/>
              <w:numPr>
                <w:ilvl w:val="0"/>
                <w:numId w:val="50"/>
              </w:numPr>
            </w:pPr>
            <w:r>
              <w:t>PACE Energy</w:t>
            </w:r>
          </w:p>
          <w:p w:rsidR="005F51F7" w:rsidRDefault="005F51F7" w:rsidP="005F51F7">
            <w:pPr>
              <w:pStyle w:val="TableBullet"/>
              <w:numPr>
                <w:ilvl w:val="0"/>
                <w:numId w:val="50"/>
              </w:numPr>
              <w:jc w:val="both"/>
            </w:pPr>
            <w:r>
              <w:t>PACE Global</w:t>
            </w:r>
          </w:p>
        </w:tc>
      </w:tr>
      <w:tr w:rsidR="005F51F7" w:rsidTr="00E84672">
        <w:trPr>
          <w:cantSplit/>
        </w:trPr>
        <w:tc>
          <w:tcPr>
            <w:tcW w:w="687" w:type="pct"/>
            <w:hideMark/>
          </w:tcPr>
          <w:p w:rsidR="005F51F7" w:rsidRDefault="005F51F7">
            <w:pPr>
              <w:pStyle w:val="TableBodyText"/>
              <w:jc w:val="left"/>
            </w:pPr>
            <w:r>
              <w:t>Northern Territory</w:t>
            </w:r>
          </w:p>
        </w:tc>
        <w:tc>
          <w:tcPr>
            <w:tcW w:w="949" w:type="pct"/>
            <w:hideMark/>
          </w:tcPr>
          <w:p w:rsidR="005F51F7" w:rsidRDefault="005F51F7">
            <w:pPr>
              <w:pStyle w:val="TableBodyText"/>
              <w:jc w:val="left"/>
            </w:pPr>
            <w:r>
              <w:t>Bringing Forward Discovery</w:t>
            </w:r>
          </w:p>
        </w:tc>
        <w:tc>
          <w:tcPr>
            <w:tcW w:w="422" w:type="pct"/>
            <w:hideMark/>
          </w:tcPr>
          <w:p w:rsidR="005F51F7" w:rsidRDefault="005F51F7">
            <w:pPr>
              <w:pStyle w:val="TableBodyText"/>
              <w:jc w:val="left"/>
            </w:pPr>
            <w:r>
              <w:t>2007</w:t>
            </w:r>
          </w:p>
        </w:tc>
        <w:tc>
          <w:tcPr>
            <w:tcW w:w="422" w:type="pct"/>
            <w:hideMark/>
          </w:tcPr>
          <w:p w:rsidR="005F51F7" w:rsidRDefault="005F51F7">
            <w:pPr>
              <w:pStyle w:val="TableBodyText"/>
              <w:jc w:val="left"/>
            </w:pPr>
            <w:r>
              <w:t>4 years</w:t>
            </w:r>
          </w:p>
        </w:tc>
        <w:tc>
          <w:tcPr>
            <w:tcW w:w="579" w:type="pct"/>
            <w:hideMark/>
          </w:tcPr>
          <w:p w:rsidR="005F51F7" w:rsidRDefault="005F51F7">
            <w:pPr>
              <w:pStyle w:val="TableBodyText"/>
              <w:jc w:val="left"/>
            </w:pPr>
            <w:r>
              <w:t xml:space="preserve"> $14.4 million</w:t>
            </w:r>
          </w:p>
        </w:tc>
        <w:tc>
          <w:tcPr>
            <w:tcW w:w="1941" w:type="pct"/>
            <w:hideMark/>
          </w:tcPr>
          <w:p w:rsidR="005F51F7" w:rsidRDefault="005F51F7" w:rsidP="005F51F7">
            <w:pPr>
              <w:pStyle w:val="TableBullet"/>
              <w:numPr>
                <w:ilvl w:val="0"/>
                <w:numId w:val="50"/>
              </w:numPr>
            </w:pPr>
            <w:r>
              <w:t>$11.25 million for geoscientific data</w:t>
            </w:r>
          </w:p>
          <w:p w:rsidR="005F51F7" w:rsidRDefault="005F51F7" w:rsidP="005F51F7">
            <w:pPr>
              <w:pStyle w:val="TableBullet"/>
              <w:numPr>
                <w:ilvl w:val="0"/>
                <w:numId w:val="50"/>
              </w:numPr>
            </w:pPr>
            <w:r>
              <w:t>$0.75 million for promotion</w:t>
            </w:r>
          </w:p>
          <w:p w:rsidR="005F51F7" w:rsidRDefault="005F51F7" w:rsidP="005F51F7">
            <w:pPr>
              <w:pStyle w:val="TableBullet"/>
              <w:numPr>
                <w:ilvl w:val="0"/>
                <w:numId w:val="50"/>
              </w:numPr>
            </w:pPr>
            <w:r>
              <w:t>$2.4 million for co</w:t>
            </w:r>
            <w:r w:rsidR="00826DA6">
              <w:noBreakHyphen/>
            </w:r>
            <w:r>
              <w:t>funding greenfields exploration</w:t>
            </w:r>
          </w:p>
        </w:tc>
      </w:tr>
      <w:tr w:rsidR="005F51F7" w:rsidTr="00E84672">
        <w:trPr>
          <w:cantSplit/>
        </w:trPr>
        <w:tc>
          <w:tcPr>
            <w:tcW w:w="687" w:type="pct"/>
          </w:tcPr>
          <w:p w:rsidR="005F51F7" w:rsidRDefault="005F51F7">
            <w:pPr>
              <w:pStyle w:val="TableBodyText"/>
              <w:jc w:val="left"/>
            </w:pPr>
          </w:p>
        </w:tc>
        <w:tc>
          <w:tcPr>
            <w:tcW w:w="949" w:type="pct"/>
            <w:hideMark/>
          </w:tcPr>
          <w:p w:rsidR="005F51F7" w:rsidRDefault="005F51F7">
            <w:pPr>
              <w:pStyle w:val="TableBodyText"/>
              <w:jc w:val="left"/>
            </w:pPr>
            <w:r>
              <w:t>Bringing Forward Discovery (extension)</w:t>
            </w:r>
          </w:p>
        </w:tc>
        <w:tc>
          <w:tcPr>
            <w:tcW w:w="422" w:type="pct"/>
            <w:hideMark/>
          </w:tcPr>
          <w:p w:rsidR="005F51F7" w:rsidRDefault="005F51F7">
            <w:pPr>
              <w:pStyle w:val="TableBodyText"/>
              <w:jc w:val="left"/>
            </w:pPr>
            <w:r>
              <w:t>2011</w:t>
            </w:r>
          </w:p>
        </w:tc>
        <w:tc>
          <w:tcPr>
            <w:tcW w:w="422" w:type="pct"/>
            <w:hideMark/>
          </w:tcPr>
          <w:p w:rsidR="005F51F7" w:rsidRDefault="005F51F7">
            <w:pPr>
              <w:pStyle w:val="TableBodyText"/>
              <w:jc w:val="left"/>
            </w:pPr>
            <w:r>
              <w:t>3 years</w:t>
            </w:r>
          </w:p>
        </w:tc>
        <w:tc>
          <w:tcPr>
            <w:tcW w:w="579" w:type="pct"/>
            <w:hideMark/>
          </w:tcPr>
          <w:p w:rsidR="005F51F7" w:rsidRDefault="005F51F7">
            <w:pPr>
              <w:pStyle w:val="TableBodyText"/>
              <w:jc w:val="left"/>
            </w:pPr>
            <w:r>
              <w:t>$11.4 million</w:t>
            </w:r>
          </w:p>
        </w:tc>
        <w:tc>
          <w:tcPr>
            <w:tcW w:w="1941" w:type="pct"/>
            <w:hideMark/>
          </w:tcPr>
          <w:p w:rsidR="005F51F7" w:rsidRDefault="005F51F7" w:rsidP="005F51F7">
            <w:pPr>
              <w:pStyle w:val="TableBodyText"/>
              <w:jc w:val="left"/>
            </w:pPr>
            <w:r>
              <w:t>Extension of original program, continuing original program elements</w:t>
            </w:r>
          </w:p>
        </w:tc>
      </w:tr>
      <w:tr w:rsidR="005F51F7" w:rsidTr="00E84672">
        <w:trPr>
          <w:cantSplit/>
        </w:trPr>
        <w:tc>
          <w:tcPr>
            <w:tcW w:w="687" w:type="pct"/>
            <w:hideMark/>
          </w:tcPr>
          <w:p w:rsidR="005F51F7" w:rsidRDefault="005F51F7">
            <w:pPr>
              <w:pStyle w:val="TableBodyText"/>
              <w:jc w:val="left"/>
            </w:pPr>
            <w:r>
              <w:t>Tasmania</w:t>
            </w:r>
          </w:p>
        </w:tc>
        <w:tc>
          <w:tcPr>
            <w:tcW w:w="949" w:type="pct"/>
            <w:hideMark/>
          </w:tcPr>
          <w:p w:rsidR="005F51F7" w:rsidRDefault="005F51F7">
            <w:pPr>
              <w:pStyle w:val="TableBodyText"/>
              <w:jc w:val="left"/>
            </w:pPr>
            <w:proofErr w:type="spellStart"/>
            <w:r>
              <w:t>TasExplore</w:t>
            </w:r>
            <w:proofErr w:type="spellEnd"/>
          </w:p>
        </w:tc>
        <w:tc>
          <w:tcPr>
            <w:tcW w:w="422" w:type="pct"/>
            <w:hideMark/>
          </w:tcPr>
          <w:p w:rsidR="005F51F7" w:rsidRDefault="005F51F7">
            <w:pPr>
              <w:pStyle w:val="TableBodyText"/>
              <w:jc w:val="left"/>
            </w:pPr>
            <w:r>
              <w:t>2006</w:t>
            </w:r>
          </w:p>
        </w:tc>
        <w:tc>
          <w:tcPr>
            <w:tcW w:w="422" w:type="pct"/>
            <w:hideMark/>
          </w:tcPr>
          <w:p w:rsidR="005F51F7" w:rsidRDefault="005F51F7">
            <w:pPr>
              <w:pStyle w:val="TableBodyText"/>
              <w:jc w:val="left"/>
            </w:pPr>
            <w:r>
              <w:t>4 years</w:t>
            </w:r>
          </w:p>
        </w:tc>
        <w:tc>
          <w:tcPr>
            <w:tcW w:w="579" w:type="pct"/>
            <w:hideMark/>
          </w:tcPr>
          <w:p w:rsidR="005F51F7" w:rsidRDefault="005F51F7">
            <w:pPr>
              <w:pStyle w:val="TableBodyText"/>
              <w:jc w:val="left"/>
            </w:pPr>
            <w:r>
              <w:t>$5 million</w:t>
            </w:r>
          </w:p>
        </w:tc>
        <w:tc>
          <w:tcPr>
            <w:tcW w:w="1941" w:type="pct"/>
            <w:hideMark/>
          </w:tcPr>
          <w:p w:rsidR="005F51F7" w:rsidRDefault="005F51F7" w:rsidP="005F51F7">
            <w:pPr>
              <w:pStyle w:val="TableBullet"/>
              <w:numPr>
                <w:ilvl w:val="0"/>
                <w:numId w:val="50"/>
              </w:numPr>
            </w:pPr>
            <w:r>
              <w:t>Acquisition of survey data</w:t>
            </w:r>
          </w:p>
          <w:p w:rsidR="005F51F7" w:rsidRDefault="005F51F7" w:rsidP="005F51F7">
            <w:pPr>
              <w:pStyle w:val="TableBullet"/>
              <w:numPr>
                <w:ilvl w:val="0"/>
                <w:numId w:val="50"/>
              </w:numPr>
            </w:pPr>
            <w:r>
              <w:t>Upgrading the 3D model of Tasmania</w:t>
            </w:r>
          </w:p>
          <w:p w:rsidR="005F51F7" w:rsidRDefault="005F51F7" w:rsidP="005F51F7">
            <w:pPr>
              <w:pStyle w:val="TableBullet"/>
              <w:numPr>
                <w:ilvl w:val="0"/>
                <w:numId w:val="50"/>
              </w:numPr>
            </w:pPr>
            <w:r>
              <w:t>Promotion of exploration opportunities</w:t>
            </w:r>
          </w:p>
        </w:tc>
      </w:tr>
      <w:tr w:rsidR="005F51F7" w:rsidTr="00E84672">
        <w:trPr>
          <w:cantSplit/>
        </w:trPr>
        <w:tc>
          <w:tcPr>
            <w:tcW w:w="687" w:type="pct"/>
            <w:tcBorders>
              <w:bottom w:val="single" w:sz="4" w:space="0" w:color="auto"/>
            </w:tcBorders>
            <w:hideMark/>
          </w:tcPr>
          <w:p w:rsidR="005F51F7" w:rsidRDefault="005F51F7">
            <w:pPr>
              <w:pStyle w:val="TableBodyText"/>
              <w:jc w:val="left"/>
            </w:pPr>
            <w:r>
              <w:t>Victoria</w:t>
            </w:r>
          </w:p>
        </w:tc>
        <w:tc>
          <w:tcPr>
            <w:tcW w:w="949" w:type="pct"/>
            <w:tcBorders>
              <w:bottom w:val="single" w:sz="4" w:space="0" w:color="auto"/>
            </w:tcBorders>
            <w:hideMark/>
          </w:tcPr>
          <w:p w:rsidR="005F51F7" w:rsidRDefault="005F51F7">
            <w:pPr>
              <w:pStyle w:val="TableBodyText"/>
              <w:jc w:val="left"/>
            </w:pPr>
            <w:r>
              <w:t>Rediscover Victoria</w:t>
            </w:r>
          </w:p>
        </w:tc>
        <w:tc>
          <w:tcPr>
            <w:tcW w:w="422" w:type="pct"/>
            <w:tcBorders>
              <w:bottom w:val="single" w:sz="4" w:space="0" w:color="auto"/>
            </w:tcBorders>
            <w:hideMark/>
          </w:tcPr>
          <w:p w:rsidR="005F51F7" w:rsidRDefault="005F51F7">
            <w:pPr>
              <w:pStyle w:val="TableBodyText"/>
              <w:jc w:val="left"/>
            </w:pPr>
            <w:r>
              <w:t>2007</w:t>
            </w:r>
          </w:p>
        </w:tc>
        <w:tc>
          <w:tcPr>
            <w:tcW w:w="422" w:type="pct"/>
            <w:tcBorders>
              <w:bottom w:val="single" w:sz="4" w:space="0" w:color="auto"/>
            </w:tcBorders>
            <w:hideMark/>
          </w:tcPr>
          <w:p w:rsidR="005F51F7" w:rsidRDefault="005F51F7">
            <w:pPr>
              <w:pStyle w:val="TableBodyText"/>
              <w:jc w:val="left"/>
            </w:pPr>
            <w:r>
              <w:t>4 years</w:t>
            </w:r>
          </w:p>
        </w:tc>
        <w:tc>
          <w:tcPr>
            <w:tcW w:w="579" w:type="pct"/>
            <w:tcBorders>
              <w:bottom w:val="single" w:sz="4" w:space="0" w:color="auto"/>
            </w:tcBorders>
            <w:hideMark/>
          </w:tcPr>
          <w:p w:rsidR="005F51F7" w:rsidRDefault="005F51F7">
            <w:pPr>
              <w:pStyle w:val="TableBodyText"/>
              <w:jc w:val="left"/>
            </w:pPr>
            <w:r>
              <w:t>$5 million</w:t>
            </w:r>
          </w:p>
        </w:tc>
        <w:tc>
          <w:tcPr>
            <w:tcW w:w="1941" w:type="pct"/>
            <w:tcBorders>
              <w:bottom w:val="single" w:sz="4" w:space="0" w:color="auto"/>
            </w:tcBorders>
            <w:hideMark/>
          </w:tcPr>
          <w:p w:rsidR="005F51F7" w:rsidRDefault="005F51F7" w:rsidP="005F51F7">
            <w:pPr>
              <w:pStyle w:val="TableBullet"/>
              <w:numPr>
                <w:ilvl w:val="0"/>
                <w:numId w:val="50"/>
              </w:numPr>
            </w:pPr>
            <w:r>
              <w:t>$2.5 million to a strategic drilling project</w:t>
            </w:r>
          </w:p>
          <w:p w:rsidR="005F51F7" w:rsidRDefault="005F51F7" w:rsidP="005F51F7">
            <w:pPr>
              <w:pStyle w:val="TableBullet"/>
              <w:numPr>
                <w:ilvl w:val="0"/>
                <w:numId w:val="50"/>
              </w:numPr>
            </w:pPr>
            <w:r>
              <w:t>$2.5 million to develop a 3D geological model of Victoria</w:t>
            </w:r>
          </w:p>
        </w:tc>
      </w:tr>
    </w:tbl>
    <w:p w:rsidR="00892C0E" w:rsidRDefault="005F51F7" w:rsidP="00E84672">
      <w:pPr>
        <w:pStyle w:val="Note"/>
      </w:pPr>
      <w:proofErr w:type="spellStart"/>
      <w:r>
        <w:rPr>
          <w:rStyle w:val="NoteLabel"/>
        </w:rPr>
        <w:t>a</w:t>
      </w:r>
      <w:proofErr w:type="spellEnd"/>
      <w:r>
        <w:t xml:space="preserve"> Figures announced in the 2012</w:t>
      </w:r>
      <w:r w:rsidR="00826DA6">
        <w:noBreakHyphen/>
      </w:r>
      <w:r>
        <w:t>13 state budget but the exact details have not been finalised</w:t>
      </w:r>
      <w:r w:rsidR="00892C0E">
        <w:t>.</w:t>
      </w:r>
    </w:p>
    <w:p w:rsidR="00CF2BA3" w:rsidRPr="00BA52FD" w:rsidRDefault="00892C0E" w:rsidP="00CF2BA3">
      <w:pPr>
        <w:pStyle w:val="Source"/>
      </w:pPr>
      <w:r>
        <w:rPr>
          <w:i/>
        </w:rPr>
        <w:t>Sources</w:t>
      </w:r>
      <w:r w:rsidRPr="00DC4E50">
        <w:t>:</w:t>
      </w:r>
      <w:r>
        <w:rPr>
          <w:i/>
        </w:rPr>
        <w:t xml:space="preserve"> </w:t>
      </w:r>
      <w:r w:rsidR="00CF2BA3" w:rsidRPr="00BA52FD">
        <w:t>Department of Infrastructure, Energy and Resources Tasmania (2013)</w:t>
      </w:r>
      <w:r w:rsidR="00CF2BA3">
        <w:t xml:space="preserve">; </w:t>
      </w:r>
      <w:r w:rsidR="00CF2BA3" w:rsidRPr="00BA52FD">
        <w:t>Geoscience Australia (</w:t>
      </w:r>
      <w:proofErr w:type="spellStart"/>
      <w:r w:rsidR="00CF2BA3" w:rsidRPr="00BA52FD">
        <w:t>2011</w:t>
      </w:r>
      <w:r w:rsidR="009E5000">
        <w:t>b</w:t>
      </w:r>
      <w:proofErr w:type="spellEnd"/>
      <w:r w:rsidR="00CF2BA3" w:rsidRPr="00BA52FD">
        <w:t>)</w:t>
      </w:r>
      <w:r w:rsidR="00CF2BA3">
        <w:t xml:space="preserve">; </w:t>
      </w:r>
      <w:r w:rsidR="00CF2BA3" w:rsidRPr="00BA52FD">
        <w:t>Govern</w:t>
      </w:r>
      <w:r w:rsidR="00CF2BA3">
        <w:t>ment of South Australia (2012);</w:t>
      </w:r>
      <w:r w:rsidR="00CF2BA3" w:rsidRPr="00CF2BA3">
        <w:t xml:space="preserve"> </w:t>
      </w:r>
      <w:r w:rsidR="009E5000">
        <w:t>NSW DTI</w:t>
      </w:r>
      <w:r w:rsidR="00CF2BA3" w:rsidRPr="00BA52FD">
        <w:t xml:space="preserve"> (pers. Comm. 8</w:t>
      </w:r>
      <w:r w:rsidR="00CF2BA3">
        <w:t xml:space="preserve"> May 2013); </w:t>
      </w:r>
      <w:r w:rsidR="00CF2BA3" w:rsidRPr="00BA52FD">
        <w:t>Queensland Department of Natural Resources and Mines (pers. comm. 16</w:t>
      </w:r>
      <w:r w:rsidR="00CF2BA3">
        <w:t> </w:t>
      </w:r>
      <w:r w:rsidR="00CF2BA3" w:rsidRPr="00BA52FD">
        <w:t>May 2013)</w:t>
      </w:r>
      <w:r w:rsidR="00CF2BA3">
        <w:t xml:space="preserve">; </w:t>
      </w:r>
      <w:r w:rsidR="00CF2BA3" w:rsidRPr="00BA52FD">
        <w:t>Queensland Government (</w:t>
      </w:r>
      <w:proofErr w:type="spellStart"/>
      <w:r w:rsidR="00CF2BA3" w:rsidRPr="00BA52FD">
        <w:t>n.d.</w:t>
      </w:r>
      <w:proofErr w:type="spellEnd"/>
      <w:r w:rsidR="00CF2BA3" w:rsidRPr="00BA52FD">
        <w:t>)</w:t>
      </w:r>
      <w:r w:rsidR="00CF2BA3">
        <w:t xml:space="preserve">; </w:t>
      </w:r>
      <w:proofErr w:type="spellStart"/>
      <w:r w:rsidR="00CF2BA3">
        <w:t>Scrimgeour</w:t>
      </w:r>
      <w:proofErr w:type="spellEnd"/>
      <w:r w:rsidR="00CF2BA3">
        <w:t xml:space="preserve"> (2011); </w:t>
      </w:r>
      <w:r w:rsidR="009E5000">
        <w:t xml:space="preserve">SA </w:t>
      </w:r>
      <w:proofErr w:type="spellStart"/>
      <w:r w:rsidR="009E5000">
        <w:t>DIMTRE</w:t>
      </w:r>
      <w:proofErr w:type="spellEnd"/>
      <w:r w:rsidR="009E5000">
        <w:t xml:space="preserve"> </w:t>
      </w:r>
      <w:r w:rsidR="00CF2BA3" w:rsidRPr="00BA52FD">
        <w:t xml:space="preserve">(pers. </w:t>
      </w:r>
      <w:proofErr w:type="spellStart"/>
      <w:r w:rsidR="00CF2BA3" w:rsidRPr="00BA52FD">
        <w:t>comm</w:t>
      </w:r>
      <w:proofErr w:type="spellEnd"/>
      <w:r w:rsidR="00CF2BA3" w:rsidRPr="00BA52FD">
        <w:t xml:space="preserve"> 10</w:t>
      </w:r>
      <w:r w:rsidR="00CF2BA3">
        <w:t> May 2013);</w:t>
      </w:r>
      <w:r w:rsidR="00CF2BA3" w:rsidRPr="00CF2BA3">
        <w:t xml:space="preserve"> </w:t>
      </w:r>
      <w:r w:rsidR="00CF2BA3" w:rsidRPr="00BA52FD">
        <w:t>Government</w:t>
      </w:r>
      <w:r w:rsidR="009E5000">
        <w:t xml:space="preserve"> of Victoria</w:t>
      </w:r>
      <w:r w:rsidR="00CF2BA3" w:rsidRPr="00BA52FD">
        <w:t xml:space="preserve"> (</w:t>
      </w:r>
      <w:proofErr w:type="spellStart"/>
      <w:r w:rsidR="00CF2BA3" w:rsidRPr="00BA52FD">
        <w:t>2011</w:t>
      </w:r>
      <w:r w:rsidR="009E5000">
        <w:t>a</w:t>
      </w:r>
      <w:proofErr w:type="spellEnd"/>
      <w:r w:rsidR="00CF2BA3" w:rsidRPr="00BA52FD">
        <w:t>)</w:t>
      </w:r>
      <w:r w:rsidR="00CF2BA3">
        <w:t>.</w:t>
      </w:r>
    </w:p>
    <w:p w:rsidR="00C834D7" w:rsidRDefault="00C834D7">
      <w:pPr>
        <w:pStyle w:val="BodyText"/>
        <w:sectPr w:rsidR="00C834D7">
          <w:headerReference w:type="even" r:id="rId16"/>
          <w:headerReference w:type="default" r:id="rId17"/>
          <w:footerReference w:type="even" r:id="rId18"/>
          <w:footerReference w:type="default" r:id="rId19"/>
          <w:headerReference w:type="first" r:id="rId20"/>
          <w:pgSz w:w="16840" w:h="11907" w:orient="landscape" w:code="9"/>
          <w:pgMar w:top="1814" w:right="1985" w:bottom="1304" w:left="1418" w:header="1701" w:footer="567" w:gutter="0"/>
          <w:pgNumType w:chapSep="period"/>
          <w:cols w:space="720"/>
        </w:sectPr>
      </w:pPr>
    </w:p>
    <w:p w:rsidR="00EE1FB9" w:rsidRDefault="00EE1FB9" w:rsidP="00EE1FB9">
      <w:pPr>
        <w:pStyle w:val="BodyText"/>
      </w:pPr>
      <w:r>
        <w:lastRenderedPageBreak/>
        <w:t>The report by the Policy Transition Group on Minerals and Petroleum Exploration</w:t>
      </w:r>
      <w:r w:rsidR="004A332A">
        <w:t xml:space="preserve"> (</w:t>
      </w:r>
      <w:proofErr w:type="spellStart"/>
      <w:r w:rsidR="004A332A">
        <w:t>PTG</w:t>
      </w:r>
      <w:proofErr w:type="spellEnd"/>
      <w:r w:rsidR="004A332A">
        <w:t>)</w:t>
      </w:r>
      <w:r>
        <w:t xml:space="preserve"> commented indirectly on the desirability of moving back to a greater reliance on block funding, saying:</w:t>
      </w:r>
    </w:p>
    <w:p w:rsidR="00EE1FB9" w:rsidRDefault="00EE1FB9" w:rsidP="00EE1FB9">
      <w:pPr>
        <w:pStyle w:val="Quote"/>
      </w:pPr>
      <w:r>
        <w:t>The Policy Transition Group recommends that the Australian Government should provide for a more sustainable stream of funding for Geoscience Australia to acquire and make available pre</w:t>
      </w:r>
      <w:r>
        <w:noBreakHyphen/>
        <w:t>competitive geoscience and geospatial data, and manage publicly and privately acquired data through its national data repository. (2010</w:t>
      </w:r>
      <w:r w:rsidR="004A332A">
        <w:t>, p. 23</w:t>
      </w:r>
      <w:r>
        <w:t>)</w:t>
      </w:r>
    </w:p>
    <w:p w:rsidR="00EE1FB9" w:rsidRDefault="00EE1FB9" w:rsidP="00EE1FB9">
      <w:pPr>
        <w:pStyle w:val="BodyText"/>
      </w:pPr>
      <w:r>
        <w:t>In assessing the impact of current funding arrangements on GA’s ability to provide pre</w:t>
      </w:r>
      <w:r w:rsidR="00DC4E50">
        <w:noBreakHyphen/>
      </w:r>
      <w:r>
        <w:t xml:space="preserve">competitive data, </w:t>
      </w:r>
      <w:proofErr w:type="spellStart"/>
      <w:r>
        <w:t>P</w:t>
      </w:r>
      <w:r w:rsidR="00CF2BA3">
        <w:t>riceWaterhouseCoopers</w:t>
      </w:r>
      <w:proofErr w:type="spellEnd"/>
      <w:r w:rsidR="00CF2BA3">
        <w:t xml:space="preserve"> (PWC 2009</w:t>
      </w:r>
      <w:r>
        <w:t>) also supported baseline (block) funding:</w:t>
      </w:r>
    </w:p>
    <w:p w:rsidR="00EE1FB9" w:rsidRDefault="00EE1FB9" w:rsidP="00EE1FB9">
      <w:pPr>
        <w:pStyle w:val="Quote"/>
      </w:pPr>
      <w:r>
        <w:t>In order to continue to deliver these outputs and to allow the geoscientific activities to be planned and undertaken in the most effective manner a structural change to the manner in which Geoscience Australia is funded is required, this involves:</w:t>
      </w:r>
    </w:p>
    <w:p w:rsidR="00EE1FB9" w:rsidRDefault="00EE1FB9" w:rsidP="00EE1FB9">
      <w:pPr>
        <w:pStyle w:val="QuoteBullet"/>
      </w:pPr>
      <w:r>
        <w:t>Having appropriations provided on an ongoing basis (rather than through a series of lapsing programs);</w:t>
      </w:r>
    </w:p>
    <w:p w:rsidR="00EE1FB9" w:rsidRDefault="00EE1FB9" w:rsidP="00EE1FB9">
      <w:pPr>
        <w:pStyle w:val="QuoteBullet"/>
      </w:pPr>
      <w:r>
        <w:t>Funding for the core capabilities required to deliver Section</w:t>
      </w:r>
      <w:r w:rsidR="00826DA6">
        <w:t> </w:t>
      </w:r>
      <w:r>
        <w:t>31 funded projects to be directly appropriated; and,</w:t>
      </w:r>
    </w:p>
    <w:p w:rsidR="00EE1FB9" w:rsidRDefault="00EE1FB9" w:rsidP="00EE1FB9">
      <w:pPr>
        <w:pStyle w:val="QuoteBullet"/>
      </w:pPr>
      <w:r>
        <w:t xml:space="preserve">Funding explicitly for two key functions for which Geoscience Australia </w:t>
      </w:r>
      <w:r w:rsidRPr="005A2C6C">
        <w:t xml:space="preserve">has never received </w:t>
      </w:r>
      <w:proofErr w:type="spellStart"/>
      <w:r w:rsidRPr="005A2C6C">
        <w:t>on</w:t>
      </w:r>
      <w:r w:rsidRPr="005A2C6C">
        <w:noBreakHyphen/>
        <w:t>going</w:t>
      </w:r>
      <w:proofErr w:type="spellEnd"/>
      <w:r w:rsidRPr="005A2C6C">
        <w:t xml:space="preserve"> funding for</w:t>
      </w:r>
      <w:r>
        <w:t>, namely the acquisition of precompetitive data for the resources sector and for Geoscience Australia’s role as the custodian of Australia’s legacy of geoscience and geospatial data, including associated stewardship. (p. 4)</w:t>
      </w:r>
    </w:p>
    <w:p w:rsidR="00EE1FB9" w:rsidRDefault="00EE1FB9" w:rsidP="00EE1FB9">
      <w:pPr>
        <w:pStyle w:val="BodyText"/>
      </w:pPr>
      <w:r>
        <w:t>PWC went on to say:</w:t>
      </w:r>
    </w:p>
    <w:p w:rsidR="00EE1FB9" w:rsidRDefault="00EE1FB9" w:rsidP="00EE1FB9">
      <w:pPr>
        <w:pStyle w:val="Quote"/>
      </w:pPr>
      <w:r>
        <w:t>The lack of funding certainty for these activities (in the form of baseline funding) presents a number of challenges for GA, including a lack of longer term planning, which would ensure GA has the personnel required to undertake such activities as well as prioritisation of such activities, allowing GA to play a more proactive role in the most effective data to acquire (rather than only reacting to requests from outside agencies). (p. 28)</w:t>
      </w:r>
    </w:p>
    <w:p w:rsidR="00EE1FB9" w:rsidRPr="0029663C" w:rsidRDefault="00EE1FB9" w:rsidP="00EE1FB9">
      <w:pPr>
        <w:pStyle w:val="BodyText"/>
        <w:rPr>
          <w:color w:val="000000" w:themeColor="text1"/>
        </w:rPr>
      </w:pPr>
      <w:r w:rsidRPr="0029663C">
        <w:rPr>
          <w:color w:val="000000" w:themeColor="text1"/>
        </w:rPr>
        <w:t xml:space="preserve">The Commission considers that there is a strong </w:t>
      </w:r>
      <w:r>
        <w:rPr>
          <w:color w:val="000000" w:themeColor="text1"/>
        </w:rPr>
        <w:t>in</w:t>
      </w:r>
      <w:r w:rsidR="00826DA6">
        <w:rPr>
          <w:color w:val="000000" w:themeColor="text1"/>
        </w:rPr>
        <w:noBreakHyphen/>
      </w:r>
      <w:r>
        <w:rPr>
          <w:color w:val="000000" w:themeColor="text1"/>
        </w:rPr>
        <w:t xml:space="preserve">principle </w:t>
      </w:r>
      <w:r w:rsidRPr="0029663C">
        <w:rPr>
          <w:color w:val="000000" w:themeColor="text1"/>
        </w:rPr>
        <w:t xml:space="preserve">case </w:t>
      </w:r>
      <w:r>
        <w:rPr>
          <w:color w:val="000000" w:themeColor="text1"/>
        </w:rPr>
        <w:t>for</w:t>
      </w:r>
      <w:r w:rsidRPr="0029663C">
        <w:rPr>
          <w:color w:val="000000" w:themeColor="text1"/>
        </w:rPr>
        <w:t xml:space="preserve"> a large proportion of the funding for Australia’s geological surveys </w:t>
      </w:r>
      <w:r>
        <w:rPr>
          <w:color w:val="000000" w:themeColor="text1"/>
        </w:rPr>
        <w:t>to</w:t>
      </w:r>
      <w:r w:rsidRPr="0029663C">
        <w:rPr>
          <w:color w:val="000000" w:themeColor="text1"/>
        </w:rPr>
        <w:t xml:space="preserve"> be secured through ongoing block appropriation</w:t>
      </w:r>
      <w:r>
        <w:rPr>
          <w:color w:val="000000" w:themeColor="text1"/>
        </w:rPr>
        <w:t>s</w:t>
      </w:r>
      <w:r w:rsidRPr="0029663C">
        <w:rPr>
          <w:color w:val="000000" w:themeColor="text1"/>
        </w:rPr>
        <w:t xml:space="preserve">. However, there is a lack of information — particularly </w:t>
      </w:r>
      <w:r w:rsidR="00562EE1">
        <w:rPr>
          <w:color w:val="000000" w:themeColor="text1"/>
        </w:rPr>
        <w:t>at</w:t>
      </w:r>
      <w:r w:rsidRPr="0029663C">
        <w:rPr>
          <w:color w:val="000000" w:themeColor="text1"/>
        </w:rPr>
        <w:t xml:space="preserve"> a State and Territory level — </w:t>
      </w:r>
      <w:r>
        <w:rPr>
          <w:color w:val="000000" w:themeColor="text1"/>
        </w:rPr>
        <w:t>as</w:t>
      </w:r>
      <w:r w:rsidRPr="0029663C">
        <w:rPr>
          <w:color w:val="000000" w:themeColor="text1"/>
        </w:rPr>
        <w:t xml:space="preserve"> to what extent </w:t>
      </w:r>
      <w:r>
        <w:rPr>
          <w:color w:val="000000" w:themeColor="text1"/>
        </w:rPr>
        <w:t xml:space="preserve">their </w:t>
      </w:r>
      <w:r w:rsidRPr="0029663C">
        <w:rPr>
          <w:color w:val="000000" w:themeColor="text1"/>
        </w:rPr>
        <w:t xml:space="preserve">geological surveys are already funded </w:t>
      </w:r>
      <w:r>
        <w:rPr>
          <w:color w:val="000000" w:themeColor="text1"/>
        </w:rPr>
        <w:t>this way, compared to their level of reliance on</w:t>
      </w:r>
      <w:r w:rsidRPr="0029663C">
        <w:rPr>
          <w:color w:val="000000" w:themeColor="text1"/>
        </w:rPr>
        <w:t xml:space="preserve"> other sources of revenue.</w:t>
      </w:r>
    </w:p>
    <w:p w:rsidR="00EE1FB9" w:rsidRPr="0029663C" w:rsidRDefault="00EE1FB9" w:rsidP="00EE1FB9">
      <w:pPr>
        <w:pStyle w:val="BodyText"/>
        <w:rPr>
          <w:color w:val="000000" w:themeColor="text1"/>
        </w:rPr>
      </w:pPr>
      <w:r w:rsidRPr="0029663C">
        <w:rPr>
          <w:color w:val="000000" w:themeColor="text1"/>
        </w:rPr>
        <w:t>As such, the Commission is seeking information from stakeholders on the funding composition of Australia’s geological surveys and whether this represents the optimal way to fund pre</w:t>
      </w:r>
      <w:r w:rsidR="00DC4E50">
        <w:rPr>
          <w:color w:val="000000" w:themeColor="text1"/>
        </w:rPr>
        <w:noBreakHyphen/>
      </w:r>
      <w:r w:rsidRPr="0029663C">
        <w:rPr>
          <w:color w:val="000000" w:themeColor="text1"/>
        </w:rPr>
        <w:t xml:space="preserve">competitive geoscience information. </w:t>
      </w:r>
    </w:p>
    <w:p w:rsidR="00EE1FB9" w:rsidRPr="0029663C" w:rsidRDefault="00EE1FB9" w:rsidP="00EE1FB9">
      <w:pPr>
        <w:pStyle w:val="RecTitle"/>
        <w:rPr>
          <w:color w:val="000000" w:themeColor="text1"/>
        </w:rPr>
      </w:pPr>
      <w:r w:rsidRPr="0029663C">
        <w:rPr>
          <w:color w:val="000000" w:themeColor="text1"/>
        </w:rPr>
        <w:lastRenderedPageBreak/>
        <w:t xml:space="preserve">INFORMATION REQUEST </w:t>
      </w:r>
    </w:p>
    <w:p w:rsidR="00EE1FB9" w:rsidRPr="0029663C" w:rsidRDefault="00EE1FB9" w:rsidP="00EE1FB9">
      <w:pPr>
        <w:pStyle w:val="InformationRequest"/>
        <w:rPr>
          <w:color w:val="000000" w:themeColor="text1"/>
        </w:rPr>
      </w:pPr>
      <w:r w:rsidRPr="0029663C">
        <w:rPr>
          <w:color w:val="000000" w:themeColor="text1"/>
        </w:rPr>
        <w:t>The Commission is seeking information on the current proportion of funding for Australia’s geological agencies that is sourced from ongoing block appropriation. The Commission is also seeking views from stakeholders as to whether the current funding arrangements of Australia’s geological surveys represent the optimal way to finance the collection and provision of pre</w:t>
      </w:r>
      <w:r w:rsidR="00DC4E50">
        <w:rPr>
          <w:color w:val="000000" w:themeColor="text1"/>
        </w:rPr>
        <w:noBreakHyphen/>
      </w:r>
      <w:r w:rsidRPr="0029663C">
        <w:rPr>
          <w:color w:val="000000" w:themeColor="text1"/>
        </w:rPr>
        <w:t>competitive geoscience information.</w:t>
      </w:r>
    </w:p>
    <w:p w:rsidR="00EE1FB9" w:rsidRDefault="00EE1FB9" w:rsidP="00EE1FB9">
      <w:pPr>
        <w:pStyle w:val="Heading3"/>
        <w:rPr>
          <w:lang w:val="en"/>
        </w:rPr>
      </w:pPr>
      <w:r>
        <w:rPr>
          <w:lang w:val="en"/>
        </w:rPr>
        <w:t>Exploring cost recovery pricing models</w:t>
      </w:r>
    </w:p>
    <w:p w:rsidR="00EE1FB9" w:rsidRDefault="00EE1FB9" w:rsidP="00EE1FB9">
      <w:pPr>
        <w:pStyle w:val="BodyText"/>
      </w:pPr>
      <w:r>
        <w:t>As discussed in section 7.1, pre</w:t>
      </w:r>
      <w:r w:rsidR="00DC4E50">
        <w:noBreakHyphen/>
      </w:r>
      <w:r>
        <w:t xml:space="preserve">competitive geoscience information is a partial public good in the sense that it is </w:t>
      </w:r>
      <w:r>
        <w:rPr>
          <w:i/>
        </w:rPr>
        <w:t>non</w:t>
      </w:r>
      <w:r w:rsidR="00DC4E50">
        <w:rPr>
          <w:i/>
        </w:rPr>
        <w:noBreakHyphen/>
      </w:r>
      <w:proofErr w:type="spellStart"/>
      <w:r>
        <w:rPr>
          <w:i/>
        </w:rPr>
        <w:t>rival</w:t>
      </w:r>
      <w:r w:rsidR="000025F9">
        <w:rPr>
          <w:i/>
        </w:rPr>
        <w:t>rous</w:t>
      </w:r>
      <w:proofErr w:type="spellEnd"/>
      <w:r w:rsidR="000025F9">
        <w:rPr>
          <w:i/>
        </w:rPr>
        <w:t xml:space="preserve"> </w:t>
      </w:r>
      <w:r w:rsidR="000025F9">
        <w:t>in use</w:t>
      </w:r>
      <w:r>
        <w:t xml:space="preserve">. However, geoscience information is not a pure public good because explorers can be </w:t>
      </w:r>
      <w:r>
        <w:rPr>
          <w:i/>
        </w:rPr>
        <w:t>excluded</w:t>
      </w:r>
      <w:r>
        <w:t xml:space="preserve"> from accessing that information. This feature raises the prospect of public provision combined with cost recovery charging. </w:t>
      </w:r>
    </w:p>
    <w:p w:rsidR="00EE1FB9" w:rsidRDefault="00EE1FB9" w:rsidP="00EE1FB9">
      <w:pPr>
        <w:pStyle w:val="BodyText"/>
      </w:pPr>
      <w:r>
        <w:t>Arguments for full or partial cost recovery of pre</w:t>
      </w:r>
      <w:r>
        <w:noBreakHyphen/>
        <w:t>competitive geoscience information can be made in terms of both user pays principles, as discussed below, and the ‘price’ signals that cost recovery user charging would potentially send to government about the appropriate level of pre</w:t>
      </w:r>
      <w:r>
        <w:noBreakHyphen/>
        <w:t xml:space="preserve">competitive information provision. The ability to fully or partially recover the costs of generating the information is an indication of the value that private explorers place on the level and quality of information being provided. </w:t>
      </w:r>
    </w:p>
    <w:p w:rsidR="00EE1FB9" w:rsidRDefault="00EE1FB9" w:rsidP="00EE1FB9">
      <w:pPr>
        <w:pStyle w:val="BodyText"/>
      </w:pPr>
      <w:r>
        <w:t xml:space="preserve">The case for user charging was recently analysed and conditionally dismissed by </w:t>
      </w:r>
      <w:r w:rsidR="00562EE1">
        <w:t>the Department of Finance and Deregulation</w:t>
      </w:r>
      <w:r>
        <w:t xml:space="preserve"> </w:t>
      </w:r>
      <w:r w:rsidR="00645EDE">
        <w:t>(</w:t>
      </w:r>
      <w:r>
        <w:t xml:space="preserve">2011). </w:t>
      </w:r>
      <w:proofErr w:type="spellStart"/>
      <w:r>
        <w:rPr>
          <w:szCs w:val="26"/>
        </w:rPr>
        <w:t>DoFD</w:t>
      </w:r>
      <w:proofErr w:type="spellEnd"/>
      <w:r>
        <w:t xml:space="preserve"> noted that it was in the government’s and the community’s interests to fund pre</w:t>
      </w:r>
      <w:r>
        <w:noBreakHyphen/>
        <w:t>competitive information in order to attract the largest possible competitive field of potential investors. This process, it was argued, was analogous to the due diligence that companies undertake in preparing an investment prospectus (or product disclosure statement) for the sale of a b</w:t>
      </w:r>
      <w:r w:rsidR="004A332A">
        <w:t>usiness or asset (</w:t>
      </w:r>
      <w:proofErr w:type="spellStart"/>
      <w:r w:rsidR="004A332A">
        <w:t>DoFD</w:t>
      </w:r>
      <w:proofErr w:type="spellEnd"/>
      <w:r w:rsidR="004A332A">
        <w:t xml:space="preserve"> 2011</w:t>
      </w:r>
      <w:r>
        <w:t>). Further:</w:t>
      </w:r>
    </w:p>
    <w:p w:rsidR="00EE1FB9" w:rsidRDefault="00EE1FB9" w:rsidP="00EE1FB9">
      <w:pPr>
        <w:pStyle w:val="Quote"/>
      </w:pPr>
      <w:r>
        <w:t>The ‘prospectus’ analogy represents a departure from the public good argument that is typically used to justify government provision of pre</w:t>
      </w:r>
      <w:r>
        <w:noBreakHyphen/>
        <w:t>competitive information. While public good attributes certainly apply to pre</w:t>
      </w:r>
      <w:r>
        <w:noBreakHyphen/>
        <w:t>competitive information, under this model it is the Government’s desire to maximise its private interests, as sovereign owner of resources and recipient of secondary tax revenues from resource development, that forms the core business case for the Government to generate and provide pre</w:t>
      </w:r>
      <w:r>
        <w:noBreakHyphen/>
        <w:t xml:space="preserve">competitive information as described above. </w:t>
      </w:r>
      <w:r>
        <w:rPr>
          <w:i/>
        </w:rPr>
        <w:t xml:space="preserve">This business case is heavily dependent on the current system </w:t>
      </w:r>
      <w:r w:rsidR="004A332A">
        <w:rPr>
          <w:i/>
        </w:rPr>
        <w:t>for</w:t>
      </w:r>
      <w:r>
        <w:rPr>
          <w:i/>
        </w:rPr>
        <w:t xml:space="preserve"> allocating exploration acreage which generally does not assign exploration rights at a scale where strategic regional framework studies become viable for private investors.</w:t>
      </w:r>
      <w:r>
        <w:t xml:space="preserve"> [emphasis added] (</w:t>
      </w:r>
      <w:proofErr w:type="spellStart"/>
      <w:r>
        <w:t>DoFD</w:t>
      </w:r>
      <w:proofErr w:type="spellEnd"/>
      <w:r>
        <w:t xml:space="preserve"> 2011, p. 39)</w:t>
      </w:r>
    </w:p>
    <w:p w:rsidR="00EE1FB9" w:rsidRDefault="00EE1FB9" w:rsidP="00EE1FB9">
      <w:pPr>
        <w:pStyle w:val="BodyText"/>
      </w:pPr>
      <w:proofErr w:type="spellStart"/>
      <w:r>
        <w:lastRenderedPageBreak/>
        <w:t>DoFD</w:t>
      </w:r>
      <w:proofErr w:type="spellEnd"/>
      <w:r>
        <w:t xml:space="preserve"> argued that cost recovery could reduce the number of potential competitors for exploration licenses. This would be particularly relevant for smaller specialist explorers that typically show the greatest interest in frontier or greenfield exploration areas that governments specifically target for exploration investment.</w:t>
      </w:r>
    </w:p>
    <w:p w:rsidR="000E7614" w:rsidRDefault="000E7614" w:rsidP="000E7614">
      <w:pPr>
        <w:pStyle w:val="BodyText"/>
      </w:pPr>
      <w:r>
        <w:t xml:space="preserve">The Commission notes that, in contrast to the </w:t>
      </w:r>
      <w:proofErr w:type="spellStart"/>
      <w:r>
        <w:t>DoFD</w:t>
      </w:r>
      <w:proofErr w:type="spellEnd"/>
      <w:r>
        <w:t xml:space="preserve"> position, New South Wales has recently moved to a user</w:t>
      </w:r>
      <w:r>
        <w:noBreakHyphen/>
        <w:t>pays system to fully recover the cost of providing pre</w:t>
      </w:r>
      <w:r>
        <w:noBreakHyphen/>
        <w:t>competitive information. In outlining the new funding model, the New South Wales Department of Trade and Investment, Regional Infrastructure and Services said the New Frontiers initiative (which began in 2006 and focuses on attracting petroleum and mineral exploration investment in under</w:t>
      </w:r>
      <w:r>
        <w:noBreakHyphen/>
        <w:t>explored areas of the state):</w:t>
      </w:r>
    </w:p>
    <w:p w:rsidR="000E7614" w:rsidRDefault="000E7614" w:rsidP="000E7614">
      <w:pPr>
        <w:pStyle w:val="Quote"/>
      </w:pPr>
      <w:r>
        <w:t>… will be extended beyond 30</w:t>
      </w:r>
      <w:r w:rsidR="00826DA6">
        <w:t> </w:t>
      </w:r>
      <w:r>
        <w:t>June 2012, with funding on a cost recovery basis … A new rental fee on the mining industry to fund the continuance of the New Frontiers initiative will commence on 1</w:t>
      </w:r>
      <w:r w:rsidR="00826DA6">
        <w:t> </w:t>
      </w:r>
      <w:r>
        <w:t xml:space="preserve">July 2012. </w:t>
      </w:r>
      <w:r w:rsidR="004A332A">
        <w:t>This</w:t>
      </w:r>
      <w:r>
        <w:t xml:space="preserve"> funding mechanism is expected to generate some $4.5 million in 2012</w:t>
      </w:r>
      <w:r>
        <w:noBreakHyphen/>
        <w:t xml:space="preserve">13, ramping up to $6.5 million per annum in future years. This level of funding represents an expansion of New Frontiers and will underpin its success into the future. (NSW DTI </w:t>
      </w:r>
      <w:proofErr w:type="spellStart"/>
      <w:r>
        <w:t>2012</w:t>
      </w:r>
      <w:r w:rsidR="004A332A">
        <w:t>a</w:t>
      </w:r>
      <w:proofErr w:type="spellEnd"/>
      <w:r>
        <w:t>, p. 56)</w:t>
      </w:r>
    </w:p>
    <w:p w:rsidR="000E7614" w:rsidRDefault="000E7614" w:rsidP="000E7614">
      <w:pPr>
        <w:pStyle w:val="BodyText"/>
      </w:pPr>
      <w:r>
        <w:rPr>
          <w:szCs w:val="26"/>
        </w:rPr>
        <w:t>Although mindful of the increased costs to industry, the submission by the New South</w:t>
      </w:r>
      <w:r>
        <w:t xml:space="preserve"> Wales Minerals Council highlighted other benefits from user charging</w:t>
      </w:r>
      <w:r w:rsidR="00826DA6">
        <w:t>.</w:t>
      </w:r>
    </w:p>
    <w:p w:rsidR="00357C5D" w:rsidRDefault="000E7614" w:rsidP="00357C5D">
      <w:pPr>
        <w:pStyle w:val="Quote"/>
      </w:pPr>
      <w:r>
        <w:t>The new fees will, however, provide certainty and security, especially for the geological data collection program which only received short term funding from government. (sub. 11, p. 6)</w:t>
      </w:r>
    </w:p>
    <w:p w:rsidR="000E7614" w:rsidRDefault="000E7614" w:rsidP="000E7614">
      <w:pPr>
        <w:pStyle w:val="BodyText"/>
      </w:pPr>
      <w:r>
        <w:t>The Commission believes the New South Wales experiment provides an opportunity to observe the impacts of cost</w:t>
      </w:r>
      <w:r>
        <w:noBreakHyphen/>
        <w:t>recovery charging. In terms of administration, while all jurisdictions levy annual rental fees on exploration tenure, New South Wales is the only jurisdiction to hypothecate the revenue collected from those levies to pre</w:t>
      </w:r>
      <w:r>
        <w:noBreakHyphen/>
        <w:t xml:space="preserve">competitive funding. </w:t>
      </w:r>
    </w:p>
    <w:p w:rsidR="000E7614" w:rsidRDefault="00C1469A" w:rsidP="000E7614">
      <w:pPr>
        <w:pStyle w:val="RecTitle"/>
      </w:pPr>
      <w:r>
        <w:t xml:space="preserve">Draft </w:t>
      </w:r>
      <w:r w:rsidR="000E7614">
        <w:t>recommendation 7.1</w:t>
      </w:r>
    </w:p>
    <w:p w:rsidR="00CC60EE" w:rsidRDefault="00CC60EE" w:rsidP="00CC60EE">
      <w:pPr>
        <w:pStyle w:val="Rec"/>
      </w:pPr>
      <w:r>
        <w:t>Governments should monitor the outcomes of the cost recovery funding approach to the provision of  pre</w:t>
      </w:r>
      <w:r>
        <w:noBreakHyphen/>
        <w:t>competitive geoscience information being adopted by the New South Wales Government, with a view to its possible broader application in those jurisdictions.</w:t>
      </w:r>
    </w:p>
    <w:p w:rsidR="00FA037D" w:rsidRDefault="00DD2D96" w:rsidP="00DD2D96">
      <w:pPr>
        <w:pStyle w:val="Heading3"/>
      </w:pPr>
      <w:r>
        <w:t xml:space="preserve"> </w:t>
      </w:r>
      <w:r w:rsidR="00FA037D">
        <w:t>Improving priority setting and performance management</w:t>
      </w:r>
    </w:p>
    <w:p w:rsidR="00EC46CF" w:rsidRDefault="00FA037D" w:rsidP="00EC46CF">
      <w:pPr>
        <w:pStyle w:val="BodyText"/>
        <w:rPr>
          <w:lang w:val="en"/>
        </w:rPr>
      </w:pPr>
      <w:r>
        <w:rPr>
          <w:rStyle w:val="BodyTextChar"/>
        </w:rPr>
        <w:t>Rigorous</w:t>
      </w:r>
      <w:r>
        <w:rPr>
          <w:lang w:val="en"/>
        </w:rPr>
        <w:t xml:space="preserve"> priority setting and performance management processes are important means of ensuring that public funding is allocated effectively. Used properly, these processes also ensure that work conducted by each geological survey organisation is not duplicated by other agencies nor extends into areas that might otherwise be</w:t>
      </w:r>
      <w:r w:rsidR="00EC46CF">
        <w:rPr>
          <w:lang w:val="en"/>
        </w:rPr>
        <w:t xml:space="preserve"> </w:t>
      </w:r>
      <w:r w:rsidR="00EC46CF">
        <w:rPr>
          <w:lang w:val="en"/>
        </w:rPr>
        <w:lastRenderedPageBreak/>
        <w:t xml:space="preserve">performed by private explorers. The potential for duplicated effort is especially relevant where resource basins cross jurisdictional boundaries and where other public sector research agencies, such as the CSIRO and Cooperative Research </w:t>
      </w:r>
      <w:proofErr w:type="spellStart"/>
      <w:r w:rsidR="00EC46CF">
        <w:rPr>
          <w:lang w:val="en"/>
        </w:rPr>
        <w:t>Centres</w:t>
      </w:r>
      <w:proofErr w:type="spellEnd"/>
      <w:r w:rsidR="00EC46CF">
        <w:rPr>
          <w:lang w:val="en"/>
        </w:rPr>
        <w:t xml:space="preserve"> (e.g. the Deep Exploration Technologies </w:t>
      </w:r>
      <w:proofErr w:type="spellStart"/>
      <w:r w:rsidR="00EC46CF">
        <w:rPr>
          <w:lang w:val="en"/>
        </w:rPr>
        <w:t>CRC</w:t>
      </w:r>
      <w:proofErr w:type="spellEnd"/>
      <w:r w:rsidR="00EC46CF">
        <w:rPr>
          <w:lang w:val="en"/>
        </w:rPr>
        <w:t xml:space="preserve">) are involved in related areas of research including land, environmental and hazard management. </w:t>
      </w:r>
    </w:p>
    <w:p w:rsidR="00EC46CF" w:rsidRDefault="00EC46CF" w:rsidP="00EC46CF">
      <w:pPr>
        <w:pStyle w:val="BodyText"/>
        <w:rPr>
          <w:lang w:val="en"/>
        </w:rPr>
      </w:pPr>
      <w:r>
        <w:rPr>
          <w:lang w:val="en"/>
        </w:rPr>
        <w:t>While the priority setting and performance management approaches appropriate to different parts of Australia’s public research system will reflect differences in purpose and function, sound governance arrangements share some common features. This is particularly the case for mission</w:t>
      </w:r>
      <w:r>
        <w:rPr>
          <w:lang w:val="en"/>
        </w:rPr>
        <w:noBreakHyphen/>
        <w:t>based research agencies, such as Australia’s geological surveys which conduct strategic research with public good attributes. These characteristics are common to the work conducted by a number of other public sector research agencies, notably the CSIRO.</w:t>
      </w:r>
    </w:p>
    <w:p w:rsidR="00EC46CF" w:rsidRDefault="00EC46CF" w:rsidP="00EC46CF">
      <w:pPr>
        <w:pStyle w:val="BodyText"/>
        <w:rPr>
          <w:lang w:val="en"/>
        </w:rPr>
      </w:pPr>
      <w:r>
        <w:t xml:space="preserve">In that context, the Commission’s report into </w:t>
      </w:r>
      <w:r>
        <w:rPr>
          <w:i/>
        </w:rPr>
        <w:t>Public Support for Science and Innovation</w:t>
      </w:r>
      <w:r>
        <w:t xml:space="preserve"> (PC 2007) argued that aspects of the CSIRO’s approach to priority setting and performance management may have wider applicability to other parts of Australia’s innovation system (including geological survey work). The aim of adopting such an approach would be to increase accountability across that system. CSIRO’s approach incorporates both ex</w:t>
      </w:r>
      <w:r>
        <w:noBreakHyphen/>
        <w:t>ante and ex</w:t>
      </w:r>
      <w:r>
        <w:noBreakHyphen/>
        <w:t>post appraisal processes, combines bottom</w:t>
      </w:r>
      <w:r>
        <w:noBreakHyphen/>
        <w:t>up and top</w:t>
      </w:r>
      <w:r>
        <w:noBreakHyphen/>
        <w:t>down input to research planning, involves broadly</w:t>
      </w:r>
      <w:r>
        <w:noBreakHyphen/>
        <w:t>based consultation with potential users and other stakeholders and actively manages projects against performance benchmarks.</w:t>
      </w:r>
    </w:p>
    <w:p w:rsidR="00FD64D1" w:rsidRDefault="00FD64D1" w:rsidP="00FD64D1">
      <w:pPr>
        <w:pStyle w:val="BodyText"/>
        <w:rPr>
          <w:lang w:val="en"/>
        </w:rPr>
      </w:pPr>
      <w:r>
        <w:rPr>
          <w:lang w:val="en"/>
        </w:rPr>
        <w:t>Most of Australia’s geological survey organisations rely on only informal networks with industry and their representative associations to inform decisions about how and where pre</w:t>
      </w:r>
      <w:r>
        <w:rPr>
          <w:lang w:val="en"/>
        </w:rPr>
        <w:noBreakHyphen/>
        <w:t xml:space="preserve">competitive geoscience funding should be allocated. Few of these organisations have employed structured performance management systems to evaluate research outcomes. </w:t>
      </w:r>
    </w:p>
    <w:p w:rsidR="00FD64D1" w:rsidRDefault="00FD64D1" w:rsidP="00FD64D1">
      <w:pPr>
        <w:pStyle w:val="BodyText"/>
        <w:rPr>
          <w:lang w:val="en"/>
        </w:rPr>
      </w:pPr>
      <w:r>
        <w:rPr>
          <w:lang w:val="en"/>
        </w:rPr>
        <w:t>Some geological survey organisations do have more developed priority setting approaches. In particular, the Geological Survey of Western Australia (</w:t>
      </w:r>
      <w:proofErr w:type="spellStart"/>
      <w:r>
        <w:rPr>
          <w:lang w:val="en"/>
        </w:rPr>
        <w:t>GSWA</w:t>
      </w:r>
      <w:proofErr w:type="spellEnd"/>
      <w:r>
        <w:rPr>
          <w:lang w:val="en"/>
        </w:rPr>
        <w:t>) formed the Geological Survey Liaison Committee. The Committee meets bi</w:t>
      </w:r>
      <w:r>
        <w:rPr>
          <w:lang w:val="en"/>
        </w:rPr>
        <w:noBreakHyphen/>
        <w:t xml:space="preserve">annually, is chaired by the WA Department of Mines and Petroleum and includes CSIRO, Curtin University, University of Western Australia, </w:t>
      </w:r>
      <w:proofErr w:type="spellStart"/>
      <w:r>
        <w:rPr>
          <w:lang w:val="en"/>
        </w:rPr>
        <w:t>APPEA</w:t>
      </w:r>
      <w:proofErr w:type="spellEnd"/>
      <w:r>
        <w:rPr>
          <w:lang w:val="en"/>
        </w:rPr>
        <w:t xml:space="preserve">, AMEC, the Chamber of Minerals and Energy and direct industry representatives. According to </w:t>
      </w:r>
      <w:proofErr w:type="spellStart"/>
      <w:r>
        <w:rPr>
          <w:lang w:val="en"/>
        </w:rPr>
        <w:t>GSWA</w:t>
      </w:r>
      <w:proofErr w:type="spellEnd"/>
      <w:r>
        <w:rPr>
          <w:lang w:val="en"/>
        </w:rPr>
        <w:t>:</w:t>
      </w:r>
    </w:p>
    <w:p w:rsidR="00FD64D1" w:rsidRPr="002C04D8" w:rsidRDefault="00FD64D1" w:rsidP="00FD64D1">
      <w:pPr>
        <w:pStyle w:val="Quote"/>
        <w:rPr>
          <w:rStyle w:val="Emphasis"/>
          <w:i w:val="0"/>
          <w:iCs w:val="0"/>
        </w:rPr>
      </w:pPr>
      <w:r w:rsidRPr="002C04D8">
        <w:rPr>
          <w:rStyle w:val="Emphasis"/>
          <w:i w:val="0"/>
          <w:iCs w:val="0"/>
        </w:rPr>
        <w:t xml:space="preserve">The process provides key input into the strategic direction and planning of </w:t>
      </w:r>
      <w:proofErr w:type="spellStart"/>
      <w:r w:rsidRPr="002C04D8">
        <w:rPr>
          <w:rStyle w:val="Emphasis"/>
          <w:i w:val="0"/>
          <w:iCs w:val="0"/>
        </w:rPr>
        <w:t>GSWA’s</w:t>
      </w:r>
      <w:proofErr w:type="spellEnd"/>
      <w:r w:rsidRPr="002C04D8">
        <w:rPr>
          <w:rStyle w:val="Emphasis"/>
          <w:i w:val="0"/>
          <w:iCs w:val="0"/>
        </w:rPr>
        <w:t xml:space="preserve"> future work program in </w:t>
      </w:r>
      <w:r>
        <w:rPr>
          <w:rStyle w:val="Emphasis"/>
          <w:i w:val="0"/>
          <w:iCs w:val="0"/>
        </w:rPr>
        <w:t>pre</w:t>
      </w:r>
      <w:r w:rsidR="00DC4E50">
        <w:rPr>
          <w:rStyle w:val="Emphasis"/>
          <w:i w:val="0"/>
          <w:iCs w:val="0"/>
        </w:rPr>
        <w:noBreakHyphen/>
      </w:r>
      <w:r>
        <w:rPr>
          <w:rStyle w:val="Emphasis"/>
          <w:i w:val="0"/>
          <w:iCs w:val="0"/>
        </w:rPr>
        <w:t>competitive</w:t>
      </w:r>
      <w:r w:rsidRPr="002C04D8">
        <w:rPr>
          <w:rStyle w:val="Emphasis"/>
          <w:i w:val="0"/>
          <w:iCs w:val="0"/>
        </w:rPr>
        <w:t xml:space="preserve"> geoscience in the areas of mineral</w:t>
      </w:r>
      <w:r>
        <w:rPr>
          <w:rStyle w:val="Emphasis"/>
          <w:i w:val="0"/>
          <w:iCs w:val="0"/>
        </w:rPr>
        <w:noBreakHyphen/>
      </w:r>
      <w:r w:rsidRPr="002C04D8">
        <w:rPr>
          <w:rStyle w:val="Emphasis"/>
          <w:i w:val="0"/>
          <w:iCs w:val="0"/>
        </w:rPr>
        <w:t>, petroleum</w:t>
      </w:r>
      <w:r>
        <w:rPr>
          <w:rStyle w:val="Emphasis"/>
          <w:i w:val="0"/>
          <w:iCs w:val="0"/>
        </w:rPr>
        <w:noBreakHyphen/>
      </w:r>
      <w:r w:rsidRPr="002C04D8">
        <w:rPr>
          <w:rStyle w:val="Emphasis"/>
          <w:i w:val="0"/>
          <w:iCs w:val="0"/>
        </w:rPr>
        <w:t xml:space="preserve"> and geothermal</w:t>
      </w:r>
      <w:r>
        <w:rPr>
          <w:rStyle w:val="Emphasis"/>
          <w:i w:val="0"/>
          <w:iCs w:val="0"/>
        </w:rPr>
        <w:noBreakHyphen/>
      </w:r>
      <w:r w:rsidRPr="002C04D8">
        <w:rPr>
          <w:rStyle w:val="Emphasis"/>
          <w:i w:val="0"/>
          <w:iCs w:val="0"/>
        </w:rPr>
        <w:t>related exploration (including CO2 storage).</w:t>
      </w:r>
    </w:p>
    <w:p w:rsidR="00FD64D1" w:rsidRPr="002C04D8" w:rsidRDefault="00FD64D1" w:rsidP="00FD64D1">
      <w:pPr>
        <w:pStyle w:val="Quote"/>
        <w:rPr>
          <w:rStyle w:val="Emphasis"/>
          <w:i w:val="0"/>
          <w:iCs w:val="0"/>
        </w:rPr>
      </w:pPr>
      <w:r w:rsidRPr="002C04D8">
        <w:rPr>
          <w:rStyle w:val="Emphasis"/>
          <w:i w:val="0"/>
          <w:iCs w:val="0"/>
        </w:rPr>
        <w:t>The main committee has two technical subcommittees reporting to it:</w:t>
      </w:r>
    </w:p>
    <w:p w:rsidR="00FD64D1" w:rsidRPr="002C04D8" w:rsidRDefault="00FD64D1" w:rsidP="00FD64D1">
      <w:pPr>
        <w:pStyle w:val="Quote"/>
        <w:rPr>
          <w:rStyle w:val="Emphasis"/>
          <w:i w:val="0"/>
          <w:iCs w:val="0"/>
        </w:rPr>
      </w:pPr>
      <w:r w:rsidRPr="002C04D8">
        <w:rPr>
          <w:rStyle w:val="Emphasis"/>
          <w:i w:val="0"/>
          <w:iCs w:val="0"/>
        </w:rPr>
        <w:t>Mineral Exploration Technical Subcommittee (chaired by the AMEC representative);</w:t>
      </w:r>
    </w:p>
    <w:p w:rsidR="00FD64D1" w:rsidRPr="002C04D8" w:rsidRDefault="00FD64D1" w:rsidP="00FD64D1">
      <w:pPr>
        <w:pStyle w:val="Quote"/>
        <w:rPr>
          <w:rStyle w:val="Emphasis"/>
          <w:i w:val="0"/>
          <w:iCs w:val="0"/>
        </w:rPr>
      </w:pPr>
      <w:r w:rsidRPr="002C04D8">
        <w:rPr>
          <w:rStyle w:val="Emphasis"/>
          <w:i w:val="0"/>
          <w:iCs w:val="0"/>
        </w:rPr>
        <w:lastRenderedPageBreak/>
        <w:t xml:space="preserve">Petroleum Exploration and Geothermal Technical Subcommittee (chaired by the </w:t>
      </w:r>
      <w:proofErr w:type="spellStart"/>
      <w:r w:rsidRPr="002C04D8">
        <w:rPr>
          <w:rStyle w:val="Emphasis"/>
          <w:i w:val="0"/>
          <w:iCs w:val="0"/>
        </w:rPr>
        <w:t>APPEA</w:t>
      </w:r>
      <w:proofErr w:type="spellEnd"/>
      <w:r w:rsidRPr="002C04D8">
        <w:rPr>
          <w:rStyle w:val="Emphasis"/>
          <w:i w:val="0"/>
          <w:iCs w:val="0"/>
        </w:rPr>
        <w:t xml:space="preserve"> representative).</w:t>
      </w:r>
    </w:p>
    <w:p w:rsidR="00FD64D1" w:rsidRPr="002C04D8" w:rsidRDefault="00FD64D1" w:rsidP="00FD64D1">
      <w:pPr>
        <w:pStyle w:val="Quote"/>
      </w:pPr>
      <w:r w:rsidRPr="002C04D8">
        <w:rPr>
          <w:rStyle w:val="Emphasis"/>
          <w:i w:val="0"/>
          <w:iCs w:val="0"/>
        </w:rPr>
        <w:t xml:space="preserve">The role and composition of the technical subcommittees is similar, but the technical subcommittees also review in detail </w:t>
      </w:r>
      <w:proofErr w:type="spellStart"/>
      <w:r w:rsidRPr="002C04D8">
        <w:rPr>
          <w:rStyle w:val="Emphasis"/>
          <w:i w:val="0"/>
          <w:iCs w:val="0"/>
        </w:rPr>
        <w:t>GSWA’s</w:t>
      </w:r>
      <w:proofErr w:type="spellEnd"/>
      <w:r w:rsidRPr="002C04D8">
        <w:rPr>
          <w:rStyle w:val="Emphasis"/>
          <w:i w:val="0"/>
          <w:iCs w:val="0"/>
        </w:rPr>
        <w:t xml:space="preserve"> geoscience products and services actually delivered versus those planned, and formally rate the </w:t>
      </w:r>
      <w:proofErr w:type="spellStart"/>
      <w:r w:rsidRPr="002C04D8">
        <w:rPr>
          <w:rStyle w:val="Emphasis"/>
          <w:i w:val="0"/>
          <w:iCs w:val="0"/>
        </w:rPr>
        <w:t>GSWA’s</w:t>
      </w:r>
      <w:proofErr w:type="spellEnd"/>
      <w:r w:rsidRPr="002C04D8">
        <w:rPr>
          <w:rStyle w:val="Emphasis"/>
          <w:i w:val="0"/>
          <w:iCs w:val="0"/>
        </w:rPr>
        <w:t xml:space="preserve"> performance in geoscience products delivered and exploration information management. (</w:t>
      </w:r>
      <w:proofErr w:type="spellStart"/>
      <w:r w:rsidRPr="002C04D8">
        <w:rPr>
          <w:rStyle w:val="Emphasis"/>
          <w:i w:val="0"/>
          <w:iCs w:val="0"/>
        </w:rPr>
        <w:t>GSWA</w:t>
      </w:r>
      <w:proofErr w:type="spellEnd"/>
      <w:r w:rsidRPr="002C04D8">
        <w:rPr>
          <w:rStyle w:val="Emphasis"/>
          <w:i w:val="0"/>
          <w:iCs w:val="0"/>
        </w:rPr>
        <w:t xml:space="preserve">, </w:t>
      </w:r>
      <w:proofErr w:type="spellStart"/>
      <w:r w:rsidR="0010616E">
        <w:rPr>
          <w:rStyle w:val="Emphasis"/>
          <w:i w:val="0"/>
          <w:iCs w:val="0"/>
        </w:rPr>
        <w:t>pers.comm</w:t>
      </w:r>
      <w:proofErr w:type="spellEnd"/>
      <w:r w:rsidR="0010616E">
        <w:rPr>
          <w:rStyle w:val="Emphasis"/>
          <w:i w:val="0"/>
          <w:iCs w:val="0"/>
        </w:rPr>
        <w:t>.</w:t>
      </w:r>
      <w:r w:rsidRPr="002C04D8">
        <w:rPr>
          <w:rStyle w:val="Emphasis"/>
          <w:i w:val="0"/>
          <w:iCs w:val="0"/>
        </w:rPr>
        <w:t>).</w:t>
      </w:r>
    </w:p>
    <w:p w:rsidR="00FD64D1" w:rsidRDefault="00FD64D1" w:rsidP="00FD64D1">
      <w:pPr>
        <w:pStyle w:val="BodyText"/>
        <w:rPr>
          <w:lang w:val="en"/>
        </w:rPr>
      </w:pPr>
      <w:r>
        <w:rPr>
          <w:lang w:val="en"/>
        </w:rPr>
        <w:t>The New South Wales Government has established a Geological Survey Advisory Committee to provide a forum for obtaining input and feedback from industry representatives (individual company executives) on the activities and outputs of the Geological Survey of NSW. The move to industry funding of pre</w:t>
      </w:r>
      <w:r>
        <w:rPr>
          <w:lang w:val="en"/>
        </w:rPr>
        <w:noBreakHyphen/>
        <w:t>competitive data acquisition will see a restructuring of the membership of that committee with broader representation being provided by industry associations such as the New South Wales Minerals Council and AMEC. This will reduce the risk of potential conflicts of interest emerging compared with individual company representation.</w:t>
      </w:r>
    </w:p>
    <w:p w:rsidR="00687244" w:rsidRDefault="00687244" w:rsidP="00687244">
      <w:pPr>
        <w:pStyle w:val="BodyText"/>
      </w:pPr>
      <w:r>
        <w:t>Further, as discussed earlier in this chapter, Australia’s pre</w:t>
      </w:r>
      <w:r>
        <w:noBreakHyphen/>
        <w:t>competitive geoscience data is well regarded by explorers, and this can be considered evidence that the current arrangements of setting priorities and performance management may be sufficiently effective. The Commission is seeking feedback from stakeholders as to whether more formal priority setting and performance management arrangements of Australia’s geological surveys are warranted.</w:t>
      </w:r>
    </w:p>
    <w:p w:rsidR="00687244" w:rsidRDefault="00687244" w:rsidP="00687244">
      <w:pPr>
        <w:pStyle w:val="RecTitle"/>
      </w:pPr>
      <w:r>
        <w:t xml:space="preserve">INFORMATION REQUEST </w:t>
      </w:r>
    </w:p>
    <w:p w:rsidR="00687244" w:rsidRDefault="00687244" w:rsidP="00687244">
      <w:pPr>
        <w:pStyle w:val="InformationRequest"/>
      </w:pPr>
      <w:r>
        <w:t>The Commission is seeking views from stakeholders as to whether more formalised approaches to priority setting and performance management would enable Australia’s geological survey organisations to make more informed decisions about the use of pre</w:t>
      </w:r>
      <w:r w:rsidR="00DC4E50">
        <w:noBreakHyphen/>
      </w:r>
      <w:r>
        <w:t>competitive geoscience information funding.</w:t>
      </w:r>
    </w:p>
    <w:p w:rsidR="00687244" w:rsidRDefault="00687244" w:rsidP="00687244">
      <w:pPr>
        <w:pStyle w:val="Heading3"/>
      </w:pPr>
      <w:r>
        <w:t xml:space="preserve">Extending database coverage </w:t>
      </w:r>
    </w:p>
    <w:p w:rsidR="00687244" w:rsidRDefault="00687244" w:rsidP="00687244">
      <w:pPr>
        <w:pStyle w:val="BodyText"/>
        <w:spacing w:before="120"/>
        <w:rPr>
          <w:lang w:val="en"/>
        </w:rPr>
      </w:pPr>
      <w:r>
        <w:rPr>
          <w:lang w:val="en"/>
        </w:rPr>
        <w:t xml:space="preserve">Although Australia ranks highly in international comparisons of database quality, there are opportunities to improve on those databases and the attractiveness of Australia as an investment destination without the need for any additional public funding. This is due to significant gaps in resource reserve information from inadequate disclosure of that information by certain corporate entities. </w:t>
      </w:r>
    </w:p>
    <w:p w:rsidR="00687244" w:rsidRDefault="00687244" w:rsidP="00687244">
      <w:pPr>
        <w:pStyle w:val="BodyText"/>
        <w:spacing w:before="120"/>
      </w:pPr>
      <w:r>
        <w:rPr>
          <w:lang w:val="en"/>
        </w:rPr>
        <w:t xml:space="preserve">Currently, </w:t>
      </w:r>
      <w:r>
        <w:t>resource companies listed on the Australian Stock Exchange (</w:t>
      </w:r>
      <w:proofErr w:type="spellStart"/>
      <w:r>
        <w:t>ASX</w:t>
      </w:r>
      <w:proofErr w:type="spellEnd"/>
      <w:r>
        <w:t xml:space="preserve">) are required to report (with a lag) publicly on exploration results, mineral resources and ore reserves. However, foreign companies and privately owned Australian companies not listed on the </w:t>
      </w:r>
      <w:proofErr w:type="spellStart"/>
      <w:r>
        <w:t>ASX</w:t>
      </w:r>
      <w:proofErr w:type="spellEnd"/>
      <w:r>
        <w:t xml:space="preserve"> are not required to publicly report on mineral and </w:t>
      </w:r>
      <w:r>
        <w:lastRenderedPageBreak/>
        <w:t>energy resources. According to the Exploration, Investment and Geoscience</w:t>
      </w:r>
      <w:r w:rsidR="00826DA6">
        <w:t xml:space="preserve"> (</w:t>
      </w:r>
      <w:proofErr w:type="spellStart"/>
      <w:r w:rsidR="00826DA6">
        <w:t>EIG</w:t>
      </w:r>
      <w:proofErr w:type="spellEnd"/>
      <w:r w:rsidR="00826DA6">
        <w:t>)</w:t>
      </w:r>
      <w:r>
        <w:t xml:space="preserve"> Working Group</w:t>
      </w:r>
      <w:r w:rsidR="00826DA6">
        <w:t xml:space="preserve"> </w:t>
      </w:r>
      <w:r>
        <w:t>of the Standing Council on Energy and Resources (</w:t>
      </w:r>
      <w:proofErr w:type="spellStart"/>
      <w:r>
        <w:t>SCER</w:t>
      </w:r>
      <w:proofErr w:type="spellEnd"/>
      <w:r>
        <w:t xml:space="preserve"> </w:t>
      </w:r>
      <w:proofErr w:type="spellStart"/>
      <w:r>
        <w:t>2012</w:t>
      </w:r>
      <w:r w:rsidR="004A332A">
        <w:t>a</w:t>
      </w:r>
      <w:proofErr w:type="spellEnd"/>
      <w:r>
        <w:t>), takeover and merger activity by foreign resource firms over time has reached a point where ‘ … Australia no longer has an accurate Economic Demonstrated Resource for a range of minerals’ (p. 4). The potential consequences are that a:</w:t>
      </w:r>
    </w:p>
    <w:p w:rsidR="00687244" w:rsidRDefault="00687244" w:rsidP="00687244">
      <w:pPr>
        <w:pStyle w:val="Quote"/>
      </w:pPr>
      <w:r>
        <w:t>Lack of accurate, consistent data could reduce governments’ ability to forecast production for policy and revenue purposes. It also reduces the ability to make informed decisions on land</w:t>
      </w:r>
      <w:r>
        <w:noBreakHyphen/>
        <w:t>use planning</w:t>
      </w:r>
      <w:r w:rsidR="0010616E">
        <w:t xml:space="preserve"> (</w:t>
      </w:r>
      <w:proofErr w:type="spellStart"/>
      <w:r w:rsidR="0010616E">
        <w:t>SCER</w:t>
      </w:r>
      <w:proofErr w:type="spellEnd"/>
      <w:r w:rsidR="0010616E">
        <w:t xml:space="preserve"> </w:t>
      </w:r>
      <w:proofErr w:type="spellStart"/>
      <w:r w:rsidR="0010616E">
        <w:t>2012</w:t>
      </w:r>
      <w:r w:rsidR="004A332A">
        <w:t>b</w:t>
      </w:r>
      <w:proofErr w:type="spellEnd"/>
      <w:r w:rsidR="0010616E">
        <w:t>).</w:t>
      </w:r>
    </w:p>
    <w:p w:rsidR="008268DA" w:rsidRDefault="00687244" w:rsidP="008268DA">
      <w:pPr>
        <w:pStyle w:val="BodyText"/>
      </w:pPr>
      <w:r>
        <w:t xml:space="preserve">Although the states and Northern Territory impose reporting requirements on mineral and petroleum exploration and production licences, these are primarily focused on production data (for the purpose of royalty collection) and vary by commodity and jurisdiction. According to an issues paper prepared </w:t>
      </w:r>
      <w:r w:rsidR="008268DA">
        <w:t xml:space="preserve">by the Department of Resources, Energy and Tourism and Geoscience Australia on behalf of </w:t>
      </w:r>
      <w:proofErr w:type="spellStart"/>
      <w:r w:rsidR="008268DA">
        <w:t>SCER’s</w:t>
      </w:r>
      <w:proofErr w:type="spellEnd"/>
      <w:r w:rsidR="008268DA">
        <w:t xml:space="preserve"> </w:t>
      </w:r>
      <w:proofErr w:type="spellStart"/>
      <w:r w:rsidR="00826DA6">
        <w:t>EIG</w:t>
      </w:r>
      <w:proofErr w:type="spellEnd"/>
      <w:r w:rsidR="008268DA">
        <w:t xml:space="preserve"> Working Group:</w:t>
      </w:r>
    </w:p>
    <w:p w:rsidR="008B70C7" w:rsidRDefault="008B70C7" w:rsidP="008B70C7">
      <w:pPr>
        <w:pStyle w:val="Quote"/>
      </w:pPr>
      <w:r>
        <w:t xml:space="preserve">Reporting requirements for minerals inventory and for production vary across the States and Territories … Reporting has not been systematically enforced by jurisdictions and information reported is focused </w:t>
      </w:r>
      <w:r w:rsidR="00562EE1">
        <w:t>more on production. (</w:t>
      </w:r>
      <w:proofErr w:type="spellStart"/>
      <w:r w:rsidR="00562EE1">
        <w:t>SCER</w:t>
      </w:r>
      <w:proofErr w:type="spellEnd"/>
      <w:r w:rsidR="001C179D">
        <w:t> </w:t>
      </w:r>
      <w:proofErr w:type="spellStart"/>
      <w:r w:rsidR="00562EE1">
        <w:t>2012</w:t>
      </w:r>
      <w:r w:rsidR="004A332A">
        <w:t>a</w:t>
      </w:r>
      <w:proofErr w:type="spellEnd"/>
      <w:r w:rsidR="00562EE1">
        <w:t>, </w:t>
      </w:r>
      <w:r>
        <w:t>p. 4)</w:t>
      </w:r>
    </w:p>
    <w:p w:rsidR="008B70C7" w:rsidRDefault="00892CA7" w:rsidP="008B70C7">
      <w:pPr>
        <w:pStyle w:val="BodyText"/>
        <w:spacing w:before="120"/>
      </w:pPr>
      <w:r>
        <w:t xml:space="preserve">Moreover, according to </w:t>
      </w:r>
      <w:proofErr w:type="spellStart"/>
      <w:r>
        <w:t>SCER</w:t>
      </w:r>
      <w:proofErr w:type="spellEnd"/>
      <w:r>
        <w:t xml:space="preserve"> </w:t>
      </w:r>
      <w:r w:rsidR="008B70C7">
        <w:t>, the lack of systematic reporting has left gaps in the resource information base across commodities and jurisdictions. The extent to which data collection issues have hampered access to sufficiently reliable information on Australia’s resource reserves and production, and whether the imposition of reporting requirements on non</w:t>
      </w:r>
      <w:r w:rsidR="008B70C7">
        <w:noBreakHyphen/>
        <w:t xml:space="preserve">reporting companies is warranted, is currently being considered by the </w:t>
      </w:r>
      <w:proofErr w:type="spellStart"/>
      <w:r w:rsidR="00F0004F">
        <w:t>EIG</w:t>
      </w:r>
      <w:proofErr w:type="spellEnd"/>
      <w:r w:rsidR="008B70C7">
        <w:t xml:space="preserve"> Working Group within </w:t>
      </w:r>
      <w:proofErr w:type="spellStart"/>
      <w:r w:rsidR="008B70C7">
        <w:t>SCER</w:t>
      </w:r>
      <w:proofErr w:type="spellEnd"/>
      <w:r w:rsidR="00F0004F">
        <w:t xml:space="preserve">. </w:t>
      </w:r>
    </w:p>
    <w:p w:rsidR="008B70C7" w:rsidRDefault="008B70C7" w:rsidP="008B70C7">
      <w:pPr>
        <w:pStyle w:val="BodyText"/>
      </w:pPr>
      <w:r>
        <w:t>The issues paper</w:t>
      </w:r>
      <w:r w:rsidR="00417789">
        <w:t xml:space="preserve"> for the </w:t>
      </w:r>
      <w:proofErr w:type="spellStart"/>
      <w:r w:rsidR="00417789">
        <w:t>EIG</w:t>
      </w:r>
      <w:proofErr w:type="spellEnd"/>
      <w:r w:rsidR="00417789">
        <w:t xml:space="preserve"> Working Group</w:t>
      </w:r>
      <w:r>
        <w:t xml:space="preserve"> advanced three options to improve data collection rates from non</w:t>
      </w:r>
      <w:r>
        <w:rPr>
          <w:rFonts w:ascii="Cambria Math" w:hAnsi="Cambria Math" w:cs="Cambria Math"/>
        </w:rPr>
        <w:t>‐</w:t>
      </w:r>
      <w:r>
        <w:t xml:space="preserve">reporting companies: a voluntary survey; a regulatory approach; and improved use of current data collection mechanisms. </w:t>
      </w:r>
    </w:p>
    <w:p w:rsidR="008B70C7" w:rsidRDefault="008B70C7" w:rsidP="008B70C7">
      <w:pPr>
        <w:pStyle w:val="ListBullet"/>
        <w:rPr>
          <w:i/>
        </w:rPr>
      </w:pPr>
      <w:r>
        <w:t xml:space="preserve">A voluntary survey could be administered by jurisdictions to collect resource information from companies. Jurisdictions would collate information and supply the data to GA by 30 September each year for inclusion in the national dataset. </w:t>
      </w:r>
    </w:p>
    <w:p w:rsidR="008B70C7" w:rsidRDefault="008B70C7" w:rsidP="008B70C7">
      <w:pPr>
        <w:pStyle w:val="ListBullet"/>
      </w:pPr>
      <w:r>
        <w:t>Under a regulatory approach, a compulsory requirement for non</w:t>
      </w:r>
      <w:r>
        <w:rPr>
          <w:rFonts w:ascii="Cambria Math" w:hAnsi="Cambria Math" w:cs="Cambria Math"/>
        </w:rPr>
        <w:t>‐</w:t>
      </w:r>
      <w:r>
        <w:t xml:space="preserve">listed companies could be developed which mirrors the current compulsory reporting requirements for listed companies. </w:t>
      </w:r>
    </w:p>
    <w:p w:rsidR="008B70C7" w:rsidRDefault="008B70C7" w:rsidP="008B70C7">
      <w:pPr>
        <w:pStyle w:val="ListBullet"/>
      </w:pPr>
      <w:r>
        <w:t>Existing mechanisms could be used, such as State and Territory legislation and direct approaches by data collection and analysis agencies, to capture data from non</w:t>
      </w:r>
      <w:r>
        <w:rPr>
          <w:rFonts w:ascii="Cambria Math" w:hAnsi="Cambria Math" w:cs="Cambria Math"/>
        </w:rPr>
        <w:t>‐</w:t>
      </w:r>
      <w:r>
        <w:t>reporting companies (</w:t>
      </w:r>
      <w:proofErr w:type="spellStart"/>
      <w:r>
        <w:t>SCER</w:t>
      </w:r>
      <w:proofErr w:type="spellEnd"/>
      <w:r>
        <w:t xml:space="preserve"> </w:t>
      </w:r>
      <w:proofErr w:type="spellStart"/>
      <w:r>
        <w:t>2012</w:t>
      </w:r>
      <w:r w:rsidR="004A332A">
        <w:t>a</w:t>
      </w:r>
      <w:proofErr w:type="spellEnd"/>
      <w:r>
        <w:t xml:space="preserve">). </w:t>
      </w:r>
    </w:p>
    <w:p w:rsidR="008B70C7" w:rsidRDefault="008B70C7" w:rsidP="008B70C7">
      <w:pPr>
        <w:pStyle w:val="BodyText"/>
      </w:pPr>
      <w:r>
        <w:lastRenderedPageBreak/>
        <w:t xml:space="preserve">Submissions to this inquiry generally supported the aim of improved disclosure but warned against imposing additional regulatory costs on business. For example, </w:t>
      </w:r>
      <w:proofErr w:type="spellStart"/>
      <w:r>
        <w:t>AusIMM</w:t>
      </w:r>
      <w:proofErr w:type="spellEnd"/>
      <w:r>
        <w:t xml:space="preserve"> said:</w:t>
      </w:r>
    </w:p>
    <w:p w:rsidR="008B70C7" w:rsidRDefault="008B70C7" w:rsidP="008B70C7">
      <w:pPr>
        <w:pStyle w:val="Quote"/>
      </w:pPr>
      <w:proofErr w:type="spellStart"/>
      <w:r>
        <w:t>AusIMM</w:t>
      </w:r>
      <w:proofErr w:type="spellEnd"/>
      <w:r>
        <w:t xml:space="preserve"> supports the development of a more comprehensive understanding of mineral resource and reserve estimates for Australia by establishing a mechanism to gather key data from companies not reporting to the </w:t>
      </w:r>
      <w:proofErr w:type="spellStart"/>
      <w:r>
        <w:t>ASX</w:t>
      </w:r>
      <w:proofErr w:type="spellEnd"/>
      <w:r>
        <w:t>. However, this must be done in a way that does not impose significant administrative costs on businesses or discourage investment in minerals exploration and development in Australia. (sub. 12, p. 8)</w:t>
      </w:r>
    </w:p>
    <w:p w:rsidR="008B70C7" w:rsidRPr="000C4C27" w:rsidRDefault="008B70C7" w:rsidP="008B70C7">
      <w:pPr>
        <w:pStyle w:val="BodyText"/>
      </w:pPr>
      <w:r>
        <w:t>T</w:t>
      </w:r>
      <w:r w:rsidRPr="002C04D8">
        <w:t>he Commission notes that</w:t>
      </w:r>
      <w:r>
        <w:t xml:space="preserve"> </w:t>
      </w:r>
      <w:proofErr w:type="spellStart"/>
      <w:r>
        <w:t>SCER</w:t>
      </w:r>
      <w:proofErr w:type="spellEnd"/>
      <w:r w:rsidRPr="002C04D8">
        <w:t xml:space="preserve"> is due to report on options to improve resource reserve disclosure shortly after the release of this draft report. Accordingly, </w:t>
      </w:r>
      <w:r>
        <w:t xml:space="preserve">the Commission will </w:t>
      </w:r>
      <w:r w:rsidRPr="002C04D8">
        <w:t>await the outcome of that process before making any</w:t>
      </w:r>
      <w:r>
        <w:t xml:space="preserve"> recommendations on this issue.</w:t>
      </w:r>
    </w:p>
    <w:p w:rsidR="000023C0" w:rsidRDefault="000023C0" w:rsidP="000023C0">
      <w:pPr>
        <w:pStyle w:val="Reference"/>
      </w:pPr>
    </w:p>
    <w:p w:rsidR="000023C0" w:rsidRDefault="000023C0" w:rsidP="000023C0">
      <w:pPr>
        <w:pStyle w:val="Reference"/>
      </w:pPr>
    </w:p>
    <w:p w:rsidR="000023C0" w:rsidRDefault="000023C0" w:rsidP="000023C0">
      <w:pPr>
        <w:pStyle w:val="Reference"/>
      </w:pPr>
    </w:p>
    <w:p w:rsidR="000023C0" w:rsidRDefault="000023C0" w:rsidP="000023C0">
      <w:pPr>
        <w:pStyle w:val="Reference"/>
      </w:pPr>
    </w:p>
    <w:p w:rsidR="000023C0" w:rsidRDefault="000023C0" w:rsidP="000023C0">
      <w:pPr>
        <w:pStyle w:val="Reference"/>
      </w:pPr>
    </w:p>
    <w:p w:rsidR="000023C0" w:rsidRDefault="000023C0" w:rsidP="000023C0">
      <w:pPr>
        <w:pStyle w:val="Reference"/>
      </w:pPr>
    </w:p>
    <w:p w:rsidR="000023C0" w:rsidRDefault="000023C0" w:rsidP="000023C0">
      <w:pPr>
        <w:pStyle w:val="Reference"/>
      </w:pPr>
    </w:p>
    <w:p w:rsidR="000023C0" w:rsidRDefault="000023C0" w:rsidP="000023C0">
      <w:pPr>
        <w:pStyle w:val="Reference"/>
      </w:pPr>
    </w:p>
    <w:p w:rsidR="000023C0" w:rsidRDefault="000023C0" w:rsidP="000023C0">
      <w:pPr>
        <w:pStyle w:val="Reference"/>
      </w:pPr>
    </w:p>
    <w:p w:rsidR="000023C0" w:rsidRDefault="000023C0" w:rsidP="000023C0">
      <w:pPr>
        <w:pStyle w:val="Reference"/>
      </w:pPr>
    </w:p>
    <w:sectPr w:rsidR="000023C0" w:rsidSect="00C834D7">
      <w:headerReference w:type="even" r:id="rId21"/>
      <w:headerReference w:type="default" r:id="rId22"/>
      <w:footerReference w:type="even" r:id="rId23"/>
      <w:footerReference w:type="default" r:id="rId24"/>
      <w:headerReference w:type="first" r:id="rId25"/>
      <w:footerReference w:type="first" r:id="rId26"/>
      <w:pgSz w:w="11907" w:h="16840" w:code="9"/>
      <w:pgMar w:top="1985" w:right="1304" w:bottom="1418" w:left="1814" w:header="1701" w:footer="567" w:gutter="0"/>
      <w:pgNumType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16E" w:rsidRDefault="0010616E">
      <w:r>
        <w:separator/>
      </w:r>
    </w:p>
  </w:endnote>
  <w:endnote w:type="continuationSeparator" w:id="0">
    <w:p w:rsidR="0010616E" w:rsidRDefault="00106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0616E">
      <w:trPr>
        <w:trHeight w:hRule="exact" w:val="740"/>
      </w:trPr>
      <w:tc>
        <w:tcPr>
          <w:tcW w:w="510" w:type="dxa"/>
          <w:tcBorders>
            <w:top w:val="single" w:sz="6" w:space="0" w:color="auto"/>
          </w:tcBorders>
        </w:tcPr>
        <w:p w:rsidR="0010616E" w:rsidRDefault="0010616E">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AF1C6B">
            <w:rPr>
              <w:rStyle w:val="PageNumber"/>
              <w:noProof/>
            </w:rPr>
            <w:t>208</w:t>
          </w:r>
          <w:r>
            <w:rPr>
              <w:rStyle w:val="PageNumber"/>
            </w:rPr>
            <w:fldChar w:fldCharType="end"/>
          </w:r>
        </w:p>
      </w:tc>
      <w:tc>
        <w:tcPr>
          <w:tcW w:w="1644" w:type="dxa"/>
          <w:tcBorders>
            <w:top w:val="single" w:sz="6" w:space="0" w:color="auto"/>
          </w:tcBorders>
        </w:tcPr>
        <w:p w:rsidR="0010616E" w:rsidRDefault="00200052">
          <w:pPr>
            <w:pStyle w:val="Footer"/>
          </w:pPr>
          <w:fldSimple w:instr=" SUBJECT  \* MERGEFORMAT ">
            <w:r w:rsidR="00DE2D5C">
              <w:t>Resource exploration</w:t>
            </w:r>
          </w:fldSimple>
        </w:p>
      </w:tc>
      <w:tc>
        <w:tcPr>
          <w:tcW w:w="6634" w:type="dxa"/>
        </w:tcPr>
        <w:p w:rsidR="0010616E" w:rsidRDefault="0010616E">
          <w:pPr>
            <w:pStyle w:val="Footer"/>
          </w:pPr>
        </w:p>
      </w:tc>
    </w:tr>
  </w:tbl>
  <w:p w:rsidR="0010616E" w:rsidRDefault="0010616E">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10616E">
      <w:trPr>
        <w:trHeight w:hRule="exact" w:val="740"/>
      </w:trPr>
      <w:tc>
        <w:tcPr>
          <w:tcW w:w="6634" w:type="dxa"/>
        </w:tcPr>
        <w:p w:rsidR="0010616E" w:rsidRDefault="0010616E">
          <w:pPr>
            <w:pStyle w:val="Footer"/>
            <w:ind w:right="360" w:firstLine="360"/>
          </w:pPr>
        </w:p>
      </w:tc>
      <w:tc>
        <w:tcPr>
          <w:tcW w:w="1644" w:type="dxa"/>
          <w:tcBorders>
            <w:top w:val="single" w:sz="6" w:space="0" w:color="auto"/>
          </w:tcBorders>
        </w:tcPr>
        <w:p w:rsidR="0010616E" w:rsidRDefault="00200052">
          <w:pPr>
            <w:pStyle w:val="Footer"/>
          </w:pPr>
          <w:fldSimple w:instr=" TITLE  \* MERGEFORMAT ">
            <w:r w:rsidR="00DE2D5C">
              <w:t xml:space="preserve">Pre-competitive geoscience </w:t>
            </w:r>
          </w:fldSimple>
        </w:p>
      </w:tc>
      <w:tc>
        <w:tcPr>
          <w:tcW w:w="510" w:type="dxa"/>
          <w:tcBorders>
            <w:top w:val="single" w:sz="6" w:space="0" w:color="auto"/>
          </w:tcBorders>
        </w:tcPr>
        <w:p w:rsidR="0010616E" w:rsidRDefault="0010616E">
          <w:pPr>
            <w:pStyle w:val="Footer"/>
            <w:jc w:val="right"/>
          </w:pPr>
          <w:r>
            <w:rPr>
              <w:rStyle w:val="PageNumber"/>
            </w:rPr>
            <w:fldChar w:fldCharType="begin"/>
          </w:r>
          <w:r>
            <w:rPr>
              <w:rStyle w:val="PageNumber"/>
            </w:rPr>
            <w:instrText xml:space="preserve">PAGE  </w:instrText>
          </w:r>
          <w:r>
            <w:rPr>
              <w:rStyle w:val="PageNumber"/>
            </w:rPr>
            <w:fldChar w:fldCharType="separate"/>
          </w:r>
          <w:r w:rsidR="00AF1C6B">
            <w:rPr>
              <w:rStyle w:val="PageNumber"/>
              <w:noProof/>
            </w:rPr>
            <w:t>207</w:t>
          </w:r>
          <w:r>
            <w:rPr>
              <w:rStyle w:val="PageNumber"/>
            </w:rPr>
            <w:fldChar w:fldCharType="end"/>
          </w:r>
        </w:p>
      </w:tc>
    </w:tr>
  </w:tbl>
  <w:p w:rsidR="0010616E" w:rsidRDefault="0010616E">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C6B" w:rsidRDefault="00AF1C6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16E" w:rsidRDefault="0010616E">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AF1C6B">
      <w:rPr>
        <w:rStyle w:val="PageNumber"/>
        <w:noProof/>
      </w:rPr>
      <w:t>216</w:t>
    </w:r>
    <w:r>
      <w:rPr>
        <w:rStyle w:val="PageNumber"/>
      </w:rPr>
      <w:fldChar w:fldCharType="end"/>
    </w:r>
  </w:p>
  <w:p w:rsidR="0010616E" w:rsidRDefault="0010616E">
    <w:pPr>
      <w:pStyle w:val="FooterEnd"/>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16E" w:rsidRDefault="0010616E">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AF1C6B">
      <w:rPr>
        <w:rStyle w:val="PageNumber"/>
        <w:noProof/>
      </w:rPr>
      <w:t>217</w:t>
    </w:r>
    <w:r>
      <w:rPr>
        <w:rStyle w:val="PageNumber"/>
      </w:rPr>
      <w:fldChar w:fldCharType="end"/>
    </w:r>
  </w:p>
  <w:p w:rsidR="0010616E" w:rsidRDefault="0010616E">
    <w:pPr>
      <w:pStyle w:val="Footer"/>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0616E">
      <w:trPr>
        <w:trHeight w:hRule="exact" w:val="740"/>
      </w:trPr>
      <w:tc>
        <w:tcPr>
          <w:tcW w:w="510" w:type="dxa"/>
          <w:tcBorders>
            <w:top w:val="single" w:sz="6" w:space="0" w:color="auto"/>
          </w:tcBorders>
        </w:tcPr>
        <w:p w:rsidR="0010616E" w:rsidRDefault="0010616E"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AF1C6B">
            <w:rPr>
              <w:rStyle w:val="PageNumber"/>
              <w:noProof/>
            </w:rPr>
            <w:t>218</w:t>
          </w:r>
          <w:r>
            <w:rPr>
              <w:rStyle w:val="PageNumber"/>
            </w:rPr>
            <w:fldChar w:fldCharType="end"/>
          </w:r>
        </w:p>
      </w:tc>
      <w:tc>
        <w:tcPr>
          <w:tcW w:w="1644" w:type="dxa"/>
          <w:tcBorders>
            <w:top w:val="single" w:sz="6" w:space="0" w:color="auto"/>
          </w:tcBorders>
        </w:tcPr>
        <w:p w:rsidR="0010616E" w:rsidRDefault="00200052" w:rsidP="0019293B">
          <w:pPr>
            <w:pStyle w:val="Footer"/>
          </w:pPr>
          <w:fldSimple w:instr=" SUBJECT  \* MERGEFORMAT ">
            <w:r w:rsidR="00DE2D5C">
              <w:t>Resource exploration</w:t>
            </w:r>
          </w:fldSimple>
        </w:p>
      </w:tc>
      <w:tc>
        <w:tcPr>
          <w:tcW w:w="6634" w:type="dxa"/>
        </w:tcPr>
        <w:p w:rsidR="0010616E" w:rsidRDefault="0010616E" w:rsidP="0019293B">
          <w:pPr>
            <w:pStyle w:val="Footer"/>
          </w:pPr>
        </w:p>
      </w:tc>
    </w:tr>
  </w:tbl>
  <w:p w:rsidR="0010616E" w:rsidRDefault="0010616E" w:rsidP="0019293B">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10616E">
      <w:trPr>
        <w:trHeight w:hRule="exact" w:val="740"/>
      </w:trPr>
      <w:tc>
        <w:tcPr>
          <w:tcW w:w="6634" w:type="dxa"/>
        </w:tcPr>
        <w:p w:rsidR="0010616E" w:rsidRDefault="0010616E">
          <w:pPr>
            <w:pStyle w:val="Footer"/>
            <w:ind w:right="360" w:firstLine="360"/>
          </w:pPr>
        </w:p>
      </w:tc>
      <w:tc>
        <w:tcPr>
          <w:tcW w:w="1644" w:type="dxa"/>
          <w:tcBorders>
            <w:top w:val="single" w:sz="6" w:space="0" w:color="auto"/>
          </w:tcBorders>
        </w:tcPr>
        <w:p w:rsidR="0010616E" w:rsidRDefault="00200052">
          <w:pPr>
            <w:pStyle w:val="Footer"/>
          </w:pPr>
          <w:fldSimple w:instr=" TITLE  \* MERGEFORMAT ">
            <w:r w:rsidR="00DE2D5C">
              <w:t xml:space="preserve">Pre-competitive geoscience </w:t>
            </w:r>
          </w:fldSimple>
        </w:p>
      </w:tc>
      <w:tc>
        <w:tcPr>
          <w:tcW w:w="510" w:type="dxa"/>
          <w:tcBorders>
            <w:top w:val="single" w:sz="6" w:space="0" w:color="auto"/>
          </w:tcBorders>
        </w:tcPr>
        <w:p w:rsidR="0010616E" w:rsidRDefault="0010616E">
          <w:pPr>
            <w:pStyle w:val="Footer"/>
            <w:jc w:val="right"/>
          </w:pPr>
          <w:r>
            <w:rPr>
              <w:rStyle w:val="PageNumber"/>
            </w:rPr>
            <w:fldChar w:fldCharType="begin"/>
          </w:r>
          <w:r>
            <w:rPr>
              <w:rStyle w:val="PageNumber"/>
            </w:rPr>
            <w:instrText xml:space="preserve">PAGE  </w:instrText>
          </w:r>
          <w:r>
            <w:rPr>
              <w:rStyle w:val="PageNumber"/>
            </w:rPr>
            <w:fldChar w:fldCharType="separate"/>
          </w:r>
          <w:r w:rsidR="00AF1C6B">
            <w:rPr>
              <w:rStyle w:val="PageNumber"/>
              <w:noProof/>
            </w:rPr>
            <w:t>223</w:t>
          </w:r>
          <w:r>
            <w:rPr>
              <w:rStyle w:val="PageNumber"/>
            </w:rPr>
            <w:fldChar w:fldCharType="end"/>
          </w:r>
        </w:p>
      </w:tc>
    </w:tr>
  </w:tbl>
  <w:p w:rsidR="0010616E" w:rsidRDefault="0010616E">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16E" w:rsidRDefault="001061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16E" w:rsidRDefault="0010616E">
      <w:r>
        <w:separator/>
      </w:r>
    </w:p>
  </w:footnote>
  <w:footnote w:type="continuationSeparator" w:id="0">
    <w:p w:rsidR="0010616E" w:rsidRDefault="0010616E">
      <w:r>
        <w:continuationSeparator/>
      </w:r>
    </w:p>
  </w:footnote>
  <w:footnote w:id="1">
    <w:p w:rsidR="0010616E" w:rsidRDefault="0010616E" w:rsidP="00C834D7">
      <w:pPr>
        <w:pStyle w:val="FootnoteText"/>
      </w:pPr>
      <w:r>
        <w:rPr>
          <w:rStyle w:val="FootnoteReference"/>
        </w:rPr>
        <w:footnoteRef/>
      </w:r>
      <w:r>
        <w:t xml:space="preserve"> Section 31 revenue refers to funding received from other Australian Government agencies and unrelated entities for the performance of services and the sale of goods.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0616E">
      <w:tc>
        <w:tcPr>
          <w:tcW w:w="2155" w:type="dxa"/>
          <w:tcBorders>
            <w:top w:val="single" w:sz="24" w:space="0" w:color="auto"/>
          </w:tcBorders>
        </w:tcPr>
        <w:p w:rsidR="0010616E" w:rsidRDefault="00AF1C6B">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7250" o:spid="_x0000_s53250" type="#_x0000_t136" style="position:absolute;margin-left:0;margin-top:0;width:442.55pt;height:177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10616E" w:rsidRDefault="00AF1C6B">
          <w:pPr>
            <w:pStyle w:val="HeaderEven"/>
          </w:pPr>
          <w:r>
            <w:rPr>
              <w:color w:val="FF0000"/>
              <w:sz w:val="14"/>
              <w:szCs w:val="14"/>
            </w:rPr>
            <w:t>draft report: For final outcomes of this project refer to the inquiry report.</w:t>
          </w:r>
        </w:p>
      </w:tc>
    </w:tr>
  </w:tbl>
  <w:p w:rsidR="0010616E" w:rsidRDefault="0010616E">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0616E">
      <w:tc>
        <w:tcPr>
          <w:tcW w:w="6634" w:type="dxa"/>
          <w:tcBorders>
            <w:top w:val="single" w:sz="6" w:space="0" w:color="auto"/>
          </w:tcBorders>
        </w:tcPr>
        <w:p w:rsidR="0010616E" w:rsidRDefault="00AF1C6B">
          <w:pPr>
            <w:pStyle w:val="HeaderOdd"/>
          </w:pPr>
          <w:r>
            <w:rPr>
              <w:color w:val="FF0000"/>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7251" o:spid="_x0000_s53251" type="#_x0000_t136" style="position:absolute;margin-left:0;margin-top:0;width:442.55pt;height:177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rsidR="0010616E" w:rsidRDefault="0010616E">
          <w:pPr>
            <w:pStyle w:val="HeaderOdd"/>
          </w:pPr>
        </w:p>
      </w:tc>
    </w:tr>
  </w:tbl>
  <w:p w:rsidR="0010616E" w:rsidRDefault="0010616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C6B" w:rsidRDefault="00AF1C6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7249" o:spid="_x0000_s53249" type="#_x0000_t136" style="position:absolute;margin-left:0;margin-top:0;width:442.55pt;height:177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16E" w:rsidRDefault="00AF1C6B">
    <w:pPr>
      <w:pStyle w:val="HeaderEn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7253" o:spid="_x0000_s53253" type="#_x0000_t136" style="position:absolute;margin-left:0;margin-top:0;width:442.55pt;height:177pt;rotation:315;z-index:-251649024;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D5C" w:rsidRDefault="00AF1C6B" w:rsidP="00DE2D5C">
    <w:pPr>
      <w:keepNext/>
      <w:keepLines/>
      <w:spacing w:before="360" w:after="80" w:line="280" w:lineRule="exact"/>
      <w:ind w:left="1474" w:hanging="1474"/>
      <w:rPr>
        <w:rFonts w:ascii="Arial" w:hAnsi="Arial"/>
        <w:sz w:val="18"/>
        <w:szCs w:val="1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7254" o:spid="_x0000_s53254" type="#_x0000_t136" style="position:absolute;left:0;text-align:left;margin-left:0;margin-top:0;width:442.55pt;height:177pt;rotation:315;z-index:-251646976;mso-position-horizontal:center;mso-position-horizontal-relative:margin;mso-position-vertical:center;mso-position-vertical-relative:margin" o:allowincell="f" fillcolor="silver" stroked="f">
          <v:fill opacity=".5"/>
          <v:textpath style="font-family:&quot;arial&quot;;font-size:1pt" string="DRAFT"/>
        </v:shape>
      </w:pict>
    </w:r>
    <w:r w:rsidR="00DE2D5C">
      <w:rPr>
        <w:rFonts w:ascii="Arial" w:hAnsi="Arial"/>
      </w:rPr>
      <w:t>Table 7.3</w:t>
    </w:r>
    <w:r w:rsidR="00DE2D5C">
      <w:rPr>
        <w:rFonts w:ascii="Arial" w:hAnsi="Arial"/>
        <w:b/>
      </w:rPr>
      <w:tab/>
    </w:r>
    <w:r w:rsidR="00DE2D5C">
      <w:rPr>
        <w:rFonts w:ascii="Arial" w:hAnsi="Arial"/>
        <w:sz w:val="18"/>
        <w:szCs w:val="18"/>
      </w:rPr>
      <w:t>(continued)</w:t>
    </w:r>
  </w:p>
  <w:p w:rsidR="0010616E" w:rsidRDefault="0010616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C6B" w:rsidRDefault="00AF1C6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7252" o:spid="_x0000_s53252" type="#_x0000_t136" style="position:absolute;margin-left:0;margin-top:0;width:442.55pt;height:177pt;rotation:315;z-index:-25165107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0616E">
      <w:tc>
        <w:tcPr>
          <w:tcW w:w="2155" w:type="dxa"/>
          <w:tcBorders>
            <w:top w:val="single" w:sz="24" w:space="0" w:color="auto"/>
          </w:tcBorders>
        </w:tcPr>
        <w:p w:rsidR="0010616E" w:rsidRDefault="00AF1C6B" w:rsidP="0019293B">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7256" o:spid="_x0000_s53256" type="#_x0000_t136" style="position:absolute;margin-left:0;margin-top:0;width:442.55pt;height:177pt;rotation:315;z-index:-251642880;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10616E" w:rsidRDefault="00AF1C6B" w:rsidP="0019293B">
          <w:pPr>
            <w:pStyle w:val="HeaderEven"/>
          </w:pPr>
          <w:r>
            <w:rPr>
              <w:color w:val="FF0000"/>
              <w:sz w:val="14"/>
              <w:szCs w:val="14"/>
            </w:rPr>
            <w:t>draft report: For final outcomes of this project refer to the inquiry report.</w:t>
          </w:r>
        </w:p>
      </w:tc>
    </w:tr>
  </w:tbl>
  <w:p w:rsidR="0010616E" w:rsidRDefault="0010616E" w:rsidP="0019293B">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0616E">
      <w:tc>
        <w:tcPr>
          <w:tcW w:w="6634" w:type="dxa"/>
          <w:tcBorders>
            <w:top w:val="single" w:sz="6" w:space="0" w:color="auto"/>
          </w:tcBorders>
        </w:tcPr>
        <w:p w:rsidR="0010616E" w:rsidRDefault="00AF1C6B" w:rsidP="00E669E2">
          <w:pPr>
            <w:pStyle w:val="HeaderOdd"/>
          </w:pPr>
          <w:r>
            <w:rPr>
              <w:color w:val="FF0000"/>
              <w:sz w:val="14"/>
              <w:szCs w:val="14"/>
            </w:rPr>
            <w:t>draft report: For final outcomes of this project refer to the inquiry report.</w:t>
          </w:r>
          <w:bookmarkStart w:id="3" w:name="_GoBack"/>
          <w:bookmarkEnd w:id="3"/>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7257" o:spid="_x0000_s53257" type="#_x0000_t136" style="position:absolute;margin-left:0;margin-top:0;width:442.55pt;height:177pt;rotation:315;z-index:-251640832;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rsidR="0010616E" w:rsidRDefault="0010616E" w:rsidP="00E669E2">
          <w:pPr>
            <w:pStyle w:val="HeaderOdd"/>
          </w:pPr>
        </w:p>
      </w:tc>
    </w:tr>
  </w:tbl>
  <w:p w:rsidR="0010616E" w:rsidRDefault="0010616E" w:rsidP="00E669E2">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16E" w:rsidRDefault="00AF1C6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7255" o:spid="_x0000_s53255" type="#_x0000_t136" style="position:absolute;margin-left:0;margin-top:0;width:442.55pt;height:177pt;rotation:315;z-index:-25164492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198D7B50"/>
    <w:multiLevelType w:val="hybridMultilevel"/>
    <w:tmpl w:val="1292F078"/>
    <w:lvl w:ilvl="0" w:tplc="52F61D9A">
      <w:start w:val="1"/>
      <w:numFmt w:val="bullet"/>
      <w:lvlText w:val=""/>
      <w:lvlJc w:val="left"/>
      <w:pPr>
        <w:ind w:left="360" w:hanging="360"/>
      </w:pPr>
      <w:rPr>
        <w:rFonts w:ascii="Symbol" w:hAnsi="Symbol" w:hint="default"/>
        <w:sz w:val="18"/>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9">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1"/>
  </w:num>
  <w:num w:numId="2">
    <w:abstractNumId w:val="10"/>
  </w:num>
  <w:num w:numId="3">
    <w:abstractNumId w:val="43"/>
  </w:num>
  <w:num w:numId="4">
    <w:abstractNumId w:val="7"/>
  </w:num>
  <w:num w:numId="5">
    <w:abstractNumId w:val="5"/>
  </w:num>
  <w:num w:numId="6">
    <w:abstractNumId w:val="26"/>
  </w:num>
  <w:num w:numId="7">
    <w:abstractNumId w:val="3"/>
  </w:num>
  <w:num w:numId="8">
    <w:abstractNumId w:val="9"/>
  </w:num>
  <w:num w:numId="9">
    <w:abstractNumId w:val="2"/>
  </w:num>
  <w:num w:numId="10">
    <w:abstractNumId w:val="38"/>
  </w:num>
  <w:num w:numId="11">
    <w:abstractNumId w:val="4"/>
  </w:num>
  <w:num w:numId="12">
    <w:abstractNumId w:val="1"/>
  </w:num>
  <w:num w:numId="13">
    <w:abstractNumId w:val="0"/>
  </w:num>
  <w:num w:numId="14">
    <w:abstractNumId w:val="29"/>
  </w:num>
  <w:num w:numId="15">
    <w:abstractNumId w:val="44"/>
  </w:num>
  <w:num w:numId="16">
    <w:abstractNumId w:val="18"/>
  </w:num>
  <w:num w:numId="17">
    <w:abstractNumId w:val="16"/>
  </w:num>
  <w:num w:numId="18">
    <w:abstractNumId w:val="27"/>
  </w:num>
  <w:num w:numId="19">
    <w:abstractNumId w:val="12"/>
  </w:num>
  <w:num w:numId="20">
    <w:abstractNumId w:val="35"/>
  </w:num>
  <w:num w:numId="21">
    <w:abstractNumId w:val="37"/>
  </w:num>
  <w:num w:numId="22">
    <w:abstractNumId w:val="25"/>
  </w:num>
  <w:num w:numId="23">
    <w:abstractNumId w:val="28"/>
  </w:num>
  <w:num w:numId="24">
    <w:abstractNumId w:val="30"/>
  </w:num>
  <w:num w:numId="25">
    <w:abstractNumId w:val="42"/>
  </w:num>
  <w:num w:numId="26">
    <w:abstractNumId w:val="34"/>
  </w:num>
  <w:num w:numId="27">
    <w:abstractNumId w:val="39"/>
  </w:num>
  <w:num w:numId="28">
    <w:abstractNumId w:val="40"/>
  </w:num>
  <w:num w:numId="29">
    <w:abstractNumId w:val="32"/>
  </w:num>
  <w:num w:numId="30">
    <w:abstractNumId w:val="22"/>
  </w:num>
  <w:num w:numId="31">
    <w:abstractNumId w:val="45"/>
  </w:num>
  <w:num w:numId="32">
    <w:abstractNumId w:val="15"/>
  </w:num>
  <w:num w:numId="33">
    <w:abstractNumId w:val="8"/>
  </w:num>
  <w:num w:numId="34">
    <w:abstractNumId w:val="19"/>
  </w:num>
  <w:num w:numId="35">
    <w:abstractNumId w:val="41"/>
  </w:num>
  <w:num w:numId="36">
    <w:abstractNumId w:val="33"/>
  </w:num>
  <w:num w:numId="37">
    <w:abstractNumId w:val="13"/>
  </w:num>
  <w:num w:numId="38">
    <w:abstractNumId w:val="36"/>
  </w:num>
  <w:num w:numId="39">
    <w:abstractNumId w:val="14"/>
  </w:num>
  <w:num w:numId="40">
    <w:abstractNumId w:val="18"/>
  </w:num>
  <w:num w:numId="41">
    <w:abstractNumId w:val="9"/>
  </w:num>
  <w:num w:numId="42">
    <w:abstractNumId w:val="24"/>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20"/>
  </w:num>
  <w:num w:numId="46">
    <w:abstractNumId w:val="23"/>
  </w:num>
  <w:num w:numId="47">
    <w:abstractNumId w:val="10"/>
  </w:num>
  <w:num w:numId="48">
    <w:abstractNumId w:val="31"/>
  </w:num>
  <w:num w:numId="4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3258"/>
    <o:shapelayout v:ext="edit">
      <o:idmap v:ext="edit" data="5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Pre-competitive geoscience "/>
    <w:docVar w:name="ShortReportTitle" w:val="Resource exploration"/>
  </w:docVars>
  <w:rsids>
    <w:rsidRoot w:val="007E4B2B"/>
    <w:rsid w:val="000023C0"/>
    <w:rsid w:val="000025F9"/>
    <w:rsid w:val="000226F0"/>
    <w:rsid w:val="000227D5"/>
    <w:rsid w:val="000245AA"/>
    <w:rsid w:val="0003664B"/>
    <w:rsid w:val="0004111F"/>
    <w:rsid w:val="000565B3"/>
    <w:rsid w:val="0007150B"/>
    <w:rsid w:val="000938F5"/>
    <w:rsid w:val="00094E58"/>
    <w:rsid w:val="00096E55"/>
    <w:rsid w:val="000B601B"/>
    <w:rsid w:val="000C207E"/>
    <w:rsid w:val="000E7614"/>
    <w:rsid w:val="000F0035"/>
    <w:rsid w:val="000F420B"/>
    <w:rsid w:val="0010616E"/>
    <w:rsid w:val="00110116"/>
    <w:rsid w:val="00120072"/>
    <w:rsid w:val="00126EB8"/>
    <w:rsid w:val="001274D4"/>
    <w:rsid w:val="00130B32"/>
    <w:rsid w:val="001363AA"/>
    <w:rsid w:val="00183E82"/>
    <w:rsid w:val="001878BB"/>
    <w:rsid w:val="00191AE0"/>
    <w:rsid w:val="0019293B"/>
    <w:rsid w:val="001938BB"/>
    <w:rsid w:val="0019426B"/>
    <w:rsid w:val="001A1C37"/>
    <w:rsid w:val="001C0865"/>
    <w:rsid w:val="001C179D"/>
    <w:rsid w:val="001C3ABA"/>
    <w:rsid w:val="001E7BE8"/>
    <w:rsid w:val="001F0248"/>
    <w:rsid w:val="001F3EB3"/>
    <w:rsid w:val="001F4F86"/>
    <w:rsid w:val="00200052"/>
    <w:rsid w:val="00202C2C"/>
    <w:rsid w:val="002135AB"/>
    <w:rsid w:val="002144BE"/>
    <w:rsid w:val="002242CB"/>
    <w:rsid w:val="00242279"/>
    <w:rsid w:val="00245C82"/>
    <w:rsid w:val="00291B40"/>
    <w:rsid w:val="002B4008"/>
    <w:rsid w:val="002D0E8E"/>
    <w:rsid w:val="00301189"/>
    <w:rsid w:val="00323E09"/>
    <w:rsid w:val="00333932"/>
    <w:rsid w:val="003518AA"/>
    <w:rsid w:val="00352165"/>
    <w:rsid w:val="00353182"/>
    <w:rsid w:val="003565D9"/>
    <w:rsid w:val="0035731C"/>
    <w:rsid w:val="00357C5D"/>
    <w:rsid w:val="003602E1"/>
    <w:rsid w:val="0037026F"/>
    <w:rsid w:val="00371240"/>
    <w:rsid w:val="00374731"/>
    <w:rsid w:val="00376E59"/>
    <w:rsid w:val="003807BF"/>
    <w:rsid w:val="003919F9"/>
    <w:rsid w:val="003A3AB6"/>
    <w:rsid w:val="003C38B5"/>
    <w:rsid w:val="003C5D99"/>
    <w:rsid w:val="003E2F59"/>
    <w:rsid w:val="003F0789"/>
    <w:rsid w:val="003F32A3"/>
    <w:rsid w:val="00401882"/>
    <w:rsid w:val="00401A53"/>
    <w:rsid w:val="004100C8"/>
    <w:rsid w:val="00411DBD"/>
    <w:rsid w:val="00412ACE"/>
    <w:rsid w:val="00417789"/>
    <w:rsid w:val="004201F1"/>
    <w:rsid w:val="00431249"/>
    <w:rsid w:val="00434C19"/>
    <w:rsid w:val="00450810"/>
    <w:rsid w:val="00477144"/>
    <w:rsid w:val="004836DF"/>
    <w:rsid w:val="00491380"/>
    <w:rsid w:val="0049459F"/>
    <w:rsid w:val="004A332A"/>
    <w:rsid w:val="004A38DD"/>
    <w:rsid w:val="004B43AE"/>
    <w:rsid w:val="004C30ED"/>
    <w:rsid w:val="004D5675"/>
    <w:rsid w:val="00523639"/>
    <w:rsid w:val="00531FE5"/>
    <w:rsid w:val="005402FA"/>
    <w:rsid w:val="00542D49"/>
    <w:rsid w:val="00562EE1"/>
    <w:rsid w:val="00583C39"/>
    <w:rsid w:val="00587F28"/>
    <w:rsid w:val="005909CF"/>
    <w:rsid w:val="00591E71"/>
    <w:rsid w:val="005A0D41"/>
    <w:rsid w:val="005A2C6C"/>
    <w:rsid w:val="005A5362"/>
    <w:rsid w:val="005C7C49"/>
    <w:rsid w:val="005D34D6"/>
    <w:rsid w:val="005F51F7"/>
    <w:rsid w:val="00604FCD"/>
    <w:rsid w:val="00607BF1"/>
    <w:rsid w:val="00630D4D"/>
    <w:rsid w:val="00632A74"/>
    <w:rsid w:val="00645EDE"/>
    <w:rsid w:val="00652DD9"/>
    <w:rsid w:val="0067325F"/>
    <w:rsid w:val="00687244"/>
    <w:rsid w:val="006A4655"/>
    <w:rsid w:val="006B2B3C"/>
    <w:rsid w:val="006C1D81"/>
    <w:rsid w:val="006C7038"/>
    <w:rsid w:val="006E73EF"/>
    <w:rsid w:val="00714D4D"/>
    <w:rsid w:val="007604BB"/>
    <w:rsid w:val="00785232"/>
    <w:rsid w:val="007A0B4F"/>
    <w:rsid w:val="007A21EB"/>
    <w:rsid w:val="007B1A93"/>
    <w:rsid w:val="007B1D1F"/>
    <w:rsid w:val="007C36C9"/>
    <w:rsid w:val="007D2326"/>
    <w:rsid w:val="007D6401"/>
    <w:rsid w:val="007E01E4"/>
    <w:rsid w:val="007E4B2B"/>
    <w:rsid w:val="007F7107"/>
    <w:rsid w:val="00800D4C"/>
    <w:rsid w:val="0081030F"/>
    <w:rsid w:val="0082087D"/>
    <w:rsid w:val="008231AC"/>
    <w:rsid w:val="008268DA"/>
    <w:rsid w:val="00826DA6"/>
    <w:rsid w:val="00835771"/>
    <w:rsid w:val="00842933"/>
    <w:rsid w:val="0086082C"/>
    <w:rsid w:val="00864ADC"/>
    <w:rsid w:val="00880153"/>
    <w:rsid w:val="00880EFE"/>
    <w:rsid w:val="00880F97"/>
    <w:rsid w:val="0088133A"/>
    <w:rsid w:val="0089285E"/>
    <w:rsid w:val="00892C0E"/>
    <w:rsid w:val="00892CA7"/>
    <w:rsid w:val="0089436C"/>
    <w:rsid w:val="008B70C7"/>
    <w:rsid w:val="008D365C"/>
    <w:rsid w:val="009030BF"/>
    <w:rsid w:val="0091032F"/>
    <w:rsid w:val="00914368"/>
    <w:rsid w:val="00931076"/>
    <w:rsid w:val="009345D9"/>
    <w:rsid w:val="00934B15"/>
    <w:rsid w:val="00940C87"/>
    <w:rsid w:val="00942B62"/>
    <w:rsid w:val="0095323B"/>
    <w:rsid w:val="00956A0C"/>
    <w:rsid w:val="00956BD9"/>
    <w:rsid w:val="00962489"/>
    <w:rsid w:val="00971753"/>
    <w:rsid w:val="00990C2C"/>
    <w:rsid w:val="00993B99"/>
    <w:rsid w:val="009E1844"/>
    <w:rsid w:val="009E5000"/>
    <w:rsid w:val="009E69E5"/>
    <w:rsid w:val="009F0D1B"/>
    <w:rsid w:val="009F696D"/>
    <w:rsid w:val="009F6BC6"/>
    <w:rsid w:val="00A17328"/>
    <w:rsid w:val="00A23A20"/>
    <w:rsid w:val="00A268B9"/>
    <w:rsid w:val="00A2703A"/>
    <w:rsid w:val="00A33DFF"/>
    <w:rsid w:val="00A35115"/>
    <w:rsid w:val="00A35964"/>
    <w:rsid w:val="00A36D9A"/>
    <w:rsid w:val="00A554AB"/>
    <w:rsid w:val="00A57062"/>
    <w:rsid w:val="00A92B53"/>
    <w:rsid w:val="00A94FA6"/>
    <w:rsid w:val="00AA49A0"/>
    <w:rsid w:val="00AA6710"/>
    <w:rsid w:val="00AB0681"/>
    <w:rsid w:val="00AC51A8"/>
    <w:rsid w:val="00AD520B"/>
    <w:rsid w:val="00AF1C6B"/>
    <w:rsid w:val="00B425C3"/>
    <w:rsid w:val="00B4352A"/>
    <w:rsid w:val="00B440AD"/>
    <w:rsid w:val="00B479BB"/>
    <w:rsid w:val="00B53E7E"/>
    <w:rsid w:val="00B6342E"/>
    <w:rsid w:val="00B656A3"/>
    <w:rsid w:val="00B7113F"/>
    <w:rsid w:val="00BA52FD"/>
    <w:rsid w:val="00BA73B6"/>
    <w:rsid w:val="00BA7E27"/>
    <w:rsid w:val="00BB2603"/>
    <w:rsid w:val="00BB4FCD"/>
    <w:rsid w:val="00BC04E9"/>
    <w:rsid w:val="00BD13EA"/>
    <w:rsid w:val="00BD3A9B"/>
    <w:rsid w:val="00BE1D53"/>
    <w:rsid w:val="00BE3808"/>
    <w:rsid w:val="00BF22A7"/>
    <w:rsid w:val="00C062E9"/>
    <w:rsid w:val="00C07B64"/>
    <w:rsid w:val="00C13721"/>
    <w:rsid w:val="00C1469A"/>
    <w:rsid w:val="00C14FE4"/>
    <w:rsid w:val="00C3066D"/>
    <w:rsid w:val="00C32656"/>
    <w:rsid w:val="00C5086A"/>
    <w:rsid w:val="00C52416"/>
    <w:rsid w:val="00C543F4"/>
    <w:rsid w:val="00C6291C"/>
    <w:rsid w:val="00C633CB"/>
    <w:rsid w:val="00C736B7"/>
    <w:rsid w:val="00C81D4A"/>
    <w:rsid w:val="00C834D7"/>
    <w:rsid w:val="00C8762C"/>
    <w:rsid w:val="00CA00F9"/>
    <w:rsid w:val="00CA2961"/>
    <w:rsid w:val="00CB50D7"/>
    <w:rsid w:val="00CB7177"/>
    <w:rsid w:val="00CC1998"/>
    <w:rsid w:val="00CC4946"/>
    <w:rsid w:val="00CC60EE"/>
    <w:rsid w:val="00CF0FDE"/>
    <w:rsid w:val="00CF2BA3"/>
    <w:rsid w:val="00D270A4"/>
    <w:rsid w:val="00D31FE9"/>
    <w:rsid w:val="00D34E1B"/>
    <w:rsid w:val="00D376BA"/>
    <w:rsid w:val="00D45634"/>
    <w:rsid w:val="00D5568A"/>
    <w:rsid w:val="00D63D73"/>
    <w:rsid w:val="00D64452"/>
    <w:rsid w:val="00D66E1E"/>
    <w:rsid w:val="00D75722"/>
    <w:rsid w:val="00D7691E"/>
    <w:rsid w:val="00D77473"/>
    <w:rsid w:val="00D80CF5"/>
    <w:rsid w:val="00DA5BBA"/>
    <w:rsid w:val="00DB191D"/>
    <w:rsid w:val="00DB26D2"/>
    <w:rsid w:val="00DB3005"/>
    <w:rsid w:val="00DB67C9"/>
    <w:rsid w:val="00DC0C95"/>
    <w:rsid w:val="00DC4E50"/>
    <w:rsid w:val="00DD2D96"/>
    <w:rsid w:val="00DD6580"/>
    <w:rsid w:val="00DE2D5C"/>
    <w:rsid w:val="00E17C72"/>
    <w:rsid w:val="00E21FC6"/>
    <w:rsid w:val="00E431A9"/>
    <w:rsid w:val="00E669E2"/>
    <w:rsid w:val="00E76135"/>
    <w:rsid w:val="00E7694C"/>
    <w:rsid w:val="00E82F4F"/>
    <w:rsid w:val="00E84672"/>
    <w:rsid w:val="00EC2844"/>
    <w:rsid w:val="00EC46CF"/>
    <w:rsid w:val="00EC5500"/>
    <w:rsid w:val="00ED18F8"/>
    <w:rsid w:val="00EE1FB9"/>
    <w:rsid w:val="00EF6C6C"/>
    <w:rsid w:val="00F0004F"/>
    <w:rsid w:val="00F056FC"/>
    <w:rsid w:val="00F10476"/>
    <w:rsid w:val="00F135D8"/>
    <w:rsid w:val="00F31299"/>
    <w:rsid w:val="00F3534A"/>
    <w:rsid w:val="00F47FB1"/>
    <w:rsid w:val="00F51609"/>
    <w:rsid w:val="00F81006"/>
    <w:rsid w:val="00F85325"/>
    <w:rsid w:val="00FA037D"/>
    <w:rsid w:val="00FC397B"/>
    <w:rsid w:val="00FD22B1"/>
    <w:rsid w:val="00FD64D1"/>
    <w:rsid w:val="00FE5397"/>
    <w:rsid w:val="00FE54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annotation text" w:uiPriority="99"/>
    <w:lsdException w:name="annotation reference" w:uiPriority="99"/>
    <w:lsdException w:name="Body Text" w:qFormat="1"/>
    <w:lsdException w:name="Subtitle" w:qFormat="1"/>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5F51F7"/>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Body Text Char1 Char Char,Body Text Char Char Char Char,Body Text Char1 Char Char Char Char,Body Text Char Char Char Char Char Char,Body Text Char1 Char Char Char Char Char Char,Body Text Char2 Char1 Char"/>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uiPriority w:val="99"/>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uiPriority w:val="99"/>
    <w:semiHidden/>
    <w:rsid w:val="00A17328"/>
    <w:rPr>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xListBulletChar">
    <w:name w:val="Box List Bullet Char"/>
    <w:basedOn w:val="DefaultParagraphFont"/>
    <w:link w:val="BoxListBullet"/>
    <w:uiPriority w:val="99"/>
    <w:locked/>
    <w:rsid w:val="007E4B2B"/>
    <w:rPr>
      <w:rFonts w:ascii="Arial" w:hAnsi="Arial"/>
      <w:sz w:val="22"/>
    </w:rPr>
  </w:style>
  <w:style w:type="character" w:customStyle="1" w:styleId="BodyTextChar">
    <w:name w:val="Body Text Char"/>
    <w:aliases w:val="Body Text Char Char Char,Body Text Char1 Char Char Char,Body Text Char Char Char Char Char,Body Text Char1 Char Char Char Char Char,Body Text Char Char Char Char Char Char Char,Body Text Char1 Char Char Char Char Char Char Char"/>
    <w:basedOn w:val="DefaultParagraphFont"/>
    <w:link w:val="BodyText"/>
    <w:locked/>
    <w:rsid w:val="007E4B2B"/>
    <w:rPr>
      <w:sz w:val="26"/>
    </w:rPr>
  </w:style>
  <w:style w:type="character" w:customStyle="1" w:styleId="QuoteChar">
    <w:name w:val="Quote Char"/>
    <w:basedOn w:val="DefaultParagraphFont"/>
    <w:link w:val="Quote"/>
    <w:rsid w:val="007E4B2B"/>
    <w:rPr>
      <w:sz w:val="24"/>
    </w:rPr>
  </w:style>
  <w:style w:type="character" w:customStyle="1" w:styleId="CommentTextChar">
    <w:name w:val="Comment Text Char"/>
    <w:basedOn w:val="DefaultParagraphFont"/>
    <w:link w:val="CommentText"/>
    <w:uiPriority w:val="99"/>
    <w:semiHidden/>
    <w:rsid w:val="007E4B2B"/>
    <w:rPr>
      <w:szCs w:val="24"/>
    </w:rPr>
  </w:style>
  <w:style w:type="paragraph" w:styleId="CommentSubject">
    <w:name w:val="annotation subject"/>
    <w:basedOn w:val="CommentText"/>
    <w:next w:val="CommentText"/>
    <w:link w:val="CommentSubjectChar"/>
    <w:rsid w:val="00652DD9"/>
    <w:pPr>
      <w:spacing w:before="0" w:line="240" w:lineRule="auto"/>
      <w:ind w:left="0" w:firstLine="0"/>
    </w:pPr>
    <w:rPr>
      <w:b/>
      <w:bCs/>
      <w:szCs w:val="20"/>
    </w:rPr>
  </w:style>
  <w:style w:type="character" w:customStyle="1" w:styleId="CommentSubjectChar">
    <w:name w:val="Comment Subject Char"/>
    <w:basedOn w:val="CommentTextChar"/>
    <w:link w:val="CommentSubject"/>
    <w:rsid w:val="00652DD9"/>
    <w:rPr>
      <w:b/>
      <w:bCs/>
      <w:szCs w:val="24"/>
    </w:rPr>
  </w:style>
  <w:style w:type="character" w:customStyle="1" w:styleId="FootnoteTextChar">
    <w:name w:val="Footnote Text Char"/>
    <w:basedOn w:val="DefaultParagraphFont"/>
    <w:link w:val="FootnoteText"/>
    <w:rsid w:val="00C834D7"/>
    <w:rPr>
      <w:sz w:val="22"/>
    </w:rPr>
  </w:style>
  <w:style w:type="character" w:customStyle="1" w:styleId="FooterChar">
    <w:name w:val="Footer Char"/>
    <w:basedOn w:val="DefaultParagraphFont"/>
    <w:link w:val="Footer"/>
    <w:rsid w:val="00C834D7"/>
    <w:rPr>
      <w:caps/>
      <w:spacing w:val="-4"/>
      <w:sz w:val="16"/>
    </w:rPr>
  </w:style>
  <w:style w:type="character" w:customStyle="1" w:styleId="Heading3Char">
    <w:name w:val="Heading 3 Char"/>
    <w:basedOn w:val="DefaultParagraphFont"/>
    <w:link w:val="Heading3"/>
    <w:rsid w:val="00FA037D"/>
    <w:rPr>
      <w:rFonts w:ascii="Arial" w:hAnsi="Arial"/>
      <w:b/>
      <w:sz w:val="26"/>
    </w:rPr>
  </w:style>
  <w:style w:type="character" w:customStyle="1" w:styleId="ReferenceChar">
    <w:name w:val="Reference Char"/>
    <w:basedOn w:val="DefaultParagraphFont"/>
    <w:link w:val="Reference"/>
    <w:locked/>
    <w:rsid w:val="000023C0"/>
    <w:rPr>
      <w:sz w:val="26"/>
    </w:rPr>
  </w:style>
  <w:style w:type="character" w:styleId="Hyperlink">
    <w:name w:val="Hyperlink"/>
    <w:basedOn w:val="DefaultParagraphFont"/>
    <w:rsid w:val="00DB3005"/>
    <w:rPr>
      <w:color w:val="0000FF" w:themeColor="hyperlink"/>
      <w:u w:val="single"/>
    </w:rPr>
  </w:style>
  <w:style w:type="paragraph" w:styleId="Revision">
    <w:name w:val="Revision"/>
    <w:hidden/>
    <w:uiPriority w:val="99"/>
    <w:semiHidden/>
    <w:rsid w:val="003807BF"/>
    <w:rPr>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annotation text" w:uiPriority="99"/>
    <w:lsdException w:name="annotation reference" w:uiPriority="99"/>
    <w:lsdException w:name="Body Text" w:qFormat="1"/>
    <w:lsdException w:name="Subtitle" w:qFormat="1"/>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5F51F7"/>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Body Text Char1 Char Char,Body Text Char Char Char Char,Body Text Char1 Char Char Char Char,Body Text Char Char Char Char Char Char,Body Text Char1 Char Char Char Char Char Char,Body Text Char2 Char1 Char"/>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uiPriority w:val="99"/>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uiPriority w:val="99"/>
    <w:semiHidden/>
    <w:rsid w:val="00A17328"/>
    <w:rPr>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xListBulletChar">
    <w:name w:val="Box List Bullet Char"/>
    <w:basedOn w:val="DefaultParagraphFont"/>
    <w:link w:val="BoxListBullet"/>
    <w:uiPriority w:val="99"/>
    <w:locked/>
    <w:rsid w:val="007E4B2B"/>
    <w:rPr>
      <w:rFonts w:ascii="Arial" w:hAnsi="Arial"/>
      <w:sz w:val="22"/>
    </w:rPr>
  </w:style>
  <w:style w:type="character" w:customStyle="1" w:styleId="BodyTextChar">
    <w:name w:val="Body Text Char"/>
    <w:aliases w:val="Body Text Char Char Char,Body Text Char1 Char Char Char,Body Text Char Char Char Char Char,Body Text Char1 Char Char Char Char Char,Body Text Char Char Char Char Char Char Char,Body Text Char1 Char Char Char Char Char Char Char"/>
    <w:basedOn w:val="DefaultParagraphFont"/>
    <w:link w:val="BodyText"/>
    <w:locked/>
    <w:rsid w:val="007E4B2B"/>
    <w:rPr>
      <w:sz w:val="26"/>
    </w:rPr>
  </w:style>
  <w:style w:type="character" w:customStyle="1" w:styleId="QuoteChar">
    <w:name w:val="Quote Char"/>
    <w:basedOn w:val="DefaultParagraphFont"/>
    <w:link w:val="Quote"/>
    <w:rsid w:val="007E4B2B"/>
    <w:rPr>
      <w:sz w:val="24"/>
    </w:rPr>
  </w:style>
  <w:style w:type="character" w:customStyle="1" w:styleId="CommentTextChar">
    <w:name w:val="Comment Text Char"/>
    <w:basedOn w:val="DefaultParagraphFont"/>
    <w:link w:val="CommentText"/>
    <w:uiPriority w:val="99"/>
    <w:semiHidden/>
    <w:rsid w:val="007E4B2B"/>
    <w:rPr>
      <w:szCs w:val="24"/>
    </w:rPr>
  </w:style>
  <w:style w:type="paragraph" w:styleId="CommentSubject">
    <w:name w:val="annotation subject"/>
    <w:basedOn w:val="CommentText"/>
    <w:next w:val="CommentText"/>
    <w:link w:val="CommentSubjectChar"/>
    <w:rsid w:val="00652DD9"/>
    <w:pPr>
      <w:spacing w:before="0" w:line="240" w:lineRule="auto"/>
      <w:ind w:left="0" w:firstLine="0"/>
    </w:pPr>
    <w:rPr>
      <w:b/>
      <w:bCs/>
      <w:szCs w:val="20"/>
    </w:rPr>
  </w:style>
  <w:style w:type="character" w:customStyle="1" w:styleId="CommentSubjectChar">
    <w:name w:val="Comment Subject Char"/>
    <w:basedOn w:val="CommentTextChar"/>
    <w:link w:val="CommentSubject"/>
    <w:rsid w:val="00652DD9"/>
    <w:rPr>
      <w:b/>
      <w:bCs/>
      <w:szCs w:val="24"/>
    </w:rPr>
  </w:style>
  <w:style w:type="character" w:customStyle="1" w:styleId="FootnoteTextChar">
    <w:name w:val="Footnote Text Char"/>
    <w:basedOn w:val="DefaultParagraphFont"/>
    <w:link w:val="FootnoteText"/>
    <w:rsid w:val="00C834D7"/>
    <w:rPr>
      <w:sz w:val="22"/>
    </w:rPr>
  </w:style>
  <w:style w:type="character" w:customStyle="1" w:styleId="FooterChar">
    <w:name w:val="Footer Char"/>
    <w:basedOn w:val="DefaultParagraphFont"/>
    <w:link w:val="Footer"/>
    <w:rsid w:val="00C834D7"/>
    <w:rPr>
      <w:caps/>
      <w:spacing w:val="-4"/>
      <w:sz w:val="16"/>
    </w:rPr>
  </w:style>
  <w:style w:type="character" w:customStyle="1" w:styleId="Heading3Char">
    <w:name w:val="Heading 3 Char"/>
    <w:basedOn w:val="DefaultParagraphFont"/>
    <w:link w:val="Heading3"/>
    <w:rsid w:val="00FA037D"/>
    <w:rPr>
      <w:rFonts w:ascii="Arial" w:hAnsi="Arial"/>
      <w:b/>
      <w:sz w:val="26"/>
    </w:rPr>
  </w:style>
  <w:style w:type="character" w:customStyle="1" w:styleId="ReferenceChar">
    <w:name w:val="Reference Char"/>
    <w:basedOn w:val="DefaultParagraphFont"/>
    <w:link w:val="Reference"/>
    <w:locked/>
    <w:rsid w:val="000023C0"/>
    <w:rPr>
      <w:sz w:val="26"/>
    </w:rPr>
  </w:style>
  <w:style w:type="character" w:styleId="Hyperlink">
    <w:name w:val="Hyperlink"/>
    <w:basedOn w:val="DefaultParagraphFont"/>
    <w:rsid w:val="00DB3005"/>
    <w:rPr>
      <w:color w:val="0000FF" w:themeColor="hyperlink"/>
      <w:u w:val="single"/>
    </w:rPr>
  </w:style>
  <w:style w:type="paragraph" w:styleId="Revision">
    <w:name w:val="Revision"/>
    <w:hidden/>
    <w:uiPriority w:val="99"/>
    <w:semiHidden/>
    <w:rsid w:val="003807BF"/>
    <w:rPr>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810406">
      <w:bodyDiv w:val="1"/>
      <w:marLeft w:val="0"/>
      <w:marRight w:val="0"/>
      <w:marTop w:val="0"/>
      <w:marBottom w:val="0"/>
      <w:divBdr>
        <w:top w:val="none" w:sz="0" w:space="0" w:color="auto"/>
        <w:left w:val="none" w:sz="0" w:space="0" w:color="auto"/>
        <w:bottom w:val="none" w:sz="0" w:space="0" w:color="auto"/>
        <w:right w:val="none" w:sz="0" w:space="0" w:color="auto"/>
      </w:divBdr>
    </w:div>
    <w:div w:id="371811695">
      <w:bodyDiv w:val="1"/>
      <w:marLeft w:val="0"/>
      <w:marRight w:val="0"/>
      <w:marTop w:val="0"/>
      <w:marBottom w:val="0"/>
      <w:divBdr>
        <w:top w:val="none" w:sz="0" w:space="0" w:color="auto"/>
        <w:left w:val="none" w:sz="0" w:space="0" w:color="auto"/>
        <w:bottom w:val="none" w:sz="0" w:space="0" w:color="auto"/>
        <w:right w:val="none" w:sz="0" w:space="0" w:color="auto"/>
      </w:divBdr>
    </w:div>
    <w:div w:id="475294762">
      <w:bodyDiv w:val="1"/>
      <w:marLeft w:val="0"/>
      <w:marRight w:val="0"/>
      <w:marTop w:val="0"/>
      <w:marBottom w:val="0"/>
      <w:divBdr>
        <w:top w:val="none" w:sz="0" w:space="0" w:color="auto"/>
        <w:left w:val="none" w:sz="0" w:space="0" w:color="auto"/>
        <w:bottom w:val="none" w:sz="0" w:space="0" w:color="auto"/>
        <w:right w:val="none" w:sz="0" w:space="0" w:color="auto"/>
      </w:divBdr>
    </w:div>
    <w:div w:id="711542897">
      <w:bodyDiv w:val="1"/>
      <w:marLeft w:val="0"/>
      <w:marRight w:val="0"/>
      <w:marTop w:val="0"/>
      <w:marBottom w:val="0"/>
      <w:divBdr>
        <w:top w:val="none" w:sz="0" w:space="0" w:color="auto"/>
        <w:left w:val="none" w:sz="0" w:space="0" w:color="auto"/>
        <w:bottom w:val="none" w:sz="0" w:space="0" w:color="auto"/>
        <w:right w:val="none" w:sz="0" w:space="0" w:color="auto"/>
      </w:divBdr>
    </w:div>
    <w:div w:id="1007948269">
      <w:bodyDiv w:val="1"/>
      <w:marLeft w:val="0"/>
      <w:marRight w:val="0"/>
      <w:marTop w:val="0"/>
      <w:marBottom w:val="0"/>
      <w:divBdr>
        <w:top w:val="none" w:sz="0" w:space="0" w:color="auto"/>
        <w:left w:val="none" w:sz="0" w:space="0" w:color="auto"/>
        <w:bottom w:val="none" w:sz="0" w:space="0" w:color="auto"/>
        <w:right w:val="none" w:sz="0" w:space="0" w:color="auto"/>
      </w:divBdr>
    </w:div>
    <w:div w:id="1049838950">
      <w:bodyDiv w:val="1"/>
      <w:marLeft w:val="0"/>
      <w:marRight w:val="0"/>
      <w:marTop w:val="0"/>
      <w:marBottom w:val="0"/>
      <w:divBdr>
        <w:top w:val="none" w:sz="0" w:space="0" w:color="auto"/>
        <w:left w:val="none" w:sz="0" w:space="0" w:color="auto"/>
        <w:bottom w:val="none" w:sz="0" w:space="0" w:color="auto"/>
        <w:right w:val="none" w:sz="0" w:space="0" w:color="auto"/>
      </w:divBdr>
    </w:div>
    <w:div w:id="1271157903">
      <w:bodyDiv w:val="1"/>
      <w:marLeft w:val="0"/>
      <w:marRight w:val="0"/>
      <w:marTop w:val="0"/>
      <w:marBottom w:val="0"/>
      <w:divBdr>
        <w:top w:val="none" w:sz="0" w:space="0" w:color="auto"/>
        <w:left w:val="none" w:sz="0" w:space="0" w:color="auto"/>
        <w:bottom w:val="none" w:sz="0" w:space="0" w:color="auto"/>
        <w:right w:val="none" w:sz="0" w:space="0" w:color="auto"/>
      </w:divBdr>
    </w:div>
    <w:div w:id="1446344539">
      <w:bodyDiv w:val="1"/>
      <w:marLeft w:val="0"/>
      <w:marRight w:val="0"/>
      <w:marTop w:val="0"/>
      <w:marBottom w:val="0"/>
      <w:divBdr>
        <w:top w:val="none" w:sz="0" w:space="0" w:color="auto"/>
        <w:left w:val="none" w:sz="0" w:space="0" w:color="auto"/>
        <w:bottom w:val="none" w:sz="0" w:space="0" w:color="auto"/>
        <w:right w:val="none" w:sz="0" w:space="0" w:color="auto"/>
      </w:divBdr>
    </w:div>
    <w:div w:id="1521045364">
      <w:bodyDiv w:val="1"/>
      <w:marLeft w:val="0"/>
      <w:marRight w:val="0"/>
      <w:marTop w:val="0"/>
      <w:marBottom w:val="0"/>
      <w:divBdr>
        <w:top w:val="none" w:sz="0" w:space="0" w:color="auto"/>
        <w:left w:val="none" w:sz="0" w:space="0" w:color="auto"/>
        <w:bottom w:val="none" w:sz="0" w:space="0" w:color="auto"/>
        <w:right w:val="none" w:sz="0" w:space="0" w:color="auto"/>
      </w:divBdr>
    </w:div>
    <w:div w:id="1862279761">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38445341">
      <w:bodyDiv w:val="1"/>
      <w:marLeft w:val="0"/>
      <w:marRight w:val="0"/>
      <w:marTop w:val="0"/>
      <w:marBottom w:val="0"/>
      <w:divBdr>
        <w:top w:val="none" w:sz="0" w:space="0" w:color="auto"/>
        <w:left w:val="none" w:sz="0" w:space="0" w:color="auto"/>
        <w:bottom w:val="none" w:sz="0" w:space="0" w:color="auto"/>
        <w:right w:val="none" w:sz="0" w:space="0" w:color="auto"/>
      </w:divBdr>
    </w:div>
    <w:div w:id="2018577295">
      <w:bodyDiv w:val="1"/>
      <w:marLeft w:val="0"/>
      <w:marRight w:val="0"/>
      <w:marTop w:val="0"/>
      <w:marBottom w:val="0"/>
      <w:divBdr>
        <w:top w:val="none" w:sz="0" w:space="0" w:color="auto"/>
        <w:left w:val="none" w:sz="0" w:space="0" w:color="auto"/>
        <w:bottom w:val="none" w:sz="0" w:space="0" w:color="auto"/>
        <w:right w:val="none" w:sz="0" w:space="0" w:color="auto"/>
      </w:divBdr>
    </w:div>
    <w:div w:id="208545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percentStacked"/>
        <c:varyColors val="0"/>
        <c:ser>
          <c:idx val="0"/>
          <c:order val="0"/>
          <c:tx>
            <c:strRef>
              <c:f>Sheet1!$A$3</c:f>
              <c:strCache>
                <c:ptCount val="1"/>
                <c:pt idx="0">
                  <c:v>Base funding</c:v>
                </c:pt>
              </c:strCache>
            </c:strRef>
          </c:tx>
          <c:spPr>
            <a:solidFill>
              <a:schemeClr val="bg1">
                <a:lumMod val="50000"/>
              </a:schemeClr>
            </a:solidFill>
            <a:ln>
              <a:solidFill>
                <a:schemeClr val="tx1"/>
              </a:solidFill>
            </a:ln>
          </c:spPr>
          <c:invertIfNegative val="0"/>
          <c:cat>
            <c:strRef>
              <c:f>Sheet1!$B$2:$I$2</c:f>
              <c:strCache>
                <c:ptCount val="8"/>
                <c:pt idx="0">
                  <c:v>2002-03</c:v>
                </c:pt>
                <c:pt idx="1">
                  <c:v>2003-04</c:v>
                </c:pt>
                <c:pt idx="2">
                  <c:v>2004-05</c:v>
                </c:pt>
                <c:pt idx="3">
                  <c:v>2005-06</c:v>
                </c:pt>
                <c:pt idx="4">
                  <c:v>2006-07</c:v>
                </c:pt>
                <c:pt idx="5">
                  <c:v>2007-08</c:v>
                </c:pt>
                <c:pt idx="6">
                  <c:v>2008-09</c:v>
                </c:pt>
                <c:pt idx="7">
                  <c:v>2009-10</c:v>
                </c:pt>
              </c:strCache>
            </c:strRef>
          </c:cat>
          <c:val>
            <c:numRef>
              <c:f>Sheet1!$B$3:$I$3</c:f>
              <c:numCache>
                <c:formatCode>General</c:formatCode>
                <c:ptCount val="8"/>
                <c:pt idx="0">
                  <c:v>81.790000000000006</c:v>
                </c:pt>
                <c:pt idx="1">
                  <c:v>85.69</c:v>
                </c:pt>
                <c:pt idx="2">
                  <c:v>86.82</c:v>
                </c:pt>
                <c:pt idx="3">
                  <c:v>87.74</c:v>
                </c:pt>
                <c:pt idx="4">
                  <c:v>89.2</c:v>
                </c:pt>
                <c:pt idx="5">
                  <c:v>92.81</c:v>
                </c:pt>
                <c:pt idx="6">
                  <c:v>103.28</c:v>
                </c:pt>
                <c:pt idx="7">
                  <c:v>93.95</c:v>
                </c:pt>
              </c:numCache>
            </c:numRef>
          </c:val>
        </c:ser>
        <c:ser>
          <c:idx val="1"/>
          <c:order val="1"/>
          <c:tx>
            <c:strRef>
              <c:f>Sheet1!$A$4</c:f>
              <c:strCache>
                <c:ptCount val="1"/>
                <c:pt idx="0">
                  <c:v>Measures funding</c:v>
                </c:pt>
              </c:strCache>
            </c:strRef>
          </c:tx>
          <c:spPr>
            <a:solidFill>
              <a:schemeClr val="tx1"/>
            </a:solidFill>
            <a:ln>
              <a:solidFill>
                <a:schemeClr val="tx1"/>
              </a:solidFill>
            </a:ln>
          </c:spPr>
          <c:invertIfNegative val="0"/>
          <c:cat>
            <c:strRef>
              <c:f>Sheet1!$B$2:$I$2</c:f>
              <c:strCache>
                <c:ptCount val="8"/>
                <c:pt idx="0">
                  <c:v>2002-03</c:v>
                </c:pt>
                <c:pt idx="1">
                  <c:v>2003-04</c:v>
                </c:pt>
                <c:pt idx="2">
                  <c:v>2004-05</c:v>
                </c:pt>
                <c:pt idx="3">
                  <c:v>2005-06</c:v>
                </c:pt>
                <c:pt idx="4">
                  <c:v>2006-07</c:v>
                </c:pt>
                <c:pt idx="5">
                  <c:v>2007-08</c:v>
                </c:pt>
                <c:pt idx="6">
                  <c:v>2008-09</c:v>
                </c:pt>
                <c:pt idx="7">
                  <c:v>2009-10</c:v>
                </c:pt>
              </c:strCache>
            </c:strRef>
          </c:cat>
          <c:val>
            <c:numRef>
              <c:f>Sheet1!$B$4:$I$4</c:f>
              <c:numCache>
                <c:formatCode>General</c:formatCode>
                <c:ptCount val="8"/>
                <c:pt idx="0">
                  <c:v>7</c:v>
                </c:pt>
                <c:pt idx="1">
                  <c:v>11.2</c:v>
                </c:pt>
                <c:pt idx="2">
                  <c:v>14.1</c:v>
                </c:pt>
                <c:pt idx="3">
                  <c:v>19.7</c:v>
                </c:pt>
                <c:pt idx="4">
                  <c:v>36.19</c:v>
                </c:pt>
                <c:pt idx="5">
                  <c:v>44.39</c:v>
                </c:pt>
                <c:pt idx="6">
                  <c:v>42.38</c:v>
                </c:pt>
                <c:pt idx="7">
                  <c:v>29.17</c:v>
                </c:pt>
              </c:numCache>
            </c:numRef>
          </c:val>
        </c:ser>
        <c:ser>
          <c:idx val="2"/>
          <c:order val="2"/>
          <c:tx>
            <c:strRef>
              <c:f>Sheet1!$A$5</c:f>
              <c:strCache>
                <c:ptCount val="1"/>
                <c:pt idx="0">
                  <c:v>Section 31 funding</c:v>
                </c:pt>
              </c:strCache>
            </c:strRef>
          </c:tx>
          <c:spPr>
            <a:pattFill prst="wdDnDiag">
              <a:fgClr>
                <a:schemeClr val="tx1"/>
              </a:fgClr>
              <a:bgClr>
                <a:schemeClr val="bg1"/>
              </a:bgClr>
            </a:pattFill>
            <a:ln>
              <a:solidFill>
                <a:schemeClr val="tx1"/>
              </a:solidFill>
            </a:ln>
          </c:spPr>
          <c:invertIfNegative val="0"/>
          <c:cat>
            <c:strRef>
              <c:f>Sheet1!$B$2:$I$2</c:f>
              <c:strCache>
                <c:ptCount val="8"/>
                <c:pt idx="0">
                  <c:v>2002-03</c:v>
                </c:pt>
                <c:pt idx="1">
                  <c:v>2003-04</c:v>
                </c:pt>
                <c:pt idx="2">
                  <c:v>2004-05</c:v>
                </c:pt>
                <c:pt idx="3">
                  <c:v>2005-06</c:v>
                </c:pt>
                <c:pt idx="4">
                  <c:v>2006-07</c:v>
                </c:pt>
                <c:pt idx="5">
                  <c:v>2007-08</c:v>
                </c:pt>
                <c:pt idx="6">
                  <c:v>2008-09</c:v>
                </c:pt>
                <c:pt idx="7">
                  <c:v>2009-10</c:v>
                </c:pt>
              </c:strCache>
            </c:strRef>
          </c:cat>
          <c:val>
            <c:numRef>
              <c:f>Sheet1!$B$5:$I$5</c:f>
              <c:numCache>
                <c:formatCode>General</c:formatCode>
                <c:ptCount val="8"/>
                <c:pt idx="0">
                  <c:v>12.41</c:v>
                </c:pt>
                <c:pt idx="1">
                  <c:v>13.55</c:v>
                </c:pt>
                <c:pt idx="2">
                  <c:v>16.36</c:v>
                </c:pt>
                <c:pt idx="3">
                  <c:v>22.17</c:v>
                </c:pt>
                <c:pt idx="4">
                  <c:v>28.99</c:v>
                </c:pt>
                <c:pt idx="5">
                  <c:v>30.38</c:v>
                </c:pt>
                <c:pt idx="6">
                  <c:v>35.06</c:v>
                </c:pt>
                <c:pt idx="7">
                  <c:v>56.13</c:v>
                </c:pt>
              </c:numCache>
            </c:numRef>
          </c:val>
        </c:ser>
        <c:dLbls>
          <c:showLegendKey val="0"/>
          <c:showVal val="0"/>
          <c:showCatName val="0"/>
          <c:showSerName val="0"/>
          <c:showPercent val="0"/>
          <c:showBubbleSize val="0"/>
        </c:dLbls>
        <c:gapWidth val="150"/>
        <c:overlap val="100"/>
        <c:axId val="109252992"/>
        <c:axId val="109254528"/>
      </c:barChart>
      <c:catAx>
        <c:axId val="109252992"/>
        <c:scaling>
          <c:orientation val="minMax"/>
        </c:scaling>
        <c:delete val="0"/>
        <c:axPos val="b"/>
        <c:majorTickMark val="out"/>
        <c:minorTickMark val="none"/>
        <c:tickLblPos val="nextTo"/>
        <c:spPr>
          <a:ln>
            <a:noFill/>
          </a:ln>
        </c:spPr>
        <c:txPr>
          <a:bodyPr/>
          <a:lstStyle/>
          <a:p>
            <a:pPr>
              <a:defRPr>
                <a:latin typeface="Arial" pitchFamily="34" charset="0"/>
                <a:cs typeface="Arial" pitchFamily="34" charset="0"/>
              </a:defRPr>
            </a:pPr>
            <a:endParaRPr lang="en-US"/>
          </a:p>
        </c:txPr>
        <c:crossAx val="109254528"/>
        <c:crosses val="autoZero"/>
        <c:auto val="1"/>
        <c:lblAlgn val="ctr"/>
        <c:lblOffset val="100"/>
        <c:noMultiLvlLbl val="0"/>
      </c:catAx>
      <c:valAx>
        <c:axId val="109254528"/>
        <c:scaling>
          <c:orientation val="minMax"/>
        </c:scaling>
        <c:delete val="0"/>
        <c:axPos val="l"/>
        <c:majorGridlines/>
        <c:numFmt formatCode="0%" sourceLinked="1"/>
        <c:majorTickMark val="out"/>
        <c:minorTickMark val="none"/>
        <c:tickLblPos val="nextTo"/>
        <c:txPr>
          <a:bodyPr/>
          <a:lstStyle/>
          <a:p>
            <a:pPr>
              <a:defRPr>
                <a:latin typeface="Arial" pitchFamily="34" charset="0"/>
                <a:cs typeface="Arial" pitchFamily="34" charset="0"/>
              </a:defRPr>
            </a:pPr>
            <a:endParaRPr lang="en-US"/>
          </a:p>
        </c:txPr>
        <c:crossAx val="109252992"/>
        <c:crosses val="autoZero"/>
        <c:crossBetween val="between"/>
      </c:valAx>
    </c:plotArea>
    <c:legend>
      <c:legendPos val="b"/>
      <c:layout/>
      <c:overlay val="0"/>
      <c:txPr>
        <a:bodyPr/>
        <a:lstStyle/>
        <a:p>
          <a:pPr>
            <a:defRPr>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71529-29EA-4CE0-B95D-D87468554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18</Pages>
  <Words>5434</Words>
  <Characters>32528</Characters>
  <Application>Microsoft Office Word</Application>
  <DocSecurity>0</DocSecurity>
  <Lines>271</Lines>
  <Paragraphs>75</Paragraphs>
  <ScaleCrop>false</ScaleCrop>
  <HeadingPairs>
    <vt:vector size="2" baseType="variant">
      <vt:variant>
        <vt:lpstr>Title</vt:lpstr>
      </vt:variant>
      <vt:variant>
        <vt:i4>1</vt:i4>
      </vt:variant>
    </vt:vector>
  </HeadingPairs>
  <TitlesOfParts>
    <vt:vector size="1" baseType="lpstr">
      <vt:lpstr>Pre-competitive geoscience </vt:lpstr>
    </vt:vector>
  </TitlesOfParts>
  <Company>Productivity Commission</Company>
  <LinksUpToDate>false</LinksUpToDate>
  <CharactersWithSpaces>37887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Pre-competitive geoscience</dc:title>
  <dc:subject>Resource exploration</dc:subject>
  <dc:creator>Productivity Commission</dc:creator>
  <dc:description>7.</dc:description>
  <cp:lastModifiedBy>Productivity Commission</cp:lastModifiedBy>
  <cp:revision>3</cp:revision>
  <cp:lastPrinted>2013-05-22T08:18:00Z</cp:lastPrinted>
  <dcterms:created xsi:type="dcterms:W3CDTF">2013-05-29T02:41:00Z</dcterms:created>
  <dcterms:modified xsi:type="dcterms:W3CDTF">2015-05-08T02:20:00Z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-943643189</vt:i4>
  </property>
  <property fmtid="{D5CDD505-2E9C-101B-9397-08002B2CF9AE}" pid="3" name="_NewReviewCycle">
    <vt:lpwstr/>
  </property>
  <property fmtid="{D5CDD505-2E9C-101B-9397-08002B2CF9AE}" pid="4" name="_EmailSubject">
    <vt:lpwstr>web files - minerals draft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