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EC21B4" w:rsidP="00EC21B4">
      <w:pPr>
        <w:pStyle w:val="Chapter"/>
        <w:ind w:left="907" w:hanging="907"/>
      </w:pPr>
      <w:bookmarkStart w:id="0" w:name="_AppendixNotByChapter"/>
      <w:bookmarkStart w:id="1" w:name="ChapterNumber"/>
      <w:bookmarkEnd w:id="0"/>
      <w:r>
        <w:t>A</w:t>
      </w:r>
      <w:bookmarkEnd w:id="1"/>
      <w:r>
        <w:tab/>
      </w:r>
      <w:bookmarkStart w:id="2" w:name="ChapterTitle"/>
      <w:bookmarkStart w:id="3" w:name="_GoBack"/>
      <w:r>
        <w:t xml:space="preserve">Conduct </w:t>
      </w:r>
      <w:bookmarkEnd w:id="3"/>
      <w:r>
        <w:t>of the inquiry</w:t>
      </w:r>
      <w:bookmarkEnd w:id="2"/>
    </w:p>
    <w:p w:rsidR="006E6D00" w:rsidRDefault="006E6D00" w:rsidP="006E6D00">
      <w:pPr>
        <w:pStyle w:val="BodyText"/>
      </w:pPr>
      <w:bookmarkStart w:id="4" w:name="begin"/>
      <w:bookmarkEnd w:id="4"/>
      <w:r>
        <w:t>The Commission received the terms of reference for this inquiry on 27 September 2012. Notices were the</w:t>
      </w:r>
      <w:r w:rsidR="00454565">
        <w:t>n placed in the press and on the Commission’s</w:t>
      </w:r>
      <w:r>
        <w:t xml:space="preserve"> website inviting public participation. Information about the inquiry was also circulated to parties identified as likely to have an interest.  </w:t>
      </w:r>
    </w:p>
    <w:p w:rsidR="006E6D00" w:rsidRDefault="006E6D00" w:rsidP="006E6D00">
      <w:pPr>
        <w:pStyle w:val="BodyText"/>
      </w:pPr>
      <w:r>
        <w:t xml:space="preserve">The Commission released an issues paper on </w:t>
      </w:r>
      <w:r w:rsidR="00FE3E4B">
        <w:t>14 December 2012</w:t>
      </w:r>
      <w:r>
        <w:t xml:space="preserve"> to assist inquiry participants in preparing their submissions</w:t>
      </w:r>
      <w:r w:rsidRPr="009F0355">
        <w:t xml:space="preserve">. </w:t>
      </w:r>
      <w:r w:rsidR="0052066F" w:rsidRPr="009F0355">
        <w:t>Thirty</w:t>
      </w:r>
      <w:r w:rsidRPr="009F0355">
        <w:t xml:space="preserve"> four submissions</w:t>
      </w:r>
      <w:r>
        <w:t xml:space="preserve"> were received prior to publication of this report. A list of these submissions is provided below</w:t>
      </w:r>
      <w:r w:rsidR="004E2604">
        <w:t xml:space="preserve"> in table </w:t>
      </w:r>
      <w:proofErr w:type="spellStart"/>
      <w:r w:rsidR="004E2604">
        <w:t>A.1</w:t>
      </w:r>
      <w:proofErr w:type="spellEnd"/>
      <w:r>
        <w:t>.</w:t>
      </w:r>
    </w:p>
    <w:p w:rsidR="006E6D00" w:rsidRPr="00C01D39" w:rsidRDefault="006E6D00" w:rsidP="006E6D00">
      <w:pPr>
        <w:pStyle w:val="BodyText"/>
      </w:pPr>
      <w:r w:rsidRPr="00C01D39">
        <w:t xml:space="preserve">The Commission has held informal consultations with governments, </w:t>
      </w:r>
      <w:r>
        <w:t>regulatory bodies,</w:t>
      </w:r>
      <w:r w:rsidR="00454565">
        <w:t xml:space="preserve"> conservation groups, Indigenous heritage organisations,</w:t>
      </w:r>
      <w:r>
        <w:t xml:space="preserve"> </w:t>
      </w:r>
      <w:r w:rsidRPr="00C01D39">
        <w:t xml:space="preserve">peak industry groups in the </w:t>
      </w:r>
      <w:r>
        <w:t xml:space="preserve">minerals and energy resources </w:t>
      </w:r>
      <w:r w:rsidRPr="00C01D39">
        <w:t>sector</w:t>
      </w:r>
      <w:r>
        <w:t xml:space="preserve">, </w:t>
      </w:r>
      <w:r w:rsidRPr="00C01D39">
        <w:t>as well as with a number of companies and individual</w:t>
      </w:r>
      <w:r>
        <w:t>s</w:t>
      </w:r>
      <w:r w:rsidRPr="00C01D39">
        <w:t>. A list of the meetings and informal discussions undertaken is provided below</w:t>
      </w:r>
      <w:r w:rsidR="004E2604">
        <w:t xml:space="preserve"> in table </w:t>
      </w:r>
      <w:proofErr w:type="spellStart"/>
      <w:r w:rsidR="004E2604">
        <w:t>A.2</w:t>
      </w:r>
      <w:proofErr w:type="spellEnd"/>
      <w:r w:rsidRPr="00C01D39">
        <w:t>.</w:t>
      </w:r>
    </w:p>
    <w:p w:rsidR="006E6D00" w:rsidRPr="000E2493" w:rsidRDefault="006E6D00" w:rsidP="006E6D00">
      <w:pPr>
        <w:pStyle w:val="BodyText"/>
      </w:pPr>
      <w:r>
        <w:t>The Commission would like to thank all those who contributed to the inquiry.</w:t>
      </w:r>
    </w:p>
    <w:p w:rsidR="006E6D00" w:rsidRDefault="006E6D00">
      <w:pPr>
        <w:rPr>
          <w:szCs w:val="20"/>
        </w:rPr>
      </w:pPr>
      <w:r>
        <w:br w:type="page"/>
      </w:r>
    </w:p>
    <w:p w:rsidR="006E6D00" w:rsidRDefault="006E6D00" w:rsidP="006E6D00">
      <w:pPr>
        <w:pStyle w:val="TableTitle"/>
      </w:pPr>
      <w:r>
        <w:rPr>
          <w:b w:val="0"/>
        </w:rPr>
        <w:lastRenderedPageBreak/>
        <w:t xml:space="preserve">Table </w:t>
      </w:r>
      <w:proofErr w:type="spellStart"/>
      <w:r w:rsidR="00EC21B4">
        <w:rPr>
          <w:b w:val="0"/>
        </w:rPr>
        <w:t>A.</w:t>
      </w:r>
      <w:r w:rsidR="00EC21B4">
        <w:rPr>
          <w:b w:val="0"/>
          <w:noProof/>
        </w:rPr>
        <w:t>1</w:t>
      </w:r>
      <w:proofErr w:type="spellEnd"/>
      <w:r>
        <w:tab/>
        <w:t>Submissions received</w:t>
      </w:r>
    </w:p>
    <w:p w:rsidR="008E55B8" w:rsidRDefault="008E55B8">
      <w:pPr>
        <w:pStyle w:val="Subtit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8"/>
        <w:gridCol w:w="1700"/>
      </w:tblGrid>
      <w:tr w:rsidR="008E55B8" w:rsidTr="00CF0C49">
        <w:tc>
          <w:tcPr>
            <w:tcW w:w="70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E55B8" w:rsidRDefault="008E55B8" w:rsidP="008E55B8">
            <w:pPr>
              <w:pStyle w:val="TableColumnHeading"/>
              <w:jc w:val="left"/>
            </w:pPr>
            <w:r>
              <w:t>Participant</w:t>
            </w: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E55B8" w:rsidRDefault="008E55B8" w:rsidP="008E55B8">
            <w:pPr>
              <w:pStyle w:val="TableColumnHeading"/>
              <w:ind w:right="6"/>
            </w:pPr>
            <w:r>
              <w:t>Submission No</w:t>
            </w:r>
          </w:p>
        </w:tc>
      </w:tr>
      <w:tr w:rsidR="008E55B8" w:rsidTr="00CF0C49">
        <w:tc>
          <w:tcPr>
            <w:tcW w:w="7088" w:type="dxa"/>
            <w:tcBorders>
              <w:top w:val="single" w:sz="6" w:space="0" w:color="auto"/>
            </w:tcBorders>
          </w:tcPr>
          <w:p w:rsidR="008E55B8" w:rsidRDefault="008E55B8" w:rsidP="008E55B8">
            <w:pPr>
              <w:pStyle w:val="TableUnitsRow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</w:tcBorders>
          </w:tcPr>
          <w:p w:rsidR="008E55B8" w:rsidRDefault="008E55B8" w:rsidP="008E55B8">
            <w:pPr>
              <w:pStyle w:val="TableUnitsRow"/>
              <w:ind w:right="6"/>
            </w:pP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Aboriginal Areas Protection Authority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23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Association of Mining and Exploration Companies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24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Australasian Institute of Mining and Metallurgy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12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Australian Mines and Metals Association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32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Australian Network of Environmental Defenders Offices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17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454565">
            <w:pPr>
              <w:pStyle w:val="TableBodyText"/>
              <w:jc w:val="left"/>
            </w:pPr>
            <w:r>
              <w:t>Australian Petroleum Production and Exploration Association</w:t>
            </w:r>
            <w:r w:rsidR="00454565">
              <w:t xml:space="preserve"> Limited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22</w:t>
            </w:r>
          </w:p>
        </w:tc>
      </w:tr>
      <w:tr w:rsidR="008E55B8" w:rsidTr="00CF0C49">
        <w:tc>
          <w:tcPr>
            <w:tcW w:w="7088" w:type="dxa"/>
          </w:tcPr>
          <w:p w:rsidR="008E55B8" w:rsidRDefault="00BF6457" w:rsidP="008E55B8">
            <w:pPr>
              <w:pStyle w:val="TableBodyText"/>
              <w:jc w:val="left"/>
            </w:pPr>
            <w:r>
              <w:t>Australian Uranium Association</w:t>
            </w:r>
          </w:p>
        </w:tc>
        <w:tc>
          <w:tcPr>
            <w:tcW w:w="1700" w:type="dxa"/>
          </w:tcPr>
          <w:p w:rsidR="008E55B8" w:rsidRDefault="00BF6457" w:rsidP="008E55B8">
            <w:pPr>
              <w:pStyle w:val="TableBodyText"/>
              <w:ind w:right="6"/>
            </w:pPr>
            <w:r>
              <w:t>4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Basin Sustainability Alliance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18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Business SA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7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Department of Sustainability, Environment, Water, Population and Communities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33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Geoscience Australia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6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Hetherington, Melissa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16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Minerals Council of Australia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27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National Offshore Petroleum Safety and Environmental Management Authority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28</w:t>
            </w:r>
          </w:p>
        </w:tc>
      </w:tr>
      <w:tr w:rsidR="008E55B8" w:rsidTr="00CF0C49">
        <w:tc>
          <w:tcPr>
            <w:tcW w:w="7088" w:type="dxa"/>
          </w:tcPr>
          <w:p w:rsidR="008E55B8" w:rsidRDefault="00E43CD9" w:rsidP="008E55B8">
            <w:pPr>
              <w:pStyle w:val="TableBodyText"/>
              <w:jc w:val="left"/>
            </w:pPr>
            <w:r>
              <w:t>Northern Territory Department of Mines and Energy</w:t>
            </w:r>
          </w:p>
        </w:tc>
        <w:tc>
          <w:tcPr>
            <w:tcW w:w="1700" w:type="dxa"/>
          </w:tcPr>
          <w:p w:rsidR="008E55B8" w:rsidRDefault="00E43CD9" w:rsidP="008E55B8">
            <w:pPr>
              <w:pStyle w:val="TableBodyText"/>
              <w:ind w:right="6"/>
            </w:pPr>
            <w:r>
              <w:t>2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NSW Aboriginal Land Council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10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NSW Farmers’ Association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21</w:t>
            </w:r>
          </w:p>
        </w:tc>
      </w:tr>
      <w:tr w:rsidR="008E55B8" w:rsidTr="00CF0C49">
        <w:tc>
          <w:tcPr>
            <w:tcW w:w="7088" w:type="dxa"/>
          </w:tcPr>
          <w:p w:rsidR="008E55B8" w:rsidRDefault="00CF0C49" w:rsidP="008E55B8">
            <w:pPr>
              <w:pStyle w:val="TableBodyText"/>
              <w:jc w:val="left"/>
            </w:pPr>
            <w:r>
              <w:t>NSW Irrigators</w:t>
            </w:r>
            <w:r w:rsidR="00454565">
              <w:t>’</w:t>
            </w:r>
            <w:r>
              <w:t xml:space="preserve"> Council</w:t>
            </w:r>
          </w:p>
        </w:tc>
        <w:tc>
          <w:tcPr>
            <w:tcW w:w="1700" w:type="dxa"/>
          </w:tcPr>
          <w:p w:rsidR="008E55B8" w:rsidRDefault="00CF0C49" w:rsidP="008E55B8">
            <w:pPr>
              <w:pStyle w:val="TableBodyText"/>
              <w:ind w:right="6"/>
            </w:pPr>
            <w:r>
              <w:t>5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NSW Minerals Council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11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proofErr w:type="spellStart"/>
            <w:r>
              <w:t>NTSCORP</w:t>
            </w:r>
            <w:proofErr w:type="spellEnd"/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31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Queensland Department of Natural Resources and Mines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25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Queensland Murray-Darling Committee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20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CF0C49">
            <w:pPr>
              <w:pStyle w:val="TableBodyText"/>
              <w:jc w:val="left"/>
            </w:pPr>
            <w:r>
              <w:t xml:space="preserve">Queensland Resources Council and Queensland Exploration Council 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13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Resource Futures Pty Ltd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14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South Australian Chamber of Mines and Energy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9</w:t>
            </w:r>
          </w:p>
        </w:tc>
      </w:tr>
      <w:tr w:rsidR="008E55B8" w:rsidTr="00CF0C49">
        <w:tc>
          <w:tcPr>
            <w:tcW w:w="7088" w:type="dxa"/>
          </w:tcPr>
          <w:p w:rsidR="008E55B8" w:rsidRDefault="00E43CD9" w:rsidP="008E55B8">
            <w:pPr>
              <w:pStyle w:val="TableBodyText"/>
              <w:jc w:val="left"/>
            </w:pPr>
            <w:r>
              <w:t>Watkins, David</w:t>
            </w:r>
          </w:p>
        </w:tc>
        <w:tc>
          <w:tcPr>
            <w:tcW w:w="1700" w:type="dxa"/>
          </w:tcPr>
          <w:p w:rsidR="008E55B8" w:rsidRDefault="00E43CD9" w:rsidP="008E55B8">
            <w:pPr>
              <w:pStyle w:val="TableBodyText"/>
              <w:ind w:right="6"/>
            </w:pPr>
            <w:r>
              <w:t>1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Western Australian Government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29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Wildlife Preservation Society of Queensland – Upper Dawson Branch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8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r>
              <w:t>WWF-Australia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26</w:t>
            </w:r>
          </w:p>
        </w:tc>
      </w:tr>
      <w:tr w:rsidR="00CF0C49" w:rsidTr="00CF0C49">
        <w:tc>
          <w:tcPr>
            <w:tcW w:w="7088" w:type="dxa"/>
          </w:tcPr>
          <w:p w:rsidR="00CF0C49" w:rsidRDefault="00CF0C49" w:rsidP="008E55B8">
            <w:pPr>
              <w:pStyle w:val="TableBodyText"/>
              <w:jc w:val="left"/>
            </w:pPr>
            <w:proofErr w:type="spellStart"/>
            <w:r>
              <w:t>Yamatji</w:t>
            </w:r>
            <w:proofErr w:type="spellEnd"/>
            <w:r>
              <w:t xml:space="preserve"> </w:t>
            </w:r>
            <w:proofErr w:type="spellStart"/>
            <w:r>
              <w:t>Marlpa</w:t>
            </w:r>
            <w:proofErr w:type="spellEnd"/>
            <w:r>
              <w:t xml:space="preserve"> Aboriginal Corporation</w:t>
            </w:r>
          </w:p>
        </w:tc>
        <w:tc>
          <w:tcPr>
            <w:tcW w:w="1700" w:type="dxa"/>
          </w:tcPr>
          <w:p w:rsidR="00CF0C49" w:rsidRDefault="00CF0C49" w:rsidP="008E55B8">
            <w:pPr>
              <w:pStyle w:val="TableBodyText"/>
              <w:ind w:right="6"/>
            </w:pPr>
            <w:r>
              <w:t>34</w:t>
            </w:r>
          </w:p>
        </w:tc>
      </w:tr>
      <w:tr w:rsidR="001D6CF6" w:rsidTr="00CF0C49">
        <w:tc>
          <w:tcPr>
            <w:tcW w:w="7088" w:type="dxa"/>
          </w:tcPr>
          <w:p w:rsidR="001D6CF6" w:rsidRDefault="001D6CF6" w:rsidP="008E55B8">
            <w:pPr>
              <w:pStyle w:val="TableBodyText"/>
              <w:jc w:val="left"/>
            </w:pPr>
          </w:p>
        </w:tc>
        <w:tc>
          <w:tcPr>
            <w:tcW w:w="1700" w:type="dxa"/>
          </w:tcPr>
          <w:p w:rsidR="001D6CF6" w:rsidRDefault="001D6CF6" w:rsidP="008E55B8">
            <w:pPr>
              <w:pStyle w:val="TableBodyText"/>
              <w:ind w:right="6"/>
            </w:pPr>
          </w:p>
        </w:tc>
      </w:tr>
      <w:tr w:rsidR="008E55B8" w:rsidTr="00CF0C49">
        <w:tc>
          <w:tcPr>
            <w:tcW w:w="7088" w:type="dxa"/>
            <w:tcBorders>
              <w:bottom w:val="single" w:sz="6" w:space="0" w:color="auto"/>
            </w:tcBorders>
            <w:shd w:val="clear" w:color="auto" w:fill="auto"/>
          </w:tcPr>
          <w:p w:rsidR="008E55B8" w:rsidRDefault="001D6CF6" w:rsidP="008E55B8">
            <w:pPr>
              <w:pStyle w:val="TableBodyText"/>
              <w:jc w:val="left"/>
            </w:pPr>
            <w:r>
              <w:t>Confidential</w:t>
            </w:r>
          </w:p>
        </w:tc>
        <w:tc>
          <w:tcPr>
            <w:tcW w:w="1700" w:type="dxa"/>
            <w:tcBorders>
              <w:bottom w:val="single" w:sz="6" w:space="0" w:color="auto"/>
            </w:tcBorders>
            <w:shd w:val="clear" w:color="auto" w:fill="auto"/>
          </w:tcPr>
          <w:p w:rsidR="008E55B8" w:rsidRDefault="00E43CD9" w:rsidP="00CF0C49">
            <w:pPr>
              <w:pStyle w:val="TableBodyText"/>
              <w:ind w:right="-1"/>
            </w:pPr>
            <w:r>
              <w:t>3</w:t>
            </w:r>
            <w:r w:rsidR="00CF0C49">
              <w:t>, 15, 19, 30</w:t>
            </w:r>
          </w:p>
        </w:tc>
      </w:tr>
    </w:tbl>
    <w:p w:rsidR="008E55B8" w:rsidRDefault="008E55B8" w:rsidP="008E55B8">
      <w:pPr>
        <w:pStyle w:val="Source"/>
        <w:rPr>
          <w:i/>
        </w:rPr>
      </w:pPr>
    </w:p>
    <w:p w:rsidR="008E55B8" w:rsidRPr="008E55B8" w:rsidRDefault="008E55B8" w:rsidP="008E55B8">
      <w:pPr>
        <w:pStyle w:val="BodyText"/>
      </w:pPr>
    </w:p>
    <w:p w:rsidR="008E55B8" w:rsidRDefault="008E55B8">
      <w:r>
        <w:br w:type="page"/>
      </w:r>
    </w:p>
    <w:p w:rsidR="008E55B8" w:rsidRDefault="008E55B8">
      <w:pPr>
        <w:pStyle w:val="TableTitle"/>
      </w:pPr>
      <w:r>
        <w:rPr>
          <w:b w:val="0"/>
        </w:rPr>
        <w:lastRenderedPageBreak/>
        <w:t xml:space="preserve">Table </w:t>
      </w:r>
      <w:proofErr w:type="spellStart"/>
      <w:r w:rsidR="00EC21B4">
        <w:rPr>
          <w:b w:val="0"/>
        </w:rPr>
        <w:t>A.</w:t>
      </w:r>
      <w:r w:rsidR="00EC21B4">
        <w:rPr>
          <w:b w:val="0"/>
          <w:noProof/>
        </w:rPr>
        <w:t>2</w:t>
      </w:r>
      <w:proofErr w:type="spellEnd"/>
      <w:r>
        <w:tab/>
        <w:t>Meetings</w:t>
      </w:r>
    </w:p>
    <w:p w:rsidR="008E55B8" w:rsidRDefault="008E55B8">
      <w:pPr>
        <w:pStyle w:val="Subtitle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8E55B8" w:rsidTr="0052701A">
        <w:trPr>
          <w:tblHeader/>
        </w:trPr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E55B8" w:rsidRDefault="008E55B8" w:rsidP="008E55B8">
            <w:pPr>
              <w:pStyle w:val="TableColumnHeading"/>
              <w:ind w:right="28"/>
              <w:jc w:val="left"/>
            </w:pPr>
            <w:r>
              <w:t>Participant</w:t>
            </w:r>
          </w:p>
        </w:tc>
      </w:tr>
      <w:tr w:rsidR="008E55B8" w:rsidTr="008E55B8">
        <w:tc>
          <w:tcPr>
            <w:tcW w:w="5000" w:type="pct"/>
            <w:tcBorders>
              <w:top w:val="single" w:sz="6" w:space="0" w:color="auto"/>
            </w:tcBorders>
          </w:tcPr>
          <w:p w:rsidR="008E55B8" w:rsidRPr="008E55B8" w:rsidRDefault="004E0D02" w:rsidP="008E55B8">
            <w:pPr>
              <w:pStyle w:val="TableUnitsRow"/>
              <w:ind w:right="28"/>
              <w:jc w:val="left"/>
              <w:rPr>
                <w:b/>
              </w:rPr>
            </w:pPr>
            <w:r>
              <w:rPr>
                <w:b/>
              </w:rPr>
              <w:t>Australian Government and national bodies</w:t>
            </w:r>
          </w:p>
        </w:tc>
      </w:tr>
      <w:tr w:rsidR="008E55B8" w:rsidTr="008E55B8">
        <w:tc>
          <w:tcPr>
            <w:tcW w:w="5000" w:type="pct"/>
          </w:tcPr>
          <w:p w:rsidR="008E55B8" w:rsidRDefault="008678C1" w:rsidP="008E55B8">
            <w:pPr>
              <w:pStyle w:val="TableBodyText"/>
              <w:ind w:right="28"/>
              <w:jc w:val="left"/>
            </w:pPr>
            <w:r w:rsidRPr="008678C1">
              <w:t>Association of Mining and Exploration Companies</w:t>
            </w:r>
          </w:p>
        </w:tc>
      </w:tr>
      <w:tr w:rsidR="008E55B8" w:rsidTr="008E55B8">
        <w:tc>
          <w:tcPr>
            <w:tcW w:w="5000" w:type="pct"/>
          </w:tcPr>
          <w:p w:rsidR="008E55B8" w:rsidRDefault="008678C1" w:rsidP="0046683C">
            <w:pPr>
              <w:pStyle w:val="TableBodyText"/>
              <w:ind w:right="28"/>
              <w:jc w:val="left"/>
            </w:pPr>
            <w:r w:rsidRPr="008678C1">
              <w:t>Australasian Institute of Mining and Metallurgy</w:t>
            </w:r>
            <w:r w:rsidR="00E73556">
              <w:t xml:space="preserve"> </w:t>
            </w:r>
          </w:p>
        </w:tc>
      </w:tr>
      <w:tr w:rsidR="008E55B8" w:rsidTr="008E55B8">
        <w:tc>
          <w:tcPr>
            <w:tcW w:w="5000" w:type="pct"/>
          </w:tcPr>
          <w:p w:rsidR="008E55B8" w:rsidRDefault="008678C1" w:rsidP="008E55B8">
            <w:pPr>
              <w:pStyle w:val="TableBodyText"/>
              <w:ind w:right="28"/>
              <w:jc w:val="left"/>
            </w:pPr>
            <w:r w:rsidRPr="008678C1">
              <w:t>Australian Coal Association</w:t>
            </w:r>
          </w:p>
        </w:tc>
      </w:tr>
      <w:tr w:rsidR="008E55B8" w:rsidTr="008E55B8">
        <w:tc>
          <w:tcPr>
            <w:tcW w:w="5000" w:type="pct"/>
          </w:tcPr>
          <w:p w:rsidR="008E55B8" w:rsidRDefault="008678C1" w:rsidP="008E55B8">
            <w:pPr>
              <w:pStyle w:val="TableBodyText"/>
              <w:ind w:right="28"/>
              <w:jc w:val="left"/>
            </w:pPr>
            <w:r w:rsidRPr="008678C1">
              <w:t>Australian Petroleum Production and Exploration Association</w:t>
            </w:r>
          </w:p>
        </w:tc>
      </w:tr>
      <w:tr w:rsidR="0046683C" w:rsidTr="008E55B8">
        <w:tc>
          <w:tcPr>
            <w:tcW w:w="5000" w:type="pct"/>
          </w:tcPr>
          <w:p w:rsidR="0046683C" w:rsidRPr="008678C1" w:rsidRDefault="0046683C" w:rsidP="008E55B8">
            <w:pPr>
              <w:pStyle w:val="TableBodyText"/>
              <w:ind w:right="28"/>
              <w:jc w:val="left"/>
            </w:pPr>
            <w:r>
              <w:t>Blue Planet Marine</w:t>
            </w:r>
          </w:p>
        </w:tc>
      </w:tr>
      <w:tr w:rsidR="0046683C" w:rsidTr="008E55B8">
        <w:tc>
          <w:tcPr>
            <w:tcW w:w="5000" w:type="pct"/>
          </w:tcPr>
          <w:p w:rsidR="0046683C" w:rsidRPr="008678C1" w:rsidRDefault="0046683C" w:rsidP="008E55B8">
            <w:pPr>
              <w:pStyle w:val="TableBodyText"/>
              <w:ind w:right="28"/>
              <w:jc w:val="left"/>
            </w:pPr>
            <w:r>
              <w:t>BP Australia</w:t>
            </w:r>
          </w:p>
        </w:tc>
      </w:tr>
      <w:tr w:rsidR="008678C1" w:rsidTr="008E55B8">
        <w:tc>
          <w:tcPr>
            <w:tcW w:w="5000" w:type="pct"/>
          </w:tcPr>
          <w:p w:rsidR="008678C1" w:rsidRDefault="008678C1" w:rsidP="008E55B8">
            <w:pPr>
              <w:pStyle w:val="TableBodyText"/>
              <w:ind w:right="28"/>
              <w:jc w:val="left"/>
            </w:pPr>
            <w:r w:rsidRPr="008678C1">
              <w:t>Bureau of Resources and Energy Economics</w:t>
            </w:r>
          </w:p>
        </w:tc>
      </w:tr>
      <w:tr w:rsidR="0046683C" w:rsidTr="008E55B8">
        <w:tc>
          <w:tcPr>
            <w:tcW w:w="5000" w:type="pct"/>
          </w:tcPr>
          <w:p w:rsidR="0046683C" w:rsidRPr="008678C1" w:rsidRDefault="0046683C" w:rsidP="008E55B8">
            <w:pPr>
              <w:pStyle w:val="TableBodyText"/>
              <w:ind w:right="28"/>
              <w:jc w:val="left"/>
            </w:pPr>
            <w:r>
              <w:t>Department of Finance and Deregulation</w:t>
            </w:r>
          </w:p>
        </w:tc>
      </w:tr>
      <w:tr w:rsidR="008678C1" w:rsidTr="008E55B8">
        <w:tc>
          <w:tcPr>
            <w:tcW w:w="5000" w:type="pct"/>
          </w:tcPr>
          <w:p w:rsidR="008678C1" w:rsidRDefault="008678C1" w:rsidP="008E55B8">
            <w:pPr>
              <w:pStyle w:val="TableBodyText"/>
              <w:ind w:right="28"/>
              <w:jc w:val="left"/>
            </w:pPr>
            <w:r w:rsidRPr="008678C1">
              <w:t>Department of Resources, Energy and Tourism</w:t>
            </w:r>
          </w:p>
        </w:tc>
      </w:tr>
      <w:tr w:rsidR="008678C1" w:rsidTr="008E55B8">
        <w:tc>
          <w:tcPr>
            <w:tcW w:w="5000" w:type="pct"/>
          </w:tcPr>
          <w:p w:rsidR="008678C1" w:rsidRDefault="008678C1" w:rsidP="008E55B8">
            <w:pPr>
              <w:pStyle w:val="TableBodyText"/>
              <w:ind w:right="28"/>
              <w:jc w:val="left"/>
            </w:pPr>
            <w:r w:rsidRPr="008678C1">
              <w:t>Department of Sustainability, Environment, Water, Population and Communities</w:t>
            </w:r>
          </w:p>
        </w:tc>
      </w:tr>
      <w:tr w:rsidR="008678C1" w:rsidTr="008E55B8">
        <w:tc>
          <w:tcPr>
            <w:tcW w:w="5000" w:type="pct"/>
          </w:tcPr>
          <w:p w:rsidR="008678C1" w:rsidRDefault="008678C1" w:rsidP="008E55B8">
            <w:pPr>
              <w:pStyle w:val="TableBodyText"/>
              <w:ind w:right="28"/>
              <w:jc w:val="left"/>
            </w:pPr>
            <w:r w:rsidRPr="008678C1">
              <w:t>Geoscience Australia</w:t>
            </w:r>
          </w:p>
        </w:tc>
      </w:tr>
      <w:tr w:rsidR="008678C1" w:rsidTr="008E55B8">
        <w:tc>
          <w:tcPr>
            <w:tcW w:w="5000" w:type="pct"/>
          </w:tcPr>
          <w:p w:rsidR="008678C1" w:rsidRDefault="008678C1" w:rsidP="008E55B8">
            <w:pPr>
              <w:pStyle w:val="TableBodyText"/>
              <w:ind w:right="28"/>
              <w:jc w:val="left"/>
            </w:pPr>
            <w:r w:rsidRPr="008678C1">
              <w:t xml:space="preserve">Herbert Smith </w:t>
            </w:r>
            <w:proofErr w:type="spellStart"/>
            <w:r w:rsidRPr="008678C1">
              <w:t>Freehills</w:t>
            </w:r>
            <w:proofErr w:type="spellEnd"/>
          </w:p>
        </w:tc>
      </w:tr>
      <w:tr w:rsidR="008678C1" w:rsidTr="008E55B8">
        <w:tc>
          <w:tcPr>
            <w:tcW w:w="5000" w:type="pct"/>
          </w:tcPr>
          <w:p w:rsidR="008678C1" w:rsidRPr="008678C1" w:rsidRDefault="008678C1" w:rsidP="008E55B8">
            <w:pPr>
              <w:pStyle w:val="TableBodyText"/>
              <w:ind w:right="28"/>
              <w:jc w:val="left"/>
            </w:pPr>
            <w:r w:rsidRPr="008678C1">
              <w:t>Minerals Council of Australia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8678C1" w:rsidP="008E55B8">
            <w:pPr>
              <w:pStyle w:val="TableBodyText"/>
              <w:ind w:right="28"/>
              <w:jc w:val="left"/>
            </w:pPr>
            <w:r w:rsidRPr="008678C1">
              <w:t>National Farmers’ Federation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8678C1" w:rsidP="008E55B8">
            <w:pPr>
              <w:pStyle w:val="TableBodyText"/>
              <w:ind w:right="28"/>
              <w:jc w:val="left"/>
            </w:pPr>
            <w:r w:rsidRPr="008678C1">
              <w:t>National Offshore Petrole</w:t>
            </w:r>
            <w:r w:rsidR="00454565">
              <w:t>um Safety and Environment Management Authority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46683C" w:rsidP="008E55B8">
            <w:pPr>
              <w:pStyle w:val="TableBodyText"/>
              <w:ind w:right="28"/>
              <w:jc w:val="left"/>
            </w:pPr>
            <w:r>
              <w:t>WWF-Australia</w:t>
            </w:r>
          </w:p>
        </w:tc>
      </w:tr>
      <w:tr w:rsidR="008E55B8" w:rsidTr="008E55B8">
        <w:tc>
          <w:tcPr>
            <w:tcW w:w="5000" w:type="pct"/>
          </w:tcPr>
          <w:p w:rsidR="008E55B8" w:rsidRDefault="008E55B8" w:rsidP="008E55B8">
            <w:pPr>
              <w:pStyle w:val="TableBodyText"/>
              <w:ind w:right="28"/>
              <w:jc w:val="left"/>
            </w:pPr>
          </w:p>
        </w:tc>
      </w:tr>
      <w:tr w:rsidR="008E55B8" w:rsidTr="008E55B8">
        <w:tc>
          <w:tcPr>
            <w:tcW w:w="5000" w:type="pct"/>
          </w:tcPr>
          <w:p w:rsidR="008E55B8" w:rsidRPr="008E55B8" w:rsidRDefault="008E55B8" w:rsidP="008E55B8">
            <w:pPr>
              <w:pStyle w:val="TableBodyText"/>
              <w:ind w:right="28"/>
              <w:jc w:val="left"/>
              <w:rPr>
                <w:b/>
              </w:rPr>
            </w:pPr>
            <w:r w:rsidRPr="008E55B8">
              <w:rPr>
                <w:b/>
              </w:rPr>
              <w:t>New South Wales</w:t>
            </w:r>
          </w:p>
        </w:tc>
      </w:tr>
      <w:tr w:rsidR="008E55B8" w:rsidTr="008E55B8">
        <w:tc>
          <w:tcPr>
            <w:tcW w:w="5000" w:type="pct"/>
          </w:tcPr>
          <w:p w:rsidR="008E55B8" w:rsidRDefault="008678C1" w:rsidP="008E55B8">
            <w:pPr>
              <w:pStyle w:val="TableBodyText"/>
              <w:ind w:right="28"/>
              <w:jc w:val="left"/>
            </w:pPr>
            <w:r w:rsidRPr="008678C1">
              <w:t>Department of Trade and Investment, Regional Infrastructure and Services</w:t>
            </w:r>
          </w:p>
        </w:tc>
      </w:tr>
      <w:tr w:rsidR="008678C1" w:rsidTr="008E55B8">
        <w:tc>
          <w:tcPr>
            <w:tcW w:w="5000" w:type="pct"/>
          </w:tcPr>
          <w:p w:rsidR="008678C1" w:rsidRDefault="0046683C" w:rsidP="008E55B8">
            <w:pPr>
              <w:pStyle w:val="TableBodyText"/>
              <w:ind w:right="28"/>
              <w:jc w:val="left"/>
            </w:pPr>
            <w:r>
              <w:t>Independent Commission Against Corruption</w:t>
            </w:r>
          </w:p>
        </w:tc>
      </w:tr>
      <w:tr w:rsidR="008678C1" w:rsidTr="008E55B8">
        <w:tc>
          <w:tcPr>
            <w:tcW w:w="5000" w:type="pct"/>
          </w:tcPr>
          <w:p w:rsidR="008678C1" w:rsidRDefault="0046683C" w:rsidP="008E55B8">
            <w:pPr>
              <w:pStyle w:val="TableBodyText"/>
              <w:ind w:right="28"/>
              <w:jc w:val="left"/>
            </w:pPr>
            <w:r>
              <w:t>NSW Minerals Council</w:t>
            </w:r>
          </w:p>
        </w:tc>
      </w:tr>
      <w:tr w:rsidR="008678C1" w:rsidTr="008E55B8">
        <w:tc>
          <w:tcPr>
            <w:tcW w:w="5000" w:type="pct"/>
          </w:tcPr>
          <w:p w:rsidR="008678C1" w:rsidRDefault="008678C1" w:rsidP="008E55B8">
            <w:pPr>
              <w:pStyle w:val="TableBodyText"/>
              <w:ind w:right="28"/>
              <w:jc w:val="left"/>
            </w:pPr>
          </w:p>
        </w:tc>
      </w:tr>
      <w:tr w:rsidR="008E55B8" w:rsidRPr="008678C1" w:rsidTr="008E55B8">
        <w:tc>
          <w:tcPr>
            <w:tcW w:w="5000" w:type="pct"/>
          </w:tcPr>
          <w:p w:rsidR="008E55B8" w:rsidRPr="008678C1" w:rsidRDefault="008678C1" w:rsidP="008E55B8">
            <w:pPr>
              <w:pStyle w:val="TableBodyText"/>
              <w:ind w:right="28"/>
              <w:jc w:val="left"/>
              <w:rPr>
                <w:b/>
              </w:rPr>
            </w:pPr>
            <w:r w:rsidRPr="008678C1">
              <w:rPr>
                <w:b/>
              </w:rPr>
              <w:t>Northern Territory</w:t>
            </w:r>
          </w:p>
        </w:tc>
      </w:tr>
      <w:tr w:rsidR="0052701A" w:rsidTr="008E55B8">
        <w:tc>
          <w:tcPr>
            <w:tcW w:w="5000" w:type="pct"/>
          </w:tcPr>
          <w:p w:rsidR="0052701A" w:rsidRPr="008678C1" w:rsidRDefault="0052701A" w:rsidP="008E55B8">
            <w:pPr>
              <w:pStyle w:val="TableBodyText"/>
              <w:ind w:right="28"/>
              <w:jc w:val="left"/>
            </w:pPr>
            <w:r>
              <w:t>Aboriginal Areas Protection Authority</w:t>
            </w:r>
          </w:p>
        </w:tc>
      </w:tr>
      <w:tr w:rsidR="008E55B8" w:rsidTr="008E55B8">
        <w:tc>
          <w:tcPr>
            <w:tcW w:w="5000" w:type="pct"/>
          </w:tcPr>
          <w:p w:rsidR="008E55B8" w:rsidRDefault="008678C1" w:rsidP="008E55B8">
            <w:pPr>
              <w:pStyle w:val="TableBodyText"/>
              <w:ind w:right="28"/>
              <w:jc w:val="left"/>
            </w:pPr>
            <w:r w:rsidRPr="008678C1">
              <w:t>Department of Mines and Energy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52701A" w:rsidP="008E55B8">
            <w:pPr>
              <w:pStyle w:val="TableBodyText"/>
              <w:ind w:right="28"/>
              <w:jc w:val="left"/>
            </w:pPr>
            <w:r>
              <w:t>Department of Lands, Planning and the Environment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52701A" w:rsidP="008E55B8">
            <w:pPr>
              <w:pStyle w:val="TableBodyText"/>
              <w:ind w:right="28"/>
              <w:jc w:val="left"/>
            </w:pPr>
            <w:r>
              <w:t>Northern Land Council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8678C1" w:rsidP="008E55B8">
            <w:pPr>
              <w:pStyle w:val="TableBodyText"/>
              <w:ind w:right="28"/>
              <w:jc w:val="left"/>
            </w:pPr>
          </w:p>
        </w:tc>
      </w:tr>
      <w:tr w:rsidR="008E55B8" w:rsidTr="008E55B8">
        <w:tc>
          <w:tcPr>
            <w:tcW w:w="5000" w:type="pct"/>
          </w:tcPr>
          <w:p w:rsidR="008E55B8" w:rsidRPr="008E55B8" w:rsidRDefault="008E55B8" w:rsidP="008E55B8">
            <w:pPr>
              <w:pStyle w:val="TableBodyText"/>
              <w:ind w:right="28"/>
              <w:jc w:val="left"/>
              <w:rPr>
                <w:b/>
              </w:rPr>
            </w:pPr>
            <w:r w:rsidRPr="008E55B8">
              <w:rPr>
                <w:b/>
              </w:rPr>
              <w:t>Queensland</w:t>
            </w:r>
          </w:p>
        </w:tc>
      </w:tr>
      <w:tr w:rsidR="008E55B8" w:rsidTr="008E55B8">
        <w:tc>
          <w:tcPr>
            <w:tcW w:w="5000" w:type="pct"/>
          </w:tcPr>
          <w:p w:rsidR="008E55B8" w:rsidRDefault="008678C1" w:rsidP="008E55B8">
            <w:pPr>
              <w:pStyle w:val="TableBodyText"/>
              <w:ind w:right="28"/>
              <w:jc w:val="left"/>
            </w:pPr>
            <w:proofErr w:type="spellStart"/>
            <w:r w:rsidRPr="008678C1">
              <w:t>AgForce</w:t>
            </w:r>
            <w:proofErr w:type="spellEnd"/>
            <w:r w:rsidRPr="008678C1">
              <w:t xml:space="preserve"> Queensland</w:t>
            </w:r>
          </w:p>
        </w:tc>
      </w:tr>
      <w:tr w:rsidR="0052701A" w:rsidTr="008E55B8">
        <w:tc>
          <w:tcPr>
            <w:tcW w:w="5000" w:type="pct"/>
          </w:tcPr>
          <w:p w:rsidR="0052701A" w:rsidRDefault="0052701A" w:rsidP="008E55B8">
            <w:pPr>
              <w:pStyle w:val="TableBodyText"/>
              <w:ind w:right="28"/>
              <w:jc w:val="left"/>
            </w:pPr>
            <w:r>
              <w:t>Arrow Energy</w:t>
            </w:r>
          </w:p>
        </w:tc>
      </w:tr>
      <w:tr w:rsidR="0052701A" w:rsidTr="008E55B8">
        <w:tc>
          <w:tcPr>
            <w:tcW w:w="5000" w:type="pct"/>
          </w:tcPr>
          <w:p w:rsidR="0052701A" w:rsidRDefault="0052701A" w:rsidP="008E55B8">
            <w:pPr>
              <w:pStyle w:val="TableBodyText"/>
              <w:ind w:right="28"/>
              <w:jc w:val="left"/>
            </w:pPr>
            <w:r>
              <w:t>Basin Sustainability Alliance</w:t>
            </w:r>
          </w:p>
        </w:tc>
      </w:tr>
      <w:tr w:rsidR="0052701A" w:rsidTr="008E55B8">
        <w:tc>
          <w:tcPr>
            <w:tcW w:w="5000" w:type="pct"/>
          </w:tcPr>
          <w:p w:rsidR="0052701A" w:rsidRPr="008678C1" w:rsidRDefault="0052701A" w:rsidP="008E55B8">
            <w:pPr>
              <w:pStyle w:val="TableBodyText"/>
              <w:ind w:right="28"/>
              <w:jc w:val="left"/>
            </w:pPr>
            <w:r>
              <w:t>Central Downs Irrigators</w:t>
            </w:r>
            <w:r w:rsidR="00454565">
              <w:t xml:space="preserve"> Limited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8678C1" w:rsidP="008E55B8">
            <w:pPr>
              <w:pStyle w:val="TableBodyText"/>
              <w:ind w:right="28"/>
              <w:jc w:val="left"/>
            </w:pPr>
            <w:r w:rsidRPr="008678C1">
              <w:t>Department of Aboriginal and Torres Strait Islander and Multicultural Affairs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8678C1" w:rsidP="008E55B8">
            <w:pPr>
              <w:pStyle w:val="TableBodyText"/>
              <w:ind w:right="28"/>
              <w:jc w:val="left"/>
            </w:pPr>
            <w:r w:rsidRPr="008678C1">
              <w:t>Department of Natural Resources and Mines</w:t>
            </w:r>
          </w:p>
        </w:tc>
      </w:tr>
      <w:tr w:rsidR="0052701A" w:rsidTr="008E55B8">
        <w:tc>
          <w:tcPr>
            <w:tcW w:w="5000" w:type="pct"/>
          </w:tcPr>
          <w:p w:rsidR="0052701A" w:rsidRPr="008678C1" w:rsidRDefault="0052701A" w:rsidP="008E55B8">
            <w:pPr>
              <w:pStyle w:val="TableBodyText"/>
              <w:ind w:right="28"/>
              <w:jc w:val="left"/>
            </w:pPr>
            <w:proofErr w:type="spellStart"/>
            <w:r>
              <w:t>GasFields</w:t>
            </w:r>
            <w:proofErr w:type="spellEnd"/>
            <w:r>
              <w:t xml:space="preserve"> Commission</w:t>
            </w:r>
            <w:r w:rsidR="00454565">
              <w:t xml:space="preserve"> Queensland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8678C1" w:rsidP="008E55B8">
            <w:pPr>
              <w:pStyle w:val="TableBodyText"/>
              <w:ind w:right="28"/>
              <w:jc w:val="left"/>
            </w:pPr>
            <w:r w:rsidRPr="008678C1">
              <w:t>Queensland Exploration Council</w:t>
            </w:r>
          </w:p>
        </w:tc>
      </w:tr>
      <w:tr w:rsidR="0052701A" w:rsidTr="008E55B8">
        <w:tc>
          <w:tcPr>
            <w:tcW w:w="5000" w:type="pct"/>
          </w:tcPr>
          <w:p w:rsidR="0052701A" w:rsidRDefault="0052701A" w:rsidP="008E55B8">
            <w:pPr>
              <w:pStyle w:val="TableBodyText"/>
              <w:ind w:right="28"/>
              <w:jc w:val="left"/>
            </w:pPr>
            <w:r>
              <w:t>Queensland Gas Company</w:t>
            </w:r>
          </w:p>
        </w:tc>
      </w:tr>
      <w:tr w:rsidR="0052701A" w:rsidTr="008E55B8">
        <w:tc>
          <w:tcPr>
            <w:tcW w:w="5000" w:type="pct"/>
          </w:tcPr>
          <w:p w:rsidR="0052701A" w:rsidRPr="008678C1" w:rsidRDefault="0052701A" w:rsidP="008E55B8">
            <w:pPr>
              <w:pStyle w:val="TableBodyText"/>
              <w:ind w:right="28"/>
              <w:jc w:val="left"/>
            </w:pPr>
            <w:r>
              <w:t>Queensland Murray-Darling Committee</w:t>
            </w:r>
          </w:p>
        </w:tc>
      </w:tr>
      <w:tr w:rsidR="008678C1" w:rsidTr="008E55B8">
        <w:tc>
          <w:tcPr>
            <w:tcW w:w="5000" w:type="pct"/>
          </w:tcPr>
          <w:p w:rsidR="008678C1" w:rsidRPr="008678C1" w:rsidRDefault="008678C1" w:rsidP="008E55B8">
            <w:pPr>
              <w:pStyle w:val="TableBodyText"/>
              <w:ind w:right="28"/>
              <w:jc w:val="left"/>
            </w:pPr>
            <w:r w:rsidRPr="008678C1">
              <w:t>Queensland Resources Council</w:t>
            </w:r>
          </w:p>
        </w:tc>
      </w:tr>
      <w:tr w:rsidR="008E55B8" w:rsidTr="008E55B8">
        <w:tc>
          <w:tcPr>
            <w:tcW w:w="5000" w:type="pct"/>
            <w:tcBorders>
              <w:bottom w:val="single" w:sz="6" w:space="0" w:color="auto"/>
            </w:tcBorders>
            <w:shd w:val="clear" w:color="auto" w:fill="auto"/>
          </w:tcPr>
          <w:p w:rsidR="008E55B8" w:rsidRDefault="00A82E0E" w:rsidP="008E55B8">
            <w:pPr>
              <w:pStyle w:val="TableBodyText"/>
              <w:ind w:right="28"/>
              <w:jc w:val="left"/>
            </w:pPr>
            <w:r>
              <w:t>Western Downs Regional Council</w:t>
            </w:r>
          </w:p>
        </w:tc>
      </w:tr>
    </w:tbl>
    <w:p w:rsidR="008E55B8" w:rsidRDefault="00A82E0E" w:rsidP="00A82E0E">
      <w:pPr>
        <w:pStyle w:val="Note"/>
        <w:jc w:val="right"/>
      </w:pPr>
      <w:r>
        <w:t>(Continued next page)</w:t>
      </w:r>
    </w:p>
    <w:p w:rsidR="00A82E0E" w:rsidRDefault="00A82E0E">
      <w:pPr>
        <w:pStyle w:val="TableTitle"/>
      </w:pPr>
      <w:r>
        <w:rPr>
          <w:b w:val="0"/>
        </w:rPr>
        <w:lastRenderedPageBreak/>
        <w:t xml:space="preserve">Table </w:t>
      </w:r>
      <w:proofErr w:type="spellStart"/>
      <w:r>
        <w:rPr>
          <w:b w:val="0"/>
        </w:rPr>
        <w:t>A.2</w:t>
      </w:r>
      <w:proofErr w:type="spellEnd"/>
      <w:r>
        <w:tab/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A82E0E" w:rsidTr="00A82E0E"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82E0E" w:rsidRDefault="00A82E0E" w:rsidP="00A82E0E">
            <w:pPr>
              <w:pStyle w:val="TableColumnHeading"/>
              <w:ind w:right="28"/>
              <w:jc w:val="left"/>
            </w:pPr>
            <w:r>
              <w:t>Participant</w:t>
            </w:r>
          </w:p>
        </w:tc>
      </w:tr>
      <w:tr w:rsidR="00A82E0E" w:rsidTr="00A82E0E">
        <w:tc>
          <w:tcPr>
            <w:tcW w:w="5000" w:type="pct"/>
            <w:tcBorders>
              <w:top w:val="single" w:sz="6" w:space="0" w:color="auto"/>
            </w:tcBorders>
          </w:tcPr>
          <w:p w:rsidR="00A82E0E" w:rsidRDefault="00A82E0E" w:rsidP="00CC1805">
            <w:pPr>
              <w:pStyle w:val="TableUnitsRow"/>
              <w:ind w:right="28"/>
              <w:jc w:val="left"/>
            </w:pPr>
            <w:r w:rsidRPr="008E55B8">
              <w:rPr>
                <w:b/>
              </w:rPr>
              <w:t>South Australia</w:t>
            </w:r>
          </w:p>
        </w:tc>
      </w:tr>
      <w:tr w:rsidR="00A82E0E" w:rsidTr="00A82E0E">
        <w:tc>
          <w:tcPr>
            <w:tcW w:w="5000" w:type="pct"/>
          </w:tcPr>
          <w:p w:rsidR="00A82E0E" w:rsidRPr="008678C1" w:rsidRDefault="00A82E0E" w:rsidP="001D6CF6">
            <w:pPr>
              <w:pStyle w:val="TableBodyText"/>
              <w:ind w:right="28"/>
              <w:jc w:val="left"/>
            </w:pPr>
            <w:r>
              <w:t>Department of Environment, Water and Natural Resources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 w:rsidRPr="008678C1">
              <w:t>Department of Manufacturing, Innovation, Trade, Resources and Energy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>
              <w:t>Department of Premier and Cabinet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>
              <w:t>Rex Minerals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>
              <w:t>South Australian Chamber of Mines and Energy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>
              <w:t>South Australian Native Title Services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A82E0E">
            <w:pPr>
              <w:pStyle w:val="TableBodyText"/>
              <w:ind w:right="28"/>
              <w:jc w:val="left"/>
            </w:pPr>
          </w:p>
        </w:tc>
      </w:tr>
      <w:tr w:rsidR="00A82E0E" w:rsidTr="00A82E0E">
        <w:tc>
          <w:tcPr>
            <w:tcW w:w="5000" w:type="pct"/>
          </w:tcPr>
          <w:p w:rsidR="00A82E0E" w:rsidRPr="008E55B8" w:rsidRDefault="00A82E0E" w:rsidP="001D6CF6">
            <w:pPr>
              <w:pStyle w:val="TableBodyText"/>
              <w:ind w:right="28"/>
              <w:jc w:val="left"/>
              <w:rPr>
                <w:b/>
              </w:rPr>
            </w:pPr>
            <w:r w:rsidRPr="008E55B8">
              <w:rPr>
                <w:b/>
              </w:rPr>
              <w:t>Tasmania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>
              <w:t>Department of Infrastructure, Energy and Resources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</w:p>
        </w:tc>
      </w:tr>
      <w:tr w:rsidR="00A82E0E" w:rsidTr="00A82E0E">
        <w:tc>
          <w:tcPr>
            <w:tcW w:w="5000" w:type="pct"/>
          </w:tcPr>
          <w:p w:rsidR="00A82E0E" w:rsidRPr="008E55B8" w:rsidRDefault="00A82E0E" w:rsidP="001D6CF6">
            <w:pPr>
              <w:pStyle w:val="TableBodyText"/>
              <w:ind w:right="28"/>
              <w:jc w:val="left"/>
              <w:rPr>
                <w:b/>
              </w:rPr>
            </w:pPr>
            <w:r w:rsidRPr="008E55B8">
              <w:rPr>
                <w:b/>
              </w:rPr>
              <w:t>Victoria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 w:rsidRPr="008678C1">
              <w:t>Department of Primary Industries</w:t>
            </w:r>
          </w:p>
        </w:tc>
      </w:tr>
      <w:tr w:rsidR="00A82E0E" w:rsidTr="00A82E0E">
        <w:tc>
          <w:tcPr>
            <w:tcW w:w="5000" w:type="pct"/>
          </w:tcPr>
          <w:p w:rsidR="00A82E0E" w:rsidRPr="008678C1" w:rsidRDefault="00A82E0E" w:rsidP="001D6CF6">
            <w:pPr>
              <w:pStyle w:val="TableBodyText"/>
              <w:ind w:right="28"/>
              <w:jc w:val="left"/>
            </w:pPr>
            <w:r w:rsidRPr="008678C1">
              <w:t>Department of Sustainability and Environment</w:t>
            </w:r>
          </w:p>
        </w:tc>
      </w:tr>
      <w:tr w:rsidR="00A82E0E" w:rsidTr="00A82E0E">
        <w:tc>
          <w:tcPr>
            <w:tcW w:w="5000" w:type="pct"/>
          </w:tcPr>
          <w:p w:rsidR="00A82E0E" w:rsidRPr="008678C1" w:rsidRDefault="00A82E0E" w:rsidP="001D6CF6">
            <w:pPr>
              <w:pStyle w:val="TableBodyText"/>
              <w:ind w:right="28"/>
              <w:jc w:val="left"/>
            </w:pPr>
            <w:r>
              <w:t xml:space="preserve">O’Neill, </w:t>
            </w:r>
            <w:r w:rsidRPr="008678C1">
              <w:t>Dennis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A82E0E">
            <w:pPr>
              <w:pStyle w:val="TableBodyText"/>
              <w:ind w:right="28"/>
              <w:jc w:val="left"/>
            </w:pPr>
          </w:p>
        </w:tc>
      </w:tr>
      <w:tr w:rsidR="00A82E0E" w:rsidTr="00A82E0E">
        <w:tc>
          <w:tcPr>
            <w:tcW w:w="5000" w:type="pct"/>
          </w:tcPr>
          <w:p w:rsidR="00A82E0E" w:rsidRPr="008E55B8" w:rsidRDefault="00A82E0E" w:rsidP="001D6CF6">
            <w:pPr>
              <w:pStyle w:val="TableBodyText"/>
              <w:ind w:right="28"/>
              <w:jc w:val="left"/>
              <w:rPr>
                <w:b/>
              </w:rPr>
            </w:pPr>
            <w:r w:rsidRPr="008E55B8">
              <w:rPr>
                <w:b/>
              </w:rPr>
              <w:t>Western Australia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 w:rsidRPr="008678C1">
              <w:t>Alchemy Resources Limited</w:t>
            </w:r>
          </w:p>
        </w:tc>
      </w:tr>
      <w:tr w:rsidR="00A82E0E" w:rsidTr="00A82E0E">
        <w:tc>
          <w:tcPr>
            <w:tcW w:w="5000" w:type="pct"/>
          </w:tcPr>
          <w:p w:rsidR="00A82E0E" w:rsidRPr="008678C1" w:rsidRDefault="00A82E0E" w:rsidP="001D6CF6">
            <w:pPr>
              <w:pStyle w:val="TableBodyText"/>
              <w:ind w:right="28"/>
              <w:jc w:val="left"/>
            </w:pPr>
            <w:proofErr w:type="spellStart"/>
            <w:r w:rsidRPr="008678C1">
              <w:t>Archae-Aus</w:t>
            </w:r>
            <w:proofErr w:type="spellEnd"/>
          </w:p>
        </w:tc>
      </w:tr>
      <w:tr w:rsidR="00A82E0E" w:rsidTr="00A82E0E">
        <w:tc>
          <w:tcPr>
            <w:tcW w:w="5000" w:type="pct"/>
          </w:tcPr>
          <w:p w:rsidR="00A82E0E" w:rsidRPr="008678C1" w:rsidRDefault="00A82E0E" w:rsidP="001D6CF6">
            <w:pPr>
              <w:pStyle w:val="TableBodyText"/>
              <w:ind w:right="28"/>
              <w:jc w:val="left"/>
            </w:pPr>
            <w:r w:rsidRPr="008678C1">
              <w:t>Chamber of Minerals and Energy</w:t>
            </w:r>
          </w:p>
        </w:tc>
      </w:tr>
      <w:tr w:rsidR="00A82E0E" w:rsidTr="00A82E0E">
        <w:tc>
          <w:tcPr>
            <w:tcW w:w="5000" w:type="pct"/>
          </w:tcPr>
          <w:p w:rsidR="00A82E0E" w:rsidRPr="008678C1" w:rsidRDefault="00A82E0E" w:rsidP="001D6CF6">
            <w:pPr>
              <w:pStyle w:val="TableBodyText"/>
              <w:ind w:right="28"/>
              <w:jc w:val="left"/>
            </w:pPr>
            <w:r w:rsidRPr="008678C1">
              <w:t>Conservation Council of Western Australia</w:t>
            </w:r>
          </w:p>
        </w:tc>
      </w:tr>
      <w:tr w:rsidR="00A82E0E" w:rsidTr="00A82E0E">
        <w:tc>
          <w:tcPr>
            <w:tcW w:w="5000" w:type="pct"/>
          </w:tcPr>
          <w:p w:rsidR="00A82E0E" w:rsidRPr="008678C1" w:rsidRDefault="00A82E0E" w:rsidP="001D6CF6">
            <w:pPr>
              <w:pStyle w:val="TableBodyText"/>
              <w:ind w:right="28"/>
              <w:jc w:val="left"/>
            </w:pPr>
            <w:r>
              <w:t>Department of Indigenous Affairs</w:t>
            </w:r>
          </w:p>
        </w:tc>
      </w:tr>
      <w:tr w:rsidR="00A82E0E" w:rsidTr="00A82E0E">
        <w:tc>
          <w:tcPr>
            <w:tcW w:w="5000" w:type="pct"/>
          </w:tcPr>
          <w:p w:rsidR="00A82E0E" w:rsidRPr="008678C1" w:rsidRDefault="00A82E0E" w:rsidP="001D6CF6">
            <w:pPr>
              <w:pStyle w:val="TableBodyText"/>
              <w:ind w:right="28"/>
              <w:jc w:val="left"/>
            </w:pPr>
            <w:r w:rsidRPr="008678C1">
              <w:t>Department of Mines and Petroleum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 w:rsidRPr="008678C1">
              <w:t>Department of Premier and Cabinet</w:t>
            </w:r>
          </w:p>
        </w:tc>
      </w:tr>
      <w:tr w:rsidR="00A82E0E" w:rsidTr="00A82E0E">
        <w:tc>
          <w:tcPr>
            <w:tcW w:w="5000" w:type="pct"/>
          </w:tcPr>
          <w:p w:rsidR="00A82E0E" w:rsidRPr="008678C1" w:rsidRDefault="00A82E0E" w:rsidP="001D6CF6">
            <w:pPr>
              <w:pStyle w:val="TableBodyText"/>
              <w:ind w:right="28"/>
              <w:jc w:val="left"/>
            </w:pPr>
            <w:r>
              <w:t>Finder Exploration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 w:rsidRPr="008678C1">
              <w:t>Phoenix Gold Limited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 w:rsidRPr="008678C1">
              <w:t>Western Australian Local Government Association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r>
              <w:t>Woodside Energy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  <w:proofErr w:type="spellStart"/>
            <w:r>
              <w:t>Yamatji</w:t>
            </w:r>
            <w:proofErr w:type="spellEnd"/>
            <w:r>
              <w:t xml:space="preserve"> </w:t>
            </w:r>
            <w:proofErr w:type="spellStart"/>
            <w:r>
              <w:t>Marlpa</w:t>
            </w:r>
            <w:proofErr w:type="spellEnd"/>
            <w:r>
              <w:t xml:space="preserve"> Aboriginal Corporation</w:t>
            </w:r>
          </w:p>
        </w:tc>
      </w:tr>
      <w:tr w:rsidR="00A82E0E" w:rsidTr="00A82E0E">
        <w:tc>
          <w:tcPr>
            <w:tcW w:w="5000" w:type="pct"/>
          </w:tcPr>
          <w:p w:rsidR="00A82E0E" w:rsidRDefault="00A82E0E" w:rsidP="001D6CF6">
            <w:pPr>
              <w:pStyle w:val="TableBodyText"/>
              <w:ind w:right="28"/>
              <w:jc w:val="left"/>
            </w:pPr>
          </w:p>
        </w:tc>
      </w:tr>
      <w:tr w:rsidR="00A82E0E" w:rsidRPr="00E85F7F" w:rsidTr="00E85F7F">
        <w:tc>
          <w:tcPr>
            <w:tcW w:w="5000" w:type="pct"/>
            <w:shd w:val="clear" w:color="auto" w:fill="auto"/>
          </w:tcPr>
          <w:p w:rsidR="00A82E0E" w:rsidRPr="00E85F7F" w:rsidRDefault="00CC1805" w:rsidP="001D6CF6">
            <w:pPr>
              <w:pStyle w:val="TableBodyText"/>
              <w:ind w:right="28"/>
              <w:jc w:val="left"/>
              <w:rPr>
                <w:b/>
              </w:rPr>
            </w:pPr>
            <w:r>
              <w:rPr>
                <w:b/>
              </w:rPr>
              <w:t>Canada</w:t>
            </w:r>
          </w:p>
        </w:tc>
      </w:tr>
      <w:tr w:rsidR="00A82E0E" w:rsidRPr="00E85F7F" w:rsidTr="00E85F7F">
        <w:tc>
          <w:tcPr>
            <w:tcW w:w="5000" w:type="pct"/>
            <w:shd w:val="clear" w:color="auto" w:fill="auto"/>
          </w:tcPr>
          <w:p w:rsidR="00A82E0E" w:rsidRPr="00E85F7F" w:rsidRDefault="00A85AF1" w:rsidP="00A82E0E">
            <w:pPr>
              <w:pStyle w:val="TableBodyText"/>
              <w:ind w:right="28"/>
              <w:jc w:val="left"/>
            </w:pPr>
            <w:r w:rsidRPr="00E85F7F">
              <w:t>Alberta Energy</w:t>
            </w:r>
            <w:r w:rsidR="007F7771">
              <w:t>, Government of Alberta</w:t>
            </w:r>
          </w:p>
        </w:tc>
      </w:tr>
      <w:tr w:rsidR="00A82E0E" w:rsidRPr="00E85F7F" w:rsidTr="00E85F7F">
        <w:tc>
          <w:tcPr>
            <w:tcW w:w="5000" w:type="pct"/>
            <w:shd w:val="clear" w:color="auto" w:fill="auto"/>
          </w:tcPr>
          <w:p w:rsidR="00A82E0E" w:rsidRPr="00E85F7F" w:rsidRDefault="00A85AF1" w:rsidP="007F7771">
            <w:pPr>
              <w:pStyle w:val="TableBodyText"/>
              <w:ind w:right="28"/>
              <w:jc w:val="left"/>
            </w:pPr>
            <w:r w:rsidRPr="00E85F7F">
              <w:t>A</w:t>
            </w:r>
            <w:r w:rsidR="007F7771">
              <w:t>thabasca Chipewyan First Nation</w:t>
            </w:r>
          </w:p>
        </w:tc>
      </w:tr>
      <w:tr w:rsidR="00A82E0E" w:rsidRPr="00E85F7F" w:rsidTr="00E85F7F">
        <w:tc>
          <w:tcPr>
            <w:tcW w:w="5000" w:type="pct"/>
            <w:shd w:val="clear" w:color="auto" w:fill="auto"/>
          </w:tcPr>
          <w:p w:rsidR="00A82E0E" w:rsidRPr="00E85F7F" w:rsidRDefault="00A85AF1" w:rsidP="00A82E0E">
            <w:pPr>
              <w:pStyle w:val="TableBodyText"/>
              <w:ind w:right="28"/>
              <w:jc w:val="left"/>
            </w:pPr>
            <w:r w:rsidRPr="00E85F7F">
              <w:t>Canadian Association</w:t>
            </w:r>
            <w:r w:rsidR="004E0D02" w:rsidRPr="00E85F7F">
              <w:t xml:space="preserve"> of Petroleum Producers </w:t>
            </w:r>
          </w:p>
        </w:tc>
      </w:tr>
      <w:tr w:rsidR="00A82E0E" w:rsidRPr="00E85F7F" w:rsidTr="00E85F7F">
        <w:tc>
          <w:tcPr>
            <w:tcW w:w="5000" w:type="pct"/>
            <w:shd w:val="clear" w:color="auto" w:fill="auto"/>
          </w:tcPr>
          <w:p w:rsidR="00A82E0E" w:rsidRPr="00E85F7F" w:rsidRDefault="00A85AF1" w:rsidP="00A82E0E">
            <w:pPr>
              <w:pStyle w:val="TableBodyText"/>
              <w:ind w:right="28"/>
              <w:jc w:val="left"/>
            </w:pPr>
            <w:r w:rsidRPr="00E85F7F">
              <w:t>Ca</w:t>
            </w:r>
            <w:r w:rsidR="004E0D02" w:rsidRPr="00E85F7F">
              <w:t>nadian Environmental Network</w:t>
            </w:r>
          </w:p>
        </w:tc>
      </w:tr>
      <w:tr w:rsidR="004E0D02" w:rsidRPr="00E85F7F" w:rsidTr="00E85F7F">
        <w:tc>
          <w:tcPr>
            <w:tcW w:w="5000" w:type="pct"/>
            <w:shd w:val="clear" w:color="auto" w:fill="auto"/>
          </w:tcPr>
          <w:p w:rsidR="004E0D02" w:rsidRPr="00E85F7F" w:rsidRDefault="004E0D02" w:rsidP="004E0D02">
            <w:pPr>
              <w:pStyle w:val="TableBodyText"/>
              <w:ind w:right="28"/>
              <w:jc w:val="left"/>
            </w:pPr>
            <w:r w:rsidRPr="00E85F7F">
              <w:t xml:space="preserve">Commissioner of the Environment and </w:t>
            </w:r>
            <w:r w:rsidR="007F7771">
              <w:t>Sustainable Development, Auditor General’s Office</w:t>
            </w:r>
          </w:p>
        </w:tc>
      </w:tr>
      <w:tr w:rsidR="00A82E0E" w:rsidRPr="00E85F7F" w:rsidTr="00E85F7F">
        <w:tc>
          <w:tcPr>
            <w:tcW w:w="5000" w:type="pct"/>
            <w:shd w:val="clear" w:color="auto" w:fill="auto"/>
          </w:tcPr>
          <w:p w:rsidR="00A82E0E" w:rsidRPr="00E85F7F" w:rsidRDefault="007F7771" w:rsidP="00A82E0E">
            <w:pPr>
              <w:pStyle w:val="TableBodyText"/>
              <w:ind w:right="28"/>
              <w:jc w:val="left"/>
            </w:pPr>
            <w:proofErr w:type="spellStart"/>
            <w:r>
              <w:t>Ecojustice</w:t>
            </w:r>
            <w:proofErr w:type="spellEnd"/>
          </w:p>
        </w:tc>
      </w:tr>
      <w:tr w:rsidR="00A85AF1" w:rsidRPr="00E85F7F" w:rsidTr="00E85F7F">
        <w:tc>
          <w:tcPr>
            <w:tcW w:w="5000" w:type="pct"/>
            <w:shd w:val="clear" w:color="auto" w:fill="auto"/>
          </w:tcPr>
          <w:p w:rsidR="00A85AF1" w:rsidRPr="00E85F7F" w:rsidRDefault="004E0D02" w:rsidP="00A82E0E">
            <w:pPr>
              <w:pStyle w:val="TableBodyText"/>
              <w:ind w:right="28"/>
              <w:jc w:val="left"/>
            </w:pPr>
            <w:r w:rsidRPr="00E85F7F">
              <w:t>Explorers and Producers Association of Canada</w:t>
            </w:r>
          </w:p>
        </w:tc>
      </w:tr>
      <w:tr w:rsidR="007F7771" w:rsidRPr="00E85F7F" w:rsidTr="00E85F7F">
        <w:tc>
          <w:tcPr>
            <w:tcW w:w="5000" w:type="pct"/>
            <w:shd w:val="clear" w:color="auto" w:fill="auto"/>
          </w:tcPr>
          <w:p w:rsidR="007F7771" w:rsidRPr="00E85F7F" w:rsidRDefault="007F7771" w:rsidP="00A82E0E">
            <w:pPr>
              <w:pStyle w:val="TableBodyText"/>
              <w:ind w:right="28"/>
              <w:jc w:val="left"/>
            </w:pPr>
            <w:r>
              <w:t>Fraser Institute</w:t>
            </w:r>
          </w:p>
        </w:tc>
      </w:tr>
      <w:tr w:rsidR="00A85AF1" w:rsidRPr="00E85F7F" w:rsidTr="00E85F7F">
        <w:tc>
          <w:tcPr>
            <w:tcW w:w="5000" w:type="pct"/>
            <w:shd w:val="clear" w:color="auto" w:fill="auto"/>
          </w:tcPr>
          <w:p w:rsidR="00A85AF1" w:rsidRPr="00E85F7F" w:rsidRDefault="00A85AF1" w:rsidP="00A82E0E">
            <w:pPr>
              <w:pStyle w:val="TableBodyText"/>
              <w:ind w:right="28"/>
              <w:jc w:val="left"/>
            </w:pPr>
            <w:r w:rsidRPr="00E85F7F">
              <w:t>Major Projects Management Offic</w:t>
            </w:r>
            <w:r w:rsidR="004E0D02" w:rsidRPr="00E85F7F">
              <w:t>e, Government of Canada</w:t>
            </w:r>
          </w:p>
        </w:tc>
      </w:tr>
      <w:tr w:rsidR="004E0D02" w:rsidRPr="00E85F7F" w:rsidTr="00E85F7F">
        <w:tc>
          <w:tcPr>
            <w:tcW w:w="5000" w:type="pct"/>
            <w:shd w:val="clear" w:color="auto" w:fill="auto"/>
          </w:tcPr>
          <w:p w:rsidR="004E0D02" w:rsidRPr="00E85F7F" w:rsidRDefault="004E0D02" w:rsidP="00A82E0E">
            <w:pPr>
              <w:pStyle w:val="TableBodyText"/>
              <w:ind w:right="28"/>
              <w:jc w:val="left"/>
            </w:pPr>
            <w:r w:rsidRPr="00E85F7F">
              <w:t>Mining Association of Canada</w:t>
            </w:r>
          </w:p>
        </w:tc>
      </w:tr>
      <w:tr w:rsidR="004E0D02" w:rsidRPr="00E85F7F" w:rsidTr="00E85F7F">
        <w:tc>
          <w:tcPr>
            <w:tcW w:w="5000" w:type="pct"/>
            <w:shd w:val="clear" w:color="auto" w:fill="auto"/>
          </w:tcPr>
          <w:p w:rsidR="004E0D02" w:rsidRPr="00E85F7F" w:rsidRDefault="007F7771" w:rsidP="00A82E0E">
            <w:pPr>
              <w:pStyle w:val="TableBodyText"/>
              <w:ind w:right="28"/>
              <w:jc w:val="left"/>
            </w:pPr>
            <w:r>
              <w:t>Natural Resources Canada</w:t>
            </w:r>
          </w:p>
        </w:tc>
      </w:tr>
      <w:tr w:rsidR="004E0D02" w:rsidRPr="00E85F7F" w:rsidTr="00E85F7F">
        <w:tc>
          <w:tcPr>
            <w:tcW w:w="5000" w:type="pct"/>
            <w:shd w:val="clear" w:color="auto" w:fill="auto"/>
          </w:tcPr>
          <w:p w:rsidR="004E0D02" w:rsidRPr="00E85F7F" w:rsidRDefault="007F7771" w:rsidP="00A82E0E">
            <w:pPr>
              <w:pStyle w:val="TableBodyText"/>
              <w:ind w:right="28"/>
              <w:jc w:val="left"/>
            </w:pPr>
            <w:proofErr w:type="spellStart"/>
            <w:r>
              <w:t>Pembina</w:t>
            </w:r>
            <w:proofErr w:type="spellEnd"/>
            <w:r>
              <w:t xml:space="preserve"> Institute</w:t>
            </w:r>
          </w:p>
        </w:tc>
      </w:tr>
      <w:tr w:rsidR="00A85AF1" w:rsidTr="00E85F7F">
        <w:tc>
          <w:tcPr>
            <w:tcW w:w="5000" w:type="pct"/>
            <w:tcBorders>
              <w:bottom w:val="single" w:sz="6" w:space="0" w:color="auto"/>
            </w:tcBorders>
            <w:shd w:val="clear" w:color="auto" w:fill="auto"/>
          </w:tcPr>
          <w:p w:rsidR="00A85AF1" w:rsidRDefault="007F7771" w:rsidP="00A82E0E">
            <w:pPr>
              <w:pStyle w:val="TableBodyText"/>
              <w:ind w:right="28"/>
              <w:jc w:val="left"/>
            </w:pPr>
            <w:r>
              <w:t>Sierra Club</w:t>
            </w:r>
          </w:p>
        </w:tc>
      </w:tr>
    </w:tbl>
    <w:p w:rsidR="007F7771" w:rsidRDefault="007F7771" w:rsidP="007F7771">
      <w:pPr>
        <w:pStyle w:val="Note"/>
        <w:jc w:val="right"/>
      </w:pPr>
      <w:r>
        <w:t>(Continued next page)</w:t>
      </w:r>
    </w:p>
    <w:p w:rsidR="007F7771" w:rsidRDefault="007F7771" w:rsidP="007F7771">
      <w:pPr>
        <w:pStyle w:val="TableTitle"/>
      </w:pPr>
      <w:r>
        <w:rPr>
          <w:b w:val="0"/>
        </w:rPr>
        <w:lastRenderedPageBreak/>
        <w:t xml:space="preserve">Table </w:t>
      </w:r>
      <w:proofErr w:type="spellStart"/>
      <w:r>
        <w:rPr>
          <w:b w:val="0"/>
        </w:rPr>
        <w:t>A.2</w:t>
      </w:r>
      <w:proofErr w:type="spellEnd"/>
      <w:r>
        <w:tab/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CC1805" w:rsidTr="00CC1805"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C1805" w:rsidRDefault="00CC1805" w:rsidP="00CC1805">
            <w:pPr>
              <w:pStyle w:val="TableColumnHeading"/>
              <w:jc w:val="left"/>
            </w:pPr>
            <w:r>
              <w:t>Participant</w:t>
            </w:r>
          </w:p>
        </w:tc>
      </w:tr>
      <w:tr w:rsidR="00CC1805" w:rsidTr="00CC1805">
        <w:tc>
          <w:tcPr>
            <w:tcW w:w="5000" w:type="pct"/>
            <w:tcBorders>
              <w:top w:val="single" w:sz="6" w:space="0" w:color="auto"/>
            </w:tcBorders>
          </w:tcPr>
          <w:p w:rsidR="00CC1805" w:rsidRPr="00CC1805" w:rsidRDefault="00CC1805" w:rsidP="00CC1805">
            <w:pPr>
              <w:pStyle w:val="TableUnitsRow"/>
              <w:jc w:val="left"/>
              <w:rPr>
                <w:b/>
              </w:rPr>
            </w:pPr>
            <w:r w:rsidRPr="00CC1805">
              <w:rPr>
                <w:b/>
              </w:rPr>
              <w:t>United State of America</w:t>
            </w:r>
          </w:p>
        </w:tc>
      </w:tr>
      <w:tr w:rsidR="00CC1805" w:rsidTr="00CC1805">
        <w:tc>
          <w:tcPr>
            <w:tcW w:w="5000" w:type="pct"/>
          </w:tcPr>
          <w:p w:rsidR="00CC1805" w:rsidRDefault="00CC1805" w:rsidP="00CC1805">
            <w:pPr>
              <w:pStyle w:val="TableBodyText"/>
              <w:jc w:val="left"/>
            </w:pPr>
            <w:r>
              <w:t>National Mining Association</w:t>
            </w:r>
          </w:p>
        </w:tc>
      </w:tr>
      <w:tr w:rsidR="00CC1805" w:rsidTr="00CC1805">
        <w:tc>
          <w:tcPr>
            <w:tcW w:w="5000" w:type="pct"/>
            <w:shd w:val="clear" w:color="auto" w:fill="auto"/>
          </w:tcPr>
          <w:p w:rsidR="00CC1805" w:rsidRDefault="00CC1805" w:rsidP="00CC1805">
            <w:pPr>
              <w:pStyle w:val="TableBodyText"/>
              <w:jc w:val="left"/>
            </w:pPr>
            <w:r>
              <w:t>Department of the Interior</w:t>
            </w:r>
          </w:p>
        </w:tc>
      </w:tr>
      <w:tr w:rsidR="00CC1805" w:rsidTr="00CC1805">
        <w:tc>
          <w:tcPr>
            <w:tcW w:w="5000" w:type="pct"/>
            <w:tcBorders>
              <w:bottom w:val="single" w:sz="6" w:space="0" w:color="auto"/>
            </w:tcBorders>
            <w:shd w:val="clear" w:color="auto" w:fill="auto"/>
          </w:tcPr>
          <w:p w:rsidR="00CC1805" w:rsidRDefault="007F7771" w:rsidP="00CC1805">
            <w:pPr>
              <w:pStyle w:val="TableBodyText"/>
              <w:jc w:val="left"/>
            </w:pPr>
            <w:r>
              <w:t>White House Council on Environmental Quality</w:t>
            </w:r>
          </w:p>
        </w:tc>
      </w:tr>
    </w:tbl>
    <w:p w:rsidR="00CC1805" w:rsidRPr="008678C1" w:rsidRDefault="00CC1805" w:rsidP="008678C1">
      <w:pPr>
        <w:rPr>
          <w:szCs w:val="20"/>
        </w:rPr>
      </w:pPr>
    </w:p>
    <w:sectPr w:rsidR="00CC1805" w:rsidRPr="008678C1" w:rsidSect="00EC21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985" w:right="1304" w:bottom="1418" w:left="1814" w:header="1701" w:footer="567" w:gutter="0"/>
      <w:pgNumType w:start="241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805" w:rsidRDefault="00CC1805">
      <w:r>
        <w:separator/>
      </w:r>
    </w:p>
  </w:endnote>
  <w:endnote w:type="continuationSeparator" w:id="0">
    <w:p w:rsidR="00CC1805" w:rsidRDefault="00CC1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CC180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CC1805" w:rsidRDefault="00CC1805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C2F7C">
            <w:rPr>
              <w:rStyle w:val="PageNumber"/>
              <w:noProof/>
            </w:rPr>
            <w:t>244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CC1805" w:rsidRDefault="005C2F7C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EC21B4">
            <w:t>Resource Exploration</w:t>
          </w:r>
          <w:r>
            <w:fldChar w:fldCharType="end"/>
          </w:r>
        </w:p>
      </w:tc>
      <w:tc>
        <w:tcPr>
          <w:tcW w:w="6634" w:type="dxa"/>
        </w:tcPr>
        <w:p w:rsidR="00CC1805" w:rsidRDefault="00CC1805" w:rsidP="0019293B">
          <w:pPr>
            <w:pStyle w:val="Footer"/>
          </w:pPr>
        </w:p>
      </w:tc>
    </w:tr>
  </w:tbl>
  <w:p w:rsidR="00CC1805" w:rsidRDefault="00CC180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CC1805">
      <w:trPr>
        <w:trHeight w:hRule="exact" w:val="740"/>
      </w:trPr>
      <w:tc>
        <w:tcPr>
          <w:tcW w:w="6634" w:type="dxa"/>
        </w:tcPr>
        <w:p w:rsidR="00CC1805" w:rsidRDefault="00CC180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CC1805" w:rsidRDefault="005C2F7C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EC21B4">
            <w:t>Conduct of the inquiry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CC1805" w:rsidRDefault="00CC180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C2F7C">
            <w:rPr>
              <w:rStyle w:val="PageNumber"/>
              <w:noProof/>
            </w:rPr>
            <w:t>241</w:t>
          </w:r>
          <w:r>
            <w:rPr>
              <w:rStyle w:val="PageNumber"/>
            </w:rPr>
            <w:fldChar w:fldCharType="end"/>
          </w:r>
        </w:p>
      </w:tc>
    </w:tr>
  </w:tbl>
  <w:p w:rsidR="00CC1805" w:rsidRDefault="00CC1805">
    <w:pPr>
      <w:pStyle w:val="FooterEn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7C" w:rsidRDefault="005C2F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805" w:rsidRDefault="00CC1805">
      <w:r>
        <w:separator/>
      </w:r>
    </w:p>
  </w:footnote>
  <w:footnote w:type="continuationSeparator" w:id="0">
    <w:p w:rsidR="00CC1805" w:rsidRDefault="00CC1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CC1805">
      <w:tc>
        <w:tcPr>
          <w:tcW w:w="2155" w:type="dxa"/>
          <w:tcBorders>
            <w:top w:val="single" w:sz="24" w:space="0" w:color="auto"/>
          </w:tcBorders>
        </w:tcPr>
        <w:p w:rsidR="00CC1805" w:rsidRDefault="005C2F7C" w:rsidP="0019293B">
          <w:pPr>
            <w:pStyle w:val="HeaderEven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4662410" o:spid="_x0000_s28674" type="#_x0000_t136" style="position:absolute;margin-left:0;margin-top:0;width:442.55pt;height:177pt;rotation:315;z-index:-25165516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1pt" string="DRAFT"/>
              </v:shape>
            </w:pict>
          </w:r>
        </w:p>
      </w:tc>
      <w:tc>
        <w:tcPr>
          <w:tcW w:w="6634" w:type="dxa"/>
          <w:tcBorders>
            <w:top w:val="single" w:sz="6" w:space="0" w:color="auto"/>
          </w:tcBorders>
        </w:tcPr>
        <w:p w:rsidR="00CC1805" w:rsidRDefault="005C2F7C" w:rsidP="0019293B">
          <w:pPr>
            <w:pStyle w:val="HeaderEven"/>
          </w:pPr>
          <w:r>
            <w:rPr>
              <w:color w:val="FF0000"/>
              <w:sz w:val="14"/>
              <w:szCs w:val="14"/>
            </w:rPr>
            <w:t>draft report: For final outcomes of this project refer to the inquiry report.</w:t>
          </w:r>
        </w:p>
      </w:tc>
    </w:tr>
  </w:tbl>
  <w:p w:rsidR="00CC1805" w:rsidRDefault="00CC180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CC1805">
      <w:tc>
        <w:tcPr>
          <w:tcW w:w="6634" w:type="dxa"/>
          <w:tcBorders>
            <w:top w:val="single" w:sz="6" w:space="0" w:color="auto"/>
          </w:tcBorders>
        </w:tcPr>
        <w:p w:rsidR="00CC1805" w:rsidRDefault="005C2F7C" w:rsidP="00E669E2">
          <w:pPr>
            <w:pStyle w:val="HeaderOdd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4662411" o:spid="_x0000_s28675" type="#_x0000_t136" style="position:absolute;margin-left:0;margin-top:0;width:442.55pt;height:177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Arial&quot;;font-size:1pt" string="DRAFT"/>
              </v:shape>
            </w:pict>
          </w:r>
          <w:r>
            <w:rPr>
              <w:color w:val="FF0000"/>
              <w:sz w:val="14"/>
              <w:szCs w:val="14"/>
            </w:rPr>
            <w:t>draft report: For final outcomes of this project refer to the inquiry report.</w:t>
          </w:r>
        </w:p>
      </w:tc>
      <w:tc>
        <w:tcPr>
          <w:tcW w:w="2155" w:type="dxa"/>
          <w:tcBorders>
            <w:top w:val="single" w:sz="24" w:space="0" w:color="auto"/>
          </w:tcBorders>
        </w:tcPr>
        <w:p w:rsidR="00CC1805" w:rsidRDefault="00CC1805" w:rsidP="00E669E2">
          <w:pPr>
            <w:pStyle w:val="HeaderOdd"/>
          </w:pPr>
        </w:p>
      </w:tc>
    </w:tr>
  </w:tbl>
  <w:p w:rsidR="00CC1805" w:rsidRDefault="00CC1805" w:rsidP="00E669E2">
    <w:pPr>
      <w:pStyle w:val="HeaderEn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7C" w:rsidRDefault="005C2F7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62409" o:spid="_x0000_s28673" type="#_x0000_t136" style="position:absolute;margin-left:0;margin-top:0;width:442.55pt;height:17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0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1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5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6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7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28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9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1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3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4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5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6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7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1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0"/>
  </w:num>
  <w:num w:numId="3">
    <w:abstractNumId w:val="39"/>
  </w:num>
  <w:num w:numId="4">
    <w:abstractNumId w:val="7"/>
  </w:num>
  <w:num w:numId="5">
    <w:abstractNumId w:val="5"/>
  </w:num>
  <w:num w:numId="6">
    <w:abstractNumId w:val="23"/>
  </w:num>
  <w:num w:numId="7">
    <w:abstractNumId w:val="3"/>
  </w:num>
  <w:num w:numId="8">
    <w:abstractNumId w:val="9"/>
  </w:num>
  <w:num w:numId="9">
    <w:abstractNumId w:val="2"/>
  </w:num>
  <w:num w:numId="10">
    <w:abstractNumId w:val="34"/>
  </w:num>
  <w:num w:numId="11">
    <w:abstractNumId w:val="4"/>
  </w:num>
  <w:num w:numId="12">
    <w:abstractNumId w:val="1"/>
  </w:num>
  <w:num w:numId="13">
    <w:abstractNumId w:val="0"/>
  </w:num>
  <w:num w:numId="14">
    <w:abstractNumId w:val="26"/>
  </w:num>
  <w:num w:numId="15">
    <w:abstractNumId w:val="40"/>
  </w:num>
  <w:num w:numId="16">
    <w:abstractNumId w:val="17"/>
  </w:num>
  <w:num w:numId="17">
    <w:abstractNumId w:val="16"/>
  </w:num>
  <w:num w:numId="18">
    <w:abstractNumId w:val="24"/>
  </w:num>
  <w:num w:numId="19">
    <w:abstractNumId w:val="12"/>
  </w:num>
  <w:num w:numId="20">
    <w:abstractNumId w:val="31"/>
  </w:num>
  <w:num w:numId="21">
    <w:abstractNumId w:val="33"/>
  </w:num>
  <w:num w:numId="22">
    <w:abstractNumId w:val="22"/>
  </w:num>
  <w:num w:numId="23">
    <w:abstractNumId w:val="25"/>
  </w:num>
  <w:num w:numId="24">
    <w:abstractNumId w:val="27"/>
  </w:num>
  <w:num w:numId="25">
    <w:abstractNumId w:val="38"/>
  </w:num>
  <w:num w:numId="26">
    <w:abstractNumId w:val="30"/>
  </w:num>
  <w:num w:numId="27">
    <w:abstractNumId w:val="35"/>
  </w:num>
  <w:num w:numId="28">
    <w:abstractNumId w:val="36"/>
  </w:num>
  <w:num w:numId="29">
    <w:abstractNumId w:val="28"/>
  </w:num>
  <w:num w:numId="30">
    <w:abstractNumId w:val="20"/>
  </w:num>
  <w:num w:numId="31">
    <w:abstractNumId w:val="41"/>
  </w:num>
  <w:num w:numId="32">
    <w:abstractNumId w:val="15"/>
  </w:num>
  <w:num w:numId="33">
    <w:abstractNumId w:val="8"/>
  </w:num>
  <w:num w:numId="34">
    <w:abstractNumId w:val="18"/>
  </w:num>
  <w:num w:numId="35">
    <w:abstractNumId w:val="37"/>
  </w:num>
  <w:num w:numId="36">
    <w:abstractNumId w:val="29"/>
  </w:num>
  <w:num w:numId="37">
    <w:abstractNumId w:val="13"/>
  </w:num>
  <w:num w:numId="38">
    <w:abstractNumId w:val="32"/>
  </w:num>
  <w:num w:numId="39">
    <w:abstractNumId w:val="14"/>
  </w:num>
  <w:num w:numId="40">
    <w:abstractNumId w:val="17"/>
  </w:num>
  <w:num w:numId="41">
    <w:abstractNumId w:val="9"/>
  </w:num>
  <w:num w:numId="42">
    <w:abstractNumId w:val="21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8676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Conduct of the inquiry"/>
    <w:docVar w:name="ShortReportTitle" w:val="Resource Exploration"/>
  </w:docVars>
  <w:rsids>
    <w:rsidRoot w:val="00F517BD"/>
    <w:rsid w:val="000245AA"/>
    <w:rsid w:val="0003664B"/>
    <w:rsid w:val="0004111F"/>
    <w:rsid w:val="000565B3"/>
    <w:rsid w:val="0007150B"/>
    <w:rsid w:val="000938F5"/>
    <w:rsid w:val="000B601B"/>
    <w:rsid w:val="000C207E"/>
    <w:rsid w:val="00110116"/>
    <w:rsid w:val="00126EB8"/>
    <w:rsid w:val="001274D4"/>
    <w:rsid w:val="001363AA"/>
    <w:rsid w:val="00183E82"/>
    <w:rsid w:val="00191AE0"/>
    <w:rsid w:val="0019293B"/>
    <w:rsid w:val="001C0865"/>
    <w:rsid w:val="001C3ABA"/>
    <w:rsid w:val="001D6CF6"/>
    <w:rsid w:val="001E7BE8"/>
    <w:rsid w:val="001F0248"/>
    <w:rsid w:val="001F3EB3"/>
    <w:rsid w:val="00202C2C"/>
    <w:rsid w:val="002173A8"/>
    <w:rsid w:val="00242279"/>
    <w:rsid w:val="00245C82"/>
    <w:rsid w:val="00291B40"/>
    <w:rsid w:val="002B4008"/>
    <w:rsid w:val="002D0E8E"/>
    <w:rsid w:val="002D196C"/>
    <w:rsid w:val="002E6BC4"/>
    <w:rsid w:val="00301189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919F9"/>
    <w:rsid w:val="003A30AB"/>
    <w:rsid w:val="003C38B5"/>
    <w:rsid w:val="003C5D99"/>
    <w:rsid w:val="003E2F59"/>
    <w:rsid w:val="003F0789"/>
    <w:rsid w:val="00401882"/>
    <w:rsid w:val="004100C8"/>
    <w:rsid w:val="00411DBD"/>
    <w:rsid w:val="00412ACE"/>
    <w:rsid w:val="00431249"/>
    <w:rsid w:val="00434C19"/>
    <w:rsid w:val="00450810"/>
    <w:rsid w:val="00454565"/>
    <w:rsid w:val="0046683C"/>
    <w:rsid w:val="00477144"/>
    <w:rsid w:val="00487E31"/>
    <w:rsid w:val="0049459F"/>
    <w:rsid w:val="004A38DD"/>
    <w:rsid w:val="004B43AE"/>
    <w:rsid w:val="004C30ED"/>
    <w:rsid w:val="004D5675"/>
    <w:rsid w:val="004E0D02"/>
    <w:rsid w:val="004E2604"/>
    <w:rsid w:val="00513E4E"/>
    <w:rsid w:val="0052066F"/>
    <w:rsid w:val="00523639"/>
    <w:rsid w:val="0052701A"/>
    <w:rsid w:val="00583C39"/>
    <w:rsid w:val="005909CF"/>
    <w:rsid w:val="00591E71"/>
    <w:rsid w:val="005A0D41"/>
    <w:rsid w:val="005C02CD"/>
    <w:rsid w:val="005C2F7C"/>
    <w:rsid w:val="00607BF1"/>
    <w:rsid w:val="00630D4D"/>
    <w:rsid w:val="00632A74"/>
    <w:rsid w:val="00682552"/>
    <w:rsid w:val="006A4655"/>
    <w:rsid w:val="006B2B3C"/>
    <w:rsid w:val="006C1D81"/>
    <w:rsid w:val="006C7038"/>
    <w:rsid w:val="006E6D00"/>
    <w:rsid w:val="006E73EF"/>
    <w:rsid w:val="00714D4D"/>
    <w:rsid w:val="007604BB"/>
    <w:rsid w:val="007656F4"/>
    <w:rsid w:val="00785232"/>
    <w:rsid w:val="007A21EB"/>
    <w:rsid w:val="007B1A93"/>
    <w:rsid w:val="007C2EE5"/>
    <w:rsid w:val="007C36C9"/>
    <w:rsid w:val="007D6401"/>
    <w:rsid w:val="007E01E4"/>
    <w:rsid w:val="007F7107"/>
    <w:rsid w:val="007F7771"/>
    <w:rsid w:val="0081030F"/>
    <w:rsid w:val="0082087D"/>
    <w:rsid w:val="00842933"/>
    <w:rsid w:val="0086082C"/>
    <w:rsid w:val="00864ADC"/>
    <w:rsid w:val="008678C1"/>
    <w:rsid w:val="00880153"/>
    <w:rsid w:val="00880F97"/>
    <w:rsid w:val="0088133A"/>
    <w:rsid w:val="0089285E"/>
    <w:rsid w:val="0089436C"/>
    <w:rsid w:val="008D365C"/>
    <w:rsid w:val="008E55B8"/>
    <w:rsid w:val="009030BF"/>
    <w:rsid w:val="0091032F"/>
    <w:rsid w:val="00914368"/>
    <w:rsid w:val="00931076"/>
    <w:rsid w:val="009345D9"/>
    <w:rsid w:val="00934B15"/>
    <w:rsid w:val="00942B62"/>
    <w:rsid w:val="00950052"/>
    <w:rsid w:val="00956A0C"/>
    <w:rsid w:val="00956BD9"/>
    <w:rsid w:val="00962489"/>
    <w:rsid w:val="00985DBE"/>
    <w:rsid w:val="00990C2C"/>
    <w:rsid w:val="0099279D"/>
    <w:rsid w:val="009F0355"/>
    <w:rsid w:val="009F696D"/>
    <w:rsid w:val="009F6BC6"/>
    <w:rsid w:val="00A17328"/>
    <w:rsid w:val="00A23A20"/>
    <w:rsid w:val="00A268B9"/>
    <w:rsid w:val="00A2703A"/>
    <w:rsid w:val="00A33DFF"/>
    <w:rsid w:val="00A35115"/>
    <w:rsid w:val="00A5236D"/>
    <w:rsid w:val="00A554AB"/>
    <w:rsid w:val="00A82E0E"/>
    <w:rsid w:val="00A85AF1"/>
    <w:rsid w:val="00A92B53"/>
    <w:rsid w:val="00A94FA6"/>
    <w:rsid w:val="00AA49A0"/>
    <w:rsid w:val="00AA6710"/>
    <w:rsid w:val="00AB0681"/>
    <w:rsid w:val="00AD520B"/>
    <w:rsid w:val="00B02310"/>
    <w:rsid w:val="00B440AD"/>
    <w:rsid w:val="00B53E7E"/>
    <w:rsid w:val="00B6342E"/>
    <w:rsid w:val="00B7113F"/>
    <w:rsid w:val="00BA73B6"/>
    <w:rsid w:val="00BB2603"/>
    <w:rsid w:val="00BB4FCD"/>
    <w:rsid w:val="00BD13EA"/>
    <w:rsid w:val="00BE3808"/>
    <w:rsid w:val="00BF6457"/>
    <w:rsid w:val="00C062E9"/>
    <w:rsid w:val="00C07B64"/>
    <w:rsid w:val="00C13721"/>
    <w:rsid w:val="00C3066D"/>
    <w:rsid w:val="00C543F4"/>
    <w:rsid w:val="00C6291C"/>
    <w:rsid w:val="00C633CB"/>
    <w:rsid w:val="00C8762C"/>
    <w:rsid w:val="00CA00F9"/>
    <w:rsid w:val="00CA2961"/>
    <w:rsid w:val="00CB50D7"/>
    <w:rsid w:val="00CB7177"/>
    <w:rsid w:val="00CC1805"/>
    <w:rsid w:val="00CC1998"/>
    <w:rsid w:val="00CC4946"/>
    <w:rsid w:val="00CE5852"/>
    <w:rsid w:val="00CF0C49"/>
    <w:rsid w:val="00D270A4"/>
    <w:rsid w:val="00D31FE9"/>
    <w:rsid w:val="00D34E1B"/>
    <w:rsid w:val="00D376BA"/>
    <w:rsid w:val="00D5568A"/>
    <w:rsid w:val="00D63D73"/>
    <w:rsid w:val="00D64E5E"/>
    <w:rsid w:val="00D66E1E"/>
    <w:rsid w:val="00D75722"/>
    <w:rsid w:val="00DA5BBA"/>
    <w:rsid w:val="00DB67C9"/>
    <w:rsid w:val="00DC0C95"/>
    <w:rsid w:val="00DD6580"/>
    <w:rsid w:val="00E15486"/>
    <w:rsid w:val="00E17C72"/>
    <w:rsid w:val="00E21FC6"/>
    <w:rsid w:val="00E431A9"/>
    <w:rsid w:val="00E43CD9"/>
    <w:rsid w:val="00E669E2"/>
    <w:rsid w:val="00E73556"/>
    <w:rsid w:val="00E76135"/>
    <w:rsid w:val="00E85F7F"/>
    <w:rsid w:val="00EC21B4"/>
    <w:rsid w:val="00EC2844"/>
    <w:rsid w:val="00EF6C6C"/>
    <w:rsid w:val="00F056FC"/>
    <w:rsid w:val="00F10476"/>
    <w:rsid w:val="00F135D8"/>
    <w:rsid w:val="00F31299"/>
    <w:rsid w:val="00F3534A"/>
    <w:rsid w:val="00F517BD"/>
    <w:rsid w:val="00F85325"/>
    <w:rsid w:val="00FD22B1"/>
    <w:rsid w:val="00FE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DA5BBA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Normal"/>
    <w:rsid w:val="00A17328"/>
    <w:pPr>
      <w:spacing w:before="120" w:after="0"/>
      <w:ind w:left="1304" w:hanging="1304"/>
    </w:p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semiHidden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A17328"/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A173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A17328"/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DA5BBA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Normal"/>
    <w:rsid w:val="00A17328"/>
    <w:pPr>
      <w:spacing w:before="120" w:after="0"/>
      <w:ind w:left="1304" w:hanging="1304"/>
    </w:p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semiHidden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A17328"/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A173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A17328"/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1AF77-8B86-48D9-8FDB-366D5DD2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2</TotalTime>
  <Pages>5</Pages>
  <Words>683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Conduct of the inquiry</vt:lpstr>
    </vt:vector>
  </TitlesOfParts>
  <Company>Productivity Commission</Company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Conduct of the inquiry</dc:title>
  <dc:subject>Resource Exploration</dc:subject>
  <dc:creator>Productivity Commission</dc:creator>
  <dc:description>A.</dc:description>
  <cp:lastModifiedBy>Productivity Commission</cp:lastModifiedBy>
  <cp:revision>3</cp:revision>
  <cp:lastPrinted>2011-08-17T06:31:00Z</cp:lastPrinted>
  <dcterms:created xsi:type="dcterms:W3CDTF">2013-05-29T02:42:00Z</dcterms:created>
  <dcterms:modified xsi:type="dcterms:W3CDTF">2015-05-08T02:22:00Z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-2100190807</vt:i4>
  </property>
  <property fmtid="{D5CDD505-2E9C-101B-9397-08002B2CF9AE}" pid="3" name="_NewReviewCycle">
    <vt:lpwstr/>
  </property>
  <property fmtid="{D5CDD505-2E9C-101B-9397-08002B2CF9AE}" pid="4" name="_EmailSubject">
    <vt:lpwstr>web files - minerals draft report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  <property fmtid="{D5CDD505-2E9C-101B-9397-08002B2CF9AE}" pid="7" name="_ReviewingToolsShownOnce">
    <vt:lpwstr/>
  </property>
</Properties>
</file>