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71AD4" w:rsidP="00B86B58">
      <w:pPr>
        <w:pStyle w:val="Heading1"/>
        <w:spacing w:before="0"/>
      </w:pPr>
      <w:bookmarkStart w:id="0" w:name="_References"/>
      <w:bookmarkStart w:id="1" w:name="ChapterTitle"/>
      <w:bookmarkEnd w:id="0"/>
      <w:r>
        <w:t>References</w:t>
      </w:r>
      <w:bookmarkEnd w:id="1"/>
    </w:p>
    <w:p w:rsidR="00083F40" w:rsidRDefault="00083F40" w:rsidP="00900368">
      <w:pPr>
        <w:pStyle w:val="Reference"/>
      </w:pPr>
      <w:bookmarkStart w:id="2" w:name="begin"/>
      <w:bookmarkEnd w:id="2"/>
      <w:proofErr w:type="spellStart"/>
      <w:r>
        <w:t>AAPA</w:t>
      </w:r>
      <w:proofErr w:type="spellEnd"/>
      <w:r>
        <w:t xml:space="preserve"> (Aboriginal Areas Protection Authority) 2012, ‘Fact Sheets’, </w:t>
      </w:r>
      <w:r w:rsidRPr="00083F40">
        <w:t>http://</w:t>
      </w:r>
      <w:proofErr w:type="spellStart"/>
      <w:r w:rsidRPr="00083F40">
        <w:t>www.aapant.org.au</w:t>
      </w:r>
      <w:proofErr w:type="spellEnd"/>
      <w:r w:rsidRPr="00083F40">
        <w:t>/fact-</w:t>
      </w:r>
      <w:proofErr w:type="spellStart"/>
      <w:r w:rsidRPr="00083F40">
        <w:t>sheets.html</w:t>
      </w:r>
      <w:proofErr w:type="spellEnd"/>
      <w:r>
        <w:t xml:space="preserve"> (accessed 16 May 2013).</w:t>
      </w:r>
    </w:p>
    <w:p w:rsidR="00900368" w:rsidRPr="006D1C84" w:rsidRDefault="00900368" w:rsidP="00900368">
      <w:pPr>
        <w:pStyle w:val="Reference"/>
      </w:pPr>
      <w:r>
        <w:t xml:space="preserve">Aboriginal Heritage Council 2013, ‘Aboriginal Heritage Council (interim)’, </w:t>
      </w:r>
      <w:r w:rsidRPr="00900368">
        <w:t>http://www.aboriginalheritage.tas.gov.au/interim-aboriginal-heritage-council</w:t>
      </w:r>
      <w:r>
        <w:t xml:space="preserve"> (accessed 16 May 2013)</w:t>
      </w:r>
    </w:p>
    <w:p w:rsidR="00DD4BFB" w:rsidRDefault="00DD4BFB" w:rsidP="005A0E9C">
      <w:pPr>
        <w:pStyle w:val="Reference"/>
      </w:pPr>
      <w:r w:rsidRPr="00DD4BFB">
        <w:t>Aboriginal Heritage Tasmania 2012</w:t>
      </w:r>
      <w:r>
        <w:t>,</w:t>
      </w:r>
      <w:r w:rsidRPr="00DD4BFB">
        <w:t xml:space="preserve"> ‘About Aboriginal Heritage, Frequently Asked Questions</w:t>
      </w:r>
      <w:r w:rsidR="00756F45">
        <w:t>’</w:t>
      </w:r>
      <w:r w:rsidRPr="00DD4BFB">
        <w:t>, http://www.aboriginalheritage.tas.gov.au/frequently-asked-questions (accessed 16 May 2013)</w:t>
      </w:r>
      <w:r w:rsidR="00900368">
        <w:t>.</w:t>
      </w:r>
    </w:p>
    <w:p w:rsidR="005A0E9C" w:rsidRPr="003561CB" w:rsidRDefault="005A0E9C" w:rsidP="005A0E9C">
      <w:pPr>
        <w:pStyle w:val="Reference"/>
      </w:pPr>
      <w:r>
        <w:t>ABS 2008,</w:t>
      </w:r>
      <w:r w:rsidR="00E23DAC">
        <w:t> </w:t>
      </w:r>
      <w:r>
        <w:rPr>
          <w:i/>
        </w:rPr>
        <w:t>Australian and New Zealand standard industrial classification (</w:t>
      </w:r>
      <w:proofErr w:type="spellStart"/>
      <w:r>
        <w:rPr>
          <w:i/>
        </w:rPr>
        <w:t>ANZSIC</w:t>
      </w:r>
      <w:proofErr w:type="spellEnd"/>
      <w:r>
        <w:rPr>
          <w:i/>
        </w:rPr>
        <w:t>), 2006 (Revision 1.0)</w:t>
      </w:r>
      <w:r>
        <w:t>, Cat no. 1292.0.</w:t>
      </w:r>
    </w:p>
    <w:p w:rsidR="005A0E9C" w:rsidRPr="003561CB" w:rsidRDefault="005A0E9C" w:rsidP="005A0E9C">
      <w:pPr>
        <w:pStyle w:val="Reference"/>
      </w:pPr>
      <w:r>
        <w:t>—— 2011,</w:t>
      </w:r>
      <w:r w:rsidR="00E23DAC">
        <w:t> </w:t>
      </w:r>
      <w:r>
        <w:rPr>
          <w:i/>
        </w:rPr>
        <w:t>Year book 2009</w:t>
      </w:r>
      <w:r>
        <w:rPr>
          <w:i/>
        </w:rPr>
        <w:noBreakHyphen/>
        <w:t>10</w:t>
      </w:r>
      <w:r>
        <w:t>, Cat no. 1301.0.</w:t>
      </w:r>
    </w:p>
    <w:p w:rsidR="005A0E9C" w:rsidRPr="003561CB" w:rsidRDefault="005A0E9C" w:rsidP="005A0E9C">
      <w:pPr>
        <w:pStyle w:val="Reference"/>
      </w:pPr>
      <w:r>
        <w:t>—— </w:t>
      </w:r>
      <w:proofErr w:type="spellStart"/>
      <w:r>
        <w:t>2012a</w:t>
      </w:r>
      <w:proofErr w:type="spellEnd"/>
      <w:r>
        <w:t>,</w:t>
      </w:r>
      <w:r w:rsidR="00E23DAC">
        <w:t> </w:t>
      </w:r>
      <w:r>
        <w:rPr>
          <w:i/>
        </w:rPr>
        <w:t>Mineral and petroleum exploration expenditure</w:t>
      </w:r>
      <w:r>
        <w:t>, Cat no. 8412.0.</w:t>
      </w:r>
    </w:p>
    <w:p w:rsidR="005A0E9C" w:rsidRDefault="005A0E9C" w:rsidP="005A0E9C">
      <w:pPr>
        <w:pStyle w:val="Reference"/>
      </w:pPr>
      <w:r>
        <w:t>—— </w:t>
      </w:r>
      <w:proofErr w:type="spellStart"/>
      <w:r>
        <w:t>2012b</w:t>
      </w:r>
      <w:proofErr w:type="spellEnd"/>
      <w:r>
        <w:t>,</w:t>
      </w:r>
      <w:r w:rsidR="00E23DAC">
        <w:t> </w:t>
      </w:r>
      <w:r w:rsidRPr="008C66B1">
        <w:rPr>
          <w:i/>
        </w:rPr>
        <w:t>International Trade in Goods and Services, Australia, Time Series Workbook, June 2012</w:t>
      </w:r>
      <w:r>
        <w:t>, Cat no. 5368.0</w:t>
      </w:r>
      <w:r w:rsidR="00756F45">
        <w:t>.</w:t>
      </w:r>
    </w:p>
    <w:p w:rsidR="005A0E9C" w:rsidRDefault="005A0E9C" w:rsidP="005A0E9C">
      <w:pPr>
        <w:pStyle w:val="Reference"/>
      </w:pPr>
      <w:r>
        <w:t>—— </w:t>
      </w:r>
      <w:proofErr w:type="spellStart"/>
      <w:r>
        <w:t>2012c</w:t>
      </w:r>
      <w:proofErr w:type="spellEnd"/>
      <w:r>
        <w:t>,</w:t>
      </w:r>
      <w:r w:rsidR="00E23DAC">
        <w:t> </w:t>
      </w:r>
      <w:r w:rsidRPr="001A433E">
        <w:rPr>
          <w:i/>
        </w:rPr>
        <w:t>Australian industry</w:t>
      </w:r>
      <w:r>
        <w:t>, Cat. no. 8155.0.</w:t>
      </w:r>
    </w:p>
    <w:p w:rsidR="00FA308F" w:rsidRDefault="00FA308F" w:rsidP="005A0E9C">
      <w:pPr>
        <w:pStyle w:val="Reference"/>
      </w:pPr>
      <w:r>
        <w:t>—— </w:t>
      </w:r>
      <w:proofErr w:type="spellStart"/>
      <w:r>
        <w:t>2013a</w:t>
      </w:r>
      <w:proofErr w:type="spellEnd"/>
      <w:r>
        <w:t>,</w:t>
      </w:r>
      <w:r w:rsidR="00E23DAC">
        <w:t> </w:t>
      </w:r>
      <w:r>
        <w:rPr>
          <w:i/>
        </w:rPr>
        <w:t>Employee Earnings and Hours, Australia, May 2012</w:t>
      </w:r>
      <w:r w:rsidR="00756F45">
        <w:t>,</w:t>
      </w:r>
      <w:r>
        <w:t xml:space="preserve"> Cat. no. 6306.0.</w:t>
      </w:r>
    </w:p>
    <w:p w:rsidR="00FA308F" w:rsidRDefault="00FA308F" w:rsidP="005A0E9C">
      <w:pPr>
        <w:pStyle w:val="Reference"/>
      </w:pPr>
      <w:r>
        <w:t>—— </w:t>
      </w:r>
      <w:proofErr w:type="spellStart"/>
      <w:r>
        <w:t>2013b</w:t>
      </w:r>
      <w:proofErr w:type="spellEnd"/>
      <w:r>
        <w:t>,</w:t>
      </w:r>
      <w:r w:rsidR="00E23DAC">
        <w:t> </w:t>
      </w:r>
      <w:r>
        <w:rPr>
          <w:i/>
        </w:rPr>
        <w:t xml:space="preserve">Labour Force, Australia, Detailed, </w:t>
      </w:r>
      <w:r w:rsidRPr="00263F54">
        <w:rPr>
          <w:i/>
        </w:rPr>
        <w:t>Electronic Delivery</w:t>
      </w:r>
      <w:r>
        <w:t>, Cat. no. 6291.0.55.001.</w:t>
      </w:r>
    </w:p>
    <w:p w:rsidR="00546C8B" w:rsidRDefault="00757F54" w:rsidP="00546C8B">
      <w:pPr>
        <w:pStyle w:val="Reference"/>
        <w:rPr>
          <w:lang w:val="en"/>
        </w:rPr>
      </w:pPr>
      <w:proofErr w:type="spellStart"/>
      <w:r w:rsidRPr="005D5139">
        <w:rPr>
          <w:lang w:val="en"/>
        </w:rPr>
        <w:t>ACIL</w:t>
      </w:r>
      <w:proofErr w:type="spellEnd"/>
      <w:r w:rsidRPr="005D5139">
        <w:rPr>
          <w:lang w:val="en"/>
        </w:rPr>
        <w:t xml:space="preserve"> Tasman </w:t>
      </w:r>
      <w:r w:rsidR="00546C8B">
        <w:rPr>
          <w:lang w:val="en"/>
        </w:rPr>
        <w:t>2010,</w:t>
      </w:r>
      <w:r w:rsidR="00E23DAC">
        <w:rPr>
          <w:lang w:val="en"/>
        </w:rPr>
        <w:t> </w:t>
      </w:r>
      <w:r w:rsidR="00546C8B">
        <w:rPr>
          <w:i/>
          <w:lang w:val="en"/>
        </w:rPr>
        <w:t>Evaluation of the Economic Value of pre</w:t>
      </w:r>
      <w:r w:rsidR="00546C8B">
        <w:rPr>
          <w:i/>
          <w:lang w:val="en"/>
        </w:rPr>
        <w:noBreakHyphen/>
        <w:t>competitive information</w:t>
      </w:r>
      <w:r w:rsidR="005D5139">
        <w:rPr>
          <w:lang w:val="en"/>
        </w:rPr>
        <w:t xml:space="preserve">, report </w:t>
      </w:r>
      <w:proofErr w:type="spellStart"/>
      <w:r w:rsidR="00546C8B">
        <w:rPr>
          <w:lang w:val="en"/>
        </w:rPr>
        <w:t>repared</w:t>
      </w:r>
      <w:proofErr w:type="spellEnd"/>
      <w:r w:rsidR="00546C8B">
        <w:rPr>
          <w:lang w:val="en"/>
        </w:rPr>
        <w:t xml:space="preserve"> for the Department of Resources, Energy and Tourism.</w:t>
      </w:r>
    </w:p>
    <w:p w:rsidR="00546C8B" w:rsidRDefault="0026784F" w:rsidP="00546C8B">
      <w:pPr>
        <w:pStyle w:val="Reference"/>
        <w:rPr>
          <w:lang w:val="en"/>
        </w:rPr>
      </w:pPr>
      <w:r>
        <w:rPr>
          <w:lang w:val="en"/>
        </w:rPr>
        <w:t>—— </w:t>
      </w:r>
      <w:r w:rsidR="00546C8B">
        <w:rPr>
          <w:lang w:val="en"/>
        </w:rPr>
        <w:t>2011,</w:t>
      </w:r>
      <w:r w:rsidR="00E23DAC">
        <w:rPr>
          <w:lang w:val="en"/>
        </w:rPr>
        <w:t> </w:t>
      </w:r>
      <w:r w:rsidR="00546C8B">
        <w:rPr>
          <w:i/>
          <w:lang w:val="en"/>
        </w:rPr>
        <w:t>Value of pre</w:t>
      </w:r>
      <w:r w:rsidR="00546C8B">
        <w:rPr>
          <w:i/>
          <w:lang w:val="en"/>
        </w:rPr>
        <w:noBreakHyphen/>
        <w:t>competitive geoscience: Costs and benefits of pre</w:t>
      </w:r>
      <w:r w:rsidR="00546C8B">
        <w:rPr>
          <w:i/>
          <w:lang w:val="en"/>
        </w:rPr>
        <w:noBreakHyphen/>
        <w:t>competitive geoscience data collection and distribution</w:t>
      </w:r>
      <w:r w:rsidR="005D5139">
        <w:rPr>
          <w:lang w:val="en"/>
        </w:rPr>
        <w:t xml:space="preserve">, report </w:t>
      </w:r>
      <w:r w:rsidR="006B4FB4">
        <w:rPr>
          <w:lang w:val="en"/>
        </w:rPr>
        <w:t>p</w:t>
      </w:r>
      <w:r w:rsidR="00546C8B">
        <w:rPr>
          <w:lang w:val="en"/>
        </w:rPr>
        <w:t>repared for the Department of Resources, Energy and Tourism, unpublished.</w:t>
      </w:r>
    </w:p>
    <w:p w:rsidR="00757F54" w:rsidRDefault="00757F54" w:rsidP="00757F54">
      <w:pPr>
        <w:pStyle w:val="Reference"/>
        <w:rPr>
          <w:lang w:val="en"/>
        </w:rPr>
      </w:pPr>
      <w:r>
        <w:rPr>
          <w:lang w:val="en"/>
        </w:rPr>
        <w:t>—— </w:t>
      </w:r>
      <w:r w:rsidRPr="005D5139">
        <w:rPr>
          <w:lang w:val="en"/>
        </w:rPr>
        <w:t>20</w:t>
      </w:r>
      <w:r>
        <w:rPr>
          <w:lang w:val="en"/>
        </w:rPr>
        <w:t>1</w:t>
      </w:r>
      <w:r w:rsidRPr="005D5139">
        <w:rPr>
          <w:lang w:val="en"/>
        </w:rPr>
        <w:t>2,</w:t>
      </w:r>
      <w:r w:rsidR="00E23DAC">
        <w:rPr>
          <w:lang w:val="en"/>
        </w:rPr>
        <w:t> </w:t>
      </w:r>
      <w:r w:rsidRPr="005D5139">
        <w:rPr>
          <w:i/>
          <w:lang w:val="en"/>
        </w:rPr>
        <w:t>Review of Australia’s offshore petroleum exploration policy: Area release, tenement conditions, permit allocation, taxation and information provision</w:t>
      </w:r>
      <w:r w:rsidRPr="005D5139">
        <w:rPr>
          <w:lang w:val="en"/>
        </w:rPr>
        <w:t>, report prepared for the Department of Resources, Energy and Tourism.</w:t>
      </w:r>
    </w:p>
    <w:p w:rsidR="00CD28E1" w:rsidRDefault="004F5F79" w:rsidP="002C0B1F">
      <w:pPr>
        <w:pStyle w:val="Reference"/>
      </w:pPr>
      <w:r>
        <w:lastRenderedPageBreak/>
        <w:t xml:space="preserve">ACT </w:t>
      </w:r>
      <w:proofErr w:type="spellStart"/>
      <w:r>
        <w:t>ESDD</w:t>
      </w:r>
      <w:proofErr w:type="spellEnd"/>
      <w:r>
        <w:t xml:space="preserve"> (</w:t>
      </w:r>
      <w:r w:rsidRPr="004F5F79">
        <w:t>ACT Government Environment and Sustainable Development</w:t>
      </w:r>
      <w:r>
        <w:t xml:space="preserve"> Directorate)</w:t>
      </w:r>
      <w:r w:rsidRPr="004F5F79">
        <w:t xml:space="preserve"> 2011,</w:t>
      </w:r>
      <w:r w:rsidR="00E23DAC">
        <w:t> </w:t>
      </w:r>
      <w:r w:rsidRPr="0026784F">
        <w:rPr>
          <w:i/>
        </w:rPr>
        <w:t>How is Aboriginal Heritage Protected in the ACT</w:t>
      </w:r>
      <w:r>
        <w:t>,</w:t>
      </w:r>
      <w:r w:rsidR="00D86A69">
        <w:t xml:space="preserve"> </w:t>
      </w:r>
      <w:r w:rsidR="0026784F">
        <w:t>Information Sheet 7 of 11, January.</w:t>
      </w:r>
    </w:p>
    <w:p w:rsidR="002C0B1F" w:rsidRDefault="002C0B1F" w:rsidP="002C0B1F">
      <w:pPr>
        <w:pStyle w:val="Reference"/>
      </w:pPr>
      <w:proofErr w:type="spellStart"/>
      <w:r w:rsidRPr="002C0B1F">
        <w:t>AgForce</w:t>
      </w:r>
      <w:proofErr w:type="spellEnd"/>
      <w:r w:rsidRPr="002C0B1F">
        <w:t xml:space="preserve"> Queensland 2012,</w:t>
      </w:r>
      <w:r w:rsidR="00E23DAC">
        <w:t> </w:t>
      </w:r>
      <w:r w:rsidRPr="002C0B1F">
        <w:rPr>
          <w:i/>
        </w:rPr>
        <w:t>Coal Seam Gas Water Management: Response to 2012 Draft Policy</w:t>
      </w:r>
      <w:r w:rsidRPr="002C0B1F">
        <w:t>, submission to Queensland Government Draft Coal Seam Gas Water Management Policy, Brisbane.</w:t>
      </w:r>
    </w:p>
    <w:p w:rsidR="00E23DAC" w:rsidRDefault="007514A7" w:rsidP="00282CCC">
      <w:pPr>
        <w:pStyle w:val="Reference"/>
      </w:pPr>
      <w:r>
        <w:t>Alexander, E. and Morton, J. 2002</w:t>
      </w:r>
      <w:r w:rsidR="00E23DAC">
        <w:t>,</w:t>
      </w:r>
      <w:r>
        <w:t xml:space="preserve"> ‘Selecting the winning bid’, </w:t>
      </w:r>
      <w:proofErr w:type="spellStart"/>
      <w:r w:rsidRPr="007514A7">
        <w:rPr>
          <w:i/>
        </w:rPr>
        <w:t>APPEA</w:t>
      </w:r>
      <w:proofErr w:type="spellEnd"/>
      <w:r w:rsidRPr="007514A7">
        <w:rPr>
          <w:i/>
        </w:rPr>
        <w:t xml:space="preserve"> Journal</w:t>
      </w:r>
      <w:r>
        <w:t>, pp. 523–535.</w:t>
      </w:r>
    </w:p>
    <w:p w:rsidR="00C61148" w:rsidRDefault="007514A7" w:rsidP="00282CCC">
      <w:pPr>
        <w:pStyle w:val="Reference"/>
      </w:pPr>
      <w:r>
        <w:t>——</w:t>
      </w:r>
      <w:r>
        <w:tab/>
        <w:t xml:space="preserve">2011, ‘Shaping the Cooper Basin’s 21st century renaissance’ </w:t>
      </w:r>
      <w:proofErr w:type="spellStart"/>
      <w:r w:rsidRPr="007514A7">
        <w:rPr>
          <w:i/>
        </w:rPr>
        <w:t>APPEA</w:t>
      </w:r>
      <w:proofErr w:type="spellEnd"/>
      <w:r w:rsidRPr="007514A7">
        <w:rPr>
          <w:i/>
        </w:rPr>
        <w:t xml:space="preserve"> Journal</w:t>
      </w:r>
      <w:r>
        <w:t>, http://www.pir.sa.gov.au/__data/assets/pdf_file/0007/175984/Shaping_</w:t>
      </w:r>
      <w:r w:rsidR="006C39A7">
        <w:br/>
      </w:r>
      <w:proofErr w:type="spellStart"/>
      <w:r>
        <w:t>the_Cooper_Basin_21st_century_renaissance.pdf</w:t>
      </w:r>
      <w:proofErr w:type="spellEnd"/>
      <w:r>
        <w:t xml:space="preserve"> </w:t>
      </w:r>
      <w:r w:rsidR="006870BC">
        <w:t>(</w:t>
      </w:r>
      <w:r>
        <w:t>accessed 28 March 2013</w:t>
      </w:r>
      <w:r w:rsidR="006870BC">
        <w:t>)</w:t>
      </w:r>
      <w:r>
        <w:t>.</w:t>
      </w:r>
    </w:p>
    <w:p w:rsidR="002B6594" w:rsidRDefault="002B6594" w:rsidP="002B6594">
      <w:pPr>
        <w:pStyle w:val="Reference"/>
      </w:pPr>
      <w:r w:rsidRPr="006870BC">
        <w:t xml:space="preserve">Alexander, E. and </w:t>
      </w:r>
      <w:proofErr w:type="spellStart"/>
      <w:r w:rsidRPr="006870BC">
        <w:t>Sansome</w:t>
      </w:r>
      <w:proofErr w:type="spellEnd"/>
      <w:r w:rsidRPr="006870BC">
        <w:t xml:space="preserve">, A. </w:t>
      </w:r>
      <w:r w:rsidR="0026784F" w:rsidRPr="006870BC">
        <w:t xml:space="preserve">2012, ‘The changing face of the South Australian Cooper Basin’, presentation to </w:t>
      </w:r>
      <w:proofErr w:type="spellStart"/>
      <w:r w:rsidR="0026784F" w:rsidRPr="006870BC">
        <w:t>APPEA</w:t>
      </w:r>
      <w:proofErr w:type="spellEnd"/>
      <w:r w:rsidR="0026784F" w:rsidRPr="006870BC">
        <w:t xml:space="preserve"> 2012 conference, 13–16 May, Adelaide, http://www.pir.sa.gov.au/__data/assets/pdf_file/0005/171815/Alexander_and_Sansome_2012_final.pdf (accessed 28 March 2013).</w:t>
      </w:r>
    </w:p>
    <w:p w:rsidR="00546C8B" w:rsidRDefault="00546C8B" w:rsidP="00C50A08">
      <w:pPr>
        <w:pStyle w:val="Reference"/>
      </w:pPr>
      <w:proofErr w:type="spellStart"/>
      <w:r>
        <w:t>ANAO</w:t>
      </w:r>
      <w:proofErr w:type="spellEnd"/>
      <w:r>
        <w:t xml:space="preserve"> (Australian National Audit Office) 2010,</w:t>
      </w:r>
      <w:r w:rsidR="00E23DAC">
        <w:t> </w:t>
      </w:r>
      <w:r>
        <w:rPr>
          <w:i/>
        </w:rPr>
        <w:t>Geoscience Australia</w:t>
      </w:r>
      <w:r>
        <w:t xml:space="preserve">, </w:t>
      </w:r>
      <w:r w:rsidR="00F653AC">
        <w:t>Performance Report no. 22 2009</w:t>
      </w:r>
      <w:r w:rsidR="00F653AC">
        <w:noBreakHyphen/>
        <w:t>10, Canberra.</w:t>
      </w:r>
    </w:p>
    <w:p w:rsidR="005A0E9C" w:rsidRDefault="005A0E9C" w:rsidP="00C50A08">
      <w:pPr>
        <w:pStyle w:val="Reference"/>
      </w:pPr>
      <w:proofErr w:type="spellStart"/>
      <w:r>
        <w:t>Angevine</w:t>
      </w:r>
      <w:proofErr w:type="spellEnd"/>
      <w:r>
        <w:t>, G. and Cameron, B. 2007,</w:t>
      </w:r>
      <w:r w:rsidR="00E23DAC">
        <w:t> </w:t>
      </w:r>
      <w:r>
        <w:rPr>
          <w:i/>
        </w:rPr>
        <w:t>Fraser Institute global petroleum survey: 2007</w:t>
      </w:r>
      <w:r>
        <w:t>, Fraser Institute, Vancouver.</w:t>
      </w:r>
    </w:p>
    <w:p w:rsidR="005A0E9C" w:rsidRDefault="005A0E9C" w:rsidP="00C50A08">
      <w:pPr>
        <w:pStyle w:val="Reference"/>
      </w:pPr>
      <w:r>
        <w:t>——</w:t>
      </w:r>
      <w:r w:rsidR="00D86A69">
        <w:t xml:space="preserve"> </w:t>
      </w:r>
      <w:r>
        <w:t>and Cervantes, M. 2010,</w:t>
      </w:r>
      <w:r w:rsidR="00E23DAC">
        <w:t> </w:t>
      </w:r>
      <w:r>
        <w:rPr>
          <w:i/>
        </w:rPr>
        <w:t>Fraser Institute global petroleum survey: 2010</w:t>
      </w:r>
      <w:r>
        <w:t>, Fraser Institute, Vancouver.</w:t>
      </w:r>
    </w:p>
    <w:p w:rsidR="005A0E9C" w:rsidRDefault="005A0E9C" w:rsidP="00C50A08">
      <w:pPr>
        <w:pStyle w:val="Reference"/>
      </w:pPr>
      <w:r>
        <w:t>——, ——</w:t>
      </w:r>
      <w:r w:rsidR="00D86A69">
        <w:t xml:space="preserve"> </w:t>
      </w:r>
      <w:r w:rsidR="006870BC">
        <w:t>and Oviedo, V. 2012,</w:t>
      </w:r>
      <w:r w:rsidR="00E23DAC">
        <w:t> </w:t>
      </w:r>
      <w:r>
        <w:rPr>
          <w:i/>
        </w:rPr>
        <w:t>Fraser Institute global petroleum survey: 2012</w:t>
      </w:r>
      <w:r>
        <w:t>, Fraser Institute, Vancouver.</w:t>
      </w:r>
    </w:p>
    <w:p w:rsidR="00ED588B" w:rsidRDefault="00ED588B" w:rsidP="00C50A08">
      <w:pPr>
        <w:pStyle w:val="Reference"/>
      </w:pPr>
      <w:proofErr w:type="spellStart"/>
      <w:r w:rsidRPr="00ED588B">
        <w:t>APPEA</w:t>
      </w:r>
      <w:proofErr w:type="spellEnd"/>
      <w:r w:rsidRPr="00ED588B">
        <w:t xml:space="preserve"> </w:t>
      </w:r>
      <w:r w:rsidRPr="00292D35">
        <w:t>(Australian Petroleum Production and Exploration Association)</w:t>
      </w:r>
      <w:r>
        <w:t xml:space="preserve"> </w:t>
      </w:r>
      <w:r w:rsidRPr="00ED588B">
        <w:t xml:space="preserve">2007, </w:t>
      </w:r>
      <w:r w:rsidRPr="00ED588B">
        <w:rPr>
          <w:i/>
        </w:rPr>
        <w:t>Platform for Prosperity: Australian Upstream Oil and Gas Industry Strategy</w:t>
      </w:r>
      <w:r w:rsidRPr="00ED588B">
        <w:t>, Canberra.</w:t>
      </w:r>
    </w:p>
    <w:p w:rsidR="007D3DBA" w:rsidRDefault="007D3DBA" w:rsidP="007D3DBA">
      <w:pPr>
        <w:pStyle w:val="Reference"/>
      </w:pPr>
      <w:r>
        <w:t xml:space="preserve">—— 2012, </w:t>
      </w:r>
      <w:r w:rsidR="00CF49B8">
        <w:t>‘</w:t>
      </w:r>
      <w:proofErr w:type="spellStart"/>
      <w:r w:rsidRPr="00CF49B8">
        <w:t>CSG</w:t>
      </w:r>
      <w:proofErr w:type="spellEnd"/>
      <w:r w:rsidRPr="00CF49B8">
        <w:t xml:space="preserve"> Industry Data, </w:t>
      </w:r>
      <w:proofErr w:type="spellStart"/>
      <w:r w:rsidRPr="00CF49B8">
        <w:t>Q4</w:t>
      </w:r>
      <w:proofErr w:type="spellEnd"/>
      <w:r w:rsidRPr="00CF49B8">
        <w:t xml:space="preserve"> 2012</w:t>
      </w:r>
      <w:r w:rsidR="00CF49B8">
        <w:t>’</w:t>
      </w:r>
      <w:r>
        <w:t xml:space="preserve">, </w:t>
      </w:r>
      <w:r w:rsidRPr="000F7366">
        <w:t>http://www.appea.com.au/images/stories/Statistics/total%20q4%202012%20csg%20industry%20data.pdf</w:t>
      </w:r>
      <w:r>
        <w:t xml:space="preserve"> (accessed 11 April 2013).</w:t>
      </w:r>
    </w:p>
    <w:p w:rsidR="00292D35" w:rsidRDefault="00ED588B" w:rsidP="00292D35">
      <w:pPr>
        <w:pStyle w:val="Reference"/>
      </w:pPr>
      <w:r>
        <w:t>——</w:t>
      </w:r>
      <w:r w:rsidR="00326733">
        <w:t> </w:t>
      </w:r>
      <w:r w:rsidR="00292D35" w:rsidRPr="00292D35">
        <w:t>2013,</w:t>
      </w:r>
      <w:r w:rsidR="00E23DAC">
        <w:t> </w:t>
      </w:r>
      <w:r w:rsidR="00292D35" w:rsidRPr="00292D35">
        <w:rPr>
          <w:i/>
        </w:rPr>
        <w:t>Cutting Green Tape: Streamlining Major Oil and Gas Project Environmental Approvals Processes in Australia</w:t>
      </w:r>
      <w:r w:rsidR="00292D35" w:rsidRPr="00292D35">
        <w:t>, February.</w:t>
      </w:r>
    </w:p>
    <w:p w:rsidR="00282CCC" w:rsidRDefault="00282CCC" w:rsidP="00292D35">
      <w:pPr>
        <w:pStyle w:val="Reference"/>
      </w:pPr>
      <w:r>
        <w:t xml:space="preserve">Australian Government 2007, </w:t>
      </w:r>
      <w:r w:rsidR="00CF49B8">
        <w:t>‘</w:t>
      </w:r>
      <w:r w:rsidRPr="00CF49B8">
        <w:t>Commonwealth Government response to the Productivity Commission Inquiry into the Conservation of Australia’s Historic Heritage Places</w:t>
      </w:r>
      <w:r w:rsidR="00CF49B8">
        <w:t>’</w:t>
      </w:r>
      <w:r w:rsidRPr="00282CCC">
        <w:t xml:space="preserve">, </w:t>
      </w:r>
      <w:r>
        <w:t>http://</w:t>
      </w:r>
      <w:proofErr w:type="spellStart"/>
      <w:r>
        <w:t>www.environment.gov.au</w:t>
      </w:r>
      <w:proofErr w:type="spellEnd"/>
      <w:r>
        <w:t>/</w:t>
      </w:r>
      <w:r w:rsidRPr="00282CCC">
        <w:t>heritage/publications/</w:t>
      </w:r>
      <w:r>
        <w:t xml:space="preserve"> </w:t>
      </w:r>
      <w:r w:rsidRPr="00282CCC">
        <w:t>strategy/prod</w:t>
      </w:r>
      <w:r>
        <w:t>uctivity-commission-</w:t>
      </w:r>
      <w:proofErr w:type="spellStart"/>
      <w:r>
        <w:t>report.html</w:t>
      </w:r>
      <w:proofErr w:type="spellEnd"/>
      <w:r w:rsidRPr="00282CCC">
        <w:t xml:space="preserve"> </w:t>
      </w:r>
      <w:r>
        <w:t>(</w:t>
      </w:r>
      <w:r w:rsidRPr="00282CCC">
        <w:t>accessed 20 April 2013</w:t>
      </w:r>
      <w:r>
        <w:t>)</w:t>
      </w:r>
      <w:r w:rsidRPr="00282CCC">
        <w:t>.</w:t>
      </w:r>
    </w:p>
    <w:p w:rsidR="00282CCC" w:rsidRPr="00292D35" w:rsidRDefault="00282CCC" w:rsidP="00292D35">
      <w:pPr>
        <w:pStyle w:val="Reference"/>
      </w:pPr>
      <w:r>
        <w:lastRenderedPageBreak/>
        <w:t xml:space="preserve">—— 2009, </w:t>
      </w:r>
      <w:r w:rsidR="00CF49B8">
        <w:t>‘</w:t>
      </w:r>
      <w:r w:rsidRPr="00CF49B8">
        <w:t>Review of the Historic Shipwrecks Act 1976 and consideration of the requirements arising from the UNESCO 2001 Convention for the Protection of the Underwater Cultural Heritage — Discussion</w:t>
      </w:r>
      <w:r w:rsidRPr="00282CCC">
        <w:rPr>
          <w:i/>
        </w:rPr>
        <w:t xml:space="preserve"> </w:t>
      </w:r>
      <w:r w:rsidRPr="00CF49B8">
        <w:t>Paper</w:t>
      </w:r>
      <w:r w:rsidR="00CF49B8">
        <w:t>’</w:t>
      </w:r>
      <w:r w:rsidRPr="00282CCC">
        <w:t>, http://www.environment.gov.au/heritage/publications/shipwrecks-review/</w:t>
      </w:r>
      <w:r>
        <w:t xml:space="preserve"> discussion-</w:t>
      </w:r>
      <w:proofErr w:type="spellStart"/>
      <w:r>
        <w:t>paper.pdf</w:t>
      </w:r>
      <w:proofErr w:type="spellEnd"/>
      <w:r w:rsidRPr="00282CCC">
        <w:t xml:space="preserve"> </w:t>
      </w:r>
      <w:r>
        <w:t>(</w:t>
      </w:r>
      <w:r w:rsidRPr="00282CCC">
        <w:t>accessed 20 April 2013</w:t>
      </w:r>
      <w:r>
        <w:t>)</w:t>
      </w:r>
      <w:r w:rsidRPr="00282CCC">
        <w:t>.</w:t>
      </w:r>
    </w:p>
    <w:p w:rsidR="005E2F63" w:rsidRDefault="00282CCC" w:rsidP="005E2F63">
      <w:pPr>
        <w:pStyle w:val="Reference"/>
      </w:pPr>
      <w:r>
        <w:t>—— </w:t>
      </w:r>
      <w:r w:rsidR="005E2F63" w:rsidRPr="00471475">
        <w:t xml:space="preserve">2010, </w:t>
      </w:r>
      <w:r w:rsidR="005E2F63" w:rsidRPr="00471475">
        <w:rPr>
          <w:i/>
        </w:rPr>
        <w:t>Best practice regulation handbook</w:t>
      </w:r>
      <w:r w:rsidR="005E2F63" w:rsidRPr="00471475">
        <w:t>, Canberra.</w:t>
      </w:r>
    </w:p>
    <w:p w:rsidR="00FA308F" w:rsidRDefault="00FA308F" w:rsidP="005E2F63">
      <w:pPr>
        <w:pStyle w:val="Reference"/>
      </w:pPr>
      <w:r>
        <w:t>—— 2011,</w:t>
      </w:r>
      <w:r w:rsidR="00E23DAC">
        <w:t> </w:t>
      </w:r>
      <w:r w:rsidR="00CF49B8">
        <w:t>‘</w:t>
      </w:r>
      <w:r w:rsidRPr="00CF49B8">
        <w:t>Australian Government response to the National Resources Sector Employment Taskforce Report: Resourcing the Future</w:t>
      </w:r>
      <w:r w:rsidR="00CF49B8">
        <w:t>’</w:t>
      </w:r>
      <w:r>
        <w:t xml:space="preserve">, </w:t>
      </w:r>
      <w:r w:rsidRPr="007C13FC">
        <w:t>http://www.innovation.gov.au/Skills/SkillsTrainingAndWorkforceDevelopment/Documents/AGResponseNRSET.pdf</w:t>
      </w:r>
      <w:r>
        <w:t xml:space="preserve"> (accessed 12 April 2013).</w:t>
      </w:r>
    </w:p>
    <w:p w:rsidR="007E34C6" w:rsidRDefault="007E34C6" w:rsidP="007E34C6">
      <w:pPr>
        <w:pStyle w:val="Reference"/>
      </w:pPr>
      <w:r w:rsidRPr="007E34C6">
        <w:t xml:space="preserve">Australian Heritage Commission 2002, </w:t>
      </w:r>
      <w:r w:rsidRPr="007E34C6">
        <w:rPr>
          <w:i/>
        </w:rPr>
        <w:t>Ask First: A guide to respecting Indigenous heritage places and values</w:t>
      </w:r>
      <w:r w:rsidRPr="007E34C6">
        <w:t>, Canberra.</w:t>
      </w:r>
    </w:p>
    <w:p w:rsidR="00146372" w:rsidRDefault="00146372" w:rsidP="00146372">
      <w:pPr>
        <w:pStyle w:val="Reference"/>
      </w:pPr>
      <w:r w:rsidRPr="00EF65C1">
        <w:t>Australian Network of Environmental Defender’s Offices</w:t>
      </w:r>
      <w:r>
        <w:t xml:space="preserve"> 2012, </w:t>
      </w:r>
      <w:r w:rsidR="00756F45">
        <w:t>‘</w:t>
      </w:r>
      <w:r>
        <w:t xml:space="preserve">COAG Environmental Reform Agenda </w:t>
      </w:r>
      <w:proofErr w:type="spellStart"/>
      <w:r>
        <w:t>ANEDO</w:t>
      </w:r>
      <w:proofErr w:type="spellEnd"/>
      <w:r>
        <w:t xml:space="preserve"> Response — In Defence of Environmental</w:t>
      </w:r>
      <w:r w:rsidR="00E23DAC">
        <w:t> </w:t>
      </w:r>
      <w:r>
        <w:t>Laws</w:t>
      </w:r>
      <w:r w:rsidR="00756F45">
        <w:t>’</w:t>
      </w:r>
      <w:r w:rsidR="006870BC">
        <w:t>,</w:t>
      </w:r>
      <w:r>
        <w:t xml:space="preserve"> </w:t>
      </w:r>
      <w:r w:rsidRPr="00146372">
        <w:t>http://www.edovic.org.au/downloads/files/law_reform/ANEDO%20response%20to%20attacks%20on%20environmental%20laws.pdf</w:t>
      </w:r>
      <w:r>
        <w:t xml:space="preserve"> (accessed 26 April 2013).</w:t>
      </w:r>
    </w:p>
    <w:p w:rsidR="0009608B" w:rsidRPr="00AF3440" w:rsidRDefault="0009608B" w:rsidP="0009608B">
      <w:pPr>
        <w:pStyle w:val="Reference"/>
        <w:tabs>
          <w:tab w:val="left" w:pos="709"/>
        </w:tabs>
      </w:pPr>
      <w:proofErr w:type="spellStart"/>
      <w:r>
        <w:t>AWPA</w:t>
      </w:r>
      <w:proofErr w:type="spellEnd"/>
      <w:r>
        <w:t xml:space="preserve"> (Australian Workforce and Productivity Agency)</w:t>
      </w:r>
      <w:r w:rsidRPr="00AF3440">
        <w:t xml:space="preserve"> 2012, </w:t>
      </w:r>
      <w:r w:rsidRPr="00ED50BD">
        <w:rPr>
          <w:i/>
        </w:rPr>
        <w:t>Resources Sector Skill Needs Report</w:t>
      </w:r>
      <w:r w:rsidRPr="00AF3440">
        <w:t xml:space="preserve">. </w:t>
      </w:r>
    </w:p>
    <w:p w:rsidR="00872487" w:rsidRDefault="00872487" w:rsidP="00872487">
      <w:pPr>
        <w:pStyle w:val="Reference"/>
        <w:rPr>
          <w:rStyle w:val="createdate"/>
          <w:lang w:val="en"/>
        </w:rPr>
      </w:pPr>
      <w:r>
        <w:t>Ba</w:t>
      </w:r>
      <w:r w:rsidR="00935F14">
        <w:t>i</w:t>
      </w:r>
      <w:r>
        <w:t xml:space="preserve">llieu, T. (Premier of Victoria) 2012, </w:t>
      </w:r>
      <w:r w:rsidRPr="00872487">
        <w:rPr>
          <w:i/>
        </w:rPr>
        <w:t>Reforms to strengthen Victoria’s coal seam gas regulation and protect communities</w:t>
      </w:r>
      <w:r>
        <w:t>, Media release</w:t>
      </w:r>
      <w:r>
        <w:rPr>
          <w:lang w:val="en"/>
        </w:rPr>
        <w:t xml:space="preserve">, </w:t>
      </w:r>
      <w:r>
        <w:rPr>
          <w:rStyle w:val="createdate"/>
          <w:lang w:val="en"/>
        </w:rPr>
        <w:t>24 August.</w:t>
      </w:r>
    </w:p>
    <w:p w:rsidR="00872487" w:rsidRPr="00C50A08" w:rsidRDefault="00872487" w:rsidP="00C50A08">
      <w:pPr>
        <w:pStyle w:val="Reference"/>
      </w:pPr>
      <w:proofErr w:type="spellStart"/>
      <w:r w:rsidRPr="00C50A08">
        <w:t>Bodenmann</w:t>
      </w:r>
      <w:proofErr w:type="spellEnd"/>
      <w:r w:rsidRPr="00C50A08">
        <w:t>, J. Came</w:t>
      </w:r>
      <w:r w:rsidR="006870BC" w:rsidRPr="00C50A08">
        <w:t>ron, M., O’Hare, K, Solomon, E.</w:t>
      </w:r>
      <w:r w:rsidRPr="00C50A08">
        <w:t xml:space="preserve"> (undated</w:t>
      </w:r>
      <w:r w:rsidRPr="00756F45">
        <w:t>)</w:t>
      </w:r>
      <w:r w:rsidRPr="00C50A08">
        <w:rPr>
          <w:i/>
        </w:rPr>
        <w:t>, A Comparative Study into the Rights of Landholders to Prevent Access to Land by Mining Companies</w:t>
      </w:r>
      <w:r w:rsidRPr="00C50A08">
        <w:t xml:space="preserve">, Research Note, Produced for the Queensland Council for Civil Liberties, T. C. </w:t>
      </w:r>
      <w:proofErr w:type="spellStart"/>
      <w:r w:rsidRPr="00C50A08">
        <w:t>Beirne</w:t>
      </w:r>
      <w:proofErr w:type="spellEnd"/>
      <w:r w:rsidRPr="00C50A08">
        <w:t xml:space="preserve"> School of Law, University of Queensland.</w:t>
      </w:r>
    </w:p>
    <w:p w:rsidR="00853E41" w:rsidRDefault="00853E41" w:rsidP="00853E41">
      <w:pPr>
        <w:pStyle w:val="Reference"/>
      </w:pPr>
      <w:r w:rsidRPr="00853E41">
        <w:t xml:space="preserve">Bowler, J. 2002, </w:t>
      </w:r>
      <w:r w:rsidRPr="00853E41">
        <w:rPr>
          <w:i/>
        </w:rPr>
        <w:t>Ministerial inquiry into greenfields exploration in Western Australia</w:t>
      </w:r>
      <w:r w:rsidRPr="00853E41">
        <w:t>, Department of Mineral and Petroleum Resources, East Perth.</w:t>
      </w:r>
    </w:p>
    <w:p w:rsidR="00282CCC" w:rsidRDefault="00282CCC" w:rsidP="008C1B6E">
      <w:pPr>
        <w:pStyle w:val="Reference"/>
      </w:pPr>
      <w:r w:rsidRPr="00282CCC">
        <w:t>Chairs of the State and Territory Heritage Councils of Australia 2006</w:t>
      </w:r>
      <w:r w:rsidRPr="00CF49B8">
        <w:t xml:space="preserve">, </w:t>
      </w:r>
      <w:r w:rsidR="00CF49B8">
        <w:t>‘</w:t>
      </w:r>
      <w:r w:rsidRPr="00CF49B8">
        <w:t>Productivity Commission Inquiry into the Conservation of Australia’s Historic Heritage Places — Response</w:t>
      </w:r>
      <w:r w:rsidR="00CF49B8">
        <w:t>’</w:t>
      </w:r>
      <w:r w:rsidRPr="00282CCC">
        <w:t>, http://</w:t>
      </w:r>
      <w:proofErr w:type="spellStart"/>
      <w:r w:rsidRPr="00282CCC">
        <w:t>www.environment.act.gov.au</w:t>
      </w:r>
      <w:proofErr w:type="spellEnd"/>
      <w:r w:rsidRPr="00282CCC">
        <w:t>/__data/</w:t>
      </w:r>
      <w:r>
        <w:t xml:space="preserve"> </w:t>
      </w:r>
      <w:r w:rsidRPr="00282CCC">
        <w:t>assets/pdf_file/0003/232824/Historic_Heritag</w:t>
      </w:r>
      <w:r>
        <w:t>e_Places_Commission_Inquiry.pdf</w:t>
      </w:r>
      <w:r w:rsidRPr="00282CCC">
        <w:t xml:space="preserve"> </w:t>
      </w:r>
      <w:r>
        <w:t>(</w:t>
      </w:r>
      <w:r w:rsidRPr="00282CCC">
        <w:t>accessed 20 April 2013</w:t>
      </w:r>
      <w:r>
        <w:t>)</w:t>
      </w:r>
      <w:r w:rsidRPr="00282CCC">
        <w:t>.</w:t>
      </w:r>
    </w:p>
    <w:p w:rsidR="00872487" w:rsidRDefault="00872487" w:rsidP="008C1B6E">
      <w:pPr>
        <w:pStyle w:val="Reference"/>
      </w:pPr>
      <w:proofErr w:type="spellStart"/>
      <w:r w:rsidRPr="008C1B6E">
        <w:t>CMEWA</w:t>
      </w:r>
      <w:proofErr w:type="spellEnd"/>
      <w:r w:rsidRPr="008C1B6E">
        <w:t xml:space="preserve"> (Chamber of Minerals and Energy of Western Australia) </w:t>
      </w:r>
      <w:r w:rsidRPr="00872487">
        <w:t xml:space="preserve">2011, </w:t>
      </w:r>
      <w:r w:rsidRPr="00872487">
        <w:rPr>
          <w:i/>
        </w:rPr>
        <w:t>Mineral Exploration on Private Land</w:t>
      </w:r>
      <w:r w:rsidRPr="00872487">
        <w:t>, Perth.</w:t>
      </w:r>
    </w:p>
    <w:p w:rsidR="008C1B6E" w:rsidRPr="008C1B6E" w:rsidRDefault="00872487" w:rsidP="008C1B6E">
      <w:pPr>
        <w:pStyle w:val="Reference"/>
      </w:pPr>
      <w:r>
        <w:t>—— </w:t>
      </w:r>
      <w:r w:rsidR="008C1B6E" w:rsidRPr="008C1B6E">
        <w:t xml:space="preserve">2012, </w:t>
      </w:r>
      <w:r w:rsidR="008C1B6E" w:rsidRPr="008C1B6E">
        <w:rPr>
          <w:i/>
        </w:rPr>
        <w:t>CME Aboriginal Heritage Principles</w:t>
      </w:r>
      <w:r w:rsidR="008C1B6E" w:rsidRPr="008C1B6E">
        <w:t>, Perth.</w:t>
      </w:r>
    </w:p>
    <w:p w:rsidR="006C2772" w:rsidRPr="006C2772" w:rsidRDefault="006C2772" w:rsidP="006C2772">
      <w:pPr>
        <w:pStyle w:val="Reference"/>
      </w:pPr>
      <w:r w:rsidRPr="006C2772">
        <w:t xml:space="preserve">COAG </w:t>
      </w:r>
      <w:r w:rsidRPr="002B58CD">
        <w:t>(Council of Australian Governments</w:t>
      </w:r>
      <w:r>
        <w:t xml:space="preserve">) </w:t>
      </w:r>
      <w:r w:rsidRPr="006C2772">
        <w:t xml:space="preserve">2007, </w:t>
      </w:r>
      <w:r w:rsidRPr="006C2772">
        <w:rPr>
          <w:i/>
        </w:rPr>
        <w:t>Best Practice Regulation: A Guide for</w:t>
      </w:r>
      <w:r w:rsidR="001A2CED">
        <w:rPr>
          <w:i/>
        </w:rPr>
        <w:t xml:space="preserve"> </w:t>
      </w:r>
      <w:r w:rsidRPr="006C2772">
        <w:rPr>
          <w:i/>
        </w:rPr>
        <w:t>Ministerial Councils and National Standard Setting Bodies</w:t>
      </w:r>
      <w:r w:rsidRPr="006C2772">
        <w:t>.</w:t>
      </w:r>
    </w:p>
    <w:p w:rsidR="002B58CD" w:rsidRPr="002B58CD" w:rsidRDefault="006C2772" w:rsidP="002B58CD">
      <w:pPr>
        <w:pStyle w:val="Reference"/>
      </w:pPr>
      <w:r>
        <w:lastRenderedPageBreak/>
        <w:t>——</w:t>
      </w:r>
      <w:r w:rsidR="002B58CD" w:rsidRPr="002B58CD">
        <w:t xml:space="preserve"> 2012, Communiqué, Council of Australian Governments Meeting, Canberra, 13 April.</w:t>
      </w:r>
    </w:p>
    <w:p w:rsidR="0063465A" w:rsidRDefault="0063465A" w:rsidP="0063465A">
      <w:pPr>
        <w:pStyle w:val="Reference"/>
      </w:pPr>
      <w:r w:rsidRPr="0063465A">
        <w:t xml:space="preserve">COAG Reform Council 2013, </w:t>
      </w:r>
      <w:r w:rsidRPr="0063465A">
        <w:rPr>
          <w:i/>
        </w:rPr>
        <w:t xml:space="preserve">Coal Seam </w:t>
      </w:r>
      <w:r w:rsidR="00756F45">
        <w:rPr>
          <w:i/>
        </w:rPr>
        <w:t>G</w:t>
      </w:r>
      <w:r w:rsidRPr="0063465A">
        <w:rPr>
          <w:i/>
        </w:rPr>
        <w:t>as and Large Coal Mining Development: first assessment report</w:t>
      </w:r>
      <w:r w:rsidRPr="0063465A">
        <w:t>, COAG Reform Council, Sydney.</w:t>
      </w:r>
    </w:p>
    <w:p w:rsidR="005E2F63" w:rsidRDefault="005E2F63" w:rsidP="005E2F63">
      <w:pPr>
        <w:pStyle w:val="Reference"/>
      </w:pPr>
      <w:proofErr w:type="spellStart"/>
      <w:r w:rsidRPr="00471475">
        <w:t>Coghlan</w:t>
      </w:r>
      <w:proofErr w:type="spellEnd"/>
      <w:r w:rsidRPr="00471475">
        <w:t xml:space="preserve"> P. 2010, ‘The principles of good regulation’</w:t>
      </w:r>
      <w:r w:rsidR="00B3513F" w:rsidRPr="00471475">
        <w:t xml:space="preserve">, </w:t>
      </w:r>
      <w:r w:rsidR="00B3513F" w:rsidRPr="00471475">
        <w:rPr>
          <w:i/>
        </w:rPr>
        <w:t>Achieving Better Regulation of</w:t>
      </w:r>
      <w:r w:rsidRPr="00471475">
        <w:rPr>
          <w:i/>
        </w:rPr>
        <w:t xml:space="preserve"> Services</w:t>
      </w:r>
      <w:r w:rsidR="0084223B" w:rsidRPr="00471475">
        <w:rPr>
          <w:i/>
        </w:rPr>
        <w:t>:</w:t>
      </w:r>
      <w:r w:rsidRPr="00471475">
        <w:rPr>
          <w:i/>
        </w:rPr>
        <w:t xml:space="preserve"> </w:t>
      </w:r>
      <w:r w:rsidR="0084223B" w:rsidRPr="00471475">
        <w:rPr>
          <w:i/>
        </w:rPr>
        <w:t xml:space="preserve">Canberra, </w:t>
      </w:r>
      <w:r w:rsidRPr="00471475">
        <w:rPr>
          <w:i/>
        </w:rPr>
        <w:t>26</w:t>
      </w:r>
      <w:r w:rsidR="001A2CED">
        <w:rPr>
          <w:i/>
        </w:rPr>
        <w:noBreakHyphen/>
      </w:r>
      <w:r w:rsidRPr="00471475">
        <w:rPr>
          <w:i/>
        </w:rPr>
        <w:t>27</w:t>
      </w:r>
      <w:r w:rsidR="001A2CED">
        <w:rPr>
          <w:i/>
        </w:rPr>
        <w:t> </w:t>
      </w:r>
      <w:r w:rsidRPr="00471475">
        <w:rPr>
          <w:i/>
        </w:rPr>
        <w:t>June 2000</w:t>
      </w:r>
      <w:r w:rsidRPr="00471475">
        <w:t>, Productivity Commissi</w:t>
      </w:r>
      <w:r w:rsidR="00B3513F" w:rsidRPr="00471475">
        <w:t>on and the Australian National U</w:t>
      </w:r>
      <w:r w:rsidRPr="00471475">
        <w:t xml:space="preserve">niversity Proceedings, </w:t>
      </w:r>
      <w:r w:rsidR="005A0E9C">
        <w:t xml:space="preserve">November, </w:t>
      </w:r>
      <w:r w:rsidRPr="00471475">
        <w:t>Canberra, pp</w:t>
      </w:r>
      <w:r w:rsidR="0084223B" w:rsidRPr="00471475">
        <w:t>.</w:t>
      </w:r>
      <w:r w:rsidR="001A2CED">
        <w:t> </w:t>
      </w:r>
      <w:r w:rsidRPr="00471475">
        <w:t>32</w:t>
      </w:r>
      <w:r w:rsidR="001A2CED">
        <w:t>–</w:t>
      </w:r>
      <w:r w:rsidRPr="00471475">
        <w:t>53</w:t>
      </w:r>
      <w:r w:rsidR="0084223B" w:rsidRPr="00471475">
        <w:t>.</w:t>
      </w:r>
    </w:p>
    <w:p w:rsidR="007C2B7D" w:rsidRPr="007C2B7D" w:rsidRDefault="007C2B7D" w:rsidP="007C2B7D">
      <w:pPr>
        <w:pStyle w:val="Reference"/>
      </w:pPr>
      <w:r w:rsidRPr="007C2B7D">
        <w:t xml:space="preserve">Commonwealth Ombudsman 2008, </w:t>
      </w:r>
      <w:r w:rsidRPr="00756F45">
        <w:rPr>
          <w:i/>
        </w:rPr>
        <w:t>E</w:t>
      </w:r>
      <w:r w:rsidRPr="00756F45">
        <w:rPr>
          <w:i/>
        </w:rPr>
        <w:noBreakHyphen/>
        <w:t>bulletin Number 1</w:t>
      </w:r>
      <w:r w:rsidRPr="007C2B7D">
        <w:t>, http://www.ombudsman.gov.au/pages/publications-and-media/e-bulletins/e-bulletin-01.php (accessed 9 April 2013).</w:t>
      </w:r>
    </w:p>
    <w:p w:rsidR="005E2F63" w:rsidRDefault="0084223B" w:rsidP="005E2F63">
      <w:pPr>
        <w:pStyle w:val="Reference"/>
      </w:pPr>
      <w:r w:rsidRPr="00471475">
        <w:t>Cory, S.</w:t>
      </w:r>
      <w:r w:rsidR="005E2F63" w:rsidRPr="00471475">
        <w:t xml:space="preserve"> 2012, </w:t>
      </w:r>
      <w:r w:rsidR="005E2F63" w:rsidRPr="00471475">
        <w:rPr>
          <w:i/>
        </w:rPr>
        <w:t>Searching the Deep Earth</w:t>
      </w:r>
      <w:r w:rsidRPr="00471475">
        <w:rPr>
          <w:i/>
        </w:rPr>
        <w:t>: A vision for exploration geoscience in Australia</w:t>
      </w:r>
      <w:r w:rsidR="005E2F63" w:rsidRPr="00471475">
        <w:t>, Australian Academy of Science</w:t>
      </w:r>
      <w:r w:rsidRPr="00471475">
        <w:t>, Canberra</w:t>
      </w:r>
      <w:r w:rsidR="005E2F63" w:rsidRPr="00471475">
        <w:t>.</w:t>
      </w:r>
    </w:p>
    <w:p w:rsidR="00CA5420" w:rsidRPr="00CA5420" w:rsidRDefault="00CA5420" w:rsidP="00CA5420">
      <w:pPr>
        <w:pStyle w:val="Reference"/>
      </w:pPr>
      <w:proofErr w:type="spellStart"/>
      <w:r w:rsidRPr="00CA5420">
        <w:t>Cramton</w:t>
      </w:r>
      <w:proofErr w:type="spellEnd"/>
      <w:r w:rsidRPr="00CA5420">
        <w:t xml:space="preserve">, P. 2009, ‘How best to auction natural resources’, </w:t>
      </w:r>
      <w:r w:rsidRPr="00CA5420">
        <w:rPr>
          <w:i/>
        </w:rPr>
        <w:t>Handbook of Oil, Gas and Mineral Taxation</w:t>
      </w:r>
      <w:r w:rsidRPr="00CA5420">
        <w:t>, Washington DC.</w:t>
      </w:r>
    </w:p>
    <w:p w:rsidR="00402BA7" w:rsidRDefault="00402BA7" w:rsidP="00402BA7">
      <w:pPr>
        <w:pStyle w:val="Reference"/>
      </w:pPr>
      <w:r w:rsidRPr="00402BA7">
        <w:t xml:space="preserve">Cripps, A. (Minister for Natural Resources and Mines) 2012, </w:t>
      </w:r>
      <w:r w:rsidRPr="00402BA7">
        <w:rPr>
          <w:i/>
        </w:rPr>
        <w:t>New competitive cash bidding process for exploration rights</w:t>
      </w:r>
      <w:r w:rsidRPr="00402BA7">
        <w:t>, Media release, 9 October.</w:t>
      </w:r>
    </w:p>
    <w:p w:rsidR="008E5390" w:rsidRDefault="008E5390" w:rsidP="00402BA7">
      <w:pPr>
        <w:pStyle w:val="Reference"/>
      </w:pPr>
      <w:r w:rsidRPr="008E5390">
        <w:t xml:space="preserve">Dart Energy 2013, </w:t>
      </w:r>
      <w:r w:rsidRPr="008E5390">
        <w:rPr>
          <w:i/>
        </w:rPr>
        <w:t>Quarterly report, quarter ended 31 March 2013</w:t>
      </w:r>
      <w:r w:rsidRPr="008E5390">
        <w:t>, http://clients.weblink.com.au/clients/dartenergy/article.asp?asx=DTE&amp;view=2732802 (accessed 20 May 2013).</w:t>
      </w:r>
    </w:p>
    <w:p w:rsidR="0009608B" w:rsidRDefault="0009608B" w:rsidP="00402BA7">
      <w:pPr>
        <w:pStyle w:val="Reference"/>
      </w:pPr>
      <w:proofErr w:type="spellStart"/>
      <w:r>
        <w:t>DEEWR</w:t>
      </w:r>
      <w:proofErr w:type="spellEnd"/>
      <w:r>
        <w:t xml:space="preserve"> (</w:t>
      </w:r>
      <w:r w:rsidRPr="00AF3440">
        <w:t xml:space="preserve">Department of Education, Employment and Workplace Relations) </w:t>
      </w:r>
      <w:proofErr w:type="spellStart"/>
      <w:r w:rsidRPr="00AF3440">
        <w:t>2012</w:t>
      </w:r>
      <w:r>
        <w:t>a</w:t>
      </w:r>
      <w:proofErr w:type="spellEnd"/>
      <w:r w:rsidRPr="00AF3440">
        <w:t xml:space="preserve">, </w:t>
      </w:r>
      <w:r w:rsidRPr="0009608B">
        <w:rPr>
          <w:i/>
        </w:rPr>
        <w:t>Skill Shortage List Australia</w:t>
      </w:r>
      <w:r>
        <w:t>.</w:t>
      </w:r>
    </w:p>
    <w:p w:rsidR="0009608B" w:rsidRDefault="0009608B" w:rsidP="00402BA7">
      <w:pPr>
        <w:pStyle w:val="Reference"/>
      </w:pPr>
      <w:r>
        <w:t>—— </w:t>
      </w:r>
      <w:proofErr w:type="spellStart"/>
      <w:r>
        <w:t>2012b</w:t>
      </w:r>
      <w:proofErr w:type="spellEnd"/>
      <w:r>
        <w:t>,</w:t>
      </w:r>
      <w:r w:rsidR="00E23DAC">
        <w:t> </w:t>
      </w:r>
      <w:r w:rsidR="00CF49B8">
        <w:t>‘</w:t>
      </w:r>
      <w:r w:rsidRPr="00CF49B8">
        <w:t>Labour</w:t>
      </w:r>
      <w:r w:rsidR="00E23DAC" w:rsidRPr="00CF49B8">
        <w:t> </w:t>
      </w:r>
      <w:r w:rsidRPr="00CF49B8">
        <w:t>Market</w:t>
      </w:r>
      <w:r w:rsidR="00E23DAC" w:rsidRPr="00CF49B8">
        <w:t> </w:t>
      </w:r>
      <w:r w:rsidRPr="00CF49B8">
        <w:t>Research</w:t>
      </w:r>
      <w:r w:rsidR="00E23DAC" w:rsidRPr="00CF49B8">
        <w:t> </w:t>
      </w:r>
      <w:r w:rsidRPr="00CF49B8">
        <w:t>–</w:t>
      </w:r>
      <w:r w:rsidR="00E23DAC" w:rsidRPr="00CF49B8">
        <w:t> </w:t>
      </w:r>
      <w:r w:rsidRPr="00CF49B8">
        <w:t>Resources</w:t>
      </w:r>
      <w:r w:rsidR="00E23DAC" w:rsidRPr="00CF49B8">
        <w:t> </w:t>
      </w:r>
      <w:r w:rsidRPr="00CF49B8">
        <w:t>Sector</w:t>
      </w:r>
      <w:r w:rsidR="00CF49B8">
        <w:t>’</w:t>
      </w:r>
      <w:r>
        <w:t xml:space="preserve">, </w:t>
      </w:r>
      <w:r w:rsidRPr="00F64F80">
        <w:t>http://foi.deewr.gov.au/system/files/doc/other/resourcessectoraus.pdf</w:t>
      </w:r>
      <w:r>
        <w:t xml:space="preserve"> (accessed 1 May 2013).</w:t>
      </w:r>
    </w:p>
    <w:p w:rsidR="0009608B" w:rsidRDefault="0009608B" w:rsidP="00402BA7">
      <w:pPr>
        <w:pStyle w:val="Reference"/>
      </w:pPr>
      <w:r>
        <w:t>—— </w:t>
      </w:r>
      <w:proofErr w:type="spellStart"/>
      <w:r>
        <w:t>2013a</w:t>
      </w:r>
      <w:proofErr w:type="spellEnd"/>
      <w:r>
        <w:t>,</w:t>
      </w:r>
      <w:r w:rsidR="00E23DAC">
        <w:t> </w:t>
      </w:r>
      <w:r w:rsidRPr="004C53E7">
        <w:rPr>
          <w:i/>
        </w:rPr>
        <w:t>Historical</w:t>
      </w:r>
      <w:r w:rsidR="00E23DAC">
        <w:rPr>
          <w:i/>
        </w:rPr>
        <w:t> </w:t>
      </w:r>
      <w:r w:rsidRPr="004C53E7">
        <w:rPr>
          <w:i/>
        </w:rPr>
        <w:t>List</w:t>
      </w:r>
      <w:r w:rsidR="00E23DAC">
        <w:rPr>
          <w:i/>
        </w:rPr>
        <w:t> </w:t>
      </w:r>
      <w:r w:rsidRPr="004C53E7">
        <w:rPr>
          <w:i/>
        </w:rPr>
        <w:t>of</w:t>
      </w:r>
      <w:r w:rsidR="00E23DAC">
        <w:t> </w:t>
      </w:r>
      <w:r w:rsidRPr="004C53E7">
        <w:rPr>
          <w:i/>
        </w:rPr>
        <w:t>Skill</w:t>
      </w:r>
      <w:r w:rsidR="00E23DAC">
        <w:rPr>
          <w:i/>
        </w:rPr>
        <w:t> </w:t>
      </w:r>
      <w:r w:rsidRPr="004C53E7">
        <w:rPr>
          <w:i/>
        </w:rPr>
        <w:t>Shortages</w:t>
      </w:r>
      <w:r w:rsidR="00E23DAC">
        <w:rPr>
          <w:i/>
        </w:rPr>
        <w:t> </w:t>
      </w:r>
      <w:r w:rsidRPr="004C53E7">
        <w:rPr>
          <w:i/>
        </w:rPr>
        <w:t>(from</w:t>
      </w:r>
      <w:r w:rsidR="00E23DAC">
        <w:rPr>
          <w:i/>
        </w:rPr>
        <w:t> </w:t>
      </w:r>
      <w:r w:rsidRPr="004C53E7">
        <w:rPr>
          <w:i/>
        </w:rPr>
        <w:t>1986)</w:t>
      </w:r>
      <w:r>
        <w:t>,</w:t>
      </w:r>
      <w:r w:rsidRPr="00AF3440">
        <w:t xml:space="preserve"> http</w:t>
      </w:r>
      <w:r>
        <w:t>://</w:t>
      </w:r>
      <w:proofErr w:type="spellStart"/>
      <w:r>
        <w:t>foi.deewr.gov.au</w:t>
      </w:r>
      <w:proofErr w:type="spellEnd"/>
      <w:r>
        <w:t>/node/30829 (</w:t>
      </w:r>
      <w:r w:rsidRPr="00AF3440">
        <w:t>accessed 28</w:t>
      </w:r>
      <w:r>
        <w:t> </w:t>
      </w:r>
      <w:r w:rsidRPr="00AF3440">
        <w:t>March 2013</w:t>
      </w:r>
      <w:r>
        <w:t>)</w:t>
      </w:r>
      <w:r w:rsidRPr="00AF3440">
        <w:t>.</w:t>
      </w:r>
    </w:p>
    <w:p w:rsidR="0009608B" w:rsidRDefault="0009608B" w:rsidP="00402BA7">
      <w:pPr>
        <w:pStyle w:val="Reference"/>
      </w:pPr>
      <w:r>
        <w:t>—— </w:t>
      </w:r>
      <w:proofErr w:type="spellStart"/>
      <w:r>
        <w:t>2013b</w:t>
      </w:r>
      <w:proofErr w:type="spellEnd"/>
      <w:r>
        <w:t xml:space="preserve">, </w:t>
      </w:r>
      <w:r w:rsidR="00CF49B8">
        <w:t>‘</w:t>
      </w:r>
      <w:r w:rsidRPr="00CF49B8">
        <w:t>Vacancy Report</w:t>
      </w:r>
      <w:r w:rsidR="00CF49B8">
        <w:t>’</w:t>
      </w:r>
      <w:r>
        <w:t xml:space="preserve">, </w:t>
      </w:r>
      <w:r w:rsidRPr="00F64F80">
        <w:t>http://</w:t>
      </w:r>
      <w:proofErr w:type="spellStart"/>
      <w:r w:rsidRPr="00F64F80">
        <w:t>lmip.gov.au</w:t>
      </w:r>
      <w:proofErr w:type="spellEnd"/>
      <w:r w:rsidRPr="00F64F80">
        <w:t>/</w:t>
      </w:r>
      <w:proofErr w:type="spellStart"/>
      <w:r w:rsidRPr="00F64F80">
        <w:t>default.aspx?LMIP</w:t>
      </w:r>
      <w:proofErr w:type="spellEnd"/>
      <w:r w:rsidRPr="00F64F80">
        <w:t>/</w:t>
      </w:r>
      <w:r w:rsidR="00CF49B8">
        <w:br/>
      </w:r>
      <w:proofErr w:type="spellStart"/>
      <w:r w:rsidRPr="00F64F80">
        <w:t>VacancyReport</w:t>
      </w:r>
      <w:proofErr w:type="spellEnd"/>
      <w:r>
        <w:t xml:space="preserve"> (accessed 14 May 2013).</w:t>
      </w:r>
    </w:p>
    <w:p w:rsidR="00E31407" w:rsidRDefault="00E31407" w:rsidP="00E31407">
      <w:pPr>
        <w:pStyle w:val="Reference"/>
      </w:pPr>
      <w:r w:rsidRPr="00E31407">
        <w:t xml:space="preserve">Department of Health and Ageing 2010, </w:t>
      </w:r>
      <w:r w:rsidR="005D5139">
        <w:t>‘</w:t>
      </w:r>
      <w:r w:rsidRPr="00E31407">
        <w:t>Giving Reasons for Decisions</w:t>
      </w:r>
      <w:r w:rsidR="005D5139">
        <w:t>’</w:t>
      </w:r>
      <w:r w:rsidRPr="00E31407">
        <w:t>, http://www.health.gov.au/internet/main/publishing.nsf/Content/ageing</w:t>
      </w:r>
      <w:r w:rsidRPr="00E31407">
        <w:noBreakHyphen/>
        <w:t>acat</w:t>
      </w:r>
      <w:r w:rsidRPr="00E31407">
        <w:noBreakHyphen/>
        <w:t>reason</w:t>
      </w:r>
      <w:r w:rsidRPr="00E31407">
        <w:noBreakHyphen/>
        <w:t xml:space="preserve">decision (accessed 18 April 2013). </w:t>
      </w:r>
    </w:p>
    <w:p w:rsidR="005D5139" w:rsidRPr="00E31407" w:rsidRDefault="005D5139" w:rsidP="00E31407">
      <w:pPr>
        <w:pStyle w:val="Reference"/>
      </w:pPr>
      <w:r w:rsidRPr="005D5139">
        <w:t xml:space="preserve">Department of Industry, Tourism and Resources 2005, </w:t>
      </w:r>
      <w:r w:rsidRPr="00756F45">
        <w:rPr>
          <w:i/>
        </w:rPr>
        <w:t>Mineral and petroleum exploration &amp; development in Australia: a guide for investors</w:t>
      </w:r>
      <w:r w:rsidRPr="005D5139">
        <w:t>, Canberra.</w:t>
      </w:r>
    </w:p>
    <w:p w:rsidR="00E31407" w:rsidRDefault="005D5139" w:rsidP="00E31407">
      <w:pPr>
        <w:pStyle w:val="Reference"/>
      </w:pPr>
      <w:r>
        <w:t>—— </w:t>
      </w:r>
      <w:r w:rsidR="00E31407" w:rsidRPr="00D4448B">
        <w:t>2007,</w:t>
      </w:r>
      <w:r w:rsidR="00D86A69">
        <w:t xml:space="preserve"> </w:t>
      </w:r>
      <w:r w:rsidR="00E31407" w:rsidRPr="00D4448B">
        <w:rPr>
          <w:i/>
        </w:rPr>
        <w:t>Working with Indigenous Communities: Leading Practice Sustainable Development Program for the Mining Industry</w:t>
      </w:r>
      <w:r w:rsidR="00E31407" w:rsidRPr="00D4448B">
        <w:t>, Canberra.</w:t>
      </w:r>
    </w:p>
    <w:p w:rsidR="00E84CD0" w:rsidRDefault="00E84CD0" w:rsidP="00C50A08">
      <w:pPr>
        <w:pStyle w:val="Reference"/>
      </w:pPr>
      <w:r w:rsidRPr="00E84CD0">
        <w:lastRenderedPageBreak/>
        <w:t xml:space="preserve">Department of Infrastructure, Energy and Resources Tasmania, 2009, </w:t>
      </w:r>
      <w:r w:rsidRPr="00E84CD0">
        <w:rPr>
          <w:i/>
        </w:rPr>
        <w:t>Land Owner’s Questions</w:t>
      </w:r>
      <w:r w:rsidRPr="00E84CD0">
        <w:t>, September.</w:t>
      </w:r>
    </w:p>
    <w:p w:rsidR="00765C32" w:rsidRPr="00C50A08" w:rsidRDefault="00765C32" w:rsidP="00C50A08">
      <w:pPr>
        <w:pStyle w:val="Reference"/>
      </w:pPr>
      <w:r w:rsidRPr="00C50A08">
        <w:t xml:space="preserve">—— 2011, </w:t>
      </w:r>
      <w:r w:rsidRPr="00C50A08">
        <w:rPr>
          <w:i/>
        </w:rPr>
        <w:t>Exploration Procedures — Information for Explorers</w:t>
      </w:r>
      <w:r w:rsidRPr="00C50A08">
        <w:t>, Hobart.</w:t>
      </w:r>
    </w:p>
    <w:p w:rsidR="00546C8B" w:rsidRDefault="00E84CD0" w:rsidP="00765C32">
      <w:pPr>
        <w:pStyle w:val="Reference"/>
      </w:pPr>
      <w:r>
        <w:t>—— </w:t>
      </w:r>
      <w:r w:rsidR="00A3217D">
        <w:t>2013, </w:t>
      </w:r>
      <w:r w:rsidR="00CF49B8">
        <w:t>‘</w:t>
      </w:r>
      <w:r w:rsidR="00546C8B" w:rsidRPr="00CF49B8">
        <w:t>The</w:t>
      </w:r>
      <w:r w:rsidR="00A3217D" w:rsidRPr="00CF49B8">
        <w:t> </w:t>
      </w:r>
      <w:proofErr w:type="spellStart"/>
      <w:r w:rsidR="00546C8B" w:rsidRPr="00CF49B8">
        <w:t>TasExplore</w:t>
      </w:r>
      <w:proofErr w:type="spellEnd"/>
      <w:r w:rsidR="00A3217D" w:rsidRPr="00CF49B8">
        <w:t> </w:t>
      </w:r>
      <w:r w:rsidR="00546C8B" w:rsidRPr="00CF49B8">
        <w:t>Project</w:t>
      </w:r>
      <w:r w:rsidR="00CF49B8">
        <w:t>’</w:t>
      </w:r>
      <w:r w:rsidR="00546C8B">
        <w:t xml:space="preserve">, </w:t>
      </w:r>
      <w:r w:rsidR="00CF49B8" w:rsidRPr="00CF49B8">
        <w:t>http://</w:t>
      </w:r>
      <w:proofErr w:type="spellStart"/>
      <w:r w:rsidR="00CF49B8" w:rsidRPr="00CF49B8">
        <w:t>www.mrt.tas.gov.au</w:t>
      </w:r>
      <w:proofErr w:type="spellEnd"/>
      <w:r w:rsidR="00CF49B8" w:rsidRPr="00CF49B8">
        <w:t>/portal/page</w:t>
      </w:r>
      <w:r w:rsidR="00CF49B8">
        <w:br/>
      </w:r>
      <w:r w:rsidR="00A3217D" w:rsidRPr="00A3217D">
        <w:t>?_</w:t>
      </w:r>
      <w:proofErr w:type="spellStart"/>
      <w:r w:rsidR="00A3217D" w:rsidRPr="00A3217D">
        <w:t>pageid</w:t>
      </w:r>
      <w:proofErr w:type="spellEnd"/>
      <w:r w:rsidR="00A3217D">
        <w:t xml:space="preserve"> </w:t>
      </w:r>
      <w:r w:rsidR="00A3217D" w:rsidRPr="00A3217D">
        <w:t>=</w:t>
      </w:r>
      <w:proofErr w:type="spellStart"/>
      <w:r w:rsidR="00A3217D" w:rsidRPr="00A3217D">
        <w:t>35,837094&amp;_dad</w:t>
      </w:r>
      <w:proofErr w:type="spellEnd"/>
      <w:r w:rsidR="00A3217D" w:rsidRPr="00A3217D">
        <w:t>=</w:t>
      </w:r>
      <w:proofErr w:type="spellStart"/>
      <w:r w:rsidR="00A3217D" w:rsidRPr="00A3217D">
        <w:t>portal&amp;_schema</w:t>
      </w:r>
      <w:proofErr w:type="spellEnd"/>
      <w:r w:rsidR="00A3217D" w:rsidRPr="00A3217D">
        <w:t>=PORTAL</w:t>
      </w:r>
      <w:r w:rsidR="00546C8B">
        <w:t xml:space="preserve"> (accessed 17 May 2013).</w:t>
      </w:r>
    </w:p>
    <w:p w:rsidR="008515E6" w:rsidRDefault="008515E6" w:rsidP="008515E6">
      <w:pPr>
        <w:pStyle w:val="Reference"/>
      </w:pPr>
      <w:proofErr w:type="spellStart"/>
      <w:r w:rsidRPr="008515E6">
        <w:t>DEWHA</w:t>
      </w:r>
      <w:proofErr w:type="spellEnd"/>
      <w:r w:rsidRPr="008515E6">
        <w:t xml:space="preserve"> (Department of the Environment, Water, Heritage and the Arts) </w:t>
      </w:r>
      <w:proofErr w:type="spellStart"/>
      <w:r w:rsidRPr="008515E6">
        <w:t>2009</w:t>
      </w:r>
      <w:r w:rsidR="00131E0F">
        <w:t>a</w:t>
      </w:r>
      <w:proofErr w:type="spellEnd"/>
      <w:r w:rsidRPr="008515E6">
        <w:t xml:space="preserve">, </w:t>
      </w:r>
      <w:r w:rsidRPr="008515E6">
        <w:rPr>
          <w:i/>
        </w:rPr>
        <w:t>The Australian Environment Act – Report of the Independent Review of the Environment Protection and Biodiversity Conservation Act 1999</w:t>
      </w:r>
      <w:r w:rsidRPr="008515E6">
        <w:t>, final report, Canberra.</w:t>
      </w:r>
    </w:p>
    <w:p w:rsidR="00F9556C" w:rsidRDefault="00F9556C" w:rsidP="00F9556C">
      <w:pPr>
        <w:pStyle w:val="Reference"/>
      </w:pPr>
      <w:r>
        <w:t>—— </w:t>
      </w:r>
      <w:proofErr w:type="spellStart"/>
      <w:r w:rsidRPr="00F9556C">
        <w:t>2009</w:t>
      </w:r>
      <w:r w:rsidR="00131E0F">
        <w:t>b</w:t>
      </w:r>
      <w:proofErr w:type="spellEnd"/>
      <w:r w:rsidRPr="00F9556C">
        <w:t xml:space="preserve">, </w:t>
      </w:r>
      <w:r w:rsidRPr="00F9556C">
        <w:rPr>
          <w:i/>
        </w:rPr>
        <w:t>Indigenous heritage law reform</w:t>
      </w:r>
      <w:r w:rsidRPr="00F9556C">
        <w:t>, Discussion paper, Canberra.</w:t>
      </w:r>
    </w:p>
    <w:p w:rsidR="00131E0F" w:rsidRDefault="00131E0F" w:rsidP="00F9556C">
      <w:pPr>
        <w:pStyle w:val="Reference"/>
      </w:pPr>
      <w:r>
        <w:t>—— </w:t>
      </w:r>
      <w:proofErr w:type="spellStart"/>
      <w:r>
        <w:t>2009c</w:t>
      </w:r>
      <w:proofErr w:type="spellEnd"/>
      <w:r>
        <w:t xml:space="preserve">, </w:t>
      </w:r>
      <w:r w:rsidR="00756F45">
        <w:t>‘</w:t>
      </w:r>
      <w:r w:rsidRPr="00131E0F">
        <w:t>Matters of National Environmental Significance, Significant impact guidelines 1.1 — Environment Protection and Biodiversity Conservation Act 1999</w:t>
      </w:r>
      <w:r w:rsidR="00756F45">
        <w:t>’</w:t>
      </w:r>
      <w:r w:rsidRPr="00131E0F">
        <w:t>, http://www.environment.gov.au/epbc/publications/pubs/nes-guidelines.pdf (downloaded 21 May 2013).</w:t>
      </w:r>
    </w:p>
    <w:p w:rsidR="00311774" w:rsidRDefault="00311774" w:rsidP="00F9556C">
      <w:pPr>
        <w:pStyle w:val="Reference"/>
      </w:pPr>
      <w:proofErr w:type="spellStart"/>
      <w:r>
        <w:t>DFAT</w:t>
      </w:r>
      <w:proofErr w:type="spellEnd"/>
      <w:r>
        <w:t xml:space="preserve"> (Department of Foreign Affairs and Trade) 2012, </w:t>
      </w:r>
      <w:r w:rsidR="00756F45">
        <w:t>‘</w:t>
      </w:r>
      <w:r w:rsidRPr="00311774">
        <w:t xml:space="preserve">Nuclear </w:t>
      </w:r>
      <w:proofErr w:type="spellStart"/>
      <w:r w:rsidRPr="00311774">
        <w:t>non-proliferation</w:t>
      </w:r>
      <w:proofErr w:type="spellEnd"/>
      <w:r w:rsidRPr="00311774">
        <w:t>, trade and security</w:t>
      </w:r>
      <w:r w:rsidR="00756F45">
        <w:t>’</w:t>
      </w:r>
      <w:r w:rsidRPr="00311774">
        <w:t>, http://</w:t>
      </w:r>
      <w:proofErr w:type="spellStart"/>
      <w:r w:rsidRPr="00311774">
        <w:t>www.dfat.gov.au</w:t>
      </w:r>
      <w:proofErr w:type="spellEnd"/>
      <w:r w:rsidRPr="00311774">
        <w:t>/security/</w:t>
      </w:r>
      <w:proofErr w:type="spellStart"/>
      <w:r w:rsidRPr="00311774">
        <w:t>aus_uran_exp_policy.html</w:t>
      </w:r>
      <w:proofErr w:type="spellEnd"/>
      <w:r w:rsidRPr="00311774">
        <w:t xml:space="preserve"> </w:t>
      </w:r>
      <w:r>
        <w:t>(</w:t>
      </w:r>
      <w:r w:rsidRPr="00311774">
        <w:t>accessed 6 May 2013</w:t>
      </w:r>
      <w:r>
        <w:t>)</w:t>
      </w:r>
      <w:r w:rsidRPr="00311774">
        <w:t>.</w:t>
      </w:r>
    </w:p>
    <w:p w:rsidR="0009608B" w:rsidRDefault="0009608B" w:rsidP="00F9556C">
      <w:pPr>
        <w:pStyle w:val="Reference"/>
      </w:pPr>
      <w:proofErr w:type="spellStart"/>
      <w:r>
        <w:t>DIAC</w:t>
      </w:r>
      <w:proofErr w:type="spellEnd"/>
      <w:r>
        <w:t xml:space="preserve"> (Department of Immigration and Citizenship) </w:t>
      </w:r>
      <w:proofErr w:type="spellStart"/>
      <w:r>
        <w:t>2012a</w:t>
      </w:r>
      <w:proofErr w:type="spellEnd"/>
      <w:r>
        <w:t xml:space="preserve">, </w:t>
      </w:r>
      <w:r w:rsidR="00CF49B8">
        <w:t>‘</w:t>
      </w:r>
      <w:r w:rsidRPr="00CF49B8">
        <w:t>Population flows — Immigration</w:t>
      </w:r>
      <w:r w:rsidR="00E23DAC" w:rsidRPr="00CF49B8">
        <w:t> </w:t>
      </w:r>
      <w:r w:rsidRPr="00CF49B8">
        <w:t>aspects</w:t>
      </w:r>
      <w:r w:rsidR="00E23DAC" w:rsidRPr="00CF49B8">
        <w:t> </w:t>
      </w:r>
      <w:r w:rsidRPr="00CF49B8">
        <w:t>2010</w:t>
      </w:r>
      <w:r w:rsidRPr="00CF49B8">
        <w:noBreakHyphen/>
        <w:t>11</w:t>
      </w:r>
      <w:r w:rsidR="00E23DAC" w:rsidRPr="00CF49B8">
        <w:t> </w:t>
      </w:r>
      <w:r w:rsidRPr="00CF49B8">
        <w:t>edition</w:t>
      </w:r>
      <w:r w:rsidR="00CF49B8">
        <w:t>’</w:t>
      </w:r>
      <w:r>
        <w:t>,</w:t>
      </w:r>
      <w:r w:rsidR="00E23DAC">
        <w:t> </w:t>
      </w:r>
      <w:r>
        <w:t>May,</w:t>
      </w:r>
      <w:r w:rsidRPr="004C53E7">
        <w:t xml:space="preserve"> http://www.immi.gov.au/media/publications/statistics/popflows2010</w:t>
      </w:r>
      <w:r>
        <w:noBreakHyphen/>
      </w:r>
      <w:r w:rsidRPr="004C53E7">
        <w:t>11/</w:t>
      </w:r>
      <w:r w:rsidR="00756F45">
        <w:br/>
      </w:r>
      <w:r w:rsidRPr="004C53E7">
        <w:t>pop</w:t>
      </w:r>
      <w:r>
        <w:noBreakHyphen/>
      </w:r>
      <w:proofErr w:type="spellStart"/>
      <w:r w:rsidRPr="004C53E7">
        <w:t>flows.pdf</w:t>
      </w:r>
      <w:proofErr w:type="spellEnd"/>
      <w:r>
        <w:t xml:space="preserve"> (accessed 12 April 2013).</w:t>
      </w:r>
    </w:p>
    <w:p w:rsidR="0009608B" w:rsidRDefault="0009608B" w:rsidP="00F9556C">
      <w:pPr>
        <w:pStyle w:val="Reference"/>
      </w:pPr>
      <w:r>
        <w:t>—— </w:t>
      </w:r>
      <w:proofErr w:type="spellStart"/>
      <w:r>
        <w:t>2012b</w:t>
      </w:r>
      <w:proofErr w:type="spellEnd"/>
      <w:r>
        <w:t xml:space="preserve">, </w:t>
      </w:r>
      <w:r w:rsidR="00CF49B8">
        <w:t>‘</w:t>
      </w:r>
      <w:r w:rsidRPr="00CF49B8">
        <w:t>Annual update of skilled occupation list – 1 July 2012</w:t>
      </w:r>
      <w:r w:rsidR="00CF49B8">
        <w:t>’</w:t>
      </w:r>
      <w:r>
        <w:t xml:space="preserve">, June, </w:t>
      </w:r>
      <w:r w:rsidRPr="00C64C16">
        <w:t>http://</w:t>
      </w:r>
      <w:proofErr w:type="spellStart"/>
      <w:r w:rsidRPr="00C64C16">
        <w:t>www.immi.gov.au</w:t>
      </w:r>
      <w:proofErr w:type="spellEnd"/>
      <w:r w:rsidRPr="00C64C16">
        <w:t>/skilled/_pdf/updated-</w:t>
      </w:r>
      <w:proofErr w:type="spellStart"/>
      <w:r w:rsidRPr="00C64C16">
        <w:t>sol.pdf</w:t>
      </w:r>
      <w:proofErr w:type="spellEnd"/>
      <w:r>
        <w:t xml:space="preserve"> (accessed 14 May 2013).</w:t>
      </w:r>
    </w:p>
    <w:p w:rsidR="0009608B" w:rsidRDefault="0009608B" w:rsidP="0009608B">
      <w:pPr>
        <w:pStyle w:val="Reference"/>
        <w:tabs>
          <w:tab w:val="left" w:pos="709"/>
        </w:tabs>
      </w:pPr>
      <w:proofErr w:type="spellStart"/>
      <w:r>
        <w:t>DIISRTE</w:t>
      </w:r>
      <w:proofErr w:type="spellEnd"/>
      <w:r>
        <w:t xml:space="preserve"> (Department of Industry, Innovation, Science, Research and Tertiary Education) 2013, </w:t>
      </w:r>
      <w:proofErr w:type="spellStart"/>
      <w:r>
        <w:rPr>
          <w:i/>
        </w:rPr>
        <w:t>uCube</w:t>
      </w:r>
      <w:proofErr w:type="spellEnd"/>
      <w:r>
        <w:t xml:space="preserve">, </w:t>
      </w:r>
      <w:r w:rsidRPr="00183319">
        <w:t>http://</w:t>
      </w:r>
      <w:proofErr w:type="spellStart"/>
      <w:r w:rsidRPr="00183319">
        <w:t>www.highereducationstatistics.deewr.gov.au</w:t>
      </w:r>
      <w:proofErr w:type="spellEnd"/>
      <w:r w:rsidRPr="00183319">
        <w:t>/</w:t>
      </w:r>
      <w:r>
        <w:t xml:space="preserve"> (accessed 12 April 2013). </w:t>
      </w:r>
    </w:p>
    <w:p w:rsidR="0026784F" w:rsidRDefault="0026784F" w:rsidP="0026784F">
      <w:pPr>
        <w:pStyle w:val="Reference"/>
      </w:pPr>
      <w:proofErr w:type="spellStart"/>
      <w:r>
        <w:t>DoFD</w:t>
      </w:r>
      <w:proofErr w:type="spellEnd"/>
      <w:r>
        <w:t xml:space="preserve"> (</w:t>
      </w:r>
      <w:r w:rsidRPr="004A5D0C">
        <w:t>Department of Finance and Deregulation</w:t>
      </w:r>
      <w:r>
        <w:t>)</w:t>
      </w:r>
      <w:r w:rsidRPr="004A5D0C">
        <w:t xml:space="preserve"> 2011, </w:t>
      </w:r>
      <w:r w:rsidRPr="004A5D0C">
        <w:rPr>
          <w:i/>
        </w:rPr>
        <w:t>Strategic Review of Geoscience Australia</w:t>
      </w:r>
      <w:r w:rsidRPr="004A5D0C">
        <w:t>, Canberra.</w:t>
      </w:r>
    </w:p>
    <w:p w:rsidR="00127352" w:rsidRDefault="00127352" w:rsidP="00127352">
      <w:pPr>
        <w:pStyle w:val="Reference"/>
      </w:pPr>
      <w:proofErr w:type="spellStart"/>
      <w:r>
        <w:t>D</w:t>
      </w:r>
      <w:r w:rsidRPr="00566137">
        <w:t>RET</w:t>
      </w:r>
      <w:proofErr w:type="spellEnd"/>
      <w:r w:rsidRPr="00566137">
        <w:t xml:space="preserve"> (Department of Resources, Energy and Tourism) </w:t>
      </w:r>
      <w:r>
        <w:t>2005</w:t>
      </w:r>
      <w:r w:rsidRPr="00A30CA2">
        <w:t xml:space="preserve">, ‘13: Environmental Protection’, </w:t>
      </w:r>
      <w:r w:rsidRPr="00A30CA2">
        <w:rPr>
          <w:i/>
        </w:rPr>
        <w:t>Mineral and Petroleum Exploration and Development Guide for Investors</w:t>
      </w:r>
      <w:r w:rsidRPr="00A30CA2">
        <w:t>, Canberra.</w:t>
      </w:r>
    </w:p>
    <w:p w:rsidR="00311774" w:rsidRDefault="00127352" w:rsidP="00536464">
      <w:pPr>
        <w:pStyle w:val="Reference"/>
      </w:pPr>
      <w:r>
        <w:t>—— </w:t>
      </w:r>
      <w:r w:rsidR="00311774" w:rsidRPr="00311774">
        <w:t xml:space="preserve">2009, </w:t>
      </w:r>
      <w:r w:rsidR="00756F45">
        <w:t>‘</w:t>
      </w:r>
      <w:r w:rsidR="00311774" w:rsidRPr="00311774">
        <w:t>Review of policy relating to the grant and renewal of retention leases — options</w:t>
      </w:r>
      <w:r w:rsidR="00756F45">
        <w:t xml:space="preserve"> </w:t>
      </w:r>
      <w:r w:rsidR="00311774" w:rsidRPr="00311774">
        <w:t>paper</w:t>
      </w:r>
      <w:r w:rsidR="00756F45">
        <w:t>’</w:t>
      </w:r>
      <w:r w:rsidR="00311774" w:rsidRPr="00311774">
        <w:t xml:space="preserve">, </w:t>
      </w:r>
      <w:proofErr w:type="spellStart"/>
      <w:r w:rsidR="00311774" w:rsidRPr="00311774">
        <w:t>www.ret.gov.au</w:t>
      </w:r>
      <w:proofErr w:type="spellEnd"/>
      <w:r w:rsidR="00311774" w:rsidRPr="00311774">
        <w:t>/resources/Documents/</w:t>
      </w:r>
      <w:proofErr w:type="spellStart"/>
      <w:r w:rsidR="00311774" w:rsidRPr="00311774">
        <w:t>Grant_and</w:t>
      </w:r>
      <w:proofErr w:type="spellEnd"/>
      <w:r w:rsidR="00311774" w:rsidRPr="00311774">
        <w:t>_</w:t>
      </w:r>
      <w:r w:rsidR="00756F45">
        <w:br/>
      </w:r>
      <w:r w:rsidR="00311774" w:rsidRPr="00311774">
        <w:t>%</w:t>
      </w:r>
      <w:proofErr w:type="spellStart"/>
      <w:r w:rsidR="00311774" w:rsidRPr="00311774">
        <w:t>20renewal_of_retention_leases-optionspaper.pdf</w:t>
      </w:r>
      <w:proofErr w:type="spellEnd"/>
      <w:r w:rsidR="00311774" w:rsidRPr="00311774">
        <w:t xml:space="preserve"> </w:t>
      </w:r>
      <w:r w:rsidR="00311774">
        <w:t>(</w:t>
      </w:r>
      <w:r w:rsidR="00311774" w:rsidRPr="00311774">
        <w:t>accessed 13 March 2013</w:t>
      </w:r>
      <w:r w:rsidR="00311774">
        <w:t>)</w:t>
      </w:r>
      <w:r w:rsidR="00311774" w:rsidRPr="00311774">
        <w:t>.</w:t>
      </w:r>
    </w:p>
    <w:p w:rsidR="00536464" w:rsidRDefault="00311774" w:rsidP="00536464">
      <w:pPr>
        <w:pStyle w:val="Reference"/>
      </w:pPr>
      <w:r>
        <w:lastRenderedPageBreak/>
        <w:t>—— </w:t>
      </w:r>
      <w:proofErr w:type="spellStart"/>
      <w:r w:rsidR="00536464" w:rsidRPr="00566137">
        <w:t>2011</w:t>
      </w:r>
      <w:r>
        <w:t>a</w:t>
      </w:r>
      <w:proofErr w:type="spellEnd"/>
      <w:r w:rsidR="00536464" w:rsidRPr="00566137">
        <w:t xml:space="preserve">, </w:t>
      </w:r>
      <w:r w:rsidR="00536464" w:rsidRPr="00566137">
        <w:rPr>
          <w:i/>
        </w:rPr>
        <w:t>Commonwealth Government Response to the Productivity Commission Review of Regulatory Burden on the Upstream Petroleum (Oil &amp; Gas) Sector</w:t>
      </w:r>
      <w:r w:rsidR="00536464" w:rsidRPr="00566137">
        <w:t>, Canberra.</w:t>
      </w:r>
    </w:p>
    <w:p w:rsidR="00536464" w:rsidRDefault="00536464" w:rsidP="00536464">
      <w:pPr>
        <w:pStyle w:val="Reference"/>
      </w:pPr>
      <w:r>
        <w:t>—— </w:t>
      </w:r>
      <w:proofErr w:type="spellStart"/>
      <w:r>
        <w:t>2011</w:t>
      </w:r>
      <w:r w:rsidR="00311774">
        <w:t>b</w:t>
      </w:r>
      <w:proofErr w:type="spellEnd"/>
      <w:r>
        <w:t xml:space="preserve">, </w:t>
      </w:r>
      <w:r>
        <w:rPr>
          <w:i/>
        </w:rPr>
        <w:t xml:space="preserve">Final Government Response to the Report of the </w:t>
      </w:r>
      <w:proofErr w:type="spellStart"/>
      <w:r>
        <w:rPr>
          <w:i/>
        </w:rPr>
        <w:t>Montara</w:t>
      </w:r>
      <w:proofErr w:type="spellEnd"/>
      <w:r>
        <w:rPr>
          <w:i/>
        </w:rPr>
        <w:t xml:space="preserve"> Commission of Inquiry</w:t>
      </w:r>
      <w:r>
        <w:t>, Canberra.</w:t>
      </w:r>
    </w:p>
    <w:p w:rsidR="00311774" w:rsidRDefault="00311774" w:rsidP="00311774">
      <w:pPr>
        <w:pStyle w:val="Reference"/>
      </w:pPr>
      <w:r>
        <w:t>——</w:t>
      </w:r>
      <w:r w:rsidR="00213505">
        <w:t> </w:t>
      </w:r>
      <w:proofErr w:type="spellStart"/>
      <w:r>
        <w:t>2012a</w:t>
      </w:r>
      <w:proofErr w:type="spellEnd"/>
      <w:r>
        <w:t>,</w:t>
      </w:r>
      <w:r w:rsidR="00E23DAC">
        <w:t> </w:t>
      </w:r>
      <w:r w:rsidR="00756F45">
        <w:t>‘</w:t>
      </w:r>
      <w:r>
        <w:t>Exploration permit guideline: Assessment of bid and renewal applications, http://www.nopta.gov.au/_documents/guidelines/requirements-bid-renewal-applications.doc</w:t>
      </w:r>
      <w:r w:rsidR="00756F45">
        <w:t>’</w:t>
      </w:r>
      <w:r>
        <w:t xml:space="preserve"> (accessed 8 March 2013).</w:t>
      </w:r>
    </w:p>
    <w:p w:rsidR="00311774" w:rsidRDefault="00311774" w:rsidP="00311774">
      <w:pPr>
        <w:pStyle w:val="Reference"/>
      </w:pPr>
      <w:r>
        <w:t>——</w:t>
      </w:r>
      <w:r w:rsidR="00213505">
        <w:t> </w:t>
      </w:r>
      <w:proofErr w:type="spellStart"/>
      <w:r>
        <w:t>2012b</w:t>
      </w:r>
      <w:proofErr w:type="spellEnd"/>
      <w:r>
        <w:t>, Australia 2012: Offshore petroleum exploration acreage release, fact sheet,</w:t>
      </w:r>
      <w:r w:rsidR="00E23DAC">
        <w:t> </w:t>
      </w:r>
      <w:r>
        <w:t>http://www.petroleum-acreage.gov.au/documents/factsheets/Acreage_</w:t>
      </w:r>
      <w:r w:rsidR="00756F45">
        <w:br/>
      </w:r>
      <w:proofErr w:type="spellStart"/>
      <w:r>
        <w:t>Release.pdf</w:t>
      </w:r>
      <w:proofErr w:type="spellEnd"/>
      <w:r>
        <w:t xml:space="preserve"> (accessed 13 March 2013).</w:t>
      </w:r>
    </w:p>
    <w:p w:rsidR="00311774" w:rsidRDefault="00311774" w:rsidP="00311774">
      <w:pPr>
        <w:pStyle w:val="Reference"/>
      </w:pPr>
      <w:r>
        <w:t>——</w:t>
      </w:r>
      <w:r w:rsidR="00213505">
        <w:t> </w:t>
      </w:r>
      <w:proofErr w:type="spellStart"/>
      <w:r>
        <w:t>2012c</w:t>
      </w:r>
      <w:proofErr w:type="spellEnd"/>
      <w:r>
        <w:t>,</w:t>
      </w:r>
      <w:r w:rsidR="00E23DAC">
        <w:t> </w:t>
      </w:r>
      <w:r w:rsidRPr="00311774">
        <w:rPr>
          <w:i/>
        </w:rPr>
        <w:t>Energy white paper 2012: Australia’s energy transformation</w:t>
      </w:r>
      <w:r>
        <w:t>, Canberra.</w:t>
      </w:r>
    </w:p>
    <w:p w:rsidR="00E85670" w:rsidRDefault="00E85670" w:rsidP="00311774">
      <w:pPr>
        <w:pStyle w:val="Reference"/>
      </w:pPr>
      <w:r>
        <w:t>—— 2013,</w:t>
      </w:r>
      <w:r w:rsidR="00E23DAC">
        <w:t> </w:t>
      </w:r>
      <w:r w:rsidR="00756F45">
        <w:t>‘</w:t>
      </w:r>
      <w:r>
        <w:t>Offshore petroleum legislation, regulation and guidelines</w:t>
      </w:r>
      <w:r w:rsidR="00756F45">
        <w:t>’</w:t>
      </w:r>
      <w:r>
        <w:t xml:space="preserve">, </w:t>
      </w:r>
      <w:r w:rsidRPr="00E85670">
        <w:t>http://www.ret.gov.au/resources/upstream_petroleum/op-regulatory-regime/op-legislation/Pages/op-legislation.aspx</w:t>
      </w:r>
      <w:r>
        <w:t xml:space="preserve"> (accessed 8 May 2013).</w:t>
      </w:r>
    </w:p>
    <w:p w:rsidR="00536464" w:rsidRDefault="00536464" w:rsidP="00536464">
      <w:pPr>
        <w:pStyle w:val="Reference"/>
      </w:pPr>
      <w:r>
        <w:t>—— </w:t>
      </w:r>
      <w:r w:rsidR="00127352">
        <w:t>2005</w:t>
      </w:r>
      <w:r w:rsidRPr="00A30CA2">
        <w:t xml:space="preserve">, ‘13: Environmental Protection’, </w:t>
      </w:r>
      <w:r w:rsidRPr="00A30CA2">
        <w:rPr>
          <w:i/>
        </w:rPr>
        <w:t>Mineral and Petroleum Exploration and Development Guide for Investors</w:t>
      </w:r>
      <w:r w:rsidRPr="00A30CA2">
        <w:t>, Canberra.</w:t>
      </w:r>
    </w:p>
    <w:p w:rsidR="00536464" w:rsidRPr="006E5BBC" w:rsidRDefault="00536464" w:rsidP="00536464">
      <w:pPr>
        <w:pStyle w:val="Reference"/>
      </w:pPr>
      <w:r>
        <w:t>—— </w:t>
      </w:r>
      <w:proofErr w:type="spellStart"/>
      <w:r w:rsidRPr="006E5BBC">
        <w:t>nd</w:t>
      </w:r>
      <w:proofErr w:type="spellEnd"/>
      <w:r w:rsidRPr="006E5BBC">
        <w:t>,</w:t>
      </w:r>
      <w:r>
        <w:t> </w:t>
      </w:r>
      <w:r w:rsidR="00756F45">
        <w:t>‘</w:t>
      </w:r>
      <w:r w:rsidRPr="006E5BBC">
        <w:t>Competitive</w:t>
      </w:r>
      <w:r w:rsidR="00E23DAC">
        <w:t> </w:t>
      </w:r>
      <w:r w:rsidRPr="006E5BBC">
        <w:t>cash</w:t>
      </w:r>
      <w:r w:rsidRPr="006E5BBC">
        <w:noBreakHyphen/>
        <w:t>bidding,</w:t>
      </w:r>
      <w:r w:rsidR="00E23DAC">
        <w:t> </w:t>
      </w:r>
      <w:r w:rsidRPr="006E5BBC">
        <w:t>fact</w:t>
      </w:r>
      <w:r w:rsidR="00E23DAC">
        <w:t> </w:t>
      </w:r>
      <w:r w:rsidRPr="006E5BBC">
        <w:t>sheet</w:t>
      </w:r>
      <w:r w:rsidR="00756F45">
        <w:t>’</w:t>
      </w:r>
      <w:r w:rsidRPr="006E5BBC">
        <w:t>, http://www.ret.gov.au/resources/Documents/upstream</w:t>
      </w:r>
      <w:r w:rsidRPr="006E5BBC">
        <w:noBreakHyphen/>
        <w:t>petroleum/Cash</w:t>
      </w:r>
      <w:r w:rsidRPr="006E5BBC">
        <w:noBreakHyphen/>
        <w:t>Bidding</w:t>
      </w:r>
      <w:r w:rsidRPr="006E5BBC">
        <w:noBreakHyphen/>
        <w:t>Fact</w:t>
      </w:r>
      <w:r w:rsidRPr="006E5BBC">
        <w:noBreakHyphen/>
        <w:t>Sheet.pdf (accessed 8 March 2013).</w:t>
      </w:r>
    </w:p>
    <w:p w:rsidR="00546C8B" w:rsidRDefault="00546C8B" w:rsidP="00546C8B">
      <w:pPr>
        <w:pStyle w:val="Reference"/>
      </w:pPr>
      <w:r>
        <w:t xml:space="preserve">Duke, </w:t>
      </w:r>
      <w:proofErr w:type="spellStart"/>
      <w:r>
        <w:t>J.M</w:t>
      </w:r>
      <w:proofErr w:type="spellEnd"/>
      <w:r>
        <w:t xml:space="preserve">. 2010, </w:t>
      </w:r>
      <w:r>
        <w:rPr>
          <w:i/>
        </w:rPr>
        <w:t>Government geoscience to support mineral exploration, public policy rationale and impact</w:t>
      </w:r>
      <w:r>
        <w:t>, Paper prepared for the Prospectors and Developers Association of Canada.</w:t>
      </w:r>
    </w:p>
    <w:p w:rsidR="002A2DE3" w:rsidRDefault="002A2DE3" w:rsidP="002A2DE3">
      <w:pPr>
        <w:pStyle w:val="Reference"/>
      </w:pPr>
      <w:r w:rsidRPr="002A2DE3">
        <w:t xml:space="preserve">Economic Development and Infrastructure Committee 2012, </w:t>
      </w:r>
      <w:r w:rsidRPr="002A2DE3">
        <w:rPr>
          <w:i/>
        </w:rPr>
        <w:t>Inquiry into greenfields mineral exploration and project development in Victoria</w:t>
      </w:r>
      <w:r w:rsidRPr="002A2DE3">
        <w:t>, final report (Mr Neal Burgess MP, Chairman), Parliament of Victoria, Melbourne.</w:t>
      </w:r>
    </w:p>
    <w:p w:rsidR="00361411" w:rsidRPr="00361411" w:rsidRDefault="00361411" w:rsidP="00361411">
      <w:pPr>
        <w:pStyle w:val="Reference"/>
      </w:pPr>
      <w:r w:rsidRPr="00361411">
        <w:t xml:space="preserve">Edelman, D., Hall, T., Hayes, L., Byrne, J. and Cowan, C. 2010, </w:t>
      </w:r>
      <w:r w:rsidRPr="00361411">
        <w:rPr>
          <w:i/>
        </w:rPr>
        <w:t>Commonwealth, State and Territory Heritage Regimes: summary of provisions for Aboriginal consultation</w:t>
      </w:r>
      <w:r w:rsidRPr="00361411">
        <w:t>, report prepared for the New South Wales Aboriginal Land Council, National Native Title Tribunal, Perth.</w:t>
      </w:r>
    </w:p>
    <w:p w:rsidR="00124F26" w:rsidRPr="00124F26" w:rsidRDefault="00124F26" w:rsidP="00124F26">
      <w:pPr>
        <w:pStyle w:val="Reference"/>
      </w:pPr>
      <w:r w:rsidRPr="00124F26">
        <w:t xml:space="preserve">Edwards, G. 2006, </w:t>
      </w:r>
      <w:r w:rsidRPr="00124F26">
        <w:rPr>
          <w:i/>
        </w:rPr>
        <w:t>Is There a Drop to Drink? An issues paper on the Management of Water Co</w:t>
      </w:r>
      <w:r w:rsidR="001A2CED">
        <w:rPr>
          <w:i/>
        </w:rPr>
        <w:noBreakHyphen/>
      </w:r>
      <w:r w:rsidRPr="00124F26">
        <w:rPr>
          <w:i/>
        </w:rPr>
        <w:t>produced with Coal Seam Gas</w:t>
      </w:r>
      <w:r w:rsidRPr="00124F26">
        <w:t>, Queensland Department of Mines and Energy, Brisbane.</w:t>
      </w:r>
    </w:p>
    <w:p w:rsidR="005E2F63" w:rsidRPr="00471475" w:rsidRDefault="005E2F63" w:rsidP="005E2F63">
      <w:pPr>
        <w:pStyle w:val="Reference"/>
      </w:pPr>
      <w:proofErr w:type="spellStart"/>
      <w:r w:rsidRPr="00471475">
        <w:t>Eggert</w:t>
      </w:r>
      <w:proofErr w:type="spellEnd"/>
      <w:r w:rsidRPr="00471475">
        <w:t xml:space="preserve"> R.G. 2010, </w:t>
      </w:r>
      <w:r w:rsidR="0011151B" w:rsidRPr="00756F45">
        <w:rPr>
          <w:i/>
        </w:rPr>
        <w:t>Mineral Exploration and Development: Risk and reward</w:t>
      </w:r>
      <w:r w:rsidR="0011151B" w:rsidRPr="00471475">
        <w:t>, Conference paper presented at the Internati</w:t>
      </w:r>
      <w:r w:rsidRPr="00471475">
        <w:t>onal Conference on Mining,</w:t>
      </w:r>
      <w:r w:rsidR="0084223B" w:rsidRPr="00471475">
        <w:t xml:space="preserve"> </w:t>
      </w:r>
      <w:r w:rsidR="0011151B" w:rsidRPr="00471475">
        <w:t>Phnom Penh, Cambodia 26</w:t>
      </w:r>
      <w:r w:rsidR="0011151B" w:rsidRPr="00471475">
        <w:noBreakHyphen/>
        <w:t>27 May.</w:t>
      </w:r>
    </w:p>
    <w:p w:rsidR="005E2F63" w:rsidRDefault="005E2F63" w:rsidP="005E2F63">
      <w:pPr>
        <w:pStyle w:val="Reference"/>
      </w:pPr>
      <w:proofErr w:type="spellStart"/>
      <w:r w:rsidRPr="00471475">
        <w:lastRenderedPageBreak/>
        <w:t>EIGWG</w:t>
      </w:r>
      <w:proofErr w:type="spellEnd"/>
      <w:r w:rsidRPr="00471475">
        <w:t xml:space="preserve"> (Exploration Investment and Geoscience Working Group) 2012, </w:t>
      </w:r>
      <w:r w:rsidRPr="00471475">
        <w:rPr>
          <w:i/>
        </w:rPr>
        <w:t>Levers to Improve Australia’s Global Position for Attracting Resource Exploration Investment</w:t>
      </w:r>
      <w:r w:rsidRPr="00471475">
        <w:t>, Report to the Standing Council on Energy and Resources.</w:t>
      </w:r>
    </w:p>
    <w:p w:rsidR="007C306C" w:rsidRDefault="007C306C" w:rsidP="007C306C">
      <w:pPr>
        <w:pStyle w:val="Reference"/>
        <w:rPr>
          <w:rStyle w:val="createdate"/>
        </w:rPr>
      </w:pPr>
      <w:r>
        <w:rPr>
          <w:rStyle w:val="createdate"/>
        </w:rPr>
        <w:t xml:space="preserve">Environmental Defender’s Office of Western Australia 2011, </w:t>
      </w:r>
      <w:r w:rsidRPr="00CA6207">
        <w:rPr>
          <w:rStyle w:val="createdate"/>
          <w:i/>
        </w:rPr>
        <w:t>Mining Law</w:t>
      </w:r>
      <w:r w:rsidRPr="006B72D7">
        <w:rPr>
          <w:rStyle w:val="createdate"/>
        </w:rPr>
        <w:t>, Fact Sheet 36</w:t>
      </w:r>
      <w:r>
        <w:rPr>
          <w:rStyle w:val="createdate"/>
        </w:rPr>
        <w:t>, January.</w:t>
      </w:r>
    </w:p>
    <w:p w:rsidR="007C306C" w:rsidRPr="007B48FE" w:rsidRDefault="007C306C" w:rsidP="007C306C">
      <w:pPr>
        <w:pStyle w:val="Reference"/>
      </w:pPr>
      <w:r>
        <w:t xml:space="preserve">Ernst and Young 2012, </w:t>
      </w:r>
      <w:r w:rsidR="00CF49B8">
        <w:t>‘</w:t>
      </w:r>
      <w:r w:rsidRPr="00CF49B8">
        <w:t>Business risks facing mining and metals 2012–2013</w:t>
      </w:r>
      <w:r w:rsidR="00CF49B8">
        <w:t>’</w:t>
      </w:r>
      <w:r>
        <w:t xml:space="preserve">, </w:t>
      </w:r>
      <w:r w:rsidRPr="007B48FE">
        <w:t>http://www.ey.com/GL/en/Industries/Mining</w:t>
      </w:r>
      <w:r>
        <w:noBreakHyphen/>
      </w:r>
      <w:r>
        <w:noBreakHyphen/>
      </w:r>
      <w:r>
        <w:noBreakHyphen/>
      </w:r>
      <w:r w:rsidRPr="007B48FE">
        <w:t>Metals/Business</w:t>
      </w:r>
      <w:r>
        <w:noBreakHyphen/>
      </w:r>
      <w:r w:rsidRPr="007B48FE">
        <w:t>risks</w:t>
      </w:r>
      <w:r>
        <w:noBreakHyphen/>
      </w:r>
      <w:r w:rsidRPr="007B48FE">
        <w:t>facing</w:t>
      </w:r>
      <w:r>
        <w:noBreakHyphen/>
      </w:r>
      <w:r w:rsidRPr="007B48FE">
        <w:t>mining</w:t>
      </w:r>
      <w:r>
        <w:noBreakHyphen/>
      </w:r>
      <w:r w:rsidRPr="007B48FE">
        <w:t>and</w:t>
      </w:r>
      <w:r>
        <w:noBreakHyphen/>
      </w:r>
      <w:r w:rsidRPr="007B48FE">
        <w:t>metals</w:t>
      </w:r>
      <w:r>
        <w:noBreakHyphen/>
      </w:r>
      <w:r w:rsidRPr="007B48FE">
        <w:t>2012</w:t>
      </w:r>
      <w:r>
        <w:noBreakHyphen/>
      </w:r>
      <w:r>
        <w:noBreakHyphen/>
      </w:r>
      <w:r>
        <w:noBreakHyphen/>
      </w:r>
      <w:r w:rsidRPr="007B48FE">
        <w:t>2013</w:t>
      </w:r>
      <w:r>
        <w:t xml:space="preserve"> </w:t>
      </w:r>
      <w:r w:rsidR="006870BC">
        <w:t>(</w:t>
      </w:r>
      <w:r>
        <w:t>accessed 16 April 2013</w:t>
      </w:r>
      <w:r w:rsidR="006870BC">
        <w:t>)</w:t>
      </w:r>
      <w:r>
        <w:t>.</w:t>
      </w:r>
    </w:p>
    <w:p w:rsidR="007C306C" w:rsidRDefault="007C306C" w:rsidP="007C306C">
      <w:pPr>
        <w:pStyle w:val="Reference"/>
      </w:pPr>
      <w:proofErr w:type="spellStart"/>
      <w:r w:rsidRPr="00E314D4">
        <w:rPr>
          <w:rStyle w:val="createdate"/>
        </w:rPr>
        <w:t>FaHC</w:t>
      </w:r>
      <w:r w:rsidR="00CF49B8">
        <w:rPr>
          <w:rStyle w:val="createdate"/>
        </w:rPr>
        <w:t>S</w:t>
      </w:r>
      <w:r w:rsidRPr="00E314D4">
        <w:rPr>
          <w:rStyle w:val="createdate"/>
        </w:rPr>
        <w:t>IA</w:t>
      </w:r>
      <w:proofErr w:type="spellEnd"/>
      <w:r w:rsidRPr="00E314D4">
        <w:rPr>
          <w:rStyle w:val="createdate"/>
        </w:rPr>
        <w:t xml:space="preserve"> (Department of Families, Housing, Communities Services and Indigenous Affairs) 2012, </w:t>
      </w:r>
      <w:r w:rsidRPr="00756F45">
        <w:rPr>
          <w:i/>
        </w:rPr>
        <w:t>Review of Part IV (Mining) of the</w:t>
      </w:r>
      <w:r w:rsidRPr="00E314D4">
        <w:t xml:space="preserve"> </w:t>
      </w:r>
      <w:r w:rsidRPr="00E314D4">
        <w:rPr>
          <w:i/>
        </w:rPr>
        <w:t>Aboriginal Land Rights (Northern Territory) Act 1976</w:t>
      </w:r>
      <w:r>
        <w:rPr>
          <w:i/>
        </w:rPr>
        <w:t xml:space="preserve">, </w:t>
      </w:r>
      <w:r w:rsidRPr="00E314D4">
        <w:t>http://www.fahcsia.gov.au/our-responsibilities/indigenous-australians/programs-services/land-native-title/</w:t>
      </w:r>
      <w:r w:rsidR="00756F45">
        <w:br/>
      </w:r>
      <w:r w:rsidRPr="00E314D4">
        <w:t xml:space="preserve">review-of-part-iv-mining-of-the-aboriginal-land-rights-northern-territory-act-1976 </w:t>
      </w:r>
      <w:r>
        <w:t>(accessed 11 May 2013).</w:t>
      </w:r>
    </w:p>
    <w:p w:rsidR="0009608B" w:rsidRPr="00F514EF" w:rsidRDefault="0009608B" w:rsidP="00756F45">
      <w:pPr>
        <w:pStyle w:val="Reference"/>
        <w:tabs>
          <w:tab w:val="left" w:pos="709"/>
        </w:tabs>
        <w:jc w:val="left"/>
      </w:pPr>
      <w:r>
        <w:t>Fair Work Ombudsman 2013, </w:t>
      </w:r>
      <w:r w:rsidR="00756F45">
        <w:t>‘</w:t>
      </w:r>
      <w:r w:rsidRPr="00756F45">
        <w:t>Agreements</w:t>
      </w:r>
      <w:r w:rsidR="00756F45">
        <w:t>’</w:t>
      </w:r>
      <w:r>
        <w:t xml:space="preserve">, </w:t>
      </w:r>
      <w:r w:rsidRPr="00F514EF">
        <w:t>https://</w:t>
      </w:r>
      <w:proofErr w:type="spellStart"/>
      <w:r w:rsidRPr="00F514EF">
        <w:t>www.fairwork.gov.au</w:t>
      </w:r>
      <w:proofErr w:type="spellEnd"/>
      <w:r w:rsidRPr="00F514EF">
        <w:t>/</w:t>
      </w:r>
      <w:r w:rsidR="00756F45">
        <w:br/>
      </w:r>
      <w:r w:rsidRPr="00F514EF">
        <w:t>employment/agreements/pages/</w:t>
      </w:r>
      <w:proofErr w:type="spellStart"/>
      <w:r w:rsidRPr="00F514EF">
        <w:t>default.aspx</w:t>
      </w:r>
      <w:proofErr w:type="spellEnd"/>
      <w:r>
        <w:t xml:space="preserve"> (accessed 13 May 2013).</w:t>
      </w:r>
    </w:p>
    <w:p w:rsidR="00CD28E1" w:rsidRDefault="00CD28E1" w:rsidP="00CD28E1">
      <w:pPr>
        <w:pStyle w:val="Reference"/>
      </w:pPr>
      <w:r>
        <w:t xml:space="preserve">Finisterre 2003, </w:t>
      </w:r>
      <w:r>
        <w:rPr>
          <w:i/>
        </w:rPr>
        <w:t>Mineral Exploration</w:t>
      </w:r>
      <w:r>
        <w:t>, Draft, prepared for the Economic Development Branch, BC Ministry of Sustainable Resource Management, Vancouver BC Canada, http://</w:t>
      </w:r>
      <w:proofErr w:type="spellStart"/>
      <w:r w:rsidRPr="00A36C27">
        <w:t>www.al.gov.bc.ca</w:t>
      </w:r>
      <w:proofErr w:type="spellEnd"/>
      <w:r w:rsidRPr="00A36C27">
        <w:t>/clad/</w:t>
      </w:r>
      <w:proofErr w:type="spellStart"/>
      <w:r w:rsidRPr="00A36C27">
        <w:t>strategic_land</w:t>
      </w:r>
      <w:proofErr w:type="spellEnd"/>
      <w:r w:rsidRPr="00A36C27">
        <w:t>/</w:t>
      </w:r>
      <w:r w:rsidRPr="00AB2CB7">
        <w:t xml:space="preserve"> blocks/</w:t>
      </w:r>
      <w:r>
        <w:t>cabinet/</w:t>
      </w:r>
      <w:proofErr w:type="spellStart"/>
      <w:r>
        <w:t>mineral_exploration.pdf</w:t>
      </w:r>
      <w:proofErr w:type="spellEnd"/>
      <w:r>
        <w:t xml:space="preserve"> (accessed 12 October 2012)</w:t>
      </w:r>
      <w:r w:rsidRPr="00AB2CB7">
        <w:t>.</w:t>
      </w:r>
    </w:p>
    <w:p w:rsidR="004B36C7" w:rsidRDefault="004B36C7" w:rsidP="00CD28E1">
      <w:pPr>
        <w:pStyle w:val="Reference"/>
      </w:pPr>
      <w:r w:rsidRPr="004B36C7">
        <w:t>Gas Fields Commission 2013, ‘About Gas Fields Commission’, http://www.gasfieldscommissionqld.org.au/about-gasfields-commission/our-role.html (accessed 9 May 2013).</w:t>
      </w:r>
    </w:p>
    <w:p w:rsidR="005A0E9C" w:rsidRDefault="005A0E9C" w:rsidP="005A0E9C">
      <w:pPr>
        <w:pStyle w:val="Reference"/>
      </w:pPr>
      <w:r>
        <w:t xml:space="preserve">Geoscience Australia </w:t>
      </w:r>
      <w:proofErr w:type="spellStart"/>
      <w:r>
        <w:t>2011</w:t>
      </w:r>
      <w:r w:rsidR="007F1D59">
        <w:t>a</w:t>
      </w:r>
      <w:proofErr w:type="spellEnd"/>
      <w:r>
        <w:t xml:space="preserve">, </w:t>
      </w:r>
      <w:r>
        <w:rPr>
          <w:i/>
        </w:rPr>
        <w:t>Oil and gas resources Australia: 2009</w:t>
      </w:r>
      <w:r>
        <w:t xml:space="preserve">, </w:t>
      </w:r>
      <w:r w:rsidRPr="007F1D59">
        <w:t>http://www.ga.gov.au/products-services/publications/oil-gas-resources-australia/2009.html</w:t>
      </w:r>
      <w:r>
        <w:t xml:space="preserve"> </w:t>
      </w:r>
      <w:r w:rsidR="007F1D59">
        <w:t>(</w:t>
      </w:r>
      <w:r>
        <w:t>accessed 1 March 2013</w:t>
      </w:r>
      <w:r w:rsidR="007F1D59">
        <w:t>)</w:t>
      </w:r>
      <w:r>
        <w:t>.</w:t>
      </w:r>
    </w:p>
    <w:p w:rsidR="005A0E9C" w:rsidRDefault="007F1D59" w:rsidP="00C50A08">
      <w:pPr>
        <w:pStyle w:val="Reference"/>
      </w:pPr>
      <w:r>
        <w:t>——</w:t>
      </w:r>
      <w:r w:rsidR="005A0E9C">
        <w:t xml:space="preserve"> </w:t>
      </w:r>
      <w:proofErr w:type="spellStart"/>
      <w:r w:rsidR="005A0E9C">
        <w:t>2011</w:t>
      </w:r>
      <w:r>
        <w:t>b</w:t>
      </w:r>
      <w:proofErr w:type="spellEnd"/>
      <w:r w:rsidR="005A0E9C">
        <w:t xml:space="preserve">, </w:t>
      </w:r>
      <w:r w:rsidR="005A0E9C" w:rsidRPr="000C0000">
        <w:rPr>
          <w:i/>
        </w:rPr>
        <w:t>Energy security achievements: Towards future energy discovery</w:t>
      </w:r>
      <w:r w:rsidR="005A0E9C">
        <w:t>.</w:t>
      </w:r>
    </w:p>
    <w:p w:rsidR="005A0E9C" w:rsidRDefault="007F1D59" w:rsidP="00282CCC">
      <w:pPr>
        <w:pStyle w:val="Reference"/>
      </w:pPr>
      <w:r>
        <w:t>—— </w:t>
      </w:r>
      <w:r w:rsidR="005A0E9C">
        <w:t>2012, ‘Exploration expenditures (excluding coal and iron ore) 1970 to 2012’, special request, spread</w:t>
      </w:r>
      <w:r w:rsidR="005A0E9C">
        <w:noBreakHyphen/>
        <w:t>sheet data derived from ABS Mineral and Petroleum Exploration publications (various years).</w:t>
      </w:r>
    </w:p>
    <w:p w:rsidR="00546C8B" w:rsidRDefault="00546C8B" w:rsidP="00282CCC">
      <w:pPr>
        <w:pStyle w:val="Reference"/>
      </w:pPr>
      <w:r>
        <w:t xml:space="preserve">Government of South Australia 2012, </w:t>
      </w:r>
      <w:r>
        <w:rPr>
          <w:i/>
        </w:rPr>
        <w:t>PACE 2020 Progress Report 2010-12</w:t>
      </w:r>
      <w:r>
        <w:t>, Department for Manufacturing, Innovation, Trade, Resources and Energy.</w:t>
      </w:r>
    </w:p>
    <w:p w:rsidR="000478DA" w:rsidRDefault="000478DA" w:rsidP="00282CCC">
      <w:pPr>
        <w:pStyle w:val="Reference"/>
      </w:pPr>
      <w:r>
        <w:t xml:space="preserve">Government of Victoria </w:t>
      </w:r>
      <w:proofErr w:type="spellStart"/>
      <w:r>
        <w:t>2011</w:t>
      </w:r>
      <w:r w:rsidR="00A3719F">
        <w:t>a</w:t>
      </w:r>
      <w:proofErr w:type="spellEnd"/>
      <w:r>
        <w:t xml:space="preserve">, </w:t>
      </w:r>
      <w:r>
        <w:rPr>
          <w:i/>
        </w:rPr>
        <w:t>Inquiry into the benefits and drivers of greenfields mineral exploration and project development in Victoria</w:t>
      </w:r>
      <w:r>
        <w:t>, government submission, Economic Development and Infrastructure Committee.</w:t>
      </w:r>
    </w:p>
    <w:p w:rsidR="00A3719F" w:rsidRDefault="00A3719F" w:rsidP="00C50A08">
      <w:pPr>
        <w:pStyle w:val="Reference"/>
      </w:pPr>
      <w:r>
        <w:t>—— </w:t>
      </w:r>
      <w:proofErr w:type="spellStart"/>
      <w:r>
        <w:t>2011b</w:t>
      </w:r>
      <w:proofErr w:type="spellEnd"/>
      <w:r>
        <w:t xml:space="preserve">, </w:t>
      </w:r>
      <w:r w:rsidRPr="00A3719F">
        <w:rPr>
          <w:i/>
        </w:rPr>
        <w:t>Victorian guide to regulation</w:t>
      </w:r>
      <w:r w:rsidRPr="00A3719F">
        <w:t>, edition 2.1, Department of Treasury and Finance, Melbourne.</w:t>
      </w:r>
    </w:p>
    <w:p w:rsidR="00A746D5" w:rsidRDefault="00A746D5" w:rsidP="00282CCC">
      <w:pPr>
        <w:pStyle w:val="Reference"/>
      </w:pPr>
      <w:r>
        <w:lastRenderedPageBreak/>
        <w:t xml:space="preserve">Harris, M. 2011, </w:t>
      </w:r>
      <w:r w:rsidR="00CF49B8">
        <w:t>‘</w:t>
      </w:r>
      <w:r w:rsidRPr="00CF49B8">
        <w:t>The origins of Australia’s uranium export policy</w:t>
      </w:r>
      <w:r w:rsidR="00CF49B8">
        <w:t>’</w:t>
      </w:r>
      <w:r w:rsidRPr="00A746D5">
        <w:t>, Parliamentary Library</w:t>
      </w:r>
      <w:r w:rsidR="00E23DAC">
        <w:t> </w:t>
      </w:r>
      <w:r w:rsidRPr="00A746D5">
        <w:t>Background</w:t>
      </w:r>
      <w:r w:rsidR="00E23DAC">
        <w:t> </w:t>
      </w:r>
      <w:r w:rsidRPr="00A746D5">
        <w:t xml:space="preserve">Note, </w:t>
      </w:r>
      <w:r w:rsidR="00282CCC" w:rsidRPr="00282CCC">
        <w:t>http://</w:t>
      </w:r>
      <w:proofErr w:type="spellStart"/>
      <w:r w:rsidR="00282CCC" w:rsidRPr="00282CCC">
        <w:t>parlinfo.aph.gov.au</w:t>
      </w:r>
      <w:proofErr w:type="spellEnd"/>
      <w:r w:rsidR="00282CCC" w:rsidRPr="00282CCC">
        <w:t>/</w:t>
      </w:r>
      <w:proofErr w:type="spellStart"/>
      <w:r w:rsidR="00282CCC" w:rsidRPr="00282CCC">
        <w:t>parlInfo</w:t>
      </w:r>
      <w:proofErr w:type="spellEnd"/>
      <w:r w:rsidR="00282CCC" w:rsidRPr="00282CCC">
        <w:t>/download/library/</w:t>
      </w:r>
      <w:r w:rsidR="00282CCC">
        <w:t xml:space="preserve"> </w:t>
      </w:r>
      <w:r w:rsidRPr="00A746D5">
        <w:t xml:space="preserve">prspub/1267617/upload_binary/1267617.pdf;fileType=application/pdf#search=%22background%20note%20(parliamentary%20library,%20australia)%22 </w:t>
      </w:r>
      <w:r>
        <w:t>(</w:t>
      </w:r>
      <w:r w:rsidRPr="00A746D5">
        <w:t>accessed 11 April 2013</w:t>
      </w:r>
      <w:r>
        <w:t>)</w:t>
      </w:r>
      <w:r w:rsidRPr="00A746D5">
        <w:t>.</w:t>
      </w:r>
    </w:p>
    <w:p w:rsidR="00D16DC2" w:rsidRDefault="00D16DC2" w:rsidP="00311774">
      <w:pPr>
        <w:pStyle w:val="Reference"/>
      </w:pPr>
      <w:r w:rsidRPr="00D16DC2">
        <w:t xml:space="preserve">Henry, K., Harmer, J., Piggott, J., </w:t>
      </w:r>
      <w:proofErr w:type="spellStart"/>
      <w:r w:rsidRPr="00D16DC2">
        <w:t>Ridout</w:t>
      </w:r>
      <w:proofErr w:type="spellEnd"/>
      <w:r w:rsidRPr="00D16DC2">
        <w:t xml:space="preserve">, H. and Smith, G. 2010, </w:t>
      </w:r>
      <w:r w:rsidRPr="00D16DC2">
        <w:rPr>
          <w:i/>
        </w:rPr>
        <w:t>Australia’s Future Tax System</w:t>
      </w:r>
      <w:r w:rsidRPr="00D16DC2">
        <w:t>, Report to the Treasurer, Canberra.</w:t>
      </w:r>
    </w:p>
    <w:p w:rsidR="000478DA" w:rsidRDefault="000478DA" w:rsidP="00311774">
      <w:pPr>
        <w:pStyle w:val="Reference"/>
      </w:pPr>
      <w:r w:rsidRPr="005D5139">
        <w:t>Hepburn, J.</w:t>
      </w:r>
      <w:r>
        <w:t>,</w:t>
      </w:r>
      <w:r w:rsidRPr="005D5139">
        <w:t xml:space="preserve"> Burton, B. and Hardy, S. 2011, </w:t>
      </w:r>
      <w:r>
        <w:t>‘</w:t>
      </w:r>
      <w:r w:rsidRPr="005D5139">
        <w:t>Stopping the Australian coal export boom</w:t>
      </w:r>
      <w:r>
        <w:t>’</w:t>
      </w:r>
      <w:r w:rsidRPr="005D5139">
        <w:t>, http://</w:t>
      </w:r>
      <w:proofErr w:type="spellStart"/>
      <w:r w:rsidRPr="005D5139">
        <w:t>www.abc.net.au</w:t>
      </w:r>
      <w:proofErr w:type="spellEnd"/>
      <w:r w:rsidRPr="005D5139">
        <w:t>/</w:t>
      </w:r>
      <w:proofErr w:type="spellStart"/>
      <w:r w:rsidRPr="005D5139">
        <w:t>mediawatch</w:t>
      </w:r>
      <w:proofErr w:type="spellEnd"/>
      <w:r w:rsidRPr="005D5139">
        <w:t>/transcripts/</w:t>
      </w:r>
      <w:proofErr w:type="spellStart"/>
      <w:r w:rsidRPr="005D5139">
        <w:t>1206_greenpeace.pdf</w:t>
      </w:r>
      <w:proofErr w:type="spellEnd"/>
      <w:r>
        <w:t xml:space="preserve"> (</w:t>
      </w:r>
      <w:r w:rsidRPr="005D5139">
        <w:t xml:space="preserve">accessed </w:t>
      </w:r>
      <w:r>
        <w:t>9 April 2013)</w:t>
      </w:r>
      <w:r w:rsidRPr="005D5139">
        <w:t>.</w:t>
      </w:r>
    </w:p>
    <w:p w:rsidR="0014742B" w:rsidRDefault="0014742B" w:rsidP="00D16DC2">
      <w:pPr>
        <w:pStyle w:val="Reference"/>
      </w:pPr>
      <w:r>
        <w:t>Hogan, L., Harman, J., Maritz, A., Thorpe, S., Simms</w:t>
      </w:r>
      <w:r w:rsidR="00DE52AF">
        <w:t>, A., Berry, P. and Copeland A.</w:t>
      </w:r>
      <w:r>
        <w:t xml:space="preserve"> 2002, </w:t>
      </w:r>
      <w:r>
        <w:rPr>
          <w:i/>
        </w:rPr>
        <w:t xml:space="preserve">Mineral exploration in Australia: Trends, economic impacts and policy issues, </w:t>
      </w:r>
      <w:proofErr w:type="spellStart"/>
      <w:r>
        <w:t>ABARE</w:t>
      </w:r>
      <w:proofErr w:type="spellEnd"/>
      <w:r>
        <w:t xml:space="preserve"> </w:t>
      </w:r>
      <w:proofErr w:type="spellStart"/>
      <w:r>
        <w:t>eReport</w:t>
      </w:r>
      <w:proofErr w:type="spellEnd"/>
      <w:r>
        <w:t xml:space="preserve"> 02.1, Canberra.</w:t>
      </w:r>
    </w:p>
    <w:p w:rsidR="005A0E9C" w:rsidRDefault="005A0E9C" w:rsidP="005A0E9C">
      <w:pPr>
        <w:pStyle w:val="Reference"/>
      </w:pPr>
      <w:proofErr w:type="spellStart"/>
      <w:r>
        <w:t>Huleatt</w:t>
      </w:r>
      <w:proofErr w:type="spellEnd"/>
      <w:r>
        <w:t xml:space="preserve">, M. and </w:t>
      </w:r>
      <w:proofErr w:type="spellStart"/>
      <w:r>
        <w:t>Jaques</w:t>
      </w:r>
      <w:proofErr w:type="spellEnd"/>
      <w:r>
        <w:t xml:space="preserve">, L. 2009, </w:t>
      </w:r>
      <w:r w:rsidRPr="00997F46">
        <w:rPr>
          <w:i/>
        </w:rPr>
        <w:t>Australian Mineral Exploration, A Review of Exploration for the Year 2008</w:t>
      </w:r>
      <w:r>
        <w:t>, Geoscience Australia, February.</w:t>
      </w:r>
    </w:p>
    <w:p w:rsidR="00F61842" w:rsidRPr="00F61842" w:rsidRDefault="00F61842" w:rsidP="00F61842">
      <w:pPr>
        <w:pStyle w:val="Reference"/>
      </w:pPr>
      <w:r w:rsidRPr="00F61842">
        <w:t xml:space="preserve">Independent Review Committee 2002, </w:t>
      </w:r>
      <w:r w:rsidRPr="00F61842">
        <w:rPr>
          <w:i/>
        </w:rPr>
        <w:t>Review of the Project Development Approvals System</w:t>
      </w:r>
      <w:r w:rsidRPr="00F61842">
        <w:t>, final report, prepared for Minister of State Development, Perth.</w:t>
      </w:r>
    </w:p>
    <w:p w:rsidR="00950A53" w:rsidRDefault="006B4FB4" w:rsidP="00950A53">
      <w:pPr>
        <w:pStyle w:val="Reference"/>
      </w:pPr>
      <w:r>
        <w:t>IC (</w:t>
      </w:r>
      <w:r w:rsidR="00950A53" w:rsidRPr="00950A53">
        <w:t>Industry Commission</w:t>
      </w:r>
      <w:r>
        <w:t>)</w:t>
      </w:r>
      <w:r w:rsidR="00950A53" w:rsidRPr="00950A53">
        <w:t xml:space="preserve"> 1991, </w:t>
      </w:r>
      <w:r w:rsidR="00950A53" w:rsidRPr="00950A53">
        <w:rPr>
          <w:i/>
        </w:rPr>
        <w:t>Mining and Minerals Processing in Australia</w:t>
      </w:r>
      <w:r w:rsidR="00950A53" w:rsidRPr="00950A53">
        <w:t>, final inquiry report, Canberra.</w:t>
      </w:r>
    </w:p>
    <w:p w:rsidR="001E75F2" w:rsidRPr="00AF3440" w:rsidRDefault="001E75F2" w:rsidP="001E75F2">
      <w:pPr>
        <w:pStyle w:val="Reference"/>
        <w:tabs>
          <w:tab w:val="left" w:pos="709"/>
        </w:tabs>
      </w:pPr>
      <w:proofErr w:type="spellStart"/>
      <w:r w:rsidRPr="00AF3440">
        <w:t>Karmel</w:t>
      </w:r>
      <w:proofErr w:type="spellEnd"/>
      <w:r w:rsidRPr="00AF3440">
        <w:t xml:space="preserve"> T. and </w:t>
      </w:r>
      <w:proofErr w:type="spellStart"/>
      <w:r w:rsidRPr="00AF3440">
        <w:t>Mlotkowski</w:t>
      </w:r>
      <w:proofErr w:type="spellEnd"/>
      <w:r w:rsidRPr="00AF3440">
        <w:t xml:space="preserve"> P. 2010, </w:t>
      </w:r>
      <w:r w:rsidRPr="00ED50BD">
        <w:rPr>
          <w:i/>
        </w:rPr>
        <w:t>Tradespeople for the resources sector</w:t>
      </w:r>
      <w:r w:rsidRPr="00AF3440">
        <w:t xml:space="preserve">, </w:t>
      </w:r>
      <w:proofErr w:type="spellStart"/>
      <w:r w:rsidRPr="00AF3440">
        <w:t>NCVER</w:t>
      </w:r>
      <w:proofErr w:type="spellEnd"/>
      <w:r w:rsidRPr="00AF3440">
        <w:t xml:space="preserve">, May. </w:t>
      </w:r>
    </w:p>
    <w:p w:rsidR="00D35471" w:rsidRDefault="00D35471" w:rsidP="00D35471">
      <w:pPr>
        <w:pStyle w:val="Reference"/>
      </w:pPr>
      <w:r w:rsidRPr="00D35471">
        <w:t xml:space="preserve">Kelton, G. 2012, ‘Marathon settles Flinders Ranges mining dispute for $5 million’, </w:t>
      </w:r>
      <w:r w:rsidRPr="00D35471">
        <w:rPr>
          <w:i/>
        </w:rPr>
        <w:t>The Advertiser</w:t>
      </w:r>
      <w:r w:rsidRPr="00D35471">
        <w:t>, 13 February.</w:t>
      </w:r>
    </w:p>
    <w:p w:rsidR="001E75F2" w:rsidRPr="00AF3440" w:rsidRDefault="001E75F2" w:rsidP="00CF49B8">
      <w:pPr>
        <w:pStyle w:val="Reference"/>
        <w:tabs>
          <w:tab w:val="left" w:pos="709"/>
        </w:tabs>
        <w:jc w:val="left"/>
      </w:pPr>
      <w:r w:rsidRPr="00AF3440">
        <w:t xml:space="preserve">Kinetic Group 2012, </w:t>
      </w:r>
      <w:r w:rsidRPr="006A6450">
        <w:rPr>
          <w:i/>
        </w:rPr>
        <w:t>Heartbeat Report 2012 — Annual Workforce Report of the Resources</w:t>
      </w:r>
      <w:r>
        <w:rPr>
          <w:i/>
        </w:rPr>
        <w:t> </w:t>
      </w:r>
      <w:r w:rsidRPr="006A6450">
        <w:rPr>
          <w:i/>
        </w:rPr>
        <w:t>Industry</w:t>
      </w:r>
      <w:r>
        <w:t>,</w:t>
      </w:r>
      <w:r w:rsidRPr="006A6450">
        <w:t xml:space="preserve"> http://</w:t>
      </w:r>
      <w:proofErr w:type="spellStart"/>
      <w:r w:rsidRPr="006A6450">
        <w:t>www.kineticgroup.org.au</w:t>
      </w:r>
      <w:proofErr w:type="spellEnd"/>
      <w:r w:rsidRPr="006A6450">
        <w:t>/</w:t>
      </w:r>
      <w:proofErr w:type="spellStart"/>
      <w:r w:rsidRPr="006A6450">
        <w:t>mwg</w:t>
      </w:r>
      <w:proofErr w:type="spellEnd"/>
      <w:r>
        <w:noBreakHyphen/>
      </w:r>
      <w:r w:rsidRPr="006A6450">
        <w:t>internal/</w:t>
      </w:r>
      <w:r w:rsidR="00CF49B8">
        <w:br/>
      </w:r>
      <w:proofErr w:type="spellStart"/>
      <w:r w:rsidRPr="006A6450">
        <w:t>de5fs23hu73ds</w:t>
      </w:r>
      <w:proofErr w:type="spellEnd"/>
      <w:r w:rsidRPr="006A6450">
        <w:t>/</w:t>
      </w:r>
      <w:proofErr w:type="spellStart"/>
      <w:r w:rsidRPr="006A6450">
        <w:t>progress?id</w:t>
      </w:r>
      <w:proofErr w:type="spellEnd"/>
      <w:r w:rsidRPr="006A6450">
        <w:t>=</w:t>
      </w:r>
      <w:proofErr w:type="spellStart"/>
      <w:r w:rsidRPr="006A6450">
        <w:t>lPDZxt9HZ8</w:t>
      </w:r>
      <w:proofErr w:type="spellEnd"/>
      <w:r>
        <w:t xml:space="preserve"> (accessed 12 April 2013).</w:t>
      </w:r>
      <w:r w:rsidRPr="00AF3440">
        <w:t xml:space="preserve"> </w:t>
      </w:r>
    </w:p>
    <w:p w:rsidR="007C306C" w:rsidRDefault="007C306C" w:rsidP="007C306C">
      <w:pPr>
        <w:pStyle w:val="Reference"/>
        <w:rPr>
          <w:rFonts w:ascii="Calibri" w:hAnsi="Calibri" w:cs="Calibri"/>
        </w:rPr>
      </w:pPr>
      <w:proofErr w:type="spellStart"/>
      <w:r w:rsidRPr="008B7F5D">
        <w:t>Lacey</w:t>
      </w:r>
      <w:proofErr w:type="spellEnd"/>
      <w:r w:rsidRPr="008B7F5D">
        <w:t>, J., P</w:t>
      </w:r>
      <w:r>
        <w:t xml:space="preserve">arsons, R. and </w:t>
      </w:r>
      <w:proofErr w:type="spellStart"/>
      <w:r>
        <w:t>Moffat</w:t>
      </w:r>
      <w:proofErr w:type="spellEnd"/>
      <w:r>
        <w:t>, K. 2012,</w:t>
      </w:r>
      <w:r w:rsidRPr="008B7F5D">
        <w:rPr>
          <w:rFonts w:ascii="Calibri" w:hAnsi="Calibri" w:cs="Calibri"/>
        </w:rPr>
        <w:t xml:space="preserve"> </w:t>
      </w:r>
      <w:r w:rsidRPr="00CA6207">
        <w:rPr>
          <w:i/>
        </w:rPr>
        <w:t>Exploring the concept of a Social Licence to Operate in the Australian minerals industry: Results from interviews with industry representatives</w:t>
      </w:r>
      <w:r>
        <w:t>,</w:t>
      </w:r>
      <w:r w:rsidRPr="008B7F5D">
        <w:rPr>
          <w:rFonts w:ascii="Calibri" w:hAnsi="Calibri" w:cs="Calibri"/>
        </w:rPr>
        <w:t xml:space="preserve"> </w:t>
      </w:r>
      <w:proofErr w:type="spellStart"/>
      <w:r w:rsidRPr="008B7F5D">
        <w:t>EP125553</w:t>
      </w:r>
      <w:proofErr w:type="spellEnd"/>
      <w:r w:rsidRPr="008B7F5D">
        <w:t>. CSIRO, Brisbane</w:t>
      </w:r>
      <w:r w:rsidRPr="008B7F5D">
        <w:rPr>
          <w:rFonts w:ascii="Calibri" w:hAnsi="Calibri" w:cs="Calibri"/>
        </w:rPr>
        <w:t>.</w:t>
      </w:r>
    </w:p>
    <w:p w:rsidR="00625E52" w:rsidRDefault="00625E52" w:rsidP="00625E52">
      <w:pPr>
        <w:pStyle w:val="Reference"/>
      </w:pPr>
      <w:r>
        <w:t xml:space="preserve">LexisNexis, ‘Exploration’ 2013, </w:t>
      </w:r>
      <w:r w:rsidRPr="000C0000">
        <w:rPr>
          <w:i/>
        </w:rPr>
        <w:t>Energy and Resources Law</w:t>
      </w:r>
      <w:r>
        <w:t>, pp. 1001</w:t>
      </w:r>
      <w:r>
        <w:noBreakHyphen/>
        <w:t xml:space="preserve">1105, </w:t>
      </w:r>
      <w:r w:rsidR="000C0000">
        <w:t>(accessed</w:t>
      </w:r>
      <w:r>
        <w:t xml:space="preserve"> 19 April 2013</w:t>
      </w:r>
      <w:r w:rsidR="000C0000">
        <w:t>).</w:t>
      </w:r>
      <w:r>
        <w:t xml:space="preserve"> </w:t>
      </w:r>
    </w:p>
    <w:p w:rsidR="005D3DB2" w:rsidRDefault="005D3DB2" w:rsidP="005D3DB2">
      <w:pPr>
        <w:pStyle w:val="Reference"/>
      </w:pPr>
      <w:proofErr w:type="spellStart"/>
      <w:r w:rsidRPr="005D3DB2">
        <w:t>Littleboy</w:t>
      </w:r>
      <w:proofErr w:type="spellEnd"/>
      <w:r w:rsidRPr="005D3DB2">
        <w:t xml:space="preserve">, A. and </w:t>
      </w:r>
      <w:proofErr w:type="spellStart"/>
      <w:r w:rsidRPr="005D3DB2">
        <w:t>Boughen</w:t>
      </w:r>
      <w:proofErr w:type="spellEnd"/>
      <w:r w:rsidRPr="005D3DB2">
        <w:t>, N. 2007,</w:t>
      </w:r>
      <w:r w:rsidR="001A2CED">
        <w:t xml:space="preserve"> </w:t>
      </w:r>
      <w:r w:rsidRPr="005D3DB2">
        <w:rPr>
          <w:i/>
        </w:rPr>
        <w:t>Exploring the social dimensions of an expansion to the seafloor exploration and mining industry in Australia</w:t>
      </w:r>
      <w:r w:rsidRPr="005D3DB2">
        <w:t>, CSIRO Wealth from Oceans Flagship, North Ryde.</w:t>
      </w:r>
    </w:p>
    <w:p w:rsidR="005A0E9C" w:rsidRDefault="005A0E9C" w:rsidP="00C50A08">
      <w:pPr>
        <w:pStyle w:val="Reference"/>
      </w:pPr>
      <w:r>
        <w:lastRenderedPageBreak/>
        <w:t xml:space="preserve">McMahon, F. 2005, </w:t>
      </w:r>
      <w:r>
        <w:rPr>
          <w:i/>
        </w:rPr>
        <w:t>Survey of mining companies: 2004/05</w:t>
      </w:r>
      <w:r>
        <w:t>, Fraser Institute, Vancouver.</w:t>
      </w:r>
    </w:p>
    <w:p w:rsidR="005A0E9C" w:rsidRDefault="005A0E9C" w:rsidP="00C50A08">
      <w:pPr>
        <w:pStyle w:val="Reference"/>
      </w:pPr>
      <w:r>
        <w:t>——</w:t>
      </w:r>
      <w:r w:rsidR="00213505">
        <w:t> </w:t>
      </w:r>
      <w:r>
        <w:t xml:space="preserve">and Cervantes, M. 2009, </w:t>
      </w:r>
      <w:r>
        <w:rPr>
          <w:i/>
        </w:rPr>
        <w:t>Survey of mining companies: 2008/2009</w:t>
      </w:r>
      <w:r>
        <w:t>, Fraser Institute, Vancouver.</w:t>
      </w:r>
    </w:p>
    <w:p w:rsidR="008A5265" w:rsidRPr="008A5265" w:rsidRDefault="008A5265" w:rsidP="008A5265">
      <w:pPr>
        <w:pStyle w:val="Reference"/>
      </w:pPr>
      <w:r w:rsidRPr="008A5265">
        <w:t xml:space="preserve">Maritz, A. 2003, </w:t>
      </w:r>
      <w:r w:rsidRPr="008A5265">
        <w:rPr>
          <w:i/>
        </w:rPr>
        <w:t>Work program bidding in Australia’s upstream oil and gas industry, 1985–99</w:t>
      </w:r>
      <w:r w:rsidRPr="008A5265">
        <w:t xml:space="preserve">, </w:t>
      </w:r>
      <w:proofErr w:type="spellStart"/>
      <w:r w:rsidRPr="008A5265">
        <w:t>ABARE</w:t>
      </w:r>
      <w:proofErr w:type="spellEnd"/>
      <w:r w:rsidRPr="008A5265">
        <w:t xml:space="preserve"> </w:t>
      </w:r>
      <w:proofErr w:type="spellStart"/>
      <w:r w:rsidRPr="008A5265">
        <w:t>eReport</w:t>
      </w:r>
      <w:proofErr w:type="spellEnd"/>
      <w:r w:rsidRPr="008A5265">
        <w:t xml:space="preserve"> 03.14, prepared for the Department of Industry, Tourism and Resources, Canberra.</w:t>
      </w:r>
    </w:p>
    <w:p w:rsidR="008A5265" w:rsidRDefault="00DE52AF" w:rsidP="008A5265">
      <w:pPr>
        <w:pStyle w:val="Reference"/>
      </w:pPr>
      <w:r>
        <w:t>——,</w:t>
      </w:r>
      <w:r w:rsidR="008A5265" w:rsidRPr="008A5265">
        <w:t xml:space="preserve"> Harman, J. and Roberts, A. 2002, ‘Offshore petroleum exploration: Work program bidding in Australia, 1985–99’, </w:t>
      </w:r>
      <w:r w:rsidR="008A5265" w:rsidRPr="008A5265">
        <w:rPr>
          <w:i/>
        </w:rPr>
        <w:t>Australian Commodities</w:t>
      </w:r>
      <w:r w:rsidR="008A5265" w:rsidRPr="008A5265">
        <w:t>, vol. 9, no. 3, pp. 505–510.</w:t>
      </w:r>
    </w:p>
    <w:p w:rsidR="009D095E" w:rsidRDefault="009D095E" w:rsidP="009D095E">
      <w:pPr>
        <w:pStyle w:val="Reference"/>
      </w:pPr>
      <w:proofErr w:type="spellStart"/>
      <w:r>
        <w:t>Marjoribanks</w:t>
      </w:r>
      <w:proofErr w:type="spellEnd"/>
      <w:r>
        <w:t xml:space="preserve">, R. 1997, </w:t>
      </w:r>
      <w:r>
        <w:rPr>
          <w:i/>
        </w:rPr>
        <w:t>Geological methods in mineral exploration and mining</w:t>
      </w:r>
      <w:r>
        <w:t>, Chapman Hall, London.</w:t>
      </w:r>
    </w:p>
    <w:p w:rsidR="005A0E9C" w:rsidRDefault="005A0E9C" w:rsidP="005A0E9C">
      <w:pPr>
        <w:pStyle w:val="Reference"/>
      </w:pPr>
      <w:r>
        <w:t xml:space="preserve">Marshall, B. 2012, </w:t>
      </w:r>
      <w:proofErr w:type="spellStart"/>
      <w:r w:rsidRPr="00F84F6D">
        <w:rPr>
          <w:i/>
        </w:rPr>
        <w:t>F&amp;F</w:t>
      </w:r>
      <w:proofErr w:type="spellEnd"/>
      <w:r w:rsidRPr="00F84F6D">
        <w:rPr>
          <w:i/>
        </w:rPr>
        <w:t xml:space="preserve"> 2012: Facts and figures of the Canadian mining industry</w:t>
      </w:r>
      <w:r>
        <w:t>, The Mining Association of Canada, Ottawa.</w:t>
      </w:r>
    </w:p>
    <w:p w:rsidR="00765C32" w:rsidRPr="00F84F6D" w:rsidRDefault="00765C32" w:rsidP="00765C32">
      <w:pPr>
        <w:pStyle w:val="Reference"/>
      </w:pPr>
      <w:r w:rsidRPr="00F84F6D">
        <w:t>MCA (Minerals Council of Australia) Victorian Division 2011, ‘Submission to the Inquiry into Greenfields Mineral Exploration and Project Development in Victoria’, August.</w:t>
      </w:r>
    </w:p>
    <w:p w:rsidR="00F84F6D" w:rsidRPr="00F84F6D" w:rsidRDefault="00F84F6D" w:rsidP="00765C32">
      <w:pPr>
        <w:pStyle w:val="Reference"/>
      </w:pPr>
      <w:proofErr w:type="spellStart"/>
      <w:r w:rsidRPr="00F84F6D">
        <w:t>MCMPR</w:t>
      </w:r>
      <w:proofErr w:type="spellEnd"/>
      <w:r w:rsidRPr="00F84F6D">
        <w:t xml:space="preserve"> (Ministerial Council on Mineral and Petroleum Resources) 2005, </w:t>
      </w:r>
      <w:r w:rsidRPr="000C0000">
        <w:rPr>
          <w:i/>
        </w:rPr>
        <w:t>Principles for Engagement with Communities and Stakeholders</w:t>
      </w:r>
      <w:r w:rsidRPr="00F84F6D">
        <w:t xml:space="preserve">, </w:t>
      </w:r>
      <w:proofErr w:type="spellStart"/>
      <w:r w:rsidRPr="00F84F6D">
        <w:t>MCMPR</w:t>
      </w:r>
      <w:proofErr w:type="spellEnd"/>
      <w:r w:rsidRPr="00F84F6D">
        <w:t xml:space="preserve"> Canberra.</w:t>
      </w:r>
    </w:p>
    <w:p w:rsidR="005E2F63" w:rsidRDefault="005E2F63" w:rsidP="005E2F63">
      <w:pPr>
        <w:pStyle w:val="Reference"/>
      </w:pPr>
      <w:r w:rsidRPr="00471475">
        <w:t xml:space="preserve">MEG (Metals Economics Group) 2012, </w:t>
      </w:r>
      <w:r w:rsidRPr="000C0000">
        <w:rPr>
          <w:i/>
        </w:rPr>
        <w:t>World Exploration Trends 2012</w:t>
      </w:r>
      <w:r w:rsidR="0011151B" w:rsidRPr="00471475">
        <w:t xml:space="preserve">, </w:t>
      </w:r>
      <w:r w:rsidRPr="00471475">
        <w:t>report for the P</w:t>
      </w:r>
      <w:r w:rsidR="0011151B" w:rsidRPr="00471475">
        <w:t xml:space="preserve">rospectors and Developers Association of Canada </w:t>
      </w:r>
      <w:r w:rsidRPr="00471475">
        <w:t>International Convention,</w:t>
      </w:r>
      <w:r w:rsidR="0011151B" w:rsidRPr="00471475">
        <w:t xml:space="preserve"> </w:t>
      </w:r>
      <w:r w:rsidR="00974E67" w:rsidRPr="00471475">
        <w:t>Toronto, Canada 4</w:t>
      </w:r>
      <w:r w:rsidR="00974E67" w:rsidRPr="00471475">
        <w:noBreakHyphen/>
        <w:t>7 March</w:t>
      </w:r>
      <w:r w:rsidRPr="00471475">
        <w:t>.</w:t>
      </w:r>
    </w:p>
    <w:p w:rsidR="005C7407" w:rsidRPr="006A6450" w:rsidRDefault="005C7407" w:rsidP="005C7407">
      <w:pPr>
        <w:pStyle w:val="Reference"/>
        <w:tabs>
          <w:tab w:val="left" w:pos="709"/>
        </w:tabs>
      </w:pPr>
      <w:r w:rsidRPr="00AF3440">
        <w:t xml:space="preserve">Michael Page International 2011, </w:t>
      </w:r>
      <w:r w:rsidR="00CF49B8">
        <w:t>‘</w:t>
      </w:r>
      <w:r w:rsidRPr="00CF49B8">
        <w:t>Salary &amp; Employment Forecast</w:t>
      </w:r>
      <w:r w:rsidR="00CF49B8">
        <w:t>’</w:t>
      </w:r>
      <w:r>
        <w:t xml:space="preserve">, </w:t>
      </w:r>
      <w:r w:rsidRPr="006A6450">
        <w:t>http://</w:t>
      </w:r>
      <w:proofErr w:type="spellStart"/>
      <w:r w:rsidRPr="006A6450">
        <w:t>www.michaelpage.com.au</w:t>
      </w:r>
      <w:proofErr w:type="spellEnd"/>
      <w:r w:rsidRPr="006A6450">
        <w:t>/</w:t>
      </w:r>
      <w:proofErr w:type="spellStart"/>
      <w:r w:rsidRPr="006A6450">
        <w:t>websitepdf</w:t>
      </w:r>
      <w:proofErr w:type="spellEnd"/>
      <w:r w:rsidRPr="006A6450">
        <w:t>/</w:t>
      </w:r>
      <w:proofErr w:type="spellStart"/>
      <w:r w:rsidRPr="006A6450">
        <w:t>AU_1112_SEF.pdf</w:t>
      </w:r>
      <w:proofErr w:type="spellEnd"/>
      <w:r>
        <w:t xml:space="preserve"> (accessed 12 April 2013).</w:t>
      </w:r>
    </w:p>
    <w:p w:rsidR="00494396" w:rsidRDefault="00494396" w:rsidP="00494396">
      <w:pPr>
        <w:pStyle w:val="Reference"/>
      </w:pPr>
      <w:proofErr w:type="spellStart"/>
      <w:r w:rsidRPr="00494396">
        <w:t>Montara</w:t>
      </w:r>
      <w:proofErr w:type="spellEnd"/>
      <w:r w:rsidRPr="00494396">
        <w:t xml:space="preserve"> Commission of Inquiry 2010, </w:t>
      </w:r>
      <w:r w:rsidRPr="00494396">
        <w:rPr>
          <w:i/>
        </w:rPr>
        <w:t xml:space="preserve">Report of the </w:t>
      </w:r>
      <w:proofErr w:type="spellStart"/>
      <w:r w:rsidRPr="00494396">
        <w:rPr>
          <w:i/>
        </w:rPr>
        <w:t>Montara</w:t>
      </w:r>
      <w:proofErr w:type="spellEnd"/>
      <w:r w:rsidRPr="00494396">
        <w:rPr>
          <w:i/>
        </w:rPr>
        <w:t xml:space="preserve"> Commission of Inquiry</w:t>
      </w:r>
      <w:r w:rsidRPr="00494396">
        <w:t>, Australian Government, Canberra.</w:t>
      </w:r>
    </w:p>
    <w:p w:rsidR="005A0E9C" w:rsidRDefault="005A0E9C" w:rsidP="005A0E9C">
      <w:pPr>
        <w:pStyle w:val="Reference"/>
      </w:pPr>
      <w:proofErr w:type="spellStart"/>
      <w:r w:rsidRPr="005A0E9C">
        <w:t>Mudd</w:t>
      </w:r>
      <w:proofErr w:type="spellEnd"/>
      <w:r w:rsidRPr="005A0E9C">
        <w:t xml:space="preserve">, </w:t>
      </w:r>
      <w:proofErr w:type="spellStart"/>
      <w:r w:rsidRPr="005A0E9C">
        <w:t>G.M</w:t>
      </w:r>
      <w:proofErr w:type="spellEnd"/>
      <w:r w:rsidRPr="005A0E9C">
        <w:t xml:space="preserve">. 2007, </w:t>
      </w:r>
      <w:r w:rsidRPr="005A0E9C">
        <w:rPr>
          <w:i/>
        </w:rPr>
        <w:t>The Sustainability of Mining in Australia: Key Production Trends and Their Environmental Implications for the Future</w:t>
      </w:r>
      <w:r w:rsidRPr="005A0E9C">
        <w:t xml:space="preserve">, Research Report No. </w:t>
      </w:r>
      <w:proofErr w:type="spellStart"/>
      <w:r w:rsidRPr="005A0E9C">
        <w:t>RR5</w:t>
      </w:r>
      <w:proofErr w:type="spellEnd"/>
      <w:r w:rsidRPr="005A0E9C">
        <w:t>, Department of Civil Engineering, Monash University and Mineral Policy Institute, October.</w:t>
      </w:r>
    </w:p>
    <w:p w:rsidR="00B36EAF" w:rsidRDefault="00B36EAF" w:rsidP="00B36EAF">
      <w:pPr>
        <w:pStyle w:val="Reference"/>
      </w:pPr>
      <w:r>
        <w:t xml:space="preserve">Nature Conservation Council of New South Wales 2013, ‘Political leaders must respect public opposition to CSG drilling’ </w:t>
      </w:r>
      <w:r w:rsidRPr="0018244E">
        <w:rPr>
          <w:i/>
        </w:rPr>
        <w:t>Media Release</w:t>
      </w:r>
      <w:r>
        <w:rPr>
          <w:i/>
        </w:rPr>
        <w:t xml:space="preserve">, </w:t>
      </w:r>
      <w:r>
        <w:t>3 April.</w:t>
      </w:r>
    </w:p>
    <w:p w:rsidR="00E0455C" w:rsidRPr="0018244E" w:rsidRDefault="00E0455C" w:rsidP="00B36EAF">
      <w:pPr>
        <w:pStyle w:val="Reference"/>
      </w:pPr>
      <w:r w:rsidRPr="00E0455C">
        <w:lastRenderedPageBreak/>
        <w:t xml:space="preserve">New South Wales Aboriginal Land Council 2010, </w:t>
      </w:r>
      <w:r>
        <w:t>‘</w:t>
      </w:r>
      <w:r w:rsidRPr="00E0455C">
        <w:t>Caring for Culture</w:t>
      </w:r>
      <w:r>
        <w:t>’</w:t>
      </w:r>
      <w:r w:rsidRPr="00E0455C">
        <w:t xml:space="preserve">, http://www.alc.org.au/media/69363/caring%20for%20culture%20final.pdf </w:t>
      </w:r>
      <w:r>
        <w:t xml:space="preserve"> (accessed 9 January 2013).</w:t>
      </w:r>
    </w:p>
    <w:p w:rsidR="00311774" w:rsidRDefault="00311774" w:rsidP="005A0E9C">
      <w:pPr>
        <w:pStyle w:val="Reference"/>
      </w:pPr>
      <w:r>
        <w:t xml:space="preserve">New South Wales Government 2010, </w:t>
      </w:r>
      <w:r>
        <w:rPr>
          <w:i/>
        </w:rPr>
        <w:t>Budget Statement 2009-10</w:t>
      </w:r>
      <w:r>
        <w:t>, Sydney.</w:t>
      </w:r>
    </w:p>
    <w:p w:rsidR="002D6BFE" w:rsidRDefault="002D6BFE" w:rsidP="002D6BFE">
      <w:pPr>
        <w:pStyle w:val="Reference"/>
      </w:pPr>
      <w:r>
        <w:rPr>
          <w:rStyle w:val="createdate"/>
        </w:rPr>
        <w:t>New South Wales Parliament</w:t>
      </w:r>
      <w:r>
        <w:t xml:space="preserve"> </w:t>
      </w:r>
      <w:r>
        <w:rPr>
          <w:rStyle w:val="createdate"/>
        </w:rPr>
        <w:t>2013</w:t>
      </w:r>
      <w:r w:rsidRPr="00D02231">
        <w:rPr>
          <w:rStyle w:val="createdate"/>
        </w:rPr>
        <w:t xml:space="preserve">, </w:t>
      </w:r>
      <w:r w:rsidRPr="00D02231">
        <w:rPr>
          <w:i/>
        </w:rPr>
        <w:t xml:space="preserve">Management of </w:t>
      </w:r>
      <w:r>
        <w:rPr>
          <w:i/>
        </w:rPr>
        <w:t>P</w:t>
      </w:r>
      <w:r w:rsidRPr="00D02231">
        <w:rPr>
          <w:i/>
        </w:rPr>
        <w:t xml:space="preserve">ublic </w:t>
      </w:r>
      <w:r>
        <w:rPr>
          <w:i/>
        </w:rPr>
        <w:t>L</w:t>
      </w:r>
      <w:r w:rsidRPr="00D02231">
        <w:rPr>
          <w:i/>
        </w:rPr>
        <w:t>and in New South Wales</w:t>
      </w:r>
      <w:r>
        <w:rPr>
          <w:i/>
        </w:rPr>
        <w:t>,</w:t>
      </w:r>
      <w:r w:rsidRPr="00D02231">
        <w:t xml:space="preserve"> General Purpose Standing Committee No. </w:t>
      </w:r>
      <w:r>
        <w:t>5, May.</w:t>
      </w:r>
    </w:p>
    <w:p w:rsidR="005B1599" w:rsidRDefault="005B1599" w:rsidP="005A0E9C">
      <w:pPr>
        <w:pStyle w:val="Reference"/>
      </w:pPr>
      <w:r>
        <w:t xml:space="preserve">New South Wales Department of Planning and Infrastructure 2012, </w:t>
      </w:r>
      <w:r>
        <w:rPr>
          <w:i/>
        </w:rPr>
        <w:t>Strategic Regional Land Use Policy</w:t>
      </w:r>
      <w:r>
        <w:t>, September.</w:t>
      </w:r>
    </w:p>
    <w:p w:rsidR="00B36EAF" w:rsidRDefault="00B36EAF" w:rsidP="00B36EAF">
      <w:pPr>
        <w:pStyle w:val="Reference"/>
        <w:rPr>
          <w:rStyle w:val="createdate"/>
        </w:rPr>
      </w:pPr>
      <w:r>
        <w:rPr>
          <w:rStyle w:val="createdate"/>
        </w:rPr>
        <w:t>Northern Land Council 2012, ‘The Mining Industry and the Northern Land Council’,</w:t>
      </w:r>
      <w:r w:rsidR="00E23DAC">
        <w:rPr>
          <w:rStyle w:val="createdate"/>
        </w:rPr>
        <w:t> </w:t>
      </w:r>
      <w:r w:rsidRPr="00B76B1E">
        <w:rPr>
          <w:rStyle w:val="createdate"/>
        </w:rPr>
        <w:t>http://.nlc.org.au/articles/info/the-mining-industry-and-the-nlc/</w:t>
      </w:r>
      <w:r>
        <w:rPr>
          <w:rStyle w:val="createdate"/>
        </w:rPr>
        <w:t xml:space="preserve"> (accessed 4 December 2012).</w:t>
      </w:r>
    </w:p>
    <w:p w:rsidR="00E135E6" w:rsidRDefault="00E135E6" w:rsidP="005A0E9C">
      <w:pPr>
        <w:pStyle w:val="Reference"/>
      </w:pPr>
      <w:r>
        <w:t xml:space="preserve">Northern Territory Department of Primary Industry, Fisheries and Mines 2006, </w:t>
      </w:r>
      <w:r>
        <w:rPr>
          <w:i/>
        </w:rPr>
        <w:t>Exploring Country: A guide to making an exploration and mining agreement</w:t>
      </w:r>
      <w:r>
        <w:t>, NT Government Printing Office.</w:t>
      </w:r>
    </w:p>
    <w:p w:rsidR="008C5C30" w:rsidRDefault="008C5C30" w:rsidP="008C5C30">
      <w:pPr>
        <w:pStyle w:val="Reference"/>
        <w:tabs>
          <w:tab w:val="left" w:pos="709"/>
        </w:tabs>
      </w:pPr>
      <w:proofErr w:type="spellStart"/>
      <w:r>
        <w:t>NRSET</w:t>
      </w:r>
      <w:proofErr w:type="spellEnd"/>
      <w:r>
        <w:t xml:space="preserve"> (National Resources Sector Employment Taskforce)</w:t>
      </w:r>
      <w:r w:rsidRPr="00AF3440">
        <w:t xml:space="preserve"> </w:t>
      </w:r>
      <w:proofErr w:type="spellStart"/>
      <w:r w:rsidRPr="00AF3440">
        <w:t>2010</w:t>
      </w:r>
      <w:r>
        <w:t>a</w:t>
      </w:r>
      <w:proofErr w:type="spellEnd"/>
      <w:r w:rsidRPr="00AF3440">
        <w:t xml:space="preserve">, </w:t>
      </w:r>
      <w:r w:rsidRPr="009879B0">
        <w:rPr>
          <w:i/>
        </w:rPr>
        <w:t>Resourcing the Future — National Resources Sector Employment Taskforce Report</w:t>
      </w:r>
      <w:r>
        <w:t>, July.</w:t>
      </w:r>
    </w:p>
    <w:p w:rsidR="008C5C30" w:rsidRDefault="008C5C30" w:rsidP="008C5C30">
      <w:pPr>
        <w:pStyle w:val="Reference"/>
        <w:tabs>
          <w:tab w:val="left" w:pos="709"/>
        </w:tabs>
      </w:pPr>
      <w:r>
        <w:t>—— </w:t>
      </w:r>
      <w:proofErr w:type="spellStart"/>
      <w:r>
        <w:t>2010b</w:t>
      </w:r>
      <w:proofErr w:type="spellEnd"/>
      <w:r>
        <w:t xml:space="preserve">, </w:t>
      </w:r>
      <w:r w:rsidRPr="009879B0">
        <w:rPr>
          <w:i/>
        </w:rPr>
        <w:t xml:space="preserve">Resourcing the Future — </w:t>
      </w:r>
      <w:r>
        <w:rPr>
          <w:i/>
        </w:rPr>
        <w:t>Technical Paper</w:t>
      </w:r>
      <w:r>
        <w:t>, July.</w:t>
      </w:r>
    </w:p>
    <w:p w:rsidR="002D6120" w:rsidRPr="00263F54" w:rsidRDefault="002D6120" w:rsidP="00CF49B8">
      <w:pPr>
        <w:pStyle w:val="Reference"/>
        <w:tabs>
          <w:tab w:val="left" w:pos="709"/>
        </w:tabs>
        <w:jc w:val="left"/>
      </w:pPr>
      <w:proofErr w:type="spellStart"/>
      <w:r>
        <w:t>NRSWS</w:t>
      </w:r>
      <w:proofErr w:type="spellEnd"/>
      <w:r>
        <w:t xml:space="preserve"> Steering Committee 2012, </w:t>
      </w:r>
      <w:r w:rsidR="00F96DF6">
        <w:t>‘</w:t>
      </w:r>
      <w:r w:rsidRPr="00F96DF6">
        <w:t>National Resources Sector Workforce Strategy Actioned Recommendations</w:t>
      </w:r>
      <w:r w:rsidR="00F96DF6">
        <w:t>’</w:t>
      </w:r>
      <w:r>
        <w:t xml:space="preserve">, </w:t>
      </w:r>
      <w:r w:rsidR="00CF49B8" w:rsidRPr="00CF49B8">
        <w:t>http://</w:t>
      </w:r>
      <w:proofErr w:type="spellStart"/>
      <w:r w:rsidR="00CF49B8" w:rsidRPr="00CF49B8">
        <w:t>www.innovation.gov.au</w:t>
      </w:r>
      <w:proofErr w:type="spellEnd"/>
      <w:r w:rsidR="00CF49B8">
        <w:br/>
      </w:r>
      <w:r w:rsidRPr="00263F54">
        <w:t>/Skills/SkillsTrainingAndWorkforceDevelopment/Documents/ActionedRecommendations.pdf</w:t>
      </w:r>
      <w:r>
        <w:t xml:space="preserve"> </w:t>
      </w:r>
      <w:r w:rsidR="00B0049F">
        <w:t>(</w:t>
      </w:r>
      <w:r>
        <w:t>accessed 12 April 2013</w:t>
      </w:r>
      <w:r w:rsidR="00B0049F">
        <w:t>)</w:t>
      </w:r>
      <w:r>
        <w:t>.</w:t>
      </w:r>
    </w:p>
    <w:p w:rsidR="00536464" w:rsidRDefault="00536464" w:rsidP="00536464">
      <w:pPr>
        <w:pStyle w:val="Reference"/>
      </w:pPr>
      <w:r>
        <w:t xml:space="preserve">NSW </w:t>
      </w:r>
      <w:proofErr w:type="spellStart"/>
      <w:r>
        <w:t>DECCW</w:t>
      </w:r>
      <w:proofErr w:type="spellEnd"/>
      <w:r>
        <w:t xml:space="preserve"> (</w:t>
      </w:r>
      <w:r w:rsidRPr="00180598">
        <w:t>New South Wales Department of Environment, Climate Change and Water</w:t>
      </w:r>
      <w:r>
        <w:t>)</w:t>
      </w:r>
      <w:r w:rsidRPr="00180598">
        <w:t xml:space="preserve"> 2010, </w:t>
      </w:r>
      <w:r w:rsidRPr="00180598">
        <w:rPr>
          <w:i/>
        </w:rPr>
        <w:t xml:space="preserve">National Parks and Wildlife Act 1974 Fact sheet </w:t>
      </w:r>
      <w:r w:rsidRPr="00180598">
        <w:t>3, Sydney.</w:t>
      </w:r>
    </w:p>
    <w:p w:rsidR="00A04866" w:rsidRDefault="00546C8B" w:rsidP="00546C8B">
      <w:pPr>
        <w:pStyle w:val="Reference"/>
      </w:pPr>
      <w:r>
        <w:t xml:space="preserve">NSW DTI (New South Wales Government Department of Trade and Investment, Regional Infrastructure and Services) </w:t>
      </w:r>
      <w:proofErr w:type="spellStart"/>
      <w:r>
        <w:t>2012</w:t>
      </w:r>
      <w:r w:rsidR="00A04866">
        <w:t>a</w:t>
      </w:r>
      <w:proofErr w:type="spellEnd"/>
      <w:r>
        <w:t xml:space="preserve">, </w:t>
      </w:r>
      <w:r>
        <w:rPr>
          <w:i/>
        </w:rPr>
        <w:t>NSW Trade and Investment Annual Report 2011–2012</w:t>
      </w:r>
      <w:r>
        <w:t>.</w:t>
      </w:r>
    </w:p>
    <w:p w:rsidR="00A04866" w:rsidRDefault="00A04866" w:rsidP="00546C8B">
      <w:pPr>
        <w:pStyle w:val="Reference"/>
      </w:pPr>
      <w:r>
        <w:t>—— </w:t>
      </w:r>
      <w:proofErr w:type="spellStart"/>
      <w:r>
        <w:t>2012b</w:t>
      </w:r>
      <w:proofErr w:type="spellEnd"/>
      <w:r w:rsidR="006A3B1D">
        <w:t>,</w:t>
      </w:r>
      <w:r w:rsidR="00E23DAC">
        <w:t> </w:t>
      </w:r>
      <w:r w:rsidR="00F96DF6">
        <w:t>‘</w:t>
      </w:r>
      <w:r w:rsidR="006A3B1D" w:rsidRPr="00F96DF6">
        <w:t>Uranium</w:t>
      </w:r>
      <w:r w:rsidR="00E23DAC" w:rsidRPr="00F96DF6">
        <w:t> </w:t>
      </w:r>
      <w:r w:rsidR="006A3B1D" w:rsidRPr="00F96DF6">
        <w:t>exploration</w:t>
      </w:r>
      <w:r w:rsidR="00E23DAC" w:rsidRPr="00F96DF6">
        <w:t> </w:t>
      </w:r>
      <w:r w:rsidR="006A3B1D" w:rsidRPr="00F96DF6">
        <w:t>in</w:t>
      </w:r>
      <w:r w:rsidR="00E23DAC" w:rsidRPr="00F96DF6">
        <w:t> </w:t>
      </w:r>
      <w:r w:rsidR="006A3B1D" w:rsidRPr="00F96DF6">
        <w:t>NSW</w:t>
      </w:r>
      <w:r w:rsidR="00F96DF6">
        <w:t>’</w:t>
      </w:r>
      <w:r w:rsidR="006A3B1D">
        <w:t xml:space="preserve">, </w:t>
      </w:r>
      <w:r w:rsidR="00F96DF6" w:rsidRPr="00F96DF6">
        <w:t>http://</w:t>
      </w:r>
      <w:proofErr w:type="spellStart"/>
      <w:r w:rsidR="00F96DF6" w:rsidRPr="00F96DF6">
        <w:t>www.resources.nsw.gov.au</w:t>
      </w:r>
      <w:proofErr w:type="spellEnd"/>
      <w:r w:rsidR="00F96DF6">
        <w:br/>
      </w:r>
      <w:r w:rsidR="00DC6914" w:rsidRPr="00DC6914">
        <w:t>/titles</w:t>
      </w:r>
      <w:r w:rsidR="006A3B1D" w:rsidRPr="006A3B1D">
        <w:t>/uranium-exploration/uranium-exploration-in-</w:t>
      </w:r>
      <w:proofErr w:type="spellStart"/>
      <w:r w:rsidR="006A3B1D" w:rsidRPr="006A3B1D">
        <w:t>nsw</w:t>
      </w:r>
      <w:proofErr w:type="spellEnd"/>
      <w:r w:rsidR="006A3B1D" w:rsidRPr="006A3B1D">
        <w:t xml:space="preserve"> </w:t>
      </w:r>
      <w:r w:rsidR="006A3B1D">
        <w:t>(</w:t>
      </w:r>
      <w:r w:rsidR="006A3B1D" w:rsidRPr="006A3B1D">
        <w:t>accessed 17 April 2013</w:t>
      </w:r>
      <w:r w:rsidR="006A3B1D">
        <w:t>)</w:t>
      </w:r>
      <w:r w:rsidR="006A3B1D" w:rsidRPr="006A3B1D">
        <w:t>.</w:t>
      </w:r>
    </w:p>
    <w:p w:rsidR="00E90EA0" w:rsidRDefault="00E90EA0" w:rsidP="00546C8B">
      <w:pPr>
        <w:pStyle w:val="Reference"/>
      </w:pPr>
      <w:r>
        <w:t>—— </w:t>
      </w:r>
      <w:proofErr w:type="spellStart"/>
      <w:r>
        <w:t>2012c</w:t>
      </w:r>
      <w:proofErr w:type="spellEnd"/>
      <w:r>
        <w:t xml:space="preserve">, </w:t>
      </w:r>
      <w:r w:rsidRPr="00B31FE2">
        <w:rPr>
          <w:i/>
        </w:rPr>
        <w:t>Land Access Arrangement Information for Mineral Exploration: A guide to negotiating land access arrangements for mineral exploration in NSW</w:t>
      </w:r>
      <w:r>
        <w:t>, October.</w:t>
      </w:r>
    </w:p>
    <w:p w:rsidR="00C6427C" w:rsidRPr="00C6427C" w:rsidRDefault="00DC6914" w:rsidP="00F00951">
      <w:pPr>
        <w:pStyle w:val="Reference"/>
      </w:pPr>
      <w:r>
        <w:t>—— 2010, </w:t>
      </w:r>
      <w:r w:rsidR="00F96DF6">
        <w:t>‘</w:t>
      </w:r>
      <w:r w:rsidRPr="00F96DF6">
        <w:t>National </w:t>
      </w:r>
      <w:r w:rsidR="00C6427C" w:rsidRPr="00F96DF6">
        <w:t>Parks</w:t>
      </w:r>
      <w:r w:rsidR="00D31882" w:rsidRPr="00F96DF6">
        <w:t> </w:t>
      </w:r>
      <w:r w:rsidR="00C6427C" w:rsidRPr="00F96DF6">
        <w:t>and</w:t>
      </w:r>
      <w:r w:rsidR="00D31882" w:rsidRPr="00F96DF6">
        <w:t> </w:t>
      </w:r>
      <w:r w:rsidR="00C6427C" w:rsidRPr="00F96DF6">
        <w:t>Wildlife</w:t>
      </w:r>
      <w:r w:rsidR="00D31882" w:rsidRPr="00F96DF6">
        <w:t> </w:t>
      </w:r>
      <w:r w:rsidR="00C6427C" w:rsidRPr="00F96DF6">
        <w:t>Act</w:t>
      </w:r>
      <w:r w:rsidR="00D31882" w:rsidRPr="00F96DF6">
        <w:t> </w:t>
      </w:r>
      <w:r w:rsidR="00C6427C" w:rsidRPr="00F96DF6">
        <w:t>1974</w:t>
      </w:r>
      <w:r w:rsidR="00D31882" w:rsidRPr="00F96DF6">
        <w:t> </w:t>
      </w:r>
      <w:r w:rsidR="00C6427C" w:rsidRPr="00F96DF6">
        <w:t>Fact</w:t>
      </w:r>
      <w:r w:rsidR="00D31882" w:rsidRPr="00F96DF6">
        <w:t> </w:t>
      </w:r>
      <w:r w:rsidR="00C6427C" w:rsidRPr="00F96DF6">
        <w:t>sheet</w:t>
      </w:r>
      <w:r w:rsidR="00D31882" w:rsidRPr="00F96DF6">
        <w:t> </w:t>
      </w:r>
      <w:r w:rsidR="00C6427C" w:rsidRPr="00F96DF6">
        <w:t>3</w:t>
      </w:r>
      <w:r w:rsidR="00F96DF6">
        <w:t>’</w:t>
      </w:r>
      <w:r w:rsidR="00C6427C">
        <w:t xml:space="preserve">, </w:t>
      </w:r>
      <w:r w:rsidR="00C6427C" w:rsidRPr="00C6427C">
        <w:t>http://www.environment.nsw.gov.au/resources/cultureheritage/NPWAct/10703npwfacts3.pdf</w:t>
      </w:r>
      <w:r w:rsidR="00C6427C">
        <w:t xml:space="preserve"> (accessed 6 May 2013).</w:t>
      </w:r>
    </w:p>
    <w:p w:rsidR="00156A09" w:rsidRDefault="00224EBA" w:rsidP="00F00951">
      <w:pPr>
        <w:pStyle w:val="Reference"/>
      </w:pPr>
      <w:r>
        <w:lastRenderedPageBreak/>
        <w:t>NSW</w:t>
      </w:r>
      <w:r w:rsidR="00536464">
        <w:t> </w:t>
      </w:r>
      <w:proofErr w:type="spellStart"/>
      <w:r>
        <w:t>OEH</w:t>
      </w:r>
      <w:proofErr w:type="spellEnd"/>
      <w:r>
        <w:t xml:space="preserve"> (</w:t>
      </w:r>
      <w:r w:rsidR="00156A09">
        <w:t>New South Wales Office of Environment and Heritage</w:t>
      </w:r>
      <w:r>
        <w:t>)</w:t>
      </w:r>
      <w:r w:rsidR="00156A09">
        <w:t xml:space="preserve"> 2011, </w:t>
      </w:r>
      <w:r w:rsidR="00156A09" w:rsidRPr="00156A09">
        <w:rPr>
          <w:i/>
        </w:rPr>
        <w:t>Aboriginal heritage legislation in NSW: Public consultation on issues for reform</w:t>
      </w:r>
      <w:r w:rsidR="00156A09">
        <w:t>, Sydney South.</w:t>
      </w:r>
    </w:p>
    <w:p w:rsidR="00F00951" w:rsidRDefault="00156A09" w:rsidP="00F00951">
      <w:pPr>
        <w:pStyle w:val="Reference"/>
      </w:pPr>
      <w:r>
        <w:t>——</w:t>
      </w:r>
      <w:r w:rsidR="002053C3">
        <w:t> </w:t>
      </w:r>
      <w:proofErr w:type="spellStart"/>
      <w:r w:rsidR="00F00951" w:rsidRPr="00F00951">
        <w:t>2012</w:t>
      </w:r>
      <w:r w:rsidR="00FB4059">
        <w:t>a</w:t>
      </w:r>
      <w:proofErr w:type="spellEnd"/>
      <w:r w:rsidR="00F00951" w:rsidRPr="00F00951">
        <w:t xml:space="preserve">, </w:t>
      </w:r>
      <w:r w:rsidR="00F00951" w:rsidRPr="00156A09">
        <w:rPr>
          <w:i/>
        </w:rPr>
        <w:t xml:space="preserve">Aboriginal heritage legislation </w:t>
      </w:r>
      <w:r w:rsidRPr="00156A09">
        <w:rPr>
          <w:i/>
        </w:rPr>
        <w:t>i</w:t>
      </w:r>
      <w:r w:rsidR="00F00951" w:rsidRPr="00156A09">
        <w:rPr>
          <w:i/>
        </w:rPr>
        <w:t>n NSW: Comparing the NSW Aboriginal heritage system with other Australian systems</w:t>
      </w:r>
      <w:r w:rsidR="00F00951" w:rsidRPr="00F00951">
        <w:t>, Sydney South.</w:t>
      </w:r>
    </w:p>
    <w:p w:rsidR="00FB4059" w:rsidRPr="00FB4059" w:rsidRDefault="00FB4059" w:rsidP="00F00951">
      <w:pPr>
        <w:pStyle w:val="Reference"/>
      </w:pPr>
      <w:r>
        <w:t>—— </w:t>
      </w:r>
      <w:proofErr w:type="spellStart"/>
      <w:r>
        <w:t>2012b</w:t>
      </w:r>
      <w:proofErr w:type="spellEnd"/>
      <w:r>
        <w:t xml:space="preserve">, </w:t>
      </w:r>
      <w:r>
        <w:rPr>
          <w:i/>
        </w:rPr>
        <w:t>Aboriginal heritage legislation in NSW: How the Aboriginal heritage system works</w:t>
      </w:r>
      <w:r>
        <w:t>, Sydney South.</w:t>
      </w:r>
    </w:p>
    <w:p w:rsidR="00682575" w:rsidRDefault="00682575" w:rsidP="00F00951">
      <w:pPr>
        <w:pStyle w:val="Reference"/>
      </w:pPr>
      <w:r>
        <w:t>——</w:t>
      </w:r>
      <w:r w:rsidR="00EC2AE8">
        <w:t> </w:t>
      </w:r>
      <w:proofErr w:type="spellStart"/>
      <w:r w:rsidR="00EC2AE8">
        <w:t>2012</w:t>
      </w:r>
      <w:r w:rsidR="00FB4059">
        <w:t>c</w:t>
      </w:r>
      <w:proofErr w:type="spellEnd"/>
      <w:r w:rsidR="00EC2AE8">
        <w:t>,</w:t>
      </w:r>
      <w:r w:rsidR="00E23DAC">
        <w:t> </w:t>
      </w:r>
      <w:r w:rsidR="00EC2AE8">
        <w:t>Regulation</w:t>
      </w:r>
      <w:r w:rsidR="00E23DAC">
        <w:t> </w:t>
      </w:r>
      <w:r w:rsidR="00EC2AE8">
        <w:t>of</w:t>
      </w:r>
      <w:r w:rsidR="00E23DAC">
        <w:t> </w:t>
      </w:r>
      <w:r w:rsidR="00EC2AE8">
        <w:t>Aboriginal</w:t>
      </w:r>
      <w:r w:rsidR="00E23DAC">
        <w:t> </w:t>
      </w:r>
      <w:r w:rsidR="00EC2AE8">
        <w:t>cultural</w:t>
      </w:r>
      <w:r w:rsidR="00E23DAC">
        <w:t> </w:t>
      </w:r>
      <w:r w:rsidR="00EC2AE8">
        <w:t>heritage, http://</w:t>
      </w:r>
      <w:proofErr w:type="spellStart"/>
      <w:r w:rsidR="00EC2AE8">
        <w:t>www.environment.nsw.gov.au</w:t>
      </w:r>
      <w:proofErr w:type="spellEnd"/>
      <w:r w:rsidR="00EC2AE8">
        <w:t>/licences/</w:t>
      </w:r>
      <w:proofErr w:type="spellStart"/>
      <w:r w:rsidR="00EC2AE8">
        <w:t>achregulation.htm</w:t>
      </w:r>
      <w:proofErr w:type="spellEnd"/>
      <w:r w:rsidR="00EC2AE8">
        <w:t xml:space="preserve"> </w:t>
      </w:r>
      <w:r w:rsidR="00DC6914">
        <w:br/>
      </w:r>
      <w:r w:rsidR="00EC2AE8">
        <w:t>(accessed 6 May 2013).</w:t>
      </w:r>
    </w:p>
    <w:p w:rsidR="00083F40" w:rsidRDefault="00083F40" w:rsidP="00F00951">
      <w:pPr>
        <w:pStyle w:val="Reference"/>
      </w:pPr>
      <w:r>
        <w:t xml:space="preserve">NT </w:t>
      </w:r>
      <w:proofErr w:type="spellStart"/>
      <w:r>
        <w:t>DLPE</w:t>
      </w:r>
      <w:proofErr w:type="spellEnd"/>
      <w:r>
        <w:t xml:space="preserve"> (Northern Territory Department of Lands, Planning and the Environment) </w:t>
      </w:r>
      <w:proofErr w:type="spellStart"/>
      <w:r>
        <w:t>2012a</w:t>
      </w:r>
      <w:proofErr w:type="spellEnd"/>
      <w:r>
        <w:t xml:space="preserve">, ‘Indigenous Heritage’, </w:t>
      </w:r>
      <w:r w:rsidRPr="00083F40">
        <w:t>http://</w:t>
      </w:r>
      <w:proofErr w:type="spellStart"/>
      <w:r w:rsidRPr="00083F40">
        <w:t>www.dlpe.nt.gov.au</w:t>
      </w:r>
      <w:proofErr w:type="spellEnd"/>
      <w:r w:rsidRPr="00083F40">
        <w:t>/heritage/</w:t>
      </w:r>
      <w:r w:rsidR="00DC6914">
        <w:br/>
      </w:r>
      <w:r w:rsidRPr="00083F40">
        <w:t>indigenous-heritage</w:t>
      </w:r>
      <w:r>
        <w:t xml:space="preserve"> (accessed 16 May 2013).</w:t>
      </w:r>
    </w:p>
    <w:p w:rsidR="00083F40" w:rsidRPr="00F00951" w:rsidRDefault="00083F40" w:rsidP="00F00951">
      <w:pPr>
        <w:pStyle w:val="Reference"/>
      </w:pPr>
      <w:r>
        <w:t>—— </w:t>
      </w:r>
      <w:proofErr w:type="spellStart"/>
      <w:r>
        <w:t>2012b</w:t>
      </w:r>
      <w:proofErr w:type="spellEnd"/>
      <w:r>
        <w:t xml:space="preserve">, ‘Heritage Act’, </w:t>
      </w:r>
      <w:proofErr w:type="spellStart"/>
      <w:r w:rsidRPr="00083F40">
        <w:t>www.dlp.nt.gov.au</w:t>
      </w:r>
      <w:proofErr w:type="spellEnd"/>
      <w:r w:rsidRPr="00083F40">
        <w:t>/heritage/heritage-act</w:t>
      </w:r>
      <w:r>
        <w:t xml:space="preserve"> (accessed 19 March 2013).</w:t>
      </w:r>
    </w:p>
    <w:p w:rsidR="00FD2768" w:rsidRDefault="00FD2768" w:rsidP="00FD2768">
      <w:pPr>
        <w:pStyle w:val="Reference"/>
      </w:pPr>
      <w:r w:rsidRPr="00FD2768">
        <w:t>OECD (The Organisation for Economic Co</w:t>
      </w:r>
      <w:r w:rsidRPr="00FD2768">
        <w:noBreakHyphen/>
        <w:t xml:space="preserve">operation and Development) 2010, </w:t>
      </w:r>
      <w:r w:rsidRPr="00FD2768">
        <w:rPr>
          <w:i/>
        </w:rPr>
        <w:t>Risk and Regulatory Policy: Improving the Governance of Risk</w:t>
      </w:r>
      <w:r w:rsidRPr="00FD2768">
        <w:t xml:space="preserve">, OECD Publishing, Paris. </w:t>
      </w:r>
    </w:p>
    <w:p w:rsidR="003E78C5" w:rsidRDefault="003E78C5" w:rsidP="003E78C5">
      <w:pPr>
        <w:pStyle w:val="Reference"/>
      </w:pPr>
      <w:proofErr w:type="spellStart"/>
      <w:r w:rsidRPr="003E78C5">
        <w:t>O'Faircheallaigh</w:t>
      </w:r>
      <w:proofErr w:type="spellEnd"/>
      <w:r w:rsidRPr="003E78C5">
        <w:t xml:space="preserve">, C. 2008, </w:t>
      </w:r>
      <w:r w:rsidR="00DC6914">
        <w:t>‘</w:t>
      </w:r>
      <w:r w:rsidRPr="003E78C5">
        <w:t>Negotiating Cultural Heritage? Aboriginal–Mining Company Agreements in Australia</w:t>
      </w:r>
      <w:r w:rsidR="00DC6914">
        <w:t>’</w:t>
      </w:r>
      <w:r w:rsidRPr="003E78C5">
        <w:t xml:space="preserve">, </w:t>
      </w:r>
      <w:r w:rsidRPr="003E78C5">
        <w:rPr>
          <w:i/>
        </w:rPr>
        <w:t>Development and Change</w:t>
      </w:r>
      <w:r w:rsidRPr="003E78C5">
        <w:t>, no. 39, pp.</w:t>
      </w:r>
      <w:r w:rsidR="001A2CED">
        <w:t> </w:t>
      </w:r>
      <w:r w:rsidRPr="003E78C5">
        <w:t>25</w:t>
      </w:r>
      <w:r w:rsidR="001A2CED">
        <w:t>–</w:t>
      </w:r>
      <w:r w:rsidRPr="003E78C5">
        <w:t>51.</w:t>
      </w:r>
    </w:p>
    <w:p w:rsidR="007C306C" w:rsidRDefault="007C306C" w:rsidP="007C306C">
      <w:pPr>
        <w:pStyle w:val="Reference"/>
        <w:rPr>
          <w:rStyle w:val="createdate"/>
        </w:rPr>
      </w:pPr>
      <w:r>
        <w:rPr>
          <w:rStyle w:val="createdate"/>
        </w:rPr>
        <w:t xml:space="preserve">O’Farrell, B. (Premier of New South Wales and Minister for Western Sydney) 2013, </w:t>
      </w:r>
      <w:r w:rsidRPr="007C306C">
        <w:rPr>
          <w:rStyle w:val="createdate"/>
          <w:i/>
        </w:rPr>
        <w:t>Tough New Rules for Coal Seam Gas Activity</w:t>
      </w:r>
      <w:r>
        <w:rPr>
          <w:rStyle w:val="createdate"/>
        </w:rPr>
        <w:t>, Media release, 19 February.</w:t>
      </w:r>
    </w:p>
    <w:p w:rsidR="00964BFF" w:rsidRPr="007D1675" w:rsidRDefault="00964BFF" w:rsidP="00964BFF">
      <w:pPr>
        <w:pStyle w:val="Reference"/>
      </w:pPr>
      <w:r>
        <w:t xml:space="preserve">On Common Ground Consultants </w:t>
      </w:r>
      <w:proofErr w:type="spellStart"/>
      <w:r>
        <w:t>Inc</w:t>
      </w:r>
      <w:proofErr w:type="spellEnd"/>
      <w:r>
        <w:t xml:space="preserve"> 2007, </w:t>
      </w:r>
      <w:r w:rsidR="00F96DF6">
        <w:t>‘</w:t>
      </w:r>
      <w:r w:rsidRPr="00F96DF6">
        <w:t>Corporate Social Responsibility and Mineral</w:t>
      </w:r>
      <w:r w:rsidR="00E23DAC" w:rsidRPr="00F96DF6">
        <w:t> </w:t>
      </w:r>
      <w:r w:rsidRPr="00F96DF6">
        <w:t>Exploration</w:t>
      </w:r>
      <w:r w:rsidR="00F96DF6">
        <w:t>’</w:t>
      </w:r>
      <w:r>
        <w:t>,</w:t>
      </w:r>
      <w:r w:rsidR="00E23DAC">
        <w:t> </w:t>
      </w:r>
      <w:r w:rsidRPr="007D1675">
        <w:t>http://www.pdac.ca/docs/default</w:t>
      </w:r>
      <w:r>
        <w:noBreakHyphen/>
      </w:r>
      <w:r w:rsidRPr="007D1675">
        <w:t>source/</w:t>
      </w:r>
      <w:r w:rsidR="00E23DAC">
        <w:t>public-affairs/</w:t>
      </w:r>
      <w:r>
        <w:br/>
      </w:r>
      <w:proofErr w:type="spellStart"/>
      <w:r w:rsidRPr="007D1675">
        <w:t>csr</w:t>
      </w:r>
      <w:r>
        <w:noBreakHyphen/>
      </w:r>
      <w:r w:rsidRPr="007D1675">
        <w:t>and</w:t>
      </w:r>
      <w:r>
        <w:noBreakHyphen/>
      </w:r>
      <w:r w:rsidRPr="007D1675">
        <w:t>mineral</w:t>
      </w:r>
      <w:r>
        <w:noBreakHyphen/>
      </w:r>
      <w:r w:rsidRPr="007D1675">
        <w:t>exploration</w:t>
      </w:r>
      <w:r>
        <w:noBreakHyphen/>
      </w:r>
      <w:r w:rsidRPr="007D1675">
        <w:t>background</w:t>
      </w:r>
      <w:r>
        <w:noBreakHyphen/>
      </w:r>
      <w:r w:rsidRPr="007D1675">
        <w:t>notes.pdf?sfvrsn</w:t>
      </w:r>
      <w:proofErr w:type="spellEnd"/>
      <w:r w:rsidRPr="007D1675">
        <w:t>=4</w:t>
      </w:r>
      <w:r>
        <w:t xml:space="preserve"> (accessed 15 April 2013).</w:t>
      </w:r>
    </w:p>
    <w:p w:rsidR="00853E41" w:rsidRDefault="00853E41" w:rsidP="00853E41">
      <w:pPr>
        <w:pStyle w:val="Reference"/>
      </w:pPr>
      <w:r w:rsidRPr="00853E41">
        <w:t>Penney, K., McCallum, R., Schultz, A. and Ball, A</w:t>
      </w:r>
      <w:r w:rsidR="00DE52AF">
        <w:t>.</w:t>
      </w:r>
      <w:r w:rsidRPr="00853E41">
        <w:t xml:space="preserve"> 2007, </w:t>
      </w:r>
      <w:r w:rsidRPr="00853E41">
        <w:rPr>
          <w:i/>
        </w:rPr>
        <w:t>Mineral exploration in APEC economies: a framework for investment</w:t>
      </w:r>
      <w:r w:rsidRPr="00853E41">
        <w:t>, APEC Energy Working Group, Research Report 07.22, Australian Bureau of Agricultural and Resource Economics, Canberra.</w:t>
      </w:r>
    </w:p>
    <w:p w:rsidR="00282CCC" w:rsidRDefault="00282CCC" w:rsidP="00A04866">
      <w:pPr>
        <w:pStyle w:val="Reference"/>
      </w:pPr>
      <w:r w:rsidRPr="00282CCC">
        <w:t xml:space="preserve">PC (Productivity Commission) 2006, </w:t>
      </w:r>
      <w:r w:rsidRPr="00282CCC">
        <w:rPr>
          <w:i/>
        </w:rPr>
        <w:t>Conservation of Australia’s Historic Heritage Places</w:t>
      </w:r>
      <w:r w:rsidRPr="00282CCC">
        <w:t xml:space="preserve">, </w:t>
      </w:r>
      <w:r>
        <w:t>Inquiry Report</w:t>
      </w:r>
      <w:r w:rsidRPr="00282CCC">
        <w:t>, Canberra.</w:t>
      </w:r>
    </w:p>
    <w:p w:rsidR="00A04866" w:rsidRDefault="00282CCC" w:rsidP="00A04866">
      <w:pPr>
        <w:pStyle w:val="Reference"/>
      </w:pPr>
      <w:r>
        <w:t>—— </w:t>
      </w:r>
      <w:r w:rsidR="00A04866">
        <w:t>2007</w:t>
      </w:r>
      <w:r w:rsidR="006A3B1D">
        <w:t>,</w:t>
      </w:r>
      <w:r w:rsidR="00A04866">
        <w:t xml:space="preserve"> </w:t>
      </w:r>
      <w:r w:rsidR="00A04866">
        <w:rPr>
          <w:i/>
        </w:rPr>
        <w:t xml:space="preserve">Public Support for Science and Innovation, </w:t>
      </w:r>
      <w:r w:rsidR="00A04866">
        <w:t>Research Report, Canberra, March.</w:t>
      </w:r>
    </w:p>
    <w:p w:rsidR="005D5139" w:rsidRDefault="00A04866" w:rsidP="00C50A08">
      <w:pPr>
        <w:pStyle w:val="Reference"/>
      </w:pPr>
      <w:r>
        <w:lastRenderedPageBreak/>
        <w:t>—— </w:t>
      </w:r>
      <w:r w:rsidR="005D5139" w:rsidRPr="005D5139">
        <w:t xml:space="preserve">2009, </w:t>
      </w:r>
      <w:r w:rsidR="005D5139" w:rsidRPr="00C50A08">
        <w:rPr>
          <w:i/>
        </w:rPr>
        <w:t>Review of Regulatory Burden on the Upstream Petroleum (Oil &amp; Gas) Sector</w:t>
      </w:r>
      <w:r w:rsidR="005D5139">
        <w:t>, R</w:t>
      </w:r>
      <w:r w:rsidR="005D5139" w:rsidRPr="005D5139">
        <w:t xml:space="preserve">esearch </w:t>
      </w:r>
      <w:r w:rsidR="005D5139">
        <w:t>R</w:t>
      </w:r>
      <w:r w:rsidR="005D5139" w:rsidRPr="005D5139">
        <w:t>eport, Melbourne.</w:t>
      </w:r>
    </w:p>
    <w:p w:rsidR="005A0E9C" w:rsidRDefault="005D5139" w:rsidP="00C50A08">
      <w:pPr>
        <w:pStyle w:val="Reference"/>
      </w:pPr>
      <w:r>
        <w:t>—— </w:t>
      </w:r>
      <w:proofErr w:type="spellStart"/>
      <w:r w:rsidR="005A0E9C" w:rsidRPr="00174144">
        <w:t>2011</w:t>
      </w:r>
      <w:r w:rsidR="0091046D">
        <w:t>a</w:t>
      </w:r>
      <w:proofErr w:type="spellEnd"/>
      <w:r w:rsidR="005A0E9C" w:rsidRPr="00174144">
        <w:t xml:space="preserve">, </w:t>
      </w:r>
      <w:r w:rsidR="005A0E9C" w:rsidRPr="00C50A08">
        <w:rPr>
          <w:i/>
        </w:rPr>
        <w:t>Identifying and Evaluating Regulation Reforms</w:t>
      </w:r>
      <w:r w:rsidR="005A0E9C" w:rsidRPr="00174144">
        <w:t>, Research Report, Canberra.</w:t>
      </w:r>
    </w:p>
    <w:p w:rsidR="0091046D" w:rsidRPr="00174144" w:rsidRDefault="0091046D" w:rsidP="0030543E">
      <w:pPr>
        <w:pStyle w:val="Reference"/>
      </w:pPr>
      <w:r>
        <w:t>—— </w:t>
      </w:r>
      <w:proofErr w:type="spellStart"/>
      <w:r>
        <w:t>2011b</w:t>
      </w:r>
      <w:proofErr w:type="spellEnd"/>
      <w:r>
        <w:t xml:space="preserve">, </w:t>
      </w:r>
      <w:r w:rsidRPr="00FD1D2A">
        <w:rPr>
          <w:i/>
        </w:rPr>
        <w:t>Vocational Education and Training Workforce</w:t>
      </w:r>
      <w:r>
        <w:t>, Research Report, Canberra.</w:t>
      </w:r>
    </w:p>
    <w:p w:rsidR="00CB18CA" w:rsidRDefault="009325A5" w:rsidP="00CB18CA">
      <w:pPr>
        <w:pStyle w:val="Reference"/>
      </w:pPr>
      <w:r>
        <w:t>——</w:t>
      </w:r>
      <w:r w:rsidR="00CB18CA" w:rsidRPr="00CB18CA">
        <w:t xml:space="preserve"> 2012, </w:t>
      </w:r>
      <w:r w:rsidR="00CB18CA" w:rsidRPr="00CB18CA">
        <w:rPr>
          <w:i/>
        </w:rPr>
        <w:t>Barriers to Effective Climate Change Adaptation</w:t>
      </w:r>
      <w:r w:rsidR="00CB18CA" w:rsidRPr="00CB18CA">
        <w:t>, Report No. 59, Final Inquiry Report, Canberra.</w:t>
      </w:r>
    </w:p>
    <w:p w:rsidR="00964BFF" w:rsidRPr="00C50A08" w:rsidRDefault="00964BFF" w:rsidP="00964BFF">
      <w:pPr>
        <w:pStyle w:val="Reference"/>
      </w:pPr>
      <w:proofErr w:type="spellStart"/>
      <w:r w:rsidRPr="00C50A08">
        <w:t>PIRSA</w:t>
      </w:r>
      <w:proofErr w:type="spellEnd"/>
      <w:r w:rsidRPr="00C50A08">
        <w:t xml:space="preserve"> (Primary Industries and Resources South Australia) 2011, </w:t>
      </w:r>
      <w:r w:rsidRPr="00C50A08">
        <w:rPr>
          <w:i/>
        </w:rPr>
        <w:t>Guidelines: landowner rights and access arrangements in relation to mineral exploration and mining in South Australia</w:t>
      </w:r>
      <w:r w:rsidRPr="00C50A08">
        <w:t>, Version 2.0, July.</w:t>
      </w:r>
    </w:p>
    <w:p w:rsidR="005E2F63" w:rsidRDefault="00546C8B" w:rsidP="005E2F63">
      <w:pPr>
        <w:pStyle w:val="Reference"/>
      </w:pPr>
      <w:proofErr w:type="spellStart"/>
      <w:r>
        <w:t>PTG</w:t>
      </w:r>
      <w:proofErr w:type="spellEnd"/>
      <w:r>
        <w:t xml:space="preserve"> (</w:t>
      </w:r>
      <w:r w:rsidR="005E2F63" w:rsidRPr="00471475">
        <w:t>Policy Transition Group</w:t>
      </w:r>
      <w:r>
        <w:t>)</w:t>
      </w:r>
      <w:r w:rsidR="005E2F63" w:rsidRPr="00471475">
        <w:t xml:space="preserve"> 2010, </w:t>
      </w:r>
      <w:r w:rsidR="00974E67" w:rsidRPr="00471475">
        <w:rPr>
          <w:i/>
        </w:rPr>
        <w:t>Minerals and petroleum exploration: Policy Transition Group report to the Australian Government,</w:t>
      </w:r>
      <w:r w:rsidR="00974E67" w:rsidRPr="00471475">
        <w:t xml:space="preserve"> Policy Transition Group, Canberra</w:t>
      </w:r>
      <w:r w:rsidR="005E2F63" w:rsidRPr="00471475">
        <w:t>.</w:t>
      </w:r>
    </w:p>
    <w:p w:rsidR="00546C8B" w:rsidRDefault="00546C8B" w:rsidP="00546C8B">
      <w:pPr>
        <w:pStyle w:val="Reference"/>
      </w:pPr>
      <w:r>
        <w:t>PWC (</w:t>
      </w:r>
      <w:proofErr w:type="spellStart"/>
      <w:r>
        <w:t>PriceWaterhouseCoopers</w:t>
      </w:r>
      <w:proofErr w:type="spellEnd"/>
      <w:r>
        <w:t xml:space="preserve">) 2009, </w:t>
      </w:r>
      <w:r>
        <w:rPr>
          <w:i/>
        </w:rPr>
        <w:t>Geoscience Australia, Discussion Paper Baseline Funding Review</w:t>
      </w:r>
      <w:r>
        <w:t>, October.</w:t>
      </w:r>
    </w:p>
    <w:p w:rsidR="00FB4059" w:rsidRDefault="003A328B" w:rsidP="003A328B">
      <w:pPr>
        <w:pStyle w:val="Reference"/>
      </w:pPr>
      <w:proofErr w:type="spellStart"/>
      <w:r w:rsidRPr="003A328B">
        <w:t>QEC</w:t>
      </w:r>
      <w:proofErr w:type="spellEnd"/>
      <w:r w:rsidRPr="003A328B">
        <w:t xml:space="preserve"> (Queensland Exploration Council) 2012, </w:t>
      </w:r>
      <w:r w:rsidRPr="003A328B">
        <w:rPr>
          <w:i/>
        </w:rPr>
        <w:t>Queensland Exploration Scorecard 2012</w:t>
      </w:r>
      <w:r w:rsidRPr="003A328B">
        <w:t>, Brisbane.</w:t>
      </w:r>
    </w:p>
    <w:p w:rsidR="00536464" w:rsidRDefault="000478DA" w:rsidP="00536464">
      <w:pPr>
        <w:pStyle w:val="Reference"/>
      </w:pPr>
      <w:r>
        <w:t>Qld</w:t>
      </w:r>
      <w:r w:rsidR="00536464">
        <w:t xml:space="preserve"> </w:t>
      </w:r>
      <w:proofErr w:type="spellStart"/>
      <w:r w:rsidR="00536464">
        <w:t>DATSIMA</w:t>
      </w:r>
      <w:proofErr w:type="spellEnd"/>
      <w:r w:rsidR="00536464">
        <w:t xml:space="preserve"> (Queensland Department of Aboriginal and Torres Strait Islander and Multicultural Affairs) 2012, </w:t>
      </w:r>
      <w:r w:rsidR="00DC6914">
        <w:t>‘</w:t>
      </w:r>
      <w:r w:rsidR="00536464">
        <w:t>Indigenous cultural heritage</w:t>
      </w:r>
      <w:r w:rsidR="00DC6914">
        <w:t>’</w:t>
      </w:r>
      <w:r w:rsidR="00536464">
        <w:t xml:space="preserve">, </w:t>
      </w:r>
      <w:r w:rsidR="00DC6914" w:rsidRPr="00DC6914">
        <w:t>http://www.datsima.qld.gov.au/atsis/aboriginal-torres-strait-islander-peoples</w:t>
      </w:r>
      <w:r w:rsidR="00DC6914">
        <w:br/>
      </w:r>
      <w:r w:rsidR="00536464" w:rsidRPr="00FB4059">
        <w:t>/indigenous-cultural-heritage</w:t>
      </w:r>
      <w:r w:rsidR="00536464">
        <w:t xml:space="preserve"> (accessed 16 May 2013).</w:t>
      </w:r>
    </w:p>
    <w:p w:rsidR="006A4B71" w:rsidRDefault="006A4B71" w:rsidP="006A4B71">
      <w:pPr>
        <w:pStyle w:val="Reference"/>
        <w:rPr>
          <w:rStyle w:val="createdate"/>
          <w:lang w:val="en"/>
        </w:rPr>
      </w:pPr>
      <w:r>
        <w:rPr>
          <w:rStyle w:val="createdate"/>
          <w:lang w:val="en"/>
        </w:rPr>
        <w:t xml:space="preserve">Queensland Department of Employment, Economic Development and Innovation 2011, </w:t>
      </w:r>
      <w:r w:rsidRPr="00CA6207">
        <w:rPr>
          <w:rStyle w:val="createdate"/>
          <w:i/>
          <w:lang w:val="en"/>
        </w:rPr>
        <w:t>Explaining urban restricted areas: Striking the balance and creating  certainty</w:t>
      </w:r>
      <w:r>
        <w:rPr>
          <w:rStyle w:val="createdate"/>
          <w:lang w:val="en"/>
        </w:rPr>
        <w:t>, December.</w:t>
      </w:r>
    </w:p>
    <w:p w:rsidR="006A4B71" w:rsidRDefault="006A4B71" w:rsidP="006A4B71">
      <w:pPr>
        <w:pStyle w:val="Reference"/>
        <w:rPr>
          <w:rStyle w:val="createdate"/>
          <w:lang w:val="en"/>
        </w:rPr>
      </w:pPr>
      <w:r>
        <w:rPr>
          <w:rStyle w:val="createdate"/>
          <w:lang w:val="en"/>
        </w:rPr>
        <w:t xml:space="preserve">—— 2012, </w:t>
      </w:r>
      <w:r w:rsidRPr="00CA6207">
        <w:rPr>
          <w:rStyle w:val="createdate"/>
          <w:i/>
          <w:lang w:val="en"/>
        </w:rPr>
        <w:t>Land Access Code</w:t>
      </w:r>
      <w:r>
        <w:rPr>
          <w:rStyle w:val="createdate"/>
          <w:lang w:val="en"/>
        </w:rPr>
        <w:t>, November.</w:t>
      </w:r>
    </w:p>
    <w:p w:rsidR="005B1599" w:rsidRDefault="005B1599" w:rsidP="005B1599">
      <w:pPr>
        <w:pStyle w:val="Reference"/>
        <w:rPr>
          <w:rStyle w:val="createdate"/>
          <w:lang w:val="en"/>
        </w:rPr>
      </w:pPr>
      <w:r>
        <w:t xml:space="preserve">Queensland Department of National Parks, Recreation, Sport and Racing 2011, </w:t>
      </w:r>
      <w:r w:rsidRPr="00466B0F">
        <w:rPr>
          <w:i/>
        </w:rPr>
        <w:t>How parks are declared</w:t>
      </w:r>
      <w:r>
        <w:t xml:space="preserve">, </w:t>
      </w:r>
      <w:r w:rsidRPr="00C32AE8">
        <w:t>http://www.nprsr.qld.gov.au/managing/principles/how</w:t>
      </w:r>
      <w:r w:rsidRPr="00C32AE8">
        <w:softHyphen/>
        <w:t>parks_are_declared.html</w:t>
      </w:r>
      <w:r>
        <w:t xml:space="preserve"> (accessed 12 March 2013)</w:t>
      </w:r>
    </w:p>
    <w:p w:rsidR="00A75BE0" w:rsidRDefault="00546C8B" w:rsidP="00A75BE0">
      <w:pPr>
        <w:pStyle w:val="Reference"/>
      </w:pPr>
      <w:r>
        <w:t xml:space="preserve">Queensland Government </w:t>
      </w:r>
      <w:r w:rsidR="00A75BE0" w:rsidRPr="00A75BE0">
        <w:t xml:space="preserve">2010, </w:t>
      </w:r>
      <w:r w:rsidR="00DC6914">
        <w:t>‘</w:t>
      </w:r>
      <w:r w:rsidR="00A75BE0" w:rsidRPr="00A75BE0">
        <w:t>Adaptive environmental management regime for the</w:t>
      </w:r>
      <w:r w:rsidR="00DC6914">
        <w:t> </w:t>
      </w:r>
      <w:r w:rsidR="00A75BE0" w:rsidRPr="00A75BE0">
        <w:t>coal</w:t>
      </w:r>
      <w:r w:rsidR="00E23DAC">
        <w:t> </w:t>
      </w:r>
      <w:r w:rsidR="00A75BE0" w:rsidRPr="00A75BE0">
        <w:t>seam</w:t>
      </w:r>
      <w:r w:rsidR="00E23DAC">
        <w:t> </w:t>
      </w:r>
      <w:r w:rsidR="00A75BE0" w:rsidRPr="00A75BE0">
        <w:t>gas</w:t>
      </w:r>
      <w:r w:rsidR="00E23DAC">
        <w:t> </w:t>
      </w:r>
      <w:r w:rsidR="00A75BE0" w:rsidRPr="00A75BE0">
        <w:t>industry</w:t>
      </w:r>
      <w:r w:rsidR="00DC6914">
        <w:t>’</w:t>
      </w:r>
      <w:r w:rsidR="00A75BE0" w:rsidRPr="00A75BE0">
        <w:t xml:space="preserve">, </w:t>
      </w:r>
      <w:r w:rsidR="00DC6914" w:rsidRPr="00DC6914">
        <w:t>http://203.210.126.185/</w:t>
      </w:r>
      <w:proofErr w:type="spellStart"/>
      <w:r w:rsidR="00DC6914" w:rsidRPr="00DC6914">
        <w:t>dsdweb</w:t>
      </w:r>
      <w:proofErr w:type="spellEnd"/>
      <w:r w:rsidR="00DC6914" w:rsidRPr="00DC6914">
        <w:t>/</w:t>
      </w:r>
      <w:proofErr w:type="spellStart"/>
      <w:r w:rsidR="00DC6914" w:rsidRPr="00DC6914">
        <w:t>v4</w:t>
      </w:r>
      <w:proofErr w:type="spellEnd"/>
      <w:r w:rsidR="00DC6914" w:rsidRPr="00DC6914">
        <w:t>/apps/web/secure</w:t>
      </w:r>
      <w:r w:rsidR="00DC6914">
        <w:br/>
      </w:r>
      <w:r w:rsidR="00A75BE0" w:rsidRPr="00A75BE0">
        <w:t>/docs/</w:t>
      </w:r>
      <w:proofErr w:type="spellStart"/>
      <w:r w:rsidR="00A75BE0" w:rsidRPr="00A75BE0">
        <w:t>4381.pdf</w:t>
      </w:r>
      <w:proofErr w:type="spellEnd"/>
      <w:r w:rsidR="00A75BE0" w:rsidRPr="00A75BE0">
        <w:t xml:space="preserve"> (accessed 8 May 2013)</w:t>
      </w:r>
      <w:r w:rsidR="00A75BE0">
        <w:t>.</w:t>
      </w:r>
    </w:p>
    <w:p w:rsidR="00546C8B" w:rsidRDefault="00A75BE0" w:rsidP="00A75BE0">
      <w:pPr>
        <w:pStyle w:val="Reference"/>
      </w:pPr>
      <w:r>
        <w:t>—— </w:t>
      </w:r>
      <w:proofErr w:type="spellStart"/>
      <w:r w:rsidR="00E23DAC">
        <w:t>n</w:t>
      </w:r>
      <w:r w:rsidR="00546C8B">
        <w:t>d</w:t>
      </w:r>
      <w:proofErr w:type="spellEnd"/>
      <w:r w:rsidR="00546C8B">
        <w:t xml:space="preserve">, </w:t>
      </w:r>
      <w:r w:rsidR="00DC6914">
        <w:t>‘</w:t>
      </w:r>
      <w:r w:rsidR="00546C8B">
        <w:t>Greenfields 2020 program: Geological survey of Queensland initiatives and projects 2010-14</w:t>
      </w:r>
      <w:r w:rsidR="00DC6914">
        <w:t>’</w:t>
      </w:r>
      <w:r w:rsidR="00546C8B">
        <w:t xml:space="preserve">, </w:t>
      </w:r>
      <w:r w:rsidR="00546C8B" w:rsidRPr="007F1D59">
        <w:t>http://mines.industry.qld.gov.au/assets/geoscience-pdf/greenfields2020.pdf</w:t>
      </w:r>
      <w:r w:rsidR="00546C8B">
        <w:t xml:space="preserve"> (accessed 17 May 2013).</w:t>
      </w:r>
    </w:p>
    <w:p w:rsidR="00225B82" w:rsidRDefault="00225B82" w:rsidP="00225B82">
      <w:pPr>
        <w:pStyle w:val="Reference"/>
      </w:pPr>
      <w:r w:rsidRPr="00225B82">
        <w:lastRenderedPageBreak/>
        <w:t xml:space="preserve">Roche, M. 2013, </w:t>
      </w:r>
      <w:r w:rsidRPr="00225B82">
        <w:rPr>
          <w:i/>
        </w:rPr>
        <w:t>Cash bidding for Queensland exploration titles</w:t>
      </w:r>
      <w:r w:rsidRPr="00225B82">
        <w:t>, Media release, Queensland Resource Council, Brisbane, January 25.</w:t>
      </w:r>
    </w:p>
    <w:p w:rsidR="00964BFF" w:rsidRDefault="001254E6" w:rsidP="00225B82">
      <w:pPr>
        <w:pStyle w:val="Reference"/>
      </w:pPr>
      <w:r>
        <w:t xml:space="preserve">SA </w:t>
      </w:r>
      <w:proofErr w:type="spellStart"/>
      <w:r>
        <w:t>D</w:t>
      </w:r>
      <w:r w:rsidR="00DC6914">
        <w:t>MI</w:t>
      </w:r>
      <w:r>
        <w:t>TRE</w:t>
      </w:r>
      <w:proofErr w:type="spellEnd"/>
      <w:r>
        <w:t xml:space="preserve"> (South Australian Department of Manufacturing, Innovation, Trade, Resources</w:t>
      </w:r>
      <w:r w:rsidR="00E23DAC">
        <w:t> </w:t>
      </w:r>
      <w:r>
        <w:t>and</w:t>
      </w:r>
      <w:r w:rsidR="00E23DAC">
        <w:t> </w:t>
      </w:r>
      <w:r>
        <w:t>Energy)</w:t>
      </w:r>
      <w:r w:rsidR="00E23DAC">
        <w:t> </w:t>
      </w:r>
      <w:r>
        <w:t>2012,</w:t>
      </w:r>
      <w:r w:rsidR="00E23DAC">
        <w:t> </w:t>
      </w:r>
      <w:r w:rsidR="00DC6914">
        <w:t>‘</w:t>
      </w:r>
      <w:r>
        <w:t>Access</w:t>
      </w:r>
      <w:r w:rsidR="00E23DAC">
        <w:t> </w:t>
      </w:r>
      <w:r>
        <w:t>to</w:t>
      </w:r>
      <w:r w:rsidR="00E23DAC">
        <w:t> </w:t>
      </w:r>
      <w:r>
        <w:t>land</w:t>
      </w:r>
      <w:r w:rsidR="00DC6914">
        <w:t>’</w:t>
      </w:r>
      <w:r>
        <w:t xml:space="preserve">, </w:t>
      </w:r>
      <w:r w:rsidRPr="00E9297C">
        <w:t>http://</w:t>
      </w:r>
      <w:proofErr w:type="spellStart"/>
      <w:r w:rsidRPr="00E9297C">
        <w:t>www.minerals.pir.sa.gov</w:t>
      </w:r>
      <w:proofErr w:type="spellEnd"/>
      <w:r w:rsidRPr="00E9297C">
        <w:t>.</w:t>
      </w:r>
      <w:r w:rsidR="00DC6914">
        <w:br/>
      </w:r>
      <w:r w:rsidRPr="00E9297C">
        <w:t>au/</w:t>
      </w:r>
      <w:proofErr w:type="spellStart"/>
      <w:r w:rsidRPr="00E9297C">
        <w:t>access_to_land</w:t>
      </w:r>
      <w:proofErr w:type="spellEnd"/>
      <w:r>
        <w:t xml:space="preserve"> (accessed 8 February 2013).</w:t>
      </w:r>
    </w:p>
    <w:p w:rsidR="00546C8B" w:rsidRDefault="00546C8B" w:rsidP="00546C8B">
      <w:pPr>
        <w:pStyle w:val="Reference"/>
        <w:rPr>
          <w:lang w:val="en"/>
        </w:rPr>
      </w:pPr>
      <w:proofErr w:type="spellStart"/>
      <w:r>
        <w:rPr>
          <w:lang w:val="en"/>
        </w:rPr>
        <w:t>SCER</w:t>
      </w:r>
      <w:proofErr w:type="spellEnd"/>
      <w:r>
        <w:rPr>
          <w:lang w:val="en"/>
        </w:rPr>
        <w:t xml:space="preserve"> (Standing Council on Energy and Resources) </w:t>
      </w:r>
      <w:proofErr w:type="spellStart"/>
      <w:r>
        <w:rPr>
          <w:lang w:val="en"/>
        </w:rPr>
        <w:t>2012a</w:t>
      </w:r>
      <w:proofErr w:type="spellEnd"/>
      <w:r>
        <w:rPr>
          <w:lang w:val="en"/>
        </w:rPr>
        <w:t xml:space="preserve">, </w:t>
      </w:r>
      <w:r>
        <w:rPr>
          <w:i/>
          <w:lang w:val="en"/>
        </w:rPr>
        <w:t>Resource Reserve Disclosure</w:t>
      </w:r>
      <w:r>
        <w:rPr>
          <w:lang w:val="en"/>
        </w:rPr>
        <w:t>, http://</w:t>
      </w:r>
      <w:proofErr w:type="spellStart"/>
      <w:r>
        <w:rPr>
          <w:lang w:val="en"/>
        </w:rPr>
        <w:t>www.scer.gov.au</w:t>
      </w:r>
      <w:proofErr w:type="spellEnd"/>
      <w:r>
        <w:rPr>
          <w:lang w:val="en"/>
        </w:rPr>
        <w:t>/</w:t>
      </w:r>
      <w:proofErr w:type="spellStart"/>
      <w:r>
        <w:rPr>
          <w:lang w:val="en"/>
        </w:rPr>
        <w:t>workstreams</w:t>
      </w:r>
      <w:proofErr w:type="spellEnd"/>
      <w:r>
        <w:rPr>
          <w:lang w:val="en"/>
        </w:rPr>
        <w:t>/geoscience/resource</w:t>
      </w:r>
      <w:r>
        <w:rPr>
          <w:lang w:val="en"/>
        </w:rPr>
        <w:noBreakHyphen/>
        <w:t>reserve</w:t>
      </w:r>
      <w:r>
        <w:rPr>
          <w:lang w:val="en"/>
        </w:rPr>
        <w:noBreakHyphen/>
      </w:r>
      <w:r w:rsidR="00F96DF6">
        <w:rPr>
          <w:lang w:val="en"/>
        </w:rPr>
        <w:br/>
      </w:r>
      <w:r>
        <w:rPr>
          <w:lang w:val="en"/>
        </w:rPr>
        <w:t xml:space="preserve">disclosure/, </w:t>
      </w:r>
      <w:r w:rsidR="006870BC">
        <w:rPr>
          <w:lang w:val="en"/>
        </w:rPr>
        <w:t>(</w:t>
      </w:r>
      <w:r>
        <w:rPr>
          <w:lang w:val="en"/>
        </w:rPr>
        <w:t>accessed 9 May 2013</w:t>
      </w:r>
      <w:r w:rsidR="006870BC">
        <w:rPr>
          <w:lang w:val="en"/>
        </w:rPr>
        <w:t>)</w:t>
      </w:r>
      <w:r>
        <w:rPr>
          <w:lang w:val="en"/>
        </w:rPr>
        <w:t>.</w:t>
      </w:r>
    </w:p>
    <w:p w:rsidR="00546C8B" w:rsidRDefault="00546C8B" w:rsidP="00546C8B">
      <w:pPr>
        <w:pStyle w:val="Reference"/>
        <w:rPr>
          <w:lang w:val="en"/>
        </w:rPr>
      </w:pPr>
      <w:r>
        <w:rPr>
          <w:lang w:val="en"/>
        </w:rPr>
        <w:t>—— </w:t>
      </w:r>
      <w:proofErr w:type="spellStart"/>
      <w:r>
        <w:rPr>
          <w:lang w:val="en"/>
        </w:rPr>
        <w:t>2012b</w:t>
      </w:r>
      <w:proofErr w:type="spellEnd"/>
      <w:r w:rsidR="00E23DAC">
        <w:rPr>
          <w:lang w:val="en"/>
        </w:rPr>
        <w:t>,</w:t>
      </w:r>
      <w:r>
        <w:rPr>
          <w:lang w:val="en"/>
        </w:rPr>
        <w:t xml:space="preserve"> </w:t>
      </w:r>
      <w:r w:rsidR="00F96DF6">
        <w:rPr>
          <w:lang w:val="en"/>
        </w:rPr>
        <w:t>‘</w:t>
      </w:r>
      <w:r w:rsidRPr="00F96DF6">
        <w:rPr>
          <w:lang w:val="en"/>
        </w:rPr>
        <w:t>Mineral Resource and Ore Reserve Disclosures by non–</w:t>
      </w:r>
      <w:proofErr w:type="spellStart"/>
      <w:r w:rsidRPr="00F96DF6">
        <w:rPr>
          <w:lang w:val="en"/>
        </w:rPr>
        <w:t>ASX</w:t>
      </w:r>
      <w:proofErr w:type="spellEnd"/>
      <w:r w:rsidRPr="00F96DF6">
        <w:rPr>
          <w:lang w:val="en"/>
        </w:rPr>
        <w:t xml:space="preserve"> Companies</w:t>
      </w:r>
      <w:r w:rsidR="00E23DAC" w:rsidRPr="00F96DF6">
        <w:rPr>
          <w:lang w:val="en"/>
        </w:rPr>
        <w:t> </w:t>
      </w:r>
      <w:r w:rsidRPr="00F96DF6">
        <w:rPr>
          <w:lang w:val="en"/>
        </w:rPr>
        <w:t>—</w:t>
      </w:r>
      <w:r w:rsidR="00E23DAC" w:rsidRPr="00F96DF6">
        <w:rPr>
          <w:lang w:val="en"/>
        </w:rPr>
        <w:t> </w:t>
      </w:r>
      <w:r w:rsidRPr="00F96DF6">
        <w:rPr>
          <w:lang w:val="en"/>
        </w:rPr>
        <w:t>Issues</w:t>
      </w:r>
      <w:r w:rsidR="00E23DAC" w:rsidRPr="00F96DF6">
        <w:rPr>
          <w:lang w:val="en"/>
        </w:rPr>
        <w:t> </w:t>
      </w:r>
      <w:r w:rsidRPr="00F96DF6">
        <w:rPr>
          <w:lang w:val="en"/>
        </w:rPr>
        <w:t>and</w:t>
      </w:r>
      <w:r w:rsidR="00E23DAC" w:rsidRPr="00F96DF6">
        <w:rPr>
          <w:lang w:val="en"/>
        </w:rPr>
        <w:t> </w:t>
      </w:r>
      <w:r w:rsidRPr="00F96DF6">
        <w:rPr>
          <w:lang w:val="en"/>
        </w:rPr>
        <w:t>Options</w:t>
      </w:r>
      <w:r w:rsidR="00E23DAC" w:rsidRPr="00F96DF6">
        <w:rPr>
          <w:lang w:val="en"/>
        </w:rPr>
        <w:t> </w:t>
      </w:r>
      <w:r w:rsidRPr="00F96DF6">
        <w:rPr>
          <w:lang w:val="en"/>
        </w:rPr>
        <w:t>Paper</w:t>
      </w:r>
      <w:r w:rsidR="00F96DF6">
        <w:rPr>
          <w:lang w:val="en"/>
        </w:rPr>
        <w:t>’</w:t>
      </w:r>
      <w:r>
        <w:rPr>
          <w:lang w:val="en"/>
        </w:rPr>
        <w:t>, http://</w:t>
      </w:r>
      <w:proofErr w:type="spellStart"/>
      <w:r>
        <w:rPr>
          <w:lang w:val="en"/>
        </w:rPr>
        <w:t>www.scer.gov.au</w:t>
      </w:r>
      <w:proofErr w:type="spellEnd"/>
      <w:r>
        <w:rPr>
          <w:lang w:val="en"/>
        </w:rPr>
        <w:t>/files/2012/04/</w:t>
      </w:r>
      <w:r w:rsidR="00F96DF6">
        <w:rPr>
          <w:lang w:val="en"/>
        </w:rPr>
        <w:br/>
      </w:r>
      <w:r>
        <w:rPr>
          <w:lang w:val="en"/>
        </w:rPr>
        <w:t>Issues</w:t>
      </w:r>
      <w:r>
        <w:rPr>
          <w:lang w:val="en"/>
        </w:rPr>
        <w:noBreakHyphen/>
        <w:t>and</w:t>
      </w:r>
      <w:r>
        <w:rPr>
          <w:lang w:val="en"/>
        </w:rPr>
        <w:noBreakHyphen/>
        <w:t>Options</w:t>
      </w:r>
      <w:r>
        <w:rPr>
          <w:lang w:val="en"/>
        </w:rPr>
        <w:noBreakHyphen/>
        <w:t>Paper</w:t>
      </w:r>
      <w:r>
        <w:rPr>
          <w:lang w:val="en"/>
        </w:rPr>
        <w:noBreakHyphen/>
      </w:r>
      <w:proofErr w:type="spellStart"/>
      <w:r>
        <w:rPr>
          <w:lang w:val="en"/>
        </w:rPr>
        <w:t>FINAL.pdf</w:t>
      </w:r>
      <w:proofErr w:type="spellEnd"/>
      <w:r>
        <w:rPr>
          <w:lang w:val="en"/>
        </w:rPr>
        <w:t xml:space="preserve"> </w:t>
      </w:r>
      <w:r w:rsidR="006870BC">
        <w:rPr>
          <w:lang w:val="en"/>
        </w:rPr>
        <w:t>(</w:t>
      </w:r>
      <w:r>
        <w:rPr>
          <w:lang w:val="en"/>
        </w:rPr>
        <w:t>accessed 9 May 2013</w:t>
      </w:r>
      <w:r w:rsidR="006870BC">
        <w:rPr>
          <w:lang w:val="en"/>
        </w:rPr>
        <w:t>)</w:t>
      </w:r>
      <w:r>
        <w:rPr>
          <w:lang w:val="en"/>
        </w:rPr>
        <w:t>.</w:t>
      </w:r>
    </w:p>
    <w:p w:rsidR="00964BFF" w:rsidRDefault="00964BFF" w:rsidP="00546C8B">
      <w:pPr>
        <w:pStyle w:val="Reference"/>
        <w:rPr>
          <w:lang w:val="en"/>
        </w:rPr>
      </w:pPr>
      <w:r>
        <w:rPr>
          <w:lang w:val="en"/>
        </w:rPr>
        <w:t>—— </w:t>
      </w:r>
      <w:proofErr w:type="spellStart"/>
      <w:r>
        <w:t>2012c</w:t>
      </w:r>
      <w:proofErr w:type="spellEnd"/>
      <w:r>
        <w:t xml:space="preserve">, </w:t>
      </w:r>
      <w:r w:rsidRPr="005468AE">
        <w:rPr>
          <w:i/>
        </w:rPr>
        <w:t>The Draft National Harmonised Regulatory Framework for Coal Seam Gas</w:t>
      </w:r>
      <w:r>
        <w:t xml:space="preserve">, </w:t>
      </w:r>
      <w:proofErr w:type="spellStart"/>
      <w:r>
        <w:t>SCER</w:t>
      </w:r>
      <w:proofErr w:type="spellEnd"/>
      <w:r>
        <w:t>.</w:t>
      </w:r>
    </w:p>
    <w:p w:rsidR="005E2F63" w:rsidRDefault="005E2F63" w:rsidP="005E2F63">
      <w:pPr>
        <w:pStyle w:val="Reference"/>
      </w:pPr>
      <w:proofErr w:type="spellStart"/>
      <w:r w:rsidRPr="00471475">
        <w:t>Schodde</w:t>
      </w:r>
      <w:proofErr w:type="spellEnd"/>
      <w:r w:rsidRPr="00471475">
        <w:t xml:space="preserve"> </w:t>
      </w:r>
      <w:r w:rsidR="00471475" w:rsidRPr="00471475">
        <w:t xml:space="preserve">R. </w:t>
      </w:r>
      <w:r w:rsidRPr="00471475">
        <w:t xml:space="preserve">2011, </w:t>
      </w:r>
      <w:r w:rsidRPr="00DC6914">
        <w:rPr>
          <w:i/>
        </w:rPr>
        <w:t>Recent Trends in Australian Exploration</w:t>
      </w:r>
      <w:r w:rsidRPr="00471475">
        <w:t xml:space="preserve">, AMEC Convention, </w:t>
      </w:r>
      <w:r w:rsidR="00643DE8" w:rsidRPr="00471475">
        <w:t>Perth 28</w:t>
      </w:r>
      <w:r w:rsidR="00643DE8" w:rsidRPr="00471475">
        <w:noBreakHyphen/>
        <w:t xml:space="preserve">30 </w:t>
      </w:r>
      <w:r w:rsidRPr="00471475">
        <w:t>June.</w:t>
      </w:r>
    </w:p>
    <w:p w:rsidR="005A0E9C" w:rsidRDefault="007F1D59" w:rsidP="005A0E9C">
      <w:pPr>
        <w:pStyle w:val="Reference"/>
      </w:pPr>
      <w:r>
        <w:t>—— </w:t>
      </w:r>
      <w:r w:rsidR="005A0E9C">
        <w:t xml:space="preserve">and </w:t>
      </w:r>
      <w:proofErr w:type="spellStart"/>
      <w:r w:rsidR="005A0E9C">
        <w:t>Guj</w:t>
      </w:r>
      <w:proofErr w:type="spellEnd"/>
      <w:r w:rsidR="005A0E9C">
        <w:t xml:space="preserve">, P. 2012, </w:t>
      </w:r>
      <w:r w:rsidR="005A0E9C" w:rsidRPr="00826517">
        <w:rPr>
          <w:i/>
        </w:rPr>
        <w:t>Where are Australia’s mines of tomorrow?</w:t>
      </w:r>
      <w:r w:rsidR="005A0E9C">
        <w:t>, Centre for Exploration Targeting, University of Western Australia.</w:t>
      </w:r>
    </w:p>
    <w:p w:rsidR="00C47917" w:rsidRPr="00C47917" w:rsidRDefault="00C47917" w:rsidP="00C47917">
      <w:pPr>
        <w:pStyle w:val="Reference"/>
      </w:pPr>
      <w:proofErr w:type="spellStart"/>
      <w:r w:rsidRPr="00C47917">
        <w:t>Schnierer</w:t>
      </w:r>
      <w:proofErr w:type="spellEnd"/>
      <w:r w:rsidRPr="00C47917">
        <w:t xml:space="preserve">, E. 2010, </w:t>
      </w:r>
      <w:r w:rsidRPr="00C47917">
        <w:rPr>
          <w:i/>
        </w:rPr>
        <w:t>Caring for Culture</w:t>
      </w:r>
      <w:r w:rsidRPr="00C47917">
        <w:t>,</w:t>
      </w:r>
      <w:r w:rsidR="001A2CED">
        <w:t xml:space="preserve"> </w:t>
      </w:r>
      <w:r w:rsidRPr="00C47917">
        <w:t>prepared for New South Wales Aboriginal Land Council, Parramatta.</w:t>
      </w:r>
    </w:p>
    <w:p w:rsidR="00F710FA" w:rsidRPr="00F710FA" w:rsidRDefault="007F1D59" w:rsidP="00F710FA">
      <w:pPr>
        <w:pStyle w:val="Reference"/>
      </w:pPr>
      <w:r>
        <w:t>——,</w:t>
      </w:r>
      <w:r w:rsidR="00F710FA" w:rsidRPr="00F710FA">
        <w:t xml:space="preserve"> </w:t>
      </w:r>
      <w:proofErr w:type="spellStart"/>
      <w:r w:rsidR="00F710FA" w:rsidRPr="00F710FA">
        <w:t>Ellsmore</w:t>
      </w:r>
      <w:proofErr w:type="spellEnd"/>
      <w:r w:rsidR="00F710FA" w:rsidRPr="00F710FA">
        <w:t xml:space="preserve"> S. and </w:t>
      </w:r>
      <w:proofErr w:type="spellStart"/>
      <w:r w:rsidR="00F710FA" w:rsidRPr="00F710FA">
        <w:t>Schnierer</w:t>
      </w:r>
      <w:proofErr w:type="spellEnd"/>
      <w:r w:rsidR="00F710FA" w:rsidRPr="00F710FA">
        <w:t xml:space="preserve"> S. 2011, </w:t>
      </w:r>
      <w:r w:rsidR="00F710FA" w:rsidRPr="00DC6914">
        <w:rPr>
          <w:i/>
        </w:rPr>
        <w:t>State of Indigenous cultural heritage 2011</w:t>
      </w:r>
      <w:r w:rsidR="00F710FA" w:rsidRPr="00F710FA">
        <w:t>, Report prepared for the Australian Government Department of Sustainability, Environment, Water, Population and Communities on behalf of the State of the Environment 2011 Committee. Canberra.</w:t>
      </w:r>
    </w:p>
    <w:p w:rsidR="00546C8B" w:rsidRDefault="00546C8B" w:rsidP="00C50A08">
      <w:pPr>
        <w:pStyle w:val="Reference"/>
      </w:pPr>
      <w:proofErr w:type="spellStart"/>
      <w:r>
        <w:t>Scrimgeour</w:t>
      </w:r>
      <w:proofErr w:type="spellEnd"/>
      <w:r>
        <w:t>, I. 2011,</w:t>
      </w:r>
      <w:r>
        <w:rPr>
          <w:i/>
        </w:rPr>
        <w:t xml:space="preserve"> Bringing Forward Discovery: Growing the Territory’s resources industry, </w:t>
      </w:r>
      <w:r>
        <w:t>Northern Terri</w:t>
      </w:r>
      <w:r w:rsidR="00A5520F">
        <w:t>tory Geological Survey, Norther</w:t>
      </w:r>
      <w:r>
        <w:t>n Territory Government.</w:t>
      </w:r>
    </w:p>
    <w:p w:rsidR="00A8621F" w:rsidRDefault="00A8621F" w:rsidP="00A8621F">
      <w:pPr>
        <w:pStyle w:val="Reference"/>
      </w:pPr>
      <w:r>
        <w:t xml:space="preserve">Seeger, C. 2011, ‘Unpacking the social licence to operate’, </w:t>
      </w:r>
      <w:r w:rsidRPr="00B850F4">
        <w:rPr>
          <w:i/>
        </w:rPr>
        <w:t xml:space="preserve">Achieve, The Sinclair Knight </w:t>
      </w:r>
      <w:proofErr w:type="spellStart"/>
      <w:r w:rsidRPr="00B850F4">
        <w:rPr>
          <w:i/>
        </w:rPr>
        <w:t>Merz</w:t>
      </w:r>
      <w:proofErr w:type="spellEnd"/>
      <w:r w:rsidRPr="00B850F4">
        <w:rPr>
          <w:i/>
        </w:rPr>
        <w:t xml:space="preserve"> Magazine</w:t>
      </w:r>
      <w:r>
        <w:t>, Issue Four.</w:t>
      </w:r>
    </w:p>
    <w:p w:rsidR="00282CCC" w:rsidRDefault="00282CCC" w:rsidP="003D41FB">
      <w:pPr>
        <w:pStyle w:val="Reference"/>
      </w:pPr>
      <w:r>
        <w:t>SEWPa</w:t>
      </w:r>
      <w:r w:rsidRPr="00282CCC">
        <w:t>C (Department of Sustainability, Environment, Water, Population and Communities)</w:t>
      </w:r>
      <w:r>
        <w:t> </w:t>
      </w:r>
      <w:r w:rsidRPr="00282CCC">
        <w:t>2009,</w:t>
      </w:r>
      <w:r>
        <w:t> ‘</w:t>
      </w:r>
      <w:r w:rsidRPr="00282CCC">
        <w:t>Historic</w:t>
      </w:r>
      <w:r>
        <w:t> </w:t>
      </w:r>
      <w:r w:rsidRPr="00282CCC">
        <w:t>Shipwrecks</w:t>
      </w:r>
      <w:r>
        <w:t> </w:t>
      </w:r>
      <w:r w:rsidRPr="00282CCC">
        <w:t>Laws</w:t>
      </w:r>
      <w:r>
        <w:t>’</w:t>
      </w:r>
      <w:r w:rsidRPr="00282CCC">
        <w:t>,</w:t>
      </w:r>
      <w:r>
        <w:t xml:space="preserve"> </w:t>
      </w:r>
      <w:r w:rsidR="00DC6914" w:rsidRPr="00DC6914">
        <w:t>http://</w:t>
      </w:r>
      <w:proofErr w:type="spellStart"/>
      <w:r w:rsidR="00DC6914" w:rsidRPr="00DC6914">
        <w:t>www.environment.gov</w:t>
      </w:r>
      <w:proofErr w:type="spellEnd"/>
      <w:r w:rsidR="00DC6914">
        <w:br/>
      </w:r>
      <w:r w:rsidRPr="00282CCC">
        <w:t xml:space="preserve">.au/heritage/shipwrecks/legislation/ </w:t>
      </w:r>
      <w:r>
        <w:t>(</w:t>
      </w:r>
      <w:r w:rsidRPr="00282CCC">
        <w:t>accessed</w:t>
      </w:r>
      <w:r>
        <w:t> </w:t>
      </w:r>
      <w:r w:rsidRPr="00282CCC">
        <w:t>20</w:t>
      </w:r>
      <w:r>
        <w:t> </w:t>
      </w:r>
      <w:r w:rsidRPr="00282CCC">
        <w:t>April</w:t>
      </w:r>
      <w:r>
        <w:t> </w:t>
      </w:r>
      <w:r w:rsidRPr="00282CCC">
        <w:t>2013</w:t>
      </w:r>
      <w:r>
        <w:t>)</w:t>
      </w:r>
      <w:r w:rsidRPr="00282CCC">
        <w:t>.</w:t>
      </w:r>
    </w:p>
    <w:p w:rsidR="003D41FB" w:rsidRDefault="003D41FB" w:rsidP="00DC6914">
      <w:pPr>
        <w:pStyle w:val="Reference"/>
        <w:numPr>
          <w:ilvl w:val="0"/>
          <w:numId w:val="49"/>
        </w:numPr>
      </w:pPr>
      <w:r w:rsidRPr="003D41FB">
        <w:t xml:space="preserve">(Department of Sustainability, Environment, Water, Population and Communities) 2011, </w:t>
      </w:r>
      <w:r w:rsidRPr="003D41FB">
        <w:rPr>
          <w:i/>
        </w:rPr>
        <w:t>Australian Government response to the report of the independent review of the</w:t>
      </w:r>
      <w:r w:rsidRPr="003D41FB">
        <w:t xml:space="preserve"> Environment Protection and Biodiversity Conservation Act 1999, Canberra.</w:t>
      </w:r>
    </w:p>
    <w:p w:rsidR="004A3898" w:rsidRDefault="004A3898" w:rsidP="004A3898">
      <w:pPr>
        <w:pStyle w:val="Reference"/>
      </w:pPr>
      <w:r>
        <w:lastRenderedPageBreak/>
        <w:t>—— </w:t>
      </w:r>
      <w:proofErr w:type="spellStart"/>
      <w:r w:rsidRPr="004A3898">
        <w:t>2012</w:t>
      </w:r>
      <w:r w:rsidR="00A8621F">
        <w:t>a</w:t>
      </w:r>
      <w:proofErr w:type="spellEnd"/>
      <w:r w:rsidRPr="004A3898">
        <w:t>,</w:t>
      </w:r>
      <w:r w:rsidR="00E23DAC">
        <w:t> </w:t>
      </w:r>
      <w:r w:rsidR="00DC6914">
        <w:t>‘</w:t>
      </w:r>
      <w:r w:rsidRPr="004A3898">
        <w:t>Heritage</w:t>
      </w:r>
      <w:r w:rsidR="00E23DAC">
        <w:t> </w:t>
      </w:r>
      <w:r w:rsidRPr="004A3898">
        <w:t>laws</w:t>
      </w:r>
      <w:r w:rsidR="00E23DAC">
        <w:t> </w:t>
      </w:r>
      <w:r w:rsidRPr="004A3898">
        <w:t>and</w:t>
      </w:r>
      <w:r w:rsidR="00E23DAC">
        <w:t> </w:t>
      </w:r>
      <w:r w:rsidRPr="004A3898">
        <w:t>notices</w:t>
      </w:r>
      <w:r w:rsidR="00DC6914">
        <w:t>’</w:t>
      </w:r>
      <w:r w:rsidRPr="004A3898">
        <w:t xml:space="preserve">, </w:t>
      </w:r>
      <w:r w:rsidR="00DC6914" w:rsidRPr="00DC6914">
        <w:t>http://</w:t>
      </w:r>
      <w:proofErr w:type="spellStart"/>
      <w:r w:rsidR="00DC6914" w:rsidRPr="00DC6914">
        <w:t>www.environment.gov.au</w:t>
      </w:r>
      <w:proofErr w:type="spellEnd"/>
      <w:r w:rsidR="00DC6914" w:rsidRPr="00DC6914">
        <w:t>/heritage</w:t>
      </w:r>
      <w:r w:rsidR="00DC6914">
        <w:br/>
      </w:r>
      <w:r w:rsidRPr="004A3898">
        <w:t>/laws/</w:t>
      </w:r>
      <w:proofErr w:type="spellStart"/>
      <w:r w:rsidRPr="004A3898">
        <w:t>index.html</w:t>
      </w:r>
      <w:proofErr w:type="spellEnd"/>
      <w:r w:rsidRPr="004A3898">
        <w:t xml:space="preserve"> (accessed 3 January 2013).</w:t>
      </w:r>
    </w:p>
    <w:p w:rsidR="00A8621F" w:rsidRDefault="00A8621F" w:rsidP="004A3898">
      <w:pPr>
        <w:pStyle w:val="Reference"/>
      </w:pPr>
      <w:r>
        <w:t>—— </w:t>
      </w:r>
      <w:proofErr w:type="spellStart"/>
      <w:r>
        <w:t>2012b</w:t>
      </w:r>
      <w:proofErr w:type="spellEnd"/>
      <w:r>
        <w:t>,</w:t>
      </w:r>
      <w:r w:rsidR="00E23DAC">
        <w:t> </w:t>
      </w:r>
      <w:r>
        <w:t>‘Commonwealth</w:t>
      </w:r>
      <w:r w:rsidR="00E23DAC">
        <w:t> </w:t>
      </w:r>
      <w:r>
        <w:t>Marine</w:t>
      </w:r>
      <w:r w:rsidR="00E23DAC">
        <w:t> </w:t>
      </w:r>
      <w:r>
        <w:t>Reserves</w:t>
      </w:r>
      <w:r w:rsidR="00E23DAC">
        <w:t> </w:t>
      </w:r>
      <w:r>
        <w:t>–</w:t>
      </w:r>
      <w:r w:rsidR="00E23DAC">
        <w:t> </w:t>
      </w:r>
      <w:r>
        <w:t xml:space="preserve">Background’, </w:t>
      </w:r>
      <w:r w:rsidRPr="0085228A">
        <w:t>http://</w:t>
      </w:r>
      <w:proofErr w:type="spellStart"/>
      <w:r w:rsidRPr="0085228A">
        <w:t>www.environment.gov.au</w:t>
      </w:r>
      <w:proofErr w:type="spellEnd"/>
      <w:r w:rsidRPr="0085228A">
        <w:t>/</w:t>
      </w:r>
      <w:proofErr w:type="spellStart"/>
      <w:r w:rsidRPr="0085228A">
        <w:t>marinereserves</w:t>
      </w:r>
      <w:proofErr w:type="spellEnd"/>
      <w:r w:rsidRPr="0085228A">
        <w:t>/</w:t>
      </w:r>
      <w:proofErr w:type="spellStart"/>
      <w:r w:rsidRPr="0085228A">
        <w:t>background</w:t>
      </w:r>
      <w:r>
        <w:t>.html</w:t>
      </w:r>
      <w:proofErr w:type="spellEnd"/>
      <w:r>
        <w:t xml:space="preserve"> (accessed 13 March 2013).</w:t>
      </w:r>
    </w:p>
    <w:p w:rsidR="00351699" w:rsidRDefault="00351699" w:rsidP="004A3898">
      <w:pPr>
        <w:pStyle w:val="Reference"/>
      </w:pPr>
      <w:r>
        <w:t>—— </w:t>
      </w:r>
      <w:proofErr w:type="spellStart"/>
      <w:r>
        <w:t>2012c</w:t>
      </w:r>
      <w:proofErr w:type="spellEnd"/>
      <w:r>
        <w:t xml:space="preserve">, </w:t>
      </w:r>
      <w:r w:rsidRPr="00351699">
        <w:rPr>
          <w:i/>
        </w:rPr>
        <w:t>A guide to undertaking strategic assessments — Environment Protection and Biodiversity Conservation Act 1999</w:t>
      </w:r>
      <w:r w:rsidRPr="00351699">
        <w:t xml:space="preserve">, </w:t>
      </w:r>
      <w:r>
        <w:t>Canberra</w:t>
      </w:r>
      <w:r w:rsidRPr="00351699">
        <w:t>.</w:t>
      </w:r>
    </w:p>
    <w:p w:rsidR="00E83E29" w:rsidRDefault="00E83E29" w:rsidP="004A3898">
      <w:pPr>
        <w:pStyle w:val="Reference"/>
      </w:pPr>
      <w:r>
        <w:t>—— </w:t>
      </w:r>
      <w:proofErr w:type="spellStart"/>
      <w:r>
        <w:t>2012d</w:t>
      </w:r>
      <w:proofErr w:type="spellEnd"/>
      <w:r>
        <w:t xml:space="preserve">, </w:t>
      </w:r>
      <w:r w:rsidRPr="00E83E29">
        <w:rPr>
          <w:i/>
        </w:rPr>
        <w:t>Annual Report 2011–2012</w:t>
      </w:r>
      <w:r w:rsidRPr="00E83E29">
        <w:t>, Canberra.</w:t>
      </w:r>
    </w:p>
    <w:p w:rsidR="006F4F67" w:rsidRDefault="006F4F67" w:rsidP="00F96DF6">
      <w:pPr>
        <w:pStyle w:val="Reference"/>
        <w:jc w:val="left"/>
      </w:pPr>
      <w:r>
        <w:t>—— </w:t>
      </w:r>
      <w:r w:rsidRPr="006F4F67">
        <w:t>2013,</w:t>
      </w:r>
      <w:r w:rsidR="00E23DAC">
        <w:t> </w:t>
      </w:r>
      <w:r w:rsidR="00F96DF6">
        <w:t>‘</w:t>
      </w:r>
      <w:r w:rsidRPr="006F4F67">
        <w:t>Australian</w:t>
      </w:r>
      <w:r w:rsidR="00E23DAC">
        <w:t> </w:t>
      </w:r>
      <w:r w:rsidRPr="006F4F67">
        <w:t>Heritage</w:t>
      </w:r>
      <w:r w:rsidR="00E23DAC">
        <w:t> </w:t>
      </w:r>
      <w:r w:rsidRPr="006F4F67">
        <w:t>Strategy</w:t>
      </w:r>
      <w:r w:rsidR="00F96DF6">
        <w:t>’</w:t>
      </w:r>
      <w:r w:rsidRPr="006F4F67">
        <w:t>, http://</w:t>
      </w:r>
      <w:proofErr w:type="spellStart"/>
      <w:r w:rsidRPr="006F4F67">
        <w:t>www.environment.gov.au</w:t>
      </w:r>
      <w:proofErr w:type="spellEnd"/>
      <w:r w:rsidRPr="006F4F67">
        <w:t>/</w:t>
      </w:r>
      <w:r w:rsidR="00F96DF6">
        <w:br/>
      </w:r>
      <w:r w:rsidRPr="006F4F67">
        <w:t>heritage/strategy/</w:t>
      </w:r>
      <w:proofErr w:type="spellStart"/>
      <w:r w:rsidRPr="006F4F67">
        <w:t>index.html</w:t>
      </w:r>
      <w:proofErr w:type="spellEnd"/>
      <w:r w:rsidRPr="006F4F67">
        <w:t xml:space="preserve"> (accessed 20 March 2013).</w:t>
      </w:r>
    </w:p>
    <w:p w:rsidR="00FD1D2A" w:rsidRDefault="00FD1D2A" w:rsidP="00FD1D2A">
      <w:pPr>
        <w:pStyle w:val="Reference"/>
        <w:tabs>
          <w:tab w:val="left" w:pos="709"/>
        </w:tabs>
      </w:pPr>
      <w:r w:rsidRPr="00AF3440">
        <w:t>Skills Austra</w:t>
      </w:r>
      <w:r>
        <w:t xml:space="preserve">lia 2011, </w:t>
      </w:r>
      <w:r w:rsidRPr="006A6450">
        <w:rPr>
          <w:i/>
        </w:rPr>
        <w:t>Skills Australia 201</w:t>
      </w:r>
      <w:r w:rsidR="00BD6D87">
        <w:rPr>
          <w:i/>
        </w:rPr>
        <w:t>1</w:t>
      </w:r>
      <w:r w:rsidRPr="006A6450">
        <w:rPr>
          <w:i/>
        </w:rPr>
        <w:t xml:space="preserve"> Interim Report on Resources Sector Skills Needs</w:t>
      </w:r>
      <w:r w:rsidRPr="00AF3440">
        <w:t>, May.</w:t>
      </w:r>
    </w:p>
    <w:p w:rsidR="00FD1D2A" w:rsidRPr="006F4F67" w:rsidRDefault="00FD1D2A" w:rsidP="006F4F67">
      <w:pPr>
        <w:pStyle w:val="Reference"/>
      </w:pPr>
      <w:r>
        <w:t>—— 2012,</w:t>
      </w:r>
      <w:r w:rsidR="00E23DAC">
        <w:t> </w:t>
      </w:r>
      <w:r w:rsidR="00F96DF6">
        <w:t>‘</w:t>
      </w:r>
      <w:r w:rsidRPr="00F96DF6">
        <w:t>SOL</w:t>
      </w:r>
      <w:r w:rsidR="00E23DAC" w:rsidRPr="00F96DF6">
        <w:t> </w:t>
      </w:r>
      <w:r w:rsidRPr="00F96DF6">
        <w:t>2012</w:t>
      </w:r>
      <w:r w:rsidR="00E23DAC" w:rsidRPr="00F96DF6">
        <w:t> </w:t>
      </w:r>
      <w:r w:rsidRPr="00F96DF6">
        <w:t>Fact</w:t>
      </w:r>
      <w:r w:rsidR="00E23DAC" w:rsidRPr="00F96DF6">
        <w:t> </w:t>
      </w:r>
      <w:r w:rsidRPr="00F96DF6">
        <w:t>Sheet</w:t>
      </w:r>
      <w:r w:rsidR="00F96DF6">
        <w:t>’</w:t>
      </w:r>
      <w:r>
        <w:t>,</w:t>
      </w:r>
      <w:r w:rsidR="00E23DAC">
        <w:t> </w:t>
      </w:r>
      <w:r w:rsidR="00E23DAC" w:rsidRPr="00E23DAC">
        <w:t>http://www.awpa.gov.au/our</w:t>
      </w:r>
      <w:r w:rsidR="00E23DAC" w:rsidRPr="00E23DAC">
        <w:noBreakHyphen/>
        <w:t>work/</w:t>
      </w:r>
      <w:r w:rsidR="00E23DAC">
        <w:t xml:space="preserve">labour- </w:t>
      </w:r>
      <w:r w:rsidRPr="00263F54">
        <w:t>market</w:t>
      </w:r>
      <w:r>
        <w:noBreakHyphen/>
      </w:r>
      <w:r w:rsidRPr="00263F54">
        <w:t>information/skilled</w:t>
      </w:r>
      <w:r>
        <w:noBreakHyphen/>
      </w:r>
      <w:r w:rsidRPr="00263F54">
        <w:t>occupation</w:t>
      </w:r>
      <w:r>
        <w:noBreakHyphen/>
      </w:r>
      <w:r w:rsidRPr="00263F54">
        <w:t>list/documents/2012FactSheet.pdf</w:t>
      </w:r>
      <w:r>
        <w:t xml:space="preserve"> (accessed 12 April 2013).</w:t>
      </w:r>
    </w:p>
    <w:p w:rsidR="002B5948" w:rsidRDefault="002B5948" w:rsidP="002B5948">
      <w:pPr>
        <w:pStyle w:val="Reference"/>
      </w:pPr>
      <w:r w:rsidRPr="002B5948">
        <w:t xml:space="preserve">South Australia Department of the Premier and Cabinet 2007, </w:t>
      </w:r>
      <w:r w:rsidRPr="002B5948">
        <w:rPr>
          <w:i/>
        </w:rPr>
        <w:t>Overview of the Aboriginal Heritage Act 1988</w:t>
      </w:r>
      <w:r w:rsidRPr="002B5948">
        <w:t>, Adelaide.</w:t>
      </w:r>
    </w:p>
    <w:p w:rsidR="00210DAF" w:rsidRDefault="00210DAF" w:rsidP="00210DAF">
      <w:pPr>
        <w:pStyle w:val="Reference"/>
      </w:pPr>
      <w:proofErr w:type="spellStart"/>
      <w:r w:rsidRPr="00B05004">
        <w:t>SS</w:t>
      </w:r>
      <w:r>
        <w:t>C</w:t>
      </w:r>
      <w:r w:rsidRPr="00B05004">
        <w:t>RAT</w:t>
      </w:r>
      <w:proofErr w:type="spellEnd"/>
      <w:r w:rsidRPr="00B05004">
        <w:t xml:space="preserve"> (Senate Standing Committee on Rural Affairs and Transport) 2012, </w:t>
      </w:r>
      <w:r w:rsidRPr="00B05004">
        <w:rPr>
          <w:i/>
        </w:rPr>
        <w:t>Management of the Murray Darling Basin Interim report: The impact of mining coal seam gas on the management of the Murray Darling Basin</w:t>
      </w:r>
      <w:r w:rsidRPr="00B05004">
        <w:t>, November.</w:t>
      </w:r>
    </w:p>
    <w:p w:rsidR="00A75BE0" w:rsidRDefault="00A75BE0" w:rsidP="00A75BE0">
      <w:pPr>
        <w:pStyle w:val="Reference"/>
      </w:pPr>
      <w:proofErr w:type="spellStart"/>
      <w:r w:rsidRPr="008F0123">
        <w:t>Stankey</w:t>
      </w:r>
      <w:proofErr w:type="spellEnd"/>
      <w:r w:rsidRPr="008F0123">
        <w:t xml:space="preserve">, </w:t>
      </w:r>
      <w:proofErr w:type="spellStart"/>
      <w:r w:rsidRPr="008F0123">
        <w:t>G.H</w:t>
      </w:r>
      <w:proofErr w:type="spellEnd"/>
      <w:r w:rsidRPr="008F0123">
        <w:t xml:space="preserve">. and Allan, C. 2009, ‘Introduction’, in Allan, C. and </w:t>
      </w:r>
      <w:proofErr w:type="spellStart"/>
      <w:r w:rsidRPr="008F0123">
        <w:t>Stankey</w:t>
      </w:r>
      <w:proofErr w:type="spellEnd"/>
      <w:r w:rsidRPr="008F0123">
        <w:t xml:space="preserve">, </w:t>
      </w:r>
      <w:proofErr w:type="spellStart"/>
      <w:r w:rsidRPr="008F0123">
        <w:t>G.H</w:t>
      </w:r>
      <w:proofErr w:type="spellEnd"/>
      <w:r w:rsidRPr="008F0123">
        <w:t>. (</w:t>
      </w:r>
      <w:proofErr w:type="spellStart"/>
      <w:r w:rsidRPr="008F0123">
        <w:t>eds</w:t>
      </w:r>
      <w:proofErr w:type="spellEnd"/>
      <w:r w:rsidRPr="008F0123">
        <w:t xml:space="preserve">), </w:t>
      </w:r>
      <w:r w:rsidRPr="008F0123">
        <w:rPr>
          <w:i/>
          <w:iCs/>
        </w:rPr>
        <w:t>Adaptive Environmental Management: A Practitioner’s Guide</w:t>
      </w:r>
      <w:r w:rsidRPr="008F0123">
        <w:t>, CSIRO Publishing and Springer Science Bus</w:t>
      </w:r>
      <w:r>
        <w:t>iness Media, Melbourne.</w:t>
      </w:r>
    </w:p>
    <w:p w:rsidR="00763B85" w:rsidRDefault="00763B85" w:rsidP="00763B85">
      <w:pPr>
        <w:pStyle w:val="Reference"/>
      </w:pPr>
      <w:r w:rsidRPr="00763B85">
        <w:t xml:space="preserve">State of the Environment 2011 Committee 2011, </w:t>
      </w:r>
      <w:r w:rsidR="00DC4782" w:rsidRPr="00DC4782">
        <w:rPr>
          <w:i/>
        </w:rPr>
        <w:t xml:space="preserve">Australia </w:t>
      </w:r>
      <w:r w:rsidRPr="00DC4782">
        <w:rPr>
          <w:i/>
        </w:rPr>
        <w:t>S</w:t>
      </w:r>
      <w:r w:rsidRPr="00763B85">
        <w:rPr>
          <w:i/>
        </w:rPr>
        <w:t>tate of the Environment</w:t>
      </w:r>
      <w:r w:rsidR="00DC4782">
        <w:rPr>
          <w:i/>
        </w:rPr>
        <w:t xml:space="preserve"> 2011</w:t>
      </w:r>
      <w:r w:rsidRPr="00763B85">
        <w:t>, independent report to the Australian Government Minister for Sustainability, Environment, Water, Population and Communities, Canberra.</w:t>
      </w:r>
    </w:p>
    <w:p w:rsidR="005D5139" w:rsidRDefault="005D5139" w:rsidP="00763B85">
      <w:pPr>
        <w:pStyle w:val="Reference"/>
      </w:pPr>
      <w:r w:rsidRPr="005D5139">
        <w:t xml:space="preserve">State Services Authority 2009, </w:t>
      </w:r>
      <w:r w:rsidRPr="005D5139">
        <w:rPr>
          <w:i/>
        </w:rPr>
        <w:t>Review of the Mining Warden: Objectives, functions and alternatives</w:t>
      </w:r>
      <w:r w:rsidRPr="005D5139">
        <w:t>, Melbourne.</w:t>
      </w:r>
    </w:p>
    <w:p w:rsidR="005A0E9C" w:rsidRPr="002426E7" w:rsidRDefault="005A0E9C" w:rsidP="005A0E9C">
      <w:pPr>
        <w:pStyle w:val="Reference"/>
        <w:rPr>
          <w:i/>
        </w:rPr>
      </w:pPr>
      <w:proofErr w:type="spellStart"/>
      <w:r>
        <w:t>Stothart</w:t>
      </w:r>
      <w:proofErr w:type="spellEnd"/>
      <w:r>
        <w:t xml:space="preserve">, P. 2011, </w:t>
      </w:r>
      <w:proofErr w:type="spellStart"/>
      <w:r w:rsidRPr="002426E7">
        <w:rPr>
          <w:i/>
        </w:rPr>
        <w:t>F&amp;F</w:t>
      </w:r>
      <w:proofErr w:type="spellEnd"/>
      <w:r w:rsidRPr="002426E7">
        <w:rPr>
          <w:i/>
        </w:rPr>
        <w:t xml:space="preserve"> 2011: Fact$ &amp; Figure$ of the Canadian mining industry</w:t>
      </w:r>
      <w:r>
        <w:t>, The Mining Association of Canada, Ottawa.</w:t>
      </w:r>
    </w:p>
    <w:p w:rsidR="00563154" w:rsidRDefault="00563154" w:rsidP="00563154">
      <w:pPr>
        <w:pStyle w:val="Reference"/>
      </w:pPr>
      <w:r w:rsidRPr="00563154">
        <w:t xml:space="preserve">Swayne, N. 2012, ‘Regulating Coal Seam Gas in Queensland: Lessons in Adaptive Environmental Management Approach?’, </w:t>
      </w:r>
      <w:r w:rsidRPr="00563154">
        <w:rPr>
          <w:i/>
        </w:rPr>
        <w:t>Environmental and Planning Law Journal</w:t>
      </w:r>
      <w:r w:rsidRPr="00563154">
        <w:t>, vol. 29, no. 2, pp.</w:t>
      </w:r>
      <w:r w:rsidR="001A2CED">
        <w:t> </w:t>
      </w:r>
      <w:r w:rsidRPr="00563154">
        <w:t>163</w:t>
      </w:r>
      <w:r w:rsidR="001A2CED">
        <w:t>–</w:t>
      </w:r>
      <w:r w:rsidRPr="00563154">
        <w:t>185.</w:t>
      </w:r>
    </w:p>
    <w:p w:rsidR="00210DAF" w:rsidRDefault="00210DAF" w:rsidP="00210DAF">
      <w:pPr>
        <w:pStyle w:val="Reference"/>
      </w:pPr>
      <w:proofErr w:type="spellStart"/>
      <w:r>
        <w:t>Tarkine</w:t>
      </w:r>
      <w:proofErr w:type="spellEnd"/>
      <w:r>
        <w:t xml:space="preserve"> National Coalition 2012, </w:t>
      </w:r>
      <w:r w:rsidR="00F96DF6">
        <w:t>‘</w:t>
      </w:r>
      <w:r w:rsidRPr="00F96DF6">
        <w:t xml:space="preserve">Mineral Extraction and Erosion Problems in the </w:t>
      </w:r>
      <w:proofErr w:type="spellStart"/>
      <w:r w:rsidRPr="00F96DF6">
        <w:t>Tarkine</w:t>
      </w:r>
      <w:proofErr w:type="spellEnd"/>
      <w:r w:rsidR="00F96DF6">
        <w:t>’</w:t>
      </w:r>
      <w:r>
        <w:t xml:space="preserve">, </w:t>
      </w:r>
      <w:r w:rsidRPr="00730E43">
        <w:t>http://</w:t>
      </w:r>
      <w:proofErr w:type="spellStart"/>
      <w:r w:rsidRPr="00730E43">
        <w:t>tarkine.org</w:t>
      </w:r>
      <w:proofErr w:type="spellEnd"/>
      <w:r w:rsidRPr="00730E43">
        <w:t>/mining/</w:t>
      </w:r>
      <w:r>
        <w:t xml:space="preserve"> (accessed 16 April 2013).</w:t>
      </w:r>
    </w:p>
    <w:p w:rsidR="00083F40" w:rsidRDefault="00083F40" w:rsidP="00210DAF">
      <w:pPr>
        <w:pStyle w:val="Reference"/>
      </w:pPr>
      <w:proofErr w:type="spellStart"/>
      <w:r>
        <w:lastRenderedPageBreak/>
        <w:t>Tas</w:t>
      </w:r>
      <w:proofErr w:type="spellEnd"/>
      <w:r>
        <w:t xml:space="preserve"> </w:t>
      </w:r>
      <w:proofErr w:type="spellStart"/>
      <w:r>
        <w:t>DPIW</w:t>
      </w:r>
      <w:proofErr w:type="spellEnd"/>
      <w:r>
        <w:t xml:space="preserve"> (Tasmanian Department of Primary Industries, Parks, Water and Environment</w:t>
      </w:r>
      <w:r w:rsidR="00F96DF6">
        <w:t>)</w:t>
      </w:r>
      <w:r>
        <w:t xml:space="preserve"> 2013, ‘Draft Aboriginal Heritage Protection Bill’, </w:t>
      </w:r>
      <w:r w:rsidRPr="00083F40">
        <w:t>http://</w:t>
      </w:r>
      <w:proofErr w:type="spellStart"/>
      <w:r w:rsidRPr="00083F40">
        <w:t>www.dpiw.tas.gov.au</w:t>
      </w:r>
      <w:proofErr w:type="spellEnd"/>
      <w:r w:rsidRPr="00083F40">
        <w:t>/</w:t>
      </w:r>
      <w:proofErr w:type="spellStart"/>
      <w:r w:rsidRPr="00083F40">
        <w:t>inter.nsf</w:t>
      </w:r>
      <w:proofErr w:type="spellEnd"/>
      <w:r w:rsidRPr="00083F40">
        <w:t>/</w:t>
      </w:r>
      <w:proofErr w:type="spellStart"/>
      <w:r w:rsidRPr="00083F40">
        <w:t>WebPages</w:t>
      </w:r>
      <w:proofErr w:type="spellEnd"/>
      <w:r w:rsidRPr="00083F40">
        <w:t>/</w:t>
      </w:r>
      <w:proofErr w:type="spellStart"/>
      <w:r w:rsidRPr="00083F40">
        <w:t>LBUN-8G4VUM?open</w:t>
      </w:r>
      <w:proofErr w:type="spellEnd"/>
      <w:r>
        <w:t xml:space="preserve"> (accessed 20 March 2013).</w:t>
      </w:r>
    </w:p>
    <w:p w:rsidR="005E2F63" w:rsidRDefault="005E2F63" w:rsidP="005E2F63">
      <w:pPr>
        <w:pStyle w:val="Reference"/>
      </w:pPr>
      <w:r w:rsidRPr="00471475">
        <w:t xml:space="preserve">Topp V., </w:t>
      </w:r>
      <w:proofErr w:type="spellStart"/>
      <w:r w:rsidRPr="00471475">
        <w:t>So</w:t>
      </w:r>
      <w:r w:rsidR="000A2710">
        <w:t>ames</w:t>
      </w:r>
      <w:proofErr w:type="spellEnd"/>
      <w:r w:rsidR="000A2710">
        <w:t xml:space="preserve"> L., Parham D. and Bloch H.</w:t>
      </w:r>
      <w:r w:rsidRPr="00471475">
        <w:t xml:space="preserve"> 2008, </w:t>
      </w:r>
      <w:r w:rsidRPr="00471475">
        <w:rPr>
          <w:i/>
        </w:rPr>
        <w:t>Productivity in the Mining Industry: Measurement and Interpretation</w:t>
      </w:r>
      <w:r w:rsidRPr="00471475">
        <w:t>, Productivity Commission Staff Working Paper, December.</w:t>
      </w:r>
    </w:p>
    <w:p w:rsidR="00E47F5E" w:rsidRDefault="00E47F5E" w:rsidP="00F96DF6">
      <w:pPr>
        <w:pStyle w:val="Reference"/>
        <w:jc w:val="left"/>
      </w:pPr>
      <w:r w:rsidRPr="00ED3DF5">
        <w:t xml:space="preserve">Thomas, N. 2013, </w:t>
      </w:r>
      <w:r w:rsidR="00F96DF6">
        <w:t>‘</w:t>
      </w:r>
      <w:r w:rsidRPr="00ED3DF5">
        <w:t xml:space="preserve">Major new controls on water impacts from mining and </w:t>
      </w:r>
      <w:proofErr w:type="spellStart"/>
      <w:r w:rsidRPr="00ED3DF5">
        <w:t>CSG</w:t>
      </w:r>
      <w:proofErr w:type="spellEnd"/>
      <w:r w:rsidRPr="00ED3DF5">
        <w:t xml:space="preserve"> projects,</w:t>
      </w:r>
      <w:r w:rsidR="00E23DAC">
        <w:t> </w:t>
      </w:r>
      <w:r w:rsidRPr="00ED3DF5">
        <w:t>Clayton</w:t>
      </w:r>
      <w:r w:rsidR="00E23DAC">
        <w:t> </w:t>
      </w:r>
      <w:proofErr w:type="spellStart"/>
      <w:r w:rsidRPr="00ED3DF5">
        <w:t>Utz</w:t>
      </w:r>
      <w:proofErr w:type="spellEnd"/>
      <w:r w:rsidR="00F96DF6">
        <w:t>’</w:t>
      </w:r>
      <w:r w:rsidRPr="00ED3DF5">
        <w:t>,</w:t>
      </w:r>
      <w:r w:rsidR="001A2CED">
        <w:t xml:space="preserve"> </w:t>
      </w:r>
      <w:r w:rsidR="00F96DF6" w:rsidRPr="00F96DF6">
        <w:t>http://</w:t>
      </w:r>
      <w:proofErr w:type="spellStart"/>
      <w:r w:rsidR="00F96DF6" w:rsidRPr="00F96DF6">
        <w:t>www.claytonutz.com</w:t>
      </w:r>
      <w:proofErr w:type="spellEnd"/>
      <w:r w:rsidR="00F96DF6" w:rsidRPr="00F96DF6">
        <w:t>/publications/edition</w:t>
      </w:r>
      <w:r w:rsidR="00F96DF6">
        <w:br/>
      </w:r>
      <w:r w:rsidRPr="00ED3DF5">
        <w:t>/14_march_2013/20130314/major_new_controls_on_water_impacts_from_mining_and_csg_projects.page (accessed 9</w:t>
      </w:r>
      <w:r w:rsidR="001A2CED">
        <w:t> </w:t>
      </w:r>
      <w:r w:rsidRPr="00ED3DF5">
        <w:t>April 2013).</w:t>
      </w:r>
    </w:p>
    <w:p w:rsidR="00190AE8" w:rsidRDefault="00190AE8" w:rsidP="00190AE8">
      <w:pPr>
        <w:pStyle w:val="Reference"/>
      </w:pPr>
      <w:r w:rsidRPr="00190AE8">
        <w:t>Thompson, F. 2012, ‘</w:t>
      </w:r>
      <w:r w:rsidR="007910C8">
        <w:t>Gloucester gas drill</w:t>
      </w:r>
      <w:r w:rsidRPr="00190AE8">
        <w:t xml:space="preserve"> test to begin’, </w:t>
      </w:r>
      <w:r w:rsidRPr="00190AE8">
        <w:rPr>
          <w:i/>
        </w:rPr>
        <w:t>Newcastle Herald</w:t>
      </w:r>
      <w:r w:rsidRPr="00190AE8">
        <w:t xml:space="preserve">, </w:t>
      </w:r>
      <w:r w:rsidR="00F96DF6">
        <w:br/>
      </w:r>
      <w:r w:rsidRPr="00190AE8">
        <w:t>22 September, p. 14.</w:t>
      </w:r>
    </w:p>
    <w:p w:rsidR="00210DAF" w:rsidRDefault="00210DAF" w:rsidP="00210DAF">
      <w:pPr>
        <w:pStyle w:val="Reference"/>
      </w:pPr>
      <w:r>
        <w:t xml:space="preserve">Thomson, I and Joyce, S. </w:t>
      </w:r>
      <w:proofErr w:type="spellStart"/>
      <w:r>
        <w:t>nd</w:t>
      </w:r>
      <w:proofErr w:type="spellEnd"/>
      <w:r>
        <w:t xml:space="preserve">, </w:t>
      </w:r>
      <w:r w:rsidR="00F96DF6">
        <w:t>‘</w:t>
      </w:r>
      <w:r w:rsidRPr="00F96DF6">
        <w:t>Changing expectations: Future social and economic realities</w:t>
      </w:r>
      <w:r w:rsidR="00E23DAC" w:rsidRPr="00F96DF6">
        <w:t> </w:t>
      </w:r>
      <w:r w:rsidRPr="00F96DF6">
        <w:t>for</w:t>
      </w:r>
      <w:r w:rsidR="00E23DAC" w:rsidRPr="00F96DF6">
        <w:t> </w:t>
      </w:r>
      <w:r w:rsidRPr="00F96DF6">
        <w:t>mineral</w:t>
      </w:r>
      <w:r w:rsidR="00E23DAC" w:rsidRPr="00F96DF6">
        <w:t> </w:t>
      </w:r>
      <w:r w:rsidRPr="00F96DF6">
        <w:t>exploration</w:t>
      </w:r>
      <w:r w:rsidR="00F96DF6">
        <w:t>’</w:t>
      </w:r>
      <w:r>
        <w:t>,</w:t>
      </w:r>
      <w:r w:rsidR="00E23DAC">
        <w:t> </w:t>
      </w:r>
      <w:r w:rsidR="00E23DAC" w:rsidRPr="00E23DAC">
        <w:rPr>
          <w:rFonts w:eastAsiaTheme="minorEastAsia"/>
        </w:rPr>
        <w:t>http://</w:t>
      </w:r>
      <w:proofErr w:type="spellStart"/>
      <w:r w:rsidR="00E23DAC" w:rsidRPr="00E23DAC">
        <w:rPr>
          <w:rFonts w:eastAsiaTheme="minorEastAsia"/>
        </w:rPr>
        <w:t>oncommonground.ca</w:t>
      </w:r>
      <w:proofErr w:type="spellEnd"/>
      <w:r w:rsidR="00E23DAC" w:rsidRPr="00E23DAC">
        <w:rPr>
          <w:rFonts w:eastAsiaTheme="minorEastAsia"/>
        </w:rPr>
        <w:t>/</w:t>
      </w:r>
      <w:proofErr w:type="spellStart"/>
      <w:r w:rsidR="00E23DAC" w:rsidRPr="00E23DAC">
        <w:rPr>
          <w:rFonts w:eastAsiaTheme="minorEastAsia"/>
        </w:rPr>
        <w:t>wp</w:t>
      </w:r>
      <w:proofErr w:type="spellEnd"/>
      <w:r w:rsidR="00E23DAC" w:rsidRPr="00E23DAC">
        <w:rPr>
          <w:rFonts w:eastAsiaTheme="minorEastAsia"/>
        </w:rPr>
        <w:t>-content/</w:t>
      </w:r>
      <w:r w:rsidR="00E23DAC">
        <w:rPr>
          <w:rFonts w:eastAsiaTheme="minorEastAsia"/>
        </w:rPr>
        <w:t xml:space="preserve"> </w:t>
      </w:r>
      <w:r w:rsidRPr="0082287F">
        <w:rPr>
          <w:rFonts w:eastAsiaTheme="minorEastAsia"/>
        </w:rPr>
        <w:t>downloads/</w:t>
      </w:r>
      <w:proofErr w:type="spellStart"/>
      <w:r w:rsidRPr="0082287F">
        <w:rPr>
          <w:rFonts w:eastAsiaTheme="minorEastAsia"/>
        </w:rPr>
        <w:t>changing.html</w:t>
      </w:r>
      <w:proofErr w:type="spellEnd"/>
      <w:r>
        <w:t xml:space="preserve"> </w:t>
      </w:r>
      <w:r w:rsidR="006870BC">
        <w:t>(</w:t>
      </w:r>
      <w:r>
        <w:t>accessed 30 April 2013</w:t>
      </w:r>
      <w:r w:rsidR="006870BC">
        <w:t>)</w:t>
      </w:r>
      <w:r>
        <w:t>.</w:t>
      </w:r>
    </w:p>
    <w:p w:rsidR="009325A5" w:rsidRDefault="009325A5" w:rsidP="009325A5">
      <w:pPr>
        <w:pStyle w:val="Reference"/>
      </w:pPr>
      <w:r w:rsidRPr="009D7373">
        <w:t xml:space="preserve">Transparency International 2011, 2011 </w:t>
      </w:r>
      <w:r w:rsidR="00F96DF6">
        <w:t>‘</w:t>
      </w:r>
      <w:r w:rsidRPr="009D7373">
        <w:t>Corruption perceptions index – in detail</w:t>
      </w:r>
      <w:r w:rsidR="00F96DF6">
        <w:t>’</w:t>
      </w:r>
      <w:r w:rsidRPr="009D7373">
        <w:t>, http://</w:t>
      </w:r>
      <w:proofErr w:type="spellStart"/>
      <w:r w:rsidRPr="009D7373">
        <w:t>www.transparency.org</w:t>
      </w:r>
      <w:proofErr w:type="spellEnd"/>
      <w:r w:rsidRPr="009D7373">
        <w:t>/</w:t>
      </w:r>
      <w:proofErr w:type="spellStart"/>
      <w:r w:rsidRPr="009D7373">
        <w:t>cpi2011</w:t>
      </w:r>
      <w:proofErr w:type="spellEnd"/>
      <w:r w:rsidRPr="009D7373">
        <w:t>/</w:t>
      </w:r>
      <w:proofErr w:type="spellStart"/>
      <w:r w:rsidRPr="009D7373">
        <w:t>in_detail</w:t>
      </w:r>
      <w:proofErr w:type="spellEnd"/>
      <w:r w:rsidRPr="009D7373">
        <w:t xml:space="preserve"> (accessed 4 March 2013).</w:t>
      </w:r>
    </w:p>
    <w:p w:rsidR="00D97790" w:rsidRDefault="00D97790" w:rsidP="009325A5">
      <w:pPr>
        <w:pStyle w:val="Reference"/>
      </w:pPr>
      <w:r>
        <w:t xml:space="preserve">Transport SA 1999, </w:t>
      </w:r>
      <w:r>
        <w:rPr>
          <w:i/>
        </w:rPr>
        <w:t>Cultural Heritage Guidelines: a handbook for staff and contractors</w:t>
      </w:r>
      <w:r>
        <w:t>, Walkerville.</w:t>
      </w:r>
    </w:p>
    <w:p w:rsidR="00210DAF" w:rsidRDefault="00210DAF" w:rsidP="00210DAF">
      <w:pPr>
        <w:pStyle w:val="Reference"/>
      </w:pPr>
      <w:proofErr w:type="spellStart"/>
      <w:r>
        <w:t>VEAC</w:t>
      </w:r>
      <w:proofErr w:type="spellEnd"/>
      <w:r>
        <w:t xml:space="preserve"> (Victorian Environmental Assessment Council) 2012, </w:t>
      </w:r>
      <w:r w:rsidRPr="00F550AC">
        <w:rPr>
          <w:i/>
        </w:rPr>
        <w:t>Annual Report 2011</w:t>
      </w:r>
      <w:r w:rsidRPr="00F550AC">
        <w:rPr>
          <w:i/>
        </w:rPr>
        <w:noBreakHyphen/>
        <w:t>2012</w:t>
      </w:r>
      <w:r>
        <w:t>, State of Victoria.</w:t>
      </w:r>
    </w:p>
    <w:p w:rsidR="00536464" w:rsidRDefault="00536464" w:rsidP="00536464">
      <w:pPr>
        <w:pStyle w:val="Reference"/>
      </w:pPr>
      <w:r>
        <w:t xml:space="preserve">Vic </w:t>
      </w:r>
      <w:proofErr w:type="spellStart"/>
      <w:r>
        <w:t>DPCD</w:t>
      </w:r>
      <w:proofErr w:type="spellEnd"/>
      <w:r>
        <w:t xml:space="preserve"> (</w:t>
      </w:r>
      <w:r w:rsidRPr="00224EBA">
        <w:t>Department of Planning and Community Development, Victoria</w:t>
      </w:r>
      <w:r>
        <w:t>)</w:t>
      </w:r>
      <w:r w:rsidRPr="00224EBA">
        <w:t xml:space="preserve"> 2013, ‘Aboriginal Heritage Act 2006’</w:t>
      </w:r>
      <w:r>
        <w:t>,</w:t>
      </w:r>
      <w:r w:rsidRPr="00224EBA">
        <w:t xml:space="preserve"> http://www.dpcd.vic.gov.au/aboriginal-affairs/aboriginal-cultural-heritage/aboriginal-heritage-act-2006 (accessed 16</w:t>
      </w:r>
      <w:r w:rsidR="00F96DF6">
        <w:t> </w:t>
      </w:r>
      <w:r w:rsidRPr="00224EBA">
        <w:t>May 2013)</w:t>
      </w:r>
      <w:r>
        <w:t>.</w:t>
      </w:r>
    </w:p>
    <w:p w:rsidR="006C3735" w:rsidRDefault="006C3735" w:rsidP="006C3735">
      <w:pPr>
        <w:pStyle w:val="Reference"/>
        <w:rPr>
          <w:rStyle w:val="createdate"/>
        </w:rPr>
      </w:pPr>
      <w:r>
        <w:t>Vic DPI (</w:t>
      </w:r>
      <w:r w:rsidRPr="00792F7C">
        <w:t>Victoria</w:t>
      </w:r>
      <w:r>
        <w:t>n</w:t>
      </w:r>
      <w:r w:rsidRPr="00792F7C">
        <w:t xml:space="preserve"> Department of Primary Industries</w:t>
      </w:r>
      <w:r>
        <w:t>)</w:t>
      </w:r>
      <w:r w:rsidRPr="00792F7C">
        <w:t xml:space="preserve"> </w:t>
      </w:r>
      <w:proofErr w:type="spellStart"/>
      <w:r>
        <w:rPr>
          <w:rStyle w:val="createdate"/>
        </w:rPr>
        <w:t>2010</w:t>
      </w:r>
      <w:r w:rsidR="001128F9">
        <w:rPr>
          <w:rStyle w:val="createdate"/>
        </w:rPr>
        <w:t>a</w:t>
      </w:r>
      <w:proofErr w:type="spellEnd"/>
      <w:r w:rsidRPr="00CA6207">
        <w:rPr>
          <w:rStyle w:val="createdate"/>
          <w:i/>
        </w:rPr>
        <w:t>, Minerals and Exploration and Mining in Victoria: Landholder Information Booklet</w:t>
      </w:r>
      <w:r>
        <w:rPr>
          <w:rStyle w:val="createdate"/>
        </w:rPr>
        <w:t>, Department of Primary Industries, March.</w:t>
      </w:r>
    </w:p>
    <w:p w:rsidR="001128F9" w:rsidRDefault="001128F9" w:rsidP="006C3735">
      <w:pPr>
        <w:pStyle w:val="Reference"/>
        <w:rPr>
          <w:rStyle w:val="createdate"/>
        </w:rPr>
      </w:pPr>
      <w:r>
        <w:rPr>
          <w:rStyle w:val="createdate"/>
        </w:rPr>
        <w:t>—— </w:t>
      </w:r>
      <w:proofErr w:type="spellStart"/>
      <w:r>
        <w:rPr>
          <w:rStyle w:val="createdate"/>
        </w:rPr>
        <w:t>2010b</w:t>
      </w:r>
      <w:proofErr w:type="spellEnd"/>
      <w:r>
        <w:rPr>
          <w:rStyle w:val="createdate"/>
        </w:rPr>
        <w:t xml:space="preserve">, </w:t>
      </w:r>
      <w:r w:rsidR="00F96DF6">
        <w:rPr>
          <w:rStyle w:val="createdate"/>
        </w:rPr>
        <w:t>‘</w:t>
      </w:r>
      <w:r w:rsidRPr="00F96DF6">
        <w:rPr>
          <w:rStyle w:val="createdate"/>
        </w:rPr>
        <w:t>Exploration and rehabilitation of mineral exploration sites</w:t>
      </w:r>
      <w:r w:rsidR="00F96DF6">
        <w:rPr>
          <w:rStyle w:val="createdate"/>
        </w:rPr>
        <w:t>’</w:t>
      </w:r>
      <w:r w:rsidRPr="001128F9">
        <w:rPr>
          <w:rStyle w:val="createdate"/>
        </w:rPr>
        <w:t>, http://www.dpi.vic.gov.au/earth-resources/minerals/environmental-guidelines/exploration-and-rehabilitation-of-mineral-exploration-sites (accessed 22 May 2013).</w:t>
      </w:r>
    </w:p>
    <w:p w:rsidR="00792F7C" w:rsidRDefault="006C3735" w:rsidP="00792F7C">
      <w:pPr>
        <w:pStyle w:val="Reference"/>
      </w:pPr>
      <w:r>
        <w:t>—— </w:t>
      </w:r>
      <w:r w:rsidR="00792F7C" w:rsidRPr="00792F7C">
        <w:t xml:space="preserve">2011, </w:t>
      </w:r>
      <w:r w:rsidR="00F96DF6">
        <w:t>‘</w:t>
      </w:r>
      <w:r w:rsidR="00792F7C" w:rsidRPr="00792F7C">
        <w:t>Review of the Mineral Resources (Sustainable Development) Act Review – Stage 2</w:t>
      </w:r>
      <w:r w:rsidR="00F96DF6">
        <w:t>’</w:t>
      </w:r>
      <w:r w:rsidR="00792F7C" w:rsidRPr="00792F7C">
        <w:t>, http://www.dpi.vic.gov.au/earth–resources/about–earth–resources/legislation–and–regulation/discussion–papers/review–of–the–mineral–</w:t>
      </w:r>
      <w:r w:rsidR="00792F7C" w:rsidRPr="00792F7C">
        <w:lastRenderedPageBreak/>
        <w:t>resources–sustainable–development–act–1990/discussion–paper–no–1–lead–agency–approach (accessed 18 April 2013).</w:t>
      </w:r>
    </w:p>
    <w:p w:rsidR="00536464" w:rsidRDefault="00536464" w:rsidP="00536464">
      <w:pPr>
        <w:pStyle w:val="Reference"/>
      </w:pPr>
      <w:r w:rsidRPr="00566137">
        <w:t xml:space="preserve">Victorian Competition and Efficiency Commission 2009, </w:t>
      </w:r>
      <w:r w:rsidRPr="00566137">
        <w:rPr>
          <w:i/>
        </w:rPr>
        <w:t>A Sustainable Future for Victoria: Getting Environmental Regulation Right</w:t>
      </w:r>
      <w:r w:rsidRPr="00566137">
        <w:t>, final report, Melbourne.</w:t>
      </w:r>
    </w:p>
    <w:p w:rsidR="00392257" w:rsidRDefault="00392257" w:rsidP="00566137">
      <w:pPr>
        <w:pStyle w:val="Reference"/>
      </w:pPr>
      <w:r>
        <w:t xml:space="preserve">WA </w:t>
      </w:r>
      <w:proofErr w:type="spellStart"/>
      <w:r>
        <w:t>DAA</w:t>
      </w:r>
      <w:proofErr w:type="spellEnd"/>
      <w:r>
        <w:t xml:space="preserve"> (Western Australia Department of Aboriginal Affairs) </w:t>
      </w:r>
      <w:r w:rsidRPr="00392257">
        <w:t>2011, ‘Aboriginal Heritage</w:t>
      </w:r>
      <w:r w:rsidR="00E23DAC">
        <w:t> </w:t>
      </w:r>
      <w:r w:rsidRPr="00392257">
        <w:t>Act</w:t>
      </w:r>
      <w:r w:rsidR="00E23DAC">
        <w:t> </w:t>
      </w:r>
      <w:r w:rsidRPr="00392257">
        <w:t>1972’,</w:t>
      </w:r>
      <w:r w:rsidR="00E23DAC">
        <w:t> </w:t>
      </w:r>
      <w:r w:rsidR="00E23DAC" w:rsidRPr="00E23DAC">
        <w:t>http://www.daa.wa.gov.au/en/Section-18-Applications/</w:t>
      </w:r>
      <w:r w:rsidR="00E23DAC">
        <w:t xml:space="preserve"> </w:t>
      </w:r>
      <w:r w:rsidRPr="00392257">
        <w:t>Heritage-management/Aboriginal-Heritage-Act/ (accessed 17 May 2013)</w:t>
      </w:r>
      <w:r>
        <w:t>.</w:t>
      </w:r>
    </w:p>
    <w:p w:rsidR="004B5354" w:rsidRDefault="004B5354" w:rsidP="00566137">
      <w:pPr>
        <w:pStyle w:val="Reference"/>
      </w:pPr>
      <w:r>
        <w:t>—— </w:t>
      </w:r>
      <w:proofErr w:type="spellStart"/>
      <w:r>
        <w:t>2012a</w:t>
      </w:r>
      <w:proofErr w:type="spellEnd"/>
      <w:r>
        <w:t xml:space="preserve">, </w:t>
      </w:r>
      <w:r w:rsidRPr="004B5354">
        <w:t>‘Aboriginal site disturbance’, http://www.daa.wa.gov.au/en/Section-18-Applications/Heritage-management/Site-disturbance/</w:t>
      </w:r>
      <w:r>
        <w:t xml:space="preserve"> (accessed 17 May 2013).</w:t>
      </w:r>
    </w:p>
    <w:p w:rsidR="004B5354" w:rsidRDefault="004B5354" w:rsidP="00566137">
      <w:pPr>
        <w:pStyle w:val="Reference"/>
      </w:pPr>
      <w:r>
        <w:t>—— </w:t>
      </w:r>
      <w:proofErr w:type="spellStart"/>
      <w:r>
        <w:t>2012b</w:t>
      </w:r>
      <w:proofErr w:type="spellEnd"/>
      <w:r>
        <w:t xml:space="preserve">, </w:t>
      </w:r>
      <w:r w:rsidRPr="004B5354">
        <w:t>‘Application to use land’, http://www.daa.wa.gov.au/en/Section-18-Applications/Heritage-management/Applications/Application-to-use-land-s18/</w:t>
      </w:r>
      <w:r>
        <w:t xml:space="preserve"> (accessed 17 May 2013).</w:t>
      </w:r>
    </w:p>
    <w:p w:rsidR="005B1795" w:rsidRDefault="00392257" w:rsidP="005B1795">
      <w:pPr>
        <w:pStyle w:val="Reference"/>
      </w:pPr>
      <w:r>
        <w:t xml:space="preserve">WA </w:t>
      </w:r>
      <w:proofErr w:type="spellStart"/>
      <w:r>
        <w:t>DIA</w:t>
      </w:r>
      <w:proofErr w:type="spellEnd"/>
      <w:r>
        <w:t xml:space="preserve"> (</w:t>
      </w:r>
      <w:r w:rsidR="005B1795" w:rsidRPr="005B1795">
        <w:t>Western Australia Department of Indigenous Affairs</w:t>
      </w:r>
      <w:r>
        <w:t>)</w:t>
      </w:r>
      <w:r w:rsidR="005B1795" w:rsidRPr="005B1795">
        <w:t xml:space="preserve"> 2010, </w:t>
      </w:r>
      <w:r w:rsidR="00F96DF6">
        <w:t>‘</w:t>
      </w:r>
      <w:r w:rsidR="005B1795" w:rsidRPr="005B1795">
        <w:t>Guidelines for</w:t>
      </w:r>
      <w:r w:rsidR="00E23DAC">
        <w:t> </w:t>
      </w:r>
      <w:r w:rsidR="005B1795" w:rsidRPr="005B1795">
        <w:t>preparing</w:t>
      </w:r>
      <w:r w:rsidR="00E23DAC">
        <w:t> </w:t>
      </w:r>
      <w:r w:rsidR="005B1795" w:rsidRPr="005B1795">
        <w:t>Aboriginal</w:t>
      </w:r>
      <w:r w:rsidR="00E23DAC">
        <w:t> </w:t>
      </w:r>
      <w:r w:rsidR="005B1795" w:rsidRPr="005B1795">
        <w:t>heritage</w:t>
      </w:r>
      <w:r w:rsidR="00E23DAC">
        <w:t> </w:t>
      </w:r>
      <w:r w:rsidR="005B1795" w:rsidRPr="005B1795">
        <w:t>survey</w:t>
      </w:r>
      <w:r w:rsidR="00E23DAC">
        <w:t> </w:t>
      </w:r>
      <w:r w:rsidR="005B1795" w:rsidRPr="005B1795">
        <w:t>reports</w:t>
      </w:r>
      <w:r w:rsidR="00F96DF6">
        <w:t>’</w:t>
      </w:r>
      <w:r w:rsidR="005B1795" w:rsidRPr="005B1795">
        <w:t xml:space="preserve">, </w:t>
      </w:r>
      <w:r w:rsidR="00F96DF6" w:rsidRPr="00F96DF6">
        <w:t>http://</w:t>
      </w:r>
      <w:proofErr w:type="spellStart"/>
      <w:r w:rsidR="00F96DF6" w:rsidRPr="00F96DF6">
        <w:t>www.dia.wa.gov.au</w:t>
      </w:r>
      <w:proofErr w:type="spellEnd"/>
      <w:r w:rsidR="00F96DF6" w:rsidRPr="00F96DF6">
        <w:t>/en</w:t>
      </w:r>
      <w:r w:rsidR="00F96DF6">
        <w:br/>
      </w:r>
      <w:r w:rsidR="005B1795" w:rsidRPr="005B1795">
        <w:t>/Section</w:t>
      </w:r>
      <w:r w:rsidR="005B1795" w:rsidRPr="005B1795">
        <w:noBreakHyphen/>
        <w:t>18</w:t>
      </w:r>
      <w:r w:rsidR="005B1795" w:rsidRPr="005B1795">
        <w:noBreakHyphen/>
        <w:t>Applications/Heritage</w:t>
      </w:r>
      <w:r w:rsidR="005B1795" w:rsidRPr="005B1795">
        <w:noBreakHyphen/>
        <w:t>management/Aboriginal</w:t>
      </w:r>
      <w:r w:rsidR="005B1795" w:rsidRPr="005B1795">
        <w:noBreakHyphen/>
        <w:t>heritage</w:t>
      </w:r>
      <w:r w:rsidR="005B1795" w:rsidRPr="005B1795">
        <w:noBreakHyphen/>
        <w:t>surveys/Guidelines</w:t>
      </w:r>
      <w:r w:rsidR="005B1795" w:rsidRPr="005B1795">
        <w:noBreakHyphen/>
        <w:t>for</w:t>
      </w:r>
      <w:r w:rsidR="005B1795" w:rsidRPr="005B1795">
        <w:noBreakHyphen/>
        <w:t>preparing</w:t>
      </w:r>
      <w:r w:rsidR="005B1795" w:rsidRPr="005B1795">
        <w:noBreakHyphen/>
        <w:t>Aboriginal</w:t>
      </w:r>
      <w:r w:rsidR="005B1795" w:rsidRPr="005B1795">
        <w:noBreakHyphen/>
        <w:t>heritage</w:t>
      </w:r>
      <w:r w:rsidR="005B1795" w:rsidRPr="005B1795">
        <w:noBreakHyphen/>
        <w:t>survey</w:t>
      </w:r>
      <w:r w:rsidR="005B1795" w:rsidRPr="005B1795">
        <w:noBreakHyphen/>
        <w:t>reports/ (accessed 15 April 2013).</w:t>
      </w:r>
    </w:p>
    <w:p w:rsidR="00FB4059" w:rsidRDefault="00FB4059" w:rsidP="005B1795">
      <w:pPr>
        <w:pStyle w:val="Reference"/>
      </w:pPr>
      <w:r>
        <w:t xml:space="preserve">WA </w:t>
      </w:r>
      <w:proofErr w:type="spellStart"/>
      <w:r>
        <w:t>DIA</w:t>
      </w:r>
      <w:proofErr w:type="spellEnd"/>
      <w:r>
        <w:t>/</w:t>
      </w:r>
      <w:proofErr w:type="spellStart"/>
      <w:r>
        <w:t>DPC</w:t>
      </w:r>
      <w:proofErr w:type="spellEnd"/>
      <w:r>
        <w:t xml:space="preserve"> (Western Australian Department of Indigenous Affairs and Department of Premier and Cabinet) 2013, </w:t>
      </w:r>
      <w:r>
        <w:rPr>
          <w:i/>
        </w:rPr>
        <w:t>Aboriginal Heritage Due Diligence Guidelines</w:t>
      </w:r>
      <w:r>
        <w:t xml:space="preserve">, v. 3.0. </w:t>
      </w:r>
    </w:p>
    <w:p w:rsidR="00BA2A27" w:rsidRDefault="00BA2A27" w:rsidP="00BA2A27">
      <w:pPr>
        <w:pStyle w:val="Reference"/>
        <w:rPr>
          <w:rStyle w:val="createdate"/>
          <w:lang w:val="en"/>
        </w:rPr>
      </w:pPr>
      <w:r>
        <w:t xml:space="preserve">WA </w:t>
      </w:r>
      <w:proofErr w:type="spellStart"/>
      <w:r>
        <w:t>DMP</w:t>
      </w:r>
      <w:proofErr w:type="spellEnd"/>
      <w:r>
        <w:t xml:space="preserve"> (</w:t>
      </w:r>
      <w:r w:rsidRPr="001E248A">
        <w:t>Western Australia Department of Mines and Petroleum</w:t>
      </w:r>
      <w:r>
        <w:t>)</w:t>
      </w:r>
      <w:r w:rsidRPr="001E248A">
        <w:t xml:space="preserve"> </w:t>
      </w:r>
      <w:r>
        <w:rPr>
          <w:rStyle w:val="createdate"/>
          <w:lang w:val="en"/>
        </w:rPr>
        <w:t xml:space="preserve">2011, </w:t>
      </w:r>
      <w:r w:rsidRPr="00CA6207">
        <w:rPr>
          <w:rStyle w:val="createdate"/>
          <w:i/>
          <w:lang w:val="en"/>
        </w:rPr>
        <w:t>Private Land Provisions</w:t>
      </w:r>
      <w:r>
        <w:rPr>
          <w:rStyle w:val="createdate"/>
          <w:lang w:val="en"/>
        </w:rPr>
        <w:t>, April.</w:t>
      </w:r>
    </w:p>
    <w:p w:rsidR="00BA2A27" w:rsidRDefault="00BA2A27" w:rsidP="00BA2A27">
      <w:pPr>
        <w:pStyle w:val="Reference"/>
      </w:pPr>
      <w:r>
        <w:t>—— </w:t>
      </w:r>
      <w:r w:rsidRPr="001E248A">
        <w:t>2012,</w:t>
      </w:r>
      <w:r w:rsidR="00E23DAC">
        <w:t> </w:t>
      </w:r>
      <w:r>
        <w:t>‘</w:t>
      </w:r>
      <w:r w:rsidRPr="001E248A">
        <w:t>Approval</w:t>
      </w:r>
      <w:r w:rsidR="00E23DAC">
        <w:t> </w:t>
      </w:r>
      <w:r w:rsidRPr="001E248A">
        <w:t>Timeline</w:t>
      </w:r>
      <w:r w:rsidR="00E23DAC">
        <w:t> </w:t>
      </w:r>
      <w:r w:rsidRPr="001E248A">
        <w:t>Performance</w:t>
      </w:r>
      <w:r w:rsidR="00E23DAC">
        <w:t> </w:t>
      </w:r>
      <w:r w:rsidRPr="001E248A">
        <w:t>Measures</w:t>
      </w:r>
      <w:r>
        <w:t>’</w:t>
      </w:r>
      <w:r w:rsidRPr="00402BA7">
        <w:t>, http://</w:t>
      </w:r>
      <w:proofErr w:type="spellStart"/>
      <w:r w:rsidRPr="00402BA7">
        <w:t>dmp.wa.gov.au</w:t>
      </w:r>
      <w:proofErr w:type="spellEnd"/>
      <w:r w:rsidRPr="00402BA7">
        <w:t>/</w:t>
      </w:r>
      <w:proofErr w:type="spellStart"/>
      <w:r w:rsidRPr="00402BA7">
        <w:t>7436.aspx#7500</w:t>
      </w:r>
      <w:proofErr w:type="spellEnd"/>
      <w:r w:rsidRPr="001E248A">
        <w:t xml:space="preserve"> (accessed 15 April 2013).</w:t>
      </w:r>
    </w:p>
    <w:p w:rsidR="00BA2A27" w:rsidRDefault="00BA2A27" w:rsidP="00BA2A27">
      <w:pPr>
        <w:pStyle w:val="Reference"/>
      </w:pPr>
      <w:r>
        <w:t>—— </w:t>
      </w:r>
      <w:proofErr w:type="spellStart"/>
      <w:r>
        <w:t>2013</w:t>
      </w:r>
      <w:r w:rsidR="00E12F44">
        <w:t>a</w:t>
      </w:r>
      <w:proofErr w:type="spellEnd"/>
      <w:r>
        <w:t xml:space="preserve">, </w:t>
      </w:r>
      <w:r w:rsidR="00F96DF6">
        <w:t>‘</w:t>
      </w:r>
      <w:r w:rsidRPr="00F96DF6">
        <w:t>Approvals Performance Report</w:t>
      </w:r>
      <w:r w:rsidR="00F96DF6">
        <w:t>’</w:t>
      </w:r>
      <w:r>
        <w:t xml:space="preserve">, Quarter 1, </w:t>
      </w:r>
      <w:r w:rsidRPr="005D5139">
        <w:t>http://www.dmp.wa.gov.au/documents/Approvals_Performance_Report_1Q_2013.pdf</w:t>
      </w:r>
      <w:r>
        <w:t xml:space="preserve"> (</w:t>
      </w:r>
      <w:r w:rsidRPr="005D5139">
        <w:t>accessed 15 April</w:t>
      </w:r>
      <w:r>
        <w:t xml:space="preserve"> 2013)</w:t>
      </w:r>
      <w:r w:rsidRPr="005D5139">
        <w:t>.</w:t>
      </w:r>
    </w:p>
    <w:p w:rsidR="00E12F44" w:rsidRDefault="00E12F44" w:rsidP="00BA2A27">
      <w:pPr>
        <w:pStyle w:val="Reference"/>
      </w:pPr>
      <w:r>
        <w:t>—— </w:t>
      </w:r>
      <w:proofErr w:type="spellStart"/>
      <w:r>
        <w:t>2013b</w:t>
      </w:r>
      <w:proofErr w:type="spellEnd"/>
      <w:r>
        <w:t xml:space="preserve">, </w:t>
      </w:r>
      <w:r w:rsidR="00F96DF6">
        <w:t>‘</w:t>
      </w:r>
      <w:r w:rsidRPr="00F96DF6">
        <w:t>Key potential impacts of onshore and offshore petroleum operations</w:t>
      </w:r>
      <w:r w:rsidR="00F96DF6">
        <w:t>’</w:t>
      </w:r>
      <w:r w:rsidRPr="00E12F44">
        <w:t>, http://</w:t>
      </w:r>
      <w:proofErr w:type="spellStart"/>
      <w:r w:rsidRPr="00E12F44">
        <w:t>www.dmp.wa.gov.au</w:t>
      </w:r>
      <w:proofErr w:type="spellEnd"/>
      <w:r w:rsidRPr="00E12F44">
        <w:t>/documen</w:t>
      </w:r>
      <w:r w:rsidR="00F96DF6">
        <w:t>ts/</w:t>
      </w:r>
      <w:proofErr w:type="spellStart"/>
      <w:r w:rsidR="00F96DF6">
        <w:t>ENV-PEB-171.pdf</w:t>
      </w:r>
      <w:proofErr w:type="spellEnd"/>
      <w:r w:rsidR="00F96DF6">
        <w:t xml:space="preserve"> </w:t>
      </w:r>
      <w:r w:rsidR="00F96DF6">
        <w:br/>
        <w:t>(accessed 22 </w:t>
      </w:r>
      <w:r w:rsidRPr="00E12F44">
        <w:t>May 2013).</w:t>
      </w:r>
    </w:p>
    <w:p w:rsidR="00536464" w:rsidRDefault="00536464" w:rsidP="00F96DF6">
      <w:pPr>
        <w:pStyle w:val="Reference"/>
        <w:jc w:val="left"/>
      </w:pPr>
      <w:r w:rsidRPr="00F67AF0">
        <w:t xml:space="preserve">WA Liberals (The Western Australian Division of the Liberal Party) </w:t>
      </w:r>
      <w:proofErr w:type="spellStart"/>
      <w:r w:rsidRPr="00F67AF0">
        <w:t>nd</w:t>
      </w:r>
      <w:proofErr w:type="spellEnd"/>
      <w:r w:rsidRPr="00F67AF0">
        <w:t xml:space="preserve">, </w:t>
      </w:r>
      <w:r w:rsidR="00F96DF6">
        <w:t>‘</w:t>
      </w:r>
      <w:r w:rsidRPr="00F96DF6">
        <w:t>The Liberals’</w:t>
      </w:r>
      <w:r w:rsidR="00E23DAC" w:rsidRPr="00F96DF6">
        <w:t> </w:t>
      </w:r>
      <w:r w:rsidRPr="00F96DF6">
        <w:t>Mines</w:t>
      </w:r>
      <w:r w:rsidR="00E23DAC" w:rsidRPr="00F96DF6">
        <w:t> </w:t>
      </w:r>
      <w:r w:rsidRPr="00F96DF6">
        <w:t>and</w:t>
      </w:r>
      <w:r w:rsidR="00E23DAC" w:rsidRPr="00F96DF6">
        <w:t> </w:t>
      </w:r>
      <w:r w:rsidRPr="00F96DF6">
        <w:t>Petroleum</w:t>
      </w:r>
      <w:r w:rsidR="00E23DAC" w:rsidRPr="00F96DF6">
        <w:t> </w:t>
      </w:r>
      <w:r w:rsidRPr="00F96DF6">
        <w:t>Policy</w:t>
      </w:r>
      <w:r w:rsidR="00F96DF6">
        <w:t>’</w:t>
      </w:r>
      <w:r w:rsidRPr="00F67AF0">
        <w:t>, http://</w:t>
      </w:r>
      <w:proofErr w:type="spellStart"/>
      <w:r w:rsidRPr="00F67AF0">
        <w:t>www.wa.liberal.org.au</w:t>
      </w:r>
      <w:proofErr w:type="spellEnd"/>
      <w:r w:rsidRPr="00F67AF0">
        <w:t>/sites/</w:t>
      </w:r>
      <w:r w:rsidR="00F96DF6">
        <w:br/>
      </w:r>
      <w:proofErr w:type="spellStart"/>
      <w:r w:rsidRPr="00F67AF0">
        <w:t>www.wa.liberal.org.au</w:t>
      </w:r>
      <w:proofErr w:type="spellEnd"/>
      <w:r w:rsidRPr="00F67AF0">
        <w:t>/files/plans/</w:t>
      </w:r>
      <w:proofErr w:type="spellStart"/>
      <w:r w:rsidRPr="00F67AF0">
        <w:t>Mines.pdf</w:t>
      </w:r>
      <w:proofErr w:type="spellEnd"/>
      <w:r w:rsidRPr="00F67AF0">
        <w:t xml:space="preserve"> (accessed 18</w:t>
      </w:r>
      <w:r>
        <w:t> </w:t>
      </w:r>
      <w:r w:rsidRPr="00F67AF0">
        <w:t>April 2013).</w:t>
      </w:r>
    </w:p>
    <w:p w:rsidR="00536464" w:rsidRDefault="00536464" w:rsidP="00536464">
      <w:pPr>
        <w:pStyle w:val="Reference"/>
      </w:pPr>
      <w:proofErr w:type="spellStart"/>
      <w:r w:rsidRPr="00566137">
        <w:t>Weier</w:t>
      </w:r>
      <w:proofErr w:type="spellEnd"/>
      <w:r w:rsidRPr="00566137">
        <w:t xml:space="preserve">, A. and Loke, P. 2007, </w:t>
      </w:r>
      <w:r w:rsidRPr="00566137">
        <w:rPr>
          <w:i/>
        </w:rPr>
        <w:t>Precaution and the Precautionary Principle: two Australian case studies</w:t>
      </w:r>
      <w:r w:rsidRPr="00566137">
        <w:t>, Productivity Commission Staff Working Paper, Melbourne, September.</w:t>
      </w:r>
    </w:p>
    <w:p w:rsidR="00210DAF" w:rsidRDefault="00210DAF" w:rsidP="00210DAF">
      <w:pPr>
        <w:pStyle w:val="Reference"/>
      </w:pPr>
      <w:r>
        <w:lastRenderedPageBreak/>
        <w:t xml:space="preserve">Western Australian Farmers Federation 2011, </w:t>
      </w:r>
      <w:r w:rsidRPr="00B2199B">
        <w:rPr>
          <w:i/>
        </w:rPr>
        <w:t>Media Release</w:t>
      </w:r>
      <w:r>
        <w:t>, ‘Western Australian Farming Land Better Protected on Mining Issues’, 17 August.</w:t>
      </w:r>
    </w:p>
    <w:p w:rsidR="005A0E9C" w:rsidRPr="008D3E93" w:rsidRDefault="005A0E9C" w:rsidP="005A0E9C">
      <w:pPr>
        <w:pStyle w:val="Reference"/>
      </w:pPr>
      <w:r>
        <w:t xml:space="preserve">Whiting, T. and </w:t>
      </w:r>
      <w:proofErr w:type="spellStart"/>
      <w:r>
        <w:t>Schodde</w:t>
      </w:r>
      <w:proofErr w:type="spellEnd"/>
      <w:r>
        <w:t xml:space="preserve">, R. 2006, </w:t>
      </w:r>
      <w:r>
        <w:rPr>
          <w:i/>
        </w:rPr>
        <w:t>Why do brownfields exploration?</w:t>
      </w:r>
      <w:r>
        <w:t>, International Mine Management Conference, Melbourne, October 16</w:t>
      </w:r>
      <w:r>
        <w:noBreakHyphen/>
        <w:t>18.</w:t>
      </w:r>
    </w:p>
    <w:p w:rsidR="00944650" w:rsidRPr="00944650" w:rsidRDefault="00944650" w:rsidP="00944650">
      <w:pPr>
        <w:pStyle w:val="Reference"/>
      </w:pPr>
      <w:r w:rsidRPr="00944650">
        <w:t xml:space="preserve">Wilkinson, R. 2012, ‘Australia’s cash bidding proposal draws industry criticism’, </w:t>
      </w:r>
      <w:r w:rsidRPr="00944650">
        <w:rPr>
          <w:i/>
        </w:rPr>
        <w:t>Oil and Gas Journal</w:t>
      </w:r>
      <w:r w:rsidRPr="00944650">
        <w:t>, vol. 110, no. 12.</w:t>
      </w:r>
    </w:p>
    <w:p w:rsidR="00471475" w:rsidRPr="00471475" w:rsidRDefault="00471475" w:rsidP="00471475">
      <w:pPr>
        <w:pStyle w:val="Reference"/>
      </w:pPr>
      <w:r w:rsidRPr="00471475">
        <w:t xml:space="preserve">Williams, T. 2012, ‘Exploration and the listed resource sector’, </w:t>
      </w:r>
      <w:r w:rsidRPr="00471475">
        <w:rPr>
          <w:i/>
        </w:rPr>
        <w:t>RBA Bulletin</w:t>
      </w:r>
      <w:r w:rsidRPr="00471475">
        <w:t>, Reserve Bank of Australia, pp.</w:t>
      </w:r>
      <w:r w:rsidR="001A2CED">
        <w:t> </w:t>
      </w:r>
      <w:r w:rsidRPr="00471475">
        <w:t>37</w:t>
      </w:r>
      <w:r w:rsidR="001A2CED">
        <w:t>–</w:t>
      </w:r>
      <w:r w:rsidRPr="00471475">
        <w:t>42, September.</w:t>
      </w:r>
    </w:p>
    <w:p w:rsidR="005E2F63" w:rsidRDefault="005E2F63" w:rsidP="005E2F63">
      <w:pPr>
        <w:pStyle w:val="Reference"/>
      </w:pPr>
      <w:r w:rsidRPr="00471475">
        <w:t xml:space="preserve">Wilson, A. McMahon, M. and Cervantes, M. 2013, </w:t>
      </w:r>
      <w:r w:rsidRPr="00471475">
        <w:rPr>
          <w:i/>
        </w:rPr>
        <w:t>Survey of mining companies 2012/13</w:t>
      </w:r>
      <w:r w:rsidRPr="00471475">
        <w:t>, Fraser Institute, Vancouver, Canada</w:t>
      </w:r>
      <w:r w:rsidR="004204D3" w:rsidRPr="00471475">
        <w:t>.</w:t>
      </w:r>
    </w:p>
    <w:p w:rsidR="00210DAF" w:rsidRPr="007C6A2E" w:rsidRDefault="00210DAF" w:rsidP="00210DAF">
      <w:pPr>
        <w:pStyle w:val="Reference"/>
      </w:pPr>
      <w:r>
        <w:t xml:space="preserve">Woomera Prohibited Area Coordination Office 2012, </w:t>
      </w:r>
      <w:r w:rsidR="00F96DF6">
        <w:t>‘</w:t>
      </w:r>
      <w:r w:rsidRPr="00F96DF6">
        <w:t>Woomera Prohibited Area Exclusion Periods</w:t>
      </w:r>
      <w:r w:rsidR="00F96DF6">
        <w:t>’</w:t>
      </w:r>
      <w:r>
        <w:t xml:space="preserve">, </w:t>
      </w:r>
      <w:r w:rsidRPr="009562FD">
        <w:t>http://</w:t>
      </w:r>
      <w:proofErr w:type="spellStart"/>
      <w:r w:rsidRPr="009562FD">
        <w:t>www.defence.gov.au</w:t>
      </w:r>
      <w:proofErr w:type="spellEnd"/>
      <w:r w:rsidRPr="009562FD">
        <w:t>/woomera/</w:t>
      </w:r>
      <w:proofErr w:type="spellStart"/>
      <w:r w:rsidRPr="009562FD">
        <w:t>exclusionperiods.htm</w:t>
      </w:r>
      <w:proofErr w:type="spellEnd"/>
      <w:r>
        <w:t xml:space="preserve"> (accessed 27 March 2013).</w:t>
      </w:r>
    </w:p>
    <w:sectPr w:rsidR="00210DAF" w:rsidRPr="007C6A2E" w:rsidSect="00271AD4">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24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DF6" w:rsidRDefault="00F96DF6">
      <w:r>
        <w:separator/>
      </w:r>
    </w:p>
  </w:endnote>
  <w:endnote w:type="continuationSeparator" w:id="0">
    <w:p w:rsidR="00F96DF6" w:rsidRDefault="00F96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96DF6">
      <w:trPr>
        <w:trHeight w:hRule="exact" w:val="740"/>
      </w:trPr>
      <w:tc>
        <w:tcPr>
          <w:tcW w:w="510" w:type="dxa"/>
          <w:tcBorders>
            <w:top w:val="single" w:sz="6" w:space="0" w:color="auto"/>
          </w:tcBorders>
        </w:tcPr>
        <w:p w:rsidR="00F96DF6" w:rsidRDefault="00F96DF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7022D">
            <w:rPr>
              <w:rStyle w:val="PageNumber"/>
              <w:noProof/>
            </w:rPr>
            <w:t>262</w:t>
          </w:r>
          <w:r>
            <w:rPr>
              <w:rStyle w:val="PageNumber"/>
            </w:rPr>
            <w:fldChar w:fldCharType="end"/>
          </w:r>
        </w:p>
      </w:tc>
      <w:tc>
        <w:tcPr>
          <w:tcW w:w="1644" w:type="dxa"/>
          <w:tcBorders>
            <w:top w:val="single" w:sz="6" w:space="0" w:color="auto"/>
          </w:tcBorders>
        </w:tcPr>
        <w:p w:rsidR="00F96DF6" w:rsidRDefault="00567A6A" w:rsidP="0019293B">
          <w:pPr>
            <w:pStyle w:val="Footer"/>
          </w:pPr>
          <w:fldSimple w:instr=" SUBJECT  \* MERGEFORMAT ">
            <w:r w:rsidR="00271AD4">
              <w:t>Resource Exploration</w:t>
            </w:r>
          </w:fldSimple>
        </w:p>
      </w:tc>
      <w:tc>
        <w:tcPr>
          <w:tcW w:w="6634" w:type="dxa"/>
        </w:tcPr>
        <w:p w:rsidR="00F96DF6" w:rsidRDefault="00F96DF6" w:rsidP="0019293B">
          <w:pPr>
            <w:pStyle w:val="Footer"/>
          </w:pPr>
        </w:p>
      </w:tc>
    </w:tr>
  </w:tbl>
  <w:p w:rsidR="00F96DF6" w:rsidRDefault="00F96DF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96DF6">
      <w:trPr>
        <w:trHeight w:hRule="exact" w:val="740"/>
      </w:trPr>
      <w:tc>
        <w:tcPr>
          <w:tcW w:w="6634" w:type="dxa"/>
        </w:tcPr>
        <w:p w:rsidR="00F96DF6" w:rsidRDefault="00F96DF6">
          <w:pPr>
            <w:pStyle w:val="Footer"/>
            <w:ind w:right="360" w:firstLine="360"/>
          </w:pPr>
        </w:p>
      </w:tc>
      <w:tc>
        <w:tcPr>
          <w:tcW w:w="1644" w:type="dxa"/>
          <w:tcBorders>
            <w:top w:val="single" w:sz="6" w:space="0" w:color="auto"/>
          </w:tcBorders>
        </w:tcPr>
        <w:p w:rsidR="00F96DF6" w:rsidRDefault="00567A6A">
          <w:pPr>
            <w:pStyle w:val="Footer"/>
          </w:pPr>
          <w:fldSimple w:instr=" TITLE  \* MERGEFORMAT ">
            <w:r w:rsidR="00271AD4">
              <w:t>References</w:t>
            </w:r>
          </w:fldSimple>
        </w:p>
      </w:tc>
      <w:tc>
        <w:tcPr>
          <w:tcW w:w="510" w:type="dxa"/>
          <w:tcBorders>
            <w:top w:val="single" w:sz="6" w:space="0" w:color="auto"/>
          </w:tcBorders>
        </w:tcPr>
        <w:p w:rsidR="00F96DF6" w:rsidRDefault="00F96DF6">
          <w:pPr>
            <w:pStyle w:val="Footer"/>
            <w:jc w:val="right"/>
          </w:pPr>
          <w:r>
            <w:rPr>
              <w:rStyle w:val="PageNumber"/>
            </w:rPr>
            <w:fldChar w:fldCharType="begin"/>
          </w:r>
          <w:r>
            <w:rPr>
              <w:rStyle w:val="PageNumber"/>
            </w:rPr>
            <w:instrText xml:space="preserve">PAGE  </w:instrText>
          </w:r>
          <w:r>
            <w:rPr>
              <w:rStyle w:val="PageNumber"/>
            </w:rPr>
            <w:fldChar w:fldCharType="separate"/>
          </w:r>
          <w:r w:rsidR="00C7022D">
            <w:rPr>
              <w:rStyle w:val="PageNumber"/>
              <w:noProof/>
            </w:rPr>
            <w:t>247</w:t>
          </w:r>
          <w:r>
            <w:rPr>
              <w:rStyle w:val="PageNumber"/>
            </w:rPr>
            <w:fldChar w:fldCharType="end"/>
          </w:r>
        </w:p>
      </w:tc>
    </w:tr>
  </w:tbl>
  <w:p w:rsidR="00F96DF6" w:rsidRDefault="00F96DF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61B" w:rsidRDefault="008126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DF6" w:rsidRDefault="00F96DF6">
      <w:r>
        <w:separator/>
      </w:r>
    </w:p>
  </w:footnote>
  <w:footnote w:type="continuationSeparator" w:id="0">
    <w:p w:rsidR="00F96DF6" w:rsidRDefault="00F96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96DF6">
      <w:tc>
        <w:tcPr>
          <w:tcW w:w="2155" w:type="dxa"/>
          <w:tcBorders>
            <w:top w:val="single" w:sz="24" w:space="0" w:color="auto"/>
          </w:tcBorders>
        </w:tcPr>
        <w:p w:rsidR="00F96DF6" w:rsidRDefault="00C7022D" w:rsidP="0019293B">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07494" o:spid="_x0000_s59394"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F96DF6" w:rsidRDefault="0081261B" w:rsidP="0019293B">
          <w:pPr>
            <w:pStyle w:val="HeaderEven"/>
          </w:pPr>
          <w:r>
            <w:rPr>
              <w:color w:val="FF0000"/>
              <w:sz w:val="14"/>
              <w:szCs w:val="14"/>
            </w:rPr>
            <w:t>draft report: For final outcomes of this project refer to the inquiry report.</w:t>
          </w:r>
          <w:bookmarkStart w:id="3" w:name="_GoBack"/>
          <w:bookmarkEnd w:id="3"/>
        </w:p>
      </w:tc>
    </w:tr>
  </w:tbl>
  <w:p w:rsidR="00F96DF6" w:rsidRDefault="00F96DF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96DF6">
      <w:tc>
        <w:tcPr>
          <w:tcW w:w="6634" w:type="dxa"/>
          <w:tcBorders>
            <w:top w:val="single" w:sz="6" w:space="0" w:color="auto"/>
          </w:tcBorders>
        </w:tcPr>
        <w:p w:rsidR="00F96DF6" w:rsidRDefault="00C7022D" w:rsidP="00E669E2">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07495" o:spid="_x0000_s59395"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r w:rsidR="0081261B">
            <w:rPr>
              <w:color w:val="FF0000"/>
              <w:sz w:val="14"/>
              <w:szCs w:val="14"/>
            </w:rPr>
            <w:t>draft report: For final outcomes of this project refer to the inquiry report.</w:t>
          </w:r>
        </w:p>
      </w:tc>
      <w:tc>
        <w:tcPr>
          <w:tcW w:w="2155" w:type="dxa"/>
          <w:tcBorders>
            <w:top w:val="single" w:sz="24" w:space="0" w:color="auto"/>
          </w:tcBorders>
        </w:tcPr>
        <w:p w:rsidR="00F96DF6" w:rsidRDefault="00F96DF6" w:rsidP="00E669E2">
          <w:pPr>
            <w:pStyle w:val="HeaderOdd"/>
          </w:pPr>
        </w:p>
      </w:tc>
    </w:tr>
  </w:tbl>
  <w:p w:rsidR="00F96DF6" w:rsidRDefault="00F96DF6"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61B" w:rsidRDefault="00C702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07493" o:spid="_x0000_s59393"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6906022"/>
    <w:multiLevelType w:val="hybridMultilevel"/>
    <w:tmpl w:val="A2D67C9E"/>
    <w:lvl w:ilvl="0" w:tplc="44EEDCD6">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8"/>
  </w:num>
  <w:num w:numId="17">
    <w:abstractNumId w:val="17"/>
  </w:num>
  <w:num w:numId="18">
    <w:abstractNumId w:val="27"/>
  </w:num>
  <w:num w:numId="19">
    <w:abstractNumId w:val="13"/>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2"/>
  </w:num>
  <w:num w:numId="31">
    <w:abstractNumId w:val="45"/>
  </w:num>
  <w:num w:numId="32">
    <w:abstractNumId w:val="16"/>
  </w:num>
  <w:num w:numId="33">
    <w:abstractNumId w:val="8"/>
  </w:num>
  <w:num w:numId="34">
    <w:abstractNumId w:val="19"/>
  </w:num>
  <w:num w:numId="35">
    <w:abstractNumId w:val="41"/>
  </w:num>
  <w:num w:numId="36">
    <w:abstractNumId w:val="33"/>
  </w:num>
  <w:num w:numId="37">
    <w:abstractNumId w:val="14"/>
  </w:num>
  <w:num w:numId="38">
    <w:abstractNumId w:val="36"/>
  </w:num>
  <w:num w:numId="39">
    <w:abstractNumId w:val="15"/>
  </w:num>
  <w:num w:numId="40">
    <w:abstractNumId w:val="18"/>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3"/>
  </w:num>
  <w:num w:numId="47">
    <w:abstractNumId w:val="10"/>
  </w:num>
  <w:num w:numId="48">
    <w:abstractNumId w:val="31"/>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9396"/>
    <o:shapelayout v:ext="edit">
      <o:idmap v:ext="edit" data="5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ferences"/>
    <w:docVar w:name="ShortReportTitle" w:val="Resource Exploration"/>
  </w:docVars>
  <w:rsids>
    <w:rsidRoot w:val="00B86B58"/>
    <w:rsid w:val="00011C56"/>
    <w:rsid w:val="000227D5"/>
    <w:rsid w:val="000245AA"/>
    <w:rsid w:val="00025F1C"/>
    <w:rsid w:val="0003664B"/>
    <w:rsid w:val="0004111F"/>
    <w:rsid w:val="000478DA"/>
    <w:rsid w:val="000565B3"/>
    <w:rsid w:val="0007150B"/>
    <w:rsid w:val="00083F40"/>
    <w:rsid w:val="000938F5"/>
    <w:rsid w:val="0009608B"/>
    <w:rsid w:val="00096E55"/>
    <w:rsid w:val="000A2710"/>
    <w:rsid w:val="000B601B"/>
    <w:rsid w:val="000B7B75"/>
    <w:rsid w:val="000C0000"/>
    <w:rsid w:val="000C207E"/>
    <w:rsid w:val="000F0035"/>
    <w:rsid w:val="000F420B"/>
    <w:rsid w:val="00110116"/>
    <w:rsid w:val="0011151B"/>
    <w:rsid w:val="001128F9"/>
    <w:rsid w:val="00120072"/>
    <w:rsid w:val="00124F26"/>
    <w:rsid w:val="001254E6"/>
    <w:rsid w:val="00126EB8"/>
    <w:rsid w:val="00127352"/>
    <w:rsid w:val="001274D4"/>
    <w:rsid w:val="00131E0F"/>
    <w:rsid w:val="001363AA"/>
    <w:rsid w:val="00146372"/>
    <w:rsid w:val="0014742B"/>
    <w:rsid w:val="00156A09"/>
    <w:rsid w:val="00180598"/>
    <w:rsid w:val="00183E82"/>
    <w:rsid w:val="001878BB"/>
    <w:rsid w:val="00190AE8"/>
    <w:rsid w:val="00191AE0"/>
    <w:rsid w:val="0019293B"/>
    <w:rsid w:val="0019426B"/>
    <w:rsid w:val="001A2588"/>
    <w:rsid w:val="001A2CED"/>
    <w:rsid w:val="001C0865"/>
    <w:rsid w:val="001C3ABA"/>
    <w:rsid w:val="001E248A"/>
    <w:rsid w:val="001E75F2"/>
    <w:rsid w:val="001E7BE8"/>
    <w:rsid w:val="001F0248"/>
    <w:rsid w:val="001F3EB3"/>
    <w:rsid w:val="001F4F86"/>
    <w:rsid w:val="00202C2C"/>
    <w:rsid w:val="002053C3"/>
    <w:rsid w:val="00210DAF"/>
    <w:rsid w:val="00213505"/>
    <w:rsid w:val="002135AB"/>
    <w:rsid w:val="002144BE"/>
    <w:rsid w:val="00224EBA"/>
    <w:rsid w:val="00225B82"/>
    <w:rsid w:val="00242279"/>
    <w:rsid w:val="0024344C"/>
    <w:rsid w:val="00245C82"/>
    <w:rsid w:val="0026784F"/>
    <w:rsid w:val="00271AD4"/>
    <w:rsid w:val="00282CCC"/>
    <w:rsid w:val="00291B40"/>
    <w:rsid w:val="00292D35"/>
    <w:rsid w:val="002A2DE3"/>
    <w:rsid w:val="002B4008"/>
    <w:rsid w:val="002B58CD"/>
    <w:rsid w:val="002B5948"/>
    <w:rsid w:val="002B6594"/>
    <w:rsid w:val="002C0B1F"/>
    <w:rsid w:val="002D0E8E"/>
    <w:rsid w:val="002D6120"/>
    <w:rsid w:val="002D6BFE"/>
    <w:rsid w:val="00301189"/>
    <w:rsid w:val="0030543E"/>
    <w:rsid w:val="00307191"/>
    <w:rsid w:val="00311774"/>
    <w:rsid w:val="00323E09"/>
    <w:rsid w:val="00326733"/>
    <w:rsid w:val="00333932"/>
    <w:rsid w:val="00351699"/>
    <w:rsid w:val="003518AA"/>
    <w:rsid w:val="00352165"/>
    <w:rsid w:val="00353182"/>
    <w:rsid w:val="003565D9"/>
    <w:rsid w:val="003602E1"/>
    <w:rsid w:val="00361411"/>
    <w:rsid w:val="0037026F"/>
    <w:rsid w:val="00371240"/>
    <w:rsid w:val="00374731"/>
    <w:rsid w:val="00376E59"/>
    <w:rsid w:val="003919F9"/>
    <w:rsid w:val="00392257"/>
    <w:rsid w:val="003A1D56"/>
    <w:rsid w:val="003A328B"/>
    <w:rsid w:val="003B0B80"/>
    <w:rsid w:val="003C38B5"/>
    <w:rsid w:val="003C5D99"/>
    <w:rsid w:val="003D41FB"/>
    <w:rsid w:val="003E2F59"/>
    <w:rsid w:val="003E78C5"/>
    <w:rsid w:val="003F0789"/>
    <w:rsid w:val="00401882"/>
    <w:rsid w:val="00402BA7"/>
    <w:rsid w:val="0040500C"/>
    <w:rsid w:val="004100C8"/>
    <w:rsid w:val="00411DBD"/>
    <w:rsid w:val="00412ACE"/>
    <w:rsid w:val="004204D3"/>
    <w:rsid w:val="00431249"/>
    <w:rsid w:val="004324BF"/>
    <w:rsid w:val="00434C19"/>
    <w:rsid w:val="00450810"/>
    <w:rsid w:val="00461D26"/>
    <w:rsid w:val="00471475"/>
    <w:rsid w:val="00477144"/>
    <w:rsid w:val="00491380"/>
    <w:rsid w:val="00494396"/>
    <w:rsid w:val="0049459F"/>
    <w:rsid w:val="00496623"/>
    <w:rsid w:val="004A3898"/>
    <w:rsid w:val="004A38DD"/>
    <w:rsid w:val="004A5D0C"/>
    <w:rsid w:val="004B36C7"/>
    <w:rsid w:val="004B43AE"/>
    <w:rsid w:val="004B5354"/>
    <w:rsid w:val="004B662D"/>
    <w:rsid w:val="004C30ED"/>
    <w:rsid w:val="004C411D"/>
    <w:rsid w:val="004D5675"/>
    <w:rsid w:val="004F5F79"/>
    <w:rsid w:val="00507BA9"/>
    <w:rsid w:val="00523639"/>
    <w:rsid w:val="00531FE5"/>
    <w:rsid w:val="00536464"/>
    <w:rsid w:val="005402FA"/>
    <w:rsid w:val="00546C8B"/>
    <w:rsid w:val="00563154"/>
    <w:rsid w:val="00566137"/>
    <w:rsid w:val="00567A6A"/>
    <w:rsid w:val="00583C39"/>
    <w:rsid w:val="00587F28"/>
    <w:rsid w:val="005909CF"/>
    <w:rsid w:val="00591E71"/>
    <w:rsid w:val="005A0D41"/>
    <w:rsid w:val="005A0E9C"/>
    <w:rsid w:val="005B1599"/>
    <w:rsid w:val="005B1795"/>
    <w:rsid w:val="005C7407"/>
    <w:rsid w:val="005D3DB2"/>
    <w:rsid w:val="005D5139"/>
    <w:rsid w:val="005E2F63"/>
    <w:rsid w:val="005F3D9F"/>
    <w:rsid w:val="00607BF1"/>
    <w:rsid w:val="006246C1"/>
    <w:rsid w:val="00625E52"/>
    <w:rsid w:val="00630D4D"/>
    <w:rsid w:val="00632A74"/>
    <w:rsid w:val="0063465A"/>
    <w:rsid w:val="00643DE8"/>
    <w:rsid w:val="00677174"/>
    <w:rsid w:val="00682575"/>
    <w:rsid w:val="006870BC"/>
    <w:rsid w:val="006A3B1D"/>
    <w:rsid w:val="006A4655"/>
    <w:rsid w:val="006A4B71"/>
    <w:rsid w:val="006B2B3C"/>
    <w:rsid w:val="006B4FB4"/>
    <w:rsid w:val="006C1D81"/>
    <w:rsid w:val="006C2772"/>
    <w:rsid w:val="006C3735"/>
    <w:rsid w:val="006C39A7"/>
    <w:rsid w:val="006C7038"/>
    <w:rsid w:val="006E5BBC"/>
    <w:rsid w:val="006E73EF"/>
    <w:rsid w:val="006F4F67"/>
    <w:rsid w:val="006F5289"/>
    <w:rsid w:val="00714D4D"/>
    <w:rsid w:val="007514A7"/>
    <w:rsid w:val="00751A19"/>
    <w:rsid w:val="00756F45"/>
    <w:rsid w:val="00757F54"/>
    <w:rsid w:val="007604BB"/>
    <w:rsid w:val="00763B85"/>
    <w:rsid w:val="00765C32"/>
    <w:rsid w:val="00785232"/>
    <w:rsid w:val="007910C8"/>
    <w:rsid w:val="00792F7C"/>
    <w:rsid w:val="007A21EB"/>
    <w:rsid w:val="007B1A93"/>
    <w:rsid w:val="007C10BE"/>
    <w:rsid w:val="007C2B7D"/>
    <w:rsid w:val="007C306C"/>
    <w:rsid w:val="007C36C9"/>
    <w:rsid w:val="007D3DBA"/>
    <w:rsid w:val="007D6401"/>
    <w:rsid w:val="007E01E4"/>
    <w:rsid w:val="007E34C6"/>
    <w:rsid w:val="007F1D59"/>
    <w:rsid w:val="007F7107"/>
    <w:rsid w:val="00800D4C"/>
    <w:rsid w:val="0081030F"/>
    <w:rsid w:val="0081261B"/>
    <w:rsid w:val="0082087D"/>
    <w:rsid w:val="00832A94"/>
    <w:rsid w:val="00835771"/>
    <w:rsid w:val="0084223B"/>
    <w:rsid w:val="00842933"/>
    <w:rsid w:val="008515E6"/>
    <w:rsid w:val="00853E41"/>
    <w:rsid w:val="0086082C"/>
    <w:rsid w:val="00864ADC"/>
    <w:rsid w:val="00872487"/>
    <w:rsid w:val="00880153"/>
    <w:rsid w:val="00880F97"/>
    <w:rsid w:val="0088133A"/>
    <w:rsid w:val="0089285E"/>
    <w:rsid w:val="0089436C"/>
    <w:rsid w:val="008A5265"/>
    <w:rsid w:val="008C1B6E"/>
    <w:rsid w:val="008C5C30"/>
    <w:rsid w:val="008D365C"/>
    <w:rsid w:val="008E5390"/>
    <w:rsid w:val="00900368"/>
    <w:rsid w:val="009030BF"/>
    <w:rsid w:val="0091032F"/>
    <w:rsid w:val="0091046D"/>
    <w:rsid w:val="00914368"/>
    <w:rsid w:val="00931076"/>
    <w:rsid w:val="009325A5"/>
    <w:rsid w:val="009345D9"/>
    <w:rsid w:val="00934B15"/>
    <w:rsid w:val="00935F14"/>
    <w:rsid w:val="00940C87"/>
    <w:rsid w:val="00942B62"/>
    <w:rsid w:val="00944650"/>
    <w:rsid w:val="00950A53"/>
    <w:rsid w:val="0095323B"/>
    <w:rsid w:val="00956A0C"/>
    <w:rsid w:val="00956BD9"/>
    <w:rsid w:val="00962489"/>
    <w:rsid w:val="00964BFF"/>
    <w:rsid w:val="00974E67"/>
    <w:rsid w:val="00990C2C"/>
    <w:rsid w:val="009B631E"/>
    <w:rsid w:val="009D095E"/>
    <w:rsid w:val="009D7373"/>
    <w:rsid w:val="009E1844"/>
    <w:rsid w:val="009F0466"/>
    <w:rsid w:val="009F0D1B"/>
    <w:rsid w:val="009F696D"/>
    <w:rsid w:val="009F6BC6"/>
    <w:rsid w:val="00A04866"/>
    <w:rsid w:val="00A17328"/>
    <w:rsid w:val="00A23A20"/>
    <w:rsid w:val="00A268B9"/>
    <w:rsid w:val="00A2703A"/>
    <w:rsid w:val="00A30CA2"/>
    <w:rsid w:val="00A3217D"/>
    <w:rsid w:val="00A33DFF"/>
    <w:rsid w:val="00A35115"/>
    <w:rsid w:val="00A36D9A"/>
    <w:rsid w:val="00A3719F"/>
    <w:rsid w:val="00A477AC"/>
    <w:rsid w:val="00A5520F"/>
    <w:rsid w:val="00A554AB"/>
    <w:rsid w:val="00A57062"/>
    <w:rsid w:val="00A746D5"/>
    <w:rsid w:val="00A75BE0"/>
    <w:rsid w:val="00A8621F"/>
    <w:rsid w:val="00A92B53"/>
    <w:rsid w:val="00A9429C"/>
    <w:rsid w:val="00A94FA6"/>
    <w:rsid w:val="00AA1210"/>
    <w:rsid w:val="00AA49A0"/>
    <w:rsid w:val="00AA6710"/>
    <w:rsid w:val="00AB0681"/>
    <w:rsid w:val="00AD520B"/>
    <w:rsid w:val="00B0049F"/>
    <w:rsid w:val="00B12977"/>
    <w:rsid w:val="00B3513F"/>
    <w:rsid w:val="00B36EAF"/>
    <w:rsid w:val="00B425C3"/>
    <w:rsid w:val="00B440AD"/>
    <w:rsid w:val="00B479BB"/>
    <w:rsid w:val="00B53E7E"/>
    <w:rsid w:val="00B6342E"/>
    <w:rsid w:val="00B7113F"/>
    <w:rsid w:val="00B84555"/>
    <w:rsid w:val="00B86B58"/>
    <w:rsid w:val="00BA2A27"/>
    <w:rsid w:val="00BA73B6"/>
    <w:rsid w:val="00BA7E27"/>
    <w:rsid w:val="00BB2603"/>
    <w:rsid w:val="00BB4FCD"/>
    <w:rsid w:val="00BC04E9"/>
    <w:rsid w:val="00BD13EA"/>
    <w:rsid w:val="00BD6D87"/>
    <w:rsid w:val="00BE3808"/>
    <w:rsid w:val="00C062E9"/>
    <w:rsid w:val="00C07B64"/>
    <w:rsid w:val="00C13721"/>
    <w:rsid w:val="00C13D37"/>
    <w:rsid w:val="00C14FE4"/>
    <w:rsid w:val="00C27172"/>
    <w:rsid w:val="00C3066D"/>
    <w:rsid w:val="00C47917"/>
    <w:rsid w:val="00C50A08"/>
    <w:rsid w:val="00C52416"/>
    <w:rsid w:val="00C543F4"/>
    <w:rsid w:val="00C61148"/>
    <w:rsid w:val="00C6291C"/>
    <w:rsid w:val="00C633CB"/>
    <w:rsid w:val="00C6427C"/>
    <w:rsid w:val="00C7022D"/>
    <w:rsid w:val="00C72C9F"/>
    <w:rsid w:val="00C736B7"/>
    <w:rsid w:val="00C81D4A"/>
    <w:rsid w:val="00C8762C"/>
    <w:rsid w:val="00CA00F9"/>
    <w:rsid w:val="00CA2961"/>
    <w:rsid w:val="00CA5420"/>
    <w:rsid w:val="00CB18CA"/>
    <w:rsid w:val="00CB50D7"/>
    <w:rsid w:val="00CB7177"/>
    <w:rsid w:val="00CC1998"/>
    <w:rsid w:val="00CC4946"/>
    <w:rsid w:val="00CD28E1"/>
    <w:rsid w:val="00CF49B8"/>
    <w:rsid w:val="00D16DC2"/>
    <w:rsid w:val="00D270A4"/>
    <w:rsid w:val="00D31882"/>
    <w:rsid w:val="00D31FE9"/>
    <w:rsid w:val="00D34E1B"/>
    <w:rsid w:val="00D35471"/>
    <w:rsid w:val="00D35986"/>
    <w:rsid w:val="00D376BA"/>
    <w:rsid w:val="00D4448B"/>
    <w:rsid w:val="00D45634"/>
    <w:rsid w:val="00D5568A"/>
    <w:rsid w:val="00D63D73"/>
    <w:rsid w:val="00D64452"/>
    <w:rsid w:val="00D66E1E"/>
    <w:rsid w:val="00D75722"/>
    <w:rsid w:val="00D7605F"/>
    <w:rsid w:val="00D80CF5"/>
    <w:rsid w:val="00D86A69"/>
    <w:rsid w:val="00D97790"/>
    <w:rsid w:val="00DA5BBA"/>
    <w:rsid w:val="00DB26D2"/>
    <w:rsid w:val="00DB67C9"/>
    <w:rsid w:val="00DB7910"/>
    <w:rsid w:val="00DC0C95"/>
    <w:rsid w:val="00DC4782"/>
    <w:rsid w:val="00DC6914"/>
    <w:rsid w:val="00DD4BFB"/>
    <w:rsid w:val="00DD6580"/>
    <w:rsid w:val="00DE52AF"/>
    <w:rsid w:val="00DF2A8A"/>
    <w:rsid w:val="00E0455C"/>
    <w:rsid w:val="00E12F44"/>
    <w:rsid w:val="00E135E6"/>
    <w:rsid w:val="00E17C72"/>
    <w:rsid w:val="00E21FC6"/>
    <w:rsid w:val="00E23DAC"/>
    <w:rsid w:val="00E25905"/>
    <w:rsid w:val="00E31407"/>
    <w:rsid w:val="00E431A9"/>
    <w:rsid w:val="00E47F5E"/>
    <w:rsid w:val="00E669E2"/>
    <w:rsid w:val="00E76135"/>
    <w:rsid w:val="00E82F4F"/>
    <w:rsid w:val="00E83E29"/>
    <w:rsid w:val="00E84CD0"/>
    <w:rsid w:val="00E85670"/>
    <w:rsid w:val="00E90EA0"/>
    <w:rsid w:val="00EC2844"/>
    <w:rsid w:val="00EC2AE8"/>
    <w:rsid w:val="00EC5500"/>
    <w:rsid w:val="00ED18F8"/>
    <w:rsid w:val="00ED3DF5"/>
    <w:rsid w:val="00ED588B"/>
    <w:rsid w:val="00EF6C6C"/>
    <w:rsid w:val="00F00951"/>
    <w:rsid w:val="00F056FC"/>
    <w:rsid w:val="00F10476"/>
    <w:rsid w:val="00F135D8"/>
    <w:rsid w:val="00F15CC9"/>
    <w:rsid w:val="00F31299"/>
    <w:rsid w:val="00F3534A"/>
    <w:rsid w:val="00F51609"/>
    <w:rsid w:val="00F61842"/>
    <w:rsid w:val="00F653AC"/>
    <w:rsid w:val="00F67AF0"/>
    <w:rsid w:val="00F710FA"/>
    <w:rsid w:val="00F81006"/>
    <w:rsid w:val="00F84F6D"/>
    <w:rsid w:val="00F85325"/>
    <w:rsid w:val="00F9556C"/>
    <w:rsid w:val="00F96DF6"/>
    <w:rsid w:val="00FA308F"/>
    <w:rsid w:val="00FB4059"/>
    <w:rsid w:val="00FD1D2A"/>
    <w:rsid w:val="00FD22B1"/>
    <w:rsid w:val="00FD2768"/>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Body Text Char1"/>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853E41"/>
    <w:rPr>
      <w:color w:val="0000FF" w:themeColor="hyperlink"/>
      <w:u w:val="single"/>
    </w:rPr>
  </w:style>
  <w:style w:type="paragraph" w:styleId="CommentSubject">
    <w:name w:val="annotation subject"/>
    <w:basedOn w:val="CommentText"/>
    <w:next w:val="CommentText"/>
    <w:link w:val="CommentSubjectChar"/>
    <w:rsid w:val="00CA542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A5420"/>
    <w:rPr>
      <w:szCs w:val="24"/>
    </w:rPr>
  </w:style>
  <w:style w:type="character" w:customStyle="1" w:styleId="CommentSubjectChar">
    <w:name w:val="Comment Subject Char"/>
    <w:basedOn w:val="CommentTextChar"/>
    <w:link w:val="CommentSubject"/>
    <w:rsid w:val="00CA5420"/>
    <w:rPr>
      <w:b/>
      <w:bCs/>
      <w:szCs w:val="24"/>
    </w:rPr>
  </w:style>
  <w:style w:type="character" w:customStyle="1" w:styleId="ReferenceChar">
    <w:name w:val="Reference Char"/>
    <w:basedOn w:val="DefaultParagraphFont"/>
    <w:link w:val="Reference"/>
    <w:locked/>
    <w:rsid w:val="00546C8B"/>
    <w:rPr>
      <w:sz w:val="26"/>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
    <w:basedOn w:val="DefaultParagraphFont"/>
    <w:link w:val="BodyText"/>
    <w:locked/>
    <w:rsid w:val="00546C8B"/>
    <w:rPr>
      <w:sz w:val="26"/>
    </w:rPr>
  </w:style>
  <w:style w:type="character" w:customStyle="1" w:styleId="createdate">
    <w:name w:val="createdate"/>
    <w:basedOn w:val="DefaultParagraphFont"/>
    <w:rsid w:val="008724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Body Text Char1"/>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853E41"/>
    <w:rPr>
      <w:color w:val="0000FF" w:themeColor="hyperlink"/>
      <w:u w:val="single"/>
    </w:rPr>
  </w:style>
  <w:style w:type="paragraph" w:styleId="CommentSubject">
    <w:name w:val="annotation subject"/>
    <w:basedOn w:val="CommentText"/>
    <w:next w:val="CommentText"/>
    <w:link w:val="CommentSubjectChar"/>
    <w:rsid w:val="00CA542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A5420"/>
    <w:rPr>
      <w:szCs w:val="24"/>
    </w:rPr>
  </w:style>
  <w:style w:type="character" w:customStyle="1" w:styleId="CommentSubjectChar">
    <w:name w:val="Comment Subject Char"/>
    <w:basedOn w:val="CommentTextChar"/>
    <w:link w:val="CommentSubject"/>
    <w:rsid w:val="00CA5420"/>
    <w:rPr>
      <w:b/>
      <w:bCs/>
      <w:szCs w:val="24"/>
    </w:rPr>
  </w:style>
  <w:style w:type="character" w:customStyle="1" w:styleId="ReferenceChar">
    <w:name w:val="Reference Char"/>
    <w:basedOn w:val="DefaultParagraphFont"/>
    <w:link w:val="Reference"/>
    <w:locked/>
    <w:rsid w:val="00546C8B"/>
    <w:rPr>
      <w:sz w:val="26"/>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
    <w:basedOn w:val="DefaultParagraphFont"/>
    <w:link w:val="BodyText"/>
    <w:locked/>
    <w:rsid w:val="00546C8B"/>
    <w:rPr>
      <w:sz w:val="26"/>
    </w:rPr>
  </w:style>
  <w:style w:type="character" w:customStyle="1" w:styleId="createdate">
    <w:name w:val="createdate"/>
    <w:basedOn w:val="DefaultParagraphFont"/>
    <w:rsid w:val="00872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878999">
      <w:bodyDiv w:val="1"/>
      <w:marLeft w:val="0"/>
      <w:marRight w:val="0"/>
      <w:marTop w:val="0"/>
      <w:marBottom w:val="0"/>
      <w:divBdr>
        <w:top w:val="none" w:sz="0" w:space="0" w:color="auto"/>
        <w:left w:val="none" w:sz="0" w:space="0" w:color="auto"/>
        <w:bottom w:val="none" w:sz="0" w:space="0" w:color="auto"/>
        <w:right w:val="none" w:sz="0" w:space="0" w:color="auto"/>
      </w:divBdr>
      <w:divsChild>
        <w:div w:id="1556426733">
          <w:marLeft w:val="0"/>
          <w:marRight w:val="0"/>
          <w:marTop w:val="0"/>
          <w:marBottom w:val="0"/>
          <w:divBdr>
            <w:top w:val="none" w:sz="0" w:space="0" w:color="auto"/>
            <w:left w:val="none" w:sz="0" w:space="0" w:color="auto"/>
            <w:bottom w:val="none" w:sz="0" w:space="0" w:color="auto"/>
            <w:right w:val="none" w:sz="0" w:space="0" w:color="auto"/>
          </w:divBdr>
          <w:divsChild>
            <w:div w:id="100593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73307">
      <w:bodyDiv w:val="1"/>
      <w:marLeft w:val="0"/>
      <w:marRight w:val="0"/>
      <w:marTop w:val="0"/>
      <w:marBottom w:val="0"/>
      <w:divBdr>
        <w:top w:val="none" w:sz="0" w:space="0" w:color="auto"/>
        <w:left w:val="none" w:sz="0" w:space="0" w:color="auto"/>
        <w:bottom w:val="none" w:sz="0" w:space="0" w:color="auto"/>
        <w:right w:val="none" w:sz="0" w:space="0" w:color="auto"/>
      </w:divBdr>
      <w:divsChild>
        <w:div w:id="1883394233">
          <w:marLeft w:val="0"/>
          <w:marRight w:val="0"/>
          <w:marTop w:val="0"/>
          <w:marBottom w:val="0"/>
          <w:divBdr>
            <w:top w:val="none" w:sz="0" w:space="0" w:color="auto"/>
            <w:left w:val="none" w:sz="0" w:space="0" w:color="auto"/>
            <w:bottom w:val="none" w:sz="0" w:space="0" w:color="auto"/>
            <w:right w:val="none" w:sz="0" w:space="0" w:color="auto"/>
          </w:divBdr>
          <w:divsChild>
            <w:div w:id="61540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0DBB6-EE04-4BEB-A1F0-8F8A9F70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17</Pages>
  <Words>3917</Words>
  <Characters>30665</Characters>
  <Application>Microsoft Office Word</Application>
  <DocSecurity>0</DocSecurity>
  <Lines>255</Lines>
  <Paragraphs>69</Paragraphs>
  <ScaleCrop>false</ScaleCrop>
  <HeadingPairs>
    <vt:vector size="2" baseType="variant">
      <vt:variant>
        <vt:lpstr>Title</vt:lpstr>
      </vt:variant>
      <vt:variant>
        <vt:i4>1</vt:i4>
      </vt:variant>
    </vt:vector>
  </HeadingPairs>
  <TitlesOfParts>
    <vt:vector size="1" baseType="lpstr">
      <vt:lpstr>References</vt:lpstr>
    </vt:vector>
  </TitlesOfParts>
  <Company>Productivity Commission</Company>
  <LinksUpToDate>false</LinksUpToDate>
  <CharactersWithSpaces>34513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dc:title>
  <dc:subject>Resource Exploration</dc:subject>
  <dc:creator>Productivity Commission</dc:creator>
  <dc:description>.</dc:description>
  <cp:lastModifiedBy>Productivity Commission</cp:lastModifiedBy>
  <cp:revision>6</cp:revision>
  <cp:lastPrinted>2013-05-22T06:02:00Z</cp:lastPrinted>
  <dcterms:created xsi:type="dcterms:W3CDTF">2013-06-05T01:02:00Z</dcterms:created>
  <dcterms:modified xsi:type="dcterms:W3CDTF">2015-05-08T02:23:00Z</dcterms:modified>
</cp:coreProperties>
</file>