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046421" w:rsidP="00CD5E6B">
      <w:pPr>
        <w:pStyle w:val="BodyText"/>
        <w:rPr>
          <w:b/>
          <w:szCs w:val="26"/>
        </w:rPr>
      </w:pPr>
      <w:bookmarkStart w:id="0" w:name="_GoBack"/>
      <w:bookmarkEnd w:id="0"/>
      <w:r>
        <w:rPr>
          <w:noProof/>
          <w:lang w:eastAsia="en-AU"/>
        </w:rPr>
        <w:drawing>
          <wp:anchor distT="0" distB="0" distL="114300" distR="114300" simplePos="0" relativeHeight="251659264" behindDoc="0" locked="0" layoutInCell="1" allowOverlap="1" wp14:anchorId="048AD09C" wp14:editId="5C71AC3D">
            <wp:simplePos x="0" y="0"/>
            <wp:positionH relativeFrom="page">
              <wp:posOffset>0</wp:posOffset>
            </wp:positionH>
            <wp:positionV relativeFrom="page">
              <wp:posOffset>871855</wp:posOffset>
            </wp:positionV>
            <wp:extent cx="7559675" cy="9971405"/>
            <wp:effectExtent l="0" t="0" r="3175" b="0"/>
            <wp:wrapSquare wrapText="bothSides"/>
            <wp:docPr id="1" name="Picture 1" descr="Cover image for the Australian Government Productivity Commission draft report titled 'Tasmanian Shipping and Freight'. Published January 2014.&#10;This is a draft report&#10;prepared for further public consultation and input.&#10;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manian-freight-draft-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9675" cy="9971405"/>
                    </a:xfrm>
                    <a:prstGeom prst="rect">
                      <a:avLst/>
                    </a:prstGeom>
                  </pic:spPr>
                </pic:pic>
              </a:graphicData>
            </a:graphic>
            <wp14:sizeRelH relativeFrom="margin">
              <wp14:pctWidth>0</wp14:pctWidth>
            </wp14:sizeRelH>
            <wp14:sizeRelV relativeFrom="margin">
              <wp14:pctHeight>0</wp14:pctHeight>
            </wp14:sizeRelV>
          </wp:anchor>
        </w:drawing>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99388E" w:rsidRPr="001568BB" w:rsidRDefault="0099388E" w:rsidP="0099388E">
      <w:pPr>
        <w:pStyle w:val="BodyText"/>
        <w:spacing w:before="160" w:after="120" w:line="240" w:lineRule="auto"/>
        <w:rPr>
          <w:sz w:val="24"/>
          <w:szCs w:val="24"/>
        </w:rPr>
      </w:pPr>
      <w:bookmarkStart w:id="2" w:name="JEL"/>
      <w:bookmarkEnd w:id="2"/>
      <w:r>
        <w:rPr>
          <w:sz w:val="24"/>
          <w:szCs w:val="24"/>
        </w:rPr>
        <w:t xml:space="preserve">Productivity Commission 2014, </w:t>
      </w:r>
      <w:r>
        <w:rPr>
          <w:i/>
          <w:sz w:val="24"/>
          <w:szCs w:val="24"/>
        </w:rPr>
        <w:t>Tasmanian Shipping and Freight</w:t>
      </w:r>
      <w:r>
        <w:rPr>
          <w:sz w:val="24"/>
          <w:szCs w:val="24"/>
        </w:rPr>
        <w:t>, Draft Inquiry Report, Canberra.</w:t>
      </w:r>
    </w:p>
    <w:p w:rsidR="003E7802" w:rsidRPr="00551FB8" w:rsidRDefault="003E7802" w:rsidP="003E7802">
      <w:pPr>
        <w:pStyle w:val="BodyText"/>
        <w:spacing w:before="160" w:after="120" w:line="240" w:lineRule="auto"/>
        <w:rPr>
          <w:sz w:val="24"/>
          <w:szCs w:val="24"/>
        </w:rPr>
      </w:pP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8" w:right="1304" w:bottom="567" w:left="1814" w:header="1701" w:footer="567" w:gutter="0"/>
          <w:pgNumType w:fmt="lowerRoman" w:start="1"/>
          <w:cols w:space="720"/>
          <w:titlePg/>
        </w:sectPr>
      </w:pPr>
      <w:bookmarkStart w:id="3" w:name="cov"/>
      <w:bookmarkEnd w:id="3"/>
    </w:p>
    <w:p w:rsidR="0099388E" w:rsidRDefault="0099388E">
      <w:pPr>
        <w:pStyle w:val="Heading1"/>
      </w:pPr>
      <w:bookmarkStart w:id="4" w:name="_Toc378233157"/>
      <w:r>
        <w:lastRenderedPageBreak/>
        <w:t>Opportunity for further comment</w:t>
      </w:r>
      <w:bookmarkEnd w:id="4"/>
    </w:p>
    <w:p w:rsidR="0099388E" w:rsidRDefault="0099388E" w:rsidP="0099388E">
      <w:pPr>
        <w:pStyle w:val="BodyText"/>
      </w:pPr>
      <w:r>
        <w:t xml:space="preserve">You are invited to examine this draft and comment on it by written submission to the Productivity Commission by Friday 7 February 2014 and/or by attending a public hearing. </w:t>
      </w:r>
    </w:p>
    <w:p w:rsidR="0099388E" w:rsidRDefault="0099388E" w:rsidP="0099388E">
      <w:pPr>
        <w:pStyle w:val="BodyText"/>
      </w:pPr>
      <w:r>
        <w:t>The final report will be prepared after submissions have been received and will be forwarded to the Australian Government in March 2014.</w:t>
      </w:r>
    </w:p>
    <w:p w:rsidR="0099388E" w:rsidRPr="007151C7" w:rsidRDefault="0099388E" w:rsidP="0099388E">
      <w:pPr>
        <w:pStyle w:val="BodyText"/>
        <w:spacing w:before="560"/>
        <w:rPr>
          <w:rFonts w:ascii="Arial" w:hAnsi="Arial" w:cs="Arial"/>
          <w:b/>
        </w:rPr>
      </w:pPr>
      <w:r w:rsidRPr="00B146AA">
        <w:rPr>
          <w:rFonts w:ascii="Arial" w:hAnsi="Arial" w:cs="Arial"/>
          <w:b/>
        </w:rPr>
        <w:t>Public hearing date</w:t>
      </w:r>
      <w:r>
        <w:rPr>
          <w:rFonts w:ascii="Arial" w:hAnsi="Arial" w:cs="Arial"/>
          <w:b/>
        </w:rPr>
        <w:t>s</w:t>
      </w:r>
      <w:r w:rsidRPr="00B146AA">
        <w:rPr>
          <w:rFonts w:ascii="Arial" w:hAnsi="Arial" w:cs="Arial"/>
          <w:b/>
        </w:rPr>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3369"/>
        <w:gridCol w:w="3776"/>
      </w:tblGrid>
      <w:tr w:rsidR="0099388E" w:rsidTr="00FE4BBF">
        <w:tc>
          <w:tcPr>
            <w:tcW w:w="1701" w:type="dxa"/>
          </w:tcPr>
          <w:p w:rsidR="0099388E" w:rsidRPr="00B146AA" w:rsidRDefault="0099388E" w:rsidP="00FE4BBF">
            <w:pPr>
              <w:pStyle w:val="BodyText"/>
              <w:rPr>
                <w:b/>
                <w:sz w:val="24"/>
                <w:szCs w:val="24"/>
              </w:rPr>
            </w:pPr>
            <w:r w:rsidRPr="00B146AA">
              <w:rPr>
                <w:b/>
                <w:sz w:val="24"/>
                <w:szCs w:val="24"/>
              </w:rPr>
              <w:t>Location</w:t>
            </w:r>
          </w:p>
        </w:tc>
        <w:tc>
          <w:tcPr>
            <w:tcW w:w="3369" w:type="dxa"/>
          </w:tcPr>
          <w:p w:rsidR="0099388E" w:rsidRPr="00B146AA" w:rsidRDefault="0099388E" w:rsidP="00FE4BBF">
            <w:pPr>
              <w:pStyle w:val="BodyText"/>
              <w:rPr>
                <w:b/>
                <w:sz w:val="24"/>
                <w:szCs w:val="24"/>
              </w:rPr>
            </w:pPr>
            <w:r w:rsidRPr="00B146AA">
              <w:rPr>
                <w:b/>
                <w:sz w:val="24"/>
                <w:szCs w:val="24"/>
              </w:rPr>
              <w:t>Date</w:t>
            </w:r>
          </w:p>
        </w:tc>
        <w:tc>
          <w:tcPr>
            <w:tcW w:w="3776" w:type="dxa"/>
          </w:tcPr>
          <w:p w:rsidR="0099388E" w:rsidRPr="00B146AA" w:rsidRDefault="0099388E" w:rsidP="00FE4BBF">
            <w:pPr>
              <w:pStyle w:val="BodyText"/>
              <w:rPr>
                <w:b/>
                <w:sz w:val="24"/>
                <w:szCs w:val="24"/>
              </w:rPr>
            </w:pPr>
            <w:r w:rsidRPr="00B146AA">
              <w:rPr>
                <w:b/>
                <w:sz w:val="24"/>
                <w:szCs w:val="24"/>
              </w:rPr>
              <w:t>Venue</w:t>
            </w:r>
          </w:p>
        </w:tc>
      </w:tr>
      <w:tr w:rsidR="0099388E" w:rsidTr="00FE4BBF">
        <w:tc>
          <w:tcPr>
            <w:tcW w:w="1701" w:type="dxa"/>
          </w:tcPr>
          <w:p w:rsidR="0099388E" w:rsidRDefault="0099388E" w:rsidP="00FE4BBF">
            <w:pPr>
              <w:pStyle w:val="BodyText"/>
              <w:spacing w:before="120" w:line="280" w:lineRule="exact"/>
            </w:pPr>
            <w:r>
              <w:t>Melbourne</w:t>
            </w:r>
          </w:p>
        </w:tc>
        <w:tc>
          <w:tcPr>
            <w:tcW w:w="3369" w:type="dxa"/>
          </w:tcPr>
          <w:p w:rsidR="0099388E" w:rsidRDefault="0099388E" w:rsidP="00FE4BBF">
            <w:pPr>
              <w:pStyle w:val="BodyText"/>
              <w:spacing w:before="120" w:line="280" w:lineRule="exact"/>
            </w:pPr>
            <w:r>
              <w:t>Monday 3 February 2014</w:t>
            </w:r>
          </w:p>
        </w:tc>
        <w:tc>
          <w:tcPr>
            <w:tcW w:w="3776" w:type="dxa"/>
          </w:tcPr>
          <w:p w:rsidR="0099388E" w:rsidRDefault="0099388E" w:rsidP="00FE4BBF">
            <w:pPr>
              <w:pStyle w:val="BodyText"/>
              <w:spacing w:before="120" w:line="280" w:lineRule="exact"/>
            </w:pPr>
            <w:r>
              <w:t>Productivity Commission</w:t>
            </w:r>
          </w:p>
          <w:p w:rsidR="0099388E" w:rsidRDefault="0099388E" w:rsidP="00FE4BBF">
            <w:pPr>
              <w:pStyle w:val="BodyText"/>
              <w:spacing w:before="120" w:line="280" w:lineRule="exact"/>
            </w:pPr>
            <w:r>
              <w:t>Level 12</w:t>
            </w:r>
          </w:p>
          <w:p w:rsidR="0099388E" w:rsidRDefault="0099388E" w:rsidP="00FE4BBF">
            <w:pPr>
              <w:pStyle w:val="BodyText"/>
              <w:spacing w:before="120" w:line="280" w:lineRule="exact"/>
            </w:pPr>
            <w:r>
              <w:t>530 Collins Street</w:t>
            </w:r>
          </w:p>
        </w:tc>
      </w:tr>
      <w:tr w:rsidR="0099388E" w:rsidTr="00FE4BBF">
        <w:tc>
          <w:tcPr>
            <w:tcW w:w="1701" w:type="dxa"/>
          </w:tcPr>
          <w:p w:rsidR="0099388E" w:rsidRDefault="0099388E" w:rsidP="00FE4BBF">
            <w:pPr>
              <w:pStyle w:val="BodyText"/>
              <w:spacing w:before="120" w:line="280" w:lineRule="exact"/>
            </w:pPr>
            <w:r>
              <w:t>Hobart</w:t>
            </w:r>
          </w:p>
        </w:tc>
        <w:tc>
          <w:tcPr>
            <w:tcW w:w="3369" w:type="dxa"/>
          </w:tcPr>
          <w:p w:rsidR="0099388E" w:rsidRDefault="0099388E" w:rsidP="00FE4BBF">
            <w:pPr>
              <w:pStyle w:val="BodyText"/>
              <w:spacing w:before="120" w:line="280" w:lineRule="exact"/>
            </w:pPr>
            <w:r>
              <w:t>Tuesday 4 February 2014</w:t>
            </w:r>
          </w:p>
          <w:p w:rsidR="0099388E" w:rsidRDefault="0099388E" w:rsidP="00FE4BBF">
            <w:pPr>
              <w:pStyle w:val="BodyText"/>
              <w:spacing w:before="120" w:line="280" w:lineRule="exact"/>
            </w:pPr>
            <w:r>
              <w:t>Wednesday 5 February 2014</w:t>
            </w:r>
          </w:p>
        </w:tc>
        <w:tc>
          <w:tcPr>
            <w:tcW w:w="3776" w:type="dxa"/>
          </w:tcPr>
          <w:p w:rsidR="0099388E" w:rsidRDefault="0099388E" w:rsidP="00FE4BBF">
            <w:pPr>
              <w:pStyle w:val="BodyText"/>
              <w:spacing w:before="120" w:line="280" w:lineRule="exact"/>
            </w:pPr>
            <w:r>
              <w:t xml:space="preserve">Old </w:t>
            </w:r>
            <w:proofErr w:type="spellStart"/>
            <w:r>
              <w:t>Woolstore</w:t>
            </w:r>
            <w:proofErr w:type="spellEnd"/>
            <w:r>
              <w:t xml:space="preserve"> Apartment Hotel</w:t>
            </w:r>
          </w:p>
          <w:p w:rsidR="0099388E" w:rsidRDefault="0099388E" w:rsidP="00FE4BBF">
            <w:pPr>
              <w:pStyle w:val="BodyText"/>
              <w:spacing w:before="120" w:line="280" w:lineRule="exact"/>
            </w:pPr>
            <w:r>
              <w:t>Merino Room</w:t>
            </w:r>
          </w:p>
          <w:p w:rsidR="0099388E" w:rsidRDefault="0099388E" w:rsidP="00FE4BBF">
            <w:pPr>
              <w:pStyle w:val="BodyText"/>
              <w:spacing w:before="120" w:line="280" w:lineRule="exact"/>
            </w:pPr>
            <w:r>
              <w:t>1 Macquarie Street</w:t>
            </w:r>
          </w:p>
        </w:tc>
      </w:tr>
      <w:tr w:rsidR="0099388E" w:rsidTr="00FE4BBF">
        <w:tc>
          <w:tcPr>
            <w:tcW w:w="1701" w:type="dxa"/>
          </w:tcPr>
          <w:p w:rsidR="0099388E" w:rsidRDefault="0099388E" w:rsidP="00FE4BBF">
            <w:pPr>
              <w:pStyle w:val="BodyText"/>
              <w:spacing w:before="120" w:line="280" w:lineRule="exact"/>
            </w:pPr>
            <w:r>
              <w:t>Launceston</w:t>
            </w:r>
          </w:p>
        </w:tc>
        <w:tc>
          <w:tcPr>
            <w:tcW w:w="3369" w:type="dxa"/>
          </w:tcPr>
          <w:p w:rsidR="0099388E" w:rsidRDefault="0099388E" w:rsidP="00FE4BBF">
            <w:pPr>
              <w:pStyle w:val="BodyText"/>
              <w:spacing w:before="120" w:line="280" w:lineRule="exact"/>
            </w:pPr>
            <w:r>
              <w:t>Thursday 6 February 2014</w:t>
            </w:r>
          </w:p>
          <w:p w:rsidR="0099388E" w:rsidRDefault="0099388E" w:rsidP="00FE4BBF">
            <w:pPr>
              <w:pStyle w:val="BodyText"/>
              <w:spacing w:before="120" w:line="280" w:lineRule="exact"/>
            </w:pPr>
            <w:r>
              <w:t>Friday 7 February 2014</w:t>
            </w:r>
          </w:p>
        </w:tc>
        <w:tc>
          <w:tcPr>
            <w:tcW w:w="3776" w:type="dxa"/>
          </w:tcPr>
          <w:p w:rsidR="0099388E" w:rsidRDefault="0099388E" w:rsidP="00FE4BBF">
            <w:pPr>
              <w:pStyle w:val="BodyText"/>
              <w:spacing w:before="120" w:line="280" w:lineRule="exact"/>
            </w:pPr>
            <w:r>
              <w:t>Clarion Hotel City Park Grand</w:t>
            </w:r>
          </w:p>
          <w:p w:rsidR="0099388E" w:rsidRDefault="0099388E" w:rsidP="00FE4BBF">
            <w:pPr>
              <w:pStyle w:val="BodyText"/>
              <w:spacing w:before="120" w:line="280" w:lineRule="exact"/>
            </w:pPr>
            <w:r>
              <w:t>Tamar Room</w:t>
            </w:r>
          </w:p>
          <w:p w:rsidR="0099388E" w:rsidRDefault="0099388E" w:rsidP="00FE4BBF">
            <w:pPr>
              <w:pStyle w:val="BodyText"/>
              <w:spacing w:before="120" w:line="280" w:lineRule="exact"/>
            </w:pPr>
            <w:r>
              <w:t>22 Tamar Street</w:t>
            </w:r>
          </w:p>
        </w:tc>
      </w:tr>
      <w:tr w:rsidR="0099388E" w:rsidTr="00FE4BBF">
        <w:tc>
          <w:tcPr>
            <w:tcW w:w="1701" w:type="dxa"/>
          </w:tcPr>
          <w:p w:rsidR="0099388E" w:rsidRDefault="0099388E" w:rsidP="00FE4BBF">
            <w:pPr>
              <w:pStyle w:val="BodyText"/>
              <w:spacing w:before="120" w:line="280" w:lineRule="exact"/>
            </w:pPr>
            <w:r>
              <w:t>Canberra</w:t>
            </w:r>
          </w:p>
        </w:tc>
        <w:tc>
          <w:tcPr>
            <w:tcW w:w="3369" w:type="dxa"/>
          </w:tcPr>
          <w:p w:rsidR="0099388E" w:rsidRDefault="0099388E" w:rsidP="00FE4BBF">
            <w:pPr>
              <w:pStyle w:val="BodyText"/>
              <w:spacing w:before="120" w:line="280" w:lineRule="exact"/>
            </w:pPr>
            <w:r>
              <w:t>Monday 10 February 2014</w:t>
            </w:r>
          </w:p>
        </w:tc>
        <w:tc>
          <w:tcPr>
            <w:tcW w:w="3776" w:type="dxa"/>
          </w:tcPr>
          <w:p w:rsidR="0099388E" w:rsidRDefault="0099388E" w:rsidP="00FE4BBF">
            <w:pPr>
              <w:pStyle w:val="BodyText"/>
              <w:spacing w:before="120" w:line="280" w:lineRule="exact"/>
            </w:pPr>
            <w:r>
              <w:t>Productivity Commission</w:t>
            </w:r>
          </w:p>
          <w:p w:rsidR="0099388E" w:rsidRDefault="0099388E" w:rsidP="00FE4BBF">
            <w:pPr>
              <w:pStyle w:val="BodyText"/>
              <w:spacing w:before="120" w:line="280" w:lineRule="exact"/>
            </w:pPr>
            <w:r>
              <w:t>Level 2</w:t>
            </w:r>
          </w:p>
          <w:p w:rsidR="0099388E" w:rsidRDefault="0099388E" w:rsidP="00FE4BBF">
            <w:pPr>
              <w:pStyle w:val="BodyText"/>
              <w:spacing w:before="120" w:line="280" w:lineRule="exact"/>
            </w:pPr>
            <w:r>
              <w:t>15 Moore Street</w:t>
            </w:r>
          </w:p>
        </w:tc>
      </w:tr>
    </w:tbl>
    <w:p w:rsidR="0099388E" w:rsidRDefault="0099388E" w:rsidP="0099388E">
      <w:pPr>
        <w:pStyle w:val="BodyText"/>
      </w:pPr>
      <w:r w:rsidRPr="007B204C">
        <w:t xml:space="preserve">If you wish to appear at a public hearing please register online at </w:t>
      </w:r>
      <w:r w:rsidRPr="00C4344D">
        <w:t>www.pc.gov.au/projects/inquiry/tasmanian-shipping</w:t>
      </w:r>
    </w:p>
    <w:p w:rsidR="0099388E" w:rsidRPr="007B204C" w:rsidRDefault="0099388E" w:rsidP="0099388E">
      <w:pPr>
        <w:pStyle w:val="BodyText"/>
      </w:pPr>
      <w:r>
        <w:t>If you intend to appear at a public hearing and have not already made a written submission, a summary of the points you wish to discuss should be lodged with the Commission at least two days prior to your appearance.</w:t>
      </w:r>
    </w:p>
    <w:p w:rsidR="0099388E" w:rsidRDefault="0099388E" w:rsidP="0099388E">
      <w:pPr>
        <w:pStyle w:val="BodyText"/>
      </w:pPr>
    </w:p>
    <w:p w:rsidR="0099388E" w:rsidRPr="007151C7" w:rsidRDefault="0099388E">
      <w:pPr>
        <w:pStyle w:val="BodyText"/>
        <w:spacing w:before="560"/>
        <w:rPr>
          <w:b/>
        </w:rPr>
      </w:pPr>
      <w:r w:rsidRPr="007151C7">
        <w:rPr>
          <w:b/>
        </w:rPr>
        <w:lastRenderedPageBreak/>
        <w:t>Commissioners</w:t>
      </w:r>
    </w:p>
    <w:p w:rsidR="0099388E" w:rsidRPr="007151C7" w:rsidRDefault="0099388E">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727"/>
        <w:gridCol w:w="3119"/>
      </w:tblGrid>
      <w:tr w:rsidR="0099388E" w:rsidTr="00FE4BBF">
        <w:tc>
          <w:tcPr>
            <w:tcW w:w="5727" w:type="dxa"/>
          </w:tcPr>
          <w:p w:rsidR="0099388E" w:rsidRDefault="0099388E" w:rsidP="00FE4BBF">
            <w:pPr>
              <w:pStyle w:val="BodyText"/>
              <w:spacing w:before="120"/>
              <w:jc w:val="left"/>
            </w:pPr>
          </w:p>
        </w:tc>
        <w:tc>
          <w:tcPr>
            <w:tcW w:w="3119" w:type="dxa"/>
          </w:tcPr>
          <w:p w:rsidR="0099388E" w:rsidRDefault="0099388E" w:rsidP="00FE4BBF">
            <w:pPr>
              <w:pStyle w:val="BodyText"/>
              <w:spacing w:before="120"/>
              <w:jc w:val="right"/>
            </w:pPr>
          </w:p>
        </w:tc>
      </w:tr>
      <w:tr w:rsidR="0099388E" w:rsidTr="00FE4BBF">
        <w:tc>
          <w:tcPr>
            <w:tcW w:w="5727" w:type="dxa"/>
          </w:tcPr>
          <w:p w:rsidR="0099388E" w:rsidRDefault="0099388E" w:rsidP="00FE4BBF">
            <w:pPr>
              <w:pStyle w:val="BodyText"/>
              <w:spacing w:before="120"/>
              <w:jc w:val="left"/>
            </w:pPr>
            <w:r>
              <w:t>Karen Chester</w:t>
            </w:r>
          </w:p>
        </w:tc>
        <w:tc>
          <w:tcPr>
            <w:tcW w:w="3119" w:type="dxa"/>
          </w:tcPr>
          <w:p w:rsidR="0099388E" w:rsidRDefault="0099388E" w:rsidP="00FE4BBF">
            <w:pPr>
              <w:pStyle w:val="BodyText"/>
              <w:spacing w:before="120"/>
              <w:jc w:val="right"/>
            </w:pPr>
            <w:r>
              <w:t>Presiding Commissioner</w:t>
            </w:r>
          </w:p>
        </w:tc>
      </w:tr>
    </w:tbl>
    <w:p w:rsidR="0099388E" w:rsidRPr="0099388E" w:rsidRDefault="0099388E" w:rsidP="0099388E">
      <w:pPr>
        <w:pStyle w:val="BodyText"/>
        <w:sectPr w:rsidR="0099388E" w:rsidRPr="0099388E" w:rsidSect="006817C9">
          <w:headerReference w:type="even" r:id="rId15"/>
          <w:headerReference w:type="default" r:id="rId16"/>
          <w:footerReference w:type="even" r:id="rId17"/>
          <w:footerReference w:type="default" r:id="rId18"/>
          <w:headerReference w:type="first" r:id="rId19"/>
          <w:type w:val="oddPage"/>
          <w:pgSz w:w="11907" w:h="16840" w:code="9"/>
          <w:pgMar w:top="1985" w:right="1304" w:bottom="1418" w:left="1814" w:header="1701" w:footer="567" w:gutter="0"/>
          <w:pgNumType w:fmt="lowerRoman" w:start="3"/>
          <w:cols w:space="720"/>
        </w:sectPr>
      </w:pPr>
    </w:p>
    <w:p w:rsidR="0099388E" w:rsidRDefault="0099388E" w:rsidP="00537BB4">
      <w:pPr>
        <w:pStyle w:val="Heading1"/>
      </w:pPr>
      <w:bookmarkStart w:id="5" w:name="_Toc378233158"/>
      <w:r>
        <w:lastRenderedPageBreak/>
        <w:t>Terms of reference</w:t>
      </w:r>
      <w:bookmarkEnd w:id="5"/>
    </w:p>
    <w:p w:rsidR="0099388E" w:rsidRDefault="0099388E" w:rsidP="0099388E">
      <w:pPr>
        <w:pStyle w:val="BodyText"/>
      </w:pPr>
      <w:r>
        <w:t xml:space="preserve">I, Joseph Benedict Hockey, Treasurer, pursuant to Parts 2 and 3 of the Productivity Commission Act 1998, hereby request that the Productivity Commission undertake an inquiry into the current arrangements for supporting freight and passenger services between the mainland and Tasmania. </w:t>
      </w:r>
    </w:p>
    <w:p w:rsidR="0099388E" w:rsidRDefault="0099388E" w:rsidP="0099388E">
      <w:pPr>
        <w:pStyle w:val="Heading3"/>
      </w:pPr>
      <w:r>
        <w:t xml:space="preserve">Background </w:t>
      </w:r>
    </w:p>
    <w:p w:rsidR="0099388E" w:rsidRDefault="0099388E" w:rsidP="0099388E">
      <w:pPr>
        <w:pStyle w:val="BodyText"/>
      </w:pPr>
      <w:r>
        <w:t xml:space="preserve">Tasmania is a small economy that relies heavily on sea trade.  The shipping costs associated with getting goods to market are a concern for Tasmanian businesses and consumers.  These transport costs create an additional cost burden for Tasmanian businesses compared to businesses on the mainland, which may be placing them at a disadvantage.  While the Government operates three schemes to address the freight cost disadvantage, there is a concern that these are not delivering an efficient outcome or achieving the stated objectives. </w:t>
      </w:r>
    </w:p>
    <w:p w:rsidR="0099388E" w:rsidRDefault="0099388E" w:rsidP="0099388E">
      <w:pPr>
        <w:pStyle w:val="Heading3"/>
      </w:pPr>
      <w:r>
        <w:t>Scope of Inquiry</w:t>
      </w:r>
    </w:p>
    <w:p w:rsidR="0099388E" w:rsidRDefault="0099388E" w:rsidP="0099388E">
      <w:pPr>
        <w:pStyle w:val="ListNumber"/>
        <w:numPr>
          <w:ilvl w:val="0"/>
          <w:numId w:val="25"/>
        </w:numPr>
      </w:pPr>
      <w:r>
        <w:t>Examine shipping costs, competition and shipping industry competitive structures across Bass Strait.</w:t>
      </w:r>
    </w:p>
    <w:p w:rsidR="0099388E" w:rsidRDefault="0099388E" w:rsidP="0099388E">
      <w:pPr>
        <w:pStyle w:val="ListNumber"/>
        <w:numPr>
          <w:ilvl w:val="0"/>
          <w:numId w:val="25"/>
        </w:numPr>
      </w:pPr>
      <w:r>
        <w:t xml:space="preserve">Identify the factors inhibiting the provision of international shipping services to Tasmania. </w:t>
      </w:r>
    </w:p>
    <w:p w:rsidR="0099388E" w:rsidRDefault="0099388E" w:rsidP="0099388E">
      <w:pPr>
        <w:pStyle w:val="ListNumber"/>
        <w:numPr>
          <w:ilvl w:val="0"/>
          <w:numId w:val="25"/>
        </w:numPr>
      </w:pPr>
      <w:r>
        <w:t>Examine the competitiveness of Tasmania’s freight industry, economic infrastructure and possible reforms that would assist in enhancing effective competition, investment and productivity growth.</w:t>
      </w:r>
    </w:p>
    <w:p w:rsidR="0099388E" w:rsidRDefault="0099388E" w:rsidP="0099388E">
      <w:pPr>
        <w:pStyle w:val="ListNumber"/>
        <w:numPr>
          <w:ilvl w:val="0"/>
          <w:numId w:val="25"/>
        </w:numPr>
      </w:pPr>
      <w:r>
        <w:t>Assess the merits and weaknesses of the current arrangements for supporting freight and passenger services between the mainland and Tasmania and provide recommendations on an appropriate future approach and/or arrangements.</w:t>
      </w:r>
    </w:p>
    <w:p w:rsidR="0099388E" w:rsidRDefault="0099388E" w:rsidP="0099388E">
      <w:pPr>
        <w:pStyle w:val="ListNumber"/>
        <w:numPr>
          <w:ilvl w:val="0"/>
          <w:numId w:val="25"/>
        </w:numPr>
      </w:pPr>
      <w:r>
        <w:t>In making assessments in relation to matters in paragraph 4, the inquiry should:</w:t>
      </w:r>
    </w:p>
    <w:p w:rsidR="0099388E" w:rsidRPr="009908F8" w:rsidRDefault="0099388E" w:rsidP="0099388E">
      <w:pPr>
        <w:pStyle w:val="ToRlistno2"/>
      </w:pPr>
      <w:r w:rsidRPr="009908F8">
        <w:t>report on the freight and passenger tasks and their costs between Tasmania, Flinders and King Islands and the mainland of Australia; and between Tasmania and international ports;</w:t>
      </w:r>
    </w:p>
    <w:p w:rsidR="0099388E" w:rsidRDefault="0099388E" w:rsidP="0099388E">
      <w:pPr>
        <w:pStyle w:val="ToRlistno2"/>
      </w:pPr>
      <w:r>
        <w:lastRenderedPageBreak/>
        <w:t>quantify any freight cost disadvantages for goods eligible under the Tasmanian Freight Equalisation Scheme and the Tasmanian Wheat Freight Scheme, identify their primary causes and assess the impact of that disadvantage on Tasmanian business;</w:t>
      </w:r>
    </w:p>
    <w:p w:rsidR="0099388E" w:rsidRDefault="0099388E" w:rsidP="0099388E">
      <w:pPr>
        <w:pStyle w:val="ToRlistno2"/>
      </w:pPr>
      <w:r>
        <w:t>quantify any cost disadvantages for passengers travelling to Tasmania who are currently eligible for support through the Bass Strait Passenger Vehicle Equalisation Scheme;</w:t>
      </w:r>
    </w:p>
    <w:p w:rsidR="0099388E" w:rsidRDefault="0099388E" w:rsidP="0099388E">
      <w:pPr>
        <w:pStyle w:val="ToRlistno2"/>
      </w:pPr>
      <w:r>
        <w:t>assess the effectiveness of the current schemes as a mechanism for addressing cost disadvantages, including identification of the costs and benefits, the impact on stakeholders, and any unintended consequences or distortionary effects of the current arrangements; and</w:t>
      </w:r>
    </w:p>
    <w:p w:rsidR="0099388E" w:rsidRDefault="0099388E" w:rsidP="0099388E">
      <w:pPr>
        <w:pStyle w:val="ToRlistno2"/>
      </w:pPr>
      <w:r>
        <w:t>identify any alternative mechanisms that could more effectively address cost disadvantages, including assessing the full economic costs and benefits of any alternative mechanism.</w:t>
      </w:r>
    </w:p>
    <w:p w:rsidR="0099388E" w:rsidRDefault="0099388E" w:rsidP="0099388E">
      <w:pPr>
        <w:pStyle w:val="Heading3"/>
      </w:pPr>
      <w:r>
        <w:t>Process</w:t>
      </w:r>
    </w:p>
    <w:p w:rsidR="0099388E" w:rsidRDefault="0099388E" w:rsidP="0099388E">
      <w:pPr>
        <w:pStyle w:val="BodyText"/>
      </w:pPr>
      <w:r>
        <w:t>The Commission is to undertake an appropriate public consultation process including holding hearings, inviting public submissions and releasing a draft report to the public.</w:t>
      </w:r>
    </w:p>
    <w:p w:rsidR="0099388E" w:rsidRDefault="0099388E" w:rsidP="0099388E">
      <w:pPr>
        <w:pStyle w:val="BodyText"/>
      </w:pPr>
      <w:r>
        <w:t>The inquiry will inform the broader ‘root and branch’ review of Australia’s competition laws and competition framework and will provide broad scope to identify areas where further competitive reforms of particular benefit to Tasmania could be introduced.</w:t>
      </w:r>
    </w:p>
    <w:p w:rsidR="0099388E" w:rsidRDefault="0099388E" w:rsidP="0099388E">
      <w:pPr>
        <w:pStyle w:val="BodyText"/>
      </w:pPr>
      <w:r>
        <w:t>The Commission will conduct the inquiry in consultation with the Australian Competition and Consumer Commission.</w:t>
      </w:r>
    </w:p>
    <w:p w:rsidR="0099388E" w:rsidRDefault="0099388E" w:rsidP="0099388E">
      <w:pPr>
        <w:pStyle w:val="BodyText"/>
      </w:pPr>
      <w:r>
        <w:t>The final report should be provided by 7 March 2014.</w:t>
      </w:r>
    </w:p>
    <w:p w:rsidR="0099388E" w:rsidRDefault="0099388E" w:rsidP="0099388E">
      <w:pPr>
        <w:pStyle w:val="BodyText"/>
      </w:pPr>
      <w:r>
        <w:t xml:space="preserve">  </w:t>
      </w:r>
    </w:p>
    <w:p w:rsidR="0099388E" w:rsidRDefault="0099388E" w:rsidP="0099388E">
      <w:pPr>
        <w:pStyle w:val="BodyText"/>
      </w:pPr>
      <w:r>
        <w:t>J. B. HOCKEY</w:t>
      </w:r>
    </w:p>
    <w:p w:rsidR="0099388E" w:rsidRDefault="0099388E" w:rsidP="0099388E">
      <w:pPr>
        <w:pStyle w:val="BodyText"/>
      </w:pPr>
      <w:r>
        <w:t>Treasurer</w:t>
      </w:r>
    </w:p>
    <w:p w:rsidR="0099388E" w:rsidRDefault="0099388E" w:rsidP="0099388E">
      <w:pPr>
        <w:pStyle w:val="BodyText"/>
      </w:pPr>
      <w:r>
        <w:t>[Received 29 November 2013]</w:t>
      </w:r>
    </w:p>
    <w:p w:rsidR="0099388E" w:rsidRDefault="0099388E" w:rsidP="006817C9">
      <w:pPr>
        <w:pStyle w:val="BodyText"/>
      </w:pPr>
    </w:p>
    <w:p w:rsidR="0099388E" w:rsidRDefault="0099388E" w:rsidP="006817C9">
      <w:pPr>
        <w:pStyle w:val="BodyText"/>
        <w:sectPr w:rsidR="0099388E" w:rsidSect="006817C9">
          <w:headerReference w:type="even" r:id="rId20"/>
          <w:headerReference w:type="default" r:id="rId21"/>
          <w:footerReference w:type="even" r:id="rId22"/>
          <w:footerReference w:type="default" r:id="rId23"/>
          <w:headerReference w:type="first" r:id="rId24"/>
          <w:type w:val="oddPage"/>
          <w:pgSz w:w="11907" w:h="16840" w:code="9"/>
          <w:pgMar w:top="1985" w:right="1304" w:bottom="1418" w:left="1814" w:header="1701" w:footer="567" w:gutter="0"/>
          <w:pgNumType w:fmt="lowerRoman"/>
          <w:cols w:space="720"/>
        </w:sectPr>
      </w:pPr>
    </w:p>
    <w:p w:rsidR="0099388E" w:rsidRDefault="00735FEA" w:rsidP="008206EE">
      <w:pPr>
        <w:pStyle w:val="Heading1NotTOC"/>
        <w:rPr>
          <w:noProof/>
        </w:rPr>
      </w:pPr>
      <w:bookmarkStart w:id="6" w:name="Contents"/>
      <w:bookmarkEnd w:id="6"/>
      <w:r w:rsidRPr="00B153C3">
        <w:lastRenderedPageBreak/>
        <w:t>Contents</w:t>
      </w:r>
      <w:bookmarkStart w:id="7" w:name="InsertContents"/>
      <w:bookmarkEnd w:id="7"/>
    </w:p>
    <w:p w:rsidR="0099388E" w:rsidRDefault="0099388E">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rsidR="0099388E" w:rsidRDefault="0099388E">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99388E" w:rsidRDefault="0099388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99388E" w:rsidRDefault="00D77DEB">
      <w:pPr>
        <w:pStyle w:val="TOC1"/>
        <w:rPr>
          <w:rFonts w:asciiTheme="minorHAnsi" w:eastAsiaTheme="minorEastAsia" w:hAnsiTheme="minorHAnsi" w:cstheme="minorBidi"/>
          <w:b w:val="0"/>
          <w:noProof/>
          <w:sz w:val="22"/>
          <w:szCs w:val="22"/>
          <w:lang w:eastAsia="en-AU"/>
        </w:rPr>
      </w:pPr>
      <w:r>
        <w:rPr>
          <w:noProof/>
        </w:rPr>
        <w:t>Draft recommendations and information requests</w:t>
      </w:r>
      <w:r w:rsidR="0099388E">
        <w:rPr>
          <w:noProof/>
        </w:rPr>
        <w:tab/>
        <w:t>2</w:t>
      </w:r>
      <w:r>
        <w:rPr>
          <w:noProof/>
        </w:rPr>
        <w:t>8</w:t>
      </w:r>
    </w:p>
    <w:p w:rsidR="0099388E" w:rsidRDefault="0099388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 and scope</w:t>
      </w:r>
      <w:r>
        <w:rPr>
          <w:noProof/>
        </w:rPr>
        <w:tab/>
        <w:t>35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 matter of geography</w:t>
      </w:r>
      <w:r>
        <w:rPr>
          <w:noProof/>
        </w:rPr>
        <w:tab/>
        <w:t>35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36</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Conduct of the inquiry</w:t>
      </w:r>
      <w:r>
        <w:rPr>
          <w:noProof/>
        </w:rPr>
        <w:tab/>
        <w:t>37</w:t>
      </w:r>
    </w:p>
    <w:p w:rsidR="0099388E" w:rsidRDefault="0099388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Tasmania’s freight in context</w:t>
      </w:r>
      <w:r>
        <w:rPr>
          <w:noProof/>
        </w:rPr>
        <w:tab/>
        <w:t>39</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Tasmania’s economy at a glance</w:t>
      </w:r>
      <w:r>
        <w:rPr>
          <w:noProof/>
        </w:rPr>
        <w:tab/>
        <w:t>40</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Tasmania’s freight task</w:t>
      </w:r>
      <w:r>
        <w:rPr>
          <w:noProof/>
        </w:rPr>
        <w:tab/>
        <w:t>45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Freight cost disadvantage</w:t>
      </w:r>
      <w:r>
        <w:rPr>
          <w:noProof/>
        </w:rPr>
        <w:tab/>
        <w:t>51</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Tasmania’s passenger vehicle task</w:t>
      </w:r>
      <w:r>
        <w:rPr>
          <w:noProof/>
        </w:rPr>
        <w:tab/>
        <w:t>65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cost for passenger vehicles</w:t>
      </w:r>
      <w:r>
        <w:rPr>
          <w:noProof/>
        </w:rPr>
        <w:tab/>
        <w:t>66</w:t>
      </w:r>
    </w:p>
    <w:p w:rsidR="0099388E" w:rsidRDefault="0099388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Current and alternative arrangements</w:t>
      </w:r>
      <w:r>
        <w:rPr>
          <w:noProof/>
        </w:rPr>
        <w:tab/>
        <w:t>71</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About the schemes</w:t>
      </w:r>
      <w:r>
        <w:rPr>
          <w:noProof/>
        </w:rPr>
        <w:tab/>
        <w:t>72</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Impacts of the schemes</w:t>
      </w:r>
      <w:r>
        <w:rPr>
          <w:noProof/>
        </w:rPr>
        <w:tab/>
        <w:t>77</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Effectiveness of the schemes</w:t>
      </w:r>
      <w:r>
        <w:rPr>
          <w:noProof/>
        </w:rPr>
        <w:tab/>
        <w:t>85</w:t>
      </w:r>
    </w:p>
    <w:p w:rsidR="0099388E" w:rsidRDefault="0099388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Sea freight</w:t>
      </w:r>
      <w:r>
        <w:rPr>
          <w:noProof/>
        </w:rPr>
        <w:tab/>
        <w:t>105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Key features of Tasmania’s domestic and international shipping</w:t>
      </w:r>
      <w:r>
        <w:rPr>
          <w:noProof/>
        </w:rPr>
        <w:tab/>
        <w:t>105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Efficiency drivers of Tasmania’s shipping</w:t>
      </w:r>
      <w:r>
        <w:rPr>
          <w:noProof/>
        </w:rPr>
        <w:tab/>
        <w:t>113</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Key features of Tasmanian ports</w:t>
      </w:r>
      <w:r>
        <w:rPr>
          <w:noProof/>
        </w:rPr>
        <w:tab/>
        <w:t>127</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Efficiency drivers of ports</w:t>
      </w:r>
      <w:r>
        <w:rPr>
          <w:noProof/>
        </w:rPr>
        <w:tab/>
        <w:t>131</w:t>
      </w:r>
    </w:p>
    <w:p w:rsidR="00D77DEB" w:rsidRDefault="00D77DEB">
      <w:pPr>
        <w:rPr>
          <w:b/>
          <w:noProof/>
          <w:szCs w:val="26"/>
        </w:rPr>
      </w:pPr>
      <w:r>
        <w:rPr>
          <w:noProof/>
        </w:rPr>
        <w:br w:type="page"/>
      </w:r>
    </w:p>
    <w:p w:rsidR="0099388E" w:rsidRDefault="0099388E">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Land freight</w:t>
      </w:r>
      <w:r>
        <w:rPr>
          <w:noProof/>
        </w:rPr>
        <w:tab/>
        <w:t>143</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Land freight movements</w:t>
      </w:r>
      <w:r>
        <w:rPr>
          <w:noProof/>
        </w:rPr>
        <w:tab/>
        <w:t>144</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Road freight</w:t>
      </w:r>
      <w:r>
        <w:rPr>
          <w:noProof/>
        </w:rPr>
        <w:tab/>
        <w:t>145</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Rail freight</w:t>
      </w:r>
      <w:r>
        <w:rPr>
          <w:noProof/>
        </w:rPr>
        <w:tab/>
        <w:t>152</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An integrated Tasmanian freight strategy</w:t>
      </w:r>
      <w:r>
        <w:rPr>
          <w:noProof/>
        </w:rPr>
        <w:tab/>
        <w:t>158</w:t>
      </w:r>
    </w:p>
    <w:p w:rsidR="0099388E" w:rsidRDefault="0099388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An economic development approach</w:t>
      </w:r>
      <w:r>
        <w:rPr>
          <w:noProof/>
        </w:rPr>
        <w:tab/>
        <w:t>163</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 better way to support economic and social development</w:t>
      </w:r>
      <w:r>
        <w:rPr>
          <w:noProof/>
        </w:rPr>
        <w:tab/>
        <w:t>164</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Meshing with existing plans and programs</w:t>
      </w:r>
      <w:r>
        <w:rPr>
          <w:noProof/>
        </w:rPr>
        <w:tab/>
        <w:t>169</w:t>
      </w:r>
    </w:p>
    <w:p w:rsidR="0099388E" w:rsidRDefault="0099388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Review and evaluation</w:t>
      </w:r>
      <w:r>
        <w:rPr>
          <w:noProof/>
        </w:rPr>
        <w:tab/>
        <w:t>170</w:t>
      </w:r>
    </w:p>
    <w:p w:rsidR="0099388E" w:rsidRDefault="0099388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173</w:t>
      </w:r>
    </w:p>
    <w:p w:rsidR="0099388E" w:rsidRDefault="0099388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Recommendations of the PC 2006 inquiry into Tasmanian freight subsidy arrangements</w:t>
      </w:r>
      <w:r>
        <w:rPr>
          <w:noProof/>
        </w:rPr>
        <w:tab/>
        <w:t>177</w:t>
      </w:r>
    </w:p>
    <w:p w:rsidR="0099388E" w:rsidRDefault="0099388E">
      <w:pPr>
        <w:pStyle w:val="TOC1"/>
        <w:rPr>
          <w:rFonts w:asciiTheme="minorHAnsi" w:eastAsiaTheme="minorEastAsia" w:hAnsiTheme="minorHAnsi" w:cstheme="minorBidi"/>
          <w:b w:val="0"/>
          <w:noProof/>
          <w:sz w:val="22"/>
          <w:szCs w:val="22"/>
          <w:lang w:eastAsia="en-AU"/>
        </w:rPr>
      </w:pPr>
      <w:r>
        <w:rPr>
          <w:noProof/>
        </w:rPr>
        <w:t>References</w:t>
      </w:r>
      <w:r>
        <w:rPr>
          <w:noProof/>
        </w:rPr>
        <w:tab/>
        <w:t>179</w:t>
      </w:r>
    </w:p>
    <w:p w:rsidR="0099388E" w:rsidRPr="00E20A3B" w:rsidRDefault="0099388E" w:rsidP="00743A27">
      <w:pPr>
        <w:pStyle w:val="BodyText"/>
        <w:rPr>
          <w:rStyle w:val="CommentReference"/>
          <w:vanish w:val="0"/>
        </w:rPr>
      </w:pPr>
      <w:bookmarkStart w:id="8" w:name="Abbreviations"/>
      <w:bookmarkStart w:id="9" w:name="EndContents"/>
      <w:bookmarkStart w:id="10" w:name="RDnote"/>
      <w:bookmarkStart w:id="11" w:name="Glossary"/>
      <w:bookmarkEnd w:id="8"/>
      <w:bookmarkEnd w:id="9"/>
      <w:bookmarkEnd w:id="10"/>
      <w:bookmarkEnd w:id="11"/>
    </w:p>
    <w:sectPr w:rsidR="0099388E" w:rsidRPr="00E20A3B" w:rsidSect="00C55A45">
      <w:headerReference w:type="even" r:id="rId25"/>
      <w:headerReference w:type="default" r:id="rId26"/>
      <w:footerReference w:type="even" r:id="rId27"/>
      <w:footerReference w:type="default" r:id="rId28"/>
      <w:headerReference w:type="first" r:id="rId2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88E" w:rsidRDefault="0099388E">
      <w:r>
        <w:separator/>
      </w:r>
    </w:p>
    <w:p w:rsidR="0099388E" w:rsidRDefault="0099388E"/>
    <w:p w:rsidR="0099388E" w:rsidRDefault="0099388E"/>
  </w:endnote>
  <w:endnote w:type="continuationSeparator" w:id="0">
    <w:p w:rsidR="0099388E" w:rsidRDefault="0099388E">
      <w:r>
        <w:continuationSeparator/>
      </w:r>
    </w:p>
    <w:p w:rsidR="0099388E" w:rsidRDefault="0099388E"/>
    <w:p w:rsidR="0099388E" w:rsidRDefault="00993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4D48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4D48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4D48F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9388E">
      <w:trPr>
        <w:trHeight w:hRule="exact" w:val="740"/>
      </w:trPr>
      <w:tc>
        <w:tcPr>
          <w:tcW w:w="510" w:type="dxa"/>
          <w:tcBorders>
            <w:top w:val="single" w:sz="6" w:space="0" w:color="auto"/>
          </w:tcBorders>
        </w:tcPr>
        <w:p w:rsidR="0099388E" w:rsidRPr="008206EE" w:rsidRDefault="0099388E">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E1F25">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99388E" w:rsidRPr="00603344" w:rsidRDefault="004D48FB" w:rsidP="006817C9">
          <w:pPr>
            <w:pStyle w:val="Footer"/>
          </w:pPr>
          <w:fldSimple w:instr=" STYLEREF &quot;Heading 1&quot; \* MERGEFORMAT ">
            <w:r w:rsidR="00DE1F25">
              <w:rPr>
                <w:noProof/>
              </w:rPr>
              <w:t>Opportunity for further comment</w:t>
            </w:r>
          </w:fldSimple>
        </w:p>
      </w:tc>
      <w:tc>
        <w:tcPr>
          <w:tcW w:w="6634" w:type="dxa"/>
        </w:tcPr>
        <w:p w:rsidR="0099388E" w:rsidRPr="00603344" w:rsidRDefault="0099388E">
          <w:pPr>
            <w:pStyle w:val="Footer"/>
            <w:rPr>
              <w:caps w:val="0"/>
            </w:rPr>
          </w:pPr>
        </w:p>
      </w:tc>
    </w:tr>
  </w:tbl>
  <w:p w:rsidR="0099388E" w:rsidRDefault="0099388E">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9388E" w:rsidTr="006817C9">
      <w:trPr>
        <w:trHeight w:hRule="exact" w:val="740"/>
      </w:trPr>
      <w:tc>
        <w:tcPr>
          <w:tcW w:w="6634" w:type="dxa"/>
        </w:tcPr>
        <w:p w:rsidR="0099388E" w:rsidRPr="00B3203C" w:rsidRDefault="0099388E">
          <w:pPr>
            <w:pStyle w:val="Footer"/>
          </w:pPr>
        </w:p>
      </w:tc>
      <w:tc>
        <w:tcPr>
          <w:tcW w:w="1644" w:type="dxa"/>
          <w:tcBorders>
            <w:top w:val="single" w:sz="6" w:space="0" w:color="auto"/>
          </w:tcBorders>
        </w:tcPr>
        <w:p w:rsidR="0099388E" w:rsidRPr="00B3203C" w:rsidRDefault="0099388E"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DE1F25" w:rsidRPr="00DE1F25">
            <w:rPr>
              <w:bCs/>
              <w:noProof/>
              <w:lang w:val="en-US"/>
            </w:rPr>
            <w:t>Opportunity for further</w:t>
          </w:r>
          <w:r w:rsidR="00DE1F25">
            <w:rPr>
              <w:noProof/>
            </w:rPr>
            <w:t xml:space="preserve"> comment</w:t>
          </w:r>
          <w:r w:rsidRPr="00B3203C">
            <w:rPr>
              <w:noProof/>
            </w:rPr>
            <w:fldChar w:fldCharType="end"/>
          </w:r>
        </w:p>
      </w:tc>
      <w:tc>
        <w:tcPr>
          <w:tcW w:w="510" w:type="dxa"/>
          <w:tcBorders>
            <w:top w:val="single" w:sz="6" w:space="0" w:color="auto"/>
          </w:tcBorders>
        </w:tcPr>
        <w:p w:rsidR="0099388E" w:rsidRPr="00C55A45" w:rsidRDefault="0099388E">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E1F25">
            <w:rPr>
              <w:rStyle w:val="PageNumber"/>
              <w:caps w:val="0"/>
              <w:noProof/>
            </w:rPr>
            <w:t>iii</w:t>
          </w:r>
          <w:r w:rsidRPr="00C55A45">
            <w:rPr>
              <w:rStyle w:val="PageNumber"/>
              <w:caps w:val="0"/>
              <w:noProof/>
            </w:rPr>
            <w:fldChar w:fldCharType="end"/>
          </w:r>
        </w:p>
      </w:tc>
    </w:tr>
  </w:tbl>
  <w:p w:rsidR="0099388E" w:rsidRDefault="0099388E">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9388E">
      <w:trPr>
        <w:trHeight w:hRule="exact" w:val="740"/>
      </w:trPr>
      <w:tc>
        <w:tcPr>
          <w:tcW w:w="510" w:type="dxa"/>
          <w:tcBorders>
            <w:top w:val="single" w:sz="6" w:space="0" w:color="auto"/>
          </w:tcBorders>
        </w:tcPr>
        <w:p w:rsidR="0099388E" w:rsidRPr="008206EE" w:rsidRDefault="0099388E">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DE1F25">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99388E" w:rsidRPr="00603344" w:rsidRDefault="004D48FB" w:rsidP="006817C9">
          <w:pPr>
            <w:pStyle w:val="Footer"/>
          </w:pPr>
          <w:fldSimple w:instr=" STYLEREF &quot;Heading 1&quot; \* MERGEFORMAT ">
            <w:r w:rsidR="00DE1F25">
              <w:rPr>
                <w:noProof/>
              </w:rPr>
              <w:t>Terms of reference</w:t>
            </w:r>
          </w:fldSimple>
        </w:p>
      </w:tc>
      <w:tc>
        <w:tcPr>
          <w:tcW w:w="6634" w:type="dxa"/>
        </w:tcPr>
        <w:p w:rsidR="0099388E" w:rsidRPr="00603344" w:rsidRDefault="0099388E">
          <w:pPr>
            <w:pStyle w:val="Footer"/>
            <w:rPr>
              <w:caps w:val="0"/>
            </w:rPr>
          </w:pPr>
        </w:p>
      </w:tc>
    </w:tr>
  </w:tbl>
  <w:p w:rsidR="0099388E" w:rsidRDefault="0099388E">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9388E" w:rsidTr="006817C9">
      <w:trPr>
        <w:trHeight w:hRule="exact" w:val="740"/>
      </w:trPr>
      <w:tc>
        <w:tcPr>
          <w:tcW w:w="6634" w:type="dxa"/>
        </w:tcPr>
        <w:p w:rsidR="0099388E" w:rsidRPr="00B3203C" w:rsidRDefault="0099388E">
          <w:pPr>
            <w:pStyle w:val="Footer"/>
          </w:pPr>
        </w:p>
      </w:tc>
      <w:tc>
        <w:tcPr>
          <w:tcW w:w="1644" w:type="dxa"/>
          <w:tcBorders>
            <w:top w:val="single" w:sz="6" w:space="0" w:color="auto"/>
          </w:tcBorders>
        </w:tcPr>
        <w:p w:rsidR="0099388E" w:rsidRPr="00B3203C" w:rsidRDefault="0099388E"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DE1F25" w:rsidRPr="00DE1F25">
            <w:rPr>
              <w:bCs/>
              <w:noProof/>
              <w:lang w:val="en-US"/>
            </w:rPr>
            <w:t>Terms of reference</w:t>
          </w:r>
          <w:r w:rsidRPr="00B3203C">
            <w:rPr>
              <w:noProof/>
            </w:rPr>
            <w:fldChar w:fldCharType="end"/>
          </w:r>
        </w:p>
      </w:tc>
      <w:tc>
        <w:tcPr>
          <w:tcW w:w="510" w:type="dxa"/>
          <w:tcBorders>
            <w:top w:val="single" w:sz="6" w:space="0" w:color="auto"/>
          </w:tcBorders>
        </w:tcPr>
        <w:p w:rsidR="0099388E" w:rsidRPr="00C55A45" w:rsidRDefault="0099388E">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E1F25">
            <w:rPr>
              <w:rStyle w:val="PageNumber"/>
              <w:caps w:val="0"/>
              <w:noProof/>
            </w:rPr>
            <w:t>v</w:t>
          </w:r>
          <w:r w:rsidRPr="00C55A45">
            <w:rPr>
              <w:rStyle w:val="PageNumber"/>
              <w:caps w:val="0"/>
              <w:noProof/>
            </w:rPr>
            <w:fldChar w:fldCharType="end"/>
          </w:r>
        </w:p>
      </w:tc>
    </w:tr>
  </w:tbl>
  <w:p w:rsidR="0099388E" w:rsidRDefault="0099388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DE1F25">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77DEB">
          <w:pPr>
            <w:pStyle w:val="Footer"/>
            <w:rPr>
              <w:noProof/>
            </w:rPr>
          </w:pPr>
          <w:r>
            <w:rPr>
              <w:noProof/>
            </w:rPr>
            <w:t>CONTENTS</w:t>
          </w:r>
        </w:p>
      </w:tc>
      <w:tc>
        <w:tcPr>
          <w:tcW w:w="6634" w:type="dxa"/>
        </w:tcPr>
        <w:p w:rsidR="00D37AC2" w:rsidRDefault="00D37AC2">
          <w:pPr>
            <w:pStyle w:val="Footer"/>
            <w:rPr>
              <w:caps w:val="0"/>
            </w:rPr>
          </w:pPr>
        </w:p>
      </w:tc>
    </w:tr>
  </w:tbl>
  <w:p w:rsidR="00D37AC2" w:rsidRDefault="00D37AC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D77DEB">
          <w:pPr>
            <w:pStyle w:val="Footer"/>
            <w:rPr>
              <w:rStyle w:val="PageNumber"/>
              <w:b w:val="0"/>
            </w:rPr>
          </w:pPr>
          <w:r>
            <w:t>CONTENTS</w:t>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DE1F25">
            <w:rPr>
              <w:rStyle w:val="PageNumber"/>
              <w:caps w:val="0"/>
              <w:noProof/>
            </w:rPr>
            <w:t>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88E" w:rsidRDefault="0099388E">
      <w:r>
        <w:separator/>
      </w:r>
    </w:p>
    <w:p w:rsidR="0099388E" w:rsidRDefault="0099388E"/>
    <w:p w:rsidR="0099388E" w:rsidRDefault="0099388E"/>
  </w:footnote>
  <w:footnote w:type="continuationSeparator" w:id="0">
    <w:p w:rsidR="0099388E" w:rsidRDefault="0099388E">
      <w:r>
        <w:continuationSeparator/>
      </w:r>
    </w:p>
    <w:p w:rsidR="0099388E" w:rsidRDefault="0099388E"/>
    <w:p w:rsidR="0099388E" w:rsidRDefault="009938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5" o:spid="_x0000_s819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r w:rsidR="004D48FB">
      <w:rPr>
        <w:color w:val="FF0000"/>
        <w:sz w:val="14"/>
        <w:szCs w:val="14"/>
      </w:rPr>
      <w:t>draft report: For final outcomes of this project refer to the inquiry report.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E1F25"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4" o:spid="_x0000_s8203"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D37AC2" w:rsidRDefault="004D48FB" w:rsidP="005C68FE">
          <w:pPr>
            <w:pStyle w:val="HeaderEven"/>
          </w:pPr>
          <w:r>
            <w:rPr>
              <w:color w:val="FF0000"/>
              <w:sz w:val="14"/>
              <w:szCs w:val="14"/>
            </w:rPr>
            <w:t>draft report: For final outcomes of this project refer to the inquiry report.</w:t>
          </w:r>
        </w:p>
      </w:tc>
    </w:tr>
  </w:tbl>
  <w:p w:rsidR="00D37AC2" w:rsidRDefault="00D37AC2"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E1F25">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5" o:spid="_x0000_s8204"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r w:rsidR="004D48FB">
            <w:rPr>
              <w:color w:val="FF0000"/>
              <w:sz w:val="14"/>
              <w:szCs w:val="14"/>
            </w:rPr>
            <w:t>draft report: For final outcomes of this project refer to the inquiry report.</w:t>
          </w: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F25"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3" o:spid="_x0000_s8202"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6" o:spid="_x0000_s819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FB"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4" o:spid="_x0000_s819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9388E">
      <w:tc>
        <w:tcPr>
          <w:tcW w:w="2155" w:type="dxa"/>
          <w:tcBorders>
            <w:top w:val="single" w:sz="24" w:space="0" w:color="auto"/>
          </w:tcBorders>
        </w:tcPr>
        <w:p w:rsidR="0099388E"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8" o:spid="_x0000_s8197"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99388E" w:rsidRDefault="004D48FB">
          <w:pPr>
            <w:pStyle w:val="Header"/>
          </w:pPr>
          <w:r>
            <w:rPr>
              <w:color w:val="FF0000"/>
              <w:sz w:val="14"/>
              <w:szCs w:val="14"/>
            </w:rPr>
            <w:t>draft report: For final outcomes of this project refer to the inquiry report.</w:t>
          </w:r>
        </w:p>
      </w:tc>
    </w:tr>
  </w:tbl>
  <w:p w:rsidR="0099388E" w:rsidRDefault="0099388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9388E" w:rsidTr="006817C9">
      <w:tc>
        <w:tcPr>
          <w:tcW w:w="6634" w:type="dxa"/>
          <w:tcBorders>
            <w:top w:val="single" w:sz="6" w:space="0" w:color="auto"/>
          </w:tcBorders>
        </w:tcPr>
        <w:p w:rsidR="0099388E" w:rsidRDefault="00DE1F25" w:rsidP="006817C9">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9" o:spid="_x0000_s8198"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r w:rsidR="004D48FB">
            <w:rPr>
              <w:color w:val="FF0000"/>
              <w:sz w:val="14"/>
              <w:szCs w:val="14"/>
            </w:rPr>
            <w:t>draft report: For final outcomes of this project refer to the inquiry report.</w:t>
          </w:r>
        </w:p>
      </w:tc>
      <w:tc>
        <w:tcPr>
          <w:tcW w:w="2155" w:type="dxa"/>
          <w:tcBorders>
            <w:top w:val="single" w:sz="24" w:space="0" w:color="auto"/>
          </w:tcBorders>
        </w:tcPr>
        <w:p w:rsidR="0099388E" w:rsidRDefault="0099388E" w:rsidP="006817C9">
          <w:pPr>
            <w:pStyle w:val="HeaderOdd"/>
          </w:pPr>
        </w:p>
      </w:tc>
    </w:tr>
  </w:tbl>
  <w:p w:rsidR="0099388E" w:rsidRPr="005C68FE" w:rsidRDefault="0099388E" w:rsidP="006817C9">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F25"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17" o:spid="_x0000_s8196"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9388E">
      <w:tc>
        <w:tcPr>
          <w:tcW w:w="2155" w:type="dxa"/>
          <w:tcBorders>
            <w:top w:val="single" w:sz="24" w:space="0" w:color="auto"/>
          </w:tcBorders>
        </w:tcPr>
        <w:p w:rsidR="0099388E"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1" o:spid="_x0000_s8200"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99388E" w:rsidRDefault="004D48FB">
          <w:pPr>
            <w:pStyle w:val="Header"/>
          </w:pPr>
          <w:r>
            <w:rPr>
              <w:color w:val="FF0000"/>
              <w:sz w:val="14"/>
              <w:szCs w:val="14"/>
            </w:rPr>
            <w:t>draft report: For final outcomes of this project refer to the inquiry report.</w:t>
          </w:r>
        </w:p>
      </w:tc>
    </w:tr>
  </w:tbl>
  <w:p w:rsidR="0099388E" w:rsidRDefault="0099388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9388E" w:rsidTr="006817C9">
      <w:tc>
        <w:tcPr>
          <w:tcW w:w="6634" w:type="dxa"/>
          <w:tcBorders>
            <w:top w:val="single" w:sz="6" w:space="0" w:color="auto"/>
          </w:tcBorders>
        </w:tcPr>
        <w:p w:rsidR="0099388E" w:rsidRDefault="00DE1F25" w:rsidP="006817C9">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2" o:spid="_x0000_s8201"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r w:rsidR="004D48FB">
            <w:rPr>
              <w:color w:val="FF0000"/>
              <w:sz w:val="14"/>
              <w:szCs w:val="14"/>
            </w:rPr>
            <w:t>draft report: For final outcomes of this project refer to the inquiry report.</w:t>
          </w:r>
        </w:p>
      </w:tc>
      <w:tc>
        <w:tcPr>
          <w:tcW w:w="2155" w:type="dxa"/>
          <w:tcBorders>
            <w:top w:val="single" w:sz="24" w:space="0" w:color="auto"/>
          </w:tcBorders>
        </w:tcPr>
        <w:p w:rsidR="0099388E" w:rsidRDefault="0099388E" w:rsidP="006817C9">
          <w:pPr>
            <w:pStyle w:val="HeaderOdd"/>
          </w:pPr>
        </w:p>
      </w:tc>
    </w:tr>
  </w:tbl>
  <w:p w:rsidR="0099388E" w:rsidRPr="005C68FE" w:rsidRDefault="0099388E" w:rsidP="006817C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F25" w:rsidRDefault="00DE1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7420" o:spid="_x0000_s8199"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4216A80"/>
    <w:multiLevelType w:val="hybridMultilevel"/>
    <w:tmpl w:val="F482C54C"/>
    <w:lvl w:ilvl="0" w:tplc="7728CA0A">
      <w:start w:val="1"/>
      <w:numFmt w:val="lowerLetter"/>
      <w:pStyle w:val="ToRlistno2"/>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2"/>
  </w:num>
  <w:num w:numId="16">
    <w:abstractNumId w:val="16"/>
  </w:num>
  <w:num w:numId="17">
    <w:abstractNumId w:val="7"/>
  </w:num>
  <w:num w:numId="18">
    <w:abstractNumId w:val="19"/>
  </w:num>
  <w:num w:numId="19">
    <w:abstractNumId w:val="18"/>
  </w:num>
  <w:num w:numId="20">
    <w:abstractNumId w:val="23"/>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205"/>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88E"/>
    <w:rsid w:val="00017AFC"/>
    <w:rsid w:val="00025878"/>
    <w:rsid w:val="00026B38"/>
    <w:rsid w:val="00046421"/>
    <w:rsid w:val="000502D3"/>
    <w:rsid w:val="000623BF"/>
    <w:rsid w:val="00095EEA"/>
    <w:rsid w:val="000974BB"/>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A3E85"/>
    <w:rsid w:val="002B636E"/>
    <w:rsid w:val="002B64D6"/>
    <w:rsid w:val="002C12F5"/>
    <w:rsid w:val="002D6FCE"/>
    <w:rsid w:val="003B41E0"/>
    <w:rsid w:val="003C3FD0"/>
    <w:rsid w:val="003D624D"/>
    <w:rsid w:val="003E7802"/>
    <w:rsid w:val="00433C81"/>
    <w:rsid w:val="00446D6B"/>
    <w:rsid w:val="00457B3F"/>
    <w:rsid w:val="00463022"/>
    <w:rsid w:val="00481CF0"/>
    <w:rsid w:val="004B492A"/>
    <w:rsid w:val="004C0B0C"/>
    <w:rsid w:val="004D48FB"/>
    <w:rsid w:val="004E52E2"/>
    <w:rsid w:val="004E6BB4"/>
    <w:rsid w:val="00515D43"/>
    <w:rsid w:val="0052544D"/>
    <w:rsid w:val="00551FB8"/>
    <w:rsid w:val="005537F6"/>
    <w:rsid w:val="00560F43"/>
    <w:rsid w:val="005654D0"/>
    <w:rsid w:val="005B17AB"/>
    <w:rsid w:val="005C68FE"/>
    <w:rsid w:val="005D10F4"/>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9388E"/>
    <w:rsid w:val="009A789F"/>
    <w:rsid w:val="009B12EF"/>
    <w:rsid w:val="009B6185"/>
    <w:rsid w:val="009E1E78"/>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4E25"/>
    <w:rsid w:val="00D772E9"/>
    <w:rsid w:val="00D77DEB"/>
    <w:rsid w:val="00DA31AB"/>
    <w:rsid w:val="00DA3281"/>
    <w:rsid w:val="00DA6D3E"/>
    <w:rsid w:val="00DC02E8"/>
    <w:rsid w:val="00DC75C7"/>
    <w:rsid w:val="00DC78D3"/>
    <w:rsid w:val="00DE1F25"/>
    <w:rsid w:val="00DF4592"/>
    <w:rsid w:val="00E15FDC"/>
    <w:rsid w:val="00E20A3B"/>
    <w:rsid w:val="00E2651B"/>
    <w:rsid w:val="00E6632E"/>
    <w:rsid w:val="00E90CF2"/>
    <w:rsid w:val="00ED0F61"/>
    <w:rsid w:val="00EE73E1"/>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2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9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9388E"/>
    <w:rPr>
      <w:caps/>
      <w:spacing w:val="-4"/>
      <w:sz w:val="16"/>
      <w:lang w:eastAsia="en-US"/>
    </w:rPr>
  </w:style>
  <w:style w:type="character" w:customStyle="1" w:styleId="Heading1Char">
    <w:name w:val="Heading 1 Char"/>
    <w:basedOn w:val="DefaultParagraphFont"/>
    <w:link w:val="Heading1"/>
    <w:rsid w:val="0099388E"/>
    <w:rPr>
      <w:kern w:val="28"/>
      <w:sz w:val="52"/>
      <w:lang w:eastAsia="en-US"/>
    </w:rPr>
  </w:style>
  <w:style w:type="paragraph" w:customStyle="1" w:styleId="ToRlistno2">
    <w:name w:val="ToR list no 2"/>
    <w:basedOn w:val="ListNumber2"/>
    <w:qFormat/>
    <w:rsid w:val="0099388E"/>
    <w:pPr>
      <w:numPr>
        <w:ilvl w:val="0"/>
        <w:numId w:val="32"/>
      </w:numPr>
      <w:tabs>
        <w:tab w:val="clear" w:pos="794"/>
      </w:tabs>
      <w:ind w:left="851" w:hanging="425"/>
    </w:pPr>
  </w:style>
  <w:style w:type="character" w:customStyle="1" w:styleId="Heading3Char">
    <w:name w:val="Heading 3 Char"/>
    <w:basedOn w:val="DefaultParagraphFont"/>
    <w:link w:val="Heading3"/>
    <w:rsid w:val="0099388E"/>
    <w:rPr>
      <w:rFonts w:ascii="Arial" w:hAnsi="Arial"/>
      <w:b/>
      <w:kern w:val="28"/>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9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9388E"/>
    <w:rPr>
      <w:caps/>
      <w:spacing w:val="-4"/>
      <w:sz w:val="16"/>
      <w:lang w:eastAsia="en-US"/>
    </w:rPr>
  </w:style>
  <w:style w:type="character" w:customStyle="1" w:styleId="Heading1Char">
    <w:name w:val="Heading 1 Char"/>
    <w:basedOn w:val="DefaultParagraphFont"/>
    <w:link w:val="Heading1"/>
    <w:rsid w:val="0099388E"/>
    <w:rPr>
      <w:kern w:val="28"/>
      <w:sz w:val="52"/>
      <w:lang w:eastAsia="en-US"/>
    </w:rPr>
  </w:style>
  <w:style w:type="paragraph" w:customStyle="1" w:styleId="ToRlistno2">
    <w:name w:val="ToR list no 2"/>
    <w:basedOn w:val="ListNumber2"/>
    <w:qFormat/>
    <w:rsid w:val="0099388E"/>
    <w:pPr>
      <w:numPr>
        <w:ilvl w:val="0"/>
        <w:numId w:val="32"/>
      </w:numPr>
      <w:tabs>
        <w:tab w:val="clear" w:pos="794"/>
      </w:tabs>
      <w:ind w:left="851" w:hanging="425"/>
    </w:pPr>
  </w:style>
  <w:style w:type="character" w:customStyle="1" w:styleId="Heading3Char">
    <w:name w:val="Heading 3 Char"/>
    <w:basedOn w:val="DefaultParagraphFont"/>
    <w:link w:val="Heading3"/>
    <w:rsid w:val="0099388E"/>
    <w:rPr>
      <w:rFonts w:ascii="Arial" w:hAnsi="Arial"/>
      <w:b/>
      <w:kern w:val="28"/>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TotalTime>
  <Pages>8</Pages>
  <Words>1163</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4</cp:revision>
  <cp:lastPrinted>2009-07-15T23:41:00Z</cp:lastPrinted>
  <dcterms:created xsi:type="dcterms:W3CDTF">2014-01-22T23:15:00Z</dcterms:created>
  <dcterms:modified xsi:type="dcterms:W3CDTF">2015-05-08T01:52:00Z</dcterms:modified>
</cp:coreProperties>
</file>