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DE6" w:rsidRDefault="00AE3DE6" w:rsidP="004609D1">
      <w:pPr>
        <w:ind w:right="804"/>
        <w:jc w:val="both"/>
        <w:rPr>
          <w:rFonts w:ascii="Arial" w:hAnsi="Arial" w:cs="Arial"/>
          <w:sz w:val="22"/>
          <w:szCs w:val="22"/>
        </w:rPr>
      </w:pPr>
    </w:p>
    <w:p w:rsidR="00AE3DE6" w:rsidRDefault="00155847" w:rsidP="004609D1">
      <w:pPr>
        <w:ind w:right="804"/>
        <w:jc w:val="both"/>
        <w:rPr>
          <w:rFonts w:ascii="Arial" w:hAnsi="Arial" w:cs="Arial"/>
          <w:sz w:val="22"/>
          <w:szCs w:val="22"/>
        </w:rPr>
      </w:pPr>
      <w:r>
        <w:rPr>
          <w:rFonts w:ascii="Arial" w:hAnsi="Arial" w:cs="Arial"/>
          <w:sz w:val="22"/>
          <w:szCs w:val="22"/>
        </w:rPr>
        <w:t>24</w:t>
      </w:r>
      <w:r w:rsidR="00E21A82">
        <w:rPr>
          <w:rFonts w:ascii="Arial" w:hAnsi="Arial" w:cs="Arial"/>
          <w:sz w:val="22"/>
          <w:szCs w:val="22"/>
        </w:rPr>
        <w:t xml:space="preserve"> July</w:t>
      </w:r>
      <w:r w:rsidR="001125D6">
        <w:rPr>
          <w:rFonts w:ascii="Arial" w:hAnsi="Arial" w:cs="Arial"/>
          <w:sz w:val="22"/>
          <w:szCs w:val="22"/>
        </w:rPr>
        <w:t xml:space="preserve"> 20</w:t>
      </w:r>
      <w:r w:rsidR="002F40AF">
        <w:rPr>
          <w:rFonts w:ascii="Arial" w:hAnsi="Arial" w:cs="Arial"/>
          <w:sz w:val="22"/>
          <w:szCs w:val="22"/>
        </w:rPr>
        <w:t>15</w:t>
      </w:r>
    </w:p>
    <w:p w:rsidR="007B69FB" w:rsidRDefault="007B69FB" w:rsidP="004609D1">
      <w:pPr>
        <w:ind w:right="804"/>
        <w:jc w:val="both"/>
        <w:rPr>
          <w:rFonts w:ascii="Arial" w:hAnsi="Arial" w:cs="Arial"/>
          <w:sz w:val="22"/>
          <w:szCs w:val="22"/>
        </w:rPr>
      </w:pPr>
    </w:p>
    <w:p w:rsidR="00CD3B19" w:rsidRDefault="00CD3B19" w:rsidP="004609D1">
      <w:pPr>
        <w:ind w:right="804"/>
        <w:jc w:val="both"/>
        <w:rPr>
          <w:rFonts w:ascii="Arial" w:hAnsi="Arial" w:cs="Arial"/>
          <w:sz w:val="22"/>
          <w:szCs w:val="22"/>
        </w:rPr>
      </w:pPr>
    </w:p>
    <w:p w:rsidR="0025373E" w:rsidRDefault="007E15FC" w:rsidP="004609D1">
      <w:pPr>
        <w:ind w:right="804"/>
        <w:jc w:val="both"/>
        <w:rPr>
          <w:rFonts w:ascii="Arial" w:hAnsi="Arial" w:cs="Arial"/>
          <w:sz w:val="22"/>
          <w:szCs w:val="22"/>
        </w:rPr>
      </w:pPr>
      <w:r>
        <w:rPr>
          <w:rFonts w:ascii="Arial" w:hAnsi="Arial" w:cs="Arial"/>
          <w:sz w:val="22"/>
          <w:szCs w:val="22"/>
        </w:rPr>
        <w:t>Mutual Recognition Schemes</w:t>
      </w:r>
      <w:r w:rsidR="002A5E60">
        <w:rPr>
          <w:rFonts w:ascii="Arial" w:hAnsi="Arial" w:cs="Arial"/>
          <w:sz w:val="22"/>
          <w:szCs w:val="22"/>
        </w:rPr>
        <w:t xml:space="preserve"> Review</w:t>
      </w:r>
    </w:p>
    <w:p w:rsidR="007E15FC" w:rsidRDefault="007E15FC" w:rsidP="004609D1">
      <w:pPr>
        <w:ind w:right="804"/>
        <w:jc w:val="both"/>
        <w:rPr>
          <w:rFonts w:ascii="Arial" w:hAnsi="Arial" w:cs="Arial"/>
          <w:sz w:val="22"/>
          <w:szCs w:val="22"/>
        </w:rPr>
      </w:pPr>
      <w:r>
        <w:rPr>
          <w:rFonts w:ascii="Arial" w:hAnsi="Arial" w:cs="Arial"/>
          <w:sz w:val="22"/>
          <w:szCs w:val="22"/>
        </w:rPr>
        <w:t>Productivity Commission</w:t>
      </w:r>
    </w:p>
    <w:p w:rsidR="007E15FC" w:rsidRDefault="007E15FC" w:rsidP="004609D1">
      <w:pPr>
        <w:ind w:right="804"/>
        <w:jc w:val="both"/>
        <w:rPr>
          <w:rFonts w:ascii="Arial" w:hAnsi="Arial" w:cs="Arial"/>
          <w:sz w:val="22"/>
          <w:szCs w:val="22"/>
        </w:rPr>
      </w:pPr>
      <w:r>
        <w:rPr>
          <w:rFonts w:ascii="Arial" w:hAnsi="Arial" w:cs="Arial"/>
          <w:sz w:val="22"/>
          <w:szCs w:val="22"/>
        </w:rPr>
        <w:t>Locked Bag 2</w:t>
      </w:r>
    </w:p>
    <w:p w:rsidR="007E15FC" w:rsidRDefault="007E15FC" w:rsidP="004609D1">
      <w:pPr>
        <w:ind w:right="804"/>
        <w:jc w:val="both"/>
        <w:rPr>
          <w:rFonts w:ascii="Arial" w:hAnsi="Arial" w:cs="Arial"/>
          <w:sz w:val="22"/>
          <w:szCs w:val="22"/>
        </w:rPr>
      </w:pPr>
      <w:r>
        <w:rPr>
          <w:rFonts w:ascii="Arial" w:hAnsi="Arial" w:cs="Arial"/>
          <w:sz w:val="22"/>
          <w:szCs w:val="22"/>
        </w:rPr>
        <w:t>Collins St East</w:t>
      </w:r>
    </w:p>
    <w:p w:rsidR="007E15FC" w:rsidRDefault="007E15FC" w:rsidP="004609D1">
      <w:pPr>
        <w:ind w:right="804"/>
        <w:jc w:val="both"/>
        <w:rPr>
          <w:rFonts w:ascii="Arial" w:hAnsi="Arial" w:cs="Arial"/>
          <w:sz w:val="22"/>
          <w:szCs w:val="22"/>
        </w:rPr>
      </w:pPr>
      <w:r>
        <w:rPr>
          <w:rFonts w:ascii="Arial" w:hAnsi="Arial" w:cs="Arial"/>
          <w:sz w:val="22"/>
          <w:szCs w:val="22"/>
        </w:rPr>
        <w:t>MELBOURNE VIC 8003</w:t>
      </w:r>
    </w:p>
    <w:p w:rsidR="0025373E" w:rsidRDefault="0025373E" w:rsidP="004609D1">
      <w:pPr>
        <w:ind w:right="804"/>
        <w:jc w:val="both"/>
        <w:rPr>
          <w:rFonts w:ascii="Arial" w:hAnsi="Arial" w:cs="Arial"/>
          <w:sz w:val="22"/>
          <w:szCs w:val="22"/>
        </w:rPr>
      </w:pPr>
    </w:p>
    <w:p w:rsidR="0025373E" w:rsidRDefault="0025373E" w:rsidP="004609D1">
      <w:pPr>
        <w:ind w:right="804"/>
        <w:jc w:val="both"/>
        <w:rPr>
          <w:rFonts w:ascii="Arial" w:hAnsi="Arial" w:cs="Arial"/>
          <w:sz w:val="22"/>
          <w:szCs w:val="22"/>
        </w:rPr>
      </w:pPr>
    </w:p>
    <w:p w:rsidR="00A44540" w:rsidRDefault="0025373E" w:rsidP="004609D1">
      <w:pPr>
        <w:ind w:right="804"/>
        <w:jc w:val="both"/>
        <w:rPr>
          <w:rFonts w:ascii="Arial" w:hAnsi="Arial" w:cs="Arial"/>
          <w:sz w:val="22"/>
          <w:szCs w:val="22"/>
        </w:rPr>
      </w:pPr>
      <w:r>
        <w:rPr>
          <w:rFonts w:ascii="Arial" w:hAnsi="Arial" w:cs="Arial"/>
          <w:sz w:val="22"/>
          <w:szCs w:val="22"/>
        </w:rPr>
        <w:t>By email:</w:t>
      </w:r>
      <w:r w:rsidR="007E15FC">
        <w:rPr>
          <w:rFonts w:ascii="Arial" w:hAnsi="Arial" w:cs="Arial"/>
          <w:sz w:val="22"/>
          <w:szCs w:val="22"/>
        </w:rPr>
        <w:t xml:space="preserve"> </w:t>
      </w:r>
      <w:hyperlink r:id="rId11" w:history="1">
        <w:r w:rsidR="007E15FC" w:rsidRPr="00CF3690">
          <w:rPr>
            <w:rStyle w:val="Hyperlink"/>
            <w:rFonts w:ascii="Arial" w:hAnsi="Arial" w:cs="Arial"/>
            <w:sz w:val="22"/>
            <w:szCs w:val="22"/>
          </w:rPr>
          <w:t>mutual.recognition@pc.gov.au</w:t>
        </w:r>
      </w:hyperlink>
    </w:p>
    <w:p w:rsidR="0025373E" w:rsidRDefault="0025373E" w:rsidP="004609D1">
      <w:pPr>
        <w:ind w:right="804"/>
        <w:jc w:val="both"/>
        <w:rPr>
          <w:rFonts w:ascii="Arial" w:hAnsi="Arial" w:cs="Arial"/>
          <w:sz w:val="22"/>
          <w:szCs w:val="22"/>
        </w:rPr>
      </w:pPr>
    </w:p>
    <w:p w:rsidR="00AE3DE6" w:rsidRPr="009C6BBA" w:rsidRDefault="00AE3DE6" w:rsidP="004609D1">
      <w:pPr>
        <w:ind w:right="804"/>
        <w:jc w:val="both"/>
        <w:rPr>
          <w:rFonts w:ascii="Arial" w:hAnsi="Arial" w:cs="Arial"/>
          <w:sz w:val="22"/>
          <w:szCs w:val="22"/>
        </w:rPr>
      </w:pPr>
    </w:p>
    <w:p w:rsidR="00BF7616" w:rsidRDefault="002A5E60" w:rsidP="004609D1">
      <w:pPr>
        <w:ind w:right="804"/>
        <w:jc w:val="both"/>
        <w:rPr>
          <w:rFonts w:ascii="Arial" w:hAnsi="Arial" w:cs="Arial"/>
          <w:sz w:val="22"/>
          <w:szCs w:val="22"/>
        </w:rPr>
      </w:pPr>
      <w:r>
        <w:rPr>
          <w:rFonts w:ascii="Arial" w:hAnsi="Arial" w:cs="Arial"/>
          <w:sz w:val="22"/>
          <w:szCs w:val="22"/>
        </w:rPr>
        <w:t>Dear sir/madam</w:t>
      </w:r>
    </w:p>
    <w:p w:rsidR="002A5E60" w:rsidRDefault="002A5E60" w:rsidP="004609D1">
      <w:pPr>
        <w:ind w:right="804"/>
        <w:jc w:val="both"/>
        <w:rPr>
          <w:rFonts w:ascii="Arial" w:hAnsi="Arial" w:cs="Arial"/>
          <w:sz w:val="22"/>
          <w:szCs w:val="22"/>
        </w:rPr>
      </w:pPr>
    </w:p>
    <w:p w:rsidR="00742F32" w:rsidRPr="00742F32" w:rsidRDefault="007E15FC" w:rsidP="004609D1">
      <w:pPr>
        <w:ind w:right="804"/>
        <w:jc w:val="both"/>
        <w:rPr>
          <w:rFonts w:ascii="Arial" w:hAnsi="Arial" w:cs="Arial"/>
          <w:b/>
          <w:sz w:val="22"/>
          <w:szCs w:val="22"/>
        </w:rPr>
      </w:pPr>
      <w:r>
        <w:rPr>
          <w:rFonts w:ascii="Arial" w:hAnsi="Arial" w:cs="Arial"/>
          <w:b/>
          <w:sz w:val="22"/>
          <w:szCs w:val="22"/>
        </w:rPr>
        <w:t>RE: Mutual Recognition Schemes Draft Report</w:t>
      </w:r>
    </w:p>
    <w:p w:rsidR="00742F32" w:rsidRDefault="00742F32" w:rsidP="004609D1">
      <w:pPr>
        <w:ind w:right="804"/>
        <w:jc w:val="both"/>
        <w:rPr>
          <w:rFonts w:ascii="Arial" w:hAnsi="Arial" w:cs="Arial"/>
          <w:sz w:val="22"/>
          <w:szCs w:val="22"/>
        </w:rPr>
      </w:pPr>
    </w:p>
    <w:p w:rsidR="00E21A82" w:rsidRPr="00E21A82" w:rsidRDefault="00D170BF" w:rsidP="00E21A82">
      <w:pPr>
        <w:pStyle w:val="Default"/>
        <w:jc w:val="both"/>
        <w:rPr>
          <w:rFonts w:ascii="Arial" w:hAnsi="Arial" w:cs="Arial"/>
          <w:sz w:val="22"/>
          <w:szCs w:val="22"/>
        </w:rPr>
      </w:pPr>
      <w:r>
        <w:rPr>
          <w:rFonts w:ascii="Arial" w:hAnsi="Arial" w:cs="Arial"/>
          <w:sz w:val="22"/>
          <w:szCs w:val="22"/>
        </w:rPr>
        <w:t>On behalf of the</w:t>
      </w:r>
      <w:r w:rsidR="00E21A82" w:rsidRPr="00E21A82">
        <w:rPr>
          <w:rFonts w:ascii="Arial" w:hAnsi="Arial" w:cs="Arial"/>
          <w:sz w:val="22"/>
          <w:szCs w:val="22"/>
        </w:rPr>
        <w:t xml:space="preserve"> Master Plumbers and </w:t>
      </w:r>
      <w:r w:rsidR="002A5E60">
        <w:rPr>
          <w:rFonts w:ascii="Arial" w:hAnsi="Arial" w:cs="Arial"/>
          <w:sz w:val="22"/>
          <w:szCs w:val="22"/>
        </w:rPr>
        <w:t>Mechanical Services Association of Australia (MPMSAA)</w:t>
      </w:r>
      <w:r>
        <w:rPr>
          <w:rFonts w:ascii="Arial" w:hAnsi="Arial" w:cs="Arial"/>
          <w:sz w:val="22"/>
          <w:szCs w:val="22"/>
        </w:rPr>
        <w:t>,</w:t>
      </w:r>
      <w:r w:rsidR="002A5E60">
        <w:rPr>
          <w:rFonts w:ascii="Arial" w:hAnsi="Arial" w:cs="Arial"/>
          <w:sz w:val="22"/>
          <w:szCs w:val="22"/>
        </w:rPr>
        <w:t xml:space="preserve"> I</w:t>
      </w:r>
      <w:r>
        <w:rPr>
          <w:rFonts w:ascii="Arial" w:hAnsi="Arial" w:cs="Arial"/>
          <w:sz w:val="22"/>
          <w:szCs w:val="22"/>
        </w:rPr>
        <w:t xml:space="preserve"> thank you for the opportunity to comment on the Mutual Recognition Schemes Draft Report published by </w:t>
      </w:r>
      <w:r w:rsidR="00E21A82" w:rsidRPr="00E21A82">
        <w:rPr>
          <w:rFonts w:ascii="Arial" w:hAnsi="Arial" w:cs="Arial"/>
          <w:sz w:val="22"/>
          <w:szCs w:val="22"/>
        </w:rPr>
        <w:t>the Productivity Commission in June 2015</w:t>
      </w:r>
      <w:r w:rsidR="002A5E60">
        <w:rPr>
          <w:rFonts w:ascii="Arial" w:hAnsi="Arial" w:cs="Arial"/>
          <w:sz w:val="22"/>
          <w:szCs w:val="22"/>
        </w:rPr>
        <w:t xml:space="preserve"> and for the earlier opportunity for verbal discussion.</w:t>
      </w:r>
      <w:r w:rsidR="00E21A82" w:rsidRPr="00E21A82">
        <w:rPr>
          <w:rFonts w:ascii="Arial" w:hAnsi="Arial" w:cs="Arial"/>
          <w:sz w:val="22"/>
          <w:szCs w:val="22"/>
        </w:rPr>
        <w:t xml:space="preserve">  </w:t>
      </w:r>
    </w:p>
    <w:p w:rsidR="00E21A82" w:rsidRPr="00E21A82" w:rsidRDefault="00E21A82" w:rsidP="00E21A82">
      <w:pPr>
        <w:pStyle w:val="Default"/>
        <w:jc w:val="both"/>
        <w:rPr>
          <w:rFonts w:ascii="Arial" w:hAnsi="Arial" w:cs="Arial"/>
          <w:sz w:val="22"/>
          <w:szCs w:val="22"/>
        </w:rPr>
      </w:pPr>
    </w:p>
    <w:p w:rsidR="00E21A82" w:rsidRPr="00E21A82" w:rsidRDefault="00E21A82" w:rsidP="00E21A82">
      <w:pPr>
        <w:pStyle w:val="Default"/>
        <w:jc w:val="both"/>
        <w:rPr>
          <w:rFonts w:ascii="Arial" w:eastAsiaTheme="minorHAnsi" w:hAnsi="Arial" w:cs="Arial"/>
          <w:sz w:val="22"/>
          <w:szCs w:val="22"/>
        </w:rPr>
      </w:pPr>
      <w:r w:rsidRPr="00E21A82">
        <w:rPr>
          <w:rFonts w:ascii="Arial" w:hAnsi="Arial" w:cs="Arial"/>
          <w:sz w:val="22"/>
          <w:szCs w:val="22"/>
        </w:rPr>
        <w:t xml:space="preserve">The </w:t>
      </w:r>
      <w:r w:rsidR="002A5E60">
        <w:rPr>
          <w:rFonts w:ascii="Arial" w:hAnsi="Arial" w:cs="Arial"/>
          <w:sz w:val="22"/>
          <w:szCs w:val="22"/>
        </w:rPr>
        <w:t xml:space="preserve">Association </w:t>
      </w:r>
      <w:r w:rsidRPr="00E21A82">
        <w:rPr>
          <w:rFonts w:ascii="Arial" w:hAnsi="Arial" w:cs="Arial"/>
          <w:sz w:val="22"/>
          <w:szCs w:val="22"/>
        </w:rPr>
        <w:t>supports the continuance of the Mutual Recognition Scheme for licensing in the plumb</w:t>
      </w:r>
      <w:r w:rsidR="00D170BF">
        <w:rPr>
          <w:rFonts w:ascii="Arial" w:hAnsi="Arial" w:cs="Arial"/>
          <w:sz w:val="22"/>
          <w:szCs w:val="22"/>
        </w:rPr>
        <w:t>ing</w:t>
      </w:r>
      <w:r w:rsidR="00A51C4B">
        <w:rPr>
          <w:rFonts w:ascii="Arial" w:hAnsi="Arial" w:cs="Arial"/>
          <w:sz w:val="22"/>
          <w:szCs w:val="22"/>
        </w:rPr>
        <w:t xml:space="preserve"> and </w:t>
      </w:r>
      <w:proofErr w:type="spellStart"/>
      <w:r w:rsidR="00A51C4B">
        <w:rPr>
          <w:rFonts w:ascii="Arial" w:hAnsi="Arial" w:cs="Arial"/>
          <w:sz w:val="22"/>
          <w:szCs w:val="22"/>
        </w:rPr>
        <w:t>gasfitting</w:t>
      </w:r>
      <w:proofErr w:type="spellEnd"/>
      <w:r w:rsidR="00A51C4B">
        <w:rPr>
          <w:rFonts w:ascii="Arial" w:hAnsi="Arial" w:cs="Arial"/>
          <w:sz w:val="22"/>
          <w:szCs w:val="22"/>
        </w:rPr>
        <w:t xml:space="preserve"> occupations.  T</w:t>
      </w:r>
      <w:r w:rsidRPr="00E21A82">
        <w:rPr>
          <w:rFonts w:ascii="Arial" w:eastAsiaTheme="minorHAnsi" w:hAnsi="Arial" w:cs="Arial"/>
          <w:sz w:val="22"/>
          <w:szCs w:val="22"/>
        </w:rPr>
        <w:t>he</w:t>
      </w:r>
      <w:r w:rsidR="00D170BF">
        <w:rPr>
          <w:rFonts w:ascii="Arial" w:eastAsiaTheme="minorHAnsi" w:hAnsi="Arial" w:cs="Arial"/>
          <w:sz w:val="22"/>
          <w:szCs w:val="22"/>
        </w:rPr>
        <w:t xml:space="preserve"> system has </w:t>
      </w:r>
      <w:r w:rsidR="002A5E60">
        <w:rPr>
          <w:rFonts w:ascii="Arial" w:eastAsiaTheme="minorHAnsi" w:hAnsi="Arial" w:cs="Arial"/>
          <w:sz w:val="22"/>
          <w:szCs w:val="22"/>
        </w:rPr>
        <w:t xml:space="preserve">in the main </w:t>
      </w:r>
      <w:r w:rsidR="00D170BF">
        <w:rPr>
          <w:rFonts w:ascii="Arial" w:eastAsiaTheme="minorHAnsi" w:hAnsi="Arial" w:cs="Arial"/>
          <w:sz w:val="22"/>
          <w:szCs w:val="22"/>
        </w:rPr>
        <w:t>worked successfully</w:t>
      </w:r>
      <w:r w:rsidRPr="00E21A82">
        <w:rPr>
          <w:rFonts w:ascii="Arial" w:eastAsiaTheme="minorHAnsi" w:hAnsi="Arial" w:cs="Arial"/>
          <w:sz w:val="22"/>
          <w:szCs w:val="22"/>
        </w:rPr>
        <w:t xml:space="preserve"> </w:t>
      </w:r>
      <w:r w:rsidR="002A5E60">
        <w:rPr>
          <w:rFonts w:ascii="Arial" w:eastAsiaTheme="minorHAnsi" w:hAnsi="Arial" w:cs="Arial"/>
          <w:sz w:val="22"/>
          <w:szCs w:val="22"/>
        </w:rPr>
        <w:t>and has facilitated the mobility of plumbing practitioners.</w:t>
      </w:r>
      <w:r w:rsidRPr="00E21A82">
        <w:rPr>
          <w:rFonts w:ascii="Arial" w:eastAsiaTheme="minorHAnsi" w:hAnsi="Arial" w:cs="Arial"/>
          <w:sz w:val="22"/>
          <w:szCs w:val="22"/>
        </w:rPr>
        <w:t xml:space="preserve"> </w:t>
      </w:r>
    </w:p>
    <w:p w:rsidR="00E21A82" w:rsidRPr="00E21A82" w:rsidRDefault="00E21A82" w:rsidP="00E21A82">
      <w:pPr>
        <w:pStyle w:val="Default"/>
        <w:jc w:val="both"/>
        <w:rPr>
          <w:rFonts w:ascii="Arial" w:eastAsiaTheme="minorHAnsi" w:hAnsi="Arial" w:cs="Arial"/>
          <w:sz w:val="22"/>
          <w:szCs w:val="22"/>
        </w:rPr>
      </w:pPr>
    </w:p>
    <w:p w:rsidR="00E21A82" w:rsidRPr="00E21A82" w:rsidRDefault="00E21A82" w:rsidP="00E21A82">
      <w:pPr>
        <w:pStyle w:val="Default"/>
        <w:jc w:val="both"/>
        <w:rPr>
          <w:rFonts w:ascii="Arial" w:hAnsi="Arial" w:cs="Arial"/>
          <w:sz w:val="22"/>
          <w:szCs w:val="22"/>
        </w:rPr>
      </w:pPr>
      <w:r w:rsidRPr="00E21A82">
        <w:rPr>
          <w:rFonts w:ascii="Arial" w:hAnsi="Arial" w:cs="Arial"/>
          <w:sz w:val="22"/>
          <w:szCs w:val="22"/>
        </w:rPr>
        <w:t xml:space="preserve">The </w:t>
      </w:r>
      <w:r w:rsidR="00155847" w:rsidRPr="00E21A82">
        <w:rPr>
          <w:rFonts w:ascii="Arial" w:hAnsi="Arial" w:cs="Arial"/>
          <w:sz w:val="22"/>
          <w:szCs w:val="22"/>
        </w:rPr>
        <w:t>MP</w:t>
      </w:r>
      <w:r w:rsidR="00155847">
        <w:rPr>
          <w:rFonts w:ascii="Arial" w:hAnsi="Arial" w:cs="Arial"/>
          <w:sz w:val="22"/>
          <w:szCs w:val="22"/>
        </w:rPr>
        <w:t xml:space="preserve">MSAA </w:t>
      </w:r>
      <w:r w:rsidR="00155847" w:rsidRPr="00E21A82">
        <w:rPr>
          <w:rFonts w:ascii="Arial" w:hAnsi="Arial" w:cs="Arial"/>
          <w:sz w:val="22"/>
          <w:szCs w:val="22"/>
        </w:rPr>
        <w:t>supports</w:t>
      </w:r>
      <w:r w:rsidRPr="00E21A82">
        <w:rPr>
          <w:rFonts w:ascii="Arial" w:hAnsi="Arial" w:cs="Arial"/>
          <w:sz w:val="22"/>
          <w:szCs w:val="22"/>
        </w:rPr>
        <w:t xml:space="preserve"> the ability for the registration body to conduct background checks, including police clearance declarations.</w:t>
      </w:r>
      <w:r w:rsidR="002A5E60">
        <w:rPr>
          <w:rFonts w:ascii="Arial" w:hAnsi="Arial" w:cs="Arial"/>
          <w:sz w:val="22"/>
          <w:szCs w:val="22"/>
        </w:rPr>
        <w:t xml:space="preserve"> Applicants should only be able to apply for mutual recognition where they already hold a current license in their home State.</w:t>
      </w:r>
    </w:p>
    <w:p w:rsidR="00E21A82" w:rsidRPr="00E21A82" w:rsidRDefault="00E21A82" w:rsidP="00E21A82">
      <w:pPr>
        <w:pStyle w:val="Default"/>
        <w:jc w:val="both"/>
        <w:rPr>
          <w:rFonts w:ascii="Arial" w:hAnsi="Arial" w:cs="Arial"/>
          <w:sz w:val="22"/>
          <w:szCs w:val="22"/>
        </w:rPr>
      </w:pPr>
    </w:p>
    <w:p w:rsidR="00A51C4B" w:rsidRDefault="00E21A82" w:rsidP="00155847">
      <w:pPr>
        <w:pStyle w:val="Default"/>
        <w:jc w:val="both"/>
        <w:rPr>
          <w:rFonts w:ascii="Arial" w:hAnsi="Arial" w:cs="Arial"/>
          <w:sz w:val="22"/>
          <w:szCs w:val="22"/>
        </w:rPr>
      </w:pPr>
      <w:r w:rsidRPr="00E21A82">
        <w:rPr>
          <w:rFonts w:ascii="Arial" w:hAnsi="Arial" w:cs="Arial"/>
          <w:sz w:val="22"/>
          <w:szCs w:val="22"/>
        </w:rPr>
        <w:t>The MP</w:t>
      </w:r>
      <w:r w:rsidR="002A5E60">
        <w:rPr>
          <w:rFonts w:ascii="Arial" w:hAnsi="Arial" w:cs="Arial"/>
          <w:sz w:val="22"/>
          <w:szCs w:val="22"/>
        </w:rPr>
        <w:t>MSAA</w:t>
      </w:r>
      <w:r w:rsidR="00155847">
        <w:rPr>
          <w:rFonts w:ascii="Arial" w:hAnsi="Arial" w:cs="Arial"/>
          <w:sz w:val="22"/>
          <w:szCs w:val="22"/>
        </w:rPr>
        <w:t xml:space="preserve"> </w:t>
      </w:r>
      <w:r w:rsidRPr="00E21A82">
        <w:rPr>
          <w:rFonts w:ascii="Arial" w:hAnsi="Arial" w:cs="Arial"/>
          <w:sz w:val="22"/>
          <w:szCs w:val="22"/>
        </w:rPr>
        <w:t xml:space="preserve">supports in principal the need for ongoing up-skilling of plumbers and gasfitters as new technologies and skills are required in this ever-developing industry. With the demand for innovation, cost efficiency and environmental protection, plumbing practitioners need to be kept up to date with the necessary information. Consumers demand these solutions to satisfy their needs for improved efficiency from products and technology that are constantly evolving in this continually changing industry. However, at this stage it would be difficult under the scheme to implement and is better left for further consideration at a later review. To our knowledge, other than New Zealand, no other state or territory has a compulsory continuing professional development scheme. </w:t>
      </w:r>
    </w:p>
    <w:p w:rsidR="00A51C4B" w:rsidRDefault="00A51C4B" w:rsidP="00E21A82">
      <w:pPr>
        <w:autoSpaceDE w:val="0"/>
        <w:autoSpaceDN w:val="0"/>
        <w:adjustRightInd w:val="0"/>
        <w:rPr>
          <w:rFonts w:ascii="Arial" w:hAnsi="Arial" w:cs="Arial"/>
          <w:sz w:val="22"/>
          <w:szCs w:val="22"/>
        </w:rPr>
      </w:pPr>
    </w:p>
    <w:p w:rsidR="00A51C4B" w:rsidRDefault="00A51C4B" w:rsidP="00A51C4B">
      <w:pPr>
        <w:autoSpaceDE w:val="0"/>
        <w:autoSpaceDN w:val="0"/>
        <w:adjustRightInd w:val="0"/>
        <w:jc w:val="both"/>
        <w:rPr>
          <w:rFonts w:ascii="Arial" w:hAnsi="Arial" w:cs="Arial"/>
          <w:sz w:val="22"/>
          <w:szCs w:val="22"/>
        </w:rPr>
      </w:pPr>
    </w:p>
    <w:p w:rsidR="00E21A82" w:rsidRDefault="00E21A82" w:rsidP="00A51C4B">
      <w:pPr>
        <w:autoSpaceDE w:val="0"/>
        <w:autoSpaceDN w:val="0"/>
        <w:adjustRightInd w:val="0"/>
        <w:jc w:val="both"/>
        <w:rPr>
          <w:rFonts w:ascii="Arial" w:eastAsiaTheme="minorHAnsi" w:hAnsi="Arial" w:cs="Arial"/>
          <w:color w:val="000000"/>
          <w:sz w:val="22"/>
          <w:szCs w:val="22"/>
          <w:lang w:val="en-US"/>
        </w:rPr>
      </w:pPr>
      <w:r w:rsidRPr="00E21A82">
        <w:rPr>
          <w:rFonts w:ascii="Arial" w:hAnsi="Arial" w:cs="Arial"/>
          <w:sz w:val="22"/>
          <w:szCs w:val="22"/>
        </w:rPr>
        <w:t>The MP</w:t>
      </w:r>
      <w:r w:rsidR="00A70718">
        <w:rPr>
          <w:rFonts w:ascii="Arial" w:hAnsi="Arial" w:cs="Arial"/>
          <w:sz w:val="22"/>
          <w:szCs w:val="22"/>
        </w:rPr>
        <w:t xml:space="preserve">MSAA believes that considerable work on the recognition of the different scopes of work that are licensed in different </w:t>
      </w:r>
      <w:r w:rsidR="00787DDF">
        <w:rPr>
          <w:rFonts w:ascii="Arial" w:hAnsi="Arial" w:cs="Arial"/>
          <w:sz w:val="22"/>
          <w:szCs w:val="22"/>
        </w:rPr>
        <w:t>jurisdictions</w:t>
      </w:r>
      <w:r w:rsidR="00A70718">
        <w:rPr>
          <w:rFonts w:ascii="Arial" w:hAnsi="Arial" w:cs="Arial"/>
          <w:sz w:val="22"/>
          <w:szCs w:val="22"/>
        </w:rPr>
        <w:t xml:space="preserve"> would be required before </w:t>
      </w:r>
      <w:r w:rsidR="00787DDF">
        <w:rPr>
          <w:rFonts w:ascii="Arial" w:hAnsi="Arial" w:cs="Arial"/>
          <w:sz w:val="22"/>
          <w:szCs w:val="22"/>
        </w:rPr>
        <w:t xml:space="preserve">a system of </w:t>
      </w:r>
      <w:r w:rsidRPr="00E21A82">
        <w:rPr>
          <w:rFonts w:ascii="Arial" w:hAnsi="Arial" w:cs="Arial"/>
          <w:sz w:val="22"/>
          <w:szCs w:val="22"/>
        </w:rPr>
        <w:t xml:space="preserve">automatic mutual recognition </w:t>
      </w:r>
      <w:r w:rsidR="00787DDF">
        <w:rPr>
          <w:rFonts w:ascii="Arial" w:hAnsi="Arial" w:cs="Arial"/>
          <w:sz w:val="22"/>
          <w:szCs w:val="22"/>
        </w:rPr>
        <w:t xml:space="preserve">would be workable.  Much of this work was done in preparation for the </w:t>
      </w:r>
      <w:r w:rsidR="00787DDF" w:rsidRPr="00E21A82">
        <w:rPr>
          <w:rFonts w:ascii="Arial" w:hAnsi="Arial" w:cs="Arial"/>
          <w:sz w:val="22"/>
          <w:szCs w:val="22"/>
        </w:rPr>
        <w:t>National</w:t>
      </w:r>
      <w:r w:rsidRPr="00E21A82">
        <w:rPr>
          <w:rFonts w:ascii="Arial" w:hAnsi="Arial" w:cs="Arial"/>
          <w:sz w:val="22"/>
          <w:szCs w:val="22"/>
        </w:rPr>
        <w:t xml:space="preserve"> Occupational Licensing Scheme (NOLS) that was abandoned several years ago</w:t>
      </w:r>
      <w:r w:rsidR="00787DDF">
        <w:rPr>
          <w:rFonts w:ascii="Arial" w:hAnsi="Arial" w:cs="Arial"/>
          <w:sz w:val="22"/>
          <w:szCs w:val="22"/>
        </w:rPr>
        <w:t>.</w:t>
      </w:r>
      <w:r w:rsidRPr="00E21A82">
        <w:rPr>
          <w:rFonts w:ascii="Arial" w:hAnsi="Arial" w:cs="Arial"/>
          <w:sz w:val="22"/>
          <w:szCs w:val="22"/>
        </w:rPr>
        <w:t xml:space="preserve"> It would also create </w:t>
      </w:r>
      <w:r w:rsidRPr="00E21A82">
        <w:rPr>
          <w:rFonts w:ascii="Arial" w:eastAsiaTheme="minorHAnsi" w:hAnsi="Arial" w:cs="Arial"/>
          <w:color w:val="000000"/>
          <w:sz w:val="22"/>
          <w:szCs w:val="22"/>
          <w:lang w:val="en-US"/>
        </w:rPr>
        <w:t xml:space="preserve">concern that without a requirement to register locally, the capacity of regulators to protect consumers will be undermined. This is because they depend on registration fees to fund enforcement activities, and without a formal registration requirement they will have no knowledge of the people practicing in their jurisdiction. </w:t>
      </w:r>
    </w:p>
    <w:p w:rsidR="00155847" w:rsidRDefault="00155847" w:rsidP="00A51C4B">
      <w:pPr>
        <w:autoSpaceDE w:val="0"/>
        <w:autoSpaceDN w:val="0"/>
        <w:adjustRightInd w:val="0"/>
        <w:jc w:val="both"/>
        <w:rPr>
          <w:rFonts w:ascii="Arial" w:eastAsiaTheme="minorHAnsi" w:hAnsi="Arial" w:cs="Arial"/>
          <w:color w:val="000000"/>
          <w:sz w:val="22"/>
          <w:szCs w:val="22"/>
          <w:lang w:val="en-US"/>
        </w:rPr>
      </w:pPr>
    </w:p>
    <w:p w:rsidR="00155847" w:rsidRDefault="00155847" w:rsidP="00A51C4B">
      <w:pPr>
        <w:autoSpaceDE w:val="0"/>
        <w:autoSpaceDN w:val="0"/>
        <w:adjustRightInd w:val="0"/>
        <w:jc w:val="both"/>
        <w:rPr>
          <w:rFonts w:ascii="Arial" w:eastAsiaTheme="minorHAnsi" w:hAnsi="Arial" w:cs="Arial"/>
          <w:color w:val="000000"/>
          <w:sz w:val="22"/>
          <w:szCs w:val="22"/>
          <w:lang w:val="en-US"/>
        </w:rPr>
      </w:pPr>
    </w:p>
    <w:p w:rsidR="00155847" w:rsidRPr="00E21A82" w:rsidRDefault="00155847" w:rsidP="00A51C4B">
      <w:pPr>
        <w:autoSpaceDE w:val="0"/>
        <w:autoSpaceDN w:val="0"/>
        <w:adjustRightInd w:val="0"/>
        <w:jc w:val="both"/>
        <w:rPr>
          <w:rFonts w:ascii="Arial" w:eastAsiaTheme="minorHAnsi" w:hAnsi="Arial" w:cs="Arial"/>
          <w:color w:val="000000"/>
          <w:sz w:val="22"/>
          <w:szCs w:val="22"/>
          <w:lang w:val="en-US"/>
        </w:rPr>
      </w:pPr>
    </w:p>
    <w:p w:rsidR="00E21A82" w:rsidRPr="00E21A82" w:rsidRDefault="00E21A82" w:rsidP="00A51C4B">
      <w:pPr>
        <w:pStyle w:val="Default"/>
        <w:jc w:val="both"/>
        <w:rPr>
          <w:rFonts w:ascii="Arial" w:eastAsiaTheme="minorHAnsi" w:hAnsi="Arial" w:cs="Arial"/>
          <w:sz w:val="22"/>
          <w:szCs w:val="22"/>
        </w:rPr>
      </w:pPr>
    </w:p>
    <w:p w:rsidR="00E21A82" w:rsidRPr="00E21A82" w:rsidRDefault="00E21A82" w:rsidP="00A51C4B">
      <w:pPr>
        <w:autoSpaceDE w:val="0"/>
        <w:autoSpaceDN w:val="0"/>
        <w:adjustRightInd w:val="0"/>
        <w:jc w:val="both"/>
        <w:rPr>
          <w:rFonts w:ascii="Arial" w:eastAsiaTheme="minorHAnsi" w:hAnsi="Arial" w:cs="Arial"/>
          <w:sz w:val="22"/>
          <w:szCs w:val="22"/>
        </w:rPr>
      </w:pPr>
      <w:r w:rsidRPr="00E21A82">
        <w:rPr>
          <w:rFonts w:ascii="Arial" w:eastAsiaTheme="minorHAnsi" w:hAnsi="Arial" w:cs="Arial"/>
          <w:sz w:val="22"/>
          <w:szCs w:val="22"/>
        </w:rPr>
        <w:lastRenderedPageBreak/>
        <w:t>The MP</w:t>
      </w:r>
      <w:r w:rsidR="00787DDF">
        <w:rPr>
          <w:rFonts w:ascii="Arial" w:eastAsiaTheme="minorHAnsi" w:hAnsi="Arial" w:cs="Arial"/>
          <w:sz w:val="22"/>
          <w:szCs w:val="22"/>
        </w:rPr>
        <w:t>MSAA</w:t>
      </w:r>
      <w:r w:rsidRPr="00E21A82">
        <w:rPr>
          <w:rFonts w:ascii="Arial" w:eastAsiaTheme="minorHAnsi" w:hAnsi="Arial" w:cs="Arial"/>
          <w:sz w:val="22"/>
          <w:szCs w:val="22"/>
        </w:rPr>
        <w:t xml:space="preserve"> supports the view that mutual recognition for plumbers and gasfitters provides:</w:t>
      </w:r>
    </w:p>
    <w:p w:rsidR="00E21A82" w:rsidRPr="00E21A82" w:rsidRDefault="00E21A82" w:rsidP="00A51C4B">
      <w:pPr>
        <w:autoSpaceDE w:val="0"/>
        <w:autoSpaceDN w:val="0"/>
        <w:adjustRightInd w:val="0"/>
        <w:jc w:val="both"/>
        <w:rPr>
          <w:rFonts w:ascii="Arial" w:eastAsiaTheme="minorHAnsi" w:hAnsi="Arial" w:cs="Arial"/>
          <w:sz w:val="22"/>
          <w:szCs w:val="22"/>
        </w:rPr>
      </w:pPr>
    </w:p>
    <w:p w:rsidR="00E21A82" w:rsidRPr="00E21A82" w:rsidRDefault="00E21A82" w:rsidP="00A51C4B">
      <w:pPr>
        <w:pStyle w:val="ListParagraph"/>
        <w:numPr>
          <w:ilvl w:val="0"/>
          <w:numId w:val="8"/>
        </w:numPr>
        <w:autoSpaceDE w:val="0"/>
        <w:autoSpaceDN w:val="0"/>
        <w:adjustRightInd w:val="0"/>
        <w:jc w:val="both"/>
        <w:rPr>
          <w:rFonts w:ascii="Arial" w:eastAsiaTheme="minorHAnsi" w:hAnsi="Arial" w:cs="Arial"/>
          <w:sz w:val="22"/>
          <w:szCs w:val="22"/>
        </w:rPr>
      </w:pPr>
      <w:r w:rsidRPr="00E21A82">
        <w:rPr>
          <w:rFonts w:ascii="Arial" w:eastAsiaTheme="minorHAnsi" w:hAnsi="Arial" w:cs="Arial"/>
          <w:sz w:val="22"/>
          <w:szCs w:val="22"/>
        </w:rPr>
        <w:t>Increased opportunities for Australians to work across the country, and for Australians and New Zealanders to work in each other's country;</w:t>
      </w:r>
    </w:p>
    <w:p w:rsidR="00E21A82" w:rsidRPr="00E21A82" w:rsidRDefault="00E21A82" w:rsidP="00A51C4B">
      <w:pPr>
        <w:autoSpaceDE w:val="0"/>
        <w:autoSpaceDN w:val="0"/>
        <w:adjustRightInd w:val="0"/>
        <w:ind w:left="360"/>
        <w:jc w:val="both"/>
        <w:rPr>
          <w:rFonts w:ascii="Arial" w:eastAsiaTheme="minorHAnsi" w:hAnsi="Arial" w:cs="Arial"/>
          <w:sz w:val="22"/>
          <w:szCs w:val="22"/>
        </w:rPr>
      </w:pPr>
    </w:p>
    <w:p w:rsidR="00E21A82" w:rsidRPr="00E21A82" w:rsidRDefault="00E21A82" w:rsidP="00A51C4B">
      <w:pPr>
        <w:pStyle w:val="ListParagraph"/>
        <w:numPr>
          <w:ilvl w:val="0"/>
          <w:numId w:val="8"/>
        </w:numPr>
        <w:autoSpaceDE w:val="0"/>
        <w:autoSpaceDN w:val="0"/>
        <w:adjustRightInd w:val="0"/>
        <w:jc w:val="both"/>
        <w:rPr>
          <w:rFonts w:ascii="Arial" w:eastAsiaTheme="minorHAnsi" w:hAnsi="Arial" w:cs="Arial"/>
          <w:sz w:val="22"/>
          <w:szCs w:val="22"/>
        </w:rPr>
      </w:pPr>
      <w:r w:rsidRPr="00E21A82">
        <w:rPr>
          <w:rFonts w:ascii="Arial" w:eastAsiaTheme="minorHAnsi" w:hAnsi="Arial" w:cs="Arial"/>
          <w:sz w:val="22"/>
          <w:szCs w:val="22"/>
        </w:rPr>
        <w:t>Improved cooperation between regulatory authorities;</w:t>
      </w:r>
    </w:p>
    <w:p w:rsidR="00E21A82" w:rsidRPr="00E21A82" w:rsidRDefault="00E21A82" w:rsidP="00A51C4B">
      <w:pPr>
        <w:autoSpaceDE w:val="0"/>
        <w:autoSpaceDN w:val="0"/>
        <w:adjustRightInd w:val="0"/>
        <w:ind w:left="360"/>
        <w:jc w:val="both"/>
        <w:rPr>
          <w:rFonts w:ascii="Arial" w:eastAsiaTheme="minorHAnsi" w:hAnsi="Arial" w:cs="Arial"/>
          <w:sz w:val="22"/>
          <w:szCs w:val="22"/>
        </w:rPr>
      </w:pPr>
    </w:p>
    <w:p w:rsidR="00E21A82" w:rsidRPr="00E21A82" w:rsidRDefault="00E21A82" w:rsidP="00A51C4B">
      <w:pPr>
        <w:pStyle w:val="ListParagraph"/>
        <w:numPr>
          <w:ilvl w:val="0"/>
          <w:numId w:val="8"/>
        </w:numPr>
        <w:autoSpaceDE w:val="0"/>
        <w:autoSpaceDN w:val="0"/>
        <w:adjustRightInd w:val="0"/>
        <w:jc w:val="both"/>
        <w:rPr>
          <w:rFonts w:ascii="Arial" w:eastAsiaTheme="minorHAnsi" w:hAnsi="Arial" w:cs="Arial"/>
          <w:sz w:val="22"/>
          <w:szCs w:val="22"/>
        </w:rPr>
      </w:pPr>
      <w:r w:rsidRPr="00E21A82">
        <w:rPr>
          <w:rFonts w:ascii="Arial" w:eastAsiaTheme="minorHAnsi" w:hAnsi="Arial" w:cs="Arial"/>
          <w:sz w:val="22"/>
          <w:szCs w:val="22"/>
        </w:rPr>
        <w:t>Certainty for workers considering moving between jurisdictions;</w:t>
      </w:r>
    </w:p>
    <w:p w:rsidR="00E21A82" w:rsidRPr="00E21A82" w:rsidRDefault="00E21A82" w:rsidP="00A51C4B">
      <w:pPr>
        <w:autoSpaceDE w:val="0"/>
        <w:autoSpaceDN w:val="0"/>
        <w:adjustRightInd w:val="0"/>
        <w:jc w:val="both"/>
        <w:rPr>
          <w:rFonts w:ascii="Arial" w:eastAsiaTheme="minorHAnsi" w:hAnsi="Arial" w:cs="Arial"/>
          <w:sz w:val="22"/>
          <w:szCs w:val="22"/>
        </w:rPr>
      </w:pPr>
    </w:p>
    <w:p w:rsidR="00E21A82" w:rsidRPr="00E21A82" w:rsidRDefault="00E21A82" w:rsidP="00A51C4B">
      <w:pPr>
        <w:pStyle w:val="ListParagraph"/>
        <w:numPr>
          <w:ilvl w:val="0"/>
          <w:numId w:val="8"/>
        </w:numPr>
        <w:autoSpaceDE w:val="0"/>
        <w:autoSpaceDN w:val="0"/>
        <w:adjustRightInd w:val="0"/>
        <w:jc w:val="both"/>
        <w:rPr>
          <w:rFonts w:ascii="Arial" w:eastAsiaTheme="minorHAnsi" w:hAnsi="Arial" w:cs="Arial"/>
          <w:sz w:val="22"/>
          <w:szCs w:val="22"/>
        </w:rPr>
      </w:pPr>
      <w:r w:rsidRPr="00E21A82">
        <w:rPr>
          <w:rFonts w:ascii="Arial" w:eastAsiaTheme="minorHAnsi" w:hAnsi="Arial" w:cs="Arial"/>
          <w:sz w:val="22"/>
          <w:szCs w:val="22"/>
        </w:rPr>
        <w:t>Licensing authorities a faster way to consider applications for recognition of equivalent licences; and</w:t>
      </w:r>
    </w:p>
    <w:p w:rsidR="00E21A82" w:rsidRPr="00E21A82" w:rsidRDefault="00E21A82" w:rsidP="00A51C4B">
      <w:pPr>
        <w:autoSpaceDE w:val="0"/>
        <w:autoSpaceDN w:val="0"/>
        <w:adjustRightInd w:val="0"/>
        <w:jc w:val="both"/>
        <w:rPr>
          <w:rFonts w:ascii="Arial" w:eastAsiaTheme="minorHAnsi" w:hAnsi="Arial" w:cs="Arial"/>
          <w:sz w:val="22"/>
          <w:szCs w:val="22"/>
        </w:rPr>
      </w:pPr>
    </w:p>
    <w:p w:rsidR="00E21A82" w:rsidRPr="00E21A82" w:rsidRDefault="00E21A82" w:rsidP="00A51C4B">
      <w:pPr>
        <w:pStyle w:val="ListParagraph"/>
        <w:numPr>
          <w:ilvl w:val="0"/>
          <w:numId w:val="8"/>
        </w:numPr>
        <w:autoSpaceDE w:val="0"/>
        <w:autoSpaceDN w:val="0"/>
        <w:adjustRightInd w:val="0"/>
        <w:jc w:val="both"/>
        <w:rPr>
          <w:rFonts w:ascii="Arial" w:eastAsiaTheme="minorHAnsi" w:hAnsi="Arial" w:cs="Arial"/>
          <w:sz w:val="22"/>
          <w:szCs w:val="22"/>
        </w:rPr>
      </w:pPr>
      <w:r w:rsidRPr="00E21A82">
        <w:rPr>
          <w:rFonts w:ascii="Arial" w:eastAsiaTheme="minorHAnsi" w:hAnsi="Arial" w:cs="Arial"/>
          <w:sz w:val="22"/>
          <w:szCs w:val="22"/>
        </w:rPr>
        <w:t>Employers with mobile workforces greater ease to relocate workers more quickly across state and territory borders.</w:t>
      </w:r>
    </w:p>
    <w:p w:rsidR="00E21A82" w:rsidRPr="00E21A82" w:rsidRDefault="00E21A82" w:rsidP="00A51C4B">
      <w:pPr>
        <w:pStyle w:val="Default"/>
        <w:jc w:val="both"/>
        <w:rPr>
          <w:rFonts w:ascii="Arial" w:hAnsi="Arial" w:cs="Arial"/>
          <w:sz w:val="22"/>
          <w:szCs w:val="22"/>
        </w:rPr>
      </w:pPr>
    </w:p>
    <w:p w:rsidR="00E21A82" w:rsidRPr="00E21A82" w:rsidRDefault="00E21A82" w:rsidP="00A51C4B">
      <w:pPr>
        <w:pStyle w:val="Default"/>
        <w:jc w:val="both"/>
        <w:rPr>
          <w:rFonts w:ascii="Arial" w:hAnsi="Arial" w:cs="Arial"/>
          <w:sz w:val="22"/>
          <w:szCs w:val="22"/>
        </w:rPr>
      </w:pPr>
      <w:r w:rsidRPr="00E21A82">
        <w:rPr>
          <w:rFonts w:ascii="Arial" w:hAnsi="Arial" w:cs="Arial"/>
          <w:sz w:val="22"/>
          <w:szCs w:val="22"/>
        </w:rPr>
        <w:t>The discussion paper also forwarded a number of options for consideration including:</w:t>
      </w:r>
    </w:p>
    <w:p w:rsidR="00E21A82" w:rsidRPr="00E21A82" w:rsidRDefault="00E21A82" w:rsidP="00A51C4B">
      <w:pPr>
        <w:pStyle w:val="Default"/>
        <w:jc w:val="both"/>
        <w:rPr>
          <w:rFonts w:ascii="Arial" w:hAnsi="Arial" w:cs="Arial"/>
          <w:sz w:val="22"/>
          <w:szCs w:val="22"/>
        </w:rPr>
      </w:pPr>
    </w:p>
    <w:p w:rsidR="00E21A82" w:rsidRPr="00E21A82" w:rsidRDefault="00E21A82" w:rsidP="00A51C4B">
      <w:pPr>
        <w:pStyle w:val="ListParagraph"/>
        <w:numPr>
          <w:ilvl w:val="0"/>
          <w:numId w:val="7"/>
        </w:numPr>
        <w:autoSpaceDE w:val="0"/>
        <w:autoSpaceDN w:val="0"/>
        <w:adjustRightInd w:val="0"/>
        <w:jc w:val="both"/>
        <w:rPr>
          <w:rFonts w:ascii="Arial" w:eastAsiaTheme="minorHAnsi" w:hAnsi="Arial" w:cs="Arial"/>
          <w:color w:val="000000"/>
          <w:sz w:val="22"/>
          <w:szCs w:val="22"/>
          <w:lang w:val="en-US"/>
        </w:rPr>
      </w:pPr>
      <w:r w:rsidRPr="00E21A82">
        <w:rPr>
          <w:rFonts w:ascii="Arial" w:eastAsiaTheme="minorHAnsi" w:hAnsi="Arial" w:cs="Arial"/>
          <w:color w:val="000000"/>
          <w:sz w:val="22"/>
          <w:szCs w:val="22"/>
          <w:lang w:val="en-US"/>
        </w:rPr>
        <w:t xml:space="preserve">Requiring people to reside in the jurisdiction where they first register for a period of say 12 months before seeking registration elsewhere under mutual recognition. </w:t>
      </w:r>
    </w:p>
    <w:p w:rsidR="00E21A82" w:rsidRPr="00E21A82" w:rsidRDefault="00E21A82" w:rsidP="00A51C4B">
      <w:pPr>
        <w:autoSpaceDE w:val="0"/>
        <w:autoSpaceDN w:val="0"/>
        <w:adjustRightInd w:val="0"/>
        <w:ind w:left="360"/>
        <w:jc w:val="both"/>
        <w:rPr>
          <w:rFonts w:ascii="Arial" w:eastAsiaTheme="minorHAnsi" w:hAnsi="Arial" w:cs="Arial"/>
          <w:color w:val="000000"/>
          <w:sz w:val="22"/>
          <w:szCs w:val="22"/>
          <w:lang w:val="en-US"/>
        </w:rPr>
      </w:pPr>
    </w:p>
    <w:p w:rsidR="00E21A82" w:rsidRPr="00E21A82" w:rsidRDefault="00E21A82" w:rsidP="00A51C4B">
      <w:pPr>
        <w:pStyle w:val="ListParagraph"/>
        <w:numPr>
          <w:ilvl w:val="0"/>
          <w:numId w:val="7"/>
        </w:numPr>
        <w:autoSpaceDE w:val="0"/>
        <w:autoSpaceDN w:val="0"/>
        <w:adjustRightInd w:val="0"/>
        <w:jc w:val="both"/>
        <w:rPr>
          <w:rFonts w:ascii="Arial" w:eastAsiaTheme="minorHAnsi" w:hAnsi="Arial" w:cs="Arial"/>
          <w:color w:val="000000"/>
          <w:sz w:val="22"/>
          <w:szCs w:val="22"/>
          <w:lang w:val="en-US"/>
        </w:rPr>
      </w:pPr>
      <w:r w:rsidRPr="00E21A82">
        <w:rPr>
          <w:rFonts w:ascii="Arial" w:eastAsiaTheme="minorHAnsi" w:hAnsi="Arial" w:cs="Arial"/>
          <w:color w:val="000000"/>
          <w:sz w:val="22"/>
          <w:szCs w:val="22"/>
          <w:lang w:val="en-US"/>
        </w:rPr>
        <w:t xml:space="preserve">Attaching additional requirements on service providers from other jurisdictions to protect public health, security or the environment, on the grounds that registration requirements in the person’s origin jurisdiction are inadequate. </w:t>
      </w:r>
    </w:p>
    <w:p w:rsidR="00E21A82" w:rsidRPr="00E21A82" w:rsidRDefault="00E21A82" w:rsidP="00A51C4B">
      <w:pPr>
        <w:autoSpaceDE w:val="0"/>
        <w:autoSpaceDN w:val="0"/>
        <w:adjustRightInd w:val="0"/>
        <w:jc w:val="both"/>
        <w:rPr>
          <w:rFonts w:ascii="Arial" w:eastAsiaTheme="minorHAnsi" w:hAnsi="Arial" w:cs="Arial"/>
          <w:color w:val="000000"/>
          <w:sz w:val="22"/>
          <w:szCs w:val="22"/>
          <w:lang w:val="en-US"/>
        </w:rPr>
      </w:pPr>
    </w:p>
    <w:p w:rsidR="00E21A82" w:rsidRPr="00E21A82" w:rsidRDefault="00E21A82" w:rsidP="00A51C4B">
      <w:pPr>
        <w:pStyle w:val="ListParagraph"/>
        <w:numPr>
          <w:ilvl w:val="0"/>
          <w:numId w:val="7"/>
        </w:numPr>
        <w:autoSpaceDE w:val="0"/>
        <w:autoSpaceDN w:val="0"/>
        <w:adjustRightInd w:val="0"/>
        <w:jc w:val="both"/>
        <w:rPr>
          <w:rFonts w:ascii="Arial" w:hAnsi="Arial" w:cs="Arial"/>
          <w:sz w:val="22"/>
          <w:szCs w:val="22"/>
        </w:rPr>
      </w:pPr>
      <w:r w:rsidRPr="00E21A82">
        <w:rPr>
          <w:rFonts w:ascii="Arial" w:eastAsiaTheme="minorHAnsi" w:hAnsi="Arial" w:cs="Arial"/>
          <w:color w:val="000000"/>
          <w:sz w:val="22"/>
          <w:szCs w:val="22"/>
          <w:lang w:val="en-US"/>
        </w:rPr>
        <w:t xml:space="preserve">Refusing to </w:t>
      </w:r>
      <w:proofErr w:type="spellStart"/>
      <w:r w:rsidRPr="00E21A82">
        <w:rPr>
          <w:rFonts w:ascii="Arial" w:eastAsiaTheme="minorHAnsi" w:hAnsi="Arial" w:cs="Arial"/>
          <w:color w:val="000000"/>
          <w:sz w:val="22"/>
          <w:szCs w:val="22"/>
          <w:lang w:val="en-US"/>
        </w:rPr>
        <w:t>recognise</w:t>
      </w:r>
      <w:proofErr w:type="spellEnd"/>
      <w:r w:rsidRPr="00E21A82">
        <w:rPr>
          <w:rFonts w:ascii="Arial" w:eastAsiaTheme="minorHAnsi" w:hAnsi="Arial" w:cs="Arial"/>
          <w:color w:val="000000"/>
          <w:sz w:val="22"/>
          <w:szCs w:val="22"/>
          <w:lang w:val="en-US"/>
        </w:rPr>
        <w:t xml:space="preserve"> the qualifications of an individual who undertakes training in one jurisdiction, registers in another jurisdiction and then seeks to have their registration </w:t>
      </w:r>
      <w:proofErr w:type="spellStart"/>
      <w:r w:rsidRPr="00E21A82">
        <w:rPr>
          <w:rFonts w:ascii="Arial" w:eastAsiaTheme="minorHAnsi" w:hAnsi="Arial" w:cs="Arial"/>
          <w:color w:val="000000"/>
          <w:sz w:val="22"/>
          <w:szCs w:val="22"/>
          <w:lang w:val="en-US"/>
        </w:rPr>
        <w:t>recognised</w:t>
      </w:r>
      <w:proofErr w:type="spellEnd"/>
      <w:r w:rsidRPr="00E21A82">
        <w:rPr>
          <w:rFonts w:ascii="Arial" w:eastAsiaTheme="minorHAnsi" w:hAnsi="Arial" w:cs="Arial"/>
          <w:color w:val="000000"/>
          <w:sz w:val="22"/>
          <w:szCs w:val="22"/>
          <w:lang w:val="en-US"/>
        </w:rPr>
        <w:t xml:space="preserve"> in the jurisdiction where they trained. </w:t>
      </w:r>
    </w:p>
    <w:p w:rsidR="00E21A82" w:rsidRPr="00E21A82" w:rsidRDefault="00E21A82" w:rsidP="00A51C4B">
      <w:pPr>
        <w:pStyle w:val="ListParagraph"/>
        <w:jc w:val="both"/>
        <w:rPr>
          <w:rFonts w:ascii="Arial" w:hAnsi="Arial" w:cs="Arial"/>
          <w:sz w:val="22"/>
          <w:szCs w:val="22"/>
        </w:rPr>
      </w:pPr>
    </w:p>
    <w:p w:rsidR="00E21A82" w:rsidRPr="00E21A82" w:rsidRDefault="00787DDF" w:rsidP="00A51C4B">
      <w:pPr>
        <w:autoSpaceDE w:val="0"/>
        <w:autoSpaceDN w:val="0"/>
        <w:adjustRightInd w:val="0"/>
        <w:jc w:val="both"/>
        <w:rPr>
          <w:rFonts w:ascii="Arial" w:eastAsiaTheme="minorHAnsi" w:hAnsi="Arial" w:cs="Arial"/>
          <w:color w:val="000000"/>
          <w:sz w:val="22"/>
          <w:szCs w:val="22"/>
          <w:lang w:val="en-US"/>
        </w:rPr>
      </w:pPr>
      <w:r>
        <w:rPr>
          <w:rFonts w:ascii="Arial" w:eastAsiaTheme="minorHAnsi" w:hAnsi="Arial" w:cs="Arial"/>
          <w:color w:val="000000"/>
          <w:sz w:val="22"/>
          <w:szCs w:val="22"/>
          <w:lang w:val="en-US"/>
        </w:rPr>
        <w:t>T</w:t>
      </w:r>
      <w:r w:rsidR="00E21A82" w:rsidRPr="00E21A82">
        <w:rPr>
          <w:rFonts w:ascii="Arial" w:eastAsiaTheme="minorHAnsi" w:hAnsi="Arial" w:cs="Arial"/>
          <w:color w:val="000000"/>
          <w:sz w:val="22"/>
          <w:szCs w:val="22"/>
          <w:lang w:val="en-US"/>
        </w:rPr>
        <w:t>he MP</w:t>
      </w:r>
      <w:r>
        <w:rPr>
          <w:rFonts w:ascii="Arial" w:eastAsiaTheme="minorHAnsi" w:hAnsi="Arial" w:cs="Arial"/>
          <w:color w:val="000000"/>
          <w:sz w:val="22"/>
          <w:szCs w:val="22"/>
          <w:lang w:val="en-US"/>
        </w:rPr>
        <w:t>MSA</w:t>
      </w:r>
      <w:r w:rsidR="00155847">
        <w:rPr>
          <w:rFonts w:ascii="Arial" w:eastAsiaTheme="minorHAnsi" w:hAnsi="Arial" w:cs="Arial"/>
          <w:color w:val="000000"/>
          <w:sz w:val="22"/>
          <w:szCs w:val="22"/>
          <w:lang w:val="en-US"/>
        </w:rPr>
        <w:t>A</w:t>
      </w:r>
      <w:r w:rsidR="00E21A82" w:rsidRPr="00E21A82">
        <w:rPr>
          <w:rFonts w:ascii="Arial" w:eastAsiaTheme="minorHAnsi" w:hAnsi="Arial" w:cs="Arial"/>
          <w:color w:val="000000"/>
          <w:sz w:val="22"/>
          <w:szCs w:val="22"/>
          <w:lang w:val="en-US"/>
        </w:rPr>
        <w:t xml:space="preserve"> </w:t>
      </w:r>
      <w:r>
        <w:rPr>
          <w:rFonts w:ascii="Arial" w:eastAsiaTheme="minorHAnsi" w:hAnsi="Arial" w:cs="Arial"/>
          <w:color w:val="000000"/>
          <w:sz w:val="22"/>
          <w:szCs w:val="22"/>
          <w:lang w:val="en-US"/>
        </w:rPr>
        <w:t>agrees that the first two o</w:t>
      </w:r>
      <w:r w:rsidR="00E21A82" w:rsidRPr="00E21A82">
        <w:rPr>
          <w:rFonts w:ascii="Arial" w:eastAsiaTheme="minorHAnsi" w:hAnsi="Arial" w:cs="Arial"/>
          <w:color w:val="000000"/>
          <w:sz w:val="22"/>
          <w:szCs w:val="22"/>
          <w:lang w:val="en-US"/>
        </w:rPr>
        <w:t xml:space="preserve">f these three options are </w:t>
      </w:r>
      <w:r>
        <w:rPr>
          <w:rFonts w:ascii="Arial" w:eastAsiaTheme="minorHAnsi" w:hAnsi="Arial" w:cs="Arial"/>
          <w:color w:val="000000"/>
          <w:sz w:val="22"/>
          <w:szCs w:val="22"/>
          <w:lang w:val="en-US"/>
        </w:rPr>
        <w:t xml:space="preserve">not </w:t>
      </w:r>
      <w:r w:rsidR="00E21A82" w:rsidRPr="00E21A82">
        <w:rPr>
          <w:rFonts w:ascii="Arial" w:eastAsiaTheme="minorHAnsi" w:hAnsi="Arial" w:cs="Arial"/>
          <w:color w:val="000000"/>
          <w:sz w:val="22"/>
          <w:szCs w:val="22"/>
          <w:lang w:val="en-US"/>
        </w:rPr>
        <w:t xml:space="preserve">worth pursuing, as they would add to the cost of administering mutual recognition schemes and hinder the cross-border movement of short-term residents who have a genuine reason for moving. </w:t>
      </w:r>
      <w:r>
        <w:rPr>
          <w:rFonts w:ascii="Arial" w:eastAsiaTheme="minorHAnsi" w:hAnsi="Arial" w:cs="Arial"/>
          <w:color w:val="000000"/>
          <w:sz w:val="22"/>
          <w:szCs w:val="22"/>
          <w:lang w:val="en-US"/>
        </w:rPr>
        <w:t>The third option would however in our view provide more confidence in the system in that the perception of jurisdiction shopping would be avoided.</w:t>
      </w:r>
    </w:p>
    <w:p w:rsidR="00E21A82" w:rsidRPr="00E21A82" w:rsidRDefault="00E21A82" w:rsidP="00A51C4B">
      <w:pPr>
        <w:autoSpaceDE w:val="0"/>
        <w:autoSpaceDN w:val="0"/>
        <w:adjustRightInd w:val="0"/>
        <w:ind w:left="360"/>
        <w:jc w:val="both"/>
        <w:rPr>
          <w:rFonts w:ascii="Arial" w:hAnsi="Arial" w:cs="Arial"/>
          <w:sz w:val="22"/>
          <w:szCs w:val="22"/>
        </w:rPr>
      </w:pPr>
    </w:p>
    <w:p w:rsidR="00E21A82" w:rsidRDefault="00E21A82" w:rsidP="00A51C4B">
      <w:pPr>
        <w:autoSpaceDE w:val="0"/>
        <w:autoSpaceDN w:val="0"/>
        <w:adjustRightInd w:val="0"/>
        <w:jc w:val="both"/>
        <w:rPr>
          <w:rFonts w:ascii="Arial" w:hAnsi="Arial" w:cs="Arial"/>
          <w:sz w:val="22"/>
          <w:szCs w:val="22"/>
        </w:rPr>
      </w:pPr>
      <w:r w:rsidRPr="00E21A82">
        <w:rPr>
          <w:rFonts w:ascii="Arial" w:hAnsi="Arial" w:cs="Arial"/>
          <w:sz w:val="22"/>
          <w:szCs w:val="22"/>
        </w:rPr>
        <w:t>In conclusion, the MP</w:t>
      </w:r>
      <w:r w:rsidR="00787DDF">
        <w:rPr>
          <w:rFonts w:ascii="Arial" w:hAnsi="Arial" w:cs="Arial"/>
          <w:sz w:val="22"/>
          <w:szCs w:val="22"/>
        </w:rPr>
        <w:t>MSAA</w:t>
      </w:r>
      <w:r w:rsidRPr="00E21A82">
        <w:rPr>
          <w:rFonts w:ascii="Arial" w:hAnsi="Arial" w:cs="Arial"/>
          <w:sz w:val="22"/>
          <w:szCs w:val="22"/>
        </w:rPr>
        <w:t xml:space="preserve"> supports the continuance of the mutual recognition scheme for the plumbing and </w:t>
      </w:r>
      <w:proofErr w:type="spellStart"/>
      <w:r w:rsidRPr="00E21A82">
        <w:rPr>
          <w:rFonts w:ascii="Arial" w:hAnsi="Arial" w:cs="Arial"/>
          <w:sz w:val="22"/>
          <w:szCs w:val="22"/>
        </w:rPr>
        <w:t>gasfitting</w:t>
      </w:r>
      <w:proofErr w:type="spellEnd"/>
      <w:r w:rsidRPr="00E21A82">
        <w:rPr>
          <w:rFonts w:ascii="Arial" w:hAnsi="Arial" w:cs="Arial"/>
          <w:sz w:val="22"/>
          <w:szCs w:val="22"/>
        </w:rPr>
        <w:t xml:space="preserve"> industry, with continual improvements by regulatory authorities to streamline the process wherever possible.</w:t>
      </w:r>
    </w:p>
    <w:p w:rsidR="00B934F0" w:rsidRDefault="00B934F0" w:rsidP="00A51C4B">
      <w:pPr>
        <w:autoSpaceDE w:val="0"/>
        <w:autoSpaceDN w:val="0"/>
        <w:adjustRightInd w:val="0"/>
        <w:jc w:val="both"/>
        <w:rPr>
          <w:rFonts w:ascii="Arial" w:hAnsi="Arial" w:cs="Arial"/>
          <w:sz w:val="22"/>
          <w:szCs w:val="22"/>
        </w:rPr>
      </w:pPr>
    </w:p>
    <w:p w:rsidR="00B934F0" w:rsidRPr="00E21A82" w:rsidRDefault="00B934F0" w:rsidP="00A51C4B">
      <w:pPr>
        <w:autoSpaceDE w:val="0"/>
        <w:autoSpaceDN w:val="0"/>
        <w:adjustRightInd w:val="0"/>
        <w:jc w:val="both"/>
        <w:rPr>
          <w:rFonts w:ascii="Arial" w:hAnsi="Arial" w:cs="Arial"/>
          <w:sz w:val="22"/>
          <w:szCs w:val="22"/>
        </w:rPr>
      </w:pPr>
      <w:r>
        <w:rPr>
          <w:rFonts w:ascii="Arial" w:hAnsi="Arial" w:cs="Arial"/>
          <w:sz w:val="22"/>
          <w:szCs w:val="22"/>
        </w:rPr>
        <w:t xml:space="preserve">Should you wish to discuss this matter further, please do not hesitate to contact me.  </w:t>
      </w:r>
    </w:p>
    <w:p w:rsidR="00DC5C4B" w:rsidRPr="00E21A82" w:rsidRDefault="00DC5C4B" w:rsidP="00A51C4B">
      <w:pPr>
        <w:ind w:right="804"/>
        <w:jc w:val="both"/>
        <w:rPr>
          <w:rFonts w:ascii="Arial" w:hAnsi="Arial" w:cs="Arial"/>
          <w:sz w:val="22"/>
          <w:szCs w:val="22"/>
        </w:rPr>
      </w:pPr>
    </w:p>
    <w:p w:rsidR="00AE3DE6" w:rsidRPr="00E21A82" w:rsidRDefault="00AE3DE6" w:rsidP="00A51C4B">
      <w:pPr>
        <w:ind w:right="804"/>
        <w:jc w:val="both"/>
        <w:rPr>
          <w:rFonts w:ascii="Arial" w:hAnsi="Arial" w:cs="Arial"/>
          <w:sz w:val="22"/>
          <w:szCs w:val="22"/>
        </w:rPr>
      </w:pPr>
    </w:p>
    <w:p w:rsidR="00787DDF" w:rsidRPr="00E21A82" w:rsidRDefault="00AE3DE6" w:rsidP="00A51C4B">
      <w:pPr>
        <w:ind w:right="804"/>
        <w:jc w:val="both"/>
        <w:rPr>
          <w:rFonts w:ascii="Arial" w:hAnsi="Arial" w:cs="Arial"/>
          <w:sz w:val="22"/>
          <w:szCs w:val="22"/>
        </w:rPr>
      </w:pPr>
      <w:r w:rsidRPr="00E21A82">
        <w:rPr>
          <w:rFonts w:ascii="Arial" w:hAnsi="Arial" w:cs="Arial"/>
          <w:sz w:val="22"/>
          <w:szCs w:val="22"/>
        </w:rPr>
        <w:t>Yours sincerely</w:t>
      </w:r>
    </w:p>
    <w:p w:rsidR="00AE3DE6" w:rsidRPr="00E21A82" w:rsidRDefault="00AE3DE6" w:rsidP="00A51C4B">
      <w:pPr>
        <w:ind w:right="804"/>
        <w:jc w:val="both"/>
        <w:rPr>
          <w:rFonts w:ascii="Arial" w:hAnsi="Arial" w:cs="Arial"/>
          <w:sz w:val="22"/>
          <w:szCs w:val="22"/>
        </w:rPr>
      </w:pPr>
    </w:p>
    <w:p w:rsidR="00D2694C" w:rsidRPr="00E21A82" w:rsidRDefault="00D2694C" w:rsidP="00A51C4B">
      <w:pPr>
        <w:ind w:right="804"/>
        <w:jc w:val="both"/>
        <w:rPr>
          <w:rFonts w:ascii="Arial" w:hAnsi="Arial" w:cs="Arial"/>
          <w:sz w:val="22"/>
          <w:szCs w:val="22"/>
        </w:rPr>
      </w:pPr>
    </w:p>
    <w:p w:rsidR="00267C0C" w:rsidRPr="00E21A82" w:rsidRDefault="00787DDF" w:rsidP="00A51C4B">
      <w:pPr>
        <w:ind w:right="804"/>
        <w:jc w:val="both"/>
        <w:rPr>
          <w:rFonts w:ascii="Arial" w:hAnsi="Arial" w:cs="Arial"/>
          <w:sz w:val="22"/>
          <w:szCs w:val="22"/>
        </w:rPr>
      </w:pPr>
      <w:r>
        <w:rPr>
          <w:rFonts w:ascii="Arial" w:hAnsi="Arial" w:cs="Arial"/>
          <w:sz w:val="22"/>
          <w:szCs w:val="22"/>
        </w:rPr>
        <w:t>Ken Gardner</w:t>
      </w:r>
    </w:p>
    <w:p w:rsidR="00BF7616" w:rsidRDefault="00BF7616" w:rsidP="00A51C4B">
      <w:pPr>
        <w:ind w:right="804"/>
        <w:jc w:val="both"/>
        <w:rPr>
          <w:rFonts w:ascii="Arial" w:hAnsi="Arial" w:cs="Arial"/>
          <w:sz w:val="22"/>
          <w:szCs w:val="22"/>
        </w:rPr>
      </w:pPr>
      <w:r w:rsidRPr="00E21A82">
        <w:rPr>
          <w:rFonts w:ascii="Arial" w:hAnsi="Arial" w:cs="Arial"/>
          <w:sz w:val="22"/>
          <w:szCs w:val="22"/>
        </w:rPr>
        <w:t>Chief Executive Officer</w:t>
      </w:r>
    </w:p>
    <w:p w:rsidR="00155847" w:rsidRPr="00E21A82" w:rsidRDefault="00155847" w:rsidP="00A51C4B">
      <w:pPr>
        <w:ind w:right="804"/>
        <w:jc w:val="both"/>
        <w:rPr>
          <w:rFonts w:ascii="Arial" w:hAnsi="Arial" w:cs="Arial"/>
          <w:sz w:val="22"/>
          <w:szCs w:val="22"/>
        </w:rPr>
      </w:pPr>
      <w:bookmarkStart w:id="0" w:name="_GoBack"/>
      <w:bookmarkEnd w:id="0"/>
    </w:p>
    <w:sectPr w:rsidR="00155847" w:rsidRPr="00E21A82" w:rsidSect="00AF0D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CACB6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12553"/>
    <w:multiLevelType w:val="hybridMultilevel"/>
    <w:tmpl w:val="EC8C7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B2709"/>
    <w:multiLevelType w:val="hybridMultilevel"/>
    <w:tmpl w:val="6890D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8130C"/>
    <w:multiLevelType w:val="hybridMultilevel"/>
    <w:tmpl w:val="BF6A0102"/>
    <w:lvl w:ilvl="0" w:tplc="4E5224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60227"/>
    <w:multiLevelType w:val="hybridMultilevel"/>
    <w:tmpl w:val="7F2AE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8C83FF3"/>
    <w:multiLevelType w:val="hybridMultilevel"/>
    <w:tmpl w:val="81DEBDD4"/>
    <w:lvl w:ilvl="0" w:tplc="4E5224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E942E5"/>
    <w:multiLevelType w:val="hybridMultilevel"/>
    <w:tmpl w:val="67F82D60"/>
    <w:lvl w:ilvl="0" w:tplc="3FDA13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D76A53"/>
    <w:multiLevelType w:val="hybridMultilevel"/>
    <w:tmpl w:val="9ED03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4"/>
  </w:num>
  <w:num w:numId="5">
    <w:abstractNumId w:val="1"/>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DE6"/>
    <w:rsid w:val="000127A7"/>
    <w:rsid w:val="00023944"/>
    <w:rsid w:val="0003065E"/>
    <w:rsid w:val="0004084A"/>
    <w:rsid w:val="000434CA"/>
    <w:rsid w:val="00046637"/>
    <w:rsid w:val="00046DA5"/>
    <w:rsid w:val="000472E4"/>
    <w:rsid w:val="00065FDB"/>
    <w:rsid w:val="0007534A"/>
    <w:rsid w:val="00081919"/>
    <w:rsid w:val="00085D0C"/>
    <w:rsid w:val="00093687"/>
    <w:rsid w:val="00094ABE"/>
    <w:rsid w:val="000A0807"/>
    <w:rsid w:val="000A657F"/>
    <w:rsid w:val="000D0EBA"/>
    <w:rsid w:val="000D3C3A"/>
    <w:rsid w:val="000D6CF9"/>
    <w:rsid w:val="000E4242"/>
    <w:rsid w:val="000E660C"/>
    <w:rsid w:val="001125D6"/>
    <w:rsid w:val="00117840"/>
    <w:rsid w:val="00151301"/>
    <w:rsid w:val="00151582"/>
    <w:rsid w:val="00153E9D"/>
    <w:rsid w:val="00155847"/>
    <w:rsid w:val="00174DAE"/>
    <w:rsid w:val="0017523C"/>
    <w:rsid w:val="00182A6E"/>
    <w:rsid w:val="001B1380"/>
    <w:rsid w:val="001C48B2"/>
    <w:rsid w:val="001C5DAB"/>
    <w:rsid w:val="00220DB4"/>
    <w:rsid w:val="0023373A"/>
    <w:rsid w:val="00240C32"/>
    <w:rsid w:val="0025373E"/>
    <w:rsid w:val="00267C0C"/>
    <w:rsid w:val="00272505"/>
    <w:rsid w:val="00272F77"/>
    <w:rsid w:val="0028034E"/>
    <w:rsid w:val="002869BF"/>
    <w:rsid w:val="002A5E60"/>
    <w:rsid w:val="002B5EAE"/>
    <w:rsid w:val="002D572A"/>
    <w:rsid w:val="002F258E"/>
    <w:rsid w:val="002F40AF"/>
    <w:rsid w:val="002F50E4"/>
    <w:rsid w:val="00324C59"/>
    <w:rsid w:val="00327640"/>
    <w:rsid w:val="003515EF"/>
    <w:rsid w:val="00353941"/>
    <w:rsid w:val="0036253D"/>
    <w:rsid w:val="003751E1"/>
    <w:rsid w:val="00377CF0"/>
    <w:rsid w:val="003832FC"/>
    <w:rsid w:val="003C4F2A"/>
    <w:rsid w:val="00401F13"/>
    <w:rsid w:val="0042172C"/>
    <w:rsid w:val="00425C7F"/>
    <w:rsid w:val="00453C40"/>
    <w:rsid w:val="0045592E"/>
    <w:rsid w:val="004609D1"/>
    <w:rsid w:val="00462741"/>
    <w:rsid w:val="00472DE4"/>
    <w:rsid w:val="00481C6C"/>
    <w:rsid w:val="0048548C"/>
    <w:rsid w:val="004B066D"/>
    <w:rsid w:val="004D7D54"/>
    <w:rsid w:val="00506276"/>
    <w:rsid w:val="00524536"/>
    <w:rsid w:val="00540359"/>
    <w:rsid w:val="0054199F"/>
    <w:rsid w:val="00542EBF"/>
    <w:rsid w:val="00551783"/>
    <w:rsid w:val="0059081E"/>
    <w:rsid w:val="005940EE"/>
    <w:rsid w:val="005B25C0"/>
    <w:rsid w:val="005D2BD5"/>
    <w:rsid w:val="005E2DF5"/>
    <w:rsid w:val="00627FE2"/>
    <w:rsid w:val="00656CE3"/>
    <w:rsid w:val="00673C5E"/>
    <w:rsid w:val="00677289"/>
    <w:rsid w:val="00685967"/>
    <w:rsid w:val="006867C6"/>
    <w:rsid w:val="006A495A"/>
    <w:rsid w:val="006A4FF4"/>
    <w:rsid w:val="006F0DC0"/>
    <w:rsid w:val="006F211F"/>
    <w:rsid w:val="006F37AD"/>
    <w:rsid w:val="00707C02"/>
    <w:rsid w:val="00725620"/>
    <w:rsid w:val="00727AF2"/>
    <w:rsid w:val="007339EC"/>
    <w:rsid w:val="00742F32"/>
    <w:rsid w:val="0075536B"/>
    <w:rsid w:val="007636E5"/>
    <w:rsid w:val="007662DD"/>
    <w:rsid w:val="007723E6"/>
    <w:rsid w:val="00787DDF"/>
    <w:rsid w:val="00790897"/>
    <w:rsid w:val="00793C30"/>
    <w:rsid w:val="007B679A"/>
    <w:rsid w:val="007B69FB"/>
    <w:rsid w:val="007C0936"/>
    <w:rsid w:val="007C5B6D"/>
    <w:rsid w:val="007E15FC"/>
    <w:rsid w:val="007E6CCB"/>
    <w:rsid w:val="007F3F93"/>
    <w:rsid w:val="007F59F3"/>
    <w:rsid w:val="00833301"/>
    <w:rsid w:val="0085212F"/>
    <w:rsid w:val="00853CC8"/>
    <w:rsid w:val="00855B11"/>
    <w:rsid w:val="00864D65"/>
    <w:rsid w:val="008B6188"/>
    <w:rsid w:val="008C74BA"/>
    <w:rsid w:val="008E7A62"/>
    <w:rsid w:val="008F1129"/>
    <w:rsid w:val="008F7B3B"/>
    <w:rsid w:val="009002B6"/>
    <w:rsid w:val="009046A9"/>
    <w:rsid w:val="00994FF5"/>
    <w:rsid w:val="00996786"/>
    <w:rsid w:val="009A0C7D"/>
    <w:rsid w:val="009A4EC4"/>
    <w:rsid w:val="009A5917"/>
    <w:rsid w:val="009C1596"/>
    <w:rsid w:val="009C4972"/>
    <w:rsid w:val="009D5C3A"/>
    <w:rsid w:val="009F1AF6"/>
    <w:rsid w:val="00A04BEF"/>
    <w:rsid w:val="00A143A1"/>
    <w:rsid w:val="00A261BD"/>
    <w:rsid w:val="00A33D5D"/>
    <w:rsid w:val="00A423E4"/>
    <w:rsid w:val="00A44540"/>
    <w:rsid w:val="00A51C4B"/>
    <w:rsid w:val="00A6525C"/>
    <w:rsid w:val="00A70688"/>
    <w:rsid w:val="00A70718"/>
    <w:rsid w:val="00A71A18"/>
    <w:rsid w:val="00A7431F"/>
    <w:rsid w:val="00A845D9"/>
    <w:rsid w:val="00AB3EE1"/>
    <w:rsid w:val="00AB4E95"/>
    <w:rsid w:val="00AC7796"/>
    <w:rsid w:val="00AE3DE6"/>
    <w:rsid w:val="00AF0D50"/>
    <w:rsid w:val="00AF330E"/>
    <w:rsid w:val="00B131B9"/>
    <w:rsid w:val="00B13584"/>
    <w:rsid w:val="00B15628"/>
    <w:rsid w:val="00B440DC"/>
    <w:rsid w:val="00B53F22"/>
    <w:rsid w:val="00B7168B"/>
    <w:rsid w:val="00B71C5F"/>
    <w:rsid w:val="00B85B8E"/>
    <w:rsid w:val="00B86BC9"/>
    <w:rsid w:val="00B934F0"/>
    <w:rsid w:val="00BA0FF3"/>
    <w:rsid w:val="00BE392C"/>
    <w:rsid w:val="00BF71DB"/>
    <w:rsid w:val="00BF7616"/>
    <w:rsid w:val="00C20503"/>
    <w:rsid w:val="00C42D85"/>
    <w:rsid w:val="00CA036A"/>
    <w:rsid w:val="00CA44E8"/>
    <w:rsid w:val="00CB55E1"/>
    <w:rsid w:val="00CB68E3"/>
    <w:rsid w:val="00CC6046"/>
    <w:rsid w:val="00CD3B19"/>
    <w:rsid w:val="00CD438A"/>
    <w:rsid w:val="00CF78DE"/>
    <w:rsid w:val="00D05923"/>
    <w:rsid w:val="00D05F08"/>
    <w:rsid w:val="00D170BF"/>
    <w:rsid w:val="00D2694C"/>
    <w:rsid w:val="00D33CA4"/>
    <w:rsid w:val="00D40167"/>
    <w:rsid w:val="00D43453"/>
    <w:rsid w:val="00D54531"/>
    <w:rsid w:val="00D65130"/>
    <w:rsid w:val="00D6648D"/>
    <w:rsid w:val="00D66AF0"/>
    <w:rsid w:val="00D7757D"/>
    <w:rsid w:val="00D81AC7"/>
    <w:rsid w:val="00DA349B"/>
    <w:rsid w:val="00DC5C4B"/>
    <w:rsid w:val="00DD4690"/>
    <w:rsid w:val="00DE211C"/>
    <w:rsid w:val="00E03091"/>
    <w:rsid w:val="00E21A82"/>
    <w:rsid w:val="00E81A7C"/>
    <w:rsid w:val="00E83A3A"/>
    <w:rsid w:val="00EB483F"/>
    <w:rsid w:val="00EB7FF0"/>
    <w:rsid w:val="00EE4FCB"/>
    <w:rsid w:val="00EF1298"/>
    <w:rsid w:val="00F337DC"/>
    <w:rsid w:val="00F629D9"/>
    <w:rsid w:val="00FB3C1F"/>
    <w:rsid w:val="00FB57DB"/>
    <w:rsid w:val="00FC25F1"/>
    <w:rsid w:val="00FD4F55"/>
    <w:rsid w:val="00FE37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D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AE3DE6"/>
    <w:pPr>
      <w:numPr>
        <w:numId w:val="1"/>
      </w:numPr>
    </w:pPr>
  </w:style>
  <w:style w:type="paragraph" w:styleId="ListParagraph">
    <w:name w:val="List Paragraph"/>
    <w:basedOn w:val="Normal"/>
    <w:uiPriority w:val="34"/>
    <w:qFormat/>
    <w:rsid w:val="00AE3DE6"/>
    <w:pPr>
      <w:ind w:left="720"/>
      <w:contextualSpacing/>
    </w:pPr>
  </w:style>
  <w:style w:type="paragraph" w:styleId="BalloonText">
    <w:name w:val="Balloon Text"/>
    <w:basedOn w:val="Normal"/>
    <w:link w:val="BalloonTextChar"/>
    <w:uiPriority w:val="99"/>
    <w:semiHidden/>
    <w:unhideWhenUsed/>
    <w:rsid w:val="00D2694C"/>
    <w:rPr>
      <w:rFonts w:ascii="Tahoma" w:hAnsi="Tahoma" w:cs="Tahoma"/>
      <w:sz w:val="16"/>
      <w:szCs w:val="16"/>
    </w:rPr>
  </w:style>
  <w:style w:type="character" w:customStyle="1" w:styleId="BalloonTextChar">
    <w:name w:val="Balloon Text Char"/>
    <w:basedOn w:val="DefaultParagraphFont"/>
    <w:link w:val="BalloonText"/>
    <w:uiPriority w:val="99"/>
    <w:semiHidden/>
    <w:rsid w:val="00D2694C"/>
    <w:rPr>
      <w:rFonts w:ascii="Tahoma" w:eastAsia="Times New Roman" w:hAnsi="Tahoma" w:cs="Tahoma"/>
      <w:sz w:val="16"/>
      <w:szCs w:val="16"/>
    </w:rPr>
  </w:style>
  <w:style w:type="character" w:styleId="Hyperlink">
    <w:name w:val="Hyperlink"/>
    <w:basedOn w:val="DefaultParagraphFont"/>
    <w:uiPriority w:val="99"/>
    <w:unhideWhenUsed/>
    <w:rsid w:val="005E2DF5"/>
    <w:rPr>
      <w:color w:val="0000FF" w:themeColor="hyperlink"/>
      <w:u w:val="single"/>
    </w:rPr>
  </w:style>
  <w:style w:type="paragraph" w:customStyle="1" w:styleId="Default">
    <w:name w:val="Default"/>
    <w:rsid w:val="00E21A82"/>
    <w:pPr>
      <w:autoSpaceDE w:val="0"/>
      <w:autoSpaceDN w:val="0"/>
      <w:adjustRightInd w:val="0"/>
      <w:spacing w:after="0" w:line="240" w:lineRule="auto"/>
    </w:pPr>
    <w:rPr>
      <w:rFonts w:ascii="Calibri" w:eastAsia="Times New Roman"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D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AE3DE6"/>
    <w:pPr>
      <w:numPr>
        <w:numId w:val="1"/>
      </w:numPr>
    </w:pPr>
  </w:style>
  <w:style w:type="paragraph" w:styleId="ListParagraph">
    <w:name w:val="List Paragraph"/>
    <w:basedOn w:val="Normal"/>
    <w:uiPriority w:val="34"/>
    <w:qFormat/>
    <w:rsid w:val="00AE3DE6"/>
    <w:pPr>
      <w:ind w:left="720"/>
      <w:contextualSpacing/>
    </w:pPr>
  </w:style>
  <w:style w:type="paragraph" w:styleId="BalloonText">
    <w:name w:val="Balloon Text"/>
    <w:basedOn w:val="Normal"/>
    <w:link w:val="BalloonTextChar"/>
    <w:uiPriority w:val="99"/>
    <w:semiHidden/>
    <w:unhideWhenUsed/>
    <w:rsid w:val="00D2694C"/>
    <w:rPr>
      <w:rFonts w:ascii="Tahoma" w:hAnsi="Tahoma" w:cs="Tahoma"/>
      <w:sz w:val="16"/>
      <w:szCs w:val="16"/>
    </w:rPr>
  </w:style>
  <w:style w:type="character" w:customStyle="1" w:styleId="BalloonTextChar">
    <w:name w:val="Balloon Text Char"/>
    <w:basedOn w:val="DefaultParagraphFont"/>
    <w:link w:val="BalloonText"/>
    <w:uiPriority w:val="99"/>
    <w:semiHidden/>
    <w:rsid w:val="00D2694C"/>
    <w:rPr>
      <w:rFonts w:ascii="Tahoma" w:eastAsia="Times New Roman" w:hAnsi="Tahoma" w:cs="Tahoma"/>
      <w:sz w:val="16"/>
      <w:szCs w:val="16"/>
    </w:rPr>
  </w:style>
  <w:style w:type="character" w:styleId="Hyperlink">
    <w:name w:val="Hyperlink"/>
    <w:basedOn w:val="DefaultParagraphFont"/>
    <w:uiPriority w:val="99"/>
    <w:unhideWhenUsed/>
    <w:rsid w:val="005E2DF5"/>
    <w:rPr>
      <w:color w:val="0000FF" w:themeColor="hyperlink"/>
      <w:u w:val="single"/>
    </w:rPr>
  </w:style>
  <w:style w:type="paragraph" w:customStyle="1" w:styleId="Default">
    <w:name w:val="Default"/>
    <w:rsid w:val="00E21A82"/>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mutual.recognition@pc.gov.au"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otices" ma:contentTypeID="0x01010066EDC8E18BFE9C418F00295EA55D44EA00547332AAD5FDF348833D6B091BD8A95500D319B21C4C84C34087D9781B3FA20C0B" ma:contentTypeVersion="1" ma:contentTypeDescription="" ma:contentTypeScope="" ma:versionID="bdab6458e2924c05e9a7a720aa624444">
  <xsd:schema xmlns:xsd="http://www.w3.org/2001/XMLSchema" xmlns:xs="http://www.w3.org/2001/XMLSchema" xmlns:p="http://schemas.microsoft.com/office/2006/metadata/properties" xmlns:ns3="http://schemas.microsoft.com/sharepoint/v4" targetNamespace="http://schemas.microsoft.com/office/2006/metadata/properties" ma:root="true" ma:fieldsID="33f30728e81262bf063d632716cd6e5d" ns3:_="">
    <xsd:import namespace="http://schemas.microsoft.com/sharepoint/v4"/>
    <xsd:element name="properties">
      <xsd:complexType>
        <xsd:sequence>
          <xsd:element name="documentManagement">
            <xsd:complexType>
              <xsd:all>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6BDCD-37AF-46DE-A7F4-87107917A814}">
  <ds:schemaRefs>
    <ds:schemaRef ds:uri="http://schemas.microsoft.com/office/2006/documentManagement/types"/>
    <ds:schemaRef ds:uri="http://purl.org/dc/terms/"/>
    <ds:schemaRef ds:uri="http://schemas.microsoft.com/office/infopath/2007/PartnerControls"/>
    <ds:schemaRef ds:uri="http://schemas.microsoft.com/sharepoint/v4"/>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12F2FD7-B8D4-4063-8F67-3E791CD55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5B442-8AB9-4466-BBEC-FC6FAF5CCC71}">
  <ds:schemaRefs>
    <ds:schemaRef ds:uri="http://schemas.microsoft.com/sharepoint/events"/>
  </ds:schemaRefs>
</ds:datastoreItem>
</file>

<file path=customXml/itemProps4.xml><?xml version="1.0" encoding="utf-8"?>
<ds:datastoreItem xmlns:ds="http://schemas.openxmlformats.org/officeDocument/2006/customXml" ds:itemID="{AEF659C4-5AAE-4735-8131-901F1FE05667}">
  <ds:schemaRefs>
    <ds:schemaRef ds:uri="http://schemas.microsoft.com/office/2006/metadata/customXsn"/>
  </ds:schemaRefs>
</ds:datastoreItem>
</file>

<file path=customXml/itemProps5.xml><?xml version="1.0" encoding="utf-8"?>
<ds:datastoreItem xmlns:ds="http://schemas.openxmlformats.org/officeDocument/2006/customXml" ds:itemID="{1453D12D-9453-4921-A3B6-5430F688F0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Submission DR71 - Master Plumbers and Mechanical Services Association - Mutual Recognition Schemes - Commissioned study</vt:lpstr>
    </vt:vector>
  </TitlesOfParts>
  <Company>Master Plumbers and Mechanical Services Association</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DR71 - Master Plumbers and Mechanical Services Association - Mutual Recognition Schemes - Commissioned study</dc:title>
  <dc:creator>Master Plumbers and Mechanical Services Association</dc:creator>
  <cp:lastModifiedBy>Productivity Commission</cp:lastModifiedBy>
  <cp:revision>7</cp:revision>
  <cp:lastPrinted>2015-01-12T03:08:00Z</cp:lastPrinted>
  <dcterms:created xsi:type="dcterms:W3CDTF">2015-07-24T04:08:00Z</dcterms:created>
  <dcterms:modified xsi:type="dcterms:W3CDTF">2015-07-27T23:23:00Z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0x01010066EDC8E18BFE9C418F00295EA55D44EA00547332AAD5FDF348833D6B091BD8A95500D319B21C4C84C34087D9781B3FA20C0B</vt:lpwstr>
  </property>
</Properties>
</file>