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83" w:rsidRDefault="00CA7683" w:rsidP="00CA7683">
      <w:pPr>
        <w:pStyle w:val="AAheading1"/>
        <w:rPr>
          <w:lang w:val="en-US"/>
        </w:rPr>
      </w:pPr>
      <w:bookmarkStart w:id="0" w:name="_GoBack"/>
      <w:bookmarkEnd w:id="0"/>
    </w:p>
    <w:p w:rsidR="00CA7683" w:rsidRDefault="00CA7683" w:rsidP="00CA7683">
      <w:pPr>
        <w:pStyle w:val="AAheading1"/>
        <w:rPr>
          <w:lang w:val="en-US"/>
        </w:rPr>
      </w:pPr>
      <w:r>
        <w:rPr>
          <w:rFonts w:hint="eastAsia"/>
          <w:noProof/>
          <w:lang w:eastAsia="en-AU"/>
        </w:rPr>
        <mc:AlternateContent>
          <mc:Choice Requires="wps">
            <w:drawing>
              <wp:anchor distT="0" distB="0" distL="114300" distR="114300" simplePos="0" relativeHeight="251661312" behindDoc="0" locked="0" layoutInCell="1" allowOverlap="1" wp14:anchorId="102D1619" wp14:editId="2CB565C5">
                <wp:simplePos x="0" y="0"/>
                <wp:positionH relativeFrom="column">
                  <wp:posOffset>2540</wp:posOffset>
                </wp:positionH>
                <wp:positionV relativeFrom="paragraph">
                  <wp:posOffset>311150</wp:posOffset>
                </wp:positionV>
                <wp:extent cx="4648200" cy="431800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4648200" cy="4318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814DB" w:rsidRDefault="004814DB" w:rsidP="00CA7683">
                            <w:pPr>
                              <w:rPr>
                                <w:rFonts w:cs="Arial"/>
                                <w:b/>
                                <w:color w:val="92D050"/>
                                <w:sz w:val="48"/>
                                <w:szCs w:val="48"/>
                              </w:rPr>
                            </w:pPr>
                          </w:p>
                          <w:p w:rsidR="004814DB" w:rsidRDefault="004814DB" w:rsidP="00CA7683">
                            <w:pPr>
                              <w:rPr>
                                <w:rFonts w:cs="Arial"/>
                                <w:b/>
                                <w:color w:val="92D050"/>
                                <w:sz w:val="48"/>
                                <w:szCs w:val="48"/>
                              </w:rPr>
                            </w:pPr>
                          </w:p>
                          <w:p w:rsidR="004814DB" w:rsidRDefault="004814DB" w:rsidP="00CA7683">
                            <w:pPr>
                              <w:rPr>
                                <w:rFonts w:cs="Arial"/>
                                <w:b/>
                                <w:color w:val="92D050"/>
                                <w:sz w:val="48"/>
                                <w:szCs w:val="48"/>
                              </w:rPr>
                            </w:pPr>
                          </w:p>
                          <w:p w:rsidR="00E44606" w:rsidRPr="004814DB" w:rsidRDefault="004814DB" w:rsidP="00CA7683">
                            <w:pPr>
                              <w:rPr>
                                <w:rFonts w:cs="Arial"/>
                                <w:b/>
                                <w:color w:val="60B222"/>
                                <w:sz w:val="48"/>
                                <w:szCs w:val="48"/>
                              </w:rPr>
                            </w:pPr>
                            <w:r w:rsidRPr="004814DB">
                              <w:rPr>
                                <w:rFonts w:cs="Arial"/>
                                <w:b/>
                                <w:color w:val="60B222"/>
                                <w:sz w:val="48"/>
                                <w:szCs w:val="48"/>
                              </w:rPr>
                              <w:t xml:space="preserve">Draft Report </w:t>
                            </w:r>
                            <w:r w:rsidR="00FD7D03">
                              <w:rPr>
                                <w:rFonts w:cs="Arial"/>
                                <w:b/>
                                <w:color w:val="60B222"/>
                                <w:sz w:val="48"/>
                                <w:szCs w:val="48"/>
                              </w:rPr>
                              <w:t xml:space="preserve">of the Productivity Commission </w:t>
                            </w:r>
                            <w:r w:rsidRPr="004814DB">
                              <w:rPr>
                                <w:rFonts w:cs="Arial"/>
                                <w:b/>
                                <w:color w:val="60B222"/>
                                <w:sz w:val="48"/>
                                <w:szCs w:val="48"/>
                              </w:rPr>
                              <w:t>on the Workplace Relations Framework</w:t>
                            </w:r>
                          </w:p>
                          <w:p w:rsidR="00E44606" w:rsidRDefault="00E44606" w:rsidP="00CA7683">
                            <w:pPr>
                              <w:rPr>
                                <w:rFonts w:cs="Arial"/>
                                <w:b/>
                                <w:sz w:val="21"/>
                                <w:szCs w:val="21"/>
                              </w:rPr>
                            </w:pPr>
                          </w:p>
                          <w:p w:rsidR="004814DB" w:rsidRPr="004814DB" w:rsidRDefault="00FD7D03" w:rsidP="004814DB">
                            <w:pPr>
                              <w:spacing w:after="0" w:line="240" w:lineRule="auto"/>
                              <w:rPr>
                                <w:rFonts w:eastAsia="Times" w:cs="Arial"/>
                                <w:b/>
                                <w:sz w:val="21"/>
                                <w:szCs w:val="21"/>
                                <w:lang w:val="en-US"/>
                              </w:rPr>
                            </w:pPr>
                            <w:r>
                              <w:rPr>
                                <w:rFonts w:eastAsia="Times" w:cs="Arial"/>
                                <w:b/>
                                <w:sz w:val="21"/>
                                <w:szCs w:val="21"/>
                                <w:lang w:val="en-US"/>
                              </w:rPr>
                              <w:t xml:space="preserve">A </w:t>
                            </w:r>
                            <w:r w:rsidR="004814DB" w:rsidRPr="004814DB">
                              <w:rPr>
                                <w:rFonts w:eastAsia="Times" w:cs="Arial"/>
                                <w:b/>
                                <w:sz w:val="21"/>
                                <w:szCs w:val="21"/>
                                <w:lang w:val="en-US"/>
                              </w:rPr>
                              <w:t xml:space="preserve">SUBMISSION by the OFFICE OF THE </w:t>
                            </w:r>
                          </w:p>
                          <w:p w:rsidR="004814DB" w:rsidRPr="004814DB" w:rsidRDefault="004814DB" w:rsidP="004814DB">
                            <w:pPr>
                              <w:spacing w:after="0" w:line="240" w:lineRule="auto"/>
                              <w:rPr>
                                <w:rFonts w:eastAsia="Times" w:cs="Arial"/>
                                <w:b/>
                                <w:sz w:val="21"/>
                                <w:szCs w:val="21"/>
                                <w:lang w:val="en-US"/>
                              </w:rPr>
                            </w:pPr>
                            <w:r w:rsidRPr="004814DB">
                              <w:rPr>
                                <w:rFonts w:eastAsia="Times" w:cs="Arial"/>
                                <w:b/>
                                <w:sz w:val="21"/>
                                <w:szCs w:val="21"/>
                                <w:lang w:val="en-US"/>
                              </w:rPr>
                              <w:t>AUSTRALIAN SMALL BUSINESS COMMISSIONER</w:t>
                            </w:r>
                          </w:p>
                          <w:p w:rsidR="004814DB" w:rsidRPr="004814DB" w:rsidRDefault="004814DB" w:rsidP="004814DB">
                            <w:pPr>
                              <w:spacing w:after="0" w:line="240" w:lineRule="auto"/>
                              <w:rPr>
                                <w:rFonts w:eastAsia="Times" w:cs="Arial"/>
                                <w:b/>
                                <w:sz w:val="21"/>
                                <w:szCs w:val="21"/>
                                <w:lang w:val="en-US"/>
                              </w:rPr>
                            </w:pPr>
                          </w:p>
                          <w:p w:rsidR="004814DB" w:rsidRPr="004814DB" w:rsidRDefault="004814DB" w:rsidP="004814DB">
                            <w:pPr>
                              <w:spacing w:after="0" w:line="240" w:lineRule="auto"/>
                              <w:rPr>
                                <w:rFonts w:eastAsia="Times" w:cs="Arial"/>
                                <w:b/>
                                <w:sz w:val="21"/>
                                <w:szCs w:val="21"/>
                                <w:lang w:val="en-US"/>
                              </w:rPr>
                            </w:pPr>
                            <w:r>
                              <w:rPr>
                                <w:rFonts w:eastAsia="Times" w:cs="Arial"/>
                                <w:b/>
                                <w:sz w:val="21"/>
                                <w:szCs w:val="21"/>
                                <w:lang w:val="en-US"/>
                              </w:rPr>
                              <w:t>OCTOBER</w:t>
                            </w:r>
                            <w:r w:rsidR="00983030">
                              <w:rPr>
                                <w:rFonts w:eastAsia="Times" w:cs="Arial"/>
                                <w:b/>
                                <w:sz w:val="21"/>
                                <w:szCs w:val="21"/>
                                <w:lang w:val="en-US"/>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pt;margin-top:24.5pt;width:366pt;height:3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" filled="f" stroked="f">
                <v:textbox>
                  <w:txbxContent>
                    <w:p w:rsidR="004814DB" w:rsidRDefault="004814DB" w:rsidP="00CA7683">
                      <w:pPr>
                        <w:rPr>
                          <w:rFonts w:cs="Arial"/>
                          <w:b/>
                          <w:color w:val="92D050"/>
                          <w:sz w:val="48"/>
                          <w:szCs w:val="48"/>
                        </w:rPr>
                      </w:pPr>
                    </w:p>
                    <w:p w:rsidR="004814DB" w:rsidRDefault="004814DB" w:rsidP="00CA7683">
                      <w:pPr>
                        <w:rPr>
                          <w:rFonts w:cs="Arial"/>
                          <w:b/>
                          <w:color w:val="92D050"/>
                          <w:sz w:val="48"/>
                          <w:szCs w:val="48"/>
                        </w:rPr>
                      </w:pPr>
                    </w:p>
                    <w:p w:rsidR="004814DB" w:rsidRDefault="004814DB" w:rsidP="00CA7683">
                      <w:pPr>
                        <w:rPr>
                          <w:rFonts w:cs="Arial"/>
                          <w:b/>
                          <w:color w:val="92D050"/>
                          <w:sz w:val="48"/>
                          <w:szCs w:val="48"/>
                        </w:rPr>
                      </w:pPr>
                    </w:p>
                    <w:p w:rsidR="00E44606" w:rsidRPr="004814DB" w:rsidRDefault="004814DB" w:rsidP="00CA7683">
                      <w:pPr>
                        <w:rPr>
                          <w:rFonts w:cs="Arial"/>
                          <w:b/>
                          <w:color w:val="60B222"/>
                          <w:sz w:val="48"/>
                          <w:szCs w:val="48"/>
                        </w:rPr>
                      </w:pPr>
                      <w:r w:rsidRPr="004814DB">
                        <w:rPr>
                          <w:rFonts w:cs="Arial"/>
                          <w:b/>
                          <w:color w:val="60B222"/>
                          <w:sz w:val="48"/>
                          <w:szCs w:val="48"/>
                        </w:rPr>
                        <w:t xml:space="preserve">Draft Report </w:t>
                      </w:r>
                      <w:r w:rsidR="00FD7D03">
                        <w:rPr>
                          <w:rFonts w:cs="Arial"/>
                          <w:b/>
                          <w:color w:val="60B222"/>
                          <w:sz w:val="48"/>
                          <w:szCs w:val="48"/>
                        </w:rPr>
                        <w:t xml:space="preserve">of the Productivity Commission </w:t>
                      </w:r>
                      <w:r w:rsidRPr="004814DB">
                        <w:rPr>
                          <w:rFonts w:cs="Arial"/>
                          <w:b/>
                          <w:color w:val="60B222"/>
                          <w:sz w:val="48"/>
                          <w:szCs w:val="48"/>
                        </w:rPr>
                        <w:t>on the Workplace Relations Framework</w:t>
                      </w:r>
                    </w:p>
                    <w:p w:rsidR="00E44606" w:rsidRDefault="00E44606" w:rsidP="00CA7683">
                      <w:pPr>
                        <w:rPr>
                          <w:rFonts w:cs="Arial"/>
                          <w:b/>
                          <w:sz w:val="21"/>
                          <w:szCs w:val="21"/>
                        </w:rPr>
                      </w:pPr>
                    </w:p>
                    <w:p w:rsidR="004814DB" w:rsidRPr="004814DB" w:rsidRDefault="00FD7D03" w:rsidP="004814DB">
                      <w:pPr>
                        <w:spacing w:after="0" w:line="240" w:lineRule="auto"/>
                        <w:rPr>
                          <w:rFonts w:eastAsia="Times" w:cs="Arial"/>
                          <w:b/>
                          <w:sz w:val="21"/>
                          <w:szCs w:val="21"/>
                          <w:lang w:val="en-US"/>
                        </w:rPr>
                      </w:pPr>
                      <w:r>
                        <w:rPr>
                          <w:rFonts w:eastAsia="Times" w:cs="Arial"/>
                          <w:b/>
                          <w:sz w:val="21"/>
                          <w:szCs w:val="21"/>
                          <w:lang w:val="en-US"/>
                        </w:rPr>
                        <w:t xml:space="preserve">A </w:t>
                      </w:r>
                      <w:r w:rsidR="004814DB" w:rsidRPr="004814DB">
                        <w:rPr>
                          <w:rFonts w:eastAsia="Times" w:cs="Arial"/>
                          <w:b/>
                          <w:sz w:val="21"/>
                          <w:szCs w:val="21"/>
                          <w:lang w:val="en-US"/>
                        </w:rPr>
                        <w:t xml:space="preserve">SUBMISSION by the OFFICE OF THE </w:t>
                      </w:r>
                    </w:p>
                    <w:p w:rsidR="004814DB" w:rsidRPr="004814DB" w:rsidRDefault="004814DB" w:rsidP="004814DB">
                      <w:pPr>
                        <w:spacing w:after="0" w:line="240" w:lineRule="auto"/>
                        <w:rPr>
                          <w:rFonts w:eastAsia="Times" w:cs="Arial"/>
                          <w:b/>
                          <w:sz w:val="21"/>
                          <w:szCs w:val="21"/>
                          <w:lang w:val="en-US"/>
                        </w:rPr>
                      </w:pPr>
                      <w:r w:rsidRPr="004814DB">
                        <w:rPr>
                          <w:rFonts w:eastAsia="Times" w:cs="Arial"/>
                          <w:b/>
                          <w:sz w:val="21"/>
                          <w:szCs w:val="21"/>
                          <w:lang w:val="en-US"/>
                        </w:rPr>
                        <w:t>AUSTRALIAN SMALL BUSINESS COMMISSIONER</w:t>
                      </w:r>
                    </w:p>
                    <w:p w:rsidR="004814DB" w:rsidRPr="004814DB" w:rsidRDefault="004814DB" w:rsidP="004814DB">
                      <w:pPr>
                        <w:spacing w:after="0" w:line="240" w:lineRule="auto"/>
                        <w:rPr>
                          <w:rFonts w:eastAsia="Times" w:cs="Arial"/>
                          <w:b/>
                          <w:sz w:val="21"/>
                          <w:szCs w:val="21"/>
                          <w:lang w:val="en-US"/>
                        </w:rPr>
                      </w:pPr>
                    </w:p>
                    <w:p w:rsidR="004814DB" w:rsidRPr="004814DB" w:rsidRDefault="004814DB" w:rsidP="004814DB">
                      <w:pPr>
                        <w:spacing w:after="0" w:line="240" w:lineRule="auto"/>
                        <w:rPr>
                          <w:rFonts w:eastAsia="Times" w:cs="Arial"/>
                          <w:b/>
                          <w:sz w:val="21"/>
                          <w:szCs w:val="21"/>
                          <w:lang w:val="en-US"/>
                        </w:rPr>
                      </w:pPr>
                      <w:r>
                        <w:rPr>
                          <w:rFonts w:eastAsia="Times" w:cs="Arial"/>
                          <w:b/>
                          <w:sz w:val="21"/>
                          <w:szCs w:val="21"/>
                          <w:lang w:val="en-US"/>
                        </w:rPr>
                        <w:t>OCTOBER</w:t>
                      </w:r>
                      <w:r w:rsidR="00983030">
                        <w:rPr>
                          <w:rFonts w:eastAsia="Times" w:cs="Arial"/>
                          <w:b/>
                          <w:sz w:val="21"/>
                          <w:szCs w:val="21"/>
                          <w:lang w:val="en-US"/>
                        </w:rPr>
                        <w:t xml:space="preserve"> 2015</w:t>
                      </w:r>
                    </w:p>
                  </w:txbxContent>
                </v:textbox>
                <w10:wrap type="square"/>
              </v:shape>
            </w:pict>
          </mc:Fallback>
        </mc:AlternateContent>
      </w:r>
    </w:p>
    <w:p w:rsidR="00CA7683" w:rsidRDefault="00CA7683" w:rsidP="00CA7683">
      <w:pPr>
        <w:pStyle w:val="AAheading1"/>
        <w:rPr>
          <w:lang w:val="en-US"/>
        </w:rPr>
      </w:pPr>
    </w:p>
    <w:p w:rsidR="00CA7683" w:rsidRDefault="00CA7683" w:rsidP="00CA7683">
      <w:pPr>
        <w:pStyle w:val="AAheading1"/>
        <w:rPr>
          <w:lang w:val="en-US"/>
        </w:rPr>
      </w:pPr>
    </w:p>
    <w:p w:rsidR="00CA7683" w:rsidRDefault="00CA7683" w:rsidP="00CA7683">
      <w:pPr>
        <w:pStyle w:val="AAheading1"/>
        <w:rPr>
          <w:lang w:val="en-US"/>
        </w:rPr>
      </w:pPr>
    </w:p>
    <w:p w:rsidR="00CA7683" w:rsidRDefault="00CA7683" w:rsidP="00CA7683">
      <w:pPr>
        <w:pStyle w:val="AAheading1"/>
        <w:rPr>
          <w:lang w:val="en-US"/>
        </w:rPr>
      </w:pPr>
    </w:p>
    <w:p w:rsidR="00CA7683" w:rsidRDefault="00CA7683" w:rsidP="00CA7683">
      <w:pPr>
        <w:pStyle w:val="AAheading1"/>
        <w:rPr>
          <w:lang w:val="en-US"/>
        </w:rPr>
      </w:pPr>
    </w:p>
    <w:p w:rsidR="00CA7683" w:rsidRDefault="00CA7683" w:rsidP="00CA7683">
      <w:pPr>
        <w:pStyle w:val="AAheading1"/>
        <w:rPr>
          <w:lang w:val="en-US"/>
        </w:rPr>
      </w:pPr>
    </w:p>
    <w:p w:rsidR="00CA7683" w:rsidRDefault="00CA7683" w:rsidP="00CA7683">
      <w:pPr>
        <w:pStyle w:val="AAheading1"/>
        <w:rPr>
          <w:lang w:val="en-US"/>
        </w:rPr>
      </w:pPr>
    </w:p>
    <w:p w:rsidR="00CA7683" w:rsidRDefault="00CA7683" w:rsidP="00CA7683">
      <w:pPr>
        <w:pStyle w:val="AAheading1"/>
        <w:rPr>
          <w:lang w:val="en-US"/>
        </w:rPr>
      </w:pPr>
    </w:p>
    <w:p w:rsidR="00CA7683" w:rsidRDefault="00CA7683" w:rsidP="00CA7683">
      <w:pPr>
        <w:pStyle w:val="AAheading1"/>
      </w:pPr>
    </w:p>
    <w:p w:rsidR="00CA7683" w:rsidRDefault="00CA7683" w:rsidP="00CA7683">
      <w:pPr>
        <w:rPr>
          <w:rFonts w:asciiTheme="majorHAnsi" w:eastAsiaTheme="majorEastAsia" w:hAnsiTheme="majorHAnsi" w:cstheme="majorBidi"/>
          <w:color w:val="17365D" w:themeColor="text2" w:themeShade="BF"/>
          <w:spacing w:val="5"/>
          <w:kern w:val="28"/>
          <w:sz w:val="52"/>
          <w:szCs w:val="52"/>
        </w:rPr>
      </w:pPr>
    </w:p>
    <w:p w:rsidR="00CA7683" w:rsidRDefault="00CA7683" w:rsidP="00CA7683">
      <w:pPr>
        <w:rPr>
          <w:rFonts w:ascii="Arial Bold" w:eastAsiaTheme="majorEastAsia" w:hAnsi="Arial Bold" w:cstheme="majorBidi"/>
          <w:b/>
          <w:bCs/>
          <w:smallCaps/>
          <w:color w:val="365F91" w:themeColor="accent1" w:themeShade="BF"/>
          <w:sz w:val="32"/>
          <w:szCs w:val="28"/>
        </w:rPr>
      </w:pPr>
      <w:r>
        <w:br w:type="page"/>
      </w:r>
    </w:p>
    <w:p w:rsidR="009852E9" w:rsidRPr="009852E9" w:rsidRDefault="009852E9" w:rsidP="009852E9">
      <w:pPr>
        <w:pStyle w:val="Bullet"/>
        <w:numPr>
          <w:ilvl w:val="0"/>
          <w:numId w:val="0"/>
        </w:numPr>
        <w:tabs>
          <w:tab w:val="left" w:pos="720"/>
        </w:tabs>
        <w:spacing w:before="360" w:after="120" w:line="312" w:lineRule="auto"/>
        <w:rPr>
          <w:rFonts w:cs="Arial"/>
          <w:b/>
          <w:sz w:val="32"/>
          <w:szCs w:val="32"/>
        </w:rPr>
      </w:pPr>
      <w:r w:rsidRPr="009852E9">
        <w:rPr>
          <w:rFonts w:cs="Arial"/>
          <w:b/>
          <w:sz w:val="32"/>
          <w:szCs w:val="32"/>
        </w:rPr>
        <w:lastRenderedPageBreak/>
        <w:t>Introduction</w:t>
      </w:r>
    </w:p>
    <w:p w:rsidR="00EC0716" w:rsidRPr="004814DB" w:rsidRDefault="004D2217" w:rsidP="009852E9">
      <w:pPr>
        <w:pStyle w:val="Bullet"/>
        <w:numPr>
          <w:ilvl w:val="0"/>
          <w:numId w:val="0"/>
        </w:numPr>
        <w:tabs>
          <w:tab w:val="left" w:pos="720"/>
        </w:tabs>
        <w:spacing w:before="120" w:after="120" w:line="312" w:lineRule="auto"/>
        <w:rPr>
          <w:rFonts w:cs="Arial"/>
          <w:iCs/>
        </w:rPr>
      </w:pPr>
      <w:r w:rsidRPr="004814DB">
        <w:rPr>
          <w:rFonts w:cs="Arial"/>
        </w:rPr>
        <w:t xml:space="preserve">This submission </w:t>
      </w:r>
      <w:r w:rsidR="00667477" w:rsidRPr="004814DB">
        <w:rPr>
          <w:rFonts w:cs="Arial"/>
        </w:rPr>
        <w:t xml:space="preserve">contains observations from the </w:t>
      </w:r>
      <w:r w:rsidR="00A231CC" w:rsidRPr="004814DB">
        <w:rPr>
          <w:rFonts w:cs="Arial"/>
        </w:rPr>
        <w:t xml:space="preserve">Office of the </w:t>
      </w:r>
      <w:r w:rsidRPr="004814DB">
        <w:rPr>
          <w:rFonts w:cs="Arial"/>
        </w:rPr>
        <w:t>Australian Small Business Commissioner (</w:t>
      </w:r>
      <w:r w:rsidRPr="00920EAE">
        <w:rPr>
          <w:rFonts w:cs="Arial"/>
          <w:b/>
        </w:rPr>
        <w:t>ASBC</w:t>
      </w:r>
      <w:r w:rsidRPr="004814DB">
        <w:rPr>
          <w:rFonts w:cs="Arial"/>
        </w:rPr>
        <w:t>)</w:t>
      </w:r>
      <w:r w:rsidRPr="004814DB">
        <w:rPr>
          <w:rStyle w:val="FootnoteReference"/>
          <w:rFonts w:cs="Arial"/>
          <w:lang w:val="en"/>
        </w:rPr>
        <w:footnoteReference w:id="1"/>
      </w:r>
      <w:r w:rsidRPr="004814DB">
        <w:rPr>
          <w:rFonts w:cs="Arial"/>
        </w:rPr>
        <w:t xml:space="preserve"> </w:t>
      </w:r>
      <w:r w:rsidR="00FD424B" w:rsidRPr="004814DB">
        <w:rPr>
          <w:rFonts w:cs="Arial"/>
        </w:rPr>
        <w:t xml:space="preserve">on the draft report of the </w:t>
      </w:r>
      <w:r w:rsidR="00FD424B" w:rsidRPr="004814DB">
        <w:rPr>
          <w:rFonts w:cs="Arial"/>
          <w:iCs/>
        </w:rPr>
        <w:t xml:space="preserve">Productivity Commission </w:t>
      </w:r>
      <w:r w:rsidR="00C042AE" w:rsidRPr="004814DB">
        <w:rPr>
          <w:rFonts w:cs="Arial"/>
          <w:iCs/>
        </w:rPr>
        <w:t>(</w:t>
      </w:r>
      <w:r w:rsidR="00C042AE" w:rsidRPr="00920EAE">
        <w:rPr>
          <w:rFonts w:cs="Arial"/>
          <w:b/>
          <w:iCs/>
        </w:rPr>
        <w:t>PC</w:t>
      </w:r>
      <w:r w:rsidR="00C042AE" w:rsidRPr="004814DB">
        <w:rPr>
          <w:rFonts w:cs="Arial"/>
          <w:iCs/>
        </w:rPr>
        <w:t xml:space="preserve">) </w:t>
      </w:r>
      <w:r w:rsidR="008D46A9">
        <w:rPr>
          <w:rFonts w:cs="Arial"/>
          <w:iCs/>
        </w:rPr>
        <w:t xml:space="preserve">that was </w:t>
      </w:r>
      <w:r w:rsidR="008D46A9" w:rsidRPr="004814DB">
        <w:rPr>
          <w:rFonts w:cs="Arial"/>
          <w:iCs/>
        </w:rPr>
        <w:t xml:space="preserve">released in </w:t>
      </w:r>
      <w:r w:rsidR="008D46A9">
        <w:rPr>
          <w:rFonts w:cs="Arial"/>
          <w:iCs/>
        </w:rPr>
        <w:t xml:space="preserve">August </w:t>
      </w:r>
      <w:r w:rsidR="008D46A9" w:rsidRPr="004814DB">
        <w:rPr>
          <w:rFonts w:cs="Arial"/>
          <w:iCs/>
        </w:rPr>
        <w:t>2015</w:t>
      </w:r>
      <w:r w:rsidR="008D46A9">
        <w:rPr>
          <w:rFonts w:cs="Arial"/>
          <w:iCs/>
        </w:rPr>
        <w:t xml:space="preserve"> </w:t>
      </w:r>
      <w:r w:rsidR="00FD424B" w:rsidRPr="004814DB">
        <w:rPr>
          <w:rFonts w:cs="Arial"/>
          <w:iCs/>
        </w:rPr>
        <w:t>- “</w:t>
      </w:r>
      <w:r w:rsidRPr="004814DB">
        <w:rPr>
          <w:rFonts w:cs="Arial"/>
          <w:i/>
          <w:iCs/>
        </w:rPr>
        <w:t>Workplace Relations Framework</w:t>
      </w:r>
      <w:r w:rsidR="00FD424B" w:rsidRPr="004814DB">
        <w:rPr>
          <w:rFonts w:cs="Arial"/>
          <w:i/>
          <w:iCs/>
        </w:rPr>
        <w:t>”</w:t>
      </w:r>
      <w:r w:rsidRPr="004814DB">
        <w:rPr>
          <w:rFonts w:cs="Arial"/>
          <w:i/>
          <w:iCs/>
        </w:rPr>
        <w:t>.</w:t>
      </w:r>
      <w:r w:rsidR="006F0D15">
        <w:rPr>
          <w:rFonts w:cs="Arial"/>
          <w:i/>
          <w:iCs/>
        </w:rPr>
        <w:t xml:space="preserve"> </w:t>
      </w:r>
      <w:r w:rsidR="00097877" w:rsidRPr="004814DB">
        <w:rPr>
          <w:rFonts w:cs="Arial"/>
          <w:iCs/>
        </w:rPr>
        <w:t xml:space="preserve">We commend the PC on its work and support the general thrust of its recommendations, </w:t>
      </w:r>
      <w:r w:rsidR="008D46A9">
        <w:rPr>
          <w:rFonts w:cs="Arial"/>
          <w:iCs/>
        </w:rPr>
        <w:t xml:space="preserve">subject to our comments </w:t>
      </w:r>
      <w:r w:rsidR="00097877" w:rsidRPr="004814DB">
        <w:rPr>
          <w:rFonts w:cs="Arial"/>
          <w:iCs/>
        </w:rPr>
        <w:t xml:space="preserve">below. </w:t>
      </w:r>
    </w:p>
    <w:p w:rsidR="00353D97" w:rsidRPr="004814DB" w:rsidRDefault="004D2217" w:rsidP="009852E9">
      <w:pPr>
        <w:pStyle w:val="Bullet"/>
        <w:numPr>
          <w:ilvl w:val="0"/>
          <w:numId w:val="0"/>
        </w:numPr>
        <w:tabs>
          <w:tab w:val="left" w:pos="720"/>
        </w:tabs>
        <w:spacing w:before="120" w:after="120" w:line="312" w:lineRule="auto"/>
        <w:rPr>
          <w:rFonts w:cs="Arial"/>
        </w:rPr>
      </w:pPr>
      <w:r w:rsidRPr="004814DB">
        <w:rPr>
          <w:rFonts w:cs="Arial"/>
          <w:lang w:val="en"/>
        </w:rPr>
        <w:t>The</w:t>
      </w:r>
      <w:r w:rsidR="00511A5C" w:rsidRPr="004814DB">
        <w:rPr>
          <w:rFonts w:cs="Arial"/>
          <w:lang w:val="en"/>
        </w:rPr>
        <w:t>se observations are</w:t>
      </w:r>
      <w:r w:rsidRPr="004814DB">
        <w:rPr>
          <w:rFonts w:cs="Arial"/>
          <w:lang w:val="en"/>
        </w:rPr>
        <w:t xml:space="preserve"> informed by </w:t>
      </w:r>
      <w:r w:rsidR="00353D97" w:rsidRPr="004814DB">
        <w:rPr>
          <w:rFonts w:cs="Arial"/>
          <w:lang w:val="en"/>
        </w:rPr>
        <w:t>the ASBC’s</w:t>
      </w:r>
      <w:r w:rsidRPr="004814DB">
        <w:rPr>
          <w:rFonts w:cs="Arial"/>
          <w:lang w:val="en"/>
        </w:rPr>
        <w:t xml:space="preserve"> ongoing engagement with the business community, including dealings with individual small businesses and their representatives</w:t>
      </w:r>
      <w:r w:rsidR="00353D97" w:rsidRPr="004814DB">
        <w:rPr>
          <w:rFonts w:cs="Arial"/>
        </w:rPr>
        <w:t xml:space="preserve">. </w:t>
      </w:r>
      <w:r w:rsidR="008A6C54" w:rsidRPr="004814DB">
        <w:rPr>
          <w:rFonts w:cs="Arial"/>
        </w:rPr>
        <w:t>During these discussions, s</w:t>
      </w:r>
      <w:r w:rsidR="008C4094" w:rsidRPr="004814DB">
        <w:rPr>
          <w:rFonts w:cs="Arial"/>
        </w:rPr>
        <w:t>mall business ha</w:t>
      </w:r>
      <w:r w:rsidR="00511A5C" w:rsidRPr="004814DB">
        <w:rPr>
          <w:rFonts w:cs="Arial"/>
        </w:rPr>
        <w:t>s</w:t>
      </w:r>
      <w:r w:rsidR="008C4094" w:rsidRPr="004814DB">
        <w:rPr>
          <w:rFonts w:cs="Arial"/>
        </w:rPr>
        <w:t xml:space="preserve"> </w:t>
      </w:r>
      <w:r w:rsidR="008A6C54" w:rsidRPr="004814DB">
        <w:rPr>
          <w:rFonts w:cs="Arial"/>
        </w:rPr>
        <w:t xml:space="preserve">repeatedly raised </w:t>
      </w:r>
      <w:r w:rsidR="008C4094" w:rsidRPr="004814DB">
        <w:rPr>
          <w:rFonts w:cs="Arial"/>
        </w:rPr>
        <w:t xml:space="preserve">issues </w:t>
      </w:r>
      <w:r w:rsidR="008A6C54" w:rsidRPr="004814DB">
        <w:rPr>
          <w:rFonts w:cs="Arial"/>
        </w:rPr>
        <w:t xml:space="preserve">relating to </w:t>
      </w:r>
      <w:r w:rsidR="008C4094" w:rsidRPr="004814DB">
        <w:rPr>
          <w:rFonts w:cs="Arial"/>
        </w:rPr>
        <w:t xml:space="preserve">the complexity of modern awards, </w:t>
      </w:r>
      <w:r w:rsidR="008A6C54" w:rsidRPr="004814DB">
        <w:rPr>
          <w:rFonts w:cs="Arial"/>
        </w:rPr>
        <w:t xml:space="preserve">the impact of </w:t>
      </w:r>
      <w:r w:rsidR="008C4094" w:rsidRPr="004814DB">
        <w:rPr>
          <w:rFonts w:cs="Arial"/>
        </w:rPr>
        <w:t xml:space="preserve">penalty rates </w:t>
      </w:r>
      <w:r w:rsidR="00A231CC" w:rsidRPr="004814DB">
        <w:rPr>
          <w:rFonts w:cs="Arial"/>
        </w:rPr>
        <w:t xml:space="preserve">and </w:t>
      </w:r>
      <w:r w:rsidR="008A6C54" w:rsidRPr="004814DB">
        <w:rPr>
          <w:rFonts w:cs="Arial"/>
        </w:rPr>
        <w:t xml:space="preserve">the costs imposed by </w:t>
      </w:r>
      <w:r w:rsidR="00A231CC" w:rsidRPr="004814DB">
        <w:rPr>
          <w:rFonts w:cs="Arial"/>
        </w:rPr>
        <w:t>unfair dismissal laws.</w:t>
      </w:r>
    </w:p>
    <w:p w:rsidR="004D2217" w:rsidRPr="004814DB" w:rsidRDefault="004D2217" w:rsidP="009852E9">
      <w:pPr>
        <w:pStyle w:val="Bullet"/>
        <w:numPr>
          <w:ilvl w:val="0"/>
          <w:numId w:val="0"/>
        </w:numPr>
        <w:tabs>
          <w:tab w:val="left" w:pos="720"/>
        </w:tabs>
        <w:spacing w:before="120" w:after="120" w:line="312" w:lineRule="auto"/>
        <w:rPr>
          <w:rFonts w:cs="Arial"/>
        </w:rPr>
      </w:pPr>
      <w:r w:rsidRPr="004814DB">
        <w:rPr>
          <w:rFonts w:cs="Arial"/>
        </w:rPr>
        <w:t xml:space="preserve">Further to our submission, the ASBC would welcome the opportunity to be involved in </w:t>
      </w:r>
      <w:r w:rsidR="008D46A9">
        <w:rPr>
          <w:rFonts w:cs="Arial"/>
        </w:rPr>
        <w:t xml:space="preserve">further </w:t>
      </w:r>
      <w:r w:rsidRPr="004814DB">
        <w:rPr>
          <w:rFonts w:cs="Arial"/>
        </w:rPr>
        <w:t xml:space="preserve">consultation </w:t>
      </w:r>
      <w:r w:rsidR="008A6C54" w:rsidRPr="004814DB">
        <w:rPr>
          <w:rFonts w:cs="Arial"/>
        </w:rPr>
        <w:t xml:space="preserve">with the </w:t>
      </w:r>
      <w:r w:rsidR="008D46A9">
        <w:rPr>
          <w:rFonts w:cs="Arial"/>
        </w:rPr>
        <w:t xml:space="preserve">PC </w:t>
      </w:r>
      <w:r w:rsidR="008A6C54" w:rsidRPr="004814DB">
        <w:rPr>
          <w:rFonts w:cs="Arial"/>
        </w:rPr>
        <w:t xml:space="preserve">on </w:t>
      </w:r>
      <w:r w:rsidR="008D46A9">
        <w:rPr>
          <w:rFonts w:cs="Arial"/>
        </w:rPr>
        <w:t xml:space="preserve">the </w:t>
      </w:r>
      <w:r w:rsidR="008A6C54" w:rsidRPr="004814DB">
        <w:rPr>
          <w:rFonts w:cs="Arial"/>
        </w:rPr>
        <w:t xml:space="preserve">impact of the Workplace Relations </w:t>
      </w:r>
      <w:r w:rsidR="00920EAE">
        <w:rPr>
          <w:rFonts w:cs="Arial"/>
        </w:rPr>
        <w:t>(</w:t>
      </w:r>
      <w:r w:rsidR="00920EAE" w:rsidRPr="00920EAE">
        <w:rPr>
          <w:rFonts w:cs="Arial"/>
          <w:b/>
        </w:rPr>
        <w:t>WR</w:t>
      </w:r>
      <w:r w:rsidR="00920EAE">
        <w:rPr>
          <w:rFonts w:cs="Arial"/>
        </w:rPr>
        <w:t xml:space="preserve">) </w:t>
      </w:r>
      <w:r w:rsidR="008A6C54" w:rsidRPr="004814DB">
        <w:rPr>
          <w:rFonts w:cs="Arial"/>
        </w:rPr>
        <w:t>system on small business</w:t>
      </w:r>
      <w:r w:rsidRPr="004814DB">
        <w:rPr>
          <w:rFonts w:cs="Arial"/>
        </w:rPr>
        <w:t>.</w:t>
      </w:r>
    </w:p>
    <w:p w:rsidR="009852E9" w:rsidRPr="009852E9" w:rsidRDefault="009852E9" w:rsidP="009852E9">
      <w:pPr>
        <w:pStyle w:val="Bullet"/>
        <w:numPr>
          <w:ilvl w:val="0"/>
          <w:numId w:val="0"/>
        </w:numPr>
        <w:tabs>
          <w:tab w:val="left" w:pos="720"/>
        </w:tabs>
        <w:spacing w:before="360" w:after="120" w:line="312" w:lineRule="auto"/>
        <w:rPr>
          <w:rFonts w:cs="Arial"/>
          <w:b/>
          <w:sz w:val="32"/>
          <w:szCs w:val="32"/>
        </w:rPr>
      </w:pPr>
      <w:r w:rsidRPr="009852E9">
        <w:rPr>
          <w:rFonts w:cs="Arial"/>
          <w:b/>
          <w:sz w:val="32"/>
          <w:szCs w:val="32"/>
        </w:rPr>
        <w:t>General observations</w:t>
      </w:r>
    </w:p>
    <w:p w:rsidR="00353D97" w:rsidRPr="004814DB" w:rsidRDefault="00353D97" w:rsidP="009852E9">
      <w:pPr>
        <w:pStyle w:val="Bullet"/>
        <w:numPr>
          <w:ilvl w:val="0"/>
          <w:numId w:val="0"/>
        </w:numPr>
        <w:tabs>
          <w:tab w:val="left" w:pos="720"/>
        </w:tabs>
        <w:spacing w:before="120" w:after="120" w:line="312" w:lineRule="auto"/>
        <w:rPr>
          <w:rFonts w:cs="Arial"/>
        </w:rPr>
      </w:pPr>
      <w:r w:rsidRPr="004814DB">
        <w:rPr>
          <w:rFonts w:cs="Arial"/>
        </w:rPr>
        <w:t xml:space="preserve">The ASBC’s ongoing liaison with small business </w:t>
      </w:r>
      <w:r w:rsidR="004D2217" w:rsidRPr="004814DB">
        <w:rPr>
          <w:rFonts w:cs="Arial"/>
        </w:rPr>
        <w:t xml:space="preserve">has </w:t>
      </w:r>
      <w:r w:rsidR="006F0D15">
        <w:rPr>
          <w:rFonts w:cs="Arial"/>
        </w:rPr>
        <w:t xml:space="preserve">shown </w:t>
      </w:r>
      <w:r w:rsidR="004D2217" w:rsidRPr="004814DB">
        <w:rPr>
          <w:rFonts w:cs="Arial"/>
        </w:rPr>
        <w:t xml:space="preserve">the </w:t>
      </w:r>
      <w:r w:rsidR="00920EAE">
        <w:rPr>
          <w:rFonts w:cs="Arial"/>
        </w:rPr>
        <w:t xml:space="preserve">WR </w:t>
      </w:r>
      <w:r w:rsidR="004D2217" w:rsidRPr="004814DB">
        <w:rPr>
          <w:rFonts w:cs="Arial"/>
        </w:rPr>
        <w:t xml:space="preserve">system to be an area of </w:t>
      </w:r>
      <w:r w:rsidR="008A6C54" w:rsidRPr="004814DB">
        <w:rPr>
          <w:rFonts w:cs="Arial"/>
        </w:rPr>
        <w:t xml:space="preserve">apprehension, </w:t>
      </w:r>
      <w:r w:rsidR="004D2217" w:rsidRPr="004814DB">
        <w:rPr>
          <w:rFonts w:cs="Arial"/>
        </w:rPr>
        <w:t xml:space="preserve">confusion and </w:t>
      </w:r>
      <w:r w:rsidR="008A6C54" w:rsidRPr="004814DB">
        <w:rPr>
          <w:rFonts w:cs="Arial"/>
        </w:rPr>
        <w:t xml:space="preserve">expense for </w:t>
      </w:r>
      <w:r w:rsidR="004D2217" w:rsidRPr="004814DB">
        <w:rPr>
          <w:rFonts w:cs="Arial"/>
        </w:rPr>
        <w:t>small business. We have found that</w:t>
      </w:r>
      <w:r w:rsidRPr="004814DB">
        <w:rPr>
          <w:rFonts w:cs="Arial"/>
        </w:rPr>
        <w:t>:</w:t>
      </w:r>
    </w:p>
    <w:p w:rsidR="004D2217" w:rsidRPr="004814DB" w:rsidRDefault="002F2B27" w:rsidP="006F0D15">
      <w:pPr>
        <w:pStyle w:val="OutlineNumbered1"/>
        <w:spacing w:before="120" w:after="120"/>
        <w:ind w:left="522" w:hanging="522"/>
      </w:pPr>
      <w:r w:rsidRPr="006F0D15">
        <w:rPr>
          <w:rFonts w:cs="Arial"/>
        </w:rPr>
        <w:t>The</w:t>
      </w:r>
      <w:r w:rsidR="006F0D15" w:rsidRPr="006F0D15">
        <w:rPr>
          <w:rFonts w:cs="Arial"/>
        </w:rPr>
        <w:t xml:space="preserve"> </w:t>
      </w:r>
      <w:r w:rsidRPr="006F0D15">
        <w:rPr>
          <w:rFonts w:cs="Arial"/>
          <w:b/>
        </w:rPr>
        <w:t>complexity of the modern award system</w:t>
      </w:r>
      <w:r w:rsidRPr="006F0D15">
        <w:rPr>
          <w:rFonts w:cs="Arial"/>
        </w:rPr>
        <w:t xml:space="preserve"> </w:t>
      </w:r>
      <w:r w:rsidR="006F0D15" w:rsidRPr="006F0D15">
        <w:rPr>
          <w:rFonts w:cs="Arial"/>
        </w:rPr>
        <w:t xml:space="preserve">is </w:t>
      </w:r>
      <w:r w:rsidRPr="006F0D15">
        <w:rPr>
          <w:rFonts w:cs="Arial"/>
        </w:rPr>
        <w:t>confusing</w:t>
      </w:r>
      <w:r w:rsidRPr="004814DB">
        <w:rPr>
          <w:rFonts w:cs="Arial"/>
        </w:rPr>
        <w:t xml:space="preserve">. </w:t>
      </w:r>
      <w:r w:rsidR="00353D97" w:rsidRPr="004814DB">
        <w:t>S</w:t>
      </w:r>
      <w:r w:rsidR="004D2217" w:rsidRPr="004814DB">
        <w:t xml:space="preserve">mall business is wary of seeking </w:t>
      </w:r>
      <w:r w:rsidR="006F0D15">
        <w:t xml:space="preserve">assistance </w:t>
      </w:r>
      <w:r w:rsidR="004D2217" w:rsidRPr="004814DB">
        <w:t xml:space="preserve">from regulators due to a fear of unintentional non-compliance </w:t>
      </w:r>
      <w:r w:rsidR="006F0D15">
        <w:t xml:space="preserve">being discovered </w:t>
      </w:r>
      <w:r w:rsidR="004D2217" w:rsidRPr="004814DB">
        <w:t>and penalties</w:t>
      </w:r>
      <w:r w:rsidR="006F0D15">
        <w:t xml:space="preserve"> being levied</w:t>
      </w:r>
      <w:r w:rsidR="004D2217" w:rsidRPr="004814DB">
        <w:t xml:space="preserve">. </w:t>
      </w:r>
      <w:r w:rsidRPr="004814DB">
        <w:t>Consequently</w:t>
      </w:r>
      <w:r w:rsidR="004D2217" w:rsidRPr="004814DB">
        <w:t xml:space="preserve">, many </w:t>
      </w:r>
      <w:r w:rsidR="006F0D15">
        <w:t xml:space="preserve">small businesses </w:t>
      </w:r>
      <w:r w:rsidR="004D2217" w:rsidRPr="004814DB">
        <w:t>do not access the assistance and</w:t>
      </w:r>
      <w:r w:rsidRPr="004814DB">
        <w:t xml:space="preserve"> information</w:t>
      </w:r>
      <w:r w:rsidR="004D2217" w:rsidRPr="004814DB">
        <w:t xml:space="preserve"> resources available. </w:t>
      </w:r>
    </w:p>
    <w:p w:rsidR="008A6C54" w:rsidRPr="004814DB" w:rsidRDefault="002F2B27" w:rsidP="006F0D15">
      <w:pPr>
        <w:pStyle w:val="OutlineNumbered1"/>
        <w:spacing w:before="120" w:after="120"/>
        <w:ind w:left="522" w:hanging="522"/>
        <w:rPr>
          <w:rFonts w:cs="Arial"/>
        </w:rPr>
      </w:pPr>
      <w:r w:rsidRPr="004814DB">
        <w:rPr>
          <w:rFonts w:cs="Arial"/>
        </w:rPr>
        <w:t xml:space="preserve">The cumulative effect of </w:t>
      </w:r>
      <w:r w:rsidR="00920EAE">
        <w:rPr>
          <w:rFonts w:cs="Arial"/>
        </w:rPr>
        <w:t>WR regulation</w:t>
      </w:r>
      <w:r w:rsidR="008A6C54" w:rsidRPr="004814DB">
        <w:rPr>
          <w:rFonts w:cs="Arial"/>
        </w:rPr>
        <w:t xml:space="preserve"> impose</w:t>
      </w:r>
      <w:r w:rsidRPr="004814DB">
        <w:rPr>
          <w:rFonts w:cs="Arial"/>
        </w:rPr>
        <w:t>s</w:t>
      </w:r>
      <w:r w:rsidR="008A6C54" w:rsidRPr="004814DB">
        <w:rPr>
          <w:rFonts w:cs="Arial"/>
        </w:rPr>
        <w:t xml:space="preserve"> a</w:t>
      </w:r>
      <w:r w:rsidRPr="004814DB">
        <w:rPr>
          <w:rFonts w:cs="Arial"/>
        </w:rPr>
        <w:t xml:space="preserve"> </w:t>
      </w:r>
      <w:r w:rsidRPr="006F0D15">
        <w:rPr>
          <w:rFonts w:cs="Arial"/>
          <w:b/>
        </w:rPr>
        <w:t xml:space="preserve">disproportionately heavy burden on </w:t>
      </w:r>
      <w:r w:rsidR="008A6C54" w:rsidRPr="006F0D15">
        <w:rPr>
          <w:rFonts w:cs="Arial"/>
          <w:b/>
        </w:rPr>
        <w:t>small business</w:t>
      </w:r>
      <w:r w:rsidR="008A6C54" w:rsidRPr="004814DB">
        <w:rPr>
          <w:rFonts w:cs="Arial"/>
        </w:rPr>
        <w:t xml:space="preserve"> operators</w:t>
      </w:r>
      <w:r w:rsidRPr="004814DB">
        <w:rPr>
          <w:rFonts w:cs="Arial"/>
        </w:rPr>
        <w:t xml:space="preserve">, who are not equipped with specialist </w:t>
      </w:r>
      <w:r w:rsidR="00920EAE">
        <w:rPr>
          <w:rFonts w:cs="Arial"/>
        </w:rPr>
        <w:t xml:space="preserve">human resource </w:t>
      </w:r>
      <w:r w:rsidRPr="004814DB">
        <w:rPr>
          <w:rFonts w:cs="Arial"/>
        </w:rPr>
        <w:t>skills of larger firms</w:t>
      </w:r>
      <w:r w:rsidR="008A6C54" w:rsidRPr="004814DB">
        <w:rPr>
          <w:rFonts w:cs="Arial"/>
        </w:rPr>
        <w:t>. Small business feels that th</w:t>
      </w:r>
      <w:r w:rsidRPr="004814DB">
        <w:rPr>
          <w:rFonts w:cs="Arial"/>
        </w:rPr>
        <w:t>is</w:t>
      </w:r>
      <w:r w:rsidR="008A6C54" w:rsidRPr="004814DB">
        <w:rPr>
          <w:rFonts w:cs="Arial"/>
        </w:rPr>
        <w:t xml:space="preserve"> regulat</w:t>
      </w:r>
      <w:r w:rsidRPr="004814DB">
        <w:rPr>
          <w:rFonts w:cs="Arial"/>
        </w:rPr>
        <w:t>ory burden is a serious issue</w:t>
      </w:r>
      <w:r w:rsidR="00920EAE">
        <w:rPr>
          <w:rFonts w:cs="Arial"/>
        </w:rPr>
        <w:t xml:space="preserve"> and restricts their ability to compete</w:t>
      </w:r>
      <w:r w:rsidRPr="004814DB">
        <w:rPr>
          <w:rFonts w:cs="Arial"/>
        </w:rPr>
        <w:t>.</w:t>
      </w:r>
    </w:p>
    <w:p w:rsidR="008A6C54" w:rsidRPr="004814DB" w:rsidRDefault="008A6C54" w:rsidP="006F0D15">
      <w:pPr>
        <w:pStyle w:val="OutlineNumbered1"/>
        <w:spacing w:before="120" w:after="120"/>
        <w:ind w:left="522" w:hanging="522"/>
        <w:rPr>
          <w:rFonts w:cs="Arial"/>
        </w:rPr>
      </w:pPr>
      <w:r w:rsidRPr="004814DB">
        <w:rPr>
          <w:rFonts w:cs="Arial"/>
        </w:rPr>
        <w:t xml:space="preserve">The </w:t>
      </w:r>
      <w:r w:rsidRPr="00920EAE">
        <w:rPr>
          <w:rFonts w:cs="Arial"/>
          <w:b/>
        </w:rPr>
        <w:t>penalty rates adverse</w:t>
      </w:r>
      <w:r w:rsidR="00C042AE" w:rsidRPr="00920EAE">
        <w:rPr>
          <w:rFonts w:cs="Arial"/>
          <w:b/>
        </w:rPr>
        <w:t>ly</w:t>
      </w:r>
      <w:r w:rsidRPr="00920EAE">
        <w:rPr>
          <w:rFonts w:cs="Arial"/>
          <w:b/>
        </w:rPr>
        <w:t xml:space="preserve"> impact</w:t>
      </w:r>
      <w:r w:rsidRPr="00920EAE">
        <w:rPr>
          <w:rFonts w:cs="Arial"/>
        </w:rPr>
        <w:t xml:space="preserve"> small business</w:t>
      </w:r>
      <w:r w:rsidRPr="004814DB">
        <w:rPr>
          <w:rFonts w:cs="Arial"/>
        </w:rPr>
        <w:t xml:space="preserve"> employment and profitability</w:t>
      </w:r>
      <w:r w:rsidR="002F2B27" w:rsidRPr="004814DB">
        <w:rPr>
          <w:rFonts w:cs="Arial"/>
        </w:rPr>
        <w:t xml:space="preserve">. Owners </w:t>
      </w:r>
      <w:r w:rsidR="00920EAE">
        <w:rPr>
          <w:rFonts w:cs="Arial"/>
        </w:rPr>
        <w:t xml:space="preserve">report </w:t>
      </w:r>
      <w:r w:rsidR="002F2B27" w:rsidRPr="004814DB">
        <w:rPr>
          <w:rFonts w:cs="Arial"/>
        </w:rPr>
        <w:t xml:space="preserve">that penalty rates </w:t>
      </w:r>
      <w:r w:rsidR="00920EAE">
        <w:rPr>
          <w:rFonts w:cs="Arial"/>
        </w:rPr>
        <w:t xml:space="preserve">reduce the flexibility of small business and </w:t>
      </w:r>
      <w:r w:rsidR="002F2B27" w:rsidRPr="004814DB">
        <w:rPr>
          <w:rFonts w:cs="Arial"/>
        </w:rPr>
        <w:t>“stifl</w:t>
      </w:r>
      <w:r w:rsidR="00920EAE">
        <w:rPr>
          <w:rFonts w:cs="Arial"/>
        </w:rPr>
        <w:t xml:space="preserve">e </w:t>
      </w:r>
      <w:r w:rsidR="002F2B27" w:rsidRPr="004814DB">
        <w:rPr>
          <w:rFonts w:cs="Arial"/>
        </w:rPr>
        <w:t>business activity”, particularly on weekends</w:t>
      </w:r>
      <w:r w:rsidR="00920EAE">
        <w:rPr>
          <w:rFonts w:cs="Arial"/>
        </w:rPr>
        <w:t>.</w:t>
      </w:r>
    </w:p>
    <w:p w:rsidR="004D2217" w:rsidRDefault="008A6C54" w:rsidP="006F0D15">
      <w:pPr>
        <w:pStyle w:val="OutlineNumbered1"/>
        <w:spacing w:before="120" w:after="120"/>
        <w:ind w:left="522" w:hanging="522"/>
        <w:rPr>
          <w:rFonts w:cs="Arial"/>
        </w:rPr>
      </w:pPr>
      <w:r w:rsidRPr="004814DB">
        <w:rPr>
          <w:rFonts w:cs="Arial"/>
        </w:rPr>
        <w:t xml:space="preserve">The </w:t>
      </w:r>
      <w:r w:rsidRPr="00920EAE">
        <w:rPr>
          <w:rFonts w:cs="Arial"/>
          <w:b/>
        </w:rPr>
        <w:t>unfair dismissal laws impose unnece</w:t>
      </w:r>
      <w:r w:rsidR="002F2B27" w:rsidRPr="00920EAE">
        <w:rPr>
          <w:rFonts w:cs="Arial"/>
          <w:b/>
        </w:rPr>
        <w:t>ssary costs</w:t>
      </w:r>
      <w:r w:rsidR="002F2B27" w:rsidRPr="004814DB">
        <w:rPr>
          <w:rFonts w:cs="Arial"/>
        </w:rPr>
        <w:t xml:space="preserve"> on small businesses </w:t>
      </w:r>
      <w:r w:rsidR="004D2217" w:rsidRPr="004814DB">
        <w:rPr>
          <w:rFonts w:cs="Arial"/>
        </w:rPr>
        <w:t xml:space="preserve">and </w:t>
      </w:r>
      <w:r w:rsidR="002F2B27" w:rsidRPr="004814DB">
        <w:rPr>
          <w:rFonts w:cs="Arial"/>
        </w:rPr>
        <w:t>are</w:t>
      </w:r>
      <w:r w:rsidR="004D2217" w:rsidRPr="004814DB">
        <w:rPr>
          <w:rFonts w:cs="Arial"/>
        </w:rPr>
        <w:t xml:space="preserve"> a barrier to taking on </w:t>
      </w:r>
      <w:r w:rsidR="002F2B27" w:rsidRPr="004814DB">
        <w:rPr>
          <w:rFonts w:cs="Arial"/>
        </w:rPr>
        <w:t xml:space="preserve">new </w:t>
      </w:r>
      <w:r w:rsidR="004D2217" w:rsidRPr="004814DB">
        <w:rPr>
          <w:rFonts w:cs="Arial"/>
        </w:rPr>
        <w:t xml:space="preserve">employees. </w:t>
      </w:r>
    </w:p>
    <w:p w:rsidR="00920EAE" w:rsidRPr="00A276AB" w:rsidRDefault="00A276AB" w:rsidP="00A276AB">
      <w:pPr>
        <w:pStyle w:val="OutlineNumbered1"/>
        <w:spacing w:before="120" w:after="120"/>
        <w:ind w:left="522" w:hanging="522"/>
        <w:rPr>
          <w:rFonts w:cs="Arial"/>
          <w:b/>
          <w:sz w:val="32"/>
          <w:szCs w:val="32"/>
        </w:rPr>
      </w:pPr>
      <w:r w:rsidRPr="00A276AB">
        <w:rPr>
          <w:rFonts w:cs="Arial"/>
        </w:rPr>
        <w:t xml:space="preserve">The </w:t>
      </w:r>
      <w:r w:rsidRPr="00A276AB">
        <w:rPr>
          <w:rFonts w:cs="Arial"/>
          <w:b/>
        </w:rPr>
        <w:t>Junior Award</w:t>
      </w:r>
      <w:r w:rsidR="00915AE5">
        <w:rPr>
          <w:rFonts w:cs="Arial"/>
          <w:b/>
        </w:rPr>
        <w:t xml:space="preserve"> Rates</w:t>
      </w:r>
      <w:r w:rsidRPr="00A276AB">
        <w:rPr>
          <w:rFonts w:cs="Arial"/>
          <w:b/>
        </w:rPr>
        <w:t xml:space="preserve"> system benefits</w:t>
      </w:r>
      <w:r w:rsidRPr="00A276AB">
        <w:rPr>
          <w:rFonts w:cs="Arial"/>
        </w:rPr>
        <w:t xml:space="preserve"> both small business and young people. Any replacement system </w:t>
      </w:r>
      <w:r w:rsidR="00915AE5">
        <w:rPr>
          <w:rFonts w:cs="Arial"/>
        </w:rPr>
        <w:t xml:space="preserve">would </w:t>
      </w:r>
      <w:r w:rsidRPr="00A276AB">
        <w:rPr>
          <w:rFonts w:cs="Arial"/>
        </w:rPr>
        <w:t xml:space="preserve">need to retain the advantage of a large differential between </w:t>
      </w:r>
      <w:r w:rsidRPr="00A276AB">
        <w:rPr>
          <w:rFonts w:cs="Arial"/>
        </w:rPr>
        <w:lastRenderedPageBreak/>
        <w:t xml:space="preserve">experienced and inexperienced worker, to retain the incentive for small business to employ young, unskilled workers. </w:t>
      </w:r>
    </w:p>
    <w:p w:rsidR="009852E9" w:rsidRPr="009852E9" w:rsidRDefault="009852E9" w:rsidP="009852E9">
      <w:pPr>
        <w:pStyle w:val="Bullet"/>
        <w:numPr>
          <w:ilvl w:val="0"/>
          <w:numId w:val="0"/>
        </w:numPr>
        <w:tabs>
          <w:tab w:val="left" w:pos="720"/>
        </w:tabs>
        <w:spacing w:before="360" w:after="120" w:line="312" w:lineRule="auto"/>
        <w:rPr>
          <w:rFonts w:cs="Arial"/>
          <w:b/>
          <w:sz w:val="32"/>
          <w:szCs w:val="32"/>
        </w:rPr>
      </w:pPr>
      <w:r w:rsidRPr="009852E9">
        <w:rPr>
          <w:rFonts w:cs="Arial"/>
          <w:b/>
          <w:sz w:val="32"/>
          <w:szCs w:val="32"/>
        </w:rPr>
        <w:t>The need for reform</w:t>
      </w:r>
    </w:p>
    <w:p w:rsidR="00CA7683" w:rsidRPr="004814DB" w:rsidRDefault="00CA7683" w:rsidP="00920EAE">
      <w:pPr>
        <w:pStyle w:val="Bullet"/>
        <w:numPr>
          <w:ilvl w:val="0"/>
          <w:numId w:val="0"/>
        </w:numPr>
        <w:tabs>
          <w:tab w:val="left" w:pos="720"/>
        </w:tabs>
        <w:spacing w:before="120" w:after="120" w:line="312" w:lineRule="auto"/>
        <w:rPr>
          <w:rFonts w:cs="Arial"/>
        </w:rPr>
      </w:pPr>
      <w:r w:rsidRPr="004814DB">
        <w:rPr>
          <w:rFonts w:cs="Arial"/>
        </w:rPr>
        <w:t>While accepting the PC</w:t>
      </w:r>
      <w:r w:rsidR="00C042AE" w:rsidRPr="004814DB">
        <w:rPr>
          <w:rFonts w:cs="Arial"/>
        </w:rPr>
        <w:t>’s</w:t>
      </w:r>
      <w:r w:rsidRPr="004814DB">
        <w:rPr>
          <w:rFonts w:cs="Arial"/>
        </w:rPr>
        <w:t xml:space="preserve"> overall finding that Australia’s </w:t>
      </w:r>
      <w:r w:rsidR="00920EAE">
        <w:rPr>
          <w:rFonts w:cs="Arial"/>
        </w:rPr>
        <w:t xml:space="preserve">WR </w:t>
      </w:r>
      <w:r w:rsidRPr="004814DB">
        <w:rPr>
          <w:rFonts w:cs="Arial"/>
        </w:rPr>
        <w:t xml:space="preserve">system is not </w:t>
      </w:r>
      <w:r w:rsidR="00920EAE">
        <w:rPr>
          <w:rFonts w:cs="Arial"/>
        </w:rPr>
        <w:t>“</w:t>
      </w:r>
      <w:r w:rsidRPr="004814DB">
        <w:rPr>
          <w:rFonts w:cs="Arial"/>
        </w:rPr>
        <w:t>systemically dysfunctional</w:t>
      </w:r>
      <w:r w:rsidR="00920EAE">
        <w:rPr>
          <w:rFonts w:cs="Arial"/>
        </w:rPr>
        <w:t>”</w:t>
      </w:r>
      <w:r w:rsidRPr="004814DB">
        <w:rPr>
          <w:rFonts w:cs="Arial"/>
        </w:rPr>
        <w:t xml:space="preserve">, </w:t>
      </w:r>
      <w:r w:rsidR="00E772CE" w:rsidRPr="004814DB">
        <w:rPr>
          <w:rFonts w:cs="Arial"/>
        </w:rPr>
        <w:t>we</w:t>
      </w:r>
      <w:r w:rsidRPr="004814DB">
        <w:rPr>
          <w:rFonts w:cs="Arial"/>
        </w:rPr>
        <w:t xml:space="preserve"> believe that greater efforts should be made to relieve </w:t>
      </w:r>
      <w:r w:rsidR="00920EAE">
        <w:rPr>
          <w:rFonts w:cs="Arial"/>
        </w:rPr>
        <w:t xml:space="preserve">a range of </w:t>
      </w:r>
      <w:r w:rsidRPr="004814DB">
        <w:rPr>
          <w:rFonts w:cs="Arial"/>
        </w:rPr>
        <w:t>adverse impacts on small business.</w:t>
      </w:r>
      <w:r w:rsidR="00920EAE">
        <w:rPr>
          <w:rFonts w:cs="Arial"/>
        </w:rPr>
        <w:t xml:space="preserve">  In particular, our observations take into account </w:t>
      </w:r>
      <w:r w:rsidR="00E772CE" w:rsidRPr="004814DB">
        <w:rPr>
          <w:rFonts w:cs="Arial"/>
        </w:rPr>
        <w:t>t</w:t>
      </w:r>
      <w:r w:rsidRPr="004814DB">
        <w:rPr>
          <w:rFonts w:cs="Arial"/>
        </w:rPr>
        <w:t>he high level of youth unemployment</w:t>
      </w:r>
      <w:r w:rsidR="00920EAE">
        <w:rPr>
          <w:rFonts w:cs="Arial"/>
        </w:rPr>
        <w:t xml:space="preserve"> (</w:t>
      </w:r>
      <w:r w:rsidR="00F94A6D">
        <w:rPr>
          <w:rFonts w:cs="Arial"/>
        </w:rPr>
        <w:t xml:space="preserve">currently about </w:t>
      </w:r>
      <w:r w:rsidR="008163B7">
        <w:rPr>
          <w:rFonts w:cs="Arial"/>
        </w:rPr>
        <w:t xml:space="preserve">13% </w:t>
      </w:r>
      <w:r w:rsidR="00F94A6D">
        <w:rPr>
          <w:rFonts w:cs="Arial"/>
        </w:rPr>
        <w:t>for Australians aged 15-24</w:t>
      </w:r>
      <w:r w:rsidR="008163B7">
        <w:rPr>
          <w:rStyle w:val="FootnoteReference"/>
          <w:rFonts w:cs="Arial"/>
        </w:rPr>
        <w:footnoteReference w:id="2"/>
      </w:r>
      <w:r w:rsidR="00920EAE">
        <w:rPr>
          <w:rFonts w:cs="Arial"/>
        </w:rPr>
        <w:t>)</w:t>
      </w:r>
      <w:r w:rsidR="008163B7">
        <w:rPr>
          <w:rFonts w:cs="Arial"/>
        </w:rPr>
        <w:t xml:space="preserve"> and the need for productivity growth to maintain and improve living standards (which is linked in part to labour market flexibility)</w:t>
      </w:r>
      <w:r w:rsidRPr="004814DB">
        <w:rPr>
          <w:rFonts w:cs="Arial"/>
        </w:rPr>
        <w:t xml:space="preserve">. </w:t>
      </w:r>
      <w:r w:rsidR="00C042AE" w:rsidRPr="004814DB">
        <w:rPr>
          <w:rFonts w:cs="Arial"/>
        </w:rPr>
        <w:t xml:space="preserve">We believe that </w:t>
      </w:r>
      <w:r w:rsidR="00F94A6D">
        <w:rPr>
          <w:rFonts w:cs="Arial"/>
        </w:rPr>
        <w:t xml:space="preserve">removing </w:t>
      </w:r>
      <w:r w:rsidR="00C042AE" w:rsidRPr="004814DB">
        <w:rPr>
          <w:rFonts w:cs="Arial"/>
        </w:rPr>
        <w:t>r</w:t>
      </w:r>
      <w:r w:rsidRPr="004814DB">
        <w:rPr>
          <w:rFonts w:cs="Arial"/>
        </w:rPr>
        <w:t xml:space="preserve">igidities in the </w:t>
      </w:r>
      <w:r w:rsidR="008163B7">
        <w:rPr>
          <w:rFonts w:cs="Arial"/>
        </w:rPr>
        <w:t xml:space="preserve">WR </w:t>
      </w:r>
      <w:r w:rsidRPr="004814DB">
        <w:rPr>
          <w:rFonts w:cs="Arial"/>
        </w:rPr>
        <w:t xml:space="preserve">framework </w:t>
      </w:r>
      <w:r w:rsidR="00F94A6D">
        <w:rPr>
          <w:rFonts w:cs="Arial"/>
        </w:rPr>
        <w:t>would, in particular, assist with youth unemployment and productivity more generally</w:t>
      </w:r>
      <w:r w:rsidRPr="004814DB">
        <w:rPr>
          <w:rFonts w:cs="Arial"/>
        </w:rPr>
        <w:t xml:space="preserve">. </w:t>
      </w:r>
      <w:r w:rsidR="00F94A6D">
        <w:rPr>
          <w:rFonts w:cs="Arial"/>
        </w:rPr>
        <w:t xml:space="preserve">Changes that </w:t>
      </w:r>
      <w:r w:rsidR="00F94A6D" w:rsidRPr="004814DB">
        <w:rPr>
          <w:rFonts w:cs="Arial"/>
        </w:rPr>
        <w:t xml:space="preserve">reduce </w:t>
      </w:r>
      <w:r w:rsidR="00F94A6D">
        <w:rPr>
          <w:rFonts w:cs="Arial"/>
        </w:rPr>
        <w:t xml:space="preserve">the </w:t>
      </w:r>
      <w:r w:rsidR="00F94A6D" w:rsidRPr="004814DB">
        <w:rPr>
          <w:rFonts w:cs="Arial"/>
        </w:rPr>
        <w:t>compliance burden on small business</w:t>
      </w:r>
      <w:r w:rsidR="00F94A6D">
        <w:rPr>
          <w:rFonts w:cs="Arial"/>
        </w:rPr>
        <w:t xml:space="preserve">, </w:t>
      </w:r>
      <w:r w:rsidR="00F94A6D" w:rsidRPr="004814DB">
        <w:rPr>
          <w:rFonts w:cs="Arial"/>
        </w:rPr>
        <w:t xml:space="preserve">permit greater flexibility in operating hours and employment conditions </w:t>
      </w:r>
      <w:r w:rsidR="00F94A6D">
        <w:rPr>
          <w:rFonts w:cs="Arial"/>
        </w:rPr>
        <w:t xml:space="preserve">and allow business to “work smarter” are </w:t>
      </w:r>
      <w:r w:rsidR="00F52734">
        <w:rPr>
          <w:rFonts w:cs="Arial"/>
        </w:rPr>
        <w:t xml:space="preserve">the </w:t>
      </w:r>
      <w:r w:rsidR="00F94A6D">
        <w:rPr>
          <w:rFonts w:cs="Arial"/>
        </w:rPr>
        <w:t>key</w:t>
      </w:r>
      <w:r w:rsidR="00F52734">
        <w:rPr>
          <w:rFonts w:cs="Arial"/>
        </w:rPr>
        <w:t>s</w:t>
      </w:r>
      <w:r w:rsidR="00F94A6D">
        <w:rPr>
          <w:rFonts w:cs="Arial"/>
        </w:rPr>
        <w:t xml:space="preserve"> to accomplishing this</w:t>
      </w:r>
      <w:r w:rsidRPr="004814DB">
        <w:rPr>
          <w:rFonts w:cs="Arial"/>
        </w:rPr>
        <w:t>.</w:t>
      </w:r>
    </w:p>
    <w:p w:rsidR="00CA7683" w:rsidRPr="004814DB" w:rsidRDefault="00CA7683" w:rsidP="009852E9">
      <w:pPr>
        <w:pStyle w:val="Bullet"/>
        <w:numPr>
          <w:ilvl w:val="0"/>
          <w:numId w:val="0"/>
        </w:numPr>
        <w:tabs>
          <w:tab w:val="left" w:pos="720"/>
        </w:tabs>
        <w:spacing w:before="120" w:after="120" w:line="312" w:lineRule="auto"/>
        <w:rPr>
          <w:rFonts w:cs="Arial"/>
        </w:rPr>
      </w:pPr>
      <w:r w:rsidRPr="004814DB">
        <w:rPr>
          <w:rFonts w:cs="Arial"/>
        </w:rPr>
        <w:t xml:space="preserve">The ASBC </w:t>
      </w:r>
      <w:r w:rsidR="004A055D" w:rsidRPr="004814DB">
        <w:rPr>
          <w:rFonts w:cs="Arial"/>
        </w:rPr>
        <w:t xml:space="preserve">would </w:t>
      </w:r>
      <w:r w:rsidR="00F94A6D">
        <w:rPr>
          <w:rFonts w:cs="Arial"/>
        </w:rPr>
        <w:t xml:space="preserve">therefore </w:t>
      </w:r>
      <w:r w:rsidR="004A055D" w:rsidRPr="004814DB">
        <w:rPr>
          <w:rFonts w:cs="Arial"/>
        </w:rPr>
        <w:t xml:space="preserve">encourage the </w:t>
      </w:r>
      <w:r w:rsidRPr="004814DB">
        <w:rPr>
          <w:rFonts w:cs="Arial"/>
        </w:rPr>
        <w:t xml:space="preserve">PC </w:t>
      </w:r>
      <w:r w:rsidR="0083472B" w:rsidRPr="004814DB">
        <w:rPr>
          <w:rFonts w:cs="Arial"/>
        </w:rPr>
        <w:t xml:space="preserve">to </w:t>
      </w:r>
      <w:r w:rsidR="000B6852" w:rsidRPr="004814DB">
        <w:rPr>
          <w:rFonts w:cs="Arial"/>
        </w:rPr>
        <w:t>emphasis</w:t>
      </w:r>
      <w:r w:rsidR="00F94A6D">
        <w:rPr>
          <w:rFonts w:cs="Arial"/>
        </w:rPr>
        <w:t>e</w:t>
      </w:r>
      <w:r w:rsidR="000B6852" w:rsidRPr="004814DB">
        <w:rPr>
          <w:rFonts w:cs="Arial"/>
        </w:rPr>
        <w:t xml:space="preserve"> </w:t>
      </w:r>
      <w:r w:rsidR="0083472B" w:rsidRPr="004814DB">
        <w:rPr>
          <w:rFonts w:cs="Arial"/>
        </w:rPr>
        <w:t>in its final report</w:t>
      </w:r>
      <w:r w:rsidRPr="004814DB">
        <w:rPr>
          <w:rFonts w:cs="Arial"/>
        </w:rPr>
        <w:t>:</w:t>
      </w:r>
    </w:p>
    <w:p w:rsidR="00CA7683" w:rsidRPr="004814DB" w:rsidRDefault="00CA7683" w:rsidP="00920EAE">
      <w:pPr>
        <w:pStyle w:val="Bullet"/>
        <w:numPr>
          <w:ilvl w:val="0"/>
          <w:numId w:val="10"/>
        </w:numPr>
        <w:tabs>
          <w:tab w:val="left" w:pos="720"/>
        </w:tabs>
        <w:spacing w:before="120" w:after="120" w:line="312" w:lineRule="auto"/>
        <w:ind w:left="357" w:hanging="357"/>
        <w:rPr>
          <w:rFonts w:cs="Arial"/>
        </w:rPr>
      </w:pPr>
      <w:r w:rsidRPr="004814DB">
        <w:rPr>
          <w:rFonts w:cs="Arial"/>
        </w:rPr>
        <w:t xml:space="preserve">Reducing the regulatory burden </w:t>
      </w:r>
      <w:r w:rsidR="003246FC" w:rsidRPr="004814DB">
        <w:rPr>
          <w:rFonts w:cs="Arial"/>
        </w:rPr>
        <w:t>of the W</w:t>
      </w:r>
      <w:r w:rsidRPr="004814DB">
        <w:rPr>
          <w:rFonts w:cs="Arial"/>
        </w:rPr>
        <w:t>R system</w:t>
      </w:r>
      <w:r w:rsidR="00FD7D03">
        <w:rPr>
          <w:rFonts w:cs="Arial"/>
        </w:rPr>
        <w:t>,</w:t>
      </w:r>
      <w:r w:rsidRPr="004814DB">
        <w:rPr>
          <w:rFonts w:cs="Arial"/>
        </w:rPr>
        <w:t xml:space="preserve"> </w:t>
      </w:r>
      <w:r w:rsidR="003246FC" w:rsidRPr="004814DB">
        <w:rPr>
          <w:rFonts w:cs="Arial"/>
        </w:rPr>
        <w:t xml:space="preserve">which weighs more heavily on </w:t>
      </w:r>
      <w:r w:rsidRPr="004814DB">
        <w:rPr>
          <w:rFonts w:cs="Arial"/>
        </w:rPr>
        <w:t xml:space="preserve">small business </w:t>
      </w:r>
      <w:r w:rsidR="003246FC" w:rsidRPr="004814DB">
        <w:rPr>
          <w:rFonts w:cs="Arial"/>
        </w:rPr>
        <w:t>than</w:t>
      </w:r>
      <w:r w:rsidRPr="004814DB">
        <w:rPr>
          <w:rFonts w:cs="Arial"/>
        </w:rPr>
        <w:t xml:space="preserve"> big </w:t>
      </w:r>
      <w:r w:rsidR="00FD1E1D" w:rsidRPr="004814DB">
        <w:rPr>
          <w:rFonts w:cs="Arial"/>
        </w:rPr>
        <w:t>business</w:t>
      </w:r>
      <w:r w:rsidRPr="004814DB">
        <w:rPr>
          <w:rFonts w:cs="Arial"/>
        </w:rPr>
        <w:t xml:space="preserve">; </w:t>
      </w:r>
    </w:p>
    <w:p w:rsidR="00FD7D03" w:rsidRDefault="00FD7D03" w:rsidP="00920EAE">
      <w:pPr>
        <w:pStyle w:val="Bullet"/>
        <w:numPr>
          <w:ilvl w:val="0"/>
          <w:numId w:val="10"/>
        </w:numPr>
        <w:tabs>
          <w:tab w:val="left" w:pos="720"/>
        </w:tabs>
        <w:spacing w:before="120" w:after="120" w:line="312" w:lineRule="auto"/>
        <w:ind w:left="357" w:hanging="357"/>
        <w:rPr>
          <w:rFonts w:cs="Arial"/>
        </w:rPr>
      </w:pPr>
      <w:r w:rsidRPr="004814DB">
        <w:rPr>
          <w:rFonts w:cs="Arial"/>
        </w:rPr>
        <w:t>Simplifying award conditions</w:t>
      </w:r>
      <w:r>
        <w:rPr>
          <w:rFonts w:cs="Arial"/>
        </w:rPr>
        <w:t>,</w:t>
      </w:r>
      <w:r w:rsidRPr="004814DB">
        <w:rPr>
          <w:rFonts w:cs="Arial"/>
        </w:rPr>
        <w:t xml:space="preserve"> while increasing flexibility within awards</w:t>
      </w:r>
      <w:r>
        <w:rPr>
          <w:rFonts w:cs="Arial"/>
        </w:rPr>
        <w:t>,</w:t>
      </w:r>
      <w:r w:rsidRPr="004814DB">
        <w:rPr>
          <w:rFonts w:cs="Arial"/>
        </w:rPr>
        <w:t xml:space="preserve"> for firms and employees to </w:t>
      </w:r>
      <w:r>
        <w:rPr>
          <w:rFonts w:cs="Arial"/>
        </w:rPr>
        <w:t>negotiate</w:t>
      </w:r>
      <w:r w:rsidRPr="004814DB">
        <w:rPr>
          <w:rFonts w:cs="Arial"/>
        </w:rPr>
        <w:t xml:space="preserve"> mutually beneficial variations; </w:t>
      </w:r>
    </w:p>
    <w:p w:rsidR="00CA7683" w:rsidRPr="004814DB" w:rsidRDefault="00CA7683" w:rsidP="00920EAE">
      <w:pPr>
        <w:pStyle w:val="Bullet"/>
        <w:numPr>
          <w:ilvl w:val="0"/>
          <w:numId w:val="10"/>
        </w:numPr>
        <w:tabs>
          <w:tab w:val="left" w:pos="720"/>
        </w:tabs>
        <w:spacing w:before="120" w:after="120" w:line="312" w:lineRule="auto"/>
        <w:ind w:left="357" w:hanging="357"/>
        <w:rPr>
          <w:rFonts w:cs="Arial"/>
        </w:rPr>
      </w:pPr>
      <w:r w:rsidRPr="004814DB">
        <w:rPr>
          <w:rFonts w:cs="Arial"/>
        </w:rPr>
        <w:t xml:space="preserve">Alleviating the adverse impacts of penalty rates on </w:t>
      </w:r>
      <w:r w:rsidR="003246FC" w:rsidRPr="004814DB">
        <w:rPr>
          <w:rFonts w:cs="Arial"/>
        </w:rPr>
        <w:t xml:space="preserve">small business, particularly the stifling of business activity and </w:t>
      </w:r>
      <w:r w:rsidRPr="004814DB">
        <w:rPr>
          <w:rFonts w:cs="Arial"/>
        </w:rPr>
        <w:t xml:space="preserve">employment </w:t>
      </w:r>
      <w:r w:rsidR="003246FC" w:rsidRPr="004814DB">
        <w:rPr>
          <w:rFonts w:cs="Arial"/>
        </w:rPr>
        <w:t>on weekends</w:t>
      </w:r>
      <w:r w:rsidRPr="004814DB">
        <w:rPr>
          <w:rFonts w:cs="Arial"/>
        </w:rPr>
        <w:t xml:space="preserve">; </w:t>
      </w:r>
    </w:p>
    <w:p w:rsidR="008E09FD" w:rsidRPr="00FD7D03" w:rsidRDefault="00CA7683" w:rsidP="00FD7D03">
      <w:pPr>
        <w:pStyle w:val="Bullet"/>
        <w:numPr>
          <w:ilvl w:val="0"/>
          <w:numId w:val="10"/>
        </w:numPr>
        <w:tabs>
          <w:tab w:val="left" w:pos="720"/>
        </w:tabs>
        <w:spacing w:before="120" w:after="120" w:line="312" w:lineRule="auto"/>
        <w:ind w:left="357" w:hanging="357"/>
        <w:rPr>
          <w:rFonts w:cs="Arial"/>
        </w:rPr>
      </w:pPr>
      <w:r w:rsidRPr="004814DB">
        <w:rPr>
          <w:rFonts w:cs="Arial"/>
        </w:rPr>
        <w:t>Re</w:t>
      </w:r>
      <w:r w:rsidR="003246FC" w:rsidRPr="004814DB">
        <w:rPr>
          <w:rFonts w:cs="Arial"/>
        </w:rPr>
        <w:t>ducing the unnecessary costs of</w:t>
      </w:r>
      <w:r w:rsidRPr="004814DB">
        <w:rPr>
          <w:rFonts w:cs="Arial"/>
        </w:rPr>
        <w:t xml:space="preserve"> unfair dismissal laws</w:t>
      </w:r>
      <w:r w:rsidR="003246FC" w:rsidRPr="004814DB">
        <w:rPr>
          <w:rFonts w:cs="Arial"/>
        </w:rPr>
        <w:t xml:space="preserve">, for example, </w:t>
      </w:r>
      <w:r w:rsidR="00FD7D03" w:rsidRPr="004814DB">
        <w:rPr>
          <w:rFonts w:cs="Arial"/>
        </w:rPr>
        <w:t xml:space="preserve">by </w:t>
      </w:r>
      <w:r w:rsidR="003246FC" w:rsidRPr="004814DB">
        <w:rPr>
          <w:rFonts w:cs="Arial"/>
        </w:rPr>
        <w:t xml:space="preserve">addressing the ability of </w:t>
      </w:r>
      <w:r w:rsidR="0083472B" w:rsidRPr="004814DB">
        <w:rPr>
          <w:rFonts w:cs="Arial"/>
        </w:rPr>
        <w:t>employees</w:t>
      </w:r>
      <w:r w:rsidRPr="004814DB">
        <w:rPr>
          <w:rFonts w:cs="Arial"/>
        </w:rPr>
        <w:t xml:space="preserve"> to </w:t>
      </w:r>
      <w:r w:rsidR="003246FC" w:rsidRPr="004814DB">
        <w:rPr>
          <w:rFonts w:cs="Arial"/>
        </w:rPr>
        <w:t>demand</w:t>
      </w:r>
      <w:r w:rsidRPr="004814DB">
        <w:rPr>
          <w:rFonts w:cs="Arial"/>
        </w:rPr>
        <w:t xml:space="preserve"> ‘go</w:t>
      </w:r>
      <w:r w:rsidR="004A055D" w:rsidRPr="004814DB">
        <w:rPr>
          <w:rFonts w:cs="Arial"/>
        </w:rPr>
        <w:t>-</w:t>
      </w:r>
      <w:r w:rsidRPr="004814DB">
        <w:rPr>
          <w:rFonts w:cs="Arial"/>
        </w:rPr>
        <w:t>away money’</w:t>
      </w:r>
      <w:r w:rsidR="00FD7D03">
        <w:rPr>
          <w:rFonts w:cs="Arial"/>
        </w:rPr>
        <w:t xml:space="preserve"> by </w:t>
      </w:r>
      <w:r w:rsidR="003246FC" w:rsidRPr="004814DB">
        <w:rPr>
          <w:rFonts w:cs="Arial"/>
        </w:rPr>
        <w:t xml:space="preserve">exploiting technical flaws in </w:t>
      </w:r>
      <w:r w:rsidR="00A6283C" w:rsidRPr="004814DB">
        <w:rPr>
          <w:rFonts w:cs="Arial"/>
        </w:rPr>
        <w:t>an</w:t>
      </w:r>
      <w:r w:rsidR="003246FC" w:rsidRPr="004814DB">
        <w:rPr>
          <w:rFonts w:cs="Arial"/>
        </w:rPr>
        <w:t xml:space="preserve"> emplo</w:t>
      </w:r>
      <w:r w:rsidR="00F94A6D">
        <w:rPr>
          <w:rFonts w:cs="Arial"/>
        </w:rPr>
        <w:t>yer’s case;</w:t>
      </w:r>
      <w:r w:rsidR="00FD7D03">
        <w:rPr>
          <w:rFonts w:cs="Arial"/>
        </w:rPr>
        <w:t xml:space="preserve"> </w:t>
      </w:r>
      <w:r w:rsidR="008E09FD" w:rsidRPr="00FD7D03">
        <w:rPr>
          <w:rFonts w:cs="Arial"/>
        </w:rPr>
        <w:t>and</w:t>
      </w:r>
    </w:p>
    <w:p w:rsidR="008E09FD" w:rsidRPr="004814DB" w:rsidRDefault="008E09FD" w:rsidP="00920EAE">
      <w:pPr>
        <w:pStyle w:val="Bullet"/>
        <w:numPr>
          <w:ilvl w:val="0"/>
          <w:numId w:val="10"/>
        </w:numPr>
        <w:tabs>
          <w:tab w:val="left" w:pos="720"/>
        </w:tabs>
        <w:spacing w:before="120" w:after="120" w:line="312" w:lineRule="auto"/>
        <w:ind w:left="357" w:hanging="357"/>
        <w:rPr>
          <w:rFonts w:cs="Arial"/>
        </w:rPr>
      </w:pPr>
      <w:r w:rsidRPr="004814DB">
        <w:rPr>
          <w:rFonts w:cs="Arial"/>
        </w:rPr>
        <w:t xml:space="preserve">Ensuring that any movement </w:t>
      </w:r>
      <w:r w:rsidR="00F94A6D">
        <w:rPr>
          <w:rFonts w:cs="Arial"/>
        </w:rPr>
        <w:t>from age-</w:t>
      </w:r>
      <w:r w:rsidRPr="004814DB">
        <w:rPr>
          <w:rFonts w:cs="Arial"/>
        </w:rPr>
        <w:t>based variations in minimum wage</w:t>
      </w:r>
      <w:r w:rsidR="00F94A6D">
        <w:rPr>
          <w:rFonts w:cs="Arial"/>
        </w:rPr>
        <w:t>s</w:t>
      </w:r>
      <w:r w:rsidRPr="004814DB">
        <w:rPr>
          <w:rFonts w:cs="Arial"/>
        </w:rPr>
        <w:t xml:space="preserve"> to a system based on competencies and experience preserves the same pay rate differentials between unskilled/inexperienced </w:t>
      </w:r>
      <w:r w:rsidR="00F94A6D">
        <w:rPr>
          <w:rFonts w:cs="Arial"/>
        </w:rPr>
        <w:t xml:space="preserve">and </w:t>
      </w:r>
      <w:r w:rsidRPr="004814DB">
        <w:rPr>
          <w:rFonts w:cs="Arial"/>
        </w:rPr>
        <w:t xml:space="preserve">competent/experienced workers that </w:t>
      </w:r>
      <w:r w:rsidR="005A3457" w:rsidRPr="004814DB">
        <w:rPr>
          <w:rFonts w:cs="Arial"/>
        </w:rPr>
        <w:t>exist</w:t>
      </w:r>
      <w:r w:rsidRPr="004814DB">
        <w:rPr>
          <w:rFonts w:cs="Arial"/>
        </w:rPr>
        <w:t xml:space="preserve"> in the current system. </w:t>
      </w:r>
    </w:p>
    <w:p w:rsidR="009852E9" w:rsidRPr="009852E9" w:rsidRDefault="009852E9" w:rsidP="009852E9">
      <w:pPr>
        <w:pStyle w:val="Bullet"/>
        <w:numPr>
          <w:ilvl w:val="0"/>
          <w:numId w:val="0"/>
        </w:numPr>
        <w:tabs>
          <w:tab w:val="left" w:pos="720"/>
        </w:tabs>
        <w:spacing w:before="360" w:after="120" w:line="312" w:lineRule="auto"/>
        <w:rPr>
          <w:rFonts w:cs="Arial"/>
          <w:b/>
          <w:sz w:val="32"/>
          <w:szCs w:val="32"/>
        </w:rPr>
      </w:pPr>
      <w:r w:rsidRPr="009852E9">
        <w:rPr>
          <w:rFonts w:cs="Arial"/>
          <w:b/>
          <w:sz w:val="32"/>
          <w:szCs w:val="32"/>
        </w:rPr>
        <w:t>Regulatory burden</w:t>
      </w:r>
    </w:p>
    <w:p w:rsidR="003016C2" w:rsidRPr="004814DB" w:rsidRDefault="00037E58" w:rsidP="009852E9">
      <w:pPr>
        <w:pStyle w:val="Bullet"/>
        <w:numPr>
          <w:ilvl w:val="0"/>
          <w:numId w:val="0"/>
        </w:numPr>
        <w:tabs>
          <w:tab w:val="left" w:pos="720"/>
        </w:tabs>
        <w:spacing w:before="120" w:after="120" w:line="312" w:lineRule="auto"/>
        <w:rPr>
          <w:rFonts w:cs="Arial"/>
        </w:rPr>
      </w:pPr>
      <w:r w:rsidRPr="004814DB">
        <w:rPr>
          <w:rFonts w:cs="Arial"/>
        </w:rPr>
        <w:t xml:space="preserve">Our Office </w:t>
      </w:r>
      <w:r w:rsidR="007A568A">
        <w:rPr>
          <w:rFonts w:cs="Arial"/>
        </w:rPr>
        <w:t>is committed to</w:t>
      </w:r>
      <w:r w:rsidRPr="004814DB">
        <w:rPr>
          <w:rFonts w:cs="Arial"/>
        </w:rPr>
        <w:t xml:space="preserve"> the Australian Government’s </w:t>
      </w:r>
      <w:r w:rsidR="00DC07B1" w:rsidRPr="004814DB">
        <w:rPr>
          <w:rFonts w:cs="Arial"/>
        </w:rPr>
        <w:t xml:space="preserve">program for </w:t>
      </w:r>
      <w:r w:rsidRPr="004814DB">
        <w:rPr>
          <w:rFonts w:cs="Arial"/>
        </w:rPr>
        <w:t xml:space="preserve">deregulation </w:t>
      </w:r>
      <w:r w:rsidR="00DC07B1" w:rsidRPr="004814DB">
        <w:rPr>
          <w:rFonts w:cs="Arial"/>
        </w:rPr>
        <w:t>and cutting red tape</w:t>
      </w:r>
      <w:r w:rsidRPr="004814DB">
        <w:rPr>
          <w:rFonts w:cs="Arial"/>
        </w:rPr>
        <w:t xml:space="preserve">. We believe that </w:t>
      </w:r>
      <w:r w:rsidR="004A19BB">
        <w:rPr>
          <w:rFonts w:cs="Arial"/>
        </w:rPr>
        <w:t xml:space="preserve">WR </w:t>
      </w:r>
      <w:r w:rsidR="002F6618" w:rsidRPr="004814DB">
        <w:rPr>
          <w:rFonts w:cs="Arial"/>
        </w:rPr>
        <w:t>reform should be consistent with this agenda</w:t>
      </w:r>
      <w:r w:rsidRPr="004814DB">
        <w:rPr>
          <w:rFonts w:cs="Arial"/>
        </w:rPr>
        <w:t>.</w:t>
      </w:r>
      <w:r w:rsidR="00B43E38" w:rsidRPr="004814DB">
        <w:rPr>
          <w:rFonts w:cs="Arial"/>
        </w:rPr>
        <w:t xml:space="preserve"> While labour market regulation is important for economic, safety and social rea</w:t>
      </w:r>
      <w:r w:rsidR="00DC07B1" w:rsidRPr="004814DB">
        <w:rPr>
          <w:rFonts w:cs="Arial"/>
        </w:rPr>
        <w:t xml:space="preserve">sons, it must also be effective, </w:t>
      </w:r>
      <w:r w:rsidR="00B43E38" w:rsidRPr="004814DB">
        <w:rPr>
          <w:rFonts w:cs="Arial"/>
        </w:rPr>
        <w:t>efficient</w:t>
      </w:r>
      <w:r w:rsidR="00DC07B1" w:rsidRPr="004814DB">
        <w:rPr>
          <w:rFonts w:cs="Arial"/>
        </w:rPr>
        <w:t xml:space="preserve"> and ‘light touch’</w:t>
      </w:r>
      <w:r w:rsidR="00B43E38" w:rsidRPr="004814DB">
        <w:rPr>
          <w:rFonts w:cs="Arial"/>
        </w:rPr>
        <w:t xml:space="preserve">. </w:t>
      </w:r>
      <w:r w:rsidR="00E90E37" w:rsidRPr="004814DB">
        <w:rPr>
          <w:rFonts w:cs="Arial"/>
        </w:rPr>
        <w:t xml:space="preserve">Governments need to be aware of the disproportionate weight and cumulative compliance burden </w:t>
      </w:r>
      <w:r w:rsidR="00AE5E79">
        <w:rPr>
          <w:rFonts w:cs="Arial"/>
        </w:rPr>
        <w:t>that their</w:t>
      </w:r>
      <w:r w:rsidR="00E90E37" w:rsidRPr="004814DB">
        <w:rPr>
          <w:rFonts w:cs="Arial"/>
        </w:rPr>
        <w:t xml:space="preserve"> regulations </w:t>
      </w:r>
      <w:r w:rsidR="00AE5E79">
        <w:rPr>
          <w:rFonts w:cs="Arial"/>
        </w:rPr>
        <w:t xml:space="preserve">have </w:t>
      </w:r>
      <w:r w:rsidR="00E90E37" w:rsidRPr="004814DB">
        <w:rPr>
          <w:rFonts w:cs="Arial"/>
        </w:rPr>
        <w:t>on small business.</w:t>
      </w:r>
    </w:p>
    <w:p w:rsidR="003016C2" w:rsidRPr="004814DB" w:rsidRDefault="00AE5E79" w:rsidP="009852E9">
      <w:pPr>
        <w:pStyle w:val="Bullet"/>
        <w:numPr>
          <w:ilvl w:val="0"/>
          <w:numId w:val="0"/>
        </w:numPr>
        <w:tabs>
          <w:tab w:val="left" w:pos="720"/>
        </w:tabs>
        <w:spacing w:before="120" w:after="120" w:line="312" w:lineRule="auto"/>
        <w:rPr>
          <w:rFonts w:cs="Arial"/>
        </w:rPr>
      </w:pPr>
      <w:r>
        <w:rPr>
          <w:rFonts w:cs="Arial"/>
        </w:rPr>
        <w:t xml:space="preserve">In our experience, </w:t>
      </w:r>
      <w:r w:rsidR="00B43E38" w:rsidRPr="004814DB">
        <w:rPr>
          <w:rFonts w:cs="Arial"/>
        </w:rPr>
        <w:t xml:space="preserve">small business </w:t>
      </w:r>
      <w:r w:rsidR="00DC07B1" w:rsidRPr="004814DB">
        <w:rPr>
          <w:rFonts w:cs="Arial"/>
        </w:rPr>
        <w:t>face</w:t>
      </w:r>
      <w:r>
        <w:rPr>
          <w:rFonts w:cs="Arial"/>
        </w:rPr>
        <w:t>s</w:t>
      </w:r>
      <w:r w:rsidR="00B43E38" w:rsidRPr="004814DB">
        <w:rPr>
          <w:rFonts w:cs="Arial"/>
        </w:rPr>
        <w:t xml:space="preserve"> disproportionately </w:t>
      </w:r>
      <w:r w:rsidR="003016C2" w:rsidRPr="004814DB">
        <w:rPr>
          <w:rFonts w:cs="Arial"/>
        </w:rPr>
        <w:t xml:space="preserve">high </w:t>
      </w:r>
      <w:r w:rsidRPr="004814DB">
        <w:rPr>
          <w:rFonts w:cs="Arial"/>
        </w:rPr>
        <w:t xml:space="preserve">compliance </w:t>
      </w:r>
      <w:r w:rsidR="00DC07B1" w:rsidRPr="004814DB">
        <w:rPr>
          <w:rFonts w:cs="Arial"/>
        </w:rPr>
        <w:t xml:space="preserve">costs from </w:t>
      </w:r>
      <w:r w:rsidR="004A19BB">
        <w:rPr>
          <w:rFonts w:cs="Arial"/>
        </w:rPr>
        <w:t>regulation</w:t>
      </w:r>
      <w:r>
        <w:rPr>
          <w:rFonts w:cs="Arial"/>
        </w:rPr>
        <w:t>s</w:t>
      </w:r>
      <w:r w:rsidR="00B43E38" w:rsidRPr="004814DB">
        <w:rPr>
          <w:rFonts w:cs="Arial"/>
        </w:rPr>
        <w:t xml:space="preserve"> and the</w:t>
      </w:r>
      <w:r w:rsidR="00DC07B1" w:rsidRPr="004814DB">
        <w:rPr>
          <w:rFonts w:cs="Arial"/>
        </w:rPr>
        <w:t>ir enforcement</w:t>
      </w:r>
      <w:r w:rsidR="00B43E38" w:rsidRPr="004814DB">
        <w:rPr>
          <w:rFonts w:cs="Arial"/>
        </w:rPr>
        <w:t xml:space="preserve">. </w:t>
      </w:r>
      <w:r w:rsidR="003016C2" w:rsidRPr="004814DB">
        <w:rPr>
          <w:rFonts w:cs="Arial"/>
        </w:rPr>
        <w:t xml:space="preserve">This is due to factors including the processes and behaviour of </w:t>
      </w:r>
      <w:r w:rsidR="003016C2" w:rsidRPr="004814DB">
        <w:rPr>
          <w:rFonts w:cs="Arial"/>
        </w:rPr>
        <w:lastRenderedPageBreak/>
        <w:t>regulators and a lack of small business understanding. Compared to large firm</w:t>
      </w:r>
      <w:r>
        <w:rPr>
          <w:rFonts w:cs="Arial"/>
        </w:rPr>
        <w:t>s</w:t>
      </w:r>
      <w:r w:rsidR="003016C2" w:rsidRPr="004814DB">
        <w:rPr>
          <w:rFonts w:cs="Arial"/>
        </w:rPr>
        <w:t xml:space="preserve"> which often have specialised </w:t>
      </w:r>
      <w:r w:rsidRPr="004814DB">
        <w:rPr>
          <w:rFonts w:cs="Arial"/>
        </w:rPr>
        <w:t xml:space="preserve">workplace relations </w:t>
      </w:r>
      <w:r w:rsidR="003016C2" w:rsidRPr="004814DB">
        <w:rPr>
          <w:rFonts w:cs="Arial"/>
        </w:rPr>
        <w:t>staff</w:t>
      </w:r>
      <w:r>
        <w:rPr>
          <w:rFonts w:cs="Arial"/>
        </w:rPr>
        <w:t xml:space="preserve">, a </w:t>
      </w:r>
      <w:r w:rsidR="00B43E38" w:rsidRPr="004814DB">
        <w:rPr>
          <w:rFonts w:cs="Arial"/>
        </w:rPr>
        <w:t xml:space="preserve">small </w:t>
      </w:r>
      <w:r w:rsidR="00FD1E1D" w:rsidRPr="004814DB">
        <w:rPr>
          <w:rFonts w:cs="Arial"/>
        </w:rPr>
        <w:t>business</w:t>
      </w:r>
      <w:r>
        <w:rPr>
          <w:rFonts w:cs="Arial"/>
        </w:rPr>
        <w:t>,</w:t>
      </w:r>
      <w:r w:rsidR="00B43E38" w:rsidRPr="004814DB">
        <w:rPr>
          <w:rFonts w:cs="Arial"/>
        </w:rPr>
        <w:t xml:space="preserve"> </w:t>
      </w:r>
      <w:r>
        <w:rPr>
          <w:rFonts w:cs="Arial"/>
        </w:rPr>
        <w:t>with</w:t>
      </w:r>
      <w:r w:rsidR="00B43E38" w:rsidRPr="004814DB">
        <w:rPr>
          <w:rFonts w:cs="Arial"/>
        </w:rPr>
        <w:t xml:space="preserve"> limited resources</w:t>
      </w:r>
      <w:r>
        <w:rPr>
          <w:rFonts w:cs="Arial"/>
        </w:rPr>
        <w:t>,</w:t>
      </w:r>
      <w:r w:rsidR="00B43E38" w:rsidRPr="004814DB">
        <w:rPr>
          <w:rFonts w:cs="Arial"/>
        </w:rPr>
        <w:t xml:space="preserve"> </w:t>
      </w:r>
      <w:r>
        <w:rPr>
          <w:rFonts w:cs="Arial"/>
        </w:rPr>
        <w:t>has</w:t>
      </w:r>
      <w:r w:rsidR="00B43E38" w:rsidRPr="004814DB">
        <w:rPr>
          <w:rFonts w:cs="Arial"/>
        </w:rPr>
        <w:t xml:space="preserve"> a poorer understanding of how to comply. </w:t>
      </w:r>
    </w:p>
    <w:p w:rsidR="00CA7683" w:rsidRPr="004814DB" w:rsidRDefault="00CA7683" w:rsidP="009852E9">
      <w:pPr>
        <w:pStyle w:val="Bullet"/>
        <w:numPr>
          <w:ilvl w:val="0"/>
          <w:numId w:val="0"/>
        </w:numPr>
        <w:tabs>
          <w:tab w:val="left" w:pos="720"/>
        </w:tabs>
        <w:spacing w:before="120" w:after="120" w:line="312" w:lineRule="auto"/>
        <w:rPr>
          <w:rFonts w:cs="Arial"/>
        </w:rPr>
      </w:pPr>
      <w:r w:rsidRPr="004814DB">
        <w:rPr>
          <w:rFonts w:cs="Arial"/>
        </w:rPr>
        <w:t xml:space="preserve">The centralised approach to collective bargaining promoted by the Fair Work Act 2009 </w:t>
      </w:r>
      <w:r w:rsidR="00AE5E79">
        <w:rPr>
          <w:rFonts w:cs="Arial"/>
        </w:rPr>
        <w:t xml:space="preserve">is better suited to </w:t>
      </w:r>
      <w:r w:rsidR="003016C2" w:rsidRPr="004814DB">
        <w:rPr>
          <w:rFonts w:cs="Arial"/>
        </w:rPr>
        <w:t xml:space="preserve">large employers with </w:t>
      </w:r>
      <w:r w:rsidRPr="004814DB">
        <w:rPr>
          <w:rFonts w:cs="Arial"/>
        </w:rPr>
        <w:t>unionised work</w:t>
      </w:r>
      <w:r w:rsidR="0030533A" w:rsidRPr="004814DB">
        <w:rPr>
          <w:rFonts w:cs="Arial"/>
        </w:rPr>
        <w:t>force</w:t>
      </w:r>
      <w:r w:rsidR="003016C2" w:rsidRPr="004814DB">
        <w:rPr>
          <w:rFonts w:cs="Arial"/>
        </w:rPr>
        <w:t>s</w:t>
      </w:r>
      <w:r w:rsidR="00AE5E79">
        <w:rPr>
          <w:rFonts w:cs="Arial"/>
        </w:rPr>
        <w:t xml:space="preserve"> than to </w:t>
      </w:r>
      <w:r w:rsidR="0030533A" w:rsidRPr="004814DB">
        <w:rPr>
          <w:rFonts w:cs="Arial"/>
        </w:rPr>
        <w:t xml:space="preserve">small </w:t>
      </w:r>
      <w:r w:rsidR="00FD1E1D" w:rsidRPr="004814DB">
        <w:rPr>
          <w:rFonts w:cs="Arial"/>
        </w:rPr>
        <w:t>business</w:t>
      </w:r>
      <w:r w:rsidR="003016C2" w:rsidRPr="004814DB">
        <w:rPr>
          <w:rFonts w:cs="Arial"/>
        </w:rPr>
        <w:t xml:space="preserve"> with</w:t>
      </w:r>
      <w:r w:rsidR="0030533A" w:rsidRPr="004814DB">
        <w:rPr>
          <w:rFonts w:cs="Arial"/>
        </w:rPr>
        <w:t xml:space="preserve"> non-unionised </w:t>
      </w:r>
      <w:r w:rsidR="003016C2" w:rsidRPr="004814DB">
        <w:rPr>
          <w:rFonts w:cs="Arial"/>
        </w:rPr>
        <w:t>employees</w:t>
      </w:r>
      <w:r w:rsidR="0030533A" w:rsidRPr="004814DB">
        <w:rPr>
          <w:rFonts w:cs="Arial"/>
        </w:rPr>
        <w:t xml:space="preserve"> </w:t>
      </w:r>
      <w:r w:rsidR="00AE5E79">
        <w:rPr>
          <w:rFonts w:cs="Arial"/>
        </w:rPr>
        <w:t>(</w:t>
      </w:r>
      <w:r w:rsidR="0030533A" w:rsidRPr="004814DB">
        <w:rPr>
          <w:rFonts w:cs="Arial"/>
        </w:rPr>
        <w:t>as is typical in many</w:t>
      </w:r>
      <w:r w:rsidRPr="004814DB">
        <w:rPr>
          <w:rFonts w:cs="Arial"/>
        </w:rPr>
        <w:t xml:space="preserve"> services </w:t>
      </w:r>
      <w:r w:rsidR="0030533A" w:rsidRPr="004814DB">
        <w:rPr>
          <w:rFonts w:cs="Arial"/>
        </w:rPr>
        <w:t>industries</w:t>
      </w:r>
      <w:r w:rsidR="00AE5E79">
        <w:rPr>
          <w:rFonts w:cs="Arial"/>
        </w:rPr>
        <w:t>)</w:t>
      </w:r>
      <w:r w:rsidRPr="004814DB">
        <w:rPr>
          <w:rFonts w:cs="Arial"/>
        </w:rPr>
        <w:t xml:space="preserve">. </w:t>
      </w:r>
      <w:r w:rsidR="00A83EF6" w:rsidRPr="004814DB">
        <w:rPr>
          <w:rFonts w:cs="Arial"/>
        </w:rPr>
        <w:t>Small b</w:t>
      </w:r>
      <w:r w:rsidR="0083472B" w:rsidRPr="004814DB">
        <w:rPr>
          <w:rFonts w:cs="Arial"/>
        </w:rPr>
        <w:t>usiness</w:t>
      </w:r>
      <w:r w:rsidR="0030533A" w:rsidRPr="004814DB">
        <w:rPr>
          <w:rFonts w:cs="Arial"/>
        </w:rPr>
        <w:t xml:space="preserve"> need</w:t>
      </w:r>
      <w:r w:rsidR="0083472B" w:rsidRPr="004814DB">
        <w:rPr>
          <w:rFonts w:cs="Arial"/>
        </w:rPr>
        <w:t>s</w:t>
      </w:r>
      <w:r w:rsidR="0030533A" w:rsidRPr="004814DB">
        <w:rPr>
          <w:rFonts w:cs="Arial"/>
        </w:rPr>
        <w:t xml:space="preserve"> a more</w:t>
      </w:r>
      <w:r w:rsidRPr="004814DB">
        <w:rPr>
          <w:rFonts w:cs="Arial"/>
        </w:rPr>
        <w:t xml:space="preserve"> </w:t>
      </w:r>
      <w:r w:rsidR="003016C2" w:rsidRPr="004814DB">
        <w:rPr>
          <w:rFonts w:cs="Arial"/>
        </w:rPr>
        <w:t xml:space="preserve">decentralised </w:t>
      </w:r>
      <w:r w:rsidR="00E90E37" w:rsidRPr="004814DB">
        <w:rPr>
          <w:rFonts w:cs="Arial"/>
        </w:rPr>
        <w:t>system</w:t>
      </w:r>
      <w:r w:rsidRPr="004814DB">
        <w:rPr>
          <w:rFonts w:cs="Arial"/>
        </w:rPr>
        <w:t xml:space="preserve"> </w:t>
      </w:r>
      <w:r w:rsidR="0030533A" w:rsidRPr="004814DB">
        <w:rPr>
          <w:rFonts w:cs="Arial"/>
        </w:rPr>
        <w:t xml:space="preserve">that </w:t>
      </w:r>
      <w:r w:rsidR="003016C2" w:rsidRPr="004814DB">
        <w:rPr>
          <w:rFonts w:cs="Arial"/>
        </w:rPr>
        <w:t>allows</w:t>
      </w:r>
      <w:r w:rsidRPr="004814DB">
        <w:rPr>
          <w:rFonts w:cs="Arial"/>
        </w:rPr>
        <w:t xml:space="preserve"> greater </w:t>
      </w:r>
      <w:r w:rsidR="003016C2" w:rsidRPr="004814DB">
        <w:rPr>
          <w:rFonts w:cs="Arial"/>
        </w:rPr>
        <w:t>flexibility</w:t>
      </w:r>
      <w:r w:rsidR="0030533A" w:rsidRPr="004814DB">
        <w:rPr>
          <w:rFonts w:cs="Arial"/>
        </w:rPr>
        <w:t>. In this way</w:t>
      </w:r>
      <w:r w:rsidR="00E90E37" w:rsidRPr="004814DB">
        <w:rPr>
          <w:rFonts w:cs="Arial"/>
        </w:rPr>
        <w:t>,</w:t>
      </w:r>
      <w:r w:rsidR="0030533A" w:rsidRPr="004814DB">
        <w:rPr>
          <w:rFonts w:cs="Arial"/>
        </w:rPr>
        <w:t xml:space="preserve"> </w:t>
      </w:r>
      <w:r w:rsidR="00E90E37" w:rsidRPr="004814DB">
        <w:rPr>
          <w:rFonts w:cs="Arial"/>
        </w:rPr>
        <w:t>firms</w:t>
      </w:r>
      <w:r w:rsidR="0030533A" w:rsidRPr="004814DB">
        <w:rPr>
          <w:rFonts w:cs="Arial"/>
        </w:rPr>
        <w:t xml:space="preserve"> can </w:t>
      </w:r>
      <w:r w:rsidR="00D06636">
        <w:rPr>
          <w:rFonts w:cs="Arial"/>
        </w:rPr>
        <w:t>improve their</w:t>
      </w:r>
      <w:r w:rsidRPr="004814DB">
        <w:rPr>
          <w:rFonts w:cs="Arial"/>
        </w:rPr>
        <w:t xml:space="preserve"> </w:t>
      </w:r>
      <w:r w:rsidR="003016C2" w:rsidRPr="004814DB">
        <w:rPr>
          <w:rFonts w:cs="Arial"/>
        </w:rPr>
        <w:t xml:space="preserve">productivity and </w:t>
      </w:r>
      <w:r w:rsidRPr="004814DB">
        <w:rPr>
          <w:rFonts w:cs="Arial"/>
        </w:rPr>
        <w:t>competitiveness</w:t>
      </w:r>
      <w:r w:rsidR="003016C2" w:rsidRPr="004814DB">
        <w:rPr>
          <w:rFonts w:cs="Arial"/>
        </w:rPr>
        <w:t xml:space="preserve">, </w:t>
      </w:r>
      <w:r w:rsidR="00E90E37" w:rsidRPr="004814DB">
        <w:rPr>
          <w:rFonts w:cs="Arial"/>
        </w:rPr>
        <w:t xml:space="preserve">which </w:t>
      </w:r>
      <w:r w:rsidR="00E0126D">
        <w:rPr>
          <w:rFonts w:cs="Arial"/>
        </w:rPr>
        <w:t xml:space="preserve">in turn </w:t>
      </w:r>
      <w:r w:rsidR="00E90E37" w:rsidRPr="004814DB">
        <w:rPr>
          <w:rFonts w:cs="Arial"/>
        </w:rPr>
        <w:t xml:space="preserve">contributes to </w:t>
      </w:r>
      <w:r w:rsidR="003016C2" w:rsidRPr="004814DB">
        <w:rPr>
          <w:rFonts w:cs="Arial"/>
        </w:rPr>
        <w:t xml:space="preserve">higher </w:t>
      </w:r>
      <w:r w:rsidR="00E90E37" w:rsidRPr="004814DB">
        <w:rPr>
          <w:rFonts w:cs="Arial"/>
        </w:rPr>
        <w:t xml:space="preserve">employment and </w:t>
      </w:r>
      <w:r w:rsidRPr="004814DB">
        <w:rPr>
          <w:rFonts w:cs="Arial"/>
        </w:rPr>
        <w:t xml:space="preserve">economic growth. </w:t>
      </w:r>
    </w:p>
    <w:p w:rsidR="00895BAF" w:rsidRPr="004814DB" w:rsidRDefault="00D06636" w:rsidP="009852E9">
      <w:pPr>
        <w:spacing w:before="120" w:after="120"/>
      </w:pPr>
      <w:r w:rsidRPr="004814DB">
        <w:t xml:space="preserve">WR </w:t>
      </w:r>
      <w:r>
        <w:t>c</w:t>
      </w:r>
      <w:r w:rsidR="00895BAF" w:rsidRPr="004814DB">
        <w:t>ompliance costs</w:t>
      </w:r>
      <w:r>
        <w:t xml:space="preserve"> are impacted by many factors,</w:t>
      </w:r>
      <w:r w:rsidR="00895BAF" w:rsidRPr="004814DB">
        <w:t xml:space="preserve"> includ</w:t>
      </w:r>
      <w:r>
        <w:t>ing</w:t>
      </w:r>
      <w:r w:rsidR="00895BAF" w:rsidRPr="004814DB">
        <w:t xml:space="preserve">: </w:t>
      </w:r>
    </w:p>
    <w:p w:rsidR="00D06636" w:rsidRDefault="007643C6" w:rsidP="009852E9">
      <w:pPr>
        <w:pStyle w:val="Bullet"/>
        <w:numPr>
          <w:ilvl w:val="0"/>
          <w:numId w:val="10"/>
        </w:numPr>
        <w:tabs>
          <w:tab w:val="left" w:pos="720"/>
        </w:tabs>
        <w:spacing w:before="120" w:after="120" w:line="312" w:lineRule="auto"/>
        <w:rPr>
          <w:rFonts w:cs="Arial"/>
        </w:rPr>
      </w:pPr>
      <w:r w:rsidRPr="004814DB">
        <w:rPr>
          <w:rFonts w:cs="Arial"/>
        </w:rPr>
        <w:t>T</w:t>
      </w:r>
      <w:r w:rsidR="00895BAF" w:rsidRPr="004814DB">
        <w:rPr>
          <w:rFonts w:cs="Arial"/>
        </w:rPr>
        <w:t>he</w:t>
      </w:r>
      <w:r w:rsidR="00D06636">
        <w:rPr>
          <w:rFonts w:cs="Arial"/>
        </w:rPr>
        <w:t xml:space="preserve"> administrative</w:t>
      </w:r>
      <w:r w:rsidR="00895BAF" w:rsidRPr="004814DB">
        <w:rPr>
          <w:rFonts w:cs="Arial"/>
        </w:rPr>
        <w:t xml:space="preserve"> processes of </w:t>
      </w:r>
      <w:r w:rsidRPr="004814DB">
        <w:rPr>
          <w:rFonts w:cs="Arial"/>
        </w:rPr>
        <w:t>the</w:t>
      </w:r>
      <w:r w:rsidR="00895BAF" w:rsidRPr="004814DB">
        <w:rPr>
          <w:rFonts w:cs="Arial"/>
        </w:rPr>
        <w:t xml:space="preserve"> major</w:t>
      </w:r>
      <w:r w:rsidRPr="004814DB">
        <w:rPr>
          <w:rFonts w:cs="Arial"/>
        </w:rPr>
        <w:t xml:space="preserve"> WR</w:t>
      </w:r>
      <w:r w:rsidR="00895BAF" w:rsidRPr="004814DB">
        <w:rPr>
          <w:rFonts w:cs="Arial"/>
        </w:rPr>
        <w:t xml:space="preserve"> institutions</w:t>
      </w:r>
      <w:r w:rsidRPr="004814DB">
        <w:rPr>
          <w:rFonts w:cs="Arial"/>
        </w:rPr>
        <w:t>;</w:t>
      </w:r>
      <w:r w:rsidR="00895BAF" w:rsidRPr="004814DB">
        <w:rPr>
          <w:rFonts w:cs="Arial"/>
        </w:rPr>
        <w:t xml:space="preserve"> </w:t>
      </w:r>
    </w:p>
    <w:p w:rsidR="00D06636" w:rsidRDefault="00D06636" w:rsidP="009852E9">
      <w:pPr>
        <w:pStyle w:val="Bullet"/>
        <w:numPr>
          <w:ilvl w:val="0"/>
          <w:numId w:val="10"/>
        </w:numPr>
        <w:tabs>
          <w:tab w:val="left" w:pos="720"/>
        </w:tabs>
        <w:spacing w:before="120" w:after="120" w:line="312" w:lineRule="auto"/>
        <w:rPr>
          <w:rFonts w:cs="Arial"/>
        </w:rPr>
      </w:pPr>
      <w:r>
        <w:rPr>
          <w:rFonts w:cs="Arial"/>
        </w:rPr>
        <w:t xml:space="preserve">Small business </w:t>
      </w:r>
      <w:r w:rsidR="00895BAF" w:rsidRPr="004814DB">
        <w:rPr>
          <w:rFonts w:cs="Arial"/>
        </w:rPr>
        <w:t>uncertainty about where to g</w:t>
      </w:r>
      <w:r>
        <w:rPr>
          <w:rFonts w:cs="Arial"/>
        </w:rPr>
        <w:t>et</w:t>
      </w:r>
      <w:r w:rsidR="00895BAF" w:rsidRPr="004814DB">
        <w:rPr>
          <w:rFonts w:cs="Arial"/>
        </w:rPr>
        <w:t xml:space="preserve"> advice</w:t>
      </w:r>
      <w:r w:rsidR="007643C6" w:rsidRPr="004814DB">
        <w:rPr>
          <w:rFonts w:cs="Arial"/>
        </w:rPr>
        <w:t>;</w:t>
      </w:r>
    </w:p>
    <w:p w:rsidR="00D06636" w:rsidRDefault="00D06636" w:rsidP="009852E9">
      <w:pPr>
        <w:pStyle w:val="Bullet"/>
        <w:numPr>
          <w:ilvl w:val="0"/>
          <w:numId w:val="10"/>
        </w:numPr>
        <w:tabs>
          <w:tab w:val="left" w:pos="720"/>
        </w:tabs>
        <w:spacing w:before="120" w:after="120" w:line="312" w:lineRule="auto"/>
        <w:rPr>
          <w:rFonts w:cs="Arial"/>
        </w:rPr>
      </w:pPr>
      <w:r>
        <w:rPr>
          <w:rFonts w:cs="Arial"/>
        </w:rPr>
        <w:t>T</w:t>
      </w:r>
      <w:r w:rsidR="00895BAF" w:rsidRPr="004814DB">
        <w:rPr>
          <w:rFonts w:cs="Arial"/>
        </w:rPr>
        <w:t>he need for employers and employees to understand a complex system when disputes occur</w:t>
      </w:r>
      <w:r w:rsidR="007643C6" w:rsidRPr="004814DB">
        <w:rPr>
          <w:rFonts w:cs="Arial"/>
        </w:rPr>
        <w:t>,</w:t>
      </w:r>
      <w:r w:rsidR="00895BAF" w:rsidRPr="004814DB">
        <w:rPr>
          <w:rFonts w:cs="Arial"/>
        </w:rPr>
        <w:t xml:space="preserve"> or in trying to comply with laws and regulations</w:t>
      </w:r>
      <w:r w:rsidR="007643C6" w:rsidRPr="004814DB">
        <w:rPr>
          <w:rFonts w:cs="Arial"/>
        </w:rPr>
        <w:t>;</w:t>
      </w:r>
      <w:r w:rsidR="00895BAF" w:rsidRPr="004814DB">
        <w:rPr>
          <w:rFonts w:cs="Arial"/>
        </w:rPr>
        <w:t xml:space="preserve"> and </w:t>
      </w:r>
    </w:p>
    <w:p w:rsidR="00895BAF" w:rsidRPr="004814DB" w:rsidRDefault="00D06636" w:rsidP="009852E9">
      <w:pPr>
        <w:pStyle w:val="Bullet"/>
        <w:numPr>
          <w:ilvl w:val="0"/>
          <w:numId w:val="10"/>
        </w:numPr>
        <w:tabs>
          <w:tab w:val="left" w:pos="720"/>
        </w:tabs>
        <w:spacing w:before="120" w:after="120" w:line="312" w:lineRule="auto"/>
        <w:rPr>
          <w:rFonts w:cs="Arial"/>
        </w:rPr>
      </w:pPr>
      <w:r>
        <w:rPr>
          <w:rFonts w:cs="Arial"/>
        </w:rPr>
        <w:t>C</w:t>
      </w:r>
      <w:r w:rsidR="00895BAF" w:rsidRPr="004814DB">
        <w:rPr>
          <w:rFonts w:cs="Arial"/>
        </w:rPr>
        <w:t>onstant change</w:t>
      </w:r>
      <w:r w:rsidR="00E160AF">
        <w:rPr>
          <w:rFonts w:cs="Arial"/>
        </w:rPr>
        <w:t>s to</w:t>
      </w:r>
      <w:r w:rsidR="00895BAF" w:rsidRPr="004814DB">
        <w:rPr>
          <w:rFonts w:cs="Arial"/>
        </w:rPr>
        <w:t xml:space="preserve"> the system. </w:t>
      </w:r>
    </w:p>
    <w:p w:rsidR="002F06C5" w:rsidRDefault="00895BAF" w:rsidP="00E160AF">
      <w:pPr>
        <w:pStyle w:val="Bullet"/>
        <w:numPr>
          <w:ilvl w:val="0"/>
          <w:numId w:val="0"/>
        </w:numPr>
        <w:tabs>
          <w:tab w:val="left" w:pos="720"/>
        </w:tabs>
        <w:spacing w:before="120" w:after="120" w:line="312" w:lineRule="auto"/>
        <w:rPr>
          <w:rFonts w:cs="Arial"/>
        </w:rPr>
      </w:pPr>
      <w:r w:rsidRPr="004814DB">
        <w:rPr>
          <w:rFonts w:cs="Arial"/>
        </w:rPr>
        <w:t>Given the high fixed cost and complexity of compliance</w:t>
      </w:r>
      <w:r w:rsidR="00E0126D">
        <w:rPr>
          <w:rFonts w:cs="Arial"/>
        </w:rPr>
        <w:t xml:space="preserve">, there is a </w:t>
      </w:r>
      <w:r w:rsidR="002F06C5">
        <w:rPr>
          <w:rFonts w:cs="Arial"/>
        </w:rPr>
        <w:t xml:space="preserve">perceived </w:t>
      </w:r>
      <w:r w:rsidR="00E0126D">
        <w:rPr>
          <w:rFonts w:cs="Arial"/>
        </w:rPr>
        <w:t>b</w:t>
      </w:r>
      <w:r w:rsidRPr="004814DB">
        <w:rPr>
          <w:rFonts w:cs="Arial"/>
        </w:rPr>
        <w:t>arrier to the transition of a business from</w:t>
      </w:r>
      <w:r w:rsidR="002F06C5">
        <w:rPr>
          <w:rFonts w:cs="Arial"/>
        </w:rPr>
        <w:t xml:space="preserve"> being</w:t>
      </w:r>
      <w:r w:rsidRPr="004814DB">
        <w:rPr>
          <w:rFonts w:cs="Arial"/>
        </w:rPr>
        <w:t xml:space="preserve"> a non-employer to an employer. The very complexity of a system that leads to high compliance costs may also lead to non-compliance</w:t>
      </w:r>
      <w:r w:rsidR="00E0126D">
        <w:rPr>
          <w:rFonts w:cs="Arial"/>
        </w:rPr>
        <w:t xml:space="preserve"> – people </w:t>
      </w:r>
      <w:r w:rsidRPr="004814DB">
        <w:rPr>
          <w:rFonts w:cs="Arial"/>
        </w:rPr>
        <w:t>mak</w:t>
      </w:r>
      <w:r w:rsidR="00A83EF6" w:rsidRPr="004814DB">
        <w:rPr>
          <w:rFonts w:cs="Arial"/>
        </w:rPr>
        <w:t xml:space="preserve">e mistakes in complex systems. </w:t>
      </w:r>
    </w:p>
    <w:p w:rsidR="00CA75DA" w:rsidRDefault="00CA75DA" w:rsidP="002F06C5">
      <w:pPr>
        <w:pStyle w:val="Bullet"/>
        <w:numPr>
          <w:ilvl w:val="0"/>
          <w:numId w:val="0"/>
        </w:numPr>
        <w:tabs>
          <w:tab w:val="left" w:pos="720"/>
        </w:tabs>
        <w:spacing w:before="120" w:after="120" w:line="312" w:lineRule="auto"/>
      </w:pPr>
      <w:r>
        <w:rPr>
          <w:rFonts w:cs="Arial"/>
        </w:rPr>
        <w:t>Many s</w:t>
      </w:r>
      <w:r w:rsidRPr="004814DB">
        <w:rPr>
          <w:rFonts w:cs="Arial"/>
        </w:rPr>
        <w:t>mall business</w:t>
      </w:r>
      <w:r>
        <w:rPr>
          <w:rFonts w:cs="Arial"/>
        </w:rPr>
        <w:t>es lack</w:t>
      </w:r>
      <w:r w:rsidRPr="004814DB">
        <w:rPr>
          <w:rFonts w:cs="Arial"/>
        </w:rPr>
        <w:t xml:space="preserve"> the dedicated internal resources for understanding and managing compliance with the workplace relations system. </w:t>
      </w:r>
      <w:r>
        <w:rPr>
          <w:rFonts w:cs="Arial"/>
        </w:rPr>
        <w:t>Moreover, t</w:t>
      </w:r>
      <w:r w:rsidRPr="004814DB">
        <w:rPr>
          <w:rFonts w:cs="Arial"/>
        </w:rPr>
        <w:t>here is an irreducible minimum cost of compliance with the workplace relations system</w:t>
      </w:r>
      <w:r>
        <w:rPr>
          <w:rFonts w:cs="Arial"/>
        </w:rPr>
        <w:t>. S</w:t>
      </w:r>
      <w:r w:rsidRPr="004814DB">
        <w:rPr>
          <w:rFonts w:cs="Arial"/>
        </w:rPr>
        <w:t>mall business cannot amortise these costs across a large number of employees, as can big business.</w:t>
      </w:r>
      <w:r>
        <w:rPr>
          <w:rFonts w:cs="Arial"/>
        </w:rPr>
        <w:t xml:space="preserve"> </w:t>
      </w:r>
      <w:r w:rsidR="002F06C5">
        <w:t>If</w:t>
      </w:r>
      <w:r w:rsidR="002F06C5" w:rsidRPr="004814DB">
        <w:t xml:space="preserve"> the workplace relations system is seen as too complex (obligations, paperwork, managing employees, dismissal</w:t>
      </w:r>
      <w:r w:rsidR="002F06C5">
        <w:t>, etc.</w:t>
      </w:r>
      <w:r w:rsidR="002F06C5" w:rsidRPr="004814DB">
        <w:t>)</w:t>
      </w:r>
      <w:r>
        <w:t>:</w:t>
      </w:r>
    </w:p>
    <w:p w:rsidR="00CA75DA" w:rsidRDefault="00CA75DA" w:rsidP="00CA75DA">
      <w:pPr>
        <w:pStyle w:val="ListParagraph"/>
        <w:numPr>
          <w:ilvl w:val="0"/>
          <w:numId w:val="38"/>
        </w:numPr>
      </w:pPr>
      <w:r>
        <w:t>S</w:t>
      </w:r>
      <w:r w:rsidR="00895BAF" w:rsidRPr="004814DB">
        <w:t xml:space="preserve">ome small businesses may decide that it is cheaper not to invest in compliance, but to use simple rules of thumb about how to behave </w:t>
      </w:r>
      <w:r w:rsidR="00E0126D">
        <w:t>(</w:t>
      </w:r>
      <w:r w:rsidR="00895BAF" w:rsidRPr="004814DB">
        <w:t>and hope for luck</w:t>
      </w:r>
      <w:r w:rsidR="00E0126D">
        <w:t>)</w:t>
      </w:r>
      <w:r w:rsidR="00895BAF" w:rsidRPr="004814DB">
        <w:t xml:space="preserve">. </w:t>
      </w:r>
    </w:p>
    <w:p w:rsidR="00895BAF" w:rsidRPr="004814DB" w:rsidRDefault="002F06C5" w:rsidP="00CA75DA">
      <w:pPr>
        <w:pStyle w:val="ListParagraph"/>
        <w:numPr>
          <w:ilvl w:val="0"/>
          <w:numId w:val="38"/>
        </w:numPr>
      </w:pPr>
      <w:r>
        <w:t>Other s</w:t>
      </w:r>
      <w:r w:rsidR="00895BAF" w:rsidRPr="004814DB">
        <w:t xml:space="preserve">mall </w:t>
      </w:r>
      <w:r w:rsidR="00FD1E1D" w:rsidRPr="004814DB">
        <w:t>business</w:t>
      </w:r>
      <w:r>
        <w:t>es</w:t>
      </w:r>
      <w:r w:rsidR="00895BAF" w:rsidRPr="004814DB">
        <w:t xml:space="preserve"> </w:t>
      </w:r>
      <w:r>
        <w:t xml:space="preserve">may </w:t>
      </w:r>
      <w:r w:rsidR="00895BAF" w:rsidRPr="004814DB">
        <w:t xml:space="preserve">choose not to expand. </w:t>
      </w:r>
      <w:r w:rsidR="007643C6" w:rsidRPr="004814DB">
        <w:t>Better information</w:t>
      </w:r>
      <w:r w:rsidR="00895BAF" w:rsidRPr="004814DB">
        <w:t xml:space="preserve"> </w:t>
      </w:r>
      <w:r w:rsidR="00E0126D">
        <w:t xml:space="preserve">and simpler systems </w:t>
      </w:r>
      <w:r w:rsidR="007643C6" w:rsidRPr="004814DB">
        <w:t>may help o</w:t>
      </w:r>
      <w:r w:rsidR="00895BAF" w:rsidRPr="004814DB">
        <w:t xml:space="preserve">vercome this perception. </w:t>
      </w:r>
    </w:p>
    <w:p w:rsidR="00A80677" w:rsidRPr="004814DB" w:rsidRDefault="00CA75DA" w:rsidP="009852E9">
      <w:pPr>
        <w:spacing w:before="120" w:after="120" w:line="312" w:lineRule="auto"/>
        <w:rPr>
          <w:rFonts w:cs="Arial"/>
        </w:rPr>
      </w:pPr>
      <w:r w:rsidRPr="004814DB">
        <w:rPr>
          <w:rFonts w:cs="Arial"/>
        </w:rPr>
        <w:t xml:space="preserve">High compliance costs can cause stress and health problems </w:t>
      </w:r>
      <w:r>
        <w:rPr>
          <w:rFonts w:cs="Arial"/>
        </w:rPr>
        <w:t xml:space="preserve">for </w:t>
      </w:r>
      <w:r w:rsidRPr="004814DB">
        <w:rPr>
          <w:rFonts w:cs="Arial"/>
        </w:rPr>
        <w:t>small business operators</w:t>
      </w:r>
      <w:r>
        <w:rPr>
          <w:rFonts w:cs="Arial"/>
        </w:rPr>
        <w:t xml:space="preserve"> who</w:t>
      </w:r>
      <w:r w:rsidRPr="004814DB">
        <w:rPr>
          <w:rFonts w:cs="Arial"/>
        </w:rPr>
        <w:t xml:space="preserve"> must personally carry </w:t>
      </w:r>
      <w:r>
        <w:rPr>
          <w:rFonts w:cs="Arial"/>
        </w:rPr>
        <w:t>WR</w:t>
      </w:r>
      <w:r w:rsidRPr="004814DB">
        <w:rPr>
          <w:rFonts w:cs="Arial"/>
        </w:rPr>
        <w:t xml:space="preserve"> compliance costs</w:t>
      </w:r>
      <w:r w:rsidR="00CA7683" w:rsidRPr="004814DB">
        <w:rPr>
          <w:rFonts w:cs="Arial"/>
        </w:rPr>
        <w:t xml:space="preserve">. </w:t>
      </w:r>
      <w:r w:rsidR="00A80677" w:rsidRPr="004814DB">
        <w:rPr>
          <w:rFonts w:cs="Arial"/>
        </w:rPr>
        <w:t>Small business owners wear many hats and have many responsibilities. It is not feasible to be an expert in all areas of business management</w:t>
      </w:r>
      <w:r w:rsidR="00E0126D">
        <w:rPr>
          <w:rFonts w:cs="Arial"/>
        </w:rPr>
        <w:t xml:space="preserve"> – a </w:t>
      </w:r>
      <w:r w:rsidR="00A80677" w:rsidRPr="004814DB">
        <w:rPr>
          <w:rFonts w:cs="Arial"/>
        </w:rPr>
        <w:t xml:space="preserve">small business operator is rarely a lawyer, accountant, </w:t>
      </w:r>
      <w:r w:rsidR="00E0126D">
        <w:rPr>
          <w:rFonts w:cs="Arial"/>
        </w:rPr>
        <w:t xml:space="preserve">human resource </w:t>
      </w:r>
      <w:r w:rsidR="002876C1">
        <w:rPr>
          <w:rFonts w:cs="Arial"/>
        </w:rPr>
        <w:t xml:space="preserve">professional, marketer, IT specialist </w:t>
      </w:r>
      <w:r w:rsidR="00A80677" w:rsidRPr="004814DB">
        <w:rPr>
          <w:rFonts w:cs="Arial"/>
        </w:rPr>
        <w:t xml:space="preserve">and strategist all in the one package. </w:t>
      </w:r>
    </w:p>
    <w:p w:rsidR="00CA7683" w:rsidRPr="004814DB" w:rsidRDefault="00CA7683" w:rsidP="009852E9">
      <w:pPr>
        <w:pStyle w:val="Bullet"/>
        <w:numPr>
          <w:ilvl w:val="0"/>
          <w:numId w:val="0"/>
        </w:numPr>
        <w:tabs>
          <w:tab w:val="left" w:pos="720"/>
        </w:tabs>
        <w:spacing w:before="120" w:after="120" w:line="312" w:lineRule="auto"/>
        <w:rPr>
          <w:rFonts w:cs="Arial"/>
        </w:rPr>
      </w:pPr>
      <w:r w:rsidRPr="004814DB">
        <w:rPr>
          <w:rFonts w:cs="Arial"/>
        </w:rPr>
        <w:t xml:space="preserve">These personal complications can degrade the operator’s ability to conduct business. The </w:t>
      </w:r>
      <w:r w:rsidR="00E772CE" w:rsidRPr="004814DB">
        <w:rPr>
          <w:rFonts w:cs="Arial"/>
        </w:rPr>
        <w:t xml:space="preserve">tendency of the </w:t>
      </w:r>
      <w:r w:rsidRPr="004814DB">
        <w:rPr>
          <w:rFonts w:cs="Arial"/>
        </w:rPr>
        <w:t xml:space="preserve">regulatory compliance burden </w:t>
      </w:r>
      <w:r w:rsidR="00E772CE" w:rsidRPr="004814DB">
        <w:rPr>
          <w:rFonts w:cs="Arial"/>
        </w:rPr>
        <w:t>to increase</w:t>
      </w:r>
      <w:r w:rsidRPr="004814DB">
        <w:rPr>
          <w:rFonts w:cs="Arial"/>
        </w:rPr>
        <w:t xml:space="preserve"> once the business reaches a certain size acts as a disincentive to growth.</w:t>
      </w:r>
      <w:r w:rsidR="00A83EF6" w:rsidRPr="004814DB">
        <w:rPr>
          <w:rFonts w:cs="Arial"/>
        </w:rPr>
        <w:t xml:space="preserve"> We are aware that so</w:t>
      </w:r>
      <w:r w:rsidRPr="004814DB">
        <w:rPr>
          <w:rFonts w:cs="Arial"/>
        </w:rPr>
        <w:t xml:space="preserve">me small business owners decide to stop growing their business before it reaches </w:t>
      </w:r>
      <w:r w:rsidR="00E0126D">
        <w:rPr>
          <w:rFonts w:cs="Arial"/>
        </w:rPr>
        <w:t xml:space="preserve">a </w:t>
      </w:r>
      <w:r w:rsidRPr="004814DB">
        <w:rPr>
          <w:rFonts w:cs="Arial"/>
        </w:rPr>
        <w:t xml:space="preserve">threshold size in order to avoid the extra compliance burden. Reducing compliance </w:t>
      </w:r>
      <w:r w:rsidR="00A83EF6" w:rsidRPr="004814DB">
        <w:rPr>
          <w:rFonts w:cs="Arial"/>
        </w:rPr>
        <w:t>burden of</w:t>
      </w:r>
      <w:r w:rsidRPr="004814DB">
        <w:rPr>
          <w:rFonts w:cs="Arial"/>
        </w:rPr>
        <w:t xml:space="preserve"> the WR</w:t>
      </w:r>
      <w:r w:rsidR="00A83EF6" w:rsidRPr="004814DB">
        <w:rPr>
          <w:rFonts w:cs="Arial"/>
        </w:rPr>
        <w:t xml:space="preserve"> regulatory system c</w:t>
      </w:r>
      <w:r w:rsidRPr="004814DB">
        <w:rPr>
          <w:rFonts w:cs="Arial"/>
        </w:rPr>
        <w:t xml:space="preserve">ould deliver </w:t>
      </w:r>
      <w:r w:rsidRPr="004814DB">
        <w:rPr>
          <w:rFonts w:cs="Arial"/>
        </w:rPr>
        <w:lastRenderedPageBreak/>
        <w:t xml:space="preserve">tangible </w:t>
      </w:r>
      <w:r w:rsidR="00E772CE" w:rsidRPr="004814DB">
        <w:rPr>
          <w:rFonts w:cs="Arial"/>
        </w:rPr>
        <w:t xml:space="preserve">economic </w:t>
      </w:r>
      <w:r w:rsidRPr="004814DB">
        <w:rPr>
          <w:rFonts w:cs="Arial"/>
        </w:rPr>
        <w:t xml:space="preserve">benefits in the form of improved business efficiency, international competitiveness, productivity, employment and growth. </w:t>
      </w:r>
    </w:p>
    <w:p w:rsidR="004D2217" w:rsidRPr="004814DB" w:rsidRDefault="00A83EF6" w:rsidP="009852E9">
      <w:pPr>
        <w:spacing w:before="120" w:after="120" w:line="312" w:lineRule="auto"/>
        <w:rPr>
          <w:rFonts w:cs="Arial"/>
        </w:rPr>
      </w:pPr>
      <w:r w:rsidRPr="004814DB">
        <w:rPr>
          <w:rFonts w:cs="Arial"/>
        </w:rPr>
        <w:t>We</w:t>
      </w:r>
      <w:r w:rsidR="002F523D" w:rsidRPr="004814DB">
        <w:rPr>
          <w:rFonts w:cs="Arial"/>
        </w:rPr>
        <w:t xml:space="preserve"> would encourage the </w:t>
      </w:r>
      <w:r w:rsidR="00A80677" w:rsidRPr="004814DB">
        <w:rPr>
          <w:rFonts w:cs="Arial"/>
        </w:rPr>
        <w:t xml:space="preserve">PC </w:t>
      </w:r>
      <w:r w:rsidR="002F523D" w:rsidRPr="004814DB">
        <w:rPr>
          <w:rFonts w:cs="Arial"/>
        </w:rPr>
        <w:t xml:space="preserve">to </w:t>
      </w:r>
      <w:r w:rsidR="004D2217" w:rsidRPr="004814DB">
        <w:rPr>
          <w:rFonts w:cs="Arial"/>
        </w:rPr>
        <w:t xml:space="preserve">look for </w:t>
      </w:r>
      <w:r w:rsidR="007643C6" w:rsidRPr="004814DB">
        <w:rPr>
          <w:rFonts w:cs="Arial"/>
        </w:rPr>
        <w:t xml:space="preserve">further </w:t>
      </w:r>
      <w:r w:rsidR="004D2217" w:rsidRPr="004814DB">
        <w:rPr>
          <w:rFonts w:cs="Arial"/>
        </w:rPr>
        <w:t xml:space="preserve">opportunities to </w:t>
      </w:r>
      <w:r w:rsidR="007643C6" w:rsidRPr="004814DB">
        <w:rPr>
          <w:rFonts w:cs="Arial"/>
        </w:rPr>
        <w:t>improve efficiencies in</w:t>
      </w:r>
      <w:r w:rsidR="004D2217" w:rsidRPr="004814DB">
        <w:rPr>
          <w:rFonts w:cs="Arial"/>
        </w:rPr>
        <w:t xml:space="preserve"> regulator processes to ensure practices are as simple as possible and delivered in a facilitative manner. </w:t>
      </w:r>
    </w:p>
    <w:p w:rsidR="009852E9" w:rsidRPr="009852E9" w:rsidRDefault="009852E9" w:rsidP="002C453D">
      <w:pPr>
        <w:spacing w:before="240" w:after="120" w:line="312" w:lineRule="auto"/>
        <w:rPr>
          <w:rFonts w:cs="Arial"/>
          <w:u w:val="single"/>
        </w:rPr>
      </w:pPr>
      <w:r w:rsidRPr="009852E9">
        <w:rPr>
          <w:rFonts w:cs="Arial"/>
          <w:u w:val="single"/>
        </w:rPr>
        <w:t>Reducing the compliance burden</w:t>
      </w:r>
    </w:p>
    <w:p w:rsidR="004D2217" w:rsidRPr="004814DB" w:rsidRDefault="004D2217" w:rsidP="009852E9">
      <w:pPr>
        <w:spacing w:before="120" w:after="120" w:line="312" w:lineRule="auto"/>
        <w:rPr>
          <w:rFonts w:cs="Arial"/>
        </w:rPr>
      </w:pPr>
      <w:r w:rsidRPr="004814DB">
        <w:rPr>
          <w:rFonts w:cs="Arial"/>
        </w:rPr>
        <w:t xml:space="preserve">As mentioned above, small business owners have a variety of roles. </w:t>
      </w:r>
      <w:r w:rsidR="00E0126D">
        <w:rPr>
          <w:rFonts w:cs="Arial"/>
        </w:rPr>
        <w:t xml:space="preserve">Owners </w:t>
      </w:r>
      <w:r w:rsidRPr="004814DB">
        <w:rPr>
          <w:rFonts w:cs="Arial"/>
        </w:rPr>
        <w:t xml:space="preserve">are </w:t>
      </w:r>
      <w:r w:rsidR="00E0126D">
        <w:rPr>
          <w:rFonts w:cs="Arial"/>
        </w:rPr>
        <w:t xml:space="preserve">commonly </w:t>
      </w:r>
      <w:r w:rsidRPr="004814DB">
        <w:rPr>
          <w:rFonts w:cs="Arial"/>
        </w:rPr>
        <w:t>responsible not only for day-to-day operation</w:t>
      </w:r>
      <w:r w:rsidR="00E44606" w:rsidRPr="004814DB">
        <w:rPr>
          <w:rFonts w:cs="Arial"/>
        </w:rPr>
        <w:t>s</w:t>
      </w:r>
      <w:r w:rsidRPr="004814DB">
        <w:rPr>
          <w:rFonts w:cs="Arial"/>
        </w:rPr>
        <w:t xml:space="preserve">, but also for accounts and bookkeeping, payroll, health and safety, superannuation, registration and licences, workplace relations and more. </w:t>
      </w:r>
    </w:p>
    <w:p w:rsidR="004D2217" w:rsidRPr="004814DB" w:rsidRDefault="004D2217" w:rsidP="009852E9">
      <w:pPr>
        <w:spacing w:before="120" w:after="120" w:line="312" w:lineRule="auto"/>
        <w:rPr>
          <w:rFonts w:cs="Arial"/>
        </w:rPr>
      </w:pPr>
      <w:r w:rsidRPr="004814DB">
        <w:rPr>
          <w:rFonts w:cs="Arial"/>
        </w:rPr>
        <w:t>One regulation may not be difficult to comply with</w:t>
      </w:r>
      <w:r w:rsidR="00355FFD">
        <w:rPr>
          <w:rFonts w:cs="Arial"/>
        </w:rPr>
        <w:t xml:space="preserve"> but</w:t>
      </w:r>
      <w:r w:rsidRPr="004814DB">
        <w:rPr>
          <w:rFonts w:cs="Arial"/>
        </w:rPr>
        <w:t xml:space="preserve"> the cumulative</w:t>
      </w:r>
      <w:r w:rsidR="00355FFD">
        <w:rPr>
          <w:rFonts w:cs="Arial"/>
        </w:rPr>
        <w:t xml:space="preserve"> burden of</w:t>
      </w:r>
      <w:r w:rsidRPr="004814DB">
        <w:rPr>
          <w:rFonts w:cs="Arial"/>
        </w:rPr>
        <w:t xml:space="preserve"> </w:t>
      </w:r>
      <w:r w:rsidR="00355FFD">
        <w:rPr>
          <w:rFonts w:cs="Arial"/>
        </w:rPr>
        <w:t>compliance with</w:t>
      </w:r>
      <w:r w:rsidR="00355FFD" w:rsidRPr="004814DB">
        <w:rPr>
          <w:rFonts w:cs="Arial"/>
        </w:rPr>
        <w:t xml:space="preserve"> </w:t>
      </w:r>
      <w:r w:rsidRPr="004814DB">
        <w:rPr>
          <w:rFonts w:cs="Arial"/>
        </w:rPr>
        <w:t xml:space="preserve">regulatory requirements </w:t>
      </w:r>
      <w:r w:rsidR="00355FFD">
        <w:rPr>
          <w:rFonts w:cs="Arial"/>
        </w:rPr>
        <w:t xml:space="preserve">across </w:t>
      </w:r>
      <w:r w:rsidRPr="004814DB">
        <w:rPr>
          <w:rFonts w:cs="Arial"/>
        </w:rPr>
        <w:t xml:space="preserve">three tiers of government is a complicated and time consuming process. </w:t>
      </w:r>
      <w:r w:rsidR="007643C6" w:rsidRPr="004814DB">
        <w:rPr>
          <w:rFonts w:cs="Arial"/>
        </w:rPr>
        <w:t xml:space="preserve">The PC could give further </w:t>
      </w:r>
      <w:r w:rsidRPr="004814DB">
        <w:rPr>
          <w:rFonts w:cs="Arial"/>
        </w:rPr>
        <w:t>consideration to reduc</w:t>
      </w:r>
      <w:r w:rsidR="007643C6" w:rsidRPr="004814DB">
        <w:rPr>
          <w:rFonts w:cs="Arial"/>
        </w:rPr>
        <w:t>ing</w:t>
      </w:r>
      <w:r w:rsidRPr="004814DB">
        <w:rPr>
          <w:rFonts w:cs="Arial"/>
        </w:rPr>
        <w:t xml:space="preserve"> </w:t>
      </w:r>
      <w:r w:rsidR="00355FFD" w:rsidRPr="004814DB">
        <w:rPr>
          <w:rFonts w:cs="Arial"/>
        </w:rPr>
        <w:t xml:space="preserve">small business </w:t>
      </w:r>
      <w:r w:rsidR="007643C6" w:rsidRPr="004814DB">
        <w:rPr>
          <w:rFonts w:cs="Arial"/>
        </w:rPr>
        <w:t xml:space="preserve">compliance </w:t>
      </w:r>
      <w:r w:rsidR="00355FFD">
        <w:rPr>
          <w:rFonts w:cs="Arial"/>
        </w:rPr>
        <w:t xml:space="preserve">costs </w:t>
      </w:r>
      <w:r w:rsidR="007643C6" w:rsidRPr="004814DB">
        <w:rPr>
          <w:rFonts w:cs="Arial"/>
        </w:rPr>
        <w:t xml:space="preserve">by reducing </w:t>
      </w:r>
      <w:r w:rsidRPr="004814DB">
        <w:rPr>
          <w:rFonts w:cs="Arial"/>
        </w:rPr>
        <w:t>duplication across institutions and tiers of government</w:t>
      </w:r>
      <w:r w:rsidR="007643C6" w:rsidRPr="004814DB">
        <w:rPr>
          <w:rFonts w:cs="Arial"/>
        </w:rPr>
        <w:t>.</w:t>
      </w:r>
      <w:r w:rsidR="00355FFD">
        <w:rPr>
          <w:rFonts w:cs="Arial"/>
        </w:rPr>
        <w:t xml:space="preserve"> Where possible</w:t>
      </w:r>
      <w:r w:rsidR="00766F7E">
        <w:rPr>
          <w:rFonts w:cs="Arial"/>
        </w:rPr>
        <w:t xml:space="preserve"> and appropriate to do so</w:t>
      </w:r>
      <w:r w:rsidR="00355FFD">
        <w:rPr>
          <w:rFonts w:cs="Arial"/>
        </w:rPr>
        <w:t xml:space="preserve">, </w:t>
      </w:r>
      <w:r w:rsidR="00355FFD" w:rsidRPr="004814DB">
        <w:rPr>
          <w:rFonts w:cs="Arial"/>
        </w:rPr>
        <w:t xml:space="preserve">Commonwealth and </w:t>
      </w:r>
      <w:r w:rsidR="007643C6" w:rsidRPr="004814DB">
        <w:rPr>
          <w:rFonts w:cs="Arial"/>
        </w:rPr>
        <w:t xml:space="preserve">State authorities </w:t>
      </w:r>
      <w:r w:rsidR="00355FFD">
        <w:rPr>
          <w:rFonts w:cs="Arial"/>
        </w:rPr>
        <w:t>should</w:t>
      </w:r>
      <w:r w:rsidR="007643C6" w:rsidRPr="004814DB">
        <w:rPr>
          <w:rFonts w:cs="Arial"/>
        </w:rPr>
        <w:t xml:space="preserve"> consider regulatory </w:t>
      </w:r>
      <w:r w:rsidRPr="004814DB">
        <w:rPr>
          <w:rFonts w:cs="Arial"/>
        </w:rPr>
        <w:t>partnership</w:t>
      </w:r>
      <w:r w:rsidR="007643C6" w:rsidRPr="004814DB">
        <w:rPr>
          <w:rFonts w:cs="Arial"/>
        </w:rPr>
        <w:t>s w</w:t>
      </w:r>
      <w:r w:rsidRPr="004814DB">
        <w:rPr>
          <w:rFonts w:cs="Arial"/>
        </w:rPr>
        <w:t xml:space="preserve">ith </w:t>
      </w:r>
      <w:r w:rsidR="007643C6" w:rsidRPr="004814DB">
        <w:rPr>
          <w:rFonts w:cs="Arial"/>
        </w:rPr>
        <w:t xml:space="preserve">each other and </w:t>
      </w:r>
      <w:r w:rsidRPr="004814DB">
        <w:rPr>
          <w:rFonts w:cs="Arial"/>
        </w:rPr>
        <w:t>other government institutions.</w:t>
      </w:r>
      <w:r w:rsidR="00766F7E">
        <w:rPr>
          <w:rFonts w:cs="Arial"/>
        </w:rPr>
        <w:t xml:space="preserve"> For example: t</w:t>
      </w:r>
      <w:r w:rsidRPr="004814DB">
        <w:rPr>
          <w:rFonts w:cs="Arial"/>
        </w:rPr>
        <w:t xml:space="preserve">he </w:t>
      </w:r>
      <w:r w:rsidR="00E0126D">
        <w:rPr>
          <w:rFonts w:cs="Arial"/>
        </w:rPr>
        <w:t xml:space="preserve">Commonwealth </w:t>
      </w:r>
      <w:r w:rsidRPr="004814DB">
        <w:rPr>
          <w:rFonts w:cs="Arial"/>
        </w:rPr>
        <w:t xml:space="preserve">Government has identified a need to improve connectivity across </w:t>
      </w:r>
      <w:r w:rsidR="00E0126D">
        <w:rPr>
          <w:rFonts w:cs="Arial"/>
        </w:rPr>
        <w:t xml:space="preserve">its </w:t>
      </w:r>
      <w:r w:rsidRPr="004814DB">
        <w:rPr>
          <w:rFonts w:cs="Arial"/>
        </w:rPr>
        <w:t xml:space="preserve">institutions and has established the Digital Transformation Office to drive this process. This </w:t>
      </w:r>
      <w:r w:rsidR="00E0126D">
        <w:rPr>
          <w:rFonts w:cs="Arial"/>
        </w:rPr>
        <w:t xml:space="preserve">WR review </w:t>
      </w:r>
      <w:r w:rsidRPr="004814DB">
        <w:rPr>
          <w:rFonts w:cs="Arial"/>
        </w:rPr>
        <w:t xml:space="preserve">provides an opportunity to reiterate the importance of reducing duplication and improving connectivity. </w:t>
      </w:r>
    </w:p>
    <w:p w:rsidR="004D2217" w:rsidRPr="004814DB" w:rsidRDefault="004D2217" w:rsidP="009852E9">
      <w:pPr>
        <w:spacing w:before="120" w:after="120" w:line="312" w:lineRule="auto"/>
        <w:rPr>
          <w:rFonts w:cs="Arial"/>
        </w:rPr>
      </w:pPr>
      <w:r w:rsidRPr="004814DB">
        <w:rPr>
          <w:rFonts w:cs="Arial"/>
        </w:rPr>
        <w:t>Another useful approach to reducing the compliance burden is to examine the policy rationale behind legislative repor</w:t>
      </w:r>
      <w:r w:rsidR="00E0126D">
        <w:rPr>
          <w:rFonts w:cs="Arial"/>
        </w:rPr>
        <w:t>ting and licensing requirements;</w:t>
      </w:r>
      <w:r w:rsidRPr="004814DB">
        <w:rPr>
          <w:rFonts w:cs="Arial"/>
        </w:rPr>
        <w:t xml:space="preserve"> for examine the frequency with which a business must interact with a government institution. This approach is beneficial in examining regulatory schemes, particularly those that require annual renewal or other frequent periodic contact. For example, a requirement for an annual renewal of a licence could be changed to a three or five year licensing period</w:t>
      </w:r>
      <w:r w:rsidR="00E0126D">
        <w:rPr>
          <w:rFonts w:cs="Arial"/>
        </w:rPr>
        <w:t xml:space="preserve"> to significantly reduce the compliance burden.</w:t>
      </w:r>
    </w:p>
    <w:p w:rsidR="00427DA0" w:rsidRPr="002C453D" w:rsidRDefault="00427DA0" w:rsidP="00427DA0">
      <w:pPr>
        <w:pStyle w:val="OutlineNumbered2"/>
        <w:numPr>
          <w:ilvl w:val="0"/>
          <w:numId w:val="0"/>
        </w:numPr>
        <w:spacing w:before="240" w:after="120" w:line="312" w:lineRule="auto"/>
        <w:rPr>
          <w:rFonts w:cs="Arial"/>
          <w:u w:val="single"/>
        </w:rPr>
      </w:pPr>
      <w:r w:rsidRPr="002C453D">
        <w:rPr>
          <w:rFonts w:cs="Arial"/>
          <w:u w:val="single"/>
        </w:rPr>
        <w:t xml:space="preserve">Simplifying </w:t>
      </w:r>
      <w:r>
        <w:rPr>
          <w:rFonts w:cs="Arial"/>
          <w:u w:val="single"/>
        </w:rPr>
        <w:t xml:space="preserve">modern </w:t>
      </w:r>
      <w:r w:rsidRPr="002C453D">
        <w:rPr>
          <w:rFonts w:cs="Arial"/>
          <w:u w:val="single"/>
        </w:rPr>
        <w:t>awards</w:t>
      </w:r>
    </w:p>
    <w:p w:rsidR="00427DA0" w:rsidRPr="004814DB" w:rsidRDefault="00427DA0" w:rsidP="00427DA0">
      <w:pPr>
        <w:pStyle w:val="OutlineNumbered2"/>
        <w:numPr>
          <w:ilvl w:val="0"/>
          <w:numId w:val="0"/>
        </w:numPr>
        <w:spacing w:before="120" w:after="120" w:line="312" w:lineRule="auto"/>
        <w:rPr>
          <w:rFonts w:cs="Arial"/>
        </w:rPr>
      </w:pPr>
      <w:r w:rsidRPr="004814DB">
        <w:rPr>
          <w:rFonts w:cs="Arial"/>
        </w:rPr>
        <w:t xml:space="preserve">A common issue raised with the ASBC by small business operators is the cost and compliance of the modern award system, including penalty rates. Many small business operators find the complexity of the system to be a major impediment to employing more staff or transitioning from being a sole trader to an employer. </w:t>
      </w:r>
    </w:p>
    <w:p w:rsidR="00427DA0" w:rsidRPr="004814DB" w:rsidRDefault="00427DA0" w:rsidP="00427DA0">
      <w:pPr>
        <w:pStyle w:val="OutlineNumbered2"/>
        <w:numPr>
          <w:ilvl w:val="0"/>
          <w:numId w:val="0"/>
        </w:numPr>
        <w:spacing w:before="120" w:after="120" w:line="312" w:lineRule="auto"/>
        <w:rPr>
          <w:rFonts w:cs="Arial"/>
        </w:rPr>
      </w:pPr>
      <w:r w:rsidRPr="004814DB">
        <w:rPr>
          <w:rFonts w:cs="Arial"/>
        </w:rPr>
        <w:t xml:space="preserve">Small business owners, particularly those who have never taken on an employee, find navigating the modern award system </w:t>
      </w:r>
      <w:r>
        <w:rPr>
          <w:rFonts w:cs="Arial"/>
        </w:rPr>
        <w:t xml:space="preserve">particularly </w:t>
      </w:r>
      <w:r w:rsidRPr="004814DB">
        <w:rPr>
          <w:rFonts w:cs="Arial"/>
        </w:rPr>
        <w:t>challenging. There are over 120 different awards, within each award there are a range of positions, and within each position there are a range of classifications.</w:t>
      </w:r>
      <w:r w:rsidR="00010962">
        <w:rPr>
          <w:rFonts w:cs="Arial"/>
        </w:rPr>
        <w:t xml:space="preserve"> </w:t>
      </w:r>
      <w:r w:rsidRPr="004814DB">
        <w:rPr>
          <w:rFonts w:cs="Arial"/>
        </w:rPr>
        <w:t>This is further compounded as employees in small business often wear many hats, and have a range of positions with varying levels of responsibility. In this situation it can be confusing to work out which modern award, position and classification an employee should be paid at.</w:t>
      </w:r>
      <w:r w:rsidR="00010962">
        <w:rPr>
          <w:rFonts w:cs="Arial"/>
        </w:rPr>
        <w:t xml:space="preserve"> </w:t>
      </w:r>
      <w:r w:rsidRPr="004814DB">
        <w:rPr>
          <w:rFonts w:cs="Arial"/>
        </w:rPr>
        <w:t xml:space="preserve">The system is also confusing as different employees within the one business may be on different awards. For example, a carpenter in a building business would be covered by the Building and Construction Award, whilst office staff </w:t>
      </w:r>
      <w:r>
        <w:rPr>
          <w:rFonts w:cs="Arial"/>
        </w:rPr>
        <w:t xml:space="preserve">may be </w:t>
      </w:r>
      <w:r w:rsidRPr="004814DB">
        <w:rPr>
          <w:rFonts w:cs="Arial"/>
        </w:rPr>
        <w:t xml:space="preserve">covered by the Clerks Award. </w:t>
      </w:r>
    </w:p>
    <w:p w:rsidR="00427DA0" w:rsidRPr="004814DB" w:rsidRDefault="00427DA0" w:rsidP="00427DA0">
      <w:pPr>
        <w:pStyle w:val="OutlineNumbered2"/>
        <w:numPr>
          <w:ilvl w:val="0"/>
          <w:numId w:val="0"/>
        </w:numPr>
        <w:spacing w:before="120" w:after="120" w:line="312" w:lineRule="auto"/>
        <w:rPr>
          <w:rFonts w:cs="Arial"/>
        </w:rPr>
      </w:pPr>
      <w:r w:rsidRPr="004814DB">
        <w:rPr>
          <w:rFonts w:cs="Arial"/>
        </w:rPr>
        <w:lastRenderedPageBreak/>
        <w:t>The PC could consider opportunities to further simplify the award system, including the number of awards, positions and classifications. Employees on different awards, as well as wages that vary based the day of the week</w:t>
      </w:r>
      <w:r>
        <w:rPr>
          <w:rFonts w:cs="Arial"/>
        </w:rPr>
        <w:t>,</w:t>
      </w:r>
      <w:r w:rsidRPr="004814DB">
        <w:rPr>
          <w:rFonts w:cs="Arial"/>
        </w:rPr>
        <w:t xml:space="preserve"> can create an administrative burden for small business both in terms of payroll requirements and having to keep informed of the latest changes.</w:t>
      </w:r>
    </w:p>
    <w:p w:rsidR="009852E9" w:rsidRPr="009852E9" w:rsidRDefault="009852E9" w:rsidP="002C453D">
      <w:pPr>
        <w:spacing w:before="240" w:after="120" w:line="312" w:lineRule="auto"/>
        <w:rPr>
          <w:rFonts w:cs="Arial"/>
          <w:u w:val="single"/>
        </w:rPr>
      </w:pPr>
      <w:r w:rsidRPr="009852E9">
        <w:rPr>
          <w:rFonts w:cs="Arial"/>
          <w:u w:val="single"/>
        </w:rPr>
        <w:t xml:space="preserve">Improving regulator </w:t>
      </w:r>
      <w:r w:rsidR="00427DA0" w:rsidRPr="009852E9">
        <w:rPr>
          <w:rFonts w:cs="Arial"/>
          <w:u w:val="single"/>
        </w:rPr>
        <w:t xml:space="preserve">behaviour and </w:t>
      </w:r>
      <w:r w:rsidRPr="009852E9">
        <w:rPr>
          <w:rFonts w:cs="Arial"/>
          <w:u w:val="single"/>
        </w:rPr>
        <w:t xml:space="preserve">processes </w:t>
      </w:r>
    </w:p>
    <w:p w:rsidR="004D2217" w:rsidRPr="004814DB" w:rsidRDefault="004D2217" w:rsidP="009852E9">
      <w:pPr>
        <w:spacing w:before="120" w:after="120" w:line="312" w:lineRule="auto"/>
        <w:rPr>
          <w:rFonts w:cs="Arial"/>
        </w:rPr>
      </w:pPr>
      <w:r w:rsidRPr="004814DB">
        <w:rPr>
          <w:rFonts w:cs="Arial"/>
        </w:rPr>
        <w:t xml:space="preserve">The </w:t>
      </w:r>
      <w:r w:rsidR="00427DA0">
        <w:rPr>
          <w:rFonts w:cs="Arial"/>
        </w:rPr>
        <w:t>manner of</w:t>
      </w:r>
      <w:r w:rsidR="00427DA0" w:rsidRPr="004814DB">
        <w:rPr>
          <w:rFonts w:cs="Arial"/>
        </w:rPr>
        <w:t xml:space="preserve"> </w:t>
      </w:r>
      <w:r w:rsidR="00427DA0">
        <w:rPr>
          <w:rFonts w:cs="Arial"/>
        </w:rPr>
        <w:t xml:space="preserve">delivery of </w:t>
      </w:r>
      <w:r w:rsidRPr="004814DB">
        <w:rPr>
          <w:rFonts w:cs="Arial"/>
        </w:rPr>
        <w:t xml:space="preserve">regulatory requirements, i.e. the processes and behaviours of regulators, can greatly influence the regulatory impact on small business. </w:t>
      </w:r>
    </w:p>
    <w:p w:rsidR="004D2217" w:rsidRPr="004814DB" w:rsidRDefault="004D2217" w:rsidP="009852E9">
      <w:pPr>
        <w:pStyle w:val="Bullet"/>
        <w:numPr>
          <w:ilvl w:val="0"/>
          <w:numId w:val="0"/>
        </w:numPr>
        <w:tabs>
          <w:tab w:val="left" w:pos="720"/>
        </w:tabs>
        <w:spacing w:before="120" w:after="120" w:line="312" w:lineRule="auto"/>
        <w:rPr>
          <w:rFonts w:cs="Arial"/>
        </w:rPr>
      </w:pPr>
      <w:r w:rsidRPr="004814DB">
        <w:rPr>
          <w:rFonts w:cs="Arial"/>
        </w:rPr>
        <w:t xml:space="preserve">Procedures established by regulators influence the complexity and burden of meeting regulatory requirements. Participants at </w:t>
      </w:r>
      <w:r w:rsidR="00744048">
        <w:rPr>
          <w:rFonts w:cs="Arial"/>
        </w:rPr>
        <w:t xml:space="preserve">a recent </w:t>
      </w:r>
      <w:r w:rsidR="00E44606" w:rsidRPr="004814DB">
        <w:rPr>
          <w:rFonts w:cs="Arial"/>
        </w:rPr>
        <w:t xml:space="preserve">Fair Work Ombudsman (FWO) / </w:t>
      </w:r>
      <w:r w:rsidRPr="004814DB">
        <w:rPr>
          <w:rFonts w:cs="Arial"/>
        </w:rPr>
        <w:t>ASBC Small Business Roundtable, raised concerns about the perception that government requests large amounts of information when conducting compliance activities without giving full appreciation to the burden this places on small business.</w:t>
      </w:r>
    </w:p>
    <w:p w:rsidR="004D2217" w:rsidRPr="004814DB" w:rsidRDefault="00137AD3" w:rsidP="009852E9">
      <w:pPr>
        <w:pStyle w:val="Bullet"/>
        <w:numPr>
          <w:ilvl w:val="0"/>
          <w:numId w:val="0"/>
        </w:numPr>
        <w:tabs>
          <w:tab w:val="left" w:pos="720"/>
        </w:tabs>
        <w:spacing w:before="120" w:after="120" w:line="312" w:lineRule="auto"/>
        <w:rPr>
          <w:rFonts w:cs="Arial"/>
        </w:rPr>
      </w:pPr>
      <w:r w:rsidRPr="004814DB">
        <w:rPr>
          <w:rFonts w:cs="Arial"/>
        </w:rPr>
        <w:t xml:space="preserve">The Government has attempted to address these problems by introducing </w:t>
      </w:r>
      <w:r w:rsidR="004D2217" w:rsidRPr="004814DB">
        <w:rPr>
          <w:rFonts w:cs="Arial"/>
        </w:rPr>
        <w:t xml:space="preserve">the Regulator Performance Framework (Department of Prime Minister and Cabinet) and the Regulator Audit Framework (Productivity Commission). These frameworks aim to improve administrative efficiency and regulator behaviour in order to lower compliance costs and simplify regulation. </w:t>
      </w:r>
    </w:p>
    <w:p w:rsidR="004D2217" w:rsidRPr="004814DB" w:rsidRDefault="004D2217" w:rsidP="009852E9">
      <w:pPr>
        <w:pStyle w:val="Bullet"/>
        <w:numPr>
          <w:ilvl w:val="0"/>
          <w:numId w:val="0"/>
        </w:numPr>
        <w:tabs>
          <w:tab w:val="left" w:pos="720"/>
        </w:tabs>
        <w:spacing w:before="120" w:after="120" w:line="312" w:lineRule="auto"/>
        <w:rPr>
          <w:rFonts w:cs="Arial"/>
        </w:rPr>
      </w:pPr>
      <w:r w:rsidRPr="004814DB">
        <w:rPr>
          <w:rFonts w:cs="Arial"/>
        </w:rPr>
        <w:t>In regard to behaviour, the easy approach for a regulator is to concentrate effort on enforcement, rather than educating businesses to comply. However, the majority of businesses want to comply with the laws that regulate their industry. Non-compliance, especially among small business, is often associated with inexperience, lack of understanding or poor management practices.</w:t>
      </w:r>
    </w:p>
    <w:p w:rsidR="004D2217" w:rsidRPr="004814DB" w:rsidRDefault="004D2217" w:rsidP="009852E9">
      <w:pPr>
        <w:pStyle w:val="Bullet"/>
        <w:numPr>
          <w:ilvl w:val="0"/>
          <w:numId w:val="0"/>
        </w:numPr>
        <w:tabs>
          <w:tab w:val="left" w:pos="720"/>
        </w:tabs>
        <w:spacing w:before="120" w:after="120" w:line="312" w:lineRule="auto"/>
        <w:rPr>
          <w:rFonts w:cs="Arial"/>
        </w:rPr>
      </w:pPr>
      <w:r w:rsidRPr="004814DB">
        <w:rPr>
          <w:rFonts w:cs="Arial"/>
        </w:rPr>
        <w:t xml:space="preserve">In our experience, small business is more responsive to a facilitative approach to regulation, one that is underpinned by understanding and education. For example, dealing with non-compliance by explaining the breach and providing an opportunity to rectify the situation, rather than immediately issuing fines or prosecuting </w:t>
      </w:r>
      <w:r w:rsidR="00744048">
        <w:rPr>
          <w:rFonts w:cs="Arial"/>
        </w:rPr>
        <w:t xml:space="preserve">a </w:t>
      </w:r>
      <w:r w:rsidRPr="004814DB">
        <w:rPr>
          <w:rFonts w:cs="Arial"/>
        </w:rPr>
        <w:t xml:space="preserve">business. </w:t>
      </w:r>
    </w:p>
    <w:p w:rsidR="004D2217" w:rsidRPr="004814DB" w:rsidRDefault="004D2217" w:rsidP="009852E9">
      <w:pPr>
        <w:pStyle w:val="Bullet"/>
        <w:numPr>
          <w:ilvl w:val="0"/>
          <w:numId w:val="0"/>
        </w:numPr>
        <w:tabs>
          <w:tab w:val="left" w:pos="720"/>
        </w:tabs>
        <w:spacing w:before="120" w:after="120" w:line="312" w:lineRule="auto"/>
        <w:rPr>
          <w:rFonts w:cs="Arial"/>
        </w:rPr>
      </w:pPr>
      <w:r w:rsidRPr="004814DB">
        <w:rPr>
          <w:rFonts w:cs="Arial"/>
        </w:rPr>
        <w:t xml:space="preserve">In working with the small business area of the FWO, we have found its approach to be facilitative and aimed at identifying and implementing opportunities to reduce the burden on small business. This has included developing free online small business training courses to improve understanding of the workplace relations framework, engaging with industry and business to improve services and communication, and adopting an educative approach to non-compliance. </w:t>
      </w:r>
    </w:p>
    <w:p w:rsidR="00FD7D03" w:rsidRPr="009852E9" w:rsidRDefault="00FD7D03" w:rsidP="00FD7D03">
      <w:pPr>
        <w:pStyle w:val="Bullet"/>
        <w:numPr>
          <w:ilvl w:val="0"/>
          <w:numId w:val="0"/>
        </w:numPr>
        <w:tabs>
          <w:tab w:val="left" w:pos="720"/>
        </w:tabs>
        <w:spacing w:before="360" w:after="120" w:line="312" w:lineRule="auto"/>
        <w:rPr>
          <w:rFonts w:cs="Arial"/>
          <w:b/>
          <w:sz w:val="32"/>
          <w:szCs w:val="32"/>
        </w:rPr>
      </w:pPr>
      <w:r w:rsidRPr="009852E9">
        <w:rPr>
          <w:rFonts w:cs="Arial"/>
          <w:b/>
          <w:sz w:val="32"/>
          <w:szCs w:val="32"/>
        </w:rPr>
        <w:t>Penalty rates</w:t>
      </w:r>
    </w:p>
    <w:p w:rsidR="00FD7D03" w:rsidRPr="004814DB" w:rsidRDefault="00FD7D03" w:rsidP="00FD7D03">
      <w:pPr>
        <w:pStyle w:val="Bullet"/>
        <w:numPr>
          <w:ilvl w:val="0"/>
          <w:numId w:val="0"/>
        </w:numPr>
        <w:tabs>
          <w:tab w:val="left" w:pos="720"/>
        </w:tabs>
        <w:spacing w:before="120" w:after="120" w:line="312" w:lineRule="auto"/>
        <w:rPr>
          <w:rFonts w:cs="Arial"/>
        </w:rPr>
      </w:pPr>
      <w:r>
        <w:rPr>
          <w:rFonts w:cs="Arial"/>
        </w:rPr>
        <w:t xml:space="preserve">Probably the most </w:t>
      </w:r>
      <w:r w:rsidRPr="004814DB">
        <w:rPr>
          <w:rFonts w:cs="Arial"/>
        </w:rPr>
        <w:t>common complaint</w:t>
      </w:r>
      <w:r>
        <w:rPr>
          <w:rFonts w:cs="Arial"/>
        </w:rPr>
        <w:t>s</w:t>
      </w:r>
      <w:r w:rsidRPr="004814DB">
        <w:rPr>
          <w:rFonts w:cs="Arial"/>
        </w:rPr>
        <w:t xml:space="preserve"> raised with th</w:t>
      </w:r>
      <w:r>
        <w:rPr>
          <w:rFonts w:cs="Arial"/>
        </w:rPr>
        <w:t>e ASBC by small business relate</w:t>
      </w:r>
      <w:r w:rsidRPr="004814DB">
        <w:rPr>
          <w:rFonts w:cs="Arial"/>
        </w:rPr>
        <w:t xml:space="preserve"> to penalty rates. Firms regularly report</w:t>
      </w:r>
      <w:r>
        <w:rPr>
          <w:rFonts w:cs="Arial"/>
        </w:rPr>
        <w:t xml:space="preserve"> </w:t>
      </w:r>
      <w:r w:rsidRPr="004814DB">
        <w:rPr>
          <w:rFonts w:cs="Arial"/>
        </w:rPr>
        <w:t xml:space="preserve">that penalty rates </w:t>
      </w:r>
      <w:r>
        <w:rPr>
          <w:rFonts w:cs="Arial"/>
        </w:rPr>
        <w:t>stifle</w:t>
      </w:r>
      <w:r w:rsidRPr="004814DB">
        <w:rPr>
          <w:rFonts w:cs="Arial"/>
        </w:rPr>
        <w:t xml:space="preserve"> business competitiveness: </w:t>
      </w:r>
    </w:p>
    <w:p w:rsidR="00FD7D03" w:rsidRPr="004814DB" w:rsidRDefault="002876C1" w:rsidP="00FD7D03">
      <w:pPr>
        <w:pStyle w:val="Bullet"/>
        <w:numPr>
          <w:ilvl w:val="0"/>
          <w:numId w:val="10"/>
        </w:numPr>
        <w:tabs>
          <w:tab w:val="left" w:pos="720"/>
        </w:tabs>
        <w:spacing w:before="120" w:after="120" w:line="312" w:lineRule="auto"/>
        <w:rPr>
          <w:rFonts w:cs="Arial"/>
        </w:rPr>
      </w:pPr>
      <w:r>
        <w:rPr>
          <w:rFonts w:cs="Arial"/>
        </w:rPr>
        <w:t>For example, a</w:t>
      </w:r>
      <w:r w:rsidR="00FD7D03" w:rsidRPr="004814DB">
        <w:rPr>
          <w:rFonts w:cs="Arial"/>
        </w:rPr>
        <w:t xml:space="preserve"> Sunshine Coast café owner told us he was choosing not to open on Sundays, despite the fact that it is a high turnover day. He </w:t>
      </w:r>
      <w:r w:rsidR="00FD7D03">
        <w:rPr>
          <w:rFonts w:cs="Arial"/>
        </w:rPr>
        <w:t>chose</w:t>
      </w:r>
      <w:r w:rsidR="00FD7D03" w:rsidRPr="004814DB">
        <w:rPr>
          <w:rFonts w:cs="Arial"/>
        </w:rPr>
        <w:t xml:space="preserve"> a low turnover, low employment option due to the high cost of employing staff on Sunday due to penalty rates. </w:t>
      </w:r>
    </w:p>
    <w:p w:rsidR="00FD7D03" w:rsidRPr="004814DB" w:rsidRDefault="00FD7D03" w:rsidP="00FD7D03">
      <w:pPr>
        <w:pStyle w:val="Bullet"/>
        <w:numPr>
          <w:ilvl w:val="0"/>
          <w:numId w:val="10"/>
        </w:numPr>
        <w:tabs>
          <w:tab w:val="left" w:pos="720"/>
        </w:tabs>
        <w:spacing w:before="120" w:after="120" w:line="312" w:lineRule="auto"/>
        <w:rPr>
          <w:rFonts w:cs="Arial"/>
        </w:rPr>
      </w:pPr>
      <w:r w:rsidRPr="004814DB">
        <w:rPr>
          <w:rFonts w:cs="Arial"/>
        </w:rPr>
        <w:lastRenderedPageBreak/>
        <w:t>In some industries</w:t>
      </w:r>
      <w:r>
        <w:rPr>
          <w:rFonts w:cs="Arial"/>
        </w:rPr>
        <w:t>,</w:t>
      </w:r>
      <w:r w:rsidRPr="004814DB">
        <w:rPr>
          <w:rFonts w:cs="Arial"/>
        </w:rPr>
        <w:t xml:space="preserve"> such as the franchising sector, there may be contractual requirements to have specific operating hours, which can include weekend and public holiday trading.  Penalty rates can make it financially unprofitable for a business to open at these times. A Canberra pizza franchisee told us he is required under his franchise agreement to trade on Sunday despite not turning a profit on a Sunday in over four years.</w:t>
      </w:r>
    </w:p>
    <w:p w:rsidR="00FD7D03" w:rsidRPr="004814DB" w:rsidRDefault="00FD7D03" w:rsidP="00FD7D03">
      <w:pPr>
        <w:pStyle w:val="Bullet"/>
        <w:numPr>
          <w:ilvl w:val="0"/>
          <w:numId w:val="0"/>
        </w:numPr>
        <w:tabs>
          <w:tab w:val="left" w:pos="720"/>
        </w:tabs>
        <w:spacing w:before="120" w:after="120" w:line="312" w:lineRule="auto"/>
        <w:rPr>
          <w:rFonts w:cs="Arial"/>
        </w:rPr>
      </w:pPr>
      <w:r w:rsidRPr="004814DB">
        <w:rPr>
          <w:rFonts w:cs="Arial"/>
        </w:rPr>
        <w:t>Penalty rates are a serious impediment for small business</w:t>
      </w:r>
      <w:r>
        <w:rPr>
          <w:rFonts w:cs="Arial"/>
        </w:rPr>
        <w:t>, particularly</w:t>
      </w:r>
      <w:r w:rsidRPr="004814DB">
        <w:rPr>
          <w:rFonts w:cs="Arial"/>
        </w:rPr>
        <w:t xml:space="preserve"> in the restaurant and catering</w:t>
      </w:r>
      <w:r>
        <w:rPr>
          <w:rFonts w:cs="Arial"/>
        </w:rPr>
        <w:t>,</w:t>
      </w:r>
      <w:r w:rsidRPr="004814DB">
        <w:rPr>
          <w:rFonts w:cs="Arial"/>
        </w:rPr>
        <w:t xml:space="preserve"> tourism and hospitality</w:t>
      </w:r>
      <w:r>
        <w:rPr>
          <w:rFonts w:cs="Arial"/>
        </w:rPr>
        <w:t>,</w:t>
      </w:r>
      <w:r w:rsidRPr="004814DB">
        <w:rPr>
          <w:rFonts w:cs="Arial"/>
        </w:rPr>
        <w:t xml:space="preserve"> and retail industries. Customers expect </w:t>
      </w:r>
      <w:r>
        <w:rPr>
          <w:rFonts w:cs="Arial"/>
        </w:rPr>
        <w:t xml:space="preserve">that </w:t>
      </w:r>
      <w:r w:rsidRPr="004814DB">
        <w:rPr>
          <w:rFonts w:cs="Arial"/>
        </w:rPr>
        <w:t xml:space="preserve">businesses </w:t>
      </w:r>
      <w:r>
        <w:rPr>
          <w:rFonts w:cs="Arial"/>
        </w:rPr>
        <w:t xml:space="preserve">in these industries are </w:t>
      </w:r>
      <w:r w:rsidRPr="004814DB">
        <w:rPr>
          <w:rFonts w:cs="Arial"/>
        </w:rPr>
        <w:t xml:space="preserve">open every day. </w:t>
      </w:r>
      <w:r>
        <w:rPr>
          <w:rFonts w:cs="Arial"/>
        </w:rPr>
        <w:t>R</w:t>
      </w:r>
      <w:r w:rsidRPr="004814DB">
        <w:rPr>
          <w:rFonts w:cs="Arial"/>
        </w:rPr>
        <w:t xml:space="preserve">estrictive regulations governing </w:t>
      </w:r>
      <w:r>
        <w:rPr>
          <w:rFonts w:cs="Arial"/>
        </w:rPr>
        <w:t xml:space="preserve">penalty rates and </w:t>
      </w:r>
      <w:r w:rsidRPr="004814DB">
        <w:rPr>
          <w:rFonts w:cs="Arial"/>
        </w:rPr>
        <w:t xml:space="preserve">shopping hours </w:t>
      </w:r>
      <w:r>
        <w:rPr>
          <w:rFonts w:cs="Arial"/>
        </w:rPr>
        <w:t xml:space="preserve">severely limit the ability </w:t>
      </w:r>
      <w:r w:rsidRPr="004814DB">
        <w:rPr>
          <w:rFonts w:cs="Arial"/>
        </w:rPr>
        <w:t xml:space="preserve">for </w:t>
      </w:r>
      <w:r>
        <w:rPr>
          <w:rFonts w:cs="Arial"/>
        </w:rPr>
        <w:t xml:space="preserve">these </w:t>
      </w:r>
      <w:r w:rsidRPr="004814DB">
        <w:rPr>
          <w:rFonts w:cs="Arial"/>
        </w:rPr>
        <w:t xml:space="preserve">businesses to operate </w:t>
      </w:r>
      <w:r>
        <w:rPr>
          <w:rFonts w:cs="Arial"/>
        </w:rPr>
        <w:t>efficiently and at the times that customers expect</w:t>
      </w:r>
      <w:r w:rsidRPr="004814DB">
        <w:rPr>
          <w:rFonts w:cs="Arial"/>
        </w:rPr>
        <w:t xml:space="preserve">. </w:t>
      </w:r>
    </w:p>
    <w:p w:rsidR="00FD7D03" w:rsidRPr="004814DB" w:rsidRDefault="00FD7D03" w:rsidP="00FD7D03">
      <w:pPr>
        <w:pStyle w:val="Bullet"/>
        <w:numPr>
          <w:ilvl w:val="0"/>
          <w:numId w:val="0"/>
        </w:numPr>
        <w:tabs>
          <w:tab w:val="left" w:pos="720"/>
        </w:tabs>
        <w:spacing w:before="120" w:after="120" w:line="312" w:lineRule="auto"/>
        <w:rPr>
          <w:rFonts w:cs="Arial"/>
        </w:rPr>
      </w:pPr>
      <w:r w:rsidRPr="004814DB">
        <w:rPr>
          <w:rFonts w:cs="Arial"/>
        </w:rPr>
        <w:t xml:space="preserve">Many small businesses and industry associations have </w:t>
      </w:r>
      <w:r>
        <w:rPr>
          <w:rFonts w:cs="Arial"/>
        </w:rPr>
        <w:t xml:space="preserve">also </w:t>
      </w:r>
      <w:r w:rsidRPr="004814DB">
        <w:rPr>
          <w:rFonts w:cs="Arial"/>
        </w:rPr>
        <w:t>made the case to our Office that the rationale for penalty rates has diminished</w:t>
      </w:r>
      <w:r>
        <w:rPr>
          <w:rFonts w:cs="Arial"/>
        </w:rPr>
        <w:t xml:space="preserve"> </w:t>
      </w:r>
      <w:r w:rsidR="002876C1">
        <w:rPr>
          <w:rFonts w:cs="Arial"/>
        </w:rPr>
        <w:t>a</w:t>
      </w:r>
      <w:r>
        <w:rPr>
          <w:rFonts w:cs="Arial"/>
        </w:rPr>
        <w:t>s the notion of ‘unsociable hours’ is losing its relevance</w:t>
      </w:r>
      <w:r w:rsidRPr="004814DB">
        <w:rPr>
          <w:rFonts w:cs="Arial"/>
        </w:rPr>
        <w:t xml:space="preserve">. Seven day trading is now standard for many sectors. The PC draft report acknowledges this with the finding that one third of employees currently work a Saturday or Sunday each week. The historical tradition of the working week being 9:00 am to 5:00 pm, Monday to Friday, is becoming an anachronism for small business in the modern world. </w:t>
      </w:r>
    </w:p>
    <w:p w:rsidR="00FD7D03" w:rsidRPr="004814DB" w:rsidRDefault="00FD7D03" w:rsidP="00FD7D03">
      <w:pPr>
        <w:pStyle w:val="Bullet"/>
        <w:numPr>
          <w:ilvl w:val="0"/>
          <w:numId w:val="0"/>
        </w:numPr>
        <w:tabs>
          <w:tab w:val="left" w:pos="720"/>
        </w:tabs>
        <w:spacing w:before="120" w:after="120" w:line="312" w:lineRule="auto"/>
        <w:rPr>
          <w:rFonts w:cs="Arial"/>
        </w:rPr>
      </w:pPr>
      <w:r w:rsidRPr="004814DB">
        <w:rPr>
          <w:rFonts w:cs="Arial"/>
        </w:rPr>
        <w:t xml:space="preserve">The rapid growth of online retailing operating globally is another phenomenon that questions the relevance of penalty rates. </w:t>
      </w:r>
      <w:r>
        <w:rPr>
          <w:rFonts w:cs="Arial"/>
        </w:rPr>
        <w:t>If p</w:t>
      </w:r>
      <w:r w:rsidRPr="004814DB">
        <w:rPr>
          <w:rFonts w:cs="Arial"/>
        </w:rPr>
        <w:t xml:space="preserve">eople can shop online 24 hours a day </w:t>
      </w:r>
      <w:r>
        <w:rPr>
          <w:rFonts w:cs="Arial"/>
        </w:rPr>
        <w:t xml:space="preserve">the </w:t>
      </w:r>
      <w:r w:rsidRPr="004814DB">
        <w:rPr>
          <w:rFonts w:cs="Arial"/>
        </w:rPr>
        <w:t xml:space="preserve">retail sector </w:t>
      </w:r>
      <w:r>
        <w:rPr>
          <w:rFonts w:cs="Arial"/>
        </w:rPr>
        <w:t xml:space="preserve">must be able to </w:t>
      </w:r>
      <w:r w:rsidRPr="004814DB">
        <w:rPr>
          <w:rFonts w:cs="Arial"/>
        </w:rPr>
        <w:t>offer greater amenity to customers</w:t>
      </w:r>
      <w:r>
        <w:rPr>
          <w:rFonts w:cs="Arial"/>
        </w:rPr>
        <w:t xml:space="preserve"> in order to remain competitive</w:t>
      </w:r>
      <w:r w:rsidRPr="004814DB">
        <w:rPr>
          <w:rFonts w:cs="Arial"/>
        </w:rPr>
        <w:t>. Being open when customers want to shop is one such convenience</w:t>
      </w:r>
      <w:r>
        <w:rPr>
          <w:rFonts w:cs="Arial"/>
        </w:rPr>
        <w:t>. P</w:t>
      </w:r>
      <w:r w:rsidRPr="004814DB">
        <w:rPr>
          <w:rFonts w:cs="Arial"/>
        </w:rPr>
        <w:t>enalty rates</w:t>
      </w:r>
      <w:r>
        <w:rPr>
          <w:rFonts w:cs="Arial"/>
        </w:rPr>
        <w:t xml:space="preserve"> that</w:t>
      </w:r>
      <w:r w:rsidRPr="004814DB">
        <w:rPr>
          <w:rFonts w:cs="Arial"/>
        </w:rPr>
        <w:t xml:space="preserve"> </w:t>
      </w:r>
      <w:r>
        <w:rPr>
          <w:rFonts w:cs="Arial"/>
        </w:rPr>
        <w:t xml:space="preserve">restrict the ability of </w:t>
      </w:r>
      <w:r w:rsidRPr="004814DB">
        <w:rPr>
          <w:rFonts w:cs="Arial"/>
        </w:rPr>
        <w:t xml:space="preserve">businesses </w:t>
      </w:r>
      <w:r>
        <w:rPr>
          <w:rFonts w:cs="Arial"/>
        </w:rPr>
        <w:t xml:space="preserve">to operate profitability at times when consumers wish to shop place the retail sector at a marked disadvantage relative to their online competitors. Penalty rates should be adjusted to enable businesses to </w:t>
      </w:r>
      <w:r w:rsidRPr="004814DB">
        <w:rPr>
          <w:rFonts w:cs="Arial"/>
        </w:rPr>
        <w:t>open</w:t>
      </w:r>
      <w:r>
        <w:rPr>
          <w:rFonts w:cs="Arial"/>
        </w:rPr>
        <w:t xml:space="preserve"> late or on </w:t>
      </w:r>
      <w:r w:rsidRPr="004814DB">
        <w:rPr>
          <w:rFonts w:cs="Arial"/>
        </w:rPr>
        <w:t>weekends</w:t>
      </w:r>
      <w:r>
        <w:rPr>
          <w:rFonts w:cs="Arial"/>
        </w:rPr>
        <w:t xml:space="preserve"> when their customers want to access them, without losing money</w:t>
      </w:r>
      <w:r w:rsidRPr="004814DB">
        <w:rPr>
          <w:rFonts w:cs="Arial"/>
        </w:rPr>
        <w:t xml:space="preserve">. </w:t>
      </w:r>
    </w:p>
    <w:p w:rsidR="00FD7D03" w:rsidRPr="004814DB" w:rsidRDefault="00FD7D03" w:rsidP="00FD7D03">
      <w:pPr>
        <w:pStyle w:val="Bullet"/>
        <w:numPr>
          <w:ilvl w:val="0"/>
          <w:numId w:val="0"/>
        </w:numPr>
        <w:tabs>
          <w:tab w:val="left" w:pos="720"/>
        </w:tabs>
        <w:spacing w:before="120" w:after="120" w:line="312" w:lineRule="auto"/>
        <w:rPr>
          <w:rFonts w:cs="Arial"/>
        </w:rPr>
      </w:pPr>
      <w:r w:rsidRPr="004814DB">
        <w:rPr>
          <w:rFonts w:cs="Arial"/>
        </w:rPr>
        <w:t xml:space="preserve">We acknowledge the </w:t>
      </w:r>
      <w:r>
        <w:rPr>
          <w:rFonts w:cs="Arial"/>
        </w:rPr>
        <w:t xml:space="preserve">significant </w:t>
      </w:r>
      <w:r w:rsidRPr="004814DB">
        <w:rPr>
          <w:rFonts w:cs="Arial"/>
        </w:rPr>
        <w:t>work that the PC has done in examining the policy rationale for existing penalty rates and</w:t>
      </w:r>
      <w:r>
        <w:rPr>
          <w:rFonts w:cs="Arial"/>
        </w:rPr>
        <w:t xml:space="preserve"> suggesting that</w:t>
      </w:r>
      <w:r w:rsidRPr="004814DB">
        <w:rPr>
          <w:rFonts w:cs="Arial"/>
        </w:rPr>
        <w:t xml:space="preserve"> the Sunday penalty rate </w:t>
      </w:r>
      <w:r>
        <w:rPr>
          <w:rFonts w:cs="Arial"/>
        </w:rPr>
        <w:t>could be lowered to the level of the</w:t>
      </w:r>
      <w:r w:rsidRPr="004814DB">
        <w:rPr>
          <w:rFonts w:cs="Arial"/>
        </w:rPr>
        <w:t xml:space="preserve"> Saturday penalty rate</w:t>
      </w:r>
      <w:r>
        <w:rPr>
          <w:rFonts w:cs="Arial"/>
        </w:rPr>
        <w:t xml:space="preserve">. We support this approach as it would </w:t>
      </w:r>
      <w:r w:rsidRPr="004814DB">
        <w:rPr>
          <w:rFonts w:cs="Arial"/>
        </w:rPr>
        <w:t>encourage more cafes and restaurants and retail stores to remain open on weekends. This would inject more life into our cities, improv</w:t>
      </w:r>
      <w:r>
        <w:rPr>
          <w:rFonts w:cs="Arial"/>
        </w:rPr>
        <w:t>ing</w:t>
      </w:r>
      <w:r w:rsidRPr="004814DB">
        <w:rPr>
          <w:rFonts w:cs="Arial"/>
        </w:rPr>
        <w:t xml:space="preserve"> </w:t>
      </w:r>
      <w:r>
        <w:rPr>
          <w:rFonts w:cs="Arial"/>
        </w:rPr>
        <w:t>amenity for their inhabitants and</w:t>
      </w:r>
      <w:r w:rsidRPr="004814DB">
        <w:rPr>
          <w:rFonts w:cs="Arial"/>
        </w:rPr>
        <w:t xml:space="preserve"> enhance the tourism experience of visitor</w:t>
      </w:r>
      <w:r>
        <w:rPr>
          <w:rFonts w:cs="Arial"/>
        </w:rPr>
        <w:t xml:space="preserve">. It would also </w:t>
      </w:r>
      <w:r w:rsidRPr="004814DB">
        <w:rPr>
          <w:rFonts w:cs="Arial"/>
        </w:rPr>
        <w:t xml:space="preserve">increase employment for young people </w:t>
      </w:r>
      <w:r w:rsidRPr="008C67A1">
        <w:rPr>
          <w:rFonts w:cs="Arial"/>
        </w:rPr>
        <w:t>(by up to 40,000 in the restaurant and catering industry alone accordin</w:t>
      </w:r>
      <w:r>
        <w:rPr>
          <w:rFonts w:cs="Arial"/>
        </w:rPr>
        <w:t>g to one study cited by the PC)</w:t>
      </w:r>
      <w:r w:rsidRPr="008C67A1">
        <w:rPr>
          <w:rStyle w:val="FootnoteReference"/>
          <w:rFonts w:cs="Arial"/>
        </w:rPr>
        <w:footnoteReference w:id="3"/>
      </w:r>
      <w:r w:rsidRPr="004814DB">
        <w:rPr>
          <w:rFonts w:cs="Arial"/>
        </w:rPr>
        <w:t xml:space="preserve"> and improve small business p</w:t>
      </w:r>
      <w:r>
        <w:rPr>
          <w:rFonts w:cs="Arial"/>
        </w:rPr>
        <w:t>rofitability.</w:t>
      </w:r>
    </w:p>
    <w:p w:rsidR="00FD7D03" w:rsidRPr="004814DB" w:rsidRDefault="00FD7D03" w:rsidP="00FD7D03">
      <w:pPr>
        <w:pStyle w:val="Bullet"/>
        <w:numPr>
          <w:ilvl w:val="0"/>
          <w:numId w:val="0"/>
        </w:numPr>
        <w:tabs>
          <w:tab w:val="left" w:pos="720"/>
        </w:tabs>
        <w:spacing w:before="120" w:after="120" w:line="312" w:lineRule="auto"/>
        <w:rPr>
          <w:rFonts w:cs="Arial"/>
        </w:rPr>
      </w:pPr>
      <w:r w:rsidRPr="004814DB">
        <w:rPr>
          <w:rFonts w:cs="Arial"/>
        </w:rPr>
        <w:t xml:space="preserve">The ASBC believes that adoption of the PC’s recommendation would be a major step in the right direction. However, </w:t>
      </w:r>
      <w:r>
        <w:rPr>
          <w:rFonts w:cs="Arial"/>
        </w:rPr>
        <w:t>we would encourage</w:t>
      </w:r>
      <w:r w:rsidRPr="004814DB">
        <w:rPr>
          <w:rFonts w:cs="Arial"/>
        </w:rPr>
        <w:t xml:space="preserve"> the PC to </w:t>
      </w:r>
      <w:r>
        <w:rPr>
          <w:rFonts w:cs="Arial"/>
        </w:rPr>
        <w:t>go further and consider lowering</w:t>
      </w:r>
      <w:r w:rsidRPr="004814DB">
        <w:rPr>
          <w:rFonts w:cs="Arial"/>
        </w:rPr>
        <w:t xml:space="preserve"> weekend penalty rates to the same level applying after hours. The PC’s draft report finds that the health and social cost to the employee of overtime and shift work are higher than the costs of weekend work.  </w:t>
      </w:r>
      <w:r>
        <w:rPr>
          <w:rFonts w:cs="Arial"/>
        </w:rPr>
        <w:t>Weekend</w:t>
      </w:r>
      <w:r w:rsidRPr="004814DB">
        <w:rPr>
          <w:rFonts w:cs="Arial"/>
        </w:rPr>
        <w:t xml:space="preserve"> penalty rates should be </w:t>
      </w:r>
      <w:r>
        <w:rPr>
          <w:rFonts w:cs="Arial"/>
        </w:rPr>
        <w:t xml:space="preserve">no higher than penalty rates for </w:t>
      </w:r>
      <w:r w:rsidRPr="004814DB">
        <w:rPr>
          <w:rFonts w:cs="Arial"/>
        </w:rPr>
        <w:t>overtime and shift work</w:t>
      </w:r>
      <w:r>
        <w:rPr>
          <w:rFonts w:cs="Arial"/>
        </w:rPr>
        <w:t>.</w:t>
      </w:r>
    </w:p>
    <w:p w:rsidR="00FD7D03" w:rsidRPr="009852E9" w:rsidRDefault="00FD7D03" w:rsidP="00FD7D03">
      <w:pPr>
        <w:pStyle w:val="Bullet"/>
        <w:numPr>
          <w:ilvl w:val="0"/>
          <w:numId w:val="0"/>
        </w:numPr>
        <w:tabs>
          <w:tab w:val="left" w:pos="720"/>
        </w:tabs>
        <w:spacing w:before="360" w:after="120" w:line="312" w:lineRule="auto"/>
        <w:rPr>
          <w:rFonts w:cs="Arial"/>
          <w:b/>
          <w:sz w:val="32"/>
          <w:szCs w:val="32"/>
        </w:rPr>
      </w:pPr>
      <w:r w:rsidRPr="009852E9">
        <w:rPr>
          <w:rFonts w:cs="Arial"/>
          <w:b/>
          <w:sz w:val="32"/>
          <w:szCs w:val="32"/>
        </w:rPr>
        <w:lastRenderedPageBreak/>
        <w:t>Unfair dismissal</w:t>
      </w:r>
    </w:p>
    <w:p w:rsidR="00FD7D03" w:rsidRPr="004814DB" w:rsidRDefault="00FD7D03" w:rsidP="00FD7D03">
      <w:pPr>
        <w:pStyle w:val="Bullet"/>
        <w:numPr>
          <w:ilvl w:val="0"/>
          <w:numId w:val="0"/>
        </w:numPr>
        <w:tabs>
          <w:tab w:val="left" w:pos="720"/>
        </w:tabs>
        <w:spacing w:before="120" w:after="120" w:line="312" w:lineRule="auto"/>
        <w:rPr>
          <w:rFonts w:cs="Arial"/>
        </w:rPr>
      </w:pPr>
      <w:r w:rsidRPr="004814DB">
        <w:rPr>
          <w:rFonts w:cs="Arial"/>
        </w:rPr>
        <w:t xml:space="preserve">Unfair dismissal laws are a serious burden for small businesses </w:t>
      </w:r>
      <w:r>
        <w:rPr>
          <w:rFonts w:cs="Arial"/>
        </w:rPr>
        <w:t xml:space="preserve">due to the </w:t>
      </w:r>
      <w:r w:rsidRPr="004814DB">
        <w:rPr>
          <w:rFonts w:cs="Arial"/>
        </w:rPr>
        <w:t xml:space="preserve">time </w:t>
      </w:r>
      <w:r>
        <w:rPr>
          <w:rFonts w:cs="Arial"/>
        </w:rPr>
        <w:t xml:space="preserve">and </w:t>
      </w:r>
      <w:r w:rsidRPr="004814DB">
        <w:rPr>
          <w:rFonts w:cs="Arial"/>
        </w:rPr>
        <w:t xml:space="preserve">training </w:t>
      </w:r>
      <w:r>
        <w:rPr>
          <w:rFonts w:cs="Arial"/>
        </w:rPr>
        <w:t xml:space="preserve">required </w:t>
      </w:r>
      <w:r w:rsidRPr="004814DB">
        <w:rPr>
          <w:rFonts w:cs="Arial"/>
        </w:rPr>
        <w:t xml:space="preserve">to deal with </w:t>
      </w:r>
      <w:r>
        <w:rPr>
          <w:rFonts w:cs="Arial"/>
        </w:rPr>
        <w:t>issues</w:t>
      </w:r>
      <w:r w:rsidRPr="004814DB">
        <w:rPr>
          <w:rFonts w:cs="Arial"/>
        </w:rPr>
        <w:t xml:space="preserve">. The ASBC has heard </w:t>
      </w:r>
      <w:r>
        <w:rPr>
          <w:rFonts w:cs="Arial"/>
        </w:rPr>
        <w:t xml:space="preserve">from small business </w:t>
      </w:r>
      <w:r w:rsidRPr="004814DB">
        <w:rPr>
          <w:rFonts w:cs="Arial"/>
        </w:rPr>
        <w:t xml:space="preserve">that former employees </w:t>
      </w:r>
      <w:r>
        <w:rPr>
          <w:rFonts w:cs="Arial"/>
        </w:rPr>
        <w:t xml:space="preserve">often seek </w:t>
      </w:r>
      <w:r w:rsidRPr="004814DB">
        <w:rPr>
          <w:rFonts w:cs="Arial"/>
        </w:rPr>
        <w:t xml:space="preserve">money to </w:t>
      </w:r>
      <w:r>
        <w:rPr>
          <w:rFonts w:cs="Arial"/>
        </w:rPr>
        <w:t>“</w:t>
      </w:r>
      <w:r w:rsidRPr="004814DB">
        <w:rPr>
          <w:rFonts w:cs="Arial"/>
        </w:rPr>
        <w:t>go away</w:t>
      </w:r>
      <w:r>
        <w:rPr>
          <w:rFonts w:cs="Arial"/>
        </w:rPr>
        <w:t>”</w:t>
      </w:r>
      <w:r w:rsidRPr="004814DB">
        <w:rPr>
          <w:rFonts w:cs="Arial"/>
        </w:rPr>
        <w:t xml:space="preserve"> </w:t>
      </w:r>
      <w:r>
        <w:rPr>
          <w:rFonts w:cs="Arial"/>
        </w:rPr>
        <w:t xml:space="preserve">by </w:t>
      </w:r>
      <w:r w:rsidRPr="004814DB">
        <w:rPr>
          <w:rFonts w:cs="Arial"/>
        </w:rPr>
        <w:t>threaten</w:t>
      </w:r>
      <w:r>
        <w:rPr>
          <w:rFonts w:cs="Arial"/>
        </w:rPr>
        <w:t>ing</w:t>
      </w:r>
      <w:r w:rsidRPr="004814DB">
        <w:rPr>
          <w:rFonts w:cs="Arial"/>
        </w:rPr>
        <w:t xml:space="preserve"> to challenge dismissal</w:t>
      </w:r>
      <w:r>
        <w:rPr>
          <w:rFonts w:cs="Arial"/>
        </w:rPr>
        <w:t>s</w:t>
      </w:r>
      <w:r w:rsidRPr="004814DB">
        <w:rPr>
          <w:rFonts w:cs="Arial"/>
        </w:rPr>
        <w:t xml:space="preserve">. </w:t>
      </w:r>
      <w:r>
        <w:rPr>
          <w:rFonts w:cs="Arial"/>
        </w:rPr>
        <w:t>In turn, t</w:t>
      </w:r>
      <w:r w:rsidRPr="004814DB">
        <w:rPr>
          <w:rFonts w:cs="Arial"/>
        </w:rPr>
        <w:t xml:space="preserve">he difficulty and expense of dismissing unsuitable staff makes small business reluctant to hire permanent staff and </w:t>
      </w:r>
      <w:r>
        <w:rPr>
          <w:rFonts w:cs="Arial"/>
        </w:rPr>
        <w:t>contributes</w:t>
      </w:r>
      <w:r w:rsidRPr="004814DB">
        <w:rPr>
          <w:rFonts w:cs="Arial"/>
        </w:rPr>
        <w:t xml:space="preserve"> to the </w:t>
      </w:r>
      <w:proofErr w:type="spellStart"/>
      <w:r w:rsidRPr="004814DB">
        <w:rPr>
          <w:rFonts w:cs="Arial"/>
        </w:rPr>
        <w:t>casualisation</w:t>
      </w:r>
      <w:proofErr w:type="spellEnd"/>
      <w:r w:rsidRPr="004814DB">
        <w:rPr>
          <w:rFonts w:cs="Arial"/>
        </w:rPr>
        <w:t xml:space="preserve"> of the workforce. The Australian Chamber of Commerce and Industry (ACCI) estimated in its submission to the PC that the cost to the economy of the unfair dismissal laws is around $1.3 billion a year and </w:t>
      </w:r>
      <w:r>
        <w:rPr>
          <w:rFonts w:cs="Arial"/>
        </w:rPr>
        <w:t xml:space="preserve">amounts to </w:t>
      </w:r>
      <w:r w:rsidRPr="004814DB">
        <w:rPr>
          <w:rFonts w:cs="Arial"/>
        </w:rPr>
        <w:t>the loss of 46,000 jobs</w:t>
      </w:r>
      <w:r>
        <w:rPr>
          <w:rFonts w:cs="Arial"/>
        </w:rPr>
        <w:t>.</w:t>
      </w:r>
      <w:r w:rsidRPr="004814DB">
        <w:rPr>
          <w:rStyle w:val="FootnoteReference"/>
          <w:rFonts w:cs="Arial"/>
        </w:rPr>
        <w:footnoteReference w:id="4"/>
      </w:r>
    </w:p>
    <w:p w:rsidR="00FD7D03" w:rsidRPr="004814DB" w:rsidRDefault="00FD7D03" w:rsidP="00FD7D03">
      <w:pPr>
        <w:pStyle w:val="OutlineNumbered2"/>
        <w:numPr>
          <w:ilvl w:val="0"/>
          <w:numId w:val="0"/>
        </w:numPr>
        <w:spacing w:before="120" w:after="120" w:line="312" w:lineRule="auto"/>
        <w:rPr>
          <w:rFonts w:cs="Arial"/>
        </w:rPr>
      </w:pPr>
      <w:r w:rsidRPr="004814DB">
        <w:rPr>
          <w:rFonts w:cs="Arial"/>
        </w:rPr>
        <w:t xml:space="preserve">Previously, firms employing less than 100 people were exempt from unfair dismissal laws but this exemption has been removed. The Small Business Fair Dismissal Code was introduced </w:t>
      </w:r>
      <w:r>
        <w:rPr>
          <w:rFonts w:cs="Arial"/>
        </w:rPr>
        <w:t xml:space="preserve">to </w:t>
      </w:r>
      <w:r w:rsidRPr="004814DB">
        <w:rPr>
          <w:rFonts w:cs="Arial"/>
        </w:rPr>
        <w:t xml:space="preserve">compensate for the removal of this exemption. It is intended to protect Small Business from vexatious unfair dismissal claims, provided that the firm complies with the Code. The Code provides a checklist of practical steps to follow and provides protection for compliant small business against unfair dismissal claims. </w:t>
      </w:r>
    </w:p>
    <w:p w:rsidR="00FD7D03" w:rsidRPr="004814DB" w:rsidRDefault="00FD7D03" w:rsidP="00FD7D03">
      <w:pPr>
        <w:pStyle w:val="OutlineNumbered2"/>
        <w:numPr>
          <w:ilvl w:val="0"/>
          <w:numId w:val="0"/>
        </w:numPr>
        <w:spacing w:before="120" w:after="120" w:line="312" w:lineRule="auto"/>
        <w:rPr>
          <w:rFonts w:cs="Arial"/>
        </w:rPr>
      </w:pPr>
      <w:r>
        <w:rPr>
          <w:rFonts w:cs="Arial"/>
        </w:rPr>
        <w:t>T</w:t>
      </w:r>
      <w:r w:rsidRPr="004814DB">
        <w:rPr>
          <w:rFonts w:cs="Arial"/>
        </w:rPr>
        <w:t xml:space="preserve">he Code </w:t>
      </w:r>
      <w:r>
        <w:rPr>
          <w:rFonts w:cs="Arial"/>
        </w:rPr>
        <w:t xml:space="preserve">is </w:t>
      </w:r>
      <w:r w:rsidRPr="004814DB">
        <w:rPr>
          <w:rFonts w:cs="Arial"/>
        </w:rPr>
        <w:t xml:space="preserve">a valuable resource for small business </w:t>
      </w:r>
      <w:r>
        <w:rPr>
          <w:rFonts w:cs="Arial"/>
        </w:rPr>
        <w:t xml:space="preserve">within the WR </w:t>
      </w:r>
      <w:r w:rsidRPr="004814DB">
        <w:rPr>
          <w:rFonts w:cs="Arial"/>
        </w:rPr>
        <w:t>system</w:t>
      </w:r>
      <w:r>
        <w:rPr>
          <w:rFonts w:cs="Arial"/>
        </w:rPr>
        <w:t xml:space="preserve"> especially given its approach that is designed to be easy to understand and follow</w:t>
      </w:r>
      <w:r w:rsidRPr="004814DB">
        <w:rPr>
          <w:rFonts w:cs="Arial"/>
        </w:rPr>
        <w:t xml:space="preserve">. </w:t>
      </w:r>
      <w:r>
        <w:rPr>
          <w:rFonts w:cs="Arial"/>
        </w:rPr>
        <w:t>However</w:t>
      </w:r>
      <w:r w:rsidRPr="004814DB">
        <w:rPr>
          <w:rFonts w:cs="Arial"/>
        </w:rPr>
        <w:t xml:space="preserve">, we </w:t>
      </w:r>
      <w:r>
        <w:rPr>
          <w:rFonts w:cs="Arial"/>
        </w:rPr>
        <w:t xml:space="preserve">note </w:t>
      </w:r>
      <w:r w:rsidRPr="004814DB">
        <w:rPr>
          <w:rFonts w:cs="Arial"/>
        </w:rPr>
        <w:t>the PC’s finding that many employers regard the Small Business Fair Dismissal Code as ineffective</w:t>
      </w:r>
      <w:r w:rsidRPr="00B76B47">
        <w:rPr>
          <w:rFonts w:cs="Arial"/>
        </w:rPr>
        <w:t>. This may in part be due to the potential ability to overturn the protection of the Code for the employer by an employee alleging that the employer did not abide by the Code and</w:t>
      </w:r>
      <w:r>
        <w:rPr>
          <w:rFonts w:cs="Arial"/>
        </w:rPr>
        <w:t xml:space="preserve"> demanding</w:t>
      </w:r>
      <w:r w:rsidRPr="00B76B47">
        <w:rPr>
          <w:rFonts w:cs="Arial"/>
        </w:rPr>
        <w:t xml:space="preserve"> the payment of “go away” money. The</w:t>
      </w:r>
      <w:r w:rsidRPr="004814DB">
        <w:rPr>
          <w:rFonts w:cs="Arial"/>
        </w:rPr>
        <w:t xml:space="preserve"> ASBC recommends that the PC consider ways to </w:t>
      </w:r>
      <w:r>
        <w:rPr>
          <w:rFonts w:cs="Arial"/>
        </w:rPr>
        <w:t xml:space="preserve">further </w:t>
      </w:r>
      <w:r w:rsidRPr="004814DB">
        <w:rPr>
          <w:rFonts w:cs="Arial"/>
        </w:rPr>
        <w:t xml:space="preserve">strengthen the Small Business Fair Dismissal Code to ensure that it provides the protection that was intended to </w:t>
      </w:r>
      <w:r>
        <w:rPr>
          <w:rFonts w:cs="Arial"/>
        </w:rPr>
        <w:t xml:space="preserve">a complying </w:t>
      </w:r>
      <w:r w:rsidRPr="004814DB">
        <w:rPr>
          <w:rFonts w:cs="Arial"/>
        </w:rPr>
        <w:t>small business that follow</w:t>
      </w:r>
      <w:r>
        <w:rPr>
          <w:rFonts w:cs="Arial"/>
        </w:rPr>
        <w:t>s</w:t>
      </w:r>
      <w:r w:rsidRPr="004814DB">
        <w:rPr>
          <w:rFonts w:cs="Arial"/>
        </w:rPr>
        <w:t xml:space="preserve"> the procedures spelt out in the Code.</w:t>
      </w:r>
    </w:p>
    <w:p w:rsidR="00FD7D03" w:rsidRDefault="00FD7D03" w:rsidP="00FD7D03">
      <w:pPr>
        <w:pStyle w:val="OutlineNumbered2"/>
        <w:numPr>
          <w:ilvl w:val="0"/>
          <w:numId w:val="0"/>
        </w:numPr>
        <w:spacing w:before="120" w:after="120" w:line="312" w:lineRule="auto"/>
        <w:rPr>
          <w:rFonts w:cs="Arial"/>
        </w:rPr>
      </w:pPr>
      <w:r>
        <w:rPr>
          <w:rFonts w:cs="Arial"/>
        </w:rPr>
        <w:t xml:space="preserve">We also suggest that </w:t>
      </w:r>
      <w:r w:rsidRPr="004814DB">
        <w:rPr>
          <w:rFonts w:cs="Arial"/>
        </w:rPr>
        <w:t xml:space="preserve">the PC consider </w:t>
      </w:r>
      <w:r>
        <w:rPr>
          <w:rFonts w:cs="Arial"/>
        </w:rPr>
        <w:t xml:space="preserve">the </w:t>
      </w:r>
      <w:r w:rsidRPr="004814DB">
        <w:rPr>
          <w:rFonts w:cs="Arial"/>
        </w:rPr>
        <w:t xml:space="preserve">reintroduction of </w:t>
      </w:r>
      <w:r>
        <w:rPr>
          <w:rFonts w:cs="Arial"/>
        </w:rPr>
        <w:t xml:space="preserve">a broader </w:t>
      </w:r>
      <w:r w:rsidRPr="004814DB">
        <w:rPr>
          <w:rFonts w:cs="Arial"/>
        </w:rPr>
        <w:t xml:space="preserve">exemption from the unfair dismissal laws for small business. </w:t>
      </w:r>
      <w:r>
        <w:rPr>
          <w:rFonts w:cs="Arial"/>
        </w:rPr>
        <w:t>In its consideration of the issue</w:t>
      </w:r>
      <w:r w:rsidRPr="004814DB">
        <w:rPr>
          <w:rFonts w:cs="Arial"/>
        </w:rPr>
        <w:t xml:space="preserve">, the PC could examine whether this exemption should be </w:t>
      </w:r>
      <w:r>
        <w:rPr>
          <w:rFonts w:cs="Arial"/>
        </w:rPr>
        <w:t>returned for firms that employ fewer than 100 employees (which we note would be consistent with the definition of “small business” in section 5 of the Australian Small Business and Family Enterprise Ombudsman Act 2015).</w:t>
      </w:r>
    </w:p>
    <w:p w:rsidR="00806783" w:rsidRDefault="00806783" w:rsidP="00FD7D03">
      <w:pPr>
        <w:pStyle w:val="OutlineNumbered2"/>
        <w:numPr>
          <w:ilvl w:val="0"/>
          <w:numId w:val="0"/>
        </w:numPr>
        <w:spacing w:before="120" w:after="120" w:line="312" w:lineRule="auto"/>
        <w:rPr>
          <w:rFonts w:cs="Arial"/>
        </w:rPr>
      </w:pPr>
      <w:r>
        <w:rPr>
          <w:rFonts w:cs="Arial"/>
        </w:rPr>
        <w:t>In considering these matters, there may be scope for the PC to examine whether if the 100 employee exemption was reintroduced it could coexist with a Code customised to ensure the most reprehensible injustices are not perpetrated against employees. This would reflect a balance in reducing the burdens on small business but also recognising that the overall Australian business environment is enhanced by observance of fair workplace practices.</w:t>
      </w:r>
    </w:p>
    <w:p w:rsidR="008E424C" w:rsidRDefault="008E424C" w:rsidP="00FD7D03">
      <w:pPr>
        <w:pStyle w:val="OutlineNumbered2"/>
        <w:numPr>
          <w:ilvl w:val="0"/>
          <w:numId w:val="0"/>
        </w:numPr>
        <w:spacing w:before="360" w:after="120" w:line="312" w:lineRule="auto"/>
        <w:rPr>
          <w:rFonts w:cs="Arial"/>
          <w:b/>
          <w:sz w:val="32"/>
          <w:szCs w:val="32"/>
        </w:rPr>
      </w:pPr>
    </w:p>
    <w:p w:rsidR="00FD7D03" w:rsidRPr="009852E9" w:rsidRDefault="00FD7D03" w:rsidP="00FD7D03">
      <w:pPr>
        <w:pStyle w:val="OutlineNumbered2"/>
        <w:numPr>
          <w:ilvl w:val="0"/>
          <w:numId w:val="0"/>
        </w:numPr>
        <w:spacing w:before="360" w:after="120" w:line="312" w:lineRule="auto"/>
        <w:rPr>
          <w:rFonts w:cs="Arial"/>
          <w:b/>
          <w:sz w:val="32"/>
          <w:szCs w:val="32"/>
        </w:rPr>
      </w:pPr>
      <w:r w:rsidRPr="009852E9">
        <w:rPr>
          <w:rFonts w:cs="Arial"/>
          <w:b/>
          <w:sz w:val="32"/>
          <w:szCs w:val="32"/>
        </w:rPr>
        <w:lastRenderedPageBreak/>
        <w:t xml:space="preserve">Junior </w:t>
      </w:r>
      <w:r w:rsidR="004A4039">
        <w:rPr>
          <w:rFonts w:cs="Arial"/>
          <w:b/>
          <w:sz w:val="32"/>
          <w:szCs w:val="32"/>
        </w:rPr>
        <w:t>Awards</w:t>
      </w:r>
    </w:p>
    <w:p w:rsidR="00FD7D03" w:rsidRPr="004814DB" w:rsidRDefault="00FD7D03" w:rsidP="00FD7D03">
      <w:pPr>
        <w:pStyle w:val="OutlineNumbered2"/>
        <w:numPr>
          <w:ilvl w:val="0"/>
          <w:numId w:val="0"/>
        </w:numPr>
        <w:spacing w:before="120" w:after="120" w:line="312" w:lineRule="auto"/>
        <w:rPr>
          <w:rFonts w:cs="Arial"/>
        </w:rPr>
      </w:pPr>
      <w:r>
        <w:rPr>
          <w:rFonts w:cs="Arial"/>
        </w:rPr>
        <w:t>T</w:t>
      </w:r>
      <w:r w:rsidRPr="004814DB">
        <w:rPr>
          <w:rFonts w:cs="Arial"/>
        </w:rPr>
        <w:t xml:space="preserve">he ASBC acknowledges that age based awards </w:t>
      </w:r>
      <w:r>
        <w:rPr>
          <w:rFonts w:cs="Arial"/>
        </w:rPr>
        <w:t xml:space="preserve">are </w:t>
      </w:r>
      <w:r w:rsidRPr="004814DB">
        <w:rPr>
          <w:rFonts w:cs="Arial"/>
        </w:rPr>
        <w:t xml:space="preserve">a rough approximation for pay gradients that would reward workers as they accumulate skills and experience. </w:t>
      </w:r>
      <w:r>
        <w:rPr>
          <w:rFonts w:cs="Arial"/>
        </w:rPr>
        <w:t>J</w:t>
      </w:r>
      <w:r w:rsidRPr="004814DB">
        <w:rPr>
          <w:rFonts w:cs="Arial"/>
        </w:rPr>
        <w:t xml:space="preserve">unior pay rates are </w:t>
      </w:r>
      <w:r>
        <w:rPr>
          <w:rFonts w:cs="Arial"/>
        </w:rPr>
        <w:t xml:space="preserve">also </w:t>
      </w:r>
      <w:r w:rsidRPr="004814DB">
        <w:rPr>
          <w:rFonts w:cs="Arial"/>
        </w:rPr>
        <w:t xml:space="preserve">an important part of the business model for many small firms, particularly in the hospitality, catering and retail sectors. These industries </w:t>
      </w:r>
      <w:r>
        <w:rPr>
          <w:rFonts w:cs="Arial"/>
        </w:rPr>
        <w:t xml:space="preserve">employ and </w:t>
      </w:r>
      <w:r w:rsidRPr="004814DB">
        <w:rPr>
          <w:rFonts w:cs="Arial"/>
        </w:rPr>
        <w:t>rely upon junior service staff</w:t>
      </w:r>
      <w:r>
        <w:rPr>
          <w:rFonts w:cs="Arial"/>
        </w:rPr>
        <w:t xml:space="preserve">, and this also affords an opportunity for unskilled </w:t>
      </w:r>
      <w:r w:rsidRPr="004814DB">
        <w:rPr>
          <w:rFonts w:cs="Arial"/>
        </w:rPr>
        <w:t xml:space="preserve">young people </w:t>
      </w:r>
      <w:r>
        <w:rPr>
          <w:rFonts w:cs="Arial"/>
        </w:rPr>
        <w:t>to start their careers</w:t>
      </w:r>
      <w:r w:rsidRPr="004814DB">
        <w:rPr>
          <w:rFonts w:cs="Arial"/>
        </w:rPr>
        <w:t>.</w:t>
      </w:r>
    </w:p>
    <w:p w:rsidR="00FD7D03" w:rsidRPr="004814DB" w:rsidRDefault="00FD7D03" w:rsidP="00FD7D03">
      <w:pPr>
        <w:pStyle w:val="OutlineNumbered2"/>
        <w:numPr>
          <w:ilvl w:val="0"/>
          <w:numId w:val="0"/>
        </w:numPr>
        <w:spacing w:before="120" w:after="120" w:line="312" w:lineRule="auto"/>
        <w:rPr>
          <w:rFonts w:cs="Arial"/>
        </w:rPr>
      </w:pPr>
      <w:r w:rsidRPr="004814DB">
        <w:rPr>
          <w:rFonts w:cs="Arial"/>
        </w:rPr>
        <w:t xml:space="preserve">The ASBC appreciates the arguments for replacing youth wages with a </w:t>
      </w:r>
      <w:r>
        <w:rPr>
          <w:rFonts w:cs="Arial"/>
        </w:rPr>
        <w:t xml:space="preserve">more logical </w:t>
      </w:r>
      <w:r w:rsidRPr="004814DB">
        <w:rPr>
          <w:rFonts w:cs="Arial"/>
        </w:rPr>
        <w:t>system based on skills and experience but</w:t>
      </w:r>
      <w:r>
        <w:rPr>
          <w:rFonts w:cs="Arial"/>
        </w:rPr>
        <w:t>, in doing so,</w:t>
      </w:r>
      <w:r w:rsidRPr="004814DB">
        <w:rPr>
          <w:rFonts w:cs="Arial"/>
        </w:rPr>
        <w:t xml:space="preserve"> cautions against steps that </w:t>
      </w:r>
      <w:r>
        <w:rPr>
          <w:rFonts w:cs="Arial"/>
        </w:rPr>
        <w:t xml:space="preserve">would </w:t>
      </w:r>
      <w:r w:rsidRPr="004814DB">
        <w:rPr>
          <w:rFonts w:cs="Arial"/>
        </w:rPr>
        <w:t>reduce pay differentials</w:t>
      </w:r>
      <w:r>
        <w:rPr>
          <w:rFonts w:cs="Arial"/>
        </w:rPr>
        <w:t xml:space="preserve"> and increase award complexity</w:t>
      </w:r>
      <w:r w:rsidRPr="004814DB">
        <w:rPr>
          <w:rFonts w:cs="Arial"/>
        </w:rPr>
        <w:t xml:space="preserve">. The PC reports that 6 months on the job is </w:t>
      </w:r>
      <w:r>
        <w:rPr>
          <w:rFonts w:cs="Arial"/>
        </w:rPr>
        <w:t xml:space="preserve">often regarded as </w:t>
      </w:r>
      <w:r w:rsidRPr="004814DB">
        <w:rPr>
          <w:rFonts w:cs="Arial"/>
        </w:rPr>
        <w:t xml:space="preserve">sufficient to acquire the competency of an experienced adult employee but we </w:t>
      </w:r>
      <w:r>
        <w:rPr>
          <w:rFonts w:cs="Arial"/>
        </w:rPr>
        <w:t xml:space="preserve">doubt </w:t>
      </w:r>
      <w:r w:rsidRPr="004814DB">
        <w:rPr>
          <w:rFonts w:cs="Arial"/>
        </w:rPr>
        <w:t>th</w:t>
      </w:r>
      <w:r>
        <w:rPr>
          <w:rFonts w:cs="Arial"/>
        </w:rPr>
        <w:t>is</w:t>
      </w:r>
      <w:r w:rsidRPr="004814DB">
        <w:rPr>
          <w:rFonts w:cs="Arial"/>
        </w:rPr>
        <w:t xml:space="preserve"> would be valid across all </w:t>
      </w:r>
      <w:r>
        <w:rPr>
          <w:rFonts w:cs="Arial"/>
        </w:rPr>
        <w:t>industries</w:t>
      </w:r>
      <w:r w:rsidRPr="004814DB">
        <w:rPr>
          <w:rFonts w:cs="Arial"/>
        </w:rPr>
        <w:t xml:space="preserve">. </w:t>
      </w:r>
      <w:r>
        <w:rPr>
          <w:rFonts w:cs="Arial"/>
        </w:rPr>
        <w:t xml:space="preserve">Also, if </w:t>
      </w:r>
      <w:r w:rsidRPr="004814DB">
        <w:rPr>
          <w:rFonts w:cs="Arial"/>
        </w:rPr>
        <w:t xml:space="preserve">a </w:t>
      </w:r>
      <w:r>
        <w:rPr>
          <w:rFonts w:cs="Arial"/>
        </w:rPr>
        <w:t xml:space="preserve">shift to a </w:t>
      </w:r>
      <w:r w:rsidRPr="004814DB">
        <w:rPr>
          <w:rFonts w:cs="Arial"/>
        </w:rPr>
        <w:t>system based on skills and experience</w:t>
      </w:r>
      <w:r>
        <w:rPr>
          <w:rFonts w:cs="Arial"/>
        </w:rPr>
        <w:t xml:space="preserve"> effectively increased </w:t>
      </w:r>
      <w:r w:rsidRPr="004814DB">
        <w:rPr>
          <w:rFonts w:cs="Arial"/>
        </w:rPr>
        <w:t>junior pay rates to adult levels after</w:t>
      </w:r>
      <w:r>
        <w:rPr>
          <w:rFonts w:cs="Arial"/>
        </w:rPr>
        <w:t xml:space="preserve"> </w:t>
      </w:r>
      <w:r w:rsidRPr="004814DB">
        <w:rPr>
          <w:rFonts w:cs="Arial"/>
        </w:rPr>
        <w:t>6 months</w:t>
      </w:r>
      <w:r>
        <w:rPr>
          <w:rFonts w:cs="Arial"/>
        </w:rPr>
        <w:t xml:space="preserve">, the advantages of the current system to both businesses and </w:t>
      </w:r>
      <w:r w:rsidRPr="004814DB">
        <w:rPr>
          <w:rFonts w:cs="Arial"/>
        </w:rPr>
        <w:t xml:space="preserve">junior staff </w:t>
      </w:r>
      <w:r>
        <w:rPr>
          <w:rFonts w:cs="Arial"/>
        </w:rPr>
        <w:t>could be lost. Premature pay equalisation between junior and adult workers could lead to reduced employment opportunities for young people, restricted operating hours for some businesses and higher prices for consumers</w:t>
      </w:r>
      <w:r w:rsidRPr="004814DB">
        <w:rPr>
          <w:rFonts w:cs="Arial"/>
        </w:rPr>
        <w:t xml:space="preserve">. </w:t>
      </w:r>
    </w:p>
    <w:p w:rsidR="00FD7D03" w:rsidRDefault="00FD7D03" w:rsidP="00FD7D03">
      <w:pPr>
        <w:pStyle w:val="OutlineNumbered2"/>
        <w:numPr>
          <w:ilvl w:val="0"/>
          <w:numId w:val="0"/>
        </w:numPr>
        <w:spacing w:before="120" w:after="120" w:line="312" w:lineRule="auto"/>
        <w:rPr>
          <w:rFonts w:cs="Arial"/>
        </w:rPr>
      </w:pPr>
      <w:r w:rsidRPr="004814DB">
        <w:rPr>
          <w:rFonts w:cs="Arial"/>
        </w:rPr>
        <w:t xml:space="preserve">These adverse consequences might be avoided if the existing pay differentials </w:t>
      </w:r>
      <w:r>
        <w:rPr>
          <w:rFonts w:cs="Arial"/>
        </w:rPr>
        <w:t>between junior and adult workers could be retained in any move to pay rates based on experience level and if the time taken for a new starter to rise to the pay level of an experienced worker approximated the time needed to rise from a 16 year old junior employee to a 21 year old adult employee (five years)</w:t>
      </w:r>
      <w:r w:rsidRPr="004814DB">
        <w:rPr>
          <w:rFonts w:cs="Arial"/>
        </w:rPr>
        <w:t xml:space="preserve">. </w:t>
      </w:r>
    </w:p>
    <w:p w:rsidR="00FD7D03" w:rsidRPr="004814DB" w:rsidRDefault="00FD7D03" w:rsidP="00FD7D03">
      <w:pPr>
        <w:pStyle w:val="OutlineNumbered2"/>
        <w:numPr>
          <w:ilvl w:val="0"/>
          <w:numId w:val="0"/>
        </w:numPr>
        <w:spacing w:before="120" w:after="120" w:line="312" w:lineRule="auto"/>
        <w:rPr>
          <w:rFonts w:cs="Arial"/>
        </w:rPr>
      </w:pPr>
      <w:r>
        <w:rPr>
          <w:rFonts w:cs="Arial"/>
        </w:rPr>
        <w:t xml:space="preserve">Another important consideration in any redesign of the junior wage rate system is that any replacement award structure needs flexibility and simplicity. </w:t>
      </w:r>
      <w:r w:rsidRPr="004814DB">
        <w:rPr>
          <w:rFonts w:cs="Arial"/>
        </w:rPr>
        <w:t xml:space="preserve">Great care </w:t>
      </w:r>
      <w:r>
        <w:rPr>
          <w:rFonts w:cs="Arial"/>
        </w:rPr>
        <w:t xml:space="preserve">should </w:t>
      </w:r>
      <w:r w:rsidRPr="004814DB">
        <w:rPr>
          <w:rFonts w:cs="Arial"/>
        </w:rPr>
        <w:t xml:space="preserve">be taken in the design stage to reduce business compliance costs and ensure that </w:t>
      </w:r>
      <w:r>
        <w:rPr>
          <w:rFonts w:cs="Arial"/>
        </w:rPr>
        <w:t xml:space="preserve">new </w:t>
      </w:r>
      <w:r w:rsidRPr="004814DB">
        <w:rPr>
          <w:rFonts w:cs="Arial"/>
        </w:rPr>
        <w:t xml:space="preserve">awards </w:t>
      </w:r>
      <w:r>
        <w:rPr>
          <w:rFonts w:cs="Arial"/>
        </w:rPr>
        <w:t xml:space="preserve">are </w:t>
      </w:r>
      <w:r w:rsidRPr="004814DB">
        <w:rPr>
          <w:rFonts w:cs="Arial"/>
        </w:rPr>
        <w:t>easy to understand and administer</w:t>
      </w:r>
      <w:r>
        <w:rPr>
          <w:rFonts w:cs="Arial"/>
        </w:rPr>
        <w:t>,</w:t>
      </w:r>
      <w:r w:rsidRPr="004814DB">
        <w:rPr>
          <w:rFonts w:cs="Arial"/>
        </w:rPr>
        <w:t xml:space="preserve"> and </w:t>
      </w:r>
      <w:r>
        <w:rPr>
          <w:rFonts w:cs="Arial"/>
        </w:rPr>
        <w:t xml:space="preserve">can be </w:t>
      </w:r>
      <w:r w:rsidRPr="004814DB">
        <w:rPr>
          <w:rFonts w:cs="Arial"/>
        </w:rPr>
        <w:t>consistently applied across</w:t>
      </w:r>
      <w:r>
        <w:rPr>
          <w:rFonts w:cs="Arial"/>
        </w:rPr>
        <w:t xml:space="preserve"> all</w:t>
      </w:r>
      <w:r w:rsidRPr="004814DB">
        <w:rPr>
          <w:rFonts w:cs="Arial"/>
        </w:rPr>
        <w:t xml:space="preserve"> industries.</w:t>
      </w:r>
    </w:p>
    <w:p w:rsidR="002C453D" w:rsidRPr="002C453D" w:rsidRDefault="002C453D" w:rsidP="002C453D">
      <w:pPr>
        <w:pStyle w:val="OutlineNumbered2"/>
        <w:numPr>
          <w:ilvl w:val="0"/>
          <w:numId w:val="0"/>
        </w:numPr>
        <w:spacing w:before="360" w:after="120" w:line="312" w:lineRule="auto"/>
        <w:rPr>
          <w:rFonts w:cs="Arial"/>
          <w:b/>
          <w:sz w:val="32"/>
          <w:szCs w:val="32"/>
        </w:rPr>
      </w:pPr>
      <w:r w:rsidRPr="002C453D">
        <w:rPr>
          <w:rFonts w:cs="Arial"/>
          <w:b/>
          <w:sz w:val="32"/>
          <w:szCs w:val="32"/>
        </w:rPr>
        <w:t>Conclusion</w:t>
      </w:r>
      <w:r>
        <w:rPr>
          <w:rFonts w:cs="Arial"/>
          <w:b/>
          <w:sz w:val="32"/>
          <w:szCs w:val="32"/>
        </w:rPr>
        <w:t>s</w:t>
      </w:r>
    </w:p>
    <w:p w:rsidR="00BF0926" w:rsidRPr="004814DB" w:rsidRDefault="00BF0926" w:rsidP="009852E9">
      <w:pPr>
        <w:pStyle w:val="OutlineNumbered2"/>
        <w:numPr>
          <w:ilvl w:val="0"/>
          <w:numId w:val="0"/>
        </w:numPr>
        <w:spacing w:before="120" w:after="120" w:line="312" w:lineRule="auto"/>
        <w:rPr>
          <w:rFonts w:cs="Arial"/>
        </w:rPr>
      </w:pPr>
      <w:r w:rsidRPr="004814DB">
        <w:rPr>
          <w:rFonts w:cs="Arial"/>
        </w:rPr>
        <w:t>Our submission has covered a broad range of areas that we believe could be addressed to improve competition, productivity, efficiency and simplicity in the W</w:t>
      </w:r>
      <w:r w:rsidR="00E44606" w:rsidRPr="004814DB">
        <w:rPr>
          <w:rFonts w:cs="Arial"/>
        </w:rPr>
        <w:t>R</w:t>
      </w:r>
      <w:r w:rsidRPr="004814DB">
        <w:rPr>
          <w:rFonts w:cs="Arial"/>
        </w:rPr>
        <w:t xml:space="preserve"> system in Australia. In our view, any reform in these areas should be </w:t>
      </w:r>
      <w:r w:rsidR="00427DA0">
        <w:rPr>
          <w:rFonts w:cs="Arial"/>
        </w:rPr>
        <w:t>consistent with</w:t>
      </w:r>
      <w:r w:rsidRPr="004814DB">
        <w:rPr>
          <w:rFonts w:cs="Arial"/>
        </w:rPr>
        <w:t xml:space="preserve"> the Government’s deregulation agenda.</w:t>
      </w:r>
      <w:r w:rsidR="00010962">
        <w:rPr>
          <w:rFonts w:cs="Arial"/>
        </w:rPr>
        <w:t xml:space="preserve"> T</w:t>
      </w:r>
      <w:r w:rsidRPr="004814DB">
        <w:rPr>
          <w:rFonts w:cs="Arial"/>
        </w:rPr>
        <w:t xml:space="preserve">he particular reforms that we have addressed and believe should be priorities are: </w:t>
      </w:r>
    </w:p>
    <w:p w:rsidR="00FD7D03" w:rsidRPr="002651A8" w:rsidRDefault="00010962" w:rsidP="002651A8">
      <w:pPr>
        <w:pStyle w:val="OutlineNumbered2"/>
        <w:numPr>
          <w:ilvl w:val="0"/>
          <w:numId w:val="11"/>
        </w:numPr>
        <w:spacing w:before="120" w:after="120" w:line="312" w:lineRule="auto"/>
        <w:rPr>
          <w:rFonts w:cs="Arial"/>
        </w:rPr>
      </w:pPr>
      <w:r w:rsidRPr="004814DB">
        <w:rPr>
          <w:rFonts w:cs="Arial"/>
        </w:rPr>
        <w:t>Accelerating reform of the WR framework to promote greater flexibility</w:t>
      </w:r>
      <w:r w:rsidR="00FD7D03">
        <w:rPr>
          <w:rFonts w:cs="Arial"/>
        </w:rPr>
        <w:t xml:space="preserve"> </w:t>
      </w:r>
      <w:r w:rsidR="002651A8">
        <w:rPr>
          <w:rFonts w:cs="Arial"/>
        </w:rPr>
        <w:t>and to r</w:t>
      </w:r>
      <w:r w:rsidR="00FD7D03" w:rsidRPr="002651A8">
        <w:rPr>
          <w:rFonts w:cs="Arial"/>
        </w:rPr>
        <w:t>educ</w:t>
      </w:r>
      <w:r w:rsidR="002651A8">
        <w:rPr>
          <w:rFonts w:cs="Arial"/>
        </w:rPr>
        <w:t>e</w:t>
      </w:r>
      <w:r w:rsidR="00FD7D03" w:rsidRPr="002651A8">
        <w:rPr>
          <w:rFonts w:cs="Arial"/>
        </w:rPr>
        <w:t xml:space="preserve"> the disproportionately high compliance burden on small business; </w:t>
      </w:r>
    </w:p>
    <w:p w:rsidR="002651A8" w:rsidRPr="004814DB" w:rsidRDefault="002651A8" w:rsidP="002651A8">
      <w:pPr>
        <w:pStyle w:val="OutlineNumbered2"/>
        <w:numPr>
          <w:ilvl w:val="0"/>
          <w:numId w:val="11"/>
        </w:numPr>
        <w:spacing w:before="120" w:after="120" w:line="312" w:lineRule="auto"/>
        <w:rPr>
          <w:rFonts w:cs="Arial"/>
        </w:rPr>
      </w:pPr>
      <w:r w:rsidRPr="004814DB">
        <w:rPr>
          <w:rFonts w:cs="Arial"/>
        </w:rPr>
        <w:t>Simplifying the structure of modern awards while allowing greater latitude within them for small business to negotiat</w:t>
      </w:r>
      <w:r w:rsidR="002876C1">
        <w:rPr>
          <w:rFonts w:cs="Arial"/>
        </w:rPr>
        <w:t>e</w:t>
      </w:r>
      <w:r w:rsidRPr="004814DB">
        <w:rPr>
          <w:rFonts w:cs="Arial"/>
        </w:rPr>
        <w:t xml:space="preserve"> ad</w:t>
      </w:r>
      <w:r>
        <w:rPr>
          <w:rFonts w:cs="Arial"/>
        </w:rPr>
        <w:t xml:space="preserve">justments with their employees; </w:t>
      </w:r>
    </w:p>
    <w:p w:rsidR="00FD7D03" w:rsidRPr="004814DB" w:rsidRDefault="00FD7D03" w:rsidP="00FD7D03">
      <w:pPr>
        <w:pStyle w:val="OutlineNumbered2"/>
        <w:numPr>
          <w:ilvl w:val="0"/>
          <w:numId w:val="11"/>
        </w:numPr>
        <w:spacing w:before="120" w:after="120" w:line="312" w:lineRule="auto"/>
        <w:rPr>
          <w:rFonts w:cs="Arial"/>
        </w:rPr>
      </w:pPr>
      <w:r w:rsidRPr="004814DB">
        <w:rPr>
          <w:rFonts w:cs="Arial"/>
        </w:rPr>
        <w:t xml:space="preserve">Continuing </w:t>
      </w:r>
      <w:r>
        <w:rPr>
          <w:rFonts w:cs="Arial"/>
        </w:rPr>
        <w:t xml:space="preserve">the emphasis on </w:t>
      </w:r>
      <w:r w:rsidRPr="004814DB">
        <w:rPr>
          <w:rFonts w:cs="Arial"/>
        </w:rPr>
        <w:t>mak</w:t>
      </w:r>
      <w:r>
        <w:rPr>
          <w:rFonts w:cs="Arial"/>
        </w:rPr>
        <w:t>ing</w:t>
      </w:r>
      <w:r w:rsidRPr="004814DB">
        <w:rPr>
          <w:rFonts w:cs="Arial"/>
        </w:rPr>
        <w:t xml:space="preserve"> the processes of the Fair Work Commission and the Fair Work Ombudsman </w:t>
      </w:r>
      <w:r>
        <w:rPr>
          <w:rFonts w:cs="Arial"/>
        </w:rPr>
        <w:t>more small business friendly.</w:t>
      </w:r>
    </w:p>
    <w:p w:rsidR="00427DA0" w:rsidRPr="004814DB" w:rsidRDefault="00427DA0" w:rsidP="00427DA0">
      <w:pPr>
        <w:pStyle w:val="OutlineNumbered2"/>
        <w:numPr>
          <w:ilvl w:val="0"/>
          <w:numId w:val="11"/>
        </w:numPr>
        <w:spacing w:before="120" w:after="120" w:line="312" w:lineRule="auto"/>
        <w:rPr>
          <w:rFonts w:cs="Arial"/>
        </w:rPr>
      </w:pPr>
      <w:r w:rsidRPr="004814DB">
        <w:rPr>
          <w:rFonts w:cs="Arial"/>
        </w:rPr>
        <w:lastRenderedPageBreak/>
        <w:t>R</w:t>
      </w:r>
      <w:r>
        <w:rPr>
          <w:rFonts w:cs="Arial"/>
        </w:rPr>
        <w:t xml:space="preserve">educing </w:t>
      </w:r>
      <w:r w:rsidR="00404E85">
        <w:rPr>
          <w:rFonts w:cs="Arial"/>
        </w:rPr>
        <w:t>Sunday penalty rates to Saturday levels and consider reducing weekend penalty rates to the same level as overtime or shift work</w:t>
      </w:r>
      <w:r w:rsidRPr="004814DB">
        <w:rPr>
          <w:rFonts w:cs="Arial"/>
        </w:rPr>
        <w:t>;</w:t>
      </w:r>
      <w:r w:rsidR="00FD7D03" w:rsidRPr="00FD7D03">
        <w:rPr>
          <w:rFonts w:cs="Arial"/>
        </w:rPr>
        <w:t xml:space="preserve"> </w:t>
      </w:r>
    </w:p>
    <w:p w:rsidR="00404E85" w:rsidRPr="004814DB" w:rsidRDefault="00404E85" w:rsidP="00404E85">
      <w:pPr>
        <w:pStyle w:val="OutlineNumbered2"/>
        <w:numPr>
          <w:ilvl w:val="0"/>
          <w:numId w:val="11"/>
        </w:numPr>
        <w:spacing w:before="120" w:after="120" w:line="312" w:lineRule="auto"/>
        <w:rPr>
          <w:rFonts w:cs="Arial"/>
        </w:rPr>
      </w:pPr>
      <w:r w:rsidRPr="004814DB">
        <w:rPr>
          <w:rFonts w:cs="Arial"/>
        </w:rPr>
        <w:t xml:space="preserve">Strengthening </w:t>
      </w:r>
      <w:r>
        <w:rPr>
          <w:rFonts w:cs="Arial"/>
        </w:rPr>
        <w:t xml:space="preserve">the </w:t>
      </w:r>
      <w:r w:rsidRPr="004814DB">
        <w:rPr>
          <w:rFonts w:cs="Arial"/>
        </w:rPr>
        <w:t>Small Bus</w:t>
      </w:r>
      <w:r>
        <w:rPr>
          <w:rFonts w:cs="Arial"/>
        </w:rPr>
        <w:t>iness Unfair Dismissal Code and</w:t>
      </w:r>
      <w:r w:rsidRPr="004814DB">
        <w:rPr>
          <w:rFonts w:cs="Arial"/>
        </w:rPr>
        <w:t xml:space="preserve"> reintroducing the exemption from unfair dismissal laws for firms with less than 100 employees;</w:t>
      </w:r>
      <w:r w:rsidRPr="00FD7D03">
        <w:rPr>
          <w:rFonts w:cs="Arial"/>
        </w:rPr>
        <w:t xml:space="preserve"> </w:t>
      </w:r>
      <w:r>
        <w:rPr>
          <w:rFonts w:cs="Arial"/>
        </w:rPr>
        <w:t>and</w:t>
      </w:r>
    </w:p>
    <w:p w:rsidR="00427DA0" w:rsidRPr="004814DB" w:rsidRDefault="00427DA0" w:rsidP="00427DA0">
      <w:pPr>
        <w:pStyle w:val="OutlineNumbered2"/>
        <w:numPr>
          <w:ilvl w:val="0"/>
          <w:numId w:val="11"/>
        </w:numPr>
        <w:spacing w:before="120" w:after="120" w:line="312" w:lineRule="auto"/>
        <w:rPr>
          <w:rFonts w:cs="Arial"/>
        </w:rPr>
      </w:pPr>
      <w:r w:rsidRPr="004814DB">
        <w:rPr>
          <w:rFonts w:cs="Arial"/>
        </w:rPr>
        <w:t>Ensuring that any reform of junior pay rates retains the sharp differentials and long gradients the current system has for unskilled new starters and co</w:t>
      </w:r>
      <w:r>
        <w:rPr>
          <w:rFonts w:cs="Arial"/>
        </w:rPr>
        <w:t>mpetent and experienced workers;</w:t>
      </w:r>
      <w:r w:rsidRPr="004814DB">
        <w:rPr>
          <w:rFonts w:cs="Arial"/>
        </w:rPr>
        <w:t xml:space="preserve"> </w:t>
      </w:r>
    </w:p>
    <w:p w:rsidR="004814DB" w:rsidRDefault="00A12377" w:rsidP="009852E9">
      <w:pPr>
        <w:pStyle w:val="OutlineNumbered2"/>
        <w:numPr>
          <w:ilvl w:val="0"/>
          <w:numId w:val="0"/>
        </w:numPr>
        <w:spacing w:before="120" w:after="120" w:line="312" w:lineRule="auto"/>
        <w:rPr>
          <w:rFonts w:cs="Arial"/>
        </w:rPr>
      </w:pPr>
      <w:r w:rsidRPr="004814DB">
        <w:rPr>
          <w:rFonts w:cs="Arial"/>
        </w:rPr>
        <w:t xml:space="preserve">We believe that enhancements in these key areas would improve the overall </w:t>
      </w:r>
      <w:r w:rsidR="00CB1246" w:rsidRPr="004814DB">
        <w:rPr>
          <w:rFonts w:cs="Arial"/>
        </w:rPr>
        <w:t xml:space="preserve">Australian </w:t>
      </w:r>
      <w:r w:rsidRPr="004814DB">
        <w:rPr>
          <w:rFonts w:cs="Arial"/>
        </w:rPr>
        <w:t>business environment and ensure a more flexible and adaptable small business sector</w:t>
      </w:r>
      <w:r w:rsidR="0087436F" w:rsidRPr="004814DB">
        <w:rPr>
          <w:rFonts w:cs="Arial"/>
        </w:rPr>
        <w:t xml:space="preserve"> that is better able to respond to ever-</w:t>
      </w:r>
      <w:r w:rsidR="00CB1246" w:rsidRPr="004814DB">
        <w:rPr>
          <w:rFonts w:cs="Arial"/>
        </w:rPr>
        <w:t>changing market challenges and opportunities</w:t>
      </w:r>
      <w:r w:rsidRPr="004814DB">
        <w:rPr>
          <w:rFonts w:cs="Arial"/>
        </w:rPr>
        <w:t xml:space="preserve">. </w:t>
      </w:r>
    </w:p>
    <w:sectPr w:rsidR="004814DB" w:rsidSect="00B27220">
      <w:headerReference w:type="default" r:id="rId9"/>
      <w:footerReference w:type="even" r:id="rId10"/>
      <w:footerReference w:type="default" r:id="rId11"/>
      <w:headerReference w:type="first" r:id="rId12"/>
      <w:pgSz w:w="11900" w:h="16840" w:code="9"/>
      <w:pgMar w:top="1956" w:right="1128" w:bottom="1440" w:left="1276"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578" w:rsidRDefault="003C1578" w:rsidP="00020719">
      <w:pPr>
        <w:spacing w:after="0" w:line="240" w:lineRule="auto"/>
      </w:pPr>
      <w:r>
        <w:separator/>
      </w:r>
    </w:p>
  </w:endnote>
  <w:endnote w:type="continuationSeparator" w:id="0">
    <w:p w:rsidR="003C1578" w:rsidRDefault="003C1578" w:rsidP="0002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06" w:rsidRDefault="00E44606" w:rsidP="00CA7683">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rsidR="00E44606" w:rsidRDefault="00E44606" w:rsidP="00CA76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06" w:rsidRPr="009852E9" w:rsidRDefault="00E44606" w:rsidP="009852E9">
    <w:pPr>
      <w:pStyle w:val="Header"/>
      <w:tabs>
        <w:tab w:val="clear" w:pos="8640"/>
        <w:tab w:val="right" w:pos="9498"/>
      </w:tabs>
      <w:rPr>
        <w:rFonts w:ascii="Arial" w:hAnsi="Arial" w:cs="Arial"/>
        <w:color w:val="60B222"/>
        <w:sz w:val="16"/>
        <w:szCs w:val="16"/>
      </w:rPr>
    </w:pPr>
    <w:r w:rsidRPr="009852E9">
      <w:rPr>
        <w:rFonts w:ascii="Arial" w:hAnsi="Arial" w:cs="Arial"/>
        <w:color w:val="60B222"/>
        <w:sz w:val="16"/>
        <w:szCs w:val="16"/>
      </w:rPr>
      <w:t xml:space="preserve">Workplace Relations Framework </w:t>
    </w:r>
    <w:r w:rsidRPr="009852E9">
      <w:rPr>
        <w:rFonts w:ascii="Arial" w:hAnsi="Arial" w:cs="Arial"/>
        <w:color w:val="60B222"/>
        <w:sz w:val="16"/>
        <w:szCs w:val="16"/>
      </w:rPr>
      <w:tab/>
    </w:r>
    <w:sdt>
      <w:sdtPr>
        <w:rPr>
          <w:rFonts w:ascii="Arial" w:hAnsi="Arial" w:cs="Arial"/>
          <w:color w:val="60B222"/>
          <w:sz w:val="16"/>
          <w:szCs w:val="16"/>
        </w:rPr>
        <w:id w:val="1785930794"/>
        <w:docPartObj>
          <w:docPartGallery w:val="Page Numbers (Bottom of Page)"/>
          <w:docPartUnique/>
        </w:docPartObj>
      </w:sdtPr>
      <w:sdtEndPr/>
      <w:sdtContent>
        <w:r w:rsidR="009852E9" w:rsidRPr="009852E9">
          <w:rPr>
            <w:rFonts w:ascii="Arial" w:hAnsi="Arial" w:cs="Arial"/>
            <w:color w:val="60B222"/>
            <w:sz w:val="16"/>
            <w:szCs w:val="16"/>
          </w:rPr>
          <w:tab/>
        </w:r>
        <w:r w:rsidRPr="009852E9">
          <w:rPr>
            <w:rFonts w:ascii="Arial" w:hAnsi="Arial" w:cs="Arial"/>
            <w:color w:val="60B222"/>
            <w:sz w:val="16"/>
            <w:szCs w:val="16"/>
          </w:rPr>
          <w:fldChar w:fldCharType="begin"/>
        </w:r>
        <w:r w:rsidRPr="009852E9">
          <w:rPr>
            <w:rFonts w:ascii="Arial" w:hAnsi="Arial" w:cs="Arial"/>
            <w:color w:val="60B222"/>
            <w:sz w:val="16"/>
            <w:szCs w:val="16"/>
          </w:rPr>
          <w:instrText xml:space="preserve"> PAGE   \* MERGEFORMAT </w:instrText>
        </w:r>
        <w:r w:rsidRPr="009852E9">
          <w:rPr>
            <w:rFonts w:ascii="Arial" w:hAnsi="Arial" w:cs="Arial"/>
            <w:color w:val="60B222"/>
            <w:sz w:val="16"/>
            <w:szCs w:val="16"/>
          </w:rPr>
          <w:fldChar w:fldCharType="separate"/>
        </w:r>
        <w:r w:rsidR="00D303EE">
          <w:rPr>
            <w:rFonts w:ascii="Arial" w:hAnsi="Arial" w:cs="Arial"/>
            <w:noProof/>
            <w:color w:val="60B222"/>
            <w:sz w:val="16"/>
            <w:szCs w:val="16"/>
          </w:rPr>
          <w:t>2</w:t>
        </w:r>
        <w:r w:rsidRPr="009852E9">
          <w:rPr>
            <w:rFonts w:ascii="Arial" w:hAnsi="Arial" w:cs="Arial"/>
            <w:color w:val="60B222"/>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578" w:rsidRDefault="003C1578" w:rsidP="00020719">
      <w:pPr>
        <w:spacing w:after="0" w:line="240" w:lineRule="auto"/>
      </w:pPr>
      <w:r>
        <w:separator/>
      </w:r>
    </w:p>
  </w:footnote>
  <w:footnote w:type="continuationSeparator" w:id="0">
    <w:p w:rsidR="003C1578" w:rsidRDefault="003C1578" w:rsidP="00020719">
      <w:pPr>
        <w:spacing w:after="0" w:line="240" w:lineRule="auto"/>
      </w:pPr>
      <w:r>
        <w:continuationSeparator/>
      </w:r>
    </w:p>
  </w:footnote>
  <w:footnote w:id="1">
    <w:p w:rsidR="00E44606" w:rsidRPr="0037094D" w:rsidRDefault="00E44606" w:rsidP="004D2217">
      <w:pPr>
        <w:pStyle w:val="FootnoteText"/>
        <w:rPr>
          <w:rFonts w:ascii="Arial" w:hAnsi="Arial" w:cs="Arial"/>
          <w:sz w:val="18"/>
        </w:rPr>
      </w:pPr>
      <w:r w:rsidRPr="0037094D">
        <w:rPr>
          <w:rStyle w:val="FootnoteReference"/>
          <w:rFonts w:ascii="Arial" w:hAnsi="Arial" w:cs="Arial"/>
          <w:sz w:val="18"/>
        </w:rPr>
        <w:footnoteRef/>
      </w:r>
      <w:r w:rsidRPr="0037094D">
        <w:rPr>
          <w:rFonts w:ascii="Arial" w:hAnsi="Arial" w:cs="Arial"/>
          <w:sz w:val="18"/>
        </w:rPr>
        <w:t xml:space="preserve"> The ASBC provide</w:t>
      </w:r>
      <w:r>
        <w:rPr>
          <w:rFonts w:ascii="Arial" w:hAnsi="Arial" w:cs="Arial"/>
          <w:sz w:val="18"/>
        </w:rPr>
        <w:t>s</w:t>
      </w:r>
      <w:r w:rsidRPr="0037094D">
        <w:rPr>
          <w:rFonts w:ascii="Arial" w:hAnsi="Arial" w:cs="Arial"/>
          <w:sz w:val="18"/>
        </w:rPr>
        <w:t xml:space="preserve"> information a</w:t>
      </w:r>
      <w:r>
        <w:rPr>
          <w:rFonts w:ascii="Arial" w:hAnsi="Arial" w:cs="Arial"/>
          <w:sz w:val="18"/>
        </w:rPr>
        <w:t>nd assistance to small business</w:t>
      </w:r>
      <w:r w:rsidRPr="0037094D">
        <w:rPr>
          <w:rFonts w:ascii="Arial" w:hAnsi="Arial" w:cs="Arial"/>
          <w:sz w:val="18"/>
        </w:rPr>
        <w:t>, represent</w:t>
      </w:r>
      <w:r>
        <w:rPr>
          <w:rFonts w:ascii="Arial" w:hAnsi="Arial" w:cs="Arial"/>
          <w:sz w:val="18"/>
        </w:rPr>
        <w:t>s</w:t>
      </w:r>
      <w:r w:rsidRPr="0037094D">
        <w:rPr>
          <w:rFonts w:ascii="Arial" w:hAnsi="Arial" w:cs="Arial"/>
          <w:sz w:val="18"/>
        </w:rPr>
        <w:t xml:space="preserve"> small business interests and concerns to the Australian Government, and work</w:t>
      </w:r>
      <w:r>
        <w:rPr>
          <w:rFonts w:ascii="Arial" w:hAnsi="Arial" w:cs="Arial"/>
          <w:sz w:val="18"/>
        </w:rPr>
        <w:t>s</w:t>
      </w:r>
      <w:r w:rsidRPr="0037094D">
        <w:rPr>
          <w:rFonts w:ascii="Arial" w:hAnsi="Arial" w:cs="Arial"/>
          <w:sz w:val="18"/>
        </w:rPr>
        <w:t xml:space="preserve"> with industry and government to promote a consistent and coordinated approach to small business matters.  The Australian Government is transforming the ASBC into the Australian Small Business and Family Enterprise Ombudsman that will be a:</w:t>
      </w:r>
    </w:p>
    <w:p w:rsidR="00E44606" w:rsidRPr="0037094D" w:rsidRDefault="00E44606" w:rsidP="004D2217">
      <w:pPr>
        <w:pStyle w:val="FootnoteText"/>
        <w:tabs>
          <w:tab w:val="left" w:pos="284"/>
        </w:tabs>
        <w:rPr>
          <w:rFonts w:ascii="Arial" w:hAnsi="Arial" w:cs="Arial"/>
          <w:sz w:val="18"/>
        </w:rPr>
      </w:pPr>
      <w:r w:rsidRPr="0037094D">
        <w:rPr>
          <w:rFonts w:ascii="Arial" w:hAnsi="Arial" w:cs="Arial"/>
          <w:sz w:val="18"/>
        </w:rPr>
        <w:t>•</w:t>
      </w:r>
      <w:r w:rsidRPr="0037094D">
        <w:rPr>
          <w:rFonts w:ascii="Arial" w:hAnsi="Arial" w:cs="Arial"/>
          <w:sz w:val="18"/>
        </w:rPr>
        <w:tab/>
        <w:t xml:space="preserve">Commonwealth-wide advocate for </w:t>
      </w:r>
      <w:r>
        <w:rPr>
          <w:rFonts w:ascii="Arial" w:hAnsi="Arial" w:cs="Arial"/>
          <w:sz w:val="18"/>
        </w:rPr>
        <w:t>Small Business</w:t>
      </w:r>
      <w:r w:rsidRPr="0037094D">
        <w:rPr>
          <w:rFonts w:ascii="Arial" w:hAnsi="Arial" w:cs="Arial"/>
          <w:sz w:val="18"/>
        </w:rPr>
        <w:t xml:space="preserve"> and family enterprises;</w:t>
      </w:r>
    </w:p>
    <w:p w:rsidR="00E44606" w:rsidRPr="0037094D" w:rsidRDefault="00E44606" w:rsidP="004D2217">
      <w:pPr>
        <w:pStyle w:val="FootnoteText"/>
        <w:tabs>
          <w:tab w:val="left" w:pos="284"/>
        </w:tabs>
        <w:rPr>
          <w:rFonts w:ascii="Arial" w:hAnsi="Arial" w:cs="Arial"/>
          <w:sz w:val="18"/>
        </w:rPr>
      </w:pPr>
      <w:r w:rsidRPr="0037094D">
        <w:rPr>
          <w:rFonts w:ascii="Arial" w:hAnsi="Arial" w:cs="Arial"/>
          <w:sz w:val="18"/>
        </w:rPr>
        <w:t>•</w:t>
      </w:r>
      <w:r w:rsidRPr="0037094D">
        <w:rPr>
          <w:rFonts w:ascii="Arial" w:hAnsi="Arial" w:cs="Arial"/>
          <w:sz w:val="18"/>
        </w:rPr>
        <w:tab/>
        <w:t>Concierge for a dispute resolution service;</w:t>
      </w:r>
    </w:p>
    <w:p w:rsidR="00E44606" w:rsidRPr="0037094D" w:rsidRDefault="00E44606" w:rsidP="004D2217">
      <w:pPr>
        <w:pStyle w:val="FootnoteText"/>
        <w:tabs>
          <w:tab w:val="left" w:pos="284"/>
        </w:tabs>
        <w:rPr>
          <w:rFonts w:ascii="Arial" w:hAnsi="Arial" w:cs="Arial"/>
          <w:sz w:val="18"/>
        </w:rPr>
      </w:pPr>
      <w:r w:rsidRPr="0037094D">
        <w:rPr>
          <w:rFonts w:ascii="Arial" w:hAnsi="Arial" w:cs="Arial"/>
          <w:sz w:val="18"/>
        </w:rPr>
        <w:t>•</w:t>
      </w:r>
      <w:r w:rsidRPr="0037094D">
        <w:rPr>
          <w:rFonts w:ascii="Arial" w:hAnsi="Arial" w:cs="Arial"/>
          <w:sz w:val="18"/>
        </w:rPr>
        <w:tab/>
        <w:t>Contributor to the development of small business friendly Commonwealth laws and regulations; and</w:t>
      </w:r>
    </w:p>
    <w:p w:rsidR="00E44606" w:rsidRPr="0037094D" w:rsidRDefault="00E44606" w:rsidP="004D2217">
      <w:pPr>
        <w:pStyle w:val="FootnoteText"/>
        <w:tabs>
          <w:tab w:val="left" w:pos="284"/>
        </w:tabs>
        <w:ind w:left="284" w:hanging="284"/>
        <w:rPr>
          <w:rFonts w:ascii="Arial" w:hAnsi="Arial" w:cs="Arial"/>
          <w:sz w:val="16"/>
          <w:szCs w:val="18"/>
        </w:rPr>
      </w:pPr>
      <w:r w:rsidRPr="0037094D">
        <w:rPr>
          <w:rFonts w:ascii="Arial" w:hAnsi="Arial" w:cs="Arial"/>
          <w:sz w:val="18"/>
        </w:rPr>
        <w:t>•</w:t>
      </w:r>
      <w:r w:rsidRPr="0037094D">
        <w:rPr>
          <w:rFonts w:ascii="Arial" w:hAnsi="Arial" w:cs="Arial"/>
          <w:sz w:val="18"/>
        </w:rPr>
        <w:tab/>
        <w:t xml:space="preserve">Seamless link with the Government’s Single Business Service to help </w:t>
      </w:r>
      <w:r>
        <w:rPr>
          <w:rFonts w:ascii="Arial" w:hAnsi="Arial" w:cs="Arial"/>
          <w:sz w:val="18"/>
        </w:rPr>
        <w:t>Small Business</w:t>
      </w:r>
      <w:r w:rsidRPr="0037094D">
        <w:rPr>
          <w:rFonts w:ascii="Arial" w:hAnsi="Arial" w:cs="Arial"/>
          <w:sz w:val="18"/>
        </w:rPr>
        <w:t xml:space="preserve"> easily find out about other Government services and </w:t>
      </w:r>
      <w:r w:rsidRPr="0037094D">
        <w:rPr>
          <w:rFonts w:ascii="Arial" w:hAnsi="Arial" w:cs="Arial"/>
          <w:sz w:val="18"/>
          <w:lang w:val="en-AU"/>
        </w:rPr>
        <w:t>programmes</w:t>
      </w:r>
      <w:r w:rsidRPr="0037094D">
        <w:rPr>
          <w:rFonts w:ascii="Arial" w:hAnsi="Arial" w:cs="Arial"/>
          <w:sz w:val="18"/>
        </w:rPr>
        <w:t>, including general business advice.</w:t>
      </w:r>
    </w:p>
  </w:footnote>
  <w:footnote w:id="2">
    <w:p w:rsidR="008163B7" w:rsidRPr="008163B7" w:rsidRDefault="008163B7">
      <w:pPr>
        <w:pStyle w:val="FootnoteText"/>
        <w:rPr>
          <w:rFonts w:ascii="Arial" w:hAnsi="Arial" w:cs="Arial"/>
          <w:sz w:val="18"/>
          <w:szCs w:val="18"/>
          <w:lang w:val="en-AU"/>
        </w:rPr>
      </w:pPr>
      <w:r w:rsidRPr="008163B7">
        <w:rPr>
          <w:rStyle w:val="FootnoteReference"/>
          <w:rFonts w:ascii="Arial" w:hAnsi="Arial" w:cs="Arial"/>
          <w:sz w:val="18"/>
          <w:szCs w:val="18"/>
        </w:rPr>
        <w:footnoteRef/>
      </w:r>
      <w:r w:rsidRPr="008163B7">
        <w:rPr>
          <w:rFonts w:ascii="Arial" w:hAnsi="Arial" w:cs="Arial"/>
          <w:sz w:val="18"/>
          <w:szCs w:val="18"/>
        </w:rPr>
        <w:t xml:space="preserve"> Australian Bureau of Statistics, </w:t>
      </w:r>
      <w:proofErr w:type="spellStart"/>
      <w:r w:rsidRPr="008163B7">
        <w:rPr>
          <w:rFonts w:ascii="Arial" w:hAnsi="Arial" w:cs="Arial"/>
          <w:sz w:val="18"/>
          <w:szCs w:val="18"/>
        </w:rPr>
        <w:t>Labour</w:t>
      </w:r>
      <w:proofErr w:type="spellEnd"/>
      <w:r w:rsidRPr="008163B7">
        <w:rPr>
          <w:rFonts w:ascii="Arial" w:hAnsi="Arial" w:cs="Arial"/>
          <w:sz w:val="18"/>
          <w:szCs w:val="18"/>
        </w:rPr>
        <w:t xml:space="preserve"> Force, Australia</w:t>
      </w:r>
      <w:r>
        <w:rPr>
          <w:rFonts w:ascii="Arial" w:hAnsi="Arial" w:cs="Arial"/>
          <w:sz w:val="18"/>
          <w:szCs w:val="18"/>
        </w:rPr>
        <w:t>.</w:t>
      </w:r>
    </w:p>
  </w:footnote>
  <w:footnote w:id="3">
    <w:p w:rsidR="00FD7D03" w:rsidRPr="008C67A1" w:rsidRDefault="00FD7D03" w:rsidP="00FD7D03">
      <w:pPr>
        <w:pStyle w:val="FootnoteText"/>
        <w:rPr>
          <w:lang w:val="en-AU"/>
        </w:rPr>
      </w:pPr>
      <w:r>
        <w:rPr>
          <w:rStyle w:val="FootnoteReference"/>
        </w:rPr>
        <w:footnoteRef/>
      </w:r>
      <w:r>
        <w:t xml:space="preserve"> </w:t>
      </w:r>
      <w:r w:rsidRPr="008C67A1">
        <w:rPr>
          <w:rFonts w:ascii="Arial" w:hAnsi="Arial" w:cs="Arial"/>
          <w:sz w:val="18"/>
          <w:szCs w:val="18"/>
        </w:rPr>
        <w:t>Jetty Research 2015</w:t>
      </w:r>
      <w:r>
        <w:rPr>
          <w:rFonts w:ascii="Arial" w:hAnsi="Arial" w:cs="Arial"/>
          <w:sz w:val="18"/>
          <w:szCs w:val="18"/>
        </w:rPr>
        <w:t>, although we note that the research was conducted around a “reduction in penalty rates” without specifying the extent of that reduction – regardless the impact is expected to be sizable.</w:t>
      </w:r>
    </w:p>
  </w:footnote>
  <w:footnote w:id="4">
    <w:p w:rsidR="00FD7D03" w:rsidRPr="00290551" w:rsidRDefault="00FD7D03" w:rsidP="00FD7D03">
      <w:pPr>
        <w:pStyle w:val="FootnoteText"/>
        <w:rPr>
          <w:rFonts w:ascii="Arial" w:hAnsi="Arial" w:cs="Arial"/>
          <w:sz w:val="18"/>
          <w:szCs w:val="18"/>
          <w:lang w:val="en-AU"/>
        </w:rPr>
      </w:pPr>
      <w:r w:rsidRPr="00290551">
        <w:rPr>
          <w:rStyle w:val="FootnoteReference"/>
          <w:rFonts w:ascii="Arial" w:hAnsi="Arial" w:cs="Arial"/>
          <w:sz w:val="18"/>
          <w:szCs w:val="18"/>
        </w:rPr>
        <w:footnoteRef/>
      </w:r>
      <w:r w:rsidRPr="00290551">
        <w:rPr>
          <w:rFonts w:ascii="Arial" w:hAnsi="Arial" w:cs="Arial"/>
          <w:sz w:val="18"/>
          <w:szCs w:val="18"/>
        </w:rPr>
        <w:t xml:space="preserve"> </w:t>
      </w:r>
      <w:r w:rsidRPr="00290551">
        <w:rPr>
          <w:rFonts w:ascii="Arial" w:hAnsi="Arial" w:cs="Arial"/>
          <w:sz w:val="18"/>
          <w:szCs w:val="18"/>
          <w:lang w:val="en-AU"/>
        </w:rPr>
        <w:t>Productivity Commission Inquiry into the Workplace Relations Framework – Australian Chamber of Commerce and Industry</w:t>
      </w:r>
      <w:r>
        <w:rPr>
          <w:rFonts w:ascii="Arial" w:hAnsi="Arial" w:cs="Arial"/>
          <w:sz w:val="18"/>
          <w:szCs w:val="18"/>
          <w:lang w:val="en-AU"/>
        </w:rPr>
        <w:t xml:space="preserve"> submission</w:t>
      </w:r>
      <w:r w:rsidRPr="00290551">
        <w:rPr>
          <w:rFonts w:ascii="Arial" w:hAnsi="Arial" w:cs="Arial"/>
          <w:sz w:val="18"/>
          <w:szCs w:val="18"/>
          <w:lang w:val="en-AU"/>
        </w:rPr>
        <w:t>, March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06" w:rsidRDefault="00E44606">
    <w:pPr>
      <w:pStyle w:val="Header"/>
    </w:pPr>
    <w:r>
      <w:rPr>
        <w:noProof/>
        <w:lang w:val="en-AU" w:eastAsia="en-AU"/>
      </w:rPr>
      <w:drawing>
        <wp:anchor distT="0" distB="0" distL="114300" distR="114300" simplePos="0" relativeHeight="251659264" behindDoc="0" locked="0" layoutInCell="1" allowOverlap="1" wp14:anchorId="466C03FC" wp14:editId="38E1B2D0">
          <wp:simplePos x="0" y="0"/>
          <wp:positionH relativeFrom="page">
            <wp:posOffset>5654675</wp:posOffset>
          </wp:positionH>
          <wp:positionV relativeFrom="page">
            <wp:posOffset>363855</wp:posOffset>
          </wp:positionV>
          <wp:extent cx="1343660" cy="677545"/>
          <wp:effectExtent l="0" t="0" r="889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06" w:rsidRDefault="00E44606">
    <w:pPr>
      <w:pStyle w:val="Header"/>
    </w:pPr>
    <w:r>
      <w:rPr>
        <w:noProof/>
        <w:lang w:val="en-AU" w:eastAsia="en-AU"/>
      </w:rPr>
      <w:drawing>
        <wp:anchor distT="0" distB="0" distL="114300" distR="114300" simplePos="0" relativeHeight="251660288" behindDoc="0" locked="0" layoutInCell="1" allowOverlap="1" wp14:anchorId="4595AE5A" wp14:editId="1A4E95E7">
          <wp:simplePos x="0" y="0"/>
          <wp:positionH relativeFrom="page">
            <wp:posOffset>5596890</wp:posOffset>
          </wp:positionH>
          <wp:positionV relativeFrom="page">
            <wp:posOffset>580390</wp:posOffset>
          </wp:positionV>
          <wp:extent cx="1343660" cy="677545"/>
          <wp:effectExtent l="0" t="0" r="889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0D"/>
    <w:multiLevelType w:val="multilevel"/>
    <w:tmpl w:val="186A13F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66038FB"/>
    <w:multiLevelType w:val="hybridMultilevel"/>
    <w:tmpl w:val="48729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CF2099"/>
    <w:multiLevelType w:val="hybridMultilevel"/>
    <w:tmpl w:val="A19E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9479EE"/>
    <w:multiLevelType w:val="multilevel"/>
    <w:tmpl w:val="E02A670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Times New Roman" w:hAnsi="Times New Roman" w:cs="Times New Roman"/>
      </w:rPr>
    </w:lvl>
    <w:lvl w:ilvl="2">
      <w:start w:val="1"/>
      <w:numFmt w:val="bullet"/>
      <w:lvlText w:val=""/>
      <w:lvlJc w:val="left"/>
      <w:pPr>
        <w:tabs>
          <w:tab w:val="num" w:pos="1275"/>
        </w:tabs>
        <w:ind w:left="1275" w:hanging="425"/>
      </w:pPr>
      <w:rPr>
        <w:rFonts w:ascii="Symbol" w:hAnsi="Symbol" w:hint="default"/>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4">
    <w:nsid w:val="224264DE"/>
    <w:multiLevelType w:val="multilevel"/>
    <w:tmpl w:val="BABA074C"/>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3A163EF"/>
    <w:multiLevelType w:val="hybridMultilevel"/>
    <w:tmpl w:val="260626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E640EAC"/>
    <w:multiLevelType w:val="hybridMultilevel"/>
    <w:tmpl w:val="ACE2D632"/>
    <w:lvl w:ilvl="0" w:tplc="853CF20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507B4FA5"/>
    <w:multiLevelType w:val="multilevel"/>
    <w:tmpl w:val="56C42E26"/>
    <w:lvl w:ilvl="0">
      <w:start w:val="1"/>
      <w:numFmt w:val="bullet"/>
      <w:lvlText w:val=""/>
      <w:lvlJc w:val="left"/>
      <w:pPr>
        <w:tabs>
          <w:tab w:val="num" w:pos="1570"/>
        </w:tabs>
        <w:ind w:left="1570" w:hanging="425"/>
      </w:pPr>
      <w:rPr>
        <w:rFonts w:ascii="Symbol" w:hAnsi="Symbol" w:hint="default"/>
      </w:rPr>
    </w:lvl>
    <w:lvl w:ilvl="1">
      <w:start w:val="1"/>
      <w:numFmt w:val="bullet"/>
      <w:lvlText w:val="–"/>
      <w:lvlJc w:val="left"/>
      <w:pPr>
        <w:tabs>
          <w:tab w:val="num" w:pos="1995"/>
        </w:tabs>
        <w:ind w:left="1995" w:hanging="425"/>
      </w:pPr>
      <w:rPr>
        <w:rFonts w:ascii="Times New Roman" w:hAnsi="Times New Roman" w:cs="Times New Roman"/>
      </w:rPr>
    </w:lvl>
    <w:lvl w:ilvl="2">
      <w:start w:val="1"/>
      <w:numFmt w:val="bullet"/>
      <w:lvlText w:val=":"/>
      <w:lvlJc w:val="left"/>
      <w:pPr>
        <w:tabs>
          <w:tab w:val="num" w:pos="2420"/>
        </w:tabs>
        <w:ind w:left="2420" w:hanging="425"/>
      </w:pPr>
      <w:rPr>
        <w:rFonts w:ascii="Times New Roman" w:hAnsi="Times New Roman" w:cs="Times New Roman"/>
      </w:rPr>
    </w:lvl>
    <w:lvl w:ilvl="3">
      <w:start w:val="1"/>
      <w:numFmt w:val="decimal"/>
      <w:lvlText w:val="(%4)"/>
      <w:lvlJc w:val="left"/>
      <w:pPr>
        <w:ind w:left="4745" w:hanging="360"/>
      </w:pPr>
    </w:lvl>
    <w:lvl w:ilvl="4">
      <w:start w:val="1"/>
      <w:numFmt w:val="lowerLetter"/>
      <w:lvlText w:val="(%5)"/>
      <w:lvlJc w:val="left"/>
      <w:pPr>
        <w:ind w:left="5105" w:hanging="360"/>
      </w:pPr>
    </w:lvl>
    <w:lvl w:ilvl="5">
      <w:start w:val="1"/>
      <w:numFmt w:val="lowerRoman"/>
      <w:lvlText w:val="(%6)"/>
      <w:lvlJc w:val="left"/>
      <w:pPr>
        <w:ind w:left="5465" w:hanging="360"/>
      </w:pPr>
    </w:lvl>
    <w:lvl w:ilvl="6">
      <w:start w:val="1"/>
      <w:numFmt w:val="decimal"/>
      <w:lvlText w:val="%7."/>
      <w:lvlJc w:val="left"/>
      <w:pPr>
        <w:ind w:left="5825" w:hanging="360"/>
      </w:pPr>
    </w:lvl>
    <w:lvl w:ilvl="7">
      <w:start w:val="1"/>
      <w:numFmt w:val="lowerLetter"/>
      <w:lvlText w:val="%8."/>
      <w:lvlJc w:val="left"/>
      <w:pPr>
        <w:ind w:left="6185" w:hanging="360"/>
      </w:pPr>
    </w:lvl>
    <w:lvl w:ilvl="8">
      <w:start w:val="1"/>
      <w:numFmt w:val="lowerRoman"/>
      <w:lvlText w:val="%9."/>
      <w:lvlJc w:val="left"/>
      <w:pPr>
        <w:ind w:left="6545" w:hanging="360"/>
      </w:pPr>
    </w:lvl>
  </w:abstractNum>
  <w:abstractNum w:abstractNumId="8">
    <w:nsid w:val="544938C5"/>
    <w:multiLevelType w:val="multilevel"/>
    <w:tmpl w:val="15ACD4DC"/>
    <w:lvl w:ilvl="0">
      <w:start w:val="1"/>
      <w:numFmt w:val="bullet"/>
      <w:lvlText w:val=""/>
      <w:lvlJc w:val="left"/>
      <w:pPr>
        <w:tabs>
          <w:tab w:val="num" w:pos="850"/>
        </w:tabs>
        <w:ind w:left="850" w:hanging="425"/>
      </w:pPr>
      <w:rPr>
        <w:rFonts w:ascii="Symbol" w:hAnsi="Symbol" w:hint="default"/>
      </w:rPr>
    </w:lvl>
    <w:lvl w:ilvl="1">
      <w:start w:val="1"/>
      <w:numFmt w:val="bullet"/>
      <w:lvlText w:val="–"/>
      <w:lvlJc w:val="left"/>
      <w:pPr>
        <w:tabs>
          <w:tab w:val="num" w:pos="1275"/>
        </w:tabs>
        <w:ind w:left="1275" w:hanging="425"/>
      </w:pPr>
      <w:rPr>
        <w:rFonts w:ascii="Times New Roman" w:hAnsi="Times New Roman" w:cs="Times New Roman"/>
      </w:rPr>
    </w:lvl>
    <w:lvl w:ilvl="2">
      <w:start w:val="1"/>
      <w:numFmt w:val="bullet"/>
      <w:lvlText w:val=":"/>
      <w:lvlJc w:val="left"/>
      <w:pPr>
        <w:tabs>
          <w:tab w:val="num" w:pos="1700"/>
        </w:tabs>
        <w:ind w:left="1700" w:hanging="425"/>
      </w:pPr>
      <w:rPr>
        <w:rFonts w:ascii="Times New Roman" w:hAnsi="Times New Roman" w:cs="Times New Roman"/>
      </w:rPr>
    </w:lvl>
    <w:lvl w:ilvl="3">
      <w:start w:val="1"/>
      <w:numFmt w:val="decimal"/>
      <w:lvlText w:val="(%4)"/>
      <w:lvlJc w:val="left"/>
      <w:pPr>
        <w:ind w:left="4025" w:hanging="360"/>
      </w:pPr>
    </w:lvl>
    <w:lvl w:ilvl="4">
      <w:start w:val="1"/>
      <w:numFmt w:val="lowerLetter"/>
      <w:lvlText w:val="(%5)"/>
      <w:lvlJc w:val="left"/>
      <w:pPr>
        <w:ind w:left="4385" w:hanging="360"/>
      </w:pPr>
    </w:lvl>
    <w:lvl w:ilvl="5">
      <w:start w:val="1"/>
      <w:numFmt w:val="lowerRoman"/>
      <w:lvlText w:val="(%6)"/>
      <w:lvlJc w:val="left"/>
      <w:pPr>
        <w:ind w:left="4745" w:hanging="360"/>
      </w:pPr>
    </w:lvl>
    <w:lvl w:ilvl="6">
      <w:start w:val="1"/>
      <w:numFmt w:val="decimal"/>
      <w:lvlText w:val="%7."/>
      <w:lvlJc w:val="left"/>
      <w:pPr>
        <w:ind w:left="5105" w:hanging="360"/>
      </w:pPr>
    </w:lvl>
    <w:lvl w:ilvl="7">
      <w:start w:val="1"/>
      <w:numFmt w:val="lowerLetter"/>
      <w:lvlText w:val="%8."/>
      <w:lvlJc w:val="left"/>
      <w:pPr>
        <w:ind w:left="5465" w:hanging="360"/>
      </w:pPr>
    </w:lvl>
    <w:lvl w:ilvl="8">
      <w:start w:val="1"/>
      <w:numFmt w:val="lowerRoman"/>
      <w:lvlText w:val="%9."/>
      <w:lvlJc w:val="left"/>
      <w:pPr>
        <w:ind w:left="5825" w:hanging="360"/>
      </w:pPr>
    </w:lvl>
  </w:abstractNum>
  <w:abstractNum w:abstractNumId="9">
    <w:nsid w:val="59346E11"/>
    <w:multiLevelType w:val="hybridMultilevel"/>
    <w:tmpl w:val="AC3E4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F0167FC"/>
    <w:multiLevelType w:val="multilevel"/>
    <w:tmpl w:val="180C0A08"/>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9ACD32"/>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FBD25A4"/>
    <w:multiLevelType w:val="multilevel"/>
    <w:tmpl w:val="8C867480"/>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5AE19CA"/>
    <w:multiLevelType w:val="hybridMultilevel"/>
    <w:tmpl w:val="3F3AF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3309AC"/>
    <w:multiLevelType w:val="hybridMultilevel"/>
    <w:tmpl w:val="8E5E239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680A1777"/>
    <w:multiLevelType w:val="multilevel"/>
    <w:tmpl w:val="9FC6D674"/>
    <w:name w:val="StandardNumberedList"/>
    <w:lvl w:ilvl="0">
      <w:start w:val="1"/>
      <w:numFmt w:val="decimal"/>
      <w:pStyle w:val="OutlineNumbered1"/>
      <w:lvlText w:val="%1."/>
      <w:lvlJc w:val="left"/>
      <w:pPr>
        <w:tabs>
          <w:tab w:val="num" w:pos="520"/>
        </w:tabs>
        <w:ind w:left="520" w:hanging="520"/>
      </w:pPr>
      <w:rPr>
        <w:b w:val="0"/>
        <w:sz w:val="22"/>
        <w:szCs w:val="22"/>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AEF10C9"/>
    <w:multiLevelType w:val="multilevel"/>
    <w:tmpl w:val="38465E64"/>
    <w:lvl w:ilvl="0">
      <w:start w:val="1"/>
      <w:numFmt w:val="bullet"/>
      <w:lvlText w:val=""/>
      <w:lvlJc w:val="left"/>
      <w:pPr>
        <w:tabs>
          <w:tab w:val="num" w:pos="1145"/>
        </w:tabs>
        <w:ind w:left="1145" w:hanging="425"/>
      </w:pPr>
      <w:rPr>
        <w:rFonts w:ascii="Symbol" w:hAnsi="Symbol" w:hint="default"/>
      </w:rPr>
    </w:lvl>
    <w:lvl w:ilvl="1">
      <w:start w:val="1"/>
      <w:numFmt w:val="bullet"/>
      <w:lvlText w:val="–"/>
      <w:lvlJc w:val="left"/>
      <w:pPr>
        <w:tabs>
          <w:tab w:val="num" w:pos="1570"/>
        </w:tabs>
        <w:ind w:left="1570" w:hanging="425"/>
      </w:pPr>
      <w:rPr>
        <w:rFonts w:ascii="Times New Roman" w:hAnsi="Times New Roman" w:cs="Times New Roman"/>
      </w:rPr>
    </w:lvl>
    <w:lvl w:ilvl="2">
      <w:start w:val="1"/>
      <w:numFmt w:val="bullet"/>
      <w:lvlText w:val=":"/>
      <w:lvlJc w:val="left"/>
      <w:pPr>
        <w:tabs>
          <w:tab w:val="num" w:pos="1995"/>
        </w:tabs>
        <w:ind w:left="1995" w:hanging="425"/>
      </w:pPr>
      <w:rPr>
        <w:rFonts w:ascii="Times New Roman" w:hAnsi="Times New Roman" w:cs="Times New Roman"/>
      </w:r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16">
    <w:nsid w:val="7AFD028B"/>
    <w:multiLevelType w:val="multilevel"/>
    <w:tmpl w:val="60CCFE84"/>
    <w:lvl w:ilvl="0">
      <w:start w:val="1"/>
      <w:numFmt w:val="bullet"/>
      <w:lvlText w:val=""/>
      <w:lvlJc w:val="left"/>
      <w:pPr>
        <w:tabs>
          <w:tab w:val="num" w:pos="850"/>
        </w:tabs>
        <w:ind w:left="850" w:hanging="425"/>
      </w:pPr>
      <w:rPr>
        <w:rFonts w:ascii="Symbol" w:hAnsi="Symbol" w:hint="default"/>
      </w:rPr>
    </w:lvl>
    <w:lvl w:ilvl="1">
      <w:start w:val="1"/>
      <w:numFmt w:val="bullet"/>
      <w:lvlText w:val="–"/>
      <w:lvlJc w:val="left"/>
      <w:pPr>
        <w:tabs>
          <w:tab w:val="num" w:pos="1275"/>
        </w:tabs>
        <w:ind w:left="1275" w:hanging="425"/>
      </w:pPr>
      <w:rPr>
        <w:rFonts w:ascii="Times New Roman" w:hAnsi="Times New Roman" w:cs="Times New Roman"/>
      </w:rPr>
    </w:lvl>
    <w:lvl w:ilvl="2">
      <w:start w:val="1"/>
      <w:numFmt w:val="bullet"/>
      <w:lvlText w:val=":"/>
      <w:lvlJc w:val="left"/>
      <w:pPr>
        <w:tabs>
          <w:tab w:val="num" w:pos="1700"/>
        </w:tabs>
        <w:ind w:left="1700" w:hanging="425"/>
      </w:pPr>
      <w:rPr>
        <w:rFonts w:ascii="Times New Roman" w:hAnsi="Times New Roman" w:cs="Times New Roman"/>
      </w:rPr>
    </w:lvl>
    <w:lvl w:ilvl="3">
      <w:start w:val="1"/>
      <w:numFmt w:val="decimal"/>
      <w:lvlText w:val="(%4)"/>
      <w:lvlJc w:val="left"/>
      <w:pPr>
        <w:ind w:left="4025" w:hanging="360"/>
      </w:pPr>
    </w:lvl>
    <w:lvl w:ilvl="4">
      <w:start w:val="1"/>
      <w:numFmt w:val="lowerLetter"/>
      <w:lvlText w:val="(%5)"/>
      <w:lvlJc w:val="left"/>
      <w:pPr>
        <w:ind w:left="4385" w:hanging="360"/>
      </w:pPr>
    </w:lvl>
    <w:lvl w:ilvl="5">
      <w:start w:val="1"/>
      <w:numFmt w:val="lowerRoman"/>
      <w:lvlText w:val="(%6)"/>
      <w:lvlJc w:val="left"/>
      <w:pPr>
        <w:ind w:left="4745" w:hanging="360"/>
      </w:pPr>
    </w:lvl>
    <w:lvl w:ilvl="6">
      <w:start w:val="1"/>
      <w:numFmt w:val="decimal"/>
      <w:lvlText w:val="%7."/>
      <w:lvlJc w:val="left"/>
      <w:pPr>
        <w:ind w:left="5105" w:hanging="360"/>
      </w:pPr>
    </w:lvl>
    <w:lvl w:ilvl="7">
      <w:start w:val="1"/>
      <w:numFmt w:val="lowerLetter"/>
      <w:lvlText w:val="%8."/>
      <w:lvlJc w:val="left"/>
      <w:pPr>
        <w:ind w:left="5465" w:hanging="360"/>
      </w:pPr>
    </w:lvl>
    <w:lvl w:ilvl="8">
      <w:start w:val="1"/>
      <w:numFmt w:val="lowerRoman"/>
      <w:lvlText w:val="%9."/>
      <w:lvlJc w:val="left"/>
      <w:pPr>
        <w:ind w:left="5825" w:hanging="360"/>
      </w:pPr>
    </w:lvl>
  </w:abstractNum>
  <w:num w:numId="1">
    <w:abstractNumId w:val="10"/>
  </w:num>
  <w:num w:numId="2">
    <w:abstractNumId w:val="14"/>
  </w:num>
  <w:num w:numId="3">
    <w:abstractNumId w:val="11"/>
  </w:num>
  <w:num w:numId="4">
    <w:abstractNumId w:val="3"/>
  </w:num>
  <w:num w:numId="5">
    <w:abstractNumId w:val="8"/>
  </w:num>
  <w:num w:numId="6">
    <w:abstractNumId w:val="16"/>
  </w:num>
  <w:num w:numId="7">
    <w:abstractNumId w:val="5"/>
  </w:num>
  <w:num w:numId="8">
    <w:abstractNumId w:val="15"/>
  </w:num>
  <w:num w:numId="9">
    <w:abstractNumId w:val="7"/>
  </w:num>
  <w:num w:numId="10">
    <w:abstractNumId w:val="9"/>
  </w:num>
  <w:num w:numId="11">
    <w:abstractNumId w:val="13"/>
  </w:num>
  <w:num w:numId="12">
    <w:abstractNumId w:val="6"/>
  </w:num>
  <w:num w:numId="13">
    <w:abstractNumId w:val="12"/>
  </w:num>
  <w:num w:numId="14">
    <w:abstractNumId w:val="10"/>
  </w:num>
  <w:num w:numId="15">
    <w:abstractNumId w:val="10"/>
  </w:num>
  <w:num w:numId="16">
    <w:abstractNumId w:val="6"/>
  </w:num>
  <w:num w:numId="17">
    <w:abstractNumId w:val="10"/>
  </w:num>
  <w:num w:numId="18">
    <w:abstractNumId w:val="10"/>
  </w:num>
  <w:num w:numId="19">
    <w:abstractNumId w:val="10"/>
  </w:num>
  <w:num w:numId="20">
    <w:abstractNumId w:val="2"/>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0"/>
  </w:num>
  <w:num w:numId="31">
    <w:abstractNumId w:val="10"/>
  </w:num>
  <w:num w:numId="32">
    <w:abstractNumId w:val="10"/>
  </w:num>
  <w:num w:numId="33">
    <w:abstractNumId w:val="10"/>
  </w:num>
  <w:num w:numId="34">
    <w:abstractNumId w:val="10"/>
  </w:num>
  <w:num w:numId="35">
    <w:abstractNumId w:val="10"/>
  </w:num>
  <w:num w:numId="36">
    <w:abstractNumId w:val="4"/>
  </w:num>
  <w:num w:numId="37">
    <w:abstractNumId w:val="14"/>
  </w:num>
  <w:num w:numId="3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92"/>
    <w:rsid w:val="00010962"/>
    <w:rsid w:val="00020719"/>
    <w:rsid w:val="00037E58"/>
    <w:rsid w:val="00042334"/>
    <w:rsid w:val="000458E3"/>
    <w:rsid w:val="00062364"/>
    <w:rsid w:val="00067CDE"/>
    <w:rsid w:val="00085A49"/>
    <w:rsid w:val="00094322"/>
    <w:rsid w:val="00097877"/>
    <w:rsid w:val="000B6852"/>
    <w:rsid w:val="000C3A2A"/>
    <w:rsid w:val="000C7408"/>
    <w:rsid w:val="000D27B8"/>
    <w:rsid w:val="000F78A3"/>
    <w:rsid w:val="00137AD3"/>
    <w:rsid w:val="0014362A"/>
    <w:rsid w:val="00171A9C"/>
    <w:rsid w:val="001739FA"/>
    <w:rsid w:val="00184E7B"/>
    <w:rsid w:val="00196811"/>
    <w:rsid w:val="00197D39"/>
    <w:rsid w:val="001B2C76"/>
    <w:rsid w:val="001B5AB6"/>
    <w:rsid w:val="001B6215"/>
    <w:rsid w:val="001C38B9"/>
    <w:rsid w:val="00221807"/>
    <w:rsid w:val="00230FDF"/>
    <w:rsid w:val="002651A8"/>
    <w:rsid w:val="00284AA6"/>
    <w:rsid w:val="002876C1"/>
    <w:rsid w:val="00290551"/>
    <w:rsid w:val="002A2B92"/>
    <w:rsid w:val="002C453D"/>
    <w:rsid w:val="002D0E53"/>
    <w:rsid w:val="002E0032"/>
    <w:rsid w:val="002E7F94"/>
    <w:rsid w:val="002F06C5"/>
    <w:rsid w:val="002F2B27"/>
    <w:rsid w:val="002F523D"/>
    <w:rsid w:val="002F6618"/>
    <w:rsid w:val="003016C2"/>
    <w:rsid w:val="0030533A"/>
    <w:rsid w:val="0031405E"/>
    <w:rsid w:val="00322690"/>
    <w:rsid w:val="003246FC"/>
    <w:rsid w:val="00326CF4"/>
    <w:rsid w:val="003430E2"/>
    <w:rsid w:val="00353D97"/>
    <w:rsid w:val="00355FFD"/>
    <w:rsid w:val="003A7A68"/>
    <w:rsid w:val="003A7D29"/>
    <w:rsid w:val="003C149E"/>
    <w:rsid w:val="003C1578"/>
    <w:rsid w:val="003C4F95"/>
    <w:rsid w:val="003D410A"/>
    <w:rsid w:val="003F3025"/>
    <w:rsid w:val="00404E85"/>
    <w:rsid w:val="0040646F"/>
    <w:rsid w:val="0041740E"/>
    <w:rsid w:val="004215E6"/>
    <w:rsid w:val="00427DA0"/>
    <w:rsid w:val="004814DB"/>
    <w:rsid w:val="004830FD"/>
    <w:rsid w:val="00495F02"/>
    <w:rsid w:val="004A055D"/>
    <w:rsid w:val="004A19BB"/>
    <w:rsid w:val="004A4039"/>
    <w:rsid w:val="004D2217"/>
    <w:rsid w:val="004E348B"/>
    <w:rsid w:val="00511A5C"/>
    <w:rsid w:val="005270C2"/>
    <w:rsid w:val="0053090D"/>
    <w:rsid w:val="0053283D"/>
    <w:rsid w:val="00557EBC"/>
    <w:rsid w:val="00573252"/>
    <w:rsid w:val="005A3457"/>
    <w:rsid w:val="005B26CA"/>
    <w:rsid w:val="005D11AC"/>
    <w:rsid w:val="005E4182"/>
    <w:rsid w:val="00601741"/>
    <w:rsid w:val="00633CB9"/>
    <w:rsid w:val="0064638D"/>
    <w:rsid w:val="00667477"/>
    <w:rsid w:val="00670907"/>
    <w:rsid w:val="00673AA6"/>
    <w:rsid w:val="00683EE5"/>
    <w:rsid w:val="00694E90"/>
    <w:rsid w:val="006A5CCB"/>
    <w:rsid w:val="006D77F4"/>
    <w:rsid w:val="006E269F"/>
    <w:rsid w:val="006E50FD"/>
    <w:rsid w:val="006F0D15"/>
    <w:rsid w:val="007149A4"/>
    <w:rsid w:val="00731A36"/>
    <w:rsid w:val="00737587"/>
    <w:rsid w:val="00744048"/>
    <w:rsid w:val="007504CA"/>
    <w:rsid w:val="007643C6"/>
    <w:rsid w:val="00766F7E"/>
    <w:rsid w:val="0077780C"/>
    <w:rsid w:val="007919F9"/>
    <w:rsid w:val="00794C36"/>
    <w:rsid w:val="007976E4"/>
    <w:rsid w:val="007A568A"/>
    <w:rsid w:val="00806783"/>
    <w:rsid w:val="008163B7"/>
    <w:rsid w:val="00825E8D"/>
    <w:rsid w:val="0083472B"/>
    <w:rsid w:val="008417FB"/>
    <w:rsid w:val="0085100B"/>
    <w:rsid w:val="00851A95"/>
    <w:rsid w:val="0087436F"/>
    <w:rsid w:val="00883A82"/>
    <w:rsid w:val="00884664"/>
    <w:rsid w:val="00893608"/>
    <w:rsid w:val="00895BAF"/>
    <w:rsid w:val="008A1725"/>
    <w:rsid w:val="008A6C54"/>
    <w:rsid w:val="008B0BEB"/>
    <w:rsid w:val="008C4094"/>
    <w:rsid w:val="008C67A1"/>
    <w:rsid w:val="008C7F4D"/>
    <w:rsid w:val="008D0AA9"/>
    <w:rsid w:val="008D46A9"/>
    <w:rsid w:val="008E09FD"/>
    <w:rsid w:val="008E424C"/>
    <w:rsid w:val="008F7C1A"/>
    <w:rsid w:val="00915AE5"/>
    <w:rsid w:val="00920EAE"/>
    <w:rsid w:val="009405D7"/>
    <w:rsid w:val="009563DB"/>
    <w:rsid w:val="00983030"/>
    <w:rsid w:val="009852E9"/>
    <w:rsid w:val="0099024E"/>
    <w:rsid w:val="009A2C80"/>
    <w:rsid w:val="009A6975"/>
    <w:rsid w:val="00A12377"/>
    <w:rsid w:val="00A231CC"/>
    <w:rsid w:val="00A276AB"/>
    <w:rsid w:val="00A6283C"/>
    <w:rsid w:val="00A80677"/>
    <w:rsid w:val="00A83EF6"/>
    <w:rsid w:val="00A86D09"/>
    <w:rsid w:val="00AA4AF8"/>
    <w:rsid w:val="00AE5E79"/>
    <w:rsid w:val="00B10DD3"/>
    <w:rsid w:val="00B27220"/>
    <w:rsid w:val="00B30304"/>
    <w:rsid w:val="00B36FF2"/>
    <w:rsid w:val="00B430AA"/>
    <w:rsid w:val="00B43E38"/>
    <w:rsid w:val="00B50723"/>
    <w:rsid w:val="00B6336D"/>
    <w:rsid w:val="00B76B47"/>
    <w:rsid w:val="00B97AC2"/>
    <w:rsid w:val="00BA7053"/>
    <w:rsid w:val="00BB72E4"/>
    <w:rsid w:val="00BD6D22"/>
    <w:rsid w:val="00BE3BD3"/>
    <w:rsid w:val="00BE6BB4"/>
    <w:rsid w:val="00BF0926"/>
    <w:rsid w:val="00C002D5"/>
    <w:rsid w:val="00C042AE"/>
    <w:rsid w:val="00C1209B"/>
    <w:rsid w:val="00C22493"/>
    <w:rsid w:val="00C70F0F"/>
    <w:rsid w:val="00C777DD"/>
    <w:rsid w:val="00C85D33"/>
    <w:rsid w:val="00CA160E"/>
    <w:rsid w:val="00CA524C"/>
    <w:rsid w:val="00CA75DA"/>
    <w:rsid w:val="00CA7683"/>
    <w:rsid w:val="00CB072E"/>
    <w:rsid w:val="00CB1246"/>
    <w:rsid w:val="00D06636"/>
    <w:rsid w:val="00D1164C"/>
    <w:rsid w:val="00D15A9F"/>
    <w:rsid w:val="00D15DBC"/>
    <w:rsid w:val="00D20FBE"/>
    <w:rsid w:val="00D21477"/>
    <w:rsid w:val="00D303EE"/>
    <w:rsid w:val="00D3210A"/>
    <w:rsid w:val="00D330A6"/>
    <w:rsid w:val="00D41942"/>
    <w:rsid w:val="00D7797C"/>
    <w:rsid w:val="00D9468C"/>
    <w:rsid w:val="00D95DAE"/>
    <w:rsid w:val="00DC07B1"/>
    <w:rsid w:val="00DF5CA9"/>
    <w:rsid w:val="00E0126D"/>
    <w:rsid w:val="00E04F47"/>
    <w:rsid w:val="00E15609"/>
    <w:rsid w:val="00E160AF"/>
    <w:rsid w:val="00E17D56"/>
    <w:rsid w:val="00E32BF3"/>
    <w:rsid w:val="00E32F39"/>
    <w:rsid w:val="00E44606"/>
    <w:rsid w:val="00E551FF"/>
    <w:rsid w:val="00E772CE"/>
    <w:rsid w:val="00E90E37"/>
    <w:rsid w:val="00E9312E"/>
    <w:rsid w:val="00E94842"/>
    <w:rsid w:val="00EA68BA"/>
    <w:rsid w:val="00EC0716"/>
    <w:rsid w:val="00EC56A8"/>
    <w:rsid w:val="00EC71DA"/>
    <w:rsid w:val="00ED2F7A"/>
    <w:rsid w:val="00ED6C95"/>
    <w:rsid w:val="00EE5686"/>
    <w:rsid w:val="00EF7CD2"/>
    <w:rsid w:val="00F1717C"/>
    <w:rsid w:val="00F26D98"/>
    <w:rsid w:val="00F50BF6"/>
    <w:rsid w:val="00F52734"/>
    <w:rsid w:val="00F83E70"/>
    <w:rsid w:val="00F8699D"/>
    <w:rsid w:val="00F94A6D"/>
    <w:rsid w:val="00FC7073"/>
    <w:rsid w:val="00FD1E1D"/>
    <w:rsid w:val="00FD424B"/>
    <w:rsid w:val="00FD5ACE"/>
    <w:rsid w:val="00FD7D03"/>
    <w:rsid w:val="00FD7FFD"/>
    <w:rsid w:val="00FE6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83"/>
    <w:rPr>
      <w:rFonts w:ascii="Arial" w:hAnsi="Arial"/>
    </w:rPr>
  </w:style>
  <w:style w:type="paragraph" w:styleId="Heading1">
    <w:name w:val="heading 1"/>
    <w:basedOn w:val="Normal"/>
    <w:next w:val="Normal"/>
    <w:link w:val="Heading1Char"/>
    <w:autoRedefine/>
    <w:uiPriority w:val="9"/>
    <w:qFormat/>
    <w:rsid w:val="009852E9"/>
    <w:pPr>
      <w:keepNext/>
      <w:keepLines/>
      <w:spacing w:before="480" w:after="0"/>
      <w:ind w:left="360" w:hanging="360"/>
      <w:outlineLvl w:val="0"/>
    </w:pPr>
    <w:rPr>
      <w:rFonts w:eastAsiaTheme="majorEastAsia" w:cs="Arial"/>
      <w:b/>
      <w:bCs/>
      <w:smallCaps/>
      <w:sz w:val="32"/>
      <w:szCs w:val="28"/>
    </w:rPr>
  </w:style>
  <w:style w:type="paragraph" w:styleId="Heading2">
    <w:name w:val="heading 2"/>
    <w:basedOn w:val="Normal"/>
    <w:next w:val="Normal"/>
    <w:link w:val="Heading2Char"/>
    <w:autoRedefine/>
    <w:uiPriority w:val="9"/>
    <w:unhideWhenUsed/>
    <w:qFormat/>
    <w:rsid w:val="0099024E"/>
    <w:pPr>
      <w:keepNext/>
      <w:keepLines/>
      <w:spacing w:before="200" w:after="0"/>
      <w:outlineLvl w:val="1"/>
    </w:pPr>
    <w:rPr>
      <w:rFonts w:ascii="Arial Bold" w:eastAsiaTheme="majorEastAsia" w:hAnsi="Arial Bold" w:cstheme="majorBidi"/>
      <w:b/>
      <w:bCs/>
      <w:smallCaps/>
      <w:color w:val="365F91" w:themeColor="accent1" w:themeShade="BF"/>
      <w:sz w:val="26"/>
      <w:szCs w:val="26"/>
    </w:rPr>
  </w:style>
  <w:style w:type="paragraph" w:styleId="Heading3">
    <w:name w:val="heading 3"/>
    <w:basedOn w:val="Normal"/>
    <w:next w:val="Normal"/>
    <w:link w:val="Heading3Char"/>
    <w:autoRedefine/>
    <w:uiPriority w:val="9"/>
    <w:unhideWhenUsed/>
    <w:qFormat/>
    <w:rsid w:val="00CA7683"/>
    <w:pPr>
      <w:keepNext/>
      <w:keepLines/>
      <w:spacing w:before="200" w:after="0"/>
      <w:outlineLvl w:val="2"/>
    </w:pPr>
    <w:rPr>
      <w:rFonts w:ascii="Cambria" w:eastAsiaTheme="majorEastAsia" w:hAnsi="Cambria" w:cstheme="majorBidi"/>
      <w:b/>
      <w:bCs/>
      <w:cap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3025"/>
    <w:pPr>
      <w:tabs>
        <w:tab w:val="center" w:pos="4320"/>
        <w:tab w:val="right" w:pos="8640"/>
      </w:tabs>
      <w:spacing w:after="0" w:line="240" w:lineRule="auto"/>
    </w:pPr>
    <w:rPr>
      <w:rFonts w:ascii="Times" w:eastAsia="Times" w:hAnsi="Times" w:cs="Times New Roman"/>
      <w:sz w:val="24"/>
      <w:szCs w:val="20"/>
      <w:lang w:val="en-US"/>
    </w:rPr>
  </w:style>
  <w:style w:type="character" w:customStyle="1" w:styleId="HeaderChar">
    <w:name w:val="Header Char"/>
    <w:basedOn w:val="DefaultParagraphFont"/>
    <w:link w:val="Header"/>
    <w:rsid w:val="003F3025"/>
    <w:rPr>
      <w:rFonts w:ascii="Times" w:eastAsia="Times" w:hAnsi="Times" w:cs="Times New Roman"/>
      <w:sz w:val="24"/>
      <w:szCs w:val="20"/>
      <w:lang w:val="en-US"/>
    </w:rPr>
  </w:style>
  <w:style w:type="paragraph" w:styleId="Footer">
    <w:name w:val="footer"/>
    <w:basedOn w:val="Normal"/>
    <w:link w:val="FooterChar"/>
    <w:uiPriority w:val="99"/>
    <w:unhideWhenUsed/>
    <w:rsid w:val="003F3025"/>
    <w:pPr>
      <w:tabs>
        <w:tab w:val="center" w:pos="4320"/>
        <w:tab w:val="right" w:pos="8640"/>
      </w:tabs>
      <w:spacing w:after="0" w:line="240" w:lineRule="auto"/>
    </w:pPr>
    <w:rPr>
      <w:rFonts w:ascii="Times" w:eastAsia="Times" w:hAnsi="Times" w:cs="Times New Roman"/>
      <w:sz w:val="24"/>
      <w:szCs w:val="20"/>
      <w:lang w:val="en-US"/>
    </w:rPr>
  </w:style>
  <w:style w:type="character" w:customStyle="1" w:styleId="FooterChar">
    <w:name w:val="Footer Char"/>
    <w:basedOn w:val="DefaultParagraphFont"/>
    <w:link w:val="Footer"/>
    <w:uiPriority w:val="99"/>
    <w:rsid w:val="003F3025"/>
    <w:rPr>
      <w:rFonts w:ascii="Times" w:eastAsia="Times" w:hAnsi="Times" w:cs="Times New Roman"/>
      <w:sz w:val="24"/>
      <w:szCs w:val="20"/>
      <w:lang w:val="en-US"/>
    </w:rPr>
  </w:style>
  <w:style w:type="character" w:styleId="PageNumber">
    <w:name w:val="page number"/>
    <w:basedOn w:val="DefaultParagraphFont"/>
    <w:uiPriority w:val="99"/>
    <w:semiHidden/>
    <w:unhideWhenUsed/>
    <w:rsid w:val="003F3025"/>
  </w:style>
  <w:style w:type="paragraph" w:customStyle="1" w:styleId="AAheading1">
    <w:name w:val="AA heading 1"/>
    <w:basedOn w:val="Normal"/>
    <w:qFormat/>
    <w:rsid w:val="003F3025"/>
    <w:pPr>
      <w:spacing w:before="480" w:after="240" w:line="240" w:lineRule="auto"/>
    </w:pPr>
    <w:rPr>
      <w:rFonts w:eastAsia="Times" w:cs="Times New Roman"/>
      <w:b/>
      <w:sz w:val="36"/>
      <w:szCs w:val="20"/>
    </w:rPr>
  </w:style>
  <w:style w:type="character" w:styleId="FootnoteReference">
    <w:name w:val="footnote reference"/>
    <w:basedOn w:val="DefaultParagraphFont"/>
    <w:semiHidden/>
    <w:rsid w:val="003F3025"/>
    <w:rPr>
      <w:vertAlign w:val="superscript"/>
    </w:rPr>
  </w:style>
  <w:style w:type="paragraph" w:styleId="FootnoteText">
    <w:name w:val="footnote text"/>
    <w:basedOn w:val="Normal"/>
    <w:link w:val="FootnoteTextChar"/>
    <w:uiPriority w:val="99"/>
    <w:unhideWhenUsed/>
    <w:rsid w:val="003F3025"/>
    <w:pPr>
      <w:spacing w:after="0" w:line="240" w:lineRule="auto"/>
    </w:pPr>
    <w:rPr>
      <w:rFonts w:ascii="Times" w:eastAsia="Times" w:hAnsi="Times" w:cs="Times New Roman"/>
      <w:sz w:val="20"/>
      <w:szCs w:val="20"/>
      <w:lang w:val="en-US"/>
    </w:rPr>
  </w:style>
  <w:style w:type="character" w:customStyle="1" w:styleId="FootnoteTextChar">
    <w:name w:val="Footnote Text Char"/>
    <w:basedOn w:val="DefaultParagraphFont"/>
    <w:link w:val="FootnoteText"/>
    <w:uiPriority w:val="99"/>
    <w:rsid w:val="003F3025"/>
    <w:rPr>
      <w:rFonts w:ascii="Times" w:eastAsia="Times" w:hAnsi="Times" w:cs="Times New Roman"/>
      <w:sz w:val="20"/>
      <w:szCs w:val="20"/>
      <w:lang w:val="en-US"/>
    </w:rPr>
  </w:style>
  <w:style w:type="paragraph" w:customStyle="1" w:styleId="Bullet">
    <w:name w:val="Bullet"/>
    <w:basedOn w:val="Normal"/>
    <w:link w:val="BulletChar"/>
    <w:rsid w:val="003F3025"/>
    <w:pPr>
      <w:numPr>
        <w:numId w:val="1"/>
      </w:numPr>
    </w:pPr>
  </w:style>
  <w:style w:type="character" w:customStyle="1" w:styleId="BulletChar">
    <w:name w:val="Bullet Char"/>
    <w:basedOn w:val="DefaultParagraphFont"/>
    <w:link w:val="Bullet"/>
    <w:rsid w:val="003F3025"/>
    <w:rPr>
      <w:rFonts w:ascii="Arial" w:hAnsi="Arial"/>
    </w:rPr>
  </w:style>
  <w:style w:type="paragraph" w:customStyle="1" w:styleId="Dash">
    <w:name w:val="Dash"/>
    <w:basedOn w:val="Normal"/>
    <w:link w:val="DashChar"/>
    <w:rsid w:val="003F3025"/>
    <w:pPr>
      <w:numPr>
        <w:ilvl w:val="1"/>
        <w:numId w:val="1"/>
      </w:numPr>
    </w:pPr>
  </w:style>
  <w:style w:type="paragraph" w:customStyle="1" w:styleId="DoubleDot">
    <w:name w:val="Double Dot"/>
    <w:basedOn w:val="Normal"/>
    <w:link w:val="DoubleDotChar"/>
    <w:rsid w:val="003F3025"/>
    <w:pPr>
      <w:numPr>
        <w:ilvl w:val="2"/>
        <w:numId w:val="1"/>
      </w:numPr>
    </w:pPr>
  </w:style>
  <w:style w:type="paragraph" w:customStyle="1" w:styleId="OutlineNumbered1">
    <w:name w:val="Outline Numbered 1"/>
    <w:basedOn w:val="Normal"/>
    <w:link w:val="OutlineNumbered1Char"/>
    <w:rsid w:val="003F3025"/>
    <w:pPr>
      <w:numPr>
        <w:numId w:val="2"/>
      </w:numPr>
      <w:spacing w:after="80"/>
    </w:pPr>
  </w:style>
  <w:style w:type="character" w:customStyle="1" w:styleId="OutlineNumbered1Char">
    <w:name w:val="Outline Numbered 1 Char"/>
    <w:basedOn w:val="BulletChar"/>
    <w:link w:val="OutlineNumbered1"/>
    <w:rsid w:val="003F3025"/>
    <w:rPr>
      <w:rFonts w:ascii="Arial" w:hAnsi="Arial"/>
    </w:rPr>
  </w:style>
  <w:style w:type="paragraph" w:customStyle="1" w:styleId="OutlineNumbered2">
    <w:name w:val="Outline Numbered 2"/>
    <w:basedOn w:val="Normal"/>
    <w:rsid w:val="003F3025"/>
    <w:pPr>
      <w:numPr>
        <w:ilvl w:val="1"/>
        <w:numId w:val="2"/>
      </w:numPr>
      <w:spacing w:after="80"/>
    </w:pPr>
  </w:style>
  <w:style w:type="paragraph" w:customStyle="1" w:styleId="OutlineNumbered3">
    <w:name w:val="Outline Numbered 3"/>
    <w:basedOn w:val="Normal"/>
    <w:rsid w:val="003F3025"/>
    <w:pPr>
      <w:numPr>
        <w:ilvl w:val="2"/>
        <w:numId w:val="2"/>
      </w:numPr>
      <w:spacing w:after="80"/>
    </w:pPr>
  </w:style>
  <w:style w:type="character" w:customStyle="1" w:styleId="Heading1Char">
    <w:name w:val="Heading 1 Char"/>
    <w:basedOn w:val="DefaultParagraphFont"/>
    <w:link w:val="Heading1"/>
    <w:uiPriority w:val="9"/>
    <w:rsid w:val="009852E9"/>
    <w:rPr>
      <w:rFonts w:ascii="Arial" w:eastAsiaTheme="majorEastAsia" w:hAnsi="Arial" w:cs="Arial"/>
      <w:b/>
      <w:bCs/>
      <w:smallCaps/>
      <w:sz w:val="32"/>
      <w:szCs w:val="28"/>
    </w:rPr>
  </w:style>
  <w:style w:type="character" w:customStyle="1" w:styleId="Heading2Char">
    <w:name w:val="Heading 2 Char"/>
    <w:basedOn w:val="DefaultParagraphFont"/>
    <w:link w:val="Heading2"/>
    <w:uiPriority w:val="9"/>
    <w:rsid w:val="0099024E"/>
    <w:rPr>
      <w:rFonts w:ascii="Arial Bold" w:eastAsiaTheme="majorEastAsia" w:hAnsi="Arial Bold" w:cstheme="majorBidi"/>
      <w:b/>
      <w:bCs/>
      <w:smallCaps/>
      <w:color w:val="365F91" w:themeColor="accent1" w:themeShade="BF"/>
      <w:sz w:val="26"/>
      <w:szCs w:val="26"/>
    </w:rPr>
  </w:style>
  <w:style w:type="character" w:customStyle="1" w:styleId="Heading3Char">
    <w:name w:val="Heading 3 Char"/>
    <w:basedOn w:val="DefaultParagraphFont"/>
    <w:link w:val="Heading3"/>
    <w:uiPriority w:val="9"/>
    <w:rsid w:val="00CA7683"/>
    <w:rPr>
      <w:rFonts w:ascii="Cambria" w:eastAsiaTheme="majorEastAsia" w:hAnsi="Cambria" w:cstheme="majorBidi"/>
      <w:b/>
      <w:bCs/>
      <w:caps/>
      <w:color w:val="4F81BD" w:themeColor="accent1"/>
    </w:rPr>
  </w:style>
  <w:style w:type="character" w:customStyle="1" w:styleId="DashChar">
    <w:name w:val="Dash Char"/>
    <w:basedOn w:val="DefaultParagraphFont"/>
    <w:link w:val="Dash"/>
    <w:rsid w:val="00CA7683"/>
    <w:rPr>
      <w:rFonts w:ascii="Arial" w:hAnsi="Arial"/>
    </w:rPr>
  </w:style>
  <w:style w:type="character" w:customStyle="1" w:styleId="DoubleDotChar">
    <w:name w:val="Double Dot Char"/>
    <w:basedOn w:val="DefaultParagraphFont"/>
    <w:link w:val="DoubleDot"/>
    <w:rsid w:val="00CA7683"/>
    <w:rPr>
      <w:rFonts w:ascii="Arial" w:hAnsi="Arial"/>
    </w:rPr>
  </w:style>
  <w:style w:type="paragraph" w:styleId="ListParagraph">
    <w:name w:val="List Paragraph"/>
    <w:basedOn w:val="Normal"/>
    <w:uiPriority w:val="34"/>
    <w:qFormat/>
    <w:rsid w:val="00CA7683"/>
    <w:pPr>
      <w:ind w:left="720"/>
      <w:contextualSpacing/>
    </w:pPr>
  </w:style>
  <w:style w:type="paragraph" w:customStyle="1" w:styleId="Default">
    <w:name w:val="Default"/>
    <w:rsid w:val="00BF092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27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83"/>
    <w:rPr>
      <w:rFonts w:ascii="Arial" w:hAnsi="Arial"/>
    </w:rPr>
  </w:style>
  <w:style w:type="paragraph" w:styleId="Heading1">
    <w:name w:val="heading 1"/>
    <w:basedOn w:val="Normal"/>
    <w:next w:val="Normal"/>
    <w:link w:val="Heading1Char"/>
    <w:autoRedefine/>
    <w:uiPriority w:val="9"/>
    <w:qFormat/>
    <w:rsid w:val="009852E9"/>
    <w:pPr>
      <w:keepNext/>
      <w:keepLines/>
      <w:spacing w:before="480" w:after="0"/>
      <w:ind w:left="360" w:hanging="360"/>
      <w:outlineLvl w:val="0"/>
    </w:pPr>
    <w:rPr>
      <w:rFonts w:eastAsiaTheme="majorEastAsia" w:cs="Arial"/>
      <w:b/>
      <w:bCs/>
      <w:smallCaps/>
      <w:sz w:val="32"/>
      <w:szCs w:val="28"/>
    </w:rPr>
  </w:style>
  <w:style w:type="paragraph" w:styleId="Heading2">
    <w:name w:val="heading 2"/>
    <w:basedOn w:val="Normal"/>
    <w:next w:val="Normal"/>
    <w:link w:val="Heading2Char"/>
    <w:autoRedefine/>
    <w:uiPriority w:val="9"/>
    <w:unhideWhenUsed/>
    <w:qFormat/>
    <w:rsid w:val="0099024E"/>
    <w:pPr>
      <w:keepNext/>
      <w:keepLines/>
      <w:spacing w:before="200" w:after="0"/>
      <w:outlineLvl w:val="1"/>
    </w:pPr>
    <w:rPr>
      <w:rFonts w:ascii="Arial Bold" w:eastAsiaTheme="majorEastAsia" w:hAnsi="Arial Bold" w:cstheme="majorBidi"/>
      <w:b/>
      <w:bCs/>
      <w:smallCaps/>
      <w:color w:val="365F91" w:themeColor="accent1" w:themeShade="BF"/>
      <w:sz w:val="26"/>
      <w:szCs w:val="26"/>
    </w:rPr>
  </w:style>
  <w:style w:type="paragraph" w:styleId="Heading3">
    <w:name w:val="heading 3"/>
    <w:basedOn w:val="Normal"/>
    <w:next w:val="Normal"/>
    <w:link w:val="Heading3Char"/>
    <w:autoRedefine/>
    <w:uiPriority w:val="9"/>
    <w:unhideWhenUsed/>
    <w:qFormat/>
    <w:rsid w:val="00CA7683"/>
    <w:pPr>
      <w:keepNext/>
      <w:keepLines/>
      <w:spacing w:before="200" w:after="0"/>
      <w:outlineLvl w:val="2"/>
    </w:pPr>
    <w:rPr>
      <w:rFonts w:ascii="Cambria" w:eastAsiaTheme="majorEastAsia" w:hAnsi="Cambria" w:cstheme="majorBidi"/>
      <w:b/>
      <w:bCs/>
      <w:cap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3025"/>
    <w:pPr>
      <w:tabs>
        <w:tab w:val="center" w:pos="4320"/>
        <w:tab w:val="right" w:pos="8640"/>
      </w:tabs>
      <w:spacing w:after="0" w:line="240" w:lineRule="auto"/>
    </w:pPr>
    <w:rPr>
      <w:rFonts w:ascii="Times" w:eastAsia="Times" w:hAnsi="Times" w:cs="Times New Roman"/>
      <w:sz w:val="24"/>
      <w:szCs w:val="20"/>
      <w:lang w:val="en-US"/>
    </w:rPr>
  </w:style>
  <w:style w:type="character" w:customStyle="1" w:styleId="HeaderChar">
    <w:name w:val="Header Char"/>
    <w:basedOn w:val="DefaultParagraphFont"/>
    <w:link w:val="Header"/>
    <w:rsid w:val="003F3025"/>
    <w:rPr>
      <w:rFonts w:ascii="Times" w:eastAsia="Times" w:hAnsi="Times" w:cs="Times New Roman"/>
      <w:sz w:val="24"/>
      <w:szCs w:val="20"/>
      <w:lang w:val="en-US"/>
    </w:rPr>
  </w:style>
  <w:style w:type="paragraph" w:styleId="Footer">
    <w:name w:val="footer"/>
    <w:basedOn w:val="Normal"/>
    <w:link w:val="FooterChar"/>
    <w:uiPriority w:val="99"/>
    <w:unhideWhenUsed/>
    <w:rsid w:val="003F3025"/>
    <w:pPr>
      <w:tabs>
        <w:tab w:val="center" w:pos="4320"/>
        <w:tab w:val="right" w:pos="8640"/>
      </w:tabs>
      <w:spacing w:after="0" w:line="240" w:lineRule="auto"/>
    </w:pPr>
    <w:rPr>
      <w:rFonts w:ascii="Times" w:eastAsia="Times" w:hAnsi="Times" w:cs="Times New Roman"/>
      <w:sz w:val="24"/>
      <w:szCs w:val="20"/>
      <w:lang w:val="en-US"/>
    </w:rPr>
  </w:style>
  <w:style w:type="character" w:customStyle="1" w:styleId="FooterChar">
    <w:name w:val="Footer Char"/>
    <w:basedOn w:val="DefaultParagraphFont"/>
    <w:link w:val="Footer"/>
    <w:uiPriority w:val="99"/>
    <w:rsid w:val="003F3025"/>
    <w:rPr>
      <w:rFonts w:ascii="Times" w:eastAsia="Times" w:hAnsi="Times" w:cs="Times New Roman"/>
      <w:sz w:val="24"/>
      <w:szCs w:val="20"/>
      <w:lang w:val="en-US"/>
    </w:rPr>
  </w:style>
  <w:style w:type="character" w:styleId="PageNumber">
    <w:name w:val="page number"/>
    <w:basedOn w:val="DefaultParagraphFont"/>
    <w:uiPriority w:val="99"/>
    <w:semiHidden/>
    <w:unhideWhenUsed/>
    <w:rsid w:val="003F3025"/>
  </w:style>
  <w:style w:type="paragraph" w:customStyle="1" w:styleId="AAheading1">
    <w:name w:val="AA heading 1"/>
    <w:basedOn w:val="Normal"/>
    <w:qFormat/>
    <w:rsid w:val="003F3025"/>
    <w:pPr>
      <w:spacing w:before="480" w:after="240" w:line="240" w:lineRule="auto"/>
    </w:pPr>
    <w:rPr>
      <w:rFonts w:eastAsia="Times" w:cs="Times New Roman"/>
      <w:b/>
      <w:sz w:val="36"/>
      <w:szCs w:val="20"/>
    </w:rPr>
  </w:style>
  <w:style w:type="character" w:styleId="FootnoteReference">
    <w:name w:val="footnote reference"/>
    <w:basedOn w:val="DefaultParagraphFont"/>
    <w:semiHidden/>
    <w:rsid w:val="003F3025"/>
    <w:rPr>
      <w:vertAlign w:val="superscript"/>
    </w:rPr>
  </w:style>
  <w:style w:type="paragraph" w:styleId="FootnoteText">
    <w:name w:val="footnote text"/>
    <w:basedOn w:val="Normal"/>
    <w:link w:val="FootnoteTextChar"/>
    <w:uiPriority w:val="99"/>
    <w:unhideWhenUsed/>
    <w:rsid w:val="003F3025"/>
    <w:pPr>
      <w:spacing w:after="0" w:line="240" w:lineRule="auto"/>
    </w:pPr>
    <w:rPr>
      <w:rFonts w:ascii="Times" w:eastAsia="Times" w:hAnsi="Times" w:cs="Times New Roman"/>
      <w:sz w:val="20"/>
      <w:szCs w:val="20"/>
      <w:lang w:val="en-US"/>
    </w:rPr>
  </w:style>
  <w:style w:type="character" w:customStyle="1" w:styleId="FootnoteTextChar">
    <w:name w:val="Footnote Text Char"/>
    <w:basedOn w:val="DefaultParagraphFont"/>
    <w:link w:val="FootnoteText"/>
    <w:uiPriority w:val="99"/>
    <w:rsid w:val="003F3025"/>
    <w:rPr>
      <w:rFonts w:ascii="Times" w:eastAsia="Times" w:hAnsi="Times" w:cs="Times New Roman"/>
      <w:sz w:val="20"/>
      <w:szCs w:val="20"/>
      <w:lang w:val="en-US"/>
    </w:rPr>
  </w:style>
  <w:style w:type="paragraph" w:customStyle="1" w:styleId="Bullet">
    <w:name w:val="Bullet"/>
    <w:basedOn w:val="Normal"/>
    <w:link w:val="BulletChar"/>
    <w:rsid w:val="003F3025"/>
    <w:pPr>
      <w:numPr>
        <w:numId w:val="1"/>
      </w:numPr>
    </w:pPr>
  </w:style>
  <w:style w:type="character" w:customStyle="1" w:styleId="BulletChar">
    <w:name w:val="Bullet Char"/>
    <w:basedOn w:val="DefaultParagraphFont"/>
    <w:link w:val="Bullet"/>
    <w:rsid w:val="003F3025"/>
    <w:rPr>
      <w:rFonts w:ascii="Arial" w:hAnsi="Arial"/>
    </w:rPr>
  </w:style>
  <w:style w:type="paragraph" w:customStyle="1" w:styleId="Dash">
    <w:name w:val="Dash"/>
    <w:basedOn w:val="Normal"/>
    <w:link w:val="DashChar"/>
    <w:rsid w:val="003F3025"/>
    <w:pPr>
      <w:numPr>
        <w:ilvl w:val="1"/>
        <w:numId w:val="1"/>
      </w:numPr>
    </w:pPr>
  </w:style>
  <w:style w:type="paragraph" w:customStyle="1" w:styleId="DoubleDot">
    <w:name w:val="Double Dot"/>
    <w:basedOn w:val="Normal"/>
    <w:link w:val="DoubleDotChar"/>
    <w:rsid w:val="003F3025"/>
    <w:pPr>
      <w:numPr>
        <w:ilvl w:val="2"/>
        <w:numId w:val="1"/>
      </w:numPr>
    </w:pPr>
  </w:style>
  <w:style w:type="paragraph" w:customStyle="1" w:styleId="OutlineNumbered1">
    <w:name w:val="Outline Numbered 1"/>
    <w:basedOn w:val="Normal"/>
    <w:link w:val="OutlineNumbered1Char"/>
    <w:rsid w:val="003F3025"/>
    <w:pPr>
      <w:numPr>
        <w:numId w:val="2"/>
      </w:numPr>
      <w:spacing w:after="80"/>
    </w:pPr>
  </w:style>
  <w:style w:type="character" w:customStyle="1" w:styleId="OutlineNumbered1Char">
    <w:name w:val="Outline Numbered 1 Char"/>
    <w:basedOn w:val="BulletChar"/>
    <w:link w:val="OutlineNumbered1"/>
    <w:rsid w:val="003F3025"/>
    <w:rPr>
      <w:rFonts w:ascii="Arial" w:hAnsi="Arial"/>
    </w:rPr>
  </w:style>
  <w:style w:type="paragraph" w:customStyle="1" w:styleId="OutlineNumbered2">
    <w:name w:val="Outline Numbered 2"/>
    <w:basedOn w:val="Normal"/>
    <w:rsid w:val="003F3025"/>
    <w:pPr>
      <w:numPr>
        <w:ilvl w:val="1"/>
        <w:numId w:val="2"/>
      </w:numPr>
      <w:spacing w:after="80"/>
    </w:pPr>
  </w:style>
  <w:style w:type="paragraph" w:customStyle="1" w:styleId="OutlineNumbered3">
    <w:name w:val="Outline Numbered 3"/>
    <w:basedOn w:val="Normal"/>
    <w:rsid w:val="003F3025"/>
    <w:pPr>
      <w:numPr>
        <w:ilvl w:val="2"/>
        <w:numId w:val="2"/>
      </w:numPr>
      <w:spacing w:after="80"/>
    </w:pPr>
  </w:style>
  <w:style w:type="character" w:customStyle="1" w:styleId="Heading1Char">
    <w:name w:val="Heading 1 Char"/>
    <w:basedOn w:val="DefaultParagraphFont"/>
    <w:link w:val="Heading1"/>
    <w:uiPriority w:val="9"/>
    <w:rsid w:val="009852E9"/>
    <w:rPr>
      <w:rFonts w:ascii="Arial" w:eastAsiaTheme="majorEastAsia" w:hAnsi="Arial" w:cs="Arial"/>
      <w:b/>
      <w:bCs/>
      <w:smallCaps/>
      <w:sz w:val="32"/>
      <w:szCs w:val="28"/>
    </w:rPr>
  </w:style>
  <w:style w:type="character" w:customStyle="1" w:styleId="Heading2Char">
    <w:name w:val="Heading 2 Char"/>
    <w:basedOn w:val="DefaultParagraphFont"/>
    <w:link w:val="Heading2"/>
    <w:uiPriority w:val="9"/>
    <w:rsid w:val="0099024E"/>
    <w:rPr>
      <w:rFonts w:ascii="Arial Bold" w:eastAsiaTheme="majorEastAsia" w:hAnsi="Arial Bold" w:cstheme="majorBidi"/>
      <w:b/>
      <w:bCs/>
      <w:smallCaps/>
      <w:color w:val="365F91" w:themeColor="accent1" w:themeShade="BF"/>
      <w:sz w:val="26"/>
      <w:szCs w:val="26"/>
    </w:rPr>
  </w:style>
  <w:style w:type="character" w:customStyle="1" w:styleId="Heading3Char">
    <w:name w:val="Heading 3 Char"/>
    <w:basedOn w:val="DefaultParagraphFont"/>
    <w:link w:val="Heading3"/>
    <w:uiPriority w:val="9"/>
    <w:rsid w:val="00CA7683"/>
    <w:rPr>
      <w:rFonts w:ascii="Cambria" w:eastAsiaTheme="majorEastAsia" w:hAnsi="Cambria" w:cstheme="majorBidi"/>
      <w:b/>
      <w:bCs/>
      <w:caps/>
      <w:color w:val="4F81BD" w:themeColor="accent1"/>
    </w:rPr>
  </w:style>
  <w:style w:type="character" w:customStyle="1" w:styleId="DashChar">
    <w:name w:val="Dash Char"/>
    <w:basedOn w:val="DefaultParagraphFont"/>
    <w:link w:val="Dash"/>
    <w:rsid w:val="00CA7683"/>
    <w:rPr>
      <w:rFonts w:ascii="Arial" w:hAnsi="Arial"/>
    </w:rPr>
  </w:style>
  <w:style w:type="character" w:customStyle="1" w:styleId="DoubleDotChar">
    <w:name w:val="Double Dot Char"/>
    <w:basedOn w:val="DefaultParagraphFont"/>
    <w:link w:val="DoubleDot"/>
    <w:rsid w:val="00CA7683"/>
    <w:rPr>
      <w:rFonts w:ascii="Arial" w:hAnsi="Arial"/>
    </w:rPr>
  </w:style>
  <w:style w:type="paragraph" w:styleId="ListParagraph">
    <w:name w:val="List Paragraph"/>
    <w:basedOn w:val="Normal"/>
    <w:uiPriority w:val="34"/>
    <w:qFormat/>
    <w:rsid w:val="00CA7683"/>
    <w:pPr>
      <w:ind w:left="720"/>
      <w:contextualSpacing/>
    </w:pPr>
  </w:style>
  <w:style w:type="paragraph" w:customStyle="1" w:styleId="Default">
    <w:name w:val="Default"/>
    <w:rsid w:val="00BF092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27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9B2EE-6F33-4D1D-BD29-20819137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Submission DR366 - Australian Small Business Commissioner - Workplace Relations Framework - Public inquiry</vt:lpstr>
    </vt:vector>
  </TitlesOfParts>
  <Company>Australian Small Business Commissioner</Company>
  <LinksUpToDate>false</LinksUpToDate>
  <CharactersWithSpaces>23446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DR366 - Australian Small Business Commissioner - Workplace Relations Framework - Public inquiry</dc:title>
  <dc:creator>Australian Small Business Commissioner</dc:creator>
  <cp:lastModifiedBy>Productivity Commission</cp:lastModifiedBy>
  <cp:revision>17</cp:revision>
  <cp:lastPrinted>2015-10-07T03:14:00Z</cp:lastPrinted>
  <dcterms:created xsi:type="dcterms:W3CDTF">2015-10-06T06:30:00Z</dcterms:created>
  <dcterms:modified xsi:type="dcterms:W3CDTF">2015-10-12T02:55:00Z</dcterms:modified>
</cp:coreProperties>
</file>