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E14" w:rsidRPr="00A51D1A" w:rsidRDefault="004F102D" w:rsidP="00A51D1A">
      <w:pPr>
        <w:pStyle w:val="ACMAReportTitle"/>
      </w:pPr>
      <w:bookmarkStart w:id="0" w:name="_GoBack"/>
      <w:bookmarkEnd w:id="0"/>
      <w:r>
        <w:t>Submission to the Public Safety Mobile Broadband Productivity Commission Draft Report</w:t>
      </w:r>
    </w:p>
    <w:p w:rsidR="00F06E14" w:rsidRDefault="004F102D" w:rsidP="00F06E14">
      <w:pPr>
        <w:pStyle w:val="ACMAReportSubTitle"/>
      </w:pPr>
      <w:r>
        <w:t>Australian Communications and Media Authority (</w:t>
      </w:r>
      <w:proofErr w:type="spellStart"/>
      <w:r>
        <w:t>ACMA</w:t>
      </w:r>
      <w:proofErr w:type="spellEnd"/>
      <w:r>
        <w:t>)</w:t>
      </w:r>
    </w:p>
    <w:p w:rsidR="00F06E14" w:rsidRDefault="004F102D" w:rsidP="00D47AEB">
      <w:pPr>
        <w:pStyle w:val="ACMAReportDate"/>
        <w:spacing w:after="720"/>
      </w:pPr>
      <w:r>
        <w:t>October 2015</w:t>
      </w:r>
    </w:p>
    <w:p w:rsidR="00C97736" w:rsidRPr="000D76E0" w:rsidRDefault="00C97736" w:rsidP="0041071D">
      <w:pPr>
        <w:rPr>
          <w:rFonts w:cs="Arial"/>
        </w:rPr>
      </w:pPr>
    </w:p>
    <w:p w:rsidR="00C97736" w:rsidRPr="000D76E0" w:rsidRDefault="00C97736" w:rsidP="0041071D">
      <w:pPr>
        <w:rPr>
          <w:rFonts w:cs="Arial"/>
        </w:rPr>
        <w:sectPr w:rsidR="00C97736" w:rsidRPr="000D76E0" w:rsidSect="004F556E">
          <w:headerReference w:type="default" r:id="rId13"/>
          <w:footerReference w:type="default" r:id="rId14"/>
          <w:headerReference w:type="first" r:id="rId15"/>
          <w:pgSz w:w="11906" w:h="16838" w:code="9"/>
          <w:pgMar w:top="3924" w:right="1797" w:bottom="1440" w:left="1134" w:header="709" w:footer="454" w:gutter="0"/>
          <w:cols w:space="708"/>
          <w:docGrid w:linePitch="360"/>
        </w:sectPr>
      </w:pPr>
    </w:p>
    <w:p w:rsidR="0005011A" w:rsidRPr="00F44F3A" w:rsidRDefault="0005011A" w:rsidP="00FC07B9">
      <w:pPr>
        <w:pStyle w:val="ACMACorporateAddressHeader"/>
      </w:pPr>
      <w:r w:rsidRPr="00F44F3A">
        <w:lastRenderedPageBreak/>
        <w:t>Canberra</w:t>
      </w:r>
    </w:p>
    <w:p w:rsidR="0005011A" w:rsidRPr="00FC07B9" w:rsidRDefault="0005011A" w:rsidP="00FC07B9">
      <w:pPr>
        <w:pStyle w:val="ACMACorporateAddresses"/>
      </w:pPr>
      <w:r w:rsidRPr="00FC07B9">
        <w:t xml:space="preserve">Red Building </w:t>
      </w:r>
      <w:r w:rsidRPr="00FC07B9">
        <w:br/>
        <w:t>Benjamin Offices</w:t>
      </w:r>
      <w:r w:rsidRPr="00FC07B9">
        <w:br/>
        <w:t xml:space="preserve">Chan Street </w:t>
      </w:r>
      <w:r w:rsidRPr="00FC07B9">
        <w:br/>
        <w:t>Belconnen ACT</w:t>
      </w:r>
    </w:p>
    <w:p w:rsidR="0005011A" w:rsidRPr="00FC07B9" w:rsidRDefault="0005011A" w:rsidP="00FC07B9">
      <w:pPr>
        <w:pStyle w:val="ACMACorporateAddresses"/>
      </w:pPr>
      <w:r w:rsidRPr="00FC07B9">
        <w:t>PO Box 78</w:t>
      </w:r>
      <w:r w:rsidRPr="00FC07B9">
        <w:br/>
        <w:t>Belconnen ACT 2616</w:t>
      </w:r>
    </w:p>
    <w:p w:rsidR="00FE1823" w:rsidRPr="00FC07B9" w:rsidRDefault="0005011A" w:rsidP="00FC07B9">
      <w:pPr>
        <w:pStyle w:val="ACMACorporateAddresses"/>
      </w:pPr>
      <w:r w:rsidRPr="00FC07B9">
        <w:t>T</w:t>
      </w:r>
      <w:r w:rsidR="00537604" w:rsidRPr="00FC07B9">
        <w:tab/>
      </w:r>
      <w:r w:rsidRPr="00FC07B9">
        <w:t>+61 2 6219 5555</w:t>
      </w:r>
      <w:r w:rsidRPr="00FC07B9">
        <w:br/>
        <w:t>F</w:t>
      </w:r>
      <w:r w:rsidR="00537604" w:rsidRPr="00FC07B9">
        <w:tab/>
      </w:r>
      <w:r w:rsidRPr="00FC07B9">
        <w:t>+61 2 6219 5353</w:t>
      </w:r>
    </w:p>
    <w:p w:rsidR="0005011A" w:rsidRPr="00F44F3A" w:rsidRDefault="0005011A" w:rsidP="00FC07B9">
      <w:pPr>
        <w:pStyle w:val="ACMACorporateAddressHeader"/>
      </w:pPr>
      <w:r w:rsidRPr="00F44F3A">
        <w:t>Melbourne</w:t>
      </w:r>
    </w:p>
    <w:p w:rsidR="0005011A" w:rsidRPr="00F44F3A" w:rsidRDefault="0005011A" w:rsidP="00FC07B9">
      <w:pPr>
        <w:pStyle w:val="ACMACorporateAddresses"/>
      </w:pPr>
      <w:r w:rsidRPr="00F44F3A">
        <w:t xml:space="preserve">Level 32 </w:t>
      </w:r>
      <w:r w:rsidRPr="00F44F3A">
        <w:br/>
        <w:t>Melbourne Central Tower</w:t>
      </w:r>
      <w:r w:rsidRPr="00F44F3A">
        <w:br/>
        <w:t xml:space="preserve">360 Elizabeth Street </w:t>
      </w:r>
      <w:r w:rsidR="008C10F4" w:rsidRPr="00F44F3A">
        <w:br/>
      </w:r>
      <w:r w:rsidRPr="00F44F3A">
        <w:t>Melbourne VIC</w:t>
      </w:r>
    </w:p>
    <w:p w:rsidR="0005011A" w:rsidRPr="00F44F3A" w:rsidRDefault="0005011A" w:rsidP="00FC07B9">
      <w:pPr>
        <w:pStyle w:val="ACMACorporateAddresses"/>
      </w:pPr>
      <w:r w:rsidRPr="00F44F3A">
        <w:t>PO Box 13112</w:t>
      </w:r>
      <w:r w:rsidRPr="00F44F3A">
        <w:br/>
        <w:t xml:space="preserve">Law Courts </w:t>
      </w:r>
      <w:r w:rsidRPr="00F44F3A">
        <w:br/>
        <w:t>Melbourne VIC 8010</w:t>
      </w:r>
    </w:p>
    <w:p w:rsidR="0005011A" w:rsidRPr="00F44F3A" w:rsidRDefault="0005011A" w:rsidP="00FC07B9">
      <w:pPr>
        <w:pStyle w:val="ACMACorporateAddresses"/>
      </w:pPr>
      <w:r w:rsidRPr="00F44F3A">
        <w:t>T</w:t>
      </w:r>
      <w:r w:rsidR="00140318" w:rsidRPr="00F44F3A">
        <w:tab/>
      </w:r>
      <w:r w:rsidRPr="00F44F3A">
        <w:t>+61 3 9963 6800</w:t>
      </w:r>
      <w:r w:rsidRPr="00F44F3A">
        <w:br/>
        <w:t>F</w:t>
      </w:r>
      <w:r w:rsidR="00140318" w:rsidRPr="00F44F3A">
        <w:tab/>
      </w:r>
      <w:r w:rsidRPr="00F44F3A">
        <w:t>+61 3 9963 6899</w:t>
      </w:r>
    </w:p>
    <w:p w:rsidR="0005011A" w:rsidRPr="00F44F3A" w:rsidRDefault="0005011A" w:rsidP="00FC07B9">
      <w:pPr>
        <w:pStyle w:val="ACMACorporateAddressHeader"/>
      </w:pPr>
      <w:r w:rsidRPr="00F44F3A">
        <w:t>Sydney</w:t>
      </w:r>
    </w:p>
    <w:p w:rsidR="0005011A" w:rsidRPr="00F44F3A" w:rsidRDefault="0005011A" w:rsidP="00FC07B9">
      <w:pPr>
        <w:pStyle w:val="ACMACorporateAddresses"/>
      </w:pPr>
      <w:r w:rsidRPr="00F44F3A">
        <w:t xml:space="preserve">Level 5 </w:t>
      </w:r>
      <w:r w:rsidRPr="00F44F3A">
        <w:br/>
        <w:t>The Bay Centre</w:t>
      </w:r>
      <w:r w:rsidRPr="00F44F3A">
        <w:br/>
        <w:t xml:space="preserve">65 </w:t>
      </w:r>
      <w:proofErr w:type="spellStart"/>
      <w:r w:rsidRPr="00F44F3A">
        <w:t>Pirrama</w:t>
      </w:r>
      <w:proofErr w:type="spellEnd"/>
      <w:r w:rsidRPr="00F44F3A">
        <w:t xml:space="preserve"> Road </w:t>
      </w:r>
      <w:r w:rsidRPr="00F44F3A">
        <w:br/>
        <w:t>Pyrmont NSW</w:t>
      </w:r>
    </w:p>
    <w:p w:rsidR="0005011A" w:rsidRPr="00F44F3A" w:rsidRDefault="0005011A" w:rsidP="00FC07B9">
      <w:pPr>
        <w:pStyle w:val="ACMACorporateAddresses"/>
      </w:pPr>
      <w:r w:rsidRPr="00F44F3A">
        <w:t xml:space="preserve">PO Box </w:t>
      </w:r>
      <w:proofErr w:type="spellStart"/>
      <w:r w:rsidRPr="00F44F3A">
        <w:t>Q500</w:t>
      </w:r>
      <w:proofErr w:type="spellEnd"/>
      <w:r w:rsidRPr="00F44F3A">
        <w:br/>
        <w:t xml:space="preserve">Queen Victoria Building </w:t>
      </w:r>
      <w:r w:rsidRPr="00F44F3A">
        <w:br/>
        <w:t>NSW 1230</w:t>
      </w:r>
    </w:p>
    <w:p w:rsidR="0005011A" w:rsidRPr="00F44F3A" w:rsidRDefault="0005011A" w:rsidP="00FC07B9">
      <w:pPr>
        <w:pStyle w:val="ACMACorporateAddresses"/>
      </w:pPr>
      <w:r w:rsidRPr="00F44F3A">
        <w:t>T</w:t>
      </w:r>
      <w:r w:rsidR="00140318" w:rsidRPr="00F44F3A">
        <w:tab/>
      </w:r>
      <w:r w:rsidRPr="00F44F3A">
        <w:t>+61 2 9334 7700</w:t>
      </w:r>
      <w:r w:rsidR="00140318" w:rsidRPr="00F44F3A">
        <w:t xml:space="preserve"> or</w:t>
      </w:r>
      <w:r w:rsidRPr="00F44F3A">
        <w:t xml:space="preserve"> 1800 226 667</w:t>
      </w:r>
      <w:r w:rsidRPr="00F44F3A">
        <w:br/>
        <w:t>F</w:t>
      </w:r>
      <w:r w:rsidR="00140318" w:rsidRPr="00F44F3A">
        <w:tab/>
      </w:r>
      <w:r w:rsidRPr="00F44F3A">
        <w:t>+61 2 9334 7799</w:t>
      </w:r>
    </w:p>
    <w:p w:rsidR="00140318" w:rsidRPr="006D46E5" w:rsidRDefault="00140318" w:rsidP="00FC07B9">
      <w:pPr>
        <w:pStyle w:val="ACMACopyrightHeader"/>
      </w:pPr>
      <w:r w:rsidRPr="00140318">
        <w:t>Copyright notice</w:t>
      </w:r>
    </w:p>
    <w:p w:rsidR="00140318" w:rsidRPr="006D46E5" w:rsidRDefault="00623FF9" w:rsidP="00623FF9">
      <w:pPr>
        <w:pStyle w:val="ACMACClogo"/>
      </w:pPr>
      <w:r w:rsidRPr="00623FF9">
        <w:rPr>
          <w:noProof/>
        </w:rPr>
        <w:drawing>
          <wp:inline distT="0" distB="0" distL="0" distR="0" wp14:anchorId="5C5ECA30" wp14:editId="3B7F7EA9">
            <wp:extent cx="838200" cy="295275"/>
            <wp:effectExtent l="0" t="0" r="0" b="0"/>
            <wp:docPr id="1" name="Picture 1" title="Creative Commons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6"/>
                    </pic:cNvPr>
                    <pic:cNvPicPr>
                      <a:picLocks noChangeAspect="1" noChangeArrowheads="1"/>
                    </pic:cNvPicPr>
                  </pic:nvPicPr>
                  <pic:blipFill>
                    <a:blip r:embed="rId17" cstate="print"/>
                    <a:srcRect/>
                    <a:stretch>
                      <a:fillRect/>
                    </a:stretch>
                  </pic:blipFill>
                  <pic:spPr bwMode="auto">
                    <a:xfrm>
                      <a:off x="0" y="0"/>
                      <a:ext cx="838200" cy="295275"/>
                    </a:xfrm>
                    <a:prstGeom prst="rect">
                      <a:avLst/>
                    </a:prstGeom>
                    <a:noFill/>
                  </pic:spPr>
                </pic:pic>
              </a:graphicData>
            </a:graphic>
          </wp:inline>
        </w:drawing>
      </w:r>
    </w:p>
    <w:p w:rsidR="00140318" w:rsidRPr="00431792" w:rsidRDefault="00EF36B5" w:rsidP="00FC07B9">
      <w:pPr>
        <w:pStyle w:val="ACMACorporateAddresses"/>
        <w:rPr>
          <w:rStyle w:val="Hyperlink"/>
        </w:rPr>
      </w:pPr>
      <w:hyperlink r:id="rId18" w:tooltip="Creative Commons Licenses" w:history="1">
        <w:r w:rsidR="00140318" w:rsidRPr="00431792">
          <w:rPr>
            <w:rStyle w:val="Hyperlink"/>
          </w:rPr>
          <w:t>http://</w:t>
        </w:r>
        <w:proofErr w:type="spellStart"/>
        <w:r w:rsidR="00140318" w:rsidRPr="00431792">
          <w:rPr>
            <w:rStyle w:val="Hyperlink"/>
          </w:rPr>
          <w:t>creativecommons.org</w:t>
        </w:r>
        <w:proofErr w:type="spellEnd"/>
        <w:r w:rsidR="00140318" w:rsidRPr="00431792">
          <w:rPr>
            <w:rStyle w:val="Hyperlink"/>
          </w:rPr>
          <w:t>/licenses/by/3.0/au/</w:t>
        </w:r>
      </w:hyperlink>
    </w:p>
    <w:p w:rsidR="00140318" w:rsidRPr="006D46E5" w:rsidRDefault="00140318" w:rsidP="00FC07B9">
      <w:pPr>
        <w:pStyle w:val="ACMACorporateAddresses"/>
      </w:pPr>
      <w:r w:rsidRPr="006D46E5">
        <w:t xml:space="preserve">With the exception of coats of arms, logos, emblems, images, other third-party material or devices protected by a trademark, this content is licensed under the Creative Commons Australia Attribution 3.0 Licence. </w:t>
      </w:r>
    </w:p>
    <w:p w:rsidR="00140318" w:rsidRPr="006D46E5" w:rsidRDefault="00140318" w:rsidP="00FC07B9">
      <w:pPr>
        <w:pStyle w:val="ACMACorporateAddresses"/>
      </w:pPr>
      <w:r w:rsidRPr="006D46E5">
        <w:t>We request attribution as: © Commonwealth of Australia (Australian Communic</w:t>
      </w:r>
      <w:r w:rsidR="008408FF">
        <w:t>ations and Media Authority) 2015</w:t>
      </w:r>
      <w:r w:rsidRPr="006D46E5">
        <w:t>.</w:t>
      </w:r>
    </w:p>
    <w:p w:rsidR="00140318" w:rsidRPr="006D46E5" w:rsidRDefault="00140318" w:rsidP="00FC07B9">
      <w:pPr>
        <w:pStyle w:val="ACMACorporateAddresses"/>
      </w:pPr>
      <w:r>
        <w:t>All other rights are reserved.</w:t>
      </w:r>
    </w:p>
    <w:p w:rsidR="00140318" w:rsidRPr="006D46E5" w:rsidRDefault="00140318" w:rsidP="00FC07B9">
      <w:pPr>
        <w:pStyle w:val="ACMACorporateAddresses"/>
      </w:pPr>
      <w:r w:rsidRPr="006D46E5">
        <w:t xml:space="preserve">The Australian Communications and Media Authority has undertaken reasonable enquiries to identify material owned by third parties and secure permission for its reproduction. Permission may need to be obtained from third parties to </w:t>
      </w:r>
      <w:proofErr w:type="spellStart"/>
      <w:r w:rsidRPr="006D46E5">
        <w:t>re-use</w:t>
      </w:r>
      <w:proofErr w:type="spellEnd"/>
      <w:r w:rsidRPr="006D46E5">
        <w:t xml:space="preserve"> their material. </w:t>
      </w:r>
    </w:p>
    <w:p w:rsidR="00140318" w:rsidRPr="006D46E5" w:rsidRDefault="00140318" w:rsidP="00FC07B9">
      <w:pPr>
        <w:pStyle w:val="ACMACorporateAddresses"/>
      </w:pPr>
      <w:r w:rsidRPr="006D46E5">
        <w:t>Written enquiries may be sent to:</w:t>
      </w:r>
    </w:p>
    <w:p w:rsidR="00D16FE3" w:rsidRDefault="00140318" w:rsidP="00D16FE3">
      <w:pPr>
        <w:pStyle w:val="ACMACorporateAddresses"/>
        <w:rPr>
          <w:rStyle w:val="Hyperlink"/>
        </w:rPr>
      </w:pPr>
      <w:r w:rsidRPr="006D46E5">
        <w:t>Manager, Editorial and Design</w:t>
      </w:r>
      <w:r w:rsidR="00623FF9">
        <w:br/>
      </w:r>
      <w:r w:rsidRPr="006D46E5">
        <w:t>PO Box 13112</w:t>
      </w:r>
      <w:r w:rsidR="00623FF9">
        <w:br/>
      </w:r>
      <w:r w:rsidRPr="006D46E5">
        <w:t>Law Courts</w:t>
      </w:r>
      <w:r w:rsidR="00623FF9">
        <w:br/>
      </w:r>
      <w:r w:rsidRPr="006D46E5">
        <w:t>Melbourne VIC 8010</w:t>
      </w:r>
      <w:r w:rsidR="00623FF9">
        <w:br/>
      </w:r>
      <w:r w:rsidRPr="006D46E5">
        <w:t>Tel: 03 9963 6968</w:t>
      </w:r>
      <w:r w:rsidR="00623FF9">
        <w:br/>
      </w:r>
      <w:r w:rsidRPr="006D46E5">
        <w:t xml:space="preserve">Email: </w:t>
      </w:r>
      <w:hyperlink r:id="rId19" w:history="1">
        <w:proofErr w:type="spellStart"/>
        <w:r w:rsidRPr="00431792">
          <w:rPr>
            <w:rStyle w:val="Hyperlink"/>
          </w:rPr>
          <w:t>candinfo@acma.gov.au</w:t>
        </w:r>
        <w:proofErr w:type="spellEnd"/>
      </w:hyperlink>
    </w:p>
    <w:p w:rsidR="00D16FE3" w:rsidRDefault="00D16FE3" w:rsidP="00D16FE3">
      <w:pPr>
        <w:pStyle w:val="ACMACorporateAddresses"/>
        <w:rPr>
          <w:rStyle w:val="Hyperlink"/>
        </w:rPr>
      </w:pPr>
    </w:p>
    <w:p w:rsidR="00D16FE3" w:rsidRPr="00D16FE3" w:rsidRDefault="00D16FE3" w:rsidP="00D16FE3">
      <w:pPr>
        <w:pStyle w:val="ACMACorporateAddresses"/>
        <w:sectPr w:rsidR="00D16FE3" w:rsidRPr="00D16FE3">
          <w:headerReference w:type="even" r:id="rId20"/>
          <w:headerReference w:type="default" r:id="rId21"/>
          <w:footerReference w:type="even" r:id="rId22"/>
          <w:footerReference w:type="default" r:id="rId23"/>
          <w:pgSz w:w="11906" w:h="16838" w:code="9"/>
          <w:pgMar w:top="3924" w:right="1797" w:bottom="697" w:left="1134" w:header="709" w:footer="119" w:gutter="0"/>
          <w:cols w:space="708"/>
          <w:docGrid w:linePitch="360"/>
        </w:sectPr>
      </w:pPr>
    </w:p>
    <w:p w:rsidR="009D6C71" w:rsidRPr="009174F3" w:rsidRDefault="00887DEC" w:rsidP="009174F3">
      <w:pPr>
        <w:pStyle w:val="ACMAExecSummaryHeading"/>
      </w:pPr>
      <w:r>
        <w:lastRenderedPageBreak/>
        <w:t>Response</w:t>
      </w:r>
    </w:p>
    <w:p w:rsidR="005606D3" w:rsidRPr="005606D3" w:rsidRDefault="005606D3" w:rsidP="005606D3">
      <w:pPr>
        <w:spacing w:before="120" w:after="120"/>
        <w:rPr>
          <w:rFonts w:cs="Arial"/>
        </w:rPr>
      </w:pPr>
      <w:r w:rsidRPr="005606D3">
        <w:rPr>
          <w:rFonts w:cs="Arial"/>
        </w:rPr>
        <w:t xml:space="preserve">The Australian Communications and Media Authority (the </w:t>
      </w:r>
      <w:proofErr w:type="spellStart"/>
      <w:r w:rsidRPr="005606D3">
        <w:rPr>
          <w:rFonts w:cs="Arial"/>
        </w:rPr>
        <w:t>ACMA</w:t>
      </w:r>
      <w:proofErr w:type="spellEnd"/>
      <w:r w:rsidRPr="005606D3">
        <w:rPr>
          <w:rFonts w:cs="Arial"/>
        </w:rPr>
        <w:t>) thanks the Productivity Commission for its draft report on the study into securing a mobile broadband capability to meet the long term needs of Australia's public safety agencies (</w:t>
      </w:r>
      <w:proofErr w:type="spellStart"/>
      <w:r w:rsidRPr="005606D3">
        <w:rPr>
          <w:rFonts w:cs="Arial"/>
        </w:rPr>
        <w:t>PSAs</w:t>
      </w:r>
      <w:proofErr w:type="spellEnd"/>
      <w:r w:rsidRPr="005606D3">
        <w:rPr>
          <w:rFonts w:cs="Arial"/>
        </w:rPr>
        <w:t xml:space="preserve">). The </w:t>
      </w:r>
      <w:proofErr w:type="spellStart"/>
      <w:r w:rsidRPr="005606D3">
        <w:rPr>
          <w:rFonts w:cs="Arial"/>
        </w:rPr>
        <w:t>ACMA’s</w:t>
      </w:r>
      <w:proofErr w:type="spellEnd"/>
      <w:r w:rsidRPr="005606D3">
        <w:rPr>
          <w:rFonts w:cs="Arial"/>
        </w:rPr>
        <w:t xml:space="preserve"> role in this process and the spectrum management environment in which it operates is detailed in its previous submission on this matter.</w:t>
      </w:r>
    </w:p>
    <w:p w:rsidR="00BA130D" w:rsidRDefault="005606D3" w:rsidP="005606D3">
      <w:pPr>
        <w:spacing w:before="120" w:after="120"/>
        <w:rPr>
          <w:rFonts w:cs="Arial"/>
        </w:rPr>
      </w:pPr>
      <w:r w:rsidRPr="005606D3">
        <w:rPr>
          <w:rFonts w:cs="Arial"/>
        </w:rPr>
        <w:t xml:space="preserve">It is the </w:t>
      </w:r>
      <w:proofErr w:type="spellStart"/>
      <w:r w:rsidRPr="005606D3">
        <w:rPr>
          <w:rFonts w:cs="Arial"/>
        </w:rPr>
        <w:t>ACMA’s</w:t>
      </w:r>
      <w:proofErr w:type="spellEnd"/>
      <w:r w:rsidRPr="005606D3">
        <w:rPr>
          <w:rFonts w:cs="Arial"/>
        </w:rPr>
        <w:t xml:space="preserve"> view that the methodologies employed in the study are both sound and appropriate in determining the best means to deliver a public safety mobile broadband (PSMB) capability. As far as the </w:t>
      </w:r>
      <w:proofErr w:type="spellStart"/>
      <w:r w:rsidRPr="005606D3">
        <w:rPr>
          <w:rFonts w:cs="Arial"/>
        </w:rPr>
        <w:t>ACMA</w:t>
      </w:r>
      <w:proofErr w:type="spellEnd"/>
      <w:r w:rsidRPr="005606D3">
        <w:rPr>
          <w:rFonts w:cs="Arial"/>
        </w:rPr>
        <w:t xml:space="preserve"> is concerned, the need for PSMB has never been in question, nor has the specified grade of service requirements – these are matters for the Government in consultation with </w:t>
      </w:r>
      <w:proofErr w:type="spellStart"/>
      <w:r w:rsidRPr="005606D3">
        <w:rPr>
          <w:rFonts w:cs="Arial"/>
        </w:rPr>
        <w:t>PSAs</w:t>
      </w:r>
      <w:proofErr w:type="spellEnd"/>
      <w:r w:rsidRPr="005606D3">
        <w:rPr>
          <w:rFonts w:cs="Arial"/>
        </w:rPr>
        <w:t xml:space="preserve">. </w:t>
      </w:r>
    </w:p>
    <w:p w:rsidR="005606D3" w:rsidRPr="005606D3" w:rsidRDefault="00BA130D" w:rsidP="005606D3">
      <w:pPr>
        <w:spacing w:before="120" w:after="120"/>
        <w:rPr>
          <w:rFonts w:cs="Arial"/>
        </w:rPr>
      </w:pPr>
      <w:r>
        <w:rPr>
          <w:rFonts w:cs="Arial"/>
        </w:rPr>
        <w:t>T</w:t>
      </w:r>
      <w:r w:rsidR="005606D3" w:rsidRPr="005606D3">
        <w:rPr>
          <w:rFonts w:cs="Arial"/>
        </w:rPr>
        <w:t xml:space="preserve">he </w:t>
      </w:r>
      <w:proofErr w:type="spellStart"/>
      <w:r w:rsidR="005606D3" w:rsidRPr="005606D3">
        <w:rPr>
          <w:rFonts w:cs="Arial"/>
        </w:rPr>
        <w:t>ACMA</w:t>
      </w:r>
      <w:proofErr w:type="spellEnd"/>
      <w:r w:rsidR="005606D3" w:rsidRPr="005606D3">
        <w:rPr>
          <w:rFonts w:cs="Arial"/>
        </w:rPr>
        <w:t xml:space="preserve"> supports the </w:t>
      </w:r>
      <w:r w:rsidR="00CA4D03">
        <w:rPr>
          <w:rFonts w:cs="Arial"/>
        </w:rPr>
        <w:t>Commission’s</w:t>
      </w:r>
      <w:r w:rsidR="005606D3" w:rsidRPr="005606D3">
        <w:rPr>
          <w:rFonts w:cs="Arial"/>
        </w:rPr>
        <w:t xml:space="preserve"> approach of dimensioning the range of PSMB delivery models considered to meet a common benefit, and focussing on the cost-effectiveness of those models. As the </w:t>
      </w:r>
      <w:proofErr w:type="spellStart"/>
      <w:r w:rsidR="005606D3" w:rsidRPr="005606D3">
        <w:rPr>
          <w:rFonts w:cs="Arial"/>
        </w:rPr>
        <w:t>ACMA</w:t>
      </w:r>
      <w:proofErr w:type="spellEnd"/>
      <w:r w:rsidR="005606D3" w:rsidRPr="005606D3">
        <w:rPr>
          <w:rFonts w:cs="Arial"/>
        </w:rPr>
        <w:t xml:space="preserve"> outlined in its previous submission, the ultimate goal </w:t>
      </w:r>
      <w:r>
        <w:rPr>
          <w:rFonts w:cs="Arial"/>
        </w:rPr>
        <w:t xml:space="preserve">should be to </w:t>
      </w:r>
      <w:r w:rsidR="005606D3" w:rsidRPr="005606D3">
        <w:rPr>
          <w:rFonts w:cs="Arial"/>
        </w:rPr>
        <w:t>deliver and maintain the necessary data capacity in</w:t>
      </w:r>
      <w:r w:rsidR="00495728">
        <w:rPr>
          <w:rFonts w:cs="Arial"/>
        </w:rPr>
        <w:t xml:space="preserve"> a</w:t>
      </w:r>
      <w:r w:rsidR="005606D3" w:rsidRPr="005606D3">
        <w:rPr>
          <w:rFonts w:cs="Arial"/>
        </w:rPr>
        <w:t xml:space="preserve"> </w:t>
      </w:r>
      <w:r w:rsidR="00495728">
        <w:rPr>
          <w:rFonts w:cs="Arial"/>
        </w:rPr>
        <w:t>range of possible operational</w:t>
      </w:r>
      <w:r w:rsidR="005606D3" w:rsidRPr="005606D3">
        <w:rPr>
          <w:rFonts w:cs="Arial"/>
        </w:rPr>
        <w:t xml:space="preserve"> scenarios. If all </w:t>
      </w:r>
      <w:r w:rsidR="00495728">
        <w:rPr>
          <w:rFonts w:cs="Arial"/>
        </w:rPr>
        <w:t xml:space="preserve">delivery </w:t>
      </w:r>
      <w:r w:rsidR="005606D3" w:rsidRPr="005606D3">
        <w:rPr>
          <w:rFonts w:cs="Arial"/>
        </w:rPr>
        <w:t xml:space="preserve">models </w:t>
      </w:r>
      <w:r>
        <w:rPr>
          <w:rFonts w:cs="Arial"/>
        </w:rPr>
        <w:t xml:space="preserve">considered </w:t>
      </w:r>
      <w:r w:rsidR="005606D3" w:rsidRPr="005606D3">
        <w:rPr>
          <w:rFonts w:cs="Arial"/>
        </w:rPr>
        <w:t xml:space="preserve">are dimensioned to </w:t>
      </w:r>
      <w:r w:rsidR="00495728" w:rsidRPr="005606D3">
        <w:rPr>
          <w:rFonts w:cs="Arial"/>
        </w:rPr>
        <w:t>deliver to the necessary grade of service</w:t>
      </w:r>
      <w:r w:rsidR="005606D3" w:rsidRPr="005606D3">
        <w:rPr>
          <w:rFonts w:cs="Arial"/>
        </w:rPr>
        <w:t>, it is logical that cost effectiveness will be the main point of differentiation between them.</w:t>
      </w:r>
    </w:p>
    <w:p w:rsidR="005606D3" w:rsidRPr="005606D3" w:rsidRDefault="005606D3" w:rsidP="005606D3">
      <w:pPr>
        <w:spacing w:before="120" w:after="120"/>
        <w:rPr>
          <w:rFonts w:cs="Arial"/>
        </w:rPr>
      </w:pPr>
      <w:r w:rsidRPr="005606D3">
        <w:rPr>
          <w:rFonts w:cs="Arial"/>
        </w:rPr>
        <w:t xml:space="preserve">Many of the inputs to the analysis are not matters for the </w:t>
      </w:r>
      <w:proofErr w:type="spellStart"/>
      <w:r w:rsidRPr="005606D3">
        <w:rPr>
          <w:rFonts w:cs="Arial"/>
        </w:rPr>
        <w:t>ACMA</w:t>
      </w:r>
      <w:proofErr w:type="spellEnd"/>
      <w:r w:rsidRPr="005606D3">
        <w:rPr>
          <w:rFonts w:cs="Arial"/>
        </w:rPr>
        <w:t xml:space="preserve"> to comment on. </w:t>
      </w:r>
      <w:r w:rsidRPr="005606D3">
        <w:rPr>
          <w:rFonts w:cs="Arial"/>
          <w:szCs w:val="22"/>
        </w:rPr>
        <w:t xml:space="preserve">As suggested in the </w:t>
      </w:r>
      <w:proofErr w:type="spellStart"/>
      <w:r w:rsidRPr="005606D3">
        <w:rPr>
          <w:rFonts w:cs="Arial"/>
          <w:szCs w:val="22"/>
        </w:rPr>
        <w:t>ACMA’s</w:t>
      </w:r>
      <w:proofErr w:type="spellEnd"/>
      <w:r w:rsidRPr="005606D3">
        <w:rPr>
          <w:rFonts w:cs="Arial"/>
          <w:szCs w:val="22"/>
        </w:rPr>
        <w:t xml:space="preserve"> previous submission, issues around governance (including interoperability), capability (including capacity, availability, coverage and prioritisation), technology (including public safety-specified equipment availability and voice/data convergence) and business (including procurement and costing) matters have been left to those with relevant expertise.</w:t>
      </w:r>
    </w:p>
    <w:p w:rsidR="005606D3" w:rsidRPr="005606D3" w:rsidRDefault="005606D3" w:rsidP="005606D3">
      <w:pPr>
        <w:spacing w:before="120" w:after="120"/>
        <w:rPr>
          <w:rFonts w:cs="Arial"/>
        </w:rPr>
      </w:pPr>
      <w:r w:rsidRPr="005606D3">
        <w:rPr>
          <w:rFonts w:cs="Arial"/>
        </w:rPr>
        <w:t xml:space="preserve">On matters within the </w:t>
      </w:r>
      <w:proofErr w:type="spellStart"/>
      <w:r w:rsidRPr="005606D3">
        <w:rPr>
          <w:rFonts w:cs="Arial"/>
        </w:rPr>
        <w:t>ACMA’s</w:t>
      </w:r>
      <w:proofErr w:type="spellEnd"/>
      <w:r w:rsidRPr="005606D3">
        <w:rPr>
          <w:rFonts w:cs="Arial"/>
        </w:rPr>
        <w:t xml:space="preserve"> scope, draft recommendation 7.2 states that:</w:t>
      </w:r>
    </w:p>
    <w:p w:rsidR="005606D3" w:rsidRPr="005606D3" w:rsidRDefault="005606D3" w:rsidP="005606D3">
      <w:pPr>
        <w:spacing w:before="120" w:after="120"/>
        <w:ind w:left="720"/>
        <w:rPr>
          <w:rFonts w:cs="Arial"/>
          <w:i/>
        </w:rPr>
      </w:pPr>
      <w:r w:rsidRPr="005606D3">
        <w:rPr>
          <w:rFonts w:cs="Arial"/>
          <w:i/>
        </w:rPr>
        <w:t>If the Australia Communications and Media Authority allocates spectrum for PSMB, it should be priced at its opportunity cost.</w:t>
      </w:r>
    </w:p>
    <w:p w:rsidR="005606D3" w:rsidRPr="005606D3" w:rsidRDefault="005606D3" w:rsidP="005606D3">
      <w:pPr>
        <w:spacing w:before="120" w:after="120"/>
        <w:rPr>
          <w:rFonts w:cs="Arial"/>
        </w:rPr>
      </w:pPr>
      <w:r w:rsidRPr="005606D3">
        <w:rPr>
          <w:rFonts w:cs="Arial"/>
        </w:rPr>
        <w:t xml:space="preserve">As detailed in the </w:t>
      </w:r>
      <w:proofErr w:type="spellStart"/>
      <w:r w:rsidRPr="005606D3">
        <w:rPr>
          <w:rFonts w:cs="Arial"/>
        </w:rPr>
        <w:t>ACMA’s</w:t>
      </w:r>
      <w:proofErr w:type="spellEnd"/>
      <w:r w:rsidRPr="005606D3">
        <w:rPr>
          <w:rFonts w:cs="Arial"/>
        </w:rPr>
        <w:t xml:space="preserve"> previous submission, the</w:t>
      </w:r>
      <w:r w:rsidRPr="00247121">
        <w:rPr>
          <w:rFonts w:cs="Arial"/>
          <w:szCs w:val="20"/>
        </w:rPr>
        <w:t xml:space="preserve"> </w:t>
      </w:r>
      <w:proofErr w:type="spellStart"/>
      <w:r w:rsidRPr="00247121">
        <w:rPr>
          <w:rFonts w:cs="Arial"/>
          <w:szCs w:val="20"/>
        </w:rPr>
        <w:t>ACMA’s</w:t>
      </w:r>
      <w:proofErr w:type="spellEnd"/>
      <w:r w:rsidRPr="00247121">
        <w:rPr>
          <w:rFonts w:cs="Arial"/>
          <w:szCs w:val="20"/>
        </w:rPr>
        <w:t xml:space="preserve"> approach to </w:t>
      </w:r>
      <w:r w:rsidRPr="005606D3">
        <w:rPr>
          <w:rFonts w:cs="Arial"/>
          <w:szCs w:val="22"/>
        </w:rPr>
        <w:t>pricing</w:t>
      </w:r>
      <w:r w:rsidRPr="00247121">
        <w:rPr>
          <w:rFonts w:cs="Arial"/>
          <w:szCs w:val="20"/>
        </w:rPr>
        <w:t xml:space="preserve"> is to set prices on a market basis and to respond to di</w:t>
      </w:r>
      <w:r>
        <w:rPr>
          <w:rFonts w:cs="Arial"/>
          <w:szCs w:val="20"/>
        </w:rPr>
        <w:t xml:space="preserve">rections from the Government </w:t>
      </w:r>
      <w:r w:rsidR="003021D8">
        <w:rPr>
          <w:rFonts w:cs="Arial"/>
          <w:szCs w:val="20"/>
        </w:rPr>
        <w:t>if</w:t>
      </w:r>
      <w:r>
        <w:rPr>
          <w:rFonts w:cs="Arial"/>
          <w:szCs w:val="20"/>
        </w:rPr>
        <w:t xml:space="preserve"> </w:t>
      </w:r>
      <w:r w:rsidRPr="00247121">
        <w:rPr>
          <w:rFonts w:cs="Arial"/>
          <w:szCs w:val="20"/>
        </w:rPr>
        <w:t>public interest pricing matters</w:t>
      </w:r>
      <w:r w:rsidR="003021D8">
        <w:rPr>
          <w:rFonts w:cs="Arial"/>
          <w:szCs w:val="20"/>
        </w:rPr>
        <w:t xml:space="preserve"> are to be considered</w:t>
      </w:r>
      <w:r w:rsidRPr="00247121">
        <w:rPr>
          <w:rFonts w:cs="Arial"/>
          <w:szCs w:val="20"/>
        </w:rPr>
        <w:t>.</w:t>
      </w:r>
      <w:r w:rsidR="00D30ED4">
        <w:rPr>
          <w:rStyle w:val="FootnoteReference"/>
          <w:rFonts w:cs="Arial"/>
          <w:szCs w:val="20"/>
        </w:rPr>
        <w:footnoteReference w:id="2"/>
      </w:r>
      <w:r w:rsidRPr="005606D3">
        <w:rPr>
          <w:rFonts w:cs="Arial"/>
          <w:szCs w:val="22"/>
        </w:rPr>
        <w:t xml:space="preserve"> </w:t>
      </w:r>
    </w:p>
    <w:p w:rsidR="005606D3" w:rsidRPr="005606D3" w:rsidRDefault="005606D3" w:rsidP="005606D3">
      <w:pPr>
        <w:spacing w:before="120" w:after="120"/>
        <w:rPr>
          <w:rFonts w:cs="Arial"/>
        </w:rPr>
      </w:pPr>
      <w:r w:rsidRPr="005606D3">
        <w:rPr>
          <w:rFonts w:cs="Arial"/>
        </w:rPr>
        <w:t xml:space="preserve">It is noted that the draft report makes no specific findings or recommendations on an allocation of spectrum, although all of the delivery models considered, with the exception of the purely commercial option, would necessitate such an allocation. Even with regard to the purely commercial option, there is some discussion in the report on whether or not the additional load placed on a commercial network by </w:t>
      </w:r>
      <w:r w:rsidR="00845B3E">
        <w:rPr>
          <w:rFonts w:cs="Arial"/>
        </w:rPr>
        <w:t xml:space="preserve">the carriage of </w:t>
      </w:r>
      <w:proofErr w:type="spellStart"/>
      <w:r w:rsidRPr="005606D3">
        <w:rPr>
          <w:rFonts w:cs="Arial"/>
        </w:rPr>
        <w:t>PSA</w:t>
      </w:r>
      <w:proofErr w:type="spellEnd"/>
      <w:r w:rsidRPr="005606D3">
        <w:rPr>
          <w:rFonts w:cs="Arial"/>
        </w:rPr>
        <w:t xml:space="preserve"> </w:t>
      </w:r>
      <w:r w:rsidR="00845B3E">
        <w:rPr>
          <w:rFonts w:cs="Arial"/>
        </w:rPr>
        <w:t xml:space="preserve">traffic </w:t>
      </w:r>
      <w:r w:rsidRPr="005606D3">
        <w:rPr>
          <w:rFonts w:cs="Arial"/>
        </w:rPr>
        <w:t xml:space="preserve">would necessitate </w:t>
      </w:r>
      <w:r w:rsidR="00845B3E">
        <w:rPr>
          <w:rFonts w:cs="Arial"/>
        </w:rPr>
        <w:t xml:space="preserve">the acquisition of </w:t>
      </w:r>
      <w:r w:rsidRPr="005606D3">
        <w:rPr>
          <w:rFonts w:cs="Arial"/>
        </w:rPr>
        <w:t>additional spectrum</w:t>
      </w:r>
      <w:r w:rsidR="00845B3E">
        <w:rPr>
          <w:rFonts w:cs="Arial"/>
        </w:rPr>
        <w:t xml:space="preserve"> by the carrier(s)</w:t>
      </w:r>
      <w:r w:rsidRPr="005606D3">
        <w:rPr>
          <w:rFonts w:cs="Arial"/>
        </w:rPr>
        <w:t xml:space="preserve">. </w:t>
      </w:r>
    </w:p>
    <w:p w:rsidR="005606D3" w:rsidRPr="005606D3" w:rsidRDefault="005606D3" w:rsidP="005606D3">
      <w:pPr>
        <w:spacing w:before="120" w:after="120"/>
        <w:rPr>
          <w:rFonts w:cs="Arial"/>
        </w:rPr>
      </w:pPr>
      <w:r w:rsidRPr="005606D3">
        <w:rPr>
          <w:rFonts w:cs="Arial"/>
        </w:rPr>
        <w:t xml:space="preserve">As noted in the </w:t>
      </w:r>
      <w:proofErr w:type="spellStart"/>
      <w:r w:rsidRPr="005606D3">
        <w:rPr>
          <w:rFonts w:cs="Arial"/>
        </w:rPr>
        <w:t>ACMA’s</w:t>
      </w:r>
      <w:proofErr w:type="spellEnd"/>
      <w:r w:rsidRPr="005606D3">
        <w:rPr>
          <w:rFonts w:cs="Arial"/>
        </w:rPr>
        <w:t xml:space="preserve"> previous submission, the key requirement is data capacity, not (just) spectrum. If </w:t>
      </w:r>
      <w:r w:rsidR="00237ECA">
        <w:rPr>
          <w:rFonts w:cs="Arial"/>
        </w:rPr>
        <w:t>the pure commercial</w:t>
      </w:r>
      <w:r w:rsidRPr="005606D3">
        <w:rPr>
          <w:rFonts w:cs="Arial"/>
        </w:rPr>
        <w:t xml:space="preserve"> option is ultimately selected and the service </w:t>
      </w:r>
      <w:r w:rsidRPr="005606D3">
        <w:rPr>
          <w:rFonts w:cs="Arial"/>
        </w:rPr>
        <w:lastRenderedPageBreak/>
        <w:t xml:space="preserve">provider(s) needs additional capacity to accommodate additional traffic, then that additional </w:t>
      </w:r>
      <w:r w:rsidR="00167F68">
        <w:rPr>
          <w:rFonts w:cs="Arial"/>
        </w:rPr>
        <w:t xml:space="preserve">data </w:t>
      </w:r>
      <w:r w:rsidRPr="005606D3">
        <w:rPr>
          <w:rFonts w:cs="Arial"/>
        </w:rPr>
        <w:t xml:space="preserve">capacity </w:t>
      </w:r>
      <w:r w:rsidR="00237ECA">
        <w:rPr>
          <w:rFonts w:cs="Arial"/>
        </w:rPr>
        <w:t>c</w:t>
      </w:r>
      <w:r w:rsidRPr="005606D3">
        <w:rPr>
          <w:rFonts w:cs="Arial"/>
        </w:rPr>
        <w:t xml:space="preserve">ould </w:t>
      </w:r>
      <w:r w:rsidR="00167F68">
        <w:rPr>
          <w:rFonts w:cs="Arial"/>
        </w:rPr>
        <w:t xml:space="preserve">potentially </w:t>
      </w:r>
      <w:r w:rsidRPr="005606D3">
        <w:rPr>
          <w:rFonts w:cs="Arial"/>
        </w:rPr>
        <w:t xml:space="preserve">be secured through </w:t>
      </w:r>
      <w:r w:rsidR="00167F68">
        <w:rPr>
          <w:rFonts w:cs="Arial"/>
        </w:rPr>
        <w:t xml:space="preserve">any </w:t>
      </w:r>
      <w:r w:rsidR="00FA5ABB">
        <w:rPr>
          <w:rFonts w:cs="Arial"/>
        </w:rPr>
        <w:t>combination</w:t>
      </w:r>
      <w:r w:rsidR="00167F68">
        <w:rPr>
          <w:rFonts w:cs="Arial"/>
        </w:rPr>
        <w:t xml:space="preserve"> of</w:t>
      </w:r>
      <w:r w:rsidR="00FA5ABB">
        <w:rPr>
          <w:rFonts w:cs="Arial"/>
        </w:rPr>
        <w:t xml:space="preserve"> </w:t>
      </w:r>
      <w:r w:rsidRPr="005606D3">
        <w:rPr>
          <w:rFonts w:cs="Arial"/>
        </w:rPr>
        <w:t>infrastructure</w:t>
      </w:r>
      <w:r w:rsidR="00FA5ABB">
        <w:rPr>
          <w:rFonts w:cs="Arial"/>
        </w:rPr>
        <w:t xml:space="preserve"> investment</w:t>
      </w:r>
      <w:r w:rsidRPr="005606D3">
        <w:rPr>
          <w:rFonts w:cs="Arial"/>
        </w:rPr>
        <w:t xml:space="preserve">, technology </w:t>
      </w:r>
      <w:r w:rsidR="00FA5ABB">
        <w:rPr>
          <w:rFonts w:cs="Arial"/>
        </w:rPr>
        <w:t xml:space="preserve">improvements </w:t>
      </w:r>
      <w:r w:rsidRPr="005606D3">
        <w:rPr>
          <w:rFonts w:cs="Arial"/>
        </w:rPr>
        <w:t xml:space="preserve">and/or </w:t>
      </w:r>
      <w:r w:rsidR="00167F68">
        <w:rPr>
          <w:rFonts w:cs="Arial"/>
        </w:rPr>
        <w:t xml:space="preserve">acquisition of additional </w:t>
      </w:r>
      <w:r w:rsidRPr="005606D3">
        <w:rPr>
          <w:rFonts w:cs="Arial"/>
        </w:rPr>
        <w:t xml:space="preserve">spectrum </w:t>
      </w:r>
      <w:r w:rsidR="00167F68">
        <w:rPr>
          <w:rFonts w:cs="Arial"/>
        </w:rPr>
        <w:t>(whether from government sales or the secondary market)</w:t>
      </w:r>
      <w:r w:rsidRPr="005606D3">
        <w:rPr>
          <w:rFonts w:cs="Arial"/>
        </w:rPr>
        <w:t xml:space="preserve">. The </w:t>
      </w:r>
      <w:proofErr w:type="spellStart"/>
      <w:r w:rsidRPr="005606D3">
        <w:rPr>
          <w:rFonts w:cs="Arial"/>
        </w:rPr>
        <w:t>ACMA</w:t>
      </w:r>
      <w:proofErr w:type="spellEnd"/>
      <w:r w:rsidRPr="005606D3">
        <w:rPr>
          <w:rFonts w:cs="Arial"/>
        </w:rPr>
        <w:t xml:space="preserve"> recently released its </w:t>
      </w:r>
      <w:r w:rsidRPr="005606D3">
        <w:rPr>
          <w:rFonts w:cs="Arial"/>
          <w:i/>
        </w:rPr>
        <w:t>Beyond 2020 – A spectrum management strategy to address the growth in mobile broadband capacity</w:t>
      </w:r>
      <w:r w:rsidRPr="005606D3">
        <w:rPr>
          <w:rFonts w:cs="Arial"/>
        </w:rPr>
        <w:t xml:space="preserve"> paper</w:t>
      </w:r>
      <w:r w:rsidRPr="005606D3">
        <w:rPr>
          <w:rFonts w:cs="Arial"/>
          <w:vertAlign w:val="superscript"/>
        </w:rPr>
        <w:footnoteReference w:id="3"/>
      </w:r>
      <w:r w:rsidRPr="005606D3">
        <w:rPr>
          <w:rFonts w:cs="Arial"/>
        </w:rPr>
        <w:t>, which describes the relationship between the abovementioned dimensions that can be combined</w:t>
      </w:r>
      <w:r w:rsidR="00EC623F">
        <w:rPr>
          <w:rFonts w:cs="Arial"/>
        </w:rPr>
        <w:t>/traded off</w:t>
      </w:r>
      <w:r w:rsidRPr="005606D3">
        <w:rPr>
          <w:rFonts w:cs="Arial"/>
        </w:rPr>
        <w:t xml:space="preserve"> to deliver mobile broadband capacity.</w:t>
      </w:r>
    </w:p>
    <w:p w:rsidR="005606D3" w:rsidRPr="005606D3" w:rsidRDefault="005606D3" w:rsidP="005606D3">
      <w:pPr>
        <w:spacing w:before="120" w:after="120" w:line="240" w:lineRule="auto"/>
        <w:rPr>
          <w:rFonts w:cs="Arial"/>
        </w:rPr>
      </w:pPr>
      <w:r w:rsidRPr="005606D3">
        <w:rPr>
          <w:rFonts w:cs="Arial"/>
        </w:rPr>
        <w:t xml:space="preserve">The </w:t>
      </w:r>
      <w:proofErr w:type="spellStart"/>
      <w:r w:rsidRPr="005606D3">
        <w:rPr>
          <w:rFonts w:cs="Arial"/>
        </w:rPr>
        <w:t>ACMA</w:t>
      </w:r>
      <w:proofErr w:type="spellEnd"/>
      <w:r w:rsidRPr="005606D3">
        <w:rPr>
          <w:rFonts w:cs="Arial"/>
        </w:rPr>
        <w:t xml:space="preserve"> will now await clearer direction on how</w:t>
      </w:r>
      <w:r w:rsidR="00F85D47">
        <w:rPr>
          <w:rFonts w:cs="Arial"/>
        </w:rPr>
        <w:t xml:space="preserve"> a</w:t>
      </w:r>
      <w:r w:rsidRPr="005606D3">
        <w:rPr>
          <w:rFonts w:cs="Arial"/>
        </w:rPr>
        <w:t xml:space="preserve"> PSMB </w:t>
      </w:r>
      <w:r w:rsidR="00F85D47">
        <w:rPr>
          <w:rFonts w:cs="Arial"/>
        </w:rPr>
        <w:t xml:space="preserve">capability </w:t>
      </w:r>
      <w:r w:rsidRPr="005606D3">
        <w:rPr>
          <w:rFonts w:cs="Arial"/>
        </w:rPr>
        <w:t xml:space="preserve">will be delivered and what the radiofrequency spectrum implications are, following Government consideration of the </w:t>
      </w:r>
      <w:r w:rsidR="00CA4D03">
        <w:rPr>
          <w:rFonts w:cs="Arial"/>
        </w:rPr>
        <w:t>Commission’s</w:t>
      </w:r>
      <w:r w:rsidRPr="005606D3">
        <w:rPr>
          <w:rFonts w:cs="Arial"/>
        </w:rPr>
        <w:t xml:space="preserve"> final report. Any decisions on spectrum allocations</w:t>
      </w:r>
      <w:r w:rsidR="00601989">
        <w:rPr>
          <w:rFonts w:cs="Arial"/>
        </w:rPr>
        <w:t xml:space="preserve"> in support of PSMB</w:t>
      </w:r>
      <w:r w:rsidRPr="005606D3">
        <w:rPr>
          <w:rFonts w:cs="Arial"/>
        </w:rPr>
        <w:t xml:space="preserve">, including in the 800 MHz band, will be reserved until </w:t>
      </w:r>
      <w:r w:rsidR="00237ECA">
        <w:rPr>
          <w:rFonts w:cs="Arial"/>
        </w:rPr>
        <w:t>this policy</w:t>
      </w:r>
      <w:r w:rsidRPr="005606D3">
        <w:rPr>
          <w:rFonts w:cs="Arial"/>
        </w:rPr>
        <w:t xml:space="preserve"> direction has been provided.</w:t>
      </w:r>
    </w:p>
    <w:p w:rsidR="005606D3" w:rsidRPr="00237ECA" w:rsidRDefault="00247121" w:rsidP="00237ECA">
      <w:pPr>
        <w:spacing w:before="120" w:after="120" w:line="240" w:lineRule="auto"/>
        <w:rPr>
          <w:rFonts w:cs="Arial"/>
        </w:rPr>
      </w:pPr>
      <w:r>
        <w:rPr>
          <w:rFonts w:cs="Arial"/>
        </w:rPr>
        <w:t>Appendix A contains some points of clarification on the draft report that are hopefully of use to the Commission.</w:t>
      </w:r>
    </w:p>
    <w:p w:rsidR="00B43262" w:rsidRPr="00FD0107" w:rsidRDefault="00B43262" w:rsidP="00FD0107">
      <w:pPr>
        <w:pStyle w:val="ACMASpaceaftertable"/>
      </w:pPr>
      <w:bookmarkStart w:id="1" w:name="_Toc298924672"/>
      <w:bookmarkStart w:id="2" w:name="_Toc300909555"/>
      <w:bookmarkStart w:id="3" w:name="_Toc348105636"/>
    </w:p>
    <w:p w:rsidR="00240CE9" w:rsidRDefault="00FF3C69" w:rsidP="00FF3C69">
      <w:pPr>
        <w:pStyle w:val="Heading1"/>
      </w:pPr>
      <w:bookmarkStart w:id="4" w:name="_Toc348105641"/>
      <w:bookmarkStart w:id="5" w:name="_Toc431304756"/>
      <w:bookmarkEnd w:id="1"/>
      <w:bookmarkEnd w:id="2"/>
      <w:bookmarkEnd w:id="3"/>
      <w:r w:rsidRPr="006D46E5">
        <w:lastRenderedPageBreak/>
        <w:t>Appendix A</w:t>
      </w:r>
      <w:bookmarkEnd w:id="4"/>
      <w:bookmarkEnd w:id="5"/>
    </w:p>
    <w:p w:rsidR="00FF3C69" w:rsidRDefault="008D6DDA" w:rsidP="00851F3F">
      <w:r>
        <w:t>Some c</w:t>
      </w:r>
      <w:r w:rsidR="008C35B4">
        <w:t>omment</w:t>
      </w:r>
      <w:r>
        <w:t>ary is provided here</w:t>
      </w:r>
      <w:r w:rsidR="00FE1649">
        <w:t xml:space="preserve"> </w:t>
      </w:r>
      <w:r w:rsidR="000E58EC">
        <w:t xml:space="preserve">on </w:t>
      </w:r>
      <w:r w:rsidR="00FE1649">
        <w:t xml:space="preserve">specific </w:t>
      </w:r>
      <w:r>
        <w:t xml:space="preserve">aspects </w:t>
      </w:r>
      <w:r w:rsidR="00FE1649">
        <w:t xml:space="preserve">of the </w:t>
      </w:r>
      <w:r w:rsidR="008C35B4">
        <w:t>draft report.</w:t>
      </w:r>
    </w:p>
    <w:p w:rsidR="00233B57" w:rsidRDefault="00233B57" w:rsidP="00851F3F">
      <w:r w:rsidRPr="002C164F">
        <w:rPr>
          <w:u w:val="single"/>
        </w:rPr>
        <w:t xml:space="preserve">Table 2 (as well as tables in </w:t>
      </w:r>
      <w:r w:rsidR="00A125B1" w:rsidRPr="002C164F">
        <w:rPr>
          <w:u w:val="single"/>
        </w:rPr>
        <w:t xml:space="preserve">section </w:t>
      </w:r>
      <w:proofErr w:type="spellStart"/>
      <w:r w:rsidR="00A125B1" w:rsidRPr="002C164F">
        <w:rPr>
          <w:u w:val="single"/>
        </w:rPr>
        <w:t>C.7</w:t>
      </w:r>
      <w:proofErr w:type="spellEnd"/>
      <w:r w:rsidR="00A125B1" w:rsidRPr="002C164F">
        <w:rPr>
          <w:u w:val="single"/>
        </w:rPr>
        <w:t xml:space="preserve">) </w:t>
      </w:r>
      <w:r w:rsidR="00A125B1">
        <w:t>inclu</w:t>
      </w:r>
      <w:r w:rsidR="00BD61D4">
        <w:t>de</w:t>
      </w:r>
      <w:r w:rsidR="008D6DDA">
        <w:t>s</w:t>
      </w:r>
      <w:r w:rsidR="00BD61D4">
        <w:t xml:space="preserve"> </w:t>
      </w:r>
      <w:r w:rsidR="00823821">
        <w:t xml:space="preserve">an </w:t>
      </w:r>
      <w:r w:rsidR="00BD61D4">
        <w:t xml:space="preserve">opportunity cost </w:t>
      </w:r>
      <w:r w:rsidR="008D6DDA">
        <w:t xml:space="preserve">estimate </w:t>
      </w:r>
      <w:r w:rsidR="00BD61D4">
        <w:t xml:space="preserve">of spectrum </w:t>
      </w:r>
      <w:r w:rsidR="008D6DDA">
        <w:t xml:space="preserve">specifically allocated for PSMB (assuming a dedicated </w:t>
      </w:r>
      <w:r w:rsidR="00A125B1">
        <w:t>allocation</w:t>
      </w:r>
      <w:r w:rsidR="00BD61D4">
        <w:t xml:space="preserve"> </w:t>
      </w:r>
      <w:r w:rsidR="008D6DDA">
        <w:t>is</w:t>
      </w:r>
      <w:r w:rsidR="00BD61D4">
        <w:t xml:space="preserve"> </w:t>
      </w:r>
      <w:r w:rsidR="000E58EC">
        <w:t xml:space="preserve">ultimately </w:t>
      </w:r>
      <w:r w:rsidR="00BD61D4">
        <w:t xml:space="preserve">required). </w:t>
      </w:r>
      <w:r w:rsidR="008D6DDA">
        <w:t>In the interests of</w:t>
      </w:r>
      <w:r w:rsidR="00BD61D4">
        <w:t xml:space="preserve"> transparency</w:t>
      </w:r>
      <w:r w:rsidR="008D6DDA">
        <w:t>, it would be useful if</w:t>
      </w:r>
      <w:r w:rsidR="00BD61D4">
        <w:t xml:space="preserve"> the final report could include </w:t>
      </w:r>
      <w:r w:rsidR="001923D5">
        <w:t>the calculation steps (and any additional assumptions)</w:t>
      </w:r>
      <w:r w:rsidR="00BD61D4">
        <w:t xml:space="preserve"> </w:t>
      </w:r>
      <w:r w:rsidR="00CD214D">
        <w:t xml:space="preserve">used to derive the results in Table 2 and section </w:t>
      </w:r>
      <w:proofErr w:type="spellStart"/>
      <w:r w:rsidR="00CD214D">
        <w:t>C.7</w:t>
      </w:r>
      <w:proofErr w:type="spellEnd"/>
      <w:r w:rsidR="00CD214D">
        <w:t xml:space="preserve"> from the </w:t>
      </w:r>
      <w:r w:rsidR="001923D5">
        <w:t xml:space="preserve">assumptions in Table </w:t>
      </w:r>
      <w:proofErr w:type="spellStart"/>
      <w:r w:rsidR="001923D5">
        <w:t>C.18</w:t>
      </w:r>
      <w:proofErr w:type="spellEnd"/>
      <w:r w:rsidR="001923D5">
        <w:t>.</w:t>
      </w:r>
    </w:p>
    <w:p w:rsidR="001273B1" w:rsidRDefault="001273B1" w:rsidP="001273B1">
      <w:r>
        <w:t xml:space="preserve">On </w:t>
      </w:r>
      <w:r w:rsidRPr="002C164F">
        <w:rPr>
          <w:u w:val="single"/>
        </w:rPr>
        <w:t>pages 26-27 (and again on pages 21</w:t>
      </w:r>
      <w:r w:rsidR="007B3FC7">
        <w:rPr>
          <w:u w:val="single"/>
        </w:rPr>
        <w:t>4</w:t>
      </w:r>
      <w:r w:rsidRPr="002C164F">
        <w:rPr>
          <w:u w:val="single"/>
        </w:rPr>
        <w:t>-216)</w:t>
      </w:r>
      <w:r>
        <w:t xml:space="preserve">, the draft report discusses the </w:t>
      </w:r>
      <w:r w:rsidR="000E58EC">
        <w:t xml:space="preserve">spectrum efficiency </w:t>
      </w:r>
      <w:r>
        <w:t>benefits that</w:t>
      </w:r>
      <w:r w:rsidR="000E58EC">
        <w:t xml:space="preserve"> could be realised from the adoption of</w:t>
      </w:r>
      <w:r>
        <w:t xml:space="preserve"> flexible licensing approach</w:t>
      </w:r>
      <w:r w:rsidR="000E58EC">
        <w:t>es</w:t>
      </w:r>
      <w:r>
        <w:t xml:space="preserve"> and spectrum leasing arrangements. The </w:t>
      </w:r>
      <w:proofErr w:type="spellStart"/>
      <w:r>
        <w:t>ACMA</w:t>
      </w:r>
      <w:proofErr w:type="spellEnd"/>
      <w:r>
        <w:t xml:space="preserve"> agrees that measures such as spectrum sharing are important </w:t>
      </w:r>
      <w:r w:rsidR="000E58EC">
        <w:t xml:space="preserve">in mitigating </w:t>
      </w:r>
      <w:r w:rsidR="00A55A63">
        <w:t xml:space="preserve">increasing demand </w:t>
      </w:r>
      <w:r w:rsidR="005521C5">
        <w:t xml:space="preserve">and </w:t>
      </w:r>
      <w:r w:rsidR="000E58EC">
        <w:t>encourages</w:t>
      </w:r>
      <w:r>
        <w:t xml:space="preserve"> efficien</w:t>
      </w:r>
      <w:r w:rsidR="000E58EC">
        <w:t>c</w:t>
      </w:r>
      <w:r>
        <w:t xml:space="preserve">y. </w:t>
      </w:r>
    </w:p>
    <w:p w:rsidR="0072520A" w:rsidRDefault="009A121E" w:rsidP="001273B1">
      <w:r>
        <w:t>I</w:t>
      </w:r>
      <w:r w:rsidR="001273B1">
        <w:t xml:space="preserve">t may </w:t>
      </w:r>
      <w:r>
        <w:t xml:space="preserve">also </w:t>
      </w:r>
      <w:r w:rsidR="001273B1">
        <w:t xml:space="preserve">be useful to note </w:t>
      </w:r>
      <w:r>
        <w:t xml:space="preserve">in the report </w:t>
      </w:r>
      <w:r w:rsidR="001273B1">
        <w:t xml:space="preserve">that </w:t>
      </w:r>
      <w:r w:rsidR="007D6DD1">
        <w:t>different</w:t>
      </w:r>
      <w:r w:rsidR="001273B1">
        <w:t xml:space="preserve"> licence </w:t>
      </w:r>
      <w:r w:rsidR="007D6DD1">
        <w:t xml:space="preserve">types </w:t>
      </w:r>
      <w:r w:rsidR="00DB3494">
        <w:t xml:space="preserve">will </w:t>
      </w:r>
      <w:r w:rsidR="007D6DD1">
        <w:t xml:space="preserve">have varying degrees of scope for </w:t>
      </w:r>
      <w:r w:rsidR="00DB3494">
        <w:t>mitigating</w:t>
      </w:r>
      <w:r w:rsidR="007D6DD1">
        <w:t xml:space="preserve"> the </w:t>
      </w:r>
      <w:r w:rsidR="00DB3494">
        <w:t>geographic challenges that might be associated with</w:t>
      </w:r>
      <w:r w:rsidR="007D6DD1">
        <w:t xml:space="preserve"> a dedicated </w:t>
      </w:r>
      <w:r w:rsidR="00A55A63">
        <w:t xml:space="preserve">PSMB </w:t>
      </w:r>
      <w:r w:rsidR="007D6DD1">
        <w:t>deployment</w:t>
      </w:r>
      <w:r w:rsidR="00DB3494">
        <w:t xml:space="preserve"> (assuming this model, or a variation on this model, is ultimately chosen)</w:t>
      </w:r>
      <w:r w:rsidR="001273B1">
        <w:t xml:space="preserve">. </w:t>
      </w:r>
    </w:p>
    <w:p w:rsidR="009100CB" w:rsidRDefault="001273B1" w:rsidP="001273B1">
      <w:r>
        <w:t xml:space="preserve">For example, </w:t>
      </w:r>
      <w:r w:rsidR="009464D0">
        <w:t>when this issue was previously considered by the PSMB Steering Committee (</w:t>
      </w:r>
      <w:proofErr w:type="spellStart"/>
      <w:r w:rsidR="009464D0">
        <w:t>PSMBSC</w:t>
      </w:r>
      <w:proofErr w:type="spellEnd"/>
      <w:r w:rsidR="009464D0">
        <w:t xml:space="preserve">), potential changes to licensing frameworks under the Spectrum Review had not yet been conceived, </w:t>
      </w:r>
      <w:r w:rsidR="00DD6440">
        <w:t>s</w:t>
      </w:r>
      <w:r w:rsidR="009464D0">
        <w:t xml:space="preserve">o that work was done </w:t>
      </w:r>
      <w:r w:rsidR="00A44C14">
        <w:t>against the backdrop of</w:t>
      </w:r>
      <w:r w:rsidR="009464D0">
        <w:t xml:space="preserve"> the current licensing framework, which we now expect to change once the Review is implemented. At </w:t>
      </w:r>
      <w:r w:rsidR="00A44C14">
        <w:t>the</w:t>
      </w:r>
      <w:r w:rsidR="009464D0">
        <w:t xml:space="preserve"> time, it was</w:t>
      </w:r>
      <w:r w:rsidR="00DB3494">
        <w:t xml:space="preserve"> assumed that a dedicated PSMB solution </w:t>
      </w:r>
      <w:r w:rsidR="00A44C14">
        <w:t xml:space="preserve">would be </w:t>
      </w:r>
      <w:r w:rsidR="00DB3494">
        <w:t xml:space="preserve">deployed, </w:t>
      </w:r>
      <w:r w:rsidR="00A44C14">
        <w:t xml:space="preserve">and the </w:t>
      </w:r>
      <w:proofErr w:type="spellStart"/>
      <w:r>
        <w:t>ACMA</w:t>
      </w:r>
      <w:proofErr w:type="spellEnd"/>
      <w:r>
        <w:t xml:space="preserve"> indicated</w:t>
      </w:r>
      <w:r w:rsidR="00DB3494">
        <w:rPr>
          <w:rStyle w:val="FootnoteReference"/>
        </w:rPr>
        <w:footnoteReference w:id="4"/>
      </w:r>
      <w:r w:rsidR="007B3FC7">
        <w:t xml:space="preserve"> </w:t>
      </w:r>
      <w:r>
        <w:t>that area-wide apparatus licences</w:t>
      </w:r>
      <w:r w:rsidR="00A44C14">
        <w:t>, rather than spectrum licences,</w:t>
      </w:r>
      <w:r>
        <w:t xml:space="preserve"> </w:t>
      </w:r>
      <w:r w:rsidR="00DB3494">
        <w:t xml:space="preserve">would </w:t>
      </w:r>
      <w:r w:rsidR="00A44C14">
        <w:t xml:space="preserve">be necessary to </w:t>
      </w:r>
      <w:r>
        <w:t xml:space="preserve">provide </w:t>
      </w:r>
      <w:r w:rsidR="00DB3494">
        <w:t xml:space="preserve">the </w:t>
      </w:r>
      <w:r>
        <w:t xml:space="preserve">flexibility </w:t>
      </w:r>
      <w:r w:rsidR="00DB3494">
        <w:t xml:space="preserve">to allow non-public safety </w:t>
      </w:r>
      <w:r>
        <w:t xml:space="preserve">users </w:t>
      </w:r>
      <w:r w:rsidR="00DB3494">
        <w:t>to</w:t>
      </w:r>
      <w:r>
        <w:t xml:space="preserve"> </w:t>
      </w:r>
      <w:r w:rsidR="00DB3494">
        <w:t>operat</w:t>
      </w:r>
      <w:r w:rsidR="005521C5">
        <w:t>e</w:t>
      </w:r>
      <w:r>
        <w:t xml:space="preserve"> in PSMB</w:t>
      </w:r>
      <w:r w:rsidR="00DB3494">
        <w:t>-allocated spectrum</w:t>
      </w:r>
      <w:r>
        <w:t xml:space="preserve"> in areas where PSMB </w:t>
      </w:r>
      <w:r w:rsidR="00DB3494">
        <w:t>coverage has not yet been (or will not be)</w:t>
      </w:r>
      <w:r>
        <w:t xml:space="preserve"> deployed.</w:t>
      </w:r>
      <w:r w:rsidR="007B3FC7">
        <w:rPr>
          <w:rStyle w:val="FootnoteReference"/>
        </w:rPr>
        <w:footnoteReference w:id="5"/>
      </w:r>
      <w:r>
        <w:t xml:space="preserve"> </w:t>
      </w:r>
    </w:p>
    <w:p w:rsidR="009100CB" w:rsidRDefault="009100CB" w:rsidP="001273B1">
      <w:r>
        <w:t xml:space="preserve">The reason for this approach was that it </w:t>
      </w:r>
      <w:r w:rsidR="00DB3494">
        <w:t xml:space="preserve">would </w:t>
      </w:r>
      <w:r w:rsidR="00A44C14">
        <w:t xml:space="preserve">have </w:t>
      </w:r>
      <w:r w:rsidR="00DB3494">
        <w:t>reflect</w:t>
      </w:r>
      <w:r w:rsidR="00A44C14">
        <w:t>ed</w:t>
      </w:r>
      <w:r w:rsidR="00DB3494">
        <w:t xml:space="preserve"> the reality that a) a dedicated solution would be phased in (geographically) over time, and b) it would not be possible to extend coverage to all areas. </w:t>
      </w:r>
      <w:r>
        <w:t>It</w:t>
      </w:r>
      <w:r w:rsidR="00DB3494">
        <w:t xml:space="preserve"> </w:t>
      </w:r>
      <w:r w:rsidR="00A44C14">
        <w:t xml:space="preserve">would have ensured that </w:t>
      </w:r>
      <w:r w:rsidR="00DB3494">
        <w:t xml:space="preserve">incumbent users </w:t>
      </w:r>
      <w:r w:rsidR="00A44C14">
        <w:t xml:space="preserve">weren’t </w:t>
      </w:r>
      <w:r w:rsidR="00DB3494">
        <w:t xml:space="preserve">displaced unnecessarily and </w:t>
      </w:r>
      <w:r w:rsidR="00A44C14">
        <w:t>would ultimately optimise the</w:t>
      </w:r>
      <w:r w:rsidR="00DB3494">
        <w:t xml:space="preserve"> utility of valuable spectrum</w:t>
      </w:r>
      <w:r w:rsidR="001273B1">
        <w:t>.</w:t>
      </w:r>
      <w:r w:rsidR="008D6DDA">
        <w:t xml:space="preserve"> Spectrum licensing wouldn’t necessarily </w:t>
      </w:r>
      <w:r w:rsidR="00A44C14">
        <w:t xml:space="preserve">have </w:t>
      </w:r>
      <w:r w:rsidR="008D6DDA">
        <w:t>provide</w:t>
      </w:r>
      <w:r w:rsidR="00A44C14">
        <w:t>d</w:t>
      </w:r>
      <w:r w:rsidR="008D6DDA">
        <w:t xml:space="preserve"> </w:t>
      </w:r>
      <w:r w:rsidR="00A44C14">
        <w:t xml:space="preserve">that </w:t>
      </w:r>
      <w:r w:rsidR="008D6DDA">
        <w:t>level of flexibility</w:t>
      </w:r>
      <w:r>
        <w:t>.</w:t>
      </w:r>
    </w:p>
    <w:p w:rsidR="001273B1" w:rsidRPr="00CD5F8E" w:rsidRDefault="009100CB" w:rsidP="001273B1">
      <w:r>
        <w:t>In any case, licensing frameworks are likely to be soon undergoing significant change, and if there was to be spectrum allocated for a dedicated PSMB capability, access to that spectrum would probably be auth</w:t>
      </w:r>
      <w:r w:rsidR="00531541">
        <w:t>orised under a new licence type</w:t>
      </w:r>
      <w:r>
        <w:t xml:space="preserve"> to be developed as part of the implementation of the Spectrum Review outcomes.</w:t>
      </w:r>
    </w:p>
    <w:p w:rsidR="001273B1" w:rsidRDefault="00694B18" w:rsidP="00851F3F">
      <w:r>
        <w:t xml:space="preserve">On </w:t>
      </w:r>
      <w:r w:rsidRPr="002C164F">
        <w:rPr>
          <w:u w:val="single"/>
        </w:rPr>
        <w:t>page 26</w:t>
      </w:r>
      <w:r>
        <w:t>, the draft report states:</w:t>
      </w:r>
    </w:p>
    <w:p w:rsidR="00694B18" w:rsidRDefault="00694B18" w:rsidP="00694B18">
      <w:pPr>
        <w:ind w:left="284"/>
        <w:rPr>
          <w:i/>
        </w:rPr>
      </w:pPr>
      <w:r>
        <w:rPr>
          <w:i/>
        </w:rPr>
        <w:t>“</w:t>
      </w:r>
      <w:r w:rsidRPr="00694B18">
        <w:rPr>
          <w:i/>
        </w:rPr>
        <w:t xml:space="preserve">In 2012, </w:t>
      </w:r>
      <w:proofErr w:type="spellStart"/>
      <w:r w:rsidRPr="00694B18">
        <w:rPr>
          <w:i/>
        </w:rPr>
        <w:t>ACMA</w:t>
      </w:r>
      <w:proofErr w:type="spellEnd"/>
      <w:r w:rsidRPr="00694B18">
        <w:rPr>
          <w:i/>
        </w:rPr>
        <w:t xml:space="preserve"> made an in-principle decision to set aside 10 MHz of spectrum within the 800 MHz band to support the deployment of a PSMB capability. A final decision on the allocation of this spectrum is yet to be made. However, any state or </w:t>
      </w:r>
      <w:r w:rsidRPr="00694B18">
        <w:rPr>
          <w:i/>
        </w:rPr>
        <w:lastRenderedPageBreak/>
        <w:t xml:space="preserve">territory government that wishes to access spectrum for PSMB is not dependent on the outcome of this process — they can apply to </w:t>
      </w:r>
      <w:proofErr w:type="spellStart"/>
      <w:r w:rsidRPr="00694B18">
        <w:rPr>
          <w:i/>
        </w:rPr>
        <w:t>ACMA</w:t>
      </w:r>
      <w:proofErr w:type="spellEnd"/>
      <w:r w:rsidRPr="00694B18">
        <w:rPr>
          <w:i/>
        </w:rPr>
        <w:t xml:space="preserve"> for an apparatus licence, or obtain a spectrum licence (either at auction or from an existing licence holder).</w:t>
      </w:r>
      <w:r>
        <w:rPr>
          <w:i/>
        </w:rPr>
        <w:t>”</w:t>
      </w:r>
    </w:p>
    <w:p w:rsidR="005045E0" w:rsidRDefault="00BF7D94" w:rsidP="00C91DA5">
      <w:pPr>
        <w:spacing w:after="0" w:line="240" w:lineRule="auto"/>
        <w:rPr>
          <w:rFonts w:ascii="Times New Roman" w:hAnsi="Times New Roman"/>
          <w:sz w:val="24"/>
        </w:rPr>
      </w:pPr>
      <w:r>
        <w:t xml:space="preserve">It </w:t>
      </w:r>
      <w:r w:rsidR="00C923B9">
        <w:t>is true</w:t>
      </w:r>
      <w:r w:rsidR="00F512E5">
        <w:t xml:space="preserve"> that a state or territory</w:t>
      </w:r>
      <w:r w:rsidR="00DD755C">
        <w:t xml:space="preserve"> government</w:t>
      </w:r>
      <w:r w:rsidR="00F512E5">
        <w:t xml:space="preserve"> can apply </w:t>
      </w:r>
      <w:r w:rsidR="009A121E">
        <w:t xml:space="preserve">through ordinary channels to access </w:t>
      </w:r>
      <w:r w:rsidR="00F512E5">
        <w:t>spectrum outside of a potential PSMB allocation</w:t>
      </w:r>
      <w:r w:rsidR="00C923B9">
        <w:t xml:space="preserve">, </w:t>
      </w:r>
      <w:r>
        <w:t xml:space="preserve">although </w:t>
      </w:r>
      <w:r w:rsidR="00EB6704">
        <w:t xml:space="preserve">there is currently </w:t>
      </w:r>
      <w:r>
        <w:t xml:space="preserve">only </w:t>
      </w:r>
      <w:r w:rsidR="00802E86">
        <w:t xml:space="preserve">limited spectrum </w:t>
      </w:r>
      <w:r>
        <w:t xml:space="preserve">available for apparatus licensing </w:t>
      </w:r>
      <w:r w:rsidR="00C85287">
        <w:t>which</w:t>
      </w:r>
      <w:r w:rsidR="001A5CBC">
        <w:t xml:space="preserve"> may be</w:t>
      </w:r>
      <w:r w:rsidR="00C85287">
        <w:t xml:space="preserve"> su</w:t>
      </w:r>
      <w:r w:rsidR="00A55A63">
        <w:t xml:space="preserve">itable for </w:t>
      </w:r>
      <w:r w:rsidR="009A121E">
        <w:t>mobile broadband</w:t>
      </w:r>
      <w:r w:rsidR="00C85287">
        <w:t xml:space="preserve">. </w:t>
      </w:r>
      <w:r w:rsidR="009A121E">
        <w:t>T</w:t>
      </w:r>
      <w:r w:rsidR="00EB6704">
        <w:t xml:space="preserve">he majority of </w:t>
      </w:r>
      <w:r w:rsidR="00C85287">
        <w:t xml:space="preserve">spectrum </w:t>
      </w:r>
      <w:r w:rsidR="009A121E">
        <w:t xml:space="preserve">that </w:t>
      </w:r>
      <w:r w:rsidR="00C85287">
        <w:t xml:space="preserve">aligns with </w:t>
      </w:r>
      <w:proofErr w:type="spellStart"/>
      <w:r w:rsidR="00C85287">
        <w:t>3GPP</w:t>
      </w:r>
      <w:proofErr w:type="spellEnd"/>
      <w:r w:rsidR="00C85287">
        <w:t xml:space="preserve"> standards</w:t>
      </w:r>
      <w:r w:rsidR="009A121E">
        <w:t xml:space="preserve"> for mobile broadband (particularly </w:t>
      </w:r>
      <w:proofErr w:type="spellStart"/>
      <w:r w:rsidR="009A121E">
        <w:t>4G</w:t>
      </w:r>
      <w:proofErr w:type="spellEnd"/>
      <w:r w:rsidR="009A121E">
        <w:t>/LTE)</w:t>
      </w:r>
      <w:r w:rsidR="00EB6704">
        <w:t xml:space="preserve"> </w:t>
      </w:r>
      <w:r w:rsidR="00C85287">
        <w:t>is already designated for spectrum licensing</w:t>
      </w:r>
      <w:r w:rsidR="009038DA">
        <w:t xml:space="preserve"> –  including spectrum in the 700 MHz band which did not sell at the 2013 spectrum auction and remain unsold – </w:t>
      </w:r>
      <w:r w:rsidR="00E42BCC">
        <w:t>and/or</w:t>
      </w:r>
      <w:r w:rsidR="00EB6704">
        <w:t xml:space="preserve"> has </w:t>
      </w:r>
      <w:r w:rsidR="00E42BCC">
        <w:t>existing</w:t>
      </w:r>
      <w:r w:rsidR="00EB6704">
        <w:t xml:space="preserve"> uses</w:t>
      </w:r>
      <w:r w:rsidR="00802E86">
        <w:t>.</w:t>
      </w:r>
      <w:r w:rsidR="005045E0">
        <w:t xml:space="preserve"> </w:t>
      </w:r>
      <w:r w:rsidR="001A5CBC">
        <w:t xml:space="preserve">The spectrum in the 800 MHz band which was previously earmarked by the </w:t>
      </w:r>
      <w:proofErr w:type="spellStart"/>
      <w:r w:rsidR="001A5CBC">
        <w:t>ACMA</w:t>
      </w:r>
      <w:proofErr w:type="spellEnd"/>
      <w:r w:rsidR="001A5CBC">
        <w:t xml:space="preserve"> for a PSMB capability </w:t>
      </w:r>
      <w:r w:rsidR="009A121E">
        <w:t>is currently encumber</w:t>
      </w:r>
      <w:r w:rsidR="00AA6118">
        <w:t>ed</w:t>
      </w:r>
      <w:r w:rsidR="009A121E">
        <w:t xml:space="preserve"> by other uses and will</w:t>
      </w:r>
      <w:r w:rsidR="001A5CBC">
        <w:t xml:space="preserve"> b</w:t>
      </w:r>
      <w:r w:rsidR="009A121E">
        <w:t xml:space="preserve">e repurposed for mobile broadband </w:t>
      </w:r>
      <w:r w:rsidR="001A5CBC">
        <w:t xml:space="preserve">as part of the broader review of the 803-960 MHz band. </w:t>
      </w:r>
      <w:r>
        <w:t>P</w:t>
      </w:r>
      <w:r w:rsidR="000C0604">
        <w:t xml:space="preserve">riced based allocation is the usual approach taken </w:t>
      </w:r>
      <w:r w:rsidR="005D0E18">
        <w:t xml:space="preserve">by the </w:t>
      </w:r>
      <w:proofErr w:type="spellStart"/>
      <w:r w:rsidR="005D0E18">
        <w:t>ACMA</w:t>
      </w:r>
      <w:proofErr w:type="spellEnd"/>
      <w:r w:rsidR="005D0E18">
        <w:t xml:space="preserve"> </w:t>
      </w:r>
      <w:r w:rsidR="000C0604">
        <w:t>to allocate new frequency bands for which demand is expected to exceed supply (which is typically the case for spectrum suitable for mobile broadband</w:t>
      </w:r>
      <w:r w:rsidR="00713EA8">
        <w:t xml:space="preserve"> use</w:t>
      </w:r>
      <w:r w:rsidR="000C0604">
        <w:t>).</w:t>
      </w:r>
      <w:r>
        <w:t xml:space="preserve"> In addition, </w:t>
      </w:r>
      <w:r w:rsidR="00EF4D6B">
        <w:t xml:space="preserve">the former Minister for Broadband, Communications and the Digital Economy directed the </w:t>
      </w:r>
      <w:proofErr w:type="spellStart"/>
      <w:r w:rsidR="00EF4D6B">
        <w:t>ACMA</w:t>
      </w:r>
      <w:proofErr w:type="spellEnd"/>
      <w:r w:rsidR="00EF4D6B">
        <w:t xml:space="preserve"> that the spectrum access charge for the </w:t>
      </w:r>
      <w:r w:rsidR="00DD6440">
        <w:t xml:space="preserve">700 MHz </w:t>
      </w:r>
      <w:r w:rsidR="00EF4D6B">
        <w:t>unsold lots must reflect no less than the amount of $1.36/MHz/pop, appropriately adjusted for duration.</w:t>
      </w:r>
      <w:r w:rsidR="00EF4D6B">
        <w:rPr>
          <w:rStyle w:val="FootnoteReference"/>
        </w:rPr>
        <w:footnoteReference w:id="6"/>
      </w:r>
    </w:p>
    <w:p w:rsidR="00694B18" w:rsidRPr="00C91DA5" w:rsidRDefault="00694B18" w:rsidP="00C91DA5">
      <w:pPr>
        <w:spacing w:after="0" w:line="240" w:lineRule="auto"/>
        <w:rPr>
          <w:rFonts w:ascii="Times New Roman" w:hAnsi="Times New Roman"/>
          <w:sz w:val="24"/>
        </w:rPr>
      </w:pPr>
    </w:p>
    <w:p w:rsidR="000417C0" w:rsidRDefault="000417C0" w:rsidP="00851F3F">
      <w:r>
        <w:t xml:space="preserve">On </w:t>
      </w:r>
      <w:r w:rsidRPr="002C164F">
        <w:rPr>
          <w:u w:val="single"/>
        </w:rPr>
        <w:t>page 77</w:t>
      </w:r>
      <w:r>
        <w:t xml:space="preserve"> of the draft report it states:</w:t>
      </w:r>
    </w:p>
    <w:p w:rsidR="000417C0" w:rsidRDefault="000417C0" w:rsidP="000417C0">
      <w:pPr>
        <w:ind w:left="284"/>
        <w:rPr>
          <w:i/>
        </w:rPr>
      </w:pPr>
      <w:r>
        <w:rPr>
          <w:i/>
        </w:rPr>
        <w:t>“</w:t>
      </w:r>
      <w:r w:rsidRPr="000417C0">
        <w:rPr>
          <w:i/>
        </w:rPr>
        <w:t xml:space="preserve">In carrying out its duties, </w:t>
      </w:r>
      <w:proofErr w:type="spellStart"/>
      <w:r w:rsidRPr="000417C0">
        <w:rPr>
          <w:i/>
        </w:rPr>
        <w:t>ACMA</w:t>
      </w:r>
      <w:proofErr w:type="spellEnd"/>
      <w:r w:rsidRPr="000417C0">
        <w:rPr>
          <w:i/>
        </w:rPr>
        <w:t xml:space="preserve"> prepares a spectrum plan which divides available spectrum into frequency bands. The </w:t>
      </w:r>
      <w:r w:rsidRPr="000417C0">
        <w:rPr>
          <w:i/>
          <w:iCs/>
        </w:rPr>
        <w:t xml:space="preserve">Australian Radiofrequency Band Plan </w:t>
      </w:r>
      <w:r w:rsidRPr="000417C0">
        <w:rPr>
          <w:i/>
        </w:rPr>
        <w:t xml:space="preserve">is the broad level technical map that allocates certain sections of the radiofrequency spectrum to various types of services. The Band Plan is modelled upon and kept in line with the </w:t>
      </w:r>
      <w:proofErr w:type="spellStart"/>
      <w:r w:rsidRPr="000417C0">
        <w:rPr>
          <w:i/>
        </w:rPr>
        <w:t>ITU</w:t>
      </w:r>
      <w:proofErr w:type="spellEnd"/>
      <w:r w:rsidRPr="000417C0">
        <w:rPr>
          <w:i/>
        </w:rPr>
        <w:t xml:space="preserve"> </w:t>
      </w:r>
      <w:r w:rsidRPr="000417C0">
        <w:rPr>
          <w:i/>
          <w:iCs/>
        </w:rPr>
        <w:t xml:space="preserve">Radio Regulations </w:t>
      </w:r>
      <w:r w:rsidRPr="000417C0">
        <w:rPr>
          <w:i/>
        </w:rPr>
        <w:t>(</w:t>
      </w:r>
      <w:proofErr w:type="spellStart"/>
      <w:r w:rsidRPr="000417C0">
        <w:rPr>
          <w:i/>
        </w:rPr>
        <w:t>ACMA</w:t>
      </w:r>
      <w:proofErr w:type="spellEnd"/>
      <w:r w:rsidRPr="000417C0">
        <w:rPr>
          <w:i/>
        </w:rPr>
        <w:t xml:space="preserve"> </w:t>
      </w:r>
      <w:proofErr w:type="spellStart"/>
      <w:r w:rsidRPr="000417C0">
        <w:rPr>
          <w:i/>
        </w:rPr>
        <w:t>2013b</w:t>
      </w:r>
      <w:proofErr w:type="spellEnd"/>
      <w:r w:rsidRPr="000417C0">
        <w:rPr>
          <w:i/>
        </w:rPr>
        <w:t>).</w:t>
      </w:r>
      <w:r>
        <w:rPr>
          <w:i/>
        </w:rPr>
        <w:t>”</w:t>
      </w:r>
    </w:p>
    <w:p w:rsidR="00452998" w:rsidRDefault="000417C0" w:rsidP="000417C0">
      <w:r>
        <w:t xml:space="preserve">The </w:t>
      </w:r>
      <w:proofErr w:type="spellStart"/>
      <w:r>
        <w:t>ACMA</w:t>
      </w:r>
      <w:r w:rsidR="00B84C43">
        <w:t>’s</w:t>
      </w:r>
      <w:proofErr w:type="spellEnd"/>
      <w:r w:rsidR="00B84C43">
        <w:t xml:space="preserve"> understanding</w:t>
      </w:r>
      <w:r w:rsidR="00FE1649">
        <w:t xml:space="preserve"> is</w:t>
      </w:r>
      <w:r>
        <w:t xml:space="preserve"> that </w:t>
      </w:r>
      <w:r w:rsidR="00735190">
        <w:t xml:space="preserve">the ‘Australian Radiofrequency Band Plan’ mentioned in </w:t>
      </w:r>
      <w:r>
        <w:t xml:space="preserve">this paragraph is </w:t>
      </w:r>
      <w:r w:rsidR="00B84C43">
        <w:t xml:space="preserve">actually </w:t>
      </w:r>
      <w:r>
        <w:t xml:space="preserve">referring to the </w:t>
      </w:r>
      <w:r w:rsidRPr="00B84C43">
        <w:rPr>
          <w:i/>
        </w:rPr>
        <w:t>Australian Radiofrequency Spectrum Plan 2013</w:t>
      </w:r>
      <w:r>
        <w:t xml:space="preserve"> (the Spectrum Plan)</w:t>
      </w:r>
      <w:r w:rsidR="00735190">
        <w:t xml:space="preserve">. It should also be noted that </w:t>
      </w:r>
      <w:r w:rsidR="00B84C43">
        <w:t xml:space="preserve">while </w:t>
      </w:r>
      <w:r w:rsidR="00735190">
        <w:t xml:space="preserve">the </w:t>
      </w:r>
      <w:r w:rsidR="00FE1649">
        <w:t xml:space="preserve">majority of the </w:t>
      </w:r>
      <w:r w:rsidR="00735190">
        <w:t>Spectrum Plan is</w:t>
      </w:r>
      <w:r w:rsidR="00FE1649">
        <w:t xml:space="preserve"> consistent</w:t>
      </w:r>
      <w:r w:rsidR="00735190">
        <w:t xml:space="preserve"> with the </w:t>
      </w:r>
      <w:proofErr w:type="spellStart"/>
      <w:r w:rsidR="00735190">
        <w:t>ITU</w:t>
      </w:r>
      <w:proofErr w:type="spellEnd"/>
      <w:r w:rsidR="00735190">
        <w:t>-R Radio Regulations</w:t>
      </w:r>
      <w:r w:rsidR="00B84C43">
        <w:t xml:space="preserve">, there are some </w:t>
      </w:r>
      <w:r w:rsidR="009A121E">
        <w:t xml:space="preserve">national </w:t>
      </w:r>
      <w:r w:rsidR="00B84C43">
        <w:t>variations</w:t>
      </w:r>
      <w:r w:rsidR="00735190">
        <w:t>.</w:t>
      </w:r>
      <w:r w:rsidR="009A121E">
        <w:t xml:space="preserve"> </w:t>
      </w:r>
    </w:p>
    <w:p w:rsidR="000417C0" w:rsidRPr="00C91DA5" w:rsidRDefault="009A121E" w:rsidP="000417C0">
      <w:r>
        <w:t xml:space="preserve">Furthermore, </w:t>
      </w:r>
      <w:r w:rsidR="00452998">
        <w:t xml:space="preserve">the subsequent </w:t>
      </w:r>
      <w:r>
        <w:t xml:space="preserve">use of the term ‘band plan’ in this context needs </w:t>
      </w:r>
      <w:r w:rsidRPr="00C91DA5">
        <w:t>clarification. Band plans are instruments that provide detailed information on service allocations in a specific frequency band, and are there</w:t>
      </w:r>
      <w:r w:rsidR="00452998" w:rsidRPr="00C91DA5">
        <w:t>fore</w:t>
      </w:r>
      <w:r w:rsidRPr="00C91DA5">
        <w:t xml:space="preserve"> a subset of the </w:t>
      </w:r>
      <w:r w:rsidR="00700998" w:rsidRPr="00C91DA5">
        <w:t>S</w:t>
      </w:r>
      <w:r w:rsidRPr="00C91DA5">
        <w:t xml:space="preserve">pectrum </w:t>
      </w:r>
      <w:r w:rsidR="00700998" w:rsidRPr="00C91DA5">
        <w:t>P</w:t>
      </w:r>
      <w:r w:rsidRPr="00C91DA5">
        <w:t>lan (which provides higher level information for</w:t>
      </w:r>
      <w:r w:rsidR="00452998" w:rsidRPr="00C91DA5">
        <w:t xml:space="preserve"> (essentially)</w:t>
      </w:r>
      <w:r w:rsidRPr="00C91DA5">
        <w:t xml:space="preserve"> the entire radio</w:t>
      </w:r>
      <w:r w:rsidR="00452998" w:rsidRPr="00C91DA5">
        <w:t xml:space="preserve">frequency spectrum). </w:t>
      </w:r>
      <w:r w:rsidR="00280A2F" w:rsidRPr="00C91DA5">
        <w:t xml:space="preserve">Band plans can also be issued in two forms: legislatively under the </w:t>
      </w:r>
      <w:proofErr w:type="spellStart"/>
      <w:r w:rsidR="00280A2F" w:rsidRPr="00C91DA5">
        <w:t>Radiocommunications</w:t>
      </w:r>
      <w:proofErr w:type="spellEnd"/>
      <w:r w:rsidR="00280A2F" w:rsidRPr="00C91DA5">
        <w:t xml:space="preserve"> Act 1992,</w:t>
      </w:r>
      <w:r w:rsidR="00280A2F" w:rsidRPr="00C91DA5">
        <w:rPr>
          <w:rFonts w:cstheme="minorBidi"/>
          <w:szCs w:val="22"/>
        </w:rPr>
        <w:t xml:space="preserve"> or administratively in the form of a policy document.</w:t>
      </w:r>
      <w:r w:rsidR="001234A6" w:rsidRPr="00C91DA5">
        <w:t xml:space="preserve"> </w:t>
      </w:r>
      <w:r w:rsidR="00452998" w:rsidRPr="00C91DA5">
        <w:t xml:space="preserve">The </w:t>
      </w:r>
      <w:proofErr w:type="spellStart"/>
      <w:r w:rsidR="00452998" w:rsidRPr="00C91DA5">
        <w:rPr>
          <w:i/>
        </w:rPr>
        <w:t>ACMA</w:t>
      </w:r>
      <w:proofErr w:type="spellEnd"/>
      <w:r w:rsidR="00452998" w:rsidRPr="00C91DA5">
        <w:rPr>
          <w:i/>
        </w:rPr>
        <w:t xml:space="preserve"> planning instruments </w:t>
      </w:r>
      <w:proofErr w:type="spellStart"/>
      <w:r w:rsidR="00452998" w:rsidRPr="00C91DA5">
        <w:t>webpage</w:t>
      </w:r>
      <w:proofErr w:type="spellEnd"/>
      <w:r w:rsidR="00452998" w:rsidRPr="00C91DA5">
        <w:rPr>
          <w:rStyle w:val="FootnoteReference"/>
        </w:rPr>
        <w:footnoteReference w:id="7"/>
      </w:r>
      <w:r w:rsidR="00452998" w:rsidRPr="00C91DA5">
        <w:t xml:space="preserve"> contains more information.</w:t>
      </w:r>
    </w:p>
    <w:p w:rsidR="006945FF" w:rsidRPr="00C91DA5" w:rsidRDefault="006945FF" w:rsidP="000417C0">
      <w:r w:rsidRPr="00C91DA5">
        <w:t xml:space="preserve">Also on </w:t>
      </w:r>
      <w:r w:rsidRPr="00C91DA5">
        <w:rPr>
          <w:u w:val="single"/>
        </w:rPr>
        <w:t>page 77</w:t>
      </w:r>
      <w:r w:rsidRPr="00C91DA5">
        <w:t xml:space="preserve"> it is stated:</w:t>
      </w:r>
    </w:p>
    <w:p w:rsidR="00735190" w:rsidRPr="00C91DA5" w:rsidRDefault="006945FF" w:rsidP="006945FF">
      <w:pPr>
        <w:ind w:left="284"/>
        <w:rPr>
          <w:i/>
        </w:rPr>
      </w:pPr>
      <w:r w:rsidRPr="00C91DA5">
        <w:rPr>
          <w:i/>
        </w:rPr>
        <w:t xml:space="preserve">“As part of a holistic strategy to meet </w:t>
      </w:r>
      <w:proofErr w:type="spellStart"/>
      <w:r w:rsidRPr="00C91DA5">
        <w:rPr>
          <w:i/>
        </w:rPr>
        <w:t>PSAs</w:t>
      </w:r>
      <w:proofErr w:type="spellEnd"/>
      <w:r w:rsidRPr="00C91DA5">
        <w:rPr>
          <w:i/>
        </w:rPr>
        <w:t xml:space="preserve">’ voice, data and video communication needs, </w:t>
      </w:r>
      <w:proofErr w:type="spellStart"/>
      <w:r w:rsidRPr="00C91DA5">
        <w:rPr>
          <w:i/>
        </w:rPr>
        <w:t>ACMA</w:t>
      </w:r>
      <w:proofErr w:type="spellEnd"/>
      <w:r w:rsidRPr="00C91DA5">
        <w:rPr>
          <w:i/>
        </w:rPr>
        <w:t xml:space="preserve"> decided to migrate all government radio communications to</w:t>
      </w:r>
      <w:r w:rsidR="00C43727" w:rsidRPr="00C91DA5">
        <w:rPr>
          <w:i/>
        </w:rPr>
        <w:t xml:space="preserve"> the 400 </w:t>
      </w:r>
      <w:r w:rsidRPr="00C91DA5">
        <w:rPr>
          <w:i/>
        </w:rPr>
        <w:t>MHz band (</w:t>
      </w:r>
      <w:proofErr w:type="spellStart"/>
      <w:r w:rsidRPr="00C91DA5">
        <w:rPr>
          <w:i/>
        </w:rPr>
        <w:t>ACMA</w:t>
      </w:r>
      <w:proofErr w:type="spellEnd"/>
      <w:r w:rsidRPr="00C91DA5">
        <w:rPr>
          <w:i/>
        </w:rPr>
        <w:t xml:space="preserve"> </w:t>
      </w:r>
      <w:proofErr w:type="spellStart"/>
      <w:r w:rsidRPr="00C91DA5">
        <w:rPr>
          <w:i/>
        </w:rPr>
        <w:t>2012a</w:t>
      </w:r>
      <w:proofErr w:type="spellEnd"/>
      <w:r w:rsidRPr="00C91DA5">
        <w:rPr>
          <w:i/>
        </w:rPr>
        <w:t>).”</w:t>
      </w:r>
    </w:p>
    <w:p w:rsidR="00841660" w:rsidRPr="00C91DA5" w:rsidRDefault="00452998" w:rsidP="00AF4166">
      <w:r w:rsidRPr="00C91DA5">
        <w:lastRenderedPageBreak/>
        <w:t>A</w:t>
      </w:r>
      <w:r w:rsidR="006945FF" w:rsidRPr="00C91DA5">
        <w:t xml:space="preserve"> major outcome of the review of the 400 MHz band </w:t>
      </w:r>
      <w:r w:rsidRPr="00C91DA5">
        <w:t xml:space="preserve">was </w:t>
      </w:r>
      <w:r w:rsidR="006945FF" w:rsidRPr="00C91DA5">
        <w:t xml:space="preserve">to provide a harmonised </w:t>
      </w:r>
      <w:r w:rsidRPr="00C91DA5">
        <w:t>government segment (</w:t>
      </w:r>
      <w:proofErr w:type="spellStart"/>
      <w:r w:rsidRPr="00C91DA5">
        <w:t>HGS</w:t>
      </w:r>
      <w:proofErr w:type="spellEnd"/>
      <w:r w:rsidRPr="00C91DA5">
        <w:t xml:space="preserve">) in the band, so as to facilitate national interoperability in accordance with the </w:t>
      </w:r>
      <w:proofErr w:type="spellStart"/>
      <w:r w:rsidRPr="00C91DA5">
        <w:t>COAG</w:t>
      </w:r>
      <w:proofErr w:type="spellEnd"/>
      <w:r w:rsidRPr="00C91DA5">
        <w:t xml:space="preserve"> framework.</w:t>
      </w:r>
      <w:r w:rsidRPr="00C91DA5">
        <w:rPr>
          <w:rStyle w:val="FootnoteReference"/>
        </w:rPr>
        <w:footnoteReference w:id="8"/>
      </w:r>
      <w:r w:rsidR="00841660" w:rsidRPr="00C91DA5">
        <w:t xml:space="preserve"> However, not all government </w:t>
      </w:r>
      <w:proofErr w:type="spellStart"/>
      <w:r w:rsidR="00841660" w:rsidRPr="00C91DA5">
        <w:t>radiocommunications</w:t>
      </w:r>
      <w:proofErr w:type="spellEnd"/>
      <w:r w:rsidR="00841660" w:rsidRPr="00C91DA5">
        <w:t xml:space="preserve"> services – including narrowband voice and data – operate in the </w:t>
      </w:r>
      <w:r w:rsidR="006945FF" w:rsidRPr="00C91DA5">
        <w:t>400 MHz band</w:t>
      </w:r>
      <w:r w:rsidR="00841660" w:rsidRPr="00C91DA5">
        <w:t xml:space="preserve"> (</w:t>
      </w:r>
      <w:proofErr w:type="spellStart"/>
      <w:r w:rsidR="00841660" w:rsidRPr="00C91DA5">
        <w:t>eg</w:t>
      </w:r>
      <w:proofErr w:type="spellEnd"/>
      <w:r w:rsidR="00841660" w:rsidRPr="00C91DA5">
        <w:t xml:space="preserve">. government land mobile services also operate in the VHF mid and high bands), and there is no obligation for government services operating outside the band to migrate to the </w:t>
      </w:r>
      <w:proofErr w:type="spellStart"/>
      <w:r w:rsidR="00841660" w:rsidRPr="00C91DA5">
        <w:t>HGS</w:t>
      </w:r>
      <w:proofErr w:type="spellEnd"/>
      <w:r w:rsidR="00841660" w:rsidRPr="00C91DA5">
        <w:t xml:space="preserve">. </w:t>
      </w:r>
      <w:r w:rsidR="00050492" w:rsidRPr="00C91DA5">
        <w:t xml:space="preserve">In addition, the new </w:t>
      </w:r>
      <w:proofErr w:type="spellStart"/>
      <w:r w:rsidR="00050492" w:rsidRPr="00C91DA5">
        <w:t>HGS</w:t>
      </w:r>
      <w:proofErr w:type="spellEnd"/>
      <w:r w:rsidR="00050492" w:rsidRPr="00C91DA5">
        <w:t xml:space="preserve"> allocation is primarily for government agencies providing security, law enforcement and emergency services (defined as </w:t>
      </w:r>
      <w:r w:rsidR="00A758B5" w:rsidRPr="00C91DA5">
        <w:t>‘</w:t>
      </w:r>
      <w:r w:rsidR="00050492" w:rsidRPr="00C91DA5">
        <w:t>tier 1</w:t>
      </w:r>
      <w:r w:rsidR="00A758B5" w:rsidRPr="00C91DA5">
        <w:t>’</w:t>
      </w:r>
      <w:r w:rsidR="00050492" w:rsidRPr="00C91DA5">
        <w:t xml:space="preserve"> users). Other federal, state and territory government users (tier 2 users) can only access the </w:t>
      </w:r>
      <w:proofErr w:type="spellStart"/>
      <w:r w:rsidR="00050492" w:rsidRPr="00C91DA5">
        <w:t>HGS</w:t>
      </w:r>
      <w:proofErr w:type="spellEnd"/>
      <w:r w:rsidR="00050492" w:rsidRPr="00C91DA5">
        <w:t xml:space="preserve"> if tier 1 users can be adequately supported.  </w:t>
      </w:r>
    </w:p>
    <w:p w:rsidR="00841660" w:rsidRPr="00C91DA5" w:rsidRDefault="00A153B3">
      <w:r w:rsidRPr="00C91DA5">
        <w:t xml:space="preserve">Lastly, use of the term </w:t>
      </w:r>
      <w:r w:rsidRPr="00C91DA5">
        <w:rPr>
          <w:i/>
        </w:rPr>
        <w:t xml:space="preserve">government radio communications </w:t>
      </w:r>
      <w:r w:rsidRPr="00C91DA5">
        <w:t xml:space="preserve">is itself somewhat narrowly </w:t>
      </w:r>
      <w:proofErr w:type="spellStart"/>
      <w:r w:rsidRPr="00C91DA5">
        <w:t>focussed</w:t>
      </w:r>
      <w:proofErr w:type="spellEnd"/>
      <w:r w:rsidRPr="00C91DA5">
        <w:t xml:space="preserve">. </w:t>
      </w:r>
      <w:r w:rsidR="00050492" w:rsidRPr="00C91DA5">
        <w:t>The 400 MHz band plan</w:t>
      </w:r>
      <w:r w:rsidR="00050492" w:rsidRPr="00C91DA5">
        <w:rPr>
          <w:rStyle w:val="FootnoteReference"/>
        </w:rPr>
        <w:footnoteReference w:id="9"/>
      </w:r>
      <w:r w:rsidR="00050492" w:rsidRPr="00C91DA5">
        <w:t xml:space="preserve"> generally only provides for narrowband and some wideband services, and broadband applications such as video streaming cannot be accommodated in this band</w:t>
      </w:r>
      <w:r w:rsidR="00D4600D" w:rsidRPr="00C91DA5">
        <w:t>.</w:t>
      </w:r>
      <w:r w:rsidR="00050492" w:rsidRPr="00C91DA5">
        <w:t xml:space="preserve"> </w:t>
      </w:r>
      <w:r w:rsidR="00D4600D" w:rsidRPr="00C91DA5">
        <w:t xml:space="preserve">Direct (non-cellular) linking of video for public safety purposes would be much better served in the 4.9 GHz band. </w:t>
      </w:r>
      <w:r w:rsidRPr="00C91DA5">
        <w:t xml:space="preserve">There are </w:t>
      </w:r>
      <w:r w:rsidR="00D4600D" w:rsidRPr="00C91DA5">
        <w:t xml:space="preserve">also a </w:t>
      </w:r>
      <w:r w:rsidRPr="00C91DA5">
        <w:t>myriad</w:t>
      </w:r>
      <w:r w:rsidR="00D4600D" w:rsidRPr="00C91DA5">
        <w:t xml:space="preserve"> of other</w:t>
      </w:r>
      <w:r w:rsidRPr="00C91DA5">
        <w:t xml:space="preserve"> </w:t>
      </w:r>
      <w:proofErr w:type="spellStart"/>
      <w:r w:rsidRPr="00C91DA5">
        <w:t>radiocommunication</w:t>
      </w:r>
      <w:proofErr w:type="spellEnd"/>
      <w:r w:rsidR="00115CE2" w:rsidRPr="00C91DA5">
        <w:t xml:space="preserve"> technologies</w:t>
      </w:r>
      <w:r w:rsidRPr="00C91DA5">
        <w:t xml:space="preserve"> use</w:t>
      </w:r>
      <w:r w:rsidR="00115CE2" w:rsidRPr="00C91DA5">
        <w:t>d by government agencies</w:t>
      </w:r>
      <w:r w:rsidRPr="00C91DA5">
        <w:t xml:space="preserve"> </w:t>
      </w:r>
      <w:r w:rsidR="00FE4503" w:rsidRPr="00C91DA5">
        <w:t>which, by nature, are generally not suited to the 400 MHz band. For example</w:t>
      </w:r>
      <w:r w:rsidRPr="00C91DA5">
        <w:t xml:space="preserve">, Defence, transport, utilities, science and meteorological services, to name a few.  </w:t>
      </w:r>
    </w:p>
    <w:p w:rsidR="00FE4503" w:rsidRPr="00C91DA5" w:rsidRDefault="00FE4503" w:rsidP="00FE4503">
      <w:r w:rsidRPr="00C91DA5">
        <w:t xml:space="preserve">So to clarify, it is incorrect to assert that </w:t>
      </w:r>
      <w:r w:rsidRPr="00C91DA5">
        <w:rPr>
          <w:i/>
        </w:rPr>
        <w:t xml:space="preserve">all government radio communications </w:t>
      </w:r>
      <w:r w:rsidRPr="00C91DA5">
        <w:t xml:space="preserve">were migrated to the 400 MHz band. The purpose of the 400 MHz review was to harmonise existing government use in the 400 MHz band into </w:t>
      </w:r>
      <w:r w:rsidR="00BF7D94" w:rsidRPr="00C91DA5">
        <w:t xml:space="preserve">a single part of that band, termed </w:t>
      </w:r>
      <w:r w:rsidRPr="00C91DA5">
        <w:t xml:space="preserve">the </w:t>
      </w:r>
      <w:r w:rsidR="00BF7D94" w:rsidRPr="00C91DA5">
        <w:t xml:space="preserve">Harmonised Government Spectrum or </w:t>
      </w:r>
      <w:proofErr w:type="spellStart"/>
      <w:r w:rsidRPr="00C91DA5">
        <w:t>HGS</w:t>
      </w:r>
      <w:proofErr w:type="spellEnd"/>
      <w:r w:rsidR="00BF7D94" w:rsidRPr="00C91DA5">
        <w:t xml:space="preserve">. Although not mandated, this may also </w:t>
      </w:r>
      <w:r w:rsidRPr="00C91DA5">
        <w:t xml:space="preserve">encourage migration of other non-400 MHz government narrowband services into the </w:t>
      </w:r>
      <w:proofErr w:type="spellStart"/>
      <w:r w:rsidRPr="00C91DA5">
        <w:t>HGS</w:t>
      </w:r>
      <w:proofErr w:type="spellEnd"/>
      <w:r w:rsidRPr="00C91DA5">
        <w:t xml:space="preserve">. </w:t>
      </w:r>
    </w:p>
    <w:p w:rsidR="00C57159" w:rsidRDefault="00AF4166" w:rsidP="00A61AC4">
      <w:r w:rsidRPr="00C91DA5">
        <w:t>O</w:t>
      </w:r>
      <w:r w:rsidR="00A61AC4" w:rsidRPr="00C91DA5">
        <w:t xml:space="preserve">n </w:t>
      </w:r>
      <w:r w:rsidR="00A61AC4" w:rsidRPr="00C91DA5">
        <w:rPr>
          <w:u w:val="single"/>
        </w:rPr>
        <w:t>page 211</w:t>
      </w:r>
      <w:r w:rsidR="00A61AC4" w:rsidRPr="00C91DA5">
        <w:t xml:space="preserve"> </w:t>
      </w:r>
      <w:r w:rsidRPr="00C91DA5">
        <w:t xml:space="preserve">it is stated </w:t>
      </w:r>
      <w:r w:rsidR="00A61AC4" w:rsidRPr="00C91DA5">
        <w:t>that the 803-960 MHz band is “</w:t>
      </w:r>
      <w:r w:rsidR="00A61AC4" w:rsidRPr="00C91DA5">
        <w:rPr>
          <w:i/>
        </w:rPr>
        <w:t xml:space="preserve">…often referred to as the 800 MHz band”. </w:t>
      </w:r>
      <w:r w:rsidR="00A61AC4" w:rsidRPr="00C91DA5">
        <w:t>This statement is only partially correct</w:t>
      </w:r>
      <w:r w:rsidR="00A153B3" w:rsidRPr="00C91DA5">
        <w:t>.</w:t>
      </w:r>
      <w:r w:rsidR="00A61AC4" w:rsidRPr="00C91DA5">
        <w:t xml:space="preserve"> </w:t>
      </w:r>
      <w:r w:rsidR="00A153B3" w:rsidRPr="00C91DA5">
        <w:t>T</w:t>
      </w:r>
      <w:r w:rsidR="00A61AC4" w:rsidRPr="00C91DA5">
        <w:t>he frequency range known as the 800</w:t>
      </w:r>
      <w:r w:rsidR="00963DD3" w:rsidRPr="00C91DA5">
        <w:t> MHz band consists of only</w:t>
      </w:r>
      <w:r w:rsidR="00A61AC4" w:rsidRPr="00C91DA5">
        <w:t xml:space="preserve"> the lower part of the 803-960 MHz band</w:t>
      </w:r>
      <w:r w:rsidR="00A153B3" w:rsidRPr="00C91DA5">
        <w:t xml:space="preserve">, being 803-890 </w:t>
      </w:r>
      <w:proofErr w:type="spellStart"/>
      <w:r w:rsidR="00A153B3" w:rsidRPr="00C91DA5">
        <w:t>MHz</w:t>
      </w:r>
      <w:r w:rsidR="00A61AC4" w:rsidRPr="00C91DA5">
        <w:t>.</w:t>
      </w:r>
      <w:proofErr w:type="spellEnd"/>
      <w:r w:rsidR="00A61AC4" w:rsidRPr="00C91DA5">
        <w:t xml:space="preserve"> </w:t>
      </w:r>
      <w:r w:rsidR="00A153B3" w:rsidRPr="00C91DA5">
        <w:t xml:space="preserve">890-960 MHz is referred to as the 900 MHz band. Historically, prior to the </w:t>
      </w:r>
      <w:proofErr w:type="spellStart"/>
      <w:r w:rsidR="00A153B3" w:rsidRPr="00C91DA5">
        <w:t>ACMA’s</w:t>
      </w:r>
      <w:proofErr w:type="spellEnd"/>
      <w:r w:rsidR="00A153B3" w:rsidRPr="00C91DA5">
        <w:t xml:space="preserve"> review of the frequency arrangements in these bands, the 900 MHz band referred to the frequency</w:t>
      </w:r>
      <w:r w:rsidR="00A153B3">
        <w:t xml:space="preserve"> range 820-960 MHz, as reflected in the no longer active 900</w:t>
      </w:r>
      <w:r w:rsidR="00A02CD7">
        <w:t> </w:t>
      </w:r>
      <w:r w:rsidR="00A153B3">
        <w:t xml:space="preserve">MHz legislative band plan (made in 1992). However with the inclusion of 803-820 MHz (vacated by broadcasting services under the </w:t>
      </w:r>
      <w:r w:rsidR="00A153B3">
        <w:rPr>
          <w:i/>
        </w:rPr>
        <w:t xml:space="preserve">digital dividend </w:t>
      </w:r>
      <w:r w:rsidR="00A153B3">
        <w:t xml:space="preserve">process) and a general shift in </w:t>
      </w:r>
      <w:r w:rsidR="00A61AC4" w:rsidRPr="00A61AC4">
        <w:t xml:space="preserve">accepted industry and international parlance, the 800 and 900 MHz bands </w:t>
      </w:r>
      <w:r w:rsidR="00A153B3">
        <w:t>are considered as separate frequency bands</w:t>
      </w:r>
      <w:r w:rsidR="00A61AC4" w:rsidRPr="00A61AC4">
        <w:t>.</w:t>
      </w:r>
    </w:p>
    <w:p w:rsidR="00074A89" w:rsidRDefault="00C32882" w:rsidP="00A61AC4">
      <w:r>
        <w:t xml:space="preserve">Also on </w:t>
      </w:r>
      <w:r w:rsidRPr="002C164F">
        <w:rPr>
          <w:u w:val="single"/>
        </w:rPr>
        <w:t>page 211</w:t>
      </w:r>
      <w:r>
        <w:t xml:space="preserve">, in describing technologies which could be used in the 4.9 GHz band the draft report included </w:t>
      </w:r>
      <w:r>
        <w:rPr>
          <w:i/>
        </w:rPr>
        <w:t>“…deployable LTE cells…”.</w:t>
      </w:r>
      <w:r>
        <w:t xml:space="preserve">  </w:t>
      </w:r>
      <w:r w:rsidR="00AF4166">
        <w:t>T</w:t>
      </w:r>
      <w:r>
        <w:t xml:space="preserve">he 4.9 GHz band </w:t>
      </w:r>
      <w:r w:rsidR="004F102D">
        <w:t xml:space="preserve">is </w:t>
      </w:r>
      <w:r>
        <w:t xml:space="preserve">currently not </w:t>
      </w:r>
      <w:r w:rsidR="00292760">
        <w:t xml:space="preserve">included in the LTE standard, </w:t>
      </w:r>
      <w:r w:rsidR="00AF4166">
        <w:t xml:space="preserve">so </w:t>
      </w:r>
      <w:r w:rsidR="00292760">
        <w:t>there is not likely to be LTE equipment readily available in this band</w:t>
      </w:r>
      <w:r>
        <w:t>.</w:t>
      </w:r>
      <w:r w:rsidR="00CC1985">
        <w:rPr>
          <w:rStyle w:val="FootnoteReference"/>
        </w:rPr>
        <w:footnoteReference w:id="10"/>
      </w:r>
      <w:r>
        <w:t xml:space="preserve"> However, it is feasible that deployable cells could be used in the 4.9 GHz band for other technologies, such as</w:t>
      </w:r>
      <w:r w:rsidR="00B84C43">
        <w:t xml:space="preserve"> for</w:t>
      </w:r>
      <w:r>
        <w:t xml:space="preserve"> </w:t>
      </w:r>
      <w:r w:rsidR="00074A89">
        <w:t xml:space="preserve">portable </w:t>
      </w:r>
      <w:r>
        <w:t>Wi-Fi</w:t>
      </w:r>
      <w:r w:rsidR="00074A89">
        <w:t xml:space="preserve"> hotspots.</w:t>
      </w:r>
    </w:p>
    <w:p w:rsidR="00161EF0" w:rsidRDefault="001C01C4" w:rsidP="00A61AC4">
      <w:r w:rsidRPr="002C164F">
        <w:rPr>
          <w:u w:val="single"/>
        </w:rPr>
        <w:lastRenderedPageBreak/>
        <w:t>Box 7.7 on page 212</w:t>
      </w:r>
      <w:r>
        <w:t xml:space="preserve"> provides a description of the </w:t>
      </w:r>
      <w:r w:rsidR="008E43BE">
        <w:t xml:space="preserve">three </w:t>
      </w:r>
      <w:r>
        <w:t>radiofrequency licensing types</w:t>
      </w:r>
      <w:r w:rsidR="008E43BE">
        <w:t xml:space="preserve"> currently available</w:t>
      </w:r>
      <w:r>
        <w:t xml:space="preserve">: spectrum, apparatus and class licences. </w:t>
      </w:r>
      <w:r w:rsidR="008E43BE">
        <w:t>Regarding</w:t>
      </w:r>
      <w:r>
        <w:t xml:space="preserve"> the spectrum licence type</w:t>
      </w:r>
      <w:r w:rsidR="006618A0">
        <w:t>,</w:t>
      </w:r>
      <w:r w:rsidR="00E61A9F">
        <w:t xml:space="preserve"> </w:t>
      </w:r>
      <w:r>
        <w:t>while</w:t>
      </w:r>
      <w:r w:rsidR="00E61A9F">
        <w:t xml:space="preserve"> </w:t>
      </w:r>
      <w:r>
        <w:t>a spectrum</w:t>
      </w:r>
      <w:r w:rsidR="00E61A9F">
        <w:t xml:space="preserve"> licence does not </w:t>
      </w:r>
      <w:r w:rsidR="00752F9B">
        <w:t>mandate any</w:t>
      </w:r>
      <w:r w:rsidR="00E61A9F">
        <w:t xml:space="preserve"> particular technolog</w:t>
      </w:r>
      <w:r w:rsidR="00752F9B">
        <w:t>ies</w:t>
      </w:r>
      <w:r w:rsidR="00E61A9F">
        <w:t xml:space="preserve"> or </w:t>
      </w:r>
      <w:r w:rsidR="00963DD3">
        <w:t>service</w:t>
      </w:r>
      <w:r w:rsidR="00752F9B">
        <w:t>s</w:t>
      </w:r>
      <w:r w:rsidR="00E61A9F">
        <w:t>,</w:t>
      </w:r>
      <w:r w:rsidR="00A55A63">
        <w:t xml:space="preserve"> it does </w:t>
      </w:r>
      <w:r w:rsidR="002D4FFC">
        <w:t xml:space="preserve">carry </w:t>
      </w:r>
      <w:r w:rsidR="00752F9B">
        <w:t>specific</w:t>
      </w:r>
      <w:r w:rsidR="002D4FFC">
        <w:t xml:space="preserve"> conditions that prescribe </w:t>
      </w:r>
      <w:r>
        <w:t>technical limitations.</w:t>
      </w:r>
      <w:r>
        <w:rPr>
          <w:rStyle w:val="FootnoteReference"/>
          <w:rFonts w:eastAsiaTheme="minorEastAsia"/>
          <w:sz w:val="22"/>
          <w:lang w:val="en-US"/>
        </w:rPr>
        <w:footnoteReference w:id="11"/>
      </w:r>
      <w:r>
        <w:t xml:space="preserve"> </w:t>
      </w:r>
      <w:r w:rsidR="00752F9B">
        <w:t>So</w:t>
      </w:r>
      <w:r>
        <w:t xml:space="preserve"> spectrum licences are technology</w:t>
      </w:r>
      <w:r w:rsidR="00A758B5">
        <w:t>-</w:t>
      </w:r>
      <w:r>
        <w:t xml:space="preserve">flexible, </w:t>
      </w:r>
      <w:r w:rsidR="00752F9B">
        <w:t xml:space="preserve">however </w:t>
      </w:r>
      <w:r w:rsidR="002D4FFC">
        <w:t>deployed systems</w:t>
      </w:r>
      <w:r>
        <w:t xml:space="preserve"> must still adhere to the licence conditions</w:t>
      </w:r>
      <w:r w:rsidR="00215F59">
        <w:t>.</w:t>
      </w:r>
      <w:r>
        <w:t xml:space="preserve"> </w:t>
      </w:r>
      <w:r w:rsidR="00215F59">
        <w:t>C</w:t>
      </w:r>
      <w:r>
        <w:t>onsequently</w:t>
      </w:r>
      <w:r w:rsidR="00215F59">
        <w:t>,</w:t>
      </w:r>
      <w:r>
        <w:t xml:space="preserve"> it </w:t>
      </w:r>
      <w:r w:rsidR="00161EF0">
        <w:t>cannot be said that</w:t>
      </w:r>
      <w:r w:rsidR="008E43BE">
        <w:t xml:space="preserve"> </w:t>
      </w:r>
      <w:r w:rsidR="008E43BE" w:rsidRPr="00A55A63">
        <w:rPr>
          <w:i/>
        </w:rPr>
        <w:t>any</w:t>
      </w:r>
      <w:r w:rsidR="00215F59">
        <w:t xml:space="preserve"> type of technology</w:t>
      </w:r>
      <w:r>
        <w:t xml:space="preserve"> c</w:t>
      </w:r>
      <w:r w:rsidR="00161EF0">
        <w:t>an</w:t>
      </w:r>
      <w:r>
        <w:t xml:space="preserve"> be </w:t>
      </w:r>
      <w:r w:rsidR="0021531C">
        <w:t xml:space="preserve">effectively </w:t>
      </w:r>
      <w:r>
        <w:t>deployed</w:t>
      </w:r>
      <w:r w:rsidR="00161EF0">
        <w:t xml:space="preserve"> under a spectrum licence</w:t>
      </w:r>
      <w:r>
        <w:t xml:space="preserve">. </w:t>
      </w:r>
    </w:p>
    <w:p w:rsidR="005636D7" w:rsidRDefault="00E61A9F" w:rsidP="00A61AC4">
      <w:r>
        <w:t>It should also be noted that television broadcasting</w:t>
      </w:r>
      <w:r w:rsidR="008E43BE">
        <w:t xml:space="preserve"> services are</w:t>
      </w:r>
      <w:r>
        <w:t xml:space="preserve"> provided under</w:t>
      </w:r>
      <w:r w:rsidR="00963DD3">
        <w:t xml:space="preserve"> the</w:t>
      </w:r>
      <w:r>
        <w:t xml:space="preserve"> apparatus licence type </w:t>
      </w:r>
      <w:r w:rsidR="008E43BE">
        <w:t>and are</w:t>
      </w:r>
      <w:r w:rsidR="00963DD3">
        <w:t xml:space="preserve"> </w:t>
      </w:r>
      <w:r>
        <w:t xml:space="preserve">not </w:t>
      </w:r>
      <w:r w:rsidR="00963DD3">
        <w:t xml:space="preserve">authorised under </w:t>
      </w:r>
      <w:r>
        <w:t>the spectrum licensing regime.</w:t>
      </w:r>
      <w:r w:rsidR="005636D7">
        <w:t xml:space="preserve"> In addition, spectrum licensees, like apparatus licensees, can authorise third-party operation</w:t>
      </w:r>
      <w:r w:rsidR="0021531C">
        <w:t xml:space="preserve"> con</w:t>
      </w:r>
      <w:r w:rsidR="00B3576A">
        <w:t>sis</w:t>
      </w:r>
      <w:r w:rsidR="0021531C">
        <w:t>tent with the conditions of the licence</w:t>
      </w:r>
      <w:r w:rsidR="005636D7">
        <w:t>.</w:t>
      </w:r>
    </w:p>
    <w:p w:rsidR="005636D7" w:rsidRDefault="008E43BE" w:rsidP="00A61AC4">
      <w:r>
        <w:t>With regards to</w:t>
      </w:r>
      <w:r w:rsidR="005636D7">
        <w:t xml:space="preserve"> apparatus licences, </w:t>
      </w:r>
      <w:r>
        <w:t>while</w:t>
      </w:r>
      <w:r w:rsidR="005636D7">
        <w:t xml:space="preserve"> licence</w:t>
      </w:r>
      <w:r>
        <w:t>s</w:t>
      </w:r>
      <w:r w:rsidR="005636D7">
        <w:t xml:space="preserve"> </w:t>
      </w:r>
      <w:r w:rsidRPr="008E43BE">
        <w:rPr>
          <w:i/>
        </w:rPr>
        <w:t>typically</w:t>
      </w:r>
      <w:r>
        <w:t xml:space="preserve"> </w:t>
      </w:r>
      <w:r w:rsidR="005636D7">
        <w:t xml:space="preserve">authorise </w:t>
      </w:r>
      <w:r w:rsidR="00161EF0">
        <w:t xml:space="preserve">operation </w:t>
      </w:r>
      <w:r>
        <w:t xml:space="preserve">at a specific location, some </w:t>
      </w:r>
      <w:r w:rsidR="005636D7">
        <w:t>authorise access on an area</w:t>
      </w:r>
      <w:r w:rsidR="00161EF0">
        <w:t>-</w:t>
      </w:r>
      <w:r w:rsidR="005636D7">
        <w:t xml:space="preserve">wide </w:t>
      </w:r>
      <w:r w:rsidR="002D4FFC">
        <w:t xml:space="preserve">(in some cases, Australia-wide) </w:t>
      </w:r>
      <w:r w:rsidR="005636D7">
        <w:t>basis. Furthermore, the maximum term for an apparatus licence is 5 years</w:t>
      </w:r>
      <w:r w:rsidR="00900698">
        <w:t>, after which it can be renewed</w:t>
      </w:r>
      <w:r w:rsidR="005636D7">
        <w:t>.</w:t>
      </w:r>
    </w:p>
    <w:p w:rsidR="006A4360" w:rsidRDefault="008E43BE" w:rsidP="00A61AC4">
      <w:r>
        <w:t>Regarding</w:t>
      </w:r>
      <w:r w:rsidR="006A4360">
        <w:t xml:space="preserve"> class licences, while the type of devices authorised by class licences are </w:t>
      </w:r>
      <w:r w:rsidR="002D4FFC">
        <w:t xml:space="preserve">generally </w:t>
      </w:r>
      <w:r w:rsidR="006A4360">
        <w:t>low-powered</w:t>
      </w:r>
      <w:r w:rsidR="002D4FFC">
        <w:t>,</w:t>
      </w:r>
      <w:r w:rsidR="006A4360">
        <w:t xml:space="preserve"> there are some high-powered exceptions.</w:t>
      </w:r>
    </w:p>
    <w:p w:rsidR="006A4360" w:rsidRDefault="006A4360" w:rsidP="00A61AC4">
      <w:r>
        <w:t xml:space="preserve">Also in </w:t>
      </w:r>
      <w:r w:rsidRPr="002C164F">
        <w:rPr>
          <w:u w:val="single"/>
        </w:rPr>
        <w:t>box 7.7</w:t>
      </w:r>
      <w:r>
        <w:t>, the draft report states:</w:t>
      </w:r>
    </w:p>
    <w:p w:rsidR="006A4360" w:rsidRDefault="006A4360" w:rsidP="006A4360">
      <w:pPr>
        <w:ind w:left="284"/>
        <w:rPr>
          <w:i/>
        </w:rPr>
      </w:pPr>
      <w:r>
        <w:rPr>
          <w:i/>
        </w:rPr>
        <w:t>“</w:t>
      </w:r>
      <w:r w:rsidRPr="006A4360">
        <w:rPr>
          <w:i/>
        </w:rPr>
        <w:t>In addition, transmitter devices must be separately registered and comply with regulations on transmission power levels and out-of-band emissions (to limit interference).</w:t>
      </w:r>
      <w:r>
        <w:rPr>
          <w:i/>
        </w:rPr>
        <w:t>”</w:t>
      </w:r>
    </w:p>
    <w:p w:rsidR="0099342F" w:rsidRDefault="002D4FFC" w:rsidP="006A4360">
      <w:r>
        <w:t xml:space="preserve">The requirements described in the above quote, when applied to a licence, are inherent </w:t>
      </w:r>
      <w:r w:rsidR="00A758B5">
        <w:t>in</w:t>
      </w:r>
      <w:r>
        <w:t xml:space="preserve"> the conditions of that licence type, not an additional requirement. In any case, t</w:t>
      </w:r>
      <w:r w:rsidR="0099342F">
        <w:t>he meaning of this statement</w:t>
      </w:r>
      <w:r w:rsidR="00266FF9">
        <w:t xml:space="preserve"> and how it applies to the preceding description of the three types of licences</w:t>
      </w:r>
      <w:r w:rsidR="0099342F">
        <w:t xml:space="preserve"> appears to </w:t>
      </w:r>
      <w:r>
        <w:t>lack clarity</w:t>
      </w:r>
      <w:r w:rsidR="00E646EE">
        <w:t xml:space="preserve"> as these requirements are </w:t>
      </w:r>
      <w:r w:rsidR="00EB763F">
        <w:t>not consistent across all three</w:t>
      </w:r>
      <w:r w:rsidR="00E646EE">
        <w:t xml:space="preserve"> licence types. For example, there are </w:t>
      </w:r>
      <w:r w:rsidR="00B21513">
        <w:t xml:space="preserve">often </w:t>
      </w:r>
      <w:r w:rsidR="0082421A">
        <w:t xml:space="preserve">transmitter </w:t>
      </w:r>
      <w:r w:rsidR="00E646EE">
        <w:t xml:space="preserve">registration requirements for </w:t>
      </w:r>
      <w:r w:rsidR="00B21513">
        <w:t xml:space="preserve">devices operating under certain </w:t>
      </w:r>
      <w:r w:rsidR="00E646EE">
        <w:t>spectrum and apparatus licence</w:t>
      </w:r>
      <w:r w:rsidR="00B21513">
        <w:t>s,</w:t>
      </w:r>
      <w:r w:rsidR="00E646EE">
        <w:t xml:space="preserve"> but not for class licensed devices.</w:t>
      </w:r>
      <w:r>
        <w:t xml:space="preserve"> </w:t>
      </w:r>
      <w:r w:rsidR="00A758B5">
        <w:t xml:space="preserve">To avoid confusion, </w:t>
      </w:r>
      <w:r>
        <w:t xml:space="preserve">Box 7.7 might benefit from removal of the sentence quoted above. </w:t>
      </w:r>
    </w:p>
    <w:p w:rsidR="00E25178" w:rsidRDefault="002D4FFC" w:rsidP="006A4360">
      <w:r>
        <w:t xml:space="preserve">Lastly, </w:t>
      </w:r>
      <w:r w:rsidRPr="002C164F">
        <w:rPr>
          <w:u w:val="single"/>
        </w:rPr>
        <w:t>t</w:t>
      </w:r>
      <w:r w:rsidR="00D75316" w:rsidRPr="002C164F">
        <w:rPr>
          <w:u w:val="single"/>
        </w:rPr>
        <w:t>hroughout the draft report</w:t>
      </w:r>
      <w:r w:rsidR="00D75316">
        <w:t xml:space="preserve"> there is discussion on the benefits of international spectrum harmonisation, particular</w:t>
      </w:r>
      <w:r w:rsidR="00EB763F">
        <w:t>ly</w:t>
      </w:r>
      <w:r w:rsidR="00D75316">
        <w:t xml:space="preserve"> </w:t>
      </w:r>
      <w:r>
        <w:t xml:space="preserve">the </w:t>
      </w:r>
      <w:r w:rsidR="00D75316">
        <w:t>enhance</w:t>
      </w:r>
      <w:r w:rsidR="00B84C43">
        <w:t xml:space="preserve">d economies of scale </w:t>
      </w:r>
      <w:r>
        <w:t xml:space="preserve">that result </w:t>
      </w:r>
      <w:r w:rsidR="00B84C43">
        <w:t>and</w:t>
      </w:r>
      <w:r w:rsidR="00EB763F">
        <w:t xml:space="preserve"> </w:t>
      </w:r>
      <w:r w:rsidR="00D75316">
        <w:t>international roaming</w:t>
      </w:r>
      <w:r>
        <w:t xml:space="preserve"> that is enabled</w:t>
      </w:r>
      <w:r w:rsidR="00D75316">
        <w:t xml:space="preserve">. </w:t>
      </w:r>
      <w:r w:rsidR="00E25178">
        <w:t xml:space="preserve">As noted in the draft report, the </w:t>
      </w:r>
      <w:proofErr w:type="spellStart"/>
      <w:r w:rsidR="00E25178">
        <w:t>ACMA</w:t>
      </w:r>
      <w:proofErr w:type="spellEnd"/>
      <w:r w:rsidR="00E25178">
        <w:t xml:space="preserve"> actively works to </w:t>
      </w:r>
      <w:r w:rsidR="0021531C">
        <w:t xml:space="preserve">encourage </w:t>
      </w:r>
      <w:r w:rsidR="00E25178">
        <w:t>spectrum harmonisation at the international level</w:t>
      </w:r>
      <w:r w:rsidR="00B84C43">
        <w:t>,</w:t>
      </w:r>
      <w:r w:rsidR="00E25178">
        <w:t xml:space="preserve"> including work towards identifying harmonised frequency bands of public safety use. </w:t>
      </w:r>
    </w:p>
    <w:p w:rsidR="00E25178" w:rsidRDefault="007B6BAC" w:rsidP="006A4360">
      <w:r>
        <w:t>H</w:t>
      </w:r>
      <w:r w:rsidR="00E25178">
        <w:t>owever</w:t>
      </w:r>
      <w:r>
        <w:t>,</w:t>
      </w:r>
      <w:r w:rsidR="00716C0E">
        <w:t xml:space="preserve"> alignment </w:t>
      </w:r>
      <w:r w:rsidR="00BD4BFD">
        <w:t xml:space="preserve">at the </w:t>
      </w:r>
      <w:r w:rsidR="00E25178">
        <w:t>frequency band</w:t>
      </w:r>
      <w:r w:rsidR="00BD4BFD">
        <w:t xml:space="preserve"> level itself doesn’t result in harmonisation. </w:t>
      </w:r>
      <w:r w:rsidR="0021531C">
        <w:t xml:space="preserve">For example, </w:t>
      </w:r>
      <w:r w:rsidR="00BD4BFD">
        <w:t xml:space="preserve">what is termed “the 700 MHz band” in </w:t>
      </w:r>
      <w:proofErr w:type="spellStart"/>
      <w:r w:rsidR="00BD4BFD">
        <w:t>ITU</w:t>
      </w:r>
      <w:proofErr w:type="spellEnd"/>
      <w:r w:rsidR="00BD4BFD">
        <w:t xml:space="preserve"> Region 2 (the Americas) does not align with the 700 MHz band in the Asia-Pacific</w:t>
      </w:r>
      <w:r w:rsidR="00A82442">
        <w:t xml:space="preserve"> region (</w:t>
      </w:r>
      <w:proofErr w:type="spellStart"/>
      <w:r w:rsidR="00A82442">
        <w:t>ITU</w:t>
      </w:r>
      <w:proofErr w:type="spellEnd"/>
      <w:r w:rsidR="00A82442">
        <w:t xml:space="preserve"> Region 3)</w:t>
      </w:r>
      <w:r w:rsidR="00BD4BFD">
        <w:t>.</w:t>
      </w:r>
      <w:r w:rsidR="00EC623F">
        <w:t xml:space="preserve"> O</w:t>
      </w:r>
      <w:r w:rsidR="00E25178">
        <w:t xml:space="preserve">n </w:t>
      </w:r>
      <w:r w:rsidR="00E25178" w:rsidRPr="002C164F">
        <w:rPr>
          <w:u w:val="single"/>
        </w:rPr>
        <w:t>page 250</w:t>
      </w:r>
      <w:r w:rsidR="00E25178">
        <w:t xml:space="preserve"> the draft report states:</w:t>
      </w:r>
    </w:p>
    <w:p w:rsidR="00CD5F8E" w:rsidRDefault="00E25178" w:rsidP="00CD5F8E">
      <w:pPr>
        <w:ind w:left="284"/>
        <w:rPr>
          <w:i/>
        </w:rPr>
      </w:pPr>
      <w:r>
        <w:rPr>
          <w:i/>
        </w:rPr>
        <w:t>“…</w:t>
      </w:r>
      <w:r w:rsidRPr="00E25178">
        <w:rPr>
          <w:i/>
        </w:rPr>
        <w:t>South Korea announced plans to allocate spectrum in the 700 MHz band, in line with the United States and Canada</w:t>
      </w:r>
      <w:r>
        <w:rPr>
          <w:i/>
        </w:rPr>
        <w:t>.”</w:t>
      </w:r>
    </w:p>
    <w:p w:rsidR="00CD5F8E" w:rsidRDefault="00EC623F" w:rsidP="00CD5F8E">
      <w:r>
        <w:lastRenderedPageBreak/>
        <w:t>The latter part of this quote is in fact not true</w:t>
      </w:r>
      <w:r w:rsidR="00CD5F8E">
        <w:t xml:space="preserve">. Both the United States and </w:t>
      </w:r>
      <w:r w:rsidR="00A82442">
        <w:t>Canadian</w:t>
      </w:r>
      <w:r w:rsidR="00CD5F8E">
        <w:t xml:space="preserve"> </w:t>
      </w:r>
      <w:r>
        <w:t xml:space="preserve">public safety </w:t>
      </w:r>
      <w:r w:rsidR="00CD5F8E">
        <w:t xml:space="preserve">allocations align with </w:t>
      </w:r>
      <w:r w:rsidR="00B84C43">
        <w:t xml:space="preserve">the </w:t>
      </w:r>
      <w:proofErr w:type="spellStart"/>
      <w:r w:rsidR="00CD5F8E">
        <w:t>3GPP</w:t>
      </w:r>
      <w:proofErr w:type="spellEnd"/>
      <w:r w:rsidR="00A758B5">
        <w:t>-</w:t>
      </w:r>
      <w:r w:rsidR="00B84C43">
        <w:t>standardised</w:t>
      </w:r>
      <w:r w:rsidR="00CD5F8E">
        <w:t xml:space="preserve"> band 14 (758-</w:t>
      </w:r>
      <w:r w:rsidR="004F102D">
        <w:t>768 MHz paired with 788-798 MHz)</w:t>
      </w:r>
      <w:r w:rsidR="00B84C43">
        <w:t>,</w:t>
      </w:r>
      <w:r w:rsidR="004F102D">
        <w:t xml:space="preserve"> while the South Korean allocation is within </w:t>
      </w:r>
      <w:proofErr w:type="spellStart"/>
      <w:r w:rsidR="004F102D">
        <w:t>3GPP</w:t>
      </w:r>
      <w:proofErr w:type="spellEnd"/>
      <w:r w:rsidR="004F102D">
        <w:t xml:space="preserve"> band 28 (703-748 MHz paired with 758-803 MHz). This means that band 14 equipment used in the United States and Canada could not be used in South Korea without modification, which is likely to negate any economy of scale </w:t>
      </w:r>
      <w:r>
        <w:t xml:space="preserve">or roaming/interoperability </w:t>
      </w:r>
      <w:r w:rsidR="004F102D">
        <w:t>benefits.</w:t>
      </w:r>
    </w:p>
    <w:p w:rsidR="006A4360" w:rsidRPr="006A4360" w:rsidRDefault="00E25178" w:rsidP="006A4360">
      <w:r>
        <w:t xml:space="preserve"> </w:t>
      </w:r>
      <w:r w:rsidR="00D75316">
        <w:t xml:space="preserve"> </w:t>
      </w:r>
    </w:p>
    <w:p w:rsidR="006A4360" w:rsidRPr="005636D7" w:rsidRDefault="006A4360" w:rsidP="00A61AC4"/>
    <w:sectPr w:rsidR="006A4360" w:rsidRPr="005636D7" w:rsidSect="00C77380">
      <w:headerReference w:type="even" r:id="rId24"/>
      <w:headerReference w:type="default" r:id="rId25"/>
      <w:footerReference w:type="even" r:id="rId26"/>
      <w:footerReference w:type="default" r:id="rId27"/>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717" w:rsidRDefault="00224717">
      <w:r>
        <w:separator/>
      </w:r>
    </w:p>
  </w:endnote>
  <w:endnote w:type="continuationSeparator" w:id="0">
    <w:p w:rsidR="00224717" w:rsidRDefault="00224717">
      <w:r>
        <w:continuationSeparator/>
      </w:r>
    </w:p>
  </w:endnote>
  <w:endnote w:type="continuationNotice" w:id="1">
    <w:p w:rsidR="00224717" w:rsidRDefault="002247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HelveticaNeueLT Std Med">
    <w:altName w:val="Arial"/>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AE" w:rsidRPr="00A5474E" w:rsidRDefault="00944BAE" w:rsidP="00A5474E">
    <w:pPr>
      <w:pStyle w:val="Footer"/>
    </w:pPr>
    <w:r>
      <w:rPr>
        <w:noProof/>
      </w:rPr>
      <w:drawing>
        <wp:inline distT="0" distB="0" distL="0" distR="0" wp14:anchorId="7B41BCF0" wp14:editId="23FA4424">
          <wp:extent cx="3483864" cy="249613"/>
          <wp:effectExtent l="0" t="0" r="0" b="0"/>
          <wp:docPr id="24" name="Picture 24" title="Australian communications and Media Authority tagline – communicating, facilitating, regul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M_A4Letterhead_Strapline.jpg"/>
                  <pic:cNvPicPr/>
                </pic:nvPicPr>
                <pic:blipFill>
                  <a:blip r:embed="rId1">
                    <a:extLst>
                      <a:ext uri="{28A0092B-C50C-407E-A947-70E740481C1C}">
                        <a14:useLocalDpi xmlns:a14="http://schemas.microsoft.com/office/drawing/2010/main" val="0"/>
                      </a:ext>
                    </a:extLst>
                  </a:blip>
                  <a:stretch>
                    <a:fillRect/>
                  </a:stretch>
                </pic:blipFill>
                <pic:spPr>
                  <a:xfrm>
                    <a:off x="0" y="0"/>
                    <a:ext cx="3483864" cy="249613"/>
                  </a:xfrm>
                  <a:prstGeom prst="rect">
                    <a:avLst/>
                  </a:prstGeom>
                  <a:extLs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AE" w:rsidRDefault="00944B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AE" w:rsidRDefault="00944B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AE" w:rsidRPr="00622A3B" w:rsidRDefault="00944BAE"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sidR="00EF36B5">
      <w:rPr>
        <w:noProof/>
      </w:rPr>
      <w:t>6</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rsidR="00944BAE" w:rsidRPr="00A5474E" w:rsidRDefault="00944BAE" w:rsidP="00A5474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AE" w:rsidRPr="00622A3B" w:rsidRDefault="00944BAE"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EF36B5">
      <w:rPr>
        <w:noProof/>
        <w:color w:val="505050"/>
      </w:rPr>
      <w:t>7</w:t>
    </w:r>
    <w:r w:rsidRPr="00575AC5">
      <w:rPr>
        <w:color w:val="505050"/>
      </w:rPr>
      <w:fldChar w:fldCharType="end"/>
    </w:r>
  </w:p>
  <w:p w:rsidR="00944BAE" w:rsidRPr="00A5474E" w:rsidRDefault="00944BAE" w:rsidP="00A547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717" w:rsidRDefault="00224717">
      <w:r>
        <w:separator/>
      </w:r>
    </w:p>
  </w:footnote>
  <w:footnote w:type="continuationSeparator" w:id="0">
    <w:p w:rsidR="00224717" w:rsidRDefault="00224717">
      <w:r>
        <w:continuationSeparator/>
      </w:r>
    </w:p>
  </w:footnote>
  <w:footnote w:type="continuationNotice" w:id="1">
    <w:p w:rsidR="00224717" w:rsidRDefault="00224717">
      <w:pPr>
        <w:spacing w:after="0" w:line="240" w:lineRule="auto"/>
      </w:pPr>
    </w:p>
  </w:footnote>
  <w:footnote w:id="2">
    <w:p w:rsidR="00944BAE" w:rsidRDefault="00944BAE">
      <w:pPr>
        <w:pStyle w:val="FootnoteText"/>
      </w:pPr>
      <w:r>
        <w:rPr>
          <w:rStyle w:val="FootnoteReference"/>
        </w:rPr>
        <w:footnoteRef/>
      </w:r>
      <w:r>
        <w:t xml:space="preserve"> For example, in 2009 the </w:t>
      </w:r>
      <w:proofErr w:type="spellStart"/>
      <w:r>
        <w:t>ACMA</w:t>
      </w:r>
      <w:proofErr w:type="spellEnd"/>
      <w:r>
        <w:t xml:space="preserve"> adopted </w:t>
      </w:r>
      <w:r w:rsidRPr="00D30ED4">
        <w:rPr>
          <w:lang w:val="en"/>
        </w:rPr>
        <w:t>administrative incentive pric</w:t>
      </w:r>
      <w:r>
        <w:rPr>
          <w:lang w:val="en"/>
        </w:rPr>
        <w:t xml:space="preserve">ing using opportunity cost as the </w:t>
      </w:r>
      <w:r w:rsidRPr="00D30ED4">
        <w:rPr>
          <w:lang w:val="en"/>
        </w:rPr>
        <w:t>method for administratively allocated spectrum</w:t>
      </w:r>
      <w:r>
        <w:rPr>
          <w:lang w:val="en"/>
        </w:rPr>
        <w:t xml:space="preserve"> in the 400 MHz band. See </w:t>
      </w:r>
      <w:hyperlink r:id="rId1" w:history="1">
        <w:r w:rsidRPr="0047487C">
          <w:rPr>
            <w:rStyle w:val="Hyperlink"/>
            <w:lang w:val="en"/>
          </w:rPr>
          <w:t>http://www.acma.gov.au/theACMA/acma-issues-for-comment-122009-opportunity-cost-pricing-of-spectrum-public-consultation-on-administrative-pricing-for-spectrum-based-on-opportunity-cost</w:t>
        </w:r>
      </w:hyperlink>
    </w:p>
  </w:footnote>
  <w:footnote w:id="3">
    <w:p w:rsidR="00944BAE" w:rsidRDefault="00944BAE" w:rsidP="005606D3">
      <w:pPr>
        <w:pStyle w:val="FootnoteText"/>
      </w:pPr>
      <w:r>
        <w:rPr>
          <w:rStyle w:val="FootnoteReference"/>
        </w:rPr>
        <w:footnoteRef/>
      </w:r>
      <w:r>
        <w:t xml:space="preserve"> </w:t>
      </w:r>
      <w:r w:rsidRPr="00831F9A">
        <w:t>http://www.acma.gov.au/theACMA/About/Events/Spectrum-tune-up-Beyond-2020/beyond-2020</w:t>
      </w:r>
    </w:p>
  </w:footnote>
  <w:footnote w:id="4">
    <w:p w:rsidR="00944BAE" w:rsidRDefault="00944BAE" w:rsidP="00DB3494">
      <w:pPr>
        <w:pStyle w:val="FootnoteText"/>
        <w:spacing w:after="120"/>
      </w:pPr>
      <w:r>
        <w:rPr>
          <w:rStyle w:val="FootnoteReference"/>
        </w:rPr>
        <w:footnoteRef/>
      </w:r>
      <w:r>
        <w:t xml:space="preserve"> See section 3.5.1 of the </w:t>
      </w:r>
      <w:proofErr w:type="spellStart"/>
      <w:r>
        <w:t>ACMA</w:t>
      </w:r>
      <w:proofErr w:type="spellEnd"/>
      <w:r>
        <w:t xml:space="preserve"> paper: </w:t>
      </w:r>
      <w:hyperlink r:id="rId2" w:history="1">
        <w:r w:rsidRPr="00662610">
          <w:rPr>
            <w:rStyle w:val="Hyperlink"/>
          </w:rPr>
          <w:t xml:space="preserve">Spectrum for public safety </w:t>
        </w:r>
        <w:proofErr w:type="spellStart"/>
        <w:r w:rsidRPr="00662610">
          <w:rPr>
            <w:rStyle w:val="Hyperlink"/>
          </w:rPr>
          <w:t>radiocommunications</w:t>
        </w:r>
        <w:proofErr w:type="spellEnd"/>
        <w:r w:rsidRPr="00662610">
          <w:rPr>
            <w:rStyle w:val="Hyperlink"/>
          </w:rPr>
          <w:t xml:space="preserve"> – Current </w:t>
        </w:r>
        <w:proofErr w:type="spellStart"/>
        <w:r w:rsidRPr="00662610">
          <w:rPr>
            <w:rStyle w:val="Hyperlink"/>
          </w:rPr>
          <w:t>ACMA</w:t>
        </w:r>
        <w:proofErr w:type="spellEnd"/>
        <w:r w:rsidRPr="00662610">
          <w:rPr>
            <w:rStyle w:val="Hyperlink"/>
          </w:rPr>
          <w:t xml:space="preserve"> initiatives and decisions</w:t>
        </w:r>
      </w:hyperlink>
      <w:r>
        <w:t>, October 2012</w:t>
      </w:r>
    </w:p>
  </w:footnote>
  <w:footnote w:id="5">
    <w:p w:rsidR="00944BAE" w:rsidRDefault="00944BAE">
      <w:pPr>
        <w:pStyle w:val="FootnoteText"/>
      </w:pPr>
      <w:r>
        <w:rPr>
          <w:rStyle w:val="FootnoteReference"/>
        </w:rPr>
        <w:footnoteRef/>
      </w:r>
      <w:r>
        <w:t xml:space="preserve"> The potential use of area-based apparatus licences was also noted on page 214 of the draft report.</w:t>
      </w:r>
    </w:p>
  </w:footnote>
  <w:footnote w:id="6">
    <w:p w:rsidR="00944BAE" w:rsidRDefault="00944BAE">
      <w:pPr>
        <w:pStyle w:val="FootnoteText"/>
      </w:pPr>
      <w:r>
        <w:rPr>
          <w:rStyle w:val="FootnoteReference"/>
        </w:rPr>
        <w:footnoteRef/>
      </w:r>
      <w:r>
        <w:t xml:space="preserve"> </w:t>
      </w:r>
      <w:hyperlink r:id="rId3" w:history="1">
        <w:r>
          <w:rPr>
            <w:rStyle w:val="Hyperlink"/>
          </w:rPr>
          <w:t>http://www.acma.gov.au/~/media/Legal%20Services/Regulation/pdf/Rcomm%20Spectrum%20Access%20Charges%20%20700%20MHz%20Band%20Direction%20No%201%20of%202013%20pdf.pdf</w:t>
        </w:r>
      </w:hyperlink>
    </w:p>
  </w:footnote>
  <w:footnote w:id="7">
    <w:p w:rsidR="00944BAE" w:rsidRDefault="00944BAE">
      <w:pPr>
        <w:pStyle w:val="FootnoteText"/>
      </w:pPr>
      <w:r>
        <w:rPr>
          <w:rStyle w:val="FootnoteReference"/>
        </w:rPr>
        <w:footnoteRef/>
      </w:r>
      <w:r>
        <w:t xml:space="preserve"> </w:t>
      </w:r>
      <w:hyperlink r:id="rId4" w:history="1">
        <w:r w:rsidRPr="00FD6B89">
          <w:rPr>
            <w:rStyle w:val="Hyperlink"/>
          </w:rPr>
          <w:t>http://www.acma.gov.au/theACMA/planning-instruments-acma-fyso-23-1</w:t>
        </w:r>
      </w:hyperlink>
    </w:p>
  </w:footnote>
  <w:footnote w:id="8">
    <w:p w:rsidR="00944BAE" w:rsidRDefault="00944BAE">
      <w:pPr>
        <w:pStyle w:val="FootnoteText"/>
      </w:pPr>
      <w:r>
        <w:rPr>
          <w:rStyle w:val="FootnoteReference"/>
        </w:rPr>
        <w:footnoteRef/>
      </w:r>
      <w:r>
        <w:t xml:space="preserve"> </w:t>
      </w:r>
      <w:hyperlink r:id="rId5" w:history="1">
        <w:r w:rsidRPr="00FD6B89">
          <w:rPr>
            <w:rStyle w:val="Hyperlink"/>
          </w:rPr>
          <w:t>http://nccgr.govspace.gov.au/files/2012/02/National-Interoperability-Framework-Final.pdf</w:t>
        </w:r>
      </w:hyperlink>
    </w:p>
  </w:footnote>
  <w:footnote w:id="9">
    <w:p w:rsidR="00944BAE" w:rsidRDefault="00944BAE" w:rsidP="00050492">
      <w:pPr>
        <w:pStyle w:val="FootnoteText"/>
      </w:pPr>
      <w:r>
        <w:rPr>
          <w:rStyle w:val="FootnoteReference"/>
        </w:rPr>
        <w:footnoteRef/>
      </w:r>
      <w:r>
        <w:t xml:space="preserve"> </w:t>
      </w:r>
      <w:hyperlink r:id="rId6" w:history="1">
        <w:r w:rsidRPr="00FD6B89">
          <w:rPr>
            <w:rStyle w:val="Hyperlink"/>
          </w:rPr>
          <w:t>http://</w:t>
        </w:r>
        <w:proofErr w:type="spellStart"/>
        <w:r w:rsidRPr="00FD6B89">
          <w:rPr>
            <w:rStyle w:val="Hyperlink"/>
          </w:rPr>
          <w:t>www.acma.gov.au</w:t>
        </w:r>
        <w:proofErr w:type="spellEnd"/>
        <w:r w:rsidRPr="00FD6B89">
          <w:rPr>
            <w:rStyle w:val="Hyperlink"/>
          </w:rPr>
          <w:t>/</w:t>
        </w:r>
        <w:proofErr w:type="spellStart"/>
        <w:r w:rsidRPr="00FD6B89">
          <w:rPr>
            <w:rStyle w:val="Hyperlink"/>
          </w:rPr>
          <w:t>theACMA</w:t>
        </w:r>
        <w:proofErr w:type="spellEnd"/>
        <w:r w:rsidRPr="00FD6B89">
          <w:rPr>
            <w:rStyle w:val="Hyperlink"/>
          </w:rPr>
          <w:t>/400-</w:t>
        </w:r>
        <w:proofErr w:type="spellStart"/>
        <w:r w:rsidRPr="00FD6B89">
          <w:rPr>
            <w:rStyle w:val="Hyperlink"/>
          </w:rPr>
          <w:t>mhz</w:t>
        </w:r>
        <w:proofErr w:type="spellEnd"/>
        <w:r w:rsidRPr="00FD6B89">
          <w:rPr>
            <w:rStyle w:val="Hyperlink"/>
          </w:rPr>
          <w:t>-plan</w:t>
        </w:r>
      </w:hyperlink>
    </w:p>
  </w:footnote>
  <w:footnote w:id="10">
    <w:p w:rsidR="00944BAE" w:rsidRDefault="00944BAE">
      <w:pPr>
        <w:pStyle w:val="FootnoteText"/>
      </w:pPr>
      <w:r>
        <w:rPr>
          <w:rStyle w:val="FootnoteReference"/>
        </w:rPr>
        <w:footnoteRef/>
      </w:r>
      <w:r>
        <w:t xml:space="preserve"> While the 4.9 GHz band is currently not included in the LTE standard, it may be included in future amendments. For example, there are currently efforts to standardise the operation of LTE in “unlicensed” spectrum (see the </w:t>
      </w:r>
      <w:hyperlink r:id="rId7" w:history="1">
        <w:proofErr w:type="spellStart"/>
        <w:r w:rsidRPr="00DC5ED6">
          <w:rPr>
            <w:rStyle w:val="Hyperlink"/>
          </w:rPr>
          <w:t>3GPP</w:t>
        </w:r>
        <w:proofErr w:type="spellEnd"/>
        <w:r w:rsidRPr="00DC5ED6">
          <w:rPr>
            <w:rStyle w:val="Hyperlink"/>
          </w:rPr>
          <w:t xml:space="preserve"> website</w:t>
        </w:r>
      </w:hyperlink>
      <w:r>
        <w:t>). Although this work is currently focusing on operation in the 5 GHz band, it is possible that the adjacent 4.9 GHz band could be included in future developments of this technology.</w:t>
      </w:r>
    </w:p>
  </w:footnote>
  <w:footnote w:id="11">
    <w:p w:rsidR="00944BAE" w:rsidRDefault="00944BAE" w:rsidP="001C01C4">
      <w:pPr>
        <w:pStyle w:val="FootnoteText"/>
      </w:pPr>
      <w:r>
        <w:rPr>
          <w:rStyle w:val="FootnoteReference"/>
        </w:rPr>
        <w:footnoteRef/>
      </w:r>
      <w:r>
        <w:t xml:space="preserve"> Technical limitations include maximum power, frequency range, out-of-band emissions limits, and geographical licence area.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AE" w:rsidRPr="00A5474E" w:rsidRDefault="00944BAE" w:rsidP="00A5474E">
    <w:pPr>
      <w:pStyle w:val="Header"/>
    </w:pPr>
    <w:r>
      <w:rPr>
        <w:noProof/>
      </w:rPr>
      <w:drawing>
        <wp:inline distT="0" distB="0" distL="0" distR="0" wp14:anchorId="29CF913E" wp14:editId="1B03C8F9">
          <wp:extent cx="6388100" cy="520700"/>
          <wp:effectExtent l="0" t="0" r="0" b="12700"/>
          <wp:docPr id="4" name="Picture 4" title="Australian Communications and Media Authority logo and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extLst>
                      <a:ext uri="{28A0092B-C50C-407E-A947-70E740481C1C}">
                        <a14:useLocalDpi xmlns:a14="http://schemas.microsoft.com/office/drawing/2010/main" val="0"/>
                      </a:ext>
                    </a:extLst>
                  </a:blip>
                  <a:stretch>
                    <a:fillRect/>
                  </a:stretch>
                </pic:blipFill>
                <pic:spPr>
                  <a:xfrm>
                    <a:off x="0" y="0"/>
                    <a:ext cx="6388100" cy="5207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AE" w:rsidRPr="00A5474E" w:rsidRDefault="00944BAE" w:rsidP="00594E9C">
    <w:pPr>
      <w:pStyle w:val="TOCHeading"/>
    </w:pPr>
    <w:r w:rsidRPr="0029593B">
      <w:t>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AE" w:rsidRDefault="00944B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AE" w:rsidRDefault="00944BA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AE" w:rsidRDefault="00944BA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AE" w:rsidRDefault="00944B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1.75pt;height:32.25pt;visibility:visible;mso-wrap-style:square" o:bullet="t">
        <v:imagedata r:id="rId1" o:title="" croptop="15915f" cropbottom="20445f" cropleft="21717f" cropright="21898f"/>
      </v:shape>
    </w:pict>
  </w:numPicBullet>
  <w:abstractNum w:abstractNumId="0">
    <w:nsid w:val="FFFFFF1D"/>
    <w:multiLevelType w:val="multilevel"/>
    <w:tmpl w:val="26F28F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145B2E"/>
    <w:lvl w:ilvl="0">
      <w:start w:val="1"/>
      <w:numFmt w:val="decimal"/>
      <w:lvlText w:val="%1."/>
      <w:lvlJc w:val="left"/>
      <w:pPr>
        <w:tabs>
          <w:tab w:val="num" w:pos="1492"/>
        </w:tabs>
        <w:ind w:left="1492" w:hanging="360"/>
      </w:pPr>
    </w:lvl>
  </w:abstractNum>
  <w:abstractNum w:abstractNumId="2">
    <w:nsid w:val="FFFFFF7D"/>
    <w:multiLevelType w:val="singleLevel"/>
    <w:tmpl w:val="914A43AE"/>
    <w:lvl w:ilvl="0">
      <w:start w:val="1"/>
      <w:numFmt w:val="decimal"/>
      <w:lvlText w:val="%1."/>
      <w:lvlJc w:val="left"/>
      <w:pPr>
        <w:tabs>
          <w:tab w:val="num" w:pos="1209"/>
        </w:tabs>
        <w:ind w:left="1209" w:hanging="360"/>
      </w:pPr>
    </w:lvl>
  </w:abstractNum>
  <w:abstractNum w:abstractNumId="3">
    <w:nsid w:val="FFFFFF7E"/>
    <w:multiLevelType w:val="singleLevel"/>
    <w:tmpl w:val="E8129480"/>
    <w:lvl w:ilvl="0">
      <w:start w:val="1"/>
      <w:numFmt w:val="decimal"/>
      <w:lvlText w:val="%1."/>
      <w:lvlJc w:val="left"/>
      <w:pPr>
        <w:tabs>
          <w:tab w:val="num" w:pos="926"/>
        </w:tabs>
        <w:ind w:left="926" w:hanging="360"/>
      </w:pPr>
    </w:lvl>
  </w:abstractNum>
  <w:abstractNum w:abstractNumId="4">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5">
    <w:nsid w:val="FFFFFF80"/>
    <w:multiLevelType w:val="singleLevel"/>
    <w:tmpl w:val="0FBE6B5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09693F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BCA506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9">
    <w:nsid w:val="FFFFFF88"/>
    <w:multiLevelType w:val="singleLevel"/>
    <w:tmpl w:val="34367B10"/>
    <w:lvl w:ilvl="0">
      <w:start w:val="1"/>
      <w:numFmt w:val="decimal"/>
      <w:pStyle w:val="ListNumber"/>
      <w:lvlText w:val="%1."/>
      <w:lvlJc w:val="left"/>
      <w:pPr>
        <w:ind w:left="360" w:hanging="360"/>
      </w:pPr>
      <w:rPr>
        <w:rFonts w:hint="default"/>
        <w:caps/>
        <w:sz w:val="20"/>
      </w:rPr>
    </w:lvl>
  </w:abstractNum>
  <w:abstractNum w:abstractNumId="10">
    <w:nsid w:val="FFFFFF89"/>
    <w:multiLevelType w:val="singleLevel"/>
    <w:tmpl w:val="8D465DE8"/>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1">
    <w:nsid w:val="02AF1222"/>
    <w:multiLevelType w:val="hybridMultilevel"/>
    <w:tmpl w:val="BC6E3CC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34B0EDC"/>
    <w:multiLevelType w:val="hybridMultilevel"/>
    <w:tmpl w:val="361E9DAA"/>
    <w:lvl w:ilvl="0" w:tplc="213C81A6">
      <w:start w:val="1"/>
      <w:numFmt w:val="bullet"/>
      <w:lvlText w:val="&gt;"/>
      <w:lvlJc w:val="left"/>
      <w:pPr>
        <w:ind w:left="720" w:hanging="360"/>
      </w:pPr>
      <w:rPr>
        <w:rFonts w:ascii="Arial" w:hAnsi="Arial" w:hint="default"/>
        <w:sz w:val="20"/>
        <w:szCs w:val="20"/>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7086225"/>
    <w:multiLevelType w:val="multilevel"/>
    <w:tmpl w:val="6DA4AA8E"/>
    <w:lvl w:ilvl="0">
      <w:start w:val="1"/>
      <w:numFmt w:val="decimal"/>
      <w:lvlText w:val="Table %1:"/>
      <w:lvlJc w:val="left"/>
      <w:pPr>
        <w:tabs>
          <w:tab w:val="num" w:pos="1077"/>
        </w:tabs>
        <w:ind w:left="1077" w:hanging="107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71614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7E4610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0B5A26DF"/>
    <w:multiLevelType w:val="multilevel"/>
    <w:tmpl w:val="CD886062"/>
    <w:lvl w:ilvl="0">
      <w:start w:val="1"/>
      <w:numFmt w:val="decimal"/>
      <w:lvlText w:val="Figure %1: "/>
      <w:lvlJc w:val="left"/>
      <w:pPr>
        <w:tabs>
          <w:tab w:val="num" w:pos="1077"/>
        </w:tabs>
        <w:ind w:left="1077" w:hanging="107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1255DAA"/>
    <w:multiLevelType w:val="multilevel"/>
    <w:tmpl w:val="71FE7796"/>
    <w:lvl w:ilvl="0">
      <w:start w:val="1"/>
      <w:numFmt w:val="decimal"/>
      <w:lvlText w:val="Figure %1:"/>
      <w:lvlJc w:val="left"/>
      <w:pPr>
        <w:tabs>
          <w:tab w:val="num" w:pos="720"/>
        </w:tabs>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8036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2BFB64A6"/>
    <w:multiLevelType w:val="multilevel"/>
    <w:tmpl w:val="926E14F2"/>
    <w:lvl w:ilvl="0">
      <w:start w:val="1"/>
      <w:numFmt w:val="decimal"/>
      <w:lvlText w:val="Figure %1:"/>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nsid w:val="318748BA"/>
    <w:multiLevelType w:val="multilevel"/>
    <w:tmpl w:val="6FCC7C70"/>
    <w:lvl w:ilvl="0">
      <w:start w:val="1"/>
      <w:numFmt w:val="decimal"/>
      <w:lvlText w:val="Figure %1: "/>
      <w:lvlJc w:val="left"/>
      <w:pPr>
        <w:tabs>
          <w:tab w:val="num" w:pos="1134"/>
        </w:tabs>
        <w:ind w:left="1134" w:hanging="113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AEA704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D2B31D5"/>
    <w:multiLevelType w:val="multilevel"/>
    <w:tmpl w:val="A4BA09CC"/>
    <w:lvl w:ilvl="0">
      <w:start w:val="1"/>
      <w:numFmt w:val="decimal"/>
      <w:lvlText w:val="Figur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48C3ECD"/>
    <w:multiLevelType w:val="multilevel"/>
    <w:tmpl w:val="9E92C28E"/>
    <w:lvl w:ilvl="0">
      <w:start w:val="1"/>
      <w:numFmt w:val="decimal"/>
      <w:lvlText w:val="Tabl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4F745D5"/>
    <w:multiLevelType w:val="multilevel"/>
    <w:tmpl w:val="9FB6A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55AA21F0"/>
    <w:multiLevelType w:val="hybridMultilevel"/>
    <w:tmpl w:val="06AC6452"/>
    <w:lvl w:ilvl="0" w:tplc="075A84B2">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C2126C"/>
    <w:multiLevelType w:val="multilevel"/>
    <w:tmpl w:val="F1ACECC8"/>
    <w:lvl w:ilvl="0">
      <w:start w:val="1"/>
      <w:numFmt w:val="decimal"/>
      <w:lvlText w:val="Figure %1: "/>
      <w:lvlJc w:val="left"/>
      <w:pPr>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071478"/>
    <w:multiLevelType w:val="hybridMultilevel"/>
    <w:tmpl w:val="4560EABA"/>
    <w:lvl w:ilvl="0" w:tplc="01D2533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51670A"/>
    <w:multiLevelType w:val="multilevel"/>
    <w:tmpl w:val="4FD29F6E"/>
    <w:lvl w:ilvl="0">
      <w:start w:val="1"/>
      <w:numFmt w:val="decimal"/>
      <w:lvlText w:val="Tabl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137138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34313C5"/>
    <w:multiLevelType w:val="multilevel"/>
    <w:tmpl w:val="03DA421E"/>
    <w:lvl w:ilvl="0">
      <w:start w:val="1"/>
      <w:numFmt w:val="decimal"/>
      <w:lvlText w:val="Table %1:"/>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57603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7A716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D370812"/>
    <w:multiLevelType w:val="multilevel"/>
    <w:tmpl w:val="D3A27096"/>
    <w:lvl w:ilvl="0">
      <w:start w:val="1"/>
      <w:numFmt w:val="decimal"/>
      <w:lvlText w:val="Table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EBB3307"/>
    <w:multiLevelType w:val="multilevel"/>
    <w:tmpl w:val="6EF41126"/>
    <w:lvl w:ilvl="0">
      <w:start w:val="1"/>
      <w:numFmt w:val="decimal"/>
      <w:lvlText w:val="Figure %1: "/>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F33169D"/>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8"/>
  </w:num>
  <w:num w:numId="12">
    <w:abstractNumId w:val="22"/>
  </w:num>
  <w:num w:numId="13">
    <w:abstractNumId w:val="27"/>
  </w:num>
  <w:num w:numId="14">
    <w:abstractNumId w:val="18"/>
  </w:num>
  <w:num w:numId="15">
    <w:abstractNumId w:val="20"/>
  </w:num>
  <w:num w:numId="16">
    <w:abstractNumId w:val="44"/>
  </w:num>
  <w:num w:numId="17">
    <w:abstractNumId w:val="40"/>
  </w:num>
  <w:num w:numId="18">
    <w:abstractNumId w:val="30"/>
  </w:num>
  <w:num w:numId="19">
    <w:abstractNumId w:val="12"/>
  </w:num>
  <w:num w:numId="20">
    <w:abstractNumId w:val="0"/>
  </w:num>
  <w:num w:numId="21">
    <w:abstractNumId w:val="14"/>
  </w:num>
  <w:num w:numId="22">
    <w:abstractNumId w:val="24"/>
  </w:num>
  <w:num w:numId="23">
    <w:abstractNumId w:val="21"/>
  </w:num>
  <w:num w:numId="24">
    <w:abstractNumId w:val="34"/>
  </w:num>
  <w:num w:numId="25">
    <w:abstractNumId w:val="42"/>
  </w:num>
  <w:num w:numId="26">
    <w:abstractNumId w:val="29"/>
  </w:num>
  <w:num w:numId="27">
    <w:abstractNumId w:val="31"/>
  </w:num>
  <w:num w:numId="28">
    <w:abstractNumId w:val="28"/>
  </w:num>
  <w:num w:numId="29">
    <w:abstractNumId w:val="19"/>
  </w:num>
  <w:num w:numId="30">
    <w:abstractNumId w:val="23"/>
  </w:num>
  <w:num w:numId="31">
    <w:abstractNumId w:val="32"/>
  </w:num>
  <w:num w:numId="32">
    <w:abstractNumId w:val="43"/>
  </w:num>
  <w:num w:numId="33">
    <w:abstractNumId w:val="25"/>
  </w:num>
  <w:num w:numId="34">
    <w:abstractNumId w:val="36"/>
  </w:num>
  <w:num w:numId="35">
    <w:abstractNumId w:val="17"/>
  </w:num>
  <w:num w:numId="36">
    <w:abstractNumId w:val="13"/>
  </w:num>
  <w:num w:numId="37">
    <w:abstractNumId w:val="15"/>
  </w:num>
  <w:num w:numId="38">
    <w:abstractNumId w:val="37"/>
  </w:num>
  <w:num w:numId="39">
    <w:abstractNumId w:val="26"/>
  </w:num>
  <w:num w:numId="40">
    <w:abstractNumId w:val="33"/>
  </w:num>
  <w:num w:numId="41">
    <w:abstractNumId w:val="39"/>
  </w:num>
  <w:num w:numId="42">
    <w:abstractNumId w:val="41"/>
  </w:num>
  <w:num w:numId="43">
    <w:abstractNumId w:val="35"/>
  </w:num>
  <w:num w:numId="44">
    <w:abstractNumId w:val="1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284"/>
  <w:evenAndOddHeaders/>
  <w:drawingGridHorizontalSpacing w:val="100"/>
  <w:displayHorizontalDrawingGridEvery w:val="2"/>
  <w:characterSpacingControl w:val="doNotCompress"/>
  <w:hdrShapeDefaults>
    <o:shapedefaults v:ext="edit" spidmax="2049">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9A5"/>
    <w:rsid w:val="00010667"/>
    <w:rsid w:val="000129D5"/>
    <w:rsid w:val="00012EC4"/>
    <w:rsid w:val="00015AE7"/>
    <w:rsid w:val="00016E21"/>
    <w:rsid w:val="0001719C"/>
    <w:rsid w:val="00026F91"/>
    <w:rsid w:val="000417C0"/>
    <w:rsid w:val="0005011A"/>
    <w:rsid w:val="0005045A"/>
    <w:rsid w:val="00050492"/>
    <w:rsid w:val="00051C1E"/>
    <w:rsid w:val="000539F9"/>
    <w:rsid w:val="00054C27"/>
    <w:rsid w:val="00055EC3"/>
    <w:rsid w:val="000563CE"/>
    <w:rsid w:val="000659B6"/>
    <w:rsid w:val="0006722A"/>
    <w:rsid w:val="000732CF"/>
    <w:rsid w:val="00074A89"/>
    <w:rsid w:val="00075B96"/>
    <w:rsid w:val="0008196A"/>
    <w:rsid w:val="000828E4"/>
    <w:rsid w:val="00082C89"/>
    <w:rsid w:val="00085DBD"/>
    <w:rsid w:val="000879B2"/>
    <w:rsid w:val="000915ED"/>
    <w:rsid w:val="0009209D"/>
    <w:rsid w:val="000933DB"/>
    <w:rsid w:val="000969BD"/>
    <w:rsid w:val="000969BF"/>
    <w:rsid w:val="000A0C22"/>
    <w:rsid w:val="000A3C43"/>
    <w:rsid w:val="000A4A51"/>
    <w:rsid w:val="000A5D2B"/>
    <w:rsid w:val="000B5DE3"/>
    <w:rsid w:val="000C0604"/>
    <w:rsid w:val="000C0A57"/>
    <w:rsid w:val="000C1DFE"/>
    <w:rsid w:val="000C230C"/>
    <w:rsid w:val="000C3531"/>
    <w:rsid w:val="000C6AB4"/>
    <w:rsid w:val="000D71D9"/>
    <w:rsid w:val="000D76E0"/>
    <w:rsid w:val="000D7E8B"/>
    <w:rsid w:val="000E4449"/>
    <w:rsid w:val="000E58EC"/>
    <w:rsid w:val="000E6097"/>
    <w:rsid w:val="00102FFE"/>
    <w:rsid w:val="00103829"/>
    <w:rsid w:val="00111FCE"/>
    <w:rsid w:val="00115CE2"/>
    <w:rsid w:val="00117BDC"/>
    <w:rsid w:val="001229A5"/>
    <w:rsid w:val="001234A6"/>
    <w:rsid w:val="0012489B"/>
    <w:rsid w:val="001273B1"/>
    <w:rsid w:val="00130017"/>
    <w:rsid w:val="00130F91"/>
    <w:rsid w:val="001349ED"/>
    <w:rsid w:val="00137424"/>
    <w:rsid w:val="00140318"/>
    <w:rsid w:val="00141AD9"/>
    <w:rsid w:val="00146CE6"/>
    <w:rsid w:val="00152903"/>
    <w:rsid w:val="0015614F"/>
    <w:rsid w:val="001577C2"/>
    <w:rsid w:val="00161EF0"/>
    <w:rsid w:val="001633C4"/>
    <w:rsid w:val="00167F68"/>
    <w:rsid w:val="00171591"/>
    <w:rsid w:val="00173981"/>
    <w:rsid w:val="0017719D"/>
    <w:rsid w:val="00185CAB"/>
    <w:rsid w:val="001875B7"/>
    <w:rsid w:val="00187CB3"/>
    <w:rsid w:val="0019050A"/>
    <w:rsid w:val="001910D4"/>
    <w:rsid w:val="001923D5"/>
    <w:rsid w:val="001976E3"/>
    <w:rsid w:val="001A44EC"/>
    <w:rsid w:val="001A5CBC"/>
    <w:rsid w:val="001B35C8"/>
    <w:rsid w:val="001B58AA"/>
    <w:rsid w:val="001B7E48"/>
    <w:rsid w:val="001C01C4"/>
    <w:rsid w:val="001C0C0E"/>
    <w:rsid w:val="001C17CE"/>
    <w:rsid w:val="001C36CA"/>
    <w:rsid w:val="001C44D1"/>
    <w:rsid w:val="001C6AEE"/>
    <w:rsid w:val="001C7630"/>
    <w:rsid w:val="001D6D15"/>
    <w:rsid w:val="001F271C"/>
    <w:rsid w:val="001F7558"/>
    <w:rsid w:val="00205B57"/>
    <w:rsid w:val="0021531C"/>
    <w:rsid w:val="002157E0"/>
    <w:rsid w:val="00215F59"/>
    <w:rsid w:val="00216A57"/>
    <w:rsid w:val="0022334F"/>
    <w:rsid w:val="00224717"/>
    <w:rsid w:val="00226819"/>
    <w:rsid w:val="00233101"/>
    <w:rsid w:val="00233817"/>
    <w:rsid w:val="00233B57"/>
    <w:rsid w:val="002367FF"/>
    <w:rsid w:val="00237ECA"/>
    <w:rsid w:val="00240CE9"/>
    <w:rsid w:val="002434BA"/>
    <w:rsid w:val="00246089"/>
    <w:rsid w:val="00246093"/>
    <w:rsid w:val="00246702"/>
    <w:rsid w:val="00247121"/>
    <w:rsid w:val="00247C59"/>
    <w:rsid w:val="00247F2E"/>
    <w:rsid w:val="00250ADC"/>
    <w:rsid w:val="00250B07"/>
    <w:rsid w:val="00257553"/>
    <w:rsid w:val="00260FB2"/>
    <w:rsid w:val="00262128"/>
    <w:rsid w:val="00266FF9"/>
    <w:rsid w:val="0027165D"/>
    <w:rsid w:val="00273CEB"/>
    <w:rsid w:val="00280A2F"/>
    <w:rsid w:val="00281C89"/>
    <w:rsid w:val="0028282F"/>
    <w:rsid w:val="00292760"/>
    <w:rsid w:val="0029593B"/>
    <w:rsid w:val="00297FC5"/>
    <w:rsid w:val="002A0417"/>
    <w:rsid w:val="002A16D8"/>
    <w:rsid w:val="002A1BC8"/>
    <w:rsid w:val="002A3EF2"/>
    <w:rsid w:val="002A5715"/>
    <w:rsid w:val="002B0DED"/>
    <w:rsid w:val="002B19A2"/>
    <w:rsid w:val="002B381A"/>
    <w:rsid w:val="002B4FCC"/>
    <w:rsid w:val="002B7408"/>
    <w:rsid w:val="002B7CFD"/>
    <w:rsid w:val="002C164F"/>
    <w:rsid w:val="002C210F"/>
    <w:rsid w:val="002D3600"/>
    <w:rsid w:val="002D4FFC"/>
    <w:rsid w:val="002E4DDC"/>
    <w:rsid w:val="003021D8"/>
    <w:rsid w:val="00302480"/>
    <w:rsid w:val="00316232"/>
    <w:rsid w:val="003165E6"/>
    <w:rsid w:val="003221CF"/>
    <w:rsid w:val="003233ED"/>
    <w:rsid w:val="00324D9F"/>
    <w:rsid w:val="00327948"/>
    <w:rsid w:val="0033000F"/>
    <w:rsid w:val="00332011"/>
    <w:rsid w:val="00332518"/>
    <w:rsid w:val="00332925"/>
    <w:rsid w:val="003332ED"/>
    <w:rsid w:val="003368DC"/>
    <w:rsid w:val="00345927"/>
    <w:rsid w:val="00350584"/>
    <w:rsid w:val="00351857"/>
    <w:rsid w:val="00353F7B"/>
    <w:rsid w:val="003610E1"/>
    <w:rsid w:val="003671BE"/>
    <w:rsid w:val="00372485"/>
    <w:rsid w:val="00373200"/>
    <w:rsid w:val="00375EF5"/>
    <w:rsid w:val="003767A5"/>
    <w:rsid w:val="00385254"/>
    <w:rsid w:val="00391D25"/>
    <w:rsid w:val="003A5F5B"/>
    <w:rsid w:val="003A789A"/>
    <w:rsid w:val="003B12EC"/>
    <w:rsid w:val="003B41A0"/>
    <w:rsid w:val="003B764B"/>
    <w:rsid w:val="003C77E0"/>
    <w:rsid w:val="003D17D7"/>
    <w:rsid w:val="003D2678"/>
    <w:rsid w:val="003D71A3"/>
    <w:rsid w:val="003E2B8A"/>
    <w:rsid w:val="003F10EE"/>
    <w:rsid w:val="003F16F6"/>
    <w:rsid w:val="003F4DC7"/>
    <w:rsid w:val="003F5235"/>
    <w:rsid w:val="004027E4"/>
    <w:rsid w:val="0041071D"/>
    <w:rsid w:val="00414AFC"/>
    <w:rsid w:val="004151A7"/>
    <w:rsid w:val="00415310"/>
    <w:rsid w:val="004176AE"/>
    <w:rsid w:val="00421709"/>
    <w:rsid w:val="00423763"/>
    <w:rsid w:val="0042762F"/>
    <w:rsid w:val="00427DC7"/>
    <w:rsid w:val="00431613"/>
    <w:rsid w:val="00431792"/>
    <w:rsid w:val="0043297A"/>
    <w:rsid w:val="00432A47"/>
    <w:rsid w:val="00432EB2"/>
    <w:rsid w:val="0043714F"/>
    <w:rsid w:val="004438B5"/>
    <w:rsid w:val="00447037"/>
    <w:rsid w:val="0045124D"/>
    <w:rsid w:val="00452998"/>
    <w:rsid w:val="00454596"/>
    <w:rsid w:val="0045605D"/>
    <w:rsid w:val="0046135B"/>
    <w:rsid w:val="004617C7"/>
    <w:rsid w:val="004718CC"/>
    <w:rsid w:val="00474DA7"/>
    <w:rsid w:val="00481695"/>
    <w:rsid w:val="00495728"/>
    <w:rsid w:val="00495A96"/>
    <w:rsid w:val="00495BB3"/>
    <w:rsid w:val="004A0C7B"/>
    <w:rsid w:val="004A56BB"/>
    <w:rsid w:val="004B1751"/>
    <w:rsid w:val="004B7495"/>
    <w:rsid w:val="004C0253"/>
    <w:rsid w:val="004D56FF"/>
    <w:rsid w:val="004E09EB"/>
    <w:rsid w:val="004E39D3"/>
    <w:rsid w:val="004E508A"/>
    <w:rsid w:val="004E616D"/>
    <w:rsid w:val="004F102D"/>
    <w:rsid w:val="004F1BDE"/>
    <w:rsid w:val="004F2CEE"/>
    <w:rsid w:val="004F556E"/>
    <w:rsid w:val="004F7F44"/>
    <w:rsid w:val="005037B4"/>
    <w:rsid w:val="005045E0"/>
    <w:rsid w:val="005079BF"/>
    <w:rsid w:val="00512D3B"/>
    <w:rsid w:val="005219E7"/>
    <w:rsid w:val="00531541"/>
    <w:rsid w:val="00531B9A"/>
    <w:rsid w:val="00531D15"/>
    <w:rsid w:val="00537604"/>
    <w:rsid w:val="0054095B"/>
    <w:rsid w:val="00542377"/>
    <w:rsid w:val="005476EB"/>
    <w:rsid w:val="00551782"/>
    <w:rsid w:val="005521C5"/>
    <w:rsid w:val="00554D0E"/>
    <w:rsid w:val="005606D3"/>
    <w:rsid w:val="005636D7"/>
    <w:rsid w:val="00563EF1"/>
    <w:rsid w:val="00565006"/>
    <w:rsid w:val="00566AB4"/>
    <w:rsid w:val="00575AC5"/>
    <w:rsid w:val="0057605D"/>
    <w:rsid w:val="00581347"/>
    <w:rsid w:val="00581AC9"/>
    <w:rsid w:val="005849F8"/>
    <w:rsid w:val="005938DF"/>
    <w:rsid w:val="00594E9C"/>
    <w:rsid w:val="005A099B"/>
    <w:rsid w:val="005A2D9C"/>
    <w:rsid w:val="005A55FE"/>
    <w:rsid w:val="005A6A11"/>
    <w:rsid w:val="005D0E18"/>
    <w:rsid w:val="005D2502"/>
    <w:rsid w:val="005D47F3"/>
    <w:rsid w:val="005D49BF"/>
    <w:rsid w:val="005D6F4E"/>
    <w:rsid w:val="005E3ACD"/>
    <w:rsid w:val="005E7226"/>
    <w:rsid w:val="005E7A57"/>
    <w:rsid w:val="005F24B0"/>
    <w:rsid w:val="00601989"/>
    <w:rsid w:val="00604315"/>
    <w:rsid w:val="00604E26"/>
    <w:rsid w:val="006052CF"/>
    <w:rsid w:val="00607B8D"/>
    <w:rsid w:val="00611F5C"/>
    <w:rsid w:val="00616E09"/>
    <w:rsid w:val="00622A3B"/>
    <w:rsid w:val="00622EEA"/>
    <w:rsid w:val="0062396C"/>
    <w:rsid w:val="00623FF9"/>
    <w:rsid w:val="00627D4E"/>
    <w:rsid w:val="00634478"/>
    <w:rsid w:val="00644373"/>
    <w:rsid w:val="00645915"/>
    <w:rsid w:val="006519C3"/>
    <w:rsid w:val="00652B30"/>
    <w:rsid w:val="00656345"/>
    <w:rsid w:val="00656DC6"/>
    <w:rsid w:val="006618A0"/>
    <w:rsid w:val="00662610"/>
    <w:rsid w:val="0066356B"/>
    <w:rsid w:val="00664110"/>
    <w:rsid w:val="00664D17"/>
    <w:rsid w:val="00666520"/>
    <w:rsid w:val="006666F6"/>
    <w:rsid w:val="00667C5B"/>
    <w:rsid w:val="00692CDE"/>
    <w:rsid w:val="00693073"/>
    <w:rsid w:val="0069362C"/>
    <w:rsid w:val="006945FF"/>
    <w:rsid w:val="00694B18"/>
    <w:rsid w:val="006977FF"/>
    <w:rsid w:val="006A01FA"/>
    <w:rsid w:val="006A0E9E"/>
    <w:rsid w:val="006A25C7"/>
    <w:rsid w:val="006A2AF9"/>
    <w:rsid w:val="006A4360"/>
    <w:rsid w:val="006A4AAD"/>
    <w:rsid w:val="006A6DA2"/>
    <w:rsid w:val="006A7AB2"/>
    <w:rsid w:val="006B5717"/>
    <w:rsid w:val="006B582F"/>
    <w:rsid w:val="006C0CEB"/>
    <w:rsid w:val="006C3B1E"/>
    <w:rsid w:val="006C47FD"/>
    <w:rsid w:val="006C668F"/>
    <w:rsid w:val="006C6E30"/>
    <w:rsid w:val="006C70A0"/>
    <w:rsid w:val="006D27CB"/>
    <w:rsid w:val="006D2F08"/>
    <w:rsid w:val="006D576C"/>
    <w:rsid w:val="006D57B3"/>
    <w:rsid w:val="006D5865"/>
    <w:rsid w:val="006E31CB"/>
    <w:rsid w:val="006E4B1B"/>
    <w:rsid w:val="006E5445"/>
    <w:rsid w:val="006E7D93"/>
    <w:rsid w:val="006F05FD"/>
    <w:rsid w:val="00700998"/>
    <w:rsid w:val="00701A8D"/>
    <w:rsid w:val="007029A3"/>
    <w:rsid w:val="00706E4E"/>
    <w:rsid w:val="0070791C"/>
    <w:rsid w:val="0071383C"/>
    <w:rsid w:val="00713EA8"/>
    <w:rsid w:val="007141A7"/>
    <w:rsid w:val="00716C0E"/>
    <w:rsid w:val="00721032"/>
    <w:rsid w:val="00721B55"/>
    <w:rsid w:val="0072520A"/>
    <w:rsid w:val="00726CE4"/>
    <w:rsid w:val="00734143"/>
    <w:rsid w:val="00735190"/>
    <w:rsid w:val="00737E47"/>
    <w:rsid w:val="00740EAC"/>
    <w:rsid w:val="00744956"/>
    <w:rsid w:val="00745A5C"/>
    <w:rsid w:val="0074605F"/>
    <w:rsid w:val="00747E94"/>
    <w:rsid w:val="00752F9B"/>
    <w:rsid w:val="00766749"/>
    <w:rsid w:val="00767C1B"/>
    <w:rsid w:val="007714A9"/>
    <w:rsid w:val="00774F88"/>
    <w:rsid w:val="00774FDB"/>
    <w:rsid w:val="00777BA2"/>
    <w:rsid w:val="00781408"/>
    <w:rsid w:val="00784F7F"/>
    <w:rsid w:val="00796F25"/>
    <w:rsid w:val="007A2E98"/>
    <w:rsid w:val="007A3BA3"/>
    <w:rsid w:val="007A6CC0"/>
    <w:rsid w:val="007A7FEC"/>
    <w:rsid w:val="007B1499"/>
    <w:rsid w:val="007B1BBF"/>
    <w:rsid w:val="007B2960"/>
    <w:rsid w:val="007B2BB2"/>
    <w:rsid w:val="007B355D"/>
    <w:rsid w:val="007B3FC7"/>
    <w:rsid w:val="007B6BAC"/>
    <w:rsid w:val="007B7980"/>
    <w:rsid w:val="007C5D5A"/>
    <w:rsid w:val="007C607F"/>
    <w:rsid w:val="007C79DD"/>
    <w:rsid w:val="007D1A97"/>
    <w:rsid w:val="007D2CD6"/>
    <w:rsid w:val="007D3063"/>
    <w:rsid w:val="007D3CEB"/>
    <w:rsid w:val="007D6DD1"/>
    <w:rsid w:val="007E7683"/>
    <w:rsid w:val="007F49FA"/>
    <w:rsid w:val="007F54C4"/>
    <w:rsid w:val="007F6E9A"/>
    <w:rsid w:val="00802E86"/>
    <w:rsid w:val="008044D4"/>
    <w:rsid w:val="00810AB4"/>
    <w:rsid w:val="00817B56"/>
    <w:rsid w:val="00821A88"/>
    <w:rsid w:val="00823821"/>
    <w:rsid w:val="00823DD4"/>
    <w:rsid w:val="0082421A"/>
    <w:rsid w:val="0082495D"/>
    <w:rsid w:val="00831AC3"/>
    <w:rsid w:val="0083710D"/>
    <w:rsid w:val="008408FF"/>
    <w:rsid w:val="00841660"/>
    <w:rsid w:val="00845B3E"/>
    <w:rsid w:val="00851F3F"/>
    <w:rsid w:val="00856EDC"/>
    <w:rsid w:val="00861E7C"/>
    <w:rsid w:val="008623B5"/>
    <w:rsid w:val="00870ABA"/>
    <w:rsid w:val="008710E1"/>
    <w:rsid w:val="008716E5"/>
    <w:rsid w:val="008747CB"/>
    <w:rsid w:val="00881CA9"/>
    <w:rsid w:val="00883628"/>
    <w:rsid w:val="00885544"/>
    <w:rsid w:val="0088634E"/>
    <w:rsid w:val="00887DEC"/>
    <w:rsid w:val="00893AB8"/>
    <w:rsid w:val="008A04C8"/>
    <w:rsid w:val="008A6913"/>
    <w:rsid w:val="008B70F3"/>
    <w:rsid w:val="008B76DF"/>
    <w:rsid w:val="008C10F4"/>
    <w:rsid w:val="008C35B4"/>
    <w:rsid w:val="008C551C"/>
    <w:rsid w:val="008C65F7"/>
    <w:rsid w:val="008D6DDA"/>
    <w:rsid w:val="008E1BF9"/>
    <w:rsid w:val="008E43BE"/>
    <w:rsid w:val="008E4767"/>
    <w:rsid w:val="008E7A8C"/>
    <w:rsid w:val="00900698"/>
    <w:rsid w:val="00901971"/>
    <w:rsid w:val="00903285"/>
    <w:rsid w:val="009038DA"/>
    <w:rsid w:val="00906F40"/>
    <w:rsid w:val="0090731E"/>
    <w:rsid w:val="009100CB"/>
    <w:rsid w:val="00915B1C"/>
    <w:rsid w:val="009174F3"/>
    <w:rsid w:val="0091797D"/>
    <w:rsid w:val="00923CBA"/>
    <w:rsid w:val="00926703"/>
    <w:rsid w:val="00927691"/>
    <w:rsid w:val="00927A5F"/>
    <w:rsid w:val="00935B63"/>
    <w:rsid w:val="0094078F"/>
    <w:rsid w:val="00940FA3"/>
    <w:rsid w:val="00941FB0"/>
    <w:rsid w:val="009426D4"/>
    <w:rsid w:val="00944BAE"/>
    <w:rsid w:val="009464D0"/>
    <w:rsid w:val="00947F25"/>
    <w:rsid w:val="00950159"/>
    <w:rsid w:val="0095490B"/>
    <w:rsid w:val="009619BA"/>
    <w:rsid w:val="00963DD3"/>
    <w:rsid w:val="00971914"/>
    <w:rsid w:val="00974363"/>
    <w:rsid w:val="00981898"/>
    <w:rsid w:val="0099342F"/>
    <w:rsid w:val="0099577C"/>
    <w:rsid w:val="009A121E"/>
    <w:rsid w:val="009B4E9E"/>
    <w:rsid w:val="009C1690"/>
    <w:rsid w:val="009C6881"/>
    <w:rsid w:val="009C7759"/>
    <w:rsid w:val="009D043D"/>
    <w:rsid w:val="009D6C71"/>
    <w:rsid w:val="009E0631"/>
    <w:rsid w:val="009E16D0"/>
    <w:rsid w:val="009E38FD"/>
    <w:rsid w:val="009F13D6"/>
    <w:rsid w:val="009F4C6B"/>
    <w:rsid w:val="009F78A8"/>
    <w:rsid w:val="00A02AD6"/>
    <w:rsid w:val="00A02CD7"/>
    <w:rsid w:val="00A07096"/>
    <w:rsid w:val="00A07318"/>
    <w:rsid w:val="00A11370"/>
    <w:rsid w:val="00A125B1"/>
    <w:rsid w:val="00A153B3"/>
    <w:rsid w:val="00A224CE"/>
    <w:rsid w:val="00A22522"/>
    <w:rsid w:val="00A24AFD"/>
    <w:rsid w:val="00A24F5C"/>
    <w:rsid w:val="00A32F96"/>
    <w:rsid w:val="00A35470"/>
    <w:rsid w:val="00A40871"/>
    <w:rsid w:val="00A412AB"/>
    <w:rsid w:val="00A4193E"/>
    <w:rsid w:val="00A440E0"/>
    <w:rsid w:val="00A442EF"/>
    <w:rsid w:val="00A44C14"/>
    <w:rsid w:val="00A51D1A"/>
    <w:rsid w:val="00A5418D"/>
    <w:rsid w:val="00A5474E"/>
    <w:rsid w:val="00A55A63"/>
    <w:rsid w:val="00A61AC4"/>
    <w:rsid w:val="00A70ADF"/>
    <w:rsid w:val="00A71466"/>
    <w:rsid w:val="00A74B5E"/>
    <w:rsid w:val="00A758B5"/>
    <w:rsid w:val="00A81BED"/>
    <w:rsid w:val="00A81EC4"/>
    <w:rsid w:val="00A82442"/>
    <w:rsid w:val="00A967FD"/>
    <w:rsid w:val="00AA6118"/>
    <w:rsid w:val="00AB156C"/>
    <w:rsid w:val="00AB6814"/>
    <w:rsid w:val="00AC04BA"/>
    <w:rsid w:val="00AC0E39"/>
    <w:rsid w:val="00AD3082"/>
    <w:rsid w:val="00AD4AD0"/>
    <w:rsid w:val="00AD5436"/>
    <w:rsid w:val="00AD60CD"/>
    <w:rsid w:val="00AD6C8C"/>
    <w:rsid w:val="00AE091D"/>
    <w:rsid w:val="00AE3B60"/>
    <w:rsid w:val="00AE53A1"/>
    <w:rsid w:val="00AF2484"/>
    <w:rsid w:val="00AF4166"/>
    <w:rsid w:val="00AF63E7"/>
    <w:rsid w:val="00B0165D"/>
    <w:rsid w:val="00B031F3"/>
    <w:rsid w:val="00B052A4"/>
    <w:rsid w:val="00B125DE"/>
    <w:rsid w:val="00B13FDD"/>
    <w:rsid w:val="00B21513"/>
    <w:rsid w:val="00B22EB2"/>
    <w:rsid w:val="00B27442"/>
    <w:rsid w:val="00B31167"/>
    <w:rsid w:val="00B329D8"/>
    <w:rsid w:val="00B32BB9"/>
    <w:rsid w:val="00B33AE1"/>
    <w:rsid w:val="00B3576A"/>
    <w:rsid w:val="00B37C38"/>
    <w:rsid w:val="00B4288C"/>
    <w:rsid w:val="00B43262"/>
    <w:rsid w:val="00B44100"/>
    <w:rsid w:val="00B46CBA"/>
    <w:rsid w:val="00B46F94"/>
    <w:rsid w:val="00B61F03"/>
    <w:rsid w:val="00B626E4"/>
    <w:rsid w:val="00B72F4A"/>
    <w:rsid w:val="00B75C4F"/>
    <w:rsid w:val="00B83C27"/>
    <w:rsid w:val="00B84BC3"/>
    <w:rsid w:val="00B84BDD"/>
    <w:rsid w:val="00B84C43"/>
    <w:rsid w:val="00B92812"/>
    <w:rsid w:val="00BA130D"/>
    <w:rsid w:val="00BA27B2"/>
    <w:rsid w:val="00BB45A1"/>
    <w:rsid w:val="00BB7686"/>
    <w:rsid w:val="00BC23F9"/>
    <w:rsid w:val="00BC3421"/>
    <w:rsid w:val="00BC732C"/>
    <w:rsid w:val="00BD4BFD"/>
    <w:rsid w:val="00BD61D4"/>
    <w:rsid w:val="00BE2580"/>
    <w:rsid w:val="00BE266D"/>
    <w:rsid w:val="00BE3938"/>
    <w:rsid w:val="00BE4C11"/>
    <w:rsid w:val="00BE71C0"/>
    <w:rsid w:val="00BF610C"/>
    <w:rsid w:val="00BF7D94"/>
    <w:rsid w:val="00C0060B"/>
    <w:rsid w:val="00C0277D"/>
    <w:rsid w:val="00C04FBC"/>
    <w:rsid w:val="00C053A1"/>
    <w:rsid w:val="00C16198"/>
    <w:rsid w:val="00C2083D"/>
    <w:rsid w:val="00C24A53"/>
    <w:rsid w:val="00C3076A"/>
    <w:rsid w:val="00C32882"/>
    <w:rsid w:val="00C4032F"/>
    <w:rsid w:val="00C429A7"/>
    <w:rsid w:val="00C43727"/>
    <w:rsid w:val="00C44047"/>
    <w:rsid w:val="00C45155"/>
    <w:rsid w:val="00C5498F"/>
    <w:rsid w:val="00C549E1"/>
    <w:rsid w:val="00C55235"/>
    <w:rsid w:val="00C57159"/>
    <w:rsid w:val="00C64CD0"/>
    <w:rsid w:val="00C6684F"/>
    <w:rsid w:val="00C70E70"/>
    <w:rsid w:val="00C75F8D"/>
    <w:rsid w:val="00C77380"/>
    <w:rsid w:val="00C85287"/>
    <w:rsid w:val="00C91DA5"/>
    <w:rsid w:val="00C923B9"/>
    <w:rsid w:val="00C97736"/>
    <w:rsid w:val="00CA345A"/>
    <w:rsid w:val="00CA4D03"/>
    <w:rsid w:val="00CB1E82"/>
    <w:rsid w:val="00CB4BA8"/>
    <w:rsid w:val="00CB52D7"/>
    <w:rsid w:val="00CC1985"/>
    <w:rsid w:val="00CC6732"/>
    <w:rsid w:val="00CD214D"/>
    <w:rsid w:val="00CD5F8E"/>
    <w:rsid w:val="00CE3C96"/>
    <w:rsid w:val="00CE51A8"/>
    <w:rsid w:val="00CF369B"/>
    <w:rsid w:val="00D00E28"/>
    <w:rsid w:val="00D0269E"/>
    <w:rsid w:val="00D15810"/>
    <w:rsid w:val="00D16D4E"/>
    <w:rsid w:val="00D16FE3"/>
    <w:rsid w:val="00D27F41"/>
    <w:rsid w:val="00D30ED4"/>
    <w:rsid w:val="00D36441"/>
    <w:rsid w:val="00D36C90"/>
    <w:rsid w:val="00D4064E"/>
    <w:rsid w:val="00D44E9B"/>
    <w:rsid w:val="00D4600D"/>
    <w:rsid w:val="00D47AEB"/>
    <w:rsid w:val="00D50DB9"/>
    <w:rsid w:val="00D52C43"/>
    <w:rsid w:val="00D6507F"/>
    <w:rsid w:val="00D730BC"/>
    <w:rsid w:val="00D73912"/>
    <w:rsid w:val="00D75316"/>
    <w:rsid w:val="00D85226"/>
    <w:rsid w:val="00D87B94"/>
    <w:rsid w:val="00D92D49"/>
    <w:rsid w:val="00D92EC1"/>
    <w:rsid w:val="00D96DEA"/>
    <w:rsid w:val="00DA4E41"/>
    <w:rsid w:val="00DA5383"/>
    <w:rsid w:val="00DA5548"/>
    <w:rsid w:val="00DB117A"/>
    <w:rsid w:val="00DB3494"/>
    <w:rsid w:val="00DB5173"/>
    <w:rsid w:val="00DB7873"/>
    <w:rsid w:val="00DC187B"/>
    <w:rsid w:val="00DC5ED6"/>
    <w:rsid w:val="00DD6440"/>
    <w:rsid w:val="00DD73C2"/>
    <w:rsid w:val="00DD755C"/>
    <w:rsid w:val="00DE319B"/>
    <w:rsid w:val="00DE62F2"/>
    <w:rsid w:val="00DF34FE"/>
    <w:rsid w:val="00DF56AA"/>
    <w:rsid w:val="00DF78E7"/>
    <w:rsid w:val="00E01D23"/>
    <w:rsid w:val="00E110E0"/>
    <w:rsid w:val="00E15371"/>
    <w:rsid w:val="00E24104"/>
    <w:rsid w:val="00E25178"/>
    <w:rsid w:val="00E302D0"/>
    <w:rsid w:val="00E35707"/>
    <w:rsid w:val="00E36AA1"/>
    <w:rsid w:val="00E41ECB"/>
    <w:rsid w:val="00E42BCC"/>
    <w:rsid w:val="00E54FDB"/>
    <w:rsid w:val="00E5617D"/>
    <w:rsid w:val="00E563D7"/>
    <w:rsid w:val="00E61A9F"/>
    <w:rsid w:val="00E646EE"/>
    <w:rsid w:val="00E663F4"/>
    <w:rsid w:val="00E666F2"/>
    <w:rsid w:val="00E66DD4"/>
    <w:rsid w:val="00E748CC"/>
    <w:rsid w:val="00E75415"/>
    <w:rsid w:val="00E775B1"/>
    <w:rsid w:val="00E8152A"/>
    <w:rsid w:val="00E93629"/>
    <w:rsid w:val="00E93B5C"/>
    <w:rsid w:val="00E94CEC"/>
    <w:rsid w:val="00EA04EF"/>
    <w:rsid w:val="00EA6F19"/>
    <w:rsid w:val="00EB6704"/>
    <w:rsid w:val="00EB7090"/>
    <w:rsid w:val="00EB763F"/>
    <w:rsid w:val="00EC1BBE"/>
    <w:rsid w:val="00EC5CD7"/>
    <w:rsid w:val="00EC623F"/>
    <w:rsid w:val="00ED714F"/>
    <w:rsid w:val="00EE068B"/>
    <w:rsid w:val="00EE5FB3"/>
    <w:rsid w:val="00EE7F79"/>
    <w:rsid w:val="00EF36B5"/>
    <w:rsid w:val="00EF4D6B"/>
    <w:rsid w:val="00EF715A"/>
    <w:rsid w:val="00F06E14"/>
    <w:rsid w:val="00F179D4"/>
    <w:rsid w:val="00F33C56"/>
    <w:rsid w:val="00F347C7"/>
    <w:rsid w:val="00F34848"/>
    <w:rsid w:val="00F425EB"/>
    <w:rsid w:val="00F42D46"/>
    <w:rsid w:val="00F4496C"/>
    <w:rsid w:val="00F44F3A"/>
    <w:rsid w:val="00F512E5"/>
    <w:rsid w:val="00F51F10"/>
    <w:rsid w:val="00F529A5"/>
    <w:rsid w:val="00F60F00"/>
    <w:rsid w:val="00F614C0"/>
    <w:rsid w:val="00F83848"/>
    <w:rsid w:val="00F858F5"/>
    <w:rsid w:val="00F85D47"/>
    <w:rsid w:val="00F975E9"/>
    <w:rsid w:val="00FA1B7D"/>
    <w:rsid w:val="00FA5ABB"/>
    <w:rsid w:val="00FC07B9"/>
    <w:rsid w:val="00FC4E21"/>
    <w:rsid w:val="00FC5F6D"/>
    <w:rsid w:val="00FD0107"/>
    <w:rsid w:val="00FD2C2F"/>
    <w:rsid w:val="00FD3B31"/>
    <w:rsid w:val="00FE1649"/>
    <w:rsid w:val="00FE1823"/>
    <w:rsid w:val="00FE4503"/>
    <w:rsid w:val="00FE487A"/>
    <w:rsid w:val="00FF0569"/>
    <w:rsid w:val="00FF206E"/>
    <w:rsid w:val="00FF3C69"/>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red,#4d4d4f"/>
    </o:shapedefaults>
    <o:shapelayout v:ext="edit">
      <o:idmap v:ext="edit" data="1"/>
    </o:shapelayout>
  </w:shapeDefaults>
  <w:decimalSymbol w:val="."/>
  <w:listSeparator w:val=","/>
  <w14:docId w14:val="5F29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49" w:unhideWhenUsed="1"/>
    <w:lsdException w:name="header" w:unhideWhenUsed="1"/>
    <w:lsdException w:name="footer" w:unhideWhenUsed="1"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4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qFormat="1"/>
    <w:lsdException w:name="List Number" w:unhideWhenUsed="1" w:qFormat="1"/>
    <w:lsdException w:name="List 2" w:unhideWhenUsed="1"/>
    <w:lsdException w:name="List 3" w:unhideWhenUsed="1"/>
    <w:lsdException w:name="List 4" w:unhideWhenUsed="1"/>
    <w:lsdException w:name="List 5" w:unhideWhenUsed="1"/>
    <w:lsdException w:name="List Bullet 2" w:unhideWhenUsed="1" w:qFormat="1"/>
    <w:lsdException w:name="List Bullet 3" w:unhideWhenUsed="1"/>
    <w:lsdException w:name="List Bullet 4" w:unhideWhenUsed="1"/>
    <w:lsdException w:name="List Bullet 5" w:unhideWhenUsed="1"/>
    <w:lsdException w:name="List Number 2" w:semiHidden="0" w:qFormat="1"/>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qFormat="1"/>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99"/>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qFormat="1"/>
  </w:latentStyles>
  <w:style w:type="paragraph" w:default="1" w:styleId="Normal">
    <w:name w:val="Normal"/>
    <w:qFormat/>
    <w:rsid w:val="00FD0107"/>
    <w:pPr>
      <w:spacing w:after="240" w:line="240" w:lineRule="atLeast"/>
    </w:pPr>
    <w:rPr>
      <w:rFonts w:ascii="Arial" w:hAnsi="Arial"/>
      <w:sz w:val="20"/>
    </w:rPr>
  </w:style>
  <w:style w:type="paragraph" w:styleId="Heading1">
    <w:name w:val="heading 1"/>
    <w:basedOn w:val="Normal"/>
    <w:next w:val="Normal"/>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Normal"/>
    <w:qFormat/>
    <w:rsid w:val="00C55235"/>
    <w:pPr>
      <w:keepNext/>
      <w:spacing w:before="320" w:after="60"/>
      <w:outlineLvl w:val="1"/>
    </w:pPr>
    <w:rPr>
      <w:rFonts w:cs="Arial"/>
      <w:b/>
      <w:bCs/>
      <w:iCs/>
      <w:sz w:val="28"/>
      <w:szCs w:val="28"/>
    </w:rPr>
  </w:style>
  <w:style w:type="paragraph" w:styleId="Heading3">
    <w:name w:val="heading 3"/>
    <w:basedOn w:val="Normal"/>
    <w:next w:val="Normal"/>
    <w:qFormat/>
    <w:rsid w:val="00C55235"/>
    <w:pPr>
      <w:keepNext/>
      <w:spacing w:before="60" w:after="60"/>
      <w:outlineLvl w:val="2"/>
    </w:pPr>
    <w:rPr>
      <w:rFonts w:cs="Arial"/>
      <w:b/>
      <w:bCs/>
      <w:szCs w:val="26"/>
    </w:rPr>
  </w:style>
  <w:style w:type="paragraph" w:styleId="Heading4">
    <w:name w:val="heading 4"/>
    <w:basedOn w:val="Normal"/>
    <w:next w:val="Normal"/>
    <w:semiHidden/>
    <w:qFormat/>
    <w:rsid w:val="00AD5436"/>
    <w:pPr>
      <w:keepNext/>
      <w:numPr>
        <w:ilvl w:val="3"/>
        <w:numId w:val="22"/>
      </w:numPr>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AD5436"/>
    <w:pPr>
      <w:numPr>
        <w:ilvl w:val="4"/>
        <w:numId w:val="22"/>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22"/>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22"/>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22"/>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2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MAReportDate">
    <w:name w:val="ACMA_ReportDate"/>
    <w:basedOn w:val="ACMAReportSubTitle"/>
    <w:qFormat/>
    <w:rsid w:val="00950159"/>
    <w:pPr>
      <w:spacing w:after="1200" w:line="240" w:lineRule="auto"/>
    </w:pPr>
    <w:rPr>
      <w:caps/>
      <w:spacing w:val="-10"/>
      <w:sz w:val="20"/>
    </w:rPr>
  </w:style>
  <w:style w:type="paragraph" w:customStyle="1" w:styleId="TableHeading">
    <w:name w:val="Table Heading"/>
    <w:basedOn w:val="Normal"/>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E8152A"/>
    <w:pPr>
      <w:numPr>
        <w:numId w:val="43"/>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6"/>
      </w:numPr>
      <w:spacing w:after="80"/>
    </w:pPr>
  </w:style>
  <w:style w:type="paragraph" w:styleId="ListNumber2">
    <w:name w:val="List Number 2"/>
    <w:basedOn w:val="Normal"/>
    <w:qFormat/>
    <w:rsid w:val="00247C59"/>
    <w:pPr>
      <w:numPr>
        <w:numId w:val="7"/>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3A5F5B"/>
    <w:rPr>
      <w:color w:val="0000FF"/>
      <w:u w:val="single"/>
    </w:rPr>
  </w:style>
  <w:style w:type="character" w:styleId="FootnoteReference">
    <w:name w:val="footnote reference"/>
    <w:aliases w:val="(NECG) Footnote Reference,(NECG) Footnote Reference1,(NECG) Footnote Reference2,o,Appel note de bas de p,Appel note de bas de p + 11 pt,Italic,Footnote,Appel note de bas de p1,Appel note de bas de p2,Appel note de bas de p3,Style 12"/>
    <w:basedOn w:val="DefaultParagraphFont"/>
    <w:uiPriority w:val="99"/>
    <w:rsid w:val="00566AB4"/>
    <w:rPr>
      <w:rFonts w:ascii="Arial" w:hAnsi="Arial"/>
      <w:vertAlign w:val="superscript"/>
    </w:rPr>
  </w:style>
  <w:style w:type="paragraph" w:styleId="FootnoteText">
    <w:name w:val="footnote text"/>
    <w:aliases w:val="ACMA Footnote Text,ABA Footnote Text,ALTS FOOTNOTE,(NECG) Footnote Text,Footnote text,AR Footnote Text,AR Footnote Text Char Char Char Char Char,Footnote Text Char1 Char Char,Footnote Text Char Char Char Char Char Char,footnote text,f,fn"/>
    <w:basedOn w:val="Normal"/>
    <w:link w:val="FootnoteTextChar"/>
    <w:uiPriority w:val="99"/>
    <w:rsid w:val="00566AB4"/>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uiPriority w:val="49"/>
    <w:semiHidden/>
    <w:rsid w:val="00EE7F79"/>
    <w:rPr>
      <w:sz w:val="16"/>
      <w:szCs w:val="16"/>
    </w:rPr>
  </w:style>
  <w:style w:type="paragraph" w:styleId="CommentText">
    <w:name w:val="annotation text"/>
    <w:basedOn w:val="Normal"/>
    <w:link w:val="CommentTextChar"/>
    <w:uiPriority w:val="49"/>
    <w:rsid w:val="00EE7F79"/>
    <w:pPr>
      <w:spacing w:line="240" w:lineRule="auto"/>
    </w:pPr>
    <w:rPr>
      <w:szCs w:val="20"/>
    </w:rPr>
  </w:style>
  <w:style w:type="character" w:customStyle="1" w:styleId="CommentTextChar">
    <w:name w:val="Comment Text Char"/>
    <w:basedOn w:val="DefaultParagraphFont"/>
    <w:link w:val="CommentText"/>
    <w:uiPriority w:val="49"/>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semiHidden/>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3F10EE"/>
    <w:pPr>
      <w:numPr>
        <w:numId w:val="27"/>
      </w:numPr>
      <w:spacing w:after="160"/>
    </w:pPr>
    <w:rPr>
      <w:rFonts w:ascii="Arial" w:hAnsi="Arial"/>
      <w:b/>
      <w:bCs/>
      <w:color w:val="323232"/>
      <w:sz w:val="20"/>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3F10EE"/>
    <w:pPr>
      <w:numPr>
        <w:numId w:val="24"/>
      </w:numPr>
      <w:spacing w:after="160"/>
    </w:pPr>
    <w:rPr>
      <w:rFonts w:ascii="Arial" w:hAnsi="Arial"/>
      <w:b/>
      <w:bCs/>
      <w:color w:val="323232"/>
      <w:sz w:val="20"/>
      <w:szCs w:val="20"/>
    </w:rPr>
  </w:style>
  <w:style w:type="paragraph" w:customStyle="1" w:styleId="Captionfigure">
    <w:name w:val="Caption figure"/>
    <w:basedOn w:val="Caption"/>
    <w:qFormat/>
    <w:rsid w:val="00E8152A"/>
    <w:pPr>
      <w:keepNext/>
      <w:numPr>
        <w:numId w:val="40"/>
      </w:numPr>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paragraph" w:customStyle="1" w:styleId="Default">
    <w:name w:val="Default"/>
    <w:rsid w:val="006A4360"/>
    <w:pPr>
      <w:autoSpaceDE w:val="0"/>
      <w:autoSpaceDN w:val="0"/>
      <w:adjustRightInd w:val="0"/>
    </w:pPr>
    <w:rPr>
      <w:rFonts w:ascii="Arial" w:hAnsi="Arial" w:cs="Arial"/>
      <w:color w:val="000000"/>
    </w:rPr>
  </w:style>
  <w:style w:type="character" w:customStyle="1" w:styleId="FootnoteTextChar">
    <w:name w:val="Footnote Text Char"/>
    <w:aliases w:val="ACMA Footnote Text Char,ABA Footnote Text Char,ALTS FOOTNOTE Char,(NECG) Footnote Text Char,Footnote text Char,AR Footnote Text Char,AR Footnote Text Char Char Char Char Char Char,Footnote Text Char1 Char Char Char,footnote text Char"/>
    <w:basedOn w:val="DefaultParagraphFont"/>
    <w:link w:val="FootnoteText"/>
    <w:uiPriority w:val="99"/>
    <w:rsid w:val="001C01C4"/>
    <w:rPr>
      <w:rFonts w:ascii="Arial" w:hAnsi="Arial"/>
      <w:sz w:val="16"/>
      <w:szCs w:val="16"/>
    </w:rPr>
  </w:style>
  <w:style w:type="paragraph" w:styleId="Revision">
    <w:name w:val="Revision"/>
    <w:hidden/>
    <w:semiHidden/>
    <w:rsid w:val="00512D3B"/>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49" w:unhideWhenUsed="1"/>
    <w:lsdException w:name="header" w:unhideWhenUsed="1"/>
    <w:lsdException w:name="footer" w:unhideWhenUsed="1"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4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qFormat="1"/>
    <w:lsdException w:name="List Number" w:unhideWhenUsed="1" w:qFormat="1"/>
    <w:lsdException w:name="List 2" w:unhideWhenUsed="1"/>
    <w:lsdException w:name="List 3" w:unhideWhenUsed="1"/>
    <w:lsdException w:name="List 4" w:unhideWhenUsed="1"/>
    <w:lsdException w:name="List 5" w:unhideWhenUsed="1"/>
    <w:lsdException w:name="List Bullet 2" w:unhideWhenUsed="1" w:qFormat="1"/>
    <w:lsdException w:name="List Bullet 3" w:unhideWhenUsed="1"/>
    <w:lsdException w:name="List Bullet 4" w:unhideWhenUsed="1"/>
    <w:lsdException w:name="List Bullet 5" w:unhideWhenUsed="1"/>
    <w:lsdException w:name="List Number 2" w:semiHidden="0" w:qFormat="1"/>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qFormat="1"/>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99"/>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qFormat="1"/>
  </w:latentStyles>
  <w:style w:type="paragraph" w:default="1" w:styleId="Normal">
    <w:name w:val="Normal"/>
    <w:qFormat/>
    <w:rsid w:val="00FD0107"/>
    <w:pPr>
      <w:spacing w:after="240" w:line="240" w:lineRule="atLeast"/>
    </w:pPr>
    <w:rPr>
      <w:rFonts w:ascii="Arial" w:hAnsi="Arial"/>
      <w:sz w:val="20"/>
    </w:rPr>
  </w:style>
  <w:style w:type="paragraph" w:styleId="Heading1">
    <w:name w:val="heading 1"/>
    <w:basedOn w:val="Normal"/>
    <w:next w:val="Normal"/>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Normal"/>
    <w:qFormat/>
    <w:rsid w:val="00C55235"/>
    <w:pPr>
      <w:keepNext/>
      <w:spacing w:before="320" w:after="60"/>
      <w:outlineLvl w:val="1"/>
    </w:pPr>
    <w:rPr>
      <w:rFonts w:cs="Arial"/>
      <w:b/>
      <w:bCs/>
      <w:iCs/>
      <w:sz w:val="28"/>
      <w:szCs w:val="28"/>
    </w:rPr>
  </w:style>
  <w:style w:type="paragraph" w:styleId="Heading3">
    <w:name w:val="heading 3"/>
    <w:basedOn w:val="Normal"/>
    <w:next w:val="Normal"/>
    <w:qFormat/>
    <w:rsid w:val="00C55235"/>
    <w:pPr>
      <w:keepNext/>
      <w:spacing w:before="60" w:after="60"/>
      <w:outlineLvl w:val="2"/>
    </w:pPr>
    <w:rPr>
      <w:rFonts w:cs="Arial"/>
      <w:b/>
      <w:bCs/>
      <w:szCs w:val="26"/>
    </w:rPr>
  </w:style>
  <w:style w:type="paragraph" w:styleId="Heading4">
    <w:name w:val="heading 4"/>
    <w:basedOn w:val="Normal"/>
    <w:next w:val="Normal"/>
    <w:semiHidden/>
    <w:qFormat/>
    <w:rsid w:val="00AD5436"/>
    <w:pPr>
      <w:keepNext/>
      <w:numPr>
        <w:ilvl w:val="3"/>
        <w:numId w:val="22"/>
      </w:numPr>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AD5436"/>
    <w:pPr>
      <w:numPr>
        <w:ilvl w:val="4"/>
        <w:numId w:val="22"/>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22"/>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22"/>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22"/>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2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MAReportDate">
    <w:name w:val="ACMA_ReportDate"/>
    <w:basedOn w:val="ACMAReportSubTitle"/>
    <w:qFormat/>
    <w:rsid w:val="00950159"/>
    <w:pPr>
      <w:spacing w:after="1200" w:line="240" w:lineRule="auto"/>
    </w:pPr>
    <w:rPr>
      <w:caps/>
      <w:spacing w:val="-10"/>
      <w:sz w:val="20"/>
    </w:rPr>
  </w:style>
  <w:style w:type="paragraph" w:customStyle="1" w:styleId="TableHeading">
    <w:name w:val="Table Heading"/>
    <w:basedOn w:val="Normal"/>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E8152A"/>
    <w:pPr>
      <w:numPr>
        <w:numId w:val="43"/>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6"/>
      </w:numPr>
      <w:spacing w:after="80"/>
    </w:pPr>
  </w:style>
  <w:style w:type="paragraph" w:styleId="ListNumber2">
    <w:name w:val="List Number 2"/>
    <w:basedOn w:val="Normal"/>
    <w:qFormat/>
    <w:rsid w:val="00247C59"/>
    <w:pPr>
      <w:numPr>
        <w:numId w:val="7"/>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3A5F5B"/>
    <w:rPr>
      <w:color w:val="0000FF"/>
      <w:u w:val="single"/>
    </w:rPr>
  </w:style>
  <w:style w:type="character" w:styleId="FootnoteReference">
    <w:name w:val="footnote reference"/>
    <w:aliases w:val="(NECG) Footnote Reference,(NECG) Footnote Reference1,(NECG) Footnote Reference2,o,Appel note de bas de p,Appel note de bas de p + 11 pt,Italic,Footnote,Appel note de bas de p1,Appel note de bas de p2,Appel note de bas de p3,Style 12"/>
    <w:basedOn w:val="DefaultParagraphFont"/>
    <w:uiPriority w:val="99"/>
    <w:rsid w:val="00566AB4"/>
    <w:rPr>
      <w:rFonts w:ascii="Arial" w:hAnsi="Arial"/>
      <w:vertAlign w:val="superscript"/>
    </w:rPr>
  </w:style>
  <w:style w:type="paragraph" w:styleId="FootnoteText">
    <w:name w:val="footnote text"/>
    <w:aliases w:val="ACMA Footnote Text,ABA Footnote Text,ALTS FOOTNOTE,(NECG) Footnote Text,Footnote text,AR Footnote Text,AR Footnote Text Char Char Char Char Char,Footnote Text Char1 Char Char,Footnote Text Char Char Char Char Char Char,footnote text,f,fn"/>
    <w:basedOn w:val="Normal"/>
    <w:link w:val="FootnoteTextChar"/>
    <w:uiPriority w:val="99"/>
    <w:rsid w:val="00566AB4"/>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uiPriority w:val="49"/>
    <w:semiHidden/>
    <w:rsid w:val="00EE7F79"/>
    <w:rPr>
      <w:sz w:val="16"/>
      <w:szCs w:val="16"/>
    </w:rPr>
  </w:style>
  <w:style w:type="paragraph" w:styleId="CommentText">
    <w:name w:val="annotation text"/>
    <w:basedOn w:val="Normal"/>
    <w:link w:val="CommentTextChar"/>
    <w:uiPriority w:val="49"/>
    <w:rsid w:val="00EE7F79"/>
    <w:pPr>
      <w:spacing w:line="240" w:lineRule="auto"/>
    </w:pPr>
    <w:rPr>
      <w:szCs w:val="20"/>
    </w:rPr>
  </w:style>
  <w:style w:type="character" w:customStyle="1" w:styleId="CommentTextChar">
    <w:name w:val="Comment Text Char"/>
    <w:basedOn w:val="DefaultParagraphFont"/>
    <w:link w:val="CommentText"/>
    <w:uiPriority w:val="49"/>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semiHidden/>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3F10EE"/>
    <w:pPr>
      <w:numPr>
        <w:numId w:val="27"/>
      </w:numPr>
      <w:spacing w:after="160"/>
    </w:pPr>
    <w:rPr>
      <w:rFonts w:ascii="Arial" w:hAnsi="Arial"/>
      <w:b/>
      <w:bCs/>
      <w:color w:val="323232"/>
      <w:sz w:val="20"/>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3F10EE"/>
    <w:pPr>
      <w:numPr>
        <w:numId w:val="24"/>
      </w:numPr>
      <w:spacing w:after="160"/>
    </w:pPr>
    <w:rPr>
      <w:rFonts w:ascii="Arial" w:hAnsi="Arial"/>
      <w:b/>
      <w:bCs/>
      <w:color w:val="323232"/>
      <w:sz w:val="20"/>
      <w:szCs w:val="20"/>
    </w:rPr>
  </w:style>
  <w:style w:type="paragraph" w:customStyle="1" w:styleId="Captionfigure">
    <w:name w:val="Caption figure"/>
    <w:basedOn w:val="Caption"/>
    <w:qFormat/>
    <w:rsid w:val="00E8152A"/>
    <w:pPr>
      <w:keepNext/>
      <w:numPr>
        <w:numId w:val="40"/>
      </w:numPr>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paragraph" w:customStyle="1" w:styleId="Default">
    <w:name w:val="Default"/>
    <w:rsid w:val="006A4360"/>
    <w:pPr>
      <w:autoSpaceDE w:val="0"/>
      <w:autoSpaceDN w:val="0"/>
      <w:adjustRightInd w:val="0"/>
    </w:pPr>
    <w:rPr>
      <w:rFonts w:ascii="Arial" w:hAnsi="Arial" w:cs="Arial"/>
      <w:color w:val="000000"/>
    </w:rPr>
  </w:style>
  <w:style w:type="character" w:customStyle="1" w:styleId="FootnoteTextChar">
    <w:name w:val="Footnote Text Char"/>
    <w:aliases w:val="ACMA Footnote Text Char,ABA Footnote Text Char,ALTS FOOTNOTE Char,(NECG) Footnote Text Char,Footnote text Char,AR Footnote Text Char,AR Footnote Text Char Char Char Char Char Char,Footnote Text Char1 Char Char Char,footnote text Char"/>
    <w:basedOn w:val="DefaultParagraphFont"/>
    <w:link w:val="FootnoteText"/>
    <w:uiPriority w:val="99"/>
    <w:rsid w:val="001C01C4"/>
    <w:rPr>
      <w:rFonts w:ascii="Arial" w:hAnsi="Arial"/>
      <w:sz w:val="16"/>
      <w:szCs w:val="16"/>
    </w:rPr>
  </w:style>
  <w:style w:type="paragraph" w:styleId="Revision">
    <w:name w:val="Revision"/>
    <w:hidden/>
    <w:semiHidden/>
    <w:rsid w:val="00512D3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creativecommons.org/licenses/by/3.0/a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i.creativecommons.org/l/by/3.0/88x31.png"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candinfo@acma.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www.acma.gov.au/~/media/Legal%20Services/Regulation/pdf/Rcomm%20Spectrum%20Access%20Charges%20%20700%20MHz%20Band%20Direction%20No%201%20of%202013%20pdf.pdf" TargetMode="External"/><Relationship Id="rId7" Type="http://schemas.openxmlformats.org/officeDocument/2006/relationships/hyperlink" Target="http://www.3gpp.org/news-events/3gpp-news/1603-lte_in_unlicensed" TargetMode="External"/><Relationship Id="rId2" Type="http://schemas.openxmlformats.org/officeDocument/2006/relationships/hyperlink" Target="http://www.acma.gov.au/~/media/Spectrum%20Licensing%20Policy/Information/pdf/Spectrum%20for%20public%20safety%20radiocommunications%20Current%20ACMA%20initiatives%20and%20decisions.pdf" TargetMode="External"/><Relationship Id="rId1" Type="http://schemas.openxmlformats.org/officeDocument/2006/relationships/hyperlink" Target="http://www.acma.gov.au/theACMA/acma-issues-for-comment-122009-opportunity-cost-pricing-of-spectrum-public-consultation-on-administrative-pricing-for-spectrum-based-on-opportunity-cost" TargetMode="External"/><Relationship Id="rId6" Type="http://schemas.openxmlformats.org/officeDocument/2006/relationships/hyperlink" Target="http://www.acma.gov.au/theACMA/400-mhz-plan" TargetMode="External"/><Relationship Id="rId5" Type="http://schemas.openxmlformats.org/officeDocument/2006/relationships/hyperlink" Target="http://nccgr.govspace.gov.au/files/2012/02/National-Interoperability-Framework-Final.pdf" TargetMode="External"/><Relationship Id="rId4" Type="http://schemas.openxmlformats.org/officeDocument/2006/relationships/hyperlink" Target="http://www.acma.gov.au/theACMA/planning-instruments-acma-fyso-2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FFADF4B17AA27428AC52FDCC1EE3030" ma:contentTypeVersion="0" ma:contentTypeDescription="Create a new document." ma:contentTypeScope="" ma:versionID="e7cabb22d9e6387ce909c0557ce2a5b4">
  <xsd:schema xmlns:xsd="http://www.w3.org/2001/XMLSchema" xmlns:xs="http://www.w3.org/2001/XMLSchema" xmlns:p="http://schemas.microsoft.com/office/2006/metadata/properties" xmlns:ns2="6db8f3c6-01a1-4322-b043-a3b2a190f7a8" targetNamespace="http://schemas.microsoft.com/office/2006/metadata/properties" ma:root="true" ma:fieldsID="08fd8ed56bc4c63e248c838960af90a7" ns2:_="">
    <xsd:import namespace="6db8f3c6-01a1-4322-b043-a3b2a190f7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KNAH4PPFC442-3084-120</_dlc_DocId>
    <_dlc_DocIdUrl xmlns="6db8f3c6-01a1-4322-b043-a3b2a190f7a8">
      <Url>http://collaboration/organisation/CID/speb/SNIP/_layouts/DocIdRedir.aspx?ID=KNAH4PPFC442-3084-120</Url>
      <Description>KNAH4PPFC442-3084-120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FAF7F-4D64-4AC0-B6E8-4BFD36B36E08}">
  <ds:schemaRefs>
    <ds:schemaRef ds:uri="http://schemas.microsoft.com/sharepoint/events"/>
  </ds:schemaRefs>
</ds:datastoreItem>
</file>

<file path=customXml/itemProps2.xml><?xml version="1.0" encoding="utf-8"?>
<ds:datastoreItem xmlns:ds="http://schemas.openxmlformats.org/officeDocument/2006/customXml" ds:itemID="{1131EC53-EED3-4B10-A5B8-FACB4FCD7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8f3c6-01a1-4322-b043-a3b2a190f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581CE-3F42-4A93-B7E2-34E9CCC92600}">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6db8f3c6-01a1-4322-b043-a3b2a190f7a8"/>
  </ds:schemaRefs>
</ds:datastoreItem>
</file>

<file path=customXml/itemProps4.xml><?xml version="1.0" encoding="utf-8"?>
<ds:datastoreItem xmlns:ds="http://schemas.openxmlformats.org/officeDocument/2006/customXml" ds:itemID="{17E12B5F-52DD-41E0-A081-378ADCB9CE2C}">
  <ds:schemaRefs>
    <ds:schemaRef ds:uri="http://schemas.microsoft.com/sharepoint/v3/contenttype/forms"/>
  </ds:schemaRefs>
</ds:datastoreItem>
</file>

<file path=customXml/itemProps5.xml><?xml version="1.0" encoding="utf-8"?>
<ds:datastoreItem xmlns:ds="http://schemas.openxmlformats.org/officeDocument/2006/customXml" ds:itemID="{D2C2C110-3060-4F67-847E-89B46069B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2807</Words>
  <Characters>15219</Characters>
  <Application>Microsoft Office Word</Application>
  <DocSecurity>0</DocSecurity>
  <Lines>281</Lines>
  <Paragraphs>80</Paragraphs>
  <ScaleCrop>false</ScaleCrop>
  <HeadingPairs>
    <vt:vector size="2" baseType="variant">
      <vt:variant>
        <vt:lpstr>Title</vt:lpstr>
      </vt:variant>
      <vt:variant>
        <vt:i4>1</vt:i4>
      </vt:variant>
    </vt:vector>
  </HeadingPairs>
  <TitlesOfParts>
    <vt:vector size="1" baseType="lpstr">
      <vt:lpstr>SubDR35 - Australian Communications and Media Authority (ACMA) - Public Safety Mobile Broadband - Commissioned study</vt:lpstr>
    </vt:vector>
  </TitlesOfParts>
  <Manager/>
  <Company>Australian Communications and Media Authority (ACMA)</Company>
  <LinksUpToDate>false</LinksUpToDate>
  <CharactersWithSpaces>17946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SubDR35 - Australian Communications and Media Authority (ACMA) - Public Safety Mobile Broadband - Commissioned study</dc:title>
  <dc:subject/>
  <dc:creator>Australian Communications and Media Authority (ACMA)</dc:creator>
  <cp:keywords/>
  <dc:description/>
  <cp:lastModifiedBy>Olding, Marianna</cp:lastModifiedBy>
  <cp:revision>4</cp:revision>
  <dcterms:created xsi:type="dcterms:W3CDTF">2015-10-28T02:39:00Z</dcterms:created>
  <dcterms:modified xsi:type="dcterms:W3CDTF">2015-10-28T03:02:00Z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0x0101007FFADF4B17AA27428AC52FDCC1EE3030</vt:lpwstr>
  </property>
  <property fmtid="{D5CDD505-2E9C-101B-9397-08002B2CF9AE}" pid="3" name="_dlc_DocIdItemGuid">
    <vt:lpwstr>c53216de-f357-452c-8fd6-dd7cce2d1bed</vt:lpwstr>
  </property>
</Properties>
</file>