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FD" w:rsidRDefault="00DE2AFD" w:rsidP="00DE2AFD">
      <w:pPr>
        <w:jc w:val="center"/>
        <w:rPr>
          <w:b/>
        </w:rPr>
      </w:pPr>
      <w:r>
        <w:rPr>
          <w:noProof/>
          <w:sz w:val="20"/>
          <w:lang w:eastAsia="en-AU"/>
        </w:rPr>
        <w:drawing>
          <wp:anchor distT="0" distB="0" distL="114300" distR="114300" simplePos="0" relativeHeight="251658240" behindDoc="1" locked="0" layoutInCell="1" allowOverlap="1" wp14:anchorId="2538CD3B" wp14:editId="0F26173E">
            <wp:simplePos x="0" y="0"/>
            <wp:positionH relativeFrom="column">
              <wp:posOffset>1385570</wp:posOffset>
            </wp:positionH>
            <wp:positionV relativeFrom="paragraph">
              <wp:posOffset>-419735</wp:posOffset>
            </wp:positionV>
            <wp:extent cx="27051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448" y="21273"/>
                <wp:lineTo x="21448" y="0"/>
                <wp:lineTo x="0" y="0"/>
              </wp:wrapPolygon>
            </wp:wrapTight>
            <wp:docPr id="1" name="Picture 1" descr="DFATcrest-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FATcrest-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AFD" w:rsidRDefault="00DE2AFD" w:rsidP="00DE2AFD">
      <w:pPr>
        <w:jc w:val="center"/>
        <w:rPr>
          <w:b/>
        </w:rPr>
      </w:pPr>
    </w:p>
    <w:p w:rsidR="00DE2AFD" w:rsidRDefault="00DE2AFD" w:rsidP="00DE2AFD">
      <w:pPr>
        <w:jc w:val="center"/>
        <w:rPr>
          <w:b/>
        </w:rPr>
      </w:pPr>
    </w:p>
    <w:p w:rsidR="00DE2AFD" w:rsidRDefault="00DE2AFD" w:rsidP="00DE2AFD">
      <w:pPr>
        <w:jc w:val="center"/>
        <w:rPr>
          <w:b/>
        </w:rPr>
      </w:pPr>
    </w:p>
    <w:p w:rsidR="00DE2AFD" w:rsidRPr="00DE2AFD" w:rsidRDefault="00DE2AFD" w:rsidP="00DE2AFD">
      <w:pPr>
        <w:rPr>
          <w:b/>
          <w:sz w:val="28"/>
          <w:szCs w:val="28"/>
        </w:rPr>
      </w:pPr>
    </w:p>
    <w:p w:rsidR="00DE2AFD" w:rsidRPr="00DE2AFD" w:rsidRDefault="00DE2AFD" w:rsidP="00DE2AFD">
      <w:pPr>
        <w:jc w:val="center"/>
        <w:rPr>
          <w:b/>
          <w:sz w:val="28"/>
          <w:szCs w:val="28"/>
        </w:rPr>
      </w:pPr>
      <w:r w:rsidRPr="00DE2AFD">
        <w:rPr>
          <w:b/>
          <w:sz w:val="28"/>
          <w:szCs w:val="28"/>
        </w:rPr>
        <w:t xml:space="preserve">Submission from the Department of Foreign Affairs and Trade </w:t>
      </w:r>
    </w:p>
    <w:p w:rsidR="00DE2AFD" w:rsidRPr="00DE2AFD" w:rsidRDefault="00DE2AFD" w:rsidP="00DE2AFD">
      <w:pPr>
        <w:jc w:val="center"/>
        <w:rPr>
          <w:b/>
          <w:sz w:val="28"/>
          <w:szCs w:val="28"/>
        </w:rPr>
      </w:pPr>
    </w:p>
    <w:p w:rsidR="009A52BF" w:rsidRPr="00DE2AFD" w:rsidRDefault="00641828" w:rsidP="00D66642">
      <w:pPr>
        <w:jc w:val="center"/>
        <w:rPr>
          <w:b/>
          <w:sz w:val="28"/>
          <w:szCs w:val="28"/>
        </w:rPr>
      </w:pPr>
      <w:r w:rsidRPr="00DE2AFD">
        <w:rPr>
          <w:b/>
          <w:sz w:val="28"/>
          <w:szCs w:val="28"/>
        </w:rPr>
        <w:t>Productivity Commission: Study of Consumer Law Enforcement and Administration</w:t>
      </w:r>
      <w:r w:rsidRPr="00641828">
        <w:rPr>
          <w:b/>
        </w:rPr>
        <w:br/>
      </w:r>
    </w:p>
    <w:p w:rsidR="009A52BF" w:rsidRDefault="009A52BF" w:rsidP="009A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Key observations </w:t>
      </w:r>
    </w:p>
    <w:p w:rsidR="009A52BF" w:rsidRDefault="009A52BF" w:rsidP="009A52BF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Australia has international obligations that encourage the use of international standards and acceptance of other countries conformity assessment procedures, wherever appropriate. </w:t>
      </w:r>
    </w:p>
    <w:p w:rsidR="009A52BF" w:rsidRDefault="008A1727" w:rsidP="009A52BF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Commonwealth G</w:t>
      </w:r>
      <w:bookmarkStart w:id="0" w:name="_GoBack"/>
      <w:bookmarkEnd w:id="0"/>
      <w:r w:rsidR="00BF7ECC">
        <w:t>overnment and a</w:t>
      </w:r>
      <w:r>
        <w:t>ll</w:t>
      </w:r>
      <w:r w:rsidR="009A52BF">
        <w:t xml:space="preserve"> </w:t>
      </w:r>
      <w:r w:rsidR="00BF7ECC">
        <w:t>S</w:t>
      </w:r>
      <w:r w:rsidR="009A52BF">
        <w:t xml:space="preserve">tate and </w:t>
      </w:r>
      <w:r w:rsidR="00BF7ECC">
        <w:t>T</w:t>
      </w:r>
      <w:r w:rsidR="009A52BF">
        <w:t xml:space="preserve">erritory governments are required to </w:t>
      </w:r>
      <w:r w:rsidR="00C71C82">
        <w:t>notify the WTO, through DFAT, of all</w:t>
      </w:r>
      <w:r w:rsidR="009A52BF">
        <w:t xml:space="preserve"> </w:t>
      </w:r>
      <w:r w:rsidR="00916D23">
        <w:t xml:space="preserve">mandatory product requirements and conformity assessment procedures </w:t>
      </w:r>
      <w:r w:rsidR="009A52BF">
        <w:t xml:space="preserve">that differ from international standards. </w:t>
      </w:r>
    </w:p>
    <w:p w:rsidR="009A52BF" w:rsidRDefault="00CE5EB9" w:rsidP="009A52BF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Australia’s i</w:t>
      </w:r>
      <w:r w:rsidR="009A52BF">
        <w:t xml:space="preserve">nternational obligations and </w:t>
      </w:r>
      <w:r>
        <w:t xml:space="preserve">free </w:t>
      </w:r>
      <w:r w:rsidR="009A52BF">
        <w:t xml:space="preserve">trade agreements do not weaken standards, or Australia’s ability to regulate to fulfil legitimate policy objectives. </w:t>
      </w:r>
    </w:p>
    <w:p w:rsidR="009A52BF" w:rsidRDefault="009A52BF" w:rsidP="009A52BF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Complex and </w:t>
      </w:r>
      <w:r w:rsidR="00AC3954">
        <w:t xml:space="preserve">administratively burdensome regulatory systems can add </w:t>
      </w:r>
      <w:r w:rsidR="00DB21E4">
        <w:t xml:space="preserve">to the </w:t>
      </w:r>
      <w:r w:rsidR="00AC3954">
        <w:t xml:space="preserve">time and cost </w:t>
      </w:r>
      <w:r w:rsidR="00256378">
        <w:t xml:space="preserve">of </w:t>
      </w:r>
      <w:r w:rsidR="00F73E9D">
        <w:t>doing business in Australia.</w:t>
      </w:r>
    </w:p>
    <w:p w:rsidR="009A52BF" w:rsidRDefault="006F18DE" w:rsidP="009A52BF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There should be a clear rationale for any variation in</w:t>
      </w:r>
      <w:r w:rsidRPr="0041775C">
        <w:t xml:space="preserve"> </w:t>
      </w:r>
      <w:r w:rsidRPr="008E57DA">
        <w:t xml:space="preserve">consumer and product regulations </w:t>
      </w:r>
      <w:r>
        <w:t>between the</w:t>
      </w:r>
      <w:r w:rsidRPr="008E57DA">
        <w:t xml:space="preserve"> </w:t>
      </w:r>
      <w:r>
        <w:t>S</w:t>
      </w:r>
      <w:r w:rsidRPr="008E57DA">
        <w:t xml:space="preserve">tate and </w:t>
      </w:r>
      <w:r>
        <w:t>T</w:t>
      </w:r>
      <w:r w:rsidRPr="008E57DA">
        <w:t>erritor</w:t>
      </w:r>
      <w:r>
        <w:t>ies.</w:t>
      </w:r>
      <w:r w:rsidR="009A52BF">
        <w:br/>
      </w:r>
    </w:p>
    <w:p w:rsidR="009A52BF" w:rsidRPr="008E57DA" w:rsidRDefault="009A52BF" w:rsidP="008E57DA">
      <w:pPr>
        <w:rPr>
          <w:spacing w:val="7"/>
          <w:lang w:val="en"/>
        </w:rPr>
      </w:pPr>
    </w:p>
    <w:p w:rsidR="00E201A6" w:rsidRPr="00E201A6" w:rsidRDefault="00C171D5" w:rsidP="00E201A6">
      <w:r w:rsidRPr="008E57DA">
        <w:t xml:space="preserve">The Department of Foreign Affairs and Trade (DFAT) </w:t>
      </w:r>
      <w:r w:rsidR="00740380" w:rsidRPr="008E57DA">
        <w:t>provides the following comments in response to the Productivity Commission</w:t>
      </w:r>
      <w:r w:rsidR="00711314">
        <w:t>’s</w:t>
      </w:r>
      <w:r w:rsidR="00740380" w:rsidRPr="008E57DA">
        <w:t xml:space="preserve"> </w:t>
      </w:r>
      <w:r w:rsidR="00801492">
        <w:t>Issue P</w:t>
      </w:r>
      <w:r w:rsidR="00740380" w:rsidRPr="008E57DA">
        <w:t>aper on Consumer Law Enforcement and Administration (the paper).</w:t>
      </w:r>
      <w:r w:rsidR="00E201A6">
        <w:t xml:space="preserve"> DFAT’s </w:t>
      </w:r>
      <w:r w:rsidR="00E201A6">
        <w:rPr>
          <w:lang w:val="en-US"/>
        </w:rPr>
        <w:t>purpose is to help make Australia stronger, safer and more prosperous by promoting and protecting our interests internationally and contributing to global stability and economi</w:t>
      </w:r>
      <w:r w:rsidR="00801492">
        <w:rPr>
          <w:lang w:val="en-US"/>
        </w:rPr>
        <w:t>c growth. The D</w:t>
      </w:r>
      <w:r w:rsidR="00E201A6">
        <w:rPr>
          <w:lang w:val="en-US"/>
        </w:rPr>
        <w:t>epartment provides foreign, trade and development policy advice to the government.</w:t>
      </w:r>
    </w:p>
    <w:p w:rsidR="001D6235" w:rsidRPr="008E57DA" w:rsidRDefault="001D6235" w:rsidP="008E57DA"/>
    <w:p w:rsidR="001460D6" w:rsidRPr="008E57DA" w:rsidRDefault="001460D6" w:rsidP="008E57DA">
      <w:r w:rsidRPr="008E57DA">
        <w:t xml:space="preserve">DFAT’s interest is in </w:t>
      </w:r>
      <w:r w:rsidR="000866EB" w:rsidRPr="008E57DA">
        <w:t>advancing an</w:t>
      </w:r>
      <w:r w:rsidRPr="008E57DA">
        <w:t xml:space="preserve"> Australian Consumer Law and regulatory system </w:t>
      </w:r>
      <w:r w:rsidR="008A1727">
        <w:t>that are:</w:t>
      </w:r>
    </w:p>
    <w:p w:rsidR="001460D6" w:rsidRPr="008E57DA" w:rsidRDefault="001460D6" w:rsidP="008E57DA">
      <w:pPr>
        <w:pStyle w:val="ListParagraph"/>
        <w:numPr>
          <w:ilvl w:val="0"/>
          <w:numId w:val="5"/>
        </w:numPr>
      </w:pPr>
      <w:r w:rsidRPr="008E57DA">
        <w:t xml:space="preserve">consistent with Australia’s international obligations; and </w:t>
      </w:r>
    </w:p>
    <w:p w:rsidR="001460D6" w:rsidRPr="008E57DA" w:rsidRDefault="008A1727" w:rsidP="008E57DA">
      <w:pPr>
        <w:pStyle w:val="ListParagraph"/>
        <w:numPr>
          <w:ilvl w:val="0"/>
          <w:numId w:val="5"/>
        </w:numPr>
      </w:pPr>
      <w:r>
        <w:t xml:space="preserve">provide </w:t>
      </w:r>
      <w:r w:rsidR="002E5839" w:rsidRPr="008E57DA">
        <w:t xml:space="preserve">consumer protection </w:t>
      </w:r>
      <w:r w:rsidR="005C5C58">
        <w:t xml:space="preserve">and supports </w:t>
      </w:r>
      <w:r w:rsidR="000866EB" w:rsidRPr="008E57DA">
        <w:t>Australia</w:t>
      </w:r>
      <w:r w:rsidR="00916D23">
        <w:t>’s</w:t>
      </w:r>
      <w:r w:rsidR="000866EB" w:rsidRPr="008E57DA">
        <w:t xml:space="preserve"> </w:t>
      </w:r>
      <w:r w:rsidR="00E201A6">
        <w:t xml:space="preserve">international </w:t>
      </w:r>
      <w:r w:rsidR="000866EB" w:rsidRPr="008E57DA">
        <w:t>competitiveness.</w:t>
      </w:r>
    </w:p>
    <w:p w:rsidR="001460D6" w:rsidRPr="008E57DA" w:rsidRDefault="001460D6" w:rsidP="008E57DA"/>
    <w:p w:rsidR="009A5471" w:rsidRDefault="00FF3689" w:rsidP="00C46030">
      <w:r w:rsidRPr="008E57DA">
        <w:t xml:space="preserve">This </w:t>
      </w:r>
      <w:r w:rsidR="00B514CD" w:rsidRPr="008E57DA">
        <w:t xml:space="preserve">submission </w:t>
      </w:r>
      <w:r w:rsidRPr="008E57DA">
        <w:t xml:space="preserve">provides an overview of Australia’s international </w:t>
      </w:r>
      <w:r w:rsidR="00D95827">
        <w:t>obligations</w:t>
      </w:r>
      <w:r w:rsidR="00E07D45">
        <w:t xml:space="preserve"> </w:t>
      </w:r>
      <w:r w:rsidR="00BD7198">
        <w:t xml:space="preserve">as they relate to the </w:t>
      </w:r>
      <w:r w:rsidRPr="008E57DA">
        <w:t>regulatory system under</w:t>
      </w:r>
      <w:r w:rsidR="001D6235" w:rsidRPr="008E57DA">
        <w:t xml:space="preserve"> Australian Consumer Law (ACL</w:t>
      </w:r>
      <w:r w:rsidR="00286919">
        <w:t xml:space="preserve">) and highlights </w:t>
      </w:r>
      <w:r w:rsidR="00916D23">
        <w:t>the impact</w:t>
      </w:r>
      <w:r w:rsidR="00286919">
        <w:t xml:space="preserve"> </w:t>
      </w:r>
      <w:r w:rsidR="00916D23">
        <w:t>of these</w:t>
      </w:r>
      <w:r w:rsidR="008F668B">
        <w:t xml:space="preserve"> regulations </w:t>
      </w:r>
      <w:r w:rsidR="00916D23">
        <w:t>on</w:t>
      </w:r>
      <w:r w:rsidR="00E201A6">
        <w:t xml:space="preserve"> the Australian economy. </w:t>
      </w:r>
    </w:p>
    <w:p w:rsidR="00C46030" w:rsidRDefault="00C46030" w:rsidP="00C46030">
      <w:pPr>
        <w:rPr>
          <w:b/>
          <w:u w:val="single"/>
        </w:rPr>
      </w:pPr>
    </w:p>
    <w:p w:rsidR="00A7141C" w:rsidRPr="00A7141C" w:rsidRDefault="00A7141C" w:rsidP="008E57DA">
      <w:pPr>
        <w:rPr>
          <w:b/>
          <w:i/>
        </w:rPr>
      </w:pPr>
      <w:r w:rsidRPr="00A7141C">
        <w:rPr>
          <w:b/>
          <w:i/>
        </w:rPr>
        <w:t xml:space="preserve">International obligations </w:t>
      </w:r>
      <w:r w:rsidRPr="00A7141C">
        <w:rPr>
          <w:b/>
          <w:i/>
        </w:rPr>
        <w:br/>
      </w:r>
    </w:p>
    <w:p w:rsidR="00FB1832" w:rsidRDefault="00A7141C" w:rsidP="00A7141C">
      <w:r w:rsidRPr="008E57DA">
        <w:rPr>
          <w:lang w:val="en-US"/>
        </w:rPr>
        <w:t xml:space="preserve">Australia </w:t>
      </w:r>
      <w:r>
        <w:rPr>
          <w:lang w:val="en-US"/>
        </w:rPr>
        <w:t xml:space="preserve">takes an active role in the </w:t>
      </w:r>
      <w:r w:rsidR="005E169F" w:rsidRPr="008E57DA">
        <w:t>World Trade Organization (WTO)</w:t>
      </w:r>
      <w:r w:rsidR="005E169F">
        <w:t xml:space="preserve"> </w:t>
      </w:r>
      <w:r w:rsidR="00FB1832">
        <w:rPr>
          <w:lang w:val="en-US"/>
        </w:rPr>
        <w:t>and</w:t>
      </w:r>
      <w:r w:rsidR="005E169F">
        <w:rPr>
          <w:lang w:val="en-US"/>
        </w:rPr>
        <w:t xml:space="preserve"> other </w:t>
      </w:r>
      <w:r w:rsidR="00FB1832">
        <w:rPr>
          <w:lang w:val="en-US"/>
        </w:rPr>
        <w:t xml:space="preserve">international fora to </w:t>
      </w:r>
      <w:r w:rsidR="0015441C">
        <w:rPr>
          <w:lang w:val="en-US"/>
        </w:rPr>
        <w:t>support the development</w:t>
      </w:r>
      <w:r w:rsidR="00FB1832">
        <w:rPr>
          <w:lang w:val="en-US"/>
        </w:rPr>
        <w:t xml:space="preserve"> </w:t>
      </w:r>
      <w:r w:rsidR="00D95827">
        <w:rPr>
          <w:lang w:val="en-US"/>
        </w:rPr>
        <w:t xml:space="preserve">of </w:t>
      </w:r>
      <w:r w:rsidR="00B32AC5">
        <w:rPr>
          <w:lang w:val="en-US"/>
        </w:rPr>
        <w:t>international trade rules</w:t>
      </w:r>
      <w:r w:rsidR="0015441C">
        <w:rPr>
          <w:lang w:val="en-US"/>
        </w:rPr>
        <w:t>,</w:t>
      </w:r>
      <w:r w:rsidR="00FB1832">
        <w:rPr>
          <w:lang w:val="en-US"/>
        </w:rPr>
        <w:t xml:space="preserve"> </w:t>
      </w:r>
      <w:r w:rsidRPr="008E57DA">
        <w:rPr>
          <w:lang w:val="en-US"/>
        </w:rPr>
        <w:t>while maintaining Australia’s right to develop policy and product regulations in our national interest.</w:t>
      </w:r>
      <w:r w:rsidRPr="00B136CE">
        <w:t xml:space="preserve"> </w:t>
      </w:r>
      <w:r w:rsidR="0015441C">
        <w:t>International trade rules provide certainty and transparency</w:t>
      </w:r>
      <w:r w:rsidR="0085721A">
        <w:t xml:space="preserve"> to </w:t>
      </w:r>
      <w:r w:rsidR="00801492">
        <w:t xml:space="preserve">government and </w:t>
      </w:r>
      <w:r w:rsidR="0085721A">
        <w:t xml:space="preserve">businesses, </w:t>
      </w:r>
      <w:r w:rsidR="0085721A">
        <w:lastRenderedPageBreak/>
        <w:t xml:space="preserve">and promote principles of fairness and non-discrimination between trading partners. </w:t>
      </w:r>
      <w:r w:rsidR="001E6F66">
        <w:rPr>
          <w:lang w:val="en-US"/>
        </w:rPr>
        <w:t>The rules-</w:t>
      </w:r>
      <w:r w:rsidR="00E07D45">
        <w:rPr>
          <w:lang w:val="en-US"/>
        </w:rPr>
        <w:t>based international</w:t>
      </w:r>
      <w:r w:rsidR="00E07D45" w:rsidRPr="008E57DA">
        <w:rPr>
          <w:lang w:val="en-US"/>
        </w:rPr>
        <w:t xml:space="preserve"> </w:t>
      </w:r>
      <w:r w:rsidR="00E07D45">
        <w:rPr>
          <w:lang w:val="en-US"/>
        </w:rPr>
        <w:t xml:space="preserve">trading system </w:t>
      </w:r>
      <w:r w:rsidR="0085721A">
        <w:t>supports th</w:t>
      </w:r>
      <w:r w:rsidR="0029383C">
        <w:t xml:space="preserve">e growth of Australian exports </w:t>
      </w:r>
      <w:r w:rsidR="0085721A">
        <w:t xml:space="preserve">and </w:t>
      </w:r>
      <w:r w:rsidR="00F73E9D">
        <w:t xml:space="preserve">the Australian economy. </w:t>
      </w:r>
      <w:r w:rsidR="0085721A">
        <w:t xml:space="preserve"> </w:t>
      </w:r>
    </w:p>
    <w:p w:rsidR="00A7141C" w:rsidRDefault="000652EF" w:rsidP="000652EF">
      <w:pPr>
        <w:pStyle w:val="paranormaltext"/>
        <w:shd w:val="clear" w:color="auto" w:fill="FFFFFF"/>
        <w:spacing w:after="0" w:afterAutospacing="0"/>
      </w:pPr>
      <w:r>
        <w:t>Regulators should consider</w:t>
      </w:r>
      <w:r w:rsidRPr="008E57DA">
        <w:t xml:space="preserve"> </w:t>
      </w:r>
      <w:r w:rsidR="0029383C">
        <w:t xml:space="preserve">Australia’s </w:t>
      </w:r>
      <w:r w:rsidRPr="008E57DA">
        <w:t>international obligations when developing regulations</w:t>
      </w:r>
      <w:r>
        <w:t>, and in the design of regulatory system</w:t>
      </w:r>
      <w:r w:rsidR="00D95827">
        <w:t>s</w:t>
      </w:r>
      <w:r w:rsidRPr="008E57DA">
        <w:t xml:space="preserve">. </w:t>
      </w:r>
      <w:r w:rsidR="00FC0D04">
        <w:t xml:space="preserve">DFAT has ongoing work with other </w:t>
      </w:r>
      <w:r w:rsidR="00C44470">
        <w:t xml:space="preserve">government </w:t>
      </w:r>
      <w:r w:rsidR="00FC0D04">
        <w:t xml:space="preserve">agencies to improve awareness of international trade obligations. </w:t>
      </w:r>
      <w:r w:rsidR="00FD65BE">
        <w:t>Some of the key</w:t>
      </w:r>
      <w:r w:rsidR="00A96C9A">
        <w:t xml:space="preserve"> international</w:t>
      </w:r>
      <w:r w:rsidR="00FD65BE">
        <w:t xml:space="preserve"> commitments </w:t>
      </w:r>
      <w:r>
        <w:t xml:space="preserve">relevant to the administration of the ACL </w:t>
      </w:r>
      <w:r w:rsidR="001A0CEC">
        <w:t xml:space="preserve">and specialist product safety regimes </w:t>
      </w:r>
      <w:r w:rsidR="00FD65BE">
        <w:t xml:space="preserve">are outlined </w:t>
      </w:r>
      <w:r w:rsidR="00801492">
        <w:t>below.</w:t>
      </w:r>
      <w:r w:rsidR="00FD65BE">
        <w:t xml:space="preserve"> </w:t>
      </w:r>
    </w:p>
    <w:p w:rsidR="00A7141C" w:rsidRDefault="00A7141C" w:rsidP="008E57DA">
      <w:pPr>
        <w:rPr>
          <w:i/>
        </w:rPr>
      </w:pPr>
    </w:p>
    <w:p w:rsidR="00EC1624" w:rsidRDefault="00FD65BE" w:rsidP="008E57DA">
      <w:pPr>
        <w:rPr>
          <w:i/>
        </w:rPr>
      </w:pPr>
      <w:r>
        <w:rPr>
          <w:i/>
        </w:rPr>
        <w:t>World Trade Organiz</w:t>
      </w:r>
      <w:r w:rsidR="00A7141C">
        <w:rPr>
          <w:i/>
        </w:rPr>
        <w:t xml:space="preserve">ation Agreements </w:t>
      </w:r>
      <w:r w:rsidR="00EC1624">
        <w:rPr>
          <w:i/>
        </w:rPr>
        <w:br/>
      </w:r>
    </w:p>
    <w:p w:rsidR="00921917" w:rsidRDefault="009A6D3F" w:rsidP="008E57DA">
      <w:r w:rsidRPr="008E57DA">
        <w:t>As a</w:t>
      </w:r>
      <w:r w:rsidR="003A5AF5">
        <w:t xml:space="preserve"> M</w:t>
      </w:r>
      <w:r w:rsidR="00C77AE4">
        <w:t>ember of the</w:t>
      </w:r>
      <w:r w:rsidRPr="008E57DA">
        <w:t xml:space="preserve"> </w:t>
      </w:r>
      <w:r w:rsidR="005E169F">
        <w:t>WTO,</w:t>
      </w:r>
      <w:r w:rsidR="009F6FFB" w:rsidRPr="008E57DA">
        <w:t xml:space="preserve"> </w:t>
      </w:r>
      <w:r w:rsidR="00823C4C" w:rsidRPr="008E57DA">
        <w:t xml:space="preserve">Australia is </w:t>
      </w:r>
      <w:r w:rsidR="009431C9">
        <w:t>party</w:t>
      </w:r>
      <w:r w:rsidR="00823C4C" w:rsidRPr="008E57DA">
        <w:t xml:space="preserve"> to a series of </w:t>
      </w:r>
      <w:r w:rsidR="00823C4C" w:rsidRPr="008E57DA">
        <w:rPr>
          <w:lang w:val="en-US"/>
        </w:rPr>
        <w:t xml:space="preserve">multilateral agreements that set </w:t>
      </w:r>
      <w:r w:rsidR="00801492">
        <w:rPr>
          <w:lang w:val="en-US"/>
        </w:rPr>
        <w:t xml:space="preserve">the </w:t>
      </w:r>
      <w:r w:rsidR="00823C4C" w:rsidRPr="008E57DA">
        <w:rPr>
          <w:lang w:val="en-US"/>
        </w:rPr>
        <w:t xml:space="preserve">legal rules for international trade. The </w:t>
      </w:r>
      <w:r w:rsidR="00997F26" w:rsidRPr="008E57DA">
        <w:t xml:space="preserve">WTO </w:t>
      </w:r>
      <w:r w:rsidR="001E6F66" w:rsidRPr="001E6F66">
        <w:t>Agreement on Technical Barriers to Trade</w:t>
      </w:r>
      <w:r w:rsidR="001E6F66" w:rsidRPr="001E6F66">
        <w:rPr>
          <w:rStyle w:val="FootnoteReference"/>
          <w:vertAlign w:val="baseline"/>
        </w:rPr>
        <w:t xml:space="preserve"> </w:t>
      </w:r>
      <w:r w:rsidR="00801492">
        <w:t>establishes</w:t>
      </w:r>
      <w:r w:rsidR="009431C9">
        <w:t xml:space="preserve"> </w:t>
      </w:r>
      <w:r w:rsidR="0026314A" w:rsidRPr="008E57DA">
        <w:t xml:space="preserve">global rules on </w:t>
      </w:r>
      <w:r w:rsidR="00B016FC" w:rsidRPr="008E57DA">
        <w:t>product standards, conformity assessment proced</w:t>
      </w:r>
      <w:r w:rsidR="00C77AE4">
        <w:t>ures and technical regulations</w:t>
      </w:r>
      <w:r w:rsidR="00CB1E3F">
        <w:rPr>
          <w:rStyle w:val="FootnoteReference"/>
        </w:rPr>
        <w:footnoteReference w:id="1"/>
      </w:r>
      <w:r w:rsidR="00A54FFD">
        <w:t xml:space="preserve">. </w:t>
      </w:r>
    </w:p>
    <w:p w:rsidR="00921917" w:rsidRDefault="00921917" w:rsidP="008E57DA"/>
    <w:p w:rsidR="00A54FFD" w:rsidRPr="00A54FFD" w:rsidRDefault="002976A5" w:rsidP="00A54FFD">
      <w:pPr>
        <w:rPr>
          <w:lang w:val="en"/>
        </w:rPr>
      </w:pPr>
      <w:r>
        <w:rPr>
          <w:lang w:val="en"/>
        </w:rPr>
        <w:t xml:space="preserve">The TBT Agreement </w:t>
      </w:r>
      <w:r w:rsidR="00921917">
        <w:rPr>
          <w:lang w:val="en"/>
        </w:rPr>
        <w:t xml:space="preserve">recognises </w:t>
      </w:r>
      <w:r w:rsidR="003A5AF5">
        <w:rPr>
          <w:lang w:val="en"/>
        </w:rPr>
        <w:t>WTO M</w:t>
      </w:r>
      <w:r w:rsidR="007044E8" w:rsidRPr="008E57DA">
        <w:rPr>
          <w:lang w:val="en"/>
        </w:rPr>
        <w:t>embers' right</w:t>
      </w:r>
      <w:r w:rsidR="00801492">
        <w:rPr>
          <w:lang w:val="en"/>
        </w:rPr>
        <w:t>s</w:t>
      </w:r>
      <w:r w:rsidR="007044E8" w:rsidRPr="008E57DA">
        <w:rPr>
          <w:lang w:val="en"/>
        </w:rPr>
        <w:t xml:space="preserve"> to implement regulatory measures to achieve legitimate policy objectives, </w:t>
      </w:r>
      <w:r w:rsidR="002E5839" w:rsidRPr="008E57DA">
        <w:rPr>
          <w:lang w:val="en"/>
        </w:rPr>
        <w:t xml:space="preserve">such as the protection of human health and safety and the environment. At </w:t>
      </w:r>
      <w:r w:rsidR="007044E8" w:rsidRPr="008E57DA">
        <w:rPr>
          <w:lang w:val="en"/>
        </w:rPr>
        <w:t xml:space="preserve">the same time, </w:t>
      </w:r>
      <w:r w:rsidR="00801492">
        <w:rPr>
          <w:lang w:val="en"/>
        </w:rPr>
        <w:t>the</w:t>
      </w:r>
      <w:r w:rsidR="002E5839" w:rsidRPr="008E57DA">
        <w:rPr>
          <w:lang w:val="en"/>
        </w:rPr>
        <w:t xml:space="preserve"> Agreement </w:t>
      </w:r>
      <w:r w:rsidR="00A54FFD">
        <w:rPr>
          <w:lang w:val="en"/>
        </w:rPr>
        <w:t xml:space="preserve">aims to ensure </w:t>
      </w:r>
      <w:r w:rsidR="00A54FFD" w:rsidRPr="00A54FFD">
        <w:rPr>
          <w:lang w:val="en"/>
        </w:rPr>
        <w:t xml:space="preserve">that WTO </w:t>
      </w:r>
      <w:r w:rsidR="003A5AF5">
        <w:rPr>
          <w:lang w:val="en"/>
        </w:rPr>
        <w:t>M</w:t>
      </w:r>
      <w:r w:rsidR="00156E5C">
        <w:rPr>
          <w:lang w:val="en"/>
        </w:rPr>
        <w:t xml:space="preserve">embers’ </w:t>
      </w:r>
      <w:r w:rsidR="007044E8" w:rsidRPr="00A54FFD">
        <w:rPr>
          <w:lang w:val="en"/>
        </w:rPr>
        <w:t xml:space="preserve">technical regulations, standards, and conformity assessment procedures are non-discriminatory and do not create </w:t>
      </w:r>
      <w:r w:rsidR="00A40604" w:rsidRPr="00A54FFD">
        <w:rPr>
          <w:lang w:val="en"/>
        </w:rPr>
        <w:t xml:space="preserve">unnecessary obstacles to </w:t>
      </w:r>
      <w:r w:rsidR="00D95827">
        <w:rPr>
          <w:lang w:val="en"/>
        </w:rPr>
        <w:t xml:space="preserve">international </w:t>
      </w:r>
      <w:r w:rsidR="00A40604" w:rsidRPr="00A54FFD">
        <w:rPr>
          <w:lang w:val="en"/>
        </w:rPr>
        <w:t>trade.</w:t>
      </w:r>
      <w:r w:rsidR="00921917" w:rsidRPr="00A54FFD">
        <w:rPr>
          <w:lang w:val="en"/>
        </w:rPr>
        <w:t xml:space="preserve"> </w:t>
      </w:r>
      <w:r w:rsidR="00A54FFD">
        <w:rPr>
          <w:lang w:val="en"/>
        </w:rPr>
        <w:t xml:space="preserve">Some of </w:t>
      </w:r>
      <w:r w:rsidR="00D95827">
        <w:rPr>
          <w:lang w:val="en"/>
        </w:rPr>
        <w:t xml:space="preserve">Australia’s </w:t>
      </w:r>
      <w:r w:rsidR="004B2C95">
        <w:rPr>
          <w:lang w:val="en"/>
        </w:rPr>
        <w:t xml:space="preserve">key TBT </w:t>
      </w:r>
      <w:r w:rsidR="00D95827">
        <w:rPr>
          <w:lang w:val="en"/>
        </w:rPr>
        <w:t xml:space="preserve">obligations </w:t>
      </w:r>
      <w:r w:rsidR="00A54FFD">
        <w:rPr>
          <w:lang w:val="en"/>
        </w:rPr>
        <w:t xml:space="preserve">relevant to </w:t>
      </w:r>
      <w:r w:rsidR="00F47F13">
        <w:rPr>
          <w:lang w:val="en"/>
        </w:rPr>
        <w:t>the ACL and specialist safety regulators</w:t>
      </w:r>
      <w:r w:rsidR="00A54FFD">
        <w:rPr>
          <w:lang w:val="en"/>
        </w:rPr>
        <w:t xml:space="preserve"> include, but are not limited to:</w:t>
      </w:r>
    </w:p>
    <w:p w:rsidR="00C97D0F" w:rsidRDefault="00C97D0F" w:rsidP="00A54FFD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>
        <w:t>ensur</w:t>
      </w:r>
      <w:r w:rsidR="00D95827">
        <w:t>ing</w:t>
      </w:r>
      <w:r>
        <w:t xml:space="preserve"> regulations are no more trade-restrictive than necessary to fulfil a legitimate </w:t>
      </w:r>
      <w:r w:rsidR="00801492">
        <w:t xml:space="preserve">policy </w:t>
      </w:r>
      <w:r>
        <w:t>objective;</w:t>
      </w:r>
    </w:p>
    <w:p w:rsidR="00A54FFD" w:rsidRPr="00A54FFD" w:rsidRDefault="00D95827" w:rsidP="00A54FFD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>
        <w:t xml:space="preserve">according </w:t>
      </w:r>
      <w:r w:rsidR="00A54FFD">
        <w:t>p</w:t>
      </w:r>
      <w:r w:rsidR="00A54FFD" w:rsidRPr="00A54FFD">
        <w:t xml:space="preserve">roducts imported from another Member no less favourable </w:t>
      </w:r>
      <w:r>
        <w:t xml:space="preserve">treatment </w:t>
      </w:r>
      <w:r w:rsidR="00A54FFD" w:rsidRPr="00A54FFD">
        <w:t xml:space="preserve">than </w:t>
      </w:r>
      <w:r>
        <w:t>that</w:t>
      </w:r>
      <w:r w:rsidR="00FC34BB">
        <w:t xml:space="preserve"> </w:t>
      </w:r>
      <w:r w:rsidR="00A54FFD" w:rsidRPr="00A54FFD">
        <w:t>accorded to l</w:t>
      </w:r>
      <w:r w:rsidR="004B2C95">
        <w:t>ike products of national origin;</w:t>
      </w:r>
    </w:p>
    <w:p w:rsidR="00A54FFD" w:rsidRPr="00A54FFD" w:rsidRDefault="00A54FFD" w:rsidP="0092191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u</w:t>
      </w:r>
      <w:r w:rsidRPr="00A54FFD">
        <w:rPr>
          <w:lang w:eastAsia="en-AU"/>
        </w:rPr>
        <w:t>s</w:t>
      </w:r>
      <w:r w:rsidR="00D95827">
        <w:rPr>
          <w:lang w:eastAsia="en-AU"/>
        </w:rPr>
        <w:t>ing</w:t>
      </w:r>
      <w:r w:rsidRPr="00A54FFD">
        <w:rPr>
          <w:lang w:eastAsia="en-AU"/>
        </w:rPr>
        <w:t xml:space="preserve"> international standards in technical regulations, where appropriate</w:t>
      </w:r>
      <w:r w:rsidR="004B2C95">
        <w:rPr>
          <w:lang w:eastAsia="en-AU"/>
        </w:rPr>
        <w:t>;</w:t>
      </w:r>
    </w:p>
    <w:p w:rsidR="00A54FFD" w:rsidRPr="00A54FFD" w:rsidRDefault="00A54FFD" w:rsidP="00A54FF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A54FFD">
        <w:t>accept</w:t>
      </w:r>
      <w:r w:rsidR="00D95827">
        <w:t>ing</w:t>
      </w:r>
      <w:r w:rsidRPr="00A54FFD">
        <w:t xml:space="preserve"> the results of conformity assessment procedures from other Members, </w:t>
      </w:r>
      <w:r w:rsidR="004B2C95">
        <w:t xml:space="preserve">wherever possible, </w:t>
      </w:r>
      <w:r w:rsidRPr="00A54FFD">
        <w:t xml:space="preserve">even when those procedures differ from </w:t>
      </w:r>
      <w:r w:rsidR="00E67694">
        <w:t xml:space="preserve">our </w:t>
      </w:r>
      <w:r w:rsidRPr="00A54FFD">
        <w:t>own</w:t>
      </w:r>
      <w:r w:rsidR="004B2C95">
        <w:t>;</w:t>
      </w:r>
    </w:p>
    <w:p w:rsidR="00A54FFD" w:rsidRPr="00A54FFD" w:rsidRDefault="00A54FFD" w:rsidP="0092191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A54FFD">
        <w:t>publish</w:t>
      </w:r>
      <w:r w:rsidR="00E67694">
        <w:t>ing</w:t>
      </w:r>
      <w:r w:rsidR="004B2C95">
        <w:t xml:space="preserve"> all</w:t>
      </w:r>
      <w:r w:rsidRPr="00A54FFD">
        <w:t xml:space="preserve"> changes to standards, technical regulations and conformity assessment proce</w:t>
      </w:r>
      <w:r w:rsidR="004B2C95">
        <w:t xml:space="preserve">dures; and </w:t>
      </w:r>
    </w:p>
    <w:p w:rsidR="00A54FFD" w:rsidRPr="004B2C95" w:rsidRDefault="00A54FFD" w:rsidP="00A936C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t>notify</w:t>
      </w:r>
      <w:r w:rsidR="00E67694">
        <w:t>ing</w:t>
      </w:r>
      <w:r>
        <w:t xml:space="preserve"> the WTO of any changes to </w:t>
      </w:r>
      <w:r w:rsidRPr="00A54FFD">
        <w:t xml:space="preserve">standards, technical regulations and conformity assessment procedures that deviate from </w:t>
      </w:r>
      <w:r w:rsidR="00E67694">
        <w:t xml:space="preserve">relevant </w:t>
      </w:r>
      <w:r w:rsidRPr="00A54FFD">
        <w:t xml:space="preserve">international </w:t>
      </w:r>
      <w:r w:rsidR="00A936C1">
        <w:t>standards and may</w:t>
      </w:r>
      <w:r w:rsidR="00A936C1" w:rsidRPr="00A936C1">
        <w:t xml:space="preserve"> have a significant effect on trade of other Members</w:t>
      </w:r>
      <w:r w:rsidR="00A936C1">
        <w:t>.</w:t>
      </w:r>
    </w:p>
    <w:p w:rsidR="0032318F" w:rsidRPr="00A54FFD" w:rsidRDefault="001D5677" w:rsidP="008E57DA">
      <w:pPr>
        <w:pStyle w:val="paranormaltext"/>
        <w:shd w:val="clear" w:color="auto" w:fill="FFFFFF"/>
        <w:spacing w:after="0" w:afterAutospacing="0"/>
      </w:pPr>
      <w:r w:rsidRPr="00D73771">
        <w:rPr>
          <w:color w:val="000000"/>
        </w:rPr>
        <w:t xml:space="preserve">Australia also has rights and obligations under the WTO </w:t>
      </w:r>
      <w:r w:rsidR="001E6F66" w:rsidRPr="001E6F66">
        <w:rPr>
          <w:color w:val="000000"/>
        </w:rPr>
        <w:t xml:space="preserve">Agreement on </w:t>
      </w:r>
      <w:r w:rsidRPr="00D73771">
        <w:rPr>
          <w:color w:val="000000"/>
        </w:rPr>
        <w:t xml:space="preserve">Sanitary and Phytosanitary (SPS) </w:t>
      </w:r>
      <w:r w:rsidR="001E6F66">
        <w:rPr>
          <w:color w:val="000000"/>
        </w:rPr>
        <w:t xml:space="preserve">Measures </w:t>
      </w:r>
      <w:r w:rsidR="002976A5" w:rsidRPr="00D73771">
        <w:rPr>
          <w:color w:val="000000"/>
        </w:rPr>
        <w:t>that are</w:t>
      </w:r>
      <w:r w:rsidRPr="00D73771">
        <w:rPr>
          <w:color w:val="000000"/>
        </w:rPr>
        <w:t xml:space="preserve"> relevant for specialist food safety regimes. </w:t>
      </w:r>
      <w:r w:rsidRPr="00D73771">
        <w:t>The Department of</w:t>
      </w:r>
      <w:r w:rsidR="00173815" w:rsidRPr="00D73771">
        <w:t xml:space="preserve"> Health and the Department</w:t>
      </w:r>
      <w:r w:rsidRPr="00D73771">
        <w:t xml:space="preserve"> Agriculture and Water Resources </w:t>
      </w:r>
      <w:r w:rsidR="00173815" w:rsidRPr="00D73771">
        <w:t xml:space="preserve">are the lead agencies for the regulation of Australia’s food and SPS </w:t>
      </w:r>
      <w:r w:rsidR="00801492" w:rsidRPr="00D73771">
        <w:t>regimes.</w:t>
      </w:r>
    </w:p>
    <w:p w:rsidR="00DF4DD6" w:rsidRDefault="00DF4DD6" w:rsidP="008E57DA">
      <w:pPr>
        <w:pStyle w:val="paranormaltext"/>
        <w:shd w:val="clear" w:color="auto" w:fill="FFFFFF"/>
        <w:spacing w:after="0" w:afterAutospacing="0"/>
        <w:rPr>
          <w:i/>
        </w:rPr>
      </w:pPr>
    </w:p>
    <w:p w:rsidR="00DF4DD6" w:rsidRDefault="00DF4DD6" w:rsidP="008E57DA">
      <w:pPr>
        <w:pStyle w:val="paranormaltext"/>
        <w:shd w:val="clear" w:color="auto" w:fill="FFFFFF"/>
        <w:spacing w:after="0" w:afterAutospacing="0"/>
        <w:rPr>
          <w:i/>
        </w:rPr>
      </w:pPr>
    </w:p>
    <w:p w:rsidR="00F12016" w:rsidRPr="00EC1624" w:rsidRDefault="00EC1624" w:rsidP="008E57DA">
      <w:pPr>
        <w:pStyle w:val="paranormaltext"/>
        <w:shd w:val="clear" w:color="auto" w:fill="FFFFFF"/>
        <w:spacing w:after="0" w:afterAutospacing="0"/>
        <w:rPr>
          <w:i/>
        </w:rPr>
      </w:pPr>
      <w:r w:rsidRPr="00EC1624">
        <w:rPr>
          <w:i/>
        </w:rPr>
        <w:lastRenderedPageBreak/>
        <w:t xml:space="preserve">Free Trade Agreements </w:t>
      </w:r>
    </w:p>
    <w:p w:rsidR="00A24B15" w:rsidRDefault="00FB1832" w:rsidP="00F12016">
      <w:pPr>
        <w:pStyle w:val="paranormaltext"/>
        <w:shd w:val="clear" w:color="auto" w:fill="FFFFFF"/>
        <w:spacing w:after="0" w:afterAutospacing="0"/>
      </w:pPr>
      <w:r>
        <w:t xml:space="preserve">In relation to TBT, </w:t>
      </w:r>
      <w:r w:rsidR="00EC1624" w:rsidRPr="008E57DA">
        <w:t>Australia’s Free Trade Agreements (FTAs)</w:t>
      </w:r>
      <w:r w:rsidR="00EC1624">
        <w:t xml:space="preserve"> typically</w:t>
      </w:r>
      <w:r w:rsidR="00EC1624" w:rsidRPr="008E57DA">
        <w:t xml:space="preserve"> reaffirm WTO rights and obligations, and can provide further avenues for cooperation and information sharing between </w:t>
      </w:r>
      <w:r w:rsidR="00E67694">
        <w:t>P</w:t>
      </w:r>
      <w:r w:rsidR="00EC1624" w:rsidRPr="008E57DA">
        <w:t>arties.</w:t>
      </w:r>
      <w:r w:rsidR="00A35C2D">
        <w:t xml:space="preserve"> </w:t>
      </w:r>
      <w:r w:rsidR="00C46030" w:rsidRPr="003341F0">
        <w:t>Australia’s FTAs and other international agreements do not lower Austra</w:t>
      </w:r>
      <w:r w:rsidR="002A0BC8">
        <w:t xml:space="preserve">lia’s product safety standards. </w:t>
      </w:r>
      <w:r w:rsidR="00C46030" w:rsidRPr="003341F0">
        <w:t xml:space="preserve">Australia’s </w:t>
      </w:r>
      <w:r w:rsidR="00E67694">
        <w:t>FTAs</w:t>
      </w:r>
      <w:r w:rsidR="00C46030" w:rsidRPr="003341F0">
        <w:t xml:space="preserve"> encourage the acceptance of internatio</w:t>
      </w:r>
      <w:r w:rsidR="000B11A9">
        <w:t xml:space="preserve">nal standards </w:t>
      </w:r>
      <w:r w:rsidR="003A64D7">
        <w:t>where applicable</w:t>
      </w:r>
      <w:r w:rsidR="000B11A9">
        <w:t xml:space="preserve">, but </w:t>
      </w:r>
      <w:r w:rsidR="00C46030" w:rsidRPr="003341F0">
        <w:t>do not weaken Australia’s ability to regulate fo</w:t>
      </w:r>
      <w:r w:rsidR="00A96C9A">
        <w:t xml:space="preserve">od, health or safety standards. </w:t>
      </w:r>
      <w:r w:rsidR="00CE5EB9">
        <w:t>Imported products are subject to the same product safety requirements a</w:t>
      </w:r>
      <w:r w:rsidR="00095909">
        <w:t>s domestic products</w:t>
      </w:r>
      <w:r w:rsidR="004F504E">
        <w:t xml:space="preserve">. </w:t>
      </w:r>
      <w:r w:rsidR="00095909">
        <w:t>The e</w:t>
      </w:r>
      <w:r w:rsidR="00E67694">
        <w:t xml:space="preserve">nforcement of </w:t>
      </w:r>
      <w:r w:rsidR="00095909">
        <w:t>product safety standards relies on the capability of domestic enfo</w:t>
      </w:r>
      <w:r w:rsidR="00A24B15">
        <w:t>rcement and compliance systems.</w:t>
      </w:r>
    </w:p>
    <w:p w:rsidR="00A7141C" w:rsidRPr="00A24B15" w:rsidRDefault="00A35C2D" w:rsidP="00F12016">
      <w:pPr>
        <w:pStyle w:val="paranormaltext"/>
        <w:shd w:val="clear" w:color="auto" w:fill="FFFFFF"/>
        <w:spacing w:after="0" w:afterAutospacing="0"/>
      </w:pPr>
      <w:r w:rsidRPr="00A35C2D">
        <w:rPr>
          <w:i/>
        </w:rPr>
        <w:t>Mutual Recognition A</w:t>
      </w:r>
      <w:r w:rsidR="003C1945">
        <w:rPr>
          <w:i/>
        </w:rPr>
        <w:t xml:space="preserve">greements </w:t>
      </w:r>
    </w:p>
    <w:p w:rsidR="000652EF" w:rsidRDefault="00516483" w:rsidP="004F504E">
      <w:pPr>
        <w:pStyle w:val="paranormaltext"/>
        <w:shd w:val="clear" w:color="auto" w:fill="FFFFFF"/>
        <w:spacing w:after="0" w:afterAutospacing="0"/>
      </w:pPr>
      <w:r>
        <w:t xml:space="preserve">Australia has </w:t>
      </w:r>
      <w:r w:rsidR="00A7141C">
        <w:t xml:space="preserve">Mutual Recognition Agreements (MRAs) with </w:t>
      </w:r>
      <w:r w:rsidR="00587A46">
        <w:t xml:space="preserve">New Zealand, </w:t>
      </w:r>
      <w:r w:rsidR="00A7141C">
        <w:t>Singapore, the European Union, and</w:t>
      </w:r>
      <w:r w:rsidR="008B3726">
        <w:t xml:space="preserve"> </w:t>
      </w:r>
      <w:r w:rsidR="00801492">
        <w:t xml:space="preserve">the </w:t>
      </w:r>
      <w:r w:rsidR="008B3726">
        <w:t>European Free Trade Area</w:t>
      </w:r>
      <w:r w:rsidR="00067FA4">
        <w:t xml:space="preserve">, which are the </w:t>
      </w:r>
      <w:r w:rsidR="00A7141C">
        <w:t xml:space="preserve">responsibility of the Department of Industry, Innovation and Science. </w:t>
      </w:r>
      <w:r w:rsidR="00A7141C" w:rsidRPr="00A7141C">
        <w:t xml:space="preserve">MRAs enable </w:t>
      </w:r>
      <w:r w:rsidR="00067FA4">
        <w:t xml:space="preserve">the </w:t>
      </w:r>
      <w:r w:rsidR="00A7141C" w:rsidRPr="00A7141C">
        <w:t>conformity assessment of products intende</w:t>
      </w:r>
      <w:r w:rsidR="00622866">
        <w:t>d for export to the other Party</w:t>
      </w:r>
      <w:r w:rsidR="00A7141C" w:rsidRPr="00A7141C">
        <w:t xml:space="preserve"> to be undertaken in the country of export, thereby reducing barriers to trade between the coun</w:t>
      </w:r>
      <w:r w:rsidR="00A96C9A">
        <w:t>t</w:t>
      </w:r>
      <w:r w:rsidR="00622866">
        <w:t>ries. For certain products and s</w:t>
      </w:r>
      <w:r w:rsidR="00A96C9A">
        <w:t>ectors, r</w:t>
      </w:r>
      <w:r w:rsidR="008B3726">
        <w:t>egulatory authorities</w:t>
      </w:r>
      <w:r w:rsidR="00A7141C" w:rsidRPr="00A7141C">
        <w:t xml:space="preserve"> </w:t>
      </w:r>
      <w:r w:rsidR="00622866">
        <w:t xml:space="preserve">must </w:t>
      </w:r>
      <w:r w:rsidR="00A7141C" w:rsidRPr="00A7141C">
        <w:t>recognise test repo</w:t>
      </w:r>
      <w:r w:rsidR="008B3726">
        <w:t xml:space="preserve">rts and certificates issued by </w:t>
      </w:r>
      <w:r w:rsidR="00A96C9A">
        <w:t xml:space="preserve">the </w:t>
      </w:r>
      <w:r w:rsidR="008B3726">
        <w:t>c</w:t>
      </w:r>
      <w:r w:rsidR="00A7141C" w:rsidRPr="00A7141C">
        <w:t>onf</w:t>
      </w:r>
      <w:r w:rsidR="00A7141C">
        <w:t xml:space="preserve">ormity </w:t>
      </w:r>
      <w:r w:rsidR="008B3726">
        <w:t xml:space="preserve">assessment bodies </w:t>
      </w:r>
      <w:r w:rsidR="00A96C9A">
        <w:t xml:space="preserve">of other countries. </w:t>
      </w:r>
      <w:r w:rsidR="002058A8">
        <w:t xml:space="preserve"> The implementation of these international MRAs </w:t>
      </w:r>
      <w:r w:rsidR="000B11A9">
        <w:t xml:space="preserve">relies on </w:t>
      </w:r>
      <w:r w:rsidR="006E5543">
        <w:t xml:space="preserve">compliance with the </w:t>
      </w:r>
      <w:r w:rsidR="002058A8">
        <w:t xml:space="preserve">Mutual Recognition </w:t>
      </w:r>
      <w:r w:rsidR="003C1945">
        <w:t xml:space="preserve">Agreement </w:t>
      </w:r>
      <w:r w:rsidR="002058A8">
        <w:t xml:space="preserve">between the Commonwealth, </w:t>
      </w:r>
      <w:r w:rsidR="00B94FC5">
        <w:t xml:space="preserve">and </w:t>
      </w:r>
      <w:r w:rsidR="002058A8">
        <w:t xml:space="preserve">States and Territories. </w:t>
      </w:r>
    </w:p>
    <w:p w:rsidR="00E64345" w:rsidRDefault="00D12A8C" w:rsidP="004F504E">
      <w:pPr>
        <w:pStyle w:val="paranormaltext"/>
        <w:shd w:val="clear" w:color="auto" w:fill="FFFFFF"/>
        <w:spacing w:after="0" w:afterAutospacing="0"/>
      </w:pPr>
      <w:r w:rsidRPr="00D12A8C">
        <w:rPr>
          <w:i/>
        </w:rPr>
        <w:t>Relationship</w:t>
      </w:r>
      <w:r>
        <w:rPr>
          <w:i/>
        </w:rPr>
        <w:t xml:space="preserve"> of international obligations to </w:t>
      </w:r>
      <w:r w:rsidRPr="00D12A8C">
        <w:rPr>
          <w:i/>
        </w:rPr>
        <w:t xml:space="preserve">ACL and </w:t>
      </w:r>
      <w:r>
        <w:rPr>
          <w:i/>
        </w:rPr>
        <w:t xml:space="preserve">product specialist safety regimes </w:t>
      </w:r>
      <w:r>
        <w:rPr>
          <w:i/>
        </w:rPr>
        <w:br/>
        <w:t xml:space="preserve"> </w:t>
      </w:r>
      <w:r w:rsidR="003969F7">
        <w:rPr>
          <w:i/>
        </w:rPr>
        <w:br/>
      </w:r>
      <w:r w:rsidR="004D62C4">
        <w:t xml:space="preserve">Australia’s international obligations </w:t>
      </w:r>
      <w:r w:rsidR="000E6AC4">
        <w:t>complement</w:t>
      </w:r>
      <w:r w:rsidR="00180881">
        <w:t xml:space="preserve"> many </w:t>
      </w:r>
      <w:r w:rsidR="004D62C4">
        <w:t>existing</w:t>
      </w:r>
      <w:r w:rsidR="00180881">
        <w:t xml:space="preserve"> domestic</w:t>
      </w:r>
      <w:r w:rsidR="004D62C4">
        <w:t xml:space="preserve"> policies and best practice guidelines</w:t>
      </w:r>
      <w:r w:rsidR="00466C2E">
        <w:t xml:space="preserve"> </w:t>
      </w:r>
      <w:r w:rsidR="0078039C">
        <w:t>on the</w:t>
      </w:r>
      <w:r w:rsidR="00466C2E">
        <w:t xml:space="preserve"> development of regulation</w:t>
      </w:r>
      <w:r w:rsidR="001F421C">
        <w:t>. The G</w:t>
      </w:r>
      <w:r w:rsidR="000C078A">
        <w:t xml:space="preserve">overnment’s Regulatory Reform Agenda </w:t>
      </w:r>
      <w:r w:rsidR="00180881">
        <w:t>encourage</w:t>
      </w:r>
      <w:r w:rsidR="000C078A">
        <w:t>s</w:t>
      </w:r>
      <w:r w:rsidR="004D62C4">
        <w:t xml:space="preserve"> </w:t>
      </w:r>
      <w:r w:rsidR="005C5C58">
        <w:t>regulatory</w:t>
      </w:r>
      <w:r w:rsidR="000B11A9">
        <w:t xml:space="preserve"> </w:t>
      </w:r>
      <w:r w:rsidR="00C36A54">
        <w:t xml:space="preserve">burden </w:t>
      </w:r>
      <w:r w:rsidR="00180881">
        <w:t xml:space="preserve">be </w:t>
      </w:r>
      <w:r w:rsidR="00AC1993">
        <w:t>kept to a</w:t>
      </w:r>
      <w:r w:rsidR="004D62C4">
        <w:t xml:space="preserve"> necessary</w:t>
      </w:r>
      <w:r w:rsidR="00C36A54">
        <w:t xml:space="preserve"> minimum</w:t>
      </w:r>
      <w:r w:rsidR="004D62C4">
        <w:t xml:space="preserve"> </w:t>
      </w:r>
      <w:r w:rsidR="00FD5173">
        <w:t xml:space="preserve">and for </w:t>
      </w:r>
      <w:r w:rsidR="002D502C">
        <w:t xml:space="preserve">regulatory </w:t>
      </w:r>
      <w:r w:rsidR="00FD5173">
        <w:t>development processes to b</w:t>
      </w:r>
      <w:r w:rsidR="002D502C">
        <w:t xml:space="preserve">e </w:t>
      </w:r>
      <w:r w:rsidR="004D62C4">
        <w:t xml:space="preserve">transparent </w:t>
      </w:r>
      <w:r w:rsidR="00FD5173">
        <w:t>and</w:t>
      </w:r>
      <w:r w:rsidR="000B11A9">
        <w:t xml:space="preserve"> to</w:t>
      </w:r>
      <w:r w:rsidR="00FD5173">
        <w:t xml:space="preserve"> include extensive consultation </w:t>
      </w:r>
      <w:r w:rsidR="00466C2E">
        <w:t xml:space="preserve">with </w:t>
      </w:r>
      <w:r w:rsidR="00936E4E">
        <w:t>a</w:t>
      </w:r>
      <w:r w:rsidR="00752812">
        <w:t xml:space="preserve">ffected </w:t>
      </w:r>
      <w:r w:rsidR="00466C2E">
        <w:t>stakeholders</w:t>
      </w:r>
      <w:r w:rsidR="004D62C4">
        <w:t xml:space="preserve">. </w:t>
      </w:r>
      <w:r w:rsidR="00E64345">
        <w:t xml:space="preserve">Similarly, given the </w:t>
      </w:r>
      <w:r w:rsidR="00E64345" w:rsidRPr="008E57DA">
        <w:t xml:space="preserve">contribution that international standards and conformity assessment </w:t>
      </w:r>
      <w:r w:rsidR="00E64345">
        <w:t xml:space="preserve">procedures </w:t>
      </w:r>
      <w:r w:rsidR="00E64345" w:rsidRPr="008E57DA">
        <w:t xml:space="preserve">can make </w:t>
      </w:r>
      <w:r w:rsidR="00E64345">
        <w:t>in</w:t>
      </w:r>
      <w:r w:rsidR="00E64345" w:rsidRPr="008E57DA">
        <w:t xml:space="preserve"> improving efficiency of production and facilitating the conduct of international trade, it is </w:t>
      </w:r>
      <w:r w:rsidR="00E64345">
        <w:t xml:space="preserve">also </w:t>
      </w:r>
      <w:r w:rsidR="00E64345" w:rsidRPr="008E57DA">
        <w:t xml:space="preserve">Australian Government policy </w:t>
      </w:r>
      <w:r w:rsidR="00E64345" w:rsidRPr="00DB1B60">
        <w:t>to accept trusted international standards</w:t>
      </w:r>
      <w:r w:rsidR="00E64345" w:rsidRPr="008E57DA">
        <w:t>.</w:t>
      </w:r>
      <w:r w:rsidR="00E64345">
        <w:rPr>
          <w:rStyle w:val="FootnoteReference"/>
        </w:rPr>
        <w:footnoteReference w:id="2"/>
      </w:r>
      <w:r w:rsidR="00D15ED0">
        <w:t xml:space="preserve">  </w:t>
      </w:r>
    </w:p>
    <w:p w:rsidR="0015371D" w:rsidRDefault="003C02A6" w:rsidP="0015371D">
      <w:pPr>
        <w:pStyle w:val="paranormaltext"/>
        <w:shd w:val="clear" w:color="auto" w:fill="FFFFFF"/>
        <w:spacing w:after="0" w:afterAutospacing="0"/>
      </w:pPr>
      <w:r w:rsidRPr="008E57DA">
        <w:t>Tran</w:t>
      </w:r>
      <w:r w:rsidR="00FD59A3">
        <w:t xml:space="preserve">sparency is another </w:t>
      </w:r>
      <w:r>
        <w:t>benefit of i</w:t>
      </w:r>
      <w:r w:rsidR="00445D65">
        <w:t xml:space="preserve">nternational commitments on TBT. </w:t>
      </w:r>
      <w:r>
        <w:t>The Commonwealth and State and Territory governments must notify changes to technical regulations</w:t>
      </w:r>
      <w:r w:rsidR="00F83568">
        <w:t xml:space="preserve"> </w:t>
      </w:r>
      <w:r w:rsidR="00F83568" w:rsidRPr="00A54FFD">
        <w:t xml:space="preserve">that deviate from </w:t>
      </w:r>
      <w:r w:rsidR="00F83568">
        <w:t xml:space="preserve">relevant </w:t>
      </w:r>
      <w:r w:rsidR="00F83568" w:rsidRPr="00A54FFD">
        <w:t xml:space="preserve">international </w:t>
      </w:r>
      <w:r w:rsidR="00F83568">
        <w:t>standards and may</w:t>
      </w:r>
      <w:r w:rsidR="00F83568" w:rsidRPr="00A936C1">
        <w:t xml:space="preserve"> have a significant effect on trade of other Members</w:t>
      </w:r>
      <w:r>
        <w:t xml:space="preserve"> to the </w:t>
      </w:r>
      <w:r w:rsidRPr="008E57DA">
        <w:t xml:space="preserve">Australian TBT enquiry </w:t>
      </w:r>
      <w:r w:rsidR="00E71D6F">
        <w:t xml:space="preserve">point. The enquiry point is </w:t>
      </w:r>
      <w:r w:rsidR="00801492">
        <w:t>administered</w:t>
      </w:r>
      <w:r>
        <w:t xml:space="preserve"> by</w:t>
      </w:r>
      <w:r w:rsidRPr="008E57DA">
        <w:t xml:space="preserve"> DFAT</w:t>
      </w:r>
      <w:r>
        <w:t xml:space="preserve">, </w:t>
      </w:r>
      <w:r w:rsidR="00F83568">
        <w:t xml:space="preserve">and </w:t>
      </w:r>
      <w:r w:rsidR="00E71D6F">
        <w:t xml:space="preserve">the notifications are </w:t>
      </w:r>
      <w:r>
        <w:t>submitted to the WTO</w:t>
      </w:r>
      <w:r w:rsidR="0015371D">
        <w:t xml:space="preserve"> and its Members</w:t>
      </w:r>
      <w:r>
        <w:t>.</w:t>
      </w:r>
      <w:r>
        <w:rPr>
          <w:rStyle w:val="FootnoteReference"/>
        </w:rPr>
        <w:footnoteReference w:id="3"/>
      </w:r>
      <w:r w:rsidR="00752812">
        <w:t xml:space="preserve"> </w:t>
      </w:r>
      <w:r w:rsidR="003707CB">
        <w:t xml:space="preserve">Consistent </w:t>
      </w:r>
      <w:r w:rsidR="0015371D">
        <w:t>with the best practice in the Australian Government G</w:t>
      </w:r>
      <w:r w:rsidR="003707CB">
        <w:t>uide to Regulation</w:t>
      </w:r>
      <w:r w:rsidR="002E244A">
        <w:rPr>
          <w:rStyle w:val="FootnoteReference"/>
        </w:rPr>
        <w:footnoteReference w:id="4"/>
      </w:r>
      <w:r w:rsidR="003707CB">
        <w:t xml:space="preserve">, this </w:t>
      </w:r>
      <w:r w:rsidR="0015371D">
        <w:t xml:space="preserve">enables </w:t>
      </w:r>
      <w:r w:rsidR="00801492">
        <w:t>interested parties,</w:t>
      </w:r>
      <w:r w:rsidR="0015371D">
        <w:t xml:space="preserve"> including other countries,</w:t>
      </w:r>
      <w:r w:rsidR="00801492">
        <w:t xml:space="preserve"> an opportunity </w:t>
      </w:r>
      <w:r w:rsidRPr="008E57DA">
        <w:t>to</w:t>
      </w:r>
      <w:r w:rsidR="0015371D">
        <w:t xml:space="preserve"> provide</w:t>
      </w:r>
      <w:r w:rsidR="00801492">
        <w:t xml:space="preserve"> </w:t>
      </w:r>
      <w:r>
        <w:t xml:space="preserve">comments on the measures, and </w:t>
      </w:r>
      <w:r w:rsidR="00801492">
        <w:t xml:space="preserve">time to </w:t>
      </w:r>
      <w:r>
        <w:t xml:space="preserve">adapt to the new requirements before they are introduced. </w:t>
      </w:r>
    </w:p>
    <w:p w:rsidR="00933317" w:rsidRDefault="00450C08" w:rsidP="000C078A">
      <w:pPr>
        <w:pStyle w:val="paranormaltext"/>
        <w:shd w:val="clear" w:color="auto" w:fill="FFFFFF"/>
        <w:spacing w:after="0" w:afterAutospacing="0"/>
      </w:pPr>
      <w:r>
        <w:t xml:space="preserve">In view of </w:t>
      </w:r>
      <w:r w:rsidR="0015371D">
        <w:t>Austral</w:t>
      </w:r>
      <w:r>
        <w:t xml:space="preserve">ia’s international obligations, </w:t>
      </w:r>
      <w:r w:rsidR="000B3367">
        <w:t xml:space="preserve">regulators </w:t>
      </w:r>
      <w:r>
        <w:t xml:space="preserve">should </w:t>
      </w:r>
      <w:r w:rsidR="000B3367">
        <w:t xml:space="preserve">consider </w:t>
      </w:r>
      <w:r w:rsidR="00156E5C">
        <w:t>international commitments w</w:t>
      </w:r>
      <w:r w:rsidR="0015371D" w:rsidRPr="008E57DA">
        <w:t>hen developin</w:t>
      </w:r>
      <w:r w:rsidR="0015371D">
        <w:t xml:space="preserve">g regulations and in designing regulatory structures. </w:t>
      </w:r>
      <w:r w:rsidR="0015371D">
        <w:lastRenderedPageBreak/>
        <w:t>Commonwealth and S</w:t>
      </w:r>
      <w:r w:rsidR="0015371D" w:rsidRPr="008E57DA">
        <w:t xml:space="preserve">tate and </w:t>
      </w:r>
      <w:r w:rsidR="0015371D">
        <w:t>T</w:t>
      </w:r>
      <w:r w:rsidR="001F421C">
        <w:t>erritory G</w:t>
      </w:r>
      <w:r w:rsidR="0015371D" w:rsidRPr="008E57DA">
        <w:t xml:space="preserve">overnments </w:t>
      </w:r>
      <w:r w:rsidR="0015371D">
        <w:t xml:space="preserve">must be prepared to </w:t>
      </w:r>
      <w:r w:rsidR="0015371D" w:rsidRPr="008E57DA">
        <w:t>explain the justification for any technical regulation</w:t>
      </w:r>
      <w:r w:rsidR="0015371D">
        <w:t xml:space="preserve"> or conformity assessment procedure</w:t>
      </w:r>
      <w:r w:rsidR="0015371D" w:rsidRPr="008E57DA">
        <w:t xml:space="preserve"> that</w:t>
      </w:r>
      <w:r w:rsidR="0015371D">
        <w:t xml:space="preserve"> deviate from a relevant international standard, and variations between states and territories. </w:t>
      </w:r>
    </w:p>
    <w:p w:rsidR="00933317" w:rsidRPr="00641828" w:rsidRDefault="00203487" w:rsidP="009A5471">
      <w:pPr>
        <w:pStyle w:val="paranormaltext"/>
        <w:shd w:val="clear" w:color="auto" w:fill="FFFFFF"/>
        <w:spacing w:after="0" w:afterAutospacing="0"/>
      </w:pPr>
      <w:r w:rsidRPr="008E57DA">
        <w:t>The inclusion of international obligations within regulatory</w:t>
      </w:r>
      <w:r w:rsidR="00945F48">
        <w:t xml:space="preserve"> development processes, such as</w:t>
      </w:r>
      <w:r w:rsidRPr="008E57DA">
        <w:t xml:space="preserve"> </w:t>
      </w:r>
      <w:r w:rsidR="00801492">
        <w:t>Regulatory Impact Statements</w:t>
      </w:r>
      <w:r w:rsidRPr="008E57DA">
        <w:t xml:space="preserve">, could help to ensure that these requirements are given due consideration, and that </w:t>
      </w:r>
      <w:r w:rsidR="009F19A3">
        <w:t xml:space="preserve">the </w:t>
      </w:r>
      <w:r w:rsidRPr="008E57DA">
        <w:t xml:space="preserve">obligations for notification and consultation are met. </w:t>
      </w:r>
    </w:p>
    <w:p w:rsidR="0041775C" w:rsidRPr="00A7141C" w:rsidRDefault="008B3CD8" w:rsidP="009A5471">
      <w:pPr>
        <w:pStyle w:val="paranormaltext"/>
        <w:shd w:val="clear" w:color="auto" w:fill="FFFFFF"/>
        <w:spacing w:after="0" w:afterAutospacing="0"/>
        <w:rPr>
          <w:b/>
        </w:rPr>
      </w:pPr>
      <w:r w:rsidRPr="00A7141C">
        <w:rPr>
          <w:b/>
          <w:i/>
        </w:rPr>
        <w:t xml:space="preserve">Impact of </w:t>
      </w:r>
      <w:r w:rsidR="00A462EC" w:rsidRPr="00A7141C">
        <w:rPr>
          <w:b/>
          <w:i/>
        </w:rPr>
        <w:t>the ACL</w:t>
      </w:r>
      <w:r w:rsidRPr="00A7141C">
        <w:rPr>
          <w:b/>
          <w:i/>
        </w:rPr>
        <w:t xml:space="preserve"> </w:t>
      </w:r>
      <w:r w:rsidR="00A462EC" w:rsidRPr="00A7141C">
        <w:rPr>
          <w:b/>
          <w:i/>
        </w:rPr>
        <w:t xml:space="preserve">and </w:t>
      </w:r>
      <w:r w:rsidR="004A02E0" w:rsidRPr="00A7141C">
        <w:rPr>
          <w:b/>
          <w:i/>
        </w:rPr>
        <w:t>product safety regimes</w:t>
      </w:r>
      <w:r w:rsidR="00A462EC" w:rsidRPr="00A7141C">
        <w:rPr>
          <w:b/>
          <w:i/>
        </w:rPr>
        <w:t xml:space="preserve"> </w:t>
      </w:r>
      <w:r w:rsidRPr="00A7141C">
        <w:rPr>
          <w:b/>
          <w:i/>
        </w:rPr>
        <w:t>on</w:t>
      </w:r>
      <w:r w:rsidR="002E5839" w:rsidRPr="00A7141C">
        <w:rPr>
          <w:b/>
          <w:i/>
        </w:rPr>
        <w:t xml:space="preserve"> </w:t>
      </w:r>
      <w:r w:rsidR="00A462EC" w:rsidRPr="00A7141C">
        <w:rPr>
          <w:b/>
          <w:i/>
        </w:rPr>
        <w:t xml:space="preserve">Australia’s </w:t>
      </w:r>
      <w:r w:rsidR="009C410E">
        <w:rPr>
          <w:b/>
          <w:i/>
        </w:rPr>
        <w:t>international</w:t>
      </w:r>
      <w:r w:rsidR="002E5839" w:rsidRPr="00A7141C">
        <w:rPr>
          <w:b/>
          <w:i/>
        </w:rPr>
        <w:t xml:space="preserve"> competitiveness </w:t>
      </w:r>
      <w:r w:rsidR="0041775C" w:rsidRPr="00A7141C">
        <w:rPr>
          <w:b/>
          <w:i/>
        </w:rPr>
        <w:br/>
      </w:r>
    </w:p>
    <w:p w:rsidR="00303875" w:rsidRDefault="00A462EC" w:rsidP="0041775C">
      <w:r w:rsidRPr="008E57DA">
        <w:t xml:space="preserve">The creation of the ACL represents significant progress </w:t>
      </w:r>
      <w:r>
        <w:t xml:space="preserve">towards the </w:t>
      </w:r>
      <w:r w:rsidRPr="008E57DA">
        <w:t>develo</w:t>
      </w:r>
      <w:r>
        <w:t>pment of</w:t>
      </w:r>
      <w:r w:rsidR="0041775C">
        <w:t xml:space="preserve"> a national </w:t>
      </w:r>
      <w:r w:rsidR="005F53D8">
        <w:t>consumer protection framework</w:t>
      </w:r>
      <w:r w:rsidR="0041775C">
        <w:t xml:space="preserve">. </w:t>
      </w:r>
      <w:r w:rsidRPr="008E57DA">
        <w:t xml:space="preserve">The ACL replaced a range of existing Commonwealth, </w:t>
      </w:r>
      <w:r w:rsidR="00A13B8E">
        <w:t>S</w:t>
      </w:r>
      <w:r w:rsidRPr="008E57DA">
        <w:t xml:space="preserve">tate and </w:t>
      </w:r>
      <w:r w:rsidR="00A13B8E">
        <w:t>T</w:t>
      </w:r>
      <w:r w:rsidRPr="008E57DA">
        <w:t>erritory consumer laws and clarified understanding of the law for Australian consumers and businesses.</w:t>
      </w:r>
      <w:r w:rsidR="00303875">
        <w:t xml:space="preserve"> However, </w:t>
      </w:r>
      <w:r w:rsidR="00A13B8E">
        <w:t>S</w:t>
      </w:r>
      <w:r w:rsidR="00303875">
        <w:t xml:space="preserve">tates and </w:t>
      </w:r>
      <w:r w:rsidR="00A13B8E">
        <w:t>T</w:t>
      </w:r>
      <w:r w:rsidR="00303875">
        <w:t xml:space="preserve">erritories </w:t>
      </w:r>
      <w:r w:rsidR="005F53D8">
        <w:t xml:space="preserve">continue to </w:t>
      </w:r>
      <w:r w:rsidR="00303875">
        <w:t>maintain</w:t>
      </w:r>
      <w:r w:rsidR="00303875" w:rsidRPr="008E57DA">
        <w:t xml:space="preserve"> </w:t>
      </w:r>
      <w:r w:rsidR="00303875">
        <w:t xml:space="preserve">specialist </w:t>
      </w:r>
      <w:r w:rsidR="009F19A3">
        <w:t xml:space="preserve">product </w:t>
      </w:r>
      <w:r w:rsidR="00303875">
        <w:t xml:space="preserve">safety regimes for a range of products that operate </w:t>
      </w:r>
      <w:r w:rsidR="00303875" w:rsidRPr="008E57DA">
        <w:t>alongside the ACL</w:t>
      </w:r>
      <w:r w:rsidR="00303875">
        <w:t xml:space="preserve">. </w:t>
      </w:r>
    </w:p>
    <w:p w:rsidR="00303875" w:rsidRDefault="00303875" w:rsidP="0041775C"/>
    <w:p w:rsidR="00303875" w:rsidRDefault="00303875" w:rsidP="0041775C">
      <w:r>
        <w:t xml:space="preserve">The </w:t>
      </w:r>
      <w:r w:rsidR="009F19A3">
        <w:t xml:space="preserve">multiple regulator model of </w:t>
      </w:r>
      <w:r w:rsidRPr="008E57DA">
        <w:t>th</w:t>
      </w:r>
      <w:r>
        <w:t xml:space="preserve">e ACL, </w:t>
      </w:r>
      <w:r w:rsidRPr="008E57DA">
        <w:t>together with the various specialist safety regimes</w:t>
      </w:r>
      <w:r>
        <w:t>,</w:t>
      </w:r>
      <w:r w:rsidRPr="008E57DA">
        <w:t xml:space="preserve"> means that many consumer products </w:t>
      </w:r>
      <w:r w:rsidR="009F19A3">
        <w:t>are</w:t>
      </w:r>
      <w:r w:rsidRPr="008E57DA">
        <w:t xml:space="preserve"> subject to re</w:t>
      </w:r>
      <w:r>
        <w:t>gul</w:t>
      </w:r>
      <w:r w:rsidR="005F53D8">
        <w:t>atio</w:t>
      </w:r>
      <w:r w:rsidR="002A245A">
        <w:t xml:space="preserve">n by a number of jurisdictions and </w:t>
      </w:r>
      <w:r>
        <w:t>regulator</w:t>
      </w:r>
      <w:r w:rsidR="00E67694">
        <w:t>s</w:t>
      </w:r>
      <w:r>
        <w:t xml:space="preserve">. </w:t>
      </w:r>
      <w:r w:rsidR="009C30E9" w:rsidRPr="008E57DA">
        <w:t>For example, electrical consumer appliances are covered by the ACL, but their safety i</w:t>
      </w:r>
      <w:r w:rsidR="009C30E9" w:rsidRPr="00B237FE">
        <w:t xml:space="preserve">s </w:t>
      </w:r>
      <w:r w:rsidR="009C30E9" w:rsidRPr="008E57DA">
        <w:t xml:space="preserve">regulated </w:t>
      </w:r>
      <w:r w:rsidR="009C30E9">
        <w:t xml:space="preserve">through </w:t>
      </w:r>
      <w:r w:rsidR="00A13B8E">
        <w:t>S</w:t>
      </w:r>
      <w:r w:rsidR="009C30E9">
        <w:t xml:space="preserve">tate and </w:t>
      </w:r>
      <w:r w:rsidR="00A13B8E">
        <w:t>T</w:t>
      </w:r>
      <w:r w:rsidR="009C30E9">
        <w:t xml:space="preserve">erritory </w:t>
      </w:r>
      <w:r w:rsidR="009C30E9" w:rsidRPr="008E57DA">
        <w:t>electric</w:t>
      </w:r>
      <w:r w:rsidR="004A02E0">
        <w:t>al safety acts and regulations. These can s</w:t>
      </w:r>
      <w:r w:rsidR="009C30E9" w:rsidRPr="008E57DA">
        <w:t xml:space="preserve">tipulate </w:t>
      </w:r>
      <w:r w:rsidR="004A02E0">
        <w:t xml:space="preserve">different </w:t>
      </w:r>
      <w:r w:rsidR="009C30E9" w:rsidRPr="008E57DA">
        <w:t>technical standards</w:t>
      </w:r>
      <w:r w:rsidR="009C30E9">
        <w:t xml:space="preserve"> and conformity assessment procedures </w:t>
      </w:r>
      <w:r w:rsidR="004A02E0">
        <w:t>for each of the products</w:t>
      </w:r>
      <w:r w:rsidR="009C30E9" w:rsidRPr="008E57DA">
        <w:t>.</w:t>
      </w:r>
      <w:r w:rsidR="009C30E9" w:rsidRPr="009C30E9">
        <w:t xml:space="preserve"> </w:t>
      </w:r>
      <w:r w:rsidR="00864B5E">
        <w:t xml:space="preserve">This </w:t>
      </w:r>
      <w:r w:rsidR="00E0147A">
        <w:t xml:space="preserve">can </w:t>
      </w:r>
      <w:r w:rsidR="00864B5E">
        <w:t xml:space="preserve">add to </w:t>
      </w:r>
      <w:r w:rsidR="00E0147A">
        <w:t xml:space="preserve">administrative costs for business and government, with </w:t>
      </w:r>
      <w:r>
        <w:t xml:space="preserve">different states maintaining </w:t>
      </w:r>
      <w:r w:rsidR="009F19A3">
        <w:t xml:space="preserve">different </w:t>
      </w:r>
      <w:r w:rsidR="00864B5E">
        <w:t>product databases, and multiple sets of state-</w:t>
      </w:r>
      <w:r w:rsidR="00864B5E" w:rsidRPr="008E57DA">
        <w:t>based rules with different requirements and product marking</w:t>
      </w:r>
      <w:r w:rsidR="00864B5E">
        <w:t xml:space="preserve">. </w:t>
      </w:r>
    </w:p>
    <w:p w:rsidR="00864B5E" w:rsidRDefault="00864B5E" w:rsidP="0041775C"/>
    <w:p w:rsidR="002A245A" w:rsidRDefault="004A02E0" w:rsidP="00111D19">
      <w:r>
        <w:t xml:space="preserve">Complex regulatory systems </w:t>
      </w:r>
      <w:r w:rsidR="00756FDF">
        <w:t>add to</w:t>
      </w:r>
      <w:r>
        <w:t xml:space="preserve"> </w:t>
      </w:r>
      <w:r w:rsidR="00C46030" w:rsidRPr="00FE2425">
        <w:t xml:space="preserve">compliance costs for businesses, </w:t>
      </w:r>
      <w:r w:rsidR="002A245A">
        <w:t xml:space="preserve">which can </w:t>
      </w:r>
      <w:r w:rsidR="0023725F">
        <w:t xml:space="preserve">lead to </w:t>
      </w:r>
      <w:r w:rsidR="00CF7699">
        <w:t>higher p</w:t>
      </w:r>
      <w:r w:rsidR="002A245A">
        <w:t xml:space="preserve">rices and </w:t>
      </w:r>
      <w:r w:rsidR="009F19A3">
        <w:t xml:space="preserve">lower </w:t>
      </w:r>
      <w:r w:rsidR="002A245A">
        <w:t xml:space="preserve">productivity. High regulatory costs can also </w:t>
      </w:r>
      <w:r w:rsidR="0023725F">
        <w:t xml:space="preserve">detract </w:t>
      </w:r>
      <w:r w:rsidR="008E57DA" w:rsidRPr="00FE2425">
        <w:t xml:space="preserve">from </w:t>
      </w:r>
      <w:r w:rsidR="0023725F">
        <w:t xml:space="preserve">investment </w:t>
      </w:r>
      <w:r w:rsidR="002A245A" w:rsidRPr="00FE2425">
        <w:t>a</w:t>
      </w:r>
      <w:r w:rsidR="002A245A">
        <w:t xml:space="preserve">nd can </w:t>
      </w:r>
      <w:r w:rsidR="002A245A" w:rsidRPr="00FE2425">
        <w:t>cause confusion and uncertainty for businesses and consumers.</w:t>
      </w:r>
      <w:r w:rsidR="002A245A">
        <w:t xml:space="preserve"> </w:t>
      </w:r>
    </w:p>
    <w:p w:rsidR="00A462EC" w:rsidRDefault="0054142C" w:rsidP="00111D19">
      <w:r w:rsidRPr="00FE2425">
        <w:t xml:space="preserve">Broader consumer policy frameworks can also </w:t>
      </w:r>
      <w:r w:rsidR="00173DF8" w:rsidRPr="00FE2425">
        <w:t>play a role in the international competitiveness of an</w:t>
      </w:r>
      <w:r w:rsidR="00CF7699">
        <w:t xml:space="preserve"> economy to th</w:t>
      </w:r>
      <w:r w:rsidR="0023725F">
        <w:t>e extent</w:t>
      </w:r>
      <w:r w:rsidR="009F19A3">
        <w:t xml:space="preserve"> that</w:t>
      </w:r>
      <w:r w:rsidR="0023725F">
        <w:t xml:space="preserve"> they promote regulatory coherence </w:t>
      </w:r>
      <w:r w:rsidR="00E67694">
        <w:t xml:space="preserve">or </w:t>
      </w:r>
      <w:r w:rsidR="009F19A3">
        <w:t xml:space="preserve">add to </w:t>
      </w:r>
      <w:r w:rsidR="0023725F">
        <w:t xml:space="preserve">red tape in an economy. </w:t>
      </w:r>
      <w:r w:rsidR="00CF7699">
        <w:t xml:space="preserve"> </w:t>
      </w:r>
    </w:p>
    <w:p w:rsidR="0041775C" w:rsidRDefault="0041775C" w:rsidP="00A462EC"/>
    <w:p w:rsidR="00092955" w:rsidRDefault="008B3726" w:rsidP="00A462EC">
      <w:r>
        <w:t>Given the costs associated with complex regulatory regimes, i</w:t>
      </w:r>
      <w:r w:rsidRPr="008E57DA">
        <w:t>t is important there be a cl</w:t>
      </w:r>
      <w:r w:rsidR="00CA63AF">
        <w:t xml:space="preserve">ear rationale for any variations between </w:t>
      </w:r>
      <w:r w:rsidRPr="008E57DA">
        <w:t xml:space="preserve">consumer and product regulations at the </w:t>
      </w:r>
      <w:r w:rsidR="00A13B8E">
        <w:t>S</w:t>
      </w:r>
      <w:r w:rsidRPr="008E57DA">
        <w:t xml:space="preserve">tate and </w:t>
      </w:r>
      <w:r w:rsidR="00A13B8E">
        <w:t>T</w:t>
      </w:r>
      <w:r w:rsidRPr="008E57DA">
        <w:t xml:space="preserve">erritory level, particularly </w:t>
      </w:r>
      <w:r w:rsidR="000A037C">
        <w:t>with</w:t>
      </w:r>
      <w:r w:rsidRPr="008E57DA">
        <w:t xml:space="preserve"> the increasingly </w:t>
      </w:r>
      <w:r w:rsidR="009F19A3">
        <w:t>globalised</w:t>
      </w:r>
      <w:r>
        <w:t xml:space="preserve"> nature of markets</w:t>
      </w:r>
      <w:r w:rsidR="009F19A3">
        <w:t xml:space="preserve"> and production</w:t>
      </w:r>
      <w:r>
        <w:t>. There</w:t>
      </w:r>
      <w:r w:rsidR="00BF0198" w:rsidRPr="008E57DA">
        <w:t xml:space="preserve"> could be value in identifying </w:t>
      </w:r>
      <w:r w:rsidRPr="008E57DA">
        <w:t xml:space="preserve">specific </w:t>
      </w:r>
      <w:r w:rsidR="00BF0198" w:rsidRPr="008E57DA">
        <w:t>areas of consumer regulation where unnecessary divergences in requ</w:t>
      </w:r>
      <w:r w:rsidR="00BF0198">
        <w:t xml:space="preserve">irements have significant costs, and developing a pathway </w:t>
      </w:r>
      <w:r w:rsidR="009C30E9">
        <w:t xml:space="preserve">towards harmonisation. </w:t>
      </w:r>
    </w:p>
    <w:p w:rsidR="002A0BC8" w:rsidRDefault="002A0BC8" w:rsidP="00A462EC"/>
    <w:p w:rsidR="00A462EC" w:rsidRPr="00092955" w:rsidRDefault="00BF0198" w:rsidP="00A462EC">
      <w:r w:rsidRPr="008E57DA">
        <w:rPr>
          <w:lang w:eastAsia="en-AU"/>
        </w:rPr>
        <w:t>Regulatory arrangements tha</w:t>
      </w:r>
      <w:r w:rsidR="00D6764A">
        <w:rPr>
          <w:lang w:eastAsia="en-AU"/>
        </w:rPr>
        <w:t xml:space="preserve">t are more compatible with the </w:t>
      </w:r>
      <w:r w:rsidRPr="008E57DA">
        <w:rPr>
          <w:lang w:eastAsia="en-AU"/>
        </w:rPr>
        <w:t xml:space="preserve">national and international nature of </w:t>
      </w:r>
      <w:r w:rsidR="0023725F">
        <w:rPr>
          <w:lang w:eastAsia="en-AU"/>
        </w:rPr>
        <w:t xml:space="preserve">the Australian economy </w:t>
      </w:r>
      <w:r w:rsidRPr="008E57DA">
        <w:rPr>
          <w:lang w:eastAsia="en-AU"/>
        </w:rPr>
        <w:t xml:space="preserve">could </w:t>
      </w:r>
      <w:r w:rsidR="00075921" w:rsidRPr="008E57DA">
        <w:rPr>
          <w:lang w:eastAsia="en-AU"/>
        </w:rPr>
        <w:t>deliver</w:t>
      </w:r>
      <w:r w:rsidR="00075921">
        <w:rPr>
          <w:lang w:eastAsia="en-AU"/>
        </w:rPr>
        <w:t xml:space="preserve"> a </w:t>
      </w:r>
      <w:r w:rsidRPr="008E57DA">
        <w:rPr>
          <w:lang w:eastAsia="en-AU"/>
        </w:rPr>
        <w:t xml:space="preserve">more </w:t>
      </w:r>
      <w:r>
        <w:rPr>
          <w:lang w:eastAsia="en-AU"/>
        </w:rPr>
        <w:t xml:space="preserve">seamless </w:t>
      </w:r>
      <w:r w:rsidR="00075921">
        <w:rPr>
          <w:lang w:eastAsia="en-AU"/>
        </w:rPr>
        <w:t>regulatory environment</w:t>
      </w:r>
      <w:r w:rsidR="009C30E9">
        <w:rPr>
          <w:lang w:eastAsia="en-AU"/>
        </w:rPr>
        <w:t xml:space="preserve">, while achieving the same consumer protection objectives. </w:t>
      </w:r>
    </w:p>
    <w:sectPr w:rsidR="00A462EC" w:rsidRPr="00092955" w:rsidSect="00641828">
      <w:pgSz w:w="11906" w:h="16838"/>
      <w:pgMar w:top="1276" w:right="1274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A6" w:rsidRDefault="007E57A6" w:rsidP="00C171D5">
      <w:r>
        <w:separator/>
      </w:r>
    </w:p>
  </w:endnote>
  <w:endnote w:type="continuationSeparator" w:id="0">
    <w:p w:rsidR="007E57A6" w:rsidRDefault="007E57A6" w:rsidP="00C1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A6" w:rsidRDefault="007E57A6" w:rsidP="00C171D5">
      <w:r>
        <w:separator/>
      </w:r>
    </w:p>
  </w:footnote>
  <w:footnote w:type="continuationSeparator" w:id="0">
    <w:p w:rsidR="007E57A6" w:rsidRDefault="007E57A6" w:rsidP="00C171D5">
      <w:r>
        <w:continuationSeparator/>
      </w:r>
    </w:p>
  </w:footnote>
  <w:footnote w:id="1">
    <w:p w:rsidR="00CB1E3F" w:rsidRPr="004B3237" w:rsidRDefault="00CB1E3F">
      <w:pPr>
        <w:pStyle w:val="FootnoteText"/>
        <w:rPr>
          <w:sz w:val="18"/>
          <w:szCs w:val="18"/>
        </w:rPr>
      </w:pPr>
      <w:r w:rsidRPr="004B3237">
        <w:rPr>
          <w:rStyle w:val="FootnoteReference"/>
          <w:sz w:val="18"/>
          <w:szCs w:val="18"/>
        </w:rPr>
        <w:footnoteRef/>
      </w:r>
      <w:r w:rsidRPr="004B3237">
        <w:rPr>
          <w:sz w:val="18"/>
          <w:szCs w:val="18"/>
        </w:rPr>
        <w:t xml:space="preserve"> </w:t>
      </w:r>
      <w:r w:rsidR="00CE5EB9" w:rsidRPr="004B3237">
        <w:rPr>
          <w:sz w:val="18"/>
          <w:szCs w:val="18"/>
        </w:rPr>
        <w:t>‘Technical regulation</w:t>
      </w:r>
      <w:r w:rsidR="001E6F66">
        <w:rPr>
          <w:sz w:val="18"/>
          <w:szCs w:val="18"/>
        </w:rPr>
        <w:t xml:space="preserve">s’ are </w:t>
      </w:r>
      <w:r w:rsidR="00CE5EB9" w:rsidRPr="004B3237">
        <w:rPr>
          <w:sz w:val="18"/>
          <w:szCs w:val="18"/>
        </w:rPr>
        <w:t>d</w:t>
      </w:r>
      <w:r w:rsidR="001E6F66">
        <w:rPr>
          <w:sz w:val="18"/>
          <w:szCs w:val="18"/>
        </w:rPr>
        <w:t xml:space="preserve">efined as </w:t>
      </w:r>
      <w:r w:rsidR="00F22CB4" w:rsidRPr="004B3237">
        <w:rPr>
          <w:sz w:val="18"/>
          <w:szCs w:val="18"/>
        </w:rPr>
        <w:t>d</w:t>
      </w:r>
      <w:r w:rsidRPr="004B3237">
        <w:rPr>
          <w:sz w:val="18"/>
          <w:szCs w:val="18"/>
        </w:rPr>
        <w:t>ocument</w:t>
      </w:r>
      <w:r w:rsidR="001E6F66">
        <w:rPr>
          <w:sz w:val="18"/>
          <w:szCs w:val="18"/>
        </w:rPr>
        <w:t>s which lay</w:t>
      </w:r>
      <w:r w:rsidRPr="004B3237">
        <w:rPr>
          <w:sz w:val="18"/>
          <w:szCs w:val="18"/>
        </w:rPr>
        <w:t xml:space="preserve"> down product characteristics or their related processes and production methods, including the applicable administrative provisions, with which compliance is mandatory. </w:t>
      </w:r>
    </w:p>
  </w:footnote>
  <w:footnote w:id="2">
    <w:p w:rsidR="00E64345" w:rsidRPr="004B3237" w:rsidRDefault="00E64345" w:rsidP="00E64345">
      <w:pPr>
        <w:pStyle w:val="FootnoteText"/>
        <w:rPr>
          <w:sz w:val="18"/>
          <w:szCs w:val="18"/>
        </w:rPr>
      </w:pPr>
      <w:r w:rsidRPr="004B3237">
        <w:rPr>
          <w:rStyle w:val="FootnoteReference"/>
          <w:sz w:val="18"/>
          <w:szCs w:val="18"/>
        </w:rPr>
        <w:footnoteRef/>
      </w:r>
      <w:r w:rsidRPr="004B3237">
        <w:rPr>
          <w:sz w:val="18"/>
          <w:szCs w:val="18"/>
        </w:rPr>
        <w:t xml:space="preserve"> Industry Innovation and Competitiveness Agenda, 2014, http://www.industry.gov.au/industry/Pages/Industry-Innovation-and-Competitiveness-Agenda.aspx#header</w:t>
      </w:r>
    </w:p>
  </w:footnote>
  <w:footnote w:id="3">
    <w:p w:rsidR="003C02A6" w:rsidRPr="004B3237" w:rsidRDefault="003C02A6" w:rsidP="003C02A6">
      <w:pPr>
        <w:pStyle w:val="FootnoteText"/>
        <w:rPr>
          <w:sz w:val="18"/>
          <w:szCs w:val="18"/>
        </w:rPr>
      </w:pPr>
      <w:r w:rsidRPr="004B3237">
        <w:rPr>
          <w:rStyle w:val="FootnoteReference"/>
          <w:sz w:val="18"/>
          <w:szCs w:val="18"/>
        </w:rPr>
        <w:footnoteRef/>
      </w:r>
      <w:r w:rsidRPr="004B3237">
        <w:rPr>
          <w:sz w:val="18"/>
          <w:szCs w:val="18"/>
        </w:rPr>
        <w:t xml:space="preserve"> The Australian TBT Enquiry Point: </w:t>
      </w:r>
      <w:hyperlink r:id="rId1" w:history="1">
        <w:r w:rsidRPr="004B3237">
          <w:rPr>
            <w:rStyle w:val="Hyperlink"/>
            <w:sz w:val="18"/>
            <w:szCs w:val="18"/>
          </w:rPr>
          <w:t>TBT.enquiry@dfat.gov.au</w:t>
        </w:r>
      </w:hyperlink>
    </w:p>
  </w:footnote>
  <w:footnote w:id="4">
    <w:p w:rsidR="002E244A" w:rsidRDefault="002E244A">
      <w:pPr>
        <w:pStyle w:val="FootnoteText"/>
      </w:pPr>
      <w:r w:rsidRPr="004B3237">
        <w:rPr>
          <w:rStyle w:val="FootnoteReference"/>
          <w:sz w:val="18"/>
          <w:szCs w:val="18"/>
        </w:rPr>
        <w:footnoteRef/>
      </w:r>
      <w:r w:rsidRPr="004B3237">
        <w:rPr>
          <w:sz w:val="18"/>
          <w:szCs w:val="18"/>
        </w:rPr>
        <w:t xml:space="preserve"> Department of the Prime Minister and Cabinet, Australian Government Guide to Regulation , 2014, https://www.cuttingredtape.gov.au/handbook/australian-government-guide-regulation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975"/>
    <w:multiLevelType w:val="multilevel"/>
    <w:tmpl w:val="3D5C5396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">
    <w:nsid w:val="1941785A"/>
    <w:multiLevelType w:val="multilevel"/>
    <w:tmpl w:val="8ECCD53E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2">
    <w:nsid w:val="1F901978"/>
    <w:multiLevelType w:val="multilevel"/>
    <w:tmpl w:val="AE069C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sz w:val="18"/>
      </w:rPr>
    </w:lvl>
  </w:abstractNum>
  <w:abstractNum w:abstractNumId="4">
    <w:nsid w:val="338A7FC4"/>
    <w:multiLevelType w:val="hybridMultilevel"/>
    <w:tmpl w:val="BC243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67855"/>
    <w:multiLevelType w:val="hybridMultilevel"/>
    <w:tmpl w:val="6F3490E2"/>
    <w:lvl w:ilvl="0" w:tplc="AFBC5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7">
    <w:nsid w:val="75A91828"/>
    <w:multiLevelType w:val="multilevel"/>
    <w:tmpl w:val="5040096C"/>
    <w:lvl w:ilvl="0">
      <w:start w:val="1"/>
      <w:numFmt w:val="bullet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D5"/>
    <w:rsid w:val="000129DE"/>
    <w:rsid w:val="000141A8"/>
    <w:rsid w:val="000162B9"/>
    <w:rsid w:val="000173D2"/>
    <w:rsid w:val="00032EB7"/>
    <w:rsid w:val="000415B1"/>
    <w:rsid w:val="00041A55"/>
    <w:rsid w:val="000426B6"/>
    <w:rsid w:val="00052EA8"/>
    <w:rsid w:val="00052EFB"/>
    <w:rsid w:val="00062DAB"/>
    <w:rsid w:val="000652EF"/>
    <w:rsid w:val="0006767D"/>
    <w:rsid w:val="00067FA4"/>
    <w:rsid w:val="00075921"/>
    <w:rsid w:val="00081257"/>
    <w:rsid w:val="00083817"/>
    <w:rsid w:val="000866EB"/>
    <w:rsid w:val="00092955"/>
    <w:rsid w:val="0009513C"/>
    <w:rsid w:val="00095909"/>
    <w:rsid w:val="000A037C"/>
    <w:rsid w:val="000B11A9"/>
    <w:rsid w:val="000B3367"/>
    <w:rsid w:val="000C078A"/>
    <w:rsid w:val="000D5A20"/>
    <w:rsid w:val="000D7742"/>
    <w:rsid w:val="000E50E8"/>
    <w:rsid w:val="000E6AC4"/>
    <w:rsid w:val="000E7AD0"/>
    <w:rsid w:val="000F42BD"/>
    <w:rsid w:val="00103E8E"/>
    <w:rsid w:val="00111D19"/>
    <w:rsid w:val="00111F28"/>
    <w:rsid w:val="0012260C"/>
    <w:rsid w:val="00142B60"/>
    <w:rsid w:val="00143A3D"/>
    <w:rsid w:val="001460D6"/>
    <w:rsid w:val="00151B93"/>
    <w:rsid w:val="0015371D"/>
    <w:rsid w:val="0015441C"/>
    <w:rsid w:val="00156E5C"/>
    <w:rsid w:val="001635F7"/>
    <w:rsid w:val="00163EF0"/>
    <w:rsid w:val="001652B5"/>
    <w:rsid w:val="00166DB7"/>
    <w:rsid w:val="00173815"/>
    <w:rsid w:val="00173DF8"/>
    <w:rsid w:val="00180881"/>
    <w:rsid w:val="00181083"/>
    <w:rsid w:val="00190B79"/>
    <w:rsid w:val="001A04FE"/>
    <w:rsid w:val="001A0CEC"/>
    <w:rsid w:val="001A2255"/>
    <w:rsid w:val="001A7311"/>
    <w:rsid w:val="001B1E6A"/>
    <w:rsid w:val="001B7BE0"/>
    <w:rsid w:val="001D1BCF"/>
    <w:rsid w:val="001D5677"/>
    <w:rsid w:val="001D6235"/>
    <w:rsid w:val="001E6F66"/>
    <w:rsid w:val="001F421C"/>
    <w:rsid w:val="001F4C0E"/>
    <w:rsid w:val="001F4E00"/>
    <w:rsid w:val="001F519F"/>
    <w:rsid w:val="00203487"/>
    <w:rsid w:val="002045B8"/>
    <w:rsid w:val="00205424"/>
    <w:rsid w:val="002058A8"/>
    <w:rsid w:val="00217CE1"/>
    <w:rsid w:val="00227AA4"/>
    <w:rsid w:val="00227C8B"/>
    <w:rsid w:val="00231E88"/>
    <w:rsid w:val="00234FAA"/>
    <w:rsid w:val="00235680"/>
    <w:rsid w:val="0023725F"/>
    <w:rsid w:val="002373EB"/>
    <w:rsid w:val="00237F70"/>
    <w:rsid w:val="00252587"/>
    <w:rsid w:val="00252D54"/>
    <w:rsid w:val="0025579E"/>
    <w:rsid w:val="00256378"/>
    <w:rsid w:val="00256FCA"/>
    <w:rsid w:val="00257B91"/>
    <w:rsid w:val="0026314A"/>
    <w:rsid w:val="002634AC"/>
    <w:rsid w:val="00265545"/>
    <w:rsid w:val="00270154"/>
    <w:rsid w:val="00274C3B"/>
    <w:rsid w:val="00283FE7"/>
    <w:rsid w:val="00286919"/>
    <w:rsid w:val="00291111"/>
    <w:rsid w:val="0029383C"/>
    <w:rsid w:val="002976A5"/>
    <w:rsid w:val="002A0BC8"/>
    <w:rsid w:val="002A245A"/>
    <w:rsid w:val="002B7358"/>
    <w:rsid w:val="002D502C"/>
    <w:rsid w:val="002E244A"/>
    <w:rsid w:val="002E5839"/>
    <w:rsid w:val="002F182D"/>
    <w:rsid w:val="002F3847"/>
    <w:rsid w:val="002F3F06"/>
    <w:rsid w:val="002F7E11"/>
    <w:rsid w:val="00303875"/>
    <w:rsid w:val="003039F8"/>
    <w:rsid w:val="00315891"/>
    <w:rsid w:val="0032318F"/>
    <w:rsid w:val="0032564B"/>
    <w:rsid w:val="00331E8C"/>
    <w:rsid w:val="003341F0"/>
    <w:rsid w:val="00344A74"/>
    <w:rsid w:val="00356B24"/>
    <w:rsid w:val="003661EC"/>
    <w:rsid w:val="003707CB"/>
    <w:rsid w:val="00377374"/>
    <w:rsid w:val="00387110"/>
    <w:rsid w:val="00391C51"/>
    <w:rsid w:val="00393E22"/>
    <w:rsid w:val="003969F7"/>
    <w:rsid w:val="003A3DF7"/>
    <w:rsid w:val="003A5AF5"/>
    <w:rsid w:val="003A64D7"/>
    <w:rsid w:val="003B5EA3"/>
    <w:rsid w:val="003C02A6"/>
    <w:rsid w:val="003C0627"/>
    <w:rsid w:val="003C1161"/>
    <w:rsid w:val="003C1945"/>
    <w:rsid w:val="003C5B53"/>
    <w:rsid w:val="003C6CDC"/>
    <w:rsid w:val="003D28EE"/>
    <w:rsid w:val="003E6DA5"/>
    <w:rsid w:val="0041448D"/>
    <w:rsid w:val="0041775C"/>
    <w:rsid w:val="004213DA"/>
    <w:rsid w:val="00445D65"/>
    <w:rsid w:val="00450C08"/>
    <w:rsid w:val="00466C2E"/>
    <w:rsid w:val="0047081E"/>
    <w:rsid w:val="00474B74"/>
    <w:rsid w:val="00495566"/>
    <w:rsid w:val="00497089"/>
    <w:rsid w:val="004A02E0"/>
    <w:rsid w:val="004A2498"/>
    <w:rsid w:val="004A4C33"/>
    <w:rsid w:val="004B2C95"/>
    <w:rsid w:val="004B3237"/>
    <w:rsid w:val="004C4257"/>
    <w:rsid w:val="004C5DA4"/>
    <w:rsid w:val="004D46D0"/>
    <w:rsid w:val="004D57E3"/>
    <w:rsid w:val="004D62C4"/>
    <w:rsid w:val="004E390F"/>
    <w:rsid w:val="004F121D"/>
    <w:rsid w:val="004F504E"/>
    <w:rsid w:val="00502366"/>
    <w:rsid w:val="00503C97"/>
    <w:rsid w:val="005074CF"/>
    <w:rsid w:val="00513344"/>
    <w:rsid w:val="00513E15"/>
    <w:rsid w:val="00516483"/>
    <w:rsid w:val="00516EE6"/>
    <w:rsid w:val="005224C0"/>
    <w:rsid w:val="00536464"/>
    <w:rsid w:val="00536998"/>
    <w:rsid w:val="0054142C"/>
    <w:rsid w:val="00545B6E"/>
    <w:rsid w:val="00554860"/>
    <w:rsid w:val="005601DF"/>
    <w:rsid w:val="0056743B"/>
    <w:rsid w:val="005871DD"/>
    <w:rsid w:val="00587A46"/>
    <w:rsid w:val="005B36E0"/>
    <w:rsid w:val="005B4644"/>
    <w:rsid w:val="005C10A7"/>
    <w:rsid w:val="005C1340"/>
    <w:rsid w:val="005C1362"/>
    <w:rsid w:val="005C3D38"/>
    <w:rsid w:val="005C5C58"/>
    <w:rsid w:val="005D16F0"/>
    <w:rsid w:val="005D31E0"/>
    <w:rsid w:val="005E169F"/>
    <w:rsid w:val="005F53D8"/>
    <w:rsid w:val="00604BC9"/>
    <w:rsid w:val="00614E2E"/>
    <w:rsid w:val="0061510E"/>
    <w:rsid w:val="00622866"/>
    <w:rsid w:val="00626962"/>
    <w:rsid w:val="00626EDE"/>
    <w:rsid w:val="00641828"/>
    <w:rsid w:val="00662CD7"/>
    <w:rsid w:val="0066470A"/>
    <w:rsid w:val="0066644D"/>
    <w:rsid w:val="006802B8"/>
    <w:rsid w:val="00686608"/>
    <w:rsid w:val="006A00B2"/>
    <w:rsid w:val="006A37BB"/>
    <w:rsid w:val="006B5D37"/>
    <w:rsid w:val="006D674E"/>
    <w:rsid w:val="006E5543"/>
    <w:rsid w:val="006E76BD"/>
    <w:rsid w:val="006F18DE"/>
    <w:rsid w:val="006F7AC3"/>
    <w:rsid w:val="007019FC"/>
    <w:rsid w:val="007044E8"/>
    <w:rsid w:val="00704A3D"/>
    <w:rsid w:val="00711314"/>
    <w:rsid w:val="00711ADF"/>
    <w:rsid w:val="00725CE6"/>
    <w:rsid w:val="00727EA1"/>
    <w:rsid w:val="00732B66"/>
    <w:rsid w:val="00736930"/>
    <w:rsid w:val="00740380"/>
    <w:rsid w:val="00742F66"/>
    <w:rsid w:val="00745C1E"/>
    <w:rsid w:val="00747A0A"/>
    <w:rsid w:val="00752812"/>
    <w:rsid w:val="00756B3A"/>
    <w:rsid w:val="00756FDF"/>
    <w:rsid w:val="00757C6A"/>
    <w:rsid w:val="0078039C"/>
    <w:rsid w:val="00780B9A"/>
    <w:rsid w:val="00791410"/>
    <w:rsid w:val="007A0504"/>
    <w:rsid w:val="007A58EE"/>
    <w:rsid w:val="007B1837"/>
    <w:rsid w:val="007B69C1"/>
    <w:rsid w:val="007D07EE"/>
    <w:rsid w:val="007D5B61"/>
    <w:rsid w:val="007D7DE9"/>
    <w:rsid w:val="007E287A"/>
    <w:rsid w:val="007E4462"/>
    <w:rsid w:val="007E57A6"/>
    <w:rsid w:val="007F04E4"/>
    <w:rsid w:val="007F093D"/>
    <w:rsid w:val="007F3DB1"/>
    <w:rsid w:val="007F5ADA"/>
    <w:rsid w:val="007F697F"/>
    <w:rsid w:val="00801492"/>
    <w:rsid w:val="00817CB5"/>
    <w:rsid w:val="00822777"/>
    <w:rsid w:val="008235E4"/>
    <w:rsid w:val="00823C4C"/>
    <w:rsid w:val="00824BFB"/>
    <w:rsid w:val="00827FE0"/>
    <w:rsid w:val="0084061F"/>
    <w:rsid w:val="00850C06"/>
    <w:rsid w:val="008517A9"/>
    <w:rsid w:val="008517B8"/>
    <w:rsid w:val="008536ED"/>
    <w:rsid w:val="0085721A"/>
    <w:rsid w:val="00864B5E"/>
    <w:rsid w:val="00867168"/>
    <w:rsid w:val="00871296"/>
    <w:rsid w:val="0087505C"/>
    <w:rsid w:val="008A1727"/>
    <w:rsid w:val="008A62C9"/>
    <w:rsid w:val="008B3726"/>
    <w:rsid w:val="008B3CD8"/>
    <w:rsid w:val="008B43EB"/>
    <w:rsid w:val="008B664F"/>
    <w:rsid w:val="008C383F"/>
    <w:rsid w:val="008D510E"/>
    <w:rsid w:val="008D584A"/>
    <w:rsid w:val="008E001F"/>
    <w:rsid w:val="008E0F81"/>
    <w:rsid w:val="008E12A5"/>
    <w:rsid w:val="008E57DA"/>
    <w:rsid w:val="008F4D4A"/>
    <w:rsid w:val="008F668B"/>
    <w:rsid w:val="00902408"/>
    <w:rsid w:val="00902463"/>
    <w:rsid w:val="00904488"/>
    <w:rsid w:val="00904FC7"/>
    <w:rsid w:val="00911D03"/>
    <w:rsid w:val="00913F38"/>
    <w:rsid w:val="00916D23"/>
    <w:rsid w:val="00921917"/>
    <w:rsid w:val="00933317"/>
    <w:rsid w:val="00936E4E"/>
    <w:rsid w:val="009372DA"/>
    <w:rsid w:val="009431C9"/>
    <w:rsid w:val="00945F48"/>
    <w:rsid w:val="00946B9B"/>
    <w:rsid w:val="0094782D"/>
    <w:rsid w:val="00951F7D"/>
    <w:rsid w:val="00952ED4"/>
    <w:rsid w:val="009554ED"/>
    <w:rsid w:val="00955909"/>
    <w:rsid w:val="00957C2D"/>
    <w:rsid w:val="00964D49"/>
    <w:rsid w:val="009666D9"/>
    <w:rsid w:val="009733CC"/>
    <w:rsid w:val="009764E5"/>
    <w:rsid w:val="00977A83"/>
    <w:rsid w:val="00983E53"/>
    <w:rsid w:val="009950C9"/>
    <w:rsid w:val="00997BE9"/>
    <w:rsid w:val="00997F26"/>
    <w:rsid w:val="009A46F6"/>
    <w:rsid w:val="009A52BF"/>
    <w:rsid w:val="009A5471"/>
    <w:rsid w:val="009A6D3F"/>
    <w:rsid w:val="009A7E40"/>
    <w:rsid w:val="009C2F05"/>
    <w:rsid w:val="009C30E9"/>
    <w:rsid w:val="009C410E"/>
    <w:rsid w:val="009D5E80"/>
    <w:rsid w:val="009E1831"/>
    <w:rsid w:val="009E50C1"/>
    <w:rsid w:val="009F19A3"/>
    <w:rsid w:val="009F6FFB"/>
    <w:rsid w:val="00A05479"/>
    <w:rsid w:val="00A07243"/>
    <w:rsid w:val="00A13B8E"/>
    <w:rsid w:val="00A14383"/>
    <w:rsid w:val="00A14831"/>
    <w:rsid w:val="00A15ABE"/>
    <w:rsid w:val="00A24B15"/>
    <w:rsid w:val="00A35C2D"/>
    <w:rsid w:val="00A40604"/>
    <w:rsid w:val="00A41709"/>
    <w:rsid w:val="00A45B88"/>
    <w:rsid w:val="00A462EC"/>
    <w:rsid w:val="00A51F87"/>
    <w:rsid w:val="00A54FFD"/>
    <w:rsid w:val="00A63BFB"/>
    <w:rsid w:val="00A7141C"/>
    <w:rsid w:val="00A76506"/>
    <w:rsid w:val="00A90B4D"/>
    <w:rsid w:val="00A936C1"/>
    <w:rsid w:val="00A96C9A"/>
    <w:rsid w:val="00A97EE1"/>
    <w:rsid w:val="00AC1112"/>
    <w:rsid w:val="00AC1993"/>
    <w:rsid w:val="00AC3954"/>
    <w:rsid w:val="00AD0680"/>
    <w:rsid w:val="00AE5355"/>
    <w:rsid w:val="00AE6982"/>
    <w:rsid w:val="00AF07E9"/>
    <w:rsid w:val="00AF1DB6"/>
    <w:rsid w:val="00AF7F7A"/>
    <w:rsid w:val="00B016FC"/>
    <w:rsid w:val="00B06EB0"/>
    <w:rsid w:val="00B07250"/>
    <w:rsid w:val="00B136CE"/>
    <w:rsid w:val="00B16C6D"/>
    <w:rsid w:val="00B237FE"/>
    <w:rsid w:val="00B32AC5"/>
    <w:rsid w:val="00B42671"/>
    <w:rsid w:val="00B50B3A"/>
    <w:rsid w:val="00B514CD"/>
    <w:rsid w:val="00B53193"/>
    <w:rsid w:val="00B62778"/>
    <w:rsid w:val="00B644A6"/>
    <w:rsid w:val="00B6554A"/>
    <w:rsid w:val="00B67762"/>
    <w:rsid w:val="00B706B7"/>
    <w:rsid w:val="00B8636F"/>
    <w:rsid w:val="00B94FC5"/>
    <w:rsid w:val="00BA1978"/>
    <w:rsid w:val="00BB04B0"/>
    <w:rsid w:val="00BC231A"/>
    <w:rsid w:val="00BD3917"/>
    <w:rsid w:val="00BD7198"/>
    <w:rsid w:val="00BF0198"/>
    <w:rsid w:val="00BF7ECC"/>
    <w:rsid w:val="00C001B1"/>
    <w:rsid w:val="00C028D3"/>
    <w:rsid w:val="00C07ABF"/>
    <w:rsid w:val="00C16C84"/>
    <w:rsid w:val="00C171D5"/>
    <w:rsid w:val="00C17DEB"/>
    <w:rsid w:val="00C27E84"/>
    <w:rsid w:val="00C31503"/>
    <w:rsid w:val="00C36A54"/>
    <w:rsid w:val="00C44470"/>
    <w:rsid w:val="00C46030"/>
    <w:rsid w:val="00C5592D"/>
    <w:rsid w:val="00C60D55"/>
    <w:rsid w:val="00C63233"/>
    <w:rsid w:val="00C63A5F"/>
    <w:rsid w:val="00C647E1"/>
    <w:rsid w:val="00C679AD"/>
    <w:rsid w:val="00C701D1"/>
    <w:rsid w:val="00C71C82"/>
    <w:rsid w:val="00C77AE4"/>
    <w:rsid w:val="00C804BD"/>
    <w:rsid w:val="00C87453"/>
    <w:rsid w:val="00C962B1"/>
    <w:rsid w:val="00C97D0F"/>
    <w:rsid w:val="00CA63AF"/>
    <w:rsid w:val="00CA7454"/>
    <w:rsid w:val="00CB1E3F"/>
    <w:rsid w:val="00CB32F9"/>
    <w:rsid w:val="00CB6F58"/>
    <w:rsid w:val="00CC4A3F"/>
    <w:rsid w:val="00CD58C2"/>
    <w:rsid w:val="00CE5EB9"/>
    <w:rsid w:val="00CF0A1F"/>
    <w:rsid w:val="00CF201F"/>
    <w:rsid w:val="00CF5720"/>
    <w:rsid w:val="00CF634D"/>
    <w:rsid w:val="00CF7699"/>
    <w:rsid w:val="00D03DA8"/>
    <w:rsid w:val="00D12A8C"/>
    <w:rsid w:val="00D12F46"/>
    <w:rsid w:val="00D15ED0"/>
    <w:rsid w:val="00D20567"/>
    <w:rsid w:val="00D217A4"/>
    <w:rsid w:val="00D34189"/>
    <w:rsid w:val="00D34B3F"/>
    <w:rsid w:val="00D44C6E"/>
    <w:rsid w:val="00D64185"/>
    <w:rsid w:val="00D66642"/>
    <w:rsid w:val="00D6764A"/>
    <w:rsid w:val="00D71F7F"/>
    <w:rsid w:val="00D73771"/>
    <w:rsid w:val="00D813FE"/>
    <w:rsid w:val="00D922F9"/>
    <w:rsid w:val="00D95827"/>
    <w:rsid w:val="00D95EDC"/>
    <w:rsid w:val="00DB1B60"/>
    <w:rsid w:val="00DB21E4"/>
    <w:rsid w:val="00DC181E"/>
    <w:rsid w:val="00DC1D46"/>
    <w:rsid w:val="00DD3E93"/>
    <w:rsid w:val="00DE2AFD"/>
    <w:rsid w:val="00DE4B15"/>
    <w:rsid w:val="00DF2440"/>
    <w:rsid w:val="00DF2640"/>
    <w:rsid w:val="00DF4DD6"/>
    <w:rsid w:val="00E0147A"/>
    <w:rsid w:val="00E017E0"/>
    <w:rsid w:val="00E07D45"/>
    <w:rsid w:val="00E10A73"/>
    <w:rsid w:val="00E201A6"/>
    <w:rsid w:val="00E4420B"/>
    <w:rsid w:val="00E52D9A"/>
    <w:rsid w:val="00E53120"/>
    <w:rsid w:val="00E57BB1"/>
    <w:rsid w:val="00E63464"/>
    <w:rsid w:val="00E64345"/>
    <w:rsid w:val="00E67694"/>
    <w:rsid w:val="00E71D6F"/>
    <w:rsid w:val="00E739EF"/>
    <w:rsid w:val="00E905D2"/>
    <w:rsid w:val="00E91403"/>
    <w:rsid w:val="00EB668E"/>
    <w:rsid w:val="00EC1624"/>
    <w:rsid w:val="00EC6975"/>
    <w:rsid w:val="00EC7B79"/>
    <w:rsid w:val="00EF2CF6"/>
    <w:rsid w:val="00EF6A9B"/>
    <w:rsid w:val="00F12016"/>
    <w:rsid w:val="00F17912"/>
    <w:rsid w:val="00F20B29"/>
    <w:rsid w:val="00F21F63"/>
    <w:rsid w:val="00F22CB4"/>
    <w:rsid w:val="00F27A63"/>
    <w:rsid w:val="00F40D38"/>
    <w:rsid w:val="00F42EF6"/>
    <w:rsid w:val="00F46D07"/>
    <w:rsid w:val="00F47F13"/>
    <w:rsid w:val="00F65EFB"/>
    <w:rsid w:val="00F73854"/>
    <w:rsid w:val="00F73E9D"/>
    <w:rsid w:val="00F75E17"/>
    <w:rsid w:val="00F83568"/>
    <w:rsid w:val="00F855AA"/>
    <w:rsid w:val="00FA26E1"/>
    <w:rsid w:val="00FA569E"/>
    <w:rsid w:val="00FB1832"/>
    <w:rsid w:val="00FC0D04"/>
    <w:rsid w:val="00FC34BB"/>
    <w:rsid w:val="00FC383F"/>
    <w:rsid w:val="00FD1096"/>
    <w:rsid w:val="00FD5173"/>
    <w:rsid w:val="00FD59A3"/>
    <w:rsid w:val="00FD5F00"/>
    <w:rsid w:val="00FD65BE"/>
    <w:rsid w:val="00FE1EE2"/>
    <w:rsid w:val="00FE2425"/>
    <w:rsid w:val="00FE3EE8"/>
    <w:rsid w:val="00FE42B6"/>
    <w:rsid w:val="00FE4D68"/>
    <w:rsid w:val="00FF3689"/>
    <w:rsid w:val="00FF561E"/>
    <w:rsid w:val="00FF66EC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71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71D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17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71D5"/>
    <w:rPr>
      <w:sz w:val="24"/>
      <w:szCs w:val="24"/>
      <w:lang w:eastAsia="en-US"/>
    </w:rPr>
  </w:style>
  <w:style w:type="paragraph" w:customStyle="1" w:styleId="Box">
    <w:name w:val="Box"/>
    <w:basedOn w:val="BodyText"/>
    <w:qFormat/>
    <w:rsid w:val="00C171D5"/>
    <w:pPr>
      <w:keepNext/>
      <w:spacing w:before="120" w:after="0" w:line="260" w:lineRule="atLeast"/>
      <w:jc w:val="both"/>
    </w:pPr>
    <w:rPr>
      <w:rFonts w:ascii="Arial" w:hAnsi="Arial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C17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71D5"/>
    <w:rPr>
      <w:sz w:val="24"/>
      <w:szCs w:val="24"/>
      <w:lang w:eastAsia="en-US"/>
    </w:rPr>
  </w:style>
  <w:style w:type="character" w:customStyle="1" w:styleId="BoxSpaceAboveElementChar">
    <w:name w:val="Box Space Above Element Char"/>
    <w:basedOn w:val="DefaultParagraphFont"/>
    <w:link w:val="BoxSpaceAboveElement"/>
    <w:locked/>
    <w:rsid w:val="00C171D5"/>
    <w:rPr>
      <w:b/>
      <w:vanish/>
      <w:color w:val="FF00FF"/>
      <w:sz w:val="14"/>
    </w:rPr>
  </w:style>
  <w:style w:type="paragraph" w:customStyle="1" w:styleId="BoxSpaceAboveElement">
    <w:name w:val="Box Space Above Element"/>
    <w:basedOn w:val="Normal"/>
    <w:link w:val="BoxSpaceAboveElementChar"/>
    <w:qFormat/>
    <w:rsid w:val="00C171D5"/>
    <w:pPr>
      <w:keepNext/>
      <w:spacing w:before="240" w:line="80" w:lineRule="exact"/>
    </w:pPr>
    <w:rPr>
      <w:b/>
      <w:vanish/>
      <w:color w:val="FF00FF"/>
      <w:sz w:val="14"/>
      <w:szCs w:val="20"/>
      <w:lang w:eastAsia="en-AU"/>
    </w:rPr>
  </w:style>
  <w:style w:type="paragraph" w:styleId="ListBullet">
    <w:name w:val="List Bullet"/>
    <w:basedOn w:val="BodyText"/>
    <w:unhideWhenUsed/>
    <w:rsid w:val="0056743B"/>
    <w:pPr>
      <w:numPr>
        <w:numId w:val="1"/>
      </w:numPr>
      <w:tabs>
        <w:tab w:val="clear" w:pos="340"/>
        <w:tab w:val="num" w:pos="360"/>
      </w:tabs>
      <w:spacing w:before="120" w:after="0" w:line="300" w:lineRule="atLeast"/>
      <w:ind w:left="0" w:firstLine="0"/>
      <w:jc w:val="both"/>
    </w:pPr>
    <w:rPr>
      <w:szCs w:val="20"/>
      <w:lang w:eastAsia="en-AU"/>
    </w:rPr>
  </w:style>
  <w:style w:type="paragraph" w:styleId="BalloonText">
    <w:name w:val="Balloon Text"/>
    <w:basedOn w:val="Normal"/>
    <w:link w:val="BalloonTextChar"/>
    <w:rsid w:val="0009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513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1D6235"/>
  </w:style>
  <w:style w:type="paragraph" w:styleId="FootnoteText">
    <w:name w:val="footnote text"/>
    <w:basedOn w:val="Normal"/>
    <w:link w:val="FootnoteTextChar"/>
    <w:rsid w:val="001D62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D6235"/>
    <w:rPr>
      <w:lang w:eastAsia="en-US"/>
    </w:rPr>
  </w:style>
  <w:style w:type="character" w:styleId="FootnoteReference">
    <w:name w:val="footnote reference"/>
    <w:basedOn w:val="DefaultParagraphFont"/>
    <w:rsid w:val="001D623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D6235"/>
    <w:rPr>
      <w:i/>
      <w:iCs/>
    </w:rPr>
  </w:style>
  <w:style w:type="character" w:styleId="Hyperlink">
    <w:name w:val="Hyperlink"/>
    <w:basedOn w:val="DefaultParagraphFont"/>
    <w:uiPriority w:val="99"/>
    <w:unhideWhenUsed/>
    <w:rsid w:val="001D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5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44E8"/>
    <w:pPr>
      <w:spacing w:before="100" w:beforeAutospacing="1" w:after="100" w:afterAutospacing="1"/>
    </w:pPr>
    <w:rPr>
      <w:lang w:eastAsia="en-AU"/>
    </w:rPr>
  </w:style>
  <w:style w:type="paragraph" w:customStyle="1" w:styleId="BoxListBullet">
    <w:name w:val="Box List Bullet"/>
    <w:basedOn w:val="BodyText"/>
    <w:rsid w:val="008E001F"/>
    <w:pPr>
      <w:keepNext/>
      <w:numPr>
        <w:numId w:val="4"/>
      </w:numPr>
      <w:tabs>
        <w:tab w:val="clear" w:pos="426"/>
        <w:tab w:val="num" w:pos="284"/>
      </w:tabs>
      <w:spacing w:before="100" w:after="0" w:line="260" w:lineRule="atLeast"/>
      <w:ind w:left="284"/>
      <w:jc w:val="both"/>
    </w:pPr>
    <w:rPr>
      <w:rFonts w:ascii="Arial" w:hAnsi="Arial"/>
      <w:sz w:val="20"/>
      <w:szCs w:val="20"/>
      <w:lang w:eastAsia="en-AU"/>
    </w:rPr>
  </w:style>
  <w:style w:type="paragraph" w:customStyle="1" w:styleId="paranormaltext">
    <w:name w:val="paranormaltext"/>
    <w:basedOn w:val="Normal"/>
    <w:rsid w:val="00DC181E"/>
    <w:pPr>
      <w:spacing w:before="100" w:beforeAutospacing="1" w:after="100" w:afterAutospacing="1"/>
    </w:pPr>
    <w:rPr>
      <w:lang w:eastAsia="en-AU"/>
    </w:rPr>
  </w:style>
  <w:style w:type="paragraph" w:customStyle="1" w:styleId="kickertext">
    <w:name w:val="kickertext"/>
    <w:basedOn w:val="Normal"/>
    <w:rsid w:val="00A07243"/>
    <w:pPr>
      <w:spacing w:before="100" w:beforeAutospacing="1" w:after="100" w:afterAutospacing="1"/>
    </w:pPr>
    <w:rPr>
      <w:lang w:eastAsia="en-AU"/>
    </w:rPr>
  </w:style>
  <w:style w:type="character" w:styleId="Strong">
    <w:name w:val="Strong"/>
    <w:basedOn w:val="DefaultParagraphFont"/>
    <w:uiPriority w:val="22"/>
    <w:qFormat/>
    <w:rsid w:val="00A07243"/>
    <w:rPr>
      <w:b/>
      <w:bCs/>
    </w:rPr>
  </w:style>
  <w:style w:type="paragraph" w:customStyle="1" w:styleId="pagetitletext">
    <w:name w:val="pagetitletext"/>
    <w:basedOn w:val="Normal"/>
    <w:rsid w:val="00A07243"/>
    <w:pPr>
      <w:spacing w:before="100" w:beforeAutospacing="1" w:after="100" w:afterAutospacing="1"/>
    </w:pPr>
    <w:rPr>
      <w:lang w:eastAsia="en-AU"/>
    </w:rPr>
  </w:style>
  <w:style w:type="paragraph" w:customStyle="1" w:styleId="Default">
    <w:name w:val="Default"/>
    <w:rsid w:val="00946B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ad">
    <w:name w:val="lead"/>
    <w:basedOn w:val="Normal"/>
    <w:rsid w:val="00E201A6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basedOn w:val="DefaultParagraphFont"/>
    <w:semiHidden/>
    <w:unhideWhenUsed/>
    <w:rsid w:val="00D958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58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58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5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582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71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71D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171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71D5"/>
    <w:rPr>
      <w:sz w:val="24"/>
      <w:szCs w:val="24"/>
      <w:lang w:eastAsia="en-US"/>
    </w:rPr>
  </w:style>
  <w:style w:type="paragraph" w:customStyle="1" w:styleId="Box">
    <w:name w:val="Box"/>
    <w:basedOn w:val="BodyText"/>
    <w:qFormat/>
    <w:rsid w:val="00C171D5"/>
    <w:pPr>
      <w:keepNext/>
      <w:spacing w:before="120" w:after="0" w:line="260" w:lineRule="atLeast"/>
      <w:jc w:val="both"/>
    </w:pPr>
    <w:rPr>
      <w:rFonts w:ascii="Arial" w:hAnsi="Arial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C17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71D5"/>
    <w:rPr>
      <w:sz w:val="24"/>
      <w:szCs w:val="24"/>
      <w:lang w:eastAsia="en-US"/>
    </w:rPr>
  </w:style>
  <w:style w:type="character" w:customStyle="1" w:styleId="BoxSpaceAboveElementChar">
    <w:name w:val="Box Space Above Element Char"/>
    <w:basedOn w:val="DefaultParagraphFont"/>
    <w:link w:val="BoxSpaceAboveElement"/>
    <w:locked/>
    <w:rsid w:val="00C171D5"/>
    <w:rPr>
      <w:b/>
      <w:vanish/>
      <w:color w:val="FF00FF"/>
      <w:sz w:val="14"/>
    </w:rPr>
  </w:style>
  <w:style w:type="paragraph" w:customStyle="1" w:styleId="BoxSpaceAboveElement">
    <w:name w:val="Box Space Above Element"/>
    <w:basedOn w:val="Normal"/>
    <w:link w:val="BoxSpaceAboveElementChar"/>
    <w:qFormat/>
    <w:rsid w:val="00C171D5"/>
    <w:pPr>
      <w:keepNext/>
      <w:spacing w:before="240" w:line="80" w:lineRule="exact"/>
    </w:pPr>
    <w:rPr>
      <w:b/>
      <w:vanish/>
      <w:color w:val="FF00FF"/>
      <w:sz w:val="14"/>
      <w:szCs w:val="20"/>
      <w:lang w:eastAsia="en-AU"/>
    </w:rPr>
  </w:style>
  <w:style w:type="paragraph" w:styleId="ListBullet">
    <w:name w:val="List Bullet"/>
    <w:basedOn w:val="BodyText"/>
    <w:unhideWhenUsed/>
    <w:rsid w:val="0056743B"/>
    <w:pPr>
      <w:numPr>
        <w:numId w:val="1"/>
      </w:numPr>
      <w:tabs>
        <w:tab w:val="clear" w:pos="340"/>
        <w:tab w:val="num" w:pos="360"/>
      </w:tabs>
      <w:spacing w:before="120" w:after="0" w:line="300" w:lineRule="atLeast"/>
      <w:ind w:left="0" w:firstLine="0"/>
      <w:jc w:val="both"/>
    </w:pPr>
    <w:rPr>
      <w:szCs w:val="20"/>
      <w:lang w:eastAsia="en-AU"/>
    </w:rPr>
  </w:style>
  <w:style w:type="paragraph" w:styleId="BalloonText">
    <w:name w:val="Balloon Text"/>
    <w:basedOn w:val="Normal"/>
    <w:link w:val="BalloonTextChar"/>
    <w:rsid w:val="0009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513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1D6235"/>
  </w:style>
  <w:style w:type="paragraph" w:styleId="FootnoteText">
    <w:name w:val="footnote text"/>
    <w:basedOn w:val="Normal"/>
    <w:link w:val="FootnoteTextChar"/>
    <w:rsid w:val="001D62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D6235"/>
    <w:rPr>
      <w:lang w:eastAsia="en-US"/>
    </w:rPr>
  </w:style>
  <w:style w:type="character" w:styleId="FootnoteReference">
    <w:name w:val="footnote reference"/>
    <w:basedOn w:val="DefaultParagraphFont"/>
    <w:rsid w:val="001D6235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D6235"/>
    <w:rPr>
      <w:i/>
      <w:iCs/>
    </w:rPr>
  </w:style>
  <w:style w:type="character" w:styleId="Hyperlink">
    <w:name w:val="Hyperlink"/>
    <w:basedOn w:val="DefaultParagraphFont"/>
    <w:uiPriority w:val="99"/>
    <w:unhideWhenUsed/>
    <w:rsid w:val="001D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5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44E8"/>
    <w:pPr>
      <w:spacing w:before="100" w:beforeAutospacing="1" w:after="100" w:afterAutospacing="1"/>
    </w:pPr>
    <w:rPr>
      <w:lang w:eastAsia="en-AU"/>
    </w:rPr>
  </w:style>
  <w:style w:type="paragraph" w:customStyle="1" w:styleId="BoxListBullet">
    <w:name w:val="Box List Bullet"/>
    <w:basedOn w:val="BodyText"/>
    <w:rsid w:val="008E001F"/>
    <w:pPr>
      <w:keepNext/>
      <w:numPr>
        <w:numId w:val="4"/>
      </w:numPr>
      <w:tabs>
        <w:tab w:val="clear" w:pos="426"/>
        <w:tab w:val="num" w:pos="284"/>
      </w:tabs>
      <w:spacing w:before="100" w:after="0" w:line="260" w:lineRule="atLeast"/>
      <w:ind w:left="284"/>
      <w:jc w:val="both"/>
    </w:pPr>
    <w:rPr>
      <w:rFonts w:ascii="Arial" w:hAnsi="Arial"/>
      <w:sz w:val="20"/>
      <w:szCs w:val="20"/>
      <w:lang w:eastAsia="en-AU"/>
    </w:rPr>
  </w:style>
  <w:style w:type="paragraph" w:customStyle="1" w:styleId="paranormaltext">
    <w:name w:val="paranormaltext"/>
    <w:basedOn w:val="Normal"/>
    <w:rsid w:val="00DC181E"/>
    <w:pPr>
      <w:spacing w:before="100" w:beforeAutospacing="1" w:after="100" w:afterAutospacing="1"/>
    </w:pPr>
    <w:rPr>
      <w:lang w:eastAsia="en-AU"/>
    </w:rPr>
  </w:style>
  <w:style w:type="paragraph" w:customStyle="1" w:styleId="kickertext">
    <w:name w:val="kickertext"/>
    <w:basedOn w:val="Normal"/>
    <w:rsid w:val="00A07243"/>
    <w:pPr>
      <w:spacing w:before="100" w:beforeAutospacing="1" w:after="100" w:afterAutospacing="1"/>
    </w:pPr>
    <w:rPr>
      <w:lang w:eastAsia="en-AU"/>
    </w:rPr>
  </w:style>
  <w:style w:type="character" w:styleId="Strong">
    <w:name w:val="Strong"/>
    <w:basedOn w:val="DefaultParagraphFont"/>
    <w:uiPriority w:val="22"/>
    <w:qFormat/>
    <w:rsid w:val="00A07243"/>
    <w:rPr>
      <w:b/>
      <w:bCs/>
    </w:rPr>
  </w:style>
  <w:style w:type="paragraph" w:customStyle="1" w:styleId="pagetitletext">
    <w:name w:val="pagetitletext"/>
    <w:basedOn w:val="Normal"/>
    <w:rsid w:val="00A07243"/>
    <w:pPr>
      <w:spacing w:before="100" w:beforeAutospacing="1" w:after="100" w:afterAutospacing="1"/>
    </w:pPr>
    <w:rPr>
      <w:lang w:eastAsia="en-AU"/>
    </w:rPr>
  </w:style>
  <w:style w:type="paragraph" w:customStyle="1" w:styleId="Default">
    <w:name w:val="Default"/>
    <w:rsid w:val="00946B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ad">
    <w:name w:val="lead"/>
    <w:basedOn w:val="Normal"/>
    <w:rsid w:val="00E201A6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basedOn w:val="DefaultParagraphFont"/>
    <w:semiHidden/>
    <w:unhideWhenUsed/>
    <w:rsid w:val="00D958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58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58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5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582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0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5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5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36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TBT.enquiry@dfa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AA582-C69D-4676-9A58-183205ED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29 - Department of Foreign Affairs and Trade - Consumer Law Enforcement and Administration - Commissioned study</vt:lpstr>
    </vt:vector>
  </TitlesOfParts>
  <Company>Department of Foreign Affairs and Trade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29 - Department of Foreign Affairs and Trade - Consumer Law Enforcement and Administration - Commissioned study</dc:title>
  <dc:creator>Department of Foreign Affairs and Trade</dc:creator>
  <cp:lastModifiedBy>Productivity Commission</cp:lastModifiedBy>
  <cp:revision>3</cp:revision>
  <cp:lastPrinted>2016-09-13T07:33:00Z</cp:lastPrinted>
  <dcterms:created xsi:type="dcterms:W3CDTF">2016-09-15T00:00:00Z</dcterms:created>
  <dcterms:modified xsi:type="dcterms:W3CDTF">2016-09-19T01:01:00Z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4e0a7d84-9573-43a9-b143-2226a9f0bc96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