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9C" w:rsidRDefault="005A0C9C" w:rsidP="00A53BF0">
      <w:pPr>
        <w:rPr>
          <w:rFonts w:ascii="Arial" w:hAnsi="Arial" w:cs="Arial"/>
          <w:b/>
          <w:sz w:val="28"/>
          <w:szCs w:val="28"/>
        </w:rPr>
      </w:pPr>
    </w:p>
    <w:p w:rsidR="005A0C9C" w:rsidRDefault="005A0C9C" w:rsidP="00041DEB">
      <w:pPr>
        <w:jc w:val="center"/>
        <w:rPr>
          <w:rFonts w:ascii="Arial" w:hAnsi="Arial" w:cs="Arial"/>
          <w:b/>
          <w:sz w:val="28"/>
          <w:szCs w:val="28"/>
        </w:rPr>
      </w:pPr>
    </w:p>
    <w:sdt>
      <w:sdtPr>
        <w:rPr>
          <w:rFonts w:ascii="Times New Roman" w:hAnsi="Times New Roman"/>
          <w:b w:val="0"/>
          <w:bCs w:val="0"/>
          <w:color w:val="auto"/>
          <w:sz w:val="24"/>
          <w:szCs w:val="24"/>
          <w:lang w:val="en-AU"/>
        </w:rPr>
        <w:id w:val="-1581895543"/>
        <w:docPartObj>
          <w:docPartGallery w:val="Table of Contents"/>
          <w:docPartUnique/>
        </w:docPartObj>
      </w:sdtPr>
      <w:sdtEndPr>
        <w:rPr>
          <w:noProof/>
        </w:rPr>
      </w:sdtEndPr>
      <w:sdtContent>
        <w:p w:rsidR="006B7B7A" w:rsidRPr="00027D0F" w:rsidRDefault="006B7B7A" w:rsidP="00A53BF0">
          <w:pPr>
            <w:pStyle w:val="TOCHeading"/>
            <w:jc w:val="center"/>
            <w:rPr>
              <w:rFonts w:ascii="Arial" w:hAnsi="Arial" w:cs="Arial"/>
              <w:color w:val="000000" w:themeColor="text1"/>
            </w:rPr>
          </w:pPr>
          <w:r w:rsidRPr="00027D0F">
            <w:rPr>
              <w:rFonts w:ascii="Arial" w:hAnsi="Arial" w:cs="Arial"/>
              <w:color w:val="000000" w:themeColor="text1"/>
            </w:rPr>
            <w:t>Table of Contents</w:t>
          </w:r>
        </w:p>
        <w:p w:rsidR="00FD6482" w:rsidRPr="006229A1" w:rsidRDefault="00FD6482" w:rsidP="00A53BF0"/>
        <w:p w:rsidR="006B7B7A" w:rsidRPr="00A53BF0" w:rsidRDefault="006B7B7A">
          <w:pPr>
            <w:pStyle w:val="TOC1"/>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465354077" w:history="1">
            <w:r w:rsidRPr="00A53BF0">
              <w:rPr>
                <w:rStyle w:val="Hyperlink"/>
                <w:noProof/>
                <w:sz w:val="22"/>
                <w:szCs w:val="22"/>
              </w:rPr>
              <w:t>1.</w:t>
            </w:r>
            <w:r w:rsidRPr="00A53BF0">
              <w:rPr>
                <w:rFonts w:asciiTheme="minorHAnsi" w:eastAsiaTheme="minorEastAsia" w:hAnsiTheme="minorHAnsi" w:cstheme="minorBidi"/>
                <w:noProof/>
                <w:sz w:val="22"/>
                <w:szCs w:val="22"/>
                <w:lang w:eastAsia="en-AU"/>
              </w:rPr>
              <w:tab/>
            </w:r>
            <w:r w:rsidRPr="00A53BF0">
              <w:rPr>
                <w:rStyle w:val="Hyperlink"/>
                <w:noProof/>
                <w:sz w:val="22"/>
                <w:szCs w:val="22"/>
              </w:rPr>
              <w:t>Introduction</w:t>
            </w:r>
            <w:r w:rsidRPr="00A53BF0">
              <w:rPr>
                <w:noProof/>
                <w:webHidden/>
                <w:sz w:val="22"/>
                <w:szCs w:val="22"/>
              </w:rPr>
              <w:tab/>
            </w:r>
            <w:r w:rsidRPr="00A53BF0">
              <w:rPr>
                <w:b w:val="0"/>
                <w:noProof/>
                <w:webHidden/>
                <w:sz w:val="22"/>
                <w:szCs w:val="22"/>
              </w:rPr>
              <w:fldChar w:fldCharType="begin"/>
            </w:r>
            <w:r w:rsidRPr="00A53BF0">
              <w:rPr>
                <w:b w:val="0"/>
                <w:noProof/>
                <w:webHidden/>
                <w:sz w:val="22"/>
                <w:szCs w:val="22"/>
              </w:rPr>
              <w:instrText xml:space="preserve"> PAGEREF _Toc465354077 \h </w:instrText>
            </w:r>
            <w:r w:rsidRPr="00A53BF0">
              <w:rPr>
                <w:b w:val="0"/>
                <w:noProof/>
                <w:webHidden/>
                <w:sz w:val="22"/>
                <w:szCs w:val="22"/>
              </w:rPr>
            </w:r>
            <w:r w:rsidRPr="00A53BF0">
              <w:rPr>
                <w:b w:val="0"/>
                <w:noProof/>
                <w:webHidden/>
                <w:sz w:val="22"/>
                <w:szCs w:val="22"/>
              </w:rPr>
              <w:fldChar w:fldCharType="separate"/>
            </w:r>
            <w:r w:rsidRPr="00A53BF0">
              <w:rPr>
                <w:b w:val="0"/>
                <w:noProof/>
                <w:webHidden/>
                <w:sz w:val="22"/>
                <w:szCs w:val="22"/>
              </w:rPr>
              <w:t>2</w:t>
            </w:r>
            <w:r w:rsidRPr="00A53BF0">
              <w:rPr>
                <w:b w:val="0"/>
                <w:noProof/>
                <w:webHidden/>
                <w:sz w:val="22"/>
                <w:szCs w:val="22"/>
              </w:rPr>
              <w:fldChar w:fldCharType="end"/>
            </w:r>
          </w:hyperlink>
        </w:p>
        <w:p w:rsidR="006B7B7A" w:rsidRPr="00A53BF0" w:rsidRDefault="00BF71E1">
          <w:pPr>
            <w:pStyle w:val="TOC1"/>
            <w:rPr>
              <w:rFonts w:asciiTheme="minorHAnsi" w:eastAsiaTheme="minorEastAsia" w:hAnsiTheme="minorHAnsi" w:cstheme="minorBidi"/>
              <w:noProof/>
              <w:sz w:val="22"/>
              <w:szCs w:val="22"/>
              <w:lang w:eastAsia="en-AU"/>
            </w:rPr>
          </w:pPr>
          <w:hyperlink w:anchor="_Toc465354078" w:history="1">
            <w:r w:rsidR="006B7B7A" w:rsidRPr="00A53BF0">
              <w:rPr>
                <w:rStyle w:val="Hyperlink"/>
                <w:noProof/>
                <w:sz w:val="22"/>
                <w:szCs w:val="22"/>
              </w:rPr>
              <w:t>2.</w:t>
            </w:r>
            <w:r w:rsidR="006B7B7A" w:rsidRPr="00A53BF0">
              <w:rPr>
                <w:rFonts w:asciiTheme="minorHAnsi" w:eastAsiaTheme="minorEastAsia" w:hAnsiTheme="minorHAnsi" w:cstheme="minorBidi"/>
                <w:noProof/>
                <w:sz w:val="22"/>
                <w:szCs w:val="22"/>
                <w:lang w:eastAsia="en-AU"/>
              </w:rPr>
              <w:tab/>
            </w:r>
            <w:r w:rsidR="006B7B7A" w:rsidRPr="00A53BF0">
              <w:rPr>
                <w:rStyle w:val="Hyperlink"/>
                <w:noProof/>
                <w:sz w:val="22"/>
                <w:szCs w:val="22"/>
              </w:rPr>
              <w:t>Executive summary</w:t>
            </w:r>
            <w:r w:rsidR="006B7B7A" w:rsidRPr="00A53BF0">
              <w:rPr>
                <w:noProof/>
                <w:webHidden/>
                <w:sz w:val="22"/>
                <w:szCs w:val="22"/>
              </w:rPr>
              <w:tab/>
            </w:r>
            <w:r w:rsidR="006B7B7A" w:rsidRPr="00A53BF0">
              <w:rPr>
                <w:b w:val="0"/>
                <w:noProof/>
                <w:webHidden/>
                <w:sz w:val="22"/>
                <w:szCs w:val="22"/>
              </w:rPr>
              <w:fldChar w:fldCharType="begin"/>
            </w:r>
            <w:r w:rsidR="006B7B7A" w:rsidRPr="00A53BF0">
              <w:rPr>
                <w:b w:val="0"/>
                <w:noProof/>
                <w:webHidden/>
                <w:sz w:val="22"/>
                <w:szCs w:val="22"/>
              </w:rPr>
              <w:instrText xml:space="preserve"> PAGEREF _Toc465354078 \h </w:instrText>
            </w:r>
            <w:r w:rsidR="006B7B7A" w:rsidRPr="00A53BF0">
              <w:rPr>
                <w:b w:val="0"/>
                <w:noProof/>
                <w:webHidden/>
                <w:sz w:val="22"/>
                <w:szCs w:val="22"/>
              </w:rPr>
            </w:r>
            <w:r w:rsidR="006B7B7A" w:rsidRPr="00A53BF0">
              <w:rPr>
                <w:b w:val="0"/>
                <w:noProof/>
                <w:webHidden/>
                <w:sz w:val="22"/>
                <w:szCs w:val="22"/>
              </w:rPr>
              <w:fldChar w:fldCharType="separate"/>
            </w:r>
            <w:r w:rsidR="006B7B7A" w:rsidRPr="00A53BF0">
              <w:rPr>
                <w:b w:val="0"/>
                <w:noProof/>
                <w:webHidden/>
                <w:sz w:val="22"/>
                <w:szCs w:val="22"/>
              </w:rPr>
              <w:t>3</w:t>
            </w:r>
            <w:r w:rsidR="006B7B7A" w:rsidRPr="00A53BF0">
              <w:rPr>
                <w:b w:val="0"/>
                <w:noProof/>
                <w:webHidden/>
                <w:sz w:val="22"/>
                <w:szCs w:val="22"/>
              </w:rPr>
              <w:fldChar w:fldCharType="end"/>
            </w:r>
          </w:hyperlink>
        </w:p>
        <w:p w:rsidR="006B7B7A" w:rsidRPr="00A53BF0" w:rsidRDefault="00BF71E1">
          <w:pPr>
            <w:pStyle w:val="TOC1"/>
            <w:rPr>
              <w:rFonts w:asciiTheme="minorHAnsi" w:eastAsiaTheme="minorEastAsia" w:hAnsiTheme="minorHAnsi" w:cstheme="minorBidi"/>
              <w:noProof/>
              <w:sz w:val="22"/>
              <w:szCs w:val="22"/>
              <w:lang w:eastAsia="en-AU"/>
            </w:rPr>
          </w:pPr>
          <w:hyperlink w:anchor="_Toc465354079" w:history="1">
            <w:r w:rsidR="006B7B7A" w:rsidRPr="00A53BF0">
              <w:rPr>
                <w:rStyle w:val="Hyperlink"/>
                <w:noProof/>
                <w:sz w:val="22"/>
                <w:szCs w:val="22"/>
              </w:rPr>
              <w:t>3.</w:t>
            </w:r>
            <w:r w:rsidR="006B7B7A" w:rsidRPr="00A53BF0">
              <w:rPr>
                <w:rFonts w:asciiTheme="minorHAnsi" w:eastAsiaTheme="minorEastAsia" w:hAnsiTheme="minorHAnsi" w:cstheme="minorBidi"/>
                <w:noProof/>
                <w:sz w:val="22"/>
                <w:szCs w:val="22"/>
                <w:lang w:eastAsia="en-AU"/>
              </w:rPr>
              <w:tab/>
            </w:r>
            <w:r w:rsidR="006B7B7A" w:rsidRPr="00A53BF0">
              <w:rPr>
                <w:rStyle w:val="Hyperlink"/>
                <w:noProof/>
                <w:sz w:val="22"/>
                <w:szCs w:val="22"/>
              </w:rPr>
              <w:t>Process</w:t>
            </w:r>
            <w:r w:rsidR="006B7B7A" w:rsidRPr="00A53BF0">
              <w:rPr>
                <w:noProof/>
                <w:webHidden/>
                <w:sz w:val="22"/>
                <w:szCs w:val="22"/>
              </w:rPr>
              <w:tab/>
            </w:r>
            <w:r w:rsidR="006B7B7A" w:rsidRPr="00A53BF0">
              <w:rPr>
                <w:b w:val="0"/>
                <w:noProof/>
                <w:webHidden/>
                <w:sz w:val="22"/>
                <w:szCs w:val="22"/>
              </w:rPr>
              <w:fldChar w:fldCharType="begin"/>
            </w:r>
            <w:r w:rsidR="006B7B7A" w:rsidRPr="00A53BF0">
              <w:rPr>
                <w:b w:val="0"/>
                <w:noProof/>
                <w:webHidden/>
                <w:sz w:val="22"/>
                <w:szCs w:val="22"/>
              </w:rPr>
              <w:instrText xml:space="preserve"> PAGEREF _Toc465354079 \h </w:instrText>
            </w:r>
            <w:r w:rsidR="006B7B7A" w:rsidRPr="00A53BF0">
              <w:rPr>
                <w:b w:val="0"/>
                <w:noProof/>
                <w:webHidden/>
                <w:sz w:val="22"/>
                <w:szCs w:val="22"/>
              </w:rPr>
            </w:r>
            <w:r w:rsidR="006B7B7A" w:rsidRPr="00A53BF0">
              <w:rPr>
                <w:b w:val="0"/>
                <w:noProof/>
                <w:webHidden/>
                <w:sz w:val="22"/>
                <w:szCs w:val="22"/>
              </w:rPr>
              <w:fldChar w:fldCharType="separate"/>
            </w:r>
            <w:r w:rsidR="006B7B7A" w:rsidRPr="00A53BF0">
              <w:rPr>
                <w:b w:val="0"/>
                <w:noProof/>
                <w:webHidden/>
                <w:sz w:val="22"/>
                <w:szCs w:val="22"/>
              </w:rPr>
              <w:t>4</w:t>
            </w:r>
            <w:r w:rsidR="006B7B7A" w:rsidRPr="00A53BF0">
              <w:rPr>
                <w:b w:val="0"/>
                <w:noProof/>
                <w:webHidden/>
                <w:sz w:val="22"/>
                <w:szCs w:val="22"/>
              </w:rPr>
              <w:fldChar w:fldCharType="end"/>
            </w:r>
          </w:hyperlink>
        </w:p>
        <w:p w:rsidR="006B7B7A" w:rsidRPr="00A53BF0" w:rsidRDefault="00BF71E1">
          <w:pPr>
            <w:pStyle w:val="TOC1"/>
            <w:rPr>
              <w:rFonts w:asciiTheme="minorHAnsi" w:eastAsiaTheme="minorEastAsia" w:hAnsiTheme="minorHAnsi" w:cstheme="minorBidi"/>
              <w:noProof/>
              <w:sz w:val="22"/>
              <w:szCs w:val="22"/>
              <w:lang w:eastAsia="en-AU"/>
            </w:rPr>
          </w:pPr>
          <w:hyperlink w:anchor="_Toc465354080" w:history="1">
            <w:r w:rsidR="006B7B7A" w:rsidRPr="00A53BF0">
              <w:rPr>
                <w:rStyle w:val="Hyperlink"/>
                <w:noProof/>
                <w:sz w:val="22"/>
                <w:szCs w:val="22"/>
              </w:rPr>
              <w:t>4.</w:t>
            </w:r>
            <w:r w:rsidR="006B7B7A" w:rsidRPr="00A53BF0">
              <w:rPr>
                <w:rFonts w:asciiTheme="minorHAnsi" w:eastAsiaTheme="minorEastAsia" w:hAnsiTheme="minorHAnsi" w:cstheme="minorBidi"/>
                <w:noProof/>
                <w:sz w:val="22"/>
                <w:szCs w:val="22"/>
                <w:lang w:eastAsia="en-AU"/>
              </w:rPr>
              <w:tab/>
            </w:r>
            <w:r w:rsidR="006B7B7A" w:rsidRPr="00A53BF0">
              <w:rPr>
                <w:rStyle w:val="Hyperlink"/>
                <w:noProof/>
                <w:sz w:val="22"/>
                <w:szCs w:val="22"/>
              </w:rPr>
              <w:t>Comparison to current requirements: REST and its Modern Awards and EBAs</w:t>
            </w:r>
            <w:r w:rsidR="006B7B7A" w:rsidRPr="00A53BF0">
              <w:rPr>
                <w:noProof/>
                <w:webHidden/>
                <w:sz w:val="22"/>
                <w:szCs w:val="22"/>
              </w:rPr>
              <w:tab/>
            </w:r>
            <w:r w:rsidR="006B7B7A" w:rsidRPr="00A53BF0">
              <w:rPr>
                <w:b w:val="0"/>
                <w:noProof/>
                <w:webHidden/>
                <w:sz w:val="22"/>
                <w:szCs w:val="22"/>
              </w:rPr>
              <w:fldChar w:fldCharType="begin"/>
            </w:r>
            <w:r w:rsidR="006B7B7A" w:rsidRPr="00A53BF0">
              <w:rPr>
                <w:b w:val="0"/>
                <w:noProof/>
                <w:webHidden/>
                <w:sz w:val="22"/>
                <w:szCs w:val="22"/>
              </w:rPr>
              <w:instrText xml:space="preserve"> PAGEREF _Toc465354080 \h </w:instrText>
            </w:r>
            <w:r w:rsidR="006B7B7A" w:rsidRPr="00A53BF0">
              <w:rPr>
                <w:b w:val="0"/>
                <w:noProof/>
                <w:webHidden/>
                <w:sz w:val="22"/>
                <w:szCs w:val="22"/>
              </w:rPr>
            </w:r>
            <w:r w:rsidR="006B7B7A" w:rsidRPr="00A53BF0">
              <w:rPr>
                <w:b w:val="0"/>
                <w:noProof/>
                <w:webHidden/>
                <w:sz w:val="22"/>
                <w:szCs w:val="22"/>
              </w:rPr>
              <w:fldChar w:fldCharType="separate"/>
            </w:r>
            <w:r w:rsidR="006B7B7A" w:rsidRPr="00A53BF0">
              <w:rPr>
                <w:b w:val="0"/>
                <w:noProof/>
                <w:webHidden/>
                <w:sz w:val="22"/>
                <w:szCs w:val="22"/>
              </w:rPr>
              <w:t>5</w:t>
            </w:r>
            <w:r w:rsidR="006B7B7A" w:rsidRPr="00A53BF0">
              <w:rPr>
                <w:b w:val="0"/>
                <w:noProof/>
                <w:webHidden/>
                <w:sz w:val="22"/>
                <w:szCs w:val="22"/>
              </w:rPr>
              <w:fldChar w:fldCharType="end"/>
            </w:r>
          </w:hyperlink>
        </w:p>
        <w:p w:rsidR="006B7B7A" w:rsidRPr="00A53BF0" w:rsidRDefault="00BF71E1">
          <w:pPr>
            <w:pStyle w:val="TOC1"/>
            <w:rPr>
              <w:rFonts w:asciiTheme="minorHAnsi" w:eastAsiaTheme="minorEastAsia" w:hAnsiTheme="minorHAnsi" w:cstheme="minorBidi"/>
              <w:noProof/>
              <w:sz w:val="22"/>
              <w:szCs w:val="22"/>
              <w:lang w:eastAsia="en-AU"/>
            </w:rPr>
          </w:pPr>
          <w:hyperlink w:anchor="_Toc465354081" w:history="1">
            <w:r w:rsidR="006B7B7A" w:rsidRPr="00A53BF0">
              <w:rPr>
                <w:rStyle w:val="Hyperlink"/>
                <w:noProof/>
                <w:sz w:val="22"/>
                <w:szCs w:val="22"/>
              </w:rPr>
              <w:t>5.</w:t>
            </w:r>
            <w:r w:rsidR="006B7B7A" w:rsidRPr="00A53BF0">
              <w:rPr>
                <w:rFonts w:asciiTheme="minorHAnsi" w:eastAsiaTheme="minorEastAsia" w:hAnsiTheme="minorHAnsi" w:cstheme="minorBidi"/>
                <w:noProof/>
                <w:sz w:val="22"/>
                <w:szCs w:val="22"/>
                <w:lang w:eastAsia="en-AU"/>
              </w:rPr>
              <w:tab/>
            </w:r>
            <w:r w:rsidR="006B7B7A" w:rsidRPr="00A53BF0">
              <w:rPr>
                <w:rStyle w:val="Hyperlink"/>
                <w:noProof/>
                <w:sz w:val="22"/>
                <w:szCs w:val="22"/>
              </w:rPr>
              <w:t>MySuper should not be the only criteria</w:t>
            </w:r>
            <w:r w:rsidR="006B7B7A" w:rsidRPr="00A53BF0">
              <w:rPr>
                <w:noProof/>
                <w:webHidden/>
                <w:sz w:val="22"/>
                <w:szCs w:val="22"/>
              </w:rPr>
              <w:tab/>
            </w:r>
            <w:r w:rsidR="006B7B7A" w:rsidRPr="00A53BF0">
              <w:rPr>
                <w:b w:val="0"/>
                <w:noProof/>
                <w:webHidden/>
                <w:sz w:val="22"/>
                <w:szCs w:val="22"/>
              </w:rPr>
              <w:fldChar w:fldCharType="begin"/>
            </w:r>
            <w:r w:rsidR="006B7B7A" w:rsidRPr="00A53BF0">
              <w:rPr>
                <w:b w:val="0"/>
                <w:noProof/>
                <w:webHidden/>
                <w:sz w:val="22"/>
                <w:szCs w:val="22"/>
              </w:rPr>
              <w:instrText xml:space="preserve"> PAGEREF _Toc465354081 \h </w:instrText>
            </w:r>
            <w:r w:rsidR="006B7B7A" w:rsidRPr="00A53BF0">
              <w:rPr>
                <w:b w:val="0"/>
                <w:noProof/>
                <w:webHidden/>
                <w:sz w:val="22"/>
                <w:szCs w:val="22"/>
              </w:rPr>
            </w:r>
            <w:r w:rsidR="006B7B7A" w:rsidRPr="00A53BF0">
              <w:rPr>
                <w:b w:val="0"/>
                <w:noProof/>
                <w:webHidden/>
                <w:sz w:val="22"/>
                <w:szCs w:val="22"/>
              </w:rPr>
              <w:fldChar w:fldCharType="separate"/>
            </w:r>
            <w:r w:rsidR="006B7B7A" w:rsidRPr="00A53BF0">
              <w:rPr>
                <w:b w:val="0"/>
                <w:noProof/>
                <w:webHidden/>
                <w:sz w:val="22"/>
                <w:szCs w:val="22"/>
              </w:rPr>
              <w:t>5</w:t>
            </w:r>
            <w:r w:rsidR="006B7B7A" w:rsidRPr="00A53BF0">
              <w:rPr>
                <w:b w:val="0"/>
                <w:noProof/>
                <w:webHidden/>
                <w:sz w:val="22"/>
                <w:szCs w:val="22"/>
              </w:rPr>
              <w:fldChar w:fldCharType="end"/>
            </w:r>
          </w:hyperlink>
        </w:p>
        <w:p w:rsidR="006B7B7A" w:rsidRPr="00A53BF0" w:rsidRDefault="00BF71E1">
          <w:pPr>
            <w:pStyle w:val="TOC1"/>
            <w:rPr>
              <w:rFonts w:asciiTheme="minorHAnsi" w:eastAsiaTheme="minorEastAsia" w:hAnsiTheme="minorHAnsi" w:cstheme="minorBidi"/>
              <w:noProof/>
              <w:sz w:val="22"/>
              <w:szCs w:val="22"/>
              <w:lang w:eastAsia="en-AU"/>
            </w:rPr>
          </w:pPr>
          <w:hyperlink w:anchor="_Toc465354082" w:history="1">
            <w:r w:rsidR="006B7B7A" w:rsidRPr="00A53BF0">
              <w:rPr>
                <w:rStyle w:val="Hyperlink"/>
                <w:noProof/>
                <w:sz w:val="22"/>
                <w:szCs w:val="22"/>
              </w:rPr>
              <w:t>6.</w:t>
            </w:r>
            <w:r w:rsidR="006B7B7A" w:rsidRPr="00A53BF0">
              <w:rPr>
                <w:rFonts w:asciiTheme="minorHAnsi" w:eastAsiaTheme="minorEastAsia" w:hAnsiTheme="minorHAnsi" w:cstheme="minorBidi"/>
                <w:noProof/>
                <w:sz w:val="22"/>
                <w:szCs w:val="22"/>
                <w:lang w:eastAsia="en-AU"/>
              </w:rPr>
              <w:tab/>
            </w:r>
            <w:r w:rsidR="006B7B7A" w:rsidRPr="00A53BF0">
              <w:rPr>
                <w:rStyle w:val="Hyperlink"/>
                <w:noProof/>
                <w:sz w:val="22"/>
                <w:szCs w:val="22"/>
              </w:rPr>
              <w:t>Proposed models v existing system</w:t>
            </w:r>
            <w:r w:rsidR="006B7B7A" w:rsidRPr="00A53BF0">
              <w:rPr>
                <w:noProof/>
                <w:webHidden/>
                <w:sz w:val="22"/>
                <w:szCs w:val="22"/>
              </w:rPr>
              <w:tab/>
            </w:r>
            <w:r w:rsidR="006B7B7A" w:rsidRPr="00A53BF0">
              <w:rPr>
                <w:b w:val="0"/>
                <w:noProof/>
                <w:webHidden/>
                <w:sz w:val="22"/>
                <w:szCs w:val="22"/>
              </w:rPr>
              <w:fldChar w:fldCharType="begin"/>
            </w:r>
            <w:r w:rsidR="006B7B7A" w:rsidRPr="00A53BF0">
              <w:rPr>
                <w:b w:val="0"/>
                <w:noProof/>
                <w:webHidden/>
                <w:sz w:val="22"/>
                <w:szCs w:val="22"/>
              </w:rPr>
              <w:instrText xml:space="preserve"> PAGEREF _Toc465354082 \h </w:instrText>
            </w:r>
            <w:r w:rsidR="006B7B7A" w:rsidRPr="00A53BF0">
              <w:rPr>
                <w:b w:val="0"/>
                <w:noProof/>
                <w:webHidden/>
                <w:sz w:val="22"/>
                <w:szCs w:val="22"/>
              </w:rPr>
            </w:r>
            <w:r w:rsidR="006B7B7A" w:rsidRPr="00A53BF0">
              <w:rPr>
                <w:b w:val="0"/>
                <w:noProof/>
                <w:webHidden/>
                <w:sz w:val="22"/>
                <w:szCs w:val="22"/>
              </w:rPr>
              <w:fldChar w:fldCharType="separate"/>
            </w:r>
            <w:r w:rsidR="006B7B7A" w:rsidRPr="00A53BF0">
              <w:rPr>
                <w:b w:val="0"/>
                <w:noProof/>
                <w:webHidden/>
                <w:sz w:val="22"/>
                <w:szCs w:val="22"/>
              </w:rPr>
              <w:t>6</w:t>
            </w:r>
            <w:r w:rsidR="006B7B7A" w:rsidRPr="00A53BF0">
              <w:rPr>
                <w:b w:val="0"/>
                <w:noProof/>
                <w:webHidden/>
                <w:sz w:val="22"/>
                <w:szCs w:val="22"/>
              </w:rPr>
              <w:fldChar w:fldCharType="end"/>
            </w:r>
          </w:hyperlink>
        </w:p>
        <w:p w:rsidR="006B7B7A" w:rsidRPr="00A53BF0" w:rsidRDefault="00BF71E1">
          <w:pPr>
            <w:pStyle w:val="TOC1"/>
            <w:rPr>
              <w:rFonts w:asciiTheme="minorHAnsi" w:eastAsiaTheme="minorEastAsia" w:hAnsiTheme="minorHAnsi" w:cstheme="minorBidi"/>
              <w:noProof/>
              <w:sz w:val="22"/>
              <w:szCs w:val="22"/>
              <w:lang w:eastAsia="en-AU"/>
            </w:rPr>
          </w:pPr>
          <w:hyperlink w:anchor="_Toc465354083" w:history="1">
            <w:r w:rsidR="006B7B7A" w:rsidRPr="00A53BF0">
              <w:rPr>
                <w:rStyle w:val="Hyperlink"/>
                <w:noProof/>
                <w:sz w:val="22"/>
                <w:szCs w:val="22"/>
              </w:rPr>
              <w:t>7.</w:t>
            </w:r>
            <w:r w:rsidR="006B7B7A" w:rsidRPr="00A53BF0">
              <w:rPr>
                <w:rFonts w:asciiTheme="minorHAnsi" w:eastAsiaTheme="minorEastAsia" w:hAnsiTheme="minorHAnsi" w:cstheme="minorBidi"/>
                <w:noProof/>
                <w:sz w:val="22"/>
                <w:szCs w:val="22"/>
                <w:lang w:eastAsia="en-AU"/>
              </w:rPr>
              <w:tab/>
            </w:r>
            <w:r w:rsidR="006B7B7A" w:rsidRPr="00A53BF0">
              <w:rPr>
                <w:rStyle w:val="Hyperlink"/>
                <w:noProof/>
                <w:sz w:val="22"/>
                <w:szCs w:val="22"/>
              </w:rPr>
              <w:t>Agency risk</w:t>
            </w:r>
            <w:r w:rsidR="006B7B7A" w:rsidRPr="00A53BF0">
              <w:rPr>
                <w:noProof/>
                <w:webHidden/>
                <w:sz w:val="22"/>
                <w:szCs w:val="22"/>
              </w:rPr>
              <w:tab/>
            </w:r>
            <w:r w:rsidR="006B7B7A" w:rsidRPr="00A53BF0">
              <w:rPr>
                <w:b w:val="0"/>
                <w:noProof/>
                <w:webHidden/>
                <w:sz w:val="22"/>
                <w:szCs w:val="22"/>
              </w:rPr>
              <w:fldChar w:fldCharType="begin"/>
            </w:r>
            <w:r w:rsidR="006B7B7A" w:rsidRPr="00A53BF0">
              <w:rPr>
                <w:b w:val="0"/>
                <w:noProof/>
                <w:webHidden/>
                <w:sz w:val="22"/>
                <w:szCs w:val="22"/>
              </w:rPr>
              <w:instrText xml:space="preserve"> PAGEREF _Toc465354083 \h </w:instrText>
            </w:r>
            <w:r w:rsidR="006B7B7A" w:rsidRPr="00A53BF0">
              <w:rPr>
                <w:b w:val="0"/>
                <w:noProof/>
                <w:webHidden/>
                <w:sz w:val="22"/>
                <w:szCs w:val="22"/>
              </w:rPr>
            </w:r>
            <w:r w:rsidR="006B7B7A" w:rsidRPr="00A53BF0">
              <w:rPr>
                <w:b w:val="0"/>
                <w:noProof/>
                <w:webHidden/>
                <w:sz w:val="22"/>
                <w:szCs w:val="22"/>
              </w:rPr>
              <w:fldChar w:fldCharType="separate"/>
            </w:r>
            <w:r w:rsidR="006B7B7A" w:rsidRPr="00A53BF0">
              <w:rPr>
                <w:b w:val="0"/>
                <w:noProof/>
                <w:webHidden/>
                <w:sz w:val="22"/>
                <w:szCs w:val="22"/>
              </w:rPr>
              <w:t>6</w:t>
            </w:r>
            <w:r w:rsidR="006B7B7A" w:rsidRPr="00A53BF0">
              <w:rPr>
                <w:b w:val="0"/>
                <w:noProof/>
                <w:webHidden/>
                <w:sz w:val="22"/>
                <w:szCs w:val="22"/>
              </w:rPr>
              <w:fldChar w:fldCharType="end"/>
            </w:r>
          </w:hyperlink>
        </w:p>
        <w:p w:rsidR="006B7B7A" w:rsidRDefault="00BF71E1">
          <w:pPr>
            <w:pStyle w:val="TOC1"/>
            <w:rPr>
              <w:rFonts w:asciiTheme="minorHAnsi" w:eastAsiaTheme="minorEastAsia" w:hAnsiTheme="minorHAnsi" w:cstheme="minorBidi"/>
              <w:noProof/>
              <w:lang w:eastAsia="en-AU"/>
            </w:rPr>
          </w:pPr>
          <w:hyperlink w:anchor="_Toc465354084" w:history="1">
            <w:r w:rsidR="006B7B7A" w:rsidRPr="00A53BF0">
              <w:rPr>
                <w:rStyle w:val="Hyperlink"/>
                <w:noProof/>
                <w:sz w:val="22"/>
                <w:szCs w:val="22"/>
              </w:rPr>
              <w:t>8.</w:t>
            </w:r>
            <w:r w:rsidR="006B7B7A" w:rsidRPr="00A53BF0">
              <w:rPr>
                <w:rFonts w:asciiTheme="minorHAnsi" w:eastAsiaTheme="minorEastAsia" w:hAnsiTheme="minorHAnsi" w:cstheme="minorBidi"/>
                <w:noProof/>
                <w:sz w:val="22"/>
                <w:szCs w:val="22"/>
                <w:lang w:eastAsia="en-AU"/>
              </w:rPr>
              <w:tab/>
            </w:r>
            <w:r w:rsidR="006B7B7A" w:rsidRPr="00A53BF0">
              <w:rPr>
                <w:rStyle w:val="Hyperlink"/>
                <w:noProof/>
                <w:sz w:val="22"/>
                <w:szCs w:val="22"/>
              </w:rPr>
              <w:t>Criteria for assessing alternative models</w:t>
            </w:r>
            <w:r w:rsidR="006B7B7A" w:rsidRPr="00A53BF0">
              <w:rPr>
                <w:noProof/>
                <w:webHidden/>
                <w:sz w:val="22"/>
                <w:szCs w:val="22"/>
              </w:rPr>
              <w:tab/>
            </w:r>
            <w:r w:rsidR="006B7B7A" w:rsidRPr="00A53BF0">
              <w:rPr>
                <w:b w:val="0"/>
                <w:noProof/>
                <w:webHidden/>
                <w:sz w:val="22"/>
                <w:szCs w:val="22"/>
              </w:rPr>
              <w:fldChar w:fldCharType="begin"/>
            </w:r>
            <w:r w:rsidR="006B7B7A" w:rsidRPr="00A53BF0">
              <w:rPr>
                <w:b w:val="0"/>
                <w:noProof/>
                <w:webHidden/>
                <w:sz w:val="22"/>
                <w:szCs w:val="22"/>
              </w:rPr>
              <w:instrText xml:space="preserve"> PAGEREF _Toc465354084 \h </w:instrText>
            </w:r>
            <w:r w:rsidR="006B7B7A" w:rsidRPr="00A53BF0">
              <w:rPr>
                <w:b w:val="0"/>
                <w:noProof/>
                <w:webHidden/>
                <w:sz w:val="22"/>
                <w:szCs w:val="22"/>
              </w:rPr>
            </w:r>
            <w:r w:rsidR="006B7B7A" w:rsidRPr="00A53BF0">
              <w:rPr>
                <w:b w:val="0"/>
                <w:noProof/>
                <w:webHidden/>
                <w:sz w:val="22"/>
                <w:szCs w:val="22"/>
              </w:rPr>
              <w:fldChar w:fldCharType="separate"/>
            </w:r>
            <w:r w:rsidR="006B7B7A" w:rsidRPr="00A53BF0">
              <w:rPr>
                <w:b w:val="0"/>
                <w:noProof/>
                <w:webHidden/>
                <w:sz w:val="22"/>
                <w:szCs w:val="22"/>
              </w:rPr>
              <w:t>7</w:t>
            </w:r>
            <w:r w:rsidR="006B7B7A" w:rsidRPr="00A53BF0">
              <w:rPr>
                <w:b w:val="0"/>
                <w:noProof/>
                <w:webHidden/>
                <w:sz w:val="22"/>
                <w:szCs w:val="22"/>
              </w:rPr>
              <w:fldChar w:fldCharType="end"/>
            </w:r>
          </w:hyperlink>
        </w:p>
        <w:p w:rsidR="006B7B7A" w:rsidRDefault="00DD0A92" w:rsidP="0096020C">
          <w:pPr>
            <w:pStyle w:val="TOC2"/>
            <w:rPr>
              <w:rFonts w:asciiTheme="minorHAnsi" w:eastAsiaTheme="minorEastAsia" w:hAnsiTheme="minorHAnsi" w:cstheme="minorBidi"/>
              <w:noProof/>
              <w:lang w:val="en-AU" w:eastAsia="en-AU"/>
            </w:rPr>
          </w:pPr>
          <w:r w:rsidRPr="0096020C">
            <w:rPr>
              <w:rStyle w:val="Hyperlink"/>
              <w:noProof/>
              <w:u w:val="none"/>
            </w:rPr>
            <w:t xml:space="preserve"> </w:t>
          </w:r>
          <w:hyperlink w:anchor="_Toc465354085" w:history="1">
            <w:r w:rsidR="006B7B7A" w:rsidRPr="00D17DCB">
              <w:rPr>
                <w:rStyle w:val="Hyperlink"/>
                <w:rFonts w:ascii="Arial Narrow" w:hAnsi="Arial Narrow" w:cs="Arial"/>
                <w:b/>
                <w:noProof/>
              </w:rPr>
              <w:t>8.1</w:t>
            </w:r>
            <w:r w:rsidR="006B7B7A">
              <w:rPr>
                <w:rFonts w:asciiTheme="minorHAnsi" w:eastAsiaTheme="minorEastAsia" w:hAnsiTheme="minorHAnsi" w:cstheme="minorBidi"/>
                <w:noProof/>
                <w:lang w:val="en-AU" w:eastAsia="en-AU"/>
              </w:rPr>
              <w:tab/>
            </w:r>
            <w:r w:rsidR="006B7B7A" w:rsidRPr="00D17DCB">
              <w:rPr>
                <w:rStyle w:val="Hyperlink"/>
                <w:rFonts w:ascii="Arial Narrow" w:hAnsi="Arial Narrow" w:cs="Arial"/>
                <w:b/>
                <w:noProof/>
              </w:rPr>
              <w:t>REST’s general comments on the proposed criteria</w:t>
            </w:r>
            <w:r w:rsidR="006B7B7A">
              <w:rPr>
                <w:noProof/>
                <w:webHidden/>
              </w:rPr>
              <w:tab/>
            </w:r>
            <w:r w:rsidR="006B7B7A">
              <w:rPr>
                <w:noProof/>
                <w:webHidden/>
              </w:rPr>
              <w:fldChar w:fldCharType="begin"/>
            </w:r>
            <w:r w:rsidR="006B7B7A">
              <w:rPr>
                <w:noProof/>
                <w:webHidden/>
              </w:rPr>
              <w:instrText xml:space="preserve"> PAGEREF _Toc465354085 \h </w:instrText>
            </w:r>
            <w:r w:rsidR="006B7B7A">
              <w:rPr>
                <w:noProof/>
                <w:webHidden/>
              </w:rPr>
            </w:r>
            <w:r w:rsidR="006B7B7A">
              <w:rPr>
                <w:noProof/>
                <w:webHidden/>
              </w:rPr>
              <w:fldChar w:fldCharType="separate"/>
            </w:r>
            <w:r w:rsidR="006B7B7A">
              <w:rPr>
                <w:noProof/>
                <w:webHidden/>
              </w:rPr>
              <w:t>7</w:t>
            </w:r>
            <w:r w:rsidR="006B7B7A">
              <w:rPr>
                <w:noProof/>
                <w:webHidden/>
              </w:rPr>
              <w:fldChar w:fldCharType="end"/>
            </w:r>
          </w:hyperlink>
        </w:p>
        <w:p w:rsidR="006B7B7A" w:rsidRDefault="00FD6482" w:rsidP="0096020C">
          <w:pPr>
            <w:pStyle w:val="TOC2"/>
            <w:rPr>
              <w:rFonts w:asciiTheme="minorHAnsi" w:eastAsiaTheme="minorEastAsia" w:hAnsiTheme="minorHAnsi" w:cstheme="minorBidi"/>
              <w:noProof/>
              <w:lang w:val="en-AU" w:eastAsia="en-AU"/>
            </w:rPr>
          </w:pPr>
          <w:r w:rsidRPr="0096020C">
            <w:rPr>
              <w:rStyle w:val="Hyperlink"/>
              <w:noProof/>
              <w:u w:val="none"/>
            </w:rPr>
            <w:t xml:space="preserve"> </w:t>
          </w:r>
          <w:hyperlink w:anchor="_Toc465354086" w:history="1">
            <w:r w:rsidR="006B7B7A" w:rsidRPr="00D17DCB">
              <w:rPr>
                <w:rStyle w:val="Hyperlink"/>
                <w:rFonts w:ascii="Arial Narrow" w:hAnsi="Arial Narrow"/>
                <w:b/>
                <w:noProof/>
              </w:rPr>
              <w:t>8.2</w:t>
            </w:r>
            <w:r w:rsidR="006B7B7A">
              <w:rPr>
                <w:rFonts w:asciiTheme="minorHAnsi" w:eastAsiaTheme="minorEastAsia" w:hAnsiTheme="minorHAnsi" w:cstheme="minorBidi"/>
                <w:noProof/>
                <w:lang w:val="en-AU" w:eastAsia="en-AU"/>
              </w:rPr>
              <w:tab/>
            </w:r>
            <w:r w:rsidR="006B7B7A" w:rsidRPr="00D17DCB">
              <w:rPr>
                <w:rStyle w:val="Hyperlink"/>
                <w:rFonts w:ascii="Arial Narrow" w:hAnsi="Arial Narrow"/>
                <w:b/>
                <w:noProof/>
              </w:rPr>
              <w:t>Members’ best interests:</w:t>
            </w:r>
            <w:r w:rsidR="006B7B7A">
              <w:rPr>
                <w:noProof/>
                <w:webHidden/>
              </w:rPr>
              <w:tab/>
            </w:r>
            <w:r w:rsidR="006B7B7A">
              <w:rPr>
                <w:noProof/>
                <w:webHidden/>
              </w:rPr>
              <w:fldChar w:fldCharType="begin"/>
            </w:r>
            <w:r w:rsidR="006B7B7A">
              <w:rPr>
                <w:noProof/>
                <w:webHidden/>
              </w:rPr>
              <w:instrText xml:space="preserve"> PAGEREF _Toc465354086 \h </w:instrText>
            </w:r>
            <w:r w:rsidR="006B7B7A">
              <w:rPr>
                <w:noProof/>
                <w:webHidden/>
              </w:rPr>
            </w:r>
            <w:r w:rsidR="006B7B7A">
              <w:rPr>
                <w:noProof/>
                <w:webHidden/>
              </w:rPr>
              <w:fldChar w:fldCharType="separate"/>
            </w:r>
            <w:r w:rsidR="006B7B7A">
              <w:rPr>
                <w:noProof/>
                <w:webHidden/>
              </w:rPr>
              <w:t>8</w:t>
            </w:r>
            <w:r w:rsidR="006B7B7A">
              <w:rPr>
                <w:noProof/>
                <w:webHidden/>
              </w:rPr>
              <w:fldChar w:fldCharType="end"/>
            </w:r>
          </w:hyperlink>
        </w:p>
        <w:p w:rsidR="006B7B7A" w:rsidRDefault="0096020C" w:rsidP="0096020C">
          <w:pPr>
            <w:pStyle w:val="TOC3"/>
            <w:rPr>
              <w:rFonts w:asciiTheme="minorHAnsi" w:eastAsiaTheme="minorEastAsia" w:hAnsiTheme="minorHAnsi" w:cstheme="minorBidi"/>
              <w:noProof/>
              <w:lang w:val="en-AU" w:eastAsia="en-AU"/>
            </w:rPr>
          </w:pPr>
          <w:r>
            <w:t xml:space="preserve">    </w:t>
          </w:r>
          <w:hyperlink w:anchor="_Toc465354087" w:history="1">
            <w:r w:rsidR="006B7B7A" w:rsidRPr="00D17DCB">
              <w:rPr>
                <w:rStyle w:val="Hyperlink"/>
                <w:rFonts w:ascii="Arial Narrow" w:hAnsi="Arial Narrow"/>
                <w:noProof/>
              </w:rPr>
              <w:t>8.2.1    The value of insurance</w:t>
            </w:r>
            <w:r w:rsidR="006B7B7A">
              <w:rPr>
                <w:noProof/>
                <w:webHidden/>
              </w:rPr>
              <w:tab/>
            </w:r>
            <w:r w:rsidR="006B7B7A">
              <w:rPr>
                <w:noProof/>
                <w:webHidden/>
              </w:rPr>
              <w:fldChar w:fldCharType="begin"/>
            </w:r>
            <w:r w:rsidR="006B7B7A">
              <w:rPr>
                <w:noProof/>
                <w:webHidden/>
              </w:rPr>
              <w:instrText xml:space="preserve"> PAGEREF _Toc465354087 \h </w:instrText>
            </w:r>
            <w:r w:rsidR="006B7B7A">
              <w:rPr>
                <w:noProof/>
                <w:webHidden/>
              </w:rPr>
            </w:r>
            <w:r w:rsidR="006B7B7A">
              <w:rPr>
                <w:noProof/>
                <w:webHidden/>
              </w:rPr>
              <w:fldChar w:fldCharType="separate"/>
            </w:r>
            <w:r w:rsidR="006B7B7A">
              <w:rPr>
                <w:noProof/>
                <w:webHidden/>
              </w:rPr>
              <w:t>8</w:t>
            </w:r>
            <w:r w:rsidR="006B7B7A">
              <w:rPr>
                <w:noProof/>
                <w:webHidden/>
              </w:rPr>
              <w:fldChar w:fldCharType="end"/>
            </w:r>
          </w:hyperlink>
        </w:p>
        <w:p w:rsidR="006B7B7A" w:rsidRDefault="0096020C" w:rsidP="0096020C">
          <w:pPr>
            <w:pStyle w:val="TOC3"/>
            <w:rPr>
              <w:rFonts w:asciiTheme="minorHAnsi" w:eastAsiaTheme="minorEastAsia" w:hAnsiTheme="minorHAnsi" w:cstheme="minorBidi"/>
              <w:noProof/>
              <w:lang w:val="en-AU" w:eastAsia="en-AU"/>
            </w:rPr>
          </w:pPr>
          <w:r>
            <w:t xml:space="preserve">    </w:t>
          </w:r>
          <w:hyperlink w:anchor="_Toc465354088" w:history="1">
            <w:r w:rsidR="006B7B7A" w:rsidRPr="00D17DCB">
              <w:rPr>
                <w:rStyle w:val="Hyperlink"/>
                <w:rFonts w:ascii="Arial Narrow" w:hAnsi="Arial Narrow"/>
                <w:noProof/>
              </w:rPr>
              <w:t xml:space="preserve">8.2.2 </w:t>
            </w:r>
            <w:r w:rsidR="00FD6482">
              <w:rPr>
                <w:rStyle w:val="Hyperlink"/>
                <w:rFonts w:ascii="Arial Narrow" w:hAnsi="Arial Narrow"/>
                <w:noProof/>
              </w:rPr>
              <w:t xml:space="preserve">   </w:t>
            </w:r>
            <w:r w:rsidR="006B7B7A" w:rsidRPr="00D17DCB">
              <w:rPr>
                <w:rStyle w:val="Hyperlink"/>
                <w:rFonts w:ascii="Arial Narrow" w:hAnsi="Arial Narrow"/>
                <w:noProof/>
              </w:rPr>
              <w:t>The value of innovation</w:t>
            </w:r>
            <w:r w:rsidR="006B7B7A">
              <w:rPr>
                <w:noProof/>
                <w:webHidden/>
              </w:rPr>
              <w:tab/>
            </w:r>
            <w:r w:rsidR="006B7B7A">
              <w:rPr>
                <w:noProof/>
                <w:webHidden/>
              </w:rPr>
              <w:fldChar w:fldCharType="begin"/>
            </w:r>
            <w:r w:rsidR="006B7B7A">
              <w:rPr>
                <w:noProof/>
                <w:webHidden/>
              </w:rPr>
              <w:instrText xml:space="preserve"> PAGEREF _Toc465354088 \h </w:instrText>
            </w:r>
            <w:r w:rsidR="006B7B7A">
              <w:rPr>
                <w:noProof/>
                <w:webHidden/>
              </w:rPr>
            </w:r>
            <w:r w:rsidR="006B7B7A">
              <w:rPr>
                <w:noProof/>
                <w:webHidden/>
              </w:rPr>
              <w:fldChar w:fldCharType="separate"/>
            </w:r>
            <w:r w:rsidR="006B7B7A">
              <w:rPr>
                <w:noProof/>
                <w:webHidden/>
              </w:rPr>
              <w:t>10</w:t>
            </w:r>
            <w:r w:rsidR="006B7B7A">
              <w:rPr>
                <w:noProof/>
                <w:webHidden/>
              </w:rPr>
              <w:fldChar w:fldCharType="end"/>
            </w:r>
          </w:hyperlink>
        </w:p>
        <w:p w:rsidR="006B7B7A" w:rsidRDefault="0096020C" w:rsidP="0096020C">
          <w:pPr>
            <w:pStyle w:val="TOC2"/>
            <w:rPr>
              <w:rFonts w:asciiTheme="minorHAnsi" w:eastAsiaTheme="minorEastAsia" w:hAnsiTheme="minorHAnsi" w:cstheme="minorBidi"/>
              <w:noProof/>
              <w:lang w:val="en-AU" w:eastAsia="en-AU"/>
            </w:rPr>
          </w:pPr>
          <w:r>
            <w:rPr>
              <w:rStyle w:val="Hyperlink"/>
              <w:noProof/>
              <w:u w:val="none"/>
            </w:rPr>
            <w:t xml:space="preserve"> </w:t>
          </w:r>
          <w:hyperlink w:anchor="_Toc465354089" w:history="1">
            <w:r w:rsidR="006B7B7A" w:rsidRPr="00D17DCB">
              <w:rPr>
                <w:rStyle w:val="Hyperlink"/>
                <w:rFonts w:ascii="Arial Narrow" w:hAnsi="Arial Narrow"/>
                <w:b/>
                <w:noProof/>
              </w:rPr>
              <w:t>8.3</w:t>
            </w:r>
            <w:r w:rsidR="006B7B7A">
              <w:rPr>
                <w:rFonts w:asciiTheme="minorHAnsi" w:eastAsiaTheme="minorEastAsia" w:hAnsiTheme="minorHAnsi" w:cstheme="minorBidi"/>
                <w:noProof/>
                <w:lang w:val="en-AU" w:eastAsia="en-AU"/>
              </w:rPr>
              <w:tab/>
            </w:r>
            <w:r w:rsidR="006B7B7A" w:rsidRPr="00D17DCB">
              <w:rPr>
                <w:rStyle w:val="Hyperlink"/>
                <w:rFonts w:ascii="Arial Narrow" w:hAnsi="Arial Narrow"/>
                <w:b/>
                <w:noProof/>
              </w:rPr>
              <w:t>Competition</w:t>
            </w:r>
            <w:r w:rsidR="006B7B7A">
              <w:rPr>
                <w:noProof/>
                <w:webHidden/>
              </w:rPr>
              <w:tab/>
            </w:r>
            <w:r w:rsidR="006B7B7A">
              <w:rPr>
                <w:noProof/>
                <w:webHidden/>
              </w:rPr>
              <w:fldChar w:fldCharType="begin"/>
            </w:r>
            <w:r w:rsidR="006B7B7A">
              <w:rPr>
                <w:noProof/>
                <w:webHidden/>
              </w:rPr>
              <w:instrText xml:space="preserve"> PAGEREF _Toc465354089 \h </w:instrText>
            </w:r>
            <w:r w:rsidR="006B7B7A">
              <w:rPr>
                <w:noProof/>
                <w:webHidden/>
              </w:rPr>
            </w:r>
            <w:r w:rsidR="006B7B7A">
              <w:rPr>
                <w:noProof/>
                <w:webHidden/>
              </w:rPr>
              <w:fldChar w:fldCharType="separate"/>
            </w:r>
            <w:r w:rsidR="006B7B7A">
              <w:rPr>
                <w:noProof/>
                <w:webHidden/>
              </w:rPr>
              <w:t>11</w:t>
            </w:r>
            <w:r w:rsidR="006B7B7A">
              <w:rPr>
                <w:noProof/>
                <w:webHidden/>
              </w:rPr>
              <w:fldChar w:fldCharType="end"/>
            </w:r>
          </w:hyperlink>
        </w:p>
        <w:p w:rsidR="006B7B7A" w:rsidRDefault="0096020C" w:rsidP="0096020C">
          <w:pPr>
            <w:pStyle w:val="TOC3"/>
            <w:rPr>
              <w:rFonts w:asciiTheme="minorHAnsi" w:eastAsiaTheme="minorEastAsia" w:hAnsiTheme="minorHAnsi" w:cstheme="minorBidi"/>
              <w:noProof/>
              <w:lang w:val="en-AU" w:eastAsia="en-AU"/>
            </w:rPr>
          </w:pPr>
          <w:r>
            <w:t xml:space="preserve">   </w:t>
          </w:r>
          <w:hyperlink w:anchor="_Toc465354090" w:history="1">
            <w:r w:rsidR="006B7B7A" w:rsidRPr="00D17DCB">
              <w:rPr>
                <w:rStyle w:val="Hyperlink"/>
                <w:rFonts w:ascii="Arial Narrow" w:hAnsi="Arial Narrow"/>
                <w:noProof/>
              </w:rPr>
              <w:t>8.3.1</w:t>
            </w:r>
            <w:r w:rsidR="006B7B7A">
              <w:rPr>
                <w:rFonts w:asciiTheme="minorHAnsi" w:eastAsiaTheme="minorEastAsia" w:hAnsiTheme="minorHAnsi" w:cstheme="minorBidi"/>
                <w:noProof/>
                <w:lang w:val="en-AU" w:eastAsia="en-AU"/>
              </w:rPr>
              <w:tab/>
            </w:r>
            <w:r>
              <w:rPr>
                <w:rFonts w:asciiTheme="minorHAnsi" w:eastAsiaTheme="minorEastAsia" w:hAnsiTheme="minorHAnsi" w:cstheme="minorBidi"/>
                <w:noProof/>
                <w:lang w:val="en-AU" w:eastAsia="en-AU"/>
              </w:rPr>
              <w:t xml:space="preserve">   </w:t>
            </w:r>
            <w:r w:rsidR="006B7B7A" w:rsidRPr="00D17DCB">
              <w:rPr>
                <w:rStyle w:val="Hyperlink"/>
                <w:rFonts w:ascii="Arial Narrow" w:hAnsi="Arial Narrow"/>
                <w:noProof/>
              </w:rPr>
              <w:t>Extensive existing competition</w:t>
            </w:r>
            <w:r w:rsidR="006B7B7A">
              <w:rPr>
                <w:noProof/>
                <w:webHidden/>
              </w:rPr>
              <w:tab/>
            </w:r>
            <w:r w:rsidR="006B7B7A">
              <w:rPr>
                <w:noProof/>
                <w:webHidden/>
              </w:rPr>
              <w:fldChar w:fldCharType="begin"/>
            </w:r>
            <w:r w:rsidR="006B7B7A">
              <w:rPr>
                <w:noProof/>
                <w:webHidden/>
              </w:rPr>
              <w:instrText xml:space="preserve"> PAGEREF _Toc465354090 \h </w:instrText>
            </w:r>
            <w:r w:rsidR="006B7B7A">
              <w:rPr>
                <w:noProof/>
                <w:webHidden/>
              </w:rPr>
            </w:r>
            <w:r w:rsidR="006B7B7A">
              <w:rPr>
                <w:noProof/>
                <w:webHidden/>
              </w:rPr>
              <w:fldChar w:fldCharType="separate"/>
            </w:r>
            <w:r w:rsidR="006B7B7A">
              <w:rPr>
                <w:noProof/>
                <w:webHidden/>
              </w:rPr>
              <w:t>12</w:t>
            </w:r>
            <w:r w:rsidR="006B7B7A">
              <w:rPr>
                <w:noProof/>
                <w:webHidden/>
              </w:rPr>
              <w:fldChar w:fldCharType="end"/>
            </w:r>
          </w:hyperlink>
        </w:p>
        <w:p w:rsidR="006B7B7A" w:rsidRDefault="0096020C" w:rsidP="0096020C">
          <w:pPr>
            <w:pStyle w:val="TOC3"/>
            <w:rPr>
              <w:rFonts w:asciiTheme="minorHAnsi" w:eastAsiaTheme="minorEastAsia" w:hAnsiTheme="minorHAnsi" w:cstheme="minorBidi"/>
              <w:noProof/>
              <w:lang w:val="en-AU" w:eastAsia="en-AU"/>
            </w:rPr>
          </w:pPr>
          <w:r>
            <w:t xml:space="preserve">   </w:t>
          </w:r>
          <w:hyperlink w:anchor="_Toc465354091" w:history="1">
            <w:r w:rsidR="006B7B7A" w:rsidRPr="00D17DCB">
              <w:rPr>
                <w:rStyle w:val="Hyperlink"/>
                <w:rFonts w:ascii="Arial Narrow" w:hAnsi="Arial Narrow"/>
                <w:noProof/>
              </w:rPr>
              <w:t>8.3.2</w:t>
            </w:r>
            <w:r w:rsidR="006B7B7A">
              <w:rPr>
                <w:rFonts w:asciiTheme="minorHAnsi" w:eastAsiaTheme="minorEastAsia" w:hAnsiTheme="minorHAnsi" w:cstheme="minorBidi"/>
                <w:noProof/>
                <w:lang w:val="en-AU" w:eastAsia="en-AU"/>
              </w:rPr>
              <w:tab/>
            </w:r>
            <w:r>
              <w:rPr>
                <w:rFonts w:asciiTheme="minorHAnsi" w:eastAsiaTheme="minorEastAsia" w:hAnsiTheme="minorHAnsi" w:cstheme="minorBidi"/>
                <w:noProof/>
                <w:lang w:val="en-AU" w:eastAsia="en-AU"/>
              </w:rPr>
              <w:t xml:space="preserve">   </w:t>
            </w:r>
            <w:r w:rsidR="006B7B7A" w:rsidRPr="00D17DCB">
              <w:rPr>
                <w:rStyle w:val="Hyperlink"/>
                <w:rFonts w:ascii="Arial Narrow" w:hAnsi="Arial Narrow"/>
                <w:noProof/>
              </w:rPr>
              <w:t>“Race to the Bottom”</w:t>
            </w:r>
            <w:r w:rsidR="006B7B7A">
              <w:rPr>
                <w:noProof/>
                <w:webHidden/>
              </w:rPr>
              <w:tab/>
            </w:r>
            <w:r w:rsidR="006B7B7A">
              <w:rPr>
                <w:noProof/>
                <w:webHidden/>
              </w:rPr>
              <w:fldChar w:fldCharType="begin"/>
            </w:r>
            <w:r w:rsidR="006B7B7A">
              <w:rPr>
                <w:noProof/>
                <w:webHidden/>
              </w:rPr>
              <w:instrText xml:space="preserve"> PAGEREF _Toc465354091 \h </w:instrText>
            </w:r>
            <w:r w:rsidR="006B7B7A">
              <w:rPr>
                <w:noProof/>
                <w:webHidden/>
              </w:rPr>
            </w:r>
            <w:r w:rsidR="006B7B7A">
              <w:rPr>
                <w:noProof/>
                <w:webHidden/>
              </w:rPr>
              <w:fldChar w:fldCharType="separate"/>
            </w:r>
            <w:r w:rsidR="006B7B7A">
              <w:rPr>
                <w:noProof/>
                <w:webHidden/>
              </w:rPr>
              <w:t>12</w:t>
            </w:r>
            <w:r w:rsidR="006B7B7A">
              <w:rPr>
                <w:noProof/>
                <w:webHidden/>
              </w:rPr>
              <w:fldChar w:fldCharType="end"/>
            </w:r>
          </w:hyperlink>
        </w:p>
        <w:p w:rsidR="006B7B7A" w:rsidRDefault="00BF71E1" w:rsidP="0096020C">
          <w:pPr>
            <w:pStyle w:val="TOC2"/>
            <w:rPr>
              <w:rFonts w:asciiTheme="minorHAnsi" w:eastAsiaTheme="minorEastAsia" w:hAnsiTheme="minorHAnsi" w:cstheme="minorBidi"/>
              <w:noProof/>
              <w:lang w:val="en-AU" w:eastAsia="en-AU"/>
            </w:rPr>
          </w:pPr>
          <w:hyperlink w:anchor="_Toc465354092" w:history="1">
            <w:r w:rsidR="006B7B7A" w:rsidRPr="00D17DCB">
              <w:rPr>
                <w:rStyle w:val="Hyperlink"/>
                <w:rFonts w:ascii="Arial Narrow" w:hAnsi="Arial Narrow"/>
                <w:b/>
                <w:noProof/>
              </w:rPr>
              <w:t xml:space="preserve">8.4 </w:t>
            </w:r>
            <w:r w:rsidR="006B7B7A">
              <w:rPr>
                <w:rStyle w:val="Hyperlink"/>
                <w:rFonts w:ascii="Arial Narrow" w:hAnsi="Arial Narrow"/>
                <w:b/>
                <w:noProof/>
              </w:rPr>
              <w:t xml:space="preserve">     </w:t>
            </w:r>
            <w:r w:rsidR="006B7B7A" w:rsidRPr="00D17DCB">
              <w:rPr>
                <w:rStyle w:val="Hyperlink"/>
                <w:rFonts w:ascii="Arial Narrow" w:hAnsi="Arial Narrow"/>
                <w:b/>
                <w:noProof/>
              </w:rPr>
              <w:t>Integrity</w:t>
            </w:r>
            <w:r w:rsidR="006B7B7A">
              <w:rPr>
                <w:noProof/>
                <w:webHidden/>
              </w:rPr>
              <w:tab/>
            </w:r>
            <w:r w:rsidR="006B7B7A">
              <w:rPr>
                <w:noProof/>
                <w:webHidden/>
              </w:rPr>
              <w:fldChar w:fldCharType="begin"/>
            </w:r>
            <w:r w:rsidR="006B7B7A">
              <w:rPr>
                <w:noProof/>
                <w:webHidden/>
              </w:rPr>
              <w:instrText xml:space="preserve"> PAGEREF _Toc465354092 \h </w:instrText>
            </w:r>
            <w:r w:rsidR="006B7B7A">
              <w:rPr>
                <w:noProof/>
                <w:webHidden/>
              </w:rPr>
            </w:r>
            <w:r w:rsidR="006B7B7A">
              <w:rPr>
                <w:noProof/>
                <w:webHidden/>
              </w:rPr>
              <w:fldChar w:fldCharType="separate"/>
            </w:r>
            <w:r w:rsidR="006B7B7A">
              <w:rPr>
                <w:noProof/>
                <w:webHidden/>
              </w:rPr>
              <w:t>13</w:t>
            </w:r>
            <w:r w:rsidR="006B7B7A">
              <w:rPr>
                <w:noProof/>
                <w:webHidden/>
              </w:rPr>
              <w:fldChar w:fldCharType="end"/>
            </w:r>
          </w:hyperlink>
        </w:p>
        <w:p w:rsidR="006B7B7A" w:rsidRDefault="00BF71E1" w:rsidP="0096020C">
          <w:pPr>
            <w:pStyle w:val="TOC2"/>
            <w:rPr>
              <w:rFonts w:asciiTheme="minorHAnsi" w:eastAsiaTheme="minorEastAsia" w:hAnsiTheme="minorHAnsi" w:cstheme="minorBidi"/>
              <w:noProof/>
              <w:lang w:val="en-AU" w:eastAsia="en-AU"/>
            </w:rPr>
          </w:pPr>
          <w:hyperlink w:anchor="_Toc465354093" w:history="1">
            <w:r w:rsidR="006B7B7A" w:rsidRPr="00D17DCB">
              <w:rPr>
                <w:rStyle w:val="Hyperlink"/>
                <w:rFonts w:ascii="Arial Narrow" w:hAnsi="Arial Narrow"/>
                <w:b/>
                <w:noProof/>
              </w:rPr>
              <w:t>8.5</w:t>
            </w:r>
            <w:r w:rsidR="006B7B7A">
              <w:rPr>
                <w:rFonts w:asciiTheme="minorHAnsi" w:eastAsiaTheme="minorEastAsia" w:hAnsiTheme="minorHAnsi" w:cstheme="minorBidi"/>
                <w:noProof/>
                <w:lang w:val="en-AU" w:eastAsia="en-AU"/>
              </w:rPr>
              <w:tab/>
            </w:r>
            <w:r w:rsidR="006B7B7A" w:rsidRPr="00D17DCB">
              <w:rPr>
                <w:rStyle w:val="Hyperlink"/>
                <w:rFonts w:ascii="Arial Narrow" w:hAnsi="Arial Narrow"/>
                <w:b/>
                <w:noProof/>
              </w:rPr>
              <w:t>Stability</w:t>
            </w:r>
            <w:r w:rsidR="006B7B7A">
              <w:rPr>
                <w:noProof/>
                <w:webHidden/>
              </w:rPr>
              <w:tab/>
            </w:r>
            <w:r w:rsidR="006B7B7A">
              <w:rPr>
                <w:noProof/>
                <w:webHidden/>
              </w:rPr>
              <w:fldChar w:fldCharType="begin"/>
            </w:r>
            <w:r w:rsidR="006B7B7A">
              <w:rPr>
                <w:noProof/>
                <w:webHidden/>
              </w:rPr>
              <w:instrText xml:space="preserve"> PAGEREF _Toc465354093 \h </w:instrText>
            </w:r>
            <w:r w:rsidR="006B7B7A">
              <w:rPr>
                <w:noProof/>
                <w:webHidden/>
              </w:rPr>
            </w:r>
            <w:r w:rsidR="006B7B7A">
              <w:rPr>
                <w:noProof/>
                <w:webHidden/>
              </w:rPr>
              <w:fldChar w:fldCharType="separate"/>
            </w:r>
            <w:r w:rsidR="006B7B7A">
              <w:rPr>
                <w:noProof/>
                <w:webHidden/>
              </w:rPr>
              <w:t>13</w:t>
            </w:r>
            <w:r w:rsidR="006B7B7A">
              <w:rPr>
                <w:noProof/>
                <w:webHidden/>
              </w:rPr>
              <w:fldChar w:fldCharType="end"/>
            </w:r>
          </w:hyperlink>
        </w:p>
        <w:p w:rsidR="006B7B7A" w:rsidRDefault="00BF71E1" w:rsidP="0096020C">
          <w:pPr>
            <w:pStyle w:val="TOC2"/>
            <w:rPr>
              <w:rFonts w:asciiTheme="minorHAnsi" w:eastAsiaTheme="minorEastAsia" w:hAnsiTheme="minorHAnsi" w:cstheme="minorBidi"/>
              <w:noProof/>
              <w:lang w:val="en-AU" w:eastAsia="en-AU"/>
            </w:rPr>
          </w:pPr>
          <w:hyperlink w:anchor="_Toc465354094" w:history="1">
            <w:r w:rsidR="006B7B7A" w:rsidRPr="00D17DCB">
              <w:rPr>
                <w:rStyle w:val="Hyperlink"/>
                <w:rFonts w:ascii="Arial Narrow" w:hAnsi="Arial Narrow"/>
                <w:b/>
                <w:noProof/>
              </w:rPr>
              <w:t>8.6</w:t>
            </w:r>
            <w:r w:rsidR="006B7B7A">
              <w:rPr>
                <w:rFonts w:asciiTheme="minorHAnsi" w:eastAsiaTheme="minorEastAsia" w:hAnsiTheme="minorHAnsi" w:cstheme="minorBidi"/>
                <w:noProof/>
                <w:lang w:val="en-AU" w:eastAsia="en-AU"/>
              </w:rPr>
              <w:tab/>
            </w:r>
            <w:r w:rsidR="006B7B7A" w:rsidRPr="00D17DCB">
              <w:rPr>
                <w:rStyle w:val="Hyperlink"/>
                <w:rFonts w:ascii="Arial Narrow" w:hAnsi="Arial Narrow"/>
                <w:b/>
                <w:noProof/>
              </w:rPr>
              <w:t>System-wide costs</w:t>
            </w:r>
            <w:r w:rsidR="006B7B7A">
              <w:rPr>
                <w:noProof/>
                <w:webHidden/>
              </w:rPr>
              <w:tab/>
            </w:r>
            <w:r w:rsidR="006B7B7A">
              <w:rPr>
                <w:noProof/>
                <w:webHidden/>
              </w:rPr>
              <w:fldChar w:fldCharType="begin"/>
            </w:r>
            <w:r w:rsidR="006B7B7A">
              <w:rPr>
                <w:noProof/>
                <w:webHidden/>
              </w:rPr>
              <w:instrText xml:space="preserve"> PAGEREF _Toc465354094 \h </w:instrText>
            </w:r>
            <w:r w:rsidR="006B7B7A">
              <w:rPr>
                <w:noProof/>
                <w:webHidden/>
              </w:rPr>
            </w:r>
            <w:r w:rsidR="006B7B7A">
              <w:rPr>
                <w:noProof/>
                <w:webHidden/>
              </w:rPr>
              <w:fldChar w:fldCharType="separate"/>
            </w:r>
            <w:r w:rsidR="006B7B7A">
              <w:rPr>
                <w:noProof/>
                <w:webHidden/>
              </w:rPr>
              <w:t>14</w:t>
            </w:r>
            <w:r w:rsidR="006B7B7A">
              <w:rPr>
                <w:noProof/>
                <w:webHidden/>
              </w:rPr>
              <w:fldChar w:fldCharType="end"/>
            </w:r>
          </w:hyperlink>
        </w:p>
        <w:p w:rsidR="006B7B7A" w:rsidRDefault="0096020C" w:rsidP="0096020C">
          <w:pPr>
            <w:pStyle w:val="TOC3"/>
            <w:rPr>
              <w:rFonts w:asciiTheme="minorHAnsi" w:eastAsiaTheme="minorEastAsia" w:hAnsiTheme="minorHAnsi" w:cstheme="minorBidi"/>
              <w:noProof/>
              <w:lang w:val="en-AU" w:eastAsia="en-AU"/>
            </w:rPr>
          </w:pPr>
          <w:r>
            <w:t xml:space="preserve">   </w:t>
          </w:r>
          <w:hyperlink w:anchor="_Toc465354095" w:history="1">
            <w:r w:rsidR="006B7B7A" w:rsidRPr="00D17DCB">
              <w:rPr>
                <w:rStyle w:val="Hyperlink"/>
                <w:rFonts w:ascii="Arial Narrow" w:hAnsi="Arial Narrow"/>
                <w:noProof/>
              </w:rPr>
              <w:t>8.6.1</w:t>
            </w:r>
            <w:r w:rsidR="006B7B7A">
              <w:rPr>
                <w:rFonts w:asciiTheme="minorHAnsi" w:eastAsiaTheme="minorEastAsia" w:hAnsiTheme="minorHAnsi" w:cstheme="minorBidi"/>
                <w:noProof/>
                <w:lang w:val="en-AU" w:eastAsia="en-AU"/>
              </w:rPr>
              <w:tab/>
            </w:r>
            <w:r>
              <w:rPr>
                <w:rFonts w:asciiTheme="minorHAnsi" w:eastAsiaTheme="minorEastAsia" w:hAnsiTheme="minorHAnsi" w:cstheme="minorBidi"/>
                <w:noProof/>
                <w:lang w:val="en-AU" w:eastAsia="en-AU"/>
              </w:rPr>
              <w:t xml:space="preserve">   </w:t>
            </w:r>
            <w:r w:rsidR="006B7B7A" w:rsidRPr="00D17DCB">
              <w:rPr>
                <w:rStyle w:val="Hyperlink"/>
                <w:rFonts w:ascii="Arial Narrow" w:hAnsi="Arial Narrow"/>
                <w:noProof/>
              </w:rPr>
              <w:t>Issues for employers in relation to choosing default funds</w:t>
            </w:r>
            <w:r w:rsidR="006B7B7A">
              <w:rPr>
                <w:noProof/>
                <w:webHidden/>
              </w:rPr>
              <w:tab/>
            </w:r>
            <w:r w:rsidR="006B7B7A">
              <w:rPr>
                <w:noProof/>
                <w:webHidden/>
              </w:rPr>
              <w:fldChar w:fldCharType="begin"/>
            </w:r>
            <w:r w:rsidR="006B7B7A">
              <w:rPr>
                <w:noProof/>
                <w:webHidden/>
              </w:rPr>
              <w:instrText xml:space="preserve"> PAGEREF _Toc465354095 \h </w:instrText>
            </w:r>
            <w:r w:rsidR="006B7B7A">
              <w:rPr>
                <w:noProof/>
                <w:webHidden/>
              </w:rPr>
            </w:r>
            <w:r w:rsidR="006B7B7A">
              <w:rPr>
                <w:noProof/>
                <w:webHidden/>
              </w:rPr>
              <w:fldChar w:fldCharType="separate"/>
            </w:r>
            <w:r w:rsidR="006B7B7A">
              <w:rPr>
                <w:noProof/>
                <w:webHidden/>
              </w:rPr>
              <w:t>14</w:t>
            </w:r>
            <w:r w:rsidR="006B7B7A">
              <w:rPr>
                <w:noProof/>
                <w:webHidden/>
              </w:rPr>
              <w:fldChar w:fldCharType="end"/>
            </w:r>
          </w:hyperlink>
        </w:p>
        <w:p w:rsidR="006B7B7A" w:rsidRDefault="006B7B7A" w:rsidP="00A53BF0">
          <w:pPr>
            <w:spacing w:line="288" w:lineRule="auto"/>
          </w:pPr>
          <w:r>
            <w:rPr>
              <w:b/>
              <w:bCs/>
              <w:noProof/>
            </w:rPr>
            <w:fldChar w:fldCharType="end"/>
          </w:r>
        </w:p>
      </w:sdtContent>
    </w:sdt>
    <w:p w:rsidR="006B7B7A" w:rsidRDefault="006B7B7A">
      <w:pPr>
        <w:rPr>
          <w:rFonts w:ascii="Arial" w:hAnsi="Arial" w:cs="Arial"/>
          <w:b/>
          <w:bCs/>
          <w:kern w:val="32"/>
          <w:sz w:val="28"/>
          <w:szCs w:val="28"/>
        </w:rPr>
      </w:pPr>
      <w:r>
        <w:rPr>
          <w:rFonts w:ascii="Arial" w:hAnsi="Arial"/>
          <w:szCs w:val="28"/>
        </w:rPr>
        <w:br w:type="page"/>
      </w:r>
    </w:p>
    <w:p w:rsidR="006C3F9A" w:rsidRDefault="006C3F9A" w:rsidP="006C3F9A">
      <w:pPr>
        <w:pStyle w:val="Heading1"/>
        <w:spacing w:before="0" w:after="0"/>
        <w:jc w:val="center"/>
        <w:rPr>
          <w:rFonts w:ascii="Arial" w:hAnsi="Arial"/>
          <w:szCs w:val="28"/>
        </w:rPr>
      </w:pPr>
      <w:r>
        <w:rPr>
          <w:rFonts w:ascii="Arial" w:hAnsi="Arial"/>
          <w:szCs w:val="28"/>
        </w:rPr>
        <w:lastRenderedPageBreak/>
        <w:t>RETAIL EMPLOYEES SUPERANNUATION PTY LIMITED</w:t>
      </w:r>
      <w:r w:rsidR="004202C2">
        <w:rPr>
          <w:rFonts w:ascii="Arial" w:hAnsi="Arial"/>
          <w:szCs w:val="28"/>
        </w:rPr>
        <w:t xml:space="preserve"> AS TRUSTEE FOR THE RETAIL EMPLOYEES SUPERANNUATION TRUST</w:t>
      </w:r>
    </w:p>
    <w:p w:rsidR="004202C2" w:rsidRPr="004202C2" w:rsidRDefault="004202C2" w:rsidP="004202C2">
      <w:pPr>
        <w:pStyle w:val="BodyText"/>
      </w:pPr>
    </w:p>
    <w:p w:rsidR="0022740C" w:rsidRDefault="006C3F9A" w:rsidP="006C3F9A">
      <w:pPr>
        <w:pStyle w:val="Heading1"/>
        <w:spacing w:before="0" w:after="0"/>
        <w:jc w:val="center"/>
        <w:rPr>
          <w:rFonts w:ascii="Arial" w:hAnsi="Arial"/>
          <w:szCs w:val="28"/>
        </w:rPr>
      </w:pPr>
      <w:r>
        <w:rPr>
          <w:rFonts w:ascii="Arial" w:hAnsi="Arial"/>
          <w:szCs w:val="28"/>
        </w:rPr>
        <w:t xml:space="preserve">SUBMISSION </w:t>
      </w:r>
    </w:p>
    <w:p w:rsidR="00C936B0" w:rsidRPr="00041DEB" w:rsidRDefault="00C936B0" w:rsidP="009E05DF">
      <w:pPr>
        <w:jc w:val="both"/>
        <w:rPr>
          <w:rFonts w:ascii="Arial" w:hAnsi="Arial" w:cs="Arial"/>
          <w:b/>
          <w:sz w:val="28"/>
          <w:szCs w:val="28"/>
        </w:rPr>
      </w:pPr>
    </w:p>
    <w:p w:rsidR="005971DE" w:rsidRPr="00041DEB" w:rsidRDefault="00203827" w:rsidP="00041DEB">
      <w:pPr>
        <w:jc w:val="center"/>
        <w:rPr>
          <w:rFonts w:ascii="Arial" w:hAnsi="Arial" w:cs="Arial"/>
          <w:b/>
          <w:sz w:val="28"/>
          <w:szCs w:val="28"/>
        </w:rPr>
      </w:pPr>
      <w:r w:rsidRPr="00041DEB">
        <w:rPr>
          <w:rFonts w:ascii="Arial" w:hAnsi="Arial" w:cs="Arial"/>
          <w:b/>
          <w:sz w:val="28"/>
          <w:szCs w:val="28"/>
        </w:rPr>
        <w:t xml:space="preserve">SUPERANNUATION </w:t>
      </w:r>
      <w:r w:rsidR="00131DF5" w:rsidRPr="00041DEB">
        <w:rPr>
          <w:rFonts w:ascii="Arial" w:hAnsi="Arial" w:cs="Arial"/>
          <w:b/>
          <w:sz w:val="28"/>
          <w:szCs w:val="28"/>
        </w:rPr>
        <w:t xml:space="preserve">ALTERNATIVE </w:t>
      </w:r>
      <w:r w:rsidRPr="00041DEB">
        <w:rPr>
          <w:rFonts w:ascii="Arial" w:hAnsi="Arial" w:cs="Arial"/>
          <w:b/>
          <w:sz w:val="28"/>
          <w:szCs w:val="28"/>
        </w:rPr>
        <w:t>DEFAULT MODELS: PRODUCTIVITY COM</w:t>
      </w:r>
      <w:r w:rsidR="00AD43AD" w:rsidRPr="00041DEB">
        <w:rPr>
          <w:rFonts w:ascii="Arial" w:hAnsi="Arial" w:cs="Arial"/>
          <w:b/>
          <w:sz w:val="28"/>
          <w:szCs w:val="28"/>
        </w:rPr>
        <w:t>M</w:t>
      </w:r>
      <w:r w:rsidRPr="00041DEB">
        <w:rPr>
          <w:rFonts w:ascii="Arial" w:hAnsi="Arial" w:cs="Arial"/>
          <w:b/>
          <w:sz w:val="28"/>
          <w:szCs w:val="28"/>
        </w:rPr>
        <w:t>ISSION ISSUES PAPER</w:t>
      </w:r>
    </w:p>
    <w:p w:rsidR="00C80FAE" w:rsidRDefault="00C80FAE" w:rsidP="009E05DF">
      <w:pPr>
        <w:jc w:val="both"/>
        <w:rPr>
          <w:rFonts w:ascii="Arial" w:hAnsi="Arial" w:cs="Arial"/>
          <w:b/>
          <w:sz w:val="20"/>
          <w:szCs w:val="20"/>
        </w:rPr>
      </w:pPr>
    </w:p>
    <w:p w:rsidR="00C80FAE" w:rsidRPr="00131DF5" w:rsidRDefault="00C80FAE" w:rsidP="009E05DF">
      <w:pPr>
        <w:jc w:val="both"/>
        <w:rPr>
          <w:rFonts w:ascii="Arial" w:hAnsi="Arial" w:cs="Arial"/>
          <w:b/>
          <w:sz w:val="20"/>
          <w:szCs w:val="20"/>
        </w:rPr>
      </w:pPr>
    </w:p>
    <w:p w:rsidR="00203827" w:rsidRPr="00041DEB" w:rsidRDefault="008402CC" w:rsidP="00A53BF0">
      <w:pPr>
        <w:pStyle w:val="Heading1"/>
        <w:numPr>
          <w:ilvl w:val="0"/>
          <w:numId w:val="21"/>
        </w:numPr>
      </w:pPr>
      <w:bookmarkStart w:id="0" w:name="_Toc465352945"/>
      <w:bookmarkStart w:id="1" w:name="_Toc465354077"/>
      <w:r w:rsidRPr="00041DEB">
        <w:t>Introduction</w:t>
      </w:r>
      <w:bookmarkEnd w:id="0"/>
      <w:bookmarkEnd w:id="1"/>
      <w:r w:rsidR="008C670E" w:rsidRPr="00041DEB">
        <w:t xml:space="preserve"> </w:t>
      </w:r>
    </w:p>
    <w:p w:rsidR="008C670E" w:rsidRDefault="008C670E" w:rsidP="009E05DF">
      <w:pPr>
        <w:jc w:val="both"/>
        <w:rPr>
          <w:rFonts w:ascii="Arial" w:hAnsi="Arial" w:cs="Arial"/>
          <w:b/>
          <w:sz w:val="20"/>
          <w:szCs w:val="20"/>
        </w:rPr>
      </w:pPr>
    </w:p>
    <w:p w:rsidR="00AD43AD" w:rsidRDefault="008C670E" w:rsidP="009E05DF">
      <w:pPr>
        <w:jc w:val="both"/>
        <w:rPr>
          <w:rFonts w:ascii="Arial" w:hAnsi="Arial" w:cs="Arial"/>
          <w:sz w:val="20"/>
          <w:szCs w:val="20"/>
        </w:rPr>
      </w:pPr>
      <w:r w:rsidRPr="008402CC">
        <w:rPr>
          <w:rFonts w:ascii="Arial" w:hAnsi="Arial" w:cs="Arial"/>
          <w:sz w:val="20"/>
          <w:szCs w:val="20"/>
        </w:rPr>
        <w:t>The Retail Employees Superann</w:t>
      </w:r>
      <w:r w:rsidR="008402CC" w:rsidRPr="008402CC">
        <w:rPr>
          <w:rFonts w:ascii="Arial" w:hAnsi="Arial" w:cs="Arial"/>
          <w:sz w:val="20"/>
          <w:szCs w:val="20"/>
        </w:rPr>
        <w:t>uation</w:t>
      </w:r>
      <w:r w:rsidRPr="008402CC">
        <w:rPr>
          <w:rFonts w:ascii="Arial" w:hAnsi="Arial" w:cs="Arial"/>
          <w:sz w:val="20"/>
          <w:szCs w:val="20"/>
        </w:rPr>
        <w:t xml:space="preserve"> Trust (REST) is open to all Australians and is one of the largest superann</w:t>
      </w:r>
      <w:r w:rsidR="008402CC" w:rsidRPr="008402CC">
        <w:rPr>
          <w:rFonts w:ascii="Arial" w:hAnsi="Arial" w:cs="Arial"/>
          <w:sz w:val="20"/>
          <w:szCs w:val="20"/>
        </w:rPr>
        <w:t>uation</w:t>
      </w:r>
      <w:r w:rsidRPr="008402CC">
        <w:rPr>
          <w:rFonts w:ascii="Arial" w:hAnsi="Arial" w:cs="Arial"/>
          <w:sz w:val="20"/>
          <w:szCs w:val="20"/>
        </w:rPr>
        <w:t xml:space="preserve"> funds </w:t>
      </w:r>
      <w:r w:rsidR="00EA10A8" w:rsidRPr="008402CC">
        <w:rPr>
          <w:rFonts w:ascii="Arial" w:hAnsi="Arial" w:cs="Arial"/>
          <w:sz w:val="20"/>
          <w:szCs w:val="20"/>
        </w:rPr>
        <w:t>by membership in Australia. It h</w:t>
      </w:r>
      <w:r w:rsidRPr="008402CC">
        <w:rPr>
          <w:rFonts w:ascii="Arial" w:hAnsi="Arial" w:cs="Arial"/>
          <w:sz w:val="20"/>
          <w:szCs w:val="20"/>
        </w:rPr>
        <w:t xml:space="preserve">as </w:t>
      </w:r>
      <w:r w:rsidR="007F10E3">
        <w:rPr>
          <w:rFonts w:ascii="Arial" w:hAnsi="Arial" w:cs="Arial"/>
          <w:sz w:val="20"/>
          <w:szCs w:val="20"/>
        </w:rPr>
        <w:t xml:space="preserve">around </w:t>
      </w:r>
      <w:r w:rsidR="0074614C">
        <w:rPr>
          <w:rFonts w:ascii="Arial" w:hAnsi="Arial" w:cs="Arial"/>
          <w:sz w:val="20"/>
          <w:szCs w:val="20"/>
        </w:rPr>
        <w:t xml:space="preserve">1.9 </w:t>
      </w:r>
      <w:r w:rsidRPr="008402CC">
        <w:rPr>
          <w:rFonts w:ascii="Arial" w:hAnsi="Arial" w:cs="Arial"/>
          <w:sz w:val="20"/>
          <w:szCs w:val="20"/>
        </w:rPr>
        <w:t>million members with more than $</w:t>
      </w:r>
      <w:proofErr w:type="spellStart"/>
      <w:r w:rsidRPr="008402CC">
        <w:rPr>
          <w:rFonts w:ascii="Arial" w:hAnsi="Arial" w:cs="Arial"/>
          <w:sz w:val="20"/>
          <w:szCs w:val="20"/>
        </w:rPr>
        <w:t>3</w:t>
      </w:r>
      <w:r w:rsidR="009A4FDB">
        <w:rPr>
          <w:rFonts w:ascii="Arial" w:hAnsi="Arial" w:cs="Arial"/>
          <w:sz w:val="20"/>
          <w:szCs w:val="20"/>
        </w:rPr>
        <w:t>9</w:t>
      </w:r>
      <w:r w:rsidRPr="008402CC">
        <w:rPr>
          <w:rFonts w:ascii="Arial" w:hAnsi="Arial" w:cs="Arial"/>
          <w:sz w:val="20"/>
          <w:szCs w:val="20"/>
        </w:rPr>
        <w:t>bn</w:t>
      </w:r>
      <w:proofErr w:type="spellEnd"/>
      <w:r w:rsidRPr="008402CC">
        <w:rPr>
          <w:rFonts w:ascii="Arial" w:hAnsi="Arial" w:cs="Arial"/>
          <w:sz w:val="20"/>
          <w:szCs w:val="20"/>
        </w:rPr>
        <w:t xml:space="preserve"> of funds under management.</w:t>
      </w:r>
      <w:r w:rsidR="00990AC1">
        <w:rPr>
          <w:rFonts w:ascii="Arial" w:hAnsi="Arial" w:cs="Arial"/>
          <w:sz w:val="20"/>
          <w:szCs w:val="20"/>
        </w:rPr>
        <w:t xml:space="preserve"> In addition, </w:t>
      </w:r>
      <w:r w:rsidR="00AD43AD">
        <w:rPr>
          <w:rFonts w:ascii="Arial" w:hAnsi="Arial" w:cs="Arial"/>
          <w:sz w:val="20"/>
          <w:szCs w:val="20"/>
        </w:rPr>
        <w:t xml:space="preserve">REST receives contributions from over </w:t>
      </w:r>
      <w:bookmarkStart w:id="2" w:name="_GoBack"/>
      <w:bookmarkEnd w:id="2"/>
      <w:r w:rsidR="00AD43AD">
        <w:rPr>
          <w:rFonts w:ascii="Arial" w:hAnsi="Arial" w:cs="Arial"/>
          <w:sz w:val="20"/>
          <w:szCs w:val="20"/>
        </w:rPr>
        <w:t>160,000 employers, from the smallest employers in the economy to some of the largest, with widely distributed workforces.</w:t>
      </w:r>
    </w:p>
    <w:p w:rsidR="008C670E" w:rsidRPr="008402CC" w:rsidRDefault="008C670E" w:rsidP="009E05DF">
      <w:pPr>
        <w:jc w:val="both"/>
        <w:rPr>
          <w:rFonts w:ascii="Arial" w:hAnsi="Arial" w:cs="Arial"/>
          <w:sz w:val="20"/>
          <w:szCs w:val="20"/>
        </w:rPr>
      </w:pPr>
    </w:p>
    <w:p w:rsidR="00BB1308" w:rsidRDefault="008C670E" w:rsidP="009E05DF">
      <w:pPr>
        <w:jc w:val="both"/>
        <w:rPr>
          <w:rFonts w:ascii="Arial" w:hAnsi="Arial" w:cs="Arial"/>
          <w:sz w:val="20"/>
          <w:szCs w:val="20"/>
        </w:rPr>
      </w:pPr>
      <w:r w:rsidRPr="008402CC">
        <w:rPr>
          <w:rFonts w:ascii="Arial" w:hAnsi="Arial" w:cs="Arial"/>
          <w:sz w:val="20"/>
          <w:szCs w:val="20"/>
        </w:rPr>
        <w:t xml:space="preserve">REST was originally set up as a superannuation fund for workers in the retail and fast food industries in 1988. </w:t>
      </w:r>
      <w:proofErr w:type="spellStart"/>
      <w:r w:rsidRPr="008402CC">
        <w:rPr>
          <w:rFonts w:ascii="Arial" w:hAnsi="Arial" w:cs="Arial"/>
          <w:sz w:val="20"/>
          <w:szCs w:val="20"/>
        </w:rPr>
        <w:t>REST’s</w:t>
      </w:r>
      <w:proofErr w:type="spellEnd"/>
      <w:r w:rsidRPr="008402CC">
        <w:rPr>
          <w:rFonts w:ascii="Arial" w:hAnsi="Arial" w:cs="Arial"/>
          <w:sz w:val="20"/>
          <w:szCs w:val="20"/>
        </w:rPr>
        <w:t xml:space="preserve"> membership comprises mainly younger retail workers </w:t>
      </w:r>
      <w:r w:rsidR="004532D6" w:rsidRPr="008402CC">
        <w:rPr>
          <w:rFonts w:ascii="Arial" w:hAnsi="Arial" w:cs="Arial"/>
          <w:sz w:val="20"/>
          <w:szCs w:val="20"/>
        </w:rPr>
        <w:t>with a</w:t>
      </w:r>
      <w:r w:rsidR="0019683C" w:rsidRPr="008402CC">
        <w:rPr>
          <w:rFonts w:ascii="Arial" w:hAnsi="Arial" w:cs="Arial"/>
          <w:sz w:val="20"/>
          <w:szCs w:val="20"/>
        </w:rPr>
        <w:t xml:space="preserve">n average age of 31.5. About </w:t>
      </w:r>
      <w:r w:rsidR="0019683C" w:rsidRPr="00C17501">
        <w:rPr>
          <w:rFonts w:ascii="Arial" w:hAnsi="Arial" w:cs="Arial"/>
          <w:sz w:val="20"/>
          <w:szCs w:val="20"/>
        </w:rPr>
        <w:t>22</w:t>
      </w:r>
      <w:r w:rsidR="003247A1" w:rsidRPr="008402CC">
        <w:rPr>
          <w:rFonts w:ascii="Arial" w:hAnsi="Arial" w:cs="Arial"/>
          <w:sz w:val="20"/>
          <w:szCs w:val="20"/>
        </w:rPr>
        <w:t xml:space="preserve"> </w:t>
      </w:r>
      <w:r w:rsidR="0019683C" w:rsidRPr="008402CC">
        <w:rPr>
          <w:rFonts w:ascii="Arial" w:hAnsi="Arial" w:cs="Arial"/>
          <w:sz w:val="20"/>
          <w:szCs w:val="20"/>
        </w:rPr>
        <w:t>p</w:t>
      </w:r>
      <w:r w:rsidR="004532D6" w:rsidRPr="008402CC">
        <w:rPr>
          <w:rFonts w:ascii="Arial" w:hAnsi="Arial" w:cs="Arial"/>
          <w:sz w:val="20"/>
          <w:szCs w:val="20"/>
        </w:rPr>
        <w:t>er cent of REST members are part-time and casual workers with a majority of female workers.</w:t>
      </w:r>
      <w:r w:rsidR="003247A1" w:rsidRPr="008402CC">
        <w:rPr>
          <w:rFonts w:ascii="Arial" w:hAnsi="Arial" w:cs="Arial"/>
          <w:sz w:val="20"/>
          <w:szCs w:val="20"/>
        </w:rPr>
        <w:t xml:space="preserve"> </w:t>
      </w:r>
      <w:r w:rsidR="00A824A4">
        <w:rPr>
          <w:rFonts w:ascii="Arial" w:hAnsi="Arial" w:cs="Arial"/>
          <w:sz w:val="20"/>
          <w:szCs w:val="20"/>
        </w:rPr>
        <w:t>97</w:t>
      </w:r>
      <w:r w:rsidR="00BB1308" w:rsidRPr="00BB1308">
        <w:rPr>
          <w:rFonts w:ascii="Arial" w:hAnsi="Arial" w:cs="Arial"/>
          <w:sz w:val="20"/>
          <w:szCs w:val="20"/>
        </w:rPr>
        <w:t xml:space="preserve"> % of </w:t>
      </w:r>
      <w:proofErr w:type="spellStart"/>
      <w:r w:rsidR="00BB1308" w:rsidRPr="00BB1308">
        <w:rPr>
          <w:rFonts w:ascii="Arial" w:hAnsi="Arial" w:cs="Arial"/>
          <w:sz w:val="20"/>
          <w:szCs w:val="20"/>
        </w:rPr>
        <w:t>REST’s</w:t>
      </w:r>
      <w:proofErr w:type="spellEnd"/>
      <w:r w:rsidR="00BB1308" w:rsidRPr="00BB1308">
        <w:rPr>
          <w:rFonts w:ascii="Arial" w:hAnsi="Arial" w:cs="Arial"/>
          <w:sz w:val="20"/>
          <w:szCs w:val="20"/>
        </w:rPr>
        <w:t xml:space="preserve"> members are in the default REST </w:t>
      </w:r>
      <w:proofErr w:type="spellStart"/>
      <w:r w:rsidR="00BB1308" w:rsidRPr="00BB1308">
        <w:rPr>
          <w:rFonts w:ascii="Arial" w:hAnsi="Arial" w:cs="Arial"/>
          <w:sz w:val="20"/>
          <w:szCs w:val="20"/>
        </w:rPr>
        <w:t>MySuper</w:t>
      </w:r>
      <w:proofErr w:type="spellEnd"/>
      <w:r w:rsidR="00BB1308" w:rsidRPr="00BB1308">
        <w:rPr>
          <w:rFonts w:ascii="Arial" w:hAnsi="Arial" w:cs="Arial"/>
          <w:sz w:val="20"/>
          <w:szCs w:val="20"/>
        </w:rPr>
        <w:t xml:space="preserve"> product </w:t>
      </w:r>
      <w:r w:rsidR="00553B65">
        <w:rPr>
          <w:rFonts w:ascii="Arial" w:hAnsi="Arial" w:cs="Arial"/>
          <w:sz w:val="20"/>
          <w:szCs w:val="20"/>
        </w:rPr>
        <w:t xml:space="preserve">and </w:t>
      </w:r>
      <w:r w:rsidR="009D4679">
        <w:rPr>
          <w:rFonts w:ascii="Arial" w:hAnsi="Arial" w:cs="Arial"/>
          <w:sz w:val="20"/>
          <w:szCs w:val="20"/>
        </w:rPr>
        <w:t>this</w:t>
      </w:r>
      <w:r w:rsidR="00553B65">
        <w:rPr>
          <w:rFonts w:ascii="Arial" w:hAnsi="Arial" w:cs="Arial"/>
          <w:sz w:val="20"/>
          <w:szCs w:val="20"/>
        </w:rPr>
        <w:t xml:space="preserve"> represents </w:t>
      </w:r>
      <w:r w:rsidR="009D4679">
        <w:rPr>
          <w:rFonts w:ascii="Arial" w:hAnsi="Arial" w:cs="Arial"/>
          <w:sz w:val="20"/>
          <w:szCs w:val="20"/>
        </w:rPr>
        <w:t>8</w:t>
      </w:r>
      <w:r w:rsidR="00E46281">
        <w:rPr>
          <w:rFonts w:ascii="Arial" w:hAnsi="Arial" w:cs="Arial"/>
          <w:sz w:val="20"/>
          <w:szCs w:val="20"/>
        </w:rPr>
        <w:t>5</w:t>
      </w:r>
      <w:r w:rsidR="009D4679">
        <w:rPr>
          <w:rFonts w:ascii="Arial" w:hAnsi="Arial" w:cs="Arial"/>
          <w:sz w:val="20"/>
          <w:szCs w:val="20"/>
        </w:rPr>
        <w:t>%</w:t>
      </w:r>
      <w:r w:rsidR="00553B65">
        <w:rPr>
          <w:rFonts w:ascii="Arial" w:hAnsi="Arial" w:cs="Arial"/>
          <w:sz w:val="20"/>
          <w:szCs w:val="20"/>
        </w:rPr>
        <w:t xml:space="preserve"> of </w:t>
      </w:r>
      <w:proofErr w:type="spellStart"/>
      <w:r w:rsidR="00553B65">
        <w:rPr>
          <w:rFonts w:ascii="Arial" w:hAnsi="Arial" w:cs="Arial"/>
          <w:sz w:val="20"/>
          <w:szCs w:val="20"/>
        </w:rPr>
        <w:t>REST’s</w:t>
      </w:r>
      <w:proofErr w:type="spellEnd"/>
      <w:r w:rsidR="00553B65">
        <w:rPr>
          <w:rFonts w:ascii="Arial" w:hAnsi="Arial" w:cs="Arial"/>
          <w:sz w:val="20"/>
          <w:szCs w:val="20"/>
        </w:rPr>
        <w:t xml:space="preserve"> total funds under management.</w:t>
      </w:r>
    </w:p>
    <w:p w:rsidR="00BB1308" w:rsidRDefault="00BB1308" w:rsidP="009E05DF">
      <w:pPr>
        <w:jc w:val="both"/>
        <w:rPr>
          <w:rFonts w:ascii="Arial" w:hAnsi="Arial" w:cs="Arial"/>
          <w:sz w:val="20"/>
          <w:szCs w:val="20"/>
        </w:rPr>
      </w:pPr>
    </w:p>
    <w:p w:rsidR="001B5947" w:rsidRDefault="00BB1308" w:rsidP="009E05DF">
      <w:pPr>
        <w:jc w:val="both"/>
        <w:rPr>
          <w:rFonts w:ascii="Arial" w:hAnsi="Arial" w:cs="Arial"/>
          <w:sz w:val="20"/>
          <w:szCs w:val="20"/>
        </w:rPr>
      </w:pPr>
      <w:proofErr w:type="spellStart"/>
      <w:r>
        <w:rPr>
          <w:rFonts w:ascii="Arial" w:hAnsi="Arial" w:cs="Arial"/>
          <w:sz w:val="20"/>
          <w:szCs w:val="20"/>
        </w:rPr>
        <w:t>REST’s</w:t>
      </w:r>
      <w:proofErr w:type="spellEnd"/>
      <w:r>
        <w:rPr>
          <w:rFonts w:ascii="Arial" w:hAnsi="Arial" w:cs="Arial"/>
          <w:sz w:val="20"/>
          <w:szCs w:val="20"/>
        </w:rPr>
        <w:t xml:space="preserve"> long history in operating a superannuation fund and its scale in terms of members, employers and funds under management, together with its </w:t>
      </w:r>
      <w:r w:rsidR="0074614C">
        <w:rPr>
          <w:rFonts w:ascii="Arial" w:hAnsi="Arial" w:cs="Arial"/>
          <w:sz w:val="20"/>
          <w:szCs w:val="20"/>
        </w:rPr>
        <w:t>young demographic</w:t>
      </w:r>
      <w:r>
        <w:rPr>
          <w:rFonts w:ascii="Arial" w:hAnsi="Arial" w:cs="Arial"/>
          <w:sz w:val="20"/>
          <w:szCs w:val="20"/>
        </w:rPr>
        <w:t xml:space="preserve"> of members,</w:t>
      </w:r>
      <w:r w:rsidR="0074614C">
        <w:rPr>
          <w:rFonts w:ascii="Arial" w:hAnsi="Arial" w:cs="Arial"/>
          <w:sz w:val="20"/>
          <w:szCs w:val="20"/>
        </w:rPr>
        <w:t xml:space="preserve"> high proportion of part-time and casual workers</w:t>
      </w:r>
      <w:r>
        <w:rPr>
          <w:rFonts w:ascii="Arial" w:hAnsi="Arial" w:cs="Arial"/>
          <w:sz w:val="20"/>
          <w:szCs w:val="20"/>
        </w:rPr>
        <w:t xml:space="preserve"> as members and high number of default members,</w:t>
      </w:r>
      <w:r w:rsidR="0074614C">
        <w:rPr>
          <w:rFonts w:ascii="Arial" w:hAnsi="Arial" w:cs="Arial"/>
          <w:sz w:val="20"/>
          <w:szCs w:val="20"/>
        </w:rPr>
        <w:t xml:space="preserve"> </w:t>
      </w:r>
      <w:r>
        <w:rPr>
          <w:rFonts w:ascii="Arial" w:hAnsi="Arial" w:cs="Arial"/>
          <w:sz w:val="20"/>
          <w:szCs w:val="20"/>
        </w:rPr>
        <w:t xml:space="preserve">places </w:t>
      </w:r>
      <w:r w:rsidR="0074614C">
        <w:rPr>
          <w:rFonts w:ascii="Arial" w:hAnsi="Arial" w:cs="Arial"/>
          <w:sz w:val="20"/>
          <w:szCs w:val="20"/>
        </w:rPr>
        <w:t xml:space="preserve">REST </w:t>
      </w:r>
      <w:r>
        <w:rPr>
          <w:rFonts w:ascii="Arial" w:hAnsi="Arial" w:cs="Arial"/>
          <w:sz w:val="20"/>
          <w:szCs w:val="20"/>
        </w:rPr>
        <w:t xml:space="preserve">in a relatively </w:t>
      </w:r>
      <w:r w:rsidR="0074614C">
        <w:rPr>
          <w:rFonts w:ascii="Arial" w:hAnsi="Arial" w:cs="Arial"/>
          <w:sz w:val="20"/>
          <w:szCs w:val="20"/>
        </w:rPr>
        <w:t>unique</w:t>
      </w:r>
      <w:r>
        <w:rPr>
          <w:rFonts w:ascii="Arial" w:hAnsi="Arial" w:cs="Arial"/>
          <w:sz w:val="20"/>
          <w:szCs w:val="20"/>
        </w:rPr>
        <w:t xml:space="preserve"> position to comment </w:t>
      </w:r>
      <w:r w:rsidR="00553B65">
        <w:rPr>
          <w:rFonts w:ascii="Arial" w:hAnsi="Arial" w:cs="Arial"/>
          <w:sz w:val="20"/>
          <w:szCs w:val="20"/>
        </w:rPr>
        <w:t>on</w:t>
      </w:r>
      <w:r>
        <w:rPr>
          <w:rFonts w:ascii="Arial" w:hAnsi="Arial" w:cs="Arial"/>
          <w:sz w:val="20"/>
          <w:szCs w:val="20"/>
        </w:rPr>
        <w:t xml:space="preserve"> what works and would not work for default fund models</w:t>
      </w:r>
      <w:r w:rsidR="0074614C">
        <w:rPr>
          <w:rFonts w:ascii="Arial" w:hAnsi="Arial" w:cs="Arial"/>
          <w:sz w:val="20"/>
          <w:szCs w:val="20"/>
        </w:rPr>
        <w:t>.</w:t>
      </w:r>
    </w:p>
    <w:p w:rsidR="00B037EE" w:rsidRDefault="00B037EE" w:rsidP="009E05DF">
      <w:pPr>
        <w:jc w:val="both"/>
        <w:rPr>
          <w:rFonts w:ascii="Arial" w:hAnsi="Arial" w:cs="Arial"/>
          <w:sz w:val="20"/>
          <w:szCs w:val="20"/>
        </w:rPr>
      </w:pPr>
    </w:p>
    <w:p w:rsidR="00DE6BA1" w:rsidRDefault="00B037EE" w:rsidP="009E05DF">
      <w:pPr>
        <w:jc w:val="both"/>
        <w:rPr>
          <w:rFonts w:ascii="Arial" w:hAnsi="Arial" w:cs="Arial"/>
          <w:sz w:val="20"/>
          <w:szCs w:val="20"/>
        </w:rPr>
      </w:pPr>
      <w:proofErr w:type="spellStart"/>
      <w:r>
        <w:rPr>
          <w:rFonts w:ascii="Arial" w:hAnsi="Arial" w:cs="Arial"/>
          <w:sz w:val="20"/>
          <w:szCs w:val="20"/>
        </w:rPr>
        <w:t>REST’s</w:t>
      </w:r>
      <w:proofErr w:type="spellEnd"/>
      <w:r>
        <w:rPr>
          <w:rFonts w:ascii="Arial" w:hAnsi="Arial" w:cs="Arial"/>
          <w:sz w:val="20"/>
          <w:szCs w:val="20"/>
        </w:rPr>
        <w:t xml:space="preserve"> creation (as well as other industry funds) arose </w:t>
      </w:r>
      <w:r w:rsidR="00C17501">
        <w:rPr>
          <w:rFonts w:ascii="Arial" w:hAnsi="Arial" w:cs="Arial"/>
          <w:sz w:val="20"/>
          <w:szCs w:val="20"/>
        </w:rPr>
        <w:t>out</w:t>
      </w:r>
      <w:r>
        <w:rPr>
          <w:rFonts w:ascii="Arial" w:hAnsi="Arial" w:cs="Arial"/>
          <w:sz w:val="20"/>
          <w:szCs w:val="20"/>
        </w:rPr>
        <w:t xml:space="preserve"> of an industrial accord entitlement whereby a 3 % productivity pay increase was forgone in lieu of superannuation contributions to be made by employers for their employees. This arrangement was documented in</w:t>
      </w:r>
      <w:r w:rsidR="00ED46D8">
        <w:rPr>
          <w:rFonts w:ascii="Arial" w:hAnsi="Arial" w:cs="Arial"/>
          <w:sz w:val="20"/>
          <w:szCs w:val="20"/>
        </w:rPr>
        <w:t xml:space="preserve"> the precursor to the modern industrial a</w:t>
      </w:r>
      <w:r>
        <w:rPr>
          <w:rFonts w:ascii="Arial" w:hAnsi="Arial" w:cs="Arial"/>
          <w:sz w:val="20"/>
          <w:szCs w:val="20"/>
        </w:rPr>
        <w:t xml:space="preserve">wards. In 1992, compulsory employer contributions </w:t>
      </w:r>
      <w:r w:rsidR="00ED46D8">
        <w:rPr>
          <w:rFonts w:ascii="Arial" w:hAnsi="Arial" w:cs="Arial"/>
          <w:sz w:val="20"/>
          <w:szCs w:val="20"/>
        </w:rPr>
        <w:t>in a</w:t>
      </w:r>
      <w:r>
        <w:rPr>
          <w:rFonts w:ascii="Arial" w:hAnsi="Arial" w:cs="Arial"/>
          <w:sz w:val="20"/>
          <w:szCs w:val="20"/>
        </w:rPr>
        <w:t xml:space="preserve">wards were further enhanced by the implementation of the superannuation guarantee legislation. </w:t>
      </w:r>
      <w:r w:rsidR="00DE6BA1" w:rsidRPr="00AF1964">
        <w:rPr>
          <w:rFonts w:ascii="Arial" w:hAnsi="Arial" w:cs="Arial"/>
          <w:sz w:val="20"/>
          <w:szCs w:val="20"/>
        </w:rPr>
        <w:t xml:space="preserve">Notwithstanding the implementation of the superannuation guarantee legislation, superannuation originated as an industrial entitlement in Awards </w:t>
      </w:r>
      <w:r w:rsidR="00D12E86" w:rsidRPr="00AF1964">
        <w:rPr>
          <w:rFonts w:ascii="Arial" w:hAnsi="Arial" w:cs="Arial"/>
          <w:sz w:val="20"/>
          <w:szCs w:val="20"/>
        </w:rPr>
        <w:t>and has been an</w:t>
      </w:r>
      <w:r w:rsidR="00DE6BA1" w:rsidRPr="00AF1964">
        <w:rPr>
          <w:rFonts w:ascii="Arial" w:hAnsi="Arial" w:cs="Arial"/>
          <w:sz w:val="20"/>
          <w:szCs w:val="20"/>
        </w:rPr>
        <w:t xml:space="preserve"> integral part of Awards for the last 30 years. Apart from naming eligible default funds, the Awards include a number of other superannuation obligations such as the making of superannuation guarantee payments, signing up employees into the default fund, making payroll deductions for voluntary contributions of members and the frequency of making superannuation contribution payments. To take one of these aspects out of the Award, </w:t>
      </w:r>
      <w:proofErr w:type="spellStart"/>
      <w:r w:rsidR="00DE6BA1" w:rsidRPr="00AF1964">
        <w:rPr>
          <w:rFonts w:ascii="Arial" w:hAnsi="Arial" w:cs="Arial"/>
          <w:sz w:val="20"/>
          <w:szCs w:val="20"/>
        </w:rPr>
        <w:t>ie</w:t>
      </w:r>
      <w:proofErr w:type="spellEnd"/>
      <w:r w:rsidR="00DE6BA1" w:rsidRPr="00AF1964">
        <w:rPr>
          <w:rFonts w:ascii="Arial" w:hAnsi="Arial" w:cs="Arial"/>
          <w:sz w:val="20"/>
          <w:szCs w:val="20"/>
        </w:rPr>
        <w:t xml:space="preserve"> the named default fund</w:t>
      </w:r>
      <w:r w:rsidR="00D12E86" w:rsidRPr="00AF1964">
        <w:rPr>
          <w:rFonts w:ascii="Arial" w:hAnsi="Arial" w:cs="Arial"/>
          <w:sz w:val="20"/>
          <w:szCs w:val="20"/>
        </w:rPr>
        <w:t xml:space="preserve"> provisions</w:t>
      </w:r>
      <w:r w:rsidR="0086415F" w:rsidRPr="00AF1964">
        <w:rPr>
          <w:rFonts w:ascii="Arial" w:hAnsi="Arial" w:cs="Arial"/>
          <w:sz w:val="20"/>
          <w:szCs w:val="20"/>
        </w:rPr>
        <w:t xml:space="preserve"> </w:t>
      </w:r>
      <w:r w:rsidR="00DE6BA1" w:rsidRPr="00AF1964">
        <w:rPr>
          <w:rFonts w:ascii="Arial" w:hAnsi="Arial" w:cs="Arial"/>
          <w:sz w:val="20"/>
          <w:szCs w:val="20"/>
        </w:rPr>
        <w:t xml:space="preserve">is contrary to the </w:t>
      </w:r>
      <w:r w:rsidR="00D12E86" w:rsidRPr="00AF1964">
        <w:rPr>
          <w:rFonts w:ascii="Arial" w:hAnsi="Arial" w:cs="Arial"/>
          <w:sz w:val="20"/>
          <w:szCs w:val="20"/>
        </w:rPr>
        <w:t xml:space="preserve">history of </w:t>
      </w:r>
      <w:r w:rsidR="00DE6BA1" w:rsidRPr="00AF1964">
        <w:rPr>
          <w:rFonts w:ascii="Arial" w:hAnsi="Arial" w:cs="Arial"/>
          <w:sz w:val="20"/>
          <w:szCs w:val="20"/>
        </w:rPr>
        <w:t>A</w:t>
      </w:r>
      <w:r w:rsidR="00D12E86" w:rsidRPr="00AF1964">
        <w:rPr>
          <w:rFonts w:ascii="Arial" w:hAnsi="Arial" w:cs="Arial"/>
          <w:sz w:val="20"/>
          <w:szCs w:val="20"/>
        </w:rPr>
        <w:t>wards in dealing with employee</w:t>
      </w:r>
      <w:r w:rsidR="00DE6BA1" w:rsidRPr="00AF1964">
        <w:rPr>
          <w:rFonts w:ascii="Arial" w:hAnsi="Arial" w:cs="Arial"/>
          <w:sz w:val="20"/>
          <w:szCs w:val="20"/>
        </w:rPr>
        <w:t xml:space="preserve"> entitlements, including superannuation.</w:t>
      </w:r>
      <w:r w:rsidR="00DE6BA1" w:rsidRPr="006E3A50">
        <w:rPr>
          <w:rFonts w:ascii="Arial" w:hAnsi="Arial" w:cs="Arial"/>
          <w:sz w:val="20"/>
          <w:szCs w:val="20"/>
        </w:rPr>
        <w:t xml:space="preserve"> </w:t>
      </w:r>
    </w:p>
    <w:p w:rsidR="00DE6BA1" w:rsidRDefault="00DE6BA1" w:rsidP="009E05DF">
      <w:pPr>
        <w:jc w:val="both"/>
        <w:rPr>
          <w:rFonts w:ascii="Arial" w:hAnsi="Arial" w:cs="Arial"/>
          <w:sz w:val="20"/>
          <w:szCs w:val="20"/>
        </w:rPr>
      </w:pPr>
    </w:p>
    <w:p w:rsidR="00431F78" w:rsidRDefault="001B5947" w:rsidP="009E05DF">
      <w:pPr>
        <w:jc w:val="both"/>
        <w:rPr>
          <w:rFonts w:ascii="Arial" w:hAnsi="Arial" w:cs="Arial"/>
          <w:sz w:val="20"/>
          <w:szCs w:val="20"/>
        </w:rPr>
      </w:pPr>
      <w:r>
        <w:rPr>
          <w:rFonts w:ascii="Arial" w:hAnsi="Arial" w:cs="Arial"/>
          <w:sz w:val="20"/>
          <w:szCs w:val="20"/>
        </w:rPr>
        <w:t xml:space="preserve">Given that over </w:t>
      </w:r>
      <w:r w:rsidR="00DE6BA1">
        <w:rPr>
          <w:rFonts w:ascii="Arial" w:hAnsi="Arial" w:cs="Arial"/>
          <w:sz w:val="20"/>
          <w:szCs w:val="20"/>
        </w:rPr>
        <w:t>97</w:t>
      </w:r>
      <w:r>
        <w:rPr>
          <w:rFonts w:ascii="Arial" w:hAnsi="Arial" w:cs="Arial"/>
          <w:sz w:val="20"/>
          <w:szCs w:val="20"/>
        </w:rPr>
        <w:t>% of</w:t>
      </w:r>
      <w:r w:rsidR="003247A1" w:rsidRPr="008402CC">
        <w:rPr>
          <w:rFonts w:ascii="Arial" w:hAnsi="Arial" w:cs="Arial"/>
          <w:sz w:val="20"/>
          <w:szCs w:val="20"/>
        </w:rPr>
        <w:t xml:space="preserve"> </w:t>
      </w:r>
      <w:proofErr w:type="spellStart"/>
      <w:r w:rsidR="003247A1" w:rsidRPr="008402CC">
        <w:rPr>
          <w:rFonts w:ascii="Arial" w:hAnsi="Arial" w:cs="Arial"/>
          <w:sz w:val="20"/>
          <w:szCs w:val="20"/>
        </w:rPr>
        <w:t>REST’s</w:t>
      </w:r>
      <w:proofErr w:type="spellEnd"/>
      <w:r w:rsidR="003247A1" w:rsidRPr="008402CC">
        <w:rPr>
          <w:rFonts w:ascii="Arial" w:hAnsi="Arial" w:cs="Arial"/>
          <w:sz w:val="20"/>
          <w:szCs w:val="20"/>
        </w:rPr>
        <w:t xml:space="preserve"> members are in the </w:t>
      </w:r>
      <w:r w:rsidR="00AD43AD">
        <w:rPr>
          <w:rFonts w:ascii="Arial" w:hAnsi="Arial" w:cs="Arial"/>
          <w:sz w:val="20"/>
          <w:szCs w:val="20"/>
        </w:rPr>
        <w:t xml:space="preserve">default </w:t>
      </w:r>
      <w:r w:rsidR="003247A1" w:rsidRPr="008402CC">
        <w:rPr>
          <w:rFonts w:ascii="Arial" w:hAnsi="Arial" w:cs="Arial"/>
          <w:sz w:val="20"/>
          <w:szCs w:val="20"/>
        </w:rPr>
        <w:t xml:space="preserve">REST </w:t>
      </w:r>
      <w:r w:rsidR="00881D60">
        <w:rPr>
          <w:rFonts w:ascii="Arial" w:hAnsi="Arial" w:cs="Arial"/>
          <w:sz w:val="20"/>
          <w:szCs w:val="20"/>
        </w:rPr>
        <w:t xml:space="preserve">Super </w:t>
      </w:r>
      <w:proofErr w:type="spellStart"/>
      <w:r w:rsidR="003247A1" w:rsidRPr="008402CC">
        <w:rPr>
          <w:rFonts w:ascii="Arial" w:hAnsi="Arial" w:cs="Arial"/>
          <w:sz w:val="20"/>
          <w:szCs w:val="20"/>
        </w:rPr>
        <w:t>MySuper</w:t>
      </w:r>
      <w:proofErr w:type="spellEnd"/>
      <w:r w:rsidR="003247A1" w:rsidRPr="008402CC">
        <w:rPr>
          <w:rFonts w:ascii="Arial" w:hAnsi="Arial" w:cs="Arial"/>
          <w:sz w:val="20"/>
          <w:szCs w:val="20"/>
        </w:rPr>
        <w:t xml:space="preserve"> product</w:t>
      </w:r>
      <w:r w:rsidR="00AD43AD">
        <w:rPr>
          <w:rFonts w:ascii="Arial" w:hAnsi="Arial" w:cs="Arial"/>
          <w:sz w:val="20"/>
          <w:szCs w:val="20"/>
        </w:rPr>
        <w:t>,</w:t>
      </w:r>
      <w:r w:rsidR="003247A1" w:rsidRPr="008402CC">
        <w:rPr>
          <w:rFonts w:ascii="Arial" w:hAnsi="Arial" w:cs="Arial"/>
          <w:sz w:val="20"/>
          <w:szCs w:val="20"/>
        </w:rPr>
        <w:t xml:space="preserve"> includ</w:t>
      </w:r>
      <w:r w:rsidR="00AD43AD">
        <w:rPr>
          <w:rFonts w:ascii="Arial" w:hAnsi="Arial" w:cs="Arial"/>
          <w:sz w:val="20"/>
          <w:szCs w:val="20"/>
        </w:rPr>
        <w:t>ing</w:t>
      </w:r>
      <w:r w:rsidR="003247A1" w:rsidRPr="008402CC">
        <w:rPr>
          <w:rFonts w:ascii="Arial" w:hAnsi="Arial" w:cs="Arial"/>
          <w:sz w:val="20"/>
          <w:szCs w:val="20"/>
        </w:rPr>
        <w:t xml:space="preserve"> those employees who are covered by the </w:t>
      </w:r>
      <w:r w:rsidR="008166A3">
        <w:rPr>
          <w:rFonts w:ascii="Arial" w:hAnsi="Arial" w:cs="Arial"/>
          <w:sz w:val="20"/>
          <w:szCs w:val="20"/>
        </w:rPr>
        <w:t>M</w:t>
      </w:r>
      <w:r w:rsidR="003247A1" w:rsidRPr="008402CC">
        <w:rPr>
          <w:rFonts w:ascii="Arial" w:hAnsi="Arial" w:cs="Arial"/>
          <w:sz w:val="20"/>
          <w:szCs w:val="20"/>
        </w:rPr>
        <w:t xml:space="preserve">odern </w:t>
      </w:r>
      <w:r w:rsidR="008166A3">
        <w:rPr>
          <w:rFonts w:ascii="Arial" w:hAnsi="Arial" w:cs="Arial"/>
          <w:sz w:val="20"/>
          <w:szCs w:val="20"/>
        </w:rPr>
        <w:t>A</w:t>
      </w:r>
      <w:r w:rsidR="003247A1" w:rsidRPr="008402CC">
        <w:rPr>
          <w:rFonts w:ascii="Arial" w:hAnsi="Arial" w:cs="Arial"/>
          <w:sz w:val="20"/>
          <w:szCs w:val="20"/>
        </w:rPr>
        <w:t xml:space="preserve">wards or </w:t>
      </w:r>
      <w:r w:rsidR="008166A3">
        <w:rPr>
          <w:rFonts w:ascii="Arial" w:hAnsi="Arial" w:cs="Arial"/>
          <w:sz w:val="20"/>
          <w:szCs w:val="20"/>
        </w:rPr>
        <w:t>E</w:t>
      </w:r>
      <w:r w:rsidR="003247A1" w:rsidRPr="008402CC">
        <w:rPr>
          <w:rFonts w:ascii="Arial" w:hAnsi="Arial" w:cs="Arial"/>
          <w:sz w:val="20"/>
          <w:szCs w:val="20"/>
        </w:rPr>
        <w:t xml:space="preserve">nterprise </w:t>
      </w:r>
      <w:r w:rsidR="008166A3">
        <w:rPr>
          <w:rFonts w:ascii="Arial" w:hAnsi="Arial" w:cs="Arial"/>
          <w:sz w:val="20"/>
          <w:szCs w:val="20"/>
        </w:rPr>
        <w:t>Bargaining A</w:t>
      </w:r>
      <w:r w:rsidR="003247A1" w:rsidRPr="008402CC">
        <w:rPr>
          <w:rFonts w:ascii="Arial" w:hAnsi="Arial" w:cs="Arial"/>
          <w:sz w:val="20"/>
          <w:szCs w:val="20"/>
        </w:rPr>
        <w:t>greements</w:t>
      </w:r>
      <w:r w:rsidR="008166A3">
        <w:rPr>
          <w:rFonts w:ascii="Arial" w:hAnsi="Arial" w:cs="Arial"/>
          <w:sz w:val="20"/>
          <w:szCs w:val="20"/>
        </w:rPr>
        <w:t xml:space="preserve"> (</w:t>
      </w:r>
      <w:proofErr w:type="spellStart"/>
      <w:r w:rsidR="008166A3">
        <w:rPr>
          <w:rFonts w:ascii="Arial" w:hAnsi="Arial" w:cs="Arial"/>
          <w:sz w:val="20"/>
          <w:szCs w:val="20"/>
        </w:rPr>
        <w:t>EBAs</w:t>
      </w:r>
      <w:proofErr w:type="spellEnd"/>
      <w:r w:rsidR="008166A3">
        <w:rPr>
          <w:rFonts w:ascii="Arial" w:hAnsi="Arial" w:cs="Arial"/>
          <w:sz w:val="20"/>
          <w:szCs w:val="20"/>
        </w:rPr>
        <w:t>)</w:t>
      </w:r>
      <w:r>
        <w:rPr>
          <w:rFonts w:ascii="Arial" w:hAnsi="Arial" w:cs="Arial"/>
          <w:sz w:val="20"/>
          <w:szCs w:val="20"/>
        </w:rPr>
        <w:t>,</w:t>
      </w:r>
      <w:r w:rsidR="004E1343">
        <w:rPr>
          <w:rFonts w:ascii="Arial" w:hAnsi="Arial" w:cs="Arial"/>
          <w:sz w:val="20"/>
          <w:szCs w:val="20"/>
        </w:rPr>
        <w:t xml:space="preserve"> the existing model is one </w:t>
      </w:r>
      <w:r w:rsidR="00990AC1">
        <w:rPr>
          <w:rFonts w:ascii="Arial" w:hAnsi="Arial" w:cs="Arial"/>
          <w:sz w:val="20"/>
          <w:szCs w:val="20"/>
        </w:rPr>
        <w:t xml:space="preserve">which </w:t>
      </w:r>
      <w:r w:rsidR="004E1343">
        <w:rPr>
          <w:rFonts w:ascii="Arial" w:hAnsi="Arial" w:cs="Arial"/>
          <w:sz w:val="20"/>
          <w:szCs w:val="20"/>
        </w:rPr>
        <w:t xml:space="preserve">already </w:t>
      </w:r>
      <w:r w:rsidR="008166A3">
        <w:rPr>
          <w:rFonts w:ascii="Arial" w:hAnsi="Arial" w:cs="Arial"/>
          <w:sz w:val="20"/>
          <w:szCs w:val="20"/>
        </w:rPr>
        <w:t>uses</w:t>
      </w:r>
      <w:r w:rsidR="004E1343">
        <w:rPr>
          <w:rFonts w:ascii="Arial" w:hAnsi="Arial" w:cs="Arial"/>
          <w:sz w:val="20"/>
          <w:szCs w:val="20"/>
        </w:rPr>
        <w:t xml:space="preserve"> the best elements of the proposed </w:t>
      </w:r>
      <w:r w:rsidR="008166A3">
        <w:rPr>
          <w:rFonts w:ascii="Arial" w:hAnsi="Arial" w:cs="Arial"/>
          <w:sz w:val="20"/>
          <w:szCs w:val="20"/>
        </w:rPr>
        <w:t xml:space="preserve">default fund allocation </w:t>
      </w:r>
      <w:r w:rsidR="004E1343">
        <w:rPr>
          <w:rFonts w:ascii="Arial" w:hAnsi="Arial" w:cs="Arial"/>
          <w:sz w:val="20"/>
          <w:szCs w:val="20"/>
        </w:rPr>
        <w:t>models</w:t>
      </w:r>
      <w:r w:rsidR="00990AC1">
        <w:rPr>
          <w:rFonts w:ascii="Arial" w:hAnsi="Arial" w:cs="Arial"/>
          <w:sz w:val="20"/>
          <w:szCs w:val="20"/>
        </w:rPr>
        <w:t>.</w:t>
      </w:r>
      <w:r w:rsidR="004E1343">
        <w:rPr>
          <w:rFonts w:ascii="Arial" w:hAnsi="Arial" w:cs="Arial"/>
          <w:sz w:val="20"/>
          <w:szCs w:val="20"/>
        </w:rPr>
        <w:t xml:space="preserve"> </w:t>
      </w:r>
    </w:p>
    <w:p w:rsidR="00431F78" w:rsidRDefault="00431F78" w:rsidP="009E05DF">
      <w:pPr>
        <w:jc w:val="both"/>
        <w:rPr>
          <w:rFonts w:ascii="Arial" w:hAnsi="Arial" w:cs="Arial"/>
          <w:sz w:val="20"/>
          <w:szCs w:val="20"/>
        </w:rPr>
      </w:pPr>
    </w:p>
    <w:p w:rsidR="00431F78" w:rsidRDefault="004E1343" w:rsidP="009E05DF">
      <w:pPr>
        <w:jc w:val="both"/>
        <w:rPr>
          <w:rFonts w:ascii="Arial" w:hAnsi="Arial" w:cs="Arial"/>
          <w:sz w:val="20"/>
          <w:szCs w:val="20"/>
        </w:rPr>
      </w:pPr>
      <w:r>
        <w:rPr>
          <w:rFonts w:ascii="Arial" w:hAnsi="Arial" w:cs="Arial"/>
          <w:sz w:val="20"/>
          <w:szCs w:val="20"/>
        </w:rPr>
        <w:t>The</w:t>
      </w:r>
      <w:r w:rsidR="00491E6A">
        <w:rPr>
          <w:rFonts w:ascii="Arial" w:hAnsi="Arial" w:cs="Arial"/>
          <w:sz w:val="20"/>
          <w:szCs w:val="20"/>
        </w:rPr>
        <w:t xml:space="preserve"> administrative </w:t>
      </w:r>
      <w:r w:rsidR="008166A3">
        <w:rPr>
          <w:rFonts w:ascii="Arial" w:hAnsi="Arial" w:cs="Arial"/>
          <w:sz w:val="20"/>
          <w:szCs w:val="20"/>
        </w:rPr>
        <w:t>model</w:t>
      </w:r>
      <w:r>
        <w:rPr>
          <w:rFonts w:ascii="Arial" w:hAnsi="Arial" w:cs="Arial"/>
          <w:sz w:val="20"/>
          <w:szCs w:val="20"/>
        </w:rPr>
        <w:t xml:space="preserve"> is already </w:t>
      </w:r>
      <w:r w:rsidR="00ED46D8">
        <w:rPr>
          <w:rFonts w:ascii="Arial" w:hAnsi="Arial" w:cs="Arial"/>
          <w:sz w:val="20"/>
          <w:szCs w:val="20"/>
        </w:rPr>
        <w:t xml:space="preserve">reflected in </w:t>
      </w:r>
      <w:r>
        <w:rPr>
          <w:rFonts w:ascii="Arial" w:hAnsi="Arial" w:cs="Arial"/>
          <w:sz w:val="20"/>
          <w:szCs w:val="20"/>
        </w:rPr>
        <w:t xml:space="preserve">the Fair Work Commission’s </w:t>
      </w:r>
      <w:r w:rsidR="00002333">
        <w:rPr>
          <w:rFonts w:ascii="Arial" w:hAnsi="Arial" w:cs="Arial"/>
          <w:sz w:val="20"/>
          <w:szCs w:val="20"/>
        </w:rPr>
        <w:t>(</w:t>
      </w:r>
      <w:proofErr w:type="spellStart"/>
      <w:r w:rsidR="00002333">
        <w:rPr>
          <w:rFonts w:ascii="Arial" w:hAnsi="Arial" w:cs="Arial"/>
          <w:sz w:val="20"/>
          <w:szCs w:val="20"/>
        </w:rPr>
        <w:t>FWC</w:t>
      </w:r>
      <w:proofErr w:type="spellEnd"/>
      <w:r w:rsidR="00002333">
        <w:rPr>
          <w:rFonts w:ascii="Arial" w:hAnsi="Arial" w:cs="Arial"/>
          <w:sz w:val="20"/>
          <w:szCs w:val="20"/>
        </w:rPr>
        <w:t xml:space="preserve">) </w:t>
      </w:r>
      <w:r>
        <w:rPr>
          <w:rFonts w:ascii="Arial" w:hAnsi="Arial" w:cs="Arial"/>
          <w:sz w:val="20"/>
          <w:szCs w:val="20"/>
        </w:rPr>
        <w:t xml:space="preserve">role </w:t>
      </w:r>
      <w:r w:rsidR="00431F78">
        <w:rPr>
          <w:rFonts w:ascii="Arial" w:hAnsi="Arial" w:cs="Arial"/>
          <w:sz w:val="20"/>
          <w:szCs w:val="20"/>
        </w:rPr>
        <w:t>regarding the</w:t>
      </w:r>
      <w:r>
        <w:rPr>
          <w:rFonts w:ascii="Arial" w:hAnsi="Arial" w:cs="Arial"/>
          <w:sz w:val="20"/>
          <w:szCs w:val="20"/>
        </w:rPr>
        <w:t xml:space="preserve"> selection </w:t>
      </w:r>
      <w:r w:rsidR="00745275">
        <w:rPr>
          <w:rFonts w:ascii="Arial" w:hAnsi="Arial" w:cs="Arial"/>
          <w:sz w:val="20"/>
          <w:szCs w:val="20"/>
        </w:rPr>
        <w:t>of</w:t>
      </w:r>
      <w:r>
        <w:rPr>
          <w:rFonts w:ascii="Arial" w:hAnsi="Arial" w:cs="Arial"/>
          <w:sz w:val="20"/>
          <w:szCs w:val="20"/>
        </w:rPr>
        <w:t xml:space="preserve"> default funds</w:t>
      </w:r>
      <w:r w:rsidR="008166A3">
        <w:rPr>
          <w:rFonts w:ascii="Arial" w:hAnsi="Arial" w:cs="Arial"/>
          <w:sz w:val="20"/>
          <w:szCs w:val="20"/>
        </w:rPr>
        <w:t>.</w:t>
      </w:r>
      <w:r>
        <w:rPr>
          <w:rFonts w:ascii="Arial" w:hAnsi="Arial" w:cs="Arial"/>
          <w:sz w:val="20"/>
          <w:szCs w:val="20"/>
        </w:rPr>
        <w:t xml:space="preserve"> </w:t>
      </w:r>
      <w:r w:rsidR="008166A3">
        <w:rPr>
          <w:rFonts w:ascii="Arial" w:hAnsi="Arial" w:cs="Arial"/>
          <w:sz w:val="20"/>
          <w:szCs w:val="20"/>
        </w:rPr>
        <w:t xml:space="preserve">Elements of </w:t>
      </w:r>
      <w:r w:rsidR="00491E6A">
        <w:rPr>
          <w:rFonts w:ascii="Arial" w:hAnsi="Arial" w:cs="Arial"/>
          <w:sz w:val="20"/>
          <w:szCs w:val="20"/>
        </w:rPr>
        <w:t xml:space="preserve">the </w:t>
      </w:r>
      <w:r w:rsidR="00631B2C">
        <w:rPr>
          <w:rFonts w:ascii="Arial" w:hAnsi="Arial" w:cs="Arial"/>
          <w:sz w:val="20"/>
          <w:szCs w:val="20"/>
        </w:rPr>
        <w:t>market based</w:t>
      </w:r>
      <w:r w:rsidR="00491E6A">
        <w:rPr>
          <w:rFonts w:ascii="Arial" w:hAnsi="Arial" w:cs="Arial"/>
          <w:sz w:val="20"/>
          <w:szCs w:val="20"/>
        </w:rPr>
        <w:t xml:space="preserve"> </w:t>
      </w:r>
      <w:r w:rsidR="00431F78">
        <w:rPr>
          <w:rFonts w:ascii="Arial" w:hAnsi="Arial" w:cs="Arial"/>
          <w:sz w:val="20"/>
          <w:szCs w:val="20"/>
        </w:rPr>
        <w:t xml:space="preserve">and active choice </w:t>
      </w:r>
      <w:r w:rsidR="00491E6A">
        <w:rPr>
          <w:rFonts w:ascii="Arial" w:hAnsi="Arial" w:cs="Arial"/>
          <w:sz w:val="20"/>
          <w:szCs w:val="20"/>
        </w:rPr>
        <w:t>approach</w:t>
      </w:r>
      <w:r w:rsidR="00BB1308">
        <w:rPr>
          <w:rFonts w:ascii="Arial" w:hAnsi="Arial" w:cs="Arial"/>
          <w:sz w:val="20"/>
          <w:szCs w:val="20"/>
        </w:rPr>
        <w:t>es</w:t>
      </w:r>
      <w:r w:rsidR="00491E6A">
        <w:rPr>
          <w:rFonts w:ascii="Arial" w:hAnsi="Arial" w:cs="Arial"/>
          <w:sz w:val="20"/>
          <w:szCs w:val="20"/>
        </w:rPr>
        <w:t xml:space="preserve"> </w:t>
      </w:r>
      <w:r w:rsidR="008166A3">
        <w:rPr>
          <w:rFonts w:ascii="Arial" w:hAnsi="Arial" w:cs="Arial"/>
          <w:sz w:val="20"/>
          <w:szCs w:val="20"/>
        </w:rPr>
        <w:t>are</w:t>
      </w:r>
      <w:r>
        <w:rPr>
          <w:rFonts w:ascii="Arial" w:hAnsi="Arial" w:cs="Arial"/>
          <w:sz w:val="20"/>
          <w:szCs w:val="20"/>
        </w:rPr>
        <w:t xml:space="preserve"> </w:t>
      </w:r>
      <w:r w:rsidR="008166A3">
        <w:rPr>
          <w:rFonts w:ascii="Arial" w:hAnsi="Arial" w:cs="Arial"/>
          <w:sz w:val="20"/>
          <w:szCs w:val="20"/>
        </w:rPr>
        <w:t>also present</w:t>
      </w:r>
      <w:r w:rsidR="00BB1308">
        <w:rPr>
          <w:rFonts w:ascii="Arial" w:hAnsi="Arial" w:cs="Arial"/>
          <w:sz w:val="20"/>
          <w:szCs w:val="20"/>
        </w:rPr>
        <w:t xml:space="preserve">.  For example, the proposed process for being listed as a default fund after consideration by an Expert Panel has features of the market based model and </w:t>
      </w:r>
      <w:r w:rsidR="00553B65">
        <w:rPr>
          <w:rFonts w:ascii="Arial" w:hAnsi="Arial" w:cs="Arial"/>
          <w:sz w:val="20"/>
          <w:szCs w:val="20"/>
        </w:rPr>
        <w:t xml:space="preserve">modern awards generally allow members to choose a fund if they wish. </w:t>
      </w:r>
      <w:r>
        <w:rPr>
          <w:rFonts w:ascii="Arial" w:hAnsi="Arial" w:cs="Arial"/>
          <w:sz w:val="20"/>
          <w:szCs w:val="20"/>
        </w:rPr>
        <w:t xml:space="preserve"> </w:t>
      </w:r>
      <w:r w:rsidR="00553B65">
        <w:rPr>
          <w:rFonts w:ascii="Arial" w:hAnsi="Arial" w:cs="Arial"/>
          <w:sz w:val="20"/>
          <w:szCs w:val="20"/>
        </w:rPr>
        <w:t xml:space="preserve">Further, market based competitive activity is extensive within funds through the selection of service providers, not least of which include </w:t>
      </w:r>
      <w:r w:rsidR="00491E6A" w:rsidRPr="00C17501">
        <w:rPr>
          <w:rFonts w:ascii="Arial" w:hAnsi="Arial" w:cs="Arial"/>
          <w:sz w:val="20"/>
          <w:szCs w:val="20"/>
        </w:rPr>
        <w:t xml:space="preserve">the tendering of </w:t>
      </w:r>
      <w:r w:rsidR="00491E6A" w:rsidRPr="00C17501">
        <w:rPr>
          <w:rFonts w:ascii="Arial" w:hAnsi="Arial" w:cs="Arial"/>
          <w:sz w:val="20"/>
          <w:szCs w:val="20"/>
        </w:rPr>
        <w:lastRenderedPageBreak/>
        <w:t>administration and insurance</w:t>
      </w:r>
      <w:r w:rsidR="00442874">
        <w:rPr>
          <w:rFonts w:ascii="Arial" w:hAnsi="Arial" w:cs="Arial"/>
          <w:sz w:val="20"/>
          <w:szCs w:val="20"/>
        </w:rPr>
        <w:t xml:space="preserve"> providers</w:t>
      </w:r>
      <w:r w:rsidR="00E75B77">
        <w:rPr>
          <w:rFonts w:ascii="Arial" w:hAnsi="Arial" w:cs="Arial"/>
          <w:sz w:val="20"/>
          <w:szCs w:val="20"/>
        </w:rPr>
        <w:t xml:space="preserve">.  </w:t>
      </w:r>
      <w:r w:rsidR="00431F78">
        <w:rPr>
          <w:rFonts w:ascii="Arial" w:hAnsi="Arial" w:cs="Arial"/>
          <w:sz w:val="20"/>
          <w:szCs w:val="20"/>
        </w:rPr>
        <w:t xml:space="preserve">Trustees are </w:t>
      </w:r>
      <w:r w:rsidR="00553B65">
        <w:rPr>
          <w:rFonts w:ascii="Arial" w:hAnsi="Arial" w:cs="Arial"/>
          <w:sz w:val="20"/>
          <w:szCs w:val="20"/>
        </w:rPr>
        <w:t xml:space="preserve">also </w:t>
      </w:r>
      <w:r w:rsidR="00431F78">
        <w:rPr>
          <w:rFonts w:ascii="Arial" w:hAnsi="Arial" w:cs="Arial"/>
          <w:sz w:val="20"/>
          <w:szCs w:val="20"/>
        </w:rPr>
        <w:t xml:space="preserve">bound to meet the legislative requirements of </w:t>
      </w:r>
      <w:proofErr w:type="spellStart"/>
      <w:r w:rsidR="00431F78">
        <w:rPr>
          <w:rFonts w:ascii="Arial" w:hAnsi="Arial" w:cs="Arial"/>
          <w:sz w:val="20"/>
          <w:szCs w:val="20"/>
        </w:rPr>
        <w:t>MySuper</w:t>
      </w:r>
      <w:proofErr w:type="spellEnd"/>
      <w:r w:rsidR="00431F78">
        <w:rPr>
          <w:rFonts w:ascii="Arial" w:hAnsi="Arial" w:cs="Arial"/>
          <w:sz w:val="20"/>
          <w:szCs w:val="20"/>
        </w:rPr>
        <w:t xml:space="preserve"> in relation to maintaining the best interests of members and promotion of their financial interests in relation to </w:t>
      </w:r>
      <w:r w:rsidR="00B037EE">
        <w:rPr>
          <w:rFonts w:ascii="Arial" w:hAnsi="Arial" w:cs="Arial"/>
          <w:sz w:val="20"/>
          <w:szCs w:val="20"/>
        </w:rPr>
        <w:t xml:space="preserve">superannuation </w:t>
      </w:r>
      <w:r w:rsidR="00431F78">
        <w:rPr>
          <w:rFonts w:ascii="Arial" w:hAnsi="Arial" w:cs="Arial"/>
          <w:sz w:val="20"/>
          <w:szCs w:val="20"/>
        </w:rPr>
        <w:t>funds.</w:t>
      </w:r>
    </w:p>
    <w:p w:rsidR="004079D9" w:rsidRDefault="004079D9" w:rsidP="009E05DF">
      <w:pPr>
        <w:jc w:val="both"/>
        <w:rPr>
          <w:rFonts w:ascii="Arial" w:hAnsi="Arial" w:cs="Arial"/>
          <w:sz w:val="20"/>
          <w:szCs w:val="20"/>
        </w:rPr>
      </w:pPr>
    </w:p>
    <w:p w:rsidR="004079D9" w:rsidRDefault="004079D9" w:rsidP="009E05DF">
      <w:pPr>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FWC</w:t>
      </w:r>
      <w:proofErr w:type="spellEnd"/>
      <w:r>
        <w:rPr>
          <w:rFonts w:ascii="Arial" w:hAnsi="Arial" w:cs="Arial"/>
          <w:sz w:val="20"/>
          <w:szCs w:val="20"/>
        </w:rPr>
        <w:t xml:space="preserve"> </w:t>
      </w:r>
      <w:r w:rsidR="00857C4F">
        <w:rPr>
          <w:rFonts w:ascii="Arial" w:hAnsi="Arial" w:cs="Arial"/>
          <w:sz w:val="20"/>
          <w:szCs w:val="20"/>
        </w:rPr>
        <w:t>(and its pre</w:t>
      </w:r>
      <w:r>
        <w:rPr>
          <w:rFonts w:ascii="Arial" w:hAnsi="Arial" w:cs="Arial"/>
          <w:sz w:val="20"/>
          <w:szCs w:val="20"/>
        </w:rPr>
        <w:t>cursors) regulate</w:t>
      </w:r>
      <w:r w:rsidR="00B037EE">
        <w:rPr>
          <w:rFonts w:ascii="Arial" w:hAnsi="Arial" w:cs="Arial"/>
          <w:sz w:val="20"/>
          <w:szCs w:val="20"/>
        </w:rPr>
        <w:t>s</w:t>
      </w:r>
      <w:r>
        <w:rPr>
          <w:rFonts w:ascii="Arial" w:hAnsi="Arial" w:cs="Arial"/>
          <w:sz w:val="20"/>
          <w:szCs w:val="20"/>
        </w:rPr>
        <w:t xml:space="preserve"> superannuation in </w:t>
      </w:r>
      <w:r w:rsidR="00ED46D8">
        <w:rPr>
          <w:rFonts w:ascii="Arial" w:hAnsi="Arial" w:cs="Arial"/>
          <w:sz w:val="20"/>
          <w:szCs w:val="20"/>
        </w:rPr>
        <w:t xml:space="preserve">Modern </w:t>
      </w:r>
      <w:r>
        <w:rPr>
          <w:rFonts w:ascii="Arial" w:hAnsi="Arial" w:cs="Arial"/>
          <w:sz w:val="20"/>
          <w:szCs w:val="20"/>
        </w:rPr>
        <w:t xml:space="preserve">Awards and for REST, this model has worked well for 28 years. As stated above, most of </w:t>
      </w:r>
      <w:proofErr w:type="spellStart"/>
      <w:r>
        <w:rPr>
          <w:rFonts w:ascii="Arial" w:hAnsi="Arial" w:cs="Arial"/>
          <w:sz w:val="20"/>
          <w:szCs w:val="20"/>
        </w:rPr>
        <w:t>REST’s</w:t>
      </w:r>
      <w:proofErr w:type="spellEnd"/>
      <w:r>
        <w:rPr>
          <w:rFonts w:ascii="Arial" w:hAnsi="Arial" w:cs="Arial"/>
          <w:sz w:val="20"/>
          <w:szCs w:val="20"/>
        </w:rPr>
        <w:t xml:space="preserve"> members are default members as they are very young, often in their first job in the retail industry and often disengaged about superannuation matters given that for them, retirement is some 50 years away. With such large numbers of default members, it is important that any default selection model works well and is not inefficient, costly or confusing, both for the employees, their employers and the funds themselves. The existing system has worked well, and has put members’ best interests as the key focus in its default allocation design. </w:t>
      </w:r>
    </w:p>
    <w:p w:rsidR="004079D9" w:rsidRDefault="004079D9" w:rsidP="009E05DF">
      <w:pPr>
        <w:jc w:val="both"/>
        <w:rPr>
          <w:rFonts w:ascii="Arial" w:hAnsi="Arial" w:cs="Arial"/>
          <w:sz w:val="20"/>
          <w:szCs w:val="20"/>
        </w:rPr>
      </w:pPr>
    </w:p>
    <w:p w:rsidR="00CB25AE" w:rsidRDefault="00CC42D4" w:rsidP="009E05DF">
      <w:pPr>
        <w:jc w:val="both"/>
        <w:rPr>
          <w:rFonts w:ascii="Arial" w:hAnsi="Arial" w:cs="Arial"/>
          <w:sz w:val="20"/>
          <w:szCs w:val="20"/>
        </w:rPr>
      </w:pPr>
      <w:r w:rsidRPr="00C17501">
        <w:rPr>
          <w:rFonts w:ascii="Arial" w:hAnsi="Arial" w:cs="Arial"/>
          <w:sz w:val="20"/>
          <w:szCs w:val="20"/>
        </w:rPr>
        <w:t xml:space="preserve">REST believes that </w:t>
      </w:r>
      <w:r w:rsidR="00B037EE">
        <w:rPr>
          <w:rFonts w:ascii="Arial" w:hAnsi="Arial" w:cs="Arial"/>
          <w:sz w:val="20"/>
          <w:szCs w:val="20"/>
        </w:rPr>
        <w:t>the</w:t>
      </w:r>
      <w:r w:rsidR="00431F78">
        <w:rPr>
          <w:rFonts w:ascii="Arial" w:hAnsi="Arial" w:cs="Arial"/>
          <w:sz w:val="20"/>
          <w:szCs w:val="20"/>
        </w:rPr>
        <w:t xml:space="preserve"> </w:t>
      </w:r>
      <w:r w:rsidRPr="00C17501">
        <w:rPr>
          <w:rFonts w:ascii="Arial" w:hAnsi="Arial" w:cs="Arial"/>
          <w:sz w:val="20"/>
          <w:szCs w:val="20"/>
        </w:rPr>
        <w:t xml:space="preserve">introduction of </w:t>
      </w:r>
      <w:r w:rsidR="00431F78">
        <w:rPr>
          <w:rFonts w:ascii="Arial" w:hAnsi="Arial" w:cs="Arial"/>
          <w:sz w:val="20"/>
          <w:szCs w:val="20"/>
        </w:rPr>
        <w:t>a</w:t>
      </w:r>
      <w:r w:rsidR="002A2F6C">
        <w:rPr>
          <w:rFonts w:ascii="Arial" w:hAnsi="Arial" w:cs="Arial"/>
          <w:sz w:val="20"/>
          <w:szCs w:val="20"/>
        </w:rPr>
        <w:t>ny of the</w:t>
      </w:r>
      <w:r w:rsidRPr="00C17501">
        <w:rPr>
          <w:rFonts w:ascii="Arial" w:hAnsi="Arial" w:cs="Arial"/>
          <w:sz w:val="20"/>
          <w:szCs w:val="20"/>
        </w:rPr>
        <w:t xml:space="preserve"> proposed models </w:t>
      </w:r>
      <w:r w:rsidR="00CB25AE">
        <w:rPr>
          <w:rFonts w:ascii="Arial" w:hAnsi="Arial" w:cs="Arial"/>
          <w:sz w:val="20"/>
          <w:szCs w:val="20"/>
        </w:rPr>
        <w:t>on a stand-alone basis</w:t>
      </w:r>
      <w:r w:rsidRPr="00C17501">
        <w:rPr>
          <w:rFonts w:ascii="Arial" w:hAnsi="Arial" w:cs="Arial"/>
          <w:sz w:val="20"/>
          <w:szCs w:val="20"/>
        </w:rPr>
        <w:t xml:space="preserve"> would create </w:t>
      </w:r>
      <w:r w:rsidR="00ED46D8">
        <w:rPr>
          <w:rFonts w:ascii="Arial" w:hAnsi="Arial" w:cs="Arial"/>
          <w:sz w:val="20"/>
          <w:szCs w:val="20"/>
        </w:rPr>
        <w:t xml:space="preserve">major </w:t>
      </w:r>
      <w:r w:rsidRPr="00C17501">
        <w:rPr>
          <w:rFonts w:ascii="Arial" w:hAnsi="Arial" w:cs="Arial"/>
          <w:sz w:val="20"/>
          <w:szCs w:val="20"/>
        </w:rPr>
        <w:t>transitional issues, great uncertaint</w:t>
      </w:r>
      <w:r w:rsidR="00B037EE">
        <w:rPr>
          <w:rFonts w:ascii="Arial" w:hAnsi="Arial" w:cs="Arial"/>
          <w:sz w:val="20"/>
          <w:szCs w:val="20"/>
        </w:rPr>
        <w:t>y</w:t>
      </w:r>
      <w:r w:rsidRPr="00C17501">
        <w:rPr>
          <w:rFonts w:ascii="Arial" w:hAnsi="Arial" w:cs="Arial"/>
          <w:sz w:val="20"/>
          <w:szCs w:val="20"/>
        </w:rPr>
        <w:t xml:space="preserve">, </w:t>
      </w:r>
      <w:r w:rsidR="00B037EE">
        <w:rPr>
          <w:rFonts w:ascii="Arial" w:hAnsi="Arial" w:cs="Arial"/>
          <w:sz w:val="20"/>
          <w:szCs w:val="20"/>
        </w:rPr>
        <w:t xml:space="preserve">increased </w:t>
      </w:r>
      <w:r w:rsidRPr="00C17501">
        <w:rPr>
          <w:rFonts w:ascii="Arial" w:hAnsi="Arial" w:cs="Arial"/>
          <w:sz w:val="20"/>
          <w:szCs w:val="20"/>
        </w:rPr>
        <w:t>costs and inefficiencies</w:t>
      </w:r>
      <w:r>
        <w:rPr>
          <w:rFonts w:ascii="Arial" w:hAnsi="Arial" w:cs="Arial"/>
          <w:sz w:val="20"/>
          <w:szCs w:val="20"/>
        </w:rPr>
        <w:t xml:space="preserve"> for members, employers and funds.</w:t>
      </w:r>
      <w:r w:rsidR="00CB25AE" w:rsidRPr="00CB25AE">
        <w:rPr>
          <w:rFonts w:ascii="Arial" w:hAnsi="Arial" w:cs="Arial"/>
          <w:sz w:val="20"/>
          <w:szCs w:val="20"/>
        </w:rPr>
        <w:t xml:space="preserve"> </w:t>
      </w:r>
      <w:r w:rsidR="00CB25AE">
        <w:rPr>
          <w:rFonts w:ascii="Arial" w:hAnsi="Arial" w:cs="Arial"/>
          <w:sz w:val="20"/>
          <w:szCs w:val="20"/>
        </w:rPr>
        <w:t xml:space="preserve">The elements of the proposed models are already present in the current system and any development of </w:t>
      </w:r>
      <w:r w:rsidR="00553B65">
        <w:rPr>
          <w:rFonts w:ascii="Arial" w:hAnsi="Arial" w:cs="Arial"/>
          <w:sz w:val="20"/>
          <w:szCs w:val="20"/>
        </w:rPr>
        <w:t>allocation models</w:t>
      </w:r>
      <w:r w:rsidR="00CB25AE">
        <w:rPr>
          <w:rFonts w:ascii="Arial" w:hAnsi="Arial" w:cs="Arial"/>
          <w:sz w:val="20"/>
          <w:szCs w:val="20"/>
        </w:rPr>
        <w:t xml:space="preserve"> should be incorporated into the current system rather than devising new models. </w:t>
      </w:r>
    </w:p>
    <w:p w:rsidR="007811EA" w:rsidRDefault="007811EA" w:rsidP="009E05DF">
      <w:pPr>
        <w:jc w:val="both"/>
        <w:rPr>
          <w:rFonts w:ascii="Arial" w:hAnsi="Arial" w:cs="Arial"/>
          <w:sz w:val="20"/>
          <w:szCs w:val="20"/>
        </w:rPr>
      </w:pPr>
    </w:p>
    <w:p w:rsidR="007811EA" w:rsidRDefault="007811EA" w:rsidP="009E05DF">
      <w:pPr>
        <w:jc w:val="both"/>
        <w:rPr>
          <w:rFonts w:ascii="Arial" w:hAnsi="Arial" w:cs="Arial"/>
          <w:sz w:val="20"/>
          <w:szCs w:val="20"/>
        </w:rPr>
      </w:pPr>
      <w:r>
        <w:rPr>
          <w:rFonts w:ascii="Arial" w:hAnsi="Arial" w:cs="Arial"/>
          <w:sz w:val="20"/>
          <w:szCs w:val="20"/>
        </w:rPr>
        <w:t xml:space="preserve">Any further changes to this existing model, as well as the existing </w:t>
      </w:r>
      <w:proofErr w:type="spellStart"/>
      <w:r>
        <w:rPr>
          <w:rFonts w:ascii="Arial" w:hAnsi="Arial" w:cs="Arial"/>
          <w:sz w:val="20"/>
          <w:szCs w:val="20"/>
        </w:rPr>
        <w:t>EBA</w:t>
      </w:r>
      <w:proofErr w:type="spellEnd"/>
      <w:r>
        <w:rPr>
          <w:rFonts w:ascii="Arial" w:hAnsi="Arial" w:cs="Arial"/>
          <w:sz w:val="20"/>
          <w:szCs w:val="20"/>
        </w:rPr>
        <w:t xml:space="preserve"> model, raise very large impacts for </w:t>
      </w:r>
      <w:r w:rsidRPr="008402CC">
        <w:rPr>
          <w:rFonts w:ascii="Arial" w:hAnsi="Arial" w:cs="Arial"/>
          <w:sz w:val="20"/>
          <w:szCs w:val="20"/>
        </w:rPr>
        <w:t>employers, employer representative groups, employee representatives</w:t>
      </w:r>
      <w:r>
        <w:rPr>
          <w:rFonts w:ascii="Arial" w:hAnsi="Arial" w:cs="Arial"/>
          <w:sz w:val="20"/>
          <w:szCs w:val="20"/>
        </w:rPr>
        <w:t>,</w:t>
      </w:r>
      <w:r w:rsidRPr="008402CC">
        <w:rPr>
          <w:rFonts w:ascii="Arial" w:hAnsi="Arial" w:cs="Arial"/>
          <w:sz w:val="20"/>
          <w:szCs w:val="20"/>
        </w:rPr>
        <w:t xml:space="preserve"> financial markets</w:t>
      </w:r>
      <w:r>
        <w:rPr>
          <w:rFonts w:ascii="Arial" w:hAnsi="Arial" w:cs="Arial"/>
          <w:sz w:val="20"/>
          <w:szCs w:val="20"/>
        </w:rPr>
        <w:t>,</w:t>
      </w:r>
      <w:r w:rsidRPr="008402CC">
        <w:rPr>
          <w:rFonts w:ascii="Arial" w:hAnsi="Arial" w:cs="Arial"/>
          <w:sz w:val="20"/>
          <w:szCs w:val="20"/>
        </w:rPr>
        <w:t xml:space="preserve"> </w:t>
      </w:r>
      <w:r w:rsidR="00C17501">
        <w:rPr>
          <w:rFonts w:ascii="Arial" w:hAnsi="Arial" w:cs="Arial"/>
          <w:sz w:val="20"/>
          <w:szCs w:val="20"/>
        </w:rPr>
        <w:t xml:space="preserve">the </w:t>
      </w:r>
      <w:r w:rsidRPr="008402CC">
        <w:rPr>
          <w:rFonts w:ascii="Arial" w:hAnsi="Arial" w:cs="Arial"/>
          <w:sz w:val="20"/>
          <w:szCs w:val="20"/>
        </w:rPr>
        <w:t>broader community</w:t>
      </w:r>
      <w:r>
        <w:rPr>
          <w:rFonts w:ascii="Arial" w:hAnsi="Arial" w:cs="Arial"/>
          <w:sz w:val="20"/>
          <w:szCs w:val="20"/>
        </w:rPr>
        <w:t xml:space="preserve"> and, most importantly, members</w:t>
      </w:r>
      <w:r w:rsidRPr="008402CC">
        <w:rPr>
          <w:rFonts w:ascii="Arial" w:hAnsi="Arial" w:cs="Arial"/>
          <w:sz w:val="20"/>
          <w:szCs w:val="20"/>
        </w:rPr>
        <w:t>.</w:t>
      </w:r>
    </w:p>
    <w:p w:rsidR="00203827" w:rsidRPr="00041DEB" w:rsidRDefault="00131DF5" w:rsidP="00A53BF0">
      <w:pPr>
        <w:pStyle w:val="Heading1"/>
        <w:numPr>
          <w:ilvl w:val="0"/>
          <w:numId w:val="21"/>
        </w:numPr>
      </w:pPr>
      <w:bookmarkStart w:id="3" w:name="_Toc465352946"/>
      <w:bookmarkStart w:id="4" w:name="_Toc465354078"/>
      <w:r w:rsidRPr="00041DEB">
        <w:t>Executive summary</w:t>
      </w:r>
      <w:bookmarkEnd w:id="3"/>
      <w:bookmarkEnd w:id="4"/>
    </w:p>
    <w:p w:rsidR="00491E6A" w:rsidRDefault="00491E6A" w:rsidP="009E05DF">
      <w:pPr>
        <w:pStyle w:val="ListParagraph"/>
        <w:numPr>
          <w:ilvl w:val="0"/>
          <w:numId w:val="6"/>
        </w:numPr>
        <w:ind w:left="709" w:hanging="425"/>
        <w:jc w:val="both"/>
        <w:rPr>
          <w:rFonts w:ascii="Arial" w:hAnsi="Arial" w:cs="Arial"/>
          <w:sz w:val="20"/>
          <w:szCs w:val="20"/>
        </w:rPr>
      </w:pPr>
      <w:r>
        <w:rPr>
          <w:rFonts w:ascii="Arial" w:hAnsi="Arial" w:cs="Arial"/>
          <w:sz w:val="20"/>
          <w:szCs w:val="20"/>
        </w:rPr>
        <w:t xml:space="preserve">The best elements of each of the proposed models are already found in the current default </w:t>
      </w:r>
      <w:r w:rsidR="000806CE">
        <w:rPr>
          <w:rFonts w:ascii="Arial" w:hAnsi="Arial" w:cs="Arial"/>
          <w:sz w:val="20"/>
          <w:szCs w:val="20"/>
        </w:rPr>
        <w:t>model</w:t>
      </w:r>
      <w:r>
        <w:rPr>
          <w:rFonts w:ascii="Arial" w:hAnsi="Arial" w:cs="Arial"/>
          <w:sz w:val="20"/>
          <w:szCs w:val="20"/>
        </w:rPr>
        <w:t>.</w:t>
      </w:r>
    </w:p>
    <w:p w:rsidR="00491E6A" w:rsidRPr="00C17501" w:rsidRDefault="00491E6A" w:rsidP="009E05DF">
      <w:pPr>
        <w:ind w:left="284"/>
        <w:jc w:val="both"/>
        <w:rPr>
          <w:rFonts w:ascii="Arial" w:hAnsi="Arial" w:cs="Arial"/>
          <w:sz w:val="20"/>
          <w:szCs w:val="20"/>
        </w:rPr>
      </w:pPr>
    </w:p>
    <w:p w:rsidR="00D50644" w:rsidRDefault="00491E6A" w:rsidP="009E05DF">
      <w:pPr>
        <w:pStyle w:val="ListParagraph"/>
        <w:numPr>
          <w:ilvl w:val="0"/>
          <w:numId w:val="6"/>
        </w:numPr>
        <w:ind w:left="709" w:hanging="425"/>
        <w:jc w:val="both"/>
        <w:rPr>
          <w:rFonts w:ascii="Arial" w:hAnsi="Arial" w:cs="Arial"/>
          <w:sz w:val="20"/>
          <w:szCs w:val="20"/>
        </w:rPr>
      </w:pPr>
      <w:r>
        <w:rPr>
          <w:rFonts w:ascii="Arial" w:hAnsi="Arial" w:cs="Arial"/>
          <w:sz w:val="20"/>
          <w:szCs w:val="20"/>
        </w:rPr>
        <w:t>If any of the propos</w:t>
      </w:r>
      <w:r w:rsidR="002B7101">
        <w:rPr>
          <w:rFonts w:ascii="Arial" w:hAnsi="Arial" w:cs="Arial"/>
          <w:sz w:val="20"/>
          <w:szCs w:val="20"/>
        </w:rPr>
        <w:t>ed models were developed alone,</w:t>
      </w:r>
      <w:r w:rsidR="00E67360">
        <w:rPr>
          <w:rFonts w:ascii="Arial" w:hAnsi="Arial" w:cs="Arial"/>
          <w:sz w:val="20"/>
          <w:szCs w:val="20"/>
        </w:rPr>
        <w:t xml:space="preserve"> without inclusion in the existing system, then the transitional issues would create uncertainty, lack of stability and be </w:t>
      </w:r>
      <w:r w:rsidR="001C3555" w:rsidRPr="00677F80">
        <w:rPr>
          <w:rFonts w:ascii="Arial" w:hAnsi="Arial" w:cs="Arial"/>
          <w:sz w:val="20"/>
          <w:szCs w:val="20"/>
        </w:rPr>
        <w:t>fundamentally flawed from a costs</w:t>
      </w:r>
      <w:r w:rsidR="00677F80">
        <w:rPr>
          <w:rFonts w:ascii="Arial" w:hAnsi="Arial" w:cs="Arial"/>
          <w:sz w:val="20"/>
          <w:szCs w:val="20"/>
        </w:rPr>
        <w:t>, efficiency</w:t>
      </w:r>
      <w:r w:rsidR="001C3555" w:rsidRPr="00677F80">
        <w:rPr>
          <w:rFonts w:ascii="Arial" w:hAnsi="Arial" w:cs="Arial"/>
          <w:sz w:val="20"/>
          <w:szCs w:val="20"/>
        </w:rPr>
        <w:t xml:space="preserve"> and complexity perspective.</w:t>
      </w:r>
      <w:r w:rsidR="00D50644" w:rsidRPr="00677F80">
        <w:rPr>
          <w:rFonts w:ascii="Arial" w:hAnsi="Arial" w:cs="Arial"/>
          <w:sz w:val="20"/>
          <w:szCs w:val="20"/>
        </w:rPr>
        <w:t xml:space="preserve"> </w:t>
      </w:r>
    </w:p>
    <w:p w:rsidR="00340869" w:rsidRPr="00340869" w:rsidRDefault="00340869" w:rsidP="009E05DF">
      <w:pPr>
        <w:ind w:left="284" w:hanging="425"/>
        <w:jc w:val="both"/>
        <w:rPr>
          <w:rFonts w:ascii="Arial" w:hAnsi="Arial" w:cs="Arial"/>
          <w:sz w:val="20"/>
          <w:szCs w:val="20"/>
        </w:rPr>
      </w:pPr>
    </w:p>
    <w:p w:rsidR="002C5C71" w:rsidRDefault="00340869" w:rsidP="009E05DF">
      <w:pPr>
        <w:pStyle w:val="ListParagraph"/>
        <w:numPr>
          <w:ilvl w:val="0"/>
          <w:numId w:val="6"/>
        </w:numPr>
        <w:ind w:hanging="425"/>
        <w:jc w:val="both"/>
        <w:rPr>
          <w:rFonts w:ascii="Arial" w:hAnsi="Arial" w:cs="Arial"/>
          <w:sz w:val="20"/>
          <w:szCs w:val="20"/>
        </w:rPr>
      </w:pPr>
      <w:r>
        <w:rPr>
          <w:rFonts w:ascii="Arial" w:hAnsi="Arial" w:cs="Arial"/>
          <w:sz w:val="20"/>
          <w:szCs w:val="20"/>
        </w:rPr>
        <w:t xml:space="preserve">The impact of the proposed models </w:t>
      </w:r>
      <w:r w:rsidR="00553B65">
        <w:rPr>
          <w:rFonts w:ascii="Arial" w:hAnsi="Arial" w:cs="Arial"/>
          <w:sz w:val="20"/>
          <w:szCs w:val="20"/>
        </w:rPr>
        <w:t xml:space="preserve">(on a stand-alone basis) </w:t>
      </w:r>
      <w:r>
        <w:rPr>
          <w:rFonts w:ascii="Arial" w:hAnsi="Arial" w:cs="Arial"/>
          <w:sz w:val="20"/>
          <w:szCs w:val="20"/>
        </w:rPr>
        <w:t xml:space="preserve">on employees also do not adequately protect members’ interests and increase potential risks in terms of lost benefits (e.g. insurance), reduced returns (asset allocation and </w:t>
      </w:r>
      <w:r w:rsidR="0074614C">
        <w:rPr>
          <w:rFonts w:ascii="Arial" w:hAnsi="Arial" w:cs="Arial"/>
          <w:sz w:val="20"/>
          <w:szCs w:val="20"/>
        </w:rPr>
        <w:t xml:space="preserve">active </w:t>
      </w:r>
      <w:r>
        <w:rPr>
          <w:rFonts w:ascii="Arial" w:hAnsi="Arial" w:cs="Arial"/>
          <w:sz w:val="20"/>
          <w:szCs w:val="20"/>
        </w:rPr>
        <w:t xml:space="preserve">v passive management.) </w:t>
      </w:r>
    </w:p>
    <w:p w:rsidR="002C5C71" w:rsidRPr="002C5C71" w:rsidRDefault="002C5C71" w:rsidP="009E05DF">
      <w:pPr>
        <w:pStyle w:val="ListParagraph"/>
        <w:jc w:val="both"/>
        <w:rPr>
          <w:rFonts w:ascii="Arial" w:hAnsi="Arial" w:cs="Arial"/>
          <w:sz w:val="20"/>
          <w:szCs w:val="20"/>
        </w:rPr>
      </w:pPr>
    </w:p>
    <w:p w:rsidR="00340869" w:rsidRDefault="002C5C71" w:rsidP="009E05DF">
      <w:pPr>
        <w:pStyle w:val="ListParagraph"/>
        <w:numPr>
          <w:ilvl w:val="0"/>
          <w:numId w:val="6"/>
        </w:numPr>
        <w:jc w:val="both"/>
        <w:rPr>
          <w:rFonts w:ascii="Arial" w:hAnsi="Arial" w:cs="Arial"/>
          <w:sz w:val="20"/>
          <w:szCs w:val="20"/>
        </w:rPr>
      </w:pPr>
      <w:r>
        <w:rPr>
          <w:rFonts w:ascii="Arial" w:hAnsi="Arial" w:cs="Arial"/>
          <w:sz w:val="20"/>
          <w:szCs w:val="20"/>
        </w:rPr>
        <w:t xml:space="preserve">The proposed models </w:t>
      </w:r>
      <w:r w:rsidR="00553B65" w:rsidRPr="00553B65">
        <w:rPr>
          <w:rFonts w:ascii="Arial" w:hAnsi="Arial" w:cs="Arial"/>
          <w:sz w:val="20"/>
          <w:szCs w:val="20"/>
        </w:rPr>
        <w:t xml:space="preserve">(on a stand-alone basis) </w:t>
      </w:r>
      <w:r>
        <w:rPr>
          <w:rFonts w:ascii="Arial" w:hAnsi="Arial" w:cs="Arial"/>
          <w:sz w:val="20"/>
          <w:szCs w:val="20"/>
        </w:rPr>
        <w:t>put</w:t>
      </w:r>
      <w:r w:rsidR="00340869">
        <w:rPr>
          <w:rFonts w:ascii="Arial" w:hAnsi="Arial" w:cs="Arial"/>
          <w:sz w:val="20"/>
          <w:szCs w:val="20"/>
        </w:rPr>
        <w:t xml:space="preserve"> an emphasis on a short term investment approach which is at odds with superannuation as a long term product.</w:t>
      </w:r>
      <w:r w:rsidR="00553B65">
        <w:rPr>
          <w:rFonts w:ascii="Arial" w:hAnsi="Arial" w:cs="Arial"/>
          <w:sz w:val="20"/>
          <w:szCs w:val="20"/>
        </w:rPr>
        <w:t xml:space="preserve"> </w:t>
      </w:r>
    </w:p>
    <w:p w:rsidR="0074614C" w:rsidRPr="00C17501" w:rsidRDefault="0074614C" w:rsidP="009E05DF">
      <w:pPr>
        <w:pStyle w:val="ListParagraph"/>
        <w:jc w:val="both"/>
        <w:rPr>
          <w:rFonts w:ascii="Arial" w:hAnsi="Arial" w:cs="Arial"/>
          <w:sz w:val="20"/>
          <w:szCs w:val="20"/>
        </w:rPr>
      </w:pPr>
    </w:p>
    <w:p w:rsidR="0074614C" w:rsidRDefault="0074614C" w:rsidP="009E05DF">
      <w:pPr>
        <w:pStyle w:val="ListParagraph"/>
        <w:numPr>
          <w:ilvl w:val="0"/>
          <w:numId w:val="6"/>
        </w:numPr>
        <w:jc w:val="both"/>
        <w:rPr>
          <w:rFonts w:ascii="Arial" w:hAnsi="Arial" w:cs="Arial"/>
          <w:sz w:val="20"/>
          <w:szCs w:val="20"/>
        </w:rPr>
      </w:pPr>
      <w:r>
        <w:rPr>
          <w:rFonts w:ascii="Arial" w:hAnsi="Arial" w:cs="Arial"/>
          <w:sz w:val="20"/>
          <w:szCs w:val="20"/>
        </w:rPr>
        <w:t>The proposed models</w:t>
      </w:r>
      <w:r w:rsidR="007B644F">
        <w:rPr>
          <w:rFonts w:ascii="Arial" w:hAnsi="Arial" w:cs="Arial"/>
          <w:sz w:val="20"/>
          <w:szCs w:val="20"/>
        </w:rPr>
        <w:t xml:space="preserve"> if developed </w:t>
      </w:r>
      <w:r w:rsidR="00553B65">
        <w:rPr>
          <w:rFonts w:ascii="Arial" w:hAnsi="Arial" w:cs="Arial"/>
          <w:sz w:val="20"/>
          <w:szCs w:val="20"/>
        </w:rPr>
        <w:t>on a stand-alone basis</w:t>
      </w:r>
      <w:r w:rsidR="00553B65" w:rsidRPr="00553B65">
        <w:rPr>
          <w:rFonts w:ascii="Arial" w:hAnsi="Arial" w:cs="Arial"/>
          <w:sz w:val="20"/>
          <w:szCs w:val="20"/>
        </w:rPr>
        <w:t xml:space="preserve"> </w:t>
      </w:r>
      <w:r>
        <w:rPr>
          <w:rFonts w:ascii="Arial" w:hAnsi="Arial" w:cs="Arial"/>
          <w:sz w:val="20"/>
          <w:szCs w:val="20"/>
        </w:rPr>
        <w:t>have quite different implications, particularly if a long-term focus is taken.</w:t>
      </w:r>
    </w:p>
    <w:p w:rsidR="00340869" w:rsidRPr="00D2338A" w:rsidRDefault="00340869" w:rsidP="009E05DF">
      <w:pPr>
        <w:pStyle w:val="ListParagraph"/>
        <w:ind w:hanging="425"/>
        <w:jc w:val="both"/>
        <w:rPr>
          <w:rFonts w:ascii="Arial" w:hAnsi="Arial" w:cs="Arial"/>
          <w:sz w:val="20"/>
          <w:szCs w:val="20"/>
        </w:rPr>
      </w:pPr>
    </w:p>
    <w:p w:rsidR="00D50644" w:rsidRDefault="00D50644" w:rsidP="009E05DF">
      <w:pPr>
        <w:pStyle w:val="ListParagraph"/>
        <w:numPr>
          <w:ilvl w:val="0"/>
          <w:numId w:val="6"/>
        </w:numPr>
        <w:ind w:hanging="425"/>
        <w:jc w:val="both"/>
        <w:rPr>
          <w:rFonts w:ascii="Arial" w:hAnsi="Arial" w:cs="Arial"/>
          <w:sz w:val="20"/>
          <w:szCs w:val="20"/>
        </w:rPr>
      </w:pPr>
      <w:r>
        <w:rPr>
          <w:rFonts w:ascii="Arial" w:hAnsi="Arial" w:cs="Arial"/>
          <w:sz w:val="20"/>
          <w:szCs w:val="20"/>
        </w:rPr>
        <w:t>Employers would face increased compliance costs with any change of current models in relation to offering multiple default superannuation funds within their workforce.</w:t>
      </w:r>
    </w:p>
    <w:p w:rsidR="00340869" w:rsidRPr="00340869" w:rsidRDefault="00340869" w:rsidP="009E05DF">
      <w:pPr>
        <w:pStyle w:val="ListParagraph"/>
        <w:ind w:hanging="425"/>
        <w:jc w:val="both"/>
        <w:rPr>
          <w:rFonts w:ascii="Arial" w:hAnsi="Arial" w:cs="Arial"/>
          <w:sz w:val="20"/>
          <w:szCs w:val="20"/>
        </w:rPr>
      </w:pPr>
    </w:p>
    <w:p w:rsidR="00340869" w:rsidRDefault="005D2087" w:rsidP="009E05DF">
      <w:pPr>
        <w:pStyle w:val="ListParagraph"/>
        <w:numPr>
          <w:ilvl w:val="0"/>
          <w:numId w:val="6"/>
        </w:numPr>
        <w:ind w:hanging="425"/>
        <w:jc w:val="both"/>
        <w:rPr>
          <w:rFonts w:ascii="Arial" w:hAnsi="Arial" w:cs="Arial"/>
          <w:sz w:val="20"/>
          <w:szCs w:val="20"/>
        </w:rPr>
      </w:pPr>
      <w:r>
        <w:rPr>
          <w:rFonts w:ascii="Arial" w:hAnsi="Arial" w:cs="Arial"/>
          <w:sz w:val="20"/>
          <w:szCs w:val="20"/>
        </w:rPr>
        <w:t>The</w:t>
      </w:r>
      <w:r w:rsidR="00340869">
        <w:rPr>
          <w:rFonts w:ascii="Arial" w:hAnsi="Arial" w:cs="Arial"/>
          <w:sz w:val="20"/>
          <w:szCs w:val="20"/>
        </w:rPr>
        <w:t xml:space="preserve"> proposed models would require significant change to existing legislation as well as </w:t>
      </w:r>
      <w:r w:rsidR="0074614C">
        <w:rPr>
          <w:rFonts w:ascii="Arial" w:hAnsi="Arial" w:cs="Arial"/>
          <w:sz w:val="20"/>
          <w:szCs w:val="20"/>
        </w:rPr>
        <w:t xml:space="preserve">to </w:t>
      </w:r>
      <w:r w:rsidR="00340869">
        <w:rPr>
          <w:rFonts w:ascii="Arial" w:hAnsi="Arial" w:cs="Arial"/>
          <w:sz w:val="20"/>
          <w:szCs w:val="20"/>
        </w:rPr>
        <w:t>well-established trust law principles.</w:t>
      </w:r>
    </w:p>
    <w:p w:rsidR="00340869" w:rsidRPr="00287319" w:rsidRDefault="00340869" w:rsidP="009E05DF">
      <w:pPr>
        <w:ind w:hanging="425"/>
        <w:jc w:val="both"/>
        <w:rPr>
          <w:rFonts w:ascii="Arial" w:hAnsi="Arial" w:cs="Arial"/>
          <w:sz w:val="20"/>
          <w:szCs w:val="20"/>
        </w:rPr>
      </w:pPr>
    </w:p>
    <w:p w:rsidR="00D2338A" w:rsidRDefault="00D2338A" w:rsidP="009E05DF">
      <w:pPr>
        <w:pStyle w:val="ListParagraph"/>
        <w:numPr>
          <w:ilvl w:val="0"/>
          <w:numId w:val="6"/>
        </w:numPr>
        <w:ind w:hanging="425"/>
        <w:jc w:val="both"/>
        <w:rPr>
          <w:rFonts w:ascii="Arial" w:hAnsi="Arial" w:cs="Arial"/>
          <w:sz w:val="20"/>
          <w:szCs w:val="20"/>
        </w:rPr>
      </w:pPr>
      <w:r w:rsidRPr="00131DF5">
        <w:rPr>
          <w:rFonts w:ascii="Arial" w:hAnsi="Arial" w:cs="Arial"/>
          <w:sz w:val="20"/>
          <w:szCs w:val="20"/>
        </w:rPr>
        <w:t>The five criteria which the PC proposes to assess the alternative models against are too narrow and largely restricted to cost effectiveness</w:t>
      </w:r>
      <w:r w:rsidR="00D524E9">
        <w:rPr>
          <w:rFonts w:ascii="Arial" w:hAnsi="Arial" w:cs="Arial"/>
          <w:sz w:val="20"/>
          <w:szCs w:val="20"/>
        </w:rPr>
        <w:t xml:space="preserve"> as the main criteria.</w:t>
      </w:r>
    </w:p>
    <w:p w:rsidR="00934354" w:rsidRPr="00934354" w:rsidRDefault="00934354" w:rsidP="009E05DF">
      <w:pPr>
        <w:pStyle w:val="ListParagraph"/>
        <w:ind w:hanging="425"/>
        <w:jc w:val="both"/>
        <w:rPr>
          <w:rFonts w:ascii="Arial" w:hAnsi="Arial" w:cs="Arial"/>
          <w:sz w:val="20"/>
          <w:szCs w:val="20"/>
        </w:rPr>
      </w:pPr>
    </w:p>
    <w:p w:rsidR="00FF7E88" w:rsidRPr="009927CD" w:rsidRDefault="00934354" w:rsidP="009E05DF">
      <w:pPr>
        <w:pStyle w:val="ListParagraph"/>
        <w:numPr>
          <w:ilvl w:val="0"/>
          <w:numId w:val="6"/>
        </w:numPr>
        <w:ind w:hanging="425"/>
        <w:jc w:val="both"/>
        <w:rPr>
          <w:rFonts w:ascii="Arial" w:hAnsi="Arial" w:cs="Arial"/>
          <w:sz w:val="20"/>
          <w:szCs w:val="20"/>
        </w:rPr>
      </w:pPr>
      <w:proofErr w:type="spellStart"/>
      <w:r w:rsidRPr="00D524E9">
        <w:rPr>
          <w:rFonts w:ascii="Arial" w:hAnsi="Arial" w:cs="Arial"/>
          <w:sz w:val="20"/>
          <w:szCs w:val="20"/>
        </w:rPr>
        <w:t>MySuper</w:t>
      </w:r>
      <w:proofErr w:type="spellEnd"/>
      <w:r w:rsidRPr="00D524E9">
        <w:rPr>
          <w:rFonts w:ascii="Arial" w:hAnsi="Arial" w:cs="Arial"/>
          <w:sz w:val="20"/>
          <w:szCs w:val="20"/>
        </w:rPr>
        <w:t xml:space="preserve"> criteria should not be the only </w:t>
      </w:r>
      <w:r w:rsidR="00553B65">
        <w:rPr>
          <w:rFonts w:ascii="Arial" w:hAnsi="Arial" w:cs="Arial"/>
          <w:sz w:val="20"/>
          <w:szCs w:val="20"/>
        </w:rPr>
        <w:t xml:space="preserve">prudential </w:t>
      </w:r>
      <w:r w:rsidRPr="00D524E9">
        <w:rPr>
          <w:rFonts w:ascii="Arial" w:hAnsi="Arial" w:cs="Arial"/>
          <w:sz w:val="20"/>
          <w:szCs w:val="20"/>
        </w:rPr>
        <w:t>criteri</w:t>
      </w:r>
      <w:r w:rsidR="00553B65">
        <w:rPr>
          <w:rFonts w:ascii="Arial" w:hAnsi="Arial" w:cs="Arial"/>
          <w:sz w:val="20"/>
          <w:szCs w:val="20"/>
        </w:rPr>
        <w:t>on</w:t>
      </w:r>
      <w:r w:rsidR="00FF7E88">
        <w:rPr>
          <w:rFonts w:ascii="Arial" w:hAnsi="Arial" w:cs="Arial"/>
          <w:sz w:val="20"/>
          <w:szCs w:val="20"/>
        </w:rPr>
        <w:t xml:space="preserve"> for selection of default funds</w:t>
      </w:r>
      <w:r w:rsidR="003519D7">
        <w:rPr>
          <w:rFonts w:ascii="Arial" w:hAnsi="Arial" w:cs="Arial"/>
          <w:sz w:val="20"/>
          <w:szCs w:val="20"/>
        </w:rPr>
        <w:t xml:space="preserve">. The imposition of additional criteria over and above a </w:t>
      </w:r>
      <w:proofErr w:type="spellStart"/>
      <w:r w:rsidR="003519D7">
        <w:rPr>
          <w:rFonts w:ascii="Arial" w:hAnsi="Arial" w:cs="Arial"/>
          <w:sz w:val="20"/>
          <w:szCs w:val="20"/>
        </w:rPr>
        <w:t>MySuper</w:t>
      </w:r>
      <w:proofErr w:type="spellEnd"/>
      <w:r w:rsidR="003519D7">
        <w:rPr>
          <w:rFonts w:ascii="Arial" w:hAnsi="Arial" w:cs="Arial"/>
          <w:sz w:val="20"/>
          <w:szCs w:val="20"/>
        </w:rPr>
        <w:t xml:space="preserve"> authorisation is notably absent from the Issues Paper.</w:t>
      </w:r>
      <w:r w:rsidR="009927CD">
        <w:rPr>
          <w:rFonts w:ascii="Arial" w:hAnsi="Arial" w:cs="Arial"/>
          <w:sz w:val="20"/>
          <w:szCs w:val="20"/>
        </w:rPr>
        <w:t xml:space="preserve"> This</w:t>
      </w:r>
      <w:r w:rsidR="00FF7E88" w:rsidRPr="009927CD">
        <w:rPr>
          <w:rFonts w:ascii="Arial" w:hAnsi="Arial" w:cs="Arial"/>
          <w:sz w:val="20"/>
          <w:szCs w:val="20"/>
        </w:rPr>
        <w:t xml:space="preserve"> point was reinforced by the 2012 PC report which required criteria greater than </w:t>
      </w:r>
      <w:proofErr w:type="spellStart"/>
      <w:r w:rsidR="00FF7E88" w:rsidRPr="009927CD">
        <w:rPr>
          <w:rFonts w:ascii="Arial" w:hAnsi="Arial" w:cs="Arial"/>
          <w:sz w:val="20"/>
          <w:szCs w:val="20"/>
        </w:rPr>
        <w:t>MySuper</w:t>
      </w:r>
      <w:proofErr w:type="spellEnd"/>
      <w:r w:rsidR="00FF7E88" w:rsidRPr="009927CD">
        <w:rPr>
          <w:rFonts w:ascii="Arial" w:hAnsi="Arial" w:cs="Arial"/>
          <w:sz w:val="20"/>
          <w:szCs w:val="20"/>
        </w:rPr>
        <w:t xml:space="preserve"> compliance as a minimum for consideration for default fund selection.</w:t>
      </w:r>
    </w:p>
    <w:p w:rsidR="00FF7E88" w:rsidRPr="00FF7E88" w:rsidRDefault="00FF7E88" w:rsidP="009E05DF">
      <w:pPr>
        <w:pStyle w:val="ListParagraph"/>
        <w:ind w:hanging="425"/>
        <w:jc w:val="both"/>
        <w:rPr>
          <w:rFonts w:ascii="Arial" w:hAnsi="Arial" w:cs="Arial"/>
          <w:sz w:val="20"/>
          <w:szCs w:val="20"/>
        </w:rPr>
      </w:pPr>
    </w:p>
    <w:p w:rsidR="00FF7E88" w:rsidRDefault="00FF7E88" w:rsidP="009E05DF">
      <w:pPr>
        <w:pStyle w:val="ListParagraph"/>
        <w:numPr>
          <w:ilvl w:val="0"/>
          <w:numId w:val="6"/>
        </w:numPr>
        <w:ind w:hanging="425"/>
        <w:jc w:val="both"/>
        <w:rPr>
          <w:rFonts w:ascii="Arial" w:hAnsi="Arial" w:cs="Arial"/>
          <w:sz w:val="20"/>
          <w:szCs w:val="20"/>
        </w:rPr>
      </w:pPr>
      <w:r w:rsidRPr="00131DF5">
        <w:rPr>
          <w:rFonts w:ascii="Arial" w:hAnsi="Arial" w:cs="Arial"/>
          <w:sz w:val="20"/>
          <w:szCs w:val="20"/>
        </w:rPr>
        <w:t xml:space="preserve">While the terms of reference concentrate on efficiency and competitiveness, there is no recognition that benefits of competition cannot be achieved without some costs. In particular, </w:t>
      </w:r>
      <w:r w:rsidRPr="00131DF5">
        <w:rPr>
          <w:rFonts w:ascii="Arial" w:hAnsi="Arial" w:cs="Arial"/>
          <w:sz w:val="20"/>
          <w:szCs w:val="20"/>
        </w:rPr>
        <w:lastRenderedPageBreak/>
        <w:t>increasing competition may lead to increases in marketing and distribution costs, which was acknowledged by the PC in their report of 2012.</w:t>
      </w:r>
    </w:p>
    <w:p w:rsidR="006303BC" w:rsidRPr="006303BC" w:rsidRDefault="006303BC" w:rsidP="009E05DF">
      <w:pPr>
        <w:pStyle w:val="ListParagraph"/>
        <w:ind w:hanging="425"/>
        <w:jc w:val="both"/>
        <w:rPr>
          <w:rFonts w:ascii="Arial" w:hAnsi="Arial" w:cs="Arial"/>
          <w:sz w:val="20"/>
          <w:szCs w:val="20"/>
        </w:rPr>
      </w:pPr>
    </w:p>
    <w:p w:rsidR="006F3BB6" w:rsidRDefault="006F3BB6" w:rsidP="009E05DF">
      <w:pPr>
        <w:pStyle w:val="ListParagraph"/>
        <w:numPr>
          <w:ilvl w:val="0"/>
          <w:numId w:val="6"/>
        </w:numPr>
        <w:ind w:hanging="425"/>
        <w:jc w:val="both"/>
        <w:rPr>
          <w:rFonts w:ascii="Arial" w:hAnsi="Arial" w:cs="Arial"/>
          <w:sz w:val="20"/>
          <w:szCs w:val="20"/>
        </w:rPr>
      </w:pPr>
      <w:r>
        <w:rPr>
          <w:rFonts w:ascii="Arial" w:hAnsi="Arial" w:cs="Arial"/>
          <w:sz w:val="20"/>
          <w:szCs w:val="20"/>
        </w:rPr>
        <w:t>The PC notes in its report of 2</w:t>
      </w:r>
      <w:r w:rsidRPr="00131DF5">
        <w:rPr>
          <w:rFonts w:ascii="Arial" w:hAnsi="Arial" w:cs="Arial"/>
          <w:sz w:val="20"/>
          <w:szCs w:val="20"/>
        </w:rPr>
        <w:t>0</w:t>
      </w:r>
      <w:r>
        <w:rPr>
          <w:rFonts w:ascii="Arial" w:hAnsi="Arial" w:cs="Arial"/>
          <w:sz w:val="20"/>
          <w:szCs w:val="20"/>
        </w:rPr>
        <w:t>12</w:t>
      </w:r>
      <w:r w:rsidR="00603624">
        <w:rPr>
          <w:rFonts w:ascii="Arial" w:hAnsi="Arial" w:cs="Arial"/>
          <w:sz w:val="20"/>
          <w:szCs w:val="20"/>
        </w:rPr>
        <w:t xml:space="preserve"> that, “</w:t>
      </w:r>
      <w:r w:rsidRPr="00131DF5">
        <w:rPr>
          <w:rFonts w:ascii="Arial" w:hAnsi="Arial" w:cs="Arial"/>
          <w:sz w:val="20"/>
          <w:szCs w:val="20"/>
        </w:rPr>
        <w:t>as trustee</w:t>
      </w:r>
      <w:r>
        <w:rPr>
          <w:rFonts w:ascii="Arial" w:hAnsi="Arial" w:cs="Arial"/>
          <w:sz w:val="20"/>
          <w:szCs w:val="20"/>
        </w:rPr>
        <w:t>s</w:t>
      </w:r>
      <w:r w:rsidRPr="00131DF5">
        <w:rPr>
          <w:rFonts w:ascii="Arial" w:hAnsi="Arial" w:cs="Arial"/>
          <w:sz w:val="20"/>
          <w:szCs w:val="20"/>
        </w:rPr>
        <w:t xml:space="preserve"> become reluctant to increase their expenses, including investment management expenses, this could lead to a “race to the bottom” in terms of performance.</w:t>
      </w:r>
      <w:r w:rsidR="00C35D85">
        <w:rPr>
          <w:rFonts w:ascii="Arial" w:hAnsi="Arial" w:cs="Arial"/>
          <w:sz w:val="20"/>
          <w:szCs w:val="20"/>
        </w:rPr>
        <w:t xml:space="preserve"> The criteria proposed by the Issues Paper appear to be favouring this approach, contrary to the previous report.</w:t>
      </w:r>
    </w:p>
    <w:p w:rsidR="0074614C" w:rsidRPr="00C17501" w:rsidRDefault="0074614C" w:rsidP="009E05DF">
      <w:pPr>
        <w:pStyle w:val="ListParagraph"/>
        <w:jc w:val="both"/>
        <w:rPr>
          <w:rFonts w:ascii="Arial" w:hAnsi="Arial" w:cs="Arial"/>
          <w:sz w:val="20"/>
          <w:szCs w:val="20"/>
        </w:rPr>
      </w:pPr>
    </w:p>
    <w:p w:rsidR="0074614C" w:rsidRDefault="0074614C" w:rsidP="009E05DF">
      <w:pPr>
        <w:pStyle w:val="ListParagraph"/>
        <w:numPr>
          <w:ilvl w:val="0"/>
          <w:numId w:val="6"/>
        </w:numPr>
        <w:ind w:hanging="425"/>
        <w:jc w:val="both"/>
        <w:rPr>
          <w:rFonts w:ascii="Arial" w:hAnsi="Arial" w:cs="Arial"/>
          <w:sz w:val="20"/>
          <w:szCs w:val="20"/>
        </w:rPr>
      </w:pPr>
      <w:r>
        <w:rPr>
          <w:rFonts w:ascii="Arial" w:hAnsi="Arial" w:cs="Arial"/>
          <w:sz w:val="20"/>
          <w:szCs w:val="20"/>
        </w:rPr>
        <w:t xml:space="preserve">The proposed models </w:t>
      </w:r>
      <w:r w:rsidR="0067533C">
        <w:rPr>
          <w:rFonts w:ascii="Arial" w:hAnsi="Arial" w:cs="Arial"/>
          <w:sz w:val="20"/>
          <w:szCs w:val="20"/>
        </w:rPr>
        <w:t xml:space="preserve">would </w:t>
      </w:r>
      <w:r w:rsidR="00925569">
        <w:rPr>
          <w:rFonts w:ascii="Arial" w:hAnsi="Arial" w:cs="Arial"/>
          <w:sz w:val="20"/>
          <w:szCs w:val="20"/>
        </w:rPr>
        <w:t xml:space="preserve">introduce new </w:t>
      </w:r>
      <w:r>
        <w:rPr>
          <w:rFonts w:ascii="Arial" w:hAnsi="Arial" w:cs="Arial"/>
          <w:sz w:val="20"/>
          <w:szCs w:val="20"/>
        </w:rPr>
        <w:t xml:space="preserve">agency issues that mean they </w:t>
      </w:r>
      <w:r w:rsidR="005B5938">
        <w:rPr>
          <w:rFonts w:ascii="Arial" w:hAnsi="Arial" w:cs="Arial"/>
          <w:sz w:val="20"/>
          <w:szCs w:val="20"/>
        </w:rPr>
        <w:t>would be</w:t>
      </w:r>
      <w:r>
        <w:rPr>
          <w:rFonts w:ascii="Arial" w:hAnsi="Arial" w:cs="Arial"/>
          <w:sz w:val="20"/>
          <w:szCs w:val="20"/>
        </w:rPr>
        <w:t xml:space="preserve"> </w:t>
      </w:r>
      <w:r w:rsidR="00925569">
        <w:rPr>
          <w:rFonts w:ascii="Arial" w:hAnsi="Arial" w:cs="Arial"/>
          <w:sz w:val="20"/>
          <w:szCs w:val="20"/>
        </w:rPr>
        <w:t xml:space="preserve">even </w:t>
      </w:r>
      <w:r>
        <w:rPr>
          <w:rFonts w:ascii="Arial" w:hAnsi="Arial" w:cs="Arial"/>
          <w:sz w:val="20"/>
          <w:szCs w:val="20"/>
        </w:rPr>
        <w:t>less aligned to the interests of members than the current system.</w:t>
      </w:r>
    </w:p>
    <w:p w:rsidR="00925569" w:rsidRPr="00A53BF0" w:rsidRDefault="00925569" w:rsidP="00A53BF0">
      <w:pPr>
        <w:pStyle w:val="ListParagraph"/>
        <w:rPr>
          <w:rFonts w:ascii="Arial" w:hAnsi="Arial" w:cs="Arial"/>
          <w:sz w:val="20"/>
          <w:szCs w:val="20"/>
        </w:rPr>
      </w:pPr>
    </w:p>
    <w:p w:rsidR="00925569" w:rsidRPr="00A53BF0" w:rsidRDefault="00925569" w:rsidP="00A53BF0">
      <w:pPr>
        <w:pStyle w:val="ListParagraph"/>
        <w:numPr>
          <w:ilvl w:val="0"/>
          <w:numId w:val="6"/>
        </w:numPr>
        <w:jc w:val="both"/>
        <w:rPr>
          <w:rFonts w:ascii="Arial" w:hAnsi="Arial" w:cs="Arial"/>
          <w:sz w:val="20"/>
          <w:szCs w:val="20"/>
        </w:rPr>
      </w:pPr>
      <w:r w:rsidRPr="00A53BF0">
        <w:rPr>
          <w:rFonts w:ascii="Arial" w:hAnsi="Arial" w:cs="Arial"/>
          <w:sz w:val="20"/>
          <w:szCs w:val="20"/>
        </w:rPr>
        <w:t xml:space="preserve">The current system is underpinned by </w:t>
      </w:r>
      <w:r w:rsidR="005D4F87" w:rsidRPr="00A53BF0">
        <w:rPr>
          <w:rFonts w:ascii="Arial" w:hAnsi="Arial" w:cs="Arial"/>
          <w:sz w:val="20"/>
          <w:szCs w:val="20"/>
        </w:rPr>
        <w:t xml:space="preserve">trust law and </w:t>
      </w:r>
      <w:r w:rsidRPr="00A53BF0">
        <w:rPr>
          <w:rFonts w:ascii="Arial" w:hAnsi="Arial" w:cs="Arial"/>
          <w:sz w:val="20"/>
          <w:szCs w:val="20"/>
        </w:rPr>
        <w:t>legislation which impose strong obligations on the trustees of all funds acting in the best interests of members and for default funds promoting members’ financial interests.</w:t>
      </w:r>
    </w:p>
    <w:p w:rsidR="00A00F74" w:rsidRPr="00A00F74" w:rsidRDefault="00A00F74" w:rsidP="009E05DF">
      <w:pPr>
        <w:pStyle w:val="ListParagraph"/>
        <w:ind w:hanging="425"/>
        <w:jc w:val="both"/>
        <w:rPr>
          <w:rFonts w:ascii="Arial" w:hAnsi="Arial" w:cs="Arial"/>
          <w:sz w:val="20"/>
          <w:szCs w:val="20"/>
        </w:rPr>
      </w:pPr>
    </w:p>
    <w:p w:rsidR="00CD48F6" w:rsidRPr="007411CA" w:rsidRDefault="005B5938" w:rsidP="00A53BF0">
      <w:pPr>
        <w:pStyle w:val="ListParagraph"/>
        <w:numPr>
          <w:ilvl w:val="0"/>
          <w:numId w:val="6"/>
        </w:numPr>
        <w:jc w:val="both"/>
        <w:rPr>
          <w:rFonts w:ascii="Arial" w:hAnsi="Arial" w:cs="Arial"/>
          <w:sz w:val="20"/>
          <w:szCs w:val="20"/>
        </w:rPr>
      </w:pPr>
      <w:r>
        <w:rPr>
          <w:rFonts w:ascii="Arial" w:hAnsi="Arial" w:cs="Arial"/>
          <w:sz w:val="20"/>
          <w:szCs w:val="20"/>
        </w:rPr>
        <w:t>An o</w:t>
      </w:r>
      <w:r w:rsidR="003858E0">
        <w:rPr>
          <w:rFonts w:ascii="Arial" w:hAnsi="Arial" w:cs="Arial"/>
          <w:sz w:val="20"/>
          <w:szCs w:val="20"/>
        </w:rPr>
        <w:t>ver</w:t>
      </w:r>
      <w:r w:rsidR="00536220">
        <w:rPr>
          <w:rFonts w:ascii="Arial" w:hAnsi="Arial" w:cs="Arial"/>
          <w:sz w:val="20"/>
          <w:szCs w:val="20"/>
        </w:rPr>
        <w:t>-</w:t>
      </w:r>
      <w:r w:rsidR="00A00F74" w:rsidRPr="00131DF5">
        <w:rPr>
          <w:rFonts w:ascii="Arial" w:hAnsi="Arial" w:cs="Arial"/>
          <w:sz w:val="20"/>
          <w:szCs w:val="20"/>
        </w:rPr>
        <w:t>emphasis on fees and costs being a key criteri</w:t>
      </w:r>
      <w:r w:rsidR="00553B65">
        <w:rPr>
          <w:rFonts w:ascii="Arial" w:hAnsi="Arial" w:cs="Arial"/>
          <w:sz w:val="20"/>
          <w:szCs w:val="20"/>
        </w:rPr>
        <w:t>on</w:t>
      </w:r>
      <w:r w:rsidR="00A00F74" w:rsidRPr="00131DF5">
        <w:rPr>
          <w:rFonts w:ascii="Arial" w:hAnsi="Arial" w:cs="Arial"/>
          <w:sz w:val="20"/>
          <w:szCs w:val="20"/>
        </w:rPr>
        <w:t xml:space="preserve"> for selection of super funds impedes optimal investment and performance outcomes. For instance an active management approach may incur more expenses h</w:t>
      </w:r>
      <w:r w:rsidR="00A00F74">
        <w:rPr>
          <w:rFonts w:ascii="Arial" w:hAnsi="Arial" w:cs="Arial"/>
          <w:sz w:val="20"/>
          <w:szCs w:val="20"/>
        </w:rPr>
        <w:t>owever</w:t>
      </w:r>
      <w:r w:rsidR="00A00F74" w:rsidRPr="00131DF5">
        <w:rPr>
          <w:rFonts w:ascii="Arial" w:hAnsi="Arial" w:cs="Arial"/>
          <w:sz w:val="20"/>
          <w:szCs w:val="20"/>
        </w:rPr>
        <w:t xml:space="preserve"> the investment returns </w:t>
      </w:r>
      <w:r w:rsidR="00D0698A">
        <w:rPr>
          <w:rFonts w:ascii="Arial" w:hAnsi="Arial" w:cs="Arial"/>
          <w:sz w:val="20"/>
          <w:szCs w:val="20"/>
        </w:rPr>
        <w:t>may</w:t>
      </w:r>
      <w:r w:rsidR="00A00F74" w:rsidRPr="00131DF5">
        <w:rPr>
          <w:rFonts w:ascii="Arial" w:hAnsi="Arial" w:cs="Arial"/>
          <w:sz w:val="20"/>
          <w:szCs w:val="20"/>
        </w:rPr>
        <w:t xml:space="preserve"> be higher</w:t>
      </w:r>
      <w:r w:rsidR="00D0698A">
        <w:rPr>
          <w:rFonts w:ascii="Arial" w:hAnsi="Arial" w:cs="Arial"/>
          <w:sz w:val="20"/>
          <w:szCs w:val="20"/>
        </w:rPr>
        <w:t xml:space="preserve"> </w:t>
      </w:r>
      <w:r w:rsidR="007B4EC8">
        <w:rPr>
          <w:rFonts w:ascii="Arial" w:hAnsi="Arial" w:cs="Arial"/>
          <w:sz w:val="20"/>
          <w:szCs w:val="20"/>
        </w:rPr>
        <w:t xml:space="preserve">and the net position of members, </w:t>
      </w:r>
      <w:r w:rsidR="00D0698A">
        <w:rPr>
          <w:rFonts w:ascii="Arial" w:hAnsi="Arial" w:cs="Arial"/>
          <w:sz w:val="20"/>
          <w:szCs w:val="20"/>
        </w:rPr>
        <w:t>superior</w:t>
      </w:r>
      <w:r w:rsidR="00D0698A" w:rsidRPr="00CD00A8">
        <w:rPr>
          <w:rFonts w:ascii="Arial" w:hAnsi="Arial" w:cs="Arial"/>
          <w:sz w:val="20"/>
          <w:szCs w:val="20"/>
        </w:rPr>
        <w:t>.</w:t>
      </w:r>
      <w:r w:rsidR="00CD48F6" w:rsidRPr="00CD00A8">
        <w:rPr>
          <w:rFonts w:ascii="Arial" w:hAnsi="Arial" w:cs="Arial"/>
          <w:sz w:val="20"/>
          <w:szCs w:val="20"/>
        </w:rPr>
        <w:t xml:space="preserve"> For example </w:t>
      </w:r>
      <w:proofErr w:type="spellStart"/>
      <w:r w:rsidR="00CD48F6" w:rsidRPr="00CD00A8">
        <w:rPr>
          <w:rFonts w:ascii="Arial" w:hAnsi="Arial" w:cs="Arial"/>
          <w:sz w:val="20"/>
          <w:szCs w:val="20"/>
        </w:rPr>
        <w:t>REST’s</w:t>
      </w:r>
      <w:proofErr w:type="spellEnd"/>
      <w:r w:rsidR="00CD48F6" w:rsidRPr="00CD00A8">
        <w:rPr>
          <w:rFonts w:ascii="Arial" w:hAnsi="Arial" w:cs="Arial"/>
          <w:sz w:val="20"/>
          <w:szCs w:val="20"/>
        </w:rPr>
        <w:t xml:space="preserve"> approach has delivered excellent net returns for members and REST Super’s Core Strategy investment option (the </w:t>
      </w:r>
      <w:proofErr w:type="spellStart"/>
      <w:r w:rsidR="00CD48F6" w:rsidRPr="00CD00A8">
        <w:rPr>
          <w:rFonts w:ascii="Arial" w:hAnsi="Arial" w:cs="Arial"/>
          <w:sz w:val="20"/>
          <w:szCs w:val="20"/>
        </w:rPr>
        <w:t>MySuper</w:t>
      </w:r>
      <w:proofErr w:type="spellEnd"/>
      <w:r w:rsidR="00CD48F6" w:rsidRPr="00CD00A8">
        <w:rPr>
          <w:rFonts w:ascii="Arial" w:hAnsi="Arial" w:cs="Arial"/>
          <w:sz w:val="20"/>
          <w:szCs w:val="20"/>
        </w:rPr>
        <w:t xml:space="preserve"> investment option) has outperformed similar options of super funds surveyed over</w:t>
      </w:r>
      <w:r w:rsidR="00C53659" w:rsidRPr="00CD00A8">
        <w:rPr>
          <w:rFonts w:ascii="Arial" w:hAnsi="Arial" w:cs="Arial"/>
          <w:sz w:val="20"/>
          <w:szCs w:val="20"/>
        </w:rPr>
        <w:t xml:space="preserve"> the last </w:t>
      </w:r>
      <w:r w:rsidR="00CD48F6" w:rsidRPr="00CD00A8">
        <w:rPr>
          <w:rFonts w:ascii="Arial" w:hAnsi="Arial" w:cs="Arial"/>
          <w:sz w:val="20"/>
          <w:szCs w:val="20"/>
        </w:rPr>
        <w:t>10 years.</w:t>
      </w:r>
      <w:r w:rsidR="00CD48F6" w:rsidRPr="00CD00A8">
        <w:rPr>
          <w:rStyle w:val="FootnoteReference"/>
          <w:rFonts w:ascii="Arial" w:hAnsi="Arial" w:cs="Arial"/>
          <w:sz w:val="20"/>
          <w:szCs w:val="20"/>
        </w:rPr>
        <w:footnoteReference w:id="1"/>
      </w:r>
    </w:p>
    <w:p w:rsidR="002C5C71" w:rsidRPr="002C5C71" w:rsidRDefault="002C5C71" w:rsidP="009E05DF">
      <w:pPr>
        <w:pStyle w:val="ListParagraph"/>
        <w:jc w:val="both"/>
        <w:rPr>
          <w:rFonts w:ascii="Arial" w:hAnsi="Arial" w:cs="Arial"/>
          <w:sz w:val="20"/>
          <w:szCs w:val="20"/>
        </w:rPr>
      </w:pPr>
    </w:p>
    <w:p w:rsidR="002C5C71" w:rsidRDefault="002C5C71" w:rsidP="009E05DF">
      <w:pPr>
        <w:pStyle w:val="ListParagraph"/>
        <w:numPr>
          <w:ilvl w:val="0"/>
          <w:numId w:val="6"/>
        </w:numPr>
        <w:ind w:left="709" w:hanging="425"/>
        <w:jc w:val="both"/>
        <w:rPr>
          <w:rFonts w:ascii="Arial" w:hAnsi="Arial" w:cs="Arial"/>
          <w:sz w:val="20"/>
          <w:szCs w:val="20"/>
        </w:rPr>
      </w:pPr>
      <w:r w:rsidRPr="005D2087">
        <w:rPr>
          <w:rFonts w:ascii="Arial" w:hAnsi="Arial" w:cs="Arial"/>
          <w:sz w:val="20"/>
          <w:szCs w:val="20"/>
        </w:rPr>
        <w:t xml:space="preserve">The current system is efficient and competitive and already has a mechanism for opening it up to further competition via the </w:t>
      </w:r>
      <w:proofErr w:type="spellStart"/>
      <w:r w:rsidR="0040182E">
        <w:rPr>
          <w:rFonts w:ascii="Arial" w:hAnsi="Arial" w:cs="Arial"/>
          <w:sz w:val="20"/>
          <w:szCs w:val="20"/>
        </w:rPr>
        <w:t>FWC</w:t>
      </w:r>
      <w:proofErr w:type="spellEnd"/>
      <w:r w:rsidRPr="005D2087">
        <w:rPr>
          <w:rFonts w:ascii="Arial" w:hAnsi="Arial" w:cs="Arial"/>
          <w:sz w:val="20"/>
          <w:szCs w:val="20"/>
        </w:rPr>
        <w:t xml:space="preserve">.  </w:t>
      </w:r>
      <w:r w:rsidR="00C80FAE">
        <w:rPr>
          <w:rFonts w:ascii="Arial" w:hAnsi="Arial" w:cs="Arial"/>
          <w:sz w:val="20"/>
          <w:szCs w:val="20"/>
        </w:rPr>
        <w:t xml:space="preserve">There is also extensive competition outside the boundaries of the </w:t>
      </w:r>
      <w:proofErr w:type="spellStart"/>
      <w:r w:rsidR="00C80FAE">
        <w:rPr>
          <w:rFonts w:ascii="Arial" w:hAnsi="Arial" w:cs="Arial"/>
          <w:sz w:val="20"/>
          <w:szCs w:val="20"/>
        </w:rPr>
        <w:t>FWC</w:t>
      </w:r>
      <w:proofErr w:type="spellEnd"/>
      <w:r w:rsidR="00C80FAE">
        <w:rPr>
          <w:rFonts w:ascii="Arial" w:hAnsi="Arial" w:cs="Arial"/>
          <w:sz w:val="20"/>
          <w:szCs w:val="20"/>
        </w:rPr>
        <w:t xml:space="preserve"> including choice of fund, corporate tenders, provision of services and </w:t>
      </w:r>
      <w:proofErr w:type="spellStart"/>
      <w:r w:rsidR="00C80FAE">
        <w:rPr>
          <w:rFonts w:ascii="Arial" w:hAnsi="Arial" w:cs="Arial"/>
          <w:sz w:val="20"/>
          <w:szCs w:val="20"/>
        </w:rPr>
        <w:t>SMSFs</w:t>
      </w:r>
      <w:proofErr w:type="spellEnd"/>
      <w:r w:rsidR="00C80FAE">
        <w:rPr>
          <w:rFonts w:ascii="Arial" w:hAnsi="Arial" w:cs="Arial"/>
          <w:sz w:val="20"/>
          <w:szCs w:val="20"/>
        </w:rPr>
        <w:t xml:space="preserve">.  </w:t>
      </w:r>
      <w:r w:rsidR="008A2C5A">
        <w:rPr>
          <w:rFonts w:ascii="Arial" w:hAnsi="Arial" w:cs="Arial"/>
          <w:sz w:val="20"/>
          <w:szCs w:val="20"/>
        </w:rPr>
        <w:t>For all of the reasons above, as further detailed in this paper, the work that the PC is now undertaking should target refining and augmenting the current system rather than replacing it. This would align well with, and complement, the extensive work done and conclusions reached by the PC in 2012.</w:t>
      </w:r>
    </w:p>
    <w:p w:rsidR="00D524E9" w:rsidRPr="00041DEB" w:rsidRDefault="00745275" w:rsidP="00A53BF0">
      <w:pPr>
        <w:pStyle w:val="Heading1"/>
        <w:numPr>
          <w:ilvl w:val="0"/>
          <w:numId w:val="21"/>
        </w:numPr>
      </w:pPr>
      <w:bookmarkStart w:id="5" w:name="_Toc465352947"/>
      <w:bookmarkStart w:id="6" w:name="_Toc465354079"/>
      <w:r w:rsidRPr="00041DEB">
        <w:t>Process</w:t>
      </w:r>
      <w:bookmarkEnd w:id="5"/>
      <w:bookmarkEnd w:id="6"/>
      <w:r w:rsidRPr="00041DEB">
        <w:t xml:space="preserve"> </w:t>
      </w:r>
    </w:p>
    <w:p w:rsidR="00745275" w:rsidRPr="00C17501" w:rsidRDefault="00745275" w:rsidP="009E05DF">
      <w:pPr>
        <w:jc w:val="both"/>
        <w:rPr>
          <w:rFonts w:ascii="Arial" w:hAnsi="Arial" w:cs="Arial"/>
          <w:sz w:val="20"/>
          <w:szCs w:val="20"/>
        </w:rPr>
      </w:pPr>
      <w:r w:rsidRPr="00296901">
        <w:rPr>
          <w:rFonts w:ascii="Arial" w:hAnsi="Arial" w:cs="Arial"/>
          <w:sz w:val="20"/>
          <w:szCs w:val="20"/>
        </w:rPr>
        <w:t>T</w:t>
      </w:r>
      <w:r w:rsidRPr="00C17501">
        <w:rPr>
          <w:rFonts w:ascii="Arial" w:hAnsi="Arial" w:cs="Arial"/>
          <w:sz w:val="20"/>
          <w:szCs w:val="20"/>
        </w:rPr>
        <w:t>he best elements of each of the proposed models are already found in the current default model.</w:t>
      </w:r>
    </w:p>
    <w:p w:rsidR="00745275" w:rsidRPr="00296901" w:rsidRDefault="00745275" w:rsidP="009E05DF">
      <w:pPr>
        <w:ind w:left="284"/>
        <w:jc w:val="both"/>
        <w:rPr>
          <w:rFonts w:ascii="Arial" w:hAnsi="Arial" w:cs="Arial"/>
          <w:sz w:val="20"/>
          <w:szCs w:val="20"/>
        </w:rPr>
      </w:pPr>
    </w:p>
    <w:p w:rsidR="00745275" w:rsidRDefault="00745275" w:rsidP="009E05DF">
      <w:pPr>
        <w:jc w:val="both"/>
        <w:rPr>
          <w:rFonts w:ascii="Arial" w:hAnsi="Arial" w:cs="Arial"/>
          <w:sz w:val="20"/>
          <w:szCs w:val="20"/>
        </w:rPr>
      </w:pPr>
      <w:r>
        <w:rPr>
          <w:rFonts w:ascii="Arial" w:hAnsi="Arial" w:cs="Arial"/>
          <w:sz w:val="20"/>
          <w:szCs w:val="20"/>
        </w:rPr>
        <w:t xml:space="preserve">For instance, Trustees are already bound to meet the legislative requirements of </w:t>
      </w:r>
      <w:proofErr w:type="spellStart"/>
      <w:r>
        <w:rPr>
          <w:rFonts w:ascii="Arial" w:hAnsi="Arial" w:cs="Arial"/>
          <w:sz w:val="20"/>
          <w:szCs w:val="20"/>
        </w:rPr>
        <w:t>MySuper</w:t>
      </w:r>
      <w:proofErr w:type="spellEnd"/>
      <w:r>
        <w:rPr>
          <w:rFonts w:ascii="Arial" w:hAnsi="Arial" w:cs="Arial"/>
          <w:sz w:val="20"/>
          <w:szCs w:val="20"/>
        </w:rPr>
        <w:t xml:space="preserve"> in relation to maintaining the best interests of members and promotion of their financial interests.</w:t>
      </w:r>
    </w:p>
    <w:p w:rsidR="00745275" w:rsidRDefault="00745275" w:rsidP="009E05DF">
      <w:pPr>
        <w:jc w:val="both"/>
        <w:rPr>
          <w:rFonts w:ascii="Arial" w:hAnsi="Arial" w:cs="Arial"/>
          <w:sz w:val="20"/>
          <w:szCs w:val="20"/>
        </w:rPr>
      </w:pPr>
    </w:p>
    <w:p w:rsidR="00745275" w:rsidRDefault="00E75B77" w:rsidP="009E05DF">
      <w:pPr>
        <w:jc w:val="both"/>
        <w:rPr>
          <w:rFonts w:ascii="Arial" w:hAnsi="Arial" w:cs="Arial"/>
          <w:sz w:val="20"/>
          <w:szCs w:val="20"/>
          <w:highlight w:val="yellow"/>
        </w:rPr>
      </w:pPr>
      <w:r w:rsidRPr="00E75B77">
        <w:rPr>
          <w:rFonts w:ascii="Arial" w:hAnsi="Arial" w:cs="Arial"/>
          <w:sz w:val="20"/>
          <w:szCs w:val="20"/>
        </w:rPr>
        <w:t>The administrative model is already reflected in the Fair Work Commission’s (</w:t>
      </w:r>
      <w:proofErr w:type="spellStart"/>
      <w:r w:rsidRPr="00E75B77">
        <w:rPr>
          <w:rFonts w:ascii="Arial" w:hAnsi="Arial" w:cs="Arial"/>
          <w:sz w:val="20"/>
          <w:szCs w:val="20"/>
        </w:rPr>
        <w:t>FWC</w:t>
      </w:r>
      <w:proofErr w:type="spellEnd"/>
      <w:r w:rsidRPr="00E75B77">
        <w:rPr>
          <w:rFonts w:ascii="Arial" w:hAnsi="Arial" w:cs="Arial"/>
          <w:sz w:val="20"/>
          <w:szCs w:val="20"/>
        </w:rPr>
        <w:t xml:space="preserve">) role regarding the selection of default funds. Elements of the market based and active choice approaches are also present.  For example, the proposed process for being listed as a default fund after consideration by an Expert Panel has features of the market based model and modern awards generally allow members to choose a fund if they wish.  Further, market based competitive activity is extensive within funds through the selection of service providers, not least of which include in relation to the current use of filters regarding selection of funds by the </w:t>
      </w:r>
      <w:proofErr w:type="spellStart"/>
      <w:r w:rsidRPr="00E75B77">
        <w:rPr>
          <w:rFonts w:ascii="Arial" w:hAnsi="Arial" w:cs="Arial"/>
          <w:sz w:val="20"/>
          <w:szCs w:val="20"/>
        </w:rPr>
        <w:t>FWC</w:t>
      </w:r>
      <w:proofErr w:type="spellEnd"/>
      <w:r w:rsidRPr="00E75B77">
        <w:rPr>
          <w:rFonts w:ascii="Arial" w:hAnsi="Arial" w:cs="Arial"/>
          <w:sz w:val="20"/>
          <w:szCs w:val="20"/>
        </w:rPr>
        <w:t>, as well as the tendering of administration and insurance</w:t>
      </w:r>
      <w:r w:rsidR="00442874">
        <w:rPr>
          <w:rFonts w:ascii="Arial" w:hAnsi="Arial" w:cs="Arial"/>
          <w:sz w:val="20"/>
          <w:szCs w:val="20"/>
        </w:rPr>
        <w:t xml:space="preserve"> providers</w:t>
      </w:r>
      <w:r w:rsidRPr="00E75B77">
        <w:rPr>
          <w:rFonts w:ascii="Arial" w:hAnsi="Arial" w:cs="Arial"/>
          <w:sz w:val="20"/>
          <w:szCs w:val="20"/>
        </w:rPr>
        <w:t xml:space="preserve">.   </w:t>
      </w:r>
    </w:p>
    <w:p w:rsidR="00745275" w:rsidRPr="00C17501" w:rsidRDefault="00E75B77" w:rsidP="009E05DF">
      <w:pPr>
        <w:jc w:val="both"/>
        <w:rPr>
          <w:rFonts w:ascii="Arial" w:hAnsi="Arial" w:cs="Arial"/>
          <w:sz w:val="20"/>
          <w:szCs w:val="20"/>
          <w:highlight w:val="yellow"/>
        </w:rPr>
      </w:pPr>
      <w:r>
        <w:rPr>
          <w:rFonts w:ascii="Arial" w:hAnsi="Arial" w:cs="Arial"/>
          <w:sz w:val="20"/>
          <w:szCs w:val="20"/>
        </w:rPr>
        <w:t>Any new</w:t>
      </w:r>
      <w:r w:rsidR="00745275" w:rsidRPr="00C34109">
        <w:rPr>
          <w:rFonts w:ascii="Arial" w:hAnsi="Arial" w:cs="Arial"/>
          <w:sz w:val="20"/>
          <w:szCs w:val="20"/>
        </w:rPr>
        <w:t xml:space="preserve"> model</w:t>
      </w:r>
      <w:r>
        <w:rPr>
          <w:rFonts w:ascii="Arial" w:hAnsi="Arial" w:cs="Arial"/>
          <w:sz w:val="20"/>
          <w:szCs w:val="20"/>
        </w:rPr>
        <w:t xml:space="preserve"> should not be developed in isolation from the existing system.  Rather, any new model should target refining and augmenting the existing system, not replacing it.  Quite </w:t>
      </w:r>
      <w:r w:rsidR="00213466">
        <w:rPr>
          <w:rFonts w:ascii="Arial" w:hAnsi="Arial" w:cs="Arial"/>
          <w:sz w:val="20"/>
          <w:szCs w:val="20"/>
        </w:rPr>
        <w:t>a</w:t>
      </w:r>
      <w:r>
        <w:rPr>
          <w:rFonts w:ascii="Arial" w:hAnsi="Arial" w:cs="Arial"/>
          <w:sz w:val="20"/>
          <w:szCs w:val="20"/>
        </w:rPr>
        <w:t xml:space="preserve">part from the merits of the existing system, any move to a new system </w:t>
      </w:r>
      <w:r w:rsidR="00745275" w:rsidRPr="00C34109">
        <w:rPr>
          <w:rFonts w:ascii="Arial" w:hAnsi="Arial" w:cs="Arial"/>
          <w:sz w:val="20"/>
          <w:szCs w:val="20"/>
        </w:rPr>
        <w:t xml:space="preserve"> would</w:t>
      </w:r>
      <w:r>
        <w:rPr>
          <w:rFonts w:ascii="Arial" w:hAnsi="Arial" w:cs="Arial"/>
          <w:sz w:val="20"/>
          <w:szCs w:val="20"/>
        </w:rPr>
        <w:t>, through the transition process,</w:t>
      </w:r>
      <w:r w:rsidR="00745275" w:rsidRPr="00C34109">
        <w:rPr>
          <w:rFonts w:ascii="Arial" w:hAnsi="Arial" w:cs="Arial"/>
          <w:sz w:val="20"/>
          <w:szCs w:val="20"/>
        </w:rPr>
        <w:t xml:space="preserve"> create uncertainty, lack of stability and be fundamentally flawed from a costs, efficiency</w:t>
      </w:r>
      <w:r w:rsidR="00745275">
        <w:rPr>
          <w:rFonts w:ascii="Arial" w:hAnsi="Arial" w:cs="Arial"/>
          <w:sz w:val="20"/>
          <w:szCs w:val="20"/>
        </w:rPr>
        <w:t xml:space="preserve"> and complexity perspective for members, employers and funds.</w:t>
      </w:r>
      <w:r>
        <w:rPr>
          <w:rFonts w:ascii="Arial" w:hAnsi="Arial" w:cs="Arial"/>
          <w:sz w:val="20"/>
          <w:szCs w:val="20"/>
        </w:rPr>
        <w:t xml:space="preserve">  This would all be for little or no benefit.</w:t>
      </w:r>
    </w:p>
    <w:p w:rsidR="00745275" w:rsidRPr="00C17501" w:rsidRDefault="00745275" w:rsidP="009E05DF">
      <w:pPr>
        <w:jc w:val="both"/>
        <w:rPr>
          <w:rFonts w:ascii="Arial" w:hAnsi="Arial" w:cs="Arial"/>
          <w:sz w:val="20"/>
          <w:szCs w:val="20"/>
        </w:rPr>
      </w:pPr>
    </w:p>
    <w:p w:rsidR="00C35D85" w:rsidRDefault="00D524E9" w:rsidP="009E05DF">
      <w:pPr>
        <w:jc w:val="both"/>
        <w:rPr>
          <w:rFonts w:ascii="Arial" w:hAnsi="Arial" w:cs="Arial"/>
          <w:sz w:val="20"/>
          <w:szCs w:val="20"/>
        </w:rPr>
      </w:pPr>
      <w:r w:rsidRPr="00131DF5">
        <w:rPr>
          <w:rFonts w:ascii="Arial" w:hAnsi="Arial" w:cs="Arial"/>
          <w:sz w:val="20"/>
          <w:szCs w:val="20"/>
        </w:rPr>
        <w:t xml:space="preserve">REST notes that </w:t>
      </w:r>
      <w:r w:rsidR="00DB5310">
        <w:rPr>
          <w:rFonts w:ascii="Arial" w:hAnsi="Arial" w:cs="Arial"/>
          <w:sz w:val="20"/>
          <w:szCs w:val="20"/>
        </w:rPr>
        <w:t xml:space="preserve">if </w:t>
      </w:r>
      <w:r w:rsidR="00553B65">
        <w:rPr>
          <w:rFonts w:ascii="Arial" w:hAnsi="Arial" w:cs="Arial"/>
          <w:sz w:val="20"/>
          <w:szCs w:val="20"/>
        </w:rPr>
        <w:t xml:space="preserve">any of </w:t>
      </w:r>
      <w:r w:rsidRPr="00131DF5">
        <w:rPr>
          <w:rFonts w:ascii="Arial" w:hAnsi="Arial" w:cs="Arial"/>
          <w:sz w:val="20"/>
          <w:szCs w:val="20"/>
        </w:rPr>
        <w:t xml:space="preserve">the models proposed </w:t>
      </w:r>
      <w:r w:rsidR="00DB5310">
        <w:rPr>
          <w:rFonts w:ascii="Arial" w:hAnsi="Arial" w:cs="Arial"/>
          <w:sz w:val="20"/>
          <w:szCs w:val="20"/>
        </w:rPr>
        <w:t xml:space="preserve">were implemented in isolation </w:t>
      </w:r>
      <w:r w:rsidR="00553B65">
        <w:rPr>
          <w:rFonts w:ascii="Arial" w:hAnsi="Arial" w:cs="Arial"/>
          <w:sz w:val="20"/>
          <w:szCs w:val="20"/>
        </w:rPr>
        <w:t xml:space="preserve">and separately from </w:t>
      </w:r>
      <w:r w:rsidR="00DB5310">
        <w:rPr>
          <w:rFonts w:ascii="Arial" w:hAnsi="Arial" w:cs="Arial"/>
          <w:sz w:val="20"/>
          <w:szCs w:val="20"/>
        </w:rPr>
        <w:t xml:space="preserve">the current system, then they </w:t>
      </w:r>
      <w:r w:rsidR="00296901">
        <w:rPr>
          <w:rFonts w:ascii="Arial" w:hAnsi="Arial" w:cs="Arial"/>
          <w:sz w:val="20"/>
          <w:szCs w:val="20"/>
        </w:rPr>
        <w:t xml:space="preserve">would </w:t>
      </w:r>
      <w:r w:rsidRPr="00131DF5">
        <w:rPr>
          <w:rFonts w:ascii="Arial" w:hAnsi="Arial" w:cs="Arial"/>
          <w:sz w:val="20"/>
          <w:szCs w:val="20"/>
        </w:rPr>
        <w:t xml:space="preserve">depart radically from the previous model </w:t>
      </w:r>
      <w:r w:rsidR="007F01DE">
        <w:rPr>
          <w:rFonts w:ascii="Arial" w:hAnsi="Arial" w:cs="Arial"/>
          <w:sz w:val="20"/>
          <w:szCs w:val="20"/>
        </w:rPr>
        <w:t>where</w:t>
      </w:r>
      <w:r w:rsidRPr="00131DF5">
        <w:rPr>
          <w:rFonts w:ascii="Arial" w:hAnsi="Arial" w:cs="Arial"/>
          <w:sz w:val="20"/>
          <w:szCs w:val="20"/>
        </w:rPr>
        <w:t xml:space="preserve"> the </w:t>
      </w:r>
      <w:proofErr w:type="spellStart"/>
      <w:r w:rsidR="0040182E">
        <w:rPr>
          <w:rFonts w:ascii="Arial" w:hAnsi="Arial" w:cs="Arial"/>
          <w:sz w:val="20"/>
          <w:szCs w:val="20"/>
        </w:rPr>
        <w:t>FWC</w:t>
      </w:r>
      <w:proofErr w:type="spellEnd"/>
      <w:r w:rsidRPr="00131DF5">
        <w:rPr>
          <w:rFonts w:ascii="Arial" w:hAnsi="Arial" w:cs="Arial"/>
          <w:sz w:val="20"/>
          <w:szCs w:val="20"/>
        </w:rPr>
        <w:t xml:space="preserve"> </w:t>
      </w:r>
      <w:r>
        <w:rPr>
          <w:rFonts w:ascii="Arial" w:hAnsi="Arial" w:cs="Arial"/>
          <w:sz w:val="20"/>
          <w:szCs w:val="20"/>
        </w:rPr>
        <w:t>propos</w:t>
      </w:r>
      <w:r w:rsidR="007F01DE">
        <w:rPr>
          <w:rFonts w:ascii="Arial" w:hAnsi="Arial" w:cs="Arial"/>
          <w:sz w:val="20"/>
          <w:szCs w:val="20"/>
        </w:rPr>
        <w:t>ed</w:t>
      </w:r>
      <w:r>
        <w:rPr>
          <w:rFonts w:ascii="Arial" w:hAnsi="Arial" w:cs="Arial"/>
          <w:sz w:val="20"/>
          <w:szCs w:val="20"/>
        </w:rPr>
        <w:t xml:space="preserve"> the use of an expert panel to conduct reviews of the </w:t>
      </w:r>
      <w:r w:rsidR="000B18D1">
        <w:rPr>
          <w:rFonts w:ascii="Arial" w:hAnsi="Arial" w:cs="Arial"/>
          <w:sz w:val="20"/>
          <w:szCs w:val="20"/>
        </w:rPr>
        <w:t>A</w:t>
      </w:r>
      <w:r>
        <w:rPr>
          <w:rFonts w:ascii="Arial" w:hAnsi="Arial" w:cs="Arial"/>
          <w:sz w:val="20"/>
          <w:szCs w:val="20"/>
        </w:rPr>
        <w:t xml:space="preserve">wards to select and determine </w:t>
      </w:r>
      <w:r w:rsidR="007F01DE">
        <w:rPr>
          <w:rFonts w:ascii="Arial" w:hAnsi="Arial" w:cs="Arial"/>
          <w:sz w:val="20"/>
          <w:szCs w:val="20"/>
        </w:rPr>
        <w:t xml:space="preserve">default funds </w:t>
      </w:r>
      <w:r>
        <w:rPr>
          <w:rFonts w:ascii="Arial" w:hAnsi="Arial" w:cs="Arial"/>
          <w:sz w:val="20"/>
          <w:szCs w:val="20"/>
        </w:rPr>
        <w:t xml:space="preserve">having regard to prescribed criteria and allocate 2-15 funds for each </w:t>
      </w:r>
      <w:r w:rsidR="000B18D1">
        <w:rPr>
          <w:rFonts w:ascii="Arial" w:hAnsi="Arial" w:cs="Arial"/>
          <w:sz w:val="20"/>
          <w:szCs w:val="20"/>
        </w:rPr>
        <w:t>A</w:t>
      </w:r>
      <w:r>
        <w:rPr>
          <w:rFonts w:ascii="Arial" w:hAnsi="Arial" w:cs="Arial"/>
          <w:sz w:val="20"/>
          <w:szCs w:val="20"/>
        </w:rPr>
        <w:t>ward</w:t>
      </w:r>
      <w:r w:rsidR="007F01DE">
        <w:rPr>
          <w:rFonts w:ascii="Arial" w:hAnsi="Arial" w:cs="Arial"/>
          <w:sz w:val="20"/>
          <w:szCs w:val="20"/>
        </w:rPr>
        <w:t xml:space="preserve">. These </w:t>
      </w:r>
      <w:r w:rsidR="00296901">
        <w:rPr>
          <w:rFonts w:ascii="Arial" w:hAnsi="Arial" w:cs="Arial"/>
          <w:sz w:val="20"/>
          <w:szCs w:val="20"/>
        </w:rPr>
        <w:t xml:space="preserve">funds would be drawn from a limited pool that had been approved for </w:t>
      </w:r>
      <w:r w:rsidR="000806CE">
        <w:rPr>
          <w:rFonts w:ascii="Arial" w:hAnsi="Arial" w:cs="Arial"/>
          <w:sz w:val="20"/>
          <w:szCs w:val="20"/>
        </w:rPr>
        <w:t>l</w:t>
      </w:r>
      <w:r w:rsidR="00296901">
        <w:rPr>
          <w:rFonts w:ascii="Arial" w:hAnsi="Arial" w:cs="Arial"/>
          <w:sz w:val="20"/>
          <w:szCs w:val="20"/>
        </w:rPr>
        <w:t xml:space="preserve">isting on the </w:t>
      </w:r>
      <w:proofErr w:type="spellStart"/>
      <w:r w:rsidR="0040182E">
        <w:rPr>
          <w:rFonts w:ascii="Arial" w:hAnsi="Arial" w:cs="Arial"/>
          <w:sz w:val="20"/>
          <w:szCs w:val="20"/>
        </w:rPr>
        <w:t>FWC</w:t>
      </w:r>
      <w:proofErr w:type="spellEnd"/>
      <w:r>
        <w:rPr>
          <w:rFonts w:ascii="Arial" w:hAnsi="Arial" w:cs="Arial"/>
          <w:sz w:val="20"/>
          <w:szCs w:val="20"/>
        </w:rPr>
        <w:t xml:space="preserve"> Default Fund</w:t>
      </w:r>
      <w:r w:rsidR="007F01DE">
        <w:rPr>
          <w:rFonts w:ascii="Arial" w:hAnsi="Arial" w:cs="Arial"/>
          <w:sz w:val="20"/>
          <w:szCs w:val="20"/>
        </w:rPr>
        <w:t xml:space="preserve"> List as the </w:t>
      </w:r>
      <w:r w:rsidR="007F01DE">
        <w:rPr>
          <w:rFonts w:ascii="Arial" w:hAnsi="Arial" w:cs="Arial"/>
          <w:sz w:val="20"/>
          <w:szCs w:val="20"/>
        </w:rPr>
        <w:lastRenderedPageBreak/>
        <w:t>outcome of Stage 1. The funds</w:t>
      </w:r>
      <w:r>
        <w:rPr>
          <w:rFonts w:ascii="Arial" w:hAnsi="Arial" w:cs="Arial"/>
          <w:sz w:val="20"/>
          <w:szCs w:val="20"/>
        </w:rPr>
        <w:t xml:space="preserve"> would be named on each individual </w:t>
      </w:r>
      <w:r w:rsidR="000B18D1">
        <w:rPr>
          <w:rFonts w:ascii="Arial" w:hAnsi="Arial" w:cs="Arial"/>
          <w:sz w:val="20"/>
          <w:szCs w:val="20"/>
        </w:rPr>
        <w:t>A</w:t>
      </w:r>
      <w:r>
        <w:rPr>
          <w:rFonts w:ascii="Arial" w:hAnsi="Arial" w:cs="Arial"/>
          <w:sz w:val="20"/>
          <w:szCs w:val="20"/>
        </w:rPr>
        <w:t>ward as the only approved funds to which future default super contributions could be made for employees cover</w:t>
      </w:r>
      <w:r w:rsidR="007F01DE">
        <w:rPr>
          <w:rFonts w:ascii="Arial" w:hAnsi="Arial" w:cs="Arial"/>
          <w:sz w:val="20"/>
          <w:szCs w:val="20"/>
        </w:rPr>
        <w:t xml:space="preserve">ed by that </w:t>
      </w:r>
      <w:r w:rsidR="000B18D1">
        <w:rPr>
          <w:rFonts w:ascii="Arial" w:hAnsi="Arial" w:cs="Arial"/>
          <w:sz w:val="20"/>
          <w:szCs w:val="20"/>
        </w:rPr>
        <w:t>A</w:t>
      </w:r>
      <w:r w:rsidR="007F01DE">
        <w:rPr>
          <w:rFonts w:ascii="Arial" w:hAnsi="Arial" w:cs="Arial"/>
          <w:sz w:val="20"/>
          <w:szCs w:val="20"/>
        </w:rPr>
        <w:t>ward. We note that S</w:t>
      </w:r>
      <w:r>
        <w:rPr>
          <w:rFonts w:ascii="Arial" w:hAnsi="Arial" w:cs="Arial"/>
          <w:sz w:val="20"/>
          <w:szCs w:val="20"/>
        </w:rPr>
        <w:t xml:space="preserve">tage 1 has now been stalled </w:t>
      </w:r>
      <w:r w:rsidR="004D3557" w:rsidRPr="00CD00A8">
        <w:rPr>
          <w:rFonts w:ascii="Arial" w:hAnsi="Arial" w:cs="Arial"/>
          <w:sz w:val="20"/>
          <w:szCs w:val="20"/>
        </w:rPr>
        <w:t>because the Government has not appointed additional members to the expert panel.</w:t>
      </w:r>
    </w:p>
    <w:p w:rsidR="00853612" w:rsidRDefault="00853612" w:rsidP="009E05DF">
      <w:pPr>
        <w:jc w:val="both"/>
        <w:rPr>
          <w:rFonts w:ascii="Arial" w:hAnsi="Arial" w:cs="Arial"/>
          <w:sz w:val="20"/>
          <w:szCs w:val="20"/>
        </w:rPr>
      </w:pPr>
    </w:p>
    <w:p w:rsidR="00C35D85" w:rsidRDefault="003168EE" w:rsidP="009E05DF">
      <w:pPr>
        <w:jc w:val="both"/>
        <w:rPr>
          <w:rFonts w:ascii="Arial" w:hAnsi="Arial" w:cs="Arial"/>
          <w:sz w:val="20"/>
          <w:szCs w:val="20"/>
        </w:rPr>
      </w:pPr>
      <w:r>
        <w:rPr>
          <w:rFonts w:ascii="Arial" w:hAnsi="Arial" w:cs="Arial"/>
          <w:sz w:val="20"/>
          <w:szCs w:val="20"/>
        </w:rPr>
        <w:t xml:space="preserve">While the scope of the Terms of Reference </w:t>
      </w:r>
      <w:r w:rsidR="00041DEB">
        <w:rPr>
          <w:rFonts w:ascii="Arial" w:hAnsi="Arial" w:cs="Arial"/>
          <w:sz w:val="20"/>
          <w:szCs w:val="20"/>
        </w:rPr>
        <w:t>is</w:t>
      </w:r>
      <w:r w:rsidR="00553B65">
        <w:rPr>
          <w:rFonts w:ascii="Arial" w:hAnsi="Arial" w:cs="Arial"/>
          <w:sz w:val="20"/>
          <w:szCs w:val="20"/>
        </w:rPr>
        <w:t xml:space="preserve"> </w:t>
      </w:r>
      <w:r>
        <w:rPr>
          <w:rFonts w:ascii="Arial" w:hAnsi="Arial" w:cs="Arial"/>
          <w:sz w:val="20"/>
          <w:szCs w:val="20"/>
        </w:rPr>
        <w:t>broad</w:t>
      </w:r>
      <w:r w:rsidR="00041DEB">
        <w:rPr>
          <w:rFonts w:ascii="Arial" w:hAnsi="Arial" w:cs="Arial"/>
          <w:sz w:val="20"/>
          <w:szCs w:val="20"/>
        </w:rPr>
        <w:t>er</w:t>
      </w:r>
      <w:r>
        <w:rPr>
          <w:rFonts w:ascii="Arial" w:hAnsi="Arial" w:cs="Arial"/>
          <w:sz w:val="20"/>
          <w:szCs w:val="20"/>
        </w:rPr>
        <w:t xml:space="preserve"> tha</w:t>
      </w:r>
      <w:r w:rsidR="00553B65">
        <w:rPr>
          <w:rFonts w:ascii="Arial" w:hAnsi="Arial" w:cs="Arial"/>
          <w:sz w:val="20"/>
          <w:szCs w:val="20"/>
        </w:rPr>
        <w:t>n</w:t>
      </w:r>
      <w:r>
        <w:rPr>
          <w:rFonts w:ascii="Arial" w:hAnsi="Arial" w:cs="Arial"/>
          <w:sz w:val="20"/>
          <w:szCs w:val="20"/>
        </w:rPr>
        <w:t xml:space="preserve"> the </w:t>
      </w:r>
      <w:r w:rsidR="00553B65">
        <w:rPr>
          <w:rFonts w:ascii="Arial" w:hAnsi="Arial" w:cs="Arial"/>
          <w:sz w:val="20"/>
          <w:szCs w:val="20"/>
        </w:rPr>
        <w:t xml:space="preserve">Terms of Reference for the </w:t>
      </w:r>
      <w:r>
        <w:rPr>
          <w:rFonts w:ascii="Arial" w:hAnsi="Arial" w:cs="Arial"/>
          <w:sz w:val="20"/>
          <w:szCs w:val="20"/>
        </w:rPr>
        <w:t xml:space="preserve">2012 PC report, the 2012 report determined a number of principles that are no less valid today and are unaffected by the broader scope. </w:t>
      </w:r>
      <w:r w:rsidR="00553B65">
        <w:rPr>
          <w:rFonts w:ascii="Arial" w:hAnsi="Arial" w:cs="Arial"/>
          <w:sz w:val="20"/>
          <w:szCs w:val="20"/>
        </w:rPr>
        <w:t>For example, t</w:t>
      </w:r>
      <w:r w:rsidR="00C35D85" w:rsidRPr="00C35D85">
        <w:rPr>
          <w:rFonts w:ascii="Arial" w:hAnsi="Arial" w:cs="Arial"/>
          <w:sz w:val="20"/>
          <w:szCs w:val="20"/>
        </w:rPr>
        <w:t xml:space="preserve">he 2012 report did in fact cover a variety of possible roles for the </w:t>
      </w:r>
      <w:proofErr w:type="spellStart"/>
      <w:r w:rsidR="00C35D85" w:rsidRPr="00C35D85">
        <w:rPr>
          <w:rFonts w:ascii="Arial" w:hAnsi="Arial" w:cs="Arial"/>
          <w:sz w:val="20"/>
          <w:szCs w:val="20"/>
        </w:rPr>
        <w:t>FWC</w:t>
      </w:r>
      <w:proofErr w:type="spellEnd"/>
      <w:r w:rsidR="00C35D85" w:rsidRPr="00C35D85">
        <w:rPr>
          <w:rFonts w:ascii="Arial" w:hAnsi="Arial" w:cs="Arial"/>
          <w:sz w:val="20"/>
          <w:szCs w:val="20"/>
        </w:rPr>
        <w:t>.</w:t>
      </w:r>
    </w:p>
    <w:p w:rsidR="00C35D85" w:rsidRDefault="00C35D85" w:rsidP="009E05DF">
      <w:pPr>
        <w:jc w:val="both"/>
        <w:rPr>
          <w:rFonts w:ascii="Arial" w:hAnsi="Arial" w:cs="Arial"/>
          <w:sz w:val="20"/>
          <w:szCs w:val="20"/>
        </w:rPr>
      </w:pPr>
    </w:p>
    <w:p w:rsidR="00C35D85" w:rsidRDefault="00C35D85" w:rsidP="009E05DF">
      <w:pPr>
        <w:jc w:val="both"/>
        <w:rPr>
          <w:rFonts w:ascii="Arial" w:hAnsi="Arial" w:cs="Arial"/>
          <w:sz w:val="20"/>
          <w:szCs w:val="20"/>
        </w:rPr>
      </w:pPr>
      <w:r w:rsidRPr="00C35D85">
        <w:rPr>
          <w:rFonts w:ascii="Arial" w:hAnsi="Arial" w:cs="Arial"/>
          <w:sz w:val="20"/>
          <w:szCs w:val="20"/>
        </w:rPr>
        <w:t>In the 2012 PC report the PC held that the processes once settled would not be reviewed again until 2023. We note that this has not occurred with the new default models being suggested.</w:t>
      </w:r>
    </w:p>
    <w:p w:rsidR="00C35D85" w:rsidRDefault="00C35D85" w:rsidP="009E05DF">
      <w:pPr>
        <w:jc w:val="both"/>
        <w:rPr>
          <w:rFonts w:ascii="Arial" w:hAnsi="Arial" w:cs="Arial"/>
          <w:sz w:val="20"/>
          <w:szCs w:val="20"/>
        </w:rPr>
      </w:pPr>
    </w:p>
    <w:p w:rsidR="00EE0317" w:rsidRPr="0022740C" w:rsidRDefault="0006400D" w:rsidP="00A53BF0">
      <w:pPr>
        <w:pStyle w:val="Heading1"/>
        <w:numPr>
          <w:ilvl w:val="0"/>
          <w:numId w:val="21"/>
        </w:numPr>
      </w:pPr>
      <w:bookmarkStart w:id="7" w:name="_Toc465352948"/>
      <w:bookmarkStart w:id="8" w:name="_Toc465354080"/>
      <w:r w:rsidRPr="0022740C">
        <w:t xml:space="preserve">Comparison to current requirements: </w:t>
      </w:r>
      <w:r w:rsidR="00EE0317" w:rsidRPr="0022740C">
        <w:t xml:space="preserve">REST and its </w:t>
      </w:r>
      <w:r w:rsidR="000B18D1" w:rsidRPr="0022740C">
        <w:t>M</w:t>
      </w:r>
      <w:r w:rsidR="00EE0317" w:rsidRPr="0022740C">
        <w:t xml:space="preserve">odern </w:t>
      </w:r>
      <w:r w:rsidR="000B18D1" w:rsidRPr="0022740C">
        <w:t>A</w:t>
      </w:r>
      <w:r w:rsidR="00EE0317" w:rsidRPr="0022740C">
        <w:t xml:space="preserve">wards and </w:t>
      </w:r>
      <w:proofErr w:type="spellStart"/>
      <w:r w:rsidR="00EE0317" w:rsidRPr="0022740C">
        <w:t>EBAs</w:t>
      </w:r>
      <w:bookmarkEnd w:id="7"/>
      <w:bookmarkEnd w:id="8"/>
      <w:proofErr w:type="spellEnd"/>
    </w:p>
    <w:p w:rsidR="00FF7E88" w:rsidRDefault="000806CE" w:rsidP="009E05DF">
      <w:pPr>
        <w:jc w:val="both"/>
        <w:rPr>
          <w:rFonts w:ascii="Arial" w:hAnsi="Arial" w:cs="Arial"/>
          <w:sz w:val="20"/>
          <w:szCs w:val="20"/>
        </w:rPr>
      </w:pPr>
      <w:r>
        <w:rPr>
          <w:rFonts w:ascii="Arial" w:hAnsi="Arial" w:cs="Arial"/>
          <w:sz w:val="20"/>
          <w:szCs w:val="20"/>
        </w:rPr>
        <w:t>The</w:t>
      </w:r>
      <w:r w:rsidR="00D2338A">
        <w:rPr>
          <w:rFonts w:ascii="Arial" w:hAnsi="Arial" w:cs="Arial"/>
          <w:sz w:val="20"/>
          <w:szCs w:val="20"/>
        </w:rPr>
        <w:t xml:space="preserve"> </w:t>
      </w:r>
      <w:r w:rsidR="003658C4">
        <w:rPr>
          <w:rFonts w:ascii="Arial" w:hAnsi="Arial" w:cs="Arial"/>
          <w:sz w:val="20"/>
          <w:szCs w:val="20"/>
        </w:rPr>
        <w:t>A</w:t>
      </w:r>
      <w:r w:rsidR="00D2338A">
        <w:rPr>
          <w:rFonts w:ascii="Arial" w:hAnsi="Arial" w:cs="Arial"/>
          <w:sz w:val="20"/>
          <w:szCs w:val="20"/>
        </w:rPr>
        <w:t xml:space="preserve">ward which covers most of </w:t>
      </w:r>
      <w:proofErr w:type="spellStart"/>
      <w:r w:rsidR="00D2338A">
        <w:rPr>
          <w:rFonts w:ascii="Arial" w:hAnsi="Arial" w:cs="Arial"/>
          <w:sz w:val="20"/>
          <w:szCs w:val="20"/>
        </w:rPr>
        <w:t>REST’s</w:t>
      </w:r>
      <w:proofErr w:type="spellEnd"/>
      <w:r w:rsidR="00D2338A">
        <w:rPr>
          <w:rFonts w:ascii="Arial" w:hAnsi="Arial" w:cs="Arial"/>
          <w:sz w:val="20"/>
          <w:szCs w:val="20"/>
        </w:rPr>
        <w:t xml:space="preserve"> members is the </w:t>
      </w:r>
      <w:r w:rsidR="00D2338A" w:rsidRPr="008402CC">
        <w:rPr>
          <w:rFonts w:ascii="Arial" w:hAnsi="Arial" w:cs="Arial"/>
          <w:sz w:val="20"/>
          <w:szCs w:val="20"/>
        </w:rPr>
        <w:t xml:space="preserve">General Retail Industry Award, 2010, whereby REST is one of five named default superannuation funds. Under this </w:t>
      </w:r>
      <w:r w:rsidR="003658C4">
        <w:rPr>
          <w:rFonts w:ascii="Arial" w:hAnsi="Arial" w:cs="Arial"/>
          <w:sz w:val="20"/>
          <w:szCs w:val="20"/>
        </w:rPr>
        <w:t>A</w:t>
      </w:r>
      <w:r w:rsidR="00D2338A" w:rsidRPr="008402CC">
        <w:rPr>
          <w:rFonts w:ascii="Arial" w:hAnsi="Arial" w:cs="Arial"/>
          <w:sz w:val="20"/>
          <w:szCs w:val="20"/>
        </w:rPr>
        <w:t xml:space="preserve">ward, employers can pay mandatory superannuation guarantee contributions to REST, or to another named superannuation fund, or a member’s own choice of fund or to another super fund under the grandfathering default positions. </w:t>
      </w:r>
    </w:p>
    <w:p w:rsidR="00FF7E88" w:rsidRDefault="00FF7E88" w:rsidP="009E05DF">
      <w:pPr>
        <w:jc w:val="both"/>
        <w:rPr>
          <w:rFonts w:ascii="Arial" w:hAnsi="Arial" w:cs="Arial"/>
          <w:sz w:val="20"/>
          <w:szCs w:val="20"/>
        </w:rPr>
      </w:pPr>
    </w:p>
    <w:p w:rsidR="00FF7E88" w:rsidRDefault="00D2338A" w:rsidP="009E05DF">
      <w:pPr>
        <w:jc w:val="both"/>
        <w:rPr>
          <w:rFonts w:ascii="Arial" w:hAnsi="Arial" w:cs="Arial"/>
          <w:sz w:val="20"/>
          <w:szCs w:val="20"/>
        </w:rPr>
      </w:pPr>
      <w:r w:rsidRPr="008402CC">
        <w:rPr>
          <w:rFonts w:ascii="Arial" w:hAnsi="Arial" w:cs="Arial"/>
          <w:sz w:val="20"/>
          <w:szCs w:val="20"/>
        </w:rPr>
        <w:t xml:space="preserve">Accordingly, </w:t>
      </w:r>
      <w:r w:rsidR="00442874">
        <w:rPr>
          <w:rFonts w:ascii="Arial" w:hAnsi="Arial" w:cs="Arial"/>
          <w:sz w:val="20"/>
          <w:szCs w:val="20"/>
        </w:rPr>
        <w:t>t</w:t>
      </w:r>
      <w:r w:rsidRPr="008402CC">
        <w:rPr>
          <w:rFonts w:ascii="Arial" w:hAnsi="Arial" w:cs="Arial"/>
          <w:sz w:val="20"/>
          <w:szCs w:val="20"/>
        </w:rPr>
        <w:t>he Gen</w:t>
      </w:r>
      <w:r>
        <w:rPr>
          <w:rFonts w:ascii="Arial" w:hAnsi="Arial" w:cs="Arial"/>
          <w:sz w:val="20"/>
          <w:szCs w:val="20"/>
        </w:rPr>
        <w:t>eral Retail Industry Award already off</w:t>
      </w:r>
      <w:r w:rsidRPr="008402CC">
        <w:rPr>
          <w:rFonts w:ascii="Arial" w:hAnsi="Arial" w:cs="Arial"/>
          <w:sz w:val="20"/>
          <w:szCs w:val="20"/>
        </w:rPr>
        <w:t xml:space="preserve">ers choice beyond the named funds if a member chooses, as well as a suitable safety net as a default offering where a member does not choose. </w:t>
      </w:r>
      <w:r>
        <w:rPr>
          <w:rFonts w:ascii="Arial" w:hAnsi="Arial" w:cs="Arial"/>
          <w:sz w:val="20"/>
          <w:szCs w:val="20"/>
        </w:rPr>
        <w:t xml:space="preserve">We note that the proposed models in the Issues Paper do not achieve the same balance of choice and safety net which is currently offered through </w:t>
      </w:r>
      <w:r w:rsidR="00416E6C">
        <w:rPr>
          <w:rFonts w:ascii="Arial" w:hAnsi="Arial" w:cs="Arial"/>
          <w:sz w:val="20"/>
          <w:szCs w:val="20"/>
        </w:rPr>
        <w:t xml:space="preserve">the </w:t>
      </w:r>
      <w:r>
        <w:rPr>
          <w:rFonts w:ascii="Arial" w:hAnsi="Arial" w:cs="Arial"/>
          <w:sz w:val="20"/>
          <w:szCs w:val="20"/>
        </w:rPr>
        <w:t xml:space="preserve">current </w:t>
      </w:r>
      <w:r w:rsidR="000B18D1">
        <w:rPr>
          <w:rFonts w:ascii="Arial" w:hAnsi="Arial" w:cs="Arial"/>
          <w:sz w:val="20"/>
          <w:szCs w:val="20"/>
        </w:rPr>
        <w:t>A</w:t>
      </w:r>
      <w:r>
        <w:rPr>
          <w:rFonts w:ascii="Arial" w:hAnsi="Arial" w:cs="Arial"/>
          <w:sz w:val="20"/>
          <w:szCs w:val="20"/>
        </w:rPr>
        <w:t>ward arrangement</w:t>
      </w:r>
      <w:r w:rsidR="00416E6C">
        <w:rPr>
          <w:rFonts w:ascii="Arial" w:hAnsi="Arial" w:cs="Arial"/>
          <w:sz w:val="20"/>
          <w:szCs w:val="20"/>
        </w:rPr>
        <w:t>s which name REST.</w:t>
      </w:r>
    </w:p>
    <w:p w:rsidR="00FF7E88" w:rsidRDefault="00FF7E88" w:rsidP="009E05DF">
      <w:pPr>
        <w:jc w:val="both"/>
        <w:rPr>
          <w:rFonts w:ascii="Arial" w:hAnsi="Arial" w:cs="Arial"/>
          <w:sz w:val="20"/>
          <w:szCs w:val="20"/>
        </w:rPr>
      </w:pPr>
    </w:p>
    <w:p w:rsidR="00D2338A" w:rsidRDefault="00D2338A" w:rsidP="009E05DF">
      <w:pPr>
        <w:jc w:val="both"/>
        <w:rPr>
          <w:rFonts w:ascii="Arial" w:hAnsi="Arial" w:cs="Arial"/>
          <w:sz w:val="20"/>
          <w:szCs w:val="20"/>
        </w:rPr>
      </w:pPr>
      <w:r>
        <w:rPr>
          <w:rFonts w:ascii="Arial" w:hAnsi="Arial" w:cs="Arial"/>
          <w:sz w:val="20"/>
          <w:szCs w:val="20"/>
        </w:rPr>
        <w:t xml:space="preserve">Similarly, </w:t>
      </w:r>
      <w:proofErr w:type="spellStart"/>
      <w:r>
        <w:rPr>
          <w:rFonts w:ascii="Arial" w:hAnsi="Arial" w:cs="Arial"/>
          <w:sz w:val="20"/>
          <w:szCs w:val="20"/>
        </w:rPr>
        <w:t>REST’s</w:t>
      </w:r>
      <w:proofErr w:type="spellEnd"/>
      <w:r>
        <w:rPr>
          <w:rFonts w:ascii="Arial" w:hAnsi="Arial" w:cs="Arial"/>
          <w:sz w:val="20"/>
          <w:szCs w:val="20"/>
        </w:rPr>
        <w:t xml:space="preserve"> largest employers have </w:t>
      </w:r>
      <w:proofErr w:type="spellStart"/>
      <w:r>
        <w:rPr>
          <w:rFonts w:ascii="Arial" w:hAnsi="Arial" w:cs="Arial"/>
          <w:sz w:val="20"/>
          <w:szCs w:val="20"/>
        </w:rPr>
        <w:t>EBAs</w:t>
      </w:r>
      <w:proofErr w:type="spellEnd"/>
      <w:r>
        <w:rPr>
          <w:rFonts w:ascii="Arial" w:hAnsi="Arial" w:cs="Arial"/>
          <w:sz w:val="20"/>
          <w:szCs w:val="20"/>
        </w:rPr>
        <w:t xml:space="preserve"> </w:t>
      </w:r>
      <w:r w:rsidR="00AF2298">
        <w:rPr>
          <w:rFonts w:ascii="Arial" w:hAnsi="Arial" w:cs="Arial"/>
          <w:sz w:val="20"/>
          <w:szCs w:val="20"/>
        </w:rPr>
        <w:t>in place for their employees.</w:t>
      </w:r>
      <w:r w:rsidR="00CF0930">
        <w:rPr>
          <w:rFonts w:ascii="Arial" w:hAnsi="Arial" w:cs="Arial"/>
          <w:sz w:val="20"/>
          <w:szCs w:val="20"/>
        </w:rPr>
        <w:t xml:space="preserve"> </w:t>
      </w:r>
      <w:r>
        <w:rPr>
          <w:rFonts w:ascii="Arial" w:hAnsi="Arial" w:cs="Arial"/>
          <w:sz w:val="20"/>
          <w:szCs w:val="20"/>
        </w:rPr>
        <w:t xml:space="preserve">These </w:t>
      </w:r>
      <w:proofErr w:type="spellStart"/>
      <w:r>
        <w:rPr>
          <w:rFonts w:ascii="Arial" w:hAnsi="Arial" w:cs="Arial"/>
          <w:sz w:val="20"/>
          <w:szCs w:val="20"/>
        </w:rPr>
        <w:t>EBAs</w:t>
      </w:r>
      <w:proofErr w:type="spellEnd"/>
      <w:r>
        <w:rPr>
          <w:rFonts w:ascii="Arial" w:hAnsi="Arial" w:cs="Arial"/>
          <w:sz w:val="20"/>
          <w:szCs w:val="20"/>
        </w:rPr>
        <w:t xml:space="preserve"> provide “better off” conditions than the relevant </w:t>
      </w:r>
      <w:r w:rsidR="003658C4">
        <w:rPr>
          <w:rFonts w:ascii="Arial" w:hAnsi="Arial" w:cs="Arial"/>
          <w:sz w:val="20"/>
          <w:szCs w:val="20"/>
        </w:rPr>
        <w:t>M</w:t>
      </w:r>
      <w:r>
        <w:rPr>
          <w:rFonts w:ascii="Arial" w:hAnsi="Arial" w:cs="Arial"/>
          <w:sz w:val="20"/>
          <w:szCs w:val="20"/>
        </w:rPr>
        <w:t xml:space="preserve">odern </w:t>
      </w:r>
      <w:r w:rsidR="003658C4">
        <w:rPr>
          <w:rFonts w:ascii="Arial" w:hAnsi="Arial" w:cs="Arial"/>
          <w:sz w:val="20"/>
          <w:szCs w:val="20"/>
        </w:rPr>
        <w:t>A</w:t>
      </w:r>
      <w:r>
        <w:rPr>
          <w:rFonts w:ascii="Arial" w:hAnsi="Arial" w:cs="Arial"/>
          <w:sz w:val="20"/>
          <w:szCs w:val="20"/>
        </w:rPr>
        <w:t xml:space="preserve">ward. In some cases, the SG components specified in </w:t>
      </w:r>
      <w:proofErr w:type="spellStart"/>
      <w:r>
        <w:rPr>
          <w:rFonts w:ascii="Arial" w:hAnsi="Arial" w:cs="Arial"/>
          <w:sz w:val="20"/>
          <w:szCs w:val="20"/>
        </w:rPr>
        <w:t>EBAs</w:t>
      </w:r>
      <w:proofErr w:type="spellEnd"/>
      <w:r>
        <w:rPr>
          <w:rFonts w:ascii="Arial" w:hAnsi="Arial" w:cs="Arial"/>
          <w:sz w:val="20"/>
          <w:szCs w:val="20"/>
        </w:rPr>
        <w:t xml:space="preserve"> exceed the legislated minimum superannuation guarantee amount. Wages and other conditions of employment can also be more generous to workers than under </w:t>
      </w:r>
      <w:r w:rsidR="003658C4">
        <w:rPr>
          <w:rFonts w:ascii="Arial" w:hAnsi="Arial" w:cs="Arial"/>
          <w:sz w:val="20"/>
          <w:szCs w:val="20"/>
        </w:rPr>
        <w:t>M</w:t>
      </w:r>
      <w:r>
        <w:rPr>
          <w:rFonts w:ascii="Arial" w:hAnsi="Arial" w:cs="Arial"/>
          <w:sz w:val="20"/>
          <w:szCs w:val="20"/>
        </w:rPr>
        <w:t xml:space="preserve">odern </w:t>
      </w:r>
      <w:r w:rsidR="003658C4">
        <w:rPr>
          <w:rFonts w:ascii="Arial" w:hAnsi="Arial" w:cs="Arial"/>
          <w:sz w:val="20"/>
          <w:szCs w:val="20"/>
        </w:rPr>
        <w:t>A</w:t>
      </w:r>
      <w:r>
        <w:rPr>
          <w:rFonts w:ascii="Arial" w:hAnsi="Arial" w:cs="Arial"/>
          <w:sz w:val="20"/>
          <w:szCs w:val="20"/>
        </w:rPr>
        <w:t xml:space="preserve">wards. </w:t>
      </w:r>
    </w:p>
    <w:p w:rsidR="00EE0317" w:rsidRPr="00041DEB" w:rsidRDefault="00EE0317" w:rsidP="00A53BF0">
      <w:pPr>
        <w:pStyle w:val="Heading1"/>
        <w:numPr>
          <w:ilvl w:val="0"/>
          <w:numId w:val="21"/>
        </w:numPr>
      </w:pPr>
      <w:bookmarkStart w:id="9" w:name="_Toc465352949"/>
      <w:bookmarkStart w:id="10" w:name="_Toc465354081"/>
      <w:proofErr w:type="spellStart"/>
      <w:r w:rsidRPr="00041DEB">
        <w:t>MySuper</w:t>
      </w:r>
      <w:proofErr w:type="spellEnd"/>
      <w:r w:rsidRPr="00041DEB">
        <w:t xml:space="preserve"> </w:t>
      </w:r>
      <w:r w:rsidR="00D52D34" w:rsidRPr="00041DEB">
        <w:t>should not be</w:t>
      </w:r>
      <w:r w:rsidRPr="00041DEB">
        <w:t xml:space="preserve"> the only criteria</w:t>
      </w:r>
      <w:bookmarkEnd w:id="9"/>
      <w:bookmarkEnd w:id="10"/>
    </w:p>
    <w:p w:rsidR="00450598" w:rsidRPr="00C35D85" w:rsidRDefault="00450598" w:rsidP="00041DEB">
      <w:pPr>
        <w:keepNext/>
        <w:jc w:val="both"/>
        <w:rPr>
          <w:rFonts w:ascii="Arial" w:hAnsi="Arial" w:cs="Arial"/>
          <w:sz w:val="20"/>
          <w:szCs w:val="20"/>
        </w:rPr>
      </w:pPr>
      <w:proofErr w:type="spellStart"/>
      <w:r w:rsidRPr="00C35D85">
        <w:rPr>
          <w:rFonts w:ascii="Arial" w:hAnsi="Arial" w:cs="Arial"/>
          <w:sz w:val="20"/>
          <w:szCs w:val="20"/>
        </w:rPr>
        <w:t>MySuper</w:t>
      </w:r>
      <w:proofErr w:type="spellEnd"/>
      <w:r w:rsidRPr="00C35D85">
        <w:rPr>
          <w:rFonts w:ascii="Arial" w:hAnsi="Arial" w:cs="Arial"/>
          <w:sz w:val="20"/>
          <w:szCs w:val="20"/>
        </w:rPr>
        <w:t xml:space="preserve"> criteria should not be the only </w:t>
      </w:r>
      <w:r w:rsidR="00442874">
        <w:rPr>
          <w:rFonts w:ascii="Arial" w:hAnsi="Arial" w:cs="Arial"/>
          <w:sz w:val="20"/>
          <w:szCs w:val="20"/>
        </w:rPr>
        <w:t xml:space="preserve">prudential </w:t>
      </w:r>
      <w:r w:rsidRPr="00C35D85">
        <w:rPr>
          <w:rFonts w:ascii="Arial" w:hAnsi="Arial" w:cs="Arial"/>
          <w:sz w:val="20"/>
          <w:szCs w:val="20"/>
        </w:rPr>
        <w:t xml:space="preserve">criteria for selection of default funds. </w:t>
      </w:r>
      <w:r w:rsidR="00442874">
        <w:rPr>
          <w:rFonts w:ascii="Arial" w:hAnsi="Arial" w:cs="Arial"/>
          <w:sz w:val="20"/>
          <w:szCs w:val="20"/>
        </w:rPr>
        <w:t>This</w:t>
      </w:r>
      <w:r w:rsidRPr="00C35D85">
        <w:rPr>
          <w:rFonts w:ascii="Arial" w:hAnsi="Arial" w:cs="Arial"/>
          <w:sz w:val="20"/>
          <w:szCs w:val="20"/>
        </w:rPr>
        <w:t xml:space="preserve"> point was reinforced by the 2012 PC report which </w:t>
      </w:r>
      <w:r w:rsidR="00442874">
        <w:rPr>
          <w:rFonts w:ascii="Arial" w:hAnsi="Arial" w:cs="Arial"/>
          <w:sz w:val="20"/>
          <w:szCs w:val="20"/>
        </w:rPr>
        <w:t>proposed</w:t>
      </w:r>
      <w:r w:rsidR="00442874" w:rsidRPr="00C35D85">
        <w:rPr>
          <w:rFonts w:ascii="Arial" w:hAnsi="Arial" w:cs="Arial"/>
          <w:sz w:val="20"/>
          <w:szCs w:val="20"/>
        </w:rPr>
        <w:t xml:space="preserve"> </w:t>
      </w:r>
      <w:r w:rsidRPr="00C35D85">
        <w:rPr>
          <w:rFonts w:ascii="Arial" w:hAnsi="Arial" w:cs="Arial"/>
          <w:sz w:val="20"/>
          <w:szCs w:val="20"/>
        </w:rPr>
        <w:t xml:space="preserve">criteria greater than </w:t>
      </w:r>
      <w:proofErr w:type="spellStart"/>
      <w:r w:rsidRPr="00C35D85">
        <w:rPr>
          <w:rFonts w:ascii="Arial" w:hAnsi="Arial" w:cs="Arial"/>
          <w:sz w:val="20"/>
          <w:szCs w:val="20"/>
        </w:rPr>
        <w:t>MySuper</w:t>
      </w:r>
      <w:proofErr w:type="spellEnd"/>
      <w:r w:rsidRPr="00C35D85">
        <w:rPr>
          <w:rFonts w:ascii="Arial" w:hAnsi="Arial" w:cs="Arial"/>
          <w:sz w:val="20"/>
          <w:szCs w:val="20"/>
        </w:rPr>
        <w:t xml:space="preserve"> compliance as a minimum for consideration for default fund selection.</w:t>
      </w:r>
    </w:p>
    <w:p w:rsidR="00450598" w:rsidRPr="003519D7" w:rsidRDefault="00450598" w:rsidP="009E05DF">
      <w:pPr>
        <w:pStyle w:val="ListParagraph"/>
        <w:ind w:left="0"/>
        <w:jc w:val="both"/>
        <w:rPr>
          <w:rFonts w:ascii="Arial" w:hAnsi="Arial" w:cs="Arial"/>
          <w:sz w:val="20"/>
          <w:szCs w:val="20"/>
        </w:rPr>
      </w:pPr>
    </w:p>
    <w:p w:rsidR="00450598" w:rsidRPr="00C35D85" w:rsidRDefault="00450598" w:rsidP="009E05DF">
      <w:pPr>
        <w:jc w:val="both"/>
        <w:rPr>
          <w:rFonts w:ascii="Arial" w:hAnsi="Arial" w:cs="Arial"/>
          <w:sz w:val="20"/>
          <w:szCs w:val="20"/>
        </w:rPr>
      </w:pPr>
      <w:r w:rsidRPr="00C35D85">
        <w:rPr>
          <w:rFonts w:ascii="Arial" w:hAnsi="Arial" w:cs="Arial"/>
          <w:sz w:val="20"/>
          <w:szCs w:val="20"/>
        </w:rPr>
        <w:t xml:space="preserve">The imposition of additional criteria over and above a </w:t>
      </w:r>
      <w:proofErr w:type="spellStart"/>
      <w:r w:rsidRPr="00C35D85">
        <w:rPr>
          <w:rFonts w:ascii="Arial" w:hAnsi="Arial" w:cs="Arial"/>
          <w:sz w:val="20"/>
          <w:szCs w:val="20"/>
        </w:rPr>
        <w:t>MySuper</w:t>
      </w:r>
      <w:proofErr w:type="spellEnd"/>
      <w:r w:rsidRPr="00C35D85">
        <w:rPr>
          <w:rFonts w:ascii="Arial" w:hAnsi="Arial" w:cs="Arial"/>
          <w:sz w:val="20"/>
          <w:szCs w:val="20"/>
        </w:rPr>
        <w:t xml:space="preserve"> authorisation is notably absent from the Issues Paper.</w:t>
      </w:r>
      <w:r>
        <w:rPr>
          <w:rFonts w:ascii="Arial" w:hAnsi="Arial" w:cs="Arial"/>
          <w:sz w:val="20"/>
          <w:szCs w:val="20"/>
        </w:rPr>
        <w:t xml:space="preserve"> This point is important as requiring additional criteria over and above </w:t>
      </w:r>
      <w:proofErr w:type="spellStart"/>
      <w:r>
        <w:rPr>
          <w:rFonts w:ascii="Arial" w:hAnsi="Arial" w:cs="Arial"/>
          <w:sz w:val="20"/>
          <w:szCs w:val="20"/>
        </w:rPr>
        <w:t>MySuper</w:t>
      </w:r>
      <w:proofErr w:type="spellEnd"/>
      <w:r>
        <w:rPr>
          <w:rFonts w:ascii="Arial" w:hAnsi="Arial" w:cs="Arial"/>
          <w:sz w:val="20"/>
          <w:szCs w:val="20"/>
        </w:rPr>
        <w:t xml:space="preserve"> authorisation would have a material influence on the design of any new system and would tend to favour a system akin to the current system.</w:t>
      </w:r>
    </w:p>
    <w:p w:rsidR="00450598" w:rsidRPr="00FF7E88" w:rsidRDefault="00450598" w:rsidP="009E05DF">
      <w:pPr>
        <w:pStyle w:val="ListParagraph"/>
        <w:ind w:left="0"/>
        <w:jc w:val="both"/>
        <w:rPr>
          <w:rFonts w:ascii="Arial" w:hAnsi="Arial" w:cs="Arial"/>
          <w:sz w:val="20"/>
          <w:szCs w:val="20"/>
        </w:rPr>
      </w:pPr>
    </w:p>
    <w:p w:rsidR="00934354" w:rsidRDefault="00EE0317" w:rsidP="009E05DF">
      <w:pPr>
        <w:jc w:val="both"/>
        <w:rPr>
          <w:rFonts w:ascii="Arial" w:hAnsi="Arial" w:cs="Arial"/>
          <w:sz w:val="20"/>
          <w:szCs w:val="20"/>
        </w:rPr>
      </w:pPr>
      <w:r>
        <w:rPr>
          <w:rFonts w:ascii="Arial" w:hAnsi="Arial" w:cs="Arial"/>
          <w:sz w:val="20"/>
          <w:szCs w:val="20"/>
        </w:rPr>
        <w:t xml:space="preserve">Superannuation funds which satisfy only the </w:t>
      </w:r>
      <w:proofErr w:type="spellStart"/>
      <w:r>
        <w:rPr>
          <w:rFonts w:ascii="Arial" w:hAnsi="Arial" w:cs="Arial"/>
          <w:sz w:val="20"/>
          <w:szCs w:val="20"/>
        </w:rPr>
        <w:t>MySuper</w:t>
      </w:r>
      <w:proofErr w:type="spellEnd"/>
      <w:r>
        <w:rPr>
          <w:rFonts w:ascii="Arial" w:hAnsi="Arial" w:cs="Arial"/>
          <w:sz w:val="20"/>
          <w:szCs w:val="20"/>
        </w:rPr>
        <w:t xml:space="preserve"> “tick the box” criteria but are not tailored to particular employees of industries must, by necessity, adopt a </w:t>
      </w:r>
      <w:r w:rsidR="00364091">
        <w:rPr>
          <w:rFonts w:ascii="Arial" w:hAnsi="Arial" w:cs="Arial"/>
          <w:sz w:val="20"/>
          <w:szCs w:val="20"/>
        </w:rPr>
        <w:t>less relevant</w:t>
      </w:r>
      <w:r>
        <w:rPr>
          <w:rFonts w:ascii="Arial" w:hAnsi="Arial" w:cs="Arial"/>
          <w:sz w:val="20"/>
          <w:szCs w:val="20"/>
        </w:rPr>
        <w:t xml:space="preserve"> approach</w:t>
      </w:r>
      <w:r w:rsidR="00364091">
        <w:rPr>
          <w:rFonts w:ascii="Arial" w:hAnsi="Arial" w:cs="Arial"/>
          <w:sz w:val="20"/>
          <w:szCs w:val="20"/>
        </w:rPr>
        <w:t xml:space="preserve"> to specific memberships</w:t>
      </w:r>
      <w:r>
        <w:rPr>
          <w:rFonts w:ascii="Arial" w:hAnsi="Arial" w:cs="Arial"/>
          <w:sz w:val="20"/>
          <w:szCs w:val="20"/>
        </w:rPr>
        <w:t xml:space="preserve">. These funds do not have the history of servicing the needs of a particular membership unlike the relevant industry </w:t>
      </w:r>
      <w:r w:rsidR="00603AC8">
        <w:rPr>
          <w:rFonts w:ascii="Arial" w:hAnsi="Arial" w:cs="Arial"/>
          <w:sz w:val="20"/>
          <w:szCs w:val="20"/>
        </w:rPr>
        <w:t>funds</w:t>
      </w:r>
      <w:r w:rsidR="006B0EAF">
        <w:rPr>
          <w:rFonts w:ascii="Arial" w:hAnsi="Arial" w:cs="Arial"/>
          <w:sz w:val="20"/>
          <w:szCs w:val="20"/>
        </w:rPr>
        <w:t>, such as REST.</w:t>
      </w:r>
      <w:r>
        <w:rPr>
          <w:rFonts w:ascii="Arial" w:hAnsi="Arial" w:cs="Arial"/>
          <w:sz w:val="20"/>
          <w:szCs w:val="20"/>
        </w:rPr>
        <w:t xml:space="preserve"> They also do not have initial scale or </w:t>
      </w:r>
      <w:r w:rsidR="00442874">
        <w:rPr>
          <w:rFonts w:ascii="Arial" w:hAnsi="Arial" w:cs="Arial"/>
          <w:sz w:val="20"/>
          <w:szCs w:val="20"/>
        </w:rPr>
        <w:t>may be unable</w:t>
      </w:r>
      <w:r>
        <w:rPr>
          <w:rFonts w:ascii="Arial" w:hAnsi="Arial" w:cs="Arial"/>
          <w:sz w:val="20"/>
          <w:szCs w:val="20"/>
        </w:rPr>
        <w:t xml:space="preserve"> to offer tailored benefits to employees of particular needs.  Funds such as REST have tailored benefits, e.g. insurance and investments for our underlying demographic. Other </w:t>
      </w:r>
      <w:proofErr w:type="spellStart"/>
      <w:r>
        <w:rPr>
          <w:rFonts w:ascii="Arial" w:hAnsi="Arial" w:cs="Arial"/>
          <w:sz w:val="20"/>
          <w:szCs w:val="20"/>
        </w:rPr>
        <w:t>MySuper</w:t>
      </w:r>
      <w:proofErr w:type="spellEnd"/>
      <w:r>
        <w:rPr>
          <w:rFonts w:ascii="Arial" w:hAnsi="Arial" w:cs="Arial"/>
          <w:sz w:val="20"/>
          <w:szCs w:val="20"/>
        </w:rPr>
        <w:t xml:space="preserve"> products </w:t>
      </w:r>
      <w:r w:rsidR="00442874">
        <w:rPr>
          <w:rFonts w:ascii="Arial" w:hAnsi="Arial" w:cs="Arial"/>
          <w:sz w:val="20"/>
          <w:szCs w:val="20"/>
        </w:rPr>
        <w:t xml:space="preserve">generally </w:t>
      </w:r>
      <w:r>
        <w:rPr>
          <w:rFonts w:ascii="Arial" w:hAnsi="Arial" w:cs="Arial"/>
          <w:sz w:val="20"/>
          <w:szCs w:val="20"/>
        </w:rPr>
        <w:t>do not have such a focused approach given the diversity of their membership base and public offer status. As a result members, might not get the same targeted superann</w:t>
      </w:r>
      <w:r w:rsidR="00603AC8">
        <w:rPr>
          <w:rFonts w:ascii="Arial" w:hAnsi="Arial" w:cs="Arial"/>
          <w:sz w:val="20"/>
          <w:szCs w:val="20"/>
        </w:rPr>
        <w:t>uation</w:t>
      </w:r>
      <w:r>
        <w:rPr>
          <w:rFonts w:ascii="Arial" w:hAnsi="Arial" w:cs="Arial"/>
          <w:sz w:val="20"/>
          <w:szCs w:val="20"/>
        </w:rPr>
        <w:t xml:space="preserve"> benefits.</w:t>
      </w:r>
    </w:p>
    <w:p w:rsidR="00131DF5" w:rsidRPr="00041DEB" w:rsidRDefault="00B03123" w:rsidP="00A53BF0">
      <w:pPr>
        <w:pStyle w:val="Heading1"/>
        <w:numPr>
          <w:ilvl w:val="0"/>
          <w:numId w:val="21"/>
        </w:numPr>
      </w:pPr>
      <w:bookmarkStart w:id="11" w:name="_Toc465352950"/>
      <w:bookmarkStart w:id="12" w:name="_Toc465354082"/>
      <w:r w:rsidRPr="00041DEB">
        <w:lastRenderedPageBreak/>
        <w:t xml:space="preserve">Proposed </w:t>
      </w:r>
      <w:r w:rsidR="00131DF5" w:rsidRPr="00041DEB">
        <w:t>model</w:t>
      </w:r>
      <w:r w:rsidRPr="00041DEB">
        <w:t>s v existing system</w:t>
      </w:r>
      <w:bookmarkEnd w:id="11"/>
      <w:bookmarkEnd w:id="12"/>
    </w:p>
    <w:p w:rsidR="00D02989" w:rsidRDefault="00D02989" w:rsidP="009E05DF">
      <w:pPr>
        <w:jc w:val="both"/>
        <w:rPr>
          <w:rFonts w:ascii="Arial" w:hAnsi="Arial" w:cs="Arial"/>
          <w:sz w:val="20"/>
          <w:szCs w:val="20"/>
        </w:rPr>
      </w:pPr>
      <w:r>
        <w:rPr>
          <w:rFonts w:ascii="Arial" w:hAnsi="Arial" w:cs="Arial"/>
          <w:sz w:val="20"/>
          <w:szCs w:val="20"/>
        </w:rPr>
        <w:t xml:space="preserve">There are key elements of the existing system which already use </w:t>
      </w:r>
      <w:r w:rsidR="000806CE">
        <w:rPr>
          <w:rFonts w:ascii="Arial" w:hAnsi="Arial" w:cs="Arial"/>
          <w:sz w:val="20"/>
          <w:szCs w:val="20"/>
        </w:rPr>
        <w:t xml:space="preserve">aspects of </w:t>
      </w:r>
      <w:r w:rsidR="00442874">
        <w:rPr>
          <w:rFonts w:ascii="Arial" w:hAnsi="Arial" w:cs="Arial"/>
          <w:sz w:val="20"/>
          <w:szCs w:val="20"/>
        </w:rPr>
        <w:t xml:space="preserve">the </w:t>
      </w:r>
      <w:r>
        <w:rPr>
          <w:rFonts w:ascii="Arial" w:hAnsi="Arial" w:cs="Arial"/>
          <w:sz w:val="20"/>
          <w:szCs w:val="20"/>
        </w:rPr>
        <w:t xml:space="preserve">administrative, </w:t>
      </w:r>
      <w:r w:rsidR="00631B2C">
        <w:rPr>
          <w:rFonts w:ascii="Arial" w:hAnsi="Arial" w:cs="Arial"/>
          <w:sz w:val="20"/>
          <w:szCs w:val="20"/>
        </w:rPr>
        <w:t>market based</w:t>
      </w:r>
      <w:r>
        <w:rPr>
          <w:rFonts w:ascii="Arial" w:hAnsi="Arial" w:cs="Arial"/>
          <w:sz w:val="20"/>
          <w:szCs w:val="20"/>
        </w:rPr>
        <w:t xml:space="preserve"> and choice approach</w:t>
      </w:r>
      <w:r w:rsidR="000806CE">
        <w:rPr>
          <w:rFonts w:ascii="Arial" w:hAnsi="Arial" w:cs="Arial"/>
          <w:sz w:val="20"/>
          <w:szCs w:val="20"/>
        </w:rPr>
        <w:t xml:space="preserve"> model</w:t>
      </w:r>
      <w:r w:rsidR="00442874">
        <w:rPr>
          <w:rFonts w:ascii="Arial" w:hAnsi="Arial" w:cs="Arial"/>
          <w:sz w:val="20"/>
          <w:szCs w:val="20"/>
        </w:rPr>
        <w:t>s</w:t>
      </w:r>
      <w:r>
        <w:rPr>
          <w:rFonts w:ascii="Arial" w:hAnsi="Arial" w:cs="Arial"/>
          <w:sz w:val="20"/>
          <w:szCs w:val="20"/>
        </w:rPr>
        <w:t xml:space="preserve">. </w:t>
      </w:r>
    </w:p>
    <w:p w:rsidR="00D02989" w:rsidRDefault="00D02989" w:rsidP="009E05DF">
      <w:pPr>
        <w:jc w:val="both"/>
        <w:rPr>
          <w:rFonts w:ascii="Arial" w:hAnsi="Arial" w:cs="Arial"/>
          <w:sz w:val="20"/>
          <w:szCs w:val="20"/>
        </w:rPr>
      </w:pPr>
    </w:p>
    <w:p w:rsidR="00131DF5" w:rsidRPr="00131DF5" w:rsidRDefault="00D02989" w:rsidP="009E05DF">
      <w:pPr>
        <w:jc w:val="both"/>
        <w:rPr>
          <w:rFonts w:ascii="Arial" w:hAnsi="Arial" w:cs="Arial"/>
          <w:sz w:val="20"/>
          <w:szCs w:val="20"/>
        </w:rPr>
      </w:pPr>
      <w:r>
        <w:rPr>
          <w:rFonts w:ascii="Arial" w:hAnsi="Arial" w:cs="Arial"/>
          <w:sz w:val="20"/>
          <w:szCs w:val="20"/>
        </w:rPr>
        <w:t>For instance, t</w:t>
      </w:r>
      <w:r w:rsidR="00203827" w:rsidRPr="00131DF5">
        <w:rPr>
          <w:rFonts w:ascii="Arial" w:hAnsi="Arial" w:cs="Arial"/>
          <w:sz w:val="20"/>
          <w:szCs w:val="20"/>
        </w:rPr>
        <w:t>he Admin</w:t>
      </w:r>
      <w:r w:rsidR="00131DF5" w:rsidRPr="00131DF5">
        <w:rPr>
          <w:rFonts w:ascii="Arial" w:hAnsi="Arial" w:cs="Arial"/>
          <w:sz w:val="20"/>
          <w:szCs w:val="20"/>
        </w:rPr>
        <w:t>i</w:t>
      </w:r>
      <w:r w:rsidR="00203827" w:rsidRPr="00131DF5">
        <w:rPr>
          <w:rFonts w:ascii="Arial" w:hAnsi="Arial" w:cs="Arial"/>
          <w:sz w:val="20"/>
          <w:szCs w:val="20"/>
        </w:rPr>
        <w:t xml:space="preserve">strative model </w:t>
      </w:r>
      <w:r>
        <w:rPr>
          <w:rFonts w:ascii="Arial" w:hAnsi="Arial" w:cs="Arial"/>
          <w:sz w:val="20"/>
          <w:szCs w:val="20"/>
        </w:rPr>
        <w:t>comprises</w:t>
      </w:r>
      <w:r w:rsidR="00203827" w:rsidRPr="00131DF5">
        <w:rPr>
          <w:rFonts w:ascii="Arial" w:hAnsi="Arial" w:cs="Arial"/>
          <w:sz w:val="20"/>
          <w:szCs w:val="20"/>
        </w:rPr>
        <w:t xml:space="preserve"> </w:t>
      </w:r>
      <w:r w:rsidR="00F61FC5" w:rsidRPr="00131DF5">
        <w:rPr>
          <w:rFonts w:ascii="Arial" w:hAnsi="Arial" w:cs="Arial"/>
          <w:sz w:val="20"/>
          <w:szCs w:val="20"/>
        </w:rPr>
        <w:t>a centralised approach,</w:t>
      </w:r>
      <w:r w:rsidR="00F61FC5">
        <w:rPr>
          <w:rFonts w:ascii="Arial" w:hAnsi="Arial" w:cs="Arial"/>
          <w:sz w:val="20"/>
          <w:szCs w:val="20"/>
        </w:rPr>
        <w:t xml:space="preserve"> where</w:t>
      </w:r>
      <w:r w:rsidR="00790475">
        <w:rPr>
          <w:rFonts w:ascii="Arial" w:hAnsi="Arial" w:cs="Arial"/>
          <w:sz w:val="20"/>
          <w:szCs w:val="20"/>
        </w:rPr>
        <w:t>by</w:t>
      </w:r>
      <w:r w:rsidR="00F61FC5">
        <w:rPr>
          <w:rFonts w:ascii="Arial" w:hAnsi="Arial" w:cs="Arial"/>
          <w:sz w:val="20"/>
          <w:szCs w:val="20"/>
        </w:rPr>
        <w:t xml:space="preserve"> </w:t>
      </w:r>
      <w:r w:rsidR="00F61FC5" w:rsidRPr="00131DF5">
        <w:rPr>
          <w:rFonts w:ascii="Arial" w:hAnsi="Arial" w:cs="Arial"/>
          <w:sz w:val="20"/>
          <w:szCs w:val="20"/>
        </w:rPr>
        <w:t>a Government body would decide which employees are to be placed into which products</w:t>
      </w:r>
      <w:r>
        <w:rPr>
          <w:rFonts w:ascii="Arial" w:hAnsi="Arial" w:cs="Arial"/>
          <w:sz w:val="20"/>
          <w:szCs w:val="20"/>
        </w:rPr>
        <w:t xml:space="preserve">. This is already in place with the role of the </w:t>
      </w:r>
      <w:proofErr w:type="spellStart"/>
      <w:r w:rsidR="0040182E">
        <w:rPr>
          <w:rFonts w:ascii="Arial" w:hAnsi="Arial" w:cs="Arial"/>
          <w:sz w:val="20"/>
          <w:szCs w:val="20"/>
        </w:rPr>
        <w:t>FWC</w:t>
      </w:r>
      <w:proofErr w:type="spellEnd"/>
      <w:r>
        <w:rPr>
          <w:rFonts w:ascii="Arial" w:hAnsi="Arial" w:cs="Arial"/>
          <w:sz w:val="20"/>
          <w:szCs w:val="20"/>
        </w:rPr>
        <w:t xml:space="preserve">. Further development of this approach with the current system could be made as suggested by the 2012 PC report. </w:t>
      </w:r>
    </w:p>
    <w:p w:rsidR="00131DF5" w:rsidRPr="00131DF5" w:rsidRDefault="00131DF5" w:rsidP="009E05DF">
      <w:pPr>
        <w:jc w:val="both"/>
        <w:rPr>
          <w:rFonts w:ascii="Arial" w:hAnsi="Arial" w:cs="Arial"/>
          <w:sz w:val="20"/>
          <w:szCs w:val="20"/>
        </w:rPr>
      </w:pPr>
    </w:p>
    <w:p w:rsidR="00C50F83" w:rsidRPr="00C50F83" w:rsidRDefault="00C50F83" w:rsidP="009E05DF">
      <w:pPr>
        <w:jc w:val="both"/>
        <w:rPr>
          <w:rFonts w:ascii="Arial" w:hAnsi="Arial" w:cs="Arial"/>
          <w:sz w:val="20"/>
          <w:szCs w:val="20"/>
        </w:rPr>
      </w:pPr>
      <w:r w:rsidRPr="00C50F83">
        <w:rPr>
          <w:rFonts w:ascii="Arial" w:hAnsi="Arial" w:cs="Arial"/>
          <w:sz w:val="20"/>
          <w:szCs w:val="20"/>
        </w:rPr>
        <w:t xml:space="preserve">The 2012 PC report set out that the PC was commissioned to “design criteria for the selection of… default funds in </w:t>
      </w:r>
      <w:r w:rsidR="003658C4">
        <w:rPr>
          <w:rFonts w:ascii="Arial" w:hAnsi="Arial" w:cs="Arial"/>
          <w:sz w:val="20"/>
          <w:szCs w:val="20"/>
        </w:rPr>
        <w:t>M</w:t>
      </w:r>
      <w:r w:rsidRPr="00C50F83">
        <w:rPr>
          <w:rFonts w:ascii="Arial" w:hAnsi="Arial" w:cs="Arial"/>
          <w:sz w:val="20"/>
          <w:szCs w:val="20"/>
        </w:rPr>
        <w:t xml:space="preserve">odern </w:t>
      </w:r>
      <w:r w:rsidR="003658C4">
        <w:rPr>
          <w:rFonts w:ascii="Arial" w:hAnsi="Arial" w:cs="Arial"/>
          <w:sz w:val="20"/>
          <w:szCs w:val="20"/>
        </w:rPr>
        <w:t>A</w:t>
      </w:r>
      <w:r w:rsidRPr="00C50F83">
        <w:rPr>
          <w:rFonts w:ascii="Arial" w:hAnsi="Arial" w:cs="Arial"/>
          <w:sz w:val="20"/>
          <w:szCs w:val="20"/>
        </w:rPr>
        <w:t xml:space="preserve">wards by Fair Work Australia.” </w:t>
      </w:r>
      <w:r w:rsidR="00442874">
        <w:rPr>
          <w:rFonts w:ascii="Arial" w:hAnsi="Arial" w:cs="Arial"/>
          <w:sz w:val="20"/>
          <w:szCs w:val="20"/>
        </w:rPr>
        <w:t>T</w:t>
      </w:r>
      <w:r w:rsidRPr="00C50F83">
        <w:rPr>
          <w:rFonts w:ascii="Arial" w:hAnsi="Arial" w:cs="Arial"/>
          <w:sz w:val="20"/>
          <w:szCs w:val="20"/>
        </w:rPr>
        <w:t xml:space="preserve">he 2012 report did in fact cover a variety of possible roles for the </w:t>
      </w:r>
      <w:proofErr w:type="spellStart"/>
      <w:r w:rsidRPr="00C50F83">
        <w:rPr>
          <w:rFonts w:ascii="Arial" w:hAnsi="Arial" w:cs="Arial"/>
          <w:sz w:val="20"/>
          <w:szCs w:val="20"/>
        </w:rPr>
        <w:t>FWC</w:t>
      </w:r>
      <w:proofErr w:type="spellEnd"/>
      <w:r w:rsidRPr="00C50F83">
        <w:rPr>
          <w:rFonts w:ascii="Arial" w:hAnsi="Arial" w:cs="Arial"/>
          <w:sz w:val="20"/>
          <w:szCs w:val="20"/>
        </w:rPr>
        <w:t>.</w:t>
      </w:r>
      <w:r w:rsidR="00DE4292">
        <w:rPr>
          <w:rFonts w:ascii="Arial" w:hAnsi="Arial" w:cs="Arial"/>
          <w:sz w:val="20"/>
          <w:szCs w:val="20"/>
        </w:rPr>
        <w:t xml:space="preserve"> They included that the expert panel conduct ongoing assessments and undertake a periodic wholesale reassessment of the products listed in </w:t>
      </w:r>
      <w:r w:rsidR="003658C4">
        <w:rPr>
          <w:rFonts w:ascii="Arial" w:hAnsi="Arial" w:cs="Arial"/>
          <w:sz w:val="20"/>
          <w:szCs w:val="20"/>
        </w:rPr>
        <w:t>M</w:t>
      </w:r>
      <w:r w:rsidR="00DE4292">
        <w:rPr>
          <w:rFonts w:ascii="Arial" w:hAnsi="Arial" w:cs="Arial"/>
          <w:sz w:val="20"/>
          <w:szCs w:val="20"/>
        </w:rPr>
        <w:t xml:space="preserve">odern </w:t>
      </w:r>
      <w:r w:rsidR="003658C4">
        <w:rPr>
          <w:rFonts w:ascii="Arial" w:hAnsi="Arial" w:cs="Arial"/>
          <w:sz w:val="20"/>
          <w:szCs w:val="20"/>
        </w:rPr>
        <w:t>A</w:t>
      </w:r>
      <w:r w:rsidR="00DE4292">
        <w:rPr>
          <w:rFonts w:ascii="Arial" w:hAnsi="Arial" w:cs="Arial"/>
          <w:sz w:val="20"/>
          <w:szCs w:val="20"/>
        </w:rPr>
        <w:t xml:space="preserve">wards. This process was to apply at least for the medium term, given the uncertainty regarding the number, mix and quality of </w:t>
      </w:r>
      <w:proofErr w:type="spellStart"/>
      <w:r w:rsidR="00DE4292">
        <w:rPr>
          <w:rFonts w:ascii="Arial" w:hAnsi="Arial" w:cs="Arial"/>
          <w:sz w:val="20"/>
          <w:szCs w:val="20"/>
        </w:rPr>
        <w:t>MySuper</w:t>
      </w:r>
      <w:proofErr w:type="spellEnd"/>
      <w:r w:rsidR="00DE4292">
        <w:rPr>
          <w:rFonts w:ascii="Arial" w:hAnsi="Arial" w:cs="Arial"/>
          <w:sz w:val="20"/>
          <w:szCs w:val="20"/>
        </w:rPr>
        <w:t xml:space="preserve"> products offered from 2013. Also the PC recommended that the process should be reviewed in 2023 and this review should include consideration of the appropriateness of allowing employers to select any </w:t>
      </w:r>
      <w:proofErr w:type="spellStart"/>
      <w:r w:rsidR="00DE4292">
        <w:rPr>
          <w:rFonts w:ascii="Arial" w:hAnsi="Arial" w:cs="Arial"/>
          <w:sz w:val="20"/>
          <w:szCs w:val="20"/>
        </w:rPr>
        <w:t>MySuper</w:t>
      </w:r>
      <w:proofErr w:type="spellEnd"/>
      <w:r w:rsidR="00DE4292">
        <w:rPr>
          <w:rFonts w:ascii="Arial" w:hAnsi="Arial" w:cs="Arial"/>
          <w:sz w:val="20"/>
          <w:szCs w:val="20"/>
        </w:rPr>
        <w:t xml:space="preserve"> product as a default superannuation product. </w:t>
      </w:r>
    </w:p>
    <w:p w:rsidR="00CD2BE8" w:rsidRDefault="00CD2BE8" w:rsidP="009E05DF">
      <w:pPr>
        <w:jc w:val="both"/>
        <w:rPr>
          <w:rFonts w:ascii="Arial" w:hAnsi="Arial" w:cs="Arial"/>
          <w:b/>
          <w:sz w:val="20"/>
          <w:szCs w:val="20"/>
        </w:rPr>
      </w:pPr>
    </w:p>
    <w:p w:rsidR="008817CF" w:rsidRDefault="00203827" w:rsidP="009E05DF">
      <w:pPr>
        <w:jc w:val="both"/>
        <w:rPr>
          <w:rFonts w:ascii="Arial" w:hAnsi="Arial" w:cs="Arial"/>
          <w:b/>
          <w:sz w:val="20"/>
          <w:szCs w:val="20"/>
        </w:rPr>
      </w:pPr>
      <w:r w:rsidRPr="00131DF5">
        <w:rPr>
          <w:rFonts w:ascii="Arial" w:hAnsi="Arial" w:cs="Arial"/>
          <w:sz w:val="20"/>
          <w:szCs w:val="20"/>
        </w:rPr>
        <w:t xml:space="preserve">A </w:t>
      </w:r>
      <w:r w:rsidR="00631B2C">
        <w:rPr>
          <w:rFonts w:ascii="Arial" w:hAnsi="Arial" w:cs="Arial"/>
          <w:sz w:val="20"/>
          <w:szCs w:val="20"/>
        </w:rPr>
        <w:t>market based</w:t>
      </w:r>
      <w:r w:rsidRPr="00131DF5">
        <w:rPr>
          <w:rFonts w:ascii="Arial" w:hAnsi="Arial" w:cs="Arial"/>
          <w:sz w:val="20"/>
          <w:szCs w:val="20"/>
        </w:rPr>
        <w:t xml:space="preserve"> </w:t>
      </w:r>
      <w:r w:rsidR="00D02989">
        <w:rPr>
          <w:rFonts w:ascii="Arial" w:hAnsi="Arial" w:cs="Arial"/>
          <w:sz w:val="20"/>
          <w:szCs w:val="20"/>
        </w:rPr>
        <w:t>approach is already present in the system</w:t>
      </w:r>
      <w:r w:rsidR="00442874">
        <w:rPr>
          <w:rFonts w:ascii="Arial" w:hAnsi="Arial" w:cs="Arial"/>
          <w:sz w:val="20"/>
          <w:szCs w:val="20"/>
        </w:rPr>
        <w:t xml:space="preserve"> proposed by the PC in 2012. </w:t>
      </w:r>
      <w:r w:rsidR="00D02989">
        <w:rPr>
          <w:rFonts w:ascii="Arial" w:hAnsi="Arial" w:cs="Arial"/>
          <w:sz w:val="20"/>
          <w:szCs w:val="20"/>
        </w:rPr>
        <w:t xml:space="preserve"> </w:t>
      </w:r>
      <w:r w:rsidR="00442874" w:rsidRPr="00442874">
        <w:rPr>
          <w:rFonts w:ascii="Arial" w:hAnsi="Arial" w:cs="Arial"/>
          <w:sz w:val="20"/>
          <w:szCs w:val="20"/>
        </w:rPr>
        <w:t>For example, the proposed process for being listed as a default fund after consideration by an Expert Panel has features of the market based model</w:t>
      </w:r>
      <w:r w:rsidR="00442874">
        <w:rPr>
          <w:rFonts w:ascii="Arial" w:hAnsi="Arial" w:cs="Arial"/>
          <w:sz w:val="20"/>
          <w:szCs w:val="20"/>
        </w:rPr>
        <w:t>.</w:t>
      </w:r>
      <w:r w:rsidR="00442874" w:rsidDel="00442874">
        <w:rPr>
          <w:rFonts w:ascii="Arial" w:hAnsi="Arial" w:cs="Arial"/>
          <w:sz w:val="20"/>
          <w:szCs w:val="20"/>
        </w:rPr>
        <w:t xml:space="preserve"> </w:t>
      </w:r>
      <w:r w:rsidR="00C977B1">
        <w:rPr>
          <w:rFonts w:ascii="Arial" w:hAnsi="Arial" w:cs="Arial"/>
          <w:sz w:val="20"/>
          <w:szCs w:val="20"/>
        </w:rPr>
        <w:t>Thus</w:t>
      </w:r>
      <w:r w:rsidR="00D02989">
        <w:rPr>
          <w:rFonts w:ascii="Arial" w:hAnsi="Arial" w:cs="Arial"/>
          <w:sz w:val="20"/>
          <w:szCs w:val="20"/>
        </w:rPr>
        <w:t xml:space="preserve"> </w:t>
      </w:r>
      <w:r w:rsidR="00C977B1">
        <w:rPr>
          <w:rFonts w:ascii="Arial" w:hAnsi="Arial" w:cs="Arial"/>
          <w:sz w:val="20"/>
          <w:szCs w:val="20"/>
        </w:rPr>
        <w:t>t</w:t>
      </w:r>
      <w:r w:rsidR="00CE45FA">
        <w:rPr>
          <w:rFonts w:ascii="Arial" w:hAnsi="Arial" w:cs="Arial"/>
          <w:sz w:val="20"/>
          <w:szCs w:val="20"/>
        </w:rPr>
        <w:t>he</w:t>
      </w:r>
      <w:r w:rsidR="00C977B1">
        <w:rPr>
          <w:rFonts w:ascii="Arial" w:hAnsi="Arial" w:cs="Arial"/>
          <w:sz w:val="20"/>
          <w:szCs w:val="20"/>
        </w:rPr>
        <w:t xml:space="preserve">re is already a process </w:t>
      </w:r>
      <w:r w:rsidR="00335BE7">
        <w:rPr>
          <w:rFonts w:ascii="Arial" w:hAnsi="Arial" w:cs="Arial"/>
          <w:sz w:val="20"/>
          <w:szCs w:val="20"/>
        </w:rPr>
        <w:t xml:space="preserve">in place </w:t>
      </w:r>
      <w:r w:rsidR="00C977B1">
        <w:rPr>
          <w:rFonts w:ascii="Arial" w:hAnsi="Arial" w:cs="Arial"/>
          <w:sz w:val="20"/>
          <w:szCs w:val="20"/>
        </w:rPr>
        <w:t>whereby funds</w:t>
      </w:r>
      <w:r w:rsidR="00CE45FA">
        <w:rPr>
          <w:rFonts w:ascii="Arial" w:hAnsi="Arial" w:cs="Arial"/>
          <w:sz w:val="20"/>
          <w:szCs w:val="20"/>
        </w:rPr>
        <w:t xml:space="preserve"> compete against each other</w:t>
      </w:r>
      <w:r w:rsidR="00C977B1">
        <w:rPr>
          <w:rFonts w:ascii="Arial" w:hAnsi="Arial" w:cs="Arial"/>
          <w:sz w:val="20"/>
          <w:szCs w:val="20"/>
        </w:rPr>
        <w:t>.</w:t>
      </w:r>
      <w:r w:rsidR="00442874" w:rsidRPr="00442874">
        <w:rPr>
          <w:rFonts w:ascii="Arial" w:hAnsi="Arial" w:cs="Arial"/>
          <w:sz w:val="20"/>
          <w:szCs w:val="20"/>
        </w:rPr>
        <w:t xml:space="preserve">  Further, market based competitive activity is extensive within funds through the selection of service providers, not least of which include the tendering of administration and insurance</w:t>
      </w:r>
      <w:r w:rsidR="00442874">
        <w:rPr>
          <w:rFonts w:ascii="Arial" w:hAnsi="Arial" w:cs="Arial"/>
          <w:sz w:val="20"/>
          <w:szCs w:val="20"/>
        </w:rPr>
        <w:t xml:space="preserve"> providers</w:t>
      </w:r>
      <w:r w:rsidR="00442874" w:rsidRPr="00442874">
        <w:rPr>
          <w:rFonts w:ascii="Arial" w:hAnsi="Arial" w:cs="Arial"/>
          <w:sz w:val="20"/>
          <w:szCs w:val="20"/>
        </w:rPr>
        <w:t xml:space="preserve">.   </w:t>
      </w:r>
    </w:p>
    <w:p w:rsidR="00C977B1" w:rsidRDefault="00C977B1" w:rsidP="009E05DF">
      <w:pPr>
        <w:jc w:val="both"/>
        <w:rPr>
          <w:rFonts w:ascii="Arial" w:hAnsi="Arial" w:cs="Arial"/>
          <w:b/>
          <w:sz w:val="20"/>
          <w:szCs w:val="20"/>
        </w:rPr>
      </w:pPr>
    </w:p>
    <w:p w:rsidR="000435CC" w:rsidRDefault="008817CF" w:rsidP="009E05DF">
      <w:pPr>
        <w:jc w:val="both"/>
        <w:rPr>
          <w:rFonts w:ascii="Arial" w:hAnsi="Arial" w:cs="Arial"/>
          <w:sz w:val="20"/>
          <w:szCs w:val="20"/>
        </w:rPr>
      </w:pPr>
      <w:r w:rsidRPr="00131DF5">
        <w:rPr>
          <w:rFonts w:ascii="Arial" w:hAnsi="Arial" w:cs="Arial"/>
          <w:sz w:val="20"/>
          <w:szCs w:val="20"/>
        </w:rPr>
        <w:t xml:space="preserve">Active choice </w:t>
      </w:r>
      <w:r w:rsidR="00340869">
        <w:rPr>
          <w:rFonts w:ascii="Arial" w:hAnsi="Arial" w:cs="Arial"/>
          <w:sz w:val="20"/>
          <w:szCs w:val="20"/>
        </w:rPr>
        <w:t xml:space="preserve">of superannuation funds </w:t>
      </w:r>
      <w:r w:rsidR="000435CC">
        <w:rPr>
          <w:rFonts w:ascii="Arial" w:hAnsi="Arial" w:cs="Arial"/>
          <w:sz w:val="20"/>
          <w:szCs w:val="20"/>
        </w:rPr>
        <w:t>for m</w:t>
      </w:r>
      <w:r w:rsidR="00340869">
        <w:rPr>
          <w:rFonts w:ascii="Arial" w:hAnsi="Arial" w:cs="Arial"/>
          <w:sz w:val="20"/>
          <w:szCs w:val="20"/>
        </w:rPr>
        <w:t>embers) and for default funds (</w:t>
      </w:r>
      <w:r w:rsidR="000435CC">
        <w:rPr>
          <w:rFonts w:ascii="Arial" w:hAnsi="Arial" w:cs="Arial"/>
          <w:sz w:val="20"/>
          <w:szCs w:val="20"/>
        </w:rPr>
        <w:t xml:space="preserve">for employers) is </w:t>
      </w:r>
      <w:r w:rsidR="00C53B64">
        <w:rPr>
          <w:rFonts w:ascii="Arial" w:hAnsi="Arial" w:cs="Arial"/>
          <w:sz w:val="20"/>
          <w:szCs w:val="20"/>
        </w:rPr>
        <w:t xml:space="preserve">also </w:t>
      </w:r>
      <w:r w:rsidR="000435CC">
        <w:rPr>
          <w:rFonts w:ascii="Arial" w:hAnsi="Arial" w:cs="Arial"/>
          <w:sz w:val="20"/>
          <w:szCs w:val="20"/>
        </w:rPr>
        <w:t xml:space="preserve">available in many </w:t>
      </w:r>
      <w:r w:rsidR="00CF6F5B">
        <w:rPr>
          <w:rFonts w:ascii="Arial" w:hAnsi="Arial" w:cs="Arial"/>
          <w:sz w:val="20"/>
          <w:szCs w:val="20"/>
        </w:rPr>
        <w:t>M</w:t>
      </w:r>
      <w:r w:rsidR="000435CC">
        <w:rPr>
          <w:rFonts w:ascii="Arial" w:hAnsi="Arial" w:cs="Arial"/>
          <w:sz w:val="20"/>
          <w:szCs w:val="20"/>
        </w:rPr>
        <w:t xml:space="preserve">odern </w:t>
      </w:r>
      <w:r w:rsidR="00CF6F5B">
        <w:rPr>
          <w:rFonts w:ascii="Arial" w:hAnsi="Arial" w:cs="Arial"/>
          <w:sz w:val="20"/>
          <w:szCs w:val="20"/>
        </w:rPr>
        <w:t>A</w:t>
      </w:r>
      <w:r w:rsidR="000435CC">
        <w:rPr>
          <w:rFonts w:ascii="Arial" w:hAnsi="Arial" w:cs="Arial"/>
          <w:sz w:val="20"/>
          <w:szCs w:val="20"/>
        </w:rPr>
        <w:t>wards</w:t>
      </w:r>
      <w:r w:rsidR="006967DF">
        <w:rPr>
          <w:rFonts w:ascii="Arial" w:hAnsi="Arial" w:cs="Arial"/>
          <w:sz w:val="20"/>
          <w:szCs w:val="20"/>
        </w:rPr>
        <w:t xml:space="preserve"> and </w:t>
      </w:r>
      <w:proofErr w:type="spellStart"/>
      <w:r w:rsidR="006967DF">
        <w:rPr>
          <w:rFonts w:ascii="Arial" w:hAnsi="Arial" w:cs="Arial"/>
          <w:sz w:val="20"/>
          <w:szCs w:val="20"/>
        </w:rPr>
        <w:t>EBAs</w:t>
      </w:r>
      <w:proofErr w:type="spellEnd"/>
      <w:r w:rsidR="000435CC">
        <w:rPr>
          <w:rFonts w:ascii="Arial" w:hAnsi="Arial" w:cs="Arial"/>
          <w:sz w:val="20"/>
          <w:szCs w:val="20"/>
        </w:rPr>
        <w:t>, so the benefits of competition are already present. The introduction of choice of fund was predicted to have significant positive impacts for members by many c</w:t>
      </w:r>
      <w:r w:rsidR="00340869">
        <w:rPr>
          <w:rFonts w:ascii="Arial" w:hAnsi="Arial" w:cs="Arial"/>
          <w:sz w:val="20"/>
          <w:szCs w:val="20"/>
        </w:rPr>
        <w:t>ommentato</w:t>
      </w:r>
      <w:r w:rsidR="000435CC">
        <w:rPr>
          <w:rFonts w:ascii="Arial" w:hAnsi="Arial" w:cs="Arial"/>
          <w:sz w:val="20"/>
          <w:szCs w:val="20"/>
        </w:rPr>
        <w:t>rs, but the eventual take up by Australians has proved to be much lower than originally anticipated.  The outcome was that employees either preferred to stay with their current super fund choices or were inactive and did not respond. Consequently the positive impacts did not eventuate or at least not even close to the degree first thought.</w:t>
      </w:r>
    </w:p>
    <w:p w:rsidR="00340869" w:rsidRDefault="00340869" w:rsidP="009E05DF">
      <w:pPr>
        <w:jc w:val="both"/>
        <w:rPr>
          <w:rFonts w:ascii="Arial" w:hAnsi="Arial" w:cs="Arial"/>
          <w:sz w:val="20"/>
          <w:szCs w:val="20"/>
        </w:rPr>
      </w:pPr>
    </w:p>
    <w:p w:rsidR="00340869" w:rsidRPr="00131DF5" w:rsidRDefault="00340869" w:rsidP="009E05DF">
      <w:pPr>
        <w:jc w:val="both"/>
        <w:rPr>
          <w:rFonts w:ascii="Arial" w:hAnsi="Arial" w:cs="Arial"/>
          <w:sz w:val="20"/>
          <w:szCs w:val="20"/>
        </w:rPr>
      </w:pPr>
      <w:r>
        <w:rPr>
          <w:rFonts w:ascii="Arial" w:hAnsi="Arial" w:cs="Arial"/>
          <w:sz w:val="20"/>
          <w:szCs w:val="20"/>
        </w:rPr>
        <w:t>Recent Rice Warner research set out in their submission to the PC</w:t>
      </w:r>
      <w:r>
        <w:rPr>
          <w:rStyle w:val="FootnoteReference"/>
          <w:rFonts w:ascii="Arial" w:hAnsi="Arial" w:cs="Arial"/>
          <w:sz w:val="20"/>
          <w:szCs w:val="20"/>
        </w:rPr>
        <w:footnoteReference w:id="2"/>
      </w:r>
      <w:r w:rsidR="004A608D">
        <w:rPr>
          <w:rFonts w:ascii="Arial" w:hAnsi="Arial" w:cs="Arial"/>
          <w:sz w:val="20"/>
          <w:szCs w:val="20"/>
        </w:rPr>
        <w:t xml:space="preserve"> showed</w:t>
      </w:r>
      <w:r>
        <w:rPr>
          <w:rFonts w:ascii="Arial" w:hAnsi="Arial" w:cs="Arial"/>
          <w:sz w:val="20"/>
          <w:szCs w:val="20"/>
        </w:rPr>
        <w:t xml:space="preserve"> that members who have not exercised choice of fund, </w:t>
      </w:r>
      <w:proofErr w:type="spellStart"/>
      <w:r>
        <w:rPr>
          <w:rFonts w:ascii="Arial" w:hAnsi="Arial" w:cs="Arial"/>
          <w:sz w:val="20"/>
          <w:szCs w:val="20"/>
        </w:rPr>
        <w:t>ie</w:t>
      </w:r>
      <w:proofErr w:type="spellEnd"/>
      <w:r>
        <w:rPr>
          <w:rFonts w:ascii="Arial" w:hAnsi="Arial" w:cs="Arial"/>
          <w:sz w:val="20"/>
          <w:szCs w:val="20"/>
        </w:rPr>
        <w:t xml:space="preserve"> default members, tend to have low balances, are younger and are more likely to be female and that the median balance for default members is under $10,000. Given a majority of REST members would fit </w:t>
      </w:r>
      <w:r w:rsidR="00442874">
        <w:rPr>
          <w:rFonts w:ascii="Arial" w:hAnsi="Arial" w:cs="Arial"/>
          <w:sz w:val="20"/>
          <w:szCs w:val="20"/>
        </w:rPr>
        <w:t xml:space="preserve">these </w:t>
      </w:r>
      <w:r>
        <w:rPr>
          <w:rFonts w:ascii="Arial" w:hAnsi="Arial" w:cs="Arial"/>
          <w:sz w:val="20"/>
          <w:szCs w:val="20"/>
        </w:rPr>
        <w:t xml:space="preserve">criteria, REST notes that its membership would tend not to exercise choice, and accordingly this model may not be suitable for these members/employees. </w:t>
      </w:r>
    </w:p>
    <w:p w:rsidR="00925569" w:rsidRPr="00041DEB" w:rsidRDefault="00925569" w:rsidP="00A53BF0">
      <w:pPr>
        <w:pStyle w:val="Heading1"/>
        <w:numPr>
          <w:ilvl w:val="0"/>
          <w:numId w:val="21"/>
        </w:numPr>
      </w:pPr>
      <w:bookmarkStart w:id="13" w:name="_Toc465352951"/>
      <w:bookmarkStart w:id="14" w:name="_Toc465354083"/>
      <w:r>
        <w:t>Agency risk</w:t>
      </w:r>
      <w:bookmarkEnd w:id="13"/>
      <w:bookmarkEnd w:id="14"/>
    </w:p>
    <w:p w:rsidR="00925569" w:rsidRDefault="00925569" w:rsidP="00925569">
      <w:pPr>
        <w:jc w:val="both"/>
        <w:rPr>
          <w:rFonts w:ascii="Arial" w:hAnsi="Arial" w:cs="Arial"/>
          <w:sz w:val="20"/>
          <w:szCs w:val="20"/>
        </w:rPr>
      </w:pPr>
      <w:r>
        <w:rPr>
          <w:rFonts w:ascii="Arial" w:hAnsi="Arial" w:cs="Arial"/>
          <w:sz w:val="20"/>
          <w:szCs w:val="20"/>
        </w:rPr>
        <w:t>There is the potential for significant agency issues whereby an employer may decide to choose a default fund based on other services</w:t>
      </w:r>
      <w:r w:rsidR="002F11F5">
        <w:rPr>
          <w:rFonts w:ascii="Arial" w:hAnsi="Arial" w:cs="Arial"/>
          <w:sz w:val="20"/>
          <w:szCs w:val="20"/>
        </w:rPr>
        <w:t xml:space="preserve"> unrelated to the provision of superannuation for its employees</w:t>
      </w:r>
      <w:r>
        <w:rPr>
          <w:rFonts w:ascii="Arial" w:hAnsi="Arial" w:cs="Arial"/>
          <w:sz w:val="20"/>
          <w:szCs w:val="20"/>
        </w:rPr>
        <w:t xml:space="preserve"> or offers of fee reduction</w:t>
      </w:r>
      <w:r w:rsidR="002F11F5">
        <w:rPr>
          <w:rFonts w:ascii="Arial" w:hAnsi="Arial" w:cs="Arial"/>
          <w:sz w:val="20"/>
          <w:szCs w:val="20"/>
        </w:rPr>
        <w:t xml:space="preserve"> by the default fund provider or</w:t>
      </w:r>
      <w:r>
        <w:rPr>
          <w:rFonts w:ascii="Arial" w:hAnsi="Arial" w:cs="Arial"/>
          <w:sz w:val="20"/>
          <w:szCs w:val="20"/>
        </w:rPr>
        <w:t xml:space="preserve"> the “bundling” of financial services which are attractive to the employer</w:t>
      </w:r>
      <w:r w:rsidR="00344C25">
        <w:rPr>
          <w:rFonts w:ascii="Arial" w:hAnsi="Arial" w:cs="Arial"/>
          <w:sz w:val="20"/>
          <w:szCs w:val="20"/>
        </w:rPr>
        <w:t>,</w:t>
      </w:r>
      <w:r>
        <w:rPr>
          <w:rFonts w:ascii="Arial" w:hAnsi="Arial" w:cs="Arial"/>
          <w:sz w:val="20"/>
          <w:szCs w:val="20"/>
        </w:rPr>
        <w:t xml:space="preserve"> rather than the member. It is </w:t>
      </w:r>
      <w:r w:rsidR="002F11F5">
        <w:rPr>
          <w:rFonts w:ascii="Arial" w:hAnsi="Arial" w:cs="Arial"/>
          <w:sz w:val="20"/>
          <w:szCs w:val="20"/>
        </w:rPr>
        <w:t xml:space="preserve">also </w:t>
      </w:r>
      <w:r>
        <w:rPr>
          <w:rFonts w:ascii="Arial" w:hAnsi="Arial" w:cs="Arial"/>
          <w:sz w:val="20"/>
          <w:szCs w:val="20"/>
        </w:rPr>
        <w:t>possible that they will nominate a fund based more on brand recognition unrelated to the relevance of the fu</w:t>
      </w:r>
      <w:r w:rsidR="002F11F5">
        <w:rPr>
          <w:rFonts w:ascii="Arial" w:hAnsi="Arial" w:cs="Arial"/>
          <w:sz w:val="20"/>
          <w:szCs w:val="20"/>
        </w:rPr>
        <w:t>nd’s product and benefit design.</w:t>
      </w:r>
      <w:r>
        <w:rPr>
          <w:rFonts w:ascii="Arial" w:hAnsi="Arial" w:cs="Arial"/>
          <w:sz w:val="20"/>
          <w:szCs w:val="20"/>
        </w:rPr>
        <w:t xml:space="preserve"> Whilst many employers wish to do the best by </w:t>
      </w:r>
      <w:r w:rsidR="002F11F5">
        <w:rPr>
          <w:rFonts w:ascii="Arial" w:hAnsi="Arial" w:cs="Arial"/>
          <w:sz w:val="20"/>
          <w:szCs w:val="20"/>
        </w:rPr>
        <w:t xml:space="preserve">their </w:t>
      </w:r>
      <w:r>
        <w:rPr>
          <w:rFonts w:ascii="Arial" w:hAnsi="Arial" w:cs="Arial"/>
          <w:sz w:val="20"/>
          <w:szCs w:val="20"/>
        </w:rPr>
        <w:t>employees, this is not universal and the interest</w:t>
      </w:r>
      <w:r w:rsidR="002F11F5">
        <w:rPr>
          <w:rFonts w:ascii="Arial" w:hAnsi="Arial" w:cs="Arial"/>
          <w:sz w:val="20"/>
          <w:szCs w:val="20"/>
        </w:rPr>
        <w:t>s</w:t>
      </w:r>
      <w:r>
        <w:rPr>
          <w:rFonts w:ascii="Arial" w:hAnsi="Arial" w:cs="Arial"/>
          <w:sz w:val="20"/>
          <w:szCs w:val="20"/>
        </w:rPr>
        <w:t xml:space="preserve"> of employers and employees </w:t>
      </w:r>
      <w:r w:rsidR="002F11F5">
        <w:rPr>
          <w:rFonts w:ascii="Arial" w:hAnsi="Arial" w:cs="Arial"/>
          <w:sz w:val="20"/>
          <w:szCs w:val="20"/>
        </w:rPr>
        <w:t>are</w:t>
      </w:r>
      <w:r>
        <w:rPr>
          <w:rFonts w:ascii="Arial" w:hAnsi="Arial" w:cs="Arial"/>
          <w:sz w:val="20"/>
          <w:szCs w:val="20"/>
        </w:rPr>
        <w:t xml:space="preserve"> not always aligned.  The current system better promotes the interest</w:t>
      </w:r>
      <w:r w:rsidR="002F11F5">
        <w:rPr>
          <w:rFonts w:ascii="Arial" w:hAnsi="Arial" w:cs="Arial"/>
          <w:sz w:val="20"/>
          <w:szCs w:val="20"/>
        </w:rPr>
        <w:t>s</w:t>
      </w:r>
      <w:r>
        <w:rPr>
          <w:rFonts w:ascii="Arial" w:hAnsi="Arial" w:cs="Arial"/>
          <w:sz w:val="20"/>
          <w:szCs w:val="20"/>
        </w:rPr>
        <w:t xml:space="preserve"> of members</w:t>
      </w:r>
      <w:r w:rsidR="007B6792">
        <w:rPr>
          <w:rFonts w:ascii="Arial" w:hAnsi="Arial" w:cs="Arial"/>
          <w:sz w:val="20"/>
          <w:szCs w:val="20"/>
        </w:rPr>
        <w:t xml:space="preserve"> without </w:t>
      </w:r>
      <w:r w:rsidR="000B2D1B">
        <w:rPr>
          <w:rFonts w:ascii="Arial" w:hAnsi="Arial" w:cs="Arial"/>
          <w:sz w:val="20"/>
          <w:szCs w:val="20"/>
        </w:rPr>
        <w:t>exacerbating</w:t>
      </w:r>
      <w:r w:rsidR="007B6792">
        <w:rPr>
          <w:rFonts w:ascii="Arial" w:hAnsi="Arial" w:cs="Arial"/>
          <w:sz w:val="20"/>
          <w:szCs w:val="20"/>
        </w:rPr>
        <w:t xml:space="preserve"> this agency risk</w:t>
      </w:r>
      <w:r>
        <w:rPr>
          <w:rFonts w:ascii="Arial" w:hAnsi="Arial" w:cs="Arial"/>
          <w:sz w:val="20"/>
          <w:szCs w:val="20"/>
        </w:rPr>
        <w:t xml:space="preserve">. </w:t>
      </w:r>
    </w:p>
    <w:p w:rsidR="00DF37F5" w:rsidRPr="00041DEB" w:rsidRDefault="00DF37F5" w:rsidP="00A53BF0">
      <w:pPr>
        <w:pStyle w:val="Heading1"/>
        <w:numPr>
          <w:ilvl w:val="0"/>
          <w:numId w:val="21"/>
        </w:numPr>
      </w:pPr>
      <w:bookmarkStart w:id="15" w:name="_Toc465352952"/>
      <w:bookmarkStart w:id="16" w:name="_Toc465354084"/>
      <w:r w:rsidRPr="00041DEB">
        <w:t>Criteria for assessing alternative models</w:t>
      </w:r>
      <w:bookmarkEnd w:id="15"/>
      <w:bookmarkEnd w:id="16"/>
    </w:p>
    <w:p w:rsidR="0006400D" w:rsidRPr="0006400D" w:rsidRDefault="0006400D" w:rsidP="009E05DF">
      <w:pPr>
        <w:jc w:val="both"/>
        <w:rPr>
          <w:rFonts w:ascii="Arial" w:hAnsi="Arial" w:cs="Arial"/>
          <w:sz w:val="20"/>
          <w:szCs w:val="20"/>
        </w:rPr>
      </w:pPr>
      <w:r w:rsidRPr="0006400D">
        <w:rPr>
          <w:rFonts w:ascii="Arial" w:hAnsi="Arial" w:cs="Arial"/>
          <w:sz w:val="20"/>
          <w:szCs w:val="20"/>
        </w:rPr>
        <w:t>The PC proposes to assess alternative models against five criteria. They are:</w:t>
      </w:r>
    </w:p>
    <w:p w:rsidR="0006400D" w:rsidRPr="0006400D" w:rsidRDefault="0006400D" w:rsidP="009E05DF">
      <w:pPr>
        <w:jc w:val="both"/>
        <w:rPr>
          <w:rFonts w:ascii="Arial" w:hAnsi="Arial" w:cs="Arial"/>
          <w:sz w:val="20"/>
          <w:szCs w:val="20"/>
        </w:rPr>
      </w:pPr>
    </w:p>
    <w:p w:rsidR="0006400D" w:rsidRPr="00A53BF0" w:rsidRDefault="0006400D" w:rsidP="00A53BF0">
      <w:pPr>
        <w:pStyle w:val="ListParagraph"/>
        <w:numPr>
          <w:ilvl w:val="0"/>
          <w:numId w:val="22"/>
        </w:numPr>
        <w:jc w:val="both"/>
        <w:rPr>
          <w:rFonts w:ascii="Arial" w:hAnsi="Arial" w:cs="Arial"/>
          <w:sz w:val="20"/>
          <w:szCs w:val="20"/>
        </w:rPr>
      </w:pPr>
      <w:r w:rsidRPr="00A53BF0">
        <w:rPr>
          <w:rFonts w:ascii="Arial" w:hAnsi="Arial" w:cs="Arial"/>
          <w:sz w:val="20"/>
          <w:szCs w:val="20"/>
        </w:rPr>
        <w:lastRenderedPageBreak/>
        <w:t>Members’ best interests</w:t>
      </w:r>
    </w:p>
    <w:p w:rsidR="0006400D" w:rsidRPr="0006400D" w:rsidRDefault="0006400D" w:rsidP="00A53BF0">
      <w:pPr>
        <w:pStyle w:val="ListParagraph"/>
        <w:numPr>
          <w:ilvl w:val="0"/>
          <w:numId w:val="22"/>
        </w:numPr>
        <w:jc w:val="both"/>
        <w:rPr>
          <w:rFonts w:ascii="Arial" w:hAnsi="Arial" w:cs="Arial"/>
          <w:sz w:val="20"/>
          <w:szCs w:val="20"/>
        </w:rPr>
      </w:pPr>
      <w:r w:rsidRPr="0006400D">
        <w:rPr>
          <w:rFonts w:ascii="Arial" w:hAnsi="Arial" w:cs="Arial"/>
          <w:sz w:val="20"/>
          <w:szCs w:val="20"/>
        </w:rPr>
        <w:t>Competition</w:t>
      </w:r>
    </w:p>
    <w:p w:rsidR="0006400D" w:rsidRPr="0006400D" w:rsidRDefault="0006400D" w:rsidP="00A53BF0">
      <w:pPr>
        <w:pStyle w:val="ListParagraph"/>
        <w:numPr>
          <w:ilvl w:val="0"/>
          <w:numId w:val="22"/>
        </w:numPr>
        <w:jc w:val="both"/>
        <w:rPr>
          <w:rFonts w:ascii="Arial" w:hAnsi="Arial" w:cs="Arial"/>
          <w:sz w:val="20"/>
          <w:szCs w:val="20"/>
        </w:rPr>
      </w:pPr>
      <w:r w:rsidRPr="0006400D">
        <w:rPr>
          <w:rFonts w:ascii="Arial" w:hAnsi="Arial" w:cs="Arial"/>
          <w:sz w:val="20"/>
          <w:szCs w:val="20"/>
        </w:rPr>
        <w:t>Integrity</w:t>
      </w:r>
    </w:p>
    <w:p w:rsidR="0006400D" w:rsidRPr="0006400D" w:rsidRDefault="0006400D" w:rsidP="00A53BF0">
      <w:pPr>
        <w:pStyle w:val="ListParagraph"/>
        <w:numPr>
          <w:ilvl w:val="0"/>
          <w:numId w:val="22"/>
        </w:numPr>
        <w:jc w:val="both"/>
        <w:rPr>
          <w:rFonts w:ascii="Arial" w:hAnsi="Arial" w:cs="Arial"/>
          <w:sz w:val="20"/>
          <w:szCs w:val="20"/>
        </w:rPr>
      </w:pPr>
      <w:r w:rsidRPr="0006400D">
        <w:rPr>
          <w:rFonts w:ascii="Arial" w:hAnsi="Arial" w:cs="Arial"/>
          <w:sz w:val="20"/>
          <w:szCs w:val="20"/>
        </w:rPr>
        <w:t>Stability</w:t>
      </w:r>
    </w:p>
    <w:p w:rsidR="0006400D" w:rsidRPr="0006400D" w:rsidRDefault="00041DEB" w:rsidP="00A53BF0">
      <w:pPr>
        <w:pStyle w:val="ListParagraph"/>
        <w:numPr>
          <w:ilvl w:val="0"/>
          <w:numId w:val="22"/>
        </w:numPr>
        <w:jc w:val="both"/>
        <w:rPr>
          <w:rFonts w:ascii="Arial" w:hAnsi="Arial" w:cs="Arial"/>
          <w:sz w:val="20"/>
          <w:szCs w:val="20"/>
        </w:rPr>
      </w:pPr>
      <w:r>
        <w:rPr>
          <w:rFonts w:ascii="Arial" w:hAnsi="Arial" w:cs="Arial"/>
          <w:sz w:val="20"/>
          <w:szCs w:val="20"/>
        </w:rPr>
        <w:t>System-wide costs</w:t>
      </w:r>
    </w:p>
    <w:p w:rsidR="0006400D" w:rsidRPr="0006400D" w:rsidRDefault="0006400D" w:rsidP="009E05DF">
      <w:pPr>
        <w:jc w:val="both"/>
        <w:rPr>
          <w:rFonts w:ascii="Arial" w:hAnsi="Arial" w:cs="Arial"/>
          <w:sz w:val="20"/>
          <w:szCs w:val="20"/>
        </w:rPr>
      </w:pPr>
    </w:p>
    <w:p w:rsidR="00317547" w:rsidRPr="00A53BF0" w:rsidRDefault="00BF0655" w:rsidP="00A53BF0">
      <w:pPr>
        <w:pStyle w:val="Heading2"/>
        <w:ind w:firstLine="284"/>
        <w:rPr>
          <w:rFonts w:ascii="Arial Narrow" w:hAnsi="Arial Narrow" w:cs="Arial"/>
          <w:b/>
          <w:color w:val="000000" w:themeColor="text1"/>
        </w:rPr>
      </w:pPr>
      <w:bookmarkStart w:id="17" w:name="_Toc465352953"/>
      <w:bookmarkStart w:id="18" w:name="_Toc465354085"/>
      <w:r w:rsidRPr="00A53BF0">
        <w:rPr>
          <w:rFonts w:ascii="Arial Narrow" w:hAnsi="Arial Narrow" w:cs="Arial"/>
          <w:b/>
          <w:color w:val="000000" w:themeColor="text1"/>
          <w:sz w:val="24"/>
          <w:szCs w:val="24"/>
        </w:rPr>
        <w:t>8.1</w:t>
      </w:r>
      <w:r w:rsidRPr="00A53BF0">
        <w:rPr>
          <w:rFonts w:ascii="Arial Narrow" w:hAnsi="Arial Narrow" w:cs="Arial"/>
          <w:b/>
          <w:color w:val="000000" w:themeColor="text1"/>
          <w:sz w:val="24"/>
          <w:szCs w:val="24"/>
        </w:rPr>
        <w:tab/>
      </w:r>
      <w:proofErr w:type="spellStart"/>
      <w:r w:rsidR="00317547" w:rsidRPr="00A53BF0">
        <w:rPr>
          <w:rStyle w:val="Heading2Char"/>
          <w:rFonts w:ascii="Arial Narrow" w:hAnsi="Arial Narrow" w:cs="Arial"/>
          <w:b/>
          <w:color w:val="000000" w:themeColor="text1"/>
          <w:sz w:val="24"/>
          <w:szCs w:val="24"/>
        </w:rPr>
        <w:t>REST’s</w:t>
      </w:r>
      <w:proofErr w:type="spellEnd"/>
      <w:r w:rsidR="00317547" w:rsidRPr="00A53BF0">
        <w:rPr>
          <w:rStyle w:val="Heading2Char"/>
          <w:rFonts w:ascii="Arial Narrow" w:hAnsi="Arial Narrow" w:cs="Arial"/>
          <w:b/>
          <w:color w:val="000000" w:themeColor="text1"/>
          <w:sz w:val="24"/>
          <w:szCs w:val="24"/>
        </w:rPr>
        <w:t xml:space="preserve"> general comments on the proposed criteria</w:t>
      </w:r>
      <w:bookmarkEnd w:id="17"/>
      <w:bookmarkEnd w:id="18"/>
    </w:p>
    <w:p w:rsidR="00317547" w:rsidRDefault="00317547" w:rsidP="009E05DF">
      <w:pPr>
        <w:jc w:val="both"/>
        <w:rPr>
          <w:rFonts w:ascii="Arial" w:hAnsi="Arial" w:cs="Arial"/>
          <w:sz w:val="20"/>
          <w:szCs w:val="20"/>
        </w:rPr>
      </w:pPr>
    </w:p>
    <w:p w:rsidR="005446F8" w:rsidRDefault="005446F8" w:rsidP="009E05DF">
      <w:pPr>
        <w:jc w:val="both"/>
        <w:rPr>
          <w:rFonts w:ascii="Arial" w:hAnsi="Arial" w:cs="Arial"/>
          <w:sz w:val="20"/>
          <w:szCs w:val="20"/>
        </w:rPr>
      </w:pPr>
      <w:r>
        <w:rPr>
          <w:rFonts w:ascii="Arial" w:hAnsi="Arial" w:cs="Arial"/>
          <w:sz w:val="20"/>
          <w:szCs w:val="20"/>
        </w:rPr>
        <w:t xml:space="preserve">For </w:t>
      </w:r>
      <w:r w:rsidR="000806CE">
        <w:rPr>
          <w:rFonts w:ascii="Arial" w:hAnsi="Arial" w:cs="Arial"/>
          <w:sz w:val="20"/>
          <w:szCs w:val="20"/>
        </w:rPr>
        <w:t>all funds</w:t>
      </w:r>
      <w:r>
        <w:rPr>
          <w:rFonts w:ascii="Arial" w:hAnsi="Arial" w:cs="Arial"/>
          <w:sz w:val="20"/>
          <w:szCs w:val="20"/>
        </w:rPr>
        <w:t>, the members’ best interest criteri</w:t>
      </w:r>
      <w:r w:rsidR="000806CE">
        <w:rPr>
          <w:rFonts w:ascii="Arial" w:hAnsi="Arial" w:cs="Arial"/>
          <w:sz w:val="20"/>
          <w:szCs w:val="20"/>
        </w:rPr>
        <w:t>on</w:t>
      </w:r>
      <w:r>
        <w:rPr>
          <w:rFonts w:ascii="Arial" w:hAnsi="Arial" w:cs="Arial"/>
          <w:sz w:val="20"/>
          <w:szCs w:val="20"/>
        </w:rPr>
        <w:t xml:space="preserve"> </w:t>
      </w:r>
      <w:r w:rsidR="000806CE">
        <w:rPr>
          <w:rFonts w:ascii="Arial" w:hAnsi="Arial" w:cs="Arial"/>
          <w:sz w:val="20"/>
          <w:szCs w:val="20"/>
        </w:rPr>
        <w:t>should be</w:t>
      </w:r>
      <w:r>
        <w:rPr>
          <w:rFonts w:ascii="Arial" w:hAnsi="Arial" w:cs="Arial"/>
          <w:sz w:val="20"/>
          <w:szCs w:val="20"/>
        </w:rPr>
        <w:t xml:space="preserve"> the overarching criteri</w:t>
      </w:r>
      <w:r w:rsidR="000806CE">
        <w:rPr>
          <w:rFonts w:ascii="Arial" w:hAnsi="Arial" w:cs="Arial"/>
          <w:sz w:val="20"/>
          <w:szCs w:val="20"/>
        </w:rPr>
        <w:t>on</w:t>
      </w:r>
      <w:r>
        <w:rPr>
          <w:rFonts w:ascii="Arial" w:hAnsi="Arial" w:cs="Arial"/>
          <w:sz w:val="20"/>
          <w:szCs w:val="20"/>
        </w:rPr>
        <w:t xml:space="preserve"> for assessment </w:t>
      </w:r>
      <w:r w:rsidR="00442874">
        <w:rPr>
          <w:rFonts w:ascii="Arial" w:hAnsi="Arial" w:cs="Arial"/>
          <w:sz w:val="20"/>
          <w:szCs w:val="20"/>
        </w:rPr>
        <w:t>of any</w:t>
      </w:r>
      <w:r>
        <w:rPr>
          <w:rFonts w:ascii="Arial" w:hAnsi="Arial" w:cs="Arial"/>
          <w:sz w:val="20"/>
          <w:szCs w:val="20"/>
        </w:rPr>
        <w:t xml:space="preserve"> model</w:t>
      </w:r>
      <w:r w:rsidR="00647676">
        <w:rPr>
          <w:rFonts w:ascii="Arial" w:hAnsi="Arial" w:cs="Arial"/>
          <w:sz w:val="20"/>
          <w:szCs w:val="20"/>
        </w:rPr>
        <w:t>,</w:t>
      </w:r>
      <w:r>
        <w:rPr>
          <w:rFonts w:ascii="Arial" w:hAnsi="Arial" w:cs="Arial"/>
          <w:sz w:val="20"/>
          <w:szCs w:val="20"/>
        </w:rPr>
        <w:t xml:space="preserve"> and each of the </w:t>
      </w:r>
      <w:r w:rsidR="0073208A">
        <w:rPr>
          <w:rFonts w:ascii="Arial" w:hAnsi="Arial" w:cs="Arial"/>
          <w:sz w:val="20"/>
          <w:szCs w:val="20"/>
        </w:rPr>
        <w:t xml:space="preserve">four </w:t>
      </w:r>
      <w:r>
        <w:rPr>
          <w:rFonts w:ascii="Arial" w:hAnsi="Arial" w:cs="Arial"/>
          <w:sz w:val="20"/>
          <w:szCs w:val="20"/>
        </w:rPr>
        <w:t>remaining criteri</w:t>
      </w:r>
      <w:r w:rsidR="000806CE">
        <w:rPr>
          <w:rFonts w:ascii="Arial" w:hAnsi="Arial" w:cs="Arial"/>
          <w:sz w:val="20"/>
          <w:szCs w:val="20"/>
        </w:rPr>
        <w:t>on</w:t>
      </w:r>
      <w:r>
        <w:rPr>
          <w:rFonts w:ascii="Arial" w:hAnsi="Arial" w:cs="Arial"/>
          <w:sz w:val="20"/>
          <w:szCs w:val="20"/>
        </w:rPr>
        <w:t xml:space="preserve"> should be </w:t>
      </w:r>
      <w:r w:rsidR="000806CE">
        <w:rPr>
          <w:rFonts w:ascii="Arial" w:hAnsi="Arial" w:cs="Arial"/>
          <w:sz w:val="20"/>
          <w:szCs w:val="20"/>
        </w:rPr>
        <w:t>viewed</w:t>
      </w:r>
      <w:r w:rsidR="00534F37">
        <w:rPr>
          <w:rFonts w:ascii="Arial" w:hAnsi="Arial" w:cs="Arial"/>
          <w:sz w:val="20"/>
          <w:szCs w:val="20"/>
        </w:rPr>
        <w:t xml:space="preserve"> </w:t>
      </w:r>
      <w:r w:rsidR="000806CE">
        <w:rPr>
          <w:rFonts w:ascii="Arial" w:hAnsi="Arial" w:cs="Arial"/>
          <w:sz w:val="20"/>
          <w:szCs w:val="20"/>
        </w:rPr>
        <w:t>through</w:t>
      </w:r>
      <w:r w:rsidR="00534F37">
        <w:rPr>
          <w:rFonts w:ascii="Arial" w:hAnsi="Arial" w:cs="Arial"/>
          <w:sz w:val="20"/>
          <w:szCs w:val="20"/>
        </w:rPr>
        <w:t xml:space="preserve"> this </w:t>
      </w:r>
      <w:r w:rsidR="000806CE">
        <w:rPr>
          <w:rFonts w:ascii="Arial" w:hAnsi="Arial" w:cs="Arial"/>
          <w:sz w:val="20"/>
          <w:szCs w:val="20"/>
        </w:rPr>
        <w:t>lens</w:t>
      </w:r>
      <w:r w:rsidR="00534F37">
        <w:rPr>
          <w:rFonts w:ascii="Arial" w:hAnsi="Arial" w:cs="Arial"/>
          <w:sz w:val="20"/>
          <w:szCs w:val="20"/>
        </w:rPr>
        <w:t>.</w:t>
      </w:r>
    </w:p>
    <w:p w:rsidR="005446F8" w:rsidRDefault="005446F8" w:rsidP="009E05DF">
      <w:pPr>
        <w:jc w:val="both"/>
        <w:rPr>
          <w:rFonts w:ascii="Arial" w:hAnsi="Arial" w:cs="Arial"/>
          <w:sz w:val="20"/>
          <w:szCs w:val="20"/>
        </w:rPr>
      </w:pPr>
    </w:p>
    <w:p w:rsidR="00534F37" w:rsidRDefault="0006400D" w:rsidP="009E05DF">
      <w:pPr>
        <w:jc w:val="both"/>
        <w:rPr>
          <w:rFonts w:ascii="Arial" w:hAnsi="Arial" w:cs="Arial"/>
          <w:sz w:val="20"/>
          <w:szCs w:val="20"/>
        </w:rPr>
      </w:pPr>
      <w:r w:rsidRPr="0006400D">
        <w:rPr>
          <w:rFonts w:ascii="Arial" w:hAnsi="Arial" w:cs="Arial"/>
          <w:sz w:val="20"/>
          <w:szCs w:val="20"/>
        </w:rPr>
        <w:t>In general, REST holds that the above criteria</w:t>
      </w:r>
      <w:r w:rsidR="005446F8">
        <w:rPr>
          <w:rFonts w:ascii="Arial" w:hAnsi="Arial" w:cs="Arial"/>
          <w:sz w:val="20"/>
          <w:szCs w:val="20"/>
        </w:rPr>
        <w:t xml:space="preserve"> as </w:t>
      </w:r>
      <w:r w:rsidR="00534F37">
        <w:rPr>
          <w:rFonts w:ascii="Arial" w:hAnsi="Arial" w:cs="Arial"/>
          <w:sz w:val="20"/>
          <w:szCs w:val="20"/>
        </w:rPr>
        <w:t>proposed in the G</w:t>
      </w:r>
      <w:r w:rsidR="005446F8">
        <w:rPr>
          <w:rFonts w:ascii="Arial" w:hAnsi="Arial" w:cs="Arial"/>
          <w:sz w:val="20"/>
          <w:szCs w:val="20"/>
        </w:rPr>
        <w:t>overnment’s Terms of Reference</w:t>
      </w:r>
      <w:r w:rsidRPr="0006400D">
        <w:rPr>
          <w:rFonts w:ascii="Arial" w:hAnsi="Arial" w:cs="Arial"/>
          <w:sz w:val="20"/>
          <w:szCs w:val="20"/>
        </w:rPr>
        <w:t xml:space="preserve"> </w:t>
      </w:r>
      <w:r>
        <w:rPr>
          <w:rFonts w:ascii="Arial" w:hAnsi="Arial" w:cs="Arial"/>
          <w:sz w:val="20"/>
          <w:szCs w:val="20"/>
        </w:rPr>
        <w:t>are</w:t>
      </w:r>
      <w:r w:rsidRPr="0006400D">
        <w:rPr>
          <w:rFonts w:ascii="Arial" w:hAnsi="Arial" w:cs="Arial"/>
          <w:sz w:val="20"/>
          <w:szCs w:val="20"/>
        </w:rPr>
        <w:t xml:space="preserve"> too narrow</w:t>
      </w:r>
      <w:r w:rsidR="00442874">
        <w:rPr>
          <w:rFonts w:ascii="Arial" w:hAnsi="Arial" w:cs="Arial"/>
          <w:sz w:val="20"/>
          <w:szCs w:val="20"/>
        </w:rPr>
        <w:t xml:space="preserve"> and it is questionable whether they cover all of the criteria set down in the Terms of Reference</w:t>
      </w:r>
      <w:r w:rsidR="00317547">
        <w:rPr>
          <w:rFonts w:ascii="Arial" w:hAnsi="Arial" w:cs="Arial"/>
          <w:sz w:val="20"/>
          <w:szCs w:val="20"/>
        </w:rPr>
        <w:t>.</w:t>
      </w:r>
      <w:r w:rsidR="00E6260A">
        <w:rPr>
          <w:rFonts w:ascii="Arial" w:hAnsi="Arial" w:cs="Arial"/>
          <w:sz w:val="20"/>
          <w:szCs w:val="20"/>
        </w:rPr>
        <w:t xml:space="preserve"> Further the time horizon of asses</w:t>
      </w:r>
      <w:r w:rsidR="00EC4954">
        <w:rPr>
          <w:rFonts w:ascii="Arial" w:hAnsi="Arial" w:cs="Arial"/>
          <w:sz w:val="20"/>
          <w:szCs w:val="20"/>
        </w:rPr>
        <w:t xml:space="preserve">sment should be encouraging a long term rather than </w:t>
      </w:r>
      <w:r w:rsidR="00442874">
        <w:rPr>
          <w:rFonts w:ascii="Arial" w:hAnsi="Arial" w:cs="Arial"/>
          <w:sz w:val="20"/>
          <w:szCs w:val="20"/>
        </w:rPr>
        <w:t xml:space="preserve">a </w:t>
      </w:r>
      <w:r w:rsidR="00EC4954">
        <w:rPr>
          <w:rFonts w:ascii="Arial" w:hAnsi="Arial" w:cs="Arial"/>
          <w:sz w:val="20"/>
          <w:szCs w:val="20"/>
        </w:rPr>
        <w:t>short term approach</w:t>
      </w:r>
      <w:r w:rsidR="00E6260A">
        <w:rPr>
          <w:rFonts w:ascii="Arial" w:hAnsi="Arial" w:cs="Arial"/>
          <w:sz w:val="20"/>
          <w:szCs w:val="20"/>
        </w:rPr>
        <w:t>.</w:t>
      </w:r>
      <w:r w:rsidR="00317547">
        <w:rPr>
          <w:rFonts w:ascii="Arial" w:hAnsi="Arial" w:cs="Arial"/>
          <w:sz w:val="20"/>
          <w:szCs w:val="20"/>
        </w:rPr>
        <w:t xml:space="preserve"> </w:t>
      </w:r>
    </w:p>
    <w:p w:rsidR="00534F37" w:rsidRDefault="00534F37" w:rsidP="009E05DF">
      <w:pPr>
        <w:jc w:val="both"/>
        <w:rPr>
          <w:rFonts w:ascii="Arial" w:hAnsi="Arial" w:cs="Arial"/>
          <w:sz w:val="20"/>
          <w:szCs w:val="20"/>
        </w:rPr>
      </w:pPr>
    </w:p>
    <w:p w:rsidR="0006400D" w:rsidRPr="0006400D" w:rsidRDefault="00317547" w:rsidP="009E05DF">
      <w:pPr>
        <w:jc w:val="both"/>
        <w:rPr>
          <w:rFonts w:ascii="Arial" w:hAnsi="Arial" w:cs="Arial"/>
          <w:sz w:val="20"/>
          <w:szCs w:val="20"/>
        </w:rPr>
      </w:pPr>
      <w:proofErr w:type="spellStart"/>
      <w:r>
        <w:rPr>
          <w:rFonts w:ascii="Arial" w:hAnsi="Arial" w:cs="Arial"/>
          <w:sz w:val="20"/>
          <w:szCs w:val="20"/>
        </w:rPr>
        <w:t>REST’s</w:t>
      </w:r>
      <w:proofErr w:type="spellEnd"/>
      <w:r>
        <w:rPr>
          <w:rFonts w:ascii="Arial" w:hAnsi="Arial" w:cs="Arial"/>
          <w:sz w:val="20"/>
          <w:szCs w:val="20"/>
        </w:rPr>
        <w:t xml:space="preserve"> </w:t>
      </w:r>
      <w:r w:rsidR="00442874">
        <w:rPr>
          <w:rFonts w:ascii="Arial" w:hAnsi="Arial" w:cs="Arial"/>
          <w:sz w:val="20"/>
          <w:szCs w:val="20"/>
        </w:rPr>
        <w:t>considers</w:t>
      </w:r>
      <w:r>
        <w:rPr>
          <w:rFonts w:ascii="Arial" w:hAnsi="Arial" w:cs="Arial"/>
          <w:sz w:val="20"/>
          <w:szCs w:val="20"/>
        </w:rPr>
        <w:t xml:space="preserve"> appropriate </w:t>
      </w:r>
      <w:r w:rsidR="00442874">
        <w:rPr>
          <w:rFonts w:ascii="Arial" w:hAnsi="Arial" w:cs="Arial"/>
          <w:sz w:val="20"/>
          <w:szCs w:val="20"/>
        </w:rPr>
        <w:t xml:space="preserve">additional </w:t>
      </w:r>
      <w:r>
        <w:rPr>
          <w:rFonts w:ascii="Arial" w:hAnsi="Arial" w:cs="Arial"/>
          <w:sz w:val="20"/>
          <w:szCs w:val="20"/>
        </w:rPr>
        <w:t xml:space="preserve">criteria </w:t>
      </w:r>
      <w:r w:rsidR="00442874">
        <w:rPr>
          <w:rFonts w:ascii="Arial" w:hAnsi="Arial" w:cs="Arial"/>
          <w:sz w:val="20"/>
          <w:szCs w:val="20"/>
        </w:rPr>
        <w:t>should include</w:t>
      </w:r>
      <w:r>
        <w:rPr>
          <w:rFonts w:ascii="Arial" w:hAnsi="Arial" w:cs="Arial"/>
          <w:sz w:val="20"/>
          <w:szCs w:val="20"/>
        </w:rPr>
        <w:t xml:space="preserve">: </w:t>
      </w:r>
      <w:r w:rsidR="0006400D" w:rsidRPr="0006400D">
        <w:rPr>
          <w:rFonts w:ascii="Arial" w:hAnsi="Arial" w:cs="Arial"/>
          <w:sz w:val="20"/>
          <w:szCs w:val="20"/>
        </w:rPr>
        <w:t xml:space="preserve"> </w:t>
      </w:r>
    </w:p>
    <w:p w:rsidR="003A0234" w:rsidRDefault="003A0234" w:rsidP="009E05DF">
      <w:pPr>
        <w:jc w:val="both"/>
        <w:rPr>
          <w:rFonts w:ascii="Arial" w:hAnsi="Arial" w:cs="Arial"/>
          <w:b/>
          <w:sz w:val="20"/>
          <w:szCs w:val="20"/>
        </w:rPr>
      </w:pPr>
    </w:p>
    <w:p w:rsidR="003A0234" w:rsidRPr="005477BA" w:rsidRDefault="003A0234" w:rsidP="009E05DF">
      <w:pPr>
        <w:numPr>
          <w:ilvl w:val="0"/>
          <w:numId w:val="4"/>
        </w:numPr>
        <w:ind w:left="426" w:right="15"/>
        <w:jc w:val="both"/>
        <w:rPr>
          <w:rFonts w:ascii="Arial" w:hAnsi="Arial" w:cs="Arial"/>
          <w:color w:val="333333"/>
          <w:sz w:val="20"/>
          <w:lang w:eastAsia="en-AU"/>
        </w:rPr>
      </w:pPr>
      <w:r>
        <w:rPr>
          <w:rFonts w:ascii="Arial" w:hAnsi="Arial" w:cs="Arial"/>
          <w:color w:val="333333"/>
          <w:sz w:val="20"/>
          <w:lang w:eastAsia="en-AU"/>
        </w:rPr>
        <w:t>A</w:t>
      </w:r>
      <w:r w:rsidRPr="005477BA">
        <w:rPr>
          <w:rFonts w:ascii="Arial" w:hAnsi="Arial" w:cs="Arial"/>
          <w:color w:val="333333"/>
          <w:sz w:val="20"/>
          <w:lang w:eastAsia="en-AU"/>
        </w:rPr>
        <w:t>ppropriateness of the investment strategy of the default investment option of the fund in terms of risk and expected return</w:t>
      </w:r>
    </w:p>
    <w:p w:rsidR="003A0234" w:rsidRPr="005477BA" w:rsidRDefault="003A0234" w:rsidP="009E05DF">
      <w:pPr>
        <w:numPr>
          <w:ilvl w:val="0"/>
          <w:numId w:val="4"/>
        </w:numPr>
        <w:ind w:left="426" w:right="15"/>
        <w:jc w:val="both"/>
        <w:rPr>
          <w:rFonts w:ascii="Arial" w:hAnsi="Arial" w:cs="Arial"/>
          <w:color w:val="333333"/>
          <w:sz w:val="20"/>
          <w:lang w:eastAsia="en-AU"/>
        </w:rPr>
      </w:pPr>
      <w:r>
        <w:rPr>
          <w:rFonts w:ascii="Arial" w:hAnsi="Arial" w:cs="Arial"/>
          <w:color w:val="333333"/>
          <w:sz w:val="20"/>
          <w:lang w:eastAsia="en-AU"/>
        </w:rPr>
        <w:t>M</w:t>
      </w:r>
      <w:r w:rsidRPr="005477BA">
        <w:rPr>
          <w:rFonts w:ascii="Arial" w:hAnsi="Arial" w:cs="Arial"/>
          <w:color w:val="333333"/>
          <w:sz w:val="20"/>
          <w:lang w:eastAsia="en-AU"/>
        </w:rPr>
        <w:t>edium to long term net-of-costs investment performance of the default investment option;</w:t>
      </w:r>
    </w:p>
    <w:p w:rsidR="003A0234" w:rsidRPr="005477BA" w:rsidRDefault="005C2E5C" w:rsidP="009E05DF">
      <w:pPr>
        <w:numPr>
          <w:ilvl w:val="0"/>
          <w:numId w:val="4"/>
        </w:numPr>
        <w:ind w:left="426" w:right="15"/>
        <w:jc w:val="both"/>
        <w:rPr>
          <w:rFonts w:ascii="Arial" w:hAnsi="Arial" w:cs="Arial"/>
          <w:color w:val="333333"/>
          <w:sz w:val="20"/>
          <w:lang w:eastAsia="en-AU"/>
        </w:rPr>
      </w:pPr>
      <w:r>
        <w:rPr>
          <w:rFonts w:ascii="Arial" w:hAnsi="Arial" w:cs="Arial"/>
          <w:color w:val="333333"/>
          <w:sz w:val="20"/>
          <w:lang w:eastAsia="en-AU"/>
        </w:rPr>
        <w:t>Amount of</w:t>
      </w:r>
      <w:r w:rsidR="003A0234" w:rsidRPr="005477BA">
        <w:rPr>
          <w:rFonts w:ascii="Arial" w:hAnsi="Arial" w:cs="Arial"/>
          <w:color w:val="333333"/>
          <w:sz w:val="20"/>
          <w:lang w:eastAsia="en-AU"/>
        </w:rPr>
        <w:t xml:space="preserve"> fees incurred by members</w:t>
      </w:r>
    </w:p>
    <w:p w:rsidR="003A0234" w:rsidRPr="005477BA" w:rsidRDefault="003A0234" w:rsidP="009E05DF">
      <w:pPr>
        <w:numPr>
          <w:ilvl w:val="0"/>
          <w:numId w:val="4"/>
        </w:numPr>
        <w:ind w:left="426" w:right="15"/>
        <w:jc w:val="both"/>
        <w:rPr>
          <w:rFonts w:ascii="Arial" w:hAnsi="Arial" w:cs="Arial"/>
          <w:color w:val="333333"/>
          <w:sz w:val="20"/>
          <w:lang w:eastAsia="en-AU"/>
        </w:rPr>
      </w:pPr>
      <w:r>
        <w:rPr>
          <w:rFonts w:ascii="Arial" w:hAnsi="Arial" w:cs="Arial"/>
          <w:color w:val="333333"/>
          <w:sz w:val="20"/>
          <w:lang w:eastAsia="en-AU"/>
        </w:rPr>
        <w:t>S</w:t>
      </w:r>
      <w:r w:rsidRPr="005477BA">
        <w:rPr>
          <w:rFonts w:ascii="Arial" w:hAnsi="Arial" w:cs="Arial"/>
          <w:color w:val="333333"/>
          <w:sz w:val="20"/>
          <w:lang w:eastAsia="en-AU"/>
        </w:rPr>
        <w:t>cale of the fund and the level of services provided to fund members</w:t>
      </w:r>
    </w:p>
    <w:p w:rsidR="003A0234" w:rsidRPr="005477BA" w:rsidRDefault="003A0234" w:rsidP="009E05DF">
      <w:pPr>
        <w:numPr>
          <w:ilvl w:val="0"/>
          <w:numId w:val="4"/>
        </w:numPr>
        <w:ind w:left="426" w:right="15"/>
        <w:jc w:val="both"/>
        <w:rPr>
          <w:rFonts w:ascii="Arial" w:hAnsi="Arial" w:cs="Arial"/>
          <w:color w:val="333333"/>
          <w:sz w:val="20"/>
          <w:lang w:eastAsia="en-AU"/>
        </w:rPr>
      </w:pPr>
      <w:r>
        <w:rPr>
          <w:rFonts w:ascii="Arial" w:hAnsi="Arial" w:cs="Arial"/>
          <w:color w:val="333333"/>
          <w:sz w:val="20"/>
          <w:lang w:eastAsia="en-AU"/>
        </w:rPr>
        <w:t>S</w:t>
      </w:r>
      <w:r w:rsidRPr="005477BA">
        <w:rPr>
          <w:rFonts w:ascii="Arial" w:hAnsi="Arial" w:cs="Arial"/>
          <w:color w:val="333333"/>
          <w:sz w:val="20"/>
          <w:lang w:eastAsia="en-AU"/>
        </w:rPr>
        <w:t>uitability and cost of insurance provided by the fund</w:t>
      </w:r>
    </w:p>
    <w:p w:rsidR="003A0234" w:rsidRPr="005477BA" w:rsidRDefault="003A0234" w:rsidP="009E05DF">
      <w:pPr>
        <w:numPr>
          <w:ilvl w:val="0"/>
          <w:numId w:val="4"/>
        </w:numPr>
        <w:ind w:left="426" w:right="15"/>
        <w:jc w:val="both"/>
        <w:rPr>
          <w:rFonts w:ascii="Arial" w:hAnsi="Arial" w:cs="Arial"/>
          <w:color w:val="333333"/>
          <w:sz w:val="20"/>
          <w:lang w:eastAsia="en-AU"/>
        </w:rPr>
      </w:pPr>
      <w:r>
        <w:rPr>
          <w:rFonts w:ascii="Arial" w:hAnsi="Arial" w:cs="Arial"/>
          <w:color w:val="333333"/>
          <w:sz w:val="20"/>
          <w:lang w:eastAsia="en-AU"/>
        </w:rPr>
        <w:t>G</w:t>
      </w:r>
      <w:r w:rsidRPr="005477BA">
        <w:rPr>
          <w:rFonts w:ascii="Arial" w:hAnsi="Arial" w:cs="Arial"/>
          <w:color w:val="333333"/>
          <w:sz w:val="20"/>
          <w:lang w:eastAsia="en-AU"/>
        </w:rPr>
        <w:t>overnance of the fund</w:t>
      </w:r>
    </w:p>
    <w:p w:rsidR="003A0234" w:rsidRPr="005477BA" w:rsidRDefault="003A0234" w:rsidP="009E05DF">
      <w:pPr>
        <w:numPr>
          <w:ilvl w:val="0"/>
          <w:numId w:val="4"/>
        </w:numPr>
        <w:ind w:left="426" w:right="15"/>
        <w:jc w:val="both"/>
        <w:rPr>
          <w:rFonts w:ascii="Arial" w:hAnsi="Arial" w:cs="Arial"/>
          <w:color w:val="333333"/>
          <w:sz w:val="20"/>
          <w:lang w:eastAsia="en-AU"/>
        </w:rPr>
      </w:pPr>
      <w:r>
        <w:rPr>
          <w:rFonts w:ascii="Arial" w:hAnsi="Arial" w:cs="Arial"/>
          <w:color w:val="333333"/>
          <w:sz w:val="20"/>
          <w:lang w:eastAsia="en-AU"/>
        </w:rPr>
        <w:t>F</w:t>
      </w:r>
      <w:r w:rsidRPr="005477BA">
        <w:rPr>
          <w:rFonts w:ascii="Arial" w:hAnsi="Arial" w:cs="Arial"/>
          <w:color w:val="333333"/>
          <w:sz w:val="20"/>
          <w:lang w:eastAsia="en-AU"/>
        </w:rPr>
        <w:t>ees incurred and other impacts on members if they cease employment with an employer</w:t>
      </w:r>
      <w:r>
        <w:rPr>
          <w:rFonts w:ascii="Arial" w:hAnsi="Arial" w:cs="Arial"/>
          <w:color w:val="333333"/>
          <w:sz w:val="20"/>
          <w:lang w:eastAsia="en-AU"/>
        </w:rPr>
        <w:t>.</w:t>
      </w:r>
    </w:p>
    <w:p w:rsidR="003A0234" w:rsidRPr="008B151A" w:rsidRDefault="003A0234" w:rsidP="009E05DF">
      <w:pPr>
        <w:jc w:val="both"/>
        <w:rPr>
          <w:rFonts w:ascii="Arial" w:hAnsi="Arial" w:cs="Arial"/>
          <w:b/>
          <w:sz w:val="20"/>
        </w:rPr>
      </w:pPr>
    </w:p>
    <w:p w:rsidR="003A0234" w:rsidRDefault="003A0234" w:rsidP="009E05DF">
      <w:pPr>
        <w:pStyle w:val="ListParagraph"/>
        <w:ind w:left="0"/>
        <w:jc w:val="both"/>
        <w:rPr>
          <w:rFonts w:ascii="Arial" w:hAnsi="Arial" w:cs="Arial"/>
          <w:sz w:val="20"/>
        </w:rPr>
      </w:pPr>
      <w:r>
        <w:rPr>
          <w:rFonts w:ascii="Arial" w:hAnsi="Arial" w:cs="Arial"/>
          <w:sz w:val="20"/>
        </w:rPr>
        <w:t xml:space="preserve">It is also important that the criteria are linked to the expectations of the specific type of members covered by the </w:t>
      </w:r>
      <w:r w:rsidR="00CF6F5B">
        <w:rPr>
          <w:rFonts w:ascii="Arial" w:hAnsi="Arial" w:cs="Arial"/>
          <w:sz w:val="20"/>
        </w:rPr>
        <w:t>M</w:t>
      </w:r>
      <w:r>
        <w:rPr>
          <w:rFonts w:ascii="Arial" w:hAnsi="Arial" w:cs="Arial"/>
          <w:sz w:val="20"/>
        </w:rPr>
        <w:t xml:space="preserve">odern </w:t>
      </w:r>
      <w:r w:rsidR="00CF6F5B">
        <w:rPr>
          <w:rFonts w:ascii="Arial" w:hAnsi="Arial" w:cs="Arial"/>
          <w:sz w:val="20"/>
        </w:rPr>
        <w:t>A</w:t>
      </w:r>
      <w:r>
        <w:rPr>
          <w:rFonts w:ascii="Arial" w:hAnsi="Arial" w:cs="Arial"/>
          <w:sz w:val="20"/>
        </w:rPr>
        <w:t>ward</w:t>
      </w:r>
      <w:r w:rsidR="00E6260A">
        <w:rPr>
          <w:rFonts w:ascii="Arial" w:hAnsi="Arial" w:cs="Arial"/>
          <w:sz w:val="20"/>
        </w:rPr>
        <w:t xml:space="preserve"> or </w:t>
      </w:r>
      <w:proofErr w:type="spellStart"/>
      <w:r w:rsidR="00E6260A">
        <w:rPr>
          <w:rFonts w:ascii="Arial" w:hAnsi="Arial" w:cs="Arial"/>
          <w:sz w:val="20"/>
        </w:rPr>
        <w:t>EBA</w:t>
      </w:r>
      <w:proofErr w:type="spellEnd"/>
      <w:r>
        <w:rPr>
          <w:rFonts w:ascii="Arial" w:hAnsi="Arial" w:cs="Arial"/>
          <w:sz w:val="20"/>
        </w:rPr>
        <w:t xml:space="preserve"> and the default fund’s ability to structure the benefits and services which are most appropriate to those members. </w:t>
      </w:r>
    </w:p>
    <w:p w:rsidR="003A0234" w:rsidRDefault="003A0234" w:rsidP="009E05DF">
      <w:pPr>
        <w:pStyle w:val="ListParagraph"/>
        <w:ind w:left="0"/>
        <w:jc w:val="both"/>
        <w:rPr>
          <w:rFonts w:ascii="Arial" w:hAnsi="Arial" w:cs="Arial"/>
          <w:sz w:val="20"/>
        </w:rPr>
      </w:pPr>
    </w:p>
    <w:p w:rsidR="003A0234" w:rsidRPr="008B6CCD" w:rsidRDefault="003A0234" w:rsidP="009E05DF">
      <w:pPr>
        <w:pStyle w:val="ListParagraph"/>
        <w:ind w:left="0"/>
        <w:jc w:val="both"/>
        <w:rPr>
          <w:rFonts w:ascii="Arial" w:hAnsi="Arial" w:cs="Arial"/>
          <w:sz w:val="20"/>
        </w:rPr>
      </w:pPr>
      <w:r>
        <w:rPr>
          <w:rFonts w:ascii="Arial" w:hAnsi="Arial" w:cs="Arial"/>
          <w:sz w:val="20"/>
        </w:rPr>
        <w:t xml:space="preserve">While </w:t>
      </w:r>
      <w:r w:rsidRPr="005477BA">
        <w:rPr>
          <w:rFonts w:ascii="Arial" w:hAnsi="Arial" w:cs="Arial"/>
          <w:sz w:val="20"/>
        </w:rPr>
        <w:t xml:space="preserve">REST </w:t>
      </w:r>
      <w:r w:rsidR="00E6260A">
        <w:rPr>
          <w:rFonts w:ascii="Arial" w:hAnsi="Arial" w:cs="Arial"/>
          <w:sz w:val="20"/>
        </w:rPr>
        <w:t xml:space="preserve">believes that elements of </w:t>
      </w:r>
      <w:r w:rsidRPr="005477BA">
        <w:rPr>
          <w:rFonts w:ascii="Arial" w:hAnsi="Arial" w:cs="Arial"/>
          <w:sz w:val="20"/>
        </w:rPr>
        <w:t xml:space="preserve">the above criteria </w:t>
      </w:r>
      <w:r w:rsidR="00E6260A">
        <w:rPr>
          <w:rFonts w:ascii="Arial" w:hAnsi="Arial" w:cs="Arial"/>
          <w:sz w:val="20"/>
        </w:rPr>
        <w:t>could be</w:t>
      </w:r>
      <w:r w:rsidR="00E6260A" w:rsidRPr="005477BA">
        <w:rPr>
          <w:rFonts w:ascii="Arial" w:hAnsi="Arial" w:cs="Arial"/>
          <w:sz w:val="20"/>
        </w:rPr>
        <w:t xml:space="preserve"> </w:t>
      </w:r>
      <w:r w:rsidRPr="005477BA">
        <w:rPr>
          <w:rFonts w:ascii="Arial" w:hAnsi="Arial" w:cs="Arial"/>
          <w:sz w:val="20"/>
        </w:rPr>
        <w:t>used for a</w:t>
      </w:r>
      <w:r>
        <w:rPr>
          <w:rFonts w:ascii="Arial" w:hAnsi="Arial" w:cs="Arial"/>
          <w:sz w:val="20"/>
        </w:rPr>
        <w:t>ss</w:t>
      </w:r>
      <w:r w:rsidRPr="005477BA">
        <w:rPr>
          <w:rFonts w:ascii="Arial" w:hAnsi="Arial" w:cs="Arial"/>
          <w:sz w:val="20"/>
        </w:rPr>
        <w:t>essing funds</w:t>
      </w:r>
      <w:r>
        <w:rPr>
          <w:rFonts w:ascii="Arial" w:hAnsi="Arial" w:cs="Arial"/>
          <w:sz w:val="20"/>
        </w:rPr>
        <w:t xml:space="preserve">, </w:t>
      </w:r>
      <w:r w:rsidRPr="005477BA">
        <w:rPr>
          <w:rFonts w:ascii="Arial" w:hAnsi="Arial" w:cs="Arial"/>
          <w:sz w:val="20"/>
        </w:rPr>
        <w:t xml:space="preserve">the </w:t>
      </w:r>
      <w:r>
        <w:rPr>
          <w:rFonts w:ascii="Arial" w:hAnsi="Arial" w:cs="Arial"/>
          <w:sz w:val="20"/>
        </w:rPr>
        <w:t xml:space="preserve">most </w:t>
      </w:r>
      <w:r w:rsidRPr="008B6CCD">
        <w:rPr>
          <w:rFonts w:ascii="Arial" w:hAnsi="Arial" w:cs="Arial"/>
          <w:sz w:val="20"/>
        </w:rPr>
        <w:t>fundamental criterion is the ability to support and reflect the needs of the underlying core demographic of default members of the relevant fund</w:t>
      </w:r>
      <w:r w:rsidRPr="00C936B0">
        <w:rPr>
          <w:rFonts w:ascii="Arial" w:hAnsi="Arial" w:cs="Arial"/>
          <w:sz w:val="20"/>
        </w:rPr>
        <w:t>.</w:t>
      </w:r>
      <w:r w:rsidRPr="008B6CCD">
        <w:rPr>
          <w:rFonts w:ascii="Arial" w:hAnsi="Arial" w:cs="Arial"/>
          <w:sz w:val="20"/>
        </w:rPr>
        <w:t xml:space="preserve"> </w:t>
      </w:r>
    </w:p>
    <w:p w:rsidR="003A0234" w:rsidRPr="008B6CCD" w:rsidRDefault="003A0234" w:rsidP="009E05DF">
      <w:pPr>
        <w:pStyle w:val="ListParagraph"/>
        <w:ind w:left="0"/>
        <w:jc w:val="both"/>
        <w:rPr>
          <w:rFonts w:ascii="Arial" w:hAnsi="Arial" w:cs="Arial"/>
          <w:sz w:val="20"/>
        </w:rPr>
      </w:pPr>
    </w:p>
    <w:p w:rsidR="003A0234" w:rsidRPr="005477BA" w:rsidRDefault="003A0234" w:rsidP="009E05DF">
      <w:pPr>
        <w:pStyle w:val="ListParagraph"/>
        <w:ind w:left="0"/>
        <w:jc w:val="both"/>
        <w:rPr>
          <w:rFonts w:ascii="Arial" w:hAnsi="Arial" w:cs="Arial"/>
          <w:sz w:val="20"/>
        </w:rPr>
      </w:pPr>
      <w:r>
        <w:rPr>
          <w:rFonts w:ascii="Arial" w:hAnsi="Arial" w:cs="Arial"/>
          <w:sz w:val="20"/>
        </w:rPr>
        <w:t>To a</w:t>
      </w:r>
      <w:r w:rsidRPr="005477BA">
        <w:rPr>
          <w:rFonts w:ascii="Arial" w:hAnsi="Arial" w:cs="Arial"/>
          <w:sz w:val="20"/>
        </w:rPr>
        <w:t>chieve the best possible retirement outcomes for those default members</w:t>
      </w:r>
      <w:r>
        <w:rPr>
          <w:rFonts w:ascii="Arial" w:hAnsi="Arial" w:cs="Arial"/>
          <w:sz w:val="20"/>
        </w:rPr>
        <w:t xml:space="preserve"> (</w:t>
      </w:r>
      <w:r w:rsidRPr="005477BA">
        <w:rPr>
          <w:rFonts w:ascii="Arial" w:hAnsi="Arial" w:cs="Arial"/>
          <w:sz w:val="20"/>
        </w:rPr>
        <w:t xml:space="preserve">which in </w:t>
      </w:r>
      <w:proofErr w:type="spellStart"/>
      <w:r w:rsidRPr="005477BA">
        <w:rPr>
          <w:rFonts w:ascii="Arial" w:hAnsi="Arial" w:cs="Arial"/>
          <w:sz w:val="20"/>
        </w:rPr>
        <w:t>REST’s</w:t>
      </w:r>
      <w:proofErr w:type="spellEnd"/>
      <w:r w:rsidRPr="005477BA">
        <w:rPr>
          <w:rFonts w:ascii="Arial" w:hAnsi="Arial" w:cs="Arial"/>
          <w:sz w:val="20"/>
        </w:rPr>
        <w:t xml:space="preserve"> case are predominantly drawn from the retail industry</w:t>
      </w:r>
      <w:r>
        <w:rPr>
          <w:rFonts w:ascii="Arial" w:hAnsi="Arial" w:cs="Arial"/>
          <w:sz w:val="20"/>
        </w:rPr>
        <w:t xml:space="preserve">) requires </w:t>
      </w:r>
      <w:r w:rsidRPr="005477BA">
        <w:rPr>
          <w:rFonts w:ascii="Arial" w:hAnsi="Arial" w:cs="Arial"/>
          <w:sz w:val="20"/>
        </w:rPr>
        <w:t xml:space="preserve">historical observation </w:t>
      </w:r>
      <w:r>
        <w:rPr>
          <w:rFonts w:ascii="Arial" w:hAnsi="Arial" w:cs="Arial"/>
          <w:sz w:val="20"/>
        </w:rPr>
        <w:t xml:space="preserve">by the relevant fund </w:t>
      </w:r>
      <w:r w:rsidRPr="005477BA">
        <w:rPr>
          <w:rFonts w:ascii="Arial" w:hAnsi="Arial" w:cs="Arial"/>
          <w:sz w:val="20"/>
        </w:rPr>
        <w:t xml:space="preserve">and decisions made at all levels of the fund </w:t>
      </w:r>
      <w:r>
        <w:rPr>
          <w:rFonts w:ascii="Arial" w:hAnsi="Arial" w:cs="Arial"/>
          <w:sz w:val="20"/>
        </w:rPr>
        <w:t>which support that core demographic of default members</w:t>
      </w:r>
      <w:r w:rsidR="00E6260A">
        <w:rPr>
          <w:rFonts w:ascii="Arial" w:hAnsi="Arial" w:cs="Arial"/>
          <w:sz w:val="20"/>
        </w:rPr>
        <w:t xml:space="preserve"> and application of scale to improve outcomes over the longer term.</w:t>
      </w:r>
      <w:r w:rsidRPr="005477BA">
        <w:rPr>
          <w:rFonts w:ascii="Arial" w:hAnsi="Arial" w:cs="Arial"/>
          <w:sz w:val="20"/>
        </w:rPr>
        <w:t xml:space="preserve">  </w:t>
      </w:r>
    </w:p>
    <w:p w:rsidR="003A0234" w:rsidRPr="005477BA" w:rsidRDefault="003A0234" w:rsidP="009E05DF">
      <w:pPr>
        <w:pStyle w:val="ListParagraph"/>
        <w:ind w:left="66"/>
        <w:jc w:val="both"/>
        <w:rPr>
          <w:rFonts w:ascii="Arial" w:hAnsi="Arial" w:cs="Arial"/>
          <w:sz w:val="20"/>
        </w:rPr>
      </w:pPr>
    </w:p>
    <w:p w:rsidR="003A0234" w:rsidRDefault="003A0234" w:rsidP="009E05DF">
      <w:pPr>
        <w:pStyle w:val="ListParagraph"/>
        <w:ind w:left="0"/>
        <w:jc w:val="both"/>
        <w:rPr>
          <w:rFonts w:ascii="Arial" w:hAnsi="Arial" w:cs="Arial"/>
          <w:sz w:val="20"/>
        </w:rPr>
      </w:pPr>
      <w:r w:rsidRPr="005477BA">
        <w:rPr>
          <w:rFonts w:ascii="Arial" w:hAnsi="Arial" w:cs="Arial"/>
          <w:sz w:val="20"/>
        </w:rPr>
        <w:t xml:space="preserve">REST believes that, there are fundamental differences </w:t>
      </w:r>
      <w:r>
        <w:rPr>
          <w:rFonts w:ascii="Arial" w:hAnsi="Arial" w:cs="Arial"/>
          <w:sz w:val="20"/>
        </w:rPr>
        <w:t>in the way in which a default fund</w:t>
      </w:r>
      <w:r w:rsidRPr="005477BA">
        <w:rPr>
          <w:rFonts w:ascii="Arial" w:hAnsi="Arial" w:cs="Arial"/>
          <w:sz w:val="20"/>
        </w:rPr>
        <w:t xml:space="preserve"> </w:t>
      </w:r>
      <w:r>
        <w:rPr>
          <w:rFonts w:ascii="Arial" w:hAnsi="Arial" w:cs="Arial"/>
          <w:sz w:val="20"/>
        </w:rPr>
        <w:t xml:space="preserve">designs and executes the benefits to be derived from </w:t>
      </w:r>
      <w:r w:rsidRPr="005477BA">
        <w:rPr>
          <w:rFonts w:ascii="Arial" w:hAnsi="Arial" w:cs="Arial"/>
          <w:sz w:val="20"/>
        </w:rPr>
        <w:t>each product</w:t>
      </w:r>
      <w:r>
        <w:rPr>
          <w:rFonts w:ascii="Arial" w:hAnsi="Arial" w:cs="Arial"/>
          <w:sz w:val="20"/>
        </w:rPr>
        <w:t xml:space="preserve"> – even though they may be outwardly </w:t>
      </w:r>
      <w:r w:rsidR="00317547">
        <w:rPr>
          <w:rFonts w:ascii="Arial" w:hAnsi="Arial" w:cs="Arial"/>
          <w:sz w:val="20"/>
        </w:rPr>
        <w:t xml:space="preserve">designed to be comparable through </w:t>
      </w:r>
      <w:proofErr w:type="spellStart"/>
      <w:r w:rsidR="00317547">
        <w:rPr>
          <w:rFonts w:ascii="Arial" w:hAnsi="Arial" w:cs="Arial"/>
          <w:sz w:val="20"/>
        </w:rPr>
        <w:t>MySuper</w:t>
      </w:r>
      <w:proofErr w:type="spellEnd"/>
      <w:r w:rsidR="00317547">
        <w:rPr>
          <w:rFonts w:ascii="Arial" w:hAnsi="Arial" w:cs="Arial"/>
          <w:sz w:val="20"/>
        </w:rPr>
        <w:t>.</w:t>
      </w:r>
    </w:p>
    <w:p w:rsidR="003A0234" w:rsidRDefault="003A0234" w:rsidP="009E05DF">
      <w:pPr>
        <w:pStyle w:val="ListParagraph"/>
        <w:ind w:left="0"/>
        <w:jc w:val="both"/>
        <w:rPr>
          <w:rFonts w:ascii="Arial" w:hAnsi="Arial" w:cs="Arial"/>
          <w:sz w:val="20"/>
        </w:rPr>
      </w:pPr>
    </w:p>
    <w:p w:rsidR="003A0234" w:rsidRPr="005477BA" w:rsidRDefault="003A0234" w:rsidP="009E05DF">
      <w:pPr>
        <w:pStyle w:val="ListParagraph"/>
        <w:ind w:left="0"/>
        <w:jc w:val="both"/>
        <w:rPr>
          <w:rFonts w:ascii="Arial" w:hAnsi="Arial" w:cs="Arial"/>
          <w:sz w:val="20"/>
        </w:rPr>
      </w:pPr>
      <w:r>
        <w:rPr>
          <w:rFonts w:ascii="Arial" w:hAnsi="Arial" w:cs="Arial"/>
          <w:sz w:val="20"/>
        </w:rPr>
        <w:t xml:space="preserve">The nature and performance of </w:t>
      </w:r>
      <w:r w:rsidR="003138E9">
        <w:rPr>
          <w:rFonts w:ascii="Arial" w:hAnsi="Arial" w:cs="Arial"/>
          <w:sz w:val="20"/>
        </w:rPr>
        <w:t xml:space="preserve">a fund’s </w:t>
      </w:r>
      <w:r>
        <w:rPr>
          <w:rFonts w:ascii="Arial" w:hAnsi="Arial" w:cs="Arial"/>
          <w:sz w:val="20"/>
        </w:rPr>
        <w:t xml:space="preserve">My Super product will </w:t>
      </w:r>
      <w:r w:rsidRPr="005477BA">
        <w:rPr>
          <w:rFonts w:ascii="Arial" w:hAnsi="Arial" w:cs="Arial"/>
          <w:sz w:val="20"/>
        </w:rPr>
        <w:t>depend</w:t>
      </w:r>
      <w:r w:rsidR="003138E9">
        <w:rPr>
          <w:rFonts w:ascii="Arial" w:hAnsi="Arial" w:cs="Arial"/>
          <w:sz w:val="20"/>
        </w:rPr>
        <w:t>, in part,</w:t>
      </w:r>
      <w:r w:rsidRPr="005477BA">
        <w:rPr>
          <w:rFonts w:ascii="Arial" w:hAnsi="Arial" w:cs="Arial"/>
          <w:sz w:val="20"/>
        </w:rPr>
        <w:t xml:space="preserve"> on the particular demographic of </w:t>
      </w:r>
      <w:r>
        <w:rPr>
          <w:rFonts w:ascii="Arial" w:hAnsi="Arial" w:cs="Arial"/>
          <w:sz w:val="20"/>
        </w:rPr>
        <w:t xml:space="preserve">the </w:t>
      </w:r>
      <w:r w:rsidRPr="005477BA">
        <w:rPr>
          <w:rFonts w:ascii="Arial" w:hAnsi="Arial" w:cs="Arial"/>
          <w:sz w:val="20"/>
        </w:rPr>
        <w:t>fund that they are supposed to reflect</w:t>
      </w:r>
      <w:r w:rsidR="003138E9">
        <w:rPr>
          <w:rFonts w:ascii="Arial" w:hAnsi="Arial" w:cs="Arial"/>
          <w:sz w:val="20"/>
        </w:rPr>
        <w:t>. A</w:t>
      </w:r>
      <w:r w:rsidRPr="005477BA">
        <w:rPr>
          <w:rFonts w:ascii="Arial" w:hAnsi="Arial" w:cs="Arial"/>
          <w:sz w:val="20"/>
        </w:rPr>
        <w:t xml:space="preserve">ll superannuation trustees must take this into account when designing these products </w:t>
      </w:r>
      <w:r>
        <w:rPr>
          <w:rFonts w:ascii="Arial" w:hAnsi="Arial" w:cs="Arial"/>
          <w:sz w:val="20"/>
        </w:rPr>
        <w:t xml:space="preserve">or they may </w:t>
      </w:r>
      <w:r w:rsidRPr="005477BA">
        <w:rPr>
          <w:rFonts w:ascii="Arial" w:hAnsi="Arial" w:cs="Arial"/>
          <w:sz w:val="20"/>
        </w:rPr>
        <w:t xml:space="preserve">not deliver what they </w:t>
      </w:r>
      <w:r>
        <w:rPr>
          <w:rFonts w:ascii="Arial" w:hAnsi="Arial" w:cs="Arial"/>
          <w:sz w:val="20"/>
        </w:rPr>
        <w:t>intended to</w:t>
      </w:r>
      <w:r w:rsidRPr="005477BA">
        <w:rPr>
          <w:rFonts w:ascii="Arial" w:hAnsi="Arial" w:cs="Arial"/>
          <w:sz w:val="20"/>
        </w:rPr>
        <w:t xml:space="preserve"> </w:t>
      </w:r>
      <w:r w:rsidR="003138E9">
        <w:rPr>
          <w:rFonts w:ascii="Arial" w:hAnsi="Arial" w:cs="Arial"/>
          <w:sz w:val="20"/>
        </w:rPr>
        <w:t>do</w:t>
      </w:r>
      <w:r w:rsidRPr="005477BA">
        <w:rPr>
          <w:rFonts w:ascii="Arial" w:hAnsi="Arial" w:cs="Arial"/>
          <w:sz w:val="20"/>
        </w:rPr>
        <w:t xml:space="preserve"> </w:t>
      </w:r>
      <w:r>
        <w:rPr>
          <w:rFonts w:ascii="Arial" w:hAnsi="Arial" w:cs="Arial"/>
          <w:sz w:val="20"/>
        </w:rPr>
        <w:t>-</w:t>
      </w:r>
      <w:r w:rsidRPr="005477BA">
        <w:rPr>
          <w:rFonts w:ascii="Arial" w:hAnsi="Arial" w:cs="Arial"/>
          <w:sz w:val="20"/>
        </w:rPr>
        <w:t xml:space="preserve"> </w:t>
      </w:r>
      <w:r w:rsidR="003138E9">
        <w:rPr>
          <w:rFonts w:ascii="Arial" w:hAnsi="Arial" w:cs="Arial"/>
          <w:sz w:val="20"/>
        </w:rPr>
        <w:t>providing</w:t>
      </w:r>
      <w:r w:rsidRPr="005477BA">
        <w:rPr>
          <w:rFonts w:ascii="Arial" w:hAnsi="Arial" w:cs="Arial"/>
          <w:sz w:val="20"/>
        </w:rPr>
        <w:t xml:space="preserve"> a secure retirement</w:t>
      </w:r>
      <w:r w:rsidR="003138E9">
        <w:rPr>
          <w:rFonts w:ascii="Arial" w:hAnsi="Arial" w:cs="Arial"/>
          <w:sz w:val="20"/>
        </w:rPr>
        <w:t xml:space="preserve"> for members, security for dependants in the event of the member’s death and security for members in the event of disablement. </w:t>
      </w:r>
    </w:p>
    <w:p w:rsidR="003A0234" w:rsidRPr="005477BA" w:rsidRDefault="003A0234" w:rsidP="009E05DF">
      <w:pPr>
        <w:pStyle w:val="ListParagraph"/>
        <w:ind w:left="66"/>
        <w:jc w:val="both"/>
        <w:rPr>
          <w:rFonts w:ascii="Arial" w:hAnsi="Arial" w:cs="Arial"/>
          <w:sz w:val="20"/>
        </w:rPr>
      </w:pPr>
    </w:p>
    <w:p w:rsidR="003A0234" w:rsidRPr="005477BA" w:rsidRDefault="003A0234" w:rsidP="009E05DF">
      <w:pPr>
        <w:pStyle w:val="ListParagraph"/>
        <w:ind w:left="0"/>
        <w:jc w:val="both"/>
        <w:rPr>
          <w:rFonts w:ascii="Arial" w:hAnsi="Arial" w:cs="Arial"/>
          <w:sz w:val="20"/>
        </w:rPr>
      </w:pPr>
      <w:r w:rsidRPr="005477BA">
        <w:rPr>
          <w:rFonts w:ascii="Arial" w:hAnsi="Arial" w:cs="Arial"/>
          <w:sz w:val="20"/>
        </w:rPr>
        <w:t>By definition</w:t>
      </w:r>
      <w:r w:rsidR="00317547">
        <w:rPr>
          <w:rFonts w:ascii="Arial" w:hAnsi="Arial" w:cs="Arial"/>
          <w:sz w:val="20"/>
        </w:rPr>
        <w:t>,</w:t>
      </w:r>
      <w:r w:rsidRPr="005477BA">
        <w:rPr>
          <w:rFonts w:ascii="Arial" w:hAnsi="Arial" w:cs="Arial"/>
          <w:sz w:val="20"/>
        </w:rPr>
        <w:t xml:space="preserve"> those funds whose default members are predominantly drawn from the industries covered by the relevant </w:t>
      </w:r>
      <w:r w:rsidR="00CF6F5B">
        <w:rPr>
          <w:rFonts w:ascii="Arial" w:hAnsi="Arial" w:cs="Arial"/>
          <w:sz w:val="20"/>
        </w:rPr>
        <w:t>M</w:t>
      </w:r>
      <w:r>
        <w:rPr>
          <w:rFonts w:ascii="Arial" w:hAnsi="Arial" w:cs="Arial"/>
          <w:sz w:val="20"/>
        </w:rPr>
        <w:t xml:space="preserve">odern </w:t>
      </w:r>
      <w:r w:rsidR="00CF6F5B">
        <w:rPr>
          <w:rFonts w:ascii="Arial" w:hAnsi="Arial" w:cs="Arial"/>
          <w:sz w:val="20"/>
        </w:rPr>
        <w:t>A</w:t>
      </w:r>
      <w:r w:rsidRPr="005477BA">
        <w:rPr>
          <w:rFonts w:ascii="Arial" w:hAnsi="Arial" w:cs="Arial"/>
          <w:sz w:val="20"/>
        </w:rPr>
        <w:t xml:space="preserve">wards </w:t>
      </w:r>
      <w:r w:rsidR="003376C4">
        <w:rPr>
          <w:rFonts w:ascii="Arial" w:hAnsi="Arial" w:cs="Arial"/>
          <w:sz w:val="20"/>
        </w:rPr>
        <w:t xml:space="preserve">are most capable of meeting the </w:t>
      </w:r>
      <w:r w:rsidRPr="005477BA">
        <w:rPr>
          <w:rFonts w:ascii="Arial" w:hAnsi="Arial" w:cs="Arial"/>
          <w:sz w:val="20"/>
        </w:rPr>
        <w:t>key criteria.  This of course does not mean that these funds might necessarily m</w:t>
      </w:r>
      <w:r>
        <w:rPr>
          <w:rFonts w:ascii="Arial" w:hAnsi="Arial" w:cs="Arial"/>
          <w:sz w:val="20"/>
        </w:rPr>
        <w:t>eet all of the other criteria.</w:t>
      </w:r>
    </w:p>
    <w:p w:rsidR="003A0234" w:rsidRDefault="003A0234" w:rsidP="009E05DF">
      <w:pPr>
        <w:jc w:val="both"/>
        <w:rPr>
          <w:rFonts w:ascii="Arial" w:hAnsi="Arial" w:cs="Arial"/>
          <w:sz w:val="20"/>
        </w:rPr>
      </w:pPr>
      <w:r w:rsidRPr="005477BA">
        <w:rPr>
          <w:rFonts w:ascii="Arial" w:hAnsi="Arial" w:cs="Arial"/>
          <w:sz w:val="20"/>
        </w:rPr>
        <w:t xml:space="preserve">As an industry fund tailored to the needs of our members, REST has already designed the </w:t>
      </w:r>
      <w:r>
        <w:rPr>
          <w:rFonts w:ascii="Arial" w:hAnsi="Arial" w:cs="Arial"/>
          <w:sz w:val="20"/>
        </w:rPr>
        <w:t xml:space="preserve">investment strategies, objectives, ancillary insurance and support services of the </w:t>
      </w:r>
      <w:r w:rsidRPr="005477BA">
        <w:rPr>
          <w:rFonts w:ascii="Arial" w:hAnsi="Arial" w:cs="Arial"/>
          <w:sz w:val="20"/>
        </w:rPr>
        <w:t xml:space="preserve">fund to meet the needs of retail employees </w:t>
      </w:r>
      <w:r w:rsidR="00AA42E9">
        <w:rPr>
          <w:rFonts w:ascii="Arial" w:hAnsi="Arial" w:cs="Arial"/>
          <w:sz w:val="20"/>
        </w:rPr>
        <w:t>that has delivered</w:t>
      </w:r>
      <w:r w:rsidRPr="005477BA">
        <w:rPr>
          <w:rFonts w:ascii="Arial" w:hAnsi="Arial" w:cs="Arial"/>
          <w:sz w:val="20"/>
        </w:rPr>
        <w:t>:</w:t>
      </w:r>
    </w:p>
    <w:p w:rsidR="003A0234" w:rsidRPr="009E05DF" w:rsidRDefault="003A0234" w:rsidP="009E05DF">
      <w:pPr>
        <w:jc w:val="both"/>
        <w:rPr>
          <w:rFonts w:ascii="Arial" w:hAnsi="Arial" w:cs="Arial"/>
          <w:sz w:val="12"/>
        </w:rPr>
      </w:pPr>
    </w:p>
    <w:p w:rsidR="00306951" w:rsidRPr="0050506A" w:rsidRDefault="003A0234" w:rsidP="009E05DF">
      <w:pPr>
        <w:pStyle w:val="ListParagraph"/>
        <w:numPr>
          <w:ilvl w:val="0"/>
          <w:numId w:val="5"/>
        </w:numPr>
        <w:contextualSpacing/>
        <w:jc w:val="both"/>
        <w:rPr>
          <w:rFonts w:ascii="Arial" w:hAnsi="Arial" w:cs="Arial"/>
          <w:sz w:val="20"/>
        </w:rPr>
      </w:pPr>
      <w:r w:rsidRPr="0050506A">
        <w:rPr>
          <w:rFonts w:ascii="Arial" w:hAnsi="Arial" w:cs="Arial"/>
          <w:sz w:val="20"/>
        </w:rPr>
        <w:lastRenderedPageBreak/>
        <w:t>Excellent investment returns over the medium/long term</w:t>
      </w:r>
      <w:r w:rsidR="00306951" w:rsidRPr="0050506A">
        <w:rPr>
          <w:rFonts w:ascii="Arial" w:hAnsi="Arial" w:cs="Arial"/>
          <w:sz w:val="20"/>
        </w:rPr>
        <w:t xml:space="preserve">, </w:t>
      </w:r>
      <w:proofErr w:type="spellStart"/>
      <w:r w:rsidR="00306951" w:rsidRPr="0050506A">
        <w:rPr>
          <w:rFonts w:ascii="Arial" w:hAnsi="Arial" w:cs="Arial"/>
          <w:sz w:val="20"/>
        </w:rPr>
        <w:t>e.g</w:t>
      </w:r>
      <w:proofErr w:type="spellEnd"/>
      <w:r w:rsidR="00306951" w:rsidRPr="0050506A">
        <w:rPr>
          <w:rFonts w:ascii="Arial" w:hAnsi="Arial" w:cs="Arial"/>
          <w:sz w:val="20"/>
        </w:rPr>
        <w:t xml:space="preserve"> </w:t>
      </w:r>
      <w:r w:rsidR="00306951" w:rsidRPr="0050506A">
        <w:rPr>
          <w:rFonts w:ascii="Arial" w:hAnsi="Arial" w:cs="Arial"/>
          <w:sz w:val="20"/>
          <w:szCs w:val="20"/>
        </w:rPr>
        <w:t xml:space="preserve">REST Super’s Core Strategy (the </w:t>
      </w:r>
      <w:proofErr w:type="spellStart"/>
      <w:r w:rsidR="00306951" w:rsidRPr="0050506A">
        <w:rPr>
          <w:rFonts w:ascii="Arial" w:hAnsi="Arial" w:cs="Arial"/>
          <w:sz w:val="20"/>
          <w:szCs w:val="20"/>
        </w:rPr>
        <w:t>MySuper</w:t>
      </w:r>
      <w:proofErr w:type="spellEnd"/>
      <w:r w:rsidR="00306951" w:rsidRPr="0050506A">
        <w:rPr>
          <w:rFonts w:ascii="Arial" w:hAnsi="Arial" w:cs="Arial"/>
          <w:sz w:val="20"/>
          <w:szCs w:val="20"/>
        </w:rPr>
        <w:t xml:space="preserve"> investment option) has outperformed similar options of super funds surveyed over the last 10 years.</w:t>
      </w:r>
      <w:r w:rsidR="00306951" w:rsidRPr="0050506A">
        <w:rPr>
          <w:rStyle w:val="FootnoteReference"/>
          <w:rFonts w:ascii="Arial" w:hAnsi="Arial" w:cs="Arial"/>
          <w:sz w:val="20"/>
          <w:szCs w:val="20"/>
        </w:rPr>
        <w:footnoteReference w:id="3"/>
      </w:r>
    </w:p>
    <w:p w:rsidR="003A0234" w:rsidRPr="0050506A" w:rsidRDefault="003A0234" w:rsidP="009E05DF">
      <w:pPr>
        <w:pStyle w:val="ListParagraph"/>
        <w:numPr>
          <w:ilvl w:val="0"/>
          <w:numId w:val="5"/>
        </w:numPr>
        <w:contextualSpacing/>
        <w:jc w:val="both"/>
        <w:rPr>
          <w:rFonts w:ascii="Arial" w:hAnsi="Arial" w:cs="Arial"/>
          <w:sz w:val="20"/>
        </w:rPr>
      </w:pPr>
      <w:r w:rsidRPr="0050506A">
        <w:rPr>
          <w:rFonts w:ascii="Arial" w:hAnsi="Arial" w:cs="Arial"/>
          <w:sz w:val="20"/>
        </w:rPr>
        <w:t>Low fees based on the average members’ account balances</w:t>
      </w:r>
      <w:r w:rsidR="00306951" w:rsidRPr="0050506A">
        <w:rPr>
          <w:rFonts w:ascii="Arial" w:hAnsi="Arial" w:cs="Arial"/>
          <w:sz w:val="20"/>
        </w:rPr>
        <w:t xml:space="preserve">, e.g. according to the Chant West fee survey as at 30 June 2016, REST is ranked in the top quartile of lowest fees on balances of $50,000 for </w:t>
      </w:r>
      <w:r w:rsidR="00306951" w:rsidRPr="0050506A">
        <w:rPr>
          <w:rFonts w:ascii="Arial" w:hAnsi="Arial" w:cs="Arial"/>
          <w:sz w:val="20"/>
          <w:szCs w:val="20"/>
        </w:rPr>
        <w:t xml:space="preserve">REST Super’s Core Strategy (the </w:t>
      </w:r>
      <w:proofErr w:type="spellStart"/>
      <w:r w:rsidR="00306951" w:rsidRPr="0050506A">
        <w:rPr>
          <w:rFonts w:ascii="Arial" w:hAnsi="Arial" w:cs="Arial"/>
          <w:sz w:val="20"/>
          <w:szCs w:val="20"/>
        </w:rPr>
        <w:t>MySuper</w:t>
      </w:r>
      <w:proofErr w:type="spellEnd"/>
      <w:r w:rsidR="00306951" w:rsidRPr="0050506A">
        <w:rPr>
          <w:rFonts w:ascii="Arial" w:hAnsi="Arial" w:cs="Arial"/>
          <w:sz w:val="20"/>
          <w:szCs w:val="20"/>
        </w:rPr>
        <w:t xml:space="preserve"> investment option)</w:t>
      </w:r>
      <w:r w:rsidR="00306951" w:rsidRPr="0050506A">
        <w:rPr>
          <w:rFonts w:ascii="Arial" w:hAnsi="Arial" w:cs="Arial"/>
          <w:sz w:val="20"/>
        </w:rPr>
        <w:t>.</w:t>
      </w:r>
    </w:p>
    <w:p w:rsidR="003A0234" w:rsidRPr="0050506A" w:rsidRDefault="003A0234" w:rsidP="009E05DF">
      <w:pPr>
        <w:pStyle w:val="ListParagraph"/>
        <w:numPr>
          <w:ilvl w:val="0"/>
          <w:numId w:val="5"/>
        </w:numPr>
        <w:contextualSpacing/>
        <w:jc w:val="both"/>
        <w:rPr>
          <w:rFonts w:ascii="Arial" w:hAnsi="Arial" w:cs="Arial"/>
          <w:sz w:val="20"/>
        </w:rPr>
      </w:pPr>
      <w:proofErr w:type="spellStart"/>
      <w:r w:rsidRPr="0050506A">
        <w:rPr>
          <w:rFonts w:ascii="Arial" w:hAnsi="Arial" w:cs="Arial"/>
          <w:sz w:val="20"/>
        </w:rPr>
        <w:t>Lifestage</w:t>
      </w:r>
      <w:proofErr w:type="spellEnd"/>
      <w:r w:rsidRPr="0050506A">
        <w:rPr>
          <w:rFonts w:ascii="Arial" w:hAnsi="Arial" w:cs="Arial"/>
          <w:sz w:val="20"/>
        </w:rPr>
        <w:t xml:space="preserve"> insurance, geared to the members’ demographics</w:t>
      </w:r>
    </w:p>
    <w:p w:rsidR="003A0234" w:rsidRPr="005477BA" w:rsidRDefault="003A0234" w:rsidP="009E05DF">
      <w:pPr>
        <w:pStyle w:val="ListParagraph"/>
        <w:numPr>
          <w:ilvl w:val="0"/>
          <w:numId w:val="5"/>
        </w:numPr>
        <w:contextualSpacing/>
        <w:jc w:val="both"/>
        <w:rPr>
          <w:rFonts w:ascii="Arial" w:hAnsi="Arial" w:cs="Arial"/>
          <w:sz w:val="20"/>
        </w:rPr>
      </w:pPr>
      <w:r w:rsidRPr="005477BA">
        <w:rPr>
          <w:rFonts w:ascii="Arial" w:hAnsi="Arial" w:cs="Arial"/>
          <w:sz w:val="20"/>
        </w:rPr>
        <w:t>Excellent governance and compliance</w:t>
      </w:r>
    </w:p>
    <w:p w:rsidR="003A0234" w:rsidRPr="005477BA" w:rsidRDefault="003A0234" w:rsidP="009E05DF">
      <w:pPr>
        <w:pStyle w:val="ListParagraph"/>
        <w:numPr>
          <w:ilvl w:val="0"/>
          <w:numId w:val="5"/>
        </w:numPr>
        <w:contextualSpacing/>
        <w:jc w:val="both"/>
        <w:rPr>
          <w:rFonts w:ascii="Arial" w:hAnsi="Arial" w:cs="Arial"/>
          <w:sz w:val="20"/>
        </w:rPr>
      </w:pPr>
      <w:r w:rsidRPr="005477BA">
        <w:rPr>
          <w:rFonts w:ascii="Arial" w:hAnsi="Arial" w:cs="Arial"/>
          <w:sz w:val="20"/>
        </w:rPr>
        <w:t>Low cost flat fee advice which is free for the first super related question</w:t>
      </w:r>
    </w:p>
    <w:p w:rsidR="003A0234" w:rsidRDefault="003A0234" w:rsidP="009E05DF">
      <w:pPr>
        <w:pStyle w:val="ListParagraph"/>
        <w:numPr>
          <w:ilvl w:val="0"/>
          <w:numId w:val="5"/>
        </w:numPr>
        <w:contextualSpacing/>
        <w:jc w:val="both"/>
        <w:rPr>
          <w:rFonts w:ascii="Arial" w:hAnsi="Arial" w:cs="Arial"/>
          <w:sz w:val="20"/>
        </w:rPr>
      </w:pPr>
      <w:r w:rsidRPr="005477BA">
        <w:rPr>
          <w:rFonts w:ascii="Arial" w:hAnsi="Arial" w:cs="Arial"/>
          <w:sz w:val="20"/>
        </w:rPr>
        <w:t>Stability</w:t>
      </w:r>
      <w:r>
        <w:rPr>
          <w:rFonts w:ascii="Arial" w:hAnsi="Arial" w:cs="Arial"/>
          <w:sz w:val="20"/>
        </w:rPr>
        <w:t xml:space="preserve"> and certainty in members’ expected outcomes.</w:t>
      </w:r>
    </w:p>
    <w:p w:rsidR="00837DF9" w:rsidRDefault="00837DF9" w:rsidP="009E05DF">
      <w:pPr>
        <w:pStyle w:val="ListParagraph"/>
        <w:numPr>
          <w:ilvl w:val="0"/>
          <w:numId w:val="5"/>
        </w:numPr>
        <w:contextualSpacing/>
        <w:jc w:val="both"/>
        <w:rPr>
          <w:rFonts w:ascii="Arial" w:hAnsi="Arial" w:cs="Arial"/>
          <w:sz w:val="20"/>
        </w:rPr>
      </w:pPr>
      <w:r>
        <w:rPr>
          <w:rFonts w:ascii="Arial" w:hAnsi="Arial" w:cs="Arial"/>
          <w:sz w:val="20"/>
        </w:rPr>
        <w:t>Education relevant to members</w:t>
      </w:r>
    </w:p>
    <w:p w:rsidR="00837DF9" w:rsidRPr="005477BA" w:rsidRDefault="00837DF9" w:rsidP="009E05DF">
      <w:pPr>
        <w:pStyle w:val="ListParagraph"/>
        <w:numPr>
          <w:ilvl w:val="0"/>
          <w:numId w:val="5"/>
        </w:numPr>
        <w:contextualSpacing/>
        <w:jc w:val="both"/>
        <w:rPr>
          <w:rFonts w:ascii="Arial" w:hAnsi="Arial" w:cs="Arial"/>
          <w:sz w:val="20"/>
        </w:rPr>
      </w:pPr>
      <w:r>
        <w:rPr>
          <w:rFonts w:ascii="Arial" w:hAnsi="Arial" w:cs="Arial"/>
          <w:sz w:val="20"/>
        </w:rPr>
        <w:t>Communicating to members through their preferred digital channels.</w:t>
      </w:r>
    </w:p>
    <w:p w:rsidR="003A0234" w:rsidRPr="005477BA" w:rsidRDefault="003A0234" w:rsidP="009E05DF">
      <w:pPr>
        <w:ind w:left="360"/>
        <w:jc w:val="both"/>
        <w:rPr>
          <w:rFonts w:ascii="Arial" w:hAnsi="Arial" w:cs="Arial"/>
          <w:sz w:val="20"/>
        </w:rPr>
      </w:pPr>
    </w:p>
    <w:p w:rsidR="003A0234" w:rsidRDefault="003A0234" w:rsidP="009E05DF">
      <w:pPr>
        <w:jc w:val="both"/>
        <w:rPr>
          <w:rFonts w:ascii="Arial" w:hAnsi="Arial" w:cs="Arial"/>
          <w:sz w:val="20"/>
        </w:rPr>
      </w:pPr>
      <w:r w:rsidRPr="005477BA">
        <w:rPr>
          <w:rFonts w:ascii="Arial" w:hAnsi="Arial" w:cs="Arial"/>
          <w:sz w:val="20"/>
        </w:rPr>
        <w:t xml:space="preserve">Industry superannuation funds are </w:t>
      </w:r>
      <w:r w:rsidRPr="008B6CCD">
        <w:rPr>
          <w:rFonts w:ascii="Arial" w:hAnsi="Arial" w:cs="Arial"/>
          <w:sz w:val="20"/>
        </w:rPr>
        <w:t xml:space="preserve">best placed to be listed as default funds in relevant </w:t>
      </w:r>
      <w:r w:rsidR="0098666C">
        <w:rPr>
          <w:rFonts w:ascii="Arial" w:hAnsi="Arial" w:cs="Arial"/>
          <w:sz w:val="20"/>
        </w:rPr>
        <w:t>A</w:t>
      </w:r>
      <w:r w:rsidRPr="008B6CCD">
        <w:rPr>
          <w:rFonts w:ascii="Arial" w:hAnsi="Arial" w:cs="Arial"/>
          <w:sz w:val="20"/>
        </w:rPr>
        <w:t>ward</w:t>
      </w:r>
      <w:r w:rsidRPr="00170F6C">
        <w:rPr>
          <w:rFonts w:ascii="Arial" w:hAnsi="Arial" w:cs="Arial"/>
          <w:b/>
          <w:sz w:val="20"/>
        </w:rPr>
        <w:t>s</w:t>
      </w:r>
      <w:r w:rsidRPr="005477BA">
        <w:rPr>
          <w:rFonts w:ascii="Arial" w:hAnsi="Arial" w:cs="Arial"/>
          <w:sz w:val="20"/>
        </w:rPr>
        <w:t xml:space="preserve"> as they have tailored benefits to meet the employee superannuation requirements of relevant industries.</w:t>
      </w:r>
      <w:r w:rsidR="00A4494A">
        <w:rPr>
          <w:rFonts w:ascii="Arial" w:hAnsi="Arial" w:cs="Arial"/>
          <w:sz w:val="20"/>
        </w:rPr>
        <w:t xml:space="preserve"> The selection criteria involves parties whereby the alignment with the outcomes of members is stronger than other models.</w:t>
      </w:r>
    </w:p>
    <w:p w:rsidR="003A0234" w:rsidRDefault="003A0234" w:rsidP="009E05DF">
      <w:pPr>
        <w:jc w:val="both"/>
        <w:rPr>
          <w:rFonts w:ascii="Arial" w:hAnsi="Arial" w:cs="Arial"/>
          <w:sz w:val="20"/>
        </w:rPr>
      </w:pPr>
    </w:p>
    <w:p w:rsidR="003A0234" w:rsidRPr="005477BA" w:rsidRDefault="003A0234" w:rsidP="009E05DF">
      <w:pPr>
        <w:jc w:val="both"/>
        <w:rPr>
          <w:rFonts w:ascii="Arial" w:hAnsi="Arial" w:cs="Arial"/>
          <w:b/>
          <w:color w:val="000000"/>
          <w:sz w:val="20"/>
        </w:rPr>
      </w:pPr>
      <w:r w:rsidRPr="005477BA">
        <w:rPr>
          <w:rFonts w:ascii="Arial" w:hAnsi="Arial" w:cs="Arial"/>
          <w:sz w:val="20"/>
        </w:rPr>
        <w:t xml:space="preserve">Other funds can </w:t>
      </w:r>
      <w:r w:rsidRPr="00170F6C">
        <w:rPr>
          <w:rFonts w:ascii="Arial" w:hAnsi="Arial" w:cs="Arial"/>
          <w:i/>
          <w:sz w:val="20"/>
        </w:rPr>
        <w:t>duplicate</w:t>
      </w:r>
      <w:r w:rsidRPr="005477BA">
        <w:rPr>
          <w:rFonts w:ascii="Arial" w:hAnsi="Arial" w:cs="Arial"/>
          <w:sz w:val="20"/>
        </w:rPr>
        <w:t xml:space="preserve"> products with the use of </w:t>
      </w:r>
      <w:proofErr w:type="spellStart"/>
      <w:r w:rsidRPr="005477BA">
        <w:rPr>
          <w:rFonts w:ascii="Arial" w:hAnsi="Arial" w:cs="Arial"/>
          <w:sz w:val="20"/>
        </w:rPr>
        <w:t>MySuper</w:t>
      </w:r>
      <w:proofErr w:type="spellEnd"/>
      <w:r w:rsidRPr="005477BA">
        <w:rPr>
          <w:rFonts w:ascii="Arial" w:hAnsi="Arial" w:cs="Arial"/>
          <w:sz w:val="20"/>
        </w:rPr>
        <w:t xml:space="preserve"> but they cannot reproduce </w:t>
      </w:r>
      <w:proofErr w:type="spellStart"/>
      <w:r w:rsidRPr="005477BA">
        <w:rPr>
          <w:rFonts w:ascii="Arial" w:hAnsi="Arial" w:cs="Arial"/>
          <w:sz w:val="20"/>
        </w:rPr>
        <w:t>REST’s</w:t>
      </w:r>
      <w:proofErr w:type="spellEnd"/>
      <w:r w:rsidRPr="005477BA">
        <w:rPr>
          <w:rFonts w:ascii="Arial" w:hAnsi="Arial" w:cs="Arial"/>
          <w:sz w:val="20"/>
        </w:rPr>
        <w:t xml:space="preserve"> </w:t>
      </w:r>
      <w:r>
        <w:rPr>
          <w:rFonts w:ascii="Arial" w:hAnsi="Arial" w:cs="Arial"/>
          <w:sz w:val="20"/>
        </w:rPr>
        <w:t xml:space="preserve">capability and </w:t>
      </w:r>
      <w:r w:rsidRPr="005477BA">
        <w:rPr>
          <w:rFonts w:ascii="Arial" w:hAnsi="Arial" w:cs="Arial"/>
          <w:sz w:val="20"/>
        </w:rPr>
        <w:t xml:space="preserve">focus on retail employees, particularly for default members. </w:t>
      </w:r>
    </w:p>
    <w:p w:rsidR="006B7B7A" w:rsidRDefault="006B7B7A" w:rsidP="00A53BF0">
      <w:pPr>
        <w:pStyle w:val="Heading2"/>
        <w:rPr>
          <w:rFonts w:ascii="Arial Narrow" w:hAnsi="Arial Narrow" w:cs="Arial"/>
          <w:color w:val="000000" w:themeColor="text1"/>
          <w:sz w:val="20"/>
          <w:szCs w:val="20"/>
        </w:rPr>
      </w:pPr>
    </w:p>
    <w:p w:rsidR="00DF37F5" w:rsidRPr="00A53BF0" w:rsidRDefault="006B7B7A" w:rsidP="00A53BF0">
      <w:pPr>
        <w:rPr>
          <w:b/>
        </w:rPr>
      </w:pPr>
      <w:r w:rsidRPr="00A53BF0">
        <w:rPr>
          <w:rFonts w:ascii="Arial" w:hAnsi="Arial" w:cs="Arial"/>
          <w:sz w:val="20"/>
          <w:szCs w:val="20"/>
        </w:rPr>
        <w:t>C</w:t>
      </w:r>
      <w:r w:rsidRPr="00A53BF0">
        <w:rPr>
          <w:rStyle w:val="Heading2Char"/>
          <w:rFonts w:ascii="Arial" w:hAnsi="Arial" w:cs="Arial"/>
          <w:color w:val="000000" w:themeColor="text1"/>
          <w:sz w:val="20"/>
          <w:szCs w:val="20"/>
        </w:rPr>
        <w:t>om</w:t>
      </w:r>
      <w:r w:rsidRPr="00A53BF0">
        <w:rPr>
          <w:rFonts w:ascii="Arial" w:hAnsi="Arial" w:cs="Arial"/>
          <w:sz w:val="20"/>
          <w:szCs w:val="20"/>
        </w:rPr>
        <w:t>ments on each of the suggested criteria are below:</w:t>
      </w:r>
    </w:p>
    <w:p w:rsidR="006B7B7A" w:rsidRPr="00A53BF0" w:rsidRDefault="00BF0655" w:rsidP="00A53BF0">
      <w:r>
        <w:tab/>
      </w:r>
    </w:p>
    <w:p w:rsidR="00DF37F5" w:rsidRPr="00A53BF0" w:rsidRDefault="006B7B7A" w:rsidP="00A53BF0">
      <w:pPr>
        <w:pStyle w:val="Heading2"/>
        <w:ind w:firstLine="284"/>
        <w:rPr>
          <w:rFonts w:ascii="Arial Narrow" w:hAnsi="Arial Narrow"/>
          <w:b/>
          <w:color w:val="000000" w:themeColor="text1"/>
        </w:rPr>
      </w:pPr>
      <w:bookmarkStart w:id="19" w:name="_Toc465352955"/>
      <w:bookmarkStart w:id="20" w:name="_Toc465354086"/>
      <w:r>
        <w:rPr>
          <w:rFonts w:ascii="Arial Narrow" w:hAnsi="Arial Narrow"/>
          <w:b/>
          <w:color w:val="000000" w:themeColor="text1"/>
          <w:sz w:val="24"/>
          <w:szCs w:val="24"/>
        </w:rPr>
        <w:t>8.2</w:t>
      </w:r>
      <w:r>
        <w:rPr>
          <w:rFonts w:ascii="Arial Narrow" w:hAnsi="Arial Narrow"/>
          <w:b/>
          <w:color w:val="000000" w:themeColor="text1"/>
          <w:sz w:val="24"/>
          <w:szCs w:val="24"/>
        </w:rPr>
        <w:tab/>
      </w:r>
      <w:r w:rsidR="00DF37F5" w:rsidRPr="00A53BF0">
        <w:rPr>
          <w:rFonts w:ascii="Arial Narrow" w:hAnsi="Arial Narrow"/>
          <w:b/>
          <w:color w:val="000000" w:themeColor="text1"/>
          <w:sz w:val="24"/>
          <w:szCs w:val="24"/>
        </w:rPr>
        <w:t>Members’ best interests:</w:t>
      </w:r>
      <w:bookmarkEnd w:id="19"/>
      <w:bookmarkEnd w:id="20"/>
    </w:p>
    <w:tbl>
      <w:tblPr>
        <w:tblW w:w="0" w:type="auto"/>
        <w:tblInd w:w="-28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9055"/>
      </w:tblGrid>
      <w:tr w:rsidR="00203827" w:rsidRPr="00131DF5" w:rsidTr="0060011D">
        <w:tc>
          <w:tcPr>
            <w:tcW w:w="9055" w:type="dxa"/>
            <w:tcBorders>
              <w:top w:val="nil"/>
              <w:left w:val="nil"/>
              <w:bottom w:val="nil"/>
              <w:right w:val="nil"/>
            </w:tcBorders>
            <w:shd w:val="clear" w:color="auto" w:fill="auto"/>
            <w:tcMar>
              <w:top w:w="28" w:type="dxa"/>
              <w:bottom w:w="28" w:type="dxa"/>
            </w:tcMar>
          </w:tcPr>
          <w:p w:rsidR="009E05DF" w:rsidRDefault="009E05DF" w:rsidP="009E05DF">
            <w:pPr>
              <w:ind w:left="142"/>
              <w:jc w:val="both"/>
              <w:rPr>
                <w:rFonts w:ascii="Arial" w:hAnsi="Arial" w:cs="Arial"/>
                <w:sz w:val="20"/>
                <w:szCs w:val="20"/>
              </w:rPr>
            </w:pPr>
          </w:p>
          <w:p w:rsidR="00AA5CCC" w:rsidRPr="00131DF5" w:rsidRDefault="000C19C8" w:rsidP="009E05DF">
            <w:pPr>
              <w:ind w:left="142"/>
              <w:jc w:val="both"/>
              <w:rPr>
                <w:rFonts w:ascii="Arial" w:hAnsi="Arial" w:cs="Arial"/>
                <w:sz w:val="20"/>
                <w:szCs w:val="20"/>
              </w:rPr>
            </w:pPr>
            <w:r w:rsidRPr="0006400D">
              <w:rPr>
                <w:rFonts w:ascii="Arial" w:hAnsi="Arial" w:cs="Arial"/>
                <w:sz w:val="20"/>
                <w:szCs w:val="20"/>
              </w:rPr>
              <w:t xml:space="preserve">REST holds that the </w:t>
            </w:r>
            <w:r>
              <w:rPr>
                <w:rFonts w:ascii="Arial" w:hAnsi="Arial" w:cs="Arial"/>
                <w:sz w:val="20"/>
                <w:szCs w:val="20"/>
              </w:rPr>
              <w:t>Government’s Terms of Reference</w:t>
            </w:r>
            <w:r w:rsidRPr="0006400D">
              <w:rPr>
                <w:rFonts w:ascii="Arial" w:hAnsi="Arial" w:cs="Arial"/>
                <w:sz w:val="20"/>
                <w:szCs w:val="20"/>
              </w:rPr>
              <w:t xml:space="preserve"> </w:t>
            </w:r>
            <w:r>
              <w:rPr>
                <w:rFonts w:ascii="Arial" w:hAnsi="Arial" w:cs="Arial"/>
                <w:sz w:val="20"/>
                <w:szCs w:val="20"/>
              </w:rPr>
              <w:t>are</w:t>
            </w:r>
            <w:r w:rsidRPr="0006400D">
              <w:rPr>
                <w:rFonts w:ascii="Arial" w:hAnsi="Arial" w:cs="Arial"/>
                <w:sz w:val="20"/>
                <w:szCs w:val="20"/>
              </w:rPr>
              <w:t xml:space="preserve"> too narrow </w:t>
            </w:r>
            <w:r w:rsidR="00AA5CCC" w:rsidRPr="00131DF5">
              <w:rPr>
                <w:rFonts w:ascii="Arial" w:hAnsi="Arial" w:cs="Arial"/>
                <w:sz w:val="20"/>
                <w:szCs w:val="20"/>
              </w:rPr>
              <w:t>and depart</w:t>
            </w:r>
            <w:r>
              <w:rPr>
                <w:rFonts w:ascii="Arial" w:hAnsi="Arial" w:cs="Arial"/>
                <w:sz w:val="20"/>
                <w:szCs w:val="20"/>
              </w:rPr>
              <w:t>s</w:t>
            </w:r>
            <w:r w:rsidR="00AA5CCC" w:rsidRPr="00131DF5">
              <w:rPr>
                <w:rFonts w:ascii="Arial" w:hAnsi="Arial" w:cs="Arial"/>
                <w:sz w:val="20"/>
                <w:szCs w:val="20"/>
              </w:rPr>
              <w:t xml:space="preserve"> from the previous considerations of the PC in its report of 2012.  The PC held that </w:t>
            </w:r>
            <w:r w:rsidR="008B5F71" w:rsidRPr="00131DF5">
              <w:rPr>
                <w:rFonts w:ascii="Arial" w:hAnsi="Arial" w:cs="Arial"/>
                <w:sz w:val="20"/>
                <w:szCs w:val="20"/>
              </w:rPr>
              <w:t xml:space="preserve">meeting </w:t>
            </w:r>
            <w:r w:rsidR="005C2E5C">
              <w:rPr>
                <w:rFonts w:ascii="Arial" w:hAnsi="Arial" w:cs="Arial"/>
                <w:sz w:val="20"/>
                <w:szCs w:val="20"/>
              </w:rPr>
              <w:t>the best interests of employees</w:t>
            </w:r>
            <w:r w:rsidR="00B119F4">
              <w:rPr>
                <w:rFonts w:ascii="Arial" w:hAnsi="Arial" w:cs="Arial"/>
                <w:sz w:val="20"/>
                <w:szCs w:val="20"/>
              </w:rPr>
              <w:t xml:space="preserve"> i</w:t>
            </w:r>
            <w:r w:rsidR="008B5F71" w:rsidRPr="00131DF5">
              <w:rPr>
                <w:rFonts w:ascii="Arial" w:hAnsi="Arial" w:cs="Arial"/>
                <w:sz w:val="20"/>
                <w:szCs w:val="20"/>
              </w:rPr>
              <w:t>s the explicit overarching objective in any criteria for the selection and ongoing assessment of superannuation products for listing as defa</w:t>
            </w:r>
            <w:r w:rsidR="00625F0F">
              <w:rPr>
                <w:rFonts w:ascii="Arial" w:hAnsi="Arial" w:cs="Arial"/>
                <w:sz w:val="20"/>
                <w:szCs w:val="20"/>
              </w:rPr>
              <w:t xml:space="preserve">ult products in </w:t>
            </w:r>
            <w:r w:rsidR="0098666C">
              <w:rPr>
                <w:rFonts w:ascii="Arial" w:hAnsi="Arial" w:cs="Arial"/>
                <w:sz w:val="20"/>
                <w:szCs w:val="20"/>
              </w:rPr>
              <w:t>M</w:t>
            </w:r>
            <w:r w:rsidR="00625F0F">
              <w:rPr>
                <w:rFonts w:ascii="Arial" w:hAnsi="Arial" w:cs="Arial"/>
                <w:sz w:val="20"/>
                <w:szCs w:val="20"/>
              </w:rPr>
              <w:t xml:space="preserve">odern </w:t>
            </w:r>
            <w:r w:rsidR="0098666C">
              <w:rPr>
                <w:rFonts w:ascii="Arial" w:hAnsi="Arial" w:cs="Arial"/>
                <w:sz w:val="20"/>
                <w:szCs w:val="20"/>
              </w:rPr>
              <w:t>A</w:t>
            </w:r>
            <w:r w:rsidR="00625F0F">
              <w:rPr>
                <w:rFonts w:ascii="Arial" w:hAnsi="Arial" w:cs="Arial"/>
                <w:sz w:val="20"/>
                <w:szCs w:val="20"/>
              </w:rPr>
              <w:t>wards”</w:t>
            </w:r>
            <w:r w:rsidR="00581748">
              <w:rPr>
                <w:rStyle w:val="FootnoteReference"/>
                <w:rFonts w:ascii="Arial" w:hAnsi="Arial" w:cs="Arial"/>
                <w:sz w:val="20"/>
                <w:szCs w:val="20"/>
              </w:rPr>
              <w:footnoteReference w:id="4"/>
            </w:r>
            <w:r w:rsidR="006522B9" w:rsidRPr="00131DF5">
              <w:rPr>
                <w:rFonts w:ascii="Arial" w:hAnsi="Arial" w:cs="Arial"/>
                <w:sz w:val="20"/>
                <w:szCs w:val="20"/>
              </w:rPr>
              <w:t xml:space="preserve">. </w:t>
            </w:r>
            <w:r>
              <w:rPr>
                <w:rFonts w:ascii="Arial" w:hAnsi="Arial" w:cs="Arial"/>
                <w:sz w:val="20"/>
                <w:szCs w:val="20"/>
              </w:rPr>
              <w:t>REST agrees with this view. However, t</w:t>
            </w:r>
            <w:r w:rsidR="005C2E5C">
              <w:rPr>
                <w:rFonts w:ascii="Arial" w:hAnsi="Arial" w:cs="Arial"/>
                <w:sz w:val="20"/>
                <w:szCs w:val="20"/>
              </w:rPr>
              <w:t xml:space="preserve">here appears to be no mention of </w:t>
            </w:r>
            <w:r>
              <w:rPr>
                <w:rFonts w:ascii="Arial" w:hAnsi="Arial" w:cs="Arial"/>
                <w:sz w:val="20"/>
                <w:szCs w:val="20"/>
              </w:rPr>
              <w:t xml:space="preserve">this overarching objective </w:t>
            </w:r>
            <w:r w:rsidR="005C2E5C">
              <w:rPr>
                <w:rFonts w:ascii="Arial" w:hAnsi="Arial" w:cs="Arial"/>
                <w:sz w:val="20"/>
                <w:szCs w:val="20"/>
              </w:rPr>
              <w:t xml:space="preserve">in </w:t>
            </w:r>
            <w:r>
              <w:rPr>
                <w:rFonts w:ascii="Arial" w:hAnsi="Arial" w:cs="Arial"/>
                <w:sz w:val="20"/>
                <w:szCs w:val="20"/>
              </w:rPr>
              <w:t xml:space="preserve">the </w:t>
            </w:r>
            <w:r w:rsidR="005C2E5C">
              <w:rPr>
                <w:rFonts w:ascii="Arial" w:hAnsi="Arial" w:cs="Arial"/>
                <w:sz w:val="20"/>
                <w:szCs w:val="20"/>
              </w:rPr>
              <w:t xml:space="preserve">Issues Paper. </w:t>
            </w:r>
            <w:r w:rsidR="006522B9" w:rsidRPr="00131DF5">
              <w:rPr>
                <w:rFonts w:ascii="Arial" w:hAnsi="Arial" w:cs="Arial"/>
                <w:sz w:val="20"/>
                <w:szCs w:val="20"/>
              </w:rPr>
              <w:t xml:space="preserve">Further another recommendation of the 2012 PC report was the promotion of “transparency” where “relevant information should be made publicly available and actual, perceived or potential conflicts of interest should be declared.” </w:t>
            </w:r>
            <w:r w:rsidR="006522B9" w:rsidRPr="00131DF5">
              <w:rPr>
                <w:rStyle w:val="FootnoteReference"/>
                <w:rFonts w:ascii="Arial" w:hAnsi="Arial" w:cs="Arial"/>
                <w:sz w:val="20"/>
                <w:szCs w:val="20"/>
              </w:rPr>
              <w:footnoteReference w:id="5"/>
            </w:r>
            <w:r w:rsidR="005C2E5C">
              <w:rPr>
                <w:rFonts w:ascii="Arial" w:hAnsi="Arial" w:cs="Arial"/>
                <w:sz w:val="20"/>
                <w:szCs w:val="20"/>
              </w:rPr>
              <w:t xml:space="preserve"> There also does not appear to be any mention of the value of transparency in this Issues Paper.</w:t>
            </w:r>
          </w:p>
          <w:p w:rsidR="006522B9" w:rsidRPr="00131DF5" w:rsidRDefault="006522B9" w:rsidP="009E05DF">
            <w:pPr>
              <w:ind w:left="142"/>
              <w:jc w:val="both"/>
              <w:rPr>
                <w:rFonts w:ascii="Arial" w:hAnsi="Arial" w:cs="Arial"/>
                <w:sz w:val="20"/>
                <w:szCs w:val="20"/>
              </w:rPr>
            </w:pPr>
          </w:p>
          <w:p w:rsidR="00684031" w:rsidRPr="00131DF5" w:rsidRDefault="00684031" w:rsidP="009E05DF">
            <w:pPr>
              <w:ind w:left="142"/>
              <w:jc w:val="both"/>
              <w:rPr>
                <w:rFonts w:ascii="Arial" w:hAnsi="Arial" w:cs="Arial"/>
                <w:sz w:val="20"/>
                <w:szCs w:val="20"/>
              </w:rPr>
            </w:pPr>
            <w:r w:rsidRPr="00131DF5">
              <w:rPr>
                <w:rFonts w:ascii="Arial" w:hAnsi="Arial" w:cs="Arial"/>
                <w:sz w:val="20"/>
                <w:szCs w:val="20"/>
              </w:rPr>
              <w:t>Further the value of advice should be added as a criteri</w:t>
            </w:r>
            <w:r w:rsidR="003138E9">
              <w:rPr>
                <w:rFonts w:ascii="Arial" w:hAnsi="Arial" w:cs="Arial"/>
                <w:sz w:val="20"/>
                <w:szCs w:val="20"/>
              </w:rPr>
              <w:t>on</w:t>
            </w:r>
            <w:r w:rsidRPr="00131DF5">
              <w:rPr>
                <w:rFonts w:ascii="Arial" w:hAnsi="Arial" w:cs="Arial"/>
                <w:sz w:val="20"/>
                <w:szCs w:val="20"/>
              </w:rPr>
              <w:t xml:space="preserve"> that is in the member’s best interests. The PC in its report of 2012 found that “intra-fund advice that is advice relating to a member’s existing interest in the fund and products offered by the fund) is important in equipping members with the skills and knowledge to make decisions about their superannuation.”</w:t>
            </w:r>
            <w:r w:rsidRPr="00131DF5">
              <w:rPr>
                <w:rStyle w:val="FootnoteReference"/>
                <w:rFonts w:ascii="Arial" w:hAnsi="Arial" w:cs="Arial"/>
                <w:sz w:val="20"/>
                <w:szCs w:val="20"/>
              </w:rPr>
              <w:footnoteReference w:id="6"/>
            </w:r>
          </w:p>
          <w:p w:rsidR="00684031" w:rsidRPr="006559FF" w:rsidRDefault="00684031" w:rsidP="009E05DF">
            <w:pPr>
              <w:ind w:left="142"/>
              <w:jc w:val="both"/>
              <w:rPr>
                <w:rFonts w:ascii="Arial" w:hAnsi="Arial" w:cs="Arial"/>
                <w:sz w:val="20"/>
                <w:szCs w:val="20"/>
              </w:rPr>
            </w:pPr>
          </w:p>
          <w:p w:rsidR="00684031" w:rsidRPr="00A53BF0" w:rsidRDefault="006B7B7A" w:rsidP="00A53BF0">
            <w:pPr>
              <w:pStyle w:val="Heading3"/>
              <w:ind w:firstLine="851"/>
              <w:rPr>
                <w:rFonts w:ascii="Arial Narrow" w:hAnsi="Arial Narrow"/>
                <w:sz w:val="22"/>
                <w:szCs w:val="22"/>
              </w:rPr>
            </w:pPr>
            <w:bookmarkStart w:id="21" w:name="_Toc465354087"/>
            <w:r>
              <w:rPr>
                <w:rFonts w:ascii="Arial Narrow" w:hAnsi="Arial Narrow"/>
                <w:sz w:val="22"/>
                <w:szCs w:val="22"/>
              </w:rPr>
              <w:t xml:space="preserve">8.2.1    </w:t>
            </w:r>
            <w:r w:rsidR="00684031" w:rsidRPr="00A53BF0">
              <w:rPr>
                <w:rFonts w:ascii="Arial Narrow" w:hAnsi="Arial Narrow"/>
                <w:sz w:val="22"/>
                <w:szCs w:val="22"/>
              </w:rPr>
              <w:t>The value of insurance</w:t>
            </w:r>
            <w:bookmarkEnd w:id="21"/>
          </w:p>
          <w:p w:rsidR="00684031" w:rsidRPr="00131DF5" w:rsidRDefault="00684031" w:rsidP="009E05DF">
            <w:pPr>
              <w:ind w:left="142"/>
              <w:jc w:val="both"/>
              <w:rPr>
                <w:rFonts w:ascii="Arial" w:hAnsi="Arial" w:cs="Arial"/>
                <w:b/>
                <w:sz w:val="20"/>
                <w:szCs w:val="20"/>
              </w:rPr>
            </w:pPr>
          </w:p>
          <w:p w:rsidR="008C1F5E" w:rsidRDefault="00C85CFF" w:rsidP="009E05DF">
            <w:pPr>
              <w:ind w:left="142"/>
              <w:jc w:val="both"/>
              <w:rPr>
                <w:rFonts w:ascii="Arial" w:hAnsi="Arial" w:cs="Arial"/>
                <w:sz w:val="20"/>
                <w:szCs w:val="20"/>
              </w:rPr>
            </w:pPr>
            <w:r>
              <w:rPr>
                <w:rFonts w:ascii="Arial" w:hAnsi="Arial" w:cs="Arial"/>
                <w:sz w:val="20"/>
                <w:szCs w:val="20"/>
              </w:rPr>
              <w:t>We no</w:t>
            </w:r>
            <w:r w:rsidR="00A2038E">
              <w:rPr>
                <w:rFonts w:ascii="Arial" w:hAnsi="Arial" w:cs="Arial"/>
                <w:sz w:val="20"/>
                <w:szCs w:val="20"/>
              </w:rPr>
              <w:t>te the 2016 PC report</w:t>
            </w:r>
            <w:r>
              <w:rPr>
                <w:rFonts w:ascii="Arial" w:hAnsi="Arial" w:cs="Arial"/>
                <w:sz w:val="20"/>
                <w:szCs w:val="20"/>
              </w:rPr>
              <w:t xml:space="preserve"> states that the cost of insurance held through superannuation detracts from retirement balances and ultimately retirement income</w:t>
            </w:r>
            <w:r w:rsidR="00DF6863">
              <w:rPr>
                <w:rFonts w:ascii="Arial" w:hAnsi="Arial" w:cs="Arial"/>
                <w:sz w:val="20"/>
                <w:szCs w:val="20"/>
              </w:rPr>
              <w:t>s.</w:t>
            </w:r>
            <w:r w:rsidR="00822938">
              <w:rPr>
                <w:rFonts w:ascii="Arial" w:hAnsi="Arial" w:cs="Arial"/>
                <w:sz w:val="20"/>
                <w:szCs w:val="20"/>
              </w:rPr>
              <w:t xml:space="preserve"> </w:t>
            </w:r>
            <w:r w:rsidR="00893081">
              <w:rPr>
                <w:rFonts w:ascii="Arial" w:hAnsi="Arial" w:cs="Arial"/>
                <w:sz w:val="20"/>
                <w:szCs w:val="20"/>
              </w:rPr>
              <w:t xml:space="preserve">Further, that “policy dictates that life and total and permanent disability insurance are bundled with superannuation on an opt-out basis in default products. Given this constraint, the Commission plans to assess whether </w:t>
            </w:r>
            <w:r w:rsidR="00893081">
              <w:rPr>
                <w:rFonts w:ascii="Arial" w:hAnsi="Arial" w:cs="Arial"/>
                <w:sz w:val="20"/>
                <w:szCs w:val="20"/>
              </w:rPr>
              <w:lastRenderedPageBreak/>
              <w:t>trustees are offering the most appropriate insurance for their members, and whether the costs of insurance are minimised for the type and level of cover provided.</w:t>
            </w:r>
            <w:r w:rsidR="00A514A3">
              <w:rPr>
                <w:rFonts w:ascii="Arial" w:hAnsi="Arial" w:cs="Arial"/>
                <w:sz w:val="20"/>
                <w:szCs w:val="20"/>
              </w:rPr>
              <w:t>”</w:t>
            </w:r>
            <w:r w:rsidR="00EC552C">
              <w:rPr>
                <w:rStyle w:val="FootnoteReference"/>
                <w:rFonts w:ascii="Arial" w:hAnsi="Arial" w:cs="Arial"/>
                <w:sz w:val="20"/>
                <w:szCs w:val="20"/>
              </w:rPr>
              <w:footnoteReference w:id="7"/>
            </w:r>
            <w:r w:rsidR="00DF6863">
              <w:rPr>
                <w:rFonts w:ascii="Arial" w:hAnsi="Arial" w:cs="Arial"/>
                <w:sz w:val="20"/>
                <w:szCs w:val="20"/>
              </w:rPr>
              <w:t xml:space="preserve"> The PC states that “the bundling of group insurance with superannuation is prima facie likely to lead to allocative inefficiency. Inefficiency could result from people being provided with insurance they do not need, or going without adequate insurance under the assumption that their level of cover within superannuation is sufficient.</w:t>
            </w:r>
            <w:r w:rsidR="009578B9">
              <w:rPr>
                <w:rFonts w:ascii="Arial" w:hAnsi="Arial" w:cs="Arial"/>
                <w:sz w:val="20"/>
                <w:szCs w:val="20"/>
              </w:rPr>
              <w:t>”</w:t>
            </w:r>
            <w:r w:rsidR="00DF6863">
              <w:rPr>
                <w:rStyle w:val="FootnoteReference"/>
                <w:rFonts w:ascii="Arial" w:hAnsi="Arial" w:cs="Arial"/>
                <w:sz w:val="20"/>
                <w:szCs w:val="20"/>
              </w:rPr>
              <w:footnoteReference w:id="8"/>
            </w:r>
            <w:r>
              <w:rPr>
                <w:rFonts w:ascii="Arial" w:hAnsi="Arial" w:cs="Arial"/>
                <w:sz w:val="20"/>
                <w:szCs w:val="20"/>
              </w:rPr>
              <w:t xml:space="preserve"> </w:t>
            </w:r>
            <w:r w:rsidR="00B84DED">
              <w:rPr>
                <w:rFonts w:ascii="Arial" w:hAnsi="Arial" w:cs="Arial"/>
                <w:sz w:val="20"/>
                <w:szCs w:val="20"/>
              </w:rPr>
              <w:t xml:space="preserve"> </w:t>
            </w:r>
            <w:r w:rsidR="00893081">
              <w:rPr>
                <w:rFonts w:ascii="Arial" w:hAnsi="Arial" w:cs="Arial"/>
                <w:sz w:val="20"/>
                <w:szCs w:val="20"/>
              </w:rPr>
              <w:t>The PC also acknowledges that various participants consider the provision of default insurance within superannuation to be an important mechanism to address “underinsurance” in society more broadly. REST</w:t>
            </w:r>
            <w:r w:rsidR="00B84DED">
              <w:rPr>
                <w:rFonts w:ascii="Arial" w:hAnsi="Arial" w:cs="Arial"/>
                <w:sz w:val="20"/>
                <w:szCs w:val="20"/>
              </w:rPr>
              <w:t xml:space="preserve"> </w:t>
            </w:r>
            <w:r w:rsidR="00893081">
              <w:rPr>
                <w:rFonts w:ascii="Arial" w:hAnsi="Arial" w:cs="Arial"/>
                <w:sz w:val="20"/>
                <w:szCs w:val="20"/>
              </w:rPr>
              <w:t>agrees with the latter view</w:t>
            </w:r>
            <w:r w:rsidR="00B84DED">
              <w:rPr>
                <w:rFonts w:ascii="Arial" w:hAnsi="Arial" w:cs="Arial"/>
                <w:sz w:val="20"/>
                <w:szCs w:val="20"/>
              </w:rPr>
              <w:t>. Members receive insurance tailored to their needs that they would otherwise not purchase. Further, group insurance is the only mechanism that provides access to insurance for many workers (</w:t>
            </w:r>
            <w:proofErr w:type="spellStart"/>
            <w:r w:rsidR="00B84DED">
              <w:rPr>
                <w:rFonts w:ascii="Arial" w:hAnsi="Arial" w:cs="Arial"/>
                <w:sz w:val="20"/>
                <w:szCs w:val="20"/>
              </w:rPr>
              <w:t>e.g</w:t>
            </w:r>
            <w:proofErr w:type="spellEnd"/>
            <w:r w:rsidR="00B84DED">
              <w:rPr>
                <w:rFonts w:ascii="Arial" w:hAnsi="Arial" w:cs="Arial"/>
                <w:sz w:val="20"/>
                <w:szCs w:val="20"/>
              </w:rPr>
              <w:t xml:space="preserve"> part-time/casual). This can only be done through scale. Alternative mechanisms would lead to a higher level of underinsurance and a greater burden on the Government and taxpayers. This is discussed further below.</w:t>
            </w:r>
          </w:p>
          <w:p w:rsidR="008C1F5E" w:rsidRDefault="008C1F5E" w:rsidP="009E05DF">
            <w:pPr>
              <w:ind w:left="142"/>
              <w:jc w:val="both"/>
              <w:rPr>
                <w:rFonts w:ascii="Arial" w:hAnsi="Arial" w:cs="Arial"/>
                <w:sz w:val="20"/>
                <w:szCs w:val="20"/>
              </w:rPr>
            </w:pPr>
          </w:p>
          <w:p w:rsidR="00974A7A" w:rsidRDefault="00974A7A" w:rsidP="009E05DF">
            <w:pPr>
              <w:ind w:left="142"/>
              <w:jc w:val="both"/>
              <w:rPr>
                <w:rFonts w:ascii="Arial" w:hAnsi="Arial" w:cs="Arial"/>
                <w:sz w:val="20"/>
                <w:szCs w:val="20"/>
              </w:rPr>
            </w:pPr>
            <w:r w:rsidRPr="00131DF5">
              <w:rPr>
                <w:rFonts w:ascii="Arial" w:hAnsi="Arial" w:cs="Arial"/>
                <w:sz w:val="20"/>
                <w:szCs w:val="20"/>
              </w:rPr>
              <w:t xml:space="preserve">In the 2012 PC report the Commission recognised that employees in different occupations and different </w:t>
            </w:r>
            <w:r w:rsidR="0098666C">
              <w:rPr>
                <w:rFonts w:ascii="Arial" w:hAnsi="Arial" w:cs="Arial"/>
                <w:sz w:val="20"/>
                <w:szCs w:val="20"/>
              </w:rPr>
              <w:t>A</w:t>
            </w:r>
            <w:r w:rsidRPr="00131DF5">
              <w:rPr>
                <w:rFonts w:ascii="Arial" w:hAnsi="Arial" w:cs="Arial"/>
                <w:sz w:val="20"/>
                <w:szCs w:val="20"/>
              </w:rPr>
              <w:t xml:space="preserve">wards have different characteristics and face varying risks, thus requiring different kinds of insurance. </w:t>
            </w:r>
            <w:r>
              <w:rPr>
                <w:rFonts w:ascii="Arial" w:hAnsi="Arial" w:cs="Arial"/>
                <w:sz w:val="20"/>
                <w:szCs w:val="20"/>
              </w:rPr>
              <w:t xml:space="preserve">The PC recommended that the selection and ongoing assessment of default superannuation products for listing in </w:t>
            </w:r>
            <w:r w:rsidR="0098666C">
              <w:rPr>
                <w:rFonts w:ascii="Arial" w:hAnsi="Arial" w:cs="Arial"/>
                <w:sz w:val="20"/>
                <w:szCs w:val="20"/>
              </w:rPr>
              <w:t>M</w:t>
            </w:r>
            <w:r>
              <w:rPr>
                <w:rFonts w:ascii="Arial" w:hAnsi="Arial" w:cs="Arial"/>
                <w:sz w:val="20"/>
                <w:szCs w:val="20"/>
              </w:rPr>
              <w:t xml:space="preserve">odern </w:t>
            </w:r>
            <w:r w:rsidR="0098666C">
              <w:rPr>
                <w:rFonts w:ascii="Arial" w:hAnsi="Arial" w:cs="Arial"/>
                <w:sz w:val="20"/>
                <w:szCs w:val="20"/>
              </w:rPr>
              <w:t>A</w:t>
            </w:r>
            <w:r>
              <w:rPr>
                <w:rFonts w:ascii="Arial" w:hAnsi="Arial" w:cs="Arial"/>
                <w:sz w:val="20"/>
                <w:szCs w:val="20"/>
              </w:rPr>
              <w:t xml:space="preserve">wards should include consideration of the appropriateness of the </w:t>
            </w:r>
            <w:proofErr w:type="spellStart"/>
            <w:r>
              <w:rPr>
                <w:rFonts w:ascii="Arial" w:hAnsi="Arial" w:cs="Arial"/>
                <w:sz w:val="20"/>
                <w:szCs w:val="20"/>
              </w:rPr>
              <w:t>MySuper</w:t>
            </w:r>
            <w:proofErr w:type="spellEnd"/>
            <w:r>
              <w:rPr>
                <w:rFonts w:ascii="Arial" w:hAnsi="Arial" w:cs="Arial"/>
                <w:sz w:val="20"/>
                <w:szCs w:val="20"/>
              </w:rPr>
              <w:t xml:space="preserve"> product’s insurance offerings for employees who derive their default superannuation product in accordance with a given </w:t>
            </w:r>
            <w:r w:rsidR="005B701B">
              <w:rPr>
                <w:rFonts w:ascii="Arial" w:hAnsi="Arial" w:cs="Arial"/>
                <w:sz w:val="20"/>
                <w:szCs w:val="20"/>
              </w:rPr>
              <w:t>M</w:t>
            </w:r>
            <w:r>
              <w:rPr>
                <w:rFonts w:ascii="Arial" w:hAnsi="Arial" w:cs="Arial"/>
                <w:sz w:val="20"/>
                <w:szCs w:val="20"/>
              </w:rPr>
              <w:t xml:space="preserve">odern </w:t>
            </w:r>
            <w:r w:rsidR="005B701B">
              <w:rPr>
                <w:rFonts w:ascii="Arial" w:hAnsi="Arial" w:cs="Arial"/>
                <w:sz w:val="20"/>
                <w:szCs w:val="20"/>
              </w:rPr>
              <w:t>A</w:t>
            </w:r>
            <w:r>
              <w:rPr>
                <w:rFonts w:ascii="Arial" w:hAnsi="Arial" w:cs="Arial"/>
                <w:sz w:val="20"/>
                <w:szCs w:val="20"/>
              </w:rPr>
              <w:t>ward.</w:t>
            </w:r>
            <w:r>
              <w:rPr>
                <w:rStyle w:val="FootnoteReference"/>
                <w:rFonts w:ascii="Arial" w:hAnsi="Arial" w:cs="Arial"/>
                <w:sz w:val="20"/>
                <w:szCs w:val="20"/>
              </w:rPr>
              <w:footnoteReference w:id="9"/>
            </w:r>
            <w:r>
              <w:rPr>
                <w:rFonts w:ascii="Arial" w:hAnsi="Arial" w:cs="Arial"/>
                <w:sz w:val="20"/>
                <w:szCs w:val="20"/>
              </w:rPr>
              <w:t xml:space="preserve"> The 2012 PC report recognised the value of tailored insurance, rather than whether or not insurance should be offered on a group life basis at all.</w:t>
            </w:r>
          </w:p>
          <w:p w:rsidR="00974A7A" w:rsidRDefault="00974A7A" w:rsidP="009E05DF">
            <w:pPr>
              <w:ind w:left="142"/>
              <w:jc w:val="both"/>
              <w:rPr>
                <w:rFonts w:ascii="Arial" w:hAnsi="Arial" w:cs="Arial"/>
                <w:sz w:val="20"/>
                <w:szCs w:val="20"/>
              </w:rPr>
            </w:pPr>
          </w:p>
          <w:p w:rsidR="00974A7A" w:rsidRDefault="00974A7A" w:rsidP="009E05DF">
            <w:pPr>
              <w:ind w:left="142"/>
              <w:jc w:val="both"/>
              <w:rPr>
                <w:rFonts w:ascii="Arial" w:hAnsi="Arial" w:cs="Arial"/>
                <w:sz w:val="20"/>
                <w:szCs w:val="20"/>
              </w:rPr>
            </w:pPr>
            <w:r>
              <w:rPr>
                <w:rFonts w:ascii="Arial" w:hAnsi="Arial" w:cs="Arial"/>
                <w:sz w:val="20"/>
                <w:szCs w:val="20"/>
              </w:rPr>
              <w:t xml:space="preserve">Further, the value of group life insurance was recognised through the </w:t>
            </w:r>
            <w:r w:rsidRPr="00131DF5">
              <w:rPr>
                <w:rFonts w:ascii="Arial" w:hAnsi="Arial" w:cs="Arial"/>
                <w:sz w:val="20"/>
                <w:szCs w:val="20"/>
              </w:rPr>
              <w:t xml:space="preserve">Stronger Super reforms </w:t>
            </w:r>
            <w:r>
              <w:rPr>
                <w:rFonts w:ascii="Arial" w:hAnsi="Arial" w:cs="Arial"/>
                <w:sz w:val="20"/>
                <w:szCs w:val="20"/>
              </w:rPr>
              <w:t>whereby</w:t>
            </w:r>
            <w:r w:rsidRPr="00131DF5">
              <w:rPr>
                <w:rFonts w:ascii="Arial" w:hAnsi="Arial" w:cs="Arial"/>
                <w:sz w:val="20"/>
                <w:szCs w:val="20"/>
              </w:rPr>
              <w:t xml:space="preserve"> insurance </w:t>
            </w:r>
            <w:r>
              <w:rPr>
                <w:rFonts w:ascii="Arial" w:hAnsi="Arial" w:cs="Arial"/>
                <w:sz w:val="20"/>
                <w:szCs w:val="20"/>
              </w:rPr>
              <w:t xml:space="preserve">was made </w:t>
            </w:r>
            <w:r w:rsidRPr="00131DF5">
              <w:rPr>
                <w:rFonts w:ascii="Arial" w:hAnsi="Arial" w:cs="Arial"/>
                <w:sz w:val="20"/>
                <w:szCs w:val="20"/>
              </w:rPr>
              <w:t xml:space="preserve">mandatory for </w:t>
            </w:r>
            <w:proofErr w:type="spellStart"/>
            <w:r w:rsidRPr="00131DF5">
              <w:rPr>
                <w:rFonts w:ascii="Arial" w:hAnsi="Arial" w:cs="Arial"/>
                <w:sz w:val="20"/>
                <w:szCs w:val="20"/>
              </w:rPr>
              <w:t>MySuper</w:t>
            </w:r>
            <w:proofErr w:type="spellEnd"/>
            <w:r w:rsidRPr="00131DF5">
              <w:rPr>
                <w:rFonts w:ascii="Arial" w:hAnsi="Arial" w:cs="Arial"/>
                <w:sz w:val="20"/>
                <w:szCs w:val="20"/>
              </w:rPr>
              <w:t xml:space="preserve"> products, as well as allowing flexibility between different groups of members to differentiate insurance offerings.</w:t>
            </w:r>
            <w:r>
              <w:rPr>
                <w:rFonts w:ascii="Arial" w:hAnsi="Arial" w:cs="Arial"/>
                <w:sz w:val="20"/>
                <w:szCs w:val="20"/>
              </w:rPr>
              <w:t xml:space="preserve"> If insurance was de-linked from </w:t>
            </w:r>
            <w:proofErr w:type="spellStart"/>
            <w:r>
              <w:rPr>
                <w:rFonts w:ascii="Arial" w:hAnsi="Arial" w:cs="Arial"/>
                <w:sz w:val="20"/>
                <w:szCs w:val="20"/>
              </w:rPr>
              <w:t>MySuper</w:t>
            </w:r>
            <w:proofErr w:type="spellEnd"/>
            <w:r>
              <w:rPr>
                <w:rFonts w:ascii="Arial" w:hAnsi="Arial" w:cs="Arial"/>
                <w:sz w:val="20"/>
                <w:szCs w:val="20"/>
              </w:rPr>
              <w:t xml:space="preserve"> and superannuation in general, there would be widespread impacts for members and the Australian economy with increased health costs.</w:t>
            </w:r>
          </w:p>
          <w:p w:rsidR="00974A7A" w:rsidRDefault="00974A7A" w:rsidP="009E05DF">
            <w:pPr>
              <w:ind w:left="142"/>
              <w:jc w:val="both"/>
              <w:rPr>
                <w:rFonts w:ascii="Arial" w:hAnsi="Arial" w:cs="Arial"/>
                <w:sz w:val="20"/>
                <w:szCs w:val="20"/>
              </w:rPr>
            </w:pPr>
          </w:p>
          <w:p w:rsidR="00974A7A" w:rsidRDefault="00974A7A" w:rsidP="009E05DF">
            <w:pPr>
              <w:ind w:left="142"/>
              <w:jc w:val="both"/>
              <w:rPr>
                <w:rFonts w:ascii="Arial" w:hAnsi="Arial" w:cs="Arial"/>
                <w:sz w:val="20"/>
                <w:szCs w:val="20"/>
              </w:rPr>
            </w:pPr>
            <w:r>
              <w:rPr>
                <w:rFonts w:ascii="Arial" w:hAnsi="Arial" w:cs="Arial"/>
                <w:sz w:val="20"/>
                <w:szCs w:val="20"/>
              </w:rPr>
              <w:t>The PC’s approach to assess the value of insurance through “loss ratios”</w:t>
            </w:r>
            <w:r>
              <w:rPr>
                <w:rStyle w:val="FootnoteReference"/>
                <w:rFonts w:ascii="Arial" w:hAnsi="Arial" w:cs="Arial"/>
                <w:sz w:val="20"/>
                <w:szCs w:val="20"/>
              </w:rPr>
              <w:footnoteReference w:id="10"/>
            </w:r>
            <w:r>
              <w:rPr>
                <w:rFonts w:ascii="Arial" w:hAnsi="Arial" w:cs="Arial"/>
                <w:sz w:val="20"/>
                <w:szCs w:val="20"/>
              </w:rPr>
              <w:t xml:space="preserve"> where the value is calculated as total claims divided by total premiums does not recogni</w:t>
            </w:r>
            <w:r w:rsidR="003138E9">
              <w:rPr>
                <w:rFonts w:ascii="Arial" w:hAnsi="Arial" w:cs="Arial"/>
                <w:sz w:val="20"/>
                <w:szCs w:val="20"/>
              </w:rPr>
              <w:t>se</w:t>
            </w:r>
            <w:r>
              <w:rPr>
                <w:rFonts w:ascii="Arial" w:hAnsi="Arial" w:cs="Arial"/>
                <w:sz w:val="20"/>
                <w:szCs w:val="20"/>
              </w:rPr>
              <w:t xml:space="preserve"> other less quantitative measures of assessing the value of insurance. For instance, some members will never make a claim but enjoy “peace of mind” in that they have a risk mitigation strategy in place in case they are injured or become ill and cannot work. Any insurance that an individual takes out is reflective of this in that they know that they have a safety net in case they need it. This is a qualitative benefit. </w:t>
            </w:r>
          </w:p>
          <w:p w:rsidR="00974A7A" w:rsidRDefault="00974A7A" w:rsidP="009E05DF">
            <w:pPr>
              <w:ind w:left="142"/>
              <w:jc w:val="both"/>
              <w:rPr>
                <w:rFonts w:ascii="Arial" w:hAnsi="Arial" w:cs="Arial"/>
                <w:sz w:val="20"/>
                <w:szCs w:val="20"/>
              </w:rPr>
            </w:pPr>
          </w:p>
          <w:p w:rsidR="00974A7A" w:rsidRDefault="00974A7A" w:rsidP="009E05DF">
            <w:pPr>
              <w:ind w:left="142"/>
              <w:jc w:val="both"/>
              <w:rPr>
                <w:rFonts w:ascii="Arial" w:hAnsi="Arial" w:cs="Arial"/>
                <w:sz w:val="20"/>
                <w:szCs w:val="20"/>
              </w:rPr>
            </w:pPr>
            <w:proofErr w:type="spellStart"/>
            <w:r>
              <w:rPr>
                <w:rFonts w:ascii="Arial" w:hAnsi="Arial" w:cs="Arial"/>
                <w:sz w:val="20"/>
                <w:szCs w:val="20"/>
              </w:rPr>
              <w:t>ASIC</w:t>
            </w:r>
            <w:proofErr w:type="spellEnd"/>
            <w:r>
              <w:rPr>
                <w:rFonts w:ascii="Arial" w:hAnsi="Arial" w:cs="Arial"/>
                <w:sz w:val="20"/>
                <w:szCs w:val="20"/>
              </w:rPr>
              <w:t xml:space="preserve"> also commented on the value of “loss ratios”</w:t>
            </w:r>
            <w:r>
              <w:rPr>
                <w:rStyle w:val="FootnoteReference"/>
                <w:rFonts w:ascii="Arial" w:hAnsi="Arial" w:cs="Arial"/>
                <w:sz w:val="20"/>
                <w:szCs w:val="20"/>
              </w:rPr>
              <w:footnoteReference w:id="11"/>
            </w:r>
            <w:r>
              <w:rPr>
                <w:rFonts w:ascii="Arial" w:hAnsi="Arial" w:cs="Arial"/>
                <w:sz w:val="20"/>
                <w:szCs w:val="20"/>
              </w:rPr>
              <w:t xml:space="preserve"> noting that “measures in any one year are of little interpretative value, as year-to-year measures will depend significantly on the pricing cycle, the timing of significant events, and time lags between when claims are made and premiums paid out. It may also be difficult to get consistent data and data may not be comparable across members and funds.”</w:t>
            </w:r>
          </w:p>
          <w:p w:rsidR="00974A7A" w:rsidRDefault="00974A7A" w:rsidP="009E05DF">
            <w:pPr>
              <w:ind w:left="142"/>
              <w:jc w:val="both"/>
              <w:rPr>
                <w:rFonts w:ascii="Arial" w:hAnsi="Arial" w:cs="Arial"/>
                <w:sz w:val="20"/>
                <w:szCs w:val="20"/>
              </w:rPr>
            </w:pPr>
          </w:p>
          <w:p w:rsidR="00C85CFF" w:rsidRDefault="008C1F5E" w:rsidP="009E05DF">
            <w:pPr>
              <w:ind w:left="142"/>
              <w:jc w:val="both"/>
              <w:rPr>
                <w:rFonts w:ascii="Arial" w:hAnsi="Arial" w:cs="Arial"/>
                <w:sz w:val="20"/>
                <w:szCs w:val="20"/>
              </w:rPr>
            </w:pPr>
            <w:r>
              <w:rPr>
                <w:rFonts w:ascii="Arial" w:hAnsi="Arial" w:cs="Arial"/>
                <w:sz w:val="20"/>
                <w:szCs w:val="20"/>
              </w:rPr>
              <w:t xml:space="preserve">REST holds the view that the provision of default insurance within superannuation is an important mechanism to address levels of “underinsurance” across the community and Australia, in general. </w:t>
            </w:r>
            <w:r w:rsidR="00A2038E">
              <w:rPr>
                <w:rFonts w:ascii="Arial" w:hAnsi="Arial" w:cs="Arial"/>
                <w:sz w:val="20"/>
                <w:szCs w:val="20"/>
              </w:rPr>
              <w:t xml:space="preserve"> For REST members, there is an allocative efficiency whereby the insurance needs of retail employees are tailored to those employees, including opt outs and extensive disclosure about the type and design of insurance. Further a key advantage of REST is that its members are largely from a homogenous industry. Therefore, the premium rates are priced accordingly. The large membership provides significant scale for the insurer, which results in lower premiums and higher automatic acceptance limits.</w:t>
            </w:r>
            <w:r w:rsidR="00747E67">
              <w:rPr>
                <w:rFonts w:ascii="Arial" w:hAnsi="Arial" w:cs="Arial"/>
                <w:sz w:val="20"/>
                <w:szCs w:val="20"/>
              </w:rPr>
              <w:t xml:space="preserve"> This is an example of </w:t>
            </w:r>
            <w:r w:rsidR="006062AA">
              <w:rPr>
                <w:rFonts w:ascii="Arial" w:hAnsi="Arial" w:cs="Arial"/>
                <w:sz w:val="20"/>
                <w:szCs w:val="20"/>
              </w:rPr>
              <w:t>insurance providing allocative efficiencies</w:t>
            </w:r>
            <w:r w:rsidR="00747E67">
              <w:rPr>
                <w:rFonts w:ascii="Arial" w:hAnsi="Arial" w:cs="Arial"/>
                <w:sz w:val="20"/>
                <w:szCs w:val="20"/>
              </w:rPr>
              <w:t xml:space="preserve"> according to </w:t>
            </w:r>
            <w:r w:rsidR="006062AA">
              <w:rPr>
                <w:rFonts w:ascii="Arial" w:hAnsi="Arial" w:cs="Arial"/>
                <w:sz w:val="20"/>
                <w:szCs w:val="20"/>
              </w:rPr>
              <w:t xml:space="preserve">the market </w:t>
            </w:r>
            <w:r w:rsidR="00747E67">
              <w:rPr>
                <w:rFonts w:ascii="Arial" w:hAnsi="Arial" w:cs="Arial"/>
                <w:sz w:val="20"/>
                <w:szCs w:val="20"/>
              </w:rPr>
              <w:t>segmentati</w:t>
            </w:r>
            <w:r w:rsidR="00EB348F">
              <w:rPr>
                <w:rFonts w:ascii="Arial" w:hAnsi="Arial" w:cs="Arial"/>
                <w:sz w:val="20"/>
                <w:szCs w:val="20"/>
              </w:rPr>
              <w:t xml:space="preserve">on of retail industry employees under the current </w:t>
            </w:r>
            <w:r w:rsidR="00EB348F">
              <w:rPr>
                <w:rFonts w:ascii="Arial" w:hAnsi="Arial" w:cs="Arial"/>
                <w:sz w:val="20"/>
                <w:szCs w:val="20"/>
              </w:rPr>
              <w:lastRenderedPageBreak/>
              <w:t>system.</w:t>
            </w:r>
          </w:p>
          <w:p w:rsidR="00A2038E" w:rsidRDefault="00A2038E" w:rsidP="009E05DF">
            <w:pPr>
              <w:ind w:left="142"/>
              <w:jc w:val="both"/>
              <w:rPr>
                <w:rFonts w:ascii="Arial" w:hAnsi="Arial" w:cs="Arial"/>
                <w:sz w:val="20"/>
                <w:szCs w:val="20"/>
              </w:rPr>
            </w:pPr>
          </w:p>
          <w:p w:rsidR="00A2038E" w:rsidRDefault="006062AA" w:rsidP="009E05DF">
            <w:pPr>
              <w:ind w:left="142"/>
              <w:jc w:val="both"/>
              <w:rPr>
                <w:rFonts w:ascii="Arial" w:hAnsi="Arial" w:cs="Arial"/>
                <w:sz w:val="20"/>
                <w:szCs w:val="20"/>
              </w:rPr>
            </w:pPr>
            <w:r>
              <w:rPr>
                <w:rFonts w:ascii="Arial" w:hAnsi="Arial" w:cs="Arial"/>
                <w:sz w:val="20"/>
                <w:szCs w:val="20"/>
              </w:rPr>
              <w:t xml:space="preserve">Market segmentation of insurance can also occur </w:t>
            </w:r>
            <w:r w:rsidRPr="00AD3A3C">
              <w:rPr>
                <w:rFonts w:ascii="Arial" w:hAnsi="Arial" w:cs="Arial"/>
                <w:sz w:val="20"/>
                <w:szCs w:val="20"/>
              </w:rPr>
              <w:t xml:space="preserve">for </w:t>
            </w:r>
            <w:r w:rsidR="00896B88" w:rsidRPr="00AD3A3C">
              <w:rPr>
                <w:rFonts w:ascii="Arial" w:hAnsi="Arial" w:cs="Arial"/>
                <w:sz w:val="20"/>
                <w:szCs w:val="20"/>
              </w:rPr>
              <w:t>not for profit funds</w:t>
            </w:r>
            <w:r>
              <w:rPr>
                <w:rFonts w:ascii="Arial" w:hAnsi="Arial" w:cs="Arial"/>
                <w:sz w:val="20"/>
                <w:szCs w:val="20"/>
              </w:rPr>
              <w:t>. Those profit to member funds with group life insurance typically address the</w:t>
            </w:r>
            <w:r w:rsidR="00A2038E">
              <w:rPr>
                <w:rFonts w:ascii="Arial" w:hAnsi="Arial" w:cs="Arial"/>
                <w:sz w:val="20"/>
                <w:szCs w:val="20"/>
              </w:rPr>
              <w:t xml:space="preserve"> underinsurance of Australians, providing it at a lower cost than insurance offered outside of superannuation. Further those persons who would not be able to obtain insurance because of their low incomes can obtain cover provided on a group basis </w:t>
            </w:r>
            <w:r w:rsidR="003138E9">
              <w:rPr>
                <w:rFonts w:ascii="Arial" w:hAnsi="Arial" w:cs="Arial"/>
                <w:sz w:val="20"/>
                <w:szCs w:val="20"/>
              </w:rPr>
              <w:t xml:space="preserve">rather </w:t>
            </w:r>
            <w:r w:rsidR="00A2038E">
              <w:rPr>
                <w:rFonts w:ascii="Arial" w:hAnsi="Arial" w:cs="Arial"/>
                <w:sz w:val="20"/>
                <w:szCs w:val="20"/>
              </w:rPr>
              <w:t xml:space="preserve">than being individually underwritten. It is also important to note the availability of cover. One defining feature of </w:t>
            </w:r>
            <w:proofErr w:type="spellStart"/>
            <w:r w:rsidR="00A2038E">
              <w:rPr>
                <w:rFonts w:ascii="Arial" w:hAnsi="Arial" w:cs="Arial"/>
                <w:sz w:val="20"/>
                <w:szCs w:val="20"/>
              </w:rPr>
              <w:t>REST’s</w:t>
            </w:r>
            <w:proofErr w:type="spellEnd"/>
            <w:r w:rsidR="00A2038E">
              <w:rPr>
                <w:rFonts w:ascii="Arial" w:hAnsi="Arial" w:cs="Arial"/>
                <w:sz w:val="20"/>
                <w:szCs w:val="20"/>
              </w:rPr>
              <w:t xml:space="preserve"> current insurance offering is that default and voluntary insurance cover is provided for both part time and casual members for death, </w:t>
            </w:r>
            <w:proofErr w:type="spellStart"/>
            <w:r w:rsidR="00A2038E">
              <w:rPr>
                <w:rFonts w:ascii="Arial" w:hAnsi="Arial" w:cs="Arial"/>
                <w:sz w:val="20"/>
                <w:szCs w:val="20"/>
              </w:rPr>
              <w:t>TPD</w:t>
            </w:r>
            <w:proofErr w:type="spellEnd"/>
            <w:r w:rsidR="00A2038E">
              <w:rPr>
                <w:rFonts w:ascii="Arial" w:hAnsi="Arial" w:cs="Arial"/>
                <w:sz w:val="20"/>
                <w:szCs w:val="20"/>
              </w:rPr>
              <w:t xml:space="preserve"> and income protection cover which our members may not obtain elsewhere.</w:t>
            </w:r>
          </w:p>
          <w:p w:rsidR="00A2038E" w:rsidRDefault="00A2038E" w:rsidP="009E05DF">
            <w:pPr>
              <w:ind w:left="142"/>
              <w:jc w:val="both"/>
              <w:rPr>
                <w:rFonts w:ascii="Arial" w:hAnsi="Arial" w:cs="Arial"/>
                <w:sz w:val="20"/>
                <w:szCs w:val="20"/>
              </w:rPr>
            </w:pPr>
          </w:p>
          <w:p w:rsidR="00A2038E" w:rsidRDefault="00A2038E" w:rsidP="009E05DF">
            <w:pPr>
              <w:ind w:left="142"/>
              <w:jc w:val="both"/>
              <w:rPr>
                <w:rFonts w:ascii="Arial" w:hAnsi="Arial" w:cs="Arial"/>
                <w:sz w:val="20"/>
                <w:szCs w:val="20"/>
              </w:rPr>
            </w:pPr>
            <w:r>
              <w:rPr>
                <w:rFonts w:ascii="Arial" w:hAnsi="Arial" w:cs="Arial"/>
                <w:sz w:val="20"/>
                <w:szCs w:val="20"/>
              </w:rPr>
              <w:t xml:space="preserve">De-linking </w:t>
            </w:r>
            <w:r w:rsidR="00651E39">
              <w:rPr>
                <w:rFonts w:ascii="Arial" w:hAnsi="Arial" w:cs="Arial"/>
                <w:sz w:val="20"/>
                <w:szCs w:val="20"/>
              </w:rPr>
              <w:t xml:space="preserve">insurance </w:t>
            </w:r>
            <w:r>
              <w:rPr>
                <w:rFonts w:ascii="Arial" w:hAnsi="Arial" w:cs="Arial"/>
                <w:sz w:val="20"/>
                <w:szCs w:val="20"/>
              </w:rPr>
              <w:t>from superannuation would result in the Australian health system taking a heavier burden of paying for those uninsured members.</w:t>
            </w:r>
            <w:r w:rsidR="00651E39">
              <w:rPr>
                <w:rFonts w:ascii="Arial" w:hAnsi="Arial" w:cs="Arial"/>
                <w:sz w:val="20"/>
                <w:szCs w:val="20"/>
              </w:rPr>
              <w:t xml:space="preserve"> </w:t>
            </w:r>
            <w:r>
              <w:rPr>
                <w:rFonts w:ascii="Arial" w:hAnsi="Arial" w:cs="Arial"/>
                <w:sz w:val="20"/>
                <w:szCs w:val="20"/>
              </w:rPr>
              <w:t xml:space="preserve">Even if insurance was not de-linked from superannuation, there would be impacts upon REST members if any of the alternate models </w:t>
            </w:r>
            <w:r w:rsidR="00D752B6">
              <w:rPr>
                <w:rFonts w:ascii="Arial" w:hAnsi="Arial" w:cs="Arial"/>
                <w:sz w:val="20"/>
                <w:szCs w:val="20"/>
              </w:rPr>
              <w:t>were implemented</w:t>
            </w:r>
            <w:r>
              <w:rPr>
                <w:rFonts w:ascii="Arial" w:hAnsi="Arial" w:cs="Arial"/>
                <w:sz w:val="20"/>
                <w:szCs w:val="20"/>
              </w:rPr>
              <w:t>. REST operates one of the largest insurance pools in the southern hemisphere. As a result, REST is able to offer cheaper insurance because of the benefits of scale. Larger membership groups provide larger pools which provide actuaries with higher certainty of the outcome of total claims. This yields lower risk premiums. The administration of group life plans also benefit</w:t>
            </w:r>
            <w:r w:rsidR="003138E9">
              <w:rPr>
                <w:rFonts w:ascii="Arial" w:hAnsi="Arial" w:cs="Arial"/>
                <w:sz w:val="20"/>
                <w:szCs w:val="20"/>
              </w:rPr>
              <w:t>s</w:t>
            </w:r>
            <w:r>
              <w:rPr>
                <w:rFonts w:ascii="Arial" w:hAnsi="Arial" w:cs="Arial"/>
                <w:sz w:val="20"/>
                <w:szCs w:val="20"/>
              </w:rPr>
              <w:t xml:space="preserve"> from scale because it, too, has a large fixed cost component. The administration component of premium rates will therefore also fall with increasing membership, or rise with decreasing membership. Premium rates therefore reduce with scale</w:t>
            </w:r>
            <w:r w:rsidR="00F941B2">
              <w:rPr>
                <w:rFonts w:ascii="Arial" w:hAnsi="Arial" w:cs="Arial"/>
                <w:sz w:val="20"/>
                <w:szCs w:val="20"/>
              </w:rPr>
              <w:t>, all other things being equal.</w:t>
            </w:r>
            <w:r>
              <w:rPr>
                <w:rFonts w:ascii="Arial" w:hAnsi="Arial" w:cs="Arial"/>
                <w:sz w:val="20"/>
                <w:szCs w:val="20"/>
              </w:rPr>
              <w:t xml:space="preserve"> However, </w:t>
            </w:r>
            <w:r w:rsidR="00F54A82">
              <w:rPr>
                <w:rFonts w:ascii="Arial" w:hAnsi="Arial" w:cs="Arial"/>
                <w:sz w:val="20"/>
                <w:szCs w:val="20"/>
              </w:rPr>
              <w:t xml:space="preserve">any changes to the current model will cause </w:t>
            </w:r>
            <w:r>
              <w:rPr>
                <w:rFonts w:ascii="Arial" w:hAnsi="Arial" w:cs="Arial"/>
                <w:sz w:val="20"/>
                <w:szCs w:val="20"/>
              </w:rPr>
              <w:t xml:space="preserve">a reduced membership </w:t>
            </w:r>
            <w:r w:rsidR="00F54A82">
              <w:rPr>
                <w:rFonts w:ascii="Arial" w:hAnsi="Arial" w:cs="Arial"/>
                <w:sz w:val="20"/>
                <w:szCs w:val="20"/>
              </w:rPr>
              <w:t xml:space="preserve">which </w:t>
            </w:r>
            <w:r>
              <w:rPr>
                <w:rFonts w:ascii="Arial" w:hAnsi="Arial" w:cs="Arial"/>
                <w:sz w:val="20"/>
                <w:szCs w:val="20"/>
              </w:rPr>
              <w:t xml:space="preserve">will erode this pool and could potentially affect </w:t>
            </w:r>
            <w:proofErr w:type="spellStart"/>
            <w:r>
              <w:rPr>
                <w:rFonts w:ascii="Arial" w:hAnsi="Arial" w:cs="Arial"/>
                <w:sz w:val="20"/>
                <w:szCs w:val="20"/>
              </w:rPr>
              <w:t>REST’s</w:t>
            </w:r>
            <w:proofErr w:type="spellEnd"/>
            <w:r>
              <w:rPr>
                <w:rFonts w:ascii="Arial" w:hAnsi="Arial" w:cs="Arial"/>
                <w:sz w:val="20"/>
                <w:szCs w:val="20"/>
              </w:rPr>
              <w:t xml:space="preserve"> future </w:t>
            </w:r>
            <w:r w:rsidR="00D6598B">
              <w:rPr>
                <w:rFonts w:ascii="Arial" w:hAnsi="Arial" w:cs="Arial"/>
                <w:sz w:val="20"/>
                <w:szCs w:val="20"/>
              </w:rPr>
              <w:t>experience.</w:t>
            </w:r>
            <w:r>
              <w:rPr>
                <w:rFonts w:ascii="Arial" w:hAnsi="Arial" w:cs="Arial"/>
                <w:sz w:val="20"/>
                <w:szCs w:val="20"/>
              </w:rPr>
              <w:t xml:space="preserve"> This will impact on the remaining members in terms of premium rates, cover and ancillary benefits. </w:t>
            </w:r>
          </w:p>
          <w:p w:rsidR="00A2038E" w:rsidRDefault="00A2038E" w:rsidP="009E05DF">
            <w:pPr>
              <w:ind w:left="142"/>
              <w:jc w:val="both"/>
              <w:rPr>
                <w:rFonts w:ascii="Arial" w:hAnsi="Arial" w:cs="Arial"/>
                <w:sz w:val="20"/>
                <w:szCs w:val="20"/>
              </w:rPr>
            </w:pPr>
          </w:p>
          <w:p w:rsidR="00DF37F5" w:rsidRPr="00A53BF0" w:rsidRDefault="00974B8B" w:rsidP="00A53BF0">
            <w:pPr>
              <w:pStyle w:val="Heading3"/>
              <w:ind w:firstLine="851"/>
              <w:rPr>
                <w:rFonts w:ascii="Arial Narrow" w:hAnsi="Arial Narrow"/>
                <w:sz w:val="22"/>
                <w:szCs w:val="22"/>
              </w:rPr>
            </w:pPr>
            <w:bookmarkStart w:id="22" w:name="_Toc465354088"/>
            <w:r w:rsidRPr="00A53BF0">
              <w:rPr>
                <w:rFonts w:ascii="Arial Narrow" w:hAnsi="Arial Narrow"/>
                <w:sz w:val="22"/>
                <w:szCs w:val="22"/>
              </w:rPr>
              <w:t>8.2.</w:t>
            </w:r>
            <w:r w:rsidR="006B7B7A">
              <w:rPr>
                <w:rFonts w:ascii="Arial Narrow" w:hAnsi="Arial Narrow"/>
                <w:sz w:val="22"/>
                <w:szCs w:val="22"/>
              </w:rPr>
              <w:t>2</w:t>
            </w:r>
            <w:r w:rsidR="006559FF" w:rsidRPr="00A53BF0">
              <w:rPr>
                <w:rFonts w:ascii="Arial Narrow" w:hAnsi="Arial Narrow"/>
                <w:sz w:val="22"/>
                <w:szCs w:val="22"/>
              </w:rPr>
              <w:t xml:space="preserve"> </w:t>
            </w:r>
            <w:r w:rsidR="00DF37F5" w:rsidRPr="00A53BF0">
              <w:rPr>
                <w:rFonts w:ascii="Arial Narrow" w:hAnsi="Arial Narrow"/>
                <w:sz w:val="22"/>
                <w:szCs w:val="22"/>
              </w:rPr>
              <w:t>The value of innovation</w:t>
            </w:r>
            <w:bookmarkEnd w:id="22"/>
          </w:p>
          <w:p w:rsidR="00135285" w:rsidRDefault="00135285" w:rsidP="009E05DF">
            <w:pPr>
              <w:ind w:left="142"/>
              <w:jc w:val="both"/>
              <w:rPr>
                <w:rFonts w:ascii="Arial" w:hAnsi="Arial" w:cs="Arial"/>
                <w:b/>
                <w:sz w:val="20"/>
                <w:szCs w:val="20"/>
              </w:rPr>
            </w:pPr>
          </w:p>
          <w:p w:rsidR="00FD6271" w:rsidRDefault="00F22564" w:rsidP="009E05DF">
            <w:pPr>
              <w:ind w:left="142"/>
              <w:jc w:val="both"/>
              <w:rPr>
                <w:rFonts w:ascii="Arial" w:hAnsi="Arial" w:cs="Arial"/>
                <w:sz w:val="20"/>
                <w:szCs w:val="20"/>
              </w:rPr>
            </w:pPr>
            <w:r>
              <w:rPr>
                <w:rFonts w:ascii="Arial" w:hAnsi="Arial" w:cs="Arial"/>
                <w:sz w:val="20"/>
                <w:szCs w:val="20"/>
              </w:rPr>
              <w:t>The current system is encouraging innovation and this has a key role in achieving efficiencies. REST notes that t</w:t>
            </w:r>
            <w:r w:rsidR="00135285" w:rsidRPr="00317547">
              <w:rPr>
                <w:rFonts w:ascii="Arial" w:hAnsi="Arial" w:cs="Arial"/>
                <w:sz w:val="20"/>
                <w:szCs w:val="20"/>
              </w:rPr>
              <w:t xml:space="preserve">he role and effects of innovation </w:t>
            </w:r>
            <w:r>
              <w:rPr>
                <w:rFonts w:ascii="Arial" w:hAnsi="Arial" w:cs="Arial"/>
                <w:sz w:val="20"/>
                <w:szCs w:val="20"/>
              </w:rPr>
              <w:t xml:space="preserve">in terms of achieving efficiencies </w:t>
            </w:r>
            <w:r w:rsidR="00135285" w:rsidRPr="00317547">
              <w:rPr>
                <w:rFonts w:ascii="Arial" w:hAnsi="Arial" w:cs="Arial"/>
                <w:sz w:val="20"/>
                <w:szCs w:val="20"/>
              </w:rPr>
              <w:t xml:space="preserve">should be more prevalent in the </w:t>
            </w:r>
            <w:r>
              <w:rPr>
                <w:rFonts w:ascii="Arial" w:hAnsi="Arial" w:cs="Arial"/>
                <w:sz w:val="20"/>
                <w:szCs w:val="20"/>
              </w:rPr>
              <w:t xml:space="preserve">proposed </w:t>
            </w:r>
            <w:r w:rsidR="00135285" w:rsidRPr="00317547">
              <w:rPr>
                <w:rFonts w:ascii="Arial" w:hAnsi="Arial" w:cs="Arial"/>
                <w:sz w:val="20"/>
                <w:szCs w:val="20"/>
              </w:rPr>
              <w:t>framework</w:t>
            </w:r>
            <w:r>
              <w:rPr>
                <w:rFonts w:ascii="Arial" w:hAnsi="Arial" w:cs="Arial"/>
                <w:sz w:val="20"/>
                <w:szCs w:val="20"/>
              </w:rPr>
              <w:t>.</w:t>
            </w:r>
          </w:p>
          <w:p w:rsidR="00FD6271" w:rsidRDefault="00FD6271" w:rsidP="009E05DF">
            <w:pPr>
              <w:ind w:left="142"/>
              <w:jc w:val="both"/>
              <w:rPr>
                <w:rFonts w:ascii="Arial" w:hAnsi="Arial" w:cs="Arial"/>
                <w:sz w:val="20"/>
                <w:szCs w:val="20"/>
              </w:rPr>
            </w:pPr>
          </w:p>
          <w:p w:rsidR="003A3308" w:rsidRDefault="00F22564" w:rsidP="009E05DF">
            <w:pPr>
              <w:ind w:left="142"/>
              <w:jc w:val="both"/>
              <w:rPr>
                <w:rFonts w:ascii="Arial" w:hAnsi="Arial" w:cs="Arial"/>
                <w:sz w:val="20"/>
                <w:szCs w:val="20"/>
              </w:rPr>
            </w:pPr>
            <w:r>
              <w:rPr>
                <w:rFonts w:ascii="Arial" w:hAnsi="Arial" w:cs="Arial"/>
                <w:sz w:val="20"/>
                <w:szCs w:val="20"/>
              </w:rPr>
              <w:t xml:space="preserve">Innovation can include </w:t>
            </w:r>
            <w:r w:rsidR="00392A54" w:rsidRPr="00317547">
              <w:rPr>
                <w:rFonts w:ascii="Arial" w:hAnsi="Arial" w:cs="Arial"/>
                <w:sz w:val="20"/>
                <w:szCs w:val="20"/>
              </w:rPr>
              <w:t>improvements in services and in the modes of delivery of products and services.</w:t>
            </w:r>
            <w:r w:rsidR="00856B22" w:rsidRPr="00317547">
              <w:rPr>
                <w:rFonts w:ascii="Arial" w:hAnsi="Arial" w:cs="Arial"/>
                <w:sz w:val="20"/>
                <w:szCs w:val="20"/>
              </w:rPr>
              <w:t xml:space="preserve"> One perspective would be to capture innovation as a source of competition, and the value and benefit of inn</w:t>
            </w:r>
            <w:r w:rsidR="00317547" w:rsidRPr="00317547">
              <w:rPr>
                <w:rFonts w:ascii="Arial" w:hAnsi="Arial" w:cs="Arial"/>
                <w:sz w:val="20"/>
                <w:szCs w:val="20"/>
              </w:rPr>
              <w:t>ovation</w:t>
            </w:r>
            <w:r w:rsidR="00856B22" w:rsidRPr="00317547">
              <w:rPr>
                <w:rFonts w:ascii="Arial" w:hAnsi="Arial" w:cs="Arial"/>
                <w:sz w:val="20"/>
                <w:szCs w:val="20"/>
              </w:rPr>
              <w:t xml:space="preserve"> to members.</w:t>
            </w:r>
            <w:r w:rsidR="00892C0F" w:rsidRPr="00317547">
              <w:rPr>
                <w:rFonts w:ascii="Arial" w:hAnsi="Arial" w:cs="Arial"/>
                <w:sz w:val="20"/>
                <w:szCs w:val="20"/>
              </w:rPr>
              <w:t xml:space="preserve">   </w:t>
            </w:r>
          </w:p>
          <w:p w:rsidR="003A3308" w:rsidRDefault="003A3308" w:rsidP="009E05DF">
            <w:pPr>
              <w:ind w:left="142"/>
              <w:jc w:val="both"/>
              <w:rPr>
                <w:rFonts w:ascii="Arial" w:hAnsi="Arial" w:cs="Arial"/>
                <w:sz w:val="20"/>
                <w:szCs w:val="20"/>
              </w:rPr>
            </w:pPr>
          </w:p>
          <w:p w:rsidR="00FD6271" w:rsidRDefault="00FD6271" w:rsidP="009E05DF">
            <w:pPr>
              <w:pStyle w:val="Default"/>
              <w:ind w:left="142"/>
              <w:jc w:val="both"/>
              <w:rPr>
                <w:sz w:val="20"/>
                <w:szCs w:val="20"/>
              </w:rPr>
            </w:pPr>
            <w:r>
              <w:rPr>
                <w:sz w:val="20"/>
                <w:szCs w:val="20"/>
              </w:rPr>
              <w:t>D</w:t>
            </w:r>
            <w:r w:rsidR="003A3308">
              <w:rPr>
                <w:sz w:val="20"/>
                <w:szCs w:val="20"/>
              </w:rPr>
              <w:t>ynamic efficiency occurs when innovation and technological change increase the overall benefits that could be achieved in a competitive and efficient system. This can mean</w:t>
            </w:r>
            <w:r>
              <w:rPr>
                <w:sz w:val="20"/>
                <w:szCs w:val="20"/>
              </w:rPr>
              <w:t>:</w:t>
            </w:r>
          </w:p>
          <w:p w:rsidR="00431BD3" w:rsidRDefault="00431BD3" w:rsidP="009E05DF">
            <w:pPr>
              <w:pStyle w:val="Default"/>
              <w:ind w:left="142"/>
              <w:jc w:val="both"/>
              <w:rPr>
                <w:sz w:val="20"/>
                <w:szCs w:val="20"/>
              </w:rPr>
            </w:pPr>
          </w:p>
          <w:p w:rsidR="00431BD3" w:rsidRPr="00431BD3" w:rsidRDefault="00431BD3" w:rsidP="00431BD3">
            <w:pPr>
              <w:pStyle w:val="Default"/>
              <w:numPr>
                <w:ilvl w:val="0"/>
                <w:numId w:val="32"/>
              </w:numPr>
              <w:jc w:val="both"/>
              <w:rPr>
                <w:b/>
                <w:sz w:val="20"/>
                <w:szCs w:val="20"/>
              </w:rPr>
            </w:pPr>
            <w:r w:rsidRPr="00431BD3">
              <w:rPr>
                <w:b/>
                <w:sz w:val="20"/>
                <w:szCs w:val="20"/>
              </w:rPr>
              <w:t xml:space="preserve">Better forms of </w:t>
            </w:r>
            <w:r>
              <w:rPr>
                <w:b/>
                <w:sz w:val="20"/>
                <w:szCs w:val="20"/>
              </w:rPr>
              <w:t xml:space="preserve">product </w:t>
            </w:r>
            <w:r w:rsidRPr="00431BD3">
              <w:rPr>
                <w:b/>
                <w:sz w:val="20"/>
                <w:szCs w:val="20"/>
              </w:rPr>
              <w:t>distribution</w:t>
            </w:r>
            <w:r>
              <w:rPr>
                <w:b/>
                <w:sz w:val="20"/>
                <w:szCs w:val="20"/>
              </w:rPr>
              <w:t xml:space="preserve"> </w:t>
            </w:r>
            <w:r w:rsidR="002A4FC1">
              <w:rPr>
                <w:b/>
                <w:sz w:val="20"/>
                <w:szCs w:val="20"/>
              </w:rPr>
              <w:t>via digital delivery</w:t>
            </w:r>
            <w:r w:rsidRPr="00431BD3">
              <w:rPr>
                <w:b/>
                <w:sz w:val="20"/>
                <w:szCs w:val="20"/>
              </w:rPr>
              <w:t xml:space="preserve">: </w:t>
            </w:r>
          </w:p>
          <w:p w:rsidR="00431BD3" w:rsidRDefault="00431BD3" w:rsidP="00431BD3">
            <w:pPr>
              <w:pStyle w:val="Default"/>
              <w:ind w:left="851"/>
              <w:jc w:val="both"/>
              <w:rPr>
                <w:sz w:val="20"/>
                <w:szCs w:val="20"/>
              </w:rPr>
            </w:pPr>
          </w:p>
          <w:p w:rsidR="00431BD3" w:rsidRDefault="00431BD3" w:rsidP="00431BD3">
            <w:pPr>
              <w:pStyle w:val="Default"/>
              <w:ind w:left="851"/>
              <w:jc w:val="both"/>
              <w:rPr>
                <w:sz w:val="20"/>
                <w:szCs w:val="20"/>
              </w:rPr>
            </w:pPr>
            <w:r>
              <w:rPr>
                <w:sz w:val="20"/>
                <w:szCs w:val="20"/>
              </w:rPr>
              <w:t xml:space="preserve">Despite regulatory constraints, there have been recent  changes by </w:t>
            </w:r>
            <w:proofErr w:type="spellStart"/>
            <w:r>
              <w:rPr>
                <w:sz w:val="20"/>
                <w:szCs w:val="20"/>
              </w:rPr>
              <w:t>ASIC</w:t>
            </w:r>
            <w:proofErr w:type="spellEnd"/>
            <w:r>
              <w:rPr>
                <w:sz w:val="20"/>
                <w:szCs w:val="20"/>
              </w:rPr>
              <w:t>  (</w:t>
            </w:r>
            <w:proofErr w:type="spellStart"/>
            <w:r>
              <w:rPr>
                <w:sz w:val="20"/>
                <w:szCs w:val="20"/>
              </w:rPr>
              <w:t>RG</w:t>
            </w:r>
            <w:proofErr w:type="spellEnd"/>
            <w:r>
              <w:rPr>
                <w:sz w:val="20"/>
                <w:szCs w:val="20"/>
              </w:rPr>
              <w:t xml:space="preserve"> 221 </w:t>
            </w:r>
            <w:r w:rsidRPr="00431BD3">
              <w:rPr>
                <w:i/>
                <w:sz w:val="20"/>
                <w:szCs w:val="20"/>
              </w:rPr>
              <w:t>Facilitating Digital Financial Services Disclosures</w:t>
            </w:r>
            <w:r>
              <w:rPr>
                <w:sz w:val="20"/>
                <w:szCs w:val="20"/>
              </w:rPr>
              <w:t xml:space="preserve">, issued 29 March, 2016) in relation to product disclosure innovation by facilitating default digital delivery of financial services disclosure and by removing barriers and encouraging the use of innovative Product Disclosure Statements, Financial Services Guides and Statements of Advice. </w:t>
            </w:r>
          </w:p>
          <w:p w:rsidR="00431BD3" w:rsidRDefault="00431BD3" w:rsidP="00431BD3">
            <w:pPr>
              <w:pStyle w:val="Default"/>
              <w:ind w:left="851"/>
              <w:jc w:val="both"/>
              <w:rPr>
                <w:sz w:val="20"/>
                <w:szCs w:val="20"/>
              </w:rPr>
            </w:pPr>
          </w:p>
          <w:p w:rsidR="00431BD3" w:rsidRDefault="00431BD3" w:rsidP="00431BD3">
            <w:pPr>
              <w:pStyle w:val="Default"/>
              <w:ind w:left="851"/>
              <w:jc w:val="both"/>
              <w:rPr>
                <w:sz w:val="20"/>
                <w:szCs w:val="20"/>
              </w:rPr>
            </w:pPr>
            <w:r>
              <w:rPr>
                <w:sz w:val="20"/>
                <w:szCs w:val="20"/>
              </w:rPr>
              <w:t>Allowing for a more efficient, digital form of distribution also takes away regulatory blockages from the regime operating efficiently where members can now choose the most appropriate, effective and efficient method of communication.  </w:t>
            </w:r>
          </w:p>
          <w:p w:rsidR="00431BD3" w:rsidRDefault="00431BD3" w:rsidP="00431BD3">
            <w:pPr>
              <w:pStyle w:val="Default"/>
              <w:ind w:left="851"/>
              <w:jc w:val="both"/>
              <w:rPr>
                <w:sz w:val="20"/>
                <w:szCs w:val="20"/>
              </w:rPr>
            </w:pPr>
          </w:p>
          <w:p w:rsidR="00431BD3" w:rsidRDefault="00431BD3" w:rsidP="00431BD3">
            <w:pPr>
              <w:pStyle w:val="Default"/>
              <w:ind w:left="851"/>
              <w:jc w:val="both"/>
              <w:rPr>
                <w:sz w:val="20"/>
                <w:szCs w:val="20"/>
              </w:rPr>
            </w:pPr>
            <w:r>
              <w:rPr>
                <w:sz w:val="20"/>
                <w:szCs w:val="20"/>
              </w:rPr>
              <w:t>These new regulatory settings have achieved for super (and other financial products) cheaper, more efficient digital disclosure and messaging, and reduced market inefficiencies in the form of postal costs and preparation of paper documents (which may reach millions of dollars depending on the number of members who need to be sent superannuation disclosure material by post).</w:t>
            </w:r>
          </w:p>
          <w:p w:rsidR="00431BD3" w:rsidRDefault="00431BD3" w:rsidP="00431BD3">
            <w:pPr>
              <w:pStyle w:val="Default"/>
              <w:ind w:left="851"/>
              <w:jc w:val="both"/>
              <w:rPr>
                <w:sz w:val="20"/>
                <w:szCs w:val="20"/>
              </w:rPr>
            </w:pPr>
          </w:p>
          <w:p w:rsidR="00A74218" w:rsidRDefault="00431BD3" w:rsidP="00A74218">
            <w:pPr>
              <w:pStyle w:val="Default"/>
              <w:ind w:left="851"/>
              <w:jc w:val="both"/>
              <w:rPr>
                <w:sz w:val="20"/>
                <w:szCs w:val="20"/>
              </w:rPr>
            </w:pPr>
            <w:r>
              <w:rPr>
                <w:sz w:val="20"/>
                <w:szCs w:val="20"/>
              </w:rPr>
              <w:t xml:space="preserve">The removal of these barriers by </w:t>
            </w:r>
            <w:proofErr w:type="spellStart"/>
            <w:r>
              <w:rPr>
                <w:sz w:val="20"/>
                <w:szCs w:val="20"/>
              </w:rPr>
              <w:t>ASIC</w:t>
            </w:r>
            <w:proofErr w:type="spellEnd"/>
            <w:r>
              <w:rPr>
                <w:sz w:val="20"/>
                <w:szCs w:val="20"/>
              </w:rPr>
              <w:t xml:space="preserve"> also provided incentives for superannuation product providers to develop more innovative disclosure that is cheaper and better able </w:t>
            </w:r>
            <w:r>
              <w:rPr>
                <w:sz w:val="20"/>
                <w:szCs w:val="20"/>
              </w:rPr>
              <w:lastRenderedPageBreak/>
              <w:t xml:space="preserve">to meet member’s expectations. </w:t>
            </w:r>
            <w:r w:rsidR="00A74218">
              <w:rPr>
                <w:sz w:val="20"/>
                <w:szCs w:val="20"/>
              </w:rPr>
              <w:t xml:space="preserve">In particular, where a superannuation fund has a majority of young members, using digital distribution methods achieves a dynamic efficiency where funds are communicating to members in a way that they prefer and are much more likely to become more engaged. This is a particular challenge for superannuation as younger members are characteristically “disengaged” given that their retirement is decades away.  REST has recently launched digital periodic statements which are sent to members via </w:t>
            </w:r>
            <w:proofErr w:type="spellStart"/>
            <w:r w:rsidR="00A74218">
              <w:rPr>
                <w:sz w:val="20"/>
                <w:szCs w:val="20"/>
              </w:rPr>
              <w:t>SMS</w:t>
            </w:r>
            <w:proofErr w:type="spellEnd"/>
            <w:r w:rsidR="00A74218">
              <w:rPr>
                <w:sz w:val="20"/>
                <w:szCs w:val="20"/>
              </w:rPr>
              <w:t xml:space="preserve"> and email. This has resulted in lower costs in terms of distribution of the statements as well as increased engagement with members.</w:t>
            </w:r>
          </w:p>
          <w:p w:rsidR="00A74218" w:rsidRDefault="00A74218" w:rsidP="00431BD3">
            <w:pPr>
              <w:pStyle w:val="Default"/>
              <w:ind w:left="851"/>
              <w:jc w:val="both"/>
              <w:rPr>
                <w:sz w:val="20"/>
                <w:szCs w:val="20"/>
              </w:rPr>
            </w:pPr>
          </w:p>
          <w:p w:rsidR="00431BD3" w:rsidRDefault="00431BD3" w:rsidP="00431BD3">
            <w:pPr>
              <w:pStyle w:val="Default"/>
              <w:ind w:left="851"/>
              <w:jc w:val="both"/>
              <w:rPr>
                <w:sz w:val="20"/>
                <w:szCs w:val="20"/>
              </w:rPr>
            </w:pPr>
            <w:r>
              <w:rPr>
                <w:sz w:val="20"/>
                <w:szCs w:val="20"/>
              </w:rPr>
              <w:t xml:space="preserve">Greater innovation in superannuation products, including interactive web-based disclosures, applications, videos, games and audio presentations in disclosure leads to better quality communication to members. </w:t>
            </w:r>
          </w:p>
          <w:p w:rsidR="00431BD3" w:rsidRDefault="00431BD3" w:rsidP="00431BD3">
            <w:pPr>
              <w:pStyle w:val="Default"/>
              <w:ind w:left="851"/>
              <w:jc w:val="both"/>
              <w:rPr>
                <w:sz w:val="20"/>
                <w:szCs w:val="20"/>
              </w:rPr>
            </w:pPr>
          </w:p>
          <w:p w:rsidR="00431BD3" w:rsidRDefault="00431BD3" w:rsidP="00431BD3">
            <w:pPr>
              <w:pStyle w:val="Default"/>
              <w:ind w:left="851"/>
              <w:jc w:val="both"/>
              <w:rPr>
                <w:sz w:val="20"/>
                <w:szCs w:val="20"/>
              </w:rPr>
            </w:pPr>
          </w:p>
          <w:p w:rsidR="00431BD3" w:rsidRPr="002A4FC1" w:rsidRDefault="00431BD3" w:rsidP="00431BD3">
            <w:pPr>
              <w:pStyle w:val="Default"/>
              <w:numPr>
                <w:ilvl w:val="0"/>
                <w:numId w:val="32"/>
              </w:numPr>
              <w:jc w:val="both"/>
              <w:rPr>
                <w:b/>
                <w:sz w:val="20"/>
                <w:szCs w:val="20"/>
              </w:rPr>
            </w:pPr>
            <w:r w:rsidRPr="002A4FC1">
              <w:rPr>
                <w:b/>
                <w:sz w:val="20"/>
                <w:szCs w:val="20"/>
              </w:rPr>
              <w:t>Better product development</w:t>
            </w:r>
          </w:p>
          <w:p w:rsidR="000F32EB" w:rsidRDefault="000F32EB" w:rsidP="00431BD3">
            <w:pPr>
              <w:pStyle w:val="Default"/>
              <w:ind w:left="851"/>
              <w:jc w:val="both"/>
              <w:rPr>
                <w:sz w:val="20"/>
                <w:szCs w:val="20"/>
              </w:rPr>
            </w:pPr>
          </w:p>
          <w:p w:rsidR="00431BD3" w:rsidRDefault="00431BD3" w:rsidP="00431BD3">
            <w:pPr>
              <w:pStyle w:val="Default"/>
              <w:ind w:left="851"/>
              <w:jc w:val="both"/>
              <w:rPr>
                <w:sz w:val="20"/>
                <w:szCs w:val="20"/>
              </w:rPr>
            </w:pPr>
            <w:r>
              <w:rPr>
                <w:sz w:val="20"/>
                <w:szCs w:val="20"/>
              </w:rPr>
              <w:t>Innovations such as “apps”</w:t>
            </w:r>
            <w:r w:rsidR="000F32EB">
              <w:rPr>
                <w:sz w:val="20"/>
                <w:szCs w:val="20"/>
              </w:rPr>
              <w:t xml:space="preserve"> or applications</w:t>
            </w:r>
            <w:r>
              <w:rPr>
                <w:sz w:val="20"/>
                <w:szCs w:val="20"/>
              </w:rPr>
              <w:t xml:space="preserve"> whereby members can check their superannuation balances on their mobiles as well as other transactions, test very favourably with these younger members. It leads to dynamic efficiencies of increasing member satisfaction and trust with super, presenting information that is more likely to be acted upon, as opposed to non-digital approaches which may not achieve the same engagement and is more costly. Information that is in a form that is able to be acted upon by members is much more efficient in terms of achieving a fund’s objectives of communicating with members about their own superannuation.</w:t>
            </w:r>
          </w:p>
          <w:p w:rsidR="00431BD3" w:rsidRDefault="00431BD3" w:rsidP="00431BD3">
            <w:pPr>
              <w:pStyle w:val="Default"/>
              <w:ind w:left="851"/>
              <w:jc w:val="both"/>
              <w:rPr>
                <w:sz w:val="20"/>
                <w:szCs w:val="20"/>
              </w:rPr>
            </w:pPr>
          </w:p>
          <w:p w:rsidR="00431BD3" w:rsidRDefault="00431BD3" w:rsidP="00431BD3">
            <w:pPr>
              <w:pStyle w:val="Default"/>
              <w:ind w:left="851"/>
              <w:jc w:val="both"/>
              <w:rPr>
                <w:sz w:val="20"/>
                <w:szCs w:val="20"/>
              </w:rPr>
            </w:pPr>
            <w:r>
              <w:rPr>
                <w:sz w:val="20"/>
                <w:szCs w:val="20"/>
              </w:rPr>
              <w:t xml:space="preserve">Innovative products such as mobile applications offering electronic retirement calculators, ability to make electronic contributions, showing insurance details in the application all add to the application operating as a “one stop shop” for superannuation, increasing efficiencies through member self-service. Similar efficiencies are achieved with </w:t>
            </w:r>
            <w:proofErr w:type="spellStart"/>
            <w:r>
              <w:rPr>
                <w:sz w:val="20"/>
                <w:szCs w:val="20"/>
              </w:rPr>
              <w:t>on-line</w:t>
            </w:r>
            <w:proofErr w:type="spellEnd"/>
            <w:r>
              <w:rPr>
                <w:sz w:val="20"/>
                <w:szCs w:val="20"/>
              </w:rPr>
              <w:t xml:space="preserve"> joining and transactions which many super funds </w:t>
            </w:r>
            <w:r w:rsidR="004C7328">
              <w:rPr>
                <w:sz w:val="20"/>
                <w:szCs w:val="20"/>
              </w:rPr>
              <w:t xml:space="preserve">now </w:t>
            </w:r>
            <w:r>
              <w:rPr>
                <w:sz w:val="20"/>
                <w:szCs w:val="20"/>
              </w:rPr>
              <w:t xml:space="preserve">offer. </w:t>
            </w:r>
          </w:p>
          <w:p w:rsidR="00431BD3" w:rsidRDefault="00431BD3" w:rsidP="00431BD3">
            <w:pPr>
              <w:pStyle w:val="Default"/>
              <w:ind w:left="851"/>
              <w:jc w:val="both"/>
              <w:rPr>
                <w:sz w:val="20"/>
                <w:szCs w:val="20"/>
              </w:rPr>
            </w:pPr>
          </w:p>
          <w:p w:rsidR="00431BD3" w:rsidRPr="00431BD3" w:rsidRDefault="00431BD3" w:rsidP="00431BD3">
            <w:pPr>
              <w:pStyle w:val="Default"/>
              <w:numPr>
                <w:ilvl w:val="0"/>
                <w:numId w:val="32"/>
              </w:numPr>
              <w:jc w:val="both"/>
              <w:rPr>
                <w:b/>
                <w:sz w:val="20"/>
                <w:szCs w:val="20"/>
              </w:rPr>
            </w:pPr>
            <w:r w:rsidRPr="00431BD3">
              <w:rPr>
                <w:b/>
                <w:sz w:val="20"/>
                <w:szCs w:val="20"/>
              </w:rPr>
              <w:t>Better member engagement</w:t>
            </w:r>
          </w:p>
          <w:p w:rsidR="00431BD3" w:rsidRPr="00431BD3" w:rsidRDefault="00431BD3" w:rsidP="00431BD3">
            <w:pPr>
              <w:pStyle w:val="Default"/>
              <w:jc w:val="both"/>
              <w:rPr>
                <w:b/>
                <w:sz w:val="20"/>
                <w:szCs w:val="20"/>
              </w:rPr>
            </w:pPr>
          </w:p>
          <w:p w:rsidR="003A3308" w:rsidRDefault="002A4FC1" w:rsidP="00431BD3">
            <w:pPr>
              <w:pStyle w:val="Default"/>
              <w:ind w:left="851"/>
              <w:jc w:val="both"/>
              <w:rPr>
                <w:sz w:val="20"/>
                <w:szCs w:val="20"/>
              </w:rPr>
            </w:pPr>
            <w:r>
              <w:rPr>
                <w:sz w:val="20"/>
                <w:szCs w:val="20"/>
              </w:rPr>
              <w:t xml:space="preserve">While innovative products can achieve better member engagement, other tools such as </w:t>
            </w:r>
            <w:proofErr w:type="spellStart"/>
            <w:r>
              <w:rPr>
                <w:sz w:val="20"/>
                <w:szCs w:val="20"/>
              </w:rPr>
              <w:t>r</w:t>
            </w:r>
            <w:r w:rsidR="003A3308">
              <w:rPr>
                <w:sz w:val="20"/>
                <w:szCs w:val="20"/>
              </w:rPr>
              <w:t>obo</w:t>
            </w:r>
            <w:proofErr w:type="spellEnd"/>
            <w:r w:rsidR="003A3308">
              <w:rPr>
                <w:sz w:val="20"/>
                <w:szCs w:val="20"/>
              </w:rPr>
              <w:t xml:space="preserve">-advice </w:t>
            </w:r>
            <w:r>
              <w:rPr>
                <w:sz w:val="20"/>
                <w:szCs w:val="20"/>
              </w:rPr>
              <w:t xml:space="preserve">can enhance this engagement. Many super funds now enable </w:t>
            </w:r>
            <w:r w:rsidR="003A3308">
              <w:rPr>
                <w:sz w:val="20"/>
                <w:szCs w:val="20"/>
              </w:rPr>
              <w:t>fund members to access digital advice through</w:t>
            </w:r>
            <w:r>
              <w:rPr>
                <w:sz w:val="20"/>
                <w:szCs w:val="20"/>
              </w:rPr>
              <w:t xml:space="preserve"> the</w:t>
            </w:r>
            <w:r w:rsidR="003A3308">
              <w:rPr>
                <w:sz w:val="20"/>
                <w:szCs w:val="20"/>
              </w:rPr>
              <w:t xml:space="preserve"> fund</w:t>
            </w:r>
            <w:r w:rsidR="00F15B4F">
              <w:rPr>
                <w:sz w:val="20"/>
                <w:szCs w:val="20"/>
              </w:rPr>
              <w:t>’s website</w:t>
            </w:r>
            <w:r w:rsidR="003A3308">
              <w:rPr>
                <w:sz w:val="20"/>
                <w:szCs w:val="20"/>
              </w:rPr>
              <w:t>. Some funds have found that offering adv</w:t>
            </w:r>
            <w:r>
              <w:rPr>
                <w:sz w:val="20"/>
                <w:szCs w:val="20"/>
              </w:rPr>
              <w:t xml:space="preserve">ice through different channels </w:t>
            </w:r>
            <w:r w:rsidR="003A3308">
              <w:rPr>
                <w:sz w:val="20"/>
                <w:szCs w:val="20"/>
              </w:rPr>
              <w:t>achieves a greater engagement with members which assists them with an improved retirement outcome.</w:t>
            </w:r>
          </w:p>
          <w:p w:rsidR="00431BD3" w:rsidRDefault="00431BD3" w:rsidP="00431BD3">
            <w:pPr>
              <w:pStyle w:val="Default"/>
              <w:ind w:left="851"/>
              <w:jc w:val="both"/>
              <w:rPr>
                <w:sz w:val="20"/>
                <w:szCs w:val="20"/>
              </w:rPr>
            </w:pPr>
          </w:p>
          <w:p w:rsidR="00431BD3" w:rsidRPr="00431BD3" w:rsidRDefault="00431BD3" w:rsidP="00431BD3">
            <w:pPr>
              <w:pStyle w:val="Default"/>
              <w:numPr>
                <w:ilvl w:val="0"/>
                <w:numId w:val="32"/>
              </w:numPr>
              <w:jc w:val="both"/>
              <w:rPr>
                <w:b/>
                <w:sz w:val="20"/>
                <w:szCs w:val="20"/>
              </w:rPr>
            </w:pPr>
            <w:r w:rsidRPr="00431BD3">
              <w:rPr>
                <w:b/>
                <w:sz w:val="20"/>
                <w:szCs w:val="20"/>
              </w:rPr>
              <w:t>Better administration</w:t>
            </w:r>
          </w:p>
          <w:p w:rsidR="003A3308" w:rsidRDefault="003A3308" w:rsidP="009E05DF">
            <w:pPr>
              <w:pStyle w:val="Default"/>
              <w:ind w:left="142"/>
              <w:jc w:val="both"/>
              <w:rPr>
                <w:sz w:val="20"/>
                <w:szCs w:val="20"/>
              </w:rPr>
            </w:pPr>
          </w:p>
          <w:p w:rsidR="003A3308" w:rsidRDefault="003A3308" w:rsidP="00431BD3">
            <w:pPr>
              <w:pStyle w:val="Default"/>
              <w:ind w:left="851"/>
              <w:jc w:val="both"/>
              <w:rPr>
                <w:sz w:val="20"/>
                <w:szCs w:val="20"/>
              </w:rPr>
            </w:pPr>
            <w:r>
              <w:rPr>
                <w:sz w:val="20"/>
                <w:szCs w:val="20"/>
              </w:rPr>
              <w:t>From a fund perspective</w:t>
            </w:r>
            <w:r w:rsidR="007B36BB">
              <w:rPr>
                <w:sz w:val="20"/>
                <w:szCs w:val="20"/>
              </w:rPr>
              <w:t xml:space="preserve">, </w:t>
            </w:r>
            <w:proofErr w:type="spellStart"/>
            <w:r w:rsidR="00431BD3">
              <w:rPr>
                <w:sz w:val="20"/>
                <w:szCs w:val="20"/>
              </w:rPr>
              <w:t>robo</w:t>
            </w:r>
            <w:proofErr w:type="spellEnd"/>
            <w:r w:rsidR="00431BD3">
              <w:rPr>
                <w:sz w:val="20"/>
                <w:szCs w:val="20"/>
              </w:rPr>
              <w:t>-advice and self</w:t>
            </w:r>
            <w:r w:rsidR="002A4FC1">
              <w:rPr>
                <w:sz w:val="20"/>
                <w:szCs w:val="20"/>
              </w:rPr>
              <w:t>-</w:t>
            </w:r>
            <w:r w:rsidR="00431BD3">
              <w:rPr>
                <w:sz w:val="20"/>
                <w:szCs w:val="20"/>
              </w:rPr>
              <w:t>administration processes</w:t>
            </w:r>
            <w:r>
              <w:rPr>
                <w:sz w:val="20"/>
                <w:szCs w:val="20"/>
              </w:rPr>
              <w:t xml:space="preserve"> also create back office efficiencies </w:t>
            </w:r>
            <w:r w:rsidR="00962D4C">
              <w:rPr>
                <w:sz w:val="20"/>
                <w:szCs w:val="20"/>
              </w:rPr>
              <w:t>which</w:t>
            </w:r>
            <w:r>
              <w:rPr>
                <w:sz w:val="20"/>
                <w:szCs w:val="20"/>
              </w:rPr>
              <w:t xml:space="preserve"> reduces the need for manual processes and </w:t>
            </w:r>
            <w:r w:rsidR="002A4FC1">
              <w:rPr>
                <w:sz w:val="20"/>
                <w:szCs w:val="20"/>
              </w:rPr>
              <w:t xml:space="preserve">increases </w:t>
            </w:r>
            <w:r>
              <w:rPr>
                <w:sz w:val="20"/>
                <w:szCs w:val="20"/>
              </w:rPr>
              <w:t xml:space="preserve">data speed. Funds are also able to use their scale </w:t>
            </w:r>
            <w:r w:rsidR="003138E9">
              <w:rPr>
                <w:sz w:val="20"/>
                <w:szCs w:val="20"/>
              </w:rPr>
              <w:t xml:space="preserve">so that </w:t>
            </w:r>
            <w:r>
              <w:rPr>
                <w:sz w:val="20"/>
                <w:szCs w:val="20"/>
              </w:rPr>
              <w:t xml:space="preserve">the large funds, </w:t>
            </w:r>
            <w:r w:rsidR="003138E9">
              <w:rPr>
                <w:sz w:val="20"/>
                <w:szCs w:val="20"/>
              </w:rPr>
              <w:t xml:space="preserve">with </w:t>
            </w:r>
            <w:r>
              <w:rPr>
                <w:sz w:val="20"/>
                <w:szCs w:val="20"/>
              </w:rPr>
              <w:t xml:space="preserve">their national presence, </w:t>
            </w:r>
            <w:r w:rsidR="003138E9">
              <w:rPr>
                <w:sz w:val="20"/>
                <w:szCs w:val="20"/>
              </w:rPr>
              <w:t xml:space="preserve">can </w:t>
            </w:r>
            <w:r>
              <w:rPr>
                <w:sz w:val="20"/>
                <w:szCs w:val="20"/>
              </w:rPr>
              <w:t>provide affordable access to quality financial advice.</w:t>
            </w:r>
          </w:p>
          <w:p w:rsidR="003A3308" w:rsidRDefault="003A3308" w:rsidP="00431BD3">
            <w:pPr>
              <w:pStyle w:val="Default"/>
              <w:ind w:left="851"/>
              <w:jc w:val="both"/>
              <w:rPr>
                <w:sz w:val="20"/>
                <w:szCs w:val="20"/>
              </w:rPr>
            </w:pPr>
          </w:p>
          <w:p w:rsidR="00203827" w:rsidRPr="00131DF5" w:rsidRDefault="003A3308" w:rsidP="00431BD3">
            <w:pPr>
              <w:pStyle w:val="Default"/>
              <w:ind w:left="851"/>
              <w:jc w:val="both"/>
              <w:rPr>
                <w:sz w:val="20"/>
              </w:rPr>
            </w:pPr>
            <w:r>
              <w:rPr>
                <w:sz w:val="20"/>
                <w:szCs w:val="20"/>
              </w:rPr>
              <w:t>Cloud computing also allows funds and their administrators and other service providers to store, process and access data more efficiently. Some super funds are able to house servers located overseas which offers a cheaper solution to administration, subject to the fund being able to ensure that the cloud provider complies with the regulatory requirements regarding cloud computing.</w:t>
            </w:r>
          </w:p>
        </w:tc>
      </w:tr>
      <w:tr w:rsidR="00C84535" w:rsidRPr="00131DF5" w:rsidTr="0060011D">
        <w:tc>
          <w:tcPr>
            <w:tcW w:w="9055" w:type="dxa"/>
            <w:tcBorders>
              <w:top w:val="nil"/>
              <w:left w:val="nil"/>
              <w:bottom w:val="nil"/>
              <w:right w:val="nil"/>
            </w:tcBorders>
            <w:shd w:val="clear" w:color="auto" w:fill="auto"/>
            <w:tcMar>
              <w:top w:w="28" w:type="dxa"/>
              <w:bottom w:w="28" w:type="dxa"/>
            </w:tcMar>
          </w:tcPr>
          <w:p w:rsidR="00C84535" w:rsidRDefault="00C84535" w:rsidP="009E05DF">
            <w:pPr>
              <w:ind w:left="142"/>
              <w:jc w:val="both"/>
              <w:rPr>
                <w:rFonts w:ascii="Arial" w:hAnsi="Arial" w:cs="Arial"/>
                <w:sz w:val="20"/>
                <w:szCs w:val="20"/>
              </w:rPr>
            </w:pPr>
          </w:p>
        </w:tc>
      </w:tr>
    </w:tbl>
    <w:p w:rsidR="00203827" w:rsidRPr="00131DF5" w:rsidRDefault="00203827" w:rsidP="009E05DF">
      <w:pPr>
        <w:jc w:val="both"/>
        <w:rPr>
          <w:rFonts w:ascii="Arial" w:hAnsi="Arial" w:cs="Arial"/>
          <w:sz w:val="20"/>
          <w:szCs w:val="20"/>
        </w:rPr>
      </w:pPr>
    </w:p>
    <w:p w:rsidR="00203827" w:rsidRPr="00A53BF0" w:rsidRDefault="00BF0655" w:rsidP="00A53BF0">
      <w:pPr>
        <w:pStyle w:val="Heading2"/>
        <w:ind w:firstLine="284"/>
        <w:rPr>
          <w:rFonts w:ascii="Arial Narrow" w:hAnsi="Arial Narrow"/>
          <w:b/>
          <w:color w:val="000000" w:themeColor="text1"/>
        </w:rPr>
      </w:pPr>
      <w:bookmarkStart w:id="23" w:name="_Toc465354089"/>
      <w:r w:rsidRPr="00A53BF0">
        <w:rPr>
          <w:rFonts w:ascii="Arial Narrow" w:hAnsi="Arial Narrow"/>
          <w:b/>
          <w:color w:val="000000" w:themeColor="text1"/>
          <w:sz w:val="24"/>
          <w:szCs w:val="24"/>
        </w:rPr>
        <w:t>8.3</w:t>
      </w:r>
      <w:r w:rsidRPr="00A53BF0">
        <w:rPr>
          <w:rFonts w:ascii="Arial Narrow" w:hAnsi="Arial Narrow"/>
          <w:b/>
          <w:color w:val="000000" w:themeColor="text1"/>
          <w:sz w:val="24"/>
          <w:szCs w:val="24"/>
        </w:rPr>
        <w:tab/>
      </w:r>
      <w:r w:rsidR="00DF37F5" w:rsidRPr="00A53BF0">
        <w:rPr>
          <w:rFonts w:ascii="Arial Narrow" w:hAnsi="Arial Narrow"/>
          <w:b/>
          <w:color w:val="000000" w:themeColor="text1"/>
          <w:sz w:val="24"/>
          <w:szCs w:val="24"/>
        </w:rPr>
        <w:t>Competition</w:t>
      </w:r>
      <w:bookmarkEnd w:id="23"/>
    </w:p>
    <w:p w:rsidR="00DF37F5" w:rsidRPr="00DF37F5" w:rsidRDefault="00DF37F5" w:rsidP="009E05DF">
      <w:pPr>
        <w:ind w:firstLine="284"/>
        <w:jc w:val="both"/>
        <w:rPr>
          <w:rFonts w:ascii="Arial" w:hAnsi="Arial" w:cs="Arial"/>
          <w:b/>
          <w:sz w:val="20"/>
          <w:szCs w:val="20"/>
        </w:rPr>
      </w:pPr>
    </w:p>
    <w:p w:rsidR="001427DD" w:rsidRDefault="001427DD" w:rsidP="009E05DF">
      <w:pPr>
        <w:jc w:val="both"/>
        <w:rPr>
          <w:rFonts w:ascii="Arial" w:hAnsi="Arial" w:cs="Arial"/>
          <w:sz w:val="20"/>
          <w:szCs w:val="20"/>
        </w:rPr>
      </w:pPr>
      <w:r w:rsidRPr="001427DD">
        <w:rPr>
          <w:rFonts w:ascii="Arial" w:hAnsi="Arial" w:cs="Arial"/>
          <w:sz w:val="20"/>
          <w:szCs w:val="20"/>
        </w:rPr>
        <w:t>While the terms of reference concentrate on efficiency and competitiveness, there is no recognition that benefits of competition cannot be achieved without some costs. In particular, increasing competition may lead to increases in marketing and distribution costs, which was acknowledged by the PC in their report of 2012.</w:t>
      </w:r>
    </w:p>
    <w:p w:rsidR="00FA01AE" w:rsidRDefault="00FA01AE" w:rsidP="009E05DF">
      <w:pPr>
        <w:jc w:val="both"/>
        <w:rPr>
          <w:rFonts w:ascii="Arial" w:hAnsi="Arial" w:cs="Arial"/>
          <w:sz w:val="20"/>
          <w:szCs w:val="20"/>
        </w:rPr>
      </w:pPr>
    </w:p>
    <w:p w:rsidR="005A0C9C" w:rsidRDefault="00450B8A" w:rsidP="009E05DF">
      <w:pPr>
        <w:jc w:val="both"/>
        <w:rPr>
          <w:rFonts w:ascii="Arial" w:hAnsi="Arial" w:cs="Arial"/>
          <w:sz w:val="20"/>
          <w:szCs w:val="20"/>
        </w:rPr>
      </w:pPr>
      <w:r w:rsidRPr="00317547">
        <w:rPr>
          <w:rFonts w:ascii="Arial" w:hAnsi="Arial" w:cs="Arial"/>
          <w:sz w:val="20"/>
          <w:szCs w:val="20"/>
        </w:rPr>
        <w:t xml:space="preserve">The PC refers to cost reduction as fostering competition between funds.  However focus on costs alone </w:t>
      </w:r>
    </w:p>
    <w:p w:rsidR="00DF69E2" w:rsidRDefault="00450B8A" w:rsidP="009E05DF">
      <w:pPr>
        <w:jc w:val="both"/>
        <w:rPr>
          <w:rFonts w:ascii="Arial" w:hAnsi="Arial" w:cs="Arial"/>
          <w:sz w:val="20"/>
          <w:szCs w:val="20"/>
        </w:rPr>
      </w:pPr>
      <w:r w:rsidRPr="00317547">
        <w:rPr>
          <w:rFonts w:ascii="Arial" w:hAnsi="Arial" w:cs="Arial"/>
          <w:sz w:val="20"/>
          <w:szCs w:val="20"/>
        </w:rPr>
        <w:t xml:space="preserve">does not </w:t>
      </w:r>
      <w:r w:rsidR="003138E9">
        <w:rPr>
          <w:rFonts w:ascii="Arial" w:hAnsi="Arial" w:cs="Arial"/>
          <w:sz w:val="20"/>
          <w:szCs w:val="20"/>
        </w:rPr>
        <w:t>address</w:t>
      </w:r>
      <w:r w:rsidR="003138E9" w:rsidRPr="00317547">
        <w:rPr>
          <w:rFonts w:ascii="Arial" w:hAnsi="Arial" w:cs="Arial"/>
          <w:sz w:val="20"/>
          <w:szCs w:val="20"/>
        </w:rPr>
        <w:t xml:space="preserve"> </w:t>
      </w:r>
      <w:r w:rsidRPr="00317547">
        <w:rPr>
          <w:rFonts w:ascii="Arial" w:hAnsi="Arial" w:cs="Arial"/>
          <w:sz w:val="20"/>
          <w:szCs w:val="20"/>
        </w:rPr>
        <w:t>the context of value and benefits to members.</w:t>
      </w:r>
      <w:r>
        <w:rPr>
          <w:rFonts w:ascii="Arial" w:hAnsi="Arial" w:cs="Arial"/>
          <w:sz w:val="20"/>
          <w:szCs w:val="20"/>
        </w:rPr>
        <w:t xml:space="preserve"> </w:t>
      </w:r>
      <w:r w:rsidR="002F5777">
        <w:rPr>
          <w:rFonts w:ascii="Arial" w:hAnsi="Arial" w:cs="Arial"/>
          <w:sz w:val="20"/>
          <w:szCs w:val="20"/>
        </w:rPr>
        <w:t>W</w:t>
      </w:r>
      <w:r>
        <w:rPr>
          <w:rFonts w:ascii="Arial" w:hAnsi="Arial" w:cs="Arial"/>
          <w:sz w:val="20"/>
          <w:szCs w:val="20"/>
        </w:rPr>
        <w:t xml:space="preserve">hile the intention of the PC is to introduce competition and efficiency, the proposed models would introduce new costs </w:t>
      </w:r>
      <w:r w:rsidR="003138E9">
        <w:rPr>
          <w:rFonts w:ascii="Arial" w:hAnsi="Arial" w:cs="Arial"/>
          <w:sz w:val="20"/>
          <w:szCs w:val="20"/>
        </w:rPr>
        <w:t xml:space="preserve">when compared </w:t>
      </w:r>
      <w:r>
        <w:rPr>
          <w:rFonts w:ascii="Arial" w:hAnsi="Arial" w:cs="Arial"/>
          <w:sz w:val="20"/>
          <w:szCs w:val="20"/>
        </w:rPr>
        <w:t>to th</w:t>
      </w:r>
      <w:r w:rsidR="00DF69E2">
        <w:rPr>
          <w:rFonts w:ascii="Arial" w:hAnsi="Arial" w:cs="Arial"/>
          <w:sz w:val="20"/>
          <w:szCs w:val="20"/>
        </w:rPr>
        <w:t xml:space="preserve">e previous distribution method and these costs would outweigh the benefits. </w:t>
      </w:r>
    </w:p>
    <w:p w:rsidR="00DF69E2" w:rsidRDefault="00DF69E2" w:rsidP="009E05DF">
      <w:pPr>
        <w:jc w:val="both"/>
        <w:rPr>
          <w:rFonts w:ascii="Arial" w:hAnsi="Arial" w:cs="Arial"/>
          <w:sz w:val="20"/>
          <w:szCs w:val="20"/>
        </w:rPr>
      </w:pPr>
    </w:p>
    <w:p w:rsidR="00450B8A" w:rsidRDefault="002F5777" w:rsidP="009E05DF">
      <w:pPr>
        <w:jc w:val="both"/>
        <w:rPr>
          <w:rFonts w:ascii="Arial" w:hAnsi="Arial" w:cs="Arial"/>
          <w:sz w:val="20"/>
          <w:szCs w:val="20"/>
        </w:rPr>
      </w:pPr>
      <w:r>
        <w:rPr>
          <w:rFonts w:ascii="Arial" w:hAnsi="Arial" w:cs="Arial"/>
          <w:sz w:val="20"/>
          <w:szCs w:val="20"/>
        </w:rPr>
        <w:t>In addition</w:t>
      </w:r>
      <w:r w:rsidR="00450B8A">
        <w:rPr>
          <w:rFonts w:ascii="Arial" w:hAnsi="Arial" w:cs="Arial"/>
          <w:sz w:val="20"/>
          <w:szCs w:val="20"/>
        </w:rPr>
        <w:t xml:space="preserve">, choice of superannuation funds (for members) and for default funds (for employers) is still available in many </w:t>
      </w:r>
      <w:r w:rsidR="005B701B">
        <w:rPr>
          <w:rFonts w:ascii="Arial" w:hAnsi="Arial" w:cs="Arial"/>
          <w:sz w:val="20"/>
          <w:szCs w:val="20"/>
        </w:rPr>
        <w:t>M</w:t>
      </w:r>
      <w:r w:rsidR="00450B8A">
        <w:rPr>
          <w:rFonts w:ascii="Arial" w:hAnsi="Arial" w:cs="Arial"/>
          <w:sz w:val="20"/>
          <w:szCs w:val="20"/>
        </w:rPr>
        <w:t xml:space="preserve">odern </w:t>
      </w:r>
      <w:r w:rsidR="005B701B">
        <w:rPr>
          <w:rFonts w:ascii="Arial" w:hAnsi="Arial" w:cs="Arial"/>
          <w:sz w:val="20"/>
          <w:szCs w:val="20"/>
        </w:rPr>
        <w:t>A</w:t>
      </w:r>
      <w:r w:rsidR="00450B8A">
        <w:rPr>
          <w:rFonts w:ascii="Arial" w:hAnsi="Arial" w:cs="Arial"/>
          <w:sz w:val="20"/>
          <w:szCs w:val="20"/>
        </w:rPr>
        <w:t>wards, so the benefits of competition are already present.</w:t>
      </w:r>
    </w:p>
    <w:p w:rsidR="00450B8A" w:rsidRDefault="00450B8A" w:rsidP="009E05DF">
      <w:pPr>
        <w:jc w:val="both"/>
        <w:rPr>
          <w:rFonts w:ascii="Arial" w:hAnsi="Arial" w:cs="Arial"/>
          <w:sz w:val="20"/>
          <w:szCs w:val="20"/>
        </w:rPr>
      </w:pPr>
    </w:p>
    <w:p w:rsidR="00450B8A" w:rsidRDefault="00450B8A" w:rsidP="009E05DF">
      <w:pPr>
        <w:jc w:val="both"/>
        <w:rPr>
          <w:rFonts w:ascii="Arial" w:hAnsi="Arial" w:cs="Arial"/>
          <w:sz w:val="20"/>
          <w:szCs w:val="20"/>
        </w:rPr>
      </w:pPr>
      <w:r>
        <w:rPr>
          <w:rFonts w:ascii="Arial" w:hAnsi="Arial" w:cs="Arial"/>
          <w:sz w:val="20"/>
          <w:szCs w:val="20"/>
        </w:rPr>
        <w:t>The proposed allocative models do not deliver any advantages perceived to be delivered by competition and in fact create further uncertainty and ineffective default selection, particularly if financial literacy is low and advice is not available. The sign of an efficient default fund selection process takes into account these matters, so that the outcome of a good retirement is possible.</w:t>
      </w:r>
    </w:p>
    <w:p w:rsidR="00450B8A" w:rsidRDefault="00450B8A" w:rsidP="009E05DF">
      <w:pPr>
        <w:jc w:val="both"/>
        <w:rPr>
          <w:rFonts w:ascii="Arial" w:hAnsi="Arial" w:cs="Arial"/>
          <w:sz w:val="20"/>
          <w:szCs w:val="20"/>
        </w:rPr>
      </w:pPr>
    </w:p>
    <w:p w:rsidR="00450B8A" w:rsidRDefault="002F5777" w:rsidP="009E05DF">
      <w:pPr>
        <w:jc w:val="both"/>
        <w:rPr>
          <w:rFonts w:ascii="Arial" w:hAnsi="Arial" w:cs="Arial"/>
          <w:sz w:val="20"/>
          <w:szCs w:val="20"/>
        </w:rPr>
      </w:pPr>
      <w:r>
        <w:rPr>
          <w:rFonts w:ascii="Arial" w:hAnsi="Arial" w:cs="Arial"/>
          <w:sz w:val="20"/>
          <w:szCs w:val="20"/>
        </w:rPr>
        <w:t>A</w:t>
      </w:r>
      <w:r w:rsidR="00450B8A">
        <w:rPr>
          <w:rFonts w:ascii="Arial" w:hAnsi="Arial" w:cs="Arial"/>
          <w:sz w:val="20"/>
          <w:szCs w:val="20"/>
        </w:rPr>
        <w:t>s discussed in our innovation section, innovation is also a source of competition. Improvements and innovation in services, particularly digital innovations increase efficiencies in terms of delivery of products and services.</w:t>
      </w:r>
    </w:p>
    <w:p w:rsidR="00C80FAE" w:rsidRPr="00A53BF0" w:rsidRDefault="00974B8B" w:rsidP="00A53BF0">
      <w:pPr>
        <w:pStyle w:val="Heading3"/>
        <w:ind w:firstLine="709"/>
        <w:rPr>
          <w:rFonts w:ascii="Arial Narrow" w:hAnsi="Arial Narrow"/>
          <w:b w:val="0"/>
          <w:sz w:val="22"/>
          <w:szCs w:val="22"/>
        </w:rPr>
      </w:pPr>
      <w:bookmarkStart w:id="24" w:name="_Toc465354090"/>
      <w:r w:rsidRPr="00A53BF0">
        <w:rPr>
          <w:rFonts w:ascii="Arial Narrow" w:hAnsi="Arial Narrow"/>
          <w:sz w:val="22"/>
          <w:szCs w:val="22"/>
        </w:rPr>
        <w:t>8.3.1</w:t>
      </w:r>
      <w:r w:rsidRPr="00A53BF0">
        <w:rPr>
          <w:rFonts w:ascii="Arial Narrow" w:hAnsi="Arial Narrow"/>
          <w:sz w:val="22"/>
          <w:szCs w:val="22"/>
        </w:rPr>
        <w:tab/>
      </w:r>
      <w:r w:rsidR="00C80FAE" w:rsidRPr="00A53BF0">
        <w:rPr>
          <w:rFonts w:ascii="Arial Narrow" w:hAnsi="Arial Narrow"/>
          <w:sz w:val="22"/>
          <w:szCs w:val="22"/>
        </w:rPr>
        <w:t>Extensive existing competition</w:t>
      </w:r>
      <w:bookmarkEnd w:id="24"/>
    </w:p>
    <w:p w:rsidR="00C80FAE" w:rsidRDefault="00C80FAE" w:rsidP="009E05DF">
      <w:pPr>
        <w:jc w:val="both"/>
        <w:rPr>
          <w:rFonts w:ascii="Arial" w:hAnsi="Arial" w:cs="Arial"/>
          <w:sz w:val="20"/>
          <w:szCs w:val="20"/>
        </w:rPr>
      </w:pPr>
    </w:p>
    <w:p w:rsidR="00C80FAE" w:rsidRDefault="00C80FAE" w:rsidP="00C80FAE">
      <w:pPr>
        <w:jc w:val="both"/>
        <w:rPr>
          <w:rFonts w:ascii="Arial" w:hAnsi="Arial" w:cs="Arial"/>
          <w:sz w:val="20"/>
          <w:szCs w:val="20"/>
        </w:rPr>
      </w:pPr>
      <w:r>
        <w:rPr>
          <w:rFonts w:ascii="Arial" w:hAnsi="Arial" w:cs="Arial"/>
          <w:sz w:val="20"/>
          <w:szCs w:val="20"/>
        </w:rPr>
        <w:t xml:space="preserve">There is also extensive competition outside the boundaries of the above including corporate </w:t>
      </w:r>
      <w:r w:rsidR="005D4F87">
        <w:rPr>
          <w:rFonts w:ascii="Arial" w:hAnsi="Arial" w:cs="Arial"/>
          <w:sz w:val="20"/>
          <w:szCs w:val="20"/>
        </w:rPr>
        <w:t xml:space="preserve">tenders, the </w:t>
      </w:r>
      <w:r>
        <w:rPr>
          <w:rFonts w:ascii="Arial" w:hAnsi="Arial" w:cs="Arial"/>
          <w:sz w:val="20"/>
          <w:szCs w:val="20"/>
        </w:rPr>
        <w:t xml:space="preserve">provision of services </w:t>
      </w:r>
      <w:r w:rsidR="005D4F87">
        <w:rPr>
          <w:rFonts w:ascii="Arial" w:hAnsi="Arial" w:cs="Arial"/>
          <w:sz w:val="20"/>
          <w:szCs w:val="20"/>
        </w:rPr>
        <w:t xml:space="preserve">to funds </w:t>
      </w:r>
      <w:r>
        <w:rPr>
          <w:rFonts w:ascii="Arial" w:hAnsi="Arial" w:cs="Arial"/>
          <w:sz w:val="20"/>
          <w:szCs w:val="20"/>
        </w:rPr>
        <w:t xml:space="preserve">and </w:t>
      </w:r>
      <w:proofErr w:type="spellStart"/>
      <w:r>
        <w:rPr>
          <w:rFonts w:ascii="Arial" w:hAnsi="Arial" w:cs="Arial"/>
          <w:sz w:val="20"/>
          <w:szCs w:val="20"/>
        </w:rPr>
        <w:t>SMSFs</w:t>
      </w:r>
      <w:proofErr w:type="spellEnd"/>
      <w:r>
        <w:rPr>
          <w:rFonts w:ascii="Arial" w:hAnsi="Arial" w:cs="Arial"/>
          <w:sz w:val="20"/>
          <w:szCs w:val="20"/>
        </w:rPr>
        <w:t xml:space="preserve">.  </w:t>
      </w:r>
      <w:r w:rsidR="003505E8">
        <w:rPr>
          <w:rFonts w:ascii="Arial" w:hAnsi="Arial" w:cs="Arial"/>
          <w:sz w:val="20"/>
          <w:szCs w:val="20"/>
        </w:rPr>
        <w:t>Annually the value of c</w:t>
      </w:r>
      <w:r>
        <w:rPr>
          <w:rFonts w:ascii="Arial" w:hAnsi="Arial" w:cs="Arial"/>
          <w:sz w:val="20"/>
          <w:szCs w:val="20"/>
        </w:rPr>
        <w:t xml:space="preserve">orporate tenders comprise </w:t>
      </w:r>
      <w:r w:rsidR="004D6EE5" w:rsidRPr="0017585C">
        <w:rPr>
          <w:rFonts w:ascii="Arial" w:hAnsi="Arial" w:cs="Arial"/>
          <w:sz w:val="20"/>
          <w:szCs w:val="20"/>
        </w:rPr>
        <w:t>2-</w:t>
      </w:r>
      <w:r w:rsidR="004D6EE5" w:rsidRPr="008710F8">
        <w:rPr>
          <w:rFonts w:ascii="Arial" w:hAnsi="Arial" w:cs="Arial"/>
          <w:sz w:val="20"/>
          <w:szCs w:val="20"/>
        </w:rPr>
        <w:t>3</w:t>
      </w:r>
      <w:r w:rsidRPr="0017585C">
        <w:rPr>
          <w:rFonts w:ascii="Arial" w:hAnsi="Arial" w:cs="Arial"/>
          <w:sz w:val="20"/>
          <w:szCs w:val="20"/>
        </w:rPr>
        <w:t>%</w:t>
      </w:r>
      <w:r>
        <w:rPr>
          <w:rFonts w:ascii="Arial" w:hAnsi="Arial" w:cs="Arial"/>
          <w:sz w:val="20"/>
          <w:szCs w:val="20"/>
        </w:rPr>
        <w:t xml:space="preserve"> </w:t>
      </w:r>
      <w:r w:rsidR="004D6EE5">
        <w:rPr>
          <w:rFonts w:ascii="Arial" w:hAnsi="Arial" w:cs="Arial"/>
          <w:sz w:val="20"/>
          <w:szCs w:val="20"/>
        </w:rPr>
        <w:t xml:space="preserve">of the estimated </w:t>
      </w:r>
      <w:r w:rsidR="004D6EE5" w:rsidRPr="00062BD3">
        <w:rPr>
          <w:rFonts w:ascii="Arial" w:hAnsi="Arial" w:cs="Arial"/>
          <w:sz w:val="20"/>
          <w:szCs w:val="20"/>
        </w:rPr>
        <w:t>$</w:t>
      </w:r>
      <w:proofErr w:type="spellStart"/>
      <w:r w:rsidR="00471561" w:rsidRPr="00062BD3">
        <w:rPr>
          <w:rFonts w:ascii="Arial" w:hAnsi="Arial" w:cs="Arial"/>
          <w:sz w:val="20"/>
          <w:szCs w:val="20"/>
        </w:rPr>
        <w:t>2</w:t>
      </w:r>
      <w:r w:rsidR="00551928">
        <w:rPr>
          <w:rFonts w:ascii="Arial" w:hAnsi="Arial" w:cs="Arial"/>
          <w:sz w:val="20"/>
          <w:szCs w:val="20"/>
        </w:rPr>
        <w:t>15</w:t>
      </w:r>
      <w:r w:rsidR="004D6EE5" w:rsidRPr="00062BD3">
        <w:rPr>
          <w:rFonts w:ascii="Arial" w:hAnsi="Arial" w:cs="Arial"/>
          <w:sz w:val="20"/>
          <w:szCs w:val="20"/>
        </w:rPr>
        <w:t>bn</w:t>
      </w:r>
      <w:proofErr w:type="spellEnd"/>
      <w:r w:rsidR="004D6EE5">
        <w:rPr>
          <w:rFonts w:ascii="Arial" w:hAnsi="Arial" w:cs="Arial"/>
          <w:sz w:val="20"/>
          <w:szCs w:val="20"/>
        </w:rPr>
        <w:t xml:space="preserve"> corporate fund market</w:t>
      </w:r>
      <w:r w:rsidR="00B93B00">
        <w:rPr>
          <w:rFonts w:ascii="Arial" w:hAnsi="Arial" w:cs="Arial"/>
          <w:sz w:val="20"/>
          <w:szCs w:val="20"/>
        </w:rPr>
        <w:t xml:space="preserve"> (</w:t>
      </w:r>
      <w:r w:rsidR="00E314BC">
        <w:rPr>
          <w:rFonts w:ascii="Arial" w:hAnsi="Arial" w:cs="Arial"/>
          <w:sz w:val="20"/>
          <w:szCs w:val="20"/>
        </w:rPr>
        <w:t>including</w:t>
      </w:r>
      <w:r w:rsidR="00B93B00">
        <w:rPr>
          <w:rFonts w:ascii="Arial" w:hAnsi="Arial" w:cs="Arial"/>
          <w:sz w:val="20"/>
          <w:szCs w:val="20"/>
        </w:rPr>
        <w:t xml:space="preserve"> retail employer master trusts, standalone corporate plans and industry fund corporate segments)</w:t>
      </w:r>
      <w:r w:rsidR="004D6EE5">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SMSFs</w:t>
      </w:r>
      <w:proofErr w:type="spellEnd"/>
      <w:r>
        <w:rPr>
          <w:rFonts w:ascii="Arial" w:hAnsi="Arial" w:cs="Arial"/>
          <w:sz w:val="20"/>
          <w:szCs w:val="20"/>
        </w:rPr>
        <w:t xml:space="preserve"> are </w:t>
      </w:r>
      <w:r w:rsidR="00E92112">
        <w:rPr>
          <w:rFonts w:ascii="Arial" w:hAnsi="Arial" w:cs="Arial"/>
          <w:sz w:val="20"/>
          <w:szCs w:val="20"/>
        </w:rPr>
        <w:t>over</w:t>
      </w:r>
      <w:r w:rsidRPr="0017585C">
        <w:rPr>
          <w:rFonts w:ascii="Arial" w:hAnsi="Arial" w:cs="Arial"/>
          <w:sz w:val="20"/>
          <w:szCs w:val="20"/>
        </w:rPr>
        <w:t xml:space="preserve"> a </w:t>
      </w:r>
      <w:r w:rsidR="00FC16F8">
        <w:rPr>
          <w:rFonts w:ascii="Arial" w:hAnsi="Arial" w:cs="Arial"/>
          <w:sz w:val="20"/>
          <w:szCs w:val="20"/>
        </w:rPr>
        <w:t xml:space="preserve">quarter </w:t>
      </w:r>
      <w:r>
        <w:rPr>
          <w:rFonts w:ascii="Arial" w:hAnsi="Arial" w:cs="Arial"/>
          <w:sz w:val="20"/>
          <w:szCs w:val="20"/>
        </w:rPr>
        <w:t xml:space="preserve">of the overall </w:t>
      </w:r>
      <w:r w:rsidR="00FC16F8">
        <w:rPr>
          <w:rFonts w:ascii="Arial" w:hAnsi="Arial" w:cs="Arial"/>
          <w:sz w:val="20"/>
          <w:szCs w:val="20"/>
        </w:rPr>
        <w:t xml:space="preserve">funds under management market </w:t>
      </w:r>
      <w:r>
        <w:rPr>
          <w:rFonts w:ascii="Arial" w:hAnsi="Arial" w:cs="Arial"/>
          <w:sz w:val="20"/>
          <w:szCs w:val="20"/>
        </w:rPr>
        <w:t>and growing.</w:t>
      </w:r>
    </w:p>
    <w:p w:rsidR="00DF69E2" w:rsidRDefault="00DF69E2" w:rsidP="009E05DF">
      <w:pPr>
        <w:jc w:val="both"/>
        <w:rPr>
          <w:rFonts w:ascii="Arial" w:hAnsi="Arial" w:cs="Arial"/>
          <w:sz w:val="20"/>
          <w:szCs w:val="20"/>
        </w:rPr>
      </w:pPr>
    </w:p>
    <w:p w:rsidR="00DF69E2" w:rsidRPr="00A53BF0" w:rsidRDefault="00974B8B" w:rsidP="00A53BF0">
      <w:pPr>
        <w:pStyle w:val="Heading3"/>
        <w:ind w:firstLine="709"/>
        <w:rPr>
          <w:rFonts w:ascii="Arial Narrow" w:hAnsi="Arial Narrow"/>
          <w:sz w:val="22"/>
          <w:szCs w:val="22"/>
        </w:rPr>
      </w:pPr>
      <w:bookmarkStart w:id="25" w:name="_Toc465354091"/>
      <w:r w:rsidRPr="00A53BF0">
        <w:rPr>
          <w:rFonts w:ascii="Arial Narrow" w:hAnsi="Arial Narrow"/>
          <w:sz w:val="22"/>
          <w:szCs w:val="22"/>
        </w:rPr>
        <w:t>8.3.2</w:t>
      </w:r>
      <w:r w:rsidRPr="00A53BF0">
        <w:rPr>
          <w:rFonts w:ascii="Arial Narrow" w:hAnsi="Arial Narrow"/>
          <w:sz w:val="22"/>
          <w:szCs w:val="22"/>
        </w:rPr>
        <w:tab/>
      </w:r>
      <w:r w:rsidR="00DF69E2" w:rsidRPr="00A53BF0">
        <w:rPr>
          <w:rFonts w:ascii="Arial Narrow" w:hAnsi="Arial Narrow"/>
          <w:sz w:val="22"/>
          <w:szCs w:val="22"/>
        </w:rPr>
        <w:t>“Race to the Bottom”</w:t>
      </w:r>
      <w:bookmarkEnd w:id="25"/>
    </w:p>
    <w:p w:rsidR="00DF69E2" w:rsidRPr="00DF69E2" w:rsidRDefault="00DF69E2" w:rsidP="009E05DF">
      <w:pPr>
        <w:jc w:val="both"/>
        <w:rPr>
          <w:rFonts w:ascii="Arial" w:hAnsi="Arial" w:cs="Arial"/>
          <w:b/>
          <w:sz w:val="20"/>
          <w:szCs w:val="20"/>
        </w:rPr>
      </w:pPr>
    </w:p>
    <w:p w:rsidR="003B6C35" w:rsidRDefault="003B6C35" w:rsidP="009E05DF">
      <w:pPr>
        <w:jc w:val="both"/>
        <w:rPr>
          <w:rFonts w:ascii="Arial" w:hAnsi="Arial" w:cs="Arial"/>
          <w:sz w:val="20"/>
          <w:szCs w:val="20"/>
        </w:rPr>
      </w:pPr>
      <w:r w:rsidRPr="001427DD">
        <w:rPr>
          <w:rFonts w:ascii="Arial" w:hAnsi="Arial" w:cs="Arial"/>
          <w:sz w:val="20"/>
          <w:szCs w:val="20"/>
        </w:rPr>
        <w:t>The PC notes in its report of 2012 that, “as trustees become reluctant to increase their expenses, including investment management expenses, this could lead to a “race to the bottom” in terms of performance. The criteria proposed by the Issues Paper appears to be favouring this approach, contrary to the previous report.</w:t>
      </w:r>
    </w:p>
    <w:p w:rsidR="003B6C35" w:rsidRDefault="003B6C35" w:rsidP="009E05DF">
      <w:pPr>
        <w:jc w:val="both"/>
        <w:rPr>
          <w:rFonts w:ascii="Arial" w:hAnsi="Arial" w:cs="Arial"/>
          <w:sz w:val="20"/>
          <w:szCs w:val="20"/>
        </w:rPr>
      </w:pPr>
    </w:p>
    <w:p w:rsidR="00C91D87" w:rsidRDefault="00450B8A" w:rsidP="009E05DF">
      <w:pPr>
        <w:jc w:val="both"/>
        <w:rPr>
          <w:rFonts w:ascii="Arial" w:hAnsi="Arial" w:cs="Arial"/>
          <w:sz w:val="20"/>
          <w:szCs w:val="20"/>
        </w:rPr>
      </w:pPr>
      <w:r w:rsidRPr="001427DD">
        <w:rPr>
          <w:rFonts w:ascii="Arial" w:hAnsi="Arial" w:cs="Arial"/>
          <w:sz w:val="20"/>
          <w:szCs w:val="20"/>
        </w:rPr>
        <w:t xml:space="preserve">Any </w:t>
      </w:r>
      <w:r w:rsidR="00961A92">
        <w:rPr>
          <w:rFonts w:ascii="Arial" w:hAnsi="Arial" w:cs="Arial"/>
          <w:sz w:val="20"/>
          <w:szCs w:val="20"/>
        </w:rPr>
        <w:t xml:space="preserve">over </w:t>
      </w:r>
      <w:r w:rsidRPr="001427DD">
        <w:rPr>
          <w:rFonts w:ascii="Arial" w:hAnsi="Arial" w:cs="Arial"/>
          <w:sz w:val="20"/>
          <w:szCs w:val="20"/>
        </w:rPr>
        <w:t>emphasis on fees and costs being a key criteri</w:t>
      </w:r>
      <w:r w:rsidR="00961A92">
        <w:rPr>
          <w:rFonts w:ascii="Arial" w:hAnsi="Arial" w:cs="Arial"/>
          <w:sz w:val="20"/>
          <w:szCs w:val="20"/>
        </w:rPr>
        <w:t>on</w:t>
      </w:r>
      <w:r w:rsidRPr="001427DD">
        <w:rPr>
          <w:rFonts w:ascii="Arial" w:hAnsi="Arial" w:cs="Arial"/>
          <w:sz w:val="20"/>
          <w:szCs w:val="20"/>
        </w:rPr>
        <w:t xml:space="preserve"> for selection of super funds</w:t>
      </w:r>
      <w:r>
        <w:rPr>
          <w:rFonts w:ascii="Arial" w:hAnsi="Arial" w:cs="Arial"/>
          <w:sz w:val="20"/>
          <w:szCs w:val="20"/>
        </w:rPr>
        <w:t xml:space="preserve"> to increase competition also</w:t>
      </w:r>
      <w:r w:rsidRPr="001427DD">
        <w:rPr>
          <w:rFonts w:ascii="Arial" w:hAnsi="Arial" w:cs="Arial"/>
          <w:sz w:val="20"/>
          <w:szCs w:val="20"/>
        </w:rPr>
        <w:t xml:space="preserve"> impedes optimal investment and performance outcomes. For instance</w:t>
      </w:r>
      <w:r w:rsidR="00146916">
        <w:rPr>
          <w:rFonts w:ascii="Arial" w:hAnsi="Arial" w:cs="Arial"/>
          <w:sz w:val="20"/>
          <w:szCs w:val="20"/>
        </w:rPr>
        <w:t>,</w:t>
      </w:r>
      <w:r w:rsidRPr="001427DD">
        <w:rPr>
          <w:rFonts w:ascii="Arial" w:hAnsi="Arial" w:cs="Arial"/>
          <w:sz w:val="20"/>
          <w:szCs w:val="20"/>
        </w:rPr>
        <w:t xml:space="preserve"> an active management approach may incur more expenses </w:t>
      </w:r>
      <w:r w:rsidR="003138E9">
        <w:rPr>
          <w:rFonts w:ascii="Arial" w:hAnsi="Arial" w:cs="Arial"/>
          <w:sz w:val="20"/>
          <w:szCs w:val="20"/>
        </w:rPr>
        <w:t>but</w:t>
      </w:r>
      <w:r w:rsidR="003138E9" w:rsidRPr="001427DD">
        <w:rPr>
          <w:rFonts w:ascii="Arial" w:hAnsi="Arial" w:cs="Arial"/>
          <w:sz w:val="20"/>
          <w:szCs w:val="20"/>
        </w:rPr>
        <w:t xml:space="preserve"> </w:t>
      </w:r>
      <w:r w:rsidRPr="001427DD">
        <w:rPr>
          <w:rFonts w:ascii="Arial" w:hAnsi="Arial" w:cs="Arial"/>
          <w:sz w:val="20"/>
          <w:szCs w:val="20"/>
        </w:rPr>
        <w:t>the inves</w:t>
      </w:r>
      <w:r>
        <w:rPr>
          <w:rFonts w:ascii="Arial" w:hAnsi="Arial" w:cs="Arial"/>
          <w:sz w:val="20"/>
          <w:szCs w:val="20"/>
        </w:rPr>
        <w:t>tment returns tend to be higher</w:t>
      </w:r>
      <w:r w:rsidR="003138E9">
        <w:rPr>
          <w:rFonts w:ascii="Arial" w:hAnsi="Arial" w:cs="Arial"/>
          <w:sz w:val="20"/>
          <w:szCs w:val="20"/>
        </w:rPr>
        <w:t>’</w:t>
      </w:r>
      <w:r>
        <w:rPr>
          <w:rFonts w:ascii="Arial" w:hAnsi="Arial" w:cs="Arial"/>
          <w:sz w:val="20"/>
          <w:szCs w:val="20"/>
        </w:rPr>
        <w:t xml:space="preserve"> which benefits members. </w:t>
      </w:r>
      <w:r w:rsidR="00146916">
        <w:rPr>
          <w:rFonts w:ascii="Arial" w:hAnsi="Arial" w:cs="Arial"/>
          <w:sz w:val="20"/>
          <w:szCs w:val="20"/>
        </w:rPr>
        <w:t xml:space="preserve">REST has an active investment management approach whereby we seek to capture market opportunities and manage downside risk. For all investment options, this involves regularly reviewing the exposures to major sectors and markets within asset classes and appointing active investment managers to manage the underlying investments where we believe the expected benefits exceed the costs of active management. </w:t>
      </w:r>
      <w:r w:rsidR="00C91D87" w:rsidRPr="004E2D37">
        <w:rPr>
          <w:rFonts w:ascii="Arial" w:hAnsi="Arial" w:cs="Arial"/>
          <w:sz w:val="20"/>
          <w:szCs w:val="20"/>
        </w:rPr>
        <w:t xml:space="preserve">This approach has delivered excellent net returns for members and REST Super’s Core Strategy investment option (the </w:t>
      </w:r>
      <w:proofErr w:type="spellStart"/>
      <w:r w:rsidR="00C91D87" w:rsidRPr="004E2D37">
        <w:rPr>
          <w:rFonts w:ascii="Arial" w:hAnsi="Arial" w:cs="Arial"/>
          <w:sz w:val="20"/>
          <w:szCs w:val="20"/>
        </w:rPr>
        <w:t>MySuper</w:t>
      </w:r>
      <w:proofErr w:type="spellEnd"/>
      <w:r w:rsidR="00C91D87" w:rsidRPr="004E2D37">
        <w:rPr>
          <w:rFonts w:ascii="Arial" w:hAnsi="Arial" w:cs="Arial"/>
          <w:sz w:val="20"/>
          <w:szCs w:val="20"/>
        </w:rPr>
        <w:t xml:space="preserve"> investment option) has outperformed similar options of super funds surveyed over the last 10 years.</w:t>
      </w:r>
      <w:r w:rsidR="00C91D87" w:rsidRPr="004E2D37">
        <w:rPr>
          <w:rStyle w:val="FootnoteReference"/>
          <w:rFonts w:ascii="Arial" w:hAnsi="Arial" w:cs="Arial"/>
          <w:sz w:val="20"/>
          <w:szCs w:val="20"/>
        </w:rPr>
        <w:footnoteReference w:id="12"/>
      </w:r>
      <w:r w:rsidR="00C91D87">
        <w:rPr>
          <w:rFonts w:ascii="Arial" w:hAnsi="Arial" w:cs="Arial"/>
          <w:sz w:val="20"/>
          <w:szCs w:val="20"/>
        </w:rPr>
        <w:t xml:space="preserve"> </w:t>
      </w:r>
    </w:p>
    <w:p w:rsidR="00C91D87" w:rsidRPr="001427DD" w:rsidRDefault="00C91D87" w:rsidP="009E05DF">
      <w:pPr>
        <w:jc w:val="both"/>
        <w:rPr>
          <w:rFonts w:ascii="Arial" w:hAnsi="Arial" w:cs="Arial"/>
          <w:sz w:val="20"/>
          <w:szCs w:val="20"/>
        </w:rPr>
      </w:pPr>
    </w:p>
    <w:p w:rsidR="00784CBD" w:rsidRDefault="008D6FA8" w:rsidP="009E05DF">
      <w:pPr>
        <w:jc w:val="both"/>
        <w:rPr>
          <w:rFonts w:ascii="Arial" w:hAnsi="Arial" w:cs="Arial"/>
          <w:sz w:val="20"/>
          <w:szCs w:val="20"/>
        </w:rPr>
      </w:pPr>
      <w:r>
        <w:rPr>
          <w:rFonts w:ascii="Arial" w:hAnsi="Arial" w:cs="Arial"/>
          <w:sz w:val="20"/>
          <w:szCs w:val="20"/>
        </w:rPr>
        <w:t>A</w:t>
      </w:r>
      <w:r w:rsidR="00055F80">
        <w:rPr>
          <w:rFonts w:ascii="Arial" w:hAnsi="Arial" w:cs="Arial"/>
          <w:sz w:val="20"/>
          <w:szCs w:val="20"/>
        </w:rPr>
        <w:t>ny</w:t>
      </w:r>
      <w:r w:rsidR="00C94AE5">
        <w:rPr>
          <w:rFonts w:ascii="Arial" w:hAnsi="Arial" w:cs="Arial"/>
          <w:sz w:val="20"/>
          <w:szCs w:val="20"/>
        </w:rPr>
        <w:t xml:space="preserve"> </w:t>
      </w:r>
      <w:r w:rsidR="00146916">
        <w:rPr>
          <w:rFonts w:ascii="Arial" w:hAnsi="Arial" w:cs="Arial"/>
          <w:sz w:val="20"/>
          <w:szCs w:val="20"/>
        </w:rPr>
        <w:t xml:space="preserve">over </w:t>
      </w:r>
      <w:r w:rsidR="00C94AE5">
        <w:rPr>
          <w:rFonts w:ascii="Arial" w:hAnsi="Arial" w:cs="Arial"/>
          <w:sz w:val="20"/>
          <w:szCs w:val="20"/>
        </w:rPr>
        <w:t xml:space="preserve">emphasis on </w:t>
      </w:r>
      <w:r w:rsidR="00055F80">
        <w:rPr>
          <w:rFonts w:ascii="Arial" w:hAnsi="Arial" w:cs="Arial"/>
          <w:sz w:val="20"/>
          <w:szCs w:val="20"/>
        </w:rPr>
        <w:t xml:space="preserve">lower investment management costs favours </w:t>
      </w:r>
      <w:r w:rsidR="00C94AE5">
        <w:rPr>
          <w:rFonts w:ascii="Arial" w:hAnsi="Arial" w:cs="Arial"/>
          <w:sz w:val="20"/>
          <w:szCs w:val="20"/>
        </w:rPr>
        <w:t xml:space="preserve">a short term investment philosophy requiring greater liquidity requirements and the adoption of a cheaper passive indexing strategy </w:t>
      </w:r>
      <w:r w:rsidR="00A97857">
        <w:rPr>
          <w:rFonts w:ascii="Arial" w:hAnsi="Arial" w:cs="Arial"/>
          <w:sz w:val="20"/>
          <w:szCs w:val="20"/>
        </w:rPr>
        <w:t xml:space="preserve">with the prospect of </w:t>
      </w:r>
      <w:r w:rsidR="00C94AE5">
        <w:rPr>
          <w:rFonts w:ascii="Arial" w:hAnsi="Arial" w:cs="Arial"/>
          <w:sz w:val="20"/>
          <w:szCs w:val="20"/>
        </w:rPr>
        <w:t>lower returns</w:t>
      </w:r>
      <w:r w:rsidR="00055F80">
        <w:rPr>
          <w:rFonts w:ascii="Arial" w:hAnsi="Arial" w:cs="Arial"/>
          <w:sz w:val="20"/>
          <w:szCs w:val="20"/>
        </w:rPr>
        <w:t>. It is likely that in circumstances where the risks of a loss of members and assets and/or lower future cash flow</w:t>
      </w:r>
      <w:r w:rsidR="00146916">
        <w:rPr>
          <w:rFonts w:ascii="Arial" w:hAnsi="Arial" w:cs="Arial"/>
          <w:sz w:val="20"/>
          <w:szCs w:val="20"/>
        </w:rPr>
        <w:t>s</w:t>
      </w:r>
      <w:r w:rsidR="00055F80">
        <w:rPr>
          <w:rFonts w:ascii="Arial" w:hAnsi="Arial" w:cs="Arial"/>
          <w:sz w:val="20"/>
          <w:szCs w:val="20"/>
        </w:rPr>
        <w:t xml:space="preserve"> were higher, funds would potentially be more reluctant to allocate capital to investments that are less liquid and/or require a long investment time frame. Lower allocations by funds to these sectors, a risk most pronounced with respect to unlisted assets, could have a detrimental impact on business costs, productivity and innovation and therefore employment and growth in the Australian economy as more costly capital is required to be sourced </w:t>
      </w:r>
      <w:proofErr w:type="spellStart"/>
      <w:r w:rsidR="00055F80">
        <w:rPr>
          <w:rFonts w:ascii="Arial" w:hAnsi="Arial" w:cs="Arial"/>
          <w:sz w:val="20"/>
          <w:szCs w:val="20"/>
        </w:rPr>
        <w:t>off-shore</w:t>
      </w:r>
      <w:proofErr w:type="spellEnd"/>
      <w:r w:rsidR="00055F80">
        <w:rPr>
          <w:rFonts w:ascii="Arial" w:hAnsi="Arial" w:cs="Arial"/>
          <w:sz w:val="20"/>
          <w:szCs w:val="20"/>
        </w:rPr>
        <w:t xml:space="preserve"> or via  less traditional avenues. </w:t>
      </w:r>
      <w:r w:rsidR="00C94AE5">
        <w:rPr>
          <w:rFonts w:ascii="Arial" w:hAnsi="Arial" w:cs="Arial"/>
          <w:sz w:val="20"/>
          <w:szCs w:val="20"/>
        </w:rPr>
        <w:t xml:space="preserve"> </w:t>
      </w:r>
      <w:r w:rsidR="00784CBD">
        <w:rPr>
          <w:rFonts w:ascii="Arial" w:hAnsi="Arial" w:cs="Arial"/>
          <w:sz w:val="20"/>
          <w:szCs w:val="20"/>
        </w:rPr>
        <w:t>Further</w:t>
      </w:r>
      <w:r>
        <w:rPr>
          <w:rFonts w:ascii="Arial" w:hAnsi="Arial" w:cs="Arial"/>
          <w:sz w:val="20"/>
          <w:szCs w:val="20"/>
        </w:rPr>
        <w:t>,</w:t>
      </w:r>
      <w:r w:rsidR="00784CBD">
        <w:rPr>
          <w:rFonts w:ascii="Arial" w:hAnsi="Arial" w:cs="Arial"/>
          <w:sz w:val="20"/>
          <w:szCs w:val="20"/>
        </w:rPr>
        <w:t xml:space="preserve"> if funds are less certain about the stability of their membership size, assets and future growth, there may be an unwillingness to allocate to the listed equity market, and in particular to the mid and small cap sectors where there is less liquidity. This in </w:t>
      </w:r>
      <w:r w:rsidR="00784CBD">
        <w:rPr>
          <w:rFonts w:ascii="Arial" w:hAnsi="Arial" w:cs="Arial"/>
          <w:sz w:val="20"/>
          <w:szCs w:val="20"/>
        </w:rPr>
        <w:lastRenderedPageBreak/>
        <w:t>turn could place upward pressure on the cost of capital of Australian listed companies, thereby reducing business investment, employment and growth.</w:t>
      </w:r>
      <w:r w:rsidR="00C84AC4">
        <w:rPr>
          <w:rFonts w:ascii="Arial" w:hAnsi="Arial" w:cs="Arial"/>
          <w:sz w:val="20"/>
          <w:szCs w:val="20"/>
        </w:rPr>
        <w:t xml:space="preserve"> It also creates a mismatch in the investment horizon and the longer-term nature of a member’s superannuation, detrimentally i</w:t>
      </w:r>
      <w:r w:rsidR="003A07D9">
        <w:rPr>
          <w:rFonts w:ascii="Arial" w:hAnsi="Arial" w:cs="Arial"/>
          <w:sz w:val="20"/>
          <w:szCs w:val="20"/>
        </w:rPr>
        <w:t>mpacting member benefits with lower net investment returns.</w:t>
      </w:r>
      <w:r w:rsidR="00C84AC4">
        <w:rPr>
          <w:rFonts w:ascii="Arial" w:hAnsi="Arial" w:cs="Arial"/>
          <w:sz w:val="20"/>
          <w:szCs w:val="20"/>
        </w:rPr>
        <w:t xml:space="preserve"> </w:t>
      </w:r>
    </w:p>
    <w:p w:rsidR="00C80FAE" w:rsidRPr="00317547" w:rsidRDefault="00C80FAE" w:rsidP="00041DEB">
      <w:pPr>
        <w:jc w:val="both"/>
        <w:rPr>
          <w:rFonts w:ascii="Arial" w:hAnsi="Arial" w:cs="Arial"/>
          <w:sz w:val="20"/>
          <w:szCs w:val="20"/>
        </w:rPr>
      </w:pPr>
    </w:p>
    <w:p w:rsidR="00DF37F5" w:rsidRPr="00A53BF0" w:rsidRDefault="006B7B7A" w:rsidP="00A53BF0">
      <w:pPr>
        <w:pStyle w:val="Heading2"/>
        <w:ind w:firstLine="284"/>
        <w:rPr>
          <w:rFonts w:ascii="Arial Narrow" w:hAnsi="Arial Narrow"/>
          <w:b/>
          <w:color w:val="000000" w:themeColor="text1"/>
        </w:rPr>
      </w:pPr>
      <w:bookmarkStart w:id="26" w:name="_Toc465354092"/>
      <w:r w:rsidRPr="00A53BF0">
        <w:rPr>
          <w:rFonts w:ascii="Arial Narrow" w:hAnsi="Arial Narrow"/>
          <w:b/>
          <w:color w:val="000000" w:themeColor="text1"/>
          <w:sz w:val="24"/>
          <w:szCs w:val="24"/>
        </w:rPr>
        <w:t xml:space="preserve">8.4 </w:t>
      </w:r>
      <w:r w:rsidR="00DF37F5" w:rsidRPr="00A53BF0">
        <w:rPr>
          <w:rFonts w:ascii="Arial Narrow" w:hAnsi="Arial Narrow"/>
          <w:b/>
          <w:color w:val="000000" w:themeColor="text1"/>
          <w:sz w:val="24"/>
          <w:szCs w:val="24"/>
        </w:rPr>
        <w:t>Integrity</w:t>
      </w:r>
      <w:bookmarkEnd w:id="26"/>
    </w:p>
    <w:p w:rsidR="00317547" w:rsidRDefault="00317547" w:rsidP="009E05DF">
      <w:pPr>
        <w:ind w:firstLine="284"/>
        <w:jc w:val="both"/>
        <w:rPr>
          <w:rFonts w:ascii="Arial" w:hAnsi="Arial" w:cs="Arial"/>
          <w:b/>
          <w:sz w:val="20"/>
          <w:szCs w:val="20"/>
        </w:rPr>
      </w:pPr>
    </w:p>
    <w:p w:rsidR="00683E4C" w:rsidRDefault="00E01DD7" w:rsidP="009E05DF">
      <w:pPr>
        <w:jc w:val="both"/>
        <w:rPr>
          <w:rFonts w:ascii="Arial" w:hAnsi="Arial" w:cs="Arial"/>
          <w:sz w:val="20"/>
          <w:szCs w:val="20"/>
        </w:rPr>
      </w:pPr>
      <w:r>
        <w:rPr>
          <w:rFonts w:ascii="Arial" w:hAnsi="Arial" w:cs="Arial"/>
          <w:sz w:val="20"/>
          <w:szCs w:val="20"/>
        </w:rPr>
        <w:t>The PC defines this criteri</w:t>
      </w:r>
      <w:r w:rsidR="003138E9">
        <w:rPr>
          <w:rFonts w:ascii="Arial" w:hAnsi="Arial" w:cs="Arial"/>
          <w:sz w:val="20"/>
          <w:szCs w:val="20"/>
        </w:rPr>
        <w:t>on</w:t>
      </w:r>
      <w:r>
        <w:rPr>
          <w:rFonts w:ascii="Arial" w:hAnsi="Arial" w:cs="Arial"/>
          <w:sz w:val="20"/>
          <w:szCs w:val="20"/>
        </w:rPr>
        <w:t xml:space="preserve"> as, “</w:t>
      </w:r>
      <w:r w:rsidR="00317547" w:rsidRPr="00E01DD7">
        <w:rPr>
          <w:rFonts w:ascii="Arial" w:hAnsi="Arial" w:cs="Arial"/>
          <w:sz w:val="20"/>
          <w:szCs w:val="20"/>
        </w:rPr>
        <w:t>Minimising the scope for the allocat</w:t>
      </w:r>
      <w:r>
        <w:rPr>
          <w:rFonts w:ascii="Arial" w:hAnsi="Arial" w:cs="Arial"/>
          <w:sz w:val="20"/>
          <w:szCs w:val="20"/>
        </w:rPr>
        <w:t>ion process to be manipulated (</w:t>
      </w:r>
      <w:r w:rsidR="00317547" w:rsidRPr="00E01DD7">
        <w:rPr>
          <w:rFonts w:ascii="Arial" w:hAnsi="Arial" w:cs="Arial"/>
          <w:sz w:val="20"/>
          <w:szCs w:val="20"/>
        </w:rPr>
        <w:t>or “gamed”)</w:t>
      </w:r>
      <w:r w:rsidRPr="00E01DD7">
        <w:rPr>
          <w:rFonts w:ascii="Arial" w:hAnsi="Arial" w:cs="Arial"/>
          <w:sz w:val="20"/>
          <w:szCs w:val="20"/>
        </w:rPr>
        <w:t>.</w:t>
      </w:r>
      <w:r>
        <w:rPr>
          <w:rFonts w:ascii="Arial" w:hAnsi="Arial" w:cs="Arial"/>
          <w:sz w:val="20"/>
          <w:szCs w:val="20"/>
        </w:rPr>
        <w:t xml:space="preserve">” However, </w:t>
      </w:r>
      <w:r w:rsidR="003138E9">
        <w:rPr>
          <w:rFonts w:ascii="Arial" w:hAnsi="Arial" w:cs="Arial"/>
          <w:sz w:val="20"/>
          <w:szCs w:val="20"/>
        </w:rPr>
        <w:t xml:space="preserve">the PC should acknowledge and take into account </w:t>
      </w:r>
      <w:r>
        <w:rPr>
          <w:rFonts w:ascii="Arial" w:hAnsi="Arial" w:cs="Arial"/>
          <w:sz w:val="20"/>
          <w:szCs w:val="20"/>
        </w:rPr>
        <w:t>the current strict governance arrangements already in place for superannuation trustees and funds. For instance, su</w:t>
      </w:r>
      <w:r w:rsidR="00630BB0">
        <w:rPr>
          <w:rFonts w:ascii="Arial" w:hAnsi="Arial" w:cs="Arial"/>
          <w:sz w:val="20"/>
          <w:szCs w:val="20"/>
        </w:rPr>
        <w:t>perannuation</w:t>
      </w:r>
      <w:r>
        <w:rPr>
          <w:rFonts w:ascii="Arial" w:hAnsi="Arial" w:cs="Arial"/>
          <w:sz w:val="20"/>
          <w:szCs w:val="20"/>
        </w:rPr>
        <w:t xml:space="preserve"> trustees are bound by </w:t>
      </w:r>
      <w:r w:rsidR="0079324B">
        <w:rPr>
          <w:rFonts w:ascii="Arial" w:hAnsi="Arial" w:cs="Arial"/>
          <w:sz w:val="20"/>
          <w:szCs w:val="20"/>
        </w:rPr>
        <w:t xml:space="preserve">the general law and extensive </w:t>
      </w:r>
      <w:r w:rsidR="008D6FA8">
        <w:rPr>
          <w:rFonts w:ascii="Arial" w:hAnsi="Arial" w:cs="Arial"/>
          <w:sz w:val="20"/>
          <w:szCs w:val="20"/>
        </w:rPr>
        <w:t>regulatory requirements, including trust</w:t>
      </w:r>
      <w:r>
        <w:rPr>
          <w:rFonts w:ascii="Arial" w:hAnsi="Arial" w:cs="Arial"/>
          <w:sz w:val="20"/>
          <w:szCs w:val="20"/>
        </w:rPr>
        <w:t xml:space="preserve"> law, superann</w:t>
      </w:r>
      <w:r w:rsidR="00630BB0">
        <w:rPr>
          <w:rFonts w:ascii="Arial" w:hAnsi="Arial" w:cs="Arial"/>
          <w:sz w:val="20"/>
          <w:szCs w:val="20"/>
        </w:rPr>
        <w:t xml:space="preserve">uation </w:t>
      </w:r>
      <w:r>
        <w:rPr>
          <w:rFonts w:ascii="Arial" w:hAnsi="Arial" w:cs="Arial"/>
          <w:sz w:val="20"/>
          <w:szCs w:val="20"/>
        </w:rPr>
        <w:t xml:space="preserve">law, APRA </w:t>
      </w:r>
      <w:r w:rsidR="0079324B">
        <w:rPr>
          <w:rFonts w:ascii="Arial" w:hAnsi="Arial" w:cs="Arial"/>
          <w:sz w:val="20"/>
          <w:szCs w:val="20"/>
        </w:rPr>
        <w:t>p</w:t>
      </w:r>
      <w:r w:rsidR="00630BB0">
        <w:rPr>
          <w:rFonts w:ascii="Arial" w:hAnsi="Arial" w:cs="Arial"/>
          <w:sz w:val="20"/>
          <w:szCs w:val="20"/>
        </w:rPr>
        <w:t>rudential</w:t>
      </w:r>
      <w:r>
        <w:rPr>
          <w:rFonts w:ascii="Arial" w:hAnsi="Arial" w:cs="Arial"/>
          <w:sz w:val="20"/>
          <w:szCs w:val="20"/>
        </w:rPr>
        <w:t xml:space="preserve"> standards and guides</w:t>
      </w:r>
      <w:r w:rsidR="00630BB0">
        <w:rPr>
          <w:rFonts w:ascii="Arial" w:hAnsi="Arial" w:cs="Arial"/>
          <w:sz w:val="20"/>
          <w:szCs w:val="20"/>
        </w:rPr>
        <w:t xml:space="preserve"> and their internal policies and processes which prescribe good governance. </w:t>
      </w:r>
      <w:r w:rsidRPr="00E01DD7">
        <w:rPr>
          <w:rFonts w:ascii="Arial" w:hAnsi="Arial" w:cs="Arial"/>
          <w:sz w:val="20"/>
          <w:szCs w:val="20"/>
        </w:rPr>
        <w:t xml:space="preserve"> </w:t>
      </w:r>
      <w:r w:rsidR="00683E4C">
        <w:rPr>
          <w:rFonts w:ascii="Arial" w:hAnsi="Arial" w:cs="Arial"/>
          <w:sz w:val="20"/>
          <w:szCs w:val="20"/>
        </w:rPr>
        <w:t>Managing conflicts of interest, in particular</w:t>
      </w:r>
      <w:r w:rsidR="0079324B">
        <w:rPr>
          <w:rFonts w:ascii="Arial" w:hAnsi="Arial" w:cs="Arial"/>
          <w:sz w:val="20"/>
          <w:szCs w:val="20"/>
        </w:rPr>
        <w:t>’</w:t>
      </w:r>
      <w:r w:rsidR="00683E4C">
        <w:rPr>
          <w:rFonts w:ascii="Arial" w:hAnsi="Arial" w:cs="Arial"/>
          <w:sz w:val="20"/>
          <w:szCs w:val="20"/>
        </w:rPr>
        <w:t xml:space="preserve"> is a matter which is key to superannuation trustees and funds. </w:t>
      </w:r>
    </w:p>
    <w:p w:rsidR="00683E4C" w:rsidRDefault="00683E4C" w:rsidP="009E05DF">
      <w:pPr>
        <w:ind w:firstLine="284"/>
        <w:jc w:val="both"/>
        <w:rPr>
          <w:rFonts w:ascii="Arial" w:hAnsi="Arial" w:cs="Arial"/>
          <w:sz w:val="20"/>
          <w:szCs w:val="20"/>
        </w:rPr>
      </w:pPr>
    </w:p>
    <w:p w:rsidR="00683E4C" w:rsidRDefault="00683E4C" w:rsidP="009E05DF">
      <w:pPr>
        <w:jc w:val="both"/>
        <w:rPr>
          <w:rFonts w:ascii="Arial" w:hAnsi="Arial" w:cs="Arial"/>
          <w:sz w:val="20"/>
          <w:szCs w:val="20"/>
        </w:rPr>
      </w:pPr>
      <w:r>
        <w:rPr>
          <w:rFonts w:ascii="Arial" w:hAnsi="Arial" w:cs="Arial"/>
          <w:sz w:val="20"/>
          <w:szCs w:val="20"/>
        </w:rPr>
        <w:t xml:space="preserve">Governance </w:t>
      </w:r>
      <w:r w:rsidR="008D6FA8">
        <w:rPr>
          <w:rFonts w:ascii="Arial" w:hAnsi="Arial" w:cs="Arial"/>
          <w:sz w:val="20"/>
          <w:szCs w:val="20"/>
        </w:rPr>
        <w:t xml:space="preserve">requirements already prescribe that </w:t>
      </w:r>
      <w:r>
        <w:rPr>
          <w:rFonts w:ascii="Arial" w:hAnsi="Arial" w:cs="Arial"/>
          <w:sz w:val="20"/>
          <w:szCs w:val="20"/>
        </w:rPr>
        <w:t>trustees exercise care, skill and diligence, prohibitions on related party transactions, accountability and reporting to members and putting members</w:t>
      </w:r>
      <w:r w:rsidR="00B4244F">
        <w:rPr>
          <w:rFonts w:ascii="Arial" w:hAnsi="Arial" w:cs="Arial"/>
          <w:sz w:val="20"/>
          <w:szCs w:val="20"/>
        </w:rPr>
        <w:t>’</w:t>
      </w:r>
      <w:r>
        <w:rPr>
          <w:rFonts w:ascii="Arial" w:hAnsi="Arial" w:cs="Arial"/>
          <w:sz w:val="20"/>
          <w:szCs w:val="20"/>
        </w:rPr>
        <w:t xml:space="preserve"> best interests at the forefront of considerations.</w:t>
      </w:r>
    </w:p>
    <w:p w:rsidR="00FB7C92" w:rsidRDefault="00FB7C92" w:rsidP="009E05DF">
      <w:pPr>
        <w:jc w:val="both"/>
        <w:rPr>
          <w:rFonts w:ascii="Arial" w:hAnsi="Arial" w:cs="Arial"/>
          <w:sz w:val="20"/>
          <w:szCs w:val="20"/>
        </w:rPr>
      </w:pPr>
    </w:p>
    <w:p w:rsidR="00317547" w:rsidRDefault="00FB7C92" w:rsidP="009E05DF">
      <w:pPr>
        <w:jc w:val="both"/>
        <w:rPr>
          <w:rFonts w:ascii="Arial" w:hAnsi="Arial" w:cs="Arial"/>
          <w:sz w:val="20"/>
          <w:szCs w:val="20"/>
        </w:rPr>
      </w:pPr>
      <w:r>
        <w:rPr>
          <w:rFonts w:ascii="Arial" w:hAnsi="Arial" w:cs="Arial"/>
          <w:sz w:val="20"/>
          <w:szCs w:val="20"/>
        </w:rPr>
        <w:t xml:space="preserve">These considerations </w:t>
      </w:r>
      <w:r w:rsidR="008D6FA8">
        <w:rPr>
          <w:rFonts w:ascii="Arial" w:hAnsi="Arial" w:cs="Arial"/>
          <w:sz w:val="20"/>
          <w:szCs w:val="20"/>
        </w:rPr>
        <w:t>were also recognised</w:t>
      </w:r>
      <w:r>
        <w:rPr>
          <w:rFonts w:ascii="Arial" w:hAnsi="Arial" w:cs="Arial"/>
          <w:sz w:val="20"/>
          <w:szCs w:val="20"/>
        </w:rPr>
        <w:t xml:space="preserve"> in the </w:t>
      </w:r>
      <w:r w:rsidR="00E01DD7" w:rsidRPr="00E01DD7">
        <w:rPr>
          <w:rFonts w:ascii="Arial" w:hAnsi="Arial" w:cs="Arial"/>
          <w:sz w:val="20"/>
          <w:szCs w:val="20"/>
        </w:rPr>
        <w:t>PC’s 2012 report</w:t>
      </w:r>
      <w:r w:rsidR="00E01DD7" w:rsidRPr="00E01DD7">
        <w:rPr>
          <w:rStyle w:val="FootnoteReference"/>
          <w:rFonts w:ascii="Arial" w:hAnsi="Arial" w:cs="Arial"/>
          <w:sz w:val="20"/>
          <w:szCs w:val="20"/>
        </w:rPr>
        <w:footnoteReference w:id="13"/>
      </w:r>
      <w:r w:rsidR="00E01DD7" w:rsidRPr="00E01DD7">
        <w:rPr>
          <w:rFonts w:ascii="Arial" w:hAnsi="Arial" w:cs="Arial"/>
          <w:sz w:val="20"/>
          <w:szCs w:val="20"/>
        </w:rPr>
        <w:t xml:space="preserve"> </w:t>
      </w:r>
      <w:r w:rsidR="0079324B">
        <w:rPr>
          <w:rFonts w:ascii="Arial" w:hAnsi="Arial" w:cs="Arial"/>
          <w:sz w:val="20"/>
          <w:szCs w:val="20"/>
        </w:rPr>
        <w:t xml:space="preserve">when the PC said </w:t>
      </w:r>
      <w:r w:rsidR="00E01DD7" w:rsidRPr="00E01DD7">
        <w:rPr>
          <w:rFonts w:ascii="Arial" w:hAnsi="Arial" w:cs="Arial"/>
          <w:sz w:val="20"/>
          <w:szCs w:val="20"/>
        </w:rPr>
        <w:t>that “default superannuation arrangements are subject to significant principal-agent relationships. The role of governance arrangements is to limit the ability of agents to act in a manner contrary to the interests of the principals, to ensure the interests of the principals override other interests, and to promote overall transparency and confidence in the compulsory superannuation system.”</w:t>
      </w:r>
    </w:p>
    <w:p w:rsidR="00FB7C92" w:rsidRDefault="00FB7C92" w:rsidP="009E05DF">
      <w:pPr>
        <w:jc w:val="both"/>
        <w:rPr>
          <w:rFonts w:ascii="Arial" w:hAnsi="Arial" w:cs="Arial"/>
          <w:sz w:val="20"/>
          <w:szCs w:val="20"/>
        </w:rPr>
      </w:pPr>
    </w:p>
    <w:p w:rsidR="00FB7C92" w:rsidRPr="00E01DD7" w:rsidRDefault="00FB7C92" w:rsidP="009E05DF">
      <w:pPr>
        <w:jc w:val="both"/>
        <w:rPr>
          <w:rFonts w:ascii="Arial" w:hAnsi="Arial" w:cs="Arial"/>
          <w:sz w:val="20"/>
          <w:szCs w:val="20"/>
        </w:rPr>
      </w:pPr>
      <w:r>
        <w:rPr>
          <w:rFonts w:ascii="Arial" w:hAnsi="Arial" w:cs="Arial"/>
          <w:sz w:val="20"/>
          <w:szCs w:val="20"/>
        </w:rPr>
        <w:t>REST holds that existing laws</w:t>
      </w:r>
      <w:r w:rsidR="008D6FA8">
        <w:rPr>
          <w:rFonts w:ascii="Arial" w:hAnsi="Arial" w:cs="Arial"/>
          <w:sz w:val="20"/>
          <w:szCs w:val="20"/>
        </w:rPr>
        <w:t>, trust law</w:t>
      </w:r>
      <w:r w:rsidR="00FA01AE" w:rsidRPr="00FA01AE">
        <w:rPr>
          <w:rFonts w:ascii="Arial" w:hAnsi="Arial" w:cs="Arial"/>
          <w:sz w:val="20"/>
          <w:szCs w:val="20"/>
        </w:rPr>
        <w:t xml:space="preserve"> </w:t>
      </w:r>
      <w:r w:rsidR="00FA01AE">
        <w:rPr>
          <w:rFonts w:ascii="Arial" w:hAnsi="Arial" w:cs="Arial"/>
          <w:sz w:val="20"/>
          <w:szCs w:val="20"/>
        </w:rPr>
        <w:t>and regulat</w:t>
      </w:r>
      <w:r w:rsidR="008D6FA8">
        <w:rPr>
          <w:rFonts w:ascii="Arial" w:hAnsi="Arial" w:cs="Arial"/>
          <w:sz w:val="20"/>
          <w:szCs w:val="20"/>
        </w:rPr>
        <w:t>ory requirements</w:t>
      </w:r>
      <w:r>
        <w:rPr>
          <w:rFonts w:ascii="Arial" w:hAnsi="Arial" w:cs="Arial"/>
          <w:sz w:val="20"/>
          <w:szCs w:val="20"/>
        </w:rPr>
        <w:t xml:space="preserve"> are already in place to regulate any conflicts of interests arising which should include regulation of ‘gaming”.</w:t>
      </w:r>
    </w:p>
    <w:p w:rsidR="00DF37F5" w:rsidRPr="00DF37F5" w:rsidRDefault="00DF37F5" w:rsidP="009E05DF">
      <w:pPr>
        <w:ind w:firstLine="284"/>
        <w:jc w:val="both"/>
        <w:rPr>
          <w:rFonts w:ascii="Arial" w:hAnsi="Arial" w:cs="Arial"/>
          <w:b/>
          <w:sz w:val="20"/>
          <w:szCs w:val="20"/>
        </w:rPr>
      </w:pPr>
    </w:p>
    <w:p w:rsidR="00DF37F5" w:rsidRPr="00A53BF0" w:rsidRDefault="006B7B7A" w:rsidP="00A53BF0">
      <w:pPr>
        <w:pStyle w:val="Heading2"/>
        <w:ind w:firstLine="284"/>
        <w:rPr>
          <w:rFonts w:ascii="Arial Narrow" w:hAnsi="Arial Narrow"/>
          <w:b/>
        </w:rPr>
      </w:pPr>
      <w:bookmarkStart w:id="27" w:name="_Toc465354093"/>
      <w:r w:rsidRPr="00A53BF0">
        <w:rPr>
          <w:rFonts w:ascii="Arial Narrow" w:hAnsi="Arial Narrow"/>
          <w:b/>
          <w:color w:val="000000" w:themeColor="text1"/>
          <w:sz w:val="24"/>
          <w:szCs w:val="24"/>
        </w:rPr>
        <w:t>8.5</w:t>
      </w:r>
      <w:r w:rsidRPr="00A53BF0">
        <w:rPr>
          <w:rFonts w:ascii="Arial Narrow" w:hAnsi="Arial Narrow"/>
          <w:b/>
          <w:color w:val="000000" w:themeColor="text1"/>
          <w:sz w:val="24"/>
          <w:szCs w:val="24"/>
        </w:rPr>
        <w:tab/>
      </w:r>
      <w:r w:rsidR="00DF37F5" w:rsidRPr="00A53BF0">
        <w:rPr>
          <w:rFonts w:ascii="Arial Narrow" w:hAnsi="Arial Narrow"/>
          <w:b/>
          <w:color w:val="000000" w:themeColor="text1"/>
          <w:sz w:val="24"/>
          <w:szCs w:val="24"/>
        </w:rPr>
        <w:t>Stability</w:t>
      </w:r>
      <w:bookmarkEnd w:id="27"/>
    </w:p>
    <w:p w:rsidR="007D41F9" w:rsidRDefault="007D41F9" w:rsidP="009E05DF">
      <w:pPr>
        <w:ind w:firstLine="284"/>
        <w:jc w:val="both"/>
        <w:rPr>
          <w:rFonts w:ascii="Arial" w:hAnsi="Arial" w:cs="Arial"/>
          <w:b/>
          <w:sz w:val="20"/>
          <w:szCs w:val="20"/>
        </w:rPr>
      </w:pPr>
    </w:p>
    <w:p w:rsidR="007D41F9" w:rsidRDefault="007D41F9" w:rsidP="009E05DF">
      <w:pPr>
        <w:jc w:val="both"/>
        <w:rPr>
          <w:rFonts w:ascii="Arial" w:hAnsi="Arial" w:cs="Arial"/>
          <w:sz w:val="20"/>
          <w:szCs w:val="20"/>
        </w:rPr>
      </w:pPr>
      <w:r w:rsidRPr="00317547">
        <w:rPr>
          <w:rFonts w:ascii="Arial" w:hAnsi="Arial" w:cs="Arial"/>
          <w:sz w:val="20"/>
          <w:szCs w:val="20"/>
        </w:rPr>
        <w:t>To ensure a stable superannuation system, the criteria must take into account the needs of default members, employers as well as the community. Defaul</w:t>
      </w:r>
      <w:r w:rsidR="00317547">
        <w:rPr>
          <w:rFonts w:ascii="Arial" w:hAnsi="Arial" w:cs="Arial"/>
          <w:sz w:val="20"/>
          <w:szCs w:val="20"/>
        </w:rPr>
        <w:t>t</w:t>
      </w:r>
      <w:r w:rsidRPr="00317547">
        <w:rPr>
          <w:rFonts w:ascii="Arial" w:hAnsi="Arial" w:cs="Arial"/>
          <w:sz w:val="20"/>
          <w:szCs w:val="20"/>
        </w:rPr>
        <w:t xml:space="preserve"> members require low cost, simple product</w:t>
      </w:r>
      <w:r w:rsidR="0079324B">
        <w:rPr>
          <w:rFonts w:ascii="Arial" w:hAnsi="Arial" w:cs="Arial"/>
          <w:sz w:val="20"/>
          <w:szCs w:val="20"/>
        </w:rPr>
        <w:t>s</w:t>
      </w:r>
      <w:r w:rsidRPr="00317547">
        <w:rPr>
          <w:rFonts w:ascii="Arial" w:hAnsi="Arial" w:cs="Arial"/>
          <w:sz w:val="20"/>
          <w:szCs w:val="20"/>
        </w:rPr>
        <w:t xml:space="preserve"> which deliver stable returns and are tailored to their particul</w:t>
      </w:r>
      <w:r w:rsidR="00BF4973">
        <w:rPr>
          <w:rFonts w:ascii="Arial" w:hAnsi="Arial" w:cs="Arial"/>
          <w:sz w:val="20"/>
          <w:szCs w:val="20"/>
        </w:rPr>
        <w:t>ar needs and expectations. For e</w:t>
      </w:r>
      <w:r w:rsidRPr="00317547">
        <w:rPr>
          <w:rFonts w:ascii="Arial" w:hAnsi="Arial" w:cs="Arial"/>
          <w:sz w:val="20"/>
          <w:szCs w:val="20"/>
        </w:rPr>
        <w:t xml:space="preserve">mployers, they require certainty, efficiency, administrative </w:t>
      </w:r>
      <w:r w:rsidR="00DC7448" w:rsidRPr="00317547">
        <w:rPr>
          <w:rFonts w:ascii="Arial" w:hAnsi="Arial" w:cs="Arial"/>
          <w:sz w:val="20"/>
          <w:szCs w:val="20"/>
        </w:rPr>
        <w:t>eas</w:t>
      </w:r>
      <w:r w:rsidR="00DC7448">
        <w:rPr>
          <w:rFonts w:ascii="Arial" w:hAnsi="Arial" w:cs="Arial"/>
          <w:sz w:val="20"/>
          <w:szCs w:val="20"/>
        </w:rPr>
        <w:t>e</w:t>
      </w:r>
      <w:r w:rsidR="0079324B">
        <w:rPr>
          <w:rFonts w:ascii="Arial" w:hAnsi="Arial" w:cs="Arial"/>
          <w:sz w:val="20"/>
          <w:szCs w:val="20"/>
        </w:rPr>
        <w:t xml:space="preserve"> and</w:t>
      </w:r>
      <w:r w:rsidRPr="00317547">
        <w:rPr>
          <w:rFonts w:ascii="Arial" w:hAnsi="Arial" w:cs="Arial"/>
          <w:sz w:val="20"/>
          <w:szCs w:val="20"/>
        </w:rPr>
        <w:t xml:space="preserve"> not being required to act as “</w:t>
      </w:r>
      <w:proofErr w:type="spellStart"/>
      <w:r w:rsidRPr="00317547">
        <w:rPr>
          <w:rFonts w:ascii="Arial" w:hAnsi="Arial" w:cs="Arial"/>
          <w:sz w:val="20"/>
          <w:szCs w:val="20"/>
        </w:rPr>
        <w:t>defacto</w:t>
      </w:r>
      <w:proofErr w:type="spellEnd"/>
      <w:r w:rsidRPr="00317547">
        <w:rPr>
          <w:rFonts w:ascii="Arial" w:hAnsi="Arial" w:cs="Arial"/>
          <w:sz w:val="20"/>
          <w:szCs w:val="20"/>
        </w:rPr>
        <w:t xml:space="preserve"> trustee” by </w:t>
      </w:r>
      <w:r w:rsidR="00317547">
        <w:rPr>
          <w:rFonts w:ascii="Arial" w:hAnsi="Arial" w:cs="Arial"/>
          <w:sz w:val="20"/>
          <w:szCs w:val="20"/>
        </w:rPr>
        <w:t>choosing</w:t>
      </w:r>
      <w:r w:rsidRPr="00317547">
        <w:rPr>
          <w:rFonts w:ascii="Arial" w:hAnsi="Arial" w:cs="Arial"/>
          <w:sz w:val="20"/>
          <w:szCs w:val="20"/>
        </w:rPr>
        <w:t xml:space="preserve"> a suitable default fund, which may not be in their employees’ best interest</w:t>
      </w:r>
      <w:r w:rsidR="0079324B">
        <w:rPr>
          <w:rFonts w:ascii="Arial" w:hAnsi="Arial" w:cs="Arial"/>
          <w:sz w:val="20"/>
          <w:szCs w:val="20"/>
        </w:rPr>
        <w:t>s</w:t>
      </w:r>
      <w:r w:rsidRPr="00317547">
        <w:rPr>
          <w:rFonts w:ascii="Arial" w:hAnsi="Arial" w:cs="Arial"/>
          <w:sz w:val="20"/>
          <w:szCs w:val="20"/>
        </w:rPr>
        <w:t>.</w:t>
      </w:r>
    </w:p>
    <w:p w:rsidR="00DC7448" w:rsidRDefault="00DC7448" w:rsidP="009E05DF">
      <w:pPr>
        <w:jc w:val="both"/>
        <w:rPr>
          <w:rFonts w:ascii="Arial" w:hAnsi="Arial" w:cs="Arial"/>
          <w:sz w:val="20"/>
          <w:szCs w:val="20"/>
        </w:rPr>
      </w:pPr>
    </w:p>
    <w:p w:rsidR="00DC7448" w:rsidRPr="00317547" w:rsidRDefault="00DC7448" w:rsidP="009E05DF">
      <w:pPr>
        <w:jc w:val="both"/>
        <w:rPr>
          <w:rFonts w:ascii="Arial" w:hAnsi="Arial" w:cs="Arial"/>
          <w:sz w:val="20"/>
          <w:szCs w:val="20"/>
        </w:rPr>
      </w:pPr>
      <w:r>
        <w:rPr>
          <w:rFonts w:ascii="Arial" w:hAnsi="Arial" w:cs="Arial"/>
          <w:sz w:val="20"/>
          <w:szCs w:val="20"/>
        </w:rPr>
        <w:t xml:space="preserve">REST believes that the current system is </w:t>
      </w:r>
      <w:r w:rsidR="0079324B">
        <w:rPr>
          <w:rFonts w:ascii="Arial" w:hAnsi="Arial" w:cs="Arial"/>
          <w:sz w:val="20"/>
          <w:szCs w:val="20"/>
        </w:rPr>
        <w:t xml:space="preserve">a </w:t>
      </w:r>
      <w:r>
        <w:rPr>
          <w:rFonts w:ascii="Arial" w:hAnsi="Arial" w:cs="Arial"/>
          <w:sz w:val="20"/>
          <w:szCs w:val="20"/>
        </w:rPr>
        <w:t xml:space="preserve">stable system in that it promotes certainty and trust from the community. REST also knows from experience that the community has a low tolerance for any changes to superannuation laws.  </w:t>
      </w:r>
      <w:r w:rsidR="006756DB">
        <w:rPr>
          <w:rFonts w:ascii="Arial" w:hAnsi="Arial" w:cs="Arial"/>
          <w:sz w:val="20"/>
          <w:szCs w:val="20"/>
        </w:rPr>
        <w:t xml:space="preserve">Our observation is that there </w:t>
      </w:r>
      <w:r>
        <w:rPr>
          <w:rFonts w:ascii="Arial" w:hAnsi="Arial" w:cs="Arial"/>
          <w:sz w:val="20"/>
          <w:szCs w:val="20"/>
        </w:rPr>
        <w:t xml:space="preserve">tends to be a decrease </w:t>
      </w:r>
      <w:r w:rsidR="0079324B">
        <w:rPr>
          <w:rFonts w:ascii="Arial" w:hAnsi="Arial" w:cs="Arial"/>
          <w:sz w:val="20"/>
          <w:szCs w:val="20"/>
        </w:rPr>
        <w:t xml:space="preserve">in </w:t>
      </w:r>
      <w:r>
        <w:rPr>
          <w:rFonts w:ascii="Arial" w:hAnsi="Arial" w:cs="Arial"/>
          <w:sz w:val="20"/>
          <w:szCs w:val="20"/>
        </w:rPr>
        <w:t>voluntary contributions to the fund</w:t>
      </w:r>
      <w:r w:rsidR="006756DB">
        <w:rPr>
          <w:rFonts w:ascii="Arial" w:hAnsi="Arial" w:cs="Arial"/>
          <w:sz w:val="20"/>
          <w:szCs w:val="20"/>
        </w:rPr>
        <w:t xml:space="preserve"> </w:t>
      </w:r>
      <w:r w:rsidR="00E23877">
        <w:rPr>
          <w:rFonts w:ascii="Arial" w:hAnsi="Arial" w:cs="Arial"/>
          <w:sz w:val="20"/>
          <w:szCs w:val="20"/>
        </w:rPr>
        <w:t>upon</w:t>
      </w:r>
      <w:r w:rsidR="006756DB">
        <w:rPr>
          <w:rFonts w:ascii="Arial" w:hAnsi="Arial" w:cs="Arial"/>
          <w:sz w:val="20"/>
          <w:szCs w:val="20"/>
        </w:rPr>
        <w:t xml:space="preserve"> each new legislative development impacting superannuation</w:t>
      </w:r>
      <w:r>
        <w:rPr>
          <w:rFonts w:ascii="Arial" w:hAnsi="Arial" w:cs="Arial"/>
          <w:sz w:val="20"/>
          <w:szCs w:val="20"/>
        </w:rPr>
        <w:t xml:space="preserve">. This decrease is a sign from our members that </w:t>
      </w:r>
      <w:r w:rsidR="00E23877">
        <w:rPr>
          <w:rFonts w:ascii="Arial" w:hAnsi="Arial" w:cs="Arial"/>
          <w:sz w:val="20"/>
          <w:szCs w:val="20"/>
        </w:rPr>
        <w:t>their</w:t>
      </w:r>
      <w:r>
        <w:rPr>
          <w:rFonts w:ascii="Arial" w:hAnsi="Arial" w:cs="Arial"/>
          <w:sz w:val="20"/>
          <w:szCs w:val="20"/>
        </w:rPr>
        <w:t xml:space="preserve"> levels of trust, participation and engagement ha</w:t>
      </w:r>
      <w:r w:rsidR="00961A92">
        <w:rPr>
          <w:rFonts w:ascii="Arial" w:hAnsi="Arial" w:cs="Arial"/>
          <w:sz w:val="20"/>
          <w:szCs w:val="20"/>
        </w:rPr>
        <w:t>ve</w:t>
      </w:r>
      <w:r>
        <w:rPr>
          <w:rFonts w:ascii="Arial" w:hAnsi="Arial" w:cs="Arial"/>
          <w:sz w:val="20"/>
          <w:szCs w:val="20"/>
        </w:rPr>
        <w:t xml:space="preserve"> declined given the uncertainty of the application of new developments.</w:t>
      </w:r>
    </w:p>
    <w:p w:rsidR="007D41F9" w:rsidRPr="00317547" w:rsidRDefault="007D41F9" w:rsidP="009E05DF">
      <w:pPr>
        <w:ind w:firstLine="284"/>
        <w:jc w:val="both"/>
        <w:rPr>
          <w:rFonts w:ascii="Arial" w:hAnsi="Arial" w:cs="Arial"/>
          <w:sz w:val="20"/>
          <w:szCs w:val="20"/>
        </w:rPr>
      </w:pPr>
    </w:p>
    <w:p w:rsidR="007D41F9" w:rsidRDefault="007D41F9" w:rsidP="009E05DF">
      <w:pPr>
        <w:jc w:val="both"/>
        <w:rPr>
          <w:rFonts w:ascii="Arial" w:hAnsi="Arial" w:cs="Arial"/>
          <w:sz w:val="20"/>
          <w:szCs w:val="20"/>
        </w:rPr>
      </w:pPr>
      <w:r w:rsidRPr="00317547">
        <w:rPr>
          <w:rFonts w:ascii="Arial" w:hAnsi="Arial" w:cs="Arial"/>
          <w:sz w:val="20"/>
          <w:szCs w:val="20"/>
        </w:rPr>
        <w:t xml:space="preserve">For the community, </w:t>
      </w:r>
      <w:r w:rsidR="00BF4973">
        <w:rPr>
          <w:rFonts w:ascii="Arial" w:hAnsi="Arial" w:cs="Arial"/>
          <w:sz w:val="20"/>
          <w:szCs w:val="20"/>
        </w:rPr>
        <w:t>as discussed</w:t>
      </w:r>
      <w:r w:rsidR="00935834">
        <w:rPr>
          <w:rFonts w:ascii="Arial" w:hAnsi="Arial" w:cs="Arial"/>
          <w:sz w:val="20"/>
          <w:szCs w:val="20"/>
        </w:rPr>
        <w:t>,</w:t>
      </w:r>
      <w:r w:rsidR="00BF4973">
        <w:rPr>
          <w:rFonts w:ascii="Arial" w:hAnsi="Arial" w:cs="Arial"/>
          <w:sz w:val="20"/>
          <w:szCs w:val="20"/>
        </w:rPr>
        <w:t xml:space="preserve"> </w:t>
      </w:r>
      <w:r w:rsidRPr="00317547">
        <w:rPr>
          <w:rFonts w:ascii="Arial" w:hAnsi="Arial" w:cs="Arial"/>
          <w:sz w:val="20"/>
          <w:szCs w:val="20"/>
        </w:rPr>
        <w:t xml:space="preserve">the impact </w:t>
      </w:r>
      <w:r w:rsidR="00935834">
        <w:rPr>
          <w:rFonts w:ascii="Arial" w:hAnsi="Arial" w:cs="Arial"/>
          <w:sz w:val="20"/>
          <w:szCs w:val="20"/>
        </w:rPr>
        <w:t>of superannuation investments for the long term in</w:t>
      </w:r>
      <w:r w:rsidRPr="00317547">
        <w:rPr>
          <w:rFonts w:ascii="Arial" w:hAnsi="Arial" w:cs="Arial"/>
          <w:sz w:val="20"/>
          <w:szCs w:val="20"/>
        </w:rPr>
        <w:t xml:space="preserve"> capital/debt markets and inf</w:t>
      </w:r>
      <w:r w:rsidR="00317547">
        <w:rPr>
          <w:rFonts w:ascii="Arial" w:hAnsi="Arial" w:cs="Arial"/>
          <w:sz w:val="20"/>
          <w:szCs w:val="20"/>
        </w:rPr>
        <w:t xml:space="preserve">rastructure projects generally </w:t>
      </w:r>
      <w:r w:rsidRPr="00317547">
        <w:rPr>
          <w:rFonts w:ascii="Arial" w:hAnsi="Arial" w:cs="Arial"/>
          <w:sz w:val="20"/>
          <w:szCs w:val="20"/>
        </w:rPr>
        <w:t xml:space="preserve">have flow on effects to the community in terms of </w:t>
      </w:r>
      <w:r w:rsidR="0079324B" w:rsidRPr="00317547">
        <w:rPr>
          <w:rFonts w:ascii="Arial" w:hAnsi="Arial" w:cs="Arial"/>
          <w:sz w:val="20"/>
          <w:szCs w:val="20"/>
        </w:rPr>
        <w:t xml:space="preserve">new </w:t>
      </w:r>
      <w:r w:rsidRPr="00317547">
        <w:rPr>
          <w:rFonts w:ascii="Arial" w:hAnsi="Arial" w:cs="Arial"/>
          <w:sz w:val="20"/>
          <w:szCs w:val="20"/>
        </w:rPr>
        <w:t xml:space="preserve">capital works and projects that provide benefits to all </w:t>
      </w:r>
      <w:r w:rsidR="00317547">
        <w:rPr>
          <w:rFonts w:ascii="Arial" w:hAnsi="Arial" w:cs="Arial"/>
          <w:sz w:val="20"/>
          <w:szCs w:val="20"/>
        </w:rPr>
        <w:t>members</w:t>
      </w:r>
      <w:r w:rsidRPr="00317547">
        <w:rPr>
          <w:rFonts w:ascii="Arial" w:hAnsi="Arial" w:cs="Arial"/>
          <w:sz w:val="20"/>
          <w:szCs w:val="20"/>
        </w:rPr>
        <w:t xml:space="preserve"> of society, as well as being able to support broad community initiatives such as financial literacy programs and low cost access</w:t>
      </w:r>
      <w:r w:rsidR="00317547">
        <w:rPr>
          <w:rFonts w:ascii="Arial" w:hAnsi="Arial" w:cs="Arial"/>
          <w:sz w:val="20"/>
          <w:szCs w:val="20"/>
        </w:rPr>
        <w:t>i</w:t>
      </w:r>
      <w:r w:rsidRPr="00317547">
        <w:rPr>
          <w:rFonts w:ascii="Arial" w:hAnsi="Arial" w:cs="Arial"/>
          <w:sz w:val="20"/>
          <w:szCs w:val="20"/>
        </w:rPr>
        <w:t>b</w:t>
      </w:r>
      <w:r w:rsidR="00317547">
        <w:rPr>
          <w:rFonts w:ascii="Arial" w:hAnsi="Arial" w:cs="Arial"/>
          <w:sz w:val="20"/>
          <w:szCs w:val="20"/>
        </w:rPr>
        <w:t>le</w:t>
      </w:r>
      <w:r w:rsidRPr="00317547">
        <w:rPr>
          <w:rFonts w:ascii="Arial" w:hAnsi="Arial" w:cs="Arial"/>
          <w:sz w:val="20"/>
          <w:szCs w:val="20"/>
        </w:rPr>
        <w:t xml:space="preserve"> financial advice.</w:t>
      </w:r>
      <w:r w:rsidR="0079324B">
        <w:rPr>
          <w:rFonts w:ascii="Arial" w:hAnsi="Arial" w:cs="Arial"/>
          <w:sz w:val="20"/>
          <w:szCs w:val="20"/>
        </w:rPr>
        <w:t xml:space="preserve"> </w:t>
      </w:r>
    </w:p>
    <w:p w:rsidR="006B7B7A" w:rsidRDefault="006B7B7A">
      <w:pPr>
        <w:rPr>
          <w:rFonts w:ascii="Arial" w:hAnsi="Arial" w:cs="Arial"/>
          <w:sz w:val="20"/>
          <w:szCs w:val="20"/>
        </w:rPr>
      </w:pPr>
    </w:p>
    <w:p w:rsidR="005547D7" w:rsidRDefault="005547D7" w:rsidP="009E05DF">
      <w:pPr>
        <w:jc w:val="both"/>
        <w:rPr>
          <w:rFonts w:ascii="Arial" w:hAnsi="Arial" w:cs="Arial"/>
          <w:sz w:val="20"/>
          <w:szCs w:val="20"/>
        </w:rPr>
      </w:pPr>
    </w:p>
    <w:p w:rsidR="00DF37F5" w:rsidRPr="00A53BF0" w:rsidRDefault="006B7B7A" w:rsidP="00A53BF0">
      <w:pPr>
        <w:pStyle w:val="Heading2"/>
        <w:ind w:firstLine="284"/>
        <w:rPr>
          <w:rFonts w:ascii="Arial Narrow" w:hAnsi="Arial Narrow"/>
          <w:b/>
          <w:color w:val="000000" w:themeColor="text1"/>
        </w:rPr>
      </w:pPr>
      <w:bookmarkStart w:id="28" w:name="_Toc465354094"/>
      <w:r w:rsidRPr="00A53BF0">
        <w:rPr>
          <w:rFonts w:ascii="Arial Narrow" w:hAnsi="Arial Narrow"/>
          <w:b/>
          <w:color w:val="000000" w:themeColor="text1"/>
          <w:sz w:val="24"/>
          <w:szCs w:val="24"/>
        </w:rPr>
        <w:t>8.6</w:t>
      </w:r>
      <w:r w:rsidRPr="00A53BF0">
        <w:rPr>
          <w:rFonts w:ascii="Arial Narrow" w:hAnsi="Arial Narrow"/>
          <w:b/>
          <w:color w:val="000000" w:themeColor="text1"/>
          <w:sz w:val="24"/>
          <w:szCs w:val="24"/>
        </w:rPr>
        <w:tab/>
      </w:r>
      <w:r w:rsidR="00DF37F5" w:rsidRPr="00A53BF0">
        <w:rPr>
          <w:rFonts w:ascii="Arial Narrow" w:hAnsi="Arial Narrow"/>
          <w:b/>
          <w:color w:val="000000" w:themeColor="text1"/>
          <w:sz w:val="24"/>
          <w:szCs w:val="24"/>
        </w:rPr>
        <w:t>System-wide costs</w:t>
      </w:r>
      <w:bookmarkEnd w:id="28"/>
    </w:p>
    <w:p w:rsidR="00203827" w:rsidRPr="00DF37F5" w:rsidRDefault="00203827" w:rsidP="009E05DF">
      <w:pPr>
        <w:ind w:firstLine="284"/>
        <w:jc w:val="both"/>
        <w:rPr>
          <w:rFonts w:ascii="Arial" w:hAnsi="Arial" w:cs="Arial"/>
          <w:b/>
          <w:sz w:val="20"/>
          <w:szCs w:val="20"/>
        </w:rPr>
      </w:pPr>
    </w:p>
    <w:p w:rsidR="002038A6" w:rsidRDefault="00317547" w:rsidP="009E05DF">
      <w:pPr>
        <w:jc w:val="both"/>
        <w:rPr>
          <w:rFonts w:ascii="Arial" w:hAnsi="Arial" w:cs="Arial"/>
          <w:sz w:val="20"/>
          <w:szCs w:val="20"/>
        </w:rPr>
      </w:pPr>
      <w:r>
        <w:rPr>
          <w:rFonts w:ascii="Arial" w:hAnsi="Arial" w:cs="Arial"/>
          <w:sz w:val="20"/>
          <w:szCs w:val="20"/>
        </w:rPr>
        <w:t xml:space="preserve">The proposed allocation models </w:t>
      </w:r>
      <w:r w:rsidR="0079324B">
        <w:rPr>
          <w:rFonts w:ascii="Arial" w:hAnsi="Arial" w:cs="Arial"/>
          <w:sz w:val="20"/>
          <w:szCs w:val="20"/>
        </w:rPr>
        <w:t xml:space="preserve">on a stand-alone basis </w:t>
      </w:r>
      <w:r>
        <w:rPr>
          <w:rFonts w:ascii="Arial" w:hAnsi="Arial" w:cs="Arial"/>
          <w:sz w:val="20"/>
          <w:szCs w:val="20"/>
        </w:rPr>
        <w:t xml:space="preserve">have the potential to increase the costs of providing the superannuation services by reduction of scale. </w:t>
      </w:r>
      <w:r w:rsidR="003B0346">
        <w:rPr>
          <w:rFonts w:ascii="Arial" w:hAnsi="Arial" w:cs="Arial"/>
          <w:sz w:val="20"/>
          <w:szCs w:val="20"/>
        </w:rPr>
        <w:t xml:space="preserve">If membership was to decrease, operating expenses would rise. Members remaining in the fund would need to bear these additional </w:t>
      </w:r>
      <w:r w:rsidR="003B0346">
        <w:rPr>
          <w:rFonts w:ascii="Arial" w:hAnsi="Arial" w:cs="Arial"/>
          <w:sz w:val="20"/>
          <w:szCs w:val="20"/>
        </w:rPr>
        <w:lastRenderedPageBreak/>
        <w:t xml:space="preserve">costs. </w:t>
      </w:r>
      <w:r w:rsidR="00C83C61">
        <w:rPr>
          <w:rFonts w:ascii="Arial" w:hAnsi="Arial" w:cs="Arial"/>
          <w:sz w:val="20"/>
          <w:szCs w:val="20"/>
        </w:rPr>
        <w:t xml:space="preserve">Scale impacts include </w:t>
      </w:r>
      <w:r>
        <w:rPr>
          <w:rFonts w:ascii="Arial" w:hAnsi="Arial" w:cs="Arial"/>
          <w:sz w:val="20"/>
          <w:szCs w:val="20"/>
        </w:rPr>
        <w:t xml:space="preserve">potentially higher fees for members leaving for another fund and changes to insurance. </w:t>
      </w:r>
    </w:p>
    <w:p w:rsidR="002038A6" w:rsidRDefault="002038A6" w:rsidP="009E05DF">
      <w:pPr>
        <w:jc w:val="both"/>
        <w:rPr>
          <w:rFonts w:ascii="Arial" w:hAnsi="Arial" w:cs="Arial"/>
          <w:sz w:val="20"/>
          <w:szCs w:val="20"/>
        </w:rPr>
      </w:pPr>
    </w:p>
    <w:p w:rsidR="00B81EDD" w:rsidRDefault="00317547" w:rsidP="009E05DF">
      <w:pPr>
        <w:jc w:val="both"/>
        <w:rPr>
          <w:rFonts w:ascii="Arial" w:hAnsi="Arial" w:cs="Arial"/>
          <w:sz w:val="20"/>
          <w:szCs w:val="20"/>
        </w:rPr>
      </w:pPr>
      <w:r>
        <w:rPr>
          <w:rFonts w:ascii="Arial" w:hAnsi="Arial" w:cs="Arial"/>
          <w:sz w:val="20"/>
          <w:szCs w:val="20"/>
        </w:rPr>
        <w:t>A reduction in a fund’s membership would erode the fund’s insurance pool.</w:t>
      </w:r>
      <w:r w:rsidR="007054A2">
        <w:rPr>
          <w:rFonts w:ascii="Arial" w:hAnsi="Arial" w:cs="Arial"/>
          <w:sz w:val="20"/>
          <w:szCs w:val="20"/>
        </w:rPr>
        <w:t xml:space="preserve"> REST operates one of the largest insurance pools in the southern hemisphere. A reduced membership would erode this pool and could potentially affect </w:t>
      </w:r>
      <w:proofErr w:type="spellStart"/>
      <w:r w:rsidR="007054A2">
        <w:rPr>
          <w:rFonts w:ascii="Arial" w:hAnsi="Arial" w:cs="Arial"/>
          <w:sz w:val="20"/>
          <w:szCs w:val="20"/>
        </w:rPr>
        <w:t>REST’s</w:t>
      </w:r>
      <w:proofErr w:type="spellEnd"/>
      <w:r w:rsidR="007054A2">
        <w:rPr>
          <w:rFonts w:ascii="Arial" w:hAnsi="Arial" w:cs="Arial"/>
          <w:sz w:val="20"/>
          <w:szCs w:val="20"/>
        </w:rPr>
        <w:t xml:space="preserve"> future competitiveness. </w:t>
      </w:r>
      <w:r>
        <w:rPr>
          <w:rFonts w:ascii="Arial" w:hAnsi="Arial" w:cs="Arial"/>
          <w:sz w:val="20"/>
          <w:szCs w:val="20"/>
        </w:rPr>
        <w:t xml:space="preserve"> This would impact on the remaining members in terms of premium rates, cover and ancillary benefits and could potentially affect </w:t>
      </w:r>
      <w:r w:rsidR="0079324B">
        <w:rPr>
          <w:rFonts w:ascii="Arial" w:hAnsi="Arial" w:cs="Arial"/>
          <w:sz w:val="20"/>
          <w:szCs w:val="20"/>
        </w:rPr>
        <w:t xml:space="preserve">the fund’s </w:t>
      </w:r>
      <w:r>
        <w:rPr>
          <w:rFonts w:ascii="Arial" w:hAnsi="Arial" w:cs="Arial"/>
          <w:sz w:val="20"/>
          <w:szCs w:val="20"/>
        </w:rPr>
        <w:t>future competitiveness.</w:t>
      </w:r>
      <w:r w:rsidR="00C83C61">
        <w:rPr>
          <w:rFonts w:ascii="Arial" w:hAnsi="Arial" w:cs="Arial"/>
          <w:sz w:val="20"/>
          <w:szCs w:val="20"/>
        </w:rPr>
        <w:t xml:space="preserve"> A member leaving the fund may experience reduced or ineligible insurance benefits under another fund.</w:t>
      </w:r>
      <w:r w:rsidR="00B81EDD">
        <w:rPr>
          <w:rFonts w:ascii="Arial" w:hAnsi="Arial" w:cs="Arial"/>
          <w:sz w:val="20"/>
          <w:szCs w:val="20"/>
        </w:rPr>
        <w:t xml:space="preserve"> If an allocated default fund was to lose its default status</w:t>
      </w:r>
      <w:r w:rsidR="0079324B">
        <w:rPr>
          <w:rFonts w:ascii="Arial" w:hAnsi="Arial" w:cs="Arial"/>
          <w:sz w:val="20"/>
          <w:szCs w:val="20"/>
        </w:rPr>
        <w:t>,</w:t>
      </w:r>
      <w:r w:rsidR="00B81EDD">
        <w:rPr>
          <w:rFonts w:ascii="Arial" w:hAnsi="Arial" w:cs="Arial"/>
          <w:sz w:val="20"/>
          <w:szCs w:val="20"/>
        </w:rPr>
        <w:t xml:space="preserve"> the members </w:t>
      </w:r>
      <w:r w:rsidR="0079324B">
        <w:rPr>
          <w:rFonts w:ascii="Arial" w:hAnsi="Arial" w:cs="Arial"/>
          <w:sz w:val="20"/>
          <w:szCs w:val="20"/>
        </w:rPr>
        <w:t xml:space="preserve">might </w:t>
      </w:r>
      <w:r w:rsidR="00B81EDD">
        <w:rPr>
          <w:rFonts w:ascii="Arial" w:hAnsi="Arial" w:cs="Arial"/>
          <w:sz w:val="20"/>
          <w:szCs w:val="20"/>
        </w:rPr>
        <w:t>be required to change funds which would result in</w:t>
      </w:r>
      <w:r w:rsidR="00961A92">
        <w:rPr>
          <w:rFonts w:ascii="Arial" w:hAnsi="Arial" w:cs="Arial"/>
          <w:sz w:val="20"/>
          <w:szCs w:val="20"/>
        </w:rPr>
        <w:t xml:space="preserve"> a</w:t>
      </w:r>
      <w:r w:rsidR="00B81EDD">
        <w:rPr>
          <w:rFonts w:ascii="Arial" w:hAnsi="Arial" w:cs="Arial"/>
          <w:sz w:val="20"/>
          <w:szCs w:val="20"/>
        </w:rPr>
        <w:t xml:space="preserve"> los</w:t>
      </w:r>
      <w:r w:rsidR="00961A92">
        <w:rPr>
          <w:rFonts w:ascii="Arial" w:hAnsi="Arial" w:cs="Arial"/>
          <w:sz w:val="20"/>
          <w:szCs w:val="20"/>
        </w:rPr>
        <w:t>s of an existing</w:t>
      </w:r>
      <w:r w:rsidR="00B81EDD">
        <w:rPr>
          <w:rFonts w:ascii="Arial" w:hAnsi="Arial" w:cs="Arial"/>
          <w:sz w:val="20"/>
          <w:szCs w:val="20"/>
        </w:rPr>
        <w:t xml:space="preserve"> insurance</w:t>
      </w:r>
      <w:r w:rsidR="00961A92">
        <w:rPr>
          <w:rFonts w:ascii="Arial" w:hAnsi="Arial" w:cs="Arial"/>
          <w:sz w:val="20"/>
          <w:szCs w:val="20"/>
        </w:rPr>
        <w:t xml:space="preserve"> benefit</w:t>
      </w:r>
      <w:r w:rsidR="00B81EDD">
        <w:rPr>
          <w:rFonts w:ascii="Arial" w:hAnsi="Arial" w:cs="Arial"/>
          <w:sz w:val="20"/>
          <w:szCs w:val="20"/>
        </w:rPr>
        <w:t>.</w:t>
      </w:r>
      <w:r w:rsidR="00B81EDD" w:rsidRPr="00B81EDD">
        <w:rPr>
          <w:rFonts w:ascii="Arial" w:hAnsi="Arial" w:cs="Arial"/>
          <w:sz w:val="20"/>
          <w:szCs w:val="20"/>
        </w:rPr>
        <w:t xml:space="preserve"> </w:t>
      </w:r>
      <w:r w:rsidR="00B81EDD">
        <w:rPr>
          <w:rFonts w:ascii="Arial" w:hAnsi="Arial" w:cs="Arial"/>
          <w:sz w:val="20"/>
          <w:szCs w:val="20"/>
        </w:rPr>
        <w:t xml:space="preserve">As discussed previously, if this cover was not offered through superannuation, these members would not be able to get cover anywhere else or at </w:t>
      </w:r>
      <w:r w:rsidR="00961A92">
        <w:rPr>
          <w:rFonts w:ascii="Arial" w:hAnsi="Arial" w:cs="Arial"/>
          <w:sz w:val="20"/>
          <w:szCs w:val="20"/>
        </w:rPr>
        <w:t xml:space="preserve">least at </w:t>
      </w:r>
      <w:r w:rsidR="00B81EDD">
        <w:rPr>
          <w:rFonts w:ascii="Arial" w:hAnsi="Arial" w:cs="Arial"/>
          <w:sz w:val="20"/>
          <w:szCs w:val="20"/>
        </w:rPr>
        <w:t>an affordable price. This places a heavier burden on the government to provide uninsured medical services which has cost impacts upon the community and health system.</w:t>
      </w:r>
    </w:p>
    <w:p w:rsidR="00B81EDD" w:rsidRDefault="00B81EDD" w:rsidP="009E05DF">
      <w:pPr>
        <w:jc w:val="both"/>
        <w:rPr>
          <w:rFonts w:ascii="Arial" w:hAnsi="Arial" w:cs="Arial"/>
          <w:sz w:val="20"/>
          <w:szCs w:val="20"/>
        </w:rPr>
      </w:pPr>
    </w:p>
    <w:p w:rsidR="002038A6" w:rsidRDefault="00B81EDD" w:rsidP="009E05DF">
      <w:pPr>
        <w:jc w:val="both"/>
        <w:rPr>
          <w:rFonts w:ascii="Arial" w:hAnsi="Arial" w:cs="Arial"/>
          <w:sz w:val="20"/>
          <w:szCs w:val="20"/>
        </w:rPr>
      </w:pPr>
      <w:r>
        <w:rPr>
          <w:rFonts w:ascii="Arial" w:hAnsi="Arial" w:cs="Arial"/>
          <w:sz w:val="20"/>
          <w:szCs w:val="20"/>
        </w:rPr>
        <w:t xml:space="preserve">The loss of default status for a fund would also lead to employee and employer confusion as well as additional costs for funds, members and employers. </w:t>
      </w:r>
    </w:p>
    <w:p w:rsidR="00CF3F37" w:rsidRDefault="00CF3F37" w:rsidP="009E05DF">
      <w:pPr>
        <w:jc w:val="both"/>
        <w:rPr>
          <w:rFonts w:ascii="Arial" w:hAnsi="Arial" w:cs="Arial"/>
          <w:sz w:val="20"/>
          <w:szCs w:val="20"/>
        </w:rPr>
      </w:pPr>
    </w:p>
    <w:p w:rsidR="00CF3F37" w:rsidRPr="00A53BF0" w:rsidRDefault="006B7B7A" w:rsidP="00A53BF0">
      <w:pPr>
        <w:pStyle w:val="Heading3"/>
        <w:ind w:left="851" w:hanging="567"/>
        <w:rPr>
          <w:rFonts w:ascii="Arial Narrow" w:hAnsi="Arial Narrow"/>
          <w:sz w:val="22"/>
          <w:szCs w:val="22"/>
        </w:rPr>
      </w:pPr>
      <w:bookmarkStart w:id="29" w:name="_Toc465354095"/>
      <w:r w:rsidRPr="00A53BF0">
        <w:rPr>
          <w:rFonts w:ascii="Arial Narrow" w:hAnsi="Arial Narrow"/>
          <w:sz w:val="22"/>
          <w:szCs w:val="22"/>
        </w:rPr>
        <w:t>8.6.1</w:t>
      </w:r>
      <w:r w:rsidRPr="00A53BF0">
        <w:rPr>
          <w:rFonts w:ascii="Arial Narrow" w:hAnsi="Arial Narrow"/>
          <w:sz w:val="22"/>
          <w:szCs w:val="22"/>
        </w:rPr>
        <w:tab/>
      </w:r>
      <w:r w:rsidR="00CF3F37" w:rsidRPr="00A53BF0">
        <w:rPr>
          <w:rFonts w:ascii="Arial Narrow" w:hAnsi="Arial Narrow"/>
          <w:sz w:val="22"/>
          <w:szCs w:val="22"/>
        </w:rPr>
        <w:t xml:space="preserve">Issues for employers </w:t>
      </w:r>
      <w:r w:rsidR="0079324B" w:rsidRPr="00A53BF0">
        <w:rPr>
          <w:rFonts w:ascii="Arial Narrow" w:hAnsi="Arial Narrow"/>
          <w:sz w:val="22"/>
          <w:szCs w:val="22"/>
        </w:rPr>
        <w:t xml:space="preserve">in relation to </w:t>
      </w:r>
      <w:r w:rsidR="00CF3F37" w:rsidRPr="00A53BF0">
        <w:rPr>
          <w:rFonts w:ascii="Arial Narrow" w:hAnsi="Arial Narrow"/>
          <w:sz w:val="22"/>
          <w:szCs w:val="22"/>
        </w:rPr>
        <w:t>choosing default funds</w:t>
      </w:r>
      <w:bookmarkEnd w:id="29"/>
    </w:p>
    <w:p w:rsidR="00CF3F37" w:rsidRPr="00EE0317" w:rsidRDefault="00CF3F37" w:rsidP="009E05DF">
      <w:pPr>
        <w:ind w:left="60"/>
        <w:jc w:val="both"/>
        <w:rPr>
          <w:rFonts w:ascii="Arial" w:hAnsi="Arial" w:cs="Arial"/>
          <w:sz w:val="20"/>
          <w:szCs w:val="20"/>
        </w:rPr>
      </w:pPr>
    </w:p>
    <w:p w:rsidR="00574C1C" w:rsidRDefault="00574C1C" w:rsidP="009E05DF">
      <w:pPr>
        <w:jc w:val="both"/>
        <w:rPr>
          <w:rFonts w:ascii="Arial" w:hAnsi="Arial" w:cs="Arial"/>
          <w:sz w:val="20"/>
          <w:szCs w:val="20"/>
        </w:rPr>
      </w:pPr>
      <w:r>
        <w:rPr>
          <w:rFonts w:ascii="Arial" w:hAnsi="Arial" w:cs="Arial"/>
          <w:sz w:val="20"/>
          <w:szCs w:val="20"/>
        </w:rPr>
        <w:t xml:space="preserve">For employers, the transitional issues arising from changes of </w:t>
      </w:r>
      <w:r w:rsidR="00822938">
        <w:rPr>
          <w:rFonts w:ascii="Arial" w:hAnsi="Arial" w:cs="Arial"/>
          <w:sz w:val="20"/>
          <w:szCs w:val="20"/>
        </w:rPr>
        <w:t xml:space="preserve">a </w:t>
      </w:r>
      <w:r>
        <w:rPr>
          <w:rFonts w:ascii="Arial" w:hAnsi="Arial" w:cs="Arial"/>
          <w:sz w:val="20"/>
          <w:szCs w:val="20"/>
        </w:rPr>
        <w:t xml:space="preserve">default fund would introduce </w:t>
      </w:r>
      <w:r w:rsidR="00961A92">
        <w:rPr>
          <w:rFonts w:ascii="Arial" w:hAnsi="Arial" w:cs="Arial"/>
          <w:sz w:val="20"/>
          <w:szCs w:val="20"/>
        </w:rPr>
        <w:t xml:space="preserve">more </w:t>
      </w:r>
      <w:r>
        <w:rPr>
          <w:rFonts w:ascii="Arial" w:hAnsi="Arial" w:cs="Arial"/>
          <w:sz w:val="20"/>
          <w:szCs w:val="20"/>
        </w:rPr>
        <w:t xml:space="preserve">“red tape” for </w:t>
      </w:r>
      <w:r w:rsidR="00822938">
        <w:rPr>
          <w:rFonts w:ascii="Arial" w:hAnsi="Arial" w:cs="Arial"/>
          <w:sz w:val="20"/>
          <w:szCs w:val="20"/>
        </w:rPr>
        <w:t>them</w:t>
      </w:r>
      <w:r>
        <w:rPr>
          <w:rFonts w:ascii="Arial" w:hAnsi="Arial" w:cs="Arial"/>
          <w:sz w:val="20"/>
          <w:szCs w:val="20"/>
        </w:rPr>
        <w:t xml:space="preserve"> and the requirements to direct their energies not just to their business but spend considerable effort from their human resources and finance teams to make sure appropriate default fund arrangements are in place for their employees.</w:t>
      </w:r>
    </w:p>
    <w:p w:rsidR="00574C1C" w:rsidRDefault="00574C1C" w:rsidP="009E05DF">
      <w:pPr>
        <w:jc w:val="both"/>
        <w:rPr>
          <w:rFonts w:ascii="Arial" w:hAnsi="Arial" w:cs="Arial"/>
          <w:sz w:val="20"/>
          <w:szCs w:val="20"/>
        </w:rPr>
      </w:pPr>
    </w:p>
    <w:p w:rsidR="00CF3F37" w:rsidRDefault="00CF3F37" w:rsidP="009E05DF">
      <w:pPr>
        <w:jc w:val="both"/>
        <w:rPr>
          <w:rFonts w:ascii="Arial" w:hAnsi="Arial" w:cs="Arial"/>
          <w:sz w:val="20"/>
          <w:szCs w:val="20"/>
        </w:rPr>
      </w:pPr>
      <w:r>
        <w:rPr>
          <w:rFonts w:ascii="Arial" w:hAnsi="Arial" w:cs="Arial"/>
          <w:sz w:val="20"/>
          <w:szCs w:val="20"/>
        </w:rPr>
        <w:t xml:space="preserve">The difficulties of a system where employers select an individual product from a long list is that despite innovations in the industry in regard to clearing houses, there are higher costs in terms of time and money spent in administration of a process which previously </w:t>
      </w:r>
      <w:r w:rsidR="0079324B">
        <w:rPr>
          <w:rFonts w:ascii="Arial" w:hAnsi="Arial" w:cs="Arial"/>
          <w:sz w:val="20"/>
          <w:szCs w:val="20"/>
        </w:rPr>
        <w:t xml:space="preserve">was </w:t>
      </w:r>
      <w:r>
        <w:rPr>
          <w:rFonts w:ascii="Arial" w:hAnsi="Arial" w:cs="Arial"/>
          <w:sz w:val="20"/>
          <w:szCs w:val="20"/>
        </w:rPr>
        <w:t>unnecessary.</w:t>
      </w:r>
      <w:r w:rsidRPr="00EF35BF">
        <w:rPr>
          <w:rFonts w:ascii="Arial" w:hAnsi="Arial" w:cs="Arial"/>
          <w:sz w:val="20"/>
          <w:szCs w:val="20"/>
        </w:rPr>
        <w:t xml:space="preserve"> </w:t>
      </w:r>
      <w:r>
        <w:rPr>
          <w:rFonts w:ascii="Arial" w:hAnsi="Arial" w:cs="Arial"/>
          <w:sz w:val="20"/>
          <w:szCs w:val="20"/>
        </w:rPr>
        <w:t>For this reason, most employers offer a single default fund. Major retail employers have flagged that changes to the default fund selection would cause substantial inconvenience, be it the need for system configuration</w:t>
      </w:r>
      <w:r w:rsidR="0079324B">
        <w:rPr>
          <w:rFonts w:ascii="Arial" w:hAnsi="Arial" w:cs="Arial"/>
          <w:sz w:val="20"/>
          <w:szCs w:val="20"/>
        </w:rPr>
        <w:t xml:space="preserve"> or</w:t>
      </w:r>
      <w:r>
        <w:rPr>
          <w:rFonts w:ascii="Arial" w:hAnsi="Arial" w:cs="Arial"/>
          <w:sz w:val="20"/>
          <w:szCs w:val="20"/>
        </w:rPr>
        <w:t xml:space="preserve"> the distribution of disclosure material to employees and associated material to all work locations, as well as liaising with additional parties for contribution reconciliations and insurance claims. This has flow on implications to the benefits of members and efficiency. There is:</w:t>
      </w:r>
    </w:p>
    <w:p w:rsidR="00877C7B" w:rsidRDefault="00877C7B" w:rsidP="009E05DF">
      <w:pPr>
        <w:jc w:val="both"/>
        <w:rPr>
          <w:rFonts w:ascii="Arial" w:hAnsi="Arial" w:cs="Arial"/>
          <w:sz w:val="20"/>
          <w:szCs w:val="20"/>
        </w:rPr>
      </w:pPr>
    </w:p>
    <w:p w:rsidR="00CF3F37" w:rsidRDefault="00CF3F37" w:rsidP="009E05DF">
      <w:pPr>
        <w:pStyle w:val="ListParagraph"/>
        <w:numPr>
          <w:ilvl w:val="0"/>
          <w:numId w:val="16"/>
        </w:numPr>
        <w:jc w:val="both"/>
        <w:rPr>
          <w:rFonts w:ascii="Arial" w:hAnsi="Arial" w:cs="Arial"/>
          <w:sz w:val="20"/>
          <w:szCs w:val="20"/>
        </w:rPr>
      </w:pPr>
      <w:r>
        <w:rPr>
          <w:rFonts w:ascii="Arial" w:hAnsi="Arial" w:cs="Arial"/>
          <w:sz w:val="20"/>
          <w:szCs w:val="20"/>
        </w:rPr>
        <w:t>Less engagement, support and education of employees. An employer may have multiple default employees who get quite different outcomes (because of different default funds) despite being otherwise quite similar. The employer is less likely to support education and support services from each and every super provider. From a super fund point of view, there will be the loss of scale at a workplace meaning it is more costly to service and potentially uneconomic,</w:t>
      </w:r>
    </w:p>
    <w:p w:rsidR="00CF3F37" w:rsidRPr="00C34109" w:rsidRDefault="00CF3F37" w:rsidP="009E05DF">
      <w:pPr>
        <w:pStyle w:val="ListParagraph"/>
        <w:numPr>
          <w:ilvl w:val="0"/>
          <w:numId w:val="16"/>
        </w:numPr>
        <w:jc w:val="both"/>
        <w:rPr>
          <w:rFonts w:ascii="Arial" w:hAnsi="Arial" w:cs="Arial"/>
          <w:sz w:val="20"/>
          <w:szCs w:val="20"/>
        </w:rPr>
      </w:pPr>
      <w:r>
        <w:rPr>
          <w:rFonts w:ascii="Arial" w:hAnsi="Arial" w:cs="Arial"/>
          <w:sz w:val="20"/>
          <w:szCs w:val="20"/>
        </w:rPr>
        <w:t xml:space="preserve">Slowing down of insurance claims processing times from an employer having to deal with multiple benefit designs, providers and different claims processes. There is considerable work to be done to address efficiency in the insurance market </w:t>
      </w:r>
      <w:r w:rsidR="0079324B">
        <w:rPr>
          <w:rFonts w:ascii="Arial" w:hAnsi="Arial" w:cs="Arial"/>
          <w:sz w:val="20"/>
          <w:szCs w:val="20"/>
        </w:rPr>
        <w:t xml:space="preserve">while acknowledging that </w:t>
      </w:r>
      <w:r>
        <w:rPr>
          <w:rFonts w:ascii="Arial" w:hAnsi="Arial" w:cs="Arial"/>
          <w:sz w:val="20"/>
          <w:szCs w:val="20"/>
        </w:rPr>
        <w:t xml:space="preserve">the </w:t>
      </w:r>
      <w:r w:rsidR="0079324B">
        <w:rPr>
          <w:rFonts w:ascii="Arial" w:hAnsi="Arial" w:cs="Arial"/>
          <w:sz w:val="20"/>
          <w:szCs w:val="20"/>
        </w:rPr>
        <w:t xml:space="preserve">Australian </w:t>
      </w:r>
      <w:r>
        <w:rPr>
          <w:rFonts w:ascii="Arial" w:hAnsi="Arial" w:cs="Arial"/>
          <w:sz w:val="20"/>
          <w:szCs w:val="20"/>
        </w:rPr>
        <w:t>group insurance system is one of the most efficient globally.</w:t>
      </w:r>
    </w:p>
    <w:p w:rsidR="00CF3F37" w:rsidRDefault="00CF3F37" w:rsidP="009E05DF">
      <w:pPr>
        <w:jc w:val="both"/>
        <w:rPr>
          <w:rFonts w:ascii="Arial" w:hAnsi="Arial" w:cs="Arial"/>
          <w:sz w:val="20"/>
          <w:szCs w:val="20"/>
        </w:rPr>
      </w:pPr>
    </w:p>
    <w:p w:rsidR="00CF3F37" w:rsidRDefault="00CF3F37" w:rsidP="009E05DF">
      <w:pPr>
        <w:jc w:val="both"/>
        <w:rPr>
          <w:rFonts w:ascii="Arial" w:hAnsi="Arial" w:cs="Arial"/>
          <w:sz w:val="20"/>
          <w:szCs w:val="20"/>
        </w:rPr>
      </w:pPr>
      <w:r>
        <w:rPr>
          <w:rFonts w:ascii="Arial" w:hAnsi="Arial" w:cs="Arial"/>
          <w:sz w:val="20"/>
          <w:szCs w:val="20"/>
        </w:rPr>
        <w:t xml:space="preserve">Ultimately, employers would prefer to leave the responsibility for selecting default superannuation funds to those for whom it is core business. If this were to change, employers would need to make a choice of default fund which would provide them with an onerous and potentially challengeable duty of care to select the appropriate fund. </w:t>
      </w:r>
    </w:p>
    <w:p w:rsidR="00CF3F37" w:rsidRDefault="00CF3F37" w:rsidP="009E05DF">
      <w:pPr>
        <w:jc w:val="both"/>
        <w:rPr>
          <w:rFonts w:ascii="Arial" w:hAnsi="Arial" w:cs="Arial"/>
          <w:sz w:val="20"/>
          <w:szCs w:val="20"/>
        </w:rPr>
      </w:pPr>
    </w:p>
    <w:p w:rsidR="00CF3F37" w:rsidRDefault="00CF3F37" w:rsidP="009E05DF">
      <w:pPr>
        <w:jc w:val="both"/>
        <w:rPr>
          <w:rFonts w:ascii="Arial" w:hAnsi="Arial" w:cs="Arial"/>
          <w:sz w:val="20"/>
          <w:szCs w:val="20"/>
        </w:rPr>
      </w:pPr>
      <w:r>
        <w:rPr>
          <w:rFonts w:ascii="Arial" w:hAnsi="Arial" w:cs="Arial"/>
          <w:sz w:val="20"/>
          <w:szCs w:val="20"/>
        </w:rPr>
        <w:t>Employers are not necessarily qualified to make such decisions and it is possible that many employers would select a fund which is not geared to their employees’ expectations – to the detriment of their employees. REST believes that employers would not want to be in the position where the selected funds are not tailored to the relevant demographics of the industry their employees work in. These employers may also find themselves acting as “</w:t>
      </w:r>
      <w:proofErr w:type="spellStart"/>
      <w:r>
        <w:rPr>
          <w:rFonts w:ascii="Arial" w:hAnsi="Arial" w:cs="Arial"/>
          <w:sz w:val="20"/>
          <w:szCs w:val="20"/>
        </w:rPr>
        <w:t>defacto</w:t>
      </w:r>
      <w:proofErr w:type="spellEnd"/>
      <w:r>
        <w:rPr>
          <w:rFonts w:ascii="Arial" w:hAnsi="Arial" w:cs="Arial"/>
          <w:sz w:val="20"/>
          <w:szCs w:val="20"/>
        </w:rPr>
        <w:t xml:space="preserve"> advisers” whereby they must choose the default fund and then be possibly challenged </w:t>
      </w:r>
      <w:r w:rsidR="0079324B">
        <w:rPr>
          <w:rFonts w:ascii="Arial" w:hAnsi="Arial" w:cs="Arial"/>
          <w:sz w:val="20"/>
          <w:szCs w:val="20"/>
        </w:rPr>
        <w:t xml:space="preserve">for </w:t>
      </w:r>
      <w:r>
        <w:rPr>
          <w:rFonts w:ascii="Arial" w:hAnsi="Arial" w:cs="Arial"/>
          <w:sz w:val="20"/>
          <w:szCs w:val="20"/>
        </w:rPr>
        <w:t xml:space="preserve">their choices </w:t>
      </w:r>
      <w:r w:rsidR="0079324B">
        <w:rPr>
          <w:rFonts w:ascii="Arial" w:hAnsi="Arial" w:cs="Arial"/>
          <w:sz w:val="20"/>
          <w:szCs w:val="20"/>
        </w:rPr>
        <w:t xml:space="preserve">by </w:t>
      </w:r>
      <w:r>
        <w:rPr>
          <w:rFonts w:ascii="Arial" w:hAnsi="Arial" w:cs="Arial"/>
          <w:sz w:val="20"/>
          <w:szCs w:val="20"/>
        </w:rPr>
        <w:t xml:space="preserve">their employees. If the fund is subsequently shown to be not suitable for their employees, then this may create disharmony in the workplace. </w:t>
      </w:r>
    </w:p>
    <w:p w:rsidR="00CF3F37" w:rsidRDefault="00CF3F37" w:rsidP="009E05DF">
      <w:pPr>
        <w:jc w:val="both"/>
        <w:rPr>
          <w:rFonts w:ascii="Arial" w:hAnsi="Arial" w:cs="Arial"/>
          <w:sz w:val="20"/>
          <w:szCs w:val="20"/>
        </w:rPr>
      </w:pPr>
    </w:p>
    <w:p w:rsidR="00CF3F37" w:rsidRDefault="00CF3F37" w:rsidP="009E05DF">
      <w:pPr>
        <w:jc w:val="both"/>
        <w:rPr>
          <w:rFonts w:ascii="Arial" w:hAnsi="Arial" w:cs="Arial"/>
          <w:sz w:val="20"/>
          <w:szCs w:val="20"/>
        </w:rPr>
      </w:pPr>
      <w:r>
        <w:rPr>
          <w:rFonts w:ascii="Arial" w:hAnsi="Arial" w:cs="Arial"/>
          <w:sz w:val="20"/>
          <w:szCs w:val="20"/>
        </w:rPr>
        <w:lastRenderedPageBreak/>
        <w:t xml:space="preserve">If the employer is in the retail sector and does not choose REST, it may still have a significant number of employees using REST. We expect many will already be members of REST when they began their careers and they will not perceive a need to change just because the new employer has a different default fund. Ultimately, </w:t>
      </w:r>
      <w:r w:rsidR="00C4077F">
        <w:rPr>
          <w:rFonts w:ascii="Arial" w:hAnsi="Arial" w:cs="Arial"/>
          <w:sz w:val="20"/>
          <w:szCs w:val="20"/>
        </w:rPr>
        <w:t xml:space="preserve">a new system could result in employers having multiple default funds for its workforce.  </w:t>
      </w:r>
      <w:r>
        <w:rPr>
          <w:rFonts w:ascii="Arial" w:hAnsi="Arial" w:cs="Arial"/>
          <w:sz w:val="20"/>
          <w:szCs w:val="20"/>
        </w:rPr>
        <w:t xml:space="preserve"> This </w:t>
      </w:r>
      <w:r w:rsidR="00C4077F">
        <w:rPr>
          <w:rFonts w:ascii="Arial" w:hAnsi="Arial" w:cs="Arial"/>
          <w:sz w:val="20"/>
          <w:szCs w:val="20"/>
        </w:rPr>
        <w:t>c</w:t>
      </w:r>
      <w:r>
        <w:rPr>
          <w:rFonts w:ascii="Arial" w:hAnsi="Arial" w:cs="Arial"/>
          <w:sz w:val="20"/>
          <w:szCs w:val="20"/>
        </w:rPr>
        <w:t xml:space="preserve">ould result in potentially significant variations in member insurance coverage, costs and fee levels, as well as investment risk and return strategies and outcomes within the same workforce and over numerous workplaces. </w:t>
      </w:r>
      <w:r w:rsidRPr="0032713F">
        <w:rPr>
          <w:rFonts w:ascii="Arial" w:hAnsi="Arial" w:cs="Arial"/>
          <w:sz w:val="20"/>
          <w:szCs w:val="20"/>
        </w:rPr>
        <w:t xml:space="preserve">Differing insurance offerings for employees with the same employer would put a “moral hazard” decision making process on the employer who would be at risk of not making the appropriate default fund choice in relation to death, </w:t>
      </w:r>
      <w:proofErr w:type="spellStart"/>
      <w:r w:rsidRPr="0032713F">
        <w:rPr>
          <w:rFonts w:ascii="Arial" w:hAnsi="Arial" w:cs="Arial"/>
          <w:sz w:val="20"/>
          <w:szCs w:val="20"/>
        </w:rPr>
        <w:t>TPD</w:t>
      </w:r>
      <w:proofErr w:type="spellEnd"/>
      <w:r w:rsidRPr="0032713F">
        <w:rPr>
          <w:rFonts w:ascii="Arial" w:hAnsi="Arial" w:cs="Arial"/>
          <w:sz w:val="20"/>
          <w:szCs w:val="20"/>
        </w:rPr>
        <w:t xml:space="preserve"> and IP insurance.</w:t>
      </w:r>
      <w:r>
        <w:rPr>
          <w:rFonts w:ascii="Arial" w:hAnsi="Arial" w:cs="Arial"/>
          <w:sz w:val="20"/>
          <w:szCs w:val="20"/>
        </w:rPr>
        <w:t xml:space="preserve"> </w:t>
      </w:r>
    </w:p>
    <w:p w:rsidR="00203827" w:rsidRPr="00131DF5" w:rsidRDefault="00203827" w:rsidP="009E05DF">
      <w:pPr>
        <w:jc w:val="both"/>
        <w:rPr>
          <w:rFonts w:ascii="Arial" w:hAnsi="Arial" w:cs="Arial"/>
          <w:sz w:val="20"/>
          <w:szCs w:val="20"/>
        </w:rPr>
      </w:pPr>
    </w:p>
    <w:sectPr w:rsidR="00203827" w:rsidRPr="00131DF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4C" w:rsidRDefault="002E074C" w:rsidP="008B5F71">
      <w:r>
        <w:separator/>
      </w:r>
    </w:p>
  </w:endnote>
  <w:endnote w:type="continuationSeparator" w:id="0">
    <w:p w:rsidR="002E074C" w:rsidRDefault="002E074C" w:rsidP="008B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484542"/>
      <w:docPartObj>
        <w:docPartGallery w:val="Page Numbers (Bottom of Page)"/>
        <w:docPartUnique/>
      </w:docPartObj>
    </w:sdtPr>
    <w:sdtEndPr>
      <w:rPr>
        <w:noProof/>
      </w:rPr>
    </w:sdtEndPr>
    <w:sdtContent>
      <w:p w:rsidR="00135C86" w:rsidRDefault="00135C86">
        <w:pPr>
          <w:pStyle w:val="Footer"/>
          <w:jc w:val="right"/>
        </w:pPr>
        <w:r>
          <w:fldChar w:fldCharType="begin"/>
        </w:r>
        <w:r>
          <w:instrText xml:space="preserve"> PAGE   \* MERGEFORMAT </w:instrText>
        </w:r>
        <w:r>
          <w:fldChar w:fldCharType="separate"/>
        </w:r>
        <w:r w:rsidR="00BF71E1">
          <w:rPr>
            <w:noProof/>
          </w:rPr>
          <w:t>1</w:t>
        </w:r>
        <w:r>
          <w:rPr>
            <w:noProof/>
          </w:rPr>
          <w:fldChar w:fldCharType="end"/>
        </w:r>
      </w:p>
    </w:sdtContent>
  </w:sdt>
  <w:p w:rsidR="00135C86" w:rsidRDefault="00135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4C" w:rsidRDefault="002E074C" w:rsidP="008B5F71">
      <w:r>
        <w:separator/>
      </w:r>
    </w:p>
  </w:footnote>
  <w:footnote w:type="continuationSeparator" w:id="0">
    <w:p w:rsidR="002E074C" w:rsidRDefault="002E074C" w:rsidP="008B5F71">
      <w:r>
        <w:continuationSeparator/>
      </w:r>
    </w:p>
  </w:footnote>
  <w:footnote w:id="1">
    <w:p w:rsidR="00135C86" w:rsidRDefault="00135C86" w:rsidP="00CD48F6">
      <w:pPr>
        <w:pStyle w:val="FootnoteText"/>
      </w:pPr>
      <w:r>
        <w:rPr>
          <w:rStyle w:val="FootnoteReference"/>
        </w:rPr>
        <w:footnoteRef/>
      </w:r>
      <w:r>
        <w:t xml:space="preserve"> </w:t>
      </w:r>
      <w:proofErr w:type="spellStart"/>
      <w:r>
        <w:rPr>
          <w:rFonts w:cs="Helvetica"/>
          <w:color w:val="333333"/>
        </w:rPr>
        <w:t>SuperRatings</w:t>
      </w:r>
      <w:proofErr w:type="spellEnd"/>
      <w:r>
        <w:rPr>
          <w:rFonts w:cs="Helvetica"/>
          <w:color w:val="333333"/>
        </w:rPr>
        <w:t xml:space="preserve"> Fund Crediting Rate Survey – SR 50 Balanced (60-76) Index, September 2016</w:t>
      </w:r>
    </w:p>
  </w:footnote>
  <w:footnote w:id="2">
    <w:p w:rsidR="00135C86" w:rsidRDefault="00135C86">
      <w:pPr>
        <w:pStyle w:val="FootnoteText"/>
      </w:pPr>
      <w:r>
        <w:rPr>
          <w:rStyle w:val="FootnoteReference"/>
        </w:rPr>
        <w:footnoteRef/>
      </w:r>
      <w:r>
        <w:t xml:space="preserve"> </w:t>
      </w:r>
      <w:r w:rsidRPr="00F9270A">
        <w:rPr>
          <w:i/>
        </w:rPr>
        <w:t>Superannuation Efficiency and Competitiveness</w:t>
      </w:r>
      <w:r>
        <w:t>, submission to the Productivity Commission, Rice Warner, 19 September 2016, page 1</w:t>
      </w:r>
      <w:r w:rsidR="009D6388">
        <w:t>0</w:t>
      </w:r>
      <w:r>
        <w:t>.</w:t>
      </w:r>
    </w:p>
  </w:footnote>
  <w:footnote w:id="3">
    <w:p w:rsidR="00135C86" w:rsidRDefault="00135C86" w:rsidP="00306951">
      <w:pPr>
        <w:pStyle w:val="FootnoteText"/>
      </w:pPr>
      <w:r>
        <w:rPr>
          <w:rStyle w:val="FootnoteReference"/>
        </w:rPr>
        <w:footnoteRef/>
      </w:r>
      <w:r>
        <w:t xml:space="preserve"> </w:t>
      </w:r>
      <w:proofErr w:type="spellStart"/>
      <w:r>
        <w:rPr>
          <w:rFonts w:cs="Helvetica"/>
          <w:color w:val="333333"/>
        </w:rPr>
        <w:t>SuperRatings</w:t>
      </w:r>
      <w:proofErr w:type="spellEnd"/>
      <w:r>
        <w:rPr>
          <w:rFonts w:cs="Helvetica"/>
          <w:color w:val="333333"/>
        </w:rPr>
        <w:t xml:space="preserve"> Fund Crediting Rate Survey – SR 50 Balanced (60-76) Index, September 2016</w:t>
      </w:r>
    </w:p>
  </w:footnote>
  <w:footnote w:id="4">
    <w:p w:rsidR="00211776" w:rsidRDefault="00581748" w:rsidP="00211776">
      <w:pPr>
        <w:pStyle w:val="FootnoteText"/>
      </w:pPr>
      <w:r>
        <w:rPr>
          <w:rStyle w:val="FootnoteReference"/>
        </w:rPr>
        <w:footnoteRef/>
      </w:r>
      <w:r>
        <w:t xml:space="preserve"> </w:t>
      </w:r>
      <w:r w:rsidR="00211776" w:rsidRPr="00F9270A">
        <w:rPr>
          <w:i/>
        </w:rPr>
        <w:t>Default Superannuation Funds in Modern Awards</w:t>
      </w:r>
      <w:r w:rsidR="00211776">
        <w:t>, Productivity Commission Inquiry Report, No 60, 5 October, 2012, page 8</w:t>
      </w:r>
    </w:p>
    <w:p w:rsidR="00581748" w:rsidRDefault="00581748">
      <w:pPr>
        <w:pStyle w:val="FootnoteText"/>
      </w:pPr>
    </w:p>
  </w:footnote>
  <w:footnote w:id="5">
    <w:p w:rsidR="00135C86" w:rsidRDefault="00135C86">
      <w:pPr>
        <w:pStyle w:val="FootnoteText"/>
      </w:pPr>
      <w:r>
        <w:rPr>
          <w:rStyle w:val="FootnoteReference"/>
        </w:rPr>
        <w:footnoteRef/>
      </w:r>
      <w:r>
        <w:t xml:space="preserve"> </w:t>
      </w:r>
      <w:r w:rsidR="00970D23" w:rsidRPr="00970D23">
        <w:t>Ibid</w:t>
      </w:r>
      <w:r>
        <w:t xml:space="preserve">, page </w:t>
      </w:r>
      <w:r w:rsidR="00E21C22">
        <w:t>8</w:t>
      </w:r>
    </w:p>
  </w:footnote>
  <w:footnote w:id="6">
    <w:p w:rsidR="00980013" w:rsidRDefault="00135C86">
      <w:pPr>
        <w:pStyle w:val="FootnoteText"/>
      </w:pPr>
      <w:r>
        <w:rPr>
          <w:rStyle w:val="FootnoteReference"/>
        </w:rPr>
        <w:footnoteRef/>
      </w:r>
      <w:r>
        <w:t xml:space="preserve"> </w:t>
      </w:r>
      <w:r w:rsidR="00FE18EA" w:rsidRPr="00FE18EA">
        <w:t>Ibid</w:t>
      </w:r>
      <w:r w:rsidR="00980013">
        <w:t>, page 12</w:t>
      </w:r>
    </w:p>
    <w:p w:rsidR="00135C86" w:rsidRDefault="00135C86">
      <w:pPr>
        <w:pStyle w:val="FootnoteText"/>
      </w:pPr>
    </w:p>
  </w:footnote>
  <w:footnote w:id="7">
    <w:p w:rsidR="00135C86" w:rsidRDefault="00135C86">
      <w:pPr>
        <w:pStyle w:val="FootnoteText"/>
      </w:pPr>
      <w:r>
        <w:rPr>
          <w:rStyle w:val="FootnoteReference"/>
        </w:rPr>
        <w:footnoteRef/>
      </w:r>
      <w:r w:rsidR="00021762">
        <w:rPr>
          <w:i/>
        </w:rPr>
        <w:t>How to A</w:t>
      </w:r>
      <w:r w:rsidR="00E86A2B" w:rsidRPr="003C6C8C">
        <w:rPr>
          <w:i/>
        </w:rPr>
        <w:t>ssess the Competitiveness and Efficiency of the Superannuation System</w:t>
      </w:r>
      <w:r w:rsidR="00E86A2B">
        <w:t>, Productivity Commission Draft Report, August, 2016, page 8</w:t>
      </w:r>
      <w:r>
        <w:t>.</w:t>
      </w:r>
    </w:p>
  </w:footnote>
  <w:footnote w:id="8">
    <w:p w:rsidR="00135C86" w:rsidRDefault="00135C86">
      <w:pPr>
        <w:pStyle w:val="FootnoteText"/>
      </w:pPr>
      <w:r>
        <w:rPr>
          <w:rStyle w:val="FootnoteReference"/>
        </w:rPr>
        <w:footnoteRef/>
      </w:r>
      <w:r>
        <w:t xml:space="preserve"> </w:t>
      </w:r>
      <w:r w:rsidR="006D0B6B" w:rsidRPr="006D0B6B">
        <w:t>Ibid, page 69</w:t>
      </w:r>
      <w:r>
        <w:t>.</w:t>
      </w:r>
    </w:p>
  </w:footnote>
  <w:footnote w:id="9">
    <w:p w:rsidR="00135C86" w:rsidRDefault="00135C86" w:rsidP="00974A7A">
      <w:pPr>
        <w:pStyle w:val="FootnoteText"/>
      </w:pPr>
      <w:r>
        <w:rPr>
          <w:rStyle w:val="FootnoteReference"/>
        </w:rPr>
        <w:footnoteRef/>
      </w:r>
      <w:r>
        <w:t xml:space="preserve"> </w:t>
      </w:r>
      <w:r w:rsidR="006B2DF3" w:rsidRPr="003C6C8C">
        <w:rPr>
          <w:i/>
        </w:rPr>
        <w:t>How to assess the Competitiveness and Efficiency of the Superannuation System</w:t>
      </w:r>
      <w:r w:rsidR="006B2DF3">
        <w:t xml:space="preserve">, Productivity Commission Draft Report, August, 2016, page </w:t>
      </w:r>
      <w:r w:rsidR="006D0B6B">
        <w:t>151</w:t>
      </w:r>
      <w:r>
        <w:t>.</w:t>
      </w:r>
    </w:p>
  </w:footnote>
  <w:footnote w:id="10">
    <w:p w:rsidR="00135C86" w:rsidRDefault="00135C86" w:rsidP="00974A7A">
      <w:pPr>
        <w:pStyle w:val="FootnoteText"/>
      </w:pPr>
      <w:r>
        <w:rPr>
          <w:rStyle w:val="FootnoteReference"/>
        </w:rPr>
        <w:footnoteRef/>
      </w:r>
      <w:r w:rsidR="00EF169E">
        <w:t>Ibid, page 151</w:t>
      </w:r>
    </w:p>
  </w:footnote>
  <w:footnote w:id="11">
    <w:p w:rsidR="00135C86" w:rsidRDefault="00135C86" w:rsidP="00974A7A">
      <w:pPr>
        <w:pStyle w:val="FootnoteText"/>
      </w:pPr>
      <w:r>
        <w:rPr>
          <w:rStyle w:val="FootnoteReference"/>
        </w:rPr>
        <w:footnoteRef/>
      </w:r>
      <w:r w:rsidR="004B5739" w:rsidRPr="003C6C8C">
        <w:rPr>
          <w:i/>
        </w:rPr>
        <w:t>Life Insurance Claims: An industry review</w:t>
      </w:r>
      <w:r w:rsidR="004B5739">
        <w:t xml:space="preserve">, </w:t>
      </w:r>
      <w:proofErr w:type="spellStart"/>
      <w:r w:rsidR="004B5739">
        <w:t>ASIC</w:t>
      </w:r>
      <w:proofErr w:type="spellEnd"/>
      <w:r w:rsidR="004B5739">
        <w:t>, October 2016, page 8.</w:t>
      </w:r>
      <w:r>
        <w:t xml:space="preserve"> </w:t>
      </w:r>
    </w:p>
  </w:footnote>
  <w:footnote w:id="12">
    <w:p w:rsidR="00135C86" w:rsidRDefault="00135C86" w:rsidP="00C91D87">
      <w:pPr>
        <w:pStyle w:val="FootnoteText"/>
      </w:pPr>
      <w:r>
        <w:rPr>
          <w:rStyle w:val="FootnoteReference"/>
        </w:rPr>
        <w:footnoteRef/>
      </w:r>
      <w:r>
        <w:t xml:space="preserve"> </w:t>
      </w:r>
      <w:proofErr w:type="spellStart"/>
      <w:r>
        <w:rPr>
          <w:rFonts w:cs="Helvetica"/>
          <w:color w:val="333333"/>
        </w:rPr>
        <w:t>SuperRatings</w:t>
      </w:r>
      <w:proofErr w:type="spellEnd"/>
      <w:r>
        <w:rPr>
          <w:rFonts w:cs="Helvetica"/>
          <w:color w:val="333333"/>
        </w:rPr>
        <w:t xml:space="preserve"> Fund Crediting Rate Survey – SR 50 Balanced (60-76) Index, September 2016</w:t>
      </w:r>
    </w:p>
  </w:footnote>
  <w:footnote w:id="13">
    <w:p w:rsidR="00135C86" w:rsidRDefault="00135C86">
      <w:pPr>
        <w:pStyle w:val="FootnoteText"/>
      </w:pPr>
      <w:r>
        <w:rPr>
          <w:rStyle w:val="FootnoteReference"/>
        </w:rPr>
        <w:footnoteRef/>
      </w:r>
      <w:r>
        <w:t xml:space="preserve"> </w:t>
      </w:r>
      <w:r w:rsidRPr="00F9270A">
        <w:rPr>
          <w:i/>
        </w:rPr>
        <w:t>Default Superannuation Funds in Modern Awards</w:t>
      </w:r>
      <w:r>
        <w:t>, Productivity Commission Inquiry Report, No 60, 5 October, 2012, page 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52"/>
    <w:multiLevelType w:val="hybridMultilevel"/>
    <w:tmpl w:val="2CD67DF2"/>
    <w:lvl w:ilvl="0" w:tplc="43C08546">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nsid w:val="019310D0"/>
    <w:multiLevelType w:val="multilevel"/>
    <w:tmpl w:val="52B2E236"/>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o"/>
      <w:lvlJc w:val="left"/>
      <w:pPr>
        <w:tabs>
          <w:tab w:val="num" w:pos="1215"/>
        </w:tabs>
        <w:ind w:left="1215" w:hanging="360"/>
      </w:pPr>
      <w:rPr>
        <w:rFonts w:ascii="Courier New" w:hAnsi="Courier New" w:hint="default"/>
        <w:sz w:val="20"/>
      </w:rPr>
    </w:lvl>
    <w:lvl w:ilvl="2" w:tentative="1">
      <w:start w:val="1"/>
      <w:numFmt w:val="bullet"/>
      <w:lvlText w:val=""/>
      <w:lvlJc w:val="left"/>
      <w:pPr>
        <w:tabs>
          <w:tab w:val="num" w:pos="1935"/>
        </w:tabs>
        <w:ind w:left="1935" w:hanging="360"/>
      </w:pPr>
      <w:rPr>
        <w:rFonts w:ascii="Wingdings" w:hAnsi="Wingdings" w:hint="default"/>
        <w:sz w:val="20"/>
      </w:rPr>
    </w:lvl>
    <w:lvl w:ilvl="3" w:tentative="1">
      <w:start w:val="1"/>
      <w:numFmt w:val="bullet"/>
      <w:lvlText w:val=""/>
      <w:lvlJc w:val="left"/>
      <w:pPr>
        <w:tabs>
          <w:tab w:val="num" w:pos="2655"/>
        </w:tabs>
        <w:ind w:left="2655" w:hanging="360"/>
      </w:pPr>
      <w:rPr>
        <w:rFonts w:ascii="Wingdings" w:hAnsi="Wingdings" w:hint="default"/>
        <w:sz w:val="20"/>
      </w:rPr>
    </w:lvl>
    <w:lvl w:ilvl="4" w:tentative="1">
      <w:start w:val="1"/>
      <w:numFmt w:val="bullet"/>
      <w:lvlText w:val=""/>
      <w:lvlJc w:val="left"/>
      <w:pPr>
        <w:tabs>
          <w:tab w:val="num" w:pos="3375"/>
        </w:tabs>
        <w:ind w:left="3375" w:hanging="360"/>
      </w:pPr>
      <w:rPr>
        <w:rFonts w:ascii="Wingdings" w:hAnsi="Wingdings" w:hint="default"/>
        <w:sz w:val="20"/>
      </w:rPr>
    </w:lvl>
    <w:lvl w:ilvl="5" w:tentative="1">
      <w:start w:val="1"/>
      <w:numFmt w:val="bullet"/>
      <w:lvlText w:val=""/>
      <w:lvlJc w:val="left"/>
      <w:pPr>
        <w:tabs>
          <w:tab w:val="num" w:pos="4095"/>
        </w:tabs>
        <w:ind w:left="4095" w:hanging="360"/>
      </w:pPr>
      <w:rPr>
        <w:rFonts w:ascii="Wingdings" w:hAnsi="Wingdings" w:hint="default"/>
        <w:sz w:val="20"/>
      </w:rPr>
    </w:lvl>
    <w:lvl w:ilvl="6" w:tentative="1">
      <w:start w:val="1"/>
      <w:numFmt w:val="bullet"/>
      <w:lvlText w:val=""/>
      <w:lvlJc w:val="left"/>
      <w:pPr>
        <w:tabs>
          <w:tab w:val="num" w:pos="4815"/>
        </w:tabs>
        <w:ind w:left="4815" w:hanging="360"/>
      </w:pPr>
      <w:rPr>
        <w:rFonts w:ascii="Wingdings" w:hAnsi="Wingdings" w:hint="default"/>
        <w:sz w:val="20"/>
      </w:rPr>
    </w:lvl>
    <w:lvl w:ilvl="7" w:tentative="1">
      <w:start w:val="1"/>
      <w:numFmt w:val="bullet"/>
      <w:lvlText w:val=""/>
      <w:lvlJc w:val="left"/>
      <w:pPr>
        <w:tabs>
          <w:tab w:val="num" w:pos="5535"/>
        </w:tabs>
        <w:ind w:left="5535" w:hanging="360"/>
      </w:pPr>
      <w:rPr>
        <w:rFonts w:ascii="Wingdings" w:hAnsi="Wingdings" w:hint="default"/>
        <w:sz w:val="20"/>
      </w:rPr>
    </w:lvl>
    <w:lvl w:ilvl="8" w:tentative="1">
      <w:start w:val="1"/>
      <w:numFmt w:val="bullet"/>
      <w:lvlText w:val=""/>
      <w:lvlJc w:val="left"/>
      <w:pPr>
        <w:tabs>
          <w:tab w:val="num" w:pos="6255"/>
        </w:tabs>
        <w:ind w:left="6255" w:hanging="360"/>
      </w:pPr>
      <w:rPr>
        <w:rFonts w:ascii="Wingdings" w:hAnsi="Wingdings" w:hint="default"/>
        <w:sz w:val="20"/>
      </w:rPr>
    </w:lvl>
  </w:abstractNum>
  <w:abstractNum w:abstractNumId="2">
    <w:nsid w:val="0F8A4E39"/>
    <w:multiLevelType w:val="hybridMultilevel"/>
    <w:tmpl w:val="520ABD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798664C"/>
    <w:multiLevelType w:val="hybridMultilevel"/>
    <w:tmpl w:val="7322533C"/>
    <w:lvl w:ilvl="0" w:tplc="0C090017">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
    <w:nsid w:val="1B5A7860"/>
    <w:multiLevelType w:val="hybridMultilevel"/>
    <w:tmpl w:val="87B26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233B81"/>
    <w:multiLevelType w:val="hybridMultilevel"/>
    <w:tmpl w:val="03286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B611BC"/>
    <w:multiLevelType w:val="multilevel"/>
    <w:tmpl w:val="33DCF5B4"/>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526976"/>
    <w:multiLevelType w:val="hybridMultilevel"/>
    <w:tmpl w:val="5218C4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8E46CA9"/>
    <w:multiLevelType w:val="hybridMultilevel"/>
    <w:tmpl w:val="5C92CED2"/>
    <w:lvl w:ilvl="0" w:tplc="0562D30A">
      <w:start w:val="1"/>
      <w:numFmt w:val="lowerRoman"/>
      <w:lvlText w:val="(%1)"/>
      <w:lvlJc w:val="left"/>
      <w:pPr>
        <w:ind w:left="1080" w:hanging="72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DE90A88"/>
    <w:multiLevelType w:val="hybridMultilevel"/>
    <w:tmpl w:val="7F789F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1147ACC"/>
    <w:multiLevelType w:val="hybridMultilevel"/>
    <w:tmpl w:val="44BA1FB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nsid w:val="3AD23C1E"/>
    <w:multiLevelType w:val="hybridMultilevel"/>
    <w:tmpl w:val="5090F5C8"/>
    <w:lvl w:ilvl="0" w:tplc="B7A2353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nsid w:val="42F74AB6"/>
    <w:multiLevelType w:val="hybridMultilevel"/>
    <w:tmpl w:val="C5AE1A30"/>
    <w:lvl w:ilvl="0" w:tplc="88D83162">
      <w:start w:val="1"/>
      <w:numFmt w:val="lowerLetter"/>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3">
    <w:nsid w:val="44773EAE"/>
    <w:multiLevelType w:val="hybridMultilevel"/>
    <w:tmpl w:val="F5F8E670"/>
    <w:lvl w:ilvl="0" w:tplc="0C09000F">
      <w:start w:val="1"/>
      <w:numFmt w:val="decimal"/>
      <w:lvlText w:val="%1."/>
      <w:lvlJc w:val="left"/>
      <w:pPr>
        <w:ind w:left="4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53B1D80"/>
    <w:multiLevelType w:val="hybridMultilevel"/>
    <w:tmpl w:val="CD748092"/>
    <w:lvl w:ilvl="0" w:tplc="0C090001">
      <w:start w:val="1"/>
      <w:numFmt w:val="bullet"/>
      <w:lvlText w:val=""/>
      <w:lvlJc w:val="left"/>
      <w:pPr>
        <w:ind w:left="920" w:hanging="360"/>
      </w:pPr>
      <w:rPr>
        <w:rFonts w:ascii="Symbol" w:hAnsi="Symbol"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15">
    <w:nsid w:val="464D4477"/>
    <w:multiLevelType w:val="multilevel"/>
    <w:tmpl w:val="95E61790"/>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9AA35DA"/>
    <w:multiLevelType w:val="hybridMultilevel"/>
    <w:tmpl w:val="933E5B0A"/>
    <w:lvl w:ilvl="0" w:tplc="4E5226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9EA66EE"/>
    <w:multiLevelType w:val="hybridMultilevel"/>
    <w:tmpl w:val="B5A85B7E"/>
    <w:lvl w:ilvl="0" w:tplc="56463B0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EC82335"/>
    <w:multiLevelType w:val="hybridMultilevel"/>
    <w:tmpl w:val="34F05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3946FC"/>
    <w:multiLevelType w:val="hybridMultilevel"/>
    <w:tmpl w:val="D736D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2F676BC"/>
    <w:multiLevelType w:val="hybridMultilevel"/>
    <w:tmpl w:val="4EB4C51C"/>
    <w:lvl w:ilvl="0" w:tplc="BEF8A730">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1">
    <w:nsid w:val="53262A90"/>
    <w:multiLevelType w:val="hybridMultilevel"/>
    <w:tmpl w:val="A0BE2860"/>
    <w:lvl w:ilvl="0" w:tplc="D4CAF51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42A11A2"/>
    <w:multiLevelType w:val="multilevel"/>
    <w:tmpl w:val="8FDEC6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B064815"/>
    <w:multiLevelType w:val="hybridMultilevel"/>
    <w:tmpl w:val="98522836"/>
    <w:lvl w:ilvl="0" w:tplc="9A02C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31D0A77"/>
    <w:multiLevelType w:val="multilevel"/>
    <w:tmpl w:val="3A8C7E10"/>
    <w:lvl w:ilvl="0">
      <w:start w:val="8"/>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5">
    <w:nsid w:val="64C402AB"/>
    <w:multiLevelType w:val="hybridMultilevel"/>
    <w:tmpl w:val="EB4A0B34"/>
    <w:lvl w:ilvl="0" w:tplc="8FD2CE8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6">
    <w:nsid w:val="6FEE4B9B"/>
    <w:multiLevelType w:val="multilevel"/>
    <w:tmpl w:val="69AECED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0146CD5"/>
    <w:multiLevelType w:val="hybridMultilevel"/>
    <w:tmpl w:val="5B08B8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466442B"/>
    <w:multiLevelType w:val="hybridMultilevel"/>
    <w:tmpl w:val="1C6CE1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B803C30"/>
    <w:multiLevelType w:val="hybridMultilevel"/>
    <w:tmpl w:val="88A238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CC15CC0"/>
    <w:multiLevelType w:val="hybridMultilevel"/>
    <w:tmpl w:val="DF8ECC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7D6D24CF"/>
    <w:multiLevelType w:val="hybridMultilevel"/>
    <w:tmpl w:val="091E0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0"/>
  </w:num>
  <w:num w:numId="4">
    <w:abstractNumId w:val="1"/>
  </w:num>
  <w:num w:numId="5">
    <w:abstractNumId w:val="18"/>
  </w:num>
  <w:num w:numId="6">
    <w:abstractNumId w:val="31"/>
  </w:num>
  <w:num w:numId="7">
    <w:abstractNumId w:val="11"/>
  </w:num>
  <w:num w:numId="8">
    <w:abstractNumId w:val="0"/>
  </w:num>
  <w:num w:numId="9">
    <w:abstractNumId w:val="13"/>
  </w:num>
  <w:num w:numId="10">
    <w:abstractNumId w:val="9"/>
  </w:num>
  <w:num w:numId="11">
    <w:abstractNumId w:val="27"/>
  </w:num>
  <w:num w:numId="12">
    <w:abstractNumId w:val="4"/>
  </w:num>
  <w:num w:numId="13">
    <w:abstractNumId w:val="7"/>
  </w:num>
  <w:num w:numId="14">
    <w:abstractNumId w:val="30"/>
  </w:num>
  <w:num w:numId="15">
    <w:abstractNumId w:val="2"/>
  </w:num>
  <w:num w:numId="16">
    <w:abstractNumId w:val="19"/>
  </w:num>
  <w:num w:numId="17">
    <w:abstractNumId w:val="12"/>
  </w:num>
  <w:num w:numId="18">
    <w:abstractNumId w:val="23"/>
  </w:num>
  <w:num w:numId="19">
    <w:abstractNumId w:val="16"/>
  </w:num>
  <w:num w:numId="20">
    <w:abstractNumId w:val="29"/>
  </w:num>
  <w:num w:numId="21">
    <w:abstractNumId w:val="22"/>
  </w:num>
  <w:num w:numId="22">
    <w:abstractNumId w:val="28"/>
  </w:num>
  <w:num w:numId="23">
    <w:abstractNumId w:val="3"/>
  </w:num>
  <w:num w:numId="24">
    <w:abstractNumId w:val="8"/>
  </w:num>
  <w:num w:numId="25">
    <w:abstractNumId w:val="17"/>
  </w:num>
  <w:num w:numId="26">
    <w:abstractNumId w:val="21"/>
  </w:num>
  <w:num w:numId="27">
    <w:abstractNumId w:val="6"/>
  </w:num>
  <w:num w:numId="28">
    <w:abstractNumId w:val="15"/>
  </w:num>
  <w:num w:numId="29">
    <w:abstractNumId w:val="24"/>
  </w:num>
  <w:num w:numId="30">
    <w:abstractNumId w:val="26"/>
  </w:num>
  <w:num w:numId="31">
    <w:abstractNumId w:val="1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suppressBottomSpacing/>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827"/>
    <w:rsid w:val="00002333"/>
    <w:rsid w:val="00012AB2"/>
    <w:rsid w:val="000175AD"/>
    <w:rsid w:val="00021762"/>
    <w:rsid w:val="000252D3"/>
    <w:rsid w:val="00027D0F"/>
    <w:rsid w:val="000418CB"/>
    <w:rsid w:val="00041DEB"/>
    <w:rsid w:val="000435CC"/>
    <w:rsid w:val="000468BC"/>
    <w:rsid w:val="00055F80"/>
    <w:rsid w:val="00062BD3"/>
    <w:rsid w:val="0006400D"/>
    <w:rsid w:val="000806CE"/>
    <w:rsid w:val="00094331"/>
    <w:rsid w:val="00095973"/>
    <w:rsid w:val="000A29BE"/>
    <w:rsid w:val="000A743C"/>
    <w:rsid w:val="000B1603"/>
    <w:rsid w:val="000B18D1"/>
    <w:rsid w:val="000B2D1B"/>
    <w:rsid w:val="000C19C8"/>
    <w:rsid w:val="000C7CAD"/>
    <w:rsid w:val="000D1A95"/>
    <w:rsid w:val="000D2AC1"/>
    <w:rsid w:val="000F32EB"/>
    <w:rsid w:val="0011509B"/>
    <w:rsid w:val="0012000C"/>
    <w:rsid w:val="00131DF5"/>
    <w:rsid w:val="00135285"/>
    <w:rsid w:val="001357BE"/>
    <w:rsid w:val="00135C86"/>
    <w:rsid w:val="00141F61"/>
    <w:rsid w:val="001427DD"/>
    <w:rsid w:val="001437F4"/>
    <w:rsid w:val="00146916"/>
    <w:rsid w:val="001513C4"/>
    <w:rsid w:val="0016035D"/>
    <w:rsid w:val="001641C7"/>
    <w:rsid w:val="0017228E"/>
    <w:rsid w:val="0017585C"/>
    <w:rsid w:val="00186CAA"/>
    <w:rsid w:val="0019683C"/>
    <w:rsid w:val="00197A39"/>
    <w:rsid w:val="001B5947"/>
    <w:rsid w:val="001C3555"/>
    <w:rsid w:val="001C4BED"/>
    <w:rsid w:val="001D56CF"/>
    <w:rsid w:val="0020150E"/>
    <w:rsid w:val="00203827"/>
    <w:rsid w:val="002038A6"/>
    <w:rsid w:val="00211776"/>
    <w:rsid w:val="00213466"/>
    <w:rsid w:val="00225FF1"/>
    <w:rsid w:val="0022740C"/>
    <w:rsid w:val="00285738"/>
    <w:rsid w:val="00287319"/>
    <w:rsid w:val="002922EB"/>
    <w:rsid w:val="00296901"/>
    <w:rsid w:val="002A028C"/>
    <w:rsid w:val="002A2F6C"/>
    <w:rsid w:val="002A4FC1"/>
    <w:rsid w:val="002B7101"/>
    <w:rsid w:val="002C468A"/>
    <w:rsid w:val="002C5C71"/>
    <w:rsid w:val="002E074C"/>
    <w:rsid w:val="002E5494"/>
    <w:rsid w:val="002F11F5"/>
    <w:rsid w:val="002F5777"/>
    <w:rsid w:val="00306951"/>
    <w:rsid w:val="00311E21"/>
    <w:rsid w:val="003138E9"/>
    <w:rsid w:val="003168EE"/>
    <w:rsid w:val="00317547"/>
    <w:rsid w:val="003200A5"/>
    <w:rsid w:val="00322DDB"/>
    <w:rsid w:val="003247A1"/>
    <w:rsid w:val="0032713F"/>
    <w:rsid w:val="00335BE7"/>
    <w:rsid w:val="003376C4"/>
    <w:rsid w:val="00340869"/>
    <w:rsid w:val="00344C25"/>
    <w:rsid w:val="003505E8"/>
    <w:rsid w:val="003519D7"/>
    <w:rsid w:val="00364091"/>
    <w:rsid w:val="003658C4"/>
    <w:rsid w:val="003858E0"/>
    <w:rsid w:val="00385C49"/>
    <w:rsid w:val="00392A54"/>
    <w:rsid w:val="003A0234"/>
    <w:rsid w:val="003A07D9"/>
    <w:rsid w:val="003A2A5E"/>
    <w:rsid w:val="003A3308"/>
    <w:rsid w:val="003A37A5"/>
    <w:rsid w:val="003B0346"/>
    <w:rsid w:val="003B6C35"/>
    <w:rsid w:val="003C58FA"/>
    <w:rsid w:val="003C6C8C"/>
    <w:rsid w:val="003D4DC6"/>
    <w:rsid w:val="0040182E"/>
    <w:rsid w:val="004079D9"/>
    <w:rsid w:val="0041534C"/>
    <w:rsid w:val="00416E6C"/>
    <w:rsid w:val="004202C2"/>
    <w:rsid w:val="004204DB"/>
    <w:rsid w:val="00431BD3"/>
    <w:rsid w:val="00431F78"/>
    <w:rsid w:val="00432CBD"/>
    <w:rsid w:val="004372DE"/>
    <w:rsid w:val="00442874"/>
    <w:rsid w:val="00446607"/>
    <w:rsid w:val="00450598"/>
    <w:rsid w:val="00450B8A"/>
    <w:rsid w:val="004532D6"/>
    <w:rsid w:val="004570CA"/>
    <w:rsid w:val="00471561"/>
    <w:rsid w:val="00491E6A"/>
    <w:rsid w:val="00494F04"/>
    <w:rsid w:val="004A608D"/>
    <w:rsid w:val="004B4B94"/>
    <w:rsid w:val="004B5739"/>
    <w:rsid w:val="004C7328"/>
    <w:rsid w:val="004D3557"/>
    <w:rsid w:val="004D67A1"/>
    <w:rsid w:val="004D6EE5"/>
    <w:rsid w:val="004E1343"/>
    <w:rsid w:val="004E2D37"/>
    <w:rsid w:val="004F06CC"/>
    <w:rsid w:val="004F2155"/>
    <w:rsid w:val="004F247E"/>
    <w:rsid w:val="0050506A"/>
    <w:rsid w:val="00511856"/>
    <w:rsid w:val="005157A0"/>
    <w:rsid w:val="00525694"/>
    <w:rsid w:val="00527D7C"/>
    <w:rsid w:val="00534F37"/>
    <w:rsid w:val="00536220"/>
    <w:rsid w:val="005446F8"/>
    <w:rsid w:val="0054669A"/>
    <w:rsid w:val="00551928"/>
    <w:rsid w:val="00553B65"/>
    <w:rsid w:val="005547D7"/>
    <w:rsid w:val="00563727"/>
    <w:rsid w:val="00573468"/>
    <w:rsid w:val="00573D6B"/>
    <w:rsid w:val="00574C1C"/>
    <w:rsid w:val="00577C0E"/>
    <w:rsid w:val="00581748"/>
    <w:rsid w:val="0058308C"/>
    <w:rsid w:val="005971DE"/>
    <w:rsid w:val="005A0C9C"/>
    <w:rsid w:val="005A5D3D"/>
    <w:rsid w:val="005B5938"/>
    <w:rsid w:val="005B701B"/>
    <w:rsid w:val="005C2E5C"/>
    <w:rsid w:val="005C5A13"/>
    <w:rsid w:val="005D2087"/>
    <w:rsid w:val="005D4F87"/>
    <w:rsid w:val="0060011D"/>
    <w:rsid w:val="00603624"/>
    <w:rsid w:val="00603AC8"/>
    <w:rsid w:val="006062AA"/>
    <w:rsid w:val="0060786C"/>
    <w:rsid w:val="00621E8F"/>
    <w:rsid w:val="006229A1"/>
    <w:rsid w:val="00625F0F"/>
    <w:rsid w:val="006303BC"/>
    <w:rsid w:val="00630BB0"/>
    <w:rsid w:val="00631B2C"/>
    <w:rsid w:val="00647665"/>
    <w:rsid w:val="00647676"/>
    <w:rsid w:val="00651E39"/>
    <w:rsid w:val="006522B9"/>
    <w:rsid w:val="00654D7B"/>
    <w:rsid w:val="006552F5"/>
    <w:rsid w:val="00655539"/>
    <w:rsid w:val="006559FF"/>
    <w:rsid w:val="00655F65"/>
    <w:rsid w:val="00666014"/>
    <w:rsid w:val="0067533C"/>
    <w:rsid w:val="006756DB"/>
    <w:rsid w:val="00677F80"/>
    <w:rsid w:val="00682C40"/>
    <w:rsid w:val="00683E4C"/>
    <w:rsid w:val="00684031"/>
    <w:rsid w:val="006967DF"/>
    <w:rsid w:val="006A0FC8"/>
    <w:rsid w:val="006A7323"/>
    <w:rsid w:val="006B0EAF"/>
    <w:rsid w:val="006B2DF3"/>
    <w:rsid w:val="006B7B7A"/>
    <w:rsid w:val="006C3F9A"/>
    <w:rsid w:val="006C5A4E"/>
    <w:rsid w:val="006C5E36"/>
    <w:rsid w:val="006D0B6B"/>
    <w:rsid w:val="006D4355"/>
    <w:rsid w:val="006F3BB6"/>
    <w:rsid w:val="00705182"/>
    <w:rsid w:val="007054A2"/>
    <w:rsid w:val="00713DE4"/>
    <w:rsid w:val="00722943"/>
    <w:rsid w:val="0073208A"/>
    <w:rsid w:val="00732C32"/>
    <w:rsid w:val="0074147A"/>
    <w:rsid w:val="00745275"/>
    <w:rsid w:val="0074614C"/>
    <w:rsid w:val="00747E67"/>
    <w:rsid w:val="00752AA5"/>
    <w:rsid w:val="00754B7A"/>
    <w:rsid w:val="00757699"/>
    <w:rsid w:val="00770F5B"/>
    <w:rsid w:val="007811EA"/>
    <w:rsid w:val="00784CBD"/>
    <w:rsid w:val="00790475"/>
    <w:rsid w:val="007920F9"/>
    <w:rsid w:val="0079324B"/>
    <w:rsid w:val="007A1E1F"/>
    <w:rsid w:val="007A2876"/>
    <w:rsid w:val="007B36BB"/>
    <w:rsid w:val="007B483F"/>
    <w:rsid w:val="007B4EC8"/>
    <w:rsid w:val="007B644F"/>
    <w:rsid w:val="007B6792"/>
    <w:rsid w:val="007D41F9"/>
    <w:rsid w:val="007F01DE"/>
    <w:rsid w:val="007F10E3"/>
    <w:rsid w:val="007F20BB"/>
    <w:rsid w:val="0080171D"/>
    <w:rsid w:val="00803198"/>
    <w:rsid w:val="0081167F"/>
    <w:rsid w:val="00811703"/>
    <w:rsid w:val="008166A3"/>
    <w:rsid w:val="00821EF0"/>
    <w:rsid w:val="00822938"/>
    <w:rsid w:val="008258F2"/>
    <w:rsid w:val="008322A1"/>
    <w:rsid w:val="00837DF9"/>
    <w:rsid w:val="008402CC"/>
    <w:rsid w:val="00853612"/>
    <w:rsid w:val="00854FF4"/>
    <w:rsid w:val="00856B22"/>
    <w:rsid w:val="00857C4F"/>
    <w:rsid w:val="0086415F"/>
    <w:rsid w:val="008710F8"/>
    <w:rsid w:val="00877C7B"/>
    <w:rsid w:val="008817CF"/>
    <w:rsid w:val="00881D60"/>
    <w:rsid w:val="00892C0F"/>
    <w:rsid w:val="00893081"/>
    <w:rsid w:val="00896B88"/>
    <w:rsid w:val="008A2C5A"/>
    <w:rsid w:val="008B2614"/>
    <w:rsid w:val="008B5F71"/>
    <w:rsid w:val="008B61FA"/>
    <w:rsid w:val="008B6CCD"/>
    <w:rsid w:val="008C1F5E"/>
    <w:rsid w:val="008C670E"/>
    <w:rsid w:val="008D6FA8"/>
    <w:rsid w:val="008F3053"/>
    <w:rsid w:val="008F7083"/>
    <w:rsid w:val="009120A3"/>
    <w:rsid w:val="00920413"/>
    <w:rsid w:val="00925569"/>
    <w:rsid w:val="009317E5"/>
    <w:rsid w:val="00934354"/>
    <w:rsid w:val="00935834"/>
    <w:rsid w:val="00945F11"/>
    <w:rsid w:val="009577DE"/>
    <w:rsid w:val="009578B9"/>
    <w:rsid w:val="0096020C"/>
    <w:rsid w:val="00961A92"/>
    <w:rsid w:val="00962D4C"/>
    <w:rsid w:val="0097006A"/>
    <w:rsid w:val="00970D23"/>
    <w:rsid w:val="00974A7A"/>
    <w:rsid w:val="00974B8B"/>
    <w:rsid w:val="00980013"/>
    <w:rsid w:val="009801F5"/>
    <w:rsid w:val="0098666C"/>
    <w:rsid w:val="00990AC1"/>
    <w:rsid w:val="009927CD"/>
    <w:rsid w:val="009933B9"/>
    <w:rsid w:val="009A4FDB"/>
    <w:rsid w:val="009B69C7"/>
    <w:rsid w:val="009D1C44"/>
    <w:rsid w:val="009D4679"/>
    <w:rsid w:val="009D55A5"/>
    <w:rsid w:val="009D6388"/>
    <w:rsid w:val="009E05DF"/>
    <w:rsid w:val="009E7DA2"/>
    <w:rsid w:val="00A00F74"/>
    <w:rsid w:val="00A06988"/>
    <w:rsid w:val="00A2038E"/>
    <w:rsid w:val="00A40183"/>
    <w:rsid w:val="00A4494A"/>
    <w:rsid w:val="00A514A3"/>
    <w:rsid w:val="00A524B6"/>
    <w:rsid w:val="00A53BF0"/>
    <w:rsid w:val="00A74218"/>
    <w:rsid w:val="00A824A4"/>
    <w:rsid w:val="00A834C8"/>
    <w:rsid w:val="00A86062"/>
    <w:rsid w:val="00A97857"/>
    <w:rsid w:val="00AA42E9"/>
    <w:rsid w:val="00AA5CCC"/>
    <w:rsid w:val="00AC6DF0"/>
    <w:rsid w:val="00AD3A3C"/>
    <w:rsid w:val="00AD43AD"/>
    <w:rsid w:val="00AE1EF0"/>
    <w:rsid w:val="00AF1964"/>
    <w:rsid w:val="00AF2298"/>
    <w:rsid w:val="00B03123"/>
    <w:rsid w:val="00B037EE"/>
    <w:rsid w:val="00B119F4"/>
    <w:rsid w:val="00B17D1C"/>
    <w:rsid w:val="00B3740D"/>
    <w:rsid w:val="00B4244F"/>
    <w:rsid w:val="00B476E2"/>
    <w:rsid w:val="00B80AFB"/>
    <w:rsid w:val="00B81EDD"/>
    <w:rsid w:val="00B84911"/>
    <w:rsid w:val="00B84B24"/>
    <w:rsid w:val="00B84DED"/>
    <w:rsid w:val="00B93B00"/>
    <w:rsid w:val="00BA3487"/>
    <w:rsid w:val="00BB1308"/>
    <w:rsid w:val="00BB4F3E"/>
    <w:rsid w:val="00BD169D"/>
    <w:rsid w:val="00BF0655"/>
    <w:rsid w:val="00BF4973"/>
    <w:rsid w:val="00BF71E1"/>
    <w:rsid w:val="00C166D9"/>
    <w:rsid w:val="00C17501"/>
    <w:rsid w:val="00C30A6B"/>
    <w:rsid w:val="00C35D85"/>
    <w:rsid w:val="00C4077F"/>
    <w:rsid w:val="00C41D8D"/>
    <w:rsid w:val="00C472ED"/>
    <w:rsid w:val="00C50F83"/>
    <w:rsid w:val="00C52507"/>
    <w:rsid w:val="00C53659"/>
    <w:rsid w:val="00C53B64"/>
    <w:rsid w:val="00C64B53"/>
    <w:rsid w:val="00C77ADE"/>
    <w:rsid w:val="00C80D53"/>
    <w:rsid w:val="00C80FAE"/>
    <w:rsid w:val="00C83C61"/>
    <w:rsid w:val="00C84535"/>
    <w:rsid w:val="00C84AC4"/>
    <w:rsid w:val="00C85CFF"/>
    <w:rsid w:val="00C91D87"/>
    <w:rsid w:val="00C936B0"/>
    <w:rsid w:val="00C94AE5"/>
    <w:rsid w:val="00C977B1"/>
    <w:rsid w:val="00CA76D5"/>
    <w:rsid w:val="00CB25AE"/>
    <w:rsid w:val="00CC42D4"/>
    <w:rsid w:val="00CD00A8"/>
    <w:rsid w:val="00CD2BE8"/>
    <w:rsid w:val="00CD48F6"/>
    <w:rsid w:val="00CE45FA"/>
    <w:rsid w:val="00CF0930"/>
    <w:rsid w:val="00CF3F37"/>
    <w:rsid w:val="00CF6F5B"/>
    <w:rsid w:val="00D02989"/>
    <w:rsid w:val="00D0690A"/>
    <w:rsid w:val="00D0698A"/>
    <w:rsid w:val="00D12E86"/>
    <w:rsid w:val="00D2338A"/>
    <w:rsid w:val="00D50644"/>
    <w:rsid w:val="00D524E9"/>
    <w:rsid w:val="00D52D34"/>
    <w:rsid w:val="00D6078F"/>
    <w:rsid w:val="00D6598B"/>
    <w:rsid w:val="00D752B6"/>
    <w:rsid w:val="00D95AB0"/>
    <w:rsid w:val="00DB3C62"/>
    <w:rsid w:val="00DB5310"/>
    <w:rsid w:val="00DC7448"/>
    <w:rsid w:val="00DD0A92"/>
    <w:rsid w:val="00DD7992"/>
    <w:rsid w:val="00DE4292"/>
    <w:rsid w:val="00DE6BA1"/>
    <w:rsid w:val="00DF37F5"/>
    <w:rsid w:val="00DF6863"/>
    <w:rsid w:val="00DF69E2"/>
    <w:rsid w:val="00E01DD7"/>
    <w:rsid w:val="00E21C22"/>
    <w:rsid w:val="00E23877"/>
    <w:rsid w:val="00E23C6A"/>
    <w:rsid w:val="00E254FA"/>
    <w:rsid w:val="00E314BC"/>
    <w:rsid w:val="00E46281"/>
    <w:rsid w:val="00E524A7"/>
    <w:rsid w:val="00E6260A"/>
    <w:rsid w:val="00E67360"/>
    <w:rsid w:val="00E70ABA"/>
    <w:rsid w:val="00E75B77"/>
    <w:rsid w:val="00E86A2B"/>
    <w:rsid w:val="00E92112"/>
    <w:rsid w:val="00EA10A8"/>
    <w:rsid w:val="00EA4201"/>
    <w:rsid w:val="00EB348F"/>
    <w:rsid w:val="00EC4954"/>
    <w:rsid w:val="00EC552C"/>
    <w:rsid w:val="00ED46D8"/>
    <w:rsid w:val="00EE0317"/>
    <w:rsid w:val="00EF169E"/>
    <w:rsid w:val="00EF35BF"/>
    <w:rsid w:val="00F07419"/>
    <w:rsid w:val="00F10AAD"/>
    <w:rsid w:val="00F15B4F"/>
    <w:rsid w:val="00F22564"/>
    <w:rsid w:val="00F22D5F"/>
    <w:rsid w:val="00F26988"/>
    <w:rsid w:val="00F45FE5"/>
    <w:rsid w:val="00F54A82"/>
    <w:rsid w:val="00F61FC5"/>
    <w:rsid w:val="00F72271"/>
    <w:rsid w:val="00F769CA"/>
    <w:rsid w:val="00F84BF6"/>
    <w:rsid w:val="00F85325"/>
    <w:rsid w:val="00F9270A"/>
    <w:rsid w:val="00F941B2"/>
    <w:rsid w:val="00F95C09"/>
    <w:rsid w:val="00FA01AE"/>
    <w:rsid w:val="00FB43D0"/>
    <w:rsid w:val="00FB7C92"/>
    <w:rsid w:val="00FC16F8"/>
    <w:rsid w:val="00FD6271"/>
    <w:rsid w:val="00FD6482"/>
    <w:rsid w:val="00FE18EA"/>
    <w:rsid w:val="00FF29A1"/>
    <w:rsid w:val="00FF7E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F2"/>
    <w:rPr>
      <w:sz w:val="24"/>
      <w:szCs w:val="24"/>
    </w:rPr>
  </w:style>
  <w:style w:type="paragraph" w:styleId="Heading1">
    <w:name w:val="heading 1"/>
    <w:basedOn w:val="Normal"/>
    <w:next w:val="BodyText"/>
    <w:link w:val="Heading1Char"/>
    <w:qFormat/>
    <w:rsid w:val="008258F2"/>
    <w:pPr>
      <w:keepNext/>
      <w:spacing w:before="360" w:after="240"/>
      <w:outlineLvl w:val="0"/>
    </w:pPr>
    <w:rPr>
      <w:rFonts w:ascii="Arial Narrow" w:hAnsi="Arial Narrow" w:cs="Arial"/>
      <w:b/>
      <w:bCs/>
      <w:kern w:val="32"/>
      <w:sz w:val="28"/>
      <w:szCs w:val="32"/>
    </w:rPr>
  </w:style>
  <w:style w:type="paragraph" w:styleId="Heading2">
    <w:name w:val="heading 2"/>
    <w:basedOn w:val="Normal"/>
    <w:next w:val="Normal"/>
    <w:link w:val="Heading2Char"/>
    <w:unhideWhenUsed/>
    <w:qFormat/>
    <w:rsid w:val="002274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258F2"/>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F065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aliases w:val="Legal Level 1.1.1."/>
    <w:basedOn w:val="Normal"/>
    <w:next w:val="Normal"/>
    <w:link w:val="Heading8Char"/>
    <w:unhideWhenUsed/>
    <w:qFormat/>
    <w:rsid w:val="003A0234"/>
    <w:pPr>
      <w:spacing w:before="200" w:line="276" w:lineRule="auto"/>
      <w:outlineLvl w:val="7"/>
    </w:pPr>
    <w:rPr>
      <w:rFonts w:asciiTheme="majorHAnsi" w:eastAsiaTheme="minorHAnsi" w:hAnsiTheme="majorHAnsi"/>
      <w:color w:val="5B9BD5" w:themeColor="accent1"/>
      <w:spacing w:val="1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8F2"/>
    <w:rPr>
      <w:rFonts w:ascii="Arial Narrow" w:hAnsi="Arial Narrow" w:cs="Arial"/>
      <w:b/>
      <w:bCs/>
      <w:kern w:val="32"/>
      <w:sz w:val="28"/>
      <w:szCs w:val="32"/>
    </w:rPr>
  </w:style>
  <w:style w:type="paragraph" w:styleId="BodyText">
    <w:name w:val="Body Text"/>
    <w:basedOn w:val="Normal"/>
    <w:link w:val="BodyTextChar"/>
    <w:uiPriority w:val="99"/>
    <w:semiHidden/>
    <w:unhideWhenUsed/>
    <w:rsid w:val="008258F2"/>
    <w:pPr>
      <w:spacing w:after="120"/>
    </w:pPr>
  </w:style>
  <w:style w:type="character" w:customStyle="1" w:styleId="BodyTextChar">
    <w:name w:val="Body Text Char"/>
    <w:basedOn w:val="DefaultParagraphFont"/>
    <w:link w:val="BodyText"/>
    <w:uiPriority w:val="99"/>
    <w:semiHidden/>
    <w:rsid w:val="008258F2"/>
    <w:rPr>
      <w:sz w:val="24"/>
      <w:szCs w:val="24"/>
    </w:rPr>
  </w:style>
  <w:style w:type="character" w:customStyle="1" w:styleId="Heading3Char">
    <w:name w:val="Heading 3 Char"/>
    <w:link w:val="Heading3"/>
    <w:rsid w:val="008258F2"/>
    <w:rPr>
      <w:rFonts w:ascii="Cambria" w:hAnsi="Cambria"/>
      <w:b/>
      <w:bCs/>
      <w:sz w:val="26"/>
      <w:szCs w:val="26"/>
    </w:rPr>
  </w:style>
  <w:style w:type="paragraph" w:styleId="TOC1">
    <w:name w:val="toc 1"/>
    <w:basedOn w:val="Normal"/>
    <w:next w:val="Normal"/>
    <w:autoRedefine/>
    <w:uiPriority w:val="39"/>
    <w:qFormat/>
    <w:rsid w:val="00FD6482"/>
    <w:pPr>
      <w:tabs>
        <w:tab w:val="left" w:pos="0"/>
        <w:tab w:val="left" w:pos="567"/>
        <w:tab w:val="right" w:leader="dot" w:pos="9072"/>
      </w:tabs>
      <w:spacing w:line="288" w:lineRule="auto"/>
      <w:jc w:val="center"/>
    </w:pPr>
    <w:rPr>
      <w:rFonts w:ascii="Arial" w:hAnsi="Arial" w:cs="Arial"/>
      <w:b/>
      <w:sz w:val="28"/>
      <w:szCs w:val="28"/>
    </w:rPr>
  </w:style>
  <w:style w:type="paragraph" w:styleId="TOC2">
    <w:name w:val="toc 2"/>
    <w:basedOn w:val="Normal"/>
    <w:next w:val="Normal"/>
    <w:autoRedefine/>
    <w:uiPriority w:val="39"/>
    <w:unhideWhenUsed/>
    <w:qFormat/>
    <w:rsid w:val="0096020C"/>
    <w:pPr>
      <w:tabs>
        <w:tab w:val="left" w:pos="880"/>
        <w:tab w:val="right" w:leader="dot" w:pos="9016"/>
      </w:tabs>
      <w:spacing w:line="288" w:lineRule="auto"/>
      <w:ind w:left="220" w:firstLine="206"/>
    </w:pPr>
    <w:rPr>
      <w:rFonts w:ascii="Calibri" w:hAnsi="Calibri"/>
      <w:sz w:val="22"/>
      <w:szCs w:val="22"/>
      <w:lang w:val="en-US"/>
    </w:rPr>
  </w:style>
  <w:style w:type="paragraph" w:styleId="TOC3">
    <w:name w:val="toc 3"/>
    <w:basedOn w:val="Normal"/>
    <w:next w:val="Normal"/>
    <w:autoRedefine/>
    <w:uiPriority w:val="39"/>
    <w:unhideWhenUsed/>
    <w:qFormat/>
    <w:rsid w:val="0096020C"/>
    <w:pPr>
      <w:tabs>
        <w:tab w:val="left" w:pos="1100"/>
        <w:tab w:val="left" w:pos="1276"/>
        <w:tab w:val="right" w:leader="dot" w:pos="9016"/>
      </w:tabs>
      <w:spacing w:line="288" w:lineRule="auto"/>
      <w:ind w:left="440"/>
    </w:pPr>
    <w:rPr>
      <w:rFonts w:ascii="Calibri" w:hAnsi="Calibri"/>
      <w:sz w:val="22"/>
      <w:szCs w:val="22"/>
      <w:lang w:val="en-US"/>
    </w:rPr>
  </w:style>
  <w:style w:type="paragraph" w:styleId="ListParagraph">
    <w:name w:val="List Paragraph"/>
    <w:basedOn w:val="Normal"/>
    <w:link w:val="ListParagraphChar"/>
    <w:uiPriority w:val="34"/>
    <w:qFormat/>
    <w:rsid w:val="008258F2"/>
    <w:pPr>
      <w:ind w:left="720"/>
    </w:pPr>
  </w:style>
  <w:style w:type="paragraph" w:styleId="TOCHeading">
    <w:name w:val="TOC Heading"/>
    <w:basedOn w:val="Heading1"/>
    <w:next w:val="Normal"/>
    <w:uiPriority w:val="39"/>
    <w:qFormat/>
    <w:rsid w:val="008258F2"/>
    <w:pPr>
      <w:keepLines/>
      <w:spacing w:before="480" w:after="0" w:line="276" w:lineRule="auto"/>
      <w:outlineLvl w:val="9"/>
    </w:pPr>
    <w:rPr>
      <w:rFonts w:ascii="Cambria" w:hAnsi="Cambria" w:cs="Times New Roman"/>
      <w:color w:val="365F91"/>
      <w:kern w:val="0"/>
      <w:szCs w:val="28"/>
      <w:lang w:val="en-US"/>
    </w:rPr>
  </w:style>
  <w:style w:type="paragraph" w:customStyle="1" w:styleId="Figure">
    <w:name w:val="Figure"/>
    <w:basedOn w:val="BodyText"/>
    <w:rsid w:val="00203827"/>
    <w:pPr>
      <w:keepNext/>
      <w:spacing w:before="120" w:line="240" w:lineRule="atLeast"/>
      <w:jc w:val="center"/>
    </w:pPr>
    <w:rPr>
      <w:szCs w:val="20"/>
      <w:lang w:eastAsia="en-AU"/>
    </w:rPr>
  </w:style>
  <w:style w:type="paragraph" w:customStyle="1" w:styleId="FigureTitle">
    <w:name w:val="Figure Title"/>
    <w:basedOn w:val="Caption"/>
    <w:next w:val="Subtitle"/>
    <w:rsid w:val="00203827"/>
    <w:pPr>
      <w:keepNext/>
      <w:keepLines/>
      <w:spacing w:before="120" w:after="80" w:line="280" w:lineRule="exact"/>
      <w:ind w:left="1474" w:hanging="1474"/>
    </w:pPr>
    <w:rPr>
      <w:rFonts w:ascii="Arial" w:hAnsi="Arial"/>
      <w:b/>
      <w:i w:val="0"/>
      <w:iCs w:val="0"/>
      <w:color w:val="auto"/>
      <w:sz w:val="24"/>
      <w:szCs w:val="24"/>
      <w:lang w:eastAsia="en-AU"/>
    </w:rPr>
  </w:style>
  <w:style w:type="paragraph" w:styleId="Caption">
    <w:name w:val="caption"/>
    <w:basedOn w:val="Normal"/>
    <w:next w:val="Normal"/>
    <w:semiHidden/>
    <w:unhideWhenUsed/>
    <w:qFormat/>
    <w:rsid w:val="00203827"/>
    <w:pPr>
      <w:spacing w:after="200"/>
    </w:pPr>
    <w:rPr>
      <w:i/>
      <w:iCs/>
      <w:color w:val="44546A" w:themeColor="text2"/>
      <w:sz w:val="18"/>
      <w:szCs w:val="18"/>
    </w:rPr>
  </w:style>
  <w:style w:type="paragraph" w:styleId="Subtitle">
    <w:name w:val="Subtitle"/>
    <w:basedOn w:val="Normal"/>
    <w:next w:val="Normal"/>
    <w:link w:val="SubtitleChar"/>
    <w:qFormat/>
    <w:rsid w:val="0020382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3827"/>
    <w:rPr>
      <w:rFonts w:asciiTheme="minorHAnsi" w:eastAsiaTheme="minorEastAsia" w:hAnsiTheme="minorHAnsi" w:cstheme="minorBidi"/>
      <w:color w:val="5A5A5A" w:themeColor="text1" w:themeTint="A5"/>
      <w:spacing w:val="15"/>
      <w:sz w:val="22"/>
      <w:szCs w:val="22"/>
    </w:rPr>
  </w:style>
  <w:style w:type="paragraph" w:styleId="EndnoteText">
    <w:name w:val="endnote text"/>
    <w:basedOn w:val="Normal"/>
    <w:link w:val="EndnoteTextChar"/>
    <w:uiPriority w:val="99"/>
    <w:semiHidden/>
    <w:unhideWhenUsed/>
    <w:rsid w:val="008B5F71"/>
    <w:rPr>
      <w:sz w:val="20"/>
      <w:szCs w:val="20"/>
    </w:rPr>
  </w:style>
  <w:style w:type="character" w:customStyle="1" w:styleId="EndnoteTextChar">
    <w:name w:val="Endnote Text Char"/>
    <w:basedOn w:val="DefaultParagraphFont"/>
    <w:link w:val="EndnoteText"/>
    <w:uiPriority w:val="99"/>
    <w:semiHidden/>
    <w:rsid w:val="008B5F71"/>
  </w:style>
  <w:style w:type="character" w:styleId="EndnoteReference">
    <w:name w:val="endnote reference"/>
    <w:basedOn w:val="DefaultParagraphFont"/>
    <w:uiPriority w:val="99"/>
    <w:semiHidden/>
    <w:unhideWhenUsed/>
    <w:rsid w:val="008B5F71"/>
    <w:rPr>
      <w:vertAlign w:val="superscript"/>
    </w:rPr>
  </w:style>
  <w:style w:type="paragraph" w:styleId="FootnoteText">
    <w:name w:val="footnote text"/>
    <w:basedOn w:val="Normal"/>
    <w:link w:val="FootnoteTextChar"/>
    <w:uiPriority w:val="99"/>
    <w:semiHidden/>
    <w:unhideWhenUsed/>
    <w:rsid w:val="006522B9"/>
    <w:rPr>
      <w:sz w:val="20"/>
      <w:szCs w:val="20"/>
    </w:rPr>
  </w:style>
  <w:style w:type="character" w:customStyle="1" w:styleId="FootnoteTextChar">
    <w:name w:val="Footnote Text Char"/>
    <w:basedOn w:val="DefaultParagraphFont"/>
    <w:link w:val="FootnoteText"/>
    <w:uiPriority w:val="99"/>
    <w:semiHidden/>
    <w:rsid w:val="006522B9"/>
  </w:style>
  <w:style w:type="character" w:styleId="FootnoteReference">
    <w:name w:val="footnote reference"/>
    <w:basedOn w:val="DefaultParagraphFont"/>
    <w:uiPriority w:val="99"/>
    <w:semiHidden/>
    <w:unhideWhenUsed/>
    <w:rsid w:val="006522B9"/>
    <w:rPr>
      <w:vertAlign w:val="superscript"/>
    </w:rPr>
  </w:style>
  <w:style w:type="character" w:customStyle="1" w:styleId="ListParagraphChar">
    <w:name w:val="List Paragraph Char"/>
    <w:basedOn w:val="DefaultParagraphFont"/>
    <w:link w:val="ListParagraph"/>
    <w:uiPriority w:val="34"/>
    <w:locked/>
    <w:rsid w:val="003A0234"/>
    <w:rPr>
      <w:sz w:val="24"/>
      <w:szCs w:val="24"/>
    </w:rPr>
  </w:style>
  <w:style w:type="character" w:customStyle="1" w:styleId="Heading8Char">
    <w:name w:val="Heading 8 Char"/>
    <w:aliases w:val="Legal Level 1.1.1. Char"/>
    <w:basedOn w:val="DefaultParagraphFont"/>
    <w:link w:val="Heading8"/>
    <w:rsid w:val="003A0234"/>
    <w:rPr>
      <w:rFonts w:asciiTheme="majorHAnsi" w:eastAsiaTheme="minorHAnsi" w:hAnsiTheme="majorHAnsi"/>
      <w:color w:val="5B9BD5" w:themeColor="accent1"/>
      <w:spacing w:val="10"/>
      <w:sz w:val="22"/>
      <w:lang w:val="en-US"/>
    </w:rPr>
  </w:style>
  <w:style w:type="paragraph" w:customStyle="1" w:styleId="Default">
    <w:name w:val="Default"/>
    <w:basedOn w:val="Normal"/>
    <w:rsid w:val="003A3308"/>
    <w:pPr>
      <w:autoSpaceDE w:val="0"/>
      <w:autoSpaceDN w:val="0"/>
    </w:pPr>
    <w:rPr>
      <w:rFonts w:ascii="Arial" w:eastAsiaTheme="minorHAnsi" w:hAnsi="Arial" w:cs="Arial"/>
      <w:color w:val="000000"/>
    </w:rPr>
  </w:style>
  <w:style w:type="paragraph" w:styleId="BalloonText">
    <w:name w:val="Balloon Text"/>
    <w:basedOn w:val="Normal"/>
    <w:link w:val="BalloonTextChar"/>
    <w:uiPriority w:val="99"/>
    <w:semiHidden/>
    <w:unhideWhenUsed/>
    <w:rsid w:val="00E25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4FA"/>
    <w:rPr>
      <w:rFonts w:ascii="Segoe UI" w:hAnsi="Segoe UI" w:cs="Segoe UI"/>
      <w:sz w:val="18"/>
      <w:szCs w:val="18"/>
    </w:rPr>
  </w:style>
  <w:style w:type="paragraph" w:styleId="Header">
    <w:name w:val="header"/>
    <w:basedOn w:val="Normal"/>
    <w:link w:val="HeaderChar"/>
    <w:uiPriority w:val="99"/>
    <w:unhideWhenUsed/>
    <w:rsid w:val="00BF4973"/>
    <w:pPr>
      <w:tabs>
        <w:tab w:val="center" w:pos="4513"/>
        <w:tab w:val="right" w:pos="9026"/>
      </w:tabs>
    </w:pPr>
  </w:style>
  <w:style w:type="character" w:customStyle="1" w:styleId="HeaderChar">
    <w:name w:val="Header Char"/>
    <w:basedOn w:val="DefaultParagraphFont"/>
    <w:link w:val="Header"/>
    <w:uiPriority w:val="99"/>
    <w:rsid w:val="00BF4973"/>
    <w:rPr>
      <w:sz w:val="24"/>
      <w:szCs w:val="24"/>
    </w:rPr>
  </w:style>
  <w:style w:type="paragraph" w:styleId="Footer">
    <w:name w:val="footer"/>
    <w:basedOn w:val="Normal"/>
    <w:link w:val="FooterChar"/>
    <w:uiPriority w:val="99"/>
    <w:unhideWhenUsed/>
    <w:rsid w:val="00BF4973"/>
    <w:pPr>
      <w:tabs>
        <w:tab w:val="center" w:pos="4513"/>
        <w:tab w:val="right" w:pos="9026"/>
      </w:tabs>
    </w:pPr>
  </w:style>
  <w:style w:type="character" w:customStyle="1" w:styleId="FooterChar">
    <w:name w:val="Footer Char"/>
    <w:basedOn w:val="DefaultParagraphFont"/>
    <w:link w:val="Footer"/>
    <w:uiPriority w:val="99"/>
    <w:rsid w:val="00BF4973"/>
    <w:rPr>
      <w:sz w:val="24"/>
      <w:szCs w:val="24"/>
    </w:rPr>
  </w:style>
  <w:style w:type="character" w:styleId="CommentReference">
    <w:name w:val="annotation reference"/>
    <w:basedOn w:val="DefaultParagraphFont"/>
    <w:uiPriority w:val="99"/>
    <w:semiHidden/>
    <w:unhideWhenUsed/>
    <w:rsid w:val="008F7083"/>
    <w:rPr>
      <w:sz w:val="16"/>
      <w:szCs w:val="16"/>
    </w:rPr>
  </w:style>
  <w:style w:type="paragraph" w:styleId="CommentText">
    <w:name w:val="annotation text"/>
    <w:basedOn w:val="Normal"/>
    <w:link w:val="CommentTextChar"/>
    <w:uiPriority w:val="99"/>
    <w:semiHidden/>
    <w:unhideWhenUsed/>
    <w:rsid w:val="008F7083"/>
    <w:rPr>
      <w:sz w:val="20"/>
      <w:szCs w:val="20"/>
    </w:rPr>
  </w:style>
  <w:style w:type="character" w:customStyle="1" w:styleId="CommentTextChar">
    <w:name w:val="Comment Text Char"/>
    <w:basedOn w:val="DefaultParagraphFont"/>
    <w:link w:val="CommentText"/>
    <w:uiPriority w:val="99"/>
    <w:semiHidden/>
    <w:rsid w:val="008F7083"/>
  </w:style>
  <w:style w:type="paragraph" w:styleId="CommentSubject">
    <w:name w:val="annotation subject"/>
    <w:basedOn w:val="CommentText"/>
    <w:next w:val="CommentText"/>
    <w:link w:val="CommentSubjectChar"/>
    <w:uiPriority w:val="99"/>
    <w:semiHidden/>
    <w:unhideWhenUsed/>
    <w:rsid w:val="008F7083"/>
    <w:rPr>
      <w:b/>
      <w:bCs/>
    </w:rPr>
  </w:style>
  <w:style w:type="character" w:customStyle="1" w:styleId="CommentSubjectChar">
    <w:name w:val="Comment Subject Char"/>
    <w:basedOn w:val="CommentTextChar"/>
    <w:link w:val="CommentSubject"/>
    <w:uiPriority w:val="99"/>
    <w:semiHidden/>
    <w:rsid w:val="008F7083"/>
    <w:rPr>
      <w:b/>
      <w:bCs/>
    </w:rPr>
  </w:style>
  <w:style w:type="character" w:styleId="Hyperlink">
    <w:name w:val="Hyperlink"/>
    <w:basedOn w:val="DefaultParagraphFont"/>
    <w:uiPriority w:val="99"/>
    <w:unhideWhenUsed/>
    <w:rsid w:val="005A0C9C"/>
    <w:rPr>
      <w:color w:val="0563C1" w:themeColor="hyperlink"/>
      <w:u w:val="single"/>
    </w:rPr>
  </w:style>
  <w:style w:type="character" w:customStyle="1" w:styleId="Heading2Char">
    <w:name w:val="Heading 2 Char"/>
    <w:basedOn w:val="DefaultParagraphFont"/>
    <w:link w:val="Heading2"/>
    <w:rsid w:val="0022740C"/>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1D56CF"/>
    <w:rPr>
      <w:color w:val="954F72" w:themeColor="followedHyperlink"/>
      <w:u w:val="single"/>
    </w:rPr>
  </w:style>
  <w:style w:type="paragraph" w:styleId="TableofFigures">
    <w:name w:val="table of figures"/>
    <w:basedOn w:val="Normal"/>
    <w:next w:val="Normal"/>
    <w:uiPriority w:val="99"/>
    <w:semiHidden/>
    <w:unhideWhenUsed/>
    <w:rsid w:val="006559FF"/>
  </w:style>
  <w:style w:type="character" w:customStyle="1" w:styleId="Heading4Char">
    <w:name w:val="Heading 4 Char"/>
    <w:basedOn w:val="DefaultParagraphFont"/>
    <w:link w:val="Heading4"/>
    <w:rsid w:val="00BF0655"/>
    <w:rPr>
      <w:rFonts w:asciiTheme="majorHAnsi" w:eastAsiaTheme="majorEastAsia" w:hAnsiTheme="majorHAnsi" w:cstheme="majorBidi"/>
      <w:i/>
      <w:iCs/>
      <w:color w:val="2E74B5"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F2"/>
    <w:rPr>
      <w:sz w:val="24"/>
      <w:szCs w:val="24"/>
    </w:rPr>
  </w:style>
  <w:style w:type="paragraph" w:styleId="Heading1">
    <w:name w:val="heading 1"/>
    <w:basedOn w:val="Normal"/>
    <w:next w:val="BodyText"/>
    <w:link w:val="Heading1Char"/>
    <w:qFormat/>
    <w:rsid w:val="008258F2"/>
    <w:pPr>
      <w:keepNext/>
      <w:spacing w:before="360" w:after="240"/>
      <w:outlineLvl w:val="0"/>
    </w:pPr>
    <w:rPr>
      <w:rFonts w:ascii="Arial Narrow" w:hAnsi="Arial Narrow" w:cs="Arial"/>
      <w:b/>
      <w:bCs/>
      <w:kern w:val="32"/>
      <w:sz w:val="28"/>
      <w:szCs w:val="32"/>
    </w:rPr>
  </w:style>
  <w:style w:type="paragraph" w:styleId="Heading2">
    <w:name w:val="heading 2"/>
    <w:basedOn w:val="Normal"/>
    <w:next w:val="Normal"/>
    <w:link w:val="Heading2Char"/>
    <w:unhideWhenUsed/>
    <w:qFormat/>
    <w:rsid w:val="002274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258F2"/>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F065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aliases w:val="Legal Level 1.1.1."/>
    <w:basedOn w:val="Normal"/>
    <w:next w:val="Normal"/>
    <w:link w:val="Heading8Char"/>
    <w:unhideWhenUsed/>
    <w:qFormat/>
    <w:rsid w:val="003A0234"/>
    <w:pPr>
      <w:spacing w:before="200" w:line="276" w:lineRule="auto"/>
      <w:outlineLvl w:val="7"/>
    </w:pPr>
    <w:rPr>
      <w:rFonts w:asciiTheme="majorHAnsi" w:eastAsiaTheme="minorHAnsi" w:hAnsiTheme="majorHAnsi"/>
      <w:color w:val="5B9BD5" w:themeColor="accent1"/>
      <w:spacing w:val="1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8F2"/>
    <w:rPr>
      <w:rFonts w:ascii="Arial Narrow" w:hAnsi="Arial Narrow" w:cs="Arial"/>
      <w:b/>
      <w:bCs/>
      <w:kern w:val="32"/>
      <w:sz w:val="28"/>
      <w:szCs w:val="32"/>
    </w:rPr>
  </w:style>
  <w:style w:type="paragraph" w:styleId="BodyText">
    <w:name w:val="Body Text"/>
    <w:basedOn w:val="Normal"/>
    <w:link w:val="BodyTextChar"/>
    <w:uiPriority w:val="99"/>
    <w:semiHidden/>
    <w:unhideWhenUsed/>
    <w:rsid w:val="008258F2"/>
    <w:pPr>
      <w:spacing w:after="120"/>
    </w:pPr>
  </w:style>
  <w:style w:type="character" w:customStyle="1" w:styleId="BodyTextChar">
    <w:name w:val="Body Text Char"/>
    <w:basedOn w:val="DefaultParagraphFont"/>
    <w:link w:val="BodyText"/>
    <w:uiPriority w:val="99"/>
    <w:semiHidden/>
    <w:rsid w:val="008258F2"/>
    <w:rPr>
      <w:sz w:val="24"/>
      <w:szCs w:val="24"/>
    </w:rPr>
  </w:style>
  <w:style w:type="character" w:customStyle="1" w:styleId="Heading3Char">
    <w:name w:val="Heading 3 Char"/>
    <w:link w:val="Heading3"/>
    <w:rsid w:val="008258F2"/>
    <w:rPr>
      <w:rFonts w:ascii="Cambria" w:hAnsi="Cambria"/>
      <w:b/>
      <w:bCs/>
      <w:sz w:val="26"/>
      <w:szCs w:val="26"/>
    </w:rPr>
  </w:style>
  <w:style w:type="paragraph" w:styleId="TOC1">
    <w:name w:val="toc 1"/>
    <w:basedOn w:val="Normal"/>
    <w:next w:val="Normal"/>
    <w:autoRedefine/>
    <w:uiPriority w:val="39"/>
    <w:qFormat/>
    <w:rsid w:val="00FD6482"/>
    <w:pPr>
      <w:tabs>
        <w:tab w:val="left" w:pos="0"/>
        <w:tab w:val="left" w:pos="567"/>
        <w:tab w:val="right" w:leader="dot" w:pos="9072"/>
      </w:tabs>
      <w:spacing w:line="288" w:lineRule="auto"/>
      <w:jc w:val="center"/>
    </w:pPr>
    <w:rPr>
      <w:rFonts w:ascii="Arial" w:hAnsi="Arial" w:cs="Arial"/>
      <w:b/>
      <w:sz w:val="28"/>
      <w:szCs w:val="28"/>
    </w:rPr>
  </w:style>
  <w:style w:type="paragraph" w:styleId="TOC2">
    <w:name w:val="toc 2"/>
    <w:basedOn w:val="Normal"/>
    <w:next w:val="Normal"/>
    <w:autoRedefine/>
    <w:uiPriority w:val="39"/>
    <w:unhideWhenUsed/>
    <w:qFormat/>
    <w:rsid w:val="0096020C"/>
    <w:pPr>
      <w:tabs>
        <w:tab w:val="left" w:pos="880"/>
        <w:tab w:val="right" w:leader="dot" w:pos="9016"/>
      </w:tabs>
      <w:spacing w:line="288" w:lineRule="auto"/>
      <w:ind w:left="220" w:firstLine="206"/>
    </w:pPr>
    <w:rPr>
      <w:rFonts w:ascii="Calibri" w:hAnsi="Calibri"/>
      <w:sz w:val="22"/>
      <w:szCs w:val="22"/>
      <w:lang w:val="en-US"/>
    </w:rPr>
  </w:style>
  <w:style w:type="paragraph" w:styleId="TOC3">
    <w:name w:val="toc 3"/>
    <w:basedOn w:val="Normal"/>
    <w:next w:val="Normal"/>
    <w:autoRedefine/>
    <w:uiPriority w:val="39"/>
    <w:unhideWhenUsed/>
    <w:qFormat/>
    <w:rsid w:val="0096020C"/>
    <w:pPr>
      <w:tabs>
        <w:tab w:val="left" w:pos="1100"/>
        <w:tab w:val="left" w:pos="1276"/>
        <w:tab w:val="right" w:leader="dot" w:pos="9016"/>
      </w:tabs>
      <w:spacing w:line="288" w:lineRule="auto"/>
      <w:ind w:left="440"/>
    </w:pPr>
    <w:rPr>
      <w:rFonts w:ascii="Calibri" w:hAnsi="Calibri"/>
      <w:sz w:val="22"/>
      <w:szCs w:val="22"/>
      <w:lang w:val="en-US"/>
    </w:rPr>
  </w:style>
  <w:style w:type="paragraph" w:styleId="ListParagraph">
    <w:name w:val="List Paragraph"/>
    <w:basedOn w:val="Normal"/>
    <w:link w:val="ListParagraphChar"/>
    <w:uiPriority w:val="34"/>
    <w:qFormat/>
    <w:rsid w:val="008258F2"/>
    <w:pPr>
      <w:ind w:left="720"/>
    </w:pPr>
  </w:style>
  <w:style w:type="paragraph" w:styleId="TOCHeading">
    <w:name w:val="TOC Heading"/>
    <w:basedOn w:val="Heading1"/>
    <w:next w:val="Normal"/>
    <w:uiPriority w:val="39"/>
    <w:qFormat/>
    <w:rsid w:val="008258F2"/>
    <w:pPr>
      <w:keepLines/>
      <w:spacing w:before="480" w:after="0" w:line="276" w:lineRule="auto"/>
      <w:outlineLvl w:val="9"/>
    </w:pPr>
    <w:rPr>
      <w:rFonts w:ascii="Cambria" w:hAnsi="Cambria" w:cs="Times New Roman"/>
      <w:color w:val="365F91"/>
      <w:kern w:val="0"/>
      <w:szCs w:val="28"/>
      <w:lang w:val="en-US"/>
    </w:rPr>
  </w:style>
  <w:style w:type="paragraph" w:customStyle="1" w:styleId="Figure">
    <w:name w:val="Figure"/>
    <w:basedOn w:val="BodyText"/>
    <w:rsid w:val="00203827"/>
    <w:pPr>
      <w:keepNext/>
      <w:spacing w:before="120" w:line="240" w:lineRule="atLeast"/>
      <w:jc w:val="center"/>
    </w:pPr>
    <w:rPr>
      <w:szCs w:val="20"/>
      <w:lang w:eastAsia="en-AU"/>
    </w:rPr>
  </w:style>
  <w:style w:type="paragraph" w:customStyle="1" w:styleId="FigureTitle">
    <w:name w:val="Figure Title"/>
    <w:basedOn w:val="Caption"/>
    <w:next w:val="Subtitle"/>
    <w:rsid w:val="00203827"/>
    <w:pPr>
      <w:keepNext/>
      <w:keepLines/>
      <w:spacing w:before="120" w:after="80" w:line="280" w:lineRule="exact"/>
      <w:ind w:left="1474" w:hanging="1474"/>
    </w:pPr>
    <w:rPr>
      <w:rFonts w:ascii="Arial" w:hAnsi="Arial"/>
      <w:b/>
      <w:i w:val="0"/>
      <w:iCs w:val="0"/>
      <w:color w:val="auto"/>
      <w:sz w:val="24"/>
      <w:szCs w:val="24"/>
      <w:lang w:eastAsia="en-AU"/>
    </w:rPr>
  </w:style>
  <w:style w:type="paragraph" w:styleId="Caption">
    <w:name w:val="caption"/>
    <w:basedOn w:val="Normal"/>
    <w:next w:val="Normal"/>
    <w:semiHidden/>
    <w:unhideWhenUsed/>
    <w:qFormat/>
    <w:rsid w:val="00203827"/>
    <w:pPr>
      <w:spacing w:after="200"/>
    </w:pPr>
    <w:rPr>
      <w:i/>
      <w:iCs/>
      <w:color w:val="44546A" w:themeColor="text2"/>
      <w:sz w:val="18"/>
      <w:szCs w:val="18"/>
    </w:rPr>
  </w:style>
  <w:style w:type="paragraph" w:styleId="Subtitle">
    <w:name w:val="Subtitle"/>
    <w:basedOn w:val="Normal"/>
    <w:next w:val="Normal"/>
    <w:link w:val="SubtitleChar"/>
    <w:qFormat/>
    <w:rsid w:val="0020382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3827"/>
    <w:rPr>
      <w:rFonts w:asciiTheme="minorHAnsi" w:eastAsiaTheme="minorEastAsia" w:hAnsiTheme="minorHAnsi" w:cstheme="minorBidi"/>
      <w:color w:val="5A5A5A" w:themeColor="text1" w:themeTint="A5"/>
      <w:spacing w:val="15"/>
      <w:sz w:val="22"/>
      <w:szCs w:val="22"/>
    </w:rPr>
  </w:style>
  <w:style w:type="paragraph" w:styleId="EndnoteText">
    <w:name w:val="endnote text"/>
    <w:basedOn w:val="Normal"/>
    <w:link w:val="EndnoteTextChar"/>
    <w:uiPriority w:val="99"/>
    <w:semiHidden/>
    <w:unhideWhenUsed/>
    <w:rsid w:val="008B5F71"/>
    <w:rPr>
      <w:sz w:val="20"/>
      <w:szCs w:val="20"/>
    </w:rPr>
  </w:style>
  <w:style w:type="character" w:customStyle="1" w:styleId="EndnoteTextChar">
    <w:name w:val="Endnote Text Char"/>
    <w:basedOn w:val="DefaultParagraphFont"/>
    <w:link w:val="EndnoteText"/>
    <w:uiPriority w:val="99"/>
    <w:semiHidden/>
    <w:rsid w:val="008B5F71"/>
  </w:style>
  <w:style w:type="character" w:styleId="EndnoteReference">
    <w:name w:val="endnote reference"/>
    <w:basedOn w:val="DefaultParagraphFont"/>
    <w:uiPriority w:val="99"/>
    <w:semiHidden/>
    <w:unhideWhenUsed/>
    <w:rsid w:val="008B5F71"/>
    <w:rPr>
      <w:vertAlign w:val="superscript"/>
    </w:rPr>
  </w:style>
  <w:style w:type="paragraph" w:styleId="FootnoteText">
    <w:name w:val="footnote text"/>
    <w:basedOn w:val="Normal"/>
    <w:link w:val="FootnoteTextChar"/>
    <w:uiPriority w:val="99"/>
    <w:semiHidden/>
    <w:unhideWhenUsed/>
    <w:rsid w:val="006522B9"/>
    <w:rPr>
      <w:sz w:val="20"/>
      <w:szCs w:val="20"/>
    </w:rPr>
  </w:style>
  <w:style w:type="character" w:customStyle="1" w:styleId="FootnoteTextChar">
    <w:name w:val="Footnote Text Char"/>
    <w:basedOn w:val="DefaultParagraphFont"/>
    <w:link w:val="FootnoteText"/>
    <w:uiPriority w:val="99"/>
    <w:semiHidden/>
    <w:rsid w:val="006522B9"/>
  </w:style>
  <w:style w:type="character" w:styleId="FootnoteReference">
    <w:name w:val="footnote reference"/>
    <w:basedOn w:val="DefaultParagraphFont"/>
    <w:uiPriority w:val="99"/>
    <w:semiHidden/>
    <w:unhideWhenUsed/>
    <w:rsid w:val="006522B9"/>
    <w:rPr>
      <w:vertAlign w:val="superscript"/>
    </w:rPr>
  </w:style>
  <w:style w:type="character" w:customStyle="1" w:styleId="ListParagraphChar">
    <w:name w:val="List Paragraph Char"/>
    <w:basedOn w:val="DefaultParagraphFont"/>
    <w:link w:val="ListParagraph"/>
    <w:uiPriority w:val="34"/>
    <w:locked/>
    <w:rsid w:val="003A0234"/>
    <w:rPr>
      <w:sz w:val="24"/>
      <w:szCs w:val="24"/>
    </w:rPr>
  </w:style>
  <w:style w:type="character" w:customStyle="1" w:styleId="Heading8Char">
    <w:name w:val="Heading 8 Char"/>
    <w:aliases w:val="Legal Level 1.1.1. Char"/>
    <w:basedOn w:val="DefaultParagraphFont"/>
    <w:link w:val="Heading8"/>
    <w:rsid w:val="003A0234"/>
    <w:rPr>
      <w:rFonts w:asciiTheme="majorHAnsi" w:eastAsiaTheme="minorHAnsi" w:hAnsiTheme="majorHAnsi"/>
      <w:color w:val="5B9BD5" w:themeColor="accent1"/>
      <w:spacing w:val="10"/>
      <w:sz w:val="22"/>
      <w:lang w:val="en-US"/>
    </w:rPr>
  </w:style>
  <w:style w:type="paragraph" w:customStyle="1" w:styleId="Default">
    <w:name w:val="Default"/>
    <w:basedOn w:val="Normal"/>
    <w:rsid w:val="003A3308"/>
    <w:pPr>
      <w:autoSpaceDE w:val="0"/>
      <w:autoSpaceDN w:val="0"/>
    </w:pPr>
    <w:rPr>
      <w:rFonts w:ascii="Arial" w:eastAsiaTheme="minorHAnsi" w:hAnsi="Arial" w:cs="Arial"/>
      <w:color w:val="000000"/>
    </w:rPr>
  </w:style>
  <w:style w:type="paragraph" w:styleId="BalloonText">
    <w:name w:val="Balloon Text"/>
    <w:basedOn w:val="Normal"/>
    <w:link w:val="BalloonTextChar"/>
    <w:uiPriority w:val="99"/>
    <w:semiHidden/>
    <w:unhideWhenUsed/>
    <w:rsid w:val="00E25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4FA"/>
    <w:rPr>
      <w:rFonts w:ascii="Segoe UI" w:hAnsi="Segoe UI" w:cs="Segoe UI"/>
      <w:sz w:val="18"/>
      <w:szCs w:val="18"/>
    </w:rPr>
  </w:style>
  <w:style w:type="paragraph" w:styleId="Header">
    <w:name w:val="header"/>
    <w:basedOn w:val="Normal"/>
    <w:link w:val="HeaderChar"/>
    <w:uiPriority w:val="99"/>
    <w:unhideWhenUsed/>
    <w:rsid w:val="00BF4973"/>
    <w:pPr>
      <w:tabs>
        <w:tab w:val="center" w:pos="4513"/>
        <w:tab w:val="right" w:pos="9026"/>
      </w:tabs>
    </w:pPr>
  </w:style>
  <w:style w:type="character" w:customStyle="1" w:styleId="HeaderChar">
    <w:name w:val="Header Char"/>
    <w:basedOn w:val="DefaultParagraphFont"/>
    <w:link w:val="Header"/>
    <w:uiPriority w:val="99"/>
    <w:rsid w:val="00BF4973"/>
    <w:rPr>
      <w:sz w:val="24"/>
      <w:szCs w:val="24"/>
    </w:rPr>
  </w:style>
  <w:style w:type="paragraph" w:styleId="Footer">
    <w:name w:val="footer"/>
    <w:basedOn w:val="Normal"/>
    <w:link w:val="FooterChar"/>
    <w:uiPriority w:val="99"/>
    <w:unhideWhenUsed/>
    <w:rsid w:val="00BF4973"/>
    <w:pPr>
      <w:tabs>
        <w:tab w:val="center" w:pos="4513"/>
        <w:tab w:val="right" w:pos="9026"/>
      </w:tabs>
    </w:pPr>
  </w:style>
  <w:style w:type="character" w:customStyle="1" w:styleId="FooterChar">
    <w:name w:val="Footer Char"/>
    <w:basedOn w:val="DefaultParagraphFont"/>
    <w:link w:val="Footer"/>
    <w:uiPriority w:val="99"/>
    <w:rsid w:val="00BF4973"/>
    <w:rPr>
      <w:sz w:val="24"/>
      <w:szCs w:val="24"/>
    </w:rPr>
  </w:style>
  <w:style w:type="character" w:styleId="CommentReference">
    <w:name w:val="annotation reference"/>
    <w:basedOn w:val="DefaultParagraphFont"/>
    <w:uiPriority w:val="99"/>
    <w:semiHidden/>
    <w:unhideWhenUsed/>
    <w:rsid w:val="008F7083"/>
    <w:rPr>
      <w:sz w:val="16"/>
      <w:szCs w:val="16"/>
    </w:rPr>
  </w:style>
  <w:style w:type="paragraph" w:styleId="CommentText">
    <w:name w:val="annotation text"/>
    <w:basedOn w:val="Normal"/>
    <w:link w:val="CommentTextChar"/>
    <w:uiPriority w:val="99"/>
    <w:semiHidden/>
    <w:unhideWhenUsed/>
    <w:rsid w:val="008F7083"/>
    <w:rPr>
      <w:sz w:val="20"/>
      <w:szCs w:val="20"/>
    </w:rPr>
  </w:style>
  <w:style w:type="character" w:customStyle="1" w:styleId="CommentTextChar">
    <w:name w:val="Comment Text Char"/>
    <w:basedOn w:val="DefaultParagraphFont"/>
    <w:link w:val="CommentText"/>
    <w:uiPriority w:val="99"/>
    <w:semiHidden/>
    <w:rsid w:val="008F7083"/>
  </w:style>
  <w:style w:type="paragraph" w:styleId="CommentSubject">
    <w:name w:val="annotation subject"/>
    <w:basedOn w:val="CommentText"/>
    <w:next w:val="CommentText"/>
    <w:link w:val="CommentSubjectChar"/>
    <w:uiPriority w:val="99"/>
    <w:semiHidden/>
    <w:unhideWhenUsed/>
    <w:rsid w:val="008F7083"/>
    <w:rPr>
      <w:b/>
      <w:bCs/>
    </w:rPr>
  </w:style>
  <w:style w:type="character" w:customStyle="1" w:styleId="CommentSubjectChar">
    <w:name w:val="Comment Subject Char"/>
    <w:basedOn w:val="CommentTextChar"/>
    <w:link w:val="CommentSubject"/>
    <w:uiPriority w:val="99"/>
    <w:semiHidden/>
    <w:rsid w:val="008F7083"/>
    <w:rPr>
      <w:b/>
      <w:bCs/>
    </w:rPr>
  </w:style>
  <w:style w:type="character" w:styleId="Hyperlink">
    <w:name w:val="Hyperlink"/>
    <w:basedOn w:val="DefaultParagraphFont"/>
    <w:uiPriority w:val="99"/>
    <w:unhideWhenUsed/>
    <w:rsid w:val="005A0C9C"/>
    <w:rPr>
      <w:color w:val="0563C1" w:themeColor="hyperlink"/>
      <w:u w:val="single"/>
    </w:rPr>
  </w:style>
  <w:style w:type="character" w:customStyle="1" w:styleId="Heading2Char">
    <w:name w:val="Heading 2 Char"/>
    <w:basedOn w:val="DefaultParagraphFont"/>
    <w:link w:val="Heading2"/>
    <w:rsid w:val="0022740C"/>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1D56CF"/>
    <w:rPr>
      <w:color w:val="954F72" w:themeColor="followedHyperlink"/>
      <w:u w:val="single"/>
    </w:rPr>
  </w:style>
  <w:style w:type="paragraph" w:styleId="TableofFigures">
    <w:name w:val="table of figures"/>
    <w:basedOn w:val="Normal"/>
    <w:next w:val="Normal"/>
    <w:uiPriority w:val="99"/>
    <w:semiHidden/>
    <w:unhideWhenUsed/>
    <w:rsid w:val="006559FF"/>
  </w:style>
  <w:style w:type="character" w:customStyle="1" w:styleId="Heading4Char">
    <w:name w:val="Heading 4 Char"/>
    <w:basedOn w:val="DefaultParagraphFont"/>
    <w:link w:val="Heading4"/>
    <w:rsid w:val="00BF065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62e7cb1bcf27c65a40f18aa65b78a4ef">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a1609763d109c88ccd3bbeadae2d2631"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BB77-78B6-4603-A568-4AB9F075F74D}">
  <ds:schemaRefs>
    <ds:schemaRef ds:uri="http://schemas.microsoft.com/office/2006/metadata/customXsn"/>
  </ds:schemaRefs>
</ds:datastoreItem>
</file>

<file path=customXml/itemProps2.xml><?xml version="1.0" encoding="utf-8"?>
<ds:datastoreItem xmlns:ds="http://schemas.openxmlformats.org/officeDocument/2006/customXml" ds:itemID="{A5D6B341-9C83-4B94-ADD2-3C0C73554E2D}">
  <ds:schemaRefs>
    <ds:schemaRef ds:uri="Microsoft.SharePoint.Taxonomy.ContentTypeSync"/>
  </ds:schemaRefs>
</ds:datastoreItem>
</file>

<file path=customXml/itemProps3.xml><?xml version="1.0" encoding="utf-8"?>
<ds:datastoreItem xmlns:ds="http://schemas.openxmlformats.org/officeDocument/2006/customXml" ds:itemID="{682CF612-83EA-4407-85AF-256FD6EDF80B}">
  <ds:schemaRefs>
    <ds:schemaRef ds:uri="http://purl.org/dc/elements/1.1/"/>
    <ds:schemaRef ds:uri="3f4bcce7-ac1a-4c9d-aa3e-7e77695652db"/>
    <ds:schemaRef ds:uri="http://schemas.openxmlformats.org/package/2006/metadata/core-properties"/>
    <ds:schemaRef ds:uri="http://www.w3.org/XML/1998/namespace"/>
    <ds:schemaRef ds:uri="http://schemas.microsoft.com/office/2006/documentManagement/types"/>
    <ds:schemaRef ds:uri="http://schemas.microsoft.com/sharepoint/v3"/>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71E5DA0-4FFF-47CE-A3E2-7A937D8E1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0FB4C1-B2D1-4839-8D08-5FB7B543AC9F}">
  <ds:schemaRefs>
    <ds:schemaRef ds:uri="http://schemas.microsoft.com/sharepoint/v3/contenttype/forms"/>
  </ds:schemaRefs>
</ds:datastoreItem>
</file>

<file path=customXml/itemProps6.xml><?xml version="1.0" encoding="utf-8"?>
<ds:datastoreItem xmlns:ds="http://schemas.openxmlformats.org/officeDocument/2006/customXml" ds:itemID="{06D7B654-E11A-4338-934C-142B8E4A3787}">
  <ds:schemaRefs>
    <ds:schemaRef ds:uri="http://schemas.microsoft.com/sharepoint/events"/>
  </ds:schemaRefs>
</ds:datastoreItem>
</file>

<file path=customXml/itemProps7.xml><?xml version="1.0" encoding="utf-8"?>
<ds:datastoreItem xmlns:ds="http://schemas.openxmlformats.org/officeDocument/2006/customXml" ds:itemID="{6BEFBBB3-F1C9-4ABB-B6A2-1F74A626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15</Pages>
  <Words>7603</Words>
  <Characters>43342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Submission 23 - Retail Employees Superannuation Trust (REST) - Alternative Default Fund Models - Public inquiry</vt:lpstr>
    </vt:vector>
  </TitlesOfParts>
  <Company>Retail Employees Superannuation Trust (REST)</Company>
  <LinksUpToDate>false</LinksUpToDate>
  <CharactersWithSpaces>50844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Retail Employees Superannuation Trust (REST) - Alternative Default Fund Models - Public inquiry</dc:title>
  <dc:subject/>
  <dc:creator>Retail Employees Superannuation Trust (REST)</dc:creator>
  <cp:keywords/>
  <dc:description/>
  <cp:lastModifiedBy>Productivity Commission</cp:lastModifiedBy>
  <cp:revision>61</cp:revision>
  <cp:lastPrinted>2016-10-24T05:03:00Z</cp:lastPrinted>
  <dcterms:created xsi:type="dcterms:W3CDTF">2016-10-28T02:19:00Z</dcterms:created>
  <dcterms:modified xsi:type="dcterms:W3CDTF">2016-11-03T01:36:00Z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