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14098" w14:textId="77777777" w:rsidR="00557766" w:rsidRDefault="00041267" w:rsidP="00557766">
      <w:pPr>
        <w:kinsoku w:val="0"/>
        <w:overflowPunct w:val="0"/>
        <w:autoSpaceDE/>
        <w:autoSpaceDN/>
        <w:adjustRightInd/>
        <w:spacing w:line="276" w:lineRule="auto"/>
        <w:ind w:right="18"/>
        <w:textAlignment w:val="baseline"/>
        <w:rPr>
          <w:rFonts w:asciiTheme="minorHAnsi" w:hAnsiTheme="minorHAnsi" w:cs="Calibri"/>
          <w:b/>
          <w:bCs/>
          <w:i/>
          <w:color w:val="E36C0A" w:themeColor="accent6" w:themeShade="BF"/>
          <w:spacing w:val="-4"/>
          <w:sz w:val="40"/>
          <w:szCs w:val="40"/>
        </w:rPr>
      </w:pPr>
      <w:r w:rsidRPr="00677B6F">
        <w:rPr>
          <w:rFonts w:asciiTheme="minorHAnsi" w:hAnsiTheme="minorHAnsi"/>
          <w:noProof/>
          <w:sz w:val="24"/>
          <w:szCs w:val="24"/>
          <w:lang w:val="en-AU"/>
        </w:rPr>
        <w:drawing>
          <wp:inline distT="0" distB="0" distL="0" distR="0" wp14:anchorId="2B38141E" wp14:editId="07041677">
            <wp:extent cx="2838450" cy="1182688"/>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5"/>
                    <a:srcRect/>
                    <a:stretch>
                      <a:fillRect/>
                    </a:stretch>
                  </pic:blipFill>
                  <pic:spPr bwMode="auto">
                    <a:xfrm>
                      <a:off x="0" y="0"/>
                      <a:ext cx="2839213" cy="1183006"/>
                    </a:xfrm>
                    <a:prstGeom prst="rect">
                      <a:avLst/>
                    </a:prstGeom>
                    <a:noFill/>
                    <a:ln w="9525">
                      <a:noFill/>
                      <a:miter lim="800000"/>
                      <a:headEnd/>
                      <a:tailEnd/>
                    </a:ln>
                  </pic:spPr>
                </pic:pic>
              </a:graphicData>
            </a:graphic>
          </wp:inline>
        </w:drawing>
      </w:r>
    </w:p>
    <w:p w14:paraId="209BBD83" w14:textId="77777777" w:rsidR="00557766" w:rsidRDefault="00557766" w:rsidP="00557766">
      <w:pPr>
        <w:kinsoku w:val="0"/>
        <w:overflowPunct w:val="0"/>
        <w:autoSpaceDE/>
        <w:autoSpaceDN/>
        <w:adjustRightInd/>
        <w:spacing w:line="276" w:lineRule="auto"/>
        <w:ind w:right="18"/>
        <w:textAlignment w:val="baseline"/>
        <w:rPr>
          <w:rFonts w:asciiTheme="minorHAnsi" w:hAnsiTheme="minorHAnsi" w:cs="Calibri"/>
          <w:b/>
          <w:bCs/>
          <w:i/>
          <w:color w:val="E36C0A" w:themeColor="accent6" w:themeShade="BF"/>
          <w:spacing w:val="-4"/>
          <w:sz w:val="40"/>
          <w:szCs w:val="40"/>
        </w:rPr>
      </w:pPr>
    </w:p>
    <w:p w14:paraId="0089F517" w14:textId="77777777" w:rsidR="00A24221" w:rsidRDefault="00A24221" w:rsidP="00557766">
      <w:pPr>
        <w:kinsoku w:val="0"/>
        <w:overflowPunct w:val="0"/>
        <w:autoSpaceDE/>
        <w:autoSpaceDN/>
        <w:adjustRightInd/>
        <w:spacing w:line="276" w:lineRule="auto"/>
        <w:ind w:right="18"/>
        <w:textAlignment w:val="baseline"/>
        <w:rPr>
          <w:rFonts w:asciiTheme="minorHAnsi" w:hAnsiTheme="minorHAnsi" w:cs="Calibri"/>
          <w:b/>
          <w:bCs/>
          <w:i/>
          <w:color w:val="E36C0A" w:themeColor="accent6" w:themeShade="BF"/>
          <w:spacing w:val="-4"/>
          <w:sz w:val="40"/>
          <w:szCs w:val="40"/>
        </w:rPr>
      </w:pPr>
    </w:p>
    <w:p w14:paraId="170A4872" w14:textId="77777777" w:rsidR="00A24221" w:rsidRDefault="00A24221" w:rsidP="00A24221">
      <w:pPr>
        <w:kinsoku w:val="0"/>
        <w:overflowPunct w:val="0"/>
        <w:autoSpaceDE/>
        <w:autoSpaceDN/>
        <w:adjustRightInd/>
        <w:spacing w:before="39" w:line="276" w:lineRule="auto"/>
        <w:textAlignment w:val="baseline"/>
        <w:rPr>
          <w:rFonts w:asciiTheme="minorHAnsi" w:hAnsiTheme="minorHAnsi" w:cs="Calibri"/>
          <w:b/>
          <w:bCs/>
          <w:i/>
          <w:color w:val="E36C0A" w:themeColor="accent6" w:themeShade="BF"/>
          <w:spacing w:val="-4"/>
          <w:sz w:val="40"/>
          <w:szCs w:val="40"/>
        </w:rPr>
      </w:pPr>
    </w:p>
    <w:p w14:paraId="1DB8B97E" w14:textId="77777777" w:rsidR="00721B1C" w:rsidRDefault="00721B1C"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p>
    <w:p w14:paraId="169230E9" w14:textId="77777777" w:rsidR="00721B1C" w:rsidRDefault="00721B1C"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p>
    <w:p w14:paraId="3EA680F1" w14:textId="77777777" w:rsidR="00721B1C" w:rsidRDefault="00A24221"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r>
        <w:rPr>
          <w:rFonts w:asciiTheme="minorHAnsi" w:hAnsiTheme="minorHAnsi" w:cs="Calibri"/>
          <w:b/>
          <w:bCs/>
          <w:color w:val="E26C0A"/>
          <w:spacing w:val="-4"/>
          <w:sz w:val="36"/>
          <w:szCs w:val="36"/>
        </w:rPr>
        <w:t xml:space="preserve">Submission to </w:t>
      </w:r>
      <w:r w:rsidR="00EB27E8">
        <w:rPr>
          <w:rFonts w:asciiTheme="minorHAnsi" w:hAnsiTheme="minorHAnsi" w:cs="Calibri"/>
          <w:b/>
          <w:bCs/>
          <w:color w:val="E26C0A"/>
          <w:spacing w:val="-4"/>
          <w:sz w:val="36"/>
          <w:szCs w:val="36"/>
        </w:rPr>
        <w:t xml:space="preserve">Productivity Commission </w:t>
      </w:r>
    </w:p>
    <w:p w14:paraId="50FDA1E5" w14:textId="14E9A8AB" w:rsidR="00721B1C" w:rsidRDefault="00721B1C"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p>
    <w:p w14:paraId="62F853E1" w14:textId="77777777" w:rsidR="00EE7319" w:rsidRDefault="00EE7319"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p>
    <w:p w14:paraId="4D584B4C" w14:textId="77777777" w:rsidR="00EE7319" w:rsidRDefault="00EB27E8"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r>
        <w:rPr>
          <w:rFonts w:asciiTheme="minorHAnsi" w:hAnsiTheme="minorHAnsi" w:cs="Calibri"/>
          <w:b/>
          <w:bCs/>
          <w:color w:val="E26C0A"/>
          <w:spacing w:val="-4"/>
          <w:sz w:val="36"/>
          <w:szCs w:val="36"/>
        </w:rPr>
        <w:t xml:space="preserve">Inquiry into introducing competition and informed </w:t>
      </w:r>
    </w:p>
    <w:p w14:paraId="47B239DE" w14:textId="067A7C99" w:rsidR="00EB27E8" w:rsidRDefault="00EB27E8"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r>
        <w:rPr>
          <w:rFonts w:asciiTheme="minorHAnsi" w:hAnsiTheme="minorHAnsi" w:cs="Calibri"/>
          <w:b/>
          <w:bCs/>
          <w:color w:val="E26C0A"/>
          <w:spacing w:val="-4"/>
          <w:sz w:val="36"/>
          <w:szCs w:val="36"/>
        </w:rPr>
        <w:t>user choice into Human Services</w:t>
      </w:r>
      <w:r w:rsidR="00243FFD">
        <w:rPr>
          <w:rFonts w:asciiTheme="minorHAnsi" w:hAnsiTheme="minorHAnsi" w:cs="Calibri"/>
          <w:b/>
          <w:bCs/>
          <w:color w:val="E26C0A"/>
          <w:spacing w:val="-4"/>
          <w:sz w:val="36"/>
          <w:szCs w:val="36"/>
        </w:rPr>
        <w:t>: Part 2</w:t>
      </w:r>
    </w:p>
    <w:p w14:paraId="398729E0" w14:textId="77777777" w:rsidR="002C326E" w:rsidRDefault="002C326E" w:rsidP="00A24221">
      <w:pPr>
        <w:kinsoku w:val="0"/>
        <w:overflowPunct w:val="0"/>
        <w:autoSpaceDE/>
        <w:autoSpaceDN/>
        <w:adjustRightInd/>
        <w:spacing w:before="39" w:line="276" w:lineRule="auto"/>
        <w:textAlignment w:val="baseline"/>
        <w:rPr>
          <w:rFonts w:asciiTheme="minorHAnsi" w:hAnsiTheme="minorHAnsi" w:cs="Calibri"/>
          <w:b/>
          <w:bCs/>
          <w:color w:val="E26C0A"/>
          <w:spacing w:val="-4"/>
          <w:sz w:val="36"/>
          <w:szCs w:val="36"/>
        </w:rPr>
      </w:pPr>
    </w:p>
    <w:p w14:paraId="7E7A2D4C" w14:textId="77777777" w:rsidR="00A24221" w:rsidRDefault="00A24221"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6F53D4B3" w14:textId="77777777" w:rsidR="00A24221" w:rsidRDefault="00A24221"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7D9FECB5" w14:textId="77777777" w:rsidR="00721B1C" w:rsidRDefault="00721B1C">
      <w:pPr>
        <w:widowControl/>
        <w:autoSpaceDE/>
        <w:autoSpaceDN/>
        <w:adjustRightInd/>
        <w:spacing w:after="200" w:line="276" w:lineRule="auto"/>
        <w:rPr>
          <w:rFonts w:asciiTheme="minorHAnsi" w:hAnsiTheme="minorHAnsi" w:cs="Calibri"/>
          <w:spacing w:val="-3"/>
          <w:sz w:val="24"/>
          <w:szCs w:val="24"/>
        </w:rPr>
      </w:pPr>
    </w:p>
    <w:p w14:paraId="6F2C1306" w14:textId="77777777" w:rsidR="00721B1C" w:rsidRDefault="00721B1C">
      <w:pPr>
        <w:widowControl/>
        <w:autoSpaceDE/>
        <w:autoSpaceDN/>
        <w:adjustRightInd/>
        <w:spacing w:after="200" w:line="276" w:lineRule="auto"/>
        <w:rPr>
          <w:rFonts w:asciiTheme="minorHAnsi" w:hAnsiTheme="minorHAnsi" w:cs="Calibri"/>
          <w:spacing w:val="-3"/>
          <w:sz w:val="24"/>
          <w:szCs w:val="24"/>
        </w:rPr>
      </w:pPr>
    </w:p>
    <w:p w14:paraId="4732FF22" w14:textId="77777777" w:rsidR="00721B1C" w:rsidRPr="00B21AB8" w:rsidRDefault="00721B1C" w:rsidP="00721B1C">
      <w:pPr>
        <w:kinsoku w:val="0"/>
        <w:overflowPunct w:val="0"/>
        <w:autoSpaceDE/>
        <w:autoSpaceDN/>
        <w:adjustRightInd/>
        <w:spacing w:before="33" w:line="276" w:lineRule="auto"/>
        <w:textAlignment w:val="baseline"/>
        <w:rPr>
          <w:rFonts w:asciiTheme="minorHAnsi" w:hAnsiTheme="minorHAnsi" w:cs="Calibri"/>
          <w:b/>
          <w:bCs/>
          <w:spacing w:val="-1"/>
          <w:sz w:val="28"/>
          <w:szCs w:val="28"/>
        </w:rPr>
      </w:pPr>
      <w:r w:rsidRPr="00B21AB8">
        <w:rPr>
          <w:rFonts w:asciiTheme="minorHAnsi" w:hAnsiTheme="minorHAnsi" w:cs="Calibri"/>
          <w:b/>
          <w:bCs/>
          <w:spacing w:val="-1"/>
          <w:sz w:val="28"/>
          <w:szCs w:val="28"/>
        </w:rPr>
        <w:t>Prepared by</w:t>
      </w:r>
    </w:p>
    <w:p w14:paraId="0A7291AC" w14:textId="77777777" w:rsidR="00721B1C" w:rsidRPr="00B21AB8" w:rsidRDefault="00721B1C" w:rsidP="00721B1C">
      <w:pPr>
        <w:kinsoku w:val="0"/>
        <w:overflowPunct w:val="0"/>
        <w:autoSpaceDE/>
        <w:autoSpaceDN/>
        <w:adjustRightInd/>
        <w:spacing w:before="33" w:line="276" w:lineRule="auto"/>
        <w:textAlignment w:val="baseline"/>
        <w:rPr>
          <w:rFonts w:asciiTheme="minorHAnsi" w:hAnsiTheme="minorHAnsi" w:cs="Calibri"/>
          <w:b/>
          <w:bCs/>
          <w:spacing w:val="-4"/>
          <w:sz w:val="28"/>
          <w:szCs w:val="28"/>
        </w:rPr>
      </w:pPr>
      <w:r w:rsidRPr="00B21AB8">
        <w:rPr>
          <w:rFonts w:asciiTheme="minorHAnsi" w:hAnsiTheme="minorHAnsi" w:cs="Calibri"/>
          <w:b/>
          <w:bCs/>
          <w:spacing w:val="-1"/>
          <w:sz w:val="28"/>
          <w:szCs w:val="28"/>
        </w:rPr>
        <w:t>COTA</w:t>
      </w:r>
      <w:r w:rsidRPr="00B21AB8">
        <w:rPr>
          <w:rFonts w:asciiTheme="minorHAnsi" w:hAnsiTheme="minorHAnsi"/>
          <w:b/>
          <w:noProof/>
          <w:sz w:val="28"/>
          <w:szCs w:val="28"/>
          <w:lang w:val="en-AU"/>
        </w:rPr>
        <w:t xml:space="preserve"> Australia</w:t>
      </w:r>
    </w:p>
    <w:p w14:paraId="684B308C" w14:textId="77777777" w:rsidR="00721B1C" w:rsidRPr="00B21AB8" w:rsidRDefault="00721B1C" w:rsidP="00721B1C">
      <w:pPr>
        <w:widowControl/>
        <w:spacing w:line="276" w:lineRule="auto"/>
        <w:rPr>
          <w:rFonts w:asciiTheme="minorHAnsi" w:hAnsiTheme="minorHAnsi"/>
          <w:b/>
          <w:sz w:val="24"/>
          <w:szCs w:val="24"/>
        </w:rPr>
      </w:pPr>
    </w:p>
    <w:p w14:paraId="27926C7D" w14:textId="7300B1C9" w:rsidR="00721B1C" w:rsidRPr="00B21AB8" w:rsidRDefault="007D236E" w:rsidP="00721B1C">
      <w:pPr>
        <w:widowControl/>
        <w:spacing w:line="276" w:lineRule="auto"/>
        <w:rPr>
          <w:rFonts w:asciiTheme="minorHAnsi" w:hAnsiTheme="minorHAnsi"/>
          <w:b/>
          <w:sz w:val="28"/>
          <w:szCs w:val="28"/>
        </w:rPr>
      </w:pPr>
      <w:r>
        <w:rPr>
          <w:rFonts w:asciiTheme="minorHAnsi" w:hAnsiTheme="minorHAnsi"/>
          <w:b/>
          <w:sz w:val="28"/>
          <w:szCs w:val="28"/>
        </w:rPr>
        <w:t>February 2017</w:t>
      </w:r>
    </w:p>
    <w:p w14:paraId="3D6EFDD4" w14:textId="68A07818" w:rsidR="00721B1C" w:rsidRDefault="00721B1C">
      <w:pPr>
        <w:widowControl/>
        <w:autoSpaceDE/>
        <w:autoSpaceDN/>
        <w:adjustRightInd/>
        <w:spacing w:after="200" w:line="276" w:lineRule="auto"/>
        <w:rPr>
          <w:rFonts w:asciiTheme="minorHAnsi" w:hAnsiTheme="minorHAnsi" w:cs="Calibri"/>
          <w:spacing w:val="-3"/>
          <w:sz w:val="24"/>
          <w:szCs w:val="24"/>
        </w:rPr>
      </w:pPr>
      <w:r>
        <w:rPr>
          <w:rFonts w:asciiTheme="minorHAnsi" w:hAnsiTheme="minorHAnsi" w:cs="Calibri"/>
          <w:spacing w:val="-3"/>
          <w:sz w:val="24"/>
          <w:szCs w:val="24"/>
        </w:rPr>
        <w:br w:type="page"/>
      </w:r>
    </w:p>
    <w:p w14:paraId="30EF5E6F" w14:textId="4CACA80F" w:rsidR="00A24221" w:rsidRDefault="00A24221"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16B82CFB" w14:textId="26E1E3EB" w:rsidR="00721B1C" w:rsidRDefault="00721B1C"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42F18091" w14:textId="28F9CE48" w:rsidR="00721B1C" w:rsidRDefault="00721B1C"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126B798D" w14:textId="0A8D141F" w:rsidR="00721B1C" w:rsidRDefault="00721B1C"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6149AD25" w14:textId="7E3A7243" w:rsidR="00721B1C" w:rsidRDefault="00721B1C"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233E61AA" w14:textId="1F34E8A3" w:rsidR="00721B1C" w:rsidRDefault="00721B1C"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4BCD75CD" w14:textId="7AA0795D" w:rsidR="00721B1C" w:rsidRDefault="00721B1C" w:rsidP="00A24221">
      <w:pPr>
        <w:kinsoku w:val="0"/>
        <w:overflowPunct w:val="0"/>
        <w:autoSpaceDE/>
        <w:autoSpaceDN/>
        <w:adjustRightInd/>
        <w:spacing w:before="582" w:line="276" w:lineRule="auto"/>
        <w:ind w:right="504"/>
        <w:textAlignment w:val="baseline"/>
        <w:rPr>
          <w:rFonts w:asciiTheme="minorHAnsi" w:hAnsiTheme="minorHAnsi" w:cs="Calibri"/>
          <w:spacing w:val="-3"/>
          <w:sz w:val="24"/>
          <w:szCs w:val="24"/>
        </w:rPr>
      </w:pPr>
    </w:p>
    <w:p w14:paraId="795CD673" w14:textId="77777777" w:rsidR="00721B1C" w:rsidRDefault="00721B1C" w:rsidP="00721B1C">
      <w:pPr>
        <w:kinsoku w:val="0"/>
        <w:overflowPunct w:val="0"/>
        <w:autoSpaceDE/>
        <w:autoSpaceDN/>
        <w:adjustRightInd/>
        <w:spacing w:before="582"/>
        <w:ind w:right="504"/>
        <w:textAlignment w:val="baseline"/>
        <w:rPr>
          <w:rFonts w:asciiTheme="minorHAnsi" w:hAnsiTheme="minorHAnsi" w:cs="Calibri"/>
          <w:spacing w:val="-3"/>
          <w:sz w:val="24"/>
          <w:szCs w:val="24"/>
        </w:rPr>
      </w:pPr>
    </w:p>
    <w:p w14:paraId="79A09C40" w14:textId="30B557FD" w:rsidR="00A24221" w:rsidRDefault="00557766" w:rsidP="00721B1C">
      <w:pPr>
        <w:kinsoku w:val="0"/>
        <w:overflowPunct w:val="0"/>
        <w:autoSpaceDE/>
        <w:autoSpaceDN/>
        <w:adjustRightInd/>
        <w:ind w:right="504"/>
        <w:textAlignment w:val="baseline"/>
        <w:rPr>
          <w:rFonts w:asciiTheme="minorHAnsi" w:hAnsiTheme="minorHAnsi" w:cs="Calibri"/>
          <w:spacing w:val="-3"/>
          <w:sz w:val="24"/>
          <w:szCs w:val="24"/>
        </w:rPr>
      </w:pPr>
      <w:r w:rsidRPr="00677B6F">
        <w:rPr>
          <w:rFonts w:asciiTheme="minorHAnsi" w:hAnsiTheme="minorHAnsi" w:cs="Calibri"/>
          <w:spacing w:val="-3"/>
          <w:sz w:val="24"/>
          <w:szCs w:val="24"/>
        </w:rPr>
        <w:t xml:space="preserve">Authorised </w:t>
      </w:r>
      <w:r w:rsidR="007D236E">
        <w:rPr>
          <w:rFonts w:asciiTheme="minorHAnsi" w:hAnsiTheme="minorHAnsi" w:cs="Calibri"/>
          <w:spacing w:val="-3"/>
          <w:sz w:val="24"/>
          <w:szCs w:val="24"/>
        </w:rPr>
        <w:t xml:space="preserve">and co-written </w:t>
      </w:r>
      <w:r w:rsidRPr="00677B6F">
        <w:rPr>
          <w:rFonts w:asciiTheme="minorHAnsi" w:hAnsiTheme="minorHAnsi" w:cs="Calibri"/>
          <w:spacing w:val="-3"/>
          <w:sz w:val="24"/>
          <w:szCs w:val="24"/>
        </w:rPr>
        <w:t xml:space="preserve">by: </w:t>
      </w:r>
    </w:p>
    <w:p w14:paraId="549797B8" w14:textId="21972C4D" w:rsidR="00A24221" w:rsidRDefault="00557766" w:rsidP="00721B1C">
      <w:pPr>
        <w:kinsoku w:val="0"/>
        <w:overflowPunct w:val="0"/>
        <w:autoSpaceDE/>
        <w:autoSpaceDN/>
        <w:adjustRightInd/>
        <w:ind w:right="504"/>
        <w:textAlignment w:val="baseline"/>
        <w:rPr>
          <w:rFonts w:asciiTheme="minorHAnsi" w:hAnsiTheme="minorHAnsi" w:cs="Calibri"/>
          <w:spacing w:val="-3"/>
          <w:sz w:val="24"/>
          <w:szCs w:val="24"/>
        </w:rPr>
      </w:pPr>
      <w:r w:rsidRPr="00677B6F">
        <w:rPr>
          <w:rFonts w:asciiTheme="minorHAnsi" w:hAnsiTheme="minorHAnsi" w:cs="Calibri"/>
          <w:spacing w:val="-3"/>
          <w:sz w:val="24"/>
          <w:szCs w:val="24"/>
        </w:rPr>
        <w:t xml:space="preserve">Ian Yates AM </w:t>
      </w:r>
    </w:p>
    <w:p w14:paraId="3F8B52ED" w14:textId="77777777" w:rsidR="00A24221" w:rsidRDefault="00557766" w:rsidP="00721B1C">
      <w:pPr>
        <w:kinsoku w:val="0"/>
        <w:overflowPunct w:val="0"/>
        <w:autoSpaceDE/>
        <w:autoSpaceDN/>
        <w:adjustRightInd/>
        <w:ind w:right="504"/>
        <w:textAlignment w:val="baseline"/>
        <w:rPr>
          <w:rFonts w:asciiTheme="minorHAnsi" w:hAnsiTheme="minorHAnsi" w:cs="Calibri"/>
          <w:spacing w:val="-3"/>
          <w:sz w:val="24"/>
          <w:szCs w:val="24"/>
        </w:rPr>
      </w:pPr>
      <w:r w:rsidRPr="00677B6F">
        <w:rPr>
          <w:rFonts w:asciiTheme="minorHAnsi" w:hAnsiTheme="minorHAnsi" w:cs="Calibri"/>
          <w:spacing w:val="-3"/>
          <w:sz w:val="24"/>
          <w:szCs w:val="24"/>
        </w:rPr>
        <w:t xml:space="preserve">Chief Executive </w:t>
      </w:r>
    </w:p>
    <w:p w14:paraId="248FF884" w14:textId="0D9C0FC2" w:rsidR="00A24221" w:rsidRDefault="00283979" w:rsidP="00721B1C">
      <w:pPr>
        <w:kinsoku w:val="0"/>
        <w:overflowPunct w:val="0"/>
        <w:autoSpaceDE/>
        <w:autoSpaceDN/>
        <w:adjustRightInd/>
        <w:ind w:right="504"/>
        <w:textAlignment w:val="baseline"/>
      </w:pPr>
      <w:r>
        <w:t xml:space="preserve"> </w:t>
      </w:r>
    </w:p>
    <w:p w14:paraId="371536C8" w14:textId="77777777" w:rsidR="00283979" w:rsidRDefault="00283979" w:rsidP="00721B1C">
      <w:pPr>
        <w:kinsoku w:val="0"/>
        <w:overflowPunct w:val="0"/>
        <w:autoSpaceDE/>
        <w:autoSpaceDN/>
        <w:adjustRightInd/>
        <w:ind w:right="504"/>
        <w:textAlignment w:val="baseline"/>
        <w:rPr>
          <w:rFonts w:asciiTheme="minorHAnsi" w:hAnsiTheme="minorHAnsi" w:cs="Calibri"/>
          <w:spacing w:val="-3"/>
          <w:sz w:val="24"/>
          <w:szCs w:val="24"/>
        </w:rPr>
      </w:pPr>
    </w:p>
    <w:p w14:paraId="0299840C" w14:textId="7F62FDB1" w:rsidR="00A24221" w:rsidRDefault="00A24221" w:rsidP="00721B1C">
      <w:pPr>
        <w:kinsoku w:val="0"/>
        <w:overflowPunct w:val="0"/>
        <w:autoSpaceDE/>
        <w:autoSpaceDN/>
        <w:adjustRightInd/>
        <w:ind w:right="504"/>
        <w:textAlignment w:val="baseline"/>
        <w:rPr>
          <w:rFonts w:asciiTheme="minorHAnsi" w:hAnsiTheme="minorHAnsi" w:cs="Calibri"/>
          <w:spacing w:val="-2"/>
          <w:sz w:val="24"/>
          <w:szCs w:val="24"/>
        </w:rPr>
      </w:pPr>
    </w:p>
    <w:p w14:paraId="13AB6338" w14:textId="77777777" w:rsidR="00721B1C" w:rsidRDefault="00721B1C" w:rsidP="00721B1C">
      <w:pPr>
        <w:kinsoku w:val="0"/>
        <w:overflowPunct w:val="0"/>
        <w:autoSpaceDE/>
        <w:autoSpaceDN/>
        <w:adjustRightInd/>
        <w:ind w:right="504"/>
        <w:textAlignment w:val="baseline"/>
        <w:rPr>
          <w:rFonts w:asciiTheme="minorHAnsi" w:hAnsiTheme="minorHAnsi" w:cs="Calibri"/>
          <w:spacing w:val="-2"/>
          <w:sz w:val="24"/>
          <w:szCs w:val="24"/>
        </w:rPr>
      </w:pPr>
    </w:p>
    <w:p w14:paraId="566B74BC" w14:textId="5C22EB39" w:rsidR="00A24221" w:rsidRDefault="007D236E" w:rsidP="00721B1C">
      <w:pPr>
        <w:kinsoku w:val="0"/>
        <w:overflowPunct w:val="0"/>
        <w:autoSpaceDE/>
        <w:autoSpaceDN/>
        <w:adjustRightInd/>
        <w:ind w:right="504"/>
        <w:textAlignment w:val="baseline"/>
        <w:rPr>
          <w:rFonts w:asciiTheme="minorHAnsi" w:hAnsiTheme="minorHAnsi" w:cs="Calibri"/>
          <w:spacing w:val="-2"/>
          <w:sz w:val="24"/>
          <w:szCs w:val="24"/>
        </w:rPr>
      </w:pPr>
      <w:r>
        <w:rPr>
          <w:rFonts w:asciiTheme="minorHAnsi" w:hAnsiTheme="minorHAnsi" w:cs="Calibri"/>
          <w:spacing w:val="-2"/>
          <w:sz w:val="24"/>
          <w:szCs w:val="24"/>
        </w:rPr>
        <w:t>Co-written</w:t>
      </w:r>
      <w:r w:rsidR="00557766" w:rsidRPr="00677B6F">
        <w:rPr>
          <w:rFonts w:asciiTheme="minorHAnsi" w:hAnsiTheme="minorHAnsi" w:cs="Calibri"/>
          <w:spacing w:val="-2"/>
          <w:sz w:val="24"/>
          <w:szCs w:val="24"/>
        </w:rPr>
        <w:t xml:space="preserve"> by:</w:t>
      </w:r>
    </w:p>
    <w:p w14:paraId="129321E7" w14:textId="4AAE8B96" w:rsidR="00A24221" w:rsidRPr="00A24221" w:rsidRDefault="00557766" w:rsidP="00721B1C">
      <w:pPr>
        <w:kinsoku w:val="0"/>
        <w:overflowPunct w:val="0"/>
        <w:autoSpaceDE/>
        <w:autoSpaceDN/>
        <w:adjustRightInd/>
        <w:ind w:right="504"/>
        <w:textAlignment w:val="baseline"/>
        <w:rPr>
          <w:rFonts w:asciiTheme="minorHAnsi" w:hAnsiTheme="minorHAnsi" w:cs="Calibri"/>
          <w:spacing w:val="-3"/>
          <w:sz w:val="24"/>
          <w:szCs w:val="24"/>
        </w:rPr>
      </w:pPr>
      <w:r>
        <w:rPr>
          <w:rFonts w:asciiTheme="minorHAnsi" w:hAnsiTheme="minorHAnsi" w:cs="Calibri"/>
          <w:spacing w:val="-2"/>
          <w:sz w:val="24"/>
          <w:szCs w:val="24"/>
        </w:rPr>
        <w:t xml:space="preserve">Susan </w:t>
      </w:r>
      <w:r w:rsidR="00A24221">
        <w:rPr>
          <w:rFonts w:asciiTheme="minorHAnsi" w:hAnsiTheme="minorHAnsi" w:cs="Calibri"/>
          <w:spacing w:val="-2"/>
          <w:sz w:val="24"/>
          <w:szCs w:val="24"/>
        </w:rPr>
        <w:t>McGrath</w:t>
      </w:r>
    </w:p>
    <w:p w14:paraId="3188457A" w14:textId="252DE983" w:rsidR="00A24221" w:rsidRDefault="00A24221" w:rsidP="00721B1C">
      <w:pPr>
        <w:kinsoku w:val="0"/>
        <w:overflowPunct w:val="0"/>
        <w:autoSpaceDE/>
        <w:autoSpaceDN/>
        <w:adjustRightInd/>
        <w:textAlignment w:val="baseline"/>
        <w:rPr>
          <w:rFonts w:asciiTheme="minorHAnsi" w:hAnsiTheme="minorHAnsi" w:cs="Calibri"/>
          <w:sz w:val="24"/>
          <w:szCs w:val="24"/>
        </w:rPr>
      </w:pPr>
      <w:r w:rsidRPr="00677B6F">
        <w:rPr>
          <w:rFonts w:asciiTheme="minorHAnsi" w:hAnsiTheme="minorHAnsi" w:cs="Calibri"/>
          <w:sz w:val="24"/>
          <w:szCs w:val="24"/>
        </w:rPr>
        <w:t>Nationa</w:t>
      </w:r>
      <w:r>
        <w:rPr>
          <w:rFonts w:asciiTheme="minorHAnsi" w:hAnsiTheme="minorHAnsi" w:cs="Calibri"/>
          <w:sz w:val="24"/>
          <w:szCs w:val="24"/>
        </w:rPr>
        <w:t xml:space="preserve">l Policy Manager </w:t>
      </w:r>
    </w:p>
    <w:p w14:paraId="5028B440" w14:textId="75463508" w:rsidR="00721B1C" w:rsidRDefault="00721B1C" w:rsidP="00721B1C">
      <w:pPr>
        <w:kinsoku w:val="0"/>
        <w:overflowPunct w:val="0"/>
        <w:autoSpaceDE/>
        <w:autoSpaceDN/>
        <w:adjustRightInd/>
        <w:spacing w:before="372"/>
        <w:textAlignment w:val="baseline"/>
      </w:pPr>
    </w:p>
    <w:p w14:paraId="43E37511" w14:textId="77777777" w:rsidR="00283979" w:rsidRDefault="00283979" w:rsidP="00721B1C">
      <w:pPr>
        <w:kinsoku w:val="0"/>
        <w:overflowPunct w:val="0"/>
        <w:autoSpaceDE/>
        <w:autoSpaceDN/>
        <w:adjustRightInd/>
        <w:spacing w:before="372"/>
        <w:textAlignment w:val="baseline"/>
      </w:pPr>
      <w:bookmarkStart w:id="0" w:name="_GoBack"/>
      <w:bookmarkEnd w:id="0"/>
    </w:p>
    <w:p w14:paraId="2247F8D8" w14:textId="77777777" w:rsidR="00721B1C" w:rsidRPr="00EF0CB5" w:rsidRDefault="00721B1C" w:rsidP="00721B1C">
      <w:pPr>
        <w:kinsoku w:val="0"/>
        <w:overflowPunct w:val="0"/>
        <w:autoSpaceDE/>
        <w:autoSpaceDN/>
        <w:adjustRightInd/>
        <w:ind w:left="72" w:hanging="72"/>
        <w:textAlignment w:val="baseline"/>
        <w:rPr>
          <w:rFonts w:asciiTheme="minorHAnsi" w:hAnsiTheme="minorHAnsi" w:cs="Calibri"/>
          <w:b/>
          <w:color w:val="E36C0A" w:themeColor="accent6" w:themeShade="BF"/>
          <w:spacing w:val="-4"/>
          <w:sz w:val="24"/>
          <w:szCs w:val="24"/>
        </w:rPr>
      </w:pPr>
      <w:r w:rsidRPr="00EF0CB5">
        <w:rPr>
          <w:rFonts w:asciiTheme="minorHAnsi" w:hAnsiTheme="minorHAnsi" w:cs="Calibri"/>
          <w:b/>
          <w:color w:val="E36C0A" w:themeColor="accent6" w:themeShade="BF"/>
          <w:spacing w:val="-4"/>
          <w:sz w:val="24"/>
          <w:szCs w:val="24"/>
        </w:rPr>
        <w:t>COTA Australia</w:t>
      </w:r>
    </w:p>
    <w:p w14:paraId="42E055DC" w14:textId="77777777" w:rsidR="00721B1C" w:rsidRPr="00B21AB8" w:rsidRDefault="00721B1C" w:rsidP="00721B1C">
      <w:pPr>
        <w:kinsoku w:val="0"/>
        <w:overflowPunct w:val="0"/>
        <w:autoSpaceDE/>
        <w:autoSpaceDN/>
        <w:adjustRightInd/>
        <w:ind w:left="72" w:hanging="72"/>
        <w:textAlignment w:val="baseline"/>
        <w:rPr>
          <w:rFonts w:asciiTheme="minorHAnsi" w:hAnsiTheme="minorHAnsi" w:cs="Calibri"/>
          <w:spacing w:val="-4"/>
          <w:sz w:val="24"/>
          <w:szCs w:val="24"/>
        </w:rPr>
      </w:pPr>
      <w:r w:rsidRPr="00B21AB8">
        <w:rPr>
          <w:rFonts w:asciiTheme="minorHAnsi" w:hAnsiTheme="minorHAnsi" w:cs="Calibri"/>
          <w:spacing w:val="-4"/>
          <w:sz w:val="24"/>
          <w:szCs w:val="24"/>
        </w:rPr>
        <w:t xml:space="preserve">Suite 9, 16 National Circuit </w:t>
      </w:r>
    </w:p>
    <w:p w14:paraId="334A9ED5" w14:textId="77777777" w:rsidR="00721B1C" w:rsidRPr="00B21AB8" w:rsidRDefault="00721B1C" w:rsidP="00721B1C">
      <w:pPr>
        <w:kinsoku w:val="0"/>
        <w:overflowPunct w:val="0"/>
        <w:autoSpaceDE/>
        <w:autoSpaceDN/>
        <w:adjustRightInd/>
        <w:ind w:left="72" w:hanging="72"/>
        <w:textAlignment w:val="baseline"/>
        <w:rPr>
          <w:rFonts w:asciiTheme="minorHAnsi" w:hAnsiTheme="minorHAnsi" w:cs="Calibri"/>
          <w:spacing w:val="-4"/>
          <w:sz w:val="24"/>
          <w:szCs w:val="24"/>
        </w:rPr>
      </w:pPr>
      <w:r w:rsidRPr="00B21AB8">
        <w:rPr>
          <w:rFonts w:asciiTheme="minorHAnsi" w:hAnsiTheme="minorHAnsi" w:cs="Calibri"/>
          <w:spacing w:val="-4"/>
          <w:sz w:val="24"/>
          <w:szCs w:val="24"/>
        </w:rPr>
        <w:t>Barton ACT 2600</w:t>
      </w:r>
    </w:p>
    <w:p w14:paraId="50BC16E9" w14:textId="77777777" w:rsidR="00721B1C" w:rsidRPr="00B21AB8" w:rsidRDefault="00721B1C" w:rsidP="00721B1C">
      <w:pPr>
        <w:kinsoku w:val="0"/>
        <w:overflowPunct w:val="0"/>
        <w:autoSpaceDE/>
        <w:autoSpaceDN/>
        <w:adjustRightInd/>
        <w:ind w:left="72" w:hanging="72"/>
        <w:textAlignment w:val="baseline"/>
        <w:rPr>
          <w:rFonts w:asciiTheme="minorHAnsi" w:hAnsiTheme="minorHAnsi" w:cs="Calibri"/>
          <w:sz w:val="24"/>
          <w:szCs w:val="24"/>
        </w:rPr>
      </w:pPr>
      <w:r w:rsidRPr="00B21AB8">
        <w:rPr>
          <w:rFonts w:asciiTheme="minorHAnsi" w:hAnsiTheme="minorHAnsi" w:cs="Calibri"/>
          <w:spacing w:val="-4"/>
          <w:sz w:val="24"/>
          <w:szCs w:val="24"/>
        </w:rPr>
        <w:t>02 61549740</w:t>
      </w:r>
    </w:p>
    <w:p w14:paraId="5AC7D810" w14:textId="77777777" w:rsidR="00721B1C" w:rsidRPr="00B21AB8" w:rsidRDefault="00721B1C" w:rsidP="00721B1C">
      <w:pPr>
        <w:kinsoku w:val="0"/>
        <w:overflowPunct w:val="0"/>
        <w:autoSpaceDE/>
        <w:autoSpaceDN/>
        <w:adjustRightInd/>
        <w:spacing w:before="82"/>
        <w:ind w:left="72" w:hanging="72"/>
        <w:textAlignment w:val="baseline"/>
        <w:rPr>
          <w:rFonts w:asciiTheme="minorHAnsi" w:hAnsiTheme="minorHAnsi" w:cs="Calibri"/>
          <w:sz w:val="24"/>
          <w:szCs w:val="24"/>
        </w:rPr>
      </w:pPr>
      <w:r w:rsidRPr="00B21AB8">
        <w:rPr>
          <w:rFonts w:asciiTheme="minorHAnsi" w:hAnsiTheme="minorHAnsi"/>
          <w:noProof/>
          <w:sz w:val="24"/>
          <w:szCs w:val="24"/>
          <w:lang w:val="en-AU"/>
        </w:rPr>
        <mc:AlternateContent>
          <mc:Choice Requires="wps">
            <w:drawing>
              <wp:anchor distT="0" distB="0" distL="0" distR="0" simplePos="0" relativeHeight="251662336" behindDoc="0" locked="0" layoutInCell="0" allowOverlap="1" wp14:anchorId="3FB8BB79" wp14:editId="2CFCECBF">
                <wp:simplePos x="0" y="0"/>
                <wp:positionH relativeFrom="margin">
                  <wp:align>left</wp:align>
                </wp:positionH>
                <wp:positionV relativeFrom="page">
                  <wp:posOffset>9967623</wp:posOffset>
                </wp:positionV>
                <wp:extent cx="2313940" cy="14795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27EC3" w14:textId="77777777" w:rsidR="00441464" w:rsidRPr="00CA0F88" w:rsidRDefault="00441464" w:rsidP="00721B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FB8BB79" id="_x0000_t202" coordsize="21600,21600" o:spt="202" path="m,l,21600r21600,l21600,xe">
                <v:stroke joinstyle="miter"/>
                <v:path gradientshapeok="t" o:connecttype="rect"/>
              </v:shapetype>
              <v:shape id="Text Box 3" o:spid="_x0000_s1026" type="#_x0000_t202" style="position:absolute;left:0;text-align:left;margin-left:0;margin-top:784.85pt;width:182.2pt;height:11.65pt;z-index:25166233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DjAIAABwFAAAOAAAAZHJzL2Uyb0RvYy54bWysVNuO2yAQfa/Uf0C8Z31ZZze24qz20lSV&#10;thdptx9AMI5RMVAgsber/nsHiLOb9qWq6gc8wHA4M3OG5dXYC7RnxnIla5ydpRgxSVXD5bbGXx/X&#10;swVG1hHZEKEkq/ETs/hq9fbNctAVy1WnRMMMAhBpq0HXuHNOV0liacd6Ys+UZhI2W2V64mBqtklj&#10;yADovUjyNL1IBmUabRRl1sLqXdzEq4Dftoy6z21rmUOixsDNhdGEcePHZLUk1dYQ3XF6oEH+gUVP&#10;uIRLj1B3xBG0M/wPqJ5To6xq3RlVfaLallMWYoBosvS3aB46olmIBZJj9TFN9v/B0k/7LwbxpsY5&#10;RpL0UKJHNjp0o0Z07rMzaFuB04MGNzfCMlQ5RGr1vaLfLJLqtiNyy66NUUPHSAPsMn8yeXU04lgP&#10;shk+qgauITunAtDYmt6nDpKBAB2q9HSsjKdCYTE/z87LArYo7GXFZTmfhytINZ3Wxrr3TPXIGzU2&#10;UPmATvb31nk2pJpc/GVWCd6suRBhYrabW2HQnoBK1uGLZ4XuSFwNSgEMG10D3gmGkB5JKo8Zr4sr&#10;EAEQ8Hs+liCJ5zLLi/QmL2fri8XlrFgX81l5mS5maVbelBdpURZ365+eQVZUHW8aJu+5ZJM8s+Lv&#10;yn9olCisIFA01Lic5/MQ3An7Q1iHWFP/HfJ74tZzB90qeF/jxdGJVL7q72QDYZPKES6inZzSDymD&#10;HEz/kJWgES+LKBA3bkZA8cLZqOYJ1GIUFBPqDk8MGJ0yPzAaoF1rbL/viGEYiQ8SFOd7ezLMZGwm&#10;g0gKR2vsMIrmrYtvwE4bvu0AOWpaqmtQZcuDYF5YAGU/gRYM5A/Phe/x1/Pg9fKorX4BAAD//wMA&#10;UEsDBBQABgAIAAAAIQCDjqS33gAAAAoBAAAPAAAAZHJzL2Rvd25yZXYueG1sTI/BTsMwEETvSPyD&#10;tZW4UadNSZsQp4IiuFYEpF7deJtEiddR7Lbh79me4Lgzo9k3+Xayvbjg6FtHChbzCARS5UxLtYLv&#10;r/fHDQgfNBndO0IFP+hhW9zf5Toz7kqfeClDLbiEfKYVNCEMmZS+atBqP3cDEnsnN1od+BxraUZ9&#10;5XLby2UUJdLqlvhDowfcNVh15dkqiPfL9cF/lG+74YBpt/Gv3YkapR5m08sziIBT+AvDDZ/RoWCm&#10;ozuT8aJXwEMCq09JugbBfpysViCONymNI5BFLv9PKH4BAAD//wMAUEsBAi0AFAAGAAgAAAAhALaD&#10;OJL+AAAA4QEAABMAAAAAAAAAAAAAAAAAAAAAAFtDb250ZW50X1R5cGVzXS54bWxQSwECLQAUAAYA&#10;CAAAACEAOP0h/9YAAACUAQAACwAAAAAAAAAAAAAAAAAvAQAAX3JlbHMvLnJlbHNQSwECLQAUAAYA&#10;CAAAACEAvns2w4wCAAAcBQAADgAAAAAAAAAAAAAAAAAuAgAAZHJzL2Uyb0RvYy54bWxQSwECLQAU&#10;AAYACAAAACEAg46kt94AAAAKAQAADwAAAAAAAAAAAAAAAADmBAAAZHJzL2Rvd25yZXYueG1sUEsF&#10;BgAAAAAEAAQA8wAAAPEFAAAAAA==&#10;" o:allowincell="f" stroked="f">
                <v:fill opacity="0"/>
                <v:textbox inset="0,0,0,0">
                  <w:txbxContent>
                    <w:p w14:paraId="62527EC3" w14:textId="77777777" w:rsidR="00441464" w:rsidRPr="00CA0F88" w:rsidRDefault="00441464" w:rsidP="00721B1C"/>
                  </w:txbxContent>
                </v:textbox>
                <w10:wrap type="square" anchorx="margin" anchory="page"/>
              </v:shape>
            </w:pict>
          </mc:Fallback>
        </mc:AlternateContent>
      </w:r>
      <w:r w:rsidRPr="00B21AB8">
        <w:rPr>
          <w:rFonts w:asciiTheme="minorHAnsi" w:hAnsiTheme="minorHAnsi"/>
          <w:noProof/>
          <w:sz w:val="24"/>
          <w:szCs w:val="24"/>
          <w:lang w:val="en-AU"/>
        </w:rPr>
        <mc:AlternateContent>
          <mc:Choice Requires="wps">
            <w:drawing>
              <wp:anchor distT="0" distB="0" distL="0" distR="0" simplePos="0" relativeHeight="251663360" behindDoc="0" locked="0" layoutInCell="0" allowOverlap="1" wp14:anchorId="7E13226A" wp14:editId="3F1C4434">
                <wp:simplePos x="0" y="0"/>
                <wp:positionH relativeFrom="page">
                  <wp:posOffset>6664325</wp:posOffset>
                </wp:positionH>
                <wp:positionV relativeFrom="page">
                  <wp:posOffset>9713595</wp:posOffset>
                </wp:positionV>
                <wp:extent cx="186690" cy="145415"/>
                <wp:effectExtent l="6350" t="7620" r="6985" b="889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35180" w14:textId="77777777" w:rsidR="00441464" w:rsidRDefault="00441464" w:rsidP="00721B1C">
                            <w:pPr>
                              <w:kinsoku w:val="0"/>
                              <w:overflowPunct w:val="0"/>
                              <w:autoSpaceDE/>
                              <w:autoSpaceDN/>
                              <w:adjustRightInd/>
                              <w:spacing w:before="4" w:line="222"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E13226A" id="Text Box 4" o:spid="_x0000_s1027" type="#_x0000_t202" style="position:absolute;left:0;text-align:left;margin-left:524.75pt;margin-top:764.85pt;width:14.7pt;height:11.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mKjAIAACIFAAAOAAAAZHJzL2Uyb0RvYy54bWysVNuO2yAQfa/Uf0C8Z21HThpb66z20lSV&#10;thdptx9AAMeoGCiQ2Nuq/94B4uymfamq+gEPMBzOzJzh8mrsJTpw64RWDS4ucoy4opoJtWvwl8fN&#10;bIWR80QxIrXiDX7iDl+tX7+6HEzN57rTknGLAES5ejAN7rw3dZY52vGeuAttuILNVtueeJjaXcYs&#10;GQC9l9k8z5fZoC0zVlPuHKzepU28jvhty6n/1LaOeyQbDNx8HG0ct2HM1pek3lliOkGPNMg/sOiJ&#10;UHDpCeqOeIL2VvwB1QtqtdOtv6C6z3TbCspjDBBNkf8WzUNHDI+xQHKcOaXJ/T9Y+vHw2SLBGrzA&#10;SJEeSvTIR49u9IjKkJ3BuBqcHgy4+RGWocoxUmfuNf3qkNK3HVE7fm2tHjpOGLArwsnsxdGE4wLI&#10;dvigGVxD9l5HoLG1fUgdJAMBOlTp6VSZQIWGK1fLZQU7FLaKclEWi3gDqafDxjr/juseBaPBFgof&#10;wcnh3vlAhtSTS7jLaSnYRkgZJ3a3vZUWHQiIZBO/dFaajqTVKBTAcMk14p1hSBWQlA6Y6bq0AgEA&#10;gbAXQomK+FEV8zK/mVezzXL1ZlZuysWsepOvZnlR3VTLvKzKu83PwKAo604wxtW9UHxSZ1H+XfWP&#10;fZJ0FfWJhgZXi/kiBnfG/hjWMdY8fMf8nrn1wkOzStE3eHVyInUo+lvFIGxSeyJksrNz+jFlkIPp&#10;H7MSJRJUkfThx+0YtRj1E+Sz1ewJNGM11BTKDw8NGJ223zEaoGkb7L7tieUYyfcKdBc6fDLsZGwn&#10;gygKRxvsMUrmrU8vwd5YsesAOSlb6WvQZiuibp5ZAPMwgUaMMRwfjdDpL+fR6/lpW/8CAAD//wMA&#10;UEsDBBQABgAIAAAAIQDNXuH84QAAAA8BAAAPAAAAZHJzL2Rvd25yZXYueG1sTI/NTsMwEITvSLyD&#10;tUjcqEMgzQ9xKiiCKyIg9erG2zhKvI5it03fvs4Jbju7o9lvys1sBnbCyXWWBDyuImBIjVUdtQJ+&#10;fz4eMmDOS1JysIQCLuhgU93elLJQ9kzfeKp9y0IIuUIK0N6PBeeu0WikW9kRKdwOdjLSBzm1XE3y&#10;HMLNwOMoWnMjOwoftBxxq7Hp66MR8PQVpzv3Wb9vxx3mfebe+gNpIe7v5tcXYB5n/2eGBT+gQxWY&#10;9vZIyrEh6Og5T4I3TEmcp8AWT5RmObD9skviNfCq5P97VFcAAAD//wMAUEsBAi0AFAAGAAgAAAAh&#10;ALaDOJL+AAAA4QEAABMAAAAAAAAAAAAAAAAAAAAAAFtDb250ZW50X1R5cGVzXS54bWxQSwECLQAU&#10;AAYACAAAACEAOP0h/9YAAACUAQAACwAAAAAAAAAAAAAAAAAvAQAAX3JlbHMvLnJlbHNQSwECLQAU&#10;AAYACAAAACEA96D5iowCAAAiBQAADgAAAAAAAAAAAAAAAAAuAgAAZHJzL2Uyb0RvYy54bWxQSwEC&#10;LQAUAAYACAAAACEAzV7h/OEAAAAPAQAADwAAAAAAAAAAAAAAAADmBAAAZHJzL2Rvd25yZXYueG1s&#10;UEsFBgAAAAAEAAQA8wAAAPQFAAAAAA==&#10;" o:allowincell="f" stroked="f">
                <v:fill opacity="0"/>
                <v:textbox inset="0,0,0,0">
                  <w:txbxContent>
                    <w:p w14:paraId="54E35180" w14:textId="77777777" w:rsidR="00441464" w:rsidRDefault="00441464" w:rsidP="00721B1C">
                      <w:pPr>
                        <w:kinsoku w:val="0"/>
                        <w:overflowPunct w:val="0"/>
                        <w:autoSpaceDE/>
                        <w:autoSpaceDN/>
                        <w:adjustRightInd/>
                        <w:spacing w:before="4" w:line="222" w:lineRule="exact"/>
                        <w:textAlignment w:val="baseline"/>
                      </w:pPr>
                    </w:p>
                  </w:txbxContent>
                </v:textbox>
                <w10:wrap type="square" anchorx="page" anchory="page"/>
              </v:shape>
            </w:pict>
          </mc:Fallback>
        </mc:AlternateContent>
      </w:r>
      <w:hyperlink r:id="rId16" w:history="1">
        <w:r w:rsidRPr="00B21AB8">
          <w:rPr>
            <w:rStyle w:val="Hyperlink"/>
            <w:rFonts w:asciiTheme="minorHAnsi" w:hAnsiTheme="minorHAnsi" w:cs="Calibri"/>
            <w:spacing w:val="-7"/>
            <w:sz w:val="24"/>
            <w:szCs w:val="24"/>
          </w:rPr>
          <w:t>www.cota.org.au</w:t>
        </w:r>
      </w:hyperlink>
    </w:p>
    <w:p w14:paraId="321A06FD" w14:textId="7C85F78D" w:rsidR="00055BD8" w:rsidRPr="002C326E" w:rsidRDefault="00A24221" w:rsidP="002C326E">
      <w:pPr>
        <w:kinsoku w:val="0"/>
        <w:overflowPunct w:val="0"/>
        <w:autoSpaceDE/>
        <w:autoSpaceDN/>
        <w:adjustRightInd/>
        <w:spacing w:before="372" w:line="276" w:lineRule="auto"/>
        <w:textAlignment w:val="baseline"/>
        <w:rPr>
          <w:rFonts w:asciiTheme="minorHAnsi" w:hAnsiTheme="minorHAnsi" w:cs="Calibri"/>
          <w:color w:val="0000FF"/>
          <w:spacing w:val="-7"/>
          <w:sz w:val="24"/>
          <w:szCs w:val="24"/>
        </w:rPr>
      </w:pPr>
      <w:r>
        <w:rPr>
          <w:rFonts w:asciiTheme="minorHAnsi" w:hAnsiTheme="minorHAnsi"/>
          <w:noProof/>
          <w:sz w:val="24"/>
          <w:szCs w:val="24"/>
          <w:lang w:val="en-AU"/>
        </w:rPr>
        <mc:AlternateContent>
          <mc:Choice Requires="wps">
            <w:drawing>
              <wp:anchor distT="0" distB="0" distL="0" distR="0" simplePos="0" relativeHeight="251659264" behindDoc="0" locked="0" layoutInCell="0" allowOverlap="1" wp14:anchorId="183B9AA5" wp14:editId="41A86DBB">
                <wp:simplePos x="0" y="0"/>
                <wp:positionH relativeFrom="margin">
                  <wp:align>left</wp:align>
                </wp:positionH>
                <wp:positionV relativeFrom="page">
                  <wp:posOffset>9967623</wp:posOffset>
                </wp:positionV>
                <wp:extent cx="2313940" cy="14795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7EB86" w14:textId="77777777" w:rsidR="00441464" w:rsidRPr="00CA0F88" w:rsidRDefault="00441464" w:rsidP="00A242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83B9AA5" id="_x0000_s1028" type="#_x0000_t202" style="position:absolute;margin-left:0;margin-top:784.85pt;width:182.2pt;height:11.6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mzjwIAACMFAAAOAAAAZHJzL2Uyb0RvYy54bWysVF1v2yAUfZ+0/4B4T/1Rp42tOlWTLtOk&#10;7kNq9wMIxjEaBgYkdjftv+8CcdZsL9M0P+ALXA733HsuN7djL9CBGcuVrHF2kWLEJFUNl7saf37a&#10;zBYYWUdkQ4SSrMbPzOLb5etXN4OuWK46JRpmEIBIWw26xp1zukoSSzvWE3uhNJOw2SrTEwdTs0sa&#10;QwZA70WSp+lVMijTaKMosxZW7+MmXgb8tmXUfWxbyxwSNYbYXBhNGLd+TJY3pNoZojtOj2GQf4ii&#10;J1zCpSeoe+II2hv+B1TPqVFWte6Cqj5RbcspCxyATZb+xuaxI5oFLpAcq09psv8Pln44fDKINzUu&#10;MJKkhxI9sdGhlRrRpc/OoG0FTo8a3NwIy1DlwNTqB0W/WCTVuiNyx+6MUUPHSAPRZf5k8uJoxLEe&#10;ZDu8Vw1cQ/ZOBaCxNb1PHSQDATpU6flUGR8KhcX8MrssC9iisJcV1+V8Hq4g1XRaG+veMtUjb9TY&#10;QOUDOjk8WOejIdXk4i+zSvBmw4UIE7PbroVBBwIq2YQvnhW6I3E1KAUwbHQNeGcYQnokqTxmvC6u&#10;AAMIwO95LkES38ssL9JVXs42V4vrWbEp5rPyOl3M0qxclVdpURb3mx8+gqyoOt40TD5wySZ5ZsXf&#10;lf/YKFFYQaBoqHE5z+eB3Fn0R1pHrqn/jvk9c+u5g24VvK/x4uREKl/1N7IB2qRyhItoJ+fhh5RB&#10;DqZ/yErQiJdFFIgbt2MQYz5Jb6uaZxCNUVBTKD+8NGB0ynzDaICurbH9uieGYSTeSRCeb/HJMJOx&#10;nQwiKRytscMommsXn4K9NnzXAXKUtlR3IM6WB914FccoIHI/gU4MHI6vhm/1l/Pg9ettW/4EAAD/&#10;/wMAUEsDBBQABgAIAAAAIQCDjqS33gAAAAoBAAAPAAAAZHJzL2Rvd25yZXYueG1sTI/BTsMwEETv&#10;SPyDtZW4UadNSZsQp4IiuFYEpF7deJtEiddR7Lbh79me4Lgzo9k3+Xayvbjg6FtHChbzCARS5UxL&#10;tYLvr/fHDQgfNBndO0IFP+hhW9zf5Toz7kqfeClDLbiEfKYVNCEMmZS+atBqP3cDEnsnN1od+Bxr&#10;aUZ95XLby2UUJdLqlvhDowfcNVh15dkqiPfL9cF/lG+74YBpt/Gv3YkapR5m08sziIBT+AvDDZ/R&#10;oWCmozuT8aJXwEMCq09JugbBfpysViCONymNI5BFLv9PKH4BAAD//wMAUEsBAi0AFAAGAAgAAAAh&#10;ALaDOJL+AAAA4QEAABMAAAAAAAAAAAAAAAAAAAAAAFtDb250ZW50X1R5cGVzXS54bWxQSwECLQAU&#10;AAYACAAAACEAOP0h/9YAAACUAQAACwAAAAAAAAAAAAAAAAAvAQAAX3JlbHMvLnJlbHNQSwECLQAU&#10;AAYACAAAACEA0GYZs48CAAAjBQAADgAAAAAAAAAAAAAAAAAuAgAAZHJzL2Uyb0RvYy54bWxQSwEC&#10;LQAUAAYACAAAACEAg46kt94AAAAKAQAADwAAAAAAAAAAAAAAAADpBAAAZHJzL2Rvd25yZXYueG1s&#10;UEsFBgAAAAAEAAQA8wAAAPQFAAAAAA==&#10;" o:allowincell="f" stroked="f">
                <v:fill opacity="0"/>
                <v:textbox inset="0,0,0,0">
                  <w:txbxContent>
                    <w:p w14:paraId="7EE7EB86" w14:textId="77777777" w:rsidR="00441464" w:rsidRPr="00CA0F88" w:rsidRDefault="00441464" w:rsidP="00A24221"/>
                  </w:txbxContent>
                </v:textbox>
                <w10:wrap type="square" anchorx="margin" anchory="page"/>
              </v:shape>
            </w:pict>
          </mc:Fallback>
        </mc:AlternateContent>
      </w:r>
      <w:r>
        <w:rPr>
          <w:rFonts w:asciiTheme="minorHAnsi" w:hAnsiTheme="minorHAnsi"/>
          <w:noProof/>
          <w:sz w:val="24"/>
          <w:szCs w:val="24"/>
          <w:lang w:val="en-AU"/>
        </w:rPr>
        <mc:AlternateContent>
          <mc:Choice Requires="wps">
            <w:drawing>
              <wp:anchor distT="0" distB="0" distL="0" distR="0" simplePos="0" relativeHeight="251660288" behindDoc="0" locked="0" layoutInCell="0" allowOverlap="1" wp14:anchorId="758664D7" wp14:editId="3FD77801">
                <wp:simplePos x="0" y="0"/>
                <wp:positionH relativeFrom="page">
                  <wp:posOffset>6664325</wp:posOffset>
                </wp:positionH>
                <wp:positionV relativeFrom="page">
                  <wp:posOffset>9713595</wp:posOffset>
                </wp:positionV>
                <wp:extent cx="186690" cy="145415"/>
                <wp:effectExtent l="6350" t="7620" r="6985" b="889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38006" w14:textId="77777777" w:rsidR="00441464" w:rsidRDefault="00441464" w:rsidP="00A24221">
                            <w:pPr>
                              <w:kinsoku w:val="0"/>
                              <w:overflowPunct w:val="0"/>
                              <w:autoSpaceDE/>
                              <w:autoSpaceDN/>
                              <w:adjustRightInd/>
                              <w:spacing w:before="4" w:line="222"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58664D7" id="_x0000_s1029" type="#_x0000_t202" style="position:absolute;margin-left:524.75pt;margin-top:764.85pt;width:14.7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RvjAIAACIFAAAOAAAAZHJzL2Uyb0RvYy54bWysVNuO2yAQfa/Uf0C8Z22nTja24qz20lSV&#10;thdptx9AAMeoGCiQ2Nuq/94B29lN+1JV9QMeYDicmTnD+qpvJTpy64RWFc4uUoy4opoJta/wl8ft&#10;bIWR80QxIrXiFX7iDl9tXr9ad6bkc91oybhFAKJc2ZkKN96bMkkcbXhL3IU2XMFmrW1LPEztPmGW&#10;dIDeymSepsuk05YZqyl3Dlbvhk28ifh1zan/VNeOeyQrDNx8HG0cd2FMNmtS7i0xjaAjDfIPLFoi&#10;FFx6grojnqCDFX9AtYJa7XTtL6huE13XgvIYA0STpb9F89AQw2MskBxnTmly/w+Wfjx+tkiwCr/B&#10;SJEWSvTIe49udI/ykJ3OuBKcHgy4+R6WocoxUmfuNf3qkNK3DVF7fm2t7hpOGLDLwsnkxdEBxwWQ&#10;XfdBM7iGHLyOQH1t25A6SAYCdKjS06kygQoNV66WywJ2KGxl+SLPFvEGUk6HjXX+HdctCkaFLRQ+&#10;gpPjvfOBDCknl3CX01KwrZAyTux+dystOhIQyTZ+w1lpGjKsRqEAhhtcI94ZhlQBSemAOVw3rEAA&#10;QCDshVCiIn4U2TxPb+bFbLtcXc7ybb6YFZfpapZmxU2xTPMiv9v+DAyyvGwEY1zdC8UndWb531V/&#10;7JNBV1GfqKtwsZgvYnBn7MewxljT8I35PXNrhYdmlaKt8OrkRMpQ9LeKQdik9ETIwU7O6ceUQQ6m&#10;f8xKlEhQxaAP3+/6UYsAFuSz0+wJNGM11BTKDw8NGI223zHqoGkr7L4diOUYyfcKdBc6fDLsZOwm&#10;gygKRyvsMRrMWz+8BAdjxb4B5EHZSl+DNmsRdfPMApiHCTRijGF8NEKnv5xHr+enbfMLAAD//wMA&#10;UEsDBBQABgAIAAAAIQDNXuH84QAAAA8BAAAPAAAAZHJzL2Rvd25yZXYueG1sTI/NTsMwEITvSLyD&#10;tUjcqEMgzQ9xKiiCKyIg9erG2zhKvI5it03fvs4Jbju7o9lvys1sBnbCyXWWBDyuImBIjVUdtQJ+&#10;fz4eMmDOS1JysIQCLuhgU93elLJQ9kzfeKp9y0IIuUIK0N6PBeeu0WikW9kRKdwOdjLSBzm1XE3y&#10;HMLNwOMoWnMjOwoftBxxq7Hp66MR8PQVpzv3Wb9vxx3mfebe+gNpIe7v5tcXYB5n/2eGBT+gQxWY&#10;9vZIyrEh6Og5T4I3TEmcp8AWT5RmObD9skviNfCq5P97VFcAAAD//wMAUEsBAi0AFAAGAAgAAAAh&#10;ALaDOJL+AAAA4QEAABMAAAAAAAAAAAAAAAAAAAAAAFtDb250ZW50X1R5cGVzXS54bWxQSwECLQAU&#10;AAYACAAAACEAOP0h/9YAAACUAQAACwAAAAAAAAAAAAAAAAAvAQAAX3JlbHMvLnJlbHNQSwECLQAU&#10;AAYACAAAACEAijDEb4wCAAAiBQAADgAAAAAAAAAAAAAAAAAuAgAAZHJzL2Uyb0RvYy54bWxQSwEC&#10;LQAUAAYACAAAACEAzV7h/OEAAAAPAQAADwAAAAAAAAAAAAAAAADmBAAAZHJzL2Rvd25yZXYueG1s&#10;UEsFBgAAAAAEAAQA8wAAAPQFAAAAAA==&#10;" o:allowincell="f" stroked="f">
                <v:fill opacity="0"/>
                <v:textbox inset="0,0,0,0">
                  <w:txbxContent>
                    <w:p w14:paraId="22438006" w14:textId="77777777" w:rsidR="00441464" w:rsidRDefault="00441464" w:rsidP="00A24221">
                      <w:pPr>
                        <w:kinsoku w:val="0"/>
                        <w:overflowPunct w:val="0"/>
                        <w:autoSpaceDE/>
                        <w:autoSpaceDN/>
                        <w:adjustRightInd/>
                        <w:spacing w:before="4" w:line="222" w:lineRule="exact"/>
                        <w:textAlignment w:val="baseline"/>
                      </w:pPr>
                    </w:p>
                  </w:txbxContent>
                </v:textbox>
                <w10:wrap type="square" anchorx="page" anchory="page"/>
              </v:shape>
            </w:pict>
          </mc:Fallback>
        </mc:AlternateContent>
      </w:r>
      <w:r>
        <w:rPr>
          <w:rFonts w:asciiTheme="minorHAnsi" w:hAnsiTheme="minorHAnsi" w:cs="Calibri"/>
          <w:b/>
          <w:bCs/>
          <w:spacing w:val="-1"/>
          <w:sz w:val="28"/>
          <w:szCs w:val="28"/>
        </w:rPr>
        <w:br w:type="page"/>
      </w:r>
    </w:p>
    <w:p w14:paraId="049CC98C" w14:textId="1AA87E2E" w:rsidR="001D18E8" w:rsidRPr="00721B1C" w:rsidRDefault="00EE7319" w:rsidP="00837ED2">
      <w:pPr>
        <w:pStyle w:val="Heading1"/>
        <w:rPr>
          <w:rFonts w:asciiTheme="minorHAnsi" w:hAnsiTheme="minorHAnsi"/>
          <w:color w:val="E36C0A" w:themeColor="accent6" w:themeShade="BF"/>
        </w:rPr>
      </w:pPr>
      <w:bookmarkStart w:id="1" w:name="_Toc435711556"/>
      <w:r>
        <w:rPr>
          <w:rFonts w:asciiTheme="minorHAnsi" w:hAnsiTheme="minorHAnsi"/>
          <w:color w:val="E36C0A" w:themeColor="accent6" w:themeShade="BF"/>
        </w:rPr>
        <w:lastRenderedPageBreak/>
        <w:t>C</w:t>
      </w:r>
      <w:r w:rsidR="00E52902" w:rsidRPr="00721B1C">
        <w:rPr>
          <w:rFonts w:asciiTheme="minorHAnsi" w:hAnsiTheme="minorHAnsi"/>
          <w:color w:val="E36C0A" w:themeColor="accent6" w:themeShade="BF"/>
        </w:rPr>
        <w:t>OTA A</w:t>
      </w:r>
      <w:bookmarkEnd w:id="1"/>
      <w:r w:rsidR="00976D2C" w:rsidRPr="00721B1C">
        <w:rPr>
          <w:rFonts w:asciiTheme="minorHAnsi" w:hAnsiTheme="minorHAnsi"/>
          <w:color w:val="E36C0A" w:themeColor="accent6" w:themeShade="BF"/>
        </w:rPr>
        <w:t>ustralia</w:t>
      </w:r>
    </w:p>
    <w:p w14:paraId="56226D09" w14:textId="77777777" w:rsidR="00CC1F56" w:rsidRDefault="00CC1F56" w:rsidP="005339A6">
      <w:pPr>
        <w:kinsoku w:val="0"/>
        <w:overflowPunct w:val="0"/>
        <w:autoSpaceDE/>
        <w:autoSpaceDN/>
        <w:adjustRightInd/>
        <w:spacing w:line="276" w:lineRule="auto"/>
        <w:textAlignment w:val="baseline"/>
        <w:rPr>
          <w:rFonts w:asciiTheme="minorHAnsi" w:hAnsiTheme="minorHAnsi" w:cs="Calibri"/>
          <w:sz w:val="24"/>
          <w:szCs w:val="24"/>
        </w:rPr>
      </w:pPr>
    </w:p>
    <w:p w14:paraId="41973D21" w14:textId="77777777" w:rsidR="008C781F" w:rsidRPr="008C781F" w:rsidRDefault="008C781F" w:rsidP="008C781F">
      <w:pPr>
        <w:pStyle w:val="Default"/>
      </w:pPr>
      <w:r w:rsidRPr="008C781F">
        <w:t xml:space="preserve">COTA Australia is the national consumer peak body for older Australians. Its members are the State and Territory COTAs (Councils on the Ageing) in each of the eight States and Territories of Australia. The State and Territory COTAs have around 30,000 individual members and more than 1,000 seniors’ organisation members, which jointly represent over 500,000 older Australians. </w:t>
      </w:r>
    </w:p>
    <w:p w14:paraId="5545FF93" w14:textId="161417B9" w:rsidR="00721B1C" w:rsidRPr="008C781F" w:rsidRDefault="008C781F" w:rsidP="005E6F47">
      <w:pPr>
        <w:pStyle w:val="Heading1"/>
        <w:rPr>
          <w:rFonts w:asciiTheme="minorHAnsi" w:hAnsiTheme="minorHAnsi" w:cstheme="minorHAnsi"/>
          <w:color w:val="auto"/>
          <w:sz w:val="24"/>
          <w:szCs w:val="24"/>
        </w:rPr>
      </w:pPr>
      <w:r w:rsidRPr="008C781F">
        <w:rPr>
          <w:rFonts w:asciiTheme="minorHAnsi" w:hAnsiTheme="minorHAnsi" w:cstheme="minorHAnsi"/>
          <w:color w:val="auto"/>
          <w:sz w:val="24"/>
          <w:szCs w:val="24"/>
        </w:rPr>
        <w:t xml:space="preserve">COTA Australia’s focus is on national policy issues from the perspective of older people as citizens and consumers and we seek to promote, improve and protect the circumstances and wellbeing of older people in Australia. Information about, and the views of, our constituents and members are gathered through a wide variety of consultative and engagement mechanisms and processes. </w:t>
      </w:r>
      <w:bookmarkStart w:id="2" w:name="_Toc435711557"/>
    </w:p>
    <w:p w14:paraId="1F1AAAFF" w14:textId="742F4A65" w:rsidR="00E52902" w:rsidRPr="00721B1C" w:rsidRDefault="00E52902" w:rsidP="005E6F47">
      <w:pPr>
        <w:pStyle w:val="Heading1"/>
        <w:rPr>
          <w:rFonts w:asciiTheme="minorHAnsi" w:hAnsiTheme="minorHAnsi"/>
          <w:color w:val="E36C0A" w:themeColor="accent6" w:themeShade="BF"/>
        </w:rPr>
      </w:pPr>
      <w:r w:rsidRPr="00721B1C">
        <w:rPr>
          <w:rFonts w:asciiTheme="minorHAnsi" w:hAnsiTheme="minorHAnsi"/>
          <w:color w:val="E36C0A" w:themeColor="accent6" w:themeShade="BF"/>
        </w:rPr>
        <w:t>I</w:t>
      </w:r>
      <w:r w:rsidR="00C25A29" w:rsidRPr="00721B1C">
        <w:rPr>
          <w:rFonts w:asciiTheme="minorHAnsi" w:hAnsiTheme="minorHAnsi"/>
          <w:color w:val="E36C0A" w:themeColor="accent6" w:themeShade="BF"/>
        </w:rPr>
        <w:t xml:space="preserve">ntroduction </w:t>
      </w:r>
      <w:bookmarkEnd w:id="2"/>
    </w:p>
    <w:p w14:paraId="01BDDBD9" w14:textId="77777777" w:rsidR="00CC1F56" w:rsidRDefault="00CC1F56" w:rsidP="00EB27E8">
      <w:pPr>
        <w:kinsoku w:val="0"/>
        <w:overflowPunct w:val="0"/>
        <w:autoSpaceDE/>
        <w:autoSpaceDN/>
        <w:adjustRightInd/>
        <w:spacing w:line="276" w:lineRule="auto"/>
        <w:textAlignment w:val="baseline"/>
        <w:rPr>
          <w:rFonts w:asciiTheme="minorHAnsi" w:hAnsiTheme="minorHAnsi" w:cs="Calibri"/>
          <w:sz w:val="24"/>
          <w:szCs w:val="24"/>
        </w:rPr>
      </w:pPr>
    </w:p>
    <w:p w14:paraId="2131E636" w14:textId="704D8BD0" w:rsidR="00002A32" w:rsidRDefault="00E341BB"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 Australia welcomes the </w:t>
      </w:r>
      <w:r w:rsidR="00EB27E8">
        <w:rPr>
          <w:rFonts w:asciiTheme="minorHAnsi" w:hAnsiTheme="minorHAnsi" w:cs="Calibri"/>
          <w:sz w:val="24"/>
          <w:szCs w:val="24"/>
        </w:rPr>
        <w:t xml:space="preserve">opportunity to contribute to this Productivity Commission Inquiry, given the essential role of Human Services in the lives of older Australians.  </w:t>
      </w:r>
    </w:p>
    <w:p w14:paraId="4A707A16" w14:textId="77777777" w:rsidR="00EB27E8" w:rsidRDefault="00EB27E8" w:rsidP="00EB27E8">
      <w:pPr>
        <w:kinsoku w:val="0"/>
        <w:overflowPunct w:val="0"/>
        <w:autoSpaceDE/>
        <w:autoSpaceDN/>
        <w:adjustRightInd/>
        <w:spacing w:line="276" w:lineRule="auto"/>
        <w:textAlignment w:val="baseline"/>
        <w:rPr>
          <w:rFonts w:asciiTheme="minorHAnsi" w:hAnsiTheme="minorHAnsi" w:cs="Calibri"/>
          <w:sz w:val="24"/>
          <w:szCs w:val="24"/>
        </w:rPr>
      </w:pPr>
    </w:p>
    <w:p w14:paraId="4B81F5CF" w14:textId="4545E91E" w:rsidR="0075468D" w:rsidRDefault="00EB27E8"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 agrees with Treasurer Morrison’s </w:t>
      </w:r>
      <w:r w:rsidR="00A4205B">
        <w:rPr>
          <w:rFonts w:asciiTheme="minorHAnsi" w:hAnsiTheme="minorHAnsi" w:cs="Calibri"/>
          <w:sz w:val="24"/>
          <w:szCs w:val="24"/>
        </w:rPr>
        <w:t>media</w:t>
      </w:r>
      <w:r>
        <w:rPr>
          <w:rFonts w:asciiTheme="minorHAnsi" w:hAnsiTheme="minorHAnsi" w:cs="Calibri"/>
          <w:sz w:val="24"/>
          <w:szCs w:val="24"/>
        </w:rPr>
        <w:t xml:space="preserve"> statement</w:t>
      </w:r>
      <w:r>
        <w:rPr>
          <w:rStyle w:val="FootnoteReference"/>
          <w:rFonts w:asciiTheme="minorHAnsi" w:hAnsiTheme="minorHAnsi" w:cs="Calibri"/>
          <w:sz w:val="24"/>
          <w:szCs w:val="24"/>
        </w:rPr>
        <w:footnoteReference w:id="1"/>
      </w:r>
      <w:r>
        <w:rPr>
          <w:rFonts w:asciiTheme="minorHAnsi" w:hAnsiTheme="minorHAnsi" w:cs="Calibri"/>
          <w:sz w:val="24"/>
          <w:szCs w:val="24"/>
        </w:rPr>
        <w:t xml:space="preserve"> </w:t>
      </w:r>
      <w:r w:rsidR="002B092B">
        <w:rPr>
          <w:rFonts w:asciiTheme="minorHAnsi" w:hAnsiTheme="minorHAnsi" w:cs="Calibri"/>
          <w:sz w:val="24"/>
          <w:szCs w:val="24"/>
        </w:rPr>
        <w:t xml:space="preserve">at the outset of </w:t>
      </w:r>
      <w:r w:rsidR="0075468D">
        <w:rPr>
          <w:rFonts w:asciiTheme="minorHAnsi" w:hAnsiTheme="minorHAnsi" w:cs="Calibri"/>
          <w:sz w:val="24"/>
          <w:szCs w:val="24"/>
        </w:rPr>
        <w:t xml:space="preserve">the Inquiry </w:t>
      </w:r>
      <w:r>
        <w:rPr>
          <w:rFonts w:asciiTheme="minorHAnsi" w:hAnsiTheme="minorHAnsi" w:cs="Calibri"/>
          <w:sz w:val="24"/>
          <w:szCs w:val="24"/>
        </w:rPr>
        <w:t xml:space="preserve">that </w:t>
      </w:r>
      <w:r w:rsidR="002C2F7E">
        <w:rPr>
          <w:rFonts w:asciiTheme="minorHAnsi" w:hAnsiTheme="minorHAnsi" w:cs="Calibri"/>
          <w:sz w:val="24"/>
          <w:szCs w:val="24"/>
        </w:rPr>
        <w:t xml:space="preserve">governments and service providers must ensure that all Australians can access timely, affordable and high quality human services, appropriate to needs and delivered in a cost-effective manner.  </w:t>
      </w:r>
      <w:r w:rsidR="00A4205B">
        <w:rPr>
          <w:rFonts w:asciiTheme="minorHAnsi" w:hAnsiTheme="minorHAnsi" w:cs="Calibri"/>
          <w:sz w:val="24"/>
          <w:szCs w:val="24"/>
        </w:rPr>
        <w:t xml:space="preserve">We </w:t>
      </w:r>
      <w:r w:rsidR="00987C91">
        <w:rPr>
          <w:rFonts w:asciiTheme="minorHAnsi" w:hAnsiTheme="minorHAnsi" w:cs="Calibri"/>
          <w:sz w:val="24"/>
          <w:szCs w:val="24"/>
        </w:rPr>
        <w:t>support this as the fundamental starting point for the Inquiry</w:t>
      </w:r>
      <w:r w:rsidR="0068121C">
        <w:rPr>
          <w:rFonts w:asciiTheme="minorHAnsi" w:hAnsiTheme="minorHAnsi" w:cs="Calibri"/>
          <w:sz w:val="24"/>
          <w:szCs w:val="24"/>
        </w:rPr>
        <w:t>.</w:t>
      </w:r>
      <w:r w:rsidR="00A4205B">
        <w:rPr>
          <w:rFonts w:asciiTheme="minorHAnsi" w:hAnsiTheme="minorHAnsi" w:cs="Calibri"/>
          <w:sz w:val="24"/>
          <w:szCs w:val="24"/>
        </w:rPr>
        <w:t xml:space="preserve">  </w:t>
      </w:r>
      <w:r w:rsidR="005F2BEA">
        <w:rPr>
          <w:rFonts w:asciiTheme="minorHAnsi" w:hAnsiTheme="minorHAnsi" w:cs="Calibri"/>
          <w:sz w:val="24"/>
          <w:szCs w:val="24"/>
        </w:rPr>
        <w:t xml:space="preserve">However, we also note that the </w:t>
      </w:r>
      <w:r w:rsidR="002C2F7E">
        <w:rPr>
          <w:rFonts w:asciiTheme="minorHAnsi" w:hAnsiTheme="minorHAnsi" w:cs="Calibri"/>
          <w:sz w:val="24"/>
          <w:szCs w:val="24"/>
        </w:rPr>
        <w:t xml:space="preserve">Treasurer and the Productivity Commission </w:t>
      </w:r>
      <w:r w:rsidR="00441464">
        <w:rPr>
          <w:rFonts w:asciiTheme="minorHAnsi" w:hAnsiTheme="minorHAnsi" w:cs="Calibri"/>
          <w:sz w:val="24"/>
          <w:szCs w:val="24"/>
        </w:rPr>
        <w:t>went</w:t>
      </w:r>
      <w:r w:rsidR="001037B2">
        <w:rPr>
          <w:rFonts w:asciiTheme="minorHAnsi" w:hAnsiTheme="minorHAnsi" w:cs="Calibri"/>
          <w:sz w:val="24"/>
          <w:szCs w:val="24"/>
        </w:rPr>
        <w:t xml:space="preserve"> further and </w:t>
      </w:r>
      <w:r w:rsidR="00554791">
        <w:rPr>
          <w:rFonts w:asciiTheme="minorHAnsi" w:hAnsiTheme="minorHAnsi" w:cs="Calibri"/>
          <w:sz w:val="24"/>
          <w:szCs w:val="24"/>
        </w:rPr>
        <w:t>adopted</w:t>
      </w:r>
      <w:r w:rsidR="00D362B2">
        <w:rPr>
          <w:rFonts w:asciiTheme="minorHAnsi" w:hAnsiTheme="minorHAnsi" w:cs="Calibri"/>
          <w:sz w:val="24"/>
          <w:szCs w:val="24"/>
        </w:rPr>
        <w:t xml:space="preserve"> a priori</w:t>
      </w:r>
      <w:r w:rsidR="0005393C">
        <w:rPr>
          <w:rFonts w:asciiTheme="minorHAnsi" w:hAnsiTheme="minorHAnsi" w:cs="Calibri"/>
          <w:sz w:val="24"/>
          <w:szCs w:val="24"/>
        </w:rPr>
        <w:t xml:space="preserve"> </w:t>
      </w:r>
      <w:r w:rsidR="002C2F7E">
        <w:rPr>
          <w:rFonts w:asciiTheme="minorHAnsi" w:hAnsiTheme="minorHAnsi" w:cs="Calibri"/>
          <w:sz w:val="24"/>
          <w:szCs w:val="24"/>
        </w:rPr>
        <w:t xml:space="preserve">the </w:t>
      </w:r>
      <w:r w:rsidR="008A5243">
        <w:rPr>
          <w:rFonts w:asciiTheme="minorHAnsi" w:hAnsiTheme="minorHAnsi" w:cs="Calibri"/>
          <w:sz w:val="24"/>
          <w:szCs w:val="24"/>
        </w:rPr>
        <w:t>view</w:t>
      </w:r>
      <w:r w:rsidR="0075468D">
        <w:rPr>
          <w:rFonts w:asciiTheme="minorHAnsi" w:hAnsiTheme="minorHAnsi" w:cs="Calibri"/>
          <w:sz w:val="24"/>
          <w:szCs w:val="24"/>
        </w:rPr>
        <w:t xml:space="preserve"> </w:t>
      </w:r>
      <w:r w:rsidR="00381A7C">
        <w:rPr>
          <w:rFonts w:asciiTheme="minorHAnsi" w:hAnsiTheme="minorHAnsi" w:cs="Calibri"/>
          <w:sz w:val="24"/>
          <w:szCs w:val="24"/>
        </w:rPr>
        <w:t>of</w:t>
      </w:r>
      <w:r w:rsidR="002C2F7E">
        <w:rPr>
          <w:rFonts w:asciiTheme="minorHAnsi" w:hAnsiTheme="minorHAnsi" w:cs="Calibri"/>
          <w:sz w:val="24"/>
          <w:szCs w:val="24"/>
        </w:rPr>
        <w:t xml:space="preserve"> the 2015 Harper Competition Policy Review that to achieve this goal there should be much greater </w:t>
      </w:r>
      <w:r w:rsidR="00CB7A6D">
        <w:rPr>
          <w:rFonts w:asciiTheme="minorHAnsi" w:hAnsiTheme="minorHAnsi" w:cs="Calibri"/>
          <w:sz w:val="24"/>
          <w:szCs w:val="24"/>
        </w:rPr>
        <w:t>‘</w:t>
      </w:r>
      <w:r w:rsidR="002C2F7E">
        <w:rPr>
          <w:rFonts w:asciiTheme="minorHAnsi" w:hAnsiTheme="minorHAnsi" w:cs="Calibri"/>
          <w:sz w:val="24"/>
          <w:szCs w:val="24"/>
        </w:rPr>
        <w:t>choice and competition</w:t>
      </w:r>
      <w:r w:rsidR="00CB7A6D">
        <w:rPr>
          <w:rFonts w:asciiTheme="minorHAnsi" w:hAnsiTheme="minorHAnsi" w:cs="Calibri"/>
          <w:sz w:val="24"/>
          <w:szCs w:val="24"/>
        </w:rPr>
        <w:t>’</w:t>
      </w:r>
      <w:r w:rsidR="002C2F7E">
        <w:rPr>
          <w:rFonts w:asciiTheme="minorHAnsi" w:hAnsiTheme="minorHAnsi" w:cs="Calibri"/>
          <w:sz w:val="24"/>
          <w:szCs w:val="24"/>
        </w:rPr>
        <w:t xml:space="preserve"> in the Human Services sector.  </w:t>
      </w:r>
    </w:p>
    <w:p w14:paraId="01E05E5F" w14:textId="77777777" w:rsidR="0075468D" w:rsidRDefault="0075468D" w:rsidP="00EB27E8">
      <w:pPr>
        <w:kinsoku w:val="0"/>
        <w:overflowPunct w:val="0"/>
        <w:autoSpaceDE/>
        <w:autoSpaceDN/>
        <w:adjustRightInd/>
        <w:spacing w:line="276" w:lineRule="auto"/>
        <w:textAlignment w:val="baseline"/>
        <w:rPr>
          <w:rFonts w:asciiTheme="minorHAnsi" w:hAnsiTheme="minorHAnsi" w:cs="Calibri"/>
          <w:sz w:val="24"/>
          <w:szCs w:val="24"/>
        </w:rPr>
      </w:pPr>
    </w:p>
    <w:p w14:paraId="381696F9" w14:textId="5454B0B5" w:rsidR="002A7BCA" w:rsidRDefault="0075468D"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COTA</w:t>
      </w:r>
      <w:r w:rsidR="002A7BCA">
        <w:rPr>
          <w:rFonts w:asciiTheme="minorHAnsi" w:hAnsiTheme="minorHAnsi" w:cs="Calibri"/>
          <w:sz w:val="24"/>
          <w:szCs w:val="24"/>
        </w:rPr>
        <w:t>’s focus is on achieving the be</w:t>
      </w:r>
      <w:r w:rsidR="00D362B2">
        <w:rPr>
          <w:rFonts w:asciiTheme="minorHAnsi" w:hAnsiTheme="minorHAnsi" w:cs="Calibri"/>
          <w:sz w:val="24"/>
          <w:szCs w:val="24"/>
        </w:rPr>
        <w:t xml:space="preserve">st outcomes for older consumers, on a fair, equitable and sustainable basis, </w:t>
      </w:r>
      <w:r w:rsidR="002A7BCA">
        <w:rPr>
          <w:rFonts w:asciiTheme="minorHAnsi" w:hAnsiTheme="minorHAnsi" w:cs="Calibri"/>
          <w:sz w:val="24"/>
          <w:szCs w:val="24"/>
        </w:rPr>
        <w:t xml:space="preserve">and as such we </w:t>
      </w:r>
      <w:r w:rsidR="00E40913">
        <w:rPr>
          <w:rFonts w:asciiTheme="minorHAnsi" w:hAnsiTheme="minorHAnsi" w:cs="Calibri"/>
          <w:sz w:val="24"/>
          <w:szCs w:val="24"/>
        </w:rPr>
        <w:t>are</w:t>
      </w:r>
      <w:r>
        <w:rPr>
          <w:rFonts w:asciiTheme="minorHAnsi" w:hAnsiTheme="minorHAnsi" w:cs="Calibri"/>
          <w:sz w:val="24"/>
          <w:szCs w:val="24"/>
        </w:rPr>
        <w:t xml:space="preserve"> a leading proponen</w:t>
      </w:r>
      <w:r w:rsidR="002262DA">
        <w:rPr>
          <w:rFonts w:asciiTheme="minorHAnsi" w:hAnsiTheme="minorHAnsi" w:cs="Calibri"/>
          <w:sz w:val="24"/>
          <w:szCs w:val="24"/>
        </w:rPr>
        <w:t>t of the current reforms in Aged C</w:t>
      </w:r>
      <w:r w:rsidR="00381A7C">
        <w:rPr>
          <w:rFonts w:asciiTheme="minorHAnsi" w:hAnsiTheme="minorHAnsi" w:cs="Calibri"/>
          <w:sz w:val="24"/>
          <w:szCs w:val="24"/>
        </w:rPr>
        <w:t xml:space="preserve">are </w:t>
      </w:r>
      <w:r>
        <w:rPr>
          <w:rFonts w:asciiTheme="minorHAnsi" w:hAnsiTheme="minorHAnsi" w:cs="Calibri"/>
          <w:sz w:val="24"/>
          <w:szCs w:val="24"/>
        </w:rPr>
        <w:t xml:space="preserve">that </w:t>
      </w:r>
      <w:r w:rsidR="002262DA">
        <w:rPr>
          <w:rFonts w:asciiTheme="minorHAnsi" w:hAnsiTheme="minorHAnsi" w:cs="Calibri"/>
          <w:sz w:val="24"/>
          <w:szCs w:val="24"/>
        </w:rPr>
        <w:t>place</w:t>
      </w:r>
      <w:r w:rsidR="00E40913">
        <w:rPr>
          <w:rFonts w:asciiTheme="minorHAnsi" w:hAnsiTheme="minorHAnsi" w:cs="Calibri"/>
          <w:sz w:val="24"/>
          <w:szCs w:val="24"/>
        </w:rPr>
        <w:t xml:space="preserve"> </w:t>
      </w:r>
      <w:r>
        <w:rPr>
          <w:rFonts w:asciiTheme="minorHAnsi" w:hAnsiTheme="minorHAnsi" w:cs="Calibri"/>
          <w:sz w:val="24"/>
          <w:szCs w:val="24"/>
        </w:rPr>
        <w:t xml:space="preserve">informed consumer choice and control at </w:t>
      </w:r>
      <w:r w:rsidR="00E40913">
        <w:rPr>
          <w:rFonts w:asciiTheme="minorHAnsi" w:hAnsiTheme="minorHAnsi" w:cs="Calibri"/>
          <w:sz w:val="24"/>
          <w:szCs w:val="24"/>
        </w:rPr>
        <w:t>their</w:t>
      </w:r>
      <w:r>
        <w:rPr>
          <w:rFonts w:asciiTheme="minorHAnsi" w:hAnsiTheme="minorHAnsi" w:cs="Calibri"/>
          <w:sz w:val="24"/>
          <w:szCs w:val="24"/>
        </w:rPr>
        <w:t xml:space="preserve"> </w:t>
      </w:r>
      <w:r w:rsidR="00BB1AF9">
        <w:rPr>
          <w:rFonts w:asciiTheme="minorHAnsi" w:hAnsiTheme="minorHAnsi" w:cs="Calibri"/>
          <w:sz w:val="24"/>
          <w:szCs w:val="24"/>
        </w:rPr>
        <w:t>core</w:t>
      </w:r>
      <w:r w:rsidR="008C6430">
        <w:rPr>
          <w:rFonts w:asciiTheme="minorHAnsi" w:hAnsiTheme="minorHAnsi" w:cs="Calibri"/>
          <w:sz w:val="24"/>
          <w:szCs w:val="24"/>
        </w:rPr>
        <w:t xml:space="preserve">. </w:t>
      </w:r>
      <w:r w:rsidR="002A7BCA">
        <w:rPr>
          <w:rFonts w:asciiTheme="minorHAnsi" w:hAnsiTheme="minorHAnsi" w:cs="Calibri"/>
          <w:sz w:val="24"/>
          <w:szCs w:val="24"/>
        </w:rPr>
        <w:t>We</w:t>
      </w:r>
      <w:r w:rsidR="00D362B2">
        <w:rPr>
          <w:rFonts w:asciiTheme="minorHAnsi" w:hAnsiTheme="minorHAnsi" w:cs="Calibri"/>
          <w:sz w:val="24"/>
          <w:szCs w:val="24"/>
        </w:rPr>
        <w:t xml:space="preserve"> have long argued </w:t>
      </w:r>
      <w:r>
        <w:rPr>
          <w:rFonts w:asciiTheme="minorHAnsi" w:hAnsiTheme="minorHAnsi" w:cs="Calibri"/>
          <w:sz w:val="24"/>
          <w:szCs w:val="24"/>
        </w:rPr>
        <w:t xml:space="preserve">that to achieve this outcome greater </w:t>
      </w:r>
      <w:r w:rsidR="009633FB">
        <w:rPr>
          <w:rFonts w:asciiTheme="minorHAnsi" w:hAnsiTheme="minorHAnsi" w:cs="Calibri"/>
          <w:sz w:val="24"/>
          <w:szCs w:val="24"/>
        </w:rPr>
        <w:t xml:space="preserve">variety and </w:t>
      </w:r>
      <w:r>
        <w:rPr>
          <w:rFonts w:asciiTheme="minorHAnsi" w:hAnsiTheme="minorHAnsi" w:cs="Calibri"/>
          <w:sz w:val="24"/>
          <w:szCs w:val="24"/>
        </w:rPr>
        <w:t>contestability in service delivery is necessary</w:t>
      </w:r>
      <w:r w:rsidR="00381A7C">
        <w:rPr>
          <w:rFonts w:asciiTheme="minorHAnsi" w:hAnsiTheme="minorHAnsi" w:cs="Calibri"/>
          <w:sz w:val="24"/>
          <w:szCs w:val="24"/>
        </w:rPr>
        <w:t xml:space="preserve"> in that </w:t>
      </w:r>
      <w:r w:rsidR="00375D8C">
        <w:rPr>
          <w:rFonts w:asciiTheme="minorHAnsi" w:hAnsiTheme="minorHAnsi" w:cs="Calibri"/>
          <w:sz w:val="24"/>
          <w:szCs w:val="24"/>
        </w:rPr>
        <w:t xml:space="preserve">particular </w:t>
      </w:r>
      <w:r w:rsidR="00381A7C">
        <w:rPr>
          <w:rFonts w:asciiTheme="minorHAnsi" w:hAnsiTheme="minorHAnsi" w:cs="Calibri"/>
          <w:sz w:val="24"/>
          <w:szCs w:val="24"/>
        </w:rPr>
        <w:t>sector</w:t>
      </w:r>
      <w:r w:rsidR="00284045">
        <w:rPr>
          <w:rFonts w:asciiTheme="minorHAnsi" w:hAnsiTheme="minorHAnsi" w:cs="Calibri"/>
          <w:sz w:val="24"/>
          <w:szCs w:val="24"/>
        </w:rPr>
        <w:t xml:space="preserve"> </w:t>
      </w:r>
      <w:r w:rsidR="007D236E">
        <w:rPr>
          <w:rFonts w:asciiTheme="minorHAnsi" w:hAnsiTheme="minorHAnsi" w:cs="Calibri"/>
          <w:sz w:val="24"/>
          <w:szCs w:val="24"/>
        </w:rPr>
        <w:t>to enable</w:t>
      </w:r>
      <w:r w:rsidR="009633FB">
        <w:rPr>
          <w:rFonts w:asciiTheme="minorHAnsi" w:hAnsiTheme="minorHAnsi" w:cs="Calibri"/>
          <w:sz w:val="24"/>
          <w:szCs w:val="24"/>
        </w:rPr>
        <w:t xml:space="preserve"> </w:t>
      </w:r>
      <w:r w:rsidR="00243FFD">
        <w:rPr>
          <w:rFonts w:asciiTheme="minorHAnsi" w:hAnsiTheme="minorHAnsi" w:cs="Calibri"/>
          <w:sz w:val="24"/>
          <w:szCs w:val="24"/>
        </w:rPr>
        <w:t xml:space="preserve">improved </w:t>
      </w:r>
      <w:r w:rsidR="009633FB">
        <w:rPr>
          <w:rFonts w:asciiTheme="minorHAnsi" w:hAnsiTheme="minorHAnsi" w:cs="Calibri"/>
          <w:sz w:val="24"/>
          <w:szCs w:val="24"/>
        </w:rPr>
        <w:t>capacity for the consumer to exercise real choice</w:t>
      </w:r>
      <w:r>
        <w:rPr>
          <w:rFonts w:asciiTheme="minorHAnsi" w:hAnsiTheme="minorHAnsi" w:cs="Calibri"/>
          <w:sz w:val="24"/>
          <w:szCs w:val="24"/>
        </w:rPr>
        <w:t xml:space="preserve">.  </w:t>
      </w:r>
    </w:p>
    <w:p w14:paraId="082D6ACD" w14:textId="6E3815F2" w:rsidR="002A7BCA" w:rsidRDefault="002A7BCA" w:rsidP="00EB27E8">
      <w:pPr>
        <w:kinsoku w:val="0"/>
        <w:overflowPunct w:val="0"/>
        <w:autoSpaceDE/>
        <w:autoSpaceDN/>
        <w:adjustRightInd/>
        <w:spacing w:line="276" w:lineRule="auto"/>
        <w:textAlignment w:val="baseline"/>
        <w:rPr>
          <w:rFonts w:asciiTheme="minorHAnsi" w:hAnsiTheme="minorHAnsi" w:cs="Calibri"/>
          <w:sz w:val="24"/>
          <w:szCs w:val="24"/>
        </w:rPr>
      </w:pPr>
    </w:p>
    <w:p w14:paraId="6B2F882D" w14:textId="3CBB5D32" w:rsidR="00BB1AF9" w:rsidRDefault="0072067F"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We</w:t>
      </w:r>
      <w:r w:rsidR="00381A7C">
        <w:rPr>
          <w:rFonts w:asciiTheme="minorHAnsi" w:hAnsiTheme="minorHAnsi" w:cs="Calibri"/>
          <w:sz w:val="24"/>
          <w:szCs w:val="24"/>
        </w:rPr>
        <w:t xml:space="preserve"> recognise</w:t>
      </w:r>
      <w:r>
        <w:rPr>
          <w:rFonts w:asciiTheme="minorHAnsi" w:hAnsiTheme="minorHAnsi" w:cs="Calibri"/>
          <w:sz w:val="24"/>
          <w:szCs w:val="24"/>
        </w:rPr>
        <w:t>,</w:t>
      </w:r>
      <w:r w:rsidR="00381A7C">
        <w:rPr>
          <w:rFonts w:asciiTheme="minorHAnsi" w:hAnsiTheme="minorHAnsi" w:cs="Calibri"/>
          <w:sz w:val="24"/>
          <w:szCs w:val="24"/>
        </w:rPr>
        <w:t xml:space="preserve"> however</w:t>
      </w:r>
      <w:r>
        <w:rPr>
          <w:rFonts w:asciiTheme="minorHAnsi" w:hAnsiTheme="minorHAnsi" w:cs="Calibri"/>
          <w:sz w:val="24"/>
          <w:szCs w:val="24"/>
        </w:rPr>
        <w:t>,</w:t>
      </w:r>
      <w:r w:rsidR="00381A7C">
        <w:rPr>
          <w:rFonts w:asciiTheme="minorHAnsi" w:hAnsiTheme="minorHAnsi" w:cs="Calibri"/>
          <w:sz w:val="24"/>
          <w:szCs w:val="24"/>
        </w:rPr>
        <w:t xml:space="preserve"> that greater consumer choice and control </w:t>
      </w:r>
      <w:r w:rsidR="009633FB">
        <w:rPr>
          <w:rFonts w:asciiTheme="minorHAnsi" w:hAnsiTheme="minorHAnsi" w:cs="Calibri"/>
          <w:sz w:val="24"/>
          <w:szCs w:val="24"/>
        </w:rPr>
        <w:t>may</w:t>
      </w:r>
      <w:r w:rsidR="00381A7C">
        <w:rPr>
          <w:rFonts w:asciiTheme="minorHAnsi" w:hAnsiTheme="minorHAnsi" w:cs="Calibri"/>
          <w:sz w:val="24"/>
          <w:szCs w:val="24"/>
        </w:rPr>
        <w:t xml:space="preserve"> in </w:t>
      </w:r>
      <w:r w:rsidR="00E40913">
        <w:rPr>
          <w:rFonts w:asciiTheme="minorHAnsi" w:hAnsiTheme="minorHAnsi" w:cs="Calibri"/>
          <w:sz w:val="24"/>
          <w:szCs w:val="24"/>
        </w:rPr>
        <w:t>some</w:t>
      </w:r>
      <w:r w:rsidR="00381A7C">
        <w:rPr>
          <w:rFonts w:asciiTheme="minorHAnsi" w:hAnsiTheme="minorHAnsi" w:cs="Calibri"/>
          <w:sz w:val="24"/>
          <w:szCs w:val="24"/>
        </w:rPr>
        <w:t xml:space="preserve"> instances be </w:t>
      </w:r>
      <w:r w:rsidR="009633FB">
        <w:rPr>
          <w:rFonts w:asciiTheme="minorHAnsi" w:hAnsiTheme="minorHAnsi" w:cs="Calibri"/>
          <w:sz w:val="24"/>
          <w:szCs w:val="24"/>
        </w:rPr>
        <w:t>achievable</w:t>
      </w:r>
      <w:r w:rsidR="00381A7C">
        <w:rPr>
          <w:rFonts w:asciiTheme="minorHAnsi" w:hAnsiTheme="minorHAnsi" w:cs="Calibri"/>
          <w:sz w:val="24"/>
          <w:szCs w:val="24"/>
        </w:rPr>
        <w:t xml:space="preserve"> without resorting to the </w:t>
      </w:r>
      <w:r w:rsidR="00BB1AF9">
        <w:rPr>
          <w:rFonts w:asciiTheme="minorHAnsi" w:hAnsiTheme="minorHAnsi" w:cs="Calibri"/>
          <w:sz w:val="24"/>
          <w:szCs w:val="24"/>
        </w:rPr>
        <w:t>cre</w:t>
      </w:r>
      <w:r>
        <w:rPr>
          <w:rFonts w:asciiTheme="minorHAnsi" w:hAnsiTheme="minorHAnsi" w:cs="Calibri"/>
          <w:sz w:val="24"/>
          <w:szCs w:val="24"/>
        </w:rPr>
        <w:t xml:space="preserve">ation of </w:t>
      </w:r>
      <w:r w:rsidR="00554791">
        <w:rPr>
          <w:rFonts w:asciiTheme="minorHAnsi" w:hAnsiTheme="minorHAnsi" w:cs="Calibri"/>
          <w:sz w:val="24"/>
          <w:szCs w:val="24"/>
        </w:rPr>
        <w:t>new</w:t>
      </w:r>
      <w:r>
        <w:rPr>
          <w:rFonts w:asciiTheme="minorHAnsi" w:hAnsiTheme="minorHAnsi" w:cs="Calibri"/>
          <w:sz w:val="24"/>
          <w:szCs w:val="24"/>
        </w:rPr>
        <w:t xml:space="preserve"> delivery markets.  </w:t>
      </w:r>
      <w:r w:rsidR="0075468D">
        <w:rPr>
          <w:rFonts w:asciiTheme="minorHAnsi" w:hAnsiTheme="minorHAnsi" w:cs="Calibri"/>
          <w:sz w:val="24"/>
          <w:szCs w:val="24"/>
        </w:rPr>
        <w:t xml:space="preserve">COTA </w:t>
      </w:r>
      <w:r w:rsidR="00BB1AF9">
        <w:rPr>
          <w:rFonts w:asciiTheme="minorHAnsi" w:hAnsiTheme="minorHAnsi" w:cs="Calibri"/>
          <w:sz w:val="24"/>
          <w:szCs w:val="24"/>
        </w:rPr>
        <w:t xml:space="preserve">also </w:t>
      </w:r>
      <w:r w:rsidR="0075468D">
        <w:rPr>
          <w:rFonts w:asciiTheme="minorHAnsi" w:hAnsiTheme="minorHAnsi" w:cs="Calibri"/>
          <w:sz w:val="24"/>
          <w:szCs w:val="24"/>
        </w:rPr>
        <w:t>shares many of the concerns expressed by a range of stakeholders regarding the ris</w:t>
      </w:r>
      <w:r w:rsidR="002262DA">
        <w:rPr>
          <w:rFonts w:asciiTheme="minorHAnsi" w:hAnsiTheme="minorHAnsi" w:cs="Calibri"/>
          <w:sz w:val="24"/>
          <w:szCs w:val="24"/>
        </w:rPr>
        <w:t>ks of increased competition in Human S</w:t>
      </w:r>
      <w:r w:rsidR="0075468D">
        <w:rPr>
          <w:rFonts w:asciiTheme="minorHAnsi" w:hAnsiTheme="minorHAnsi" w:cs="Calibri"/>
          <w:sz w:val="24"/>
          <w:szCs w:val="24"/>
        </w:rPr>
        <w:t>ervice</w:t>
      </w:r>
      <w:r w:rsidR="002262DA">
        <w:rPr>
          <w:rFonts w:asciiTheme="minorHAnsi" w:hAnsiTheme="minorHAnsi" w:cs="Calibri"/>
          <w:sz w:val="24"/>
          <w:szCs w:val="24"/>
        </w:rPr>
        <w:t>s</w:t>
      </w:r>
      <w:r w:rsidR="0075468D">
        <w:rPr>
          <w:rFonts w:asciiTheme="minorHAnsi" w:hAnsiTheme="minorHAnsi" w:cs="Calibri"/>
          <w:sz w:val="24"/>
          <w:szCs w:val="24"/>
        </w:rPr>
        <w:t xml:space="preserve"> delivery, </w:t>
      </w:r>
      <w:r w:rsidR="00A60EC2">
        <w:rPr>
          <w:rFonts w:asciiTheme="minorHAnsi" w:hAnsiTheme="minorHAnsi" w:cs="Calibri"/>
          <w:sz w:val="24"/>
          <w:szCs w:val="24"/>
        </w:rPr>
        <w:t xml:space="preserve">particularly when </w:t>
      </w:r>
      <w:r w:rsidR="00A015D7">
        <w:rPr>
          <w:rFonts w:asciiTheme="minorHAnsi" w:hAnsiTheme="minorHAnsi" w:cs="Calibri"/>
          <w:sz w:val="24"/>
          <w:szCs w:val="24"/>
        </w:rPr>
        <w:t>it</w:t>
      </w:r>
      <w:r w:rsidR="00A60EC2">
        <w:rPr>
          <w:rFonts w:asciiTheme="minorHAnsi" w:hAnsiTheme="minorHAnsi" w:cs="Calibri"/>
          <w:sz w:val="24"/>
          <w:szCs w:val="24"/>
        </w:rPr>
        <w:t xml:space="preserve"> involves broad </w:t>
      </w:r>
      <w:r w:rsidR="008C6430">
        <w:rPr>
          <w:rFonts w:asciiTheme="minorHAnsi" w:hAnsiTheme="minorHAnsi" w:cs="Calibri"/>
          <w:sz w:val="24"/>
          <w:szCs w:val="24"/>
        </w:rPr>
        <w:t>marketization</w:t>
      </w:r>
      <w:r w:rsidR="00375D8C">
        <w:rPr>
          <w:rFonts w:asciiTheme="minorHAnsi" w:hAnsiTheme="minorHAnsi" w:cs="Calibri"/>
          <w:sz w:val="24"/>
          <w:szCs w:val="24"/>
        </w:rPr>
        <w:t>.  We argue</w:t>
      </w:r>
      <w:r w:rsidR="00EE7319">
        <w:rPr>
          <w:rFonts w:asciiTheme="minorHAnsi" w:hAnsiTheme="minorHAnsi" w:cs="Calibri"/>
          <w:sz w:val="24"/>
          <w:szCs w:val="24"/>
        </w:rPr>
        <w:t xml:space="preserve"> </w:t>
      </w:r>
      <w:r w:rsidR="00243FFD">
        <w:rPr>
          <w:rFonts w:asciiTheme="minorHAnsi" w:hAnsiTheme="minorHAnsi" w:cs="Calibri"/>
          <w:sz w:val="24"/>
          <w:szCs w:val="24"/>
        </w:rPr>
        <w:t xml:space="preserve">for </w:t>
      </w:r>
      <w:r w:rsidR="00EE7319">
        <w:rPr>
          <w:rFonts w:asciiTheme="minorHAnsi" w:hAnsiTheme="minorHAnsi" w:cs="Calibri"/>
          <w:sz w:val="24"/>
          <w:szCs w:val="24"/>
        </w:rPr>
        <w:t xml:space="preserve">the absolute need for proactive and preemptive consumer protection and quality control regimes in any </w:t>
      </w:r>
      <w:r w:rsidR="00243FFD">
        <w:rPr>
          <w:rFonts w:asciiTheme="minorHAnsi" w:hAnsiTheme="minorHAnsi" w:cs="Calibri"/>
          <w:sz w:val="24"/>
          <w:szCs w:val="24"/>
        </w:rPr>
        <w:t>H</w:t>
      </w:r>
      <w:r w:rsidR="00EE7319">
        <w:rPr>
          <w:rFonts w:asciiTheme="minorHAnsi" w:hAnsiTheme="minorHAnsi" w:cs="Calibri"/>
          <w:sz w:val="24"/>
          <w:szCs w:val="24"/>
        </w:rPr>
        <w:t xml:space="preserve">uman </w:t>
      </w:r>
      <w:r w:rsidR="00243FFD">
        <w:rPr>
          <w:rFonts w:asciiTheme="minorHAnsi" w:hAnsiTheme="minorHAnsi" w:cs="Calibri"/>
          <w:sz w:val="24"/>
          <w:szCs w:val="24"/>
        </w:rPr>
        <w:t>S</w:t>
      </w:r>
      <w:r w:rsidR="00EE7319">
        <w:rPr>
          <w:rFonts w:asciiTheme="minorHAnsi" w:hAnsiTheme="minorHAnsi" w:cs="Calibri"/>
          <w:sz w:val="24"/>
          <w:szCs w:val="24"/>
        </w:rPr>
        <w:t>ervices market.</w:t>
      </w:r>
    </w:p>
    <w:p w14:paraId="1305D165" w14:textId="77777777" w:rsidR="00BB1AF9" w:rsidRDefault="00BB1AF9" w:rsidP="00EB27E8">
      <w:pPr>
        <w:kinsoku w:val="0"/>
        <w:overflowPunct w:val="0"/>
        <w:autoSpaceDE/>
        <w:autoSpaceDN/>
        <w:adjustRightInd/>
        <w:spacing w:line="276" w:lineRule="auto"/>
        <w:textAlignment w:val="baseline"/>
        <w:rPr>
          <w:rFonts w:asciiTheme="minorHAnsi" w:hAnsiTheme="minorHAnsi" w:cs="Calibri"/>
          <w:sz w:val="24"/>
          <w:szCs w:val="24"/>
        </w:rPr>
      </w:pPr>
    </w:p>
    <w:p w14:paraId="7610E5A7" w14:textId="555DB90E" w:rsidR="00CB3CCD" w:rsidRDefault="00CB3CCD"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The recent spectacular policy failure and appalling consumer </w:t>
      </w:r>
      <w:r w:rsidR="00C6361D">
        <w:rPr>
          <w:rFonts w:asciiTheme="minorHAnsi" w:hAnsiTheme="minorHAnsi" w:cs="Calibri"/>
          <w:sz w:val="24"/>
          <w:szCs w:val="24"/>
        </w:rPr>
        <w:t xml:space="preserve">experiences and </w:t>
      </w:r>
      <w:r>
        <w:rPr>
          <w:rFonts w:asciiTheme="minorHAnsi" w:hAnsiTheme="minorHAnsi" w:cs="Calibri"/>
          <w:sz w:val="24"/>
          <w:szCs w:val="24"/>
        </w:rPr>
        <w:t xml:space="preserve">outcomes </w:t>
      </w:r>
      <w:r>
        <w:rPr>
          <w:rFonts w:asciiTheme="minorHAnsi" w:hAnsiTheme="minorHAnsi" w:cs="Calibri"/>
          <w:sz w:val="24"/>
          <w:szCs w:val="24"/>
        </w:rPr>
        <w:lastRenderedPageBreak/>
        <w:t xml:space="preserve">associated with increased </w:t>
      </w:r>
      <w:r w:rsidR="008C6430">
        <w:rPr>
          <w:rFonts w:asciiTheme="minorHAnsi" w:hAnsiTheme="minorHAnsi" w:cs="Calibri"/>
          <w:sz w:val="24"/>
          <w:szCs w:val="24"/>
        </w:rPr>
        <w:t>marketization</w:t>
      </w:r>
      <w:r>
        <w:rPr>
          <w:rFonts w:asciiTheme="minorHAnsi" w:hAnsiTheme="minorHAnsi" w:cs="Calibri"/>
          <w:sz w:val="24"/>
          <w:szCs w:val="24"/>
        </w:rPr>
        <w:t xml:space="preserve"> in the Vocational Education and Training (VET) area provides a compelling backdrop to the Productivity Commission Inquiry.  It is essential that the Inquiry take to heart the lessons from this failed program</w:t>
      </w:r>
      <w:r w:rsidR="009633FB">
        <w:rPr>
          <w:rFonts w:asciiTheme="minorHAnsi" w:hAnsiTheme="minorHAnsi" w:cs="Calibri"/>
          <w:sz w:val="24"/>
          <w:szCs w:val="24"/>
        </w:rPr>
        <w:t>, which clearly did not contain sufficient checks and balances to prevent practices and behaviors exploitative of both consumers and taxpayer funds.</w:t>
      </w:r>
    </w:p>
    <w:p w14:paraId="6395360C" w14:textId="77777777" w:rsidR="00A4205B" w:rsidRDefault="00A4205B" w:rsidP="00007BCF">
      <w:pPr>
        <w:kinsoku w:val="0"/>
        <w:overflowPunct w:val="0"/>
        <w:autoSpaceDE/>
        <w:autoSpaceDN/>
        <w:adjustRightInd/>
        <w:spacing w:line="276" w:lineRule="auto"/>
        <w:textAlignment w:val="baseline"/>
        <w:rPr>
          <w:rFonts w:asciiTheme="minorHAnsi" w:hAnsiTheme="minorHAnsi" w:cs="Calibri"/>
          <w:sz w:val="24"/>
          <w:szCs w:val="24"/>
        </w:rPr>
      </w:pPr>
    </w:p>
    <w:p w14:paraId="1E0CABB9" w14:textId="0F36D325" w:rsidR="00955832" w:rsidRDefault="00EE7319" w:rsidP="00007BCF">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Earlier experience</w:t>
      </w:r>
      <w:r w:rsidR="00381A7C">
        <w:rPr>
          <w:rFonts w:asciiTheme="minorHAnsi" w:hAnsiTheme="minorHAnsi" w:cs="Calibri"/>
          <w:sz w:val="24"/>
          <w:szCs w:val="24"/>
        </w:rPr>
        <w:t xml:space="preserve"> with government funded employment programs operating in competitive markets, targeted specifically to the disadvantaged in the labour force</w:t>
      </w:r>
      <w:r w:rsidR="00BB1AF9">
        <w:rPr>
          <w:rFonts w:asciiTheme="minorHAnsi" w:hAnsiTheme="minorHAnsi" w:cs="Calibri"/>
          <w:sz w:val="24"/>
          <w:szCs w:val="24"/>
        </w:rPr>
        <w:t>,</w:t>
      </w:r>
      <w:r w:rsidR="00381A7C">
        <w:rPr>
          <w:rFonts w:asciiTheme="minorHAnsi" w:hAnsiTheme="minorHAnsi" w:cs="Calibri"/>
          <w:sz w:val="24"/>
          <w:szCs w:val="24"/>
        </w:rPr>
        <w:t xml:space="preserve"> also raise</w:t>
      </w:r>
      <w:r w:rsidR="000E037C">
        <w:rPr>
          <w:rFonts w:asciiTheme="minorHAnsi" w:hAnsiTheme="minorHAnsi" w:cs="Calibri"/>
          <w:sz w:val="24"/>
          <w:szCs w:val="24"/>
        </w:rPr>
        <w:t>s</w:t>
      </w:r>
      <w:r w:rsidR="00381A7C">
        <w:rPr>
          <w:rFonts w:asciiTheme="minorHAnsi" w:hAnsiTheme="minorHAnsi" w:cs="Calibri"/>
          <w:sz w:val="24"/>
          <w:szCs w:val="24"/>
        </w:rPr>
        <w:t xml:space="preserve"> flags of concern.  Many argue that those programs </w:t>
      </w:r>
      <w:r w:rsidR="00A015D7">
        <w:rPr>
          <w:rFonts w:asciiTheme="minorHAnsi" w:hAnsiTheme="minorHAnsi" w:cs="Calibri"/>
          <w:sz w:val="24"/>
          <w:szCs w:val="24"/>
        </w:rPr>
        <w:t xml:space="preserve">have </w:t>
      </w:r>
      <w:r w:rsidR="00381A7C">
        <w:rPr>
          <w:rFonts w:asciiTheme="minorHAnsi" w:hAnsiTheme="minorHAnsi" w:cs="Calibri"/>
          <w:sz w:val="24"/>
          <w:szCs w:val="24"/>
        </w:rPr>
        <w:t>engaged extensively in ‘creaming’</w:t>
      </w:r>
      <w:r w:rsidR="00676F28">
        <w:rPr>
          <w:rFonts w:asciiTheme="minorHAnsi" w:hAnsiTheme="minorHAnsi" w:cs="Calibri"/>
          <w:sz w:val="24"/>
          <w:szCs w:val="24"/>
        </w:rPr>
        <w:t xml:space="preserve"> of the easiest and cheapest-to-service consumers </w:t>
      </w:r>
      <w:r w:rsidR="00243FFD">
        <w:rPr>
          <w:rFonts w:asciiTheme="minorHAnsi" w:hAnsiTheme="minorHAnsi" w:cs="Calibri"/>
          <w:sz w:val="24"/>
          <w:szCs w:val="24"/>
        </w:rPr>
        <w:t xml:space="preserve">while </w:t>
      </w:r>
      <w:r w:rsidR="00676F28">
        <w:rPr>
          <w:rFonts w:asciiTheme="minorHAnsi" w:hAnsiTheme="minorHAnsi" w:cs="Calibri"/>
          <w:sz w:val="24"/>
          <w:szCs w:val="24"/>
        </w:rPr>
        <w:t>‘parking’ higher needs, more expensive-to-service</w:t>
      </w:r>
      <w:r w:rsidR="00381A7C">
        <w:rPr>
          <w:rFonts w:asciiTheme="minorHAnsi" w:hAnsiTheme="minorHAnsi" w:cs="Calibri"/>
          <w:sz w:val="24"/>
          <w:szCs w:val="24"/>
        </w:rPr>
        <w:t xml:space="preserve"> </w:t>
      </w:r>
      <w:r w:rsidR="00676F28">
        <w:rPr>
          <w:rFonts w:asciiTheme="minorHAnsi" w:hAnsiTheme="minorHAnsi" w:cs="Calibri"/>
          <w:sz w:val="24"/>
          <w:szCs w:val="24"/>
        </w:rPr>
        <w:t xml:space="preserve">consumers </w:t>
      </w:r>
      <w:r w:rsidR="00381A7C">
        <w:rPr>
          <w:rFonts w:asciiTheme="minorHAnsi" w:hAnsiTheme="minorHAnsi" w:cs="Calibri"/>
          <w:sz w:val="24"/>
          <w:szCs w:val="24"/>
        </w:rPr>
        <w:t xml:space="preserve">in order to generate </w:t>
      </w:r>
      <w:r w:rsidR="008C6430">
        <w:rPr>
          <w:rFonts w:asciiTheme="minorHAnsi" w:hAnsiTheme="minorHAnsi" w:cs="Calibri"/>
          <w:sz w:val="24"/>
          <w:szCs w:val="24"/>
        </w:rPr>
        <w:t xml:space="preserve">higher </w:t>
      </w:r>
      <w:r w:rsidR="00381A7C">
        <w:rPr>
          <w:rFonts w:asciiTheme="minorHAnsi" w:hAnsiTheme="minorHAnsi" w:cs="Calibri"/>
          <w:sz w:val="24"/>
          <w:szCs w:val="24"/>
        </w:rPr>
        <w:t>profits</w:t>
      </w:r>
      <w:r w:rsidR="00BB1AF9">
        <w:rPr>
          <w:rFonts w:asciiTheme="minorHAnsi" w:hAnsiTheme="minorHAnsi" w:cs="Calibri"/>
          <w:sz w:val="24"/>
          <w:szCs w:val="24"/>
        </w:rPr>
        <w:t>, resulting in poor outcomes for those most in need</w:t>
      </w:r>
      <w:r w:rsidR="00554791">
        <w:rPr>
          <w:rStyle w:val="FootnoteReference"/>
          <w:rFonts w:asciiTheme="minorHAnsi" w:hAnsiTheme="minorHAnsi" w:cs="Calibri"/>
          <w:sz w:val="24"/>
          <w:szCs w:val="24"/>
        </w:rPr>
        <w:footnoteReference w:id="2"/>
      </w:r>
      <w:r w:rsidR="008A5243">
        <w:rPr>
          <w:rFonts w:asciiTheme="minorHAnsi" w:hAnsiTheme="minorHAnsi" w:cs="Calibri"/>
          <w:sz w:val="24"/>
          <w:szCs w:val="24"/>
        </w:rPr>
        <w:t>.  This includes many older jobseekers locked out of work by ageism and a changing economy</w:t>
      </w:r>
      <w:r w:rsidR="00955832">
        <w:rPr>
          <w:rFonts w:asciiTheme="minorHAnsi" w:hAnsiTheme="minorHAnsi" w:cs="Calibri"/>
          <w:sz w:val="24"/>
          <w:szCs w:val="24"/>
        </w:rPr>
        <w:t xml:space="preserve">, and requiring </w:t>
      </w:r>
      <w:r w:rsidR="002262DA">
        <w:rPr>
          <w:rFonts w:asciiTheme="minorHAnsi" w:hAnsiTheme="minorHAnsi" w:cs="Calibri"/>
          <w:sz w:val="24"/>
          <w:szCs w:val="24"/>
        </w:rPr>
        <w:t>intensive</w:t>
      </w:r>
      <w:r w:rsidR="00243FFD">
        <w:rPr>
          <w:rFonts w:asciiTheme="minorHAnsi" w:hAnsiTheme="minorHAnsi" w:cs="Calibri"/>
          <w:sz w:val="24"/>
          <w:szCs w:val="24"/>
        </w:rPr>
        <w:t>,</w:t>
      </w:r>
      <w:r w:rsidR="002262DA">
        <w:rPr>
          <w:rFonts w:asciiTheme="minorHAnsi" w:hAnsiTheme="minorHAnsi" w:cs="Calibri"/>
          <w:sz w:val="24"/>
          <w:szCs w:val="24"/>
        </w:rPr>
        <w:t xml:space="preserve"> </w:t>
      </w:r>
      <w:r w:rsidR="008C6430">
        <w:rPr>
          <w:rFonts w:asciiTheme="minorHAnsi" w:hAnsiTheme="minorHAnsi" w:cs="Calibri"/>
          <w:sz w:val="24"/>
          <w:szCs w:val="24"/>
        </w:rPr>
        <w:t>individualized</w:t>
      </w:r>
      <w:r w:rsidR="00955832">
        <w:rPr>
          <w:rFonts w:asciiTheme="minorHAnsi" w:hAnsiTheme="minorHAnsi" w:cs="Calibri"/>
          <w:sz w:val="24"/>
          <w:szCs w:val="24"/>
        </w:rPr>
        <w:t xml:space="preserve"> support to break back into employment</w:t>
      </w:r>
      <w:r w:rsidR="00381A7C">
        <w:rPr>
          <w:rFonts w:asciiTheme="minorHAnsi" w:hAnsiTheme="minorHAnsi" w:cs="Calibri"/>
          <w:sz w:val="24"/>
          <w:szCs w:val="24"/>
        </w:rPr>
        <w:t xml:space="preserve">.  </w:t>
      </w:r>
      <w:r w:rsidR="008A5243">
        <w:rPr>
          <w:rFonts w:asciiTheme="minorHAnsi" w:hAnsiTheme="minorHAnsi" w:cs="Calibri"/>
          <w:sz w:val="24"/>
          <w:szCs w:val="24"/>
        </w:rPr>
        <w:t xml:space="preserve"> </w:t>
      </w:r>
      <w:r w:rsidR="00955832">
        <w:rPr>
          <w:rFonts w:asciiTheme="minorHAnsi" w:hAnsiTheme="minorHAnsi" w:cs="Calibri"/>
          <w:sz w:val="24"/>
          <w:szCs w:val="24"/>
        </w:rPr>
        <w:t>Around</w:t>
      </w:r>
      <w:r w:rsidR="0072067F">
        <w:rPr>
          <w:rFonts w:asciiTheme="minorHAnsi" w:hAnsiTheme="minorHAnsi" w:cs="Calibri"/>
          <w:sz w:val="24"/>
          <w:szCs w:val="24"/>
        </w:rPr>
        <w:t xml:space="preserve"> a third of </w:t>
      </w:r>
      <w:r w:rsidR="001037B2">
        <w:rPr>
          <w:rFonts w:asciiTheme="minorHAnsi" w:hAnsiTheme="minorHAnsi" w:cs="Calibri"/>
          <w:sz w:val="24"/>
          <w:szCs w:val="24"/>
        </w:rPr>
        <w:t xml:space="preserve">the </w:t>
      </w:r>
      <w:r w:rsidR="0072067F">
        <w:rPr>
          <w:rFonts w:asciiTheme="minorHAnsi" w:hAnsiTheme="minorHAnsi" w:cs="Calibri"/>
          <w:sz w:val="24"/>
          <w:szCs w:val="24"/>
        </w:rPr>
        <w:t>long-term</w:t>
      </w:r>
      <w:r w:rsidR="002262DA">
        <w:rPr>
          <w:rFonts w:asciiTheme="minorHAnsi" w:hAnsiTheme="minorHAnsi" w:cs="Calibri"/>
          <w:sz w:val="24"/>
          <w:szCs w:val="24"/>
        </w:rPr>
        <w:t xml:space="preserve"> unemployed receiving Newstart A</w:t>
      </w:r>
      <w:r w:rsidR="0072067F">
        <w:rPr>
          <w:rFonts w:asciiTheme="minorHAnsi" w:hAnsiTheme="minorHAnsi" w:cs="Calibri"/>
          <w:sz w:val="24"/>
          <w:szCs w:val="24"/>
        </w:rPr>
        <w:t>llowance are over the age of 50</w:t>
      </w:r>
      <w:r w:rsidR="0072067F">
        <w:rPr>
          <w:rStyle w:val="FootnoteReference"/>
          <w:rFonts w:asciiTheme="minorHAnsi" w:hAnsiTheme="minorHAnsi" w:cs="Calibri"/>
          <w:sz w:val="24"/>
          <w:szCs w:val="24"/>
        </w:rPr>
        <w:footnoteReference w:id="3"/>
      </w:r>
      <w:r w:rsidR="0072067F">
        <w:rPr>
          <w:rFonts w:asciiTheme="minorHAnsi" w:hAnsiTheme="minorHAnsi" w:cs="Calibri"/>
          <w:sz w:val="24"/>
          <w:szCs w:val="24"/>
        </w:rPr>
        <w:t xml:space="preserve">.  </w:t>
      </w:r>
    </w:p>
    <w:p w14:paraId="04ACF519" w14:textId="77777777" w:rsidR="00955832" w:rsidRDefault="00955832" w:rsidP="00007BCF">
      <w:pPr>
        <w:kinsoku w:val="0"/>
        <w:overflowPunct w:val="0"/>
        <w:autoSpaceDE/>
        <w:autoSpaceDN/>
        <w:adjustRightInd/>
        <w:spacing w:line="276" w:lineRule="auto"/>
        <w:textAlignment w:val="baseline"/>
        <w:rPr>
          <w:rFonts w:asciiTheme="minorHAnsi" w:hAnsiTheme="minorHAnsi" w:cs="Calibri"/>
          <w:sz w:val="24"/>
          <w:szCs w:val="24"/>
        </w:rPr>
      </w:pPr>
    </w:p>
    <w:p w14:paraId="708CE828" w14:textId="6724AA7A" w:rsidR="008A5243" w:rsidRDefault="008A5243" w:rsidP="00007BCF">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Curchin has argued that </w:t>
      </w:r>
    </w:p>
    <w:p w14:paraId="3B8BEC84" w14:textId="6B793E7D" w:rsidR="008A5243" w:rsidRPr="008A5243" w:rsidRDefault="008A5243" w:rsidP="008A5243">
      <w:pPr>
        <w:kinsoku w:val="0"/>
        <w:overflowPunct w:val="0"/>
        <w:autoSpaceDE/>
        <w:autoSpaceDN/>
        <w:adjustRightInd/>
        <w:spacing w:line="276" w:lineRule="auto"/>
        <w:ind w:left="720"/>
        <w:textAlignment w:val="baseline"/>
        <w:rPr>
          <w:rFonts w:asciiTheme="minorHAnsi" w:hAnsiTheme="minorHAnsi" w:cs="Calibri"/>
          <w:sz w:val="22"/>
          <w:szCs w:val="22"/>
        </w:rPr>
      </w:pPr>
      <w:r w:rsidRPr="008A5243">
        <w:rPr>
          <w:rFonts w:asciiTheme="minorHAnsi" w:hAnsiTheme="minorHAnsi" w:cs="Calibri"/>
          <w:sz w:val="22"/>
          <w:szCs w:val="22"/>
        </w:rPr>
        <w:t>“The contracting out of employment services was supposed to enable jobseekers to receive services tailored to their unique situation, but research shows the profit motiv</w:t>
      </w:r>
      <w:r>
        <w:rPr>
          <w:rFonts w:asciiTheme="minorHAnsi" w:hAnsiTheme="minorHAnsi" w:cs="Calibri"/>
          <w:sz w:val="22"/>
          <w:szCs w:val="22"/>
        </w:rPr>
        <w:t>e has actually driven standardis</w:t>
      </w:r>
      <w:r w:rsidRPr="008A5243">
        <w:rPr>
          <w:rFonts w:asciiTheme="minorHAnsi" w:hAnsiTheme="minorHAnsi" w:cs="Calibri"/>
          <w:sz w:val="22"/>
          <w:szCs w:val="22"/>
        </w:rPr>
        <w:t>ation of services.”</w:t>
      </w:r>
      <w:r>
        <w:rPr>
          <w:rStyle w:val="FootnoteReference"/>
          <w:rFonts w:asciiTheme="minorHAnsi" w:hAnsiTheme="minorHAnsi" w:cs="Calibri"/>
          <w:sz w:val="22"/>
          <w:szCs w:val="22"/>
        </w:rPr>
        <w:footnoteReference w:id="4"/>
      </w:r>
    </w:p>
    <w:p w14:paraId="6F716D03" w14:textId="77777777" w:rsidR="008A5243" w:rsidRDefault="008A5243" w:rsidP="00007BCF">
      <w:pPr>
        <w:kinsoku w:val="0"/>
        <w:overflowPunct w:val="0"/>
        <w:autoSpaceDE/>
        <w:autoSpaceDN/>
        <w:adjustRightInd/>
        <w:spacing w:line="276" w:lineRule="auto"/>
        <w:textAlignment w:val="baseline"/>
        <w:rPr>
          <w:rFonts w:asciiTheme="minorHAnsi" w:hAnsiTheme="minorHAnsi" w:cs="Calibri"/>
          <w:sz w:val="24"/>
          <w:szCs w:val="24"/>
        </w:rPr>
      </w:pPr>
    </w:p>
    <w:p w14:paraId="60CCD17C" w14:textId="59FC33ED" w:rsidR="00381A7C" w:rsidRDefault="0005393C" w:rsidP="00007BCF">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Many </w:t>
      </w:r>
      <w:r w:rsidR="008A5243">
        <w:rPr>
          <w:rFonts w:asciiTheme="minorHAnsi" w:hAnsiTheme="minorHAnsi" w:cs="Calibri"/>
          <w:sz w:val="24"/>
          <w:szCs w:val="24"/>
        </w:rPr>
        <w:t>older Australians</w:t>
      </w:r>
      <w:r w:rsidR="00381A7C">
        <w:rPr>
          <w:rFonts w:asciiTheme="minorHAnsi" w:hAnsiTheme="minorHAnsi" w:cs="Calibri"/>
          <w:sz w:val="24"/>
          <w:szCs w:val="24"/>
        </w:rPr>
        <w:t xml:space="preserve"> rely</w:t>
      </w:r>
      <w:r w:rsidR="0072067F">
        <w:rPr>
          <w:rFonts w:asciiTheme="minorHAnsi" w:hAnsiTheme="minorHAnsi" w:cs="Calibri"/>
          <w:sz w:val="24"/>
          <w:szCs w:val="24"/>
        </w:rPr>
        <w:t>ing</w:t>
      </w:r>
      <w:r w:rsidR="00381A7C">
        <w:rPr>
          <w:rFonts w:asciiTheme="minorHAnsi" w:hAnsiTheme="minorHAnsi" w:cs="Calibri"/>
          <w:sz w:val="24"/>
          <w:szCs w:val="24"/>
        </w:rPr>
        <w:t xml:space="preserve"> on </w:t>
      </w:r>
      <w:r w:rsidR="0072067F">
        <w:rPr>
          <w:rFonts w:asciiTheme="minorHAnsi" w:hAnsiTheme="minorHAnsi" w:cs="Calibri"/>
          <w:sz w:val="24"/>
          <w:szCs w:val="24"/>
        </w:rPr>
        <w:t xml:space="preserve">range of </w:t>
      </w:r>
      <w:r w:rsidR="002262DA">
        <w:rPr>
          <w:rFonts w:asciiTheme="minorHAnsi" w:hAnsiTheme="minorHAnsi" w:cs="Calibri"/>
          <w:sz w:val="24"/>
          <w:szCs w:val="24"/>
        </w:rPr>
        <w:t>government funded Human S</w:t>
      </w:r>
      <w:r w:rsidR="00381A7C">
        <w:rPr>
          <w:rFonts w:asciiTheme="minorHAnsi" w:hAnsiTheme="minorHAnsi" w:cs="Calibri"/>
          <w:sz w:val="24"/>
          <w:szCs w:val="24"/>
        </w:rPr>
        <w:t xml:space="preserve">ervices are vulnerable to ‘sharp’ </w:t>
      </w:r>
      <w:r w:rsidR="00955832">
        <w:rPr>
          <w:rFonts w:asciiTheme="minorHAnsi" w:hAnsiTheme="minorHAnsi" w:cs="Calibri"/>
          <w:sz w:val="24"/>
          <w:szCs w:val="24"/>
        </w:rPr>
        <w:t xml:space="preserve">commercial </w:t>
      </w:r>
      <w:r w:rsidR="00381A7C">
        <w:rPr>
          <w:rFonts w:asciiTheme="minorHAnsi" w:hAnsiTheme="minorHAnsi" w:cs="Calibri"/>
          <w:sz w:val="24"/>
          <w:szCs w:val="24"/>
        </w:rPr>
        <w:t>practices</w:t>
      </w:r>
      <w:r w:rsidR="00955832">
        <w:rPr>
          <w:rFonts w:asciiTheme="minorHAnsi" w:hAnsiTheme="minorHAnsi" w:cs="Calibri"/>
          <w:sz w:val="24"/>
          <w:szCs w:val="24"/>
        </w:rPr>
        <w:t xml:space="preserve"> and poor service</w:t>
      </w:r>
      <w:r w:rsidR="009811C2">
        <w:rPr>
          <w:rFonts w:asciiTheme="minorHAnsi" w:hAnsiTheme="minorHAnsi" w:cs="Calibri"/>
          <w:sz w:val="24"/>
          <w:szCs w:val="24"/>
        </w:rPr>
        <w:t xml:space="preserve">, given that they often have complex, multi-faceted needs that may be more expensive (and less profitable to </w:t>
      </w:r>
      <w:r w:rsidR="00554791">
        <w:rPr>
          <w:rFonts w:asciiTheme="minorHAnsi" w:hAnsiTheme="minorHAnsi" w:cs="Calibri"/>
          <w:sz w:val="24"/>
          <w:szCs w:val="24"/>
        </w:rPr>
        <w:t>providers</w:t>
      </w:r>
      <w:r w:rsidR="009811C2">
        <w:rPr>
          <w:rFonts w:asciiTheme="minorHAnsi" w:hAnsiTheme="minorHAnsi" w:cs="Calibri"/>
          <w:sz w:val="24"/>
          <w:szCs w:val="24"/>
        </w:rPr>
        <w:t>) to address</w:t>
      </w:r>
      <w:r w:rsidR="00381A7C">
        <w:rPr>
          <w:rFonts w:asciiTheme="minorHAnsi" w:hAnsiTheme="minorHAnsi" w:cs="Calibri"/>
          <w:sz w:val="24"/>
          <w:szCs w:val="24"/>
        </w:rPr>
        <w:t>.</w:t>
      </w:r>
      <w:r w:rsidR="00554791">
        <w:rPr>
          <w:rFonts w:asciiTheme="minorHAnsi" w:hAnsiTheme="minorHAnsi" w:cs="Calibri"/>
          <w:sz w:val="24"/>
          <w:szCs w:val="24"/>
        </w:rPr>
        <w:t xml:space="preserve">  An example of this </w:t>
      </w:r>
      <w:r w:rsidR="001037B2">
        <w:rPr>
          <w:rFonts w:asciiTheme="minorHAnsi" w:hAnsiTheme="minorHAnsi" w:cs="Calibri"/>
          <w:sz w:val="24"/>
          <w:szCs w:val="24"/>
        </w:rPr>
        <w:t xml:space="preserve">is </w:t>
      </w:r>
      <w:r w:rsidR="00554791">
        <w:rPr>
          <w:rFonts w:asciiTheme="minorHAnsi" w:hAnsiTheme="minorHAnsi" w:cs="Calibri"/>
          <w:sz w:val="24"/>
          <w:szCs w:val="24"/>
        </w:rPr>
        <w:t xml:space="preserve">in health service delivery where, for example, the </w:t>
      </w:r>
      <w:r w:rsidR="001037B2">
        <w:rPr>
          <w:rFonts w:asciiTheme="minorHAnsi" w:hAnsiTheme="minorHAnsi" w:cs="Calibri"/>
          <w:sz w:val="24"/>
          <w:szCs w:val="24"/>
        </w:rPr>
        <w:t xml:space="preserve">greater </w:t>
      </w:r>
      <w:r w:rsidR="00554791">
        <w:rPr>
          <w:rFonts w:asciiTheme="minorHAnsi" w:hAnsiTheme="minorHAnsi" w:cs="Calibri"/>
          <w:sz w:val="24"/>
          <w:szCs w:val="24"/>
        </w:rPr>
        <w:t>prevalence of co-morbid chronic illnesses amongst older people may require more individual</w:t>
      </w:r>
      <w:r w:rsidR="00284045">
        <w:rPr>
          <w:rFonts w:asciiTheme="minorHAnsi" w:hAnsiTheme="minorHAnsi" w:cs="Calibri"/>
          <w:sz w:val="24"/>
          <w:szCs w:val="24"/>
        </w:rPr>
        <w:t>ised</w:t>
      </w:r>
      <w:r w:rsidR="00554791">
        <w:rPr>
          <w:rFonts w:asciiTheme="minorHAnsi" w:hAnsiTheme="minorHAnsi" w:cs="Calibri"/>
          <w:sz w:val="24"/>
          <w:szCs w:val="24"/>
        </w:rPr>
        <w:t xml:space="preserve"> and intensive targeting to </w:t>
      </w:r>
      <w:r w:rsidR="00CC1F56">
        <w:rPr>
          <w:rFonts w:asciiTheme="minorHAnsi" w:hAnsiTheme="minorHAnsi" w:cs="Calibri"/>
          <w:sz w:val="24"/>
          <w:szCs w:val="24"/>
        </w:rPr>
        <w:t>resolve or improve</w:t>
      </w:r>
      <w:r w:rsidR="00554791">
        <w:rPr>
          <w:rFonts w:asciiTheme="minorHAnsi" w:hAnsiTheme="minorHAnsi" w:cs="Calibri"/>
          <w:sz w:val="24"/>
          <w:szCs w:val="24"/>
        </w:rPr>
        <w:t xml:space="preserve">. </w:t>
      </w:r>
      <w:r w:rsidR="00EE7319">
        <w:rPr>
          <w:rFonts w:asciiTheme="minorHAnsi" w:hAnsiTheme="minorHAnsi" w:cs="Calibri"/>
          <w:sz w:val="24"/>
          <w:szCs w:val="24"/>
        </w:rPr>
        <w:t>This of course depends in part o</w:t>
      </w:r>
      <w:r w:rsidR="00441464">
        <w:rPr>
          <w:rFonts w:asciiTheme="minorHAnsi" w:hAnsiTheme="minorHAnsi" w:cs="Calibri"/>
          <w:sz w:val="24"/>
          <w:szCs w:val="24"/>
        </w:rPr>
        <w:t>n</w:t>
      </w:r>
      <w:r w:rsidR="00EE7319">
        <w:rPr>
          <w:rFonts w:asciiTheme="minorHAnsi" w:hAnsiTheme="minorHAnsi" w:cs="Calibri"/>
          <w:sz w:val="24"/>
          <w:szCs w:val="24"/>
        </w:rPr>
        <w:t xml:space="preserve"> the structure, adequacy and conditions of government financial incentives to providers.</w:t>
      </w:r>
    </w:p>
    <w:p w14:paraId="106C78C3" w14:textId="77777777" w:rsidR="00676F28" w:rsidRDefault="00676F28" w:rsidP="00EB27E8">
      <w:pPr>
        <w:kinsoku w:val="0"/>
        <w:overflowPunct w:val="0"/>
        <w:autoSpaceDE/>
        <w:autoSpaceDN/>
        <w:adjustRightInd/>
        <w:spacing w:line="276" w:lineRule="auto"/>
        <w:textAlignment w:val="baseline"/>
        <w:rPr>
          <w:rFonts w:asciiTheme="minorHAnsi" w:hAnsiTheme="minorHAnsi" w:cs="Calibri"/>
          <w:sz w:val="24"/>
          <w:szCs w:val="24"/>
        </w:rPr>
      </w:pPr>
    </w:p>
    <w:p w14:paraId="1787F612" w14:textId="4496E244" w:rsidR="00FF063E" w:rsidRDefault="00E44F73" w:rsidP="00AA1670">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Re</w:t>
      </w:r>
      <w:r w:rsidR="0005393C">
        <w:rPr>
          <w:rFonts w:asciiTheme="minorHAnsi" w:hAnsiTheme="minorHAnsi" w:cs="Calibri"/>
          <w:sz w:val="24"/>
          <w:szCs w:val="24"/>
        </w:rPr>
        <w:t>c</w:t>
      </w:r>
      <w:r w:rsidR="00AA1670">
        <w:rPr>
          <w:rFonts w:asciiTheme="minorHAnsi" w:hAnsiTheme="minorHAnsi" w:cs="Calibri"/>
          <w:sz w:val="24"/>
          <w:szCs w:val="24"/>
        </w:rPr>
        <w:t>ent work in the field of B</w:t>
      </w:r>
      <w:r>
        <w:rPr>
          <w:rFonts w:asciiTheme="minorHAnsi" w:hAnsiTheme="minorHAnsi" w:cs="Calibri"/>
          <w:sz w:val="24"/>
          <w:szCs w:val="24"/>
        </w:rPr>
        <w:t>e</w:t>
      </w:r>
      <w:r w:rsidR="00AA1670">
        <w:rPr>
          <w:rFonts w:asciiTheme="minorHAnsi" w:hAnsiTheme="minorHAnsi" w:cs="Calibri"/>
          <w:sz w:val="24"/>
          <w:szCs w:val="24"/>
        </w:rPr>
        <w:t>havioural E</w:t>
      </w:r>
      <w:r w:rsidR="0060468A">
        <w:rPr>
          <w:rFonts w:asciiTheme="minorHAnsi" w:hAnsiTheme="minorHAnsi" w:cs="Calibri"/>
          <w:sz w:val="24"/>
          <w:szCs w:val="24"/>
        </w:rPr>
        <w:t xml:space="preserve">conomics </w:t>
      </w:r>
      <w:r w:rsidR="00AA1670">
        <w:rPr>
          <w:rFonts w:asciiTheme="minorHAnsi" w:hAnsiTheme="minorHAnsi" w:cs="Calibri"/>
          <w:sz w:val="24"/>
          <w:szCs w:val="24"/>
        </w:rPr>
        <w:t xml:space="preserve">also </w:t>
      </w:r>
      <w:r>
        <w:rPr>
          <w:rFonts w:asciiTheme="minorHAnsi" w:hAnsiTheme="minorHAnsi" w:cs="Calibri"/>
          <w:sz w:val="24"/>
          <w:szCs w:val="24"/>
        </w:rPr>
        <w:t xml:space="preserve">argues more directly that there is a </w:t>
      </w:r>
      <w:r w:rsidR="00AA1670">
        <w:rPr>
          <w:rFonts w:asciiTheme="minorHAnsi" w:hAnsiTheme="minorHAnsi" w:cs="Calibri"/>
          <w:sz w:val="24"/>
          <w:szCs w:val="24"/>
        </w:rPr>
        <w:t>tendency</w:t>
      </w:r>
      <w:r>
        <w:rPr>
          <w:rFonts w:asciiTheme="minorHAnsi" w:hAnsiTheme="minorHAnsi" w:cs="Calibri"/>
          <w:sz w:val="24"/>
          <w:szCs w:val="24"/>
        </w:rPr>
        <w:t xml:space="preserve"> in</w:t>
      </w:r>
      <w:r w:rsidR="0060468A">
        <w:rPr>
          <w:rFonts w:asciiTheme="minorHAnsi" w:hAnsiTheme="minorHAnsi" w:cs="Calibri"/>
          <w:sz w:val="24"/>
          <w:szCs w:val="24"/>
        </w:rPr>
        <w:t xml:space="preserve"> competitive markets </w:t>
      </w:r>
      <w:r w:rsidR="00AA1670">
        <w:rPr>
          <w:rFonts w:asciiTheme="minorHAnsi" w:hAnsiTheme="minorHAnsi" w:cs="Calibri"/>
          <w:sz w:val="24"/>
          <w:szCs w:val="24"/>
        </w:rPr>
        <w:t>to</w:t>
      </w:r>
      <w:r w:rsidR="0060468A">
        <w:rPr>
          <w:rFonts w:asciiTheme="minorHAnsi" w:hAnsiTheme="minorHAnsi" w:cs="Calibri"/>
          <w:sz w:val="24"/>
          <w:szCs w:val="24"/>
        </w:rPr>
        <w:t xml:space="preserve"> targe</w:t>
      </w:r>
      <w:r w:rsidR="00AA1670">
        <w:rPr>
          <w:rFonts w:asciiTheme="minorHAnsi" w:hAnsiTheme="minorHAnsi" w:cs="Calibri"/>
          <w:sz w:val="24"/>
          <w:szCs w:val="24"/>
        </w:rPr>
        <w:t>t</w:t>
      </w:r>
      <w:r>
        <w:rPr>
          <w:rFonts w:asciiTheme="minorHAnsi" w:hAnsiTheme="minorHAnsi" w:cs="Calibri"/>
          <w:sz w:val="24"/>
          <w:szCs w:val="24"/>
        </w:rPr>
        <w:t xml:space="preserve"> vulnerability </w:t>
      </w:r>
      <w:r w:rsidR="00AA1670">
        <w:rPr>
          <w:rFonts w:asciiTheme="minorHAnsi" w:hAnsiTheme="minorHAnsi" w:cs="Calibri"/>
          <w:sz w:val="24"/>
          <w:szCs w:val="24"/>
        </w:rPr>
        <w:t xml:space="preserve">for profit-making </w:t>
      </w:r>
      <w:r>
        <w:rPr>
          <w:rFonts w:asciiTheme="minorHAnsi" w:hAnsiTheme="minorHAnsi" w:cs="Calibri"/>
          <w:sz w:val="24"/>
          <w:szCs w:val="24"/>
        </w:rPr>
        <w:t>and cites many</w:t>
      </w:r>
      <w:r w:rsidR="0005393C">
        <w:rPr>
          <w:rFonts w:asciiTheme="minorHAnsi" w:hAnsiTheme="minorHAnsi" w:cs="Calibri"/>
          <w:sz w:val="24"/>
          <w:szCs w:val="24"/>
        </w:rPr>
        <w:t xml:space="preserve"> examples of this occurring</w:t>
      </w:r>
      <w:r w:rsidR="00AA1670">
        <w:rPr>
          <w:rStyle w:val="FootnoteReference"/>
          <w:rFonts w:asciiTheme="minorHAnsi" w:hAnsiTheme="minorHAnsi" w:cs="Calibri"/>
          <w:sz w:val="24"/>
          <w:szCs w:val="24"/>
        </w:rPr>
        <w:footnoteReference w:id="5"/>
      </w:r>
      <w:r w:rsidR="0005393C">
        <w:rPr>
          <w:rFonts w:asciiTheme="minorHAnsi" w:hAnsiTheme="minorHAnsi" w:cs="Calibri"/>
          <w:sz w:val="24"/>
          <w:szCs w:val="24"/>
        </w:rPr>
        <w:t xml:space="preserve">.  </w:t>
      </w:r>
      <w:r w:rsidR="00AA1670">
        <w:rPr>
          <w:rFonts w:asciiTheme="minorHAnsi" w:hAnsiTheme="minorHAnsi" w:cs="Calibri"/>
          <w:sz w:val="24"/>
          <w:szCs w:val="24"/>
        </w:rPr>
        <w:t xml:space="preserve">Curchin, </w:t>
      </w:r>
      <w:r w:rsidR="00DF15C4">
        <w:rPr>
          <w:rFonts w:asciiTheme="minorHAnsi" w:hAnsiTheme="minorHAnsi" w:cs="Calibri"/>
          <w:sz w:val="24"/>
          <w:szCs w:val="24"/>
        </w:rPr>
        <w:t xml:space="preserve">quoting </w:t>
      </w:r>
      <w:r w:rsidR="00AA1670">
        <w:rPr>
          <w:rFonts w:asciiTheme="minorHAnsi" w:hAnsiTheme="minorHAnsi" w:cs="Calibri"/>
          <w:sz w:val="24"/>
          <w:szCs w:val="24"/>
        </w:rPr>
        <w:t xml:space="preserve">the behavioural economists </w:t>
      </w:r>
      <w:r w:rsidR="00FF063E">
        <w:rPr>
          <w:rFonts w:asciiTheme="minorHAnsi" w:hAnsiTheme="minorHAnsi" w:cs="Calibri"/>
          <w:sz w:val="24"/>
          <w:szCs w:val="24"/>
        </w:rPr>
        <w:t>Akerlof and Shiller</w:t>
      </w:r>
      <w:r w:rsidR="00AA1670">
        <w:rPr>
          <w:rFonts w:asciiTheme="minorHAnsi" w:hAnsiTheme="minorHAnsi" w:cs="Calibri"/>
          <w:sz w:val="24"/>
          <w:szCs w:val="24"/>
        </w:rPr>
        <w:t xml:space="preserve">, argues that </w:t>
      </w:r>
      <w:r w:rsidR="00DF15C4">
        <w:rPr>
          <w:rFonts w:asciiTheme="minorHAnsi" w:hAnsiTheme="minorHAnsi" w:cs="Calibri"/>
          <w:sz w:val="24"/>
          <w:szCs w:val="24"/>
        </w:rPr>
        <w:t>modern economics has failed to take seriously the role o</w:t>
      </w:r>
      <w:r w:rsidR="00AA1670">
        <w:rPr>
          <w:rFonts w:asciiTheme="minorHAnsi" w:hAnsiTheme="minorHAnsi" w:cs="Calibri"/>
          <w:sz w:val="24"/>
          <w:szCs w:val="24"/>
        </w:rPr>
        <w:t>f market trickery and deception.</w:t>
      </w:r>
      <w:r w:rsidR="00DF15C4">
        <w:rPr>
          <w:rFonts w:asciiTheme="minorHAnsi" w:hAnsiTheme="minorHAnsi" w:cs="Calibri"/>
          <w:sz w:val="24"/>
          <w:szCs w:val="24"/>
        </w:rPr>
        <w:t xml:space="preserve">  </w:t>
      </w:r>
      <w:r w:rsidR="00AA1670">
        <w:rPr>
          <w:rFonts w:asciiTheme="minorHAnsi" w:hAnsiTheme="minorHAnsi" w:cs="Calibri"/>
          <w:sz w:val="24"/>
          <w:szCs w:val="24"/>
        </w:rPr>
        <w:t xml:space="preserve"> </w:t>
      </w:r>
      <w:r w:rsidR="001037B2">
        <w:rPr>
          <w:rFonts w:asciiTheme="minorHAnsi" w:hAnsiTheme="minorHAnsi" w:cs="Calibri"/>
          <w:sz w:val="24"/>
          <w:szCs w:val="24"/>
        </w:rPr>
        <w:t>The</w:t>
      </w:r>
      <w:r w:rsidR="00AA1670">
        <w:rPr>
          <w:rFonts w:asciiTheme="minorHAnsi" w:hAnsiTheme="minorHAnsi" w:cs="Calibri"/>
          <w:sz w:val="24"/>
          <w:szCs w:val="24"/>
        </w:rPr>
        <w:t xml:space="preserve"> </w:t>
      </w:r>
      <w:r w:rsidR="00FF063E">
        <w:rPr>
          <w:rFonts w:asciiTheme="minorHAnsi" w:hAnsiTheme="minorHAnsi" w:cs="Calibri"/>
          <w:sz w:val="24"/>
          <w:szCs w:val="24"/>
        </w:rPr>
        <w:t>best arrangement</w:t>
      </w:r>
      <w:r w:rsidR="001037B2">
        <w:rPr>
          <w:rFonts w:asciiTheme="minorHAnsi" w:hAnsiTheme="minorHAnsi" w:cs="Calibri"/>
          <w:sz w:val="24"/>
          <w:szCs w:val="24"/>
        </w:rPr>
        <w:t xml:space="preserve">, she </w:t>
      </w:r>
      <w:r w:rsidR="00284045">
        <w:rPr>
          <w:rFonts w:asciiTheme="minorHAnsi" w:hAnsiTheme="minorHAnsi" w:cs="Calibri"/>
          <w:sz w:val="24"/>
          <w:szCs w:val="24"/>
        </w:rPr>
        <w:t>proposes</w:t>
      </w:r>
      <w:r w:rsidR="001037B2">
        <w:rPr>
          <w:rFonts w:asciiTheme="minorHAnsi" w:hAnsiTheme="minorHAnsi" w:cs="Calibri"/>
          <w:sz w:val="24"/>
          <w:szCs w:val="24"/>
        </w:rPr>
        <w:t>,</w:t>
      </w:r>
      <w:r w:rsidR="00FF063E">
        <w:rPr>
          <w:rFonts w:asciiTheme="minorHAnsi" w:hAnsiTheme="minorHAnsi" w:cs="Calibri"/>
          <w:sz w:val="24"/>
          <w:szCs w:val="24"/>
        </w:rPr>
        <w:t xml:space="preserve"> is when the power of the markets, government and civ</w:t>
      </w:r>
      <w:r w:rsidR="001037B2">
        <w:rPr>
          <w:rFonts w:asciiTheme="minorHAnsi" w:hAnsiTheme="minorHAnsi" w:cs="Calibri"/>
          <w:sz w:val="24"/>
          <w:szCs w:val="24"/>
        </w:rPr>
        <w:t>il society balance each other</w:t>
      </w:r>
      <w:r w:rsidR="00284045">
        <w:rPr>
          <w:rFonts w:asciiTheme="minorHAnsi" w:hAnsiTheme="minorHAnsi" w:cs="Calibri"/>
          <w:sz w:val="24"/>
          <w:szCs w:val="24"/>
        </w:rPr>
        <w:t>, and warns</w:t>
      </w:r>
      <w:r w:rsidR="00AA1670">
        <w:rPr>
          <w:rFonts w:asciiTheme="minorHAnsi" w:hAnsiTheme="minorHAnsi" w:cs="Calibri"/>
          <w:sz w:val="24"/>
          <w:szCs w:val="24"/>
        </w:rPr>
        <w:t xml:space="preserve"> that</w:t>
      </w:r>
      <w:r w:rsidR="00F660C3">
        <w:rPr>
          <w:rFonts w:asciiTheme="minorHAnsi" w:hAnsiTheme="minorHAnsi" w:cs="Calibri"/>
          <w:sz w:val="24"/>
          <w:szCs w:val="24"/>
        </w:rPr>
        <w:t>:</w:t>
      </w:r>
    </w:p>
    <w:p w14:paraId="57B5C377" w14:textId="78D228C1" w:rsidR="00DF15C4" w:rsidRPr="00AA1670" w:rsidRDefault="00AA1670" w:rsidP="00AA1670">
      <w:pPr>
        <w:kinsoku w:val="0"/>
        <w:overflowPunct w:val="0"/>
        <w:autoSpaceDE/>
        <w:autoSpaceDN/>
        <w:adjustRightInd/>
        <w:spacing w:line="276" w:lineRule="auto"/>
        <w:ind w:left="720"/>
        <w:textAlignment w:val="baseline"/>
        <w:rPr>
          <w:rFonts w:asciiTheme="minorHAnsi" w:hAnsiTheme="minorHAnsi" w:cs="Calibri"/>
          <w:sz w:val="22"/>
          <w:szCs w:val="22"/>
        </w:rPr>
      </w:pPr>
      <w:r w:rsidRPr="00AA1670">
        <w:rPr>
          <w:rFonts w:asciiTheme="minorHAnsi" w:hAnsiTheme="minorHAnsi" w:cs="Calibri"/>
          <w:sz w:val="22"/>
          <w:szCs w:val="22"/>
        </w:rPr>
        <w:lastRenderedPageBreak/>
        <w:t>“</w:t>
      </w:r>
      <w:r w:rsidR="00DF15C4" w:rsidRPr="00AA1670">
        <w:rPr>
          <w:rFonts w:asciiTheme="minorHAnsi" w:hAnsiTheme="minorHAnsi" w:cs="Calibri"/>
          <w:sz w:val="22"/>
          <w:szCs w:val="22"/>
        </w:rPr>
        <w:t>.</w:t>
      </w:r>
      <w:r w:rsidR="00F660C3">
        <w:rPr>
          <w:rFonts w:asciiTheme="minorHAnsi" w:hAnsiTheme="minorHAnsi" w:cs="Calibri"/>
          <w:sz w:val="22"/>
          <w:szCs w:val="22"/>
        </w:rPr>
        <w:t>.</w:t>
      </w:r>
      <w:r w:rsidR="00DF15C4" w:rsidRPr="00AA1670">
        <w:rPr>
          <w:rFonts w:asciiTheme="minorHAnsi" w:hAnsiTheme="minorHAnsi" w:cs="Calibri"/>
          <w:sz w:val="22"/>
          <w:szCs w:val="22"/>
        </w:rPr>
        <w:t>.</w:t>
      </w:r>
      <w:r w:rsidR="00F660C3">
        <w:rPr>
          <w:rFonts w:asciiTheme="minorHAnsi" w:hAnsiTheme="minorHAnsi" w:cs="Calibri"/>
          <w:sz w:val="22"/>
          <w:szCs w:val="22"/>
        </w:rPr>
        <w:t xml:space="preserve"> </w:t>
      </w:r>
      <w:r w:rsidR="00DF15C4" w:rsidRPr="00AA1670">
        <w:rPr>
          <w:rFonts w:asciiTheme="minorHAnsi" w:hAnsiTheme="minorHAnsi" w:cs="Calibri"/>
          <w:sz w:val="22"/>
          <w:szCs w:val="22"/>
        </w:rPr>
        <w:t>if we create new markets in new fields we should anticipate that we are opening up new opportunities for exploiting vulnerable people.”</w:t>
      </w:r>
      <w:r>
        <w:rPr>
          <w:rStyle w:val="FootnoteReference"/>
          <w:rFonts w:asciiTheme="minorHAnsi" w:hAnsiTheme="minorHAnsi" w:cs="Calibri"/>
          <w:sz w:val="22"/>
          <w:szCs w:val="22"/>
        </w:rPr>
        <w:footnoteReference w:id="6"/>
      </w:r>
    </w:p>
    <w:p w14:paraId="719F8E7A" w14:textId="6645A182" w:rsidR="0005393C" w:rsidRDefault="0005393C" w:rsidP="00AA1670">
      <w:pPr>
        <w:kinsoku w:val="0"/>
        <w:overflowPunct w:val="0"/>
        <w:autoSpaceDE/>
        <w:autoSpaceDN/>
        <w:adjustRightInd/>
        <w:spacing w:line="276" w:lineRule="auto"/>
        <w:textAlignment w:val="baseline"/>
        <w:rPr>
          <w:rFonts w:asciiTheme="minorHAnsi" w:hAnsiTheme="minorHAnsi" w:cs="Calibri"/>
          <w:sz w:val="24"/>
          <w:szCs w:val="24"/>
        </w:rPr>
      </w:pPr>
    </w:p>
    <w:p w14:paraId="62F7ADD3" w14:textId="57556FCB" w:rsidR="001037B2" w:rsidRDefault="00AA1670" w:rsidP="00AA1670">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 is </w:t>
      </w:r>
      <w:r w:rsidR="00925919">
        <w:rPr>
          <w:rFonts w:asciiTheme="minorHAnsi" w:hAnsiTheme="minorHAnsi" w:cs="Calibri"/>
          <w:sz w:val="24"/>
          <w:szCs w:val="24"/>
        </w:rPr>
        <w:t>well</w:t>
      </w:r>
      <w:r>
        <w:rPr>
          <w:rFonts w:asciiTheme="minorHAnsi" w:hAnsiTheme="minorHAnsi" w:cs="Calibri"/>
          <w:sz w:val="24"/>
          <w:szCs w:val="24"/>
        </w:rPr>
        <w:t xml:space="preserve"> aware of the risks to some older consumers associated with the establishment of new delivery markets in sectors such as </w:t>
      </w:r>
      <w:r w:rsidR="008C6430">
        <w:rPr>
          <w:rFonts w:asciiTheme="minorHAnsi" w:hAnsiTheme="minorHAnsi" w:cs="Calibri"/>
          <w:sz w:val="24"/>
          <w:szCs w:val="24"/>
        </w:rPr>
        <w:t>a</w:t>
      </w:r>
      <w:r>
        <w:rPr>
          <w:rFonts w:asciiTheme="minorHAnsi" w:hAnsiTheme="minorHAnsi" w:cs="Calibri"/>
          <w:sz w:val="24"/>
          <w:szCs w:val="24"/>
        </w:rPr>
        <w:t xml:space="preserve">ged </w:t>
      </w:r>
      <w:r w:rsidR="008C6430">
        <w:rPr>
          <w:rFonts w:asciiTheme="minorHAnsi" w:hAnsiTheme="minorHAnsi" w:cs="Calibri"/>
          <w:sz w:val="24"/>
          <w:szCs w:val="24"/>
        </w:rPr>
        <w:t>c</w:t>
      </w:r>
      <w:r>
        <w:rPr>
          <w:rFonts w:asciiTheme="minorHAnsi" w:hAnsiTheme="minorHAnsi" w:cs="Calibri"/>
          <w:sz w:val="24"/>
          <w:szCs w:val="24"/>
        </w:rPr>
        <w:t>are</w:t>
      </w:r>
      <w:r w:rsidR="009D2F1F">
        <w:rPr>
          <w:rFonts w:asciiTheme="minorHAnsi" w:hAnsiTheme="minorHAnsi" w:cs="Calibri"/>
          <w:sz w:val="24"/>
          <w:szCs w:val="24"/>
        </w:rPr>
        <w:t xml:space="preserve"> and</w:t>
      </w:r>
      <w:r w:rsidR="00243FFD">
        <w:rPr>
          <w:rFonts w:asciiTheme="minorHAnsi" w:hAnsiTheme="minorHAnsi" w:cs="Calibri"/>
          <w:sz w:val="24"/>
          <w:szCs w:val="24"/>
        </w:rPr>
        <w:t xml:space="preserve"> </w:t>
      </w:r>
      <w:r>
        <w:rPr>
          <w:rFonts w:asciiTheme="minorHAnsi" w:hAnsiTheme="minorHAnsi" w:cs="Calibri"/>
          <w:sz w:val="24"/>
          <w:szCs w:val="24"/>
        </w:rPr>
        <w:t xml:space="preserve">disability services.  Bringing together new market players </w:t>
      </w:r>
      <w:r w:rsidR="002B092B">
        <w:rPr>
          <w:rFonts w:asciiTheme="minorHAnsi" w:hAnsiTheme="minorHAnsi" w:cs="Calibri"/>
          <w:sz w:val="24"/>
          <w:szCs w:val="24"/>
        </w:rPr>
        <w:t xml:space="preserve">and </w:t>
      </w:r>
      <w:r w:rsidR="00925919">
        <w:rPr>
          <w:rFonts w:asciiTheme="minorHAnsi" w:hAnsiTheme="minorHAnsi" w:cs="Calibri"/>
          <w:sz w:val="24"/>
          <w:szCs w:val="24"/>
        </w:rPr>
        <w:t xml:space="preserve">a significant proportion of vulnerable </w:t>
      </w:r>
      <w:r>
        <w:rPr>
          <w:rFonts w:asciiTheme="minorHAnsi" w:hAnsiTheme="minorHAnsi" w:cs="Calibri"/>
          <w:sz w:val="24"/>
          <w:szCs w:val="24"/>
        </w:rPr>
        <w:t>consumers</w:t>
      </w:r>
      <w:r w:rsidR="008C6430">
        <w:rPr>
          <w:rFonts w:asciiTheme="minorHAnsi" w:hAnsiTheme="minorHAnsi" w:cs="Calibri"/>
          <w:sz w:val="24"/>
          <w:szCs w:val="24"/>
        </w:rPr>
        <w:t xml:space="preserve">, </w:t>
      </w:r>
      <w:r w:rsidR="002B092B">
        <w:rPr>
          <w:rFonts w:asciiTheme="minorHAnsi" w:hAnsiTheme="minorHAnsi" w:cs="Calibri"/>
          <w:sz w:val="24"/>
          <w:szCs w:val="24"/>
        </w:rPr>
        <w:t>with more</w:t>
      </w:r>
      <w:r w:rsidR="008C6430">
        <w:rPr>
          <w:rFonts w:asciiTheme="minorHAnsi" w:hAnsiTheme="minorHAnsi" w:cs="Calibri"/>
          <w:sz w:val="24"/>
          <w:szCs w:val="24"/>
        </w:rPr>
        <w:t xml:space="preserve"> power over purchasing decisions</w:t>
      </w:r>
      <w:r w:rsidR="00F17429">
        <w:rPr>
          <w:rFonts w:asciiTheme="minorHAnsi" w:hAnsiTheme="minorHAnsi" w:cs="Calibri"/>
          <w:sz w:val="24"/>
          <w:szCs w:val="24"/>
        </w:rPr>
        <w:t xml:space="preserve"> </w:t>
      </w:r>
      <w:r>
        <w:rPr>
          <w:rFonts w:asciiTheme="minorHAnsi" w:hAnsiTheme="minorHAnsi" w:cs="Calibri"/>
          <w:sz w:val="24"/>
          <w:szCs w:val="24"/>
        </w:rPr>
        <w:t xml:space="preserve">in these </w:t>
      </w:r>
      <w:r w:rsidR="00DA0195">
        <w:rPr>
          <w:rFonts w:asciiTheme="minorHAnsi" w:hAnsiTheme="minorHAnsi" w:cs="Calibri"/>
          <w:sz w:val="24"/>
          <w:szCs w:val="24"/>
        </w:rPr>
        <w:t>sectors</w:t>
      </w:r>
      <w:r w:rsidR="00925919">
        <w:rPr>
          <w:rFonts w:asciiTheme="minorHAnsi" w:hAnsiTheme="minorHAnsi" w:cs="Calibri"/>
          <w:sz w:val="24"/>
          <w:szCs w:val="24"/>
        </w:rPr>
        <w:t xml:space="preserve"> </w:t>
      </w:r>
      <w:r>
        <w:rPr>
          <w:rFonts w:asciiTheme="minorHAnsi" w:hAnsiTheme="minorHAnsi" w:cs="Calibri"/>
          <w:sz w:val="24"/>
          <w:szCs w:val="24"/>
        </w:rPr>
        <w:t xml:space="preserve">could create </w:t>
      </w:r>
      <w:r w:rsidR="00925919">
        <w:rPr>
          <w:rFonts w:asciiTheme="minorHAnsi" w:hAnsiTheme="minorHAnsi" w:cs="Calibri"/>
          <w:sz w:val="24"/>
          <w:szCs w:val="24"/>
        </w:rPr>
        <w:t>exploitive</w:t>
      </w:r>
      <w:r w:rsidR="00F17429">
        <w:rPr>
          <w:rFonts w:asciiTheme="minorHAnsi" w:hAnsiTheme="minorHAnsi" w:cs="Calibri"/>
          <w:sz w:val="24"/>
          <w:szCs w:val="24"/>
        </w:rPr>
        <w:t>,</w:t>
      </w:r>
      <w:r w:rsidR="00243FFD">
        <w:rPr>
          <w:rFonts w:asciiTheme="minorHAnsi" w:hAnsiTheme="minorHAnsi" w:cs="Calibri"/>
          <w:sz w:val="24"/>
          <w:szCs w:val="24"/>
        </w:rPr>
        <w:t xml:space="preserve"> </w:t>
      </w:r>
      <w:r w:rsidR="00925919">
        <w:rPr>
          <w:rFonts w:asciiTheme="minorHAnsi" w:hAnsiTheme="minorHAnsi" w:cs="Calibri"/>
          <w:sz w:val="24"/>
          <w:szCs w:val="24"/>
        </w:rPr>
        <w:t xml:space="preserve">substandard or inappropriate service relationships </w:t>
      </w:r>
      <w:r>
        <w:rPr>
          <w:rFonts w:asciiTheme="minorHAnsi" w:hAnsiTheme="minorHAnsi" w:cs="Calibri"/>
          <w:sz w:val="24"/>
          <w:szCs w:val="24"/>
        </w:rPr>
        <w:t xml:space="preserve">if not well regulated and supported by government. </w:t>
      </w:r>
      <w:r w:rsidR="00A377AB">
        <w:rPr>
          <w:rFonts w:asciiTheme="minorHAnsi" w:hAnsiTheme="minorHAnsi" w:cs="Calibri"/>
          <w:sz w:val="24"/>
          <w:szCs w:val="24"/>
        </w:rPr>
        <w:t>In aged care the relevant entry and quality regulatory regimes are being maintained, or improved, while the move to a more market based, consumer driven service delivery model is implemented in the home care component of aged care.</w:t>
      </w:r>
      <w:r>
        <w:rPr>
          <w:rFonts w:asciiTheme="minorHAnsi" w:hAnsiTheme="minorHAnsi" w:cs="Calibri"/>
          <w:sz w:val="24"/>
          <w:szCs w:val="24"/>
        </w:rPr>
        <w:t xml:space="preserve"> </w:t>
      </w:r>
      <w:r w:rsidR="00A377AB">
        <w:rPr>
          <w:rFonts w:asciiTheme="minorHAnsi" w:hAnsiTheme="minorHAnsi" w:cs="Calibri"/>
          <w:sz w:val="24"/>
          <w:szCs w:val="24"/>
        </w:rPr>
        <w:t>(Such change has not yet really commenced in residential aged care, despite some freeing up of accommodation pricing).</w:t>
      </w:r>
    </w:p>
    <w:p w14:paraId="36BB8B2C" w14:textId="77777777" w:rsidR="001037B2" w:rsidRDefault="001037B2" w:rsidP="00AA1670">
      <w:pPr>
        <w:kinsoku w:val="0"/>
        <w:overflowPunct w:val="0"/>
        <w:autoSpaceDE/>
        <w:autoSpaceDN/>
        <w:adjustRightInd/>
        <w:spacing w:line="276" w:lineRule="auto"/>
        <w:textAlignment w:val="baseline"/>
        <w:rPr>
          <w:rFonts w:asciiTheme="minorHAnsi" w:hAnsiTheme="minorHAnsi" w:cs="Calibri"/>
          <w:sz w:val="24"/>
          <w:szCs w:val="24"/>
        </w:rPr>
      </w:pPr>
    </w:p>
    <w:p w14:paraId="4DAEFDEF" w14:textId="4A7840B8" w:rsidR="001037B2" w:rsidRDefault="00AA1670" w:rsidP="00DF15C4">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An example of COTA’s concern in this regard is the potential for </w:t>
      </w:r>
      <w:r w:rsidR="00F660C3">
        <w:rPr>
          <w:rFonts w:asciiTheme="minorHAnsi" w:hAnsiTheme="minorHAnsi" w:cs="Calibri"/>
          <w:sz w:val="24"/>
          <w:szCs w:val="24"/>
        </w:rPr>
        <w:t>increased pressure</w:t>
      </w:r>
      <w:r w:rsidR="00DA0195">
        <w:rPr>
          <w:rFonts w:asciiTheme="minorHAnsi" w:hAnsiTheme="minorHAnsi" w:cs="Calibri"/>
          <w:sz w:val="24"/>
          <w:szCs w:val="24"/>
        </w:rPr>
        <w:t xml:space="preserve"> tactics targeting older consumers </w:t>
      </w:r>
      <w:r w:rsidR="00925919">
        <w:rPr>
          <w:rFonts w:asciiTheme="minorHAnsi" w:hAnsiTheme="minorHAnsi" w:cs="Calibri"/>
          <w:sz w:val="24"/>
          <w:szCs w:val="24"/>
        </w:rPr>
        <w:t>through</w:t>
      </w:r>
      <w:r w:rsidR="00F660C3">
        <w:rPr>
          <w:rFonts w:asciiTheme="minorHAnsi" w:hAnsiTheme="minorHAnsi" w:cs="Calibri"/>
          <w:sz w:val="24"/>
          <w:szCs w:val="24"/>
        </w:rPr>
        <w:t xml:space="preserve"> </w:t>
      </w:r>
      <w:r w:rsidR="00DA0195">
        <w:rPr>
          <w:rFonts w:asciiTheme="minorHAnsi" w:hAnsiTheme="minorHAnsi" w:cs="Calibri"/>
          <w:sz w:val="24"/>
          <w:szCs w:val="24"/>
        </w:rPr>
        <w:t>door-to-door and telephone</w:t>
      </w:r>
      <w:r w:rsidR="00F660C3">
        <w:rPr>
          <w:rFonts w:asciiTheme="minorHAnsi" w:hAnsiTheme="minorHAnsi" w:cs="Calibri"/>
          <w:sz w:val="24"/>
          <w:szCs w:val="24"/>
        </w:rPr>
        <w:t xml:space="preserve"> sales</w:t>
      </w:r>
      <w:r w:rsidR="00DA0195">
        <w:rPr>
          <w:rFonts w:asciiTheme="minorHAnsi" w:hAnsiTheme="minorHAnsi" w:cs="Calibri"/>
          <w:sz w:val="24"/>
          <w:szCs w:val="24"/>
        </w:rPr>
        <w:t xml:space="preserve">.  Older people can be more vulnerable to these tactics if for no other reason than they are more likely to be at home in business hours.  </w:t>
      </w:r>
      <w:r w:rsidR="00955832">
        <w:rPr>
          <w:rFonts w:asciiTheme="minorHAnsi" w:hAnsiTheme="minorHAnsi" w:cs="Calibri"/>
          <w:sz w:val="24"/>
          <w:szCs w:val="24"/>
        </w:rPr>
        <w:t xml:space="preserve">They may also </w:t>
      </w:r>
      <w:r w:rsidR="00925919">
        <w:rPr>
          <w:rFonts w:asciiTheme="minorHAnsi" w:hAnsiTheme="minorHAnsi" w:cs="Calibri"/>
          <w:sz w:val="24"/>
          <w:szCs w:val="24"/>
        </w:rPr>
        <w:t xml:space="preserve">often </w:t>
      </w:r>
      <w:r w:rsidR="00955832">
        <w:rPr>
          <w:rFonts w:asciiTheme="minorHAnsi" w:hAnsiTheme="minorHAnsi" w:cs="Calibri"/>
          <w:sz w:val="24"/>
          <w:szCs w:val="24"/>
        </w:rPr>
        <w:t xml:space="preserve">not have access to the Internet or other </w:t>
      </w:r>
      <w:r w:rsidR="00925919">
        <w:rPr>
          <w:rFonts w:asciiTheme="minorHAnsi" w:hAnsiTheme="minorHAnsi" w:cs="Calibri"/>
          <w:sz w:val="24"/>
          <w:szCs w:val="24"/>
        </w:rPr>
        <w:t xml:space="preserve">immediately available </w:t>
      </w:r>
      <w:r w:rsidR="00955832">
        <w:rPr>
          <w:rFonts w:asciiTheme="minorHAnsi" w:hAnsiTheme="minorHAnsi" w:cs="Calibri"/>
          <w:sz w:val="24"/>
          <w:szCs w:val="24"/>
        </w:rPr>
        <w:t xml:space="preserve">information sources regarding the increasingly complex </w:t>
      </w:r>
      <w:r w:rsidR="00A377AB">
        <w:rPr>
          <w:rFonts w:asciiTheme="minorHAnsi" w:hAnsiTheme="minorHAnsi" w:cs="Calibri"/>
          <w:sz w:val="24"/>
          <w:szCs w:val="24"/>
        </w:rPr>
        <w:t xml:space="preserve">arrangements for </w:t>
      </w:r>
      <w:r w:rsidR="00955832">
        <w:rPr>
          <w:rFonts w:asciiTheme="minorHAnsi" w:hAnsiTheme="minorHAnsi" w:cs="Calibri"/>
          <w:sz w:val="24"/>
          <w:szCs w:val="24"/>
        </w:rPr>
        <w:t xml:space="preserve">services they need to access and </w:t>
      </w:r>
      <w:r w:rsidR="00A377AB">
        <w:rPr>
          <w:rFonts w:asciiTheme="minorHAnsi" w:hAnsiTheme="minorHAnsi" w:cs="Calibri"/>
          <w:sz w:val="24"/>
          <w:szCs w:val="24"/>
        </w:rPr>
        <w:t xml:space="preserve">are </w:t>
      </w:r>
      <w:r w:rsidR="00955832">
        <w:rPr>
          <w:rFonts w:asciiTheme="minorHAnsi" w:hAnsiTheme="minorHAnsi" w:cs="Calibri"/>
          <w:sz w:val="24"/>
          <w:szCs w:val="24"/>
        </w:rPr>
        <w:t>therefore mor</w:t>
      </w:r>
      <w:r w:rsidR="0050301A">
        <w:rPr>
          <w:rFonts w:asciiTheme="minorHAnsi" w:hAnsiTheme="minorHAnsi" w:cs="Calibri"/>
          <w:sz w:val="24"/>
          <w:szCs w:val="24"/>
        </w:rPr>
        <w:t>e susceptible to pressure sales.</w:t>
      </w:r>
    </w:p>
    <w:p w14:paraId="29967767" w14:textId="77777777" w:rsidR="001037B2" w:rsidRDefault="001037B2" w:rsidP="00DF15C4">
      <w:pPr>
        <w:kinsoku w:val="0"/>
        <w:overflowPunct w:val="0"/>
        <w:autoSpaceDE/>
        <w:autoSpaceDN/>
        <w:adjustRightInd/>
        <w:spacing w:line="276" w:lineRule="auto"/>
        <w:textAlignment w:val="baseline"/>
        <w:rPr>
          <w:rFonts w:asciiTheme="minorHAnsi" w:hAnsiTheme="minorHAnsi" w:cs="Calibri"/>
          <w:sz w:val="24"/>
          <w:szCs w:val="24"/>
        </w:rPr>
      </w:pPr>
    </w:p>
    <w:p w14:paraId="742CF333" w14:textId="0B319618" w:rsidR="002539AD" w:rsidRDefault="00DA0195" w:rsidP="00DF15C4">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In recognition of this, in our 2016 Election Statement</w:t>
      </w:r>
      <w:r w:rsidR="001037B2">
        <w:rPr>
          <w:rStyle w:val="FootnoteReference"/>
          <w:rFonts w:asciiTheme="minorHAnsi" w:hAnsiTheme="minorHAnsi" w:cs="Calibri"/>
          <w:sz w:val="24"/>
          <w:szCs w:val="24"/>
        </w:rPr>
        <w:footnoteReference w:id="7"/>
      </w:r>
      <w:r>
        <w:rPr>
          <w:rFonts w:asciiTheme="minorHAnsi" w:hAnsiTheme="minorHAnsi" w:cs="Calibri"/>
          <w:sz w:val="24"/>
          <w:szCs w:val="24"/>
        </w:rPr>
        <w:t xml:space="preserve"> COTA joined a number of other consumer advocates in calling for a ban on selling through telephone cold calling and door knocking</w:t>
      </w:r>
      <w:r w:rsidR="00925919">
        <w:rPr>
          <w:rFonts w:asciiTheme="minorHAnsi" w:hAnsiTheme="minorHAnsi" w:cs="Calibri"/>
          <w:sz w:val="24"/>
          <w:szCs w:val="24"/>
        </w:rPr>
        <w:t xml:space="preserve"> – both situations in which </w:t>
      </w:r>
      <w:r w:rsidR="00F660C3">
        <w:rPr>
          <w:rFonts w:asciiTheme="minorHAnsi" w:hAnsiTheme="minorHAnsi" w:cs="Calibri"/>
          <w:sz w:val="24"/>
          <w:szCs w:val="24"/>
        </w:rPr>
        <w:t>comparative information is not available to the consumer at point of sale</w:t>
      </w:r>
      <w:r>
        <w:rPr>
          <w:rFonts w:asciiTheme="minorHAnsi" w:hAnsiTheme="minorHAnsi" w:cs="Calibri"/>
          <w:sz w:val="24"/>
          <w:szCs w:val="24"/>
        </w:rPr>
        <w:t xml:space="preserve">.  </w:t>
      </w:r>
      <w:r w:rsidR="001037B2">
        <w:rPr>
          <w:rFonts w:asciiTheme="minorHAnsi" w:hAnsiTheme="minorHAnsi" w:cs="Calibri"/>
          <w:sz w:val="24"/>
          <w:szCs w:val="24"/>
        </w:rPr>
        <w:t>The es</w:t>
      </w:r>
      <w:r w:rsidR="002262DA">
        <w:rPr>
          <w:rFonts w:asciiTheme="minorHAnsi" w:hAnsiTheme="minorHAnsi" w:cs="Calibri"/>
          <w:sz w:val="24"/>
          <w:szCs w:val="24"/>
        </w:rPr>
        <w:t>tablishment of new markets for Human S</w:t>
      </w:r>
      <w:r w:rsidR="001037B2">
        <w:rPr>
          <w:rFonts w:asciiTheme="minorHAnsi" w:hAnsiTheme="minorHAnsi" w:cs="Calibri"/>
          <w:sz w:val="24"/>
          <w:szCs w:val="24"/>
        </w:rPr>
        <w:t xml:space="preserve">ervices has the potential </w:t>
      </w:r>
      <w:r>
        <w:rPr>
          <w:rFonts w:asciiTheme="minorHAnsi" w:hAnsiTheme="minorHAnsi" w:cs="Calibri"/>
          <w:sz w:val="24"/>
          <w:szCs w:val="24"/>
        </w:rPr>
        <w:t xml:space="preserve">to expose older consumers to </w:t>
      </w:r>
      <w:r w:rsidR="001037B2">
        <w:rPr>
          <w:rFonts w:asciiTheme="minorHAnsi" w:hAnsiTheme="minorHAnsi" w:cs="Calibri"/>
          <w:sz w:val="24"/>
          <w:szCs w:val="24"/>
        </w:rPr>
        <w:t xml:space="preserve">a </w:t>
      </w:r>
      <w:r>
        <w:rPr>
          <w:rFonts w:asciiTheme="minorHAnsi" w:hAnsiTheme="minorHAnsi" w:cs="Calibri"/>
          <w:sz w:val="24"/>
          <w:szCs w:val="24"/>
        </w:rPr>
        <w:t xml:space="preserve">greater likelihood of encountering unconscionable </w:t>
      </w:r>
      <w:r w:rsidR="001037B2">
        <w:rPr>
          <w:rFonts w:asciiTheme="minorHAnsi" w:hAnsiTheme="minorHAnsi" w:cs="Calibri"/>
          <w:sz w:val="24"/>
          <w:szCs w:val="24"/>
        </w:rPr>
        <w:t xml:space="preserve">selling conduct, so government must provide </w:t>
      </w:r>
      <w:r w:rsidR="00925919">
        <w:rPr>
          <w:rFonts w:asciiTheme="minorHAnsi" w:hAnsiTheme="minorHAnsi" w:cs="Calibri"/>
          <w:sz w:val="24"/>
          <w:szCs w:val="24"/>
        </w:rPr>
        <w:t xml:space="preserve">stronger, proactive </w:t>
      </w:r>
      <w:r w:rsidR="001037B2">
        <w:rPr>
          <w:rFonts w:asciiTheme="minorHAnsi" w:hAnsiTheme="minorHAnsi" w:cs="Calibri"/>
          <w:sz w:val="24"/>
          <w:szCs w:val="24"/>
        </w:rPr>
        <w:t xml:space="preserve">consumer protections if it intends going further </w:t>
      </w:r>
      <w:r w:rsidR="00CC1F56">
        <w:rPr>
          <w:rFonts w:asciiTheme="minorHAnsi" w:hAnsiTheme="minorHAnsi" w:cs="Calibri"/>
          <w:sz w:val="24"/>
          <w:szCs w:val="24"/>
        </w:rPr>
        <w:t xml:space="preserve">into </w:t>
      </w:r>
      <w:r w:rsidR="00A377AB">
        <w:rPr>
          <w:rFonts w:asciiTheme="minorHAnsi" w:hAnsiTheme="minorHAnsi" w:cs="Calibri"/>
          <w:sz w:val="24"/>
          <w:szCs w:val="24"/>
        </w:rPr>
        <w:t>marketization</w:t>
      </w:r>
      <w:r w:rsidR="00CC1F56">
        <w:rPr>
          <w:rFonts w:asciiTheme="minorHAnsi" w:hAnsiTheme="minorHAnsi" w:cs="Calibri"/>
          <w:sz w:val="24"/>
          <w:szCs w:val="24"/>
        </w:rPr>
        <w:t xml:space="preserve"> in </w:t>
      </w:r>
      <w:r w:rsidR="00955832">
        <w:rPr>
          <w:rFonts w:asciiTheme="minorHAnsi" w:hAnsiTheme="minorHAnsi" w:cs="Calibri"/>
          <w:sz w:val="24"/>
          <w:szCs w:val="24"/>
        </w:rPr>
        <w:t>these sectors</w:t>
      </w:r>
      <w:r w:rsidR="001037B2">
        <w:rPr>
          <w:rFonts w:asciiTheme="minorHAnsi" w:hAnsiTheme="minorHAnsi" w:cs="Calibri"/>
          <w:sz w:val="24"/>
          <w:szCs w:val="24"/>
        </w:rPr>
        <w:t xml:space="preserve">.  </w:t>
      </w:r>
    </w:p>
    <w:p w14:paraId="69B43263" w14:textId="41B0CF77" w:rsidR="001A74D2" w:rsidRDefault="001A74D2" w:rsidP="00DF15C4">
      <w:pPr>
        <w:kinsoku w:val="0"/>
        <w:overflowPunct w:val="0"/>
        <w:autoSpaceDE/>
        <w:autoSpaceDN/>
        <w:adjustRightInd/>
        <w:spacing w:line="276" w:lineRule="auto"/>
        <w:textAlignment w:val="baseline"/>
        <w:rPr>
          <w:rFonts w:asciiTheme="minorHAnsi" w:hAnsiTheme="minorHAnsi" w:cs="Calibri"/>
          <w:sz w:val="24"/>
          <w:szCs w:val="24"/>
        </w:rPr>
      </w:pPr>
    </w:p>
    <w:p w14:paraId="3713E298" w14:textId="044AAB96" w:rsidR="00794565" w:rsidRPr="00A377AB" w:rsidRDefault="00794565" w:rsidP="00A377AB">
      <w:pPr>
        <w:pStyle w:val="Heading1"/>
        <w:rPr>
          <w:rFonts w:asciiTheme="minorHAnsi" w:hAnsiTheme="minorHAnsi"/>
          <w:color w:val="E36C0A" w:themeColor="accent6" w:themeShade="BF"/>
        </w:rPr>
      </w:pPr>
      <w:r w:rsidRPr="00A377AB">
        <w:rPr>
          <w:rFonts w:asciiTheme="minorHAnsi" w:hAnsiTheme="minorHAnsi"/>
          <w:color w:val="E36C0A" w:themeColor="accent6" w:themeShade="BF"/>
        </w:rPr>
        <w:t>Response to the Discussion Paper</w:t>
      </w:r>
    </w:p>
    <w:p w14:paraId="3FA54686" w14:textId="77777777" w:rsidR="00794565" w:rsidRDefault="00794565" w:rsidP="00DF15C4">
      <w:pPr>
        <w:kinsoku w:val="0"/>
        <w:overflowPunct w:val="0"/>
        <w:autoSpaceDE/>
        <w:autoSpaceDN/>
        <w:adjustRightInd/>
        <w:spacing w:line="276" w:lineRule="auto"/>
        <w:textAlignment w:val="baseline"/>
        <w:rPr>
          <w:rFonts w:asciiTheme="minorHAnsi" w:hAnsiTheme="minorHAnsi" w:cs="Calibri"/>
          <w:sz w:val="24"/>
          <w:szCs w:val="24"/>
        </w:rPr>
      </w:pPr>
    </w:p>
    <w:p w14:paraId="21956922" w14:textId="7221A95C" w:rsidR="00BF5533" w:rsidRDefault="002B092B" w:rsidP="0005393C">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In the face of </w:t>
      </w:r>
      <w:r w:rsidR="00BF5533">
        <w:rPr>
          <w:rFonts w:asciiTheme="minorHAnsi" w:hAnsiTheme="minorHAnsi" w:cs="Calibri"/>
          <w:sz w:val="24"/>
          <w:szCs w:val="24"/>
        </w:rPr>
        <w:t>the risks identified above</w:t>
      </w:r>
      <w:r>
        <w:rPr>
          <w:rFonts w:asciiTheme="minorHAnsi" w:hAnsiTheme="minorHAnsi" w:cs="Calibri"/>
          <w:sz w:val="24"/>
          <w:szCs w:val="24"/>
        </w:rPr>
        <w:t>, COTA would have preferred that the Inquiry had reversed its two sta</w:t>
      </w:r>
      <w:r w:rsidR="001940D4">
        <w:rPr>
          <w:rFonts w:asciiTheme="minorHAnsi" w:hAnsiTheme="minorHAnsi" w:cs="Calibri"/>
          <w:sz w:val="24"/>
          <w:szCs w:val="24"/>
        </w:rPr>
        <w:t xml:space="preserve">ges.  </w:t>
      </w:r>
      <w:r w:rsidR="00BF5533">
        <w:rPr>
          <w:rFonts w:asciiTheme="minorHAnsi" w:hAnsiTheme="minorHAnsi" w:cs="Calibri"/>
          <w:sz w:val="24"/>
          <w:szCs w:val="24"/>
        </w:rPr>
        <w:t xml:space="preserve">We believe that the </w:t>
      </w:r>
      <w:r w:rsidR="00E62F07">
        <w:rPr>
          <w:rFonts w:asciiTheme="minorHAnsi" w:hAnsiTheme="minorHAnsi" w:cs="Calibri"/>
          <w:sz w:val="24"/>
          <w:szCs w:val="24"/>
        </w:rPr>
        <w:t>Productivity Commission</w:t>
      </w:r>
      <w:r w:rsidR="00BF5533">
        <w:rPr>
          <w:rFonts w:asciiTheme="minorHAnsi" w:hAnsiTheme="minorHAnsi" w:cs="Calibri"/>
          <w:sz w:val="24"/>
          <w:szCs w:val="24"/>
        </w:rPr>
        <w:t xml:space="preserve"> ought to have led with the development of a principles-based framework for assessing the future of human services.  Instead it started</w:t>
      </w:r>
      <w:r w:rsidR="001940D4">
        <w:rPr>
          <w:rFonts w:asciiTheme="minorHAnsi" w:hAnsiTheme="minorHAnsi" w:cs="Calibri"/>
          <w:sz w:val="24"/>
          <w:szCs w:val="24"/>
        </w:rPr>
        <w:t xml:space="preserve"> with the identification of potential service areas suited to greater competition, contestability and user choice</w:t>
      </w:r>
      <w:r w:rsidR="00BF5533">
        <w:rPr>
          <w:rFonts w:asciiTheme="minorHAnsi" w:hAnsiTheme="minorHAnsi" w:cs="Calibri"/>
          <w:sz w:val="24"/>
          <w:szCs w:val="24"/>
        </w:rPr>
        <w:t xml:space="preserve"> </w:t>
      </w:r>
      <w:r w:rsidR="001940D4">
        <w:rPr>
          <w:rFonts w:asciiTheme="minorHAnsi" w:hAnsiTheme="minorHAnsi" w:cs="Calibri"/>
          <w:sz w:val="24"/>
          <w:szCs w:val="24"/>
        </w:rPr>
        <w:t>based essentially</w:t>
      </w:r>
      <w:r w:rsidR="00A377AB">
        <w:rPr>
          <w:rFonts w:asciiTheme="minorHAnsi" w:hAnsiTheme="minorHAnsi" w:cs="Calibri"/>
          <w:sz w:val="24"/>
          <w:szCs w:val="24"/>
        </w:rPr>
        <w:t xml:space="preserve"> as far as we can tell</w:t>
      </w:r>
      <w:r w:rsidR="001940D4">
        <w:rPr>
          <w:rFonts w:asciiTheme="minorHAnsi" w:hAnsiTheme="minorHAnsi" w:cs="Calibri"/>
          <w:sz w:val="24"/>
          <w:szCs w:val="24"/>
        </w:rPr>
        <w:t xml:space="preserve"> on</w:t>
      </w:r>
      <w:r w:rsidR="00375D8C">
        <w:rPr>
          <w:rFonts w:asciiTheme="minorHAnsi" w:hAnsiTheme="minorHAnsi" w:cs="Calibri"/>
          <w:sz w:val="24"/>
          <w:szCs w:val="24"/>
        </w:rPr>
        <w:t xml:space="preserve"> economic</w:t>
      </w:r>
      <w:r w:rsidR="001940D4">
        <w:rPr>
          <w:rFonts w:asciiTheme="minorHAnsi" w:hAnsiTheme="minorHAnsi" w:cs="Calibri"/>
          <w:sz w:val="24"/>
          <w:szCs w:val="24"/>
        </w:rPr>
        <w:t xml:space="preserve"> supply and demand f</w:t>
      </w:r>
      <w:r w:rsidR="00BF5533">
        <w:rPr>
          <w:rFonts w:asciiTheme="minorHAnsi" w:hAnsiTheme="minorHAnsi" w:cs="Calibri"/>
          <w:sz w:val="24"/>
          <w:szCs w:val="24"/>
        </w:rPr>
        <w:t>actors.</w:t>
      </w:r>
    </w:p>
    <w:p w14:paraId="562E3C9A" w14:textId="77777777" w:rsidR="00BF5533" w:rsidRDefault="00BF5533" w:rsidP="0005393C">
      <w:pPr>
        <w:kinsoku w:val="0"/>
        <w:overflowPunct w:val="0"/>
        <w:autoSpaceDE/>
        <w:autoSpaceDN/>
        <w:adjustRightInd/>
        <w:spacing w:line="276" w:lineRule="auto"/>
        <w:textAlignment w:val="baseline"/>
        <w:rPr>
          <w:rFonts w:asciiTheme="minorHAnsi" w:hAnsiTheme="minorHAnsi" w:cs="Calibri"/>
          <w:sz w:val="24"/>
          <w:szCs w:val="24"/>
        </w:rPr>
      </w:pPr>
    </w:p>
    <w:p w14:paraId="34ECE4CA" w14:textId="24459E0F" w:rsidR="00B6248C" w:rsidRDefault="00375D8C" w:rsidP="0005393C">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In </w:t>
      </w:r>
      <w:r w:rsidR="00A377AB">
        <w:rPr>
          <w:rFonts w:asciiTheme="minorHAnsi" w:hAnsiTheme="minorHAnsi" w:cs="Calibri"/>
          <w:sz w:val="24"/>
          <w:szCs w:val="24"/>
        </w:rPr>
        <w:t>the Commission’s</w:t>
      </w:r>
      <w:r>
        <w:rPr>
          <w:rFonts w:asciiTheme="minorHAnsi" w:hAnsiTheme="minorHAnsi" w:cs="Calibri"/>
          <w:sz w:val="24"/>
          <w:szCs w:val="24"/>
        </w:rPr>
        <w:t xml:space="preserve"> current Discussion Paper, as well as identifying </w:t>
      </w:r>
      <w:r w:rsidR="005C4FAF">
        <w:rPr>
          <w:rFonts w:asciiTheme="minorHAnsi" w:hAnsiTheme="minorHAnsi" w:cs="Calibri"/>
          <w:sz w:val="24"/>
          <w:szCs w:val="24"/>
        </w:rPr>
        <w:t xml:space="preserve">specific </w:t>
      </w:r>
      <w:r>
        <w:rPr>
          <w:rFonts w:asciiTheme="minorHAnsi" w:hAnsiTheme="minorHAnsi" w:cs="Calibri"/>
          <w:sz w:val="24"/>
          <w:szCs w:val="24"/>
        </w:rPr>
        <w:t xml:space="preserve">service areas for </w:t>
      </w:r>
      <w:r>
        <w:rPr>
          <w:rFonts w:asciiTheme="minorHAnsi" w:hAnsiTheme="minorHAnsi" w:cs="Calibri"/>
          <w:sz w:val="24"/>
          <w:szCs w:val="24"/>
        </w:rPr>
        <w:lastRenderedPageBreak/>
        <w:t xml:space="preserve">reform, </w:t>
      </w:r>
      <w:r w:rsidR="00A377AB">
        <w:rPr>
          <w:rFonts w:asciiTheme="minorHAnsi" w:hAnsiTheme="minorHAnsi" w:cs="Calibri"/>
          <w:sz w:val="24"/>
          <w:szCs w:val="24"/>
        </w:rPr>
        <w:t>the Commission</w:t>
      </w:r>
      <w:r>
        <w:rPr>
          <w:rFonts w:asciiTheme="minorHAnsi" w:hAnsiTheme="minorHAnsi" w:cs="Calibri"/>
          <w:sz w:val="24"/>
          <w:szCs w:val="24"/>
        </w:rPr>
        <w:t xml:space="preserve"> provide</w:t>
      </w:r>
      <w:r w:rsidR="00A377AB">
        <w:rPr>
          <w:rFonts w:asciiTheme="minorHAnsi" w:hAnsiTheme="minorHAnsi" w:cs="Calibri"/>
          <w:sz w:val="24"/>
          <w:szCs w:val="24"/>
        </w:rPr>
        <w:t>s</w:t>
      </w:r>
      <w:r>
        <w:rPr>
          <w:rFonts w:asciiTheme="minorHAnsi" w:hAnsiTheme="minorHAnsi" w:cs="Calibri"/>
          <w:sz w:val="24"/>
          <w:szCs w:val="24"/>
        </w:rPr>
        <w:t xml:space="preserve"> a </w:t>
      </w:r>
      <w:r w:rsidR="00BF5533">
        <w:rPr>
          <w:rFonts w:asciiTheme="minorHAnsi" w:hAnsiTheme="minorHAnsi" w:cs="Calibri"/>
          <w:sz w:val="24"/>
          <w:szCs w:val="24"/>
        </w:rPr>
        <w:t xml:space="preserve">limited </w:t>
      </w:r>
      <w:r>
        <w:rPr>
          <w:rFonts w:asciiTheme="minorHAnsi" w:hAnsiTheme="minorHAnsi" w:cs="Calibri"/>
          <w:sz w:val="24"/>
          <w:szCs w:val="24"/>
        </w:rPr>
        <w:t>“Framework for Assessing Reforms”</w:t>
      </w:r>
      <w:r w:rsidR="00BF5533">
        <w:rPr>
          <w:rFonts w:asciiTheme="minorHAnsi" w:hAnsiTheme="minorHAnsi" w:cs="Calibri"/>
          <w:sz w:val="24"/>
          <w:szCs w:val="24"/>
        </w:rPr>
        <w:t xml:space="preserve">.  This framework relies essentially on a small number of ‘attributes’ to </w:t>
      </w:r>
      <w:r w:rsidR="00794565">
        <w:rPr>
          <w:rFonts w:asciiTheme="minorHAnsi" w:hAnsiTheme="minorHAnsi" w:cs="Calibri"/>
          <w:sz w:val="24"/>
          <w:szCs w:val="24"/>
        </w:rPr>
        <w:t>‘</w:t>
      </w:r>
      <w:r w:rsidR="00BF5533">
        <w:rPr>
          <w:rFonts w:asciiTheme="minorHAnsi" w:hAnsiTheme="minorHAnsi" w:cs="Calibri"/>
          <w:sz w:val="24"/>
          <w:szCs w:val="24"/>
        </w:rPr>
        <w:t>determine overall effectiveness in improving the wellbeing of users and the welfare of the community as a whole</w:t>
      </w:r>
      <w:r w:rsidR="00794565">
        <w:rPr>
          <w:rFonts w:asciiTheme="minorHAnsi" w:hAnsiTheme="minorHAnsi" w:cs="Calibri"/>
          <w:sz w:val="24"/>
          <w:szCs w:val="24"/>
        </w:rPr>
        <w:t>’</w:t>
      </w:r>
      <w:r w:rsidR="00BF5533">
        <w:rPr>
          <w:rFonts w:asciiTheme="minorHAnsi" w:hAnsiTheme="minorHAnsi" w:cs="Calibri"/>
          <w:sz w:val="24"/>
          <w:szCs w:val="24"/>
        </w:rPr>
        <w:t>.  These generic</w:t>
      </w:r>
      <w:r w:rsidR="005C4FAF">
        <w:rPr>
          <w:rFonts w:asciiTheme="minorHAnsi" w:hAnsiTheme="minorHAnsi" w:cs="Calibri"/>
          <w:sz w:val="24"/>
          <w:szCs w:val="24"/>
        </w:rPr>
        <w:t>,</w:t>
      </w:r>
      <w:r w:rsidR="00BF5533">
        <w:rPr>
          <w:rFonts w:asciiTheme="minorHAnsi" w:hAnsiTheme="minorHAnsi" w:cs="Calibri"/>
          <w:sz w:val="24"/>
          <w:szCs w:val="24"/>
        </w:rPr>
        <w:t xml:space="preserve"> management-style ‘attributes’ are proposed as the </w:t>
      </w:r>
      <w:r w:rsidR="00243FFD">
        <w:rPr>
          <w:rFonts w:asciiTheme="minorHAnsi" w:hAnsiTheme="minorHAnsi" w:cs="Calibri"/>
          <w:sz w:val="24"/>
          <w:szCs w:val="24"/>
        </w:rPr>
        <w:t xml:space="preserve">general </w:t>
      </w:r>
      <w:r w:rsidR="00B6248C">
        <w:rPr>
          <w:rFonts w:asciiTheme="minorHAnsi" w:hAnsiTheme="minorHAnsi" w:cs="Calibri"/>
          <w:sz w:val="24"/>
          <w:szCs w:val="24"/>
        </w:rPr>
        <w:t>benchmark against which to evaluate ‘reform options’ within already identified servic</w:t>
      </w:r>
      <w:r w:rsidR="00E62F07">
        <w:rPr>
          <w:rFonts w:asciiTheme="minorHAnsi" w:hAnsiTheme="minorHAnsi" w:cs="Calibri"/>
          <w:sz w:val="24"/>
          <w:szCs w:val="24"/>
        </w:rPr>
        <w:t>e areas</w:t>
      </w:r>
      <w:r w:rsidR="00B6248C">
        <w:rPr>
          <w:rFonts w:asciiTheme="minorHAnsi" w:hAnsiTheme="minorHAnsi" w:cs="Calibri"/>
          <w:sz w:val="24"/>
          <w:szCs w:val="24"/>
        </w:rPr>
        <w:t xml:space="preserve">. </w:t>
      </w:r>
    </w:p>
    <w:p w14:paraId="66C36446" w14:textId="77777777" w:rsidR="00B6248C" w:rsidRDefault="00B6248C" w:rsidP="0005393C">
      <w:pPr>
        <w:kinsoku w:val="0"/>
        <w:overflowPunct w:val="0"/>
        <w:autoSpaceDE/>
        <w:autoSpaceDN/>
        <w:adjustRightInd/>
        <w:spacing w:line="276" w:lineRule="auto"/>
        <w:textAlignment w:val="baseline"/>
        <w:rPr>
          <w:rFonts w:asciiTheme="minorHAnsi" w:hAnsiTheme="minorHAnsi" w:cs="Calibri"/>
          <w:sz w:val="24"/>
          <w:szCs w:val="24"/>
        </w:rPr>
      </w:pPr>
    </w:p>
    <w:p w14:paraId="7407A152" w14:textId="5CAEB6E7" w:rsidR="00243FFD" w:rsidRDefault="00794565" w:rsidP="0005393C">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COTA argues that a</w:t>
      </w:r>
      <w:r w:rsidR="004E0456">
        <w:rPr>
          <w:rFonts w:asciiTheme="minorHAnsi" w:hAnsiTheme="minorHAnsi" w:cs="Calibri"/>
          <w:sz w:val="24"/>
          <w:szCs w:val="24"/>
        </w:rPr>
        <w:t xml:space="preserve"> </w:t>
      </w:r>
      <w:r w:rsidR="00243FFD">
        <w:rPr>
          <w:rFonts w:asciiTheme="minorHAnsi" w:hAnsiTheme="minorHAnsi" w:cs="Calibri"/>
          <w:sz w:val="24"/>
          <w:szCs w:val="24"/>
        </w:rPr>
        <w:t xml:space="preserve">specific </w:t>
      </w:r>
      <w:r w:rsidR="004E0456">
        <w:rPr>
          <w:rFonts w:asciiTheme="minorHAnsi" w:hAnsiTheme="minorHAnsi" w:cs="Calibri"/>
          <w:sz w:val="24"/>
          <w:szCs w:val="24"/>
        </w:rPr>
        <w:t xml:space="preserve">set of clear, guiding principles </w:t>
      </w:r>
      <w:r>
        <w:rPr>
          <w:rFonts w:asciiTheme="minorHAnsi" w:hAnsiTheme="minorHAnsi" w:cs="Calibri"/>
          <w:sz w:val="24"/>
          <w:szCs w:val="24"/>
        </w:rPr>
        <w:t xml:space="preserve">ought to have been applied alongside supply and demand </w:t>
      </w:r>
      <w:r w:rsidR="00E62F07">
        <w:rPr>
          <w:rFonts w:asciiTheme="minorHAnsi" w:hAnsiTheme="minorHAnsi" w:cs="Calibri"/>
          <w:sz w:val="24"/>
          <w:szCs w:val="24"/>
        </w:rPr>
        <w:t>analysis</w:t>
      </w:r>
      <w:r>
        <w:rPr>
          <w:rFonts w:asciiTheme="minorHAnsi" w:hAnsiTheme="minorHAnsi" w:cs="Calibri"/>
          <w:sz w:val="24"/>
          <w:szCs w:val="24"/>
        </w:rPr>
        <w:t xml:space="preserve"> </w:t>
      </w:r>
      <w:r w:rsidR="00E62F07">
        <w:rPr>
          <w:rFonts w:asciiTheme="minorHAnsi" w:hAnsiTheme="minorHAnsi" w:cs="Calibri"/>
          <w:sz w:val="24"/>
          <w:szCs w:val="24"/>
        </w:rPr>
        <w:t>to the decision on</w:t>
      </w:r>
      <w:r>
        <w:rPr>
          <w:rFonts w:asciiTheme="minorHAnsi" w:hAnsiTheme="minorHAnsi" w:cs="Calibri"/>
          <w:sz w:val="24"/>
          <w:szCs w:val="24"/>
        </w:rPr>
        <w:t xml:space="preserve"> which service sectors offered potential </w:t>
      </w:r>
      <w:r w:rsidR="00E62F07">
        <w:rPr>
          <w:rFonts w:asciiTheme="minorHAnsi" w:hAnsiTheme="minorHAnsi" w:cs="Calibri"/>
          <w:sz w:val="24"/>
          <w:szCs w:val="24"/>
        </w:rPr>
        <w:t>for choice/competition/contestability</w:t>
      </w:r>
      <w:r>
        <w:rPr>
          <w:rFonts w:asciiTheme="minorHAnsi" w:hAnsiTheme="minorHAnsi" w:cs="Calibri"/>
          <w:sz w:val="24"/>
          <w:szCs w:val="24"/>
        </w:rPr>
        <w:t xml:space="preserve"> reform</w:t>
      </w:r>
      <w:r w:rsidR="005C4FAF">
        <w:rPr>
          <w:rFonts w:asciiTheme="minorHAnsi" w:hAnsiTheme="minorHAnsi" w:cs="Calibri"/>
          <w:sz w:val="24"/>
          <w:szCs w:val="24"/>
        </w:rPr>
        <w:t>, if any</w:t>
      </w:r>
      <w:r w:rsidR="00E62F07">
        <w:rPr>
          <w:rFonts w:asciiTheme="minorHAnsi" w:hAnsiTheme="minorHAnsi" w:cs="Calibri"/>
          <w:sz w:val="24"/>
          <w:szCs w:val="24"/>
        </w:rPr>
        <w:t xml:space="preserve">. </w:t>
      </w:r>
    </w:p>
    <w:p w14:paraId="3E2AD86C" w14:textId="77777777" w:rsidR="003350D8" w:rsidRDefault="003350D8" w:rsidP="0005393C">
      <w:pPr>
        <w:kinsoku w:val="0"/>
        <w:overflowPunct w:val="0"/>
        <w:autoSpaceDE/>
        <w:autoSpaceDN/>
        <w:adjustRightInd/>
        <w:spacing w:line="276" w:lineRule="auto"/>
        <w:textAlignment w:val="baseline"/>
        <w:rPr>
          <w:rFonts w:asciiTheme="minorHAnsi" w:hAnsiTheme="minorHAnsi" w:cs="Calibri"/>
          <w:sz w:val="24"/>
          <w:szCs w:val="24"/>
        </w:rPr>
      </w:pPr>
    </w:p>
    <w:p w14:paraId="545FC5C8" w14:textId="35780ED9" w:rsidR="00E62F07" w:rsidRDefault="0005393C" w:rsidP="00925919">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Therefore, in our brief contribution to this Inquiry, we concentrate on</w:t>
      </w:r>
      <w:r w:rsidR="00243FFD">
        <w:rPr>
          <w:rFonts w:asciiTheme="minorHAnsi" w:hAnsiTheme="minorHAnsi" w:cs="Calibri"/>
          <w:sz w:val="24"/>
          <w:szCs w:val="24"/>
        </w:rPr>
        <w:t>:</w:t>
      </w:r>
    </w:p>
    <w:p w14:paraId="69B2941F" w14:textId="0C949E69" w:rsidR="00E62F07" w:rsidRPr="00A377AB" w:rsidRDefault="00E62F07" w:rsidP="00A377AB">
      <w:pPr>
        <w:pStyle w:val="ListParagraph"/>
        <w:numPr>
          <w:ilvl w:val="0"/>
          <w:numId w:val="44"/>
        </w:numPr>
        <w:kinsoku w:val="0"/>
        <w:overflowPunct w:val="0"/>
        <w:autoSpaceDE/>
        <w:autoSpaceDN/>
        <w:adjustRightInd/>
        <w:spacing w:line="276" w:lineRule="auto"/>
        <w:textAlignment w:val="baseline"/>
        <w:rPr>
          <w:rFonts w:asciiTheme="majorHAnsi" w:eastAsiaTheme="majorEastAsia" w:hAnsiTheme="majorHAnsi" w:cstheme="majorBidi"/>
          <w:color w:val="E36C0A" w:themeColor="accent6" w:themeShade="BF"/>
          <w:sz w:val="32"/>
          <w:szCs w:val="32"/>
        </w:rPr>
      </w:pPr>
      <w:r>
        <w:rPr>
          <w:rFonts w:asciiTheme="minorHAnsi" w:hAnsiTheme="minorHAnsi" w:cs="Calibri"/>
          <w:sz w:val="24"/>
          <w:szCs w:val="24"/>
        </w:rPr>
        <w:t xml:space="preserve">discussion of some key, overarching issues; </w:t>
      </w:r>
    </w:p>
    <w:p w14:paraId="7D629B9E" w14:textId="5F7661AB" w:rsidR="00E62F07" w:rsidRPr="00A377AB" w:rsidRDefault="0005393C" w:rsidP="00A377AB">
      <w:pPr>
        <w:pStyle w:val="ListParagraph"/>
        <w:numPr>
          <w:ilvl w:val="0"/>
          <w:numId w:val="44"/>
        </w:numPr>
        <w:kinsoku w:val="0"/>
        <w:overflowPunct w:val="0"/>
        <w:autoSpaceDE/>
        <w:autoSpaceDN/>
        <w:adjustRightInd/>
        <w:spacing w:line="276" w:lineRule="auto"/>
        <w:textAlignment w:val="baseline"/>
        <w:rPr>
          <w:rFonts w:asciiTheme="majorHAnsi" w:eastAsiaTheme="majorEastAsia" w:hAnsiTheme="majorHAnsi" w:cstheme="majorBidi"/>
          <w:color w:val="E36C0A" w:themeColor="accent6" w:themeShade="BF"/>
          <w:sz w:val="32"/>
          <w:szCs w:val="32"/>
        </w:rPr>
      </w:pPr>
      <w:r w:rsidRPr="00A377AB">
        <w:rPr>
          <w:rFonts w:asciiTheme="minorHAnsi" w:hAnsiTheme="minorHAnsi" w:cs="Calibri"/>
          <w:sz w:val="24"/>
          <w:szCs w:val="24"/>
        </w:rPr>
        <w:t>possible pri</w:t>
      </w:r>
      <w:r w:rsidR="002262DA" w:rsidRPr="00A377AB">
        <w:rPr>
          <w:rFonts w:asciiTheme="minorHAnsi" w:hAnsiTheme="minorHAnsi" w:cs="Calibri"/>
          <w:sz w:val="24"/>
          <w:szCs w:val="24"/>
        </w:rPr>
        <w:t>nciples for guiding changes to Human S</w:t>
      </w:r>
      <w:r w:rsidRPr="00A377AB">
        <w:rPr>
          <w:rFonts w:asciiTheme="minorHAnsi" w:hAnsiTheme="minorHAnsi" w:cs="Calibri"/>
          <w:sz w:val="24"/>
          <w:szCs w:val="24"/>
        </w:rPr>
        <w:t>ervices systems</w:t>
      </w:r>
      <w:r w:rsidR="002262DA" w:rsidRPr="00A377AB">
        <w:rPr>
          <w:rFonts w:asciiTheme="minorHAnsi" w:hAnsiTheme="minorHAnsi" w:cs="Calibri"/>
          <w:sz w:val="24"/>
          <w:szCs w:val="24"/>
        </w:rPr>
        <w:t>,</w:t>
      </w:r>
      <w:r w:rsidRPr="00A377AB">
        <w:rPr>
          <w:rFonts w:asciiTheme="minorHAnsi" w:hAnsiTheme="minorHAnsi" w:cs="Calibri"/>
          <w:sz w:val="24"/>
          <w:szCs w:val="24"/>
        </w:rPr>
        <w:t xml:space="preserve"> whatever market mechanism is in play</w:t>
      </w:r>
      <w:r w:rsidR="00E62F07">
        <w:rPr>
          <w:rFonts w:asciiTheme="minorHAnsi" w:hAnsiTheme="minorHAnsi" w:cs="Calibri"/>
          <w:sz w:val="24"/>
          <w:szCs w:val="24"/>
        </w:rPr>
        <w:t>; and</w:t>
      </w:r>
    </w:p>
    <w:p w14:paraId="460407FE" w14:textId="767C8F65" w:rsidR="00721B1C" w:rsidRPr="00E62F07" w:rsidRDefault="00E62F07" w:rsidP="00A377AB">
      <w:pPr>
        <w:pStyle w:val="ListParagraph"/>
        <w:numPr>
          <w:ilvl w:val="0"/>
          <w:numId w:val="44"/>
        </w:numPr>
        <w:kinsoku w:val="0"/>
        <w:overflowPunct w:val="0"/>
        <w:autoSpaceDE/>
        <w:autoSpaceDN/>
        <w:adjustRightInd/>
        <w:spacing w:line="276" w:lineRule="auto"/>
        <w:textAlignment w:val="baseline"/>
        <w:rPr>
          <w:rFonts w:asciiTheme="majorHAnsi" w:eastAsiaTheme="majorEastAsia" w:hAnsiTheme="majorHAnsi" w:cstheme="majorBidi"/>
          <w:color w:val="E36C0A" w:themeColor="accent6" w:themeShade="BF"/>
          <w:sz w:val="32"/>
          <w:szCs w:val="32"/>
        </w:rPr>
      </w:pPr>
      <w:r>
        <w:rPr>
          <w:rFonts w:asciiTheme="minorHAnsi" w:hAnsiTheme="minorHAnsi" w:cs="Calibri"/>
          <w:sz w:val="24"/>
          <w:szCs w:val="24"/>
        </w:rPr>
        <w:t>very brief comment on the choice of service sectors for reform</w:t>
      </w:r>
      <w:r w:rsidR="00243FFD">
        <w:rPr>
          <w:rFonts w:asciiTheme="minorHAnsi" w:hAnsiTheme="minorHAnsi" w:cs="Calibri"/>
          <w:sz w:val="24"/>
          <w:szCs w:val="24"/>
        </w:rPr>
        <w:t>.</w:t>
      </w:r>
    </w:p>
    <w:p w14:paraId="099F67E4" w14:textId="77777777" w:rsidR="00243FFD" w:rsidRDefault="00243FFD" w:rsidP="00007BCF">
      <w:pPr>
        <w:pStyle w:val="Heading1"/>
        <w:rPr>
          <w:rFonts w:ascii="Calibri" w:hAnsi="Calibri"/>
          <w:color w:val="E36C0A" w:themeColor="accent6" w:themeShade="BF"/>
        </w:rPr>
      </w:pPr>
    </w:p>
    <w:p w14:paraId="0E25455A" w14:textId="4E2F5A13" w:rsidR="00007BCF" w:rsidRPr="00925919" w:rsidRDefault="00007BCF" w:rsidP="00007BCF">
      <w:pPr>
        <w:pStyle w:val="Heading1"/>
        <w:rPr>
          <w:rFonts w:ascii="Calibri" w:hAnsi="Calibri"/>
          <w:color w:val="E36C0A" w:themeColor="accent6" w:themeShade="BF"/>
        </w:rPr>
      </w:pPr>
      <w:r w:rsidRPr="00925919">
        <w:rPr>
          <w:rFonts w:ascii="Calibri" w:hAnsi="Calibri"/>
          <w:color w:val="E36C0A" w:themeColor="accent6" w:themeShade="BF"/>
        </w:rPr>
        <w:t>Issues</w:t>
      </w:r>
    </w:p>
    <w:p w14:paraId="534885AA" w14:textId="77777777" w:rsidR="00CC1F56" w:rsidRDefault="00CC1F56" w:rsidP="00EB27E8">
      <w:pPr>
        <w:kinsoku w:val="0"/>
        <w:overflowPunct w:val="0"/>
        <w:autoSpaceDE/>
        <w:autoSpaceDN/>
        <w:adjustRightInd/>
        <w:spacing w:line="276" w:lineRule="auto"/>
        <w:textAlignment w:val="baseline"/>
        <w:rPr>
          <w:rFonts w:asciiTheme="minorHAnsi" w:hAnsiTheme="minorHAnsi" w:cs="Calibri"/>
          <w:sz w:val="24"/>
          <w:szCs w:val="24"/>
        </w:rPr>
      </w:pPr>
    </w:p>
    <w:p w14:paraId="31274E23" w14:textId="21EFC9E6" w:rsidR="003205EA" w:rsidRPr="003205EA" w:rsidRDefault="009811C2" w:rsidP="00EB27E8">
      <w:pPr>
        <w:kinsoku w:val="0"/>
        <w:overflowPunct w:val="0"/>
        <w:autoSpaceDE/>
        <w:autoSpaceDN/>
        <w:adjustRightInd/>
        <w:spacing w:line="276" w:lineRule="auto"/>
        <w:textAlignment w:val="baseline"/>
        <w:rPr>
          <w:rFonts w:asciiTheme="minorHAnsi" w:hAnsiTheme="minorHAnsi" w:cs="Calibri"/>
          <w:b/>
          <w:sz w:val="24"/>
          <w:szCs w:val="24"/>
        </w:rPr>
      </w:pPr>
      <w:r>
        <w:rPr>
          <w:rFonts w:asciiTheme="minorHAnsi" w:hAnsiTheme="minorHAnsi" w:cs="Calibri"/>
          <w:b/>
          <w:sz w:val="24"/>
          <w:szCs w:val="24"/>
        </w:rPr>
        <w:t>Choice and control</w:t>
      </w:r>
    </w:p>
    <w:p w14:paraId="53621C22" w14:textId="7FEC8C59" w:rsidR="004172FD" w:rsidRDefault="0068121C"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COTA has</w:t>
      </w:r>
      <w:r w:rsidR="00430E1A">
        <w:rPr>
          <w:rFonts w:asciiTheme="minorHAnsi" w:hAnsiTheme="minorHAnsi" w:cs="Calibri"/>
          <w:sz w:val="24"/>
          <w:szCs w:val="24"/>
        </w:rPr>
        <w:t xml:space="preserve"> </w:t>
      </w:r>
      <w:r>
        <w:rPr>
          <w:rFonts w:asciiTheme="minorHAnsi" w:hAnsiTheme="minorHAnsi" w:cs="Calibri"/>
          <w:sz w:val="24"/>
          <w:szCs w:val="24"/>
        </w:rPr>
        <w:t>strongly advocated for shifting the</w:t>
      </w:r>
      <w:r w:rsidR="00430E1A">
        <w:rPr>
          <w:rFonts w:asciiTheme="minorHAnsi" w:hAnsiTheme="minorHAnsi" w:cs="Calibri"/>
          <w:sz w:val="24"/>
          <w:szCs w:val="24"/>
        </w:rPr>
        <w:t xml:space="preserve"> philosophical</w:t>
      </w:r>
      <w:r>
        <w:rPr>
          <w:rFonts w:asciiTheme="minorHAnsi" w:hAnsiTheme="minorHAnsi" w:cs="Calibri"/>
          <w:sz w:val="24"/>
          <w:szCs w:val="24"/>
        </w:rPr>
        <w:t xml:space="preserve"> approach</w:t>
      </w:r>
      <w:r w:rsidR="00430E1A">
        <w:rPr>
          <w:rFonts w:asciiTheme="minorHAnsi" w:hAnsiTheme="minorHAnsi" w:cs="Calibri"/>
          <w:sz w:val="24"/>
          <w:szCs w:val="24"/>
        </w:rPr>
        <w:t xml:space="preserve">, policy </w:t>
      </w:r>
      <w:r>
        <w:rPr>
          <w:rFonts w:asciiTheme="minorHAnsi" w:hAnsiTheme="minorHAnsi" w:cs="Calibri"/>
          <w:sz w:val="24"/>
          <w:szCs w:val="24"/>
        </w:rPr>
        <w:t xml:space="preserve">frame </w:t>
      </w:r>
      <w:r w:rsidR="00430E1A">
        <w:rPr>
          <w:rFonts w:asciiTheme="minorHAnsi" w:hAnsiTheme="minorHAnsi" w:cs="Calibri"/>
          <w:sz w:val="24"/>
          <w:szCs w:val="24"/>
        </w:rPr>
        <w:t xml:space="preserve">and delivery </w:t>
      </w:r>
      <w:r w:rsidR="00AE79D3">
        <w:rPr>
          <w:rFonts w:asciiTheme="minorHAnsi" w:hAnsiTheme="minorHAnsi" w:cs="Calibri"/>
          <w:sz w:val="24"/>
          <w:szCs w:val="24"/>
        </w:rPr>
        <w:t>mechanisms</w:t>
      </w:r>
      <w:r>
        <w:rPr>
          <w:rFonts w:asciiTheme="minorHAnsi" w:hAnsiTheme="minorHAnsi" w:cs="Calibri"/>
          <w:sz w:val="24"/>
          <w:szCs w:val="24"/>
        </w:rPr>
        <w:t xml:space="preserve"> </w:t>
      </w:r>
      <w:r w:rsidR="002262DA">
        <w:rPr>
          <w:rFonts w:asciiTheme="minorHAnsi" w:hAnsiTheme="minorHAnsi" w:cs="Calibri"/>
          <w:sz w:val="24"/>
          <w:szCs w:val="24"/>
        </w:rPr>
        <w:t>in Aged C</w:t>
      </w:r>
      <w:r w:rsidR="00430E1A">
        <w:rPr>
          <w:rFonts w:asciiTheme="minorHAnsi" w:hAnsiTheme="minorHAnsi" w:cs="Calibri"/>
          <w:sz w:val="24"/>
          <w:szCs w:val="24"/>
        </w:rPr>
        <w:t xml:space="preserve">are </w:t>
      </w:r>
      <w:r>
        <w:rPr>
          <w:rFonts w:asciiTheme="minorHAnsi" w:hAnsiTheme="minorHAnsi" w:cs="Calibri"/>
          <w:sz w:val="24"/>
          <w:szCs w:val="24"/>
        </w:rPr>
        <w:t>towards much greater choice and control in the hands of consumers</w:t>
      </w:r>
      <w:r w:rsidR="004172FD">
        <w:rPr>
          <w:rFonts w:asciiTheme="minorHAnsi" w:hAnsiTheme="minorHAnsi" w:cs="Calibri"/>
          <w:sz w:val="24"/>
          <w:szCs w:val="24"/>
        </w:rPr>
        <w:t>.  This</w:t>
      </w:r>
      <w:r w:rsidR="00A8382F">
        <w:rPr>
          <w:rFonts w:asciiTheme="minorHAnsi" w:hAnsiTheme="minorHAnsi" w:cs="Calibri"/>
          <w:sz w:val="24"/>
          <w:szCs w:val="24"/>
        </w:rPr>
        <w:t xml:space="preserve"> direction </w:t>
      </w:r>
      <w:r w:rsidR="004172FD">
        <w:rPr>
          <w:rFonts w:asciiTheme="minorHAnsi" w:hAnsiTheme="minorHAnsi" w:cs="Calibri"/>
          <w:sz w:val="24"/>
          <w:szCs w:val="24"/>
        </w:rPr>
        <w:t xml:space="preserve">has </w:t>
      </w:r>
      <w:r w:rsidR="00925919">
        <w:rPr>
          <w:rFonts w:asciiTheme="minorHAnsi" w:hAnsiTheme="minorHAnsi" w:cs="Calibri"/>
          <w:sz w:val="24"/>
          <w:szCs w:val="24"/>
        </w:rPr>
        <w:t xml:space="preserve">slowly </w:t>
      </w:r>
      <w:r w:rsidR="004172FD">
        <w:rPr>
          <w:rFonts w:asciiTheme="minorHAnsi" w:hAnsiTheme="minorHAnsi" w:cs="Calibri"/>
          <w:sz w:val="24"/>
          <w:szCs w:val="24"/>
        </w:rPr>
        <w:t>begun to emerge</w:t>
      </w:r>
      <w:r w:rsidR="007E2020">
        <w:rPr>
          <w:rFonts w:asciiTheme="minorHAnsi" w:hAnsiTheme="minorHAnsi" w:cs="Calibri"/>
          <w:sz w:val="24"/>
          <w:szCs w:val="24"/>
        </w:rPr>
        <w:t xml:space="preserve"> through the current Aged Care Reform </w:t>
      </w:r>
      <w:r w:rsidR="004172FD">
        <w:rPr>
          <w:rFonts w:asciiTheme="minorHAnsi" w:hAnsiTheme="minorHAnsi" w:cs="Calibri"/>
          <w:sz w:val="24"/>
          <w:szCs w:val="24"/>
        </w:rPr>
        <w:t>process</w:t>
      </w:r>
      <w:r w:rsidR="00925919">
        <w:rPr>
          <w:rFonts w:asciiTheme="minorHAnsi" w:hAnsiTheme="minorHAnsi" w:cs="Calibri"/>
          <w:sz w:val="24"/>
          <w:szCs w:val="24"/>
        </w:rPr>
        <w:t xml:space="preserve"> but still has a considerable distance to go.</w:t>
      </w:r>
      <w:r>
        <w:rPr>
          <w:rFonts w:asciiTheme="minorHAnsi" w:hAnsiTheme="minorHAnsi" w:cs="Calibri"/>
          <w:sz w:val="24"/>
          <w:szCs w:val="24"/>
        </w:rPr>
        <w:t xml:space="preserve"> </w:t>
      </w:r>
    </w:p>
    <w:p w14:paraId="65A08AD1" w14:textId="158099E1" w:rsidR="004172FD" w:rsidRDefault="004172FD" w:rsidP="00EB27E8">
      <w:pPr>
        <w:kinsoku w:val="0"/>
        <w:overflowPunct w:val="0"/>
        <w:autoSpaceDE/>
        <w:autoSpaceDN/>
        <w:adjustRightInd/>
        <w:spacing w:line="276" w:lineRule="auto"/>
        <w:textAlignment w:val="baseline"/>
        <w:rPr>
          <w:rFonts w:asciiTheme="minorHAnsi" w:hAnsiTheme="minorHAnsi" w:cs="Calibri"/>
          <w:sz w:val="24"/>
          <w:szCs w:val="24"/>
        </w:rPr>
      </w:pPr>
    </w:p>
    <w:p w14:paraId="42DD14EF" w14:textId="613720EB" w:rsidR="00BC7F42" w:rsidRDefault="00BC7F42" w:rsidP="00BC7F42">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The Aged Care sector was historically dominated by church and charitable organisations taking a welfare-style delivery approach, plus a proportion of small for-profit providers (often family businesses) in the residential sector</w:t>
      </w:r>
      <w:r w:rsidR="00243FFD">
        <w:rPr>
          <w:rFonts w:asciiTheme="minorHAnsi" w:hAnsiTheme="minorHAnsi" w:cs="Calibri"/>
          <w:sz w:val="24"/>
          <w:szCs w:val="24"/>
        </w:rPr>
        <w:t xml:space="preserve">, all </w:t>
      </w:r>
      <w:r>
        <w:rPr>
          <w:rFonts w:asciiTheme="minorHAnsi" w:hAnsiTheme="minorHAnsi" w:cs="Calibri"/>
          <w:sz w:val="24"/>
          <w:szCs w:val="24"/>
        </w:rPr>
        <w:t>opera</w:t>
      </w:r>
      <w:r w:rsidR="00243FFD">
        <w:rPr>
          <w:rFonts w:asciiTheme="minorHAnsi" w:hAnsiTheme="minorHAnsi" w:cs="Calibri"/>
          <w:sz w:val="24"/>
          <w:szCs w:val="24"/>
        </w:rPr>
        <w:t>ting</w:t>
      </w:r>
      <w:r>
        <w:rPr>
          <w:rFonts w:asciiTheme="minorHAnsi" w:hAnsiTheme="minorHAnsi" w:cs="Calibri"/>
          <w:sz w:val="24"/>
          <w:szCs w:val="24"/>
        </w:rPr>
        <w:t xml:space="preserve"> within an increasingly constrain</w:t>
      </w:r>
      <w:r w:rsidR="00243FFD">
        <w:rPr>
          <w:rFonts w:asciiTheme="minorHAnsi" w:hAnsiTheme="minorHAnsi" w:cs="Calibri"/>
          <w:sz w:val="24"/>
          <w:szCs w:val="24"/>
        </w:rPr>
        <w:t>ing</w:t>
      </w:r>
      <w:r>
        <w:rPr>
          <w:rFonts w:asciiTheme="minorHAnsi" w:hAnsiTheme="minorHAnsi" w:cs="Calibri"/>
          <w:sz w:val="24"/>
          <w:szCs w:val="24"/>
        </w:rPr>
        <w:t xml:space="preserve"> regulatory context.  </w:t>
      </w:r>
      <w:r w:rsidR="00697319">
        <w:rPr>
          <w:rFonts w:asciiTheme="minorHAnsi" w:hAnsiTheme="minorHAnsi" w:cs="Calibri"/>
          <w:sz w:val="24"/>
          <w:szCs w:val="24"/>
        </w:rPr>
        <w:t xml:space="preserve">There has in more recent times been a growth in larger for profit residential care providers, but still operating within the same regulatory environment. </w:t>
      </w:r>
      <w:r>
        <w:rPr>
          <w:rFonts w:asciiTheme="minorHAnsi" w:hAnsiTheme="minorHAnsi" w:cs="Calibri"/>
          <w:sz w:val="24"/>
          <w:szCs w:val="24"/>
        </w:rPr>
        <w:t xml:space="preserve"> While there has been some shift in </w:t>
      </w:r>
      <w:r w:rsidR="00243FFD">
        <w:rPr>
          <w:rFonts w:asciiTheme="minorHAnsi" w:hAnsiTheme="minorHAnsi" w:cs="Calibri"/>
          <w:sz w:val="24"/>
          <w:szCs w:val="24"/>
        </w:rPr>
        <w:t xml:space="preserve">these parameters in </w:t>
      </w:r>
      <w:r>
        <w:rPr>
          <w:rFonts w:asciiTheme="minorHAnsi" w:hAnsiTheme="minorHAnsi" w:cs="Calibri"/>
          <w:sz w:val="24"/>
          <w:szCs w:val="24"/>
        </w:rPr>
        <w:t xml:space="preserve">recent years it has been marginal to date </w:t>
      </w:r>
      <w:r w:rsidR="00697319">
        <w:rPr>
          <w:rFonts w:asciiTheme="minorHAnsi" w:hAnsiTheme="minorHAnsi" w:cs="Calibri"/>
          <w:sz w:val="24"/>
          <w:szCs w:val="24"/>
        </w:rPr>
        <w:t xml:space="preserve">except in the change that will occur on 27 February in Home Care Packages. However this component of the sector is only 80,000 places of close to a million users of aged care services. </w:t>
      </w:r>
      <w:r>
        <w:rPr>
          <w:rFonts w:asciiTheme="minorHAnsi" w:hAnsiTheme="minorHAnsi" w:cs="Calibri"/>
          <w:sz w:val="24"/>
          <w:szCs w:val="24"/>
        </w:rPr>
        <w:t>COTA believes that this industry model is no</w:t>
      </w:r>
      <w:r w:rsidR="00697319">
        <w:rPr>
          <w:rFonts w:asciiTheme="minorHAnsi" w:hAnsiTheme="minorHAnsi" w:cs="Calibri"/>
          <w:sz w:val="24"/>
          <w:szCs w:val="24"/>
        </w:rPr>
        <w:t xml:space="preserve"> longer</w:t>
      </w:r>
      <w:r>
        <w:rPr>
          <w:rFonts w:asciiTheme="minorHAnsi" w:hAnsiTheme="minorHAnsi" w:cs="Calibri"/>
          <w:sz w:val="24"/>
          <w:szCs w:val="24"/>
        </w:rPr>
        <w:t xml:space="preserve"> appropriate for an increasingly diverse ageing population coming from a broad socio-economic base to seek aged care services.  </w:t>
      </w:r>
    </w:p>
    <w:p w14:paraId="019C06E4" w14:textId="77777777" w:rsidR="00BC7F42" w:rsidRDefault="00BC7F42" w:rsidP="00EB27E8">
      <w:pPr>
        <w:kinsoku w:val="0"/>
        <w:overflowPunct w:val="0"/>
        <w:autoSpaceDE/>
        <w:autoSpaceDN/>
        <w:adjustRightInd/>
        <w:spacing w:line="276" w:lineRule="auto"/>
        <w:textAlignment w:val="baseline"/>
        <w:rPr>
          <w:rFonts w:asciiTheme="minorHAnsi" w:hAnsiTheme="minorHAnsi" w:cs="Calibri"/>
          <w:sz w:val="24"/>
          <w:szCs w:val="24"/>
        </w:rPr>
      </w:pPr>
    </w:p>
    <w:p w14:paraId="60977F60" w14:textId="33C50805" w:rsidR="0068121C" w:rsidRDefault="00C544BC"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Consumers </w:t>
      </w:r>
      <w:r w:rsidR="00BC7F42">
        <w:rPr>
          <w:rFonts w:asciiTheme="minorHAnsi" w:hAnsiTheme="minorHAnsi" w:cs="Calibri"/>
          <w:sz w:val="24"/>
          <w:szCs w:val="24"/>
        </w:rPr>
        <w:t xml:space="preserve">have </w:t>
      </w:r>
      <w:r>
        <w:rPr>
          <w:rFonts w:asciiTheme="minorHAnsi" w:hAnsiTheme="minorHAnsi" w:cs="Calibri"/>
          <w:sz w:val="24"/>
          <w:szCs w:val="24"/>
        </w:rPr>
        <w:t xml:space="preserve">repeatedly told </w:t>
      </w:r>
      <w:r w:rsidR="007E2020">
        <w:rPr>
          <w:rFonts w:asciiTheme="minorHAnsi" w:hAnsiTheme="minorHAnsi" w:cs="Calibri"/>
          <w:sz w:val="24"/>
          <w:szCs w:val="24"/>
        </w:rPr>
        <w:t xml:space="preserve">us, </w:t>
      </w:r>
      <w:r>
        <w:rPr>
          <w:rFonts w:asciiTheme="minorHAnsi" w:hAnsiTheme="minorHAnsi" w:cs="Calibri"/>
          <w:sz w:val="24"/>
          <w:szCs w:val="24"/>
        </w:rPr>
        <w:t xml:space="preserve">and </w:t>
      </w:r>
      <w:r w:rsidR="007E2020">
        <w:rPr>
          <w:rFonts w:asciiTheme="minorHAnsi" w:hAnsiTheme="minorHAnsi" w:cs="Calibri"/>
          <w:sz w:val="24"/>
          <w:szCs w:val="24"/>
        </w:rPr>
        <w:t xml:space="preserve">the evidence </w:t>
      </w:r>
      <w:r w:rsidR="00A8382F">
        <w:rPr>
          <w:rFonts w:asciiTheme="minorHAnsi" w:hAnsiTheme="minorHAnsi" w:cs="Calibri"/>
          <w:sz w:val="24"/>
          <w:szCs w:val="24"/>
        </w:rPr>
        <w:t xml:space="preserve">demonstrated </w:t>
      </w:r>
      <w:r>
        <w:rPr>
          <w:rFonts w:asciiTheme="minorHAnsi" w:hAnsiTheme="minorHAnsi" w:cs="Calibri"/>
          <w:sz w:val="24"/>
          <w:szCs w:val="24"/>
        </w:rPr>
        <w:t>over a long period of time</w:t>
      </w:r>
      <w:r w:rsidR="007E2020">
        <w:rPr>
          <w:rFonts w:asciiTheme="minorHAnsi" w:hAnsiTheme="minorHAnsi" w:cs="Calibri"/>
          <w:sz w:val="24"/>
          <w:szCs w:val="24"/>
        </w:rPr>
        <w:t>,</w:t>
      </w:r>
      <w:r>
        <w:rPr>
          <w:rFonts w:asciiTheme="minorHAnsi" w:hAnsiTheme="minorHAnsi" w:cs="Calibri"/>
          <w:sz w:val="24"/>
          <w:szCs w:val="24"/>
        </w:rPr>
        <w:t xml:space="preserve"> that </w:t>
      </w:r>
      <w:r w:rsidR="002262DA">
        <w:rPr>
          <w:rFonts w:asciiTheme="minorHAnsi" w:hAnsiTheme="minorHAnsi" w:cs="Calibri"/>
          <w:sz w:val="24"/>
          <w:szCs w:val="24"/>
        </w:rPr>
        <w:t>the Aged C</w:t>
      </w:r>
      <w:r w:rsidR="0068121C">
        <w:rPr>
          <w:rFonts w:asciiTheme="minorHAnsi" w:hAnsiTheme="minorHAnsi" w:cs="Calibri"/>
          <w:sz w:val="24"/>
          <w:szCs w:val="24"/>
        </w:rPr>
        <w:t xml:space="preserve">are system </w:t>
      </w:r>
      <w:r w:rsidR="00464F15">
        <w:rPr>
          <w:rFonts w:asciiTheme="minorHAnsi" w:hAnsiTheme="minorHAnsi" w:cs="Calibri"/>
          <w:sz w:val="24"/>
          <w:szCs w:val="24"/>
        </w:rPr>
        <w:t>was not focused around</w:t>
      </w:r>
      <w:r w:rsidR="0068121C">
        <w:rPr>
          <w:rFonts w:asciiTheme="minorHAnsi" w:hAnsiTheme="minorHAnsi" w:cs="Calibri"/>
          <w:sz w:val="24"/>
          <w:szCs w:val="24"/>
        </w:rPr>
        <w:t xml:space="preserve"> individual</w:t>
      </w:r>
      <w:r w:rsidR="007E2020">
        <w:rPr>
          <w:rFonts w:asciiTheme="minorHAnsi" w:hAnsiTheme="minorHAnsi" w:cs="Calibri"/>
          <w:sz w:val="24"/>
          <w:szCs w:val="24"/>
        </w:rPr>
        <w:t>s</w:t>
      </w:r>
      <w:r w:rsidR="004172FD">
        <w:rPr>
          <w:rFonts w:asciiTheme="minorHAnsi" w:hAnsiTheme="minorHAnsi" w:cs="Calibri"/>
          <w:sz w:val="24"/>
          <w:szCs w:val="24"/>
        </w:rPr>
        <w:t xml:space="preserve"> and their needs and </w:t>
      </w:r>
      <w:r w:rsidR="00955832">
        <w:rPr>
          <w:rFonts w:asciiTheme="minorHAnsi" w:hAnsiTheme="minorHAnsi" w:cs="Calibri"/>
          <w:sz w:val="24"/>
          <w:szCs w:val="24"/>
        </w:rPr>
        <w:t>delivered uneven</w:t>
      </w:r>
      <w:r w:rsidR="00C81366">
        <w:rPr>
          <w:rFonts w:asciiTheme="minorHAnsi" w:hAnsiTheme="minorHAnsi" w:cs="Calibri"/>
          <w:sz w:val="24"/>
          <w:szCs w:val="24"/>
        </w:rPr>
        <w:t xml:space="preserve"> </w:t>
      </w:r>
      <w:r w:rsidR="006057D5">
        <w:rPr>
          <w:rFonts w:asciiTheme="minorHAnsi" w:hAnsiTheme="minorHAnsi" w:cs="Calibri"/>
          <w:sz w:val="24"/>
          <w:szCs w:val="24"/>
        </w:rPr>
        <w:t xml:space="preserve">service </w:t>
      </w:r>
      <w:r w:rsidR="0068121C">
        <w:rPr>
          <w:rFonts w:asciiTheme="minorHAnsi" w:hAnsiTheme="minorHAnsi" w:cs="Calibri"/>
          <w:sz w:val="24"/>
          <w:szCs w:val="24"/>
        </w:rPr>
        <w:t xml:space="preserve">quality </w:t>
      </w:r>
      <w:r w:rsidR="006057D5">
        <w:rPr>
          <w:rFonts w:asciiTheme="minorHAnsi" w:hAnsiTheme="minorHAnsi" w:cs="Calibri"/>
          <w:sz w:val="24"/>
          <w:szCs w:val="24"/>
        </w:rPr>
        <w:t xml:space="preserve">and </w:t>
      </w:r>
      <w:r w:rsidR="0068121C">
        <w:rPr>
          <w:rFonts w:asciiTheme="minorHAnsi" w:hAnsiTheme="minorHAnsi" w:cs="Calibri"/>
          <w:sz w:val="24"/>
          <w:szCs w:val="24"/>
        </w:rPr>
        <w:t>outcomes</w:t>
      </w:r>
      <w:r w:rsidR="00AA7596">
        <w:rPr>
          <w:rFonts w:asciiTheme="minorHAnsi" w:hAnsiTheme="minorHAnsi" w:cs="Calibri"/>
          <w:sz w:val="24"/>
          <w:szCs w:val="24"/>
        </w:rPr>
        <w:t>.</w:t>
      </w:r>
      <w:r w:rsidR="0068121C">
        <w:rPr>
          <w:rFonts w:asciiTheme="minorHAnsi" w:hAnsiTheme="minorHAnsi" w:cs="Calibri"/>
          <w:sz w:val="24"/>
          <w:szCs w:val="24"/>
        </w:rPr>
        <w:t xml:space="preserve"> </w:t>
      </w:r>
      <w:r w:rsidR="00925919">
        <w:rPr>
          <w:rFonts w:asciiTheme="minorHAnsi" w:hAnsiTheme="minorHAnsi" w:cs="Calibri"/>
          <w:sz w:val="24"/>
          <w:szCs w:val="24"/>
        </w:rPr>
        <w:t>The highly regulated and supply</w:t>
      </w:r>
      <w:r w:rsidR="00E62F07">
        <w:rPr>
          <w:rFonts w:asciiTheme="minorHAnsi" w:hAnsiTheme="minorHAnsi" w:cs="Calibri"/>
          <w:sz w:val="24"/>
          <w:szCs w:val="24"/>
        </w:rPr>
        <w:t>-</w:t>
      </w:r>
      <w:r w:rsidR="00925919">
        <w:rPr>
          <w:rFonts w:asciiTheme="minorHAnsi" w:hAnsiTheme="minorHAnsi" w:cs="Calibri"/>
          <w:sz w:val="24"/>
          <w:szCs w:val="24"/>
        </w:rPr>
        <w:t xml:space="preserve">constrained </w:t>
      </w:r>
      <w:r w:rsidR="00464F15">
        <w:rPr>
          <w:rFonts w:asciiTheme="minorHAnsi" w:hAnsiTheme="minorHAnsi" w:cs="Calibri"/>
          <w:sz w:val="24"/>
          <w:szCs w:val="24"/>
        </w:rPr>
        <w:t xml:space="preserve">(by government) </w:t>
      </w:r>
      <w:r w:rsidR="00925919">
        <w:rPr>
          <w:rFonts w:asciiTheme="minorHAnsi" w:hAnsiTheme="minorHAnsi" w:cs="Calibri"/>
          <w:sz w:val="24"/>
          <w:szCs w:val="24"/>
        </w:rPr>
        <w:t>nature of the sector</w:t>
      </w:r>
      <w:r w:rsidR="00464F15">
        <w:rPr>
          <w:rFonts w:asciiTheme="minorHAnsi" w:hAnsiTheme="minorHAnsi" w:cs="Calibri"/>
          <w:sz w:val="24"/>
          <w:szCs w:val="24"/>
        </w:rPr>
        <w:t xml:space="preserve"> means that providers for whom consumers have strong </w:t>
      </w:r>
      <w:r w:rsidR="00464F15">
        <w:rPr>
          <w:rFonts w:asciiTheme="minorHAnsi" w:hAnsiTheme="minorHAnsi" w:cs="Calibri"/>
          <w:sz w:val="24"/>
          <w:szCs w:val="24"/>
        </w:rPr>
        <w:lastRenderedPageBreak/>
        <w:t>preference (as evidenced for example by extensive waiting lists) are constrained from</w:t>
      </w:r>
      <w:r w:rsidR="00697319">
        <w:rPr>
          <w:rFonts w:asciiTheme="minorHAnsi" w:hAnsiTheme="minorHAnsi" w:cs="Calibri"/>
          <w:sz w:val="24"/>
          <w:szCs w:val="24"/>
        </w:rPr>
        <w:t xml:space="preserve"> </w:t>
      </w:r>
      <w:r w:rsidR="00E62F07">
        <w:rPr>
          <w:rFonts w:asciiTheme="minorHAnsi" w:hAnsiTheme="minorHAnsi" w:cs="Calibri"/>
          <w:sz w:val="24"/>
          <w:szCs w:val="24"/>
        </w:rPr>
        <w:t xml:space="preserve">offering </w:t>
      </w:r>
      <w:r w:rsidR="00464F15">
        <w:rPr>
          <w:rFonts w:asciiTheme="minorHAnsi" w:hAnsiTheme="minorHAnsi" w:cs="Calibri"/>
          <w:sz w:val="24"/>
          <w:szCs w:val="24"/>
        </w:rPr>
        <w:t>their services to more consumers than their</w:t>
      </w:r>
      <w:r w:rsidR="00697319">
        <w:rPr>
          <w:rFonts w:asciiTheme="minorHAnsi" w:hAnsiTheme="minorHAnsi" w:cs="Calibri"/>
          <w:sz w:val="24"/>
          <w:szCs w:val="24"/>
        </w:rPr>
        <w:t xml:space="preserve"> </w:t>
      </w:r>
      <w:r w:rsidR="00464F15">
        <w:rPr>
          <w:rFonts w:asciiTheme="minorHAnsi" w:hAnsiTheme="minorHAnsi" w:cs="Calibri"/>
          <w:sz w:val="24"/>
          <w:szCs w:val="24"/>
        </w:rPr>
        <w:t>number of residential bed licenses, home care package places, or allocated numbers of service types (in CHSP, formerly HACC) allow. This is government-enforced restraint of trade and denial of consumer choice. This will change for Home Care Packages in February 2017, but will still be in place for the vast majority of the sector in residential and CHSP programs.</w:t>
      </w:r>
    </w:p>
    <w:p w14:paraId="3A6AC8EB" w14:textId="77777777" w:rsidR="004B14BA" w:rsidRDefault="004B14BA" w:rsidP="00EB27E8">
      <w:pPr>
        <w:kinsoku w:val="0"/>
        <w:overflowPunct w:val="0"/>
        <w:autoSpaceDE/>
        <w:autoSpaceDN/>
        <w:adjustRightInd/>
        <w:spacing w:line="276" w:lineRule="auto"/>
        <w:textAlignment w:val="baseline"/>
        <w:rPr>
          <w:rFonts w:asciiTheme="minorHAnsi" w:hAnsiTheme="minorHAnsi" w:cs="Calibri"/>
          <w:sz w:val="24"/>
          <w:szCs w:val="24"/>
        </w:rPr>
      </w:pPr>
    </w:p>
    <w:p w14:paraId="562434BE" w14:textId="77777777" w:rsidR="0089789F" w:rsidRDefault="00141DAD" w:rsidP="0089789F">
      <w:pPr>
        <w:kinsoku w:val="0"/>
        <w:overflowPunct w:val="0"/>
        <w:autoSpaceDE/>
        <w:autoSpaceDN/>
        <w:adjustRightInd/>
        <w:spacing w:after="120" w:line="276" w:lineRule="auto"/>
        <w:textAlignment w:val="baseline"/>
        <w:rPr>
          <w:rFonts w:asciiTheme="minorHAnsi" w:hAnsiTheme="minorHAnsi" w:cs="Calibri"/>
          <w:sz w:val="24"/>
          <w:szCs w:val="24"/>
        </w:rPr>
      </w:pPr>
      <w:r>
        <w:rPr>
          <w:rFonts w:asciiTheme="minorHAnsi" w:hAnsiTheme="minorHAnsi" w:cs="Calibri"/>
          <w:sz w:val="24"/>
          <w:szCs w:val="24"/>
        </w:rPr>
        <w:t>T</w:t>
      </w:r>
      <w:r w:rsidR="00AA7596">
        <w:rPr>
          <w:rFonts w:asciiTheme="minorHAnsi" w:hAnsiTheme="minorHAnsi" w:cs="Calibri"/>
          <w:sz w:val="24"/>
          <w:szCs w:val="24"/>
        </w:rPr>
        <w:t>he</w:t>
      </w:r>
      <w:r w:rsidR="00110C45">
        <w:rPr>
          <w:rFonts w:asciiTheme="minorHAnsi" w:hAnsiTheme="minorHAnsi" w:cs="Calibri"/>
          <w:sz w:val="24"/>
          <w:szCs w:val="24"/>
        </w:rPr>
        <w:t xml:space="preserve"> </w:t>
      </w:r>
      <w:r w:rsidR="0089789F">
        <w:rPr>
          <w:rFonts w:asciiTheme="minorHAnsi" w:hAnsiTheme="minorHAnsi" w:cs="Calibri"/>
          <w:sz w:val="24"/>
          <w:szCs w:val="24"/>
        </w:rPr>
        <w:t xml:space="preserve">allocation of aged care places and funding to providers rather than consumers, combined with the </w:t>
      </w:r>
      <w:r w:rsidR="006057D5">
        <w:rPr>
          <w:rFonts w:asciiTheme="minorHAnsi" w:hAnsiTheme="minorHAnsi" w:cs="Calibri"/>
          <w:sz w:val="24"/>
          <w:szCs w:val="24"/>
        </w:rPr>
        <w:t xml:space="preserve">capping of </w:t>
      </w:r>
      <w:r w:rsidR="002262DA">
        <w:rPr>
          <w:rFonts w:asciiTheme="minorHAnsi" w:hAnsiTheme="minorHAnsi" w:cs="Calibri"/>
          <w:sz w:val="24"/>
          <w:szCs w:val="24"/>
        </w:rPr>
        <w:t xml:space="preserve">supply of </w:t>
      </w:r>
      <w:r w:rsidR="0089789F">
        <w:rPr>
          <w:rFonts w:asciiTheme="minorHAnsi" w:hAnsiTheme="minorHAnsi" w:cs="Calibri"/>
          <w:sz w:val="24"/>
          <w:szCs w:val="24"/>
        </w:rPr>
        <w:t>a</w:t>
      </w:r>
      <w:r w:rsidR="002262DA">
        <w:rPr>
          <w:rFonts w:asciiTheme="minorHAnsi" w:hAnsiTheme="minorHAnsi" w:cs="Calibri"/>
          <w:sz w:val="24"/>
          <w:szCs w:val="24"/>
        </w:rPr>
        <w:t xml:space="preserve">ged </w:t>
      </w:r>
      <w:r w:rsidR="0089789F">
        <w:rPr>
          <w:rFonts w:asciiTheme="minorHAnsi" w:hAnsiTheme="minorHAnsi" w:cs="Calibri"/>
          <w:sz w:val="24"/>
          <w:szCs w:val="24"/>
        </w:rPr>
        <w:t>c</w:t>
      </w:r>
      <w:r w:rsidR="006057D5">
        <w:rPr>
          <w:rFonts w:asciiTheme="minorHAnsi" w:hAnsiTheme="minorHAnsi" w:cs="Calibri"/>
          <w:sz w:val="24"/>
          <w:szCs w:val="24"/>
        </w:rPr>
        <w:t>are places in both residential and home care</w:t>
      </w:r>
      <w:r w:rsidR="0089789F">
        <w:rPr>
          <w:rFonts w:asciiTheme="minorHAnsi" w:hAnsiTheme="minorHAnsi" w:cs="Calibri"/>
          <w:sz w:val="24"/>
          <w:szCs w:val="24"/>
        </w:rPr>
        <w:t>,</w:t>
      </w:r>
      <w:r w:rsidR="00110C45">
        <w:rPr>
          <w:rFonts w:asciiTheme="minorHAnsi" w:hAnsiTheme="minorHAnsi" w:cs="Calibri"/>
          <w:sz w:val="24"/>
          <w:szCs w:val="24"/>
        </w:rPr>
        <w:t xml:space="preserve"> </w:t>
      </w:r>
      <w:r w:rsidR="006057D5">
        <w:rPr>
          <w:rFonts w:asciiTheme="minorHAnsi" w:hAnsiTheme="minorHAnsi" w:cs="Calibri"/>
          <w:sz w:val="24"/>
          <w:szCs w:val="24"/>
        </w:rPr>
        <w:t>has</w:t>
      </w:r>
      <w:r w:rsidR="0089789F">
        <w:rPr>
          <w:rFonts w:asciiTheme="minorHAnsi" w:hAnsiTheme="minorHAnsi" w:cs="Calibri"/>
          <w:sz w:val="24"/>
          <w:szCs w:val="24"/>
        </w:rPr>
        <w:t>;</w:t>
      </w:r>
    </w:p>
    <w:p w14:paraId="44168EDA" w14:textId="77777777" w:rsidR="0089789F" w:rsidRDefault="00141DAD" w:rsidP="0089789F">
      <w:pPr>
        <w:pStyle w:val="ListParagraph"/>
        <w:numPr>
          <w:ilvl w:val="0"/>
          <w:numId w:val="47"/>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sidRPr="0089789F">
        <w:rPr>
          <w:rFonts w:asciiTheme="minorHAnsi" w:hAnsiTheme="minorHAnsi" w:cs="Calibri"/>
          <w:sz w:val="24"/>
          <w:szCs w:val="24"/>
        </w:rPr>
        <w:t xml:space="preserve">prevented preferred and higher quality providers from expanding in response to consumer demand; </w:t>
      </w:r>
    </w:p>
    <w:p w14:paraId="590C2D2B" w14:textId="77777777" w:rsidR="0089789F" w:rsidRDefault="00141DAD" w:rsidP="0089789F">
      <w:pPr>
        <w:pStyle w:val="ListParagraph"/>
        <w:numPr>
          <w:ilvl w:val="0"/>
          <w:numId w:val="47"/>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sidRPr="0089789F">
        <w:rPr>
          <w:rFonts w:asciiTheme="minorHAnsi" w:hAnsiTheme="minorHAnsi" w:cs="Calibri"/>
          <w:sz w:val="24"/>
          <w:szCs w:val="24"/>
        </w:rPr>
        <w:t xml:space="preserve">guaranteed very average quality providers a supply of customers because they had been allocated beds or packages at some time; </w:t>
      </w:r>
    </w:p>
    <w:p w14:paraId="1335349B" w14:textId="77777777" w:rsidR="0089789F" w:rsidRDefault="00141DAD" w:rsidP="0089789F">
      <w:pPr>
        <w:pStyle w:val="ListParagraph"/>
        <w:numPr>
          <w:ilvl w:val="0"/>
          <w:numId w:val="47"/>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sidRPr="0089789F">
        <w:rPr>
          <w:rFonts w:asciiTheme="minorHAnsi" w:hAnsiTheme="minorHAnsi" w:cs="Calibri"/>
          <w:sz w:val="24"/>
          <w:szCs w:val="24"/>
        </w:rPr>
        <w:t>allowed</w:t>
      </w:r>
      <w:r w:rsidR="00110C45" w:rsidRPr="0089789F">
        <w:rPr>
          <w:rFonts w:asciiTheme="minorHAnsi" w:hAnsiTheme="minorHAnsi" w:cs="Calibri"/>
          <w:sz w:val="24"/>
          <w:szCs w:val="24"/>
        </w:rPr>
        <w:t xml:space="preserve"> p</w:t>
      </w:r>
      <w:r w:rsidR="00C81366" w:rsidRPr="0089789F">
        <w:rPr>
          <w:rFonts w:asciiTheme="minorHAnsi" w:hAnsiTheme="minorHAnsi" w:cs="Calibri"/>
          <w:sz w:val="24"/>
          <w:szCs w:val="24"/>
        </w:rPr>
        <w:t>arts of t</w:t>
      </w:r>
      <w:r w:rsidR="004B14BA" w:rsidRPr="0089789F">
        <w:rPr>
          <w:rFonts w:asciiTheme="minorHAnsi" w:hAnsiTheme="minorHAnsi" w:cs="Calibri"/>
          <w:sz w:val="24"/>
          <w:szCs w:val="24"/>
        </w:rPr>
        <w:t xml:space="preserve">he industry </w:t>
      </w:r>
      <w:r w:rsidR="006057D5" w:rsidRPr="0089789F">
        <w:rPr>
          <w:rFonts w:asciiTheme="minorHAnsi" w:hAnsiTheme="minorHAnsi" w:cs="Calibri"/>
          <w:sz w:val="24"/>
          <w:szCs w:val="24"/>
        </w:rPr>
        <w:t>to engage in</w:t>
      </w:r>
      <w:r w:rsidR="004B14BA" w:rsidRPr="0089789F">
        <w:rPr>
          <w:rFonts w:asciiTheme="minorHAnsi" w:hAnsiTheme="minorHAnsi" w:cs="Calibri"/>
          <w:sz w:val="24"/>
          <w:szCs w:val="24"/>
        </w:rPr>
        <w:t xml:space="preserve"> </w:t>
      </w:r>
      <w:r w:rsidR="002262DA" w:rsidRPr="0089789F">
        <w:rPr>
          <w:rFonts w:asciiTheme="minorHAnsi" w:hAnsiTheme="minorHAnsi" w:cs="Calibri"/>
          <w:sz w:val="24"/>
          <w:szCs w:val="24"/>
        </w:rPr>
        <w:t>‘cherry-picking’ consumers</w:t>
      </w:r>
      <w:r w:rsidR="00E958D8" w:rsidRPr="0089789F">
        <w:rPr>
          <w:rFonts w:asciiTheme="minorHAnsi" w:hAnsiTheme="minorHAnsi" w:cs="Calibri"/>
          <w:sz w:val="24"/>
          <w:szCs w:val="24"/>
        </w:rPr>
        <w:t xml:space="preserve">, largely for financial advantage; and </w:t>
      </w:r>
    </w:p>
    <w:p w14:paraId="2DAABA56" w14:textId="091F684B" w:rsidR="004B14BA" w:rsidRPr="0089789F" w:rsidRDefault="00E958D8" w:rsidP="0089789F">
      <w:pPr>
        <w:pStyle w:val="ListParagraph"/>
        <w:numPr>
          <w:ilvl w:val="0"/>
          <w:numId w:val="47"/>
        </w:numPr>
        <w:kinsoku w:val="0"/>
        <w:overflowPunct w:val="0"/>
        <w:autoSpaceDE/>
        <w:autoSpaceDN/>
        <w:adjustRightInd/>
        <w:spacing w:line="276" w:lineRule="auto"/>
        <w:textAlignment w:val="baseline"/>
        <w:rPr>
          <w:rFonts w:asciiTheme="minorHAnsi" w:hAnsiTheme="minorHAnsi" w:cs="Calibri"/>
          <w:sz w:val="24"/>
          <w:szCs w:val="24"/>
        </w:rPr>
      </w:pPr>
      <w:r w:rsidRPr="0089789F">
        <w:rPr>
          <w:rFonts w:asciiTheme="minorHAnsi" w:hAnsiTheme="minorHAnsi" w:cs="Calibri"/>
          <w:sz w:val="24"/>
          <w:szCs w:val="24"/>
        </w:rPr>
        <w:t xml:space="preserve">meant that people with </w:t>
      </w:r>
      <w:r w:rsidR="00C81366" w:rsidRPr="0089789F">
        <w:rPr>
          <w:rFonts w:asciiTheme="minorHAnsi" w:hAnsiTheme="minorHAnsi" w:cs="Calibri"/>
          <w:sz w:val="24"/>
          <w:szCs w:val="24"/>
        </w:rPr>
        <w:t xml:space="preserve">greater needs such as dementia or cognitive decline, or those with </w:t>
      </w:r>
      <w:r w:rsidR="00BC7F42" w:rsidRPr="0089789F">
        <w:rPr>
          <w:rFonts w:asciiTheme="minorHAnsi" w:hAnsiTheme="minorHAnsi" w:cs="Calibri"/>
          <w:sz w:val="24"/>
          <w:szCs w:val="24"/>
        </w:rPr>
        <w:t xml:space="preserve">non-mainstream </w:t>
      </w:r>
      <w:r w:rsidR="00C81366" w:rsidRPr="0089789F">
        <w:rPr>
          <w:rFonts w:asciiTheme="minorHAnsi" w:hAnsiTheme="minorHAnsi" w:cs="Calibri"/>
          <w:sz w:val="24"/>
          <w:szCs w:val="24"/>
        </w:rPr>
        <w:t>personal characteristics</w:t>
      </w:r>
      <w:r w:rsidR="005B6A3C" w:rsidRPr="0089789F">
        <w:rPr>
          <w:rFonts w:asciiTheme="minorHAnsi" w:hAnsiTheme="minorHAnsi" w:cs="Calibri"/>
          <w:sz w:val="24"/>
          <w:szCs w:val="24"/>
        </w:rPr>
        <w:t xml:space="preserve">, </w:t>
      </w:r>
      <w:r w:rsidRPr="0089789F">
        <w:rPr>
          <w:rFonts w:asciiTheme="minorHAnsi" w:hAnsiTheme="minorHAnsi" w:cs="Calibri"/>
          <w:sz w:val="24"/>
          <w:szCs w:val="24"/>
        </w:rPr>
        <w:t>have not had their needs met well, or have even been poorly served.</w:t>
      </w:r>
      <w:r w:rsidR="00BC7F42" w:rsidRPr="0089789F">
        <w:rPr>
          <w:rFonts w:asciiTheme="minorHAnsi" w:hAnsiTheme="minorHAnsi" w:cs="Calibri"/>
          <w:sz w:val="24"/>
          <w:szCs w:val="24"/>
        </w:rPr>
        <w:t xml:space="preserve">  </w:t>
      </w:r>
      <w:r w:rsidR="0089789F">
        <w:rPr>
          <w:rFonts w:asciiTheme="minorHAnsi" w:hAnsiTheme="minorHAnsi" w:cs="Calibri"/>
          <w:sz w:val="24"/>
          <w:szCs w:val="24"/>
        </w:rPr>
        <w:t>(</w:t>
      </w:r>
      <w:r w:rsidR="00BC7F42" w:rsidRPr="0089789F">
        <w:rPr>
          <w:rFonts w:asciiTheme="minorHAnsi" w:hAnsiTheme="minorHAnsi" w:cs="Calibri"/>
          <w:sz w:val="24"/>
          <w:szCs w:val="24"/>
        </w:rPr>
        <w:t xml:space="preserve">The growing number of LGBTI people now seeking aged care is an example of a demographic whose needs are not yet broadly acknowledged </w:t>
      </w:r>
      <w:r w:rsidR="00243FFD" w:rsidRPr="0089789F">
        <w:rPr>
          <w:rFonts w:asciiTheme="minorHAnsi" w:hAnsiTheme="minorHAnsi" w:cs="Calibri"/>
          <w:sz w:val="24"/>
          <w:szCs w:val="24"/>
        </w:rPr>
        <w:t>n</w:t>
      </w:r>
      <w:r w:rsidR="00BC7F42" w:rsidRPr="0089789F">
        <w:rPr>
          <w:rFonts w:asciiTheme="minorHAnsi" w:hAnsiTheme="minorHAnsi" w:cs="Calibri"/>
          <w:sz w:val="24"/>
          <w:szCs w:val="24"/>
        </w:rPr>
        <w:t>or met by the industry.</w:t>
      </w:r>
      <w:r w:rsidR="0089789F">
        <w:rPr>
          <w:rFonts w:asciiTheme="minorHAnsi" w:hAnsiTheme="minorHAnsi" w:cs="Calibri"/>
          <w:sz w:val="24"/>
          <w:szCs w:val="24"/>
        </w:rPr>
        <w:t>)</w:t>
      </w:r>
    </w:p>
    <w:p w14:paraId="6A928823" w14:textId="77777777" w:rsidR="00C81366" w:rsidRDefault="00C81366" w:rsidP="00272E11">
      <w:pPr>
        <w:kinsoku w:val="0"/>
        <w:overflowPunct w:val="0"/>
        <w:autoSpaceDE/>
        <w:autoSpaceDN/>
        <w:adjustRightInd/>
        <w:spacing w:line="276" w:lineRule="auto"/>
        <w:textAlignment w:val="baseline"/>
        <w:rPr>
          <w:rFonts w:asciiTheme="minorHAnsi" w:hAnsiTheme="minorHAnsi" w:cs="Calibri"/>
          <w:sz w:val="24"/>
          <w:szCs w:val="24"/>
        </w:rPr>
      </w:pPr>
    </w:p>
    <w:p w14:paraId="7A6E3088" w14:textId="25EAB91C" w:rsidR="004E0456" w:rsidRDefault="00110C45" w:rsidP="00272E11">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COTA has therefore taken</w:t>
      </w:r>
      <w:r w:rsidR="00AE79D3">
        <w:rPr>
          <w:rFonts w:asciiTheme="minorHAnsi" w:hAnsiTheme="minorHAnsi" w:cs="Calibri"/>
          <w:sz w:val="24"/>
          <w:szCs w:val="24"/>
        </w:rPr>
        <w:t xml:space="preserve"> the view that greater choice and control for </w:t>
      </w:r>
      <w:r w:rsidR="00C81366">
        <w:rPr>
          <w:rFonts w:asciiTheme="minorHAnsi" w:hAnsiTheme="minorHAnsi" w:cs="Calibri"/>
          <w:sz w:val="24"/>
          <w:szCs w:val="24"/>
        </w:rPr>
        <w:t xml:space="preserve">a broader range of </w:t>
      </w:r>
      <w:r w:rsidR="002262DA">
        <w:rPr>
          <w:rFonts w:asciiTheme="minorHAnsi" w:hAnsiTheme="minorHAnsi" w:cs="Calibri"/>
          <w:sz w:val="24"/>
          <w:szCs w:val="24"/>
        </w:rPr>
        <w:t>Aged C</w:t>
      </w:r>
      <w:r w:rsidR="00AE79D3">
        <w:rPr>
          <w:rFonts w:asciiTheme="minorHAnsi" w:hAnsiTheme="minorHAnsi" w:cs="Calibri"/>
          <w:sz w:val="24"/>
          <w:szCs w:val="24"/>
        </w:rPr>
        <w:t xml:space="preserve">are consumers and a more individualised approach to service delivery means that there must be a </w:t>
      </w:r>
      <w:r w:rsidR="00C81366">
        <w:rPr>
          <w:rFonts w:asciiTheme="minorHAnsi" w:hAnsiTheme="minorHAnsi" w:cs="Calibri"/>
          <w:sz w:val="24"/>
          <w:szCs w:val="24"/>
        </w:rPr>
        <w:t xml:space="preserve">better </w:t>
      </w:r>
      <w:r w:rsidR="00AE79D3">
        <w:rPr>
          <w:rFonts w:asciiTheme="minorHAnsi" w:hAnsiTheme="minorHAnsi" w:cs="Calibri"/>
          <w:sz w:val="24"/>
          <w:szCs w:val="24"/>
        </w:rPr>
        <w:t>choice of provider</w:t>
      </w:r>
      <w:r w:rsidR="006031C1">
        <w:rPr>
          <w:rFonts w:asciiTheme="minorHAnsi" w:hAnsiTheme="minorHAnsi" w:cs="Calibri"/>
          <w:sz w:val="24"/>
          <w:szCs w:val="24"/>
        </w:rPr>
        <w:t>s</w:t>
      </w:r>
      <w:r w:rsidR="00141DAD">
        <w:rPr>
          <w:rFonts w:asciiTheme="minorHAnsi" w:hAnsiTheme="minorHAnsi" w:cs="Calibri"/>
          <w:sz w:val="24"/>
          <w:szCs w:val="24"/>
        </w:rPr>
        <w:t xml:space="preserve"> and between providers</w:t>
      </w:r>
      <w:r w:rsidR="00A8382F">
        <w:rPr>
          <w:rFonts w:asciiTheme="minorHAnsi" w:hAnsiTheme="minorHAnsi" w:cs="Calibri"/>
          <w:sz w:val="24"/>
          <w:szCs w:val="24"/>
        </w:rPr>
        <w:t xml:space="preserve"> than </w:t>
      </w:r>
      <w:r w:rsidR="00141DAD">
        <w:rPr>
          <w:rFonts w:asciiTheme="minorHAnsi" w:hAnsiTheme="minorHAnsi" w:cs="Calibri"/>
          <w:sz w:val="24"/>
          <w:szCs w:val="24"/>
        </w:rPr>
        <w:t>is</w:t>
      </w:r>
      <w:r w:rsidR="00A8382F">
        <w:rPr>
          <w:rFonts w:asciiTheme="minorHAnsi" w:hAnsiTheme="minorHAnsi" w:cs="Calibri"/>
          <w:sz w:val="24"/>
          <w:szCs w:val="24"/>
        </w:rPr>
        <w:t xml:space="preserve"> currently </w:t>
      </w:r>
      <w:r w:rsidR="00141DAD">
        <w:rPr>
          <w:rFonts w:asciiTheme="minorHAnsi" w:hAnsiTheme="minorHAnsi" w:cs="Calibri"/>
          <w:sz w:val="24"/>
          <w:szCs w:val="24"/>
        </w:rPr>
        <w:t>available</w:t>
      </w:r>
      <w:r w:rsidR="00A8382F">
        <w:rPr>
          <w:rFonts w:asciiTheme="minorHAnsi" w:hAnsiTheme="minorHAnsi" w:cs="Calibri"/>
          <w:sz w:val="24"/>
          <w:szCs w:val="24"/>
        </w:rPr>
        <w:t xml:space="preserve"> in the sector</w:t>
      </w:r>
      <w:r w:rsidR="00AE79D3">
        <w:rPr>
          <w:rFonts w:asciiTheme="minorHAnsi" w:hAnsiTheme="minorHAnsi" w:cs="Calibri"/>
          <w:sz w:val="24"/>
          <w:szCs w:val="24"/>
        </w:rPr>
        <w:t xml:space="preserve">.  True choice implies not just </w:t>
      </w:r>
      <w:r w:rsidR="006031C1">
        <w:rPr>
          <w:rFonts w:asciiTheme="minorHAnsi" w:hAnsiTheme="minorHAnsi" w:cs="Calibri"/>
          <w:sz w:val="24"/>
          <w:szCs w:val="24"/>
        </w:rPr>
        <w:t>the selection of</w:t>
      </w:r>
      <w:r w:rsidR="00AE79D3">
        <w:rPr>
          <w:rFonts w:asciiTheme="minorHAnsi" w:hAnsiTheme="minorHAnsi" w:cs="Calibri"/>
          <w:sz w:val="24"/>
          <w:szCs w:val="24"/>
        </w:rPr>
        <w:t xml:space="preserve"> Provider A </w:t>
      </w:r>
      <w:r w:rsidR="004E0456">
        <w:rPr>
          <w:rFonts w:asciiTheme="minorHAnsi" w:hAnsiTheme="minorHAnsi" w:cs="Calibri"/>
          <w:sz w:val="24"/>
          <w:szCs w:val="24"/>
        </w:rPr>
        <w:t>over</w:t>
      </w:r>
      <w:r w:rsidR="00AE79D3">
        <w:rPr>
          <w:rFonts w:asciiTheme="minorHAnsi" w:hAnsiTheme="minorHAnsi" w:cs="Calibri"/>
          <w:sz w:val="24"/>
          <w:szCs w:val="24"/>
        </w:rPr>
        <w:t xml:space="preserve"> Provider B, b</w:t>
      </w:r>
      <w:r w:rsidR="004E0456">
        <w:rPr>
          <w:rFonts w:asciiTheme="minorHAnsi" w:hAnsiTheme="minorHAnsi" w:cs="Calibri"/>
          <w:sz w:val="24"/>
          <w:szCs w:val="24"/>
        </w:rPr>
        <w:t xml:space="preserve">ut the ability for a </w:t>
      </w:r>
      <w:r w:rsidR="00AE79D3">
        <w:rPr>
          <w:rFonts w:asciiTheme="minorHAnsi" w:hAnsiTheme="minorHAnsi" w:cs="Calibri"/>
          <w:sz w:val="24"/>
          <w:szCs w:val="24"/>
        </w:rPr>
        <w:t>consumer to choose type of service, individual</w:t>
      </w:r>
      <w:r w:rsidR="004E0456">
        <w:rPr>
          <w:rFonts w:asciiTheme="minorHAnsi" w:hAnsiTheme="minorHAnsi" w:cs="Calibri"/>
          <w:sz w:val="24"/>
          <w:szCs w:val="24"/>
        </w:rPr>
        <w:t xml:space="preserve"> care giver, delivery hours, </w:t>
      </w:r>
      <w:r w:rsidR="00AE79D3">
        <w:rPr>
          <w:rFonts w:asciiTheme="minorHAnsi" w:hAnsiTheme="minorHAnsi" w:cs="Calibri"/>
          <w:sz w:val="24"/>
          <w:szCs w:val="24"/>
        </w:rPr>
        <w:t>delivery site</w:t>
      </w:r>
      <w:r w:rsidR="004E0456">
        <w:rPr>
          <w:rFonts w:asciiTheme="minorHAnsi" w:hAnsiTheme="minorHAnsi" w:cs="Calibri"/>
          <w:sz w:val="24"/>
          <w:szCs w:val="24"/>
        </w:rPr>
        <w:t xml:space="preserve"> and more, that meets their needs and preferenc</w:t>
      </w:r>
      <w:r>
        <w:rPr>
          <w:rFonts w:asciiTheme="minorHAnsi" w:hAnsiTheme="minorHAnsi" w:cs="Calibri"/>
          <w:sz w:val="24"/>
          <w:szCs w:val="24"/>
        </w:rPr>
        <w:t xml:space="preserve">es and </w:t>
      </w:r>
      <w:r w:rsidR="00E958D8">
        <w:rPr>
          <w:rFonts w:asciiTheme="minorHAnsi" w:hAnsiTheme="minorHAnsi" w:cs="Calibri"/>
          <w:sz w:val="24"/>
          <w:szCs w:val="24"/>
        </w:rPr>
        <w:t xml:space="preserve">fully </w:t>
      </w:r>
      <w:r>
        <w:rPr>
          <w:rFonts w:asciiTheme="minorHAnsi" w:hAnsiTheme="minorHAnsi" w:cs="Calibri"/>
          <w:sz w:val="24"/>
          <w:szCs w:val="24"/>
        </w:rPr>
        <w:t>supports individual well</w:t>
      </w:r>
      <w:r w:rsidR="004E0456">
        <w:rPr>
          <w:rFonts w:asciiTheme="minorHAnsi" w:hAnsiTheme="minorHAnsi" w:cs="Calibri"/>
          <w:sz w:val="24"/>
          <w:szCs w:val="24"/>
        </w:rPr>
        <w:t>being</w:t>
      </w:r>
      <w:r w:rsidR="00AE79D3">
        <w:rPr>
          <w:rFonts w:asciiTheme="minorHAnsi" w:hAnsiTheme="minorHAnsi" w:cs="Calibri"/>
          <w:sz w:val="24"/>
          <w:szCs w:val="24"/>
        </w:rPr>
        <w:t xml:space="preserve">.  </w:t>
      </w:r>
      <w:r w:rsidR="0089789F">
        <w:rPr>
          <w:rFonts w:asciiTheme="minorHAnsi" w:hAnsiTheme="minorHAnsi" w:cs="Calibri"/>
          <w:sz w:val="24"/>
          <w:szCs w:val="24"/>
        </w:rPr>
        <w:t>True choice also means a variety of providers being able to operate freely in competition to provide genuine alternatives (within a common regulation of safety and quality).</w:t>
      </w:r>
    </w:p>
    <w:p w14:paraId="35EB906B" w14:textId="77777777" w:rsidR="004E0456" w:rsidRDefault="004E0456" w:rsidP="00272E11">
      <w:pPr>
        <w:kinsoku w:val="0"/>
        <w:overflowPunct w:val="0"/>
        <w:autoSpaceDE/>
        <w:autoSpaceDN/>
        <w:adjustRightInd/>
        <w:spacing w:line="276" w:lineRule="auto"/>
        <w:textAlignment w:val="baseline"/>
        <w:rPr>
          <w:rFonts w:asciiTheme="minorHAnsi" w:hAnsiTheme="minorHAnsi" w:cs="Calibri"/>
          <w:sz w:val="24"/>
          <w:szCs w:val="24"/>
        </w:rPr>
      </w:pPr>
    </w:p>
    <w:p w14:paraId="18DF6FE8" w14:textId="3D2C21B2" w:rsidR="00171561" w:rsidRDefault="00171561" w:rsidP="00171561">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 recognises </w:t>
      </w:r>
      <w:r w:rsidR="00243FFD">
        <w:rPr>
          <w:rFonts w:asciiTheme="minorHAnsi" w:hAnsiTheme="minorHAnsi" w:cs="Calibri"/>
          <w:sz w:val="24"/>
          <w:szCs w:val="24"/>
        </w:rPr>
        <w:t xml:space="preserve">however </w:t>
      </w:r>
      <w:r>
        <w:rPr>
          <w:rFonts w:asciiTheme="minorHAnsi" w:hAnsiTheme="minorHAnsi" w:cs="Calibri"/>
          <w:sz w:val="24"/>
          <w:szCs w:val="24"/>
        </w:rPr>
        <w:t xml:space="preserve">that choice is not a simple issue.  Classical economics says that people make rational choices in their own best interests, but we know that in the real world that does not always happen.  In practice, consumers are likely to face a lot of barriers to exercising optimal choice when accessing and using human services.  These include: information asymmetry; lack of confidence </w:t>
      </w:r>
      <w:r w:rsidR="00F53944">
        <w:rPr>
          <w:rFonts w:asciiTheme="minorHAnsi" w:hAnsiTheme="minorHAnsi" w:cs="Calibri"/>
          <w:sz w:val="24"/>
          <w:szCs w:val="24"/>
        </w:rPr>
        <w:t>for new users of</w:t>
      </w:r>
      <w:r>
        <w:rPr>
          <w:rFonts w:asciiTheme="minorHAnsi" w:hAnsiTheme="minorHAnsi" w:cs="Calibri"/>
          <w:sz w:val="24"/>
          <w:szCs w:val="24"/>
        </w:rPr>
        <w:t xml:space="preserve"> an unfamiliar sector; urgency of need for a service; cognitive decline; service scarcity or homogeneity; locational challenges; and service mobility barriers such as exit penalties. The likel</w:t>
      </w:r>
      <w:r w:rsidR="00F53944">
        <w:rPr>
          <w:rFonts w:asciiTheme="minorHAnsi" w:hAnsiTheme="minorHAnsi" w:cs="Calibri"/>
          <w:sz w:val="24"/>
          <w:szCs w:val="24"/>
        </w:rPr>
        <w:t>y</w:t>
      </w:r>
      <w:r>
        <w:rPr>
          <w:rFonts w:asciiTheme="minorHAnsi" w:hAnsiTheme="minorHAnsi" w:cs="Calibri"/>
          <w:sz w:val="24"/>
          <w:szCs w:val="24"/>
        </w:rPr>
        <w:t xml:space="preserve"> consequences of th</w:t>
      </w:r>
      <w:r w:rsidR="00BC7F42">
        <w:rPr>
          <w:rFonts w:asciiTheme="minorHAnsi" w:hAnsiTheme="minorHAnsi" w:cs="Calibri"/>
          <w:sz w:val="24"/>
          <w:szCs w:val="24"/>
        </w:rPr>
        <w:t>ese barriers</w:t>
      </w:r>
      <w:r>
        <w:rPr>
          <w:rFonts w:asciiTheme="minorHAnsi" w:hAnsiTheme="minorHAnsi" w:cs="Calibri"/>
          <w:sz w:val="24"/>
          <w:szCs w:val="24"/>
        </w:rPr>
        <w:t xml:space="preserve"> </w:t>
      </w:r>
      <w:r w:rsidR="0089789F">
        <w:rPr>
          <w:rFonts w:asciiTheme="minorHAnsi" w:hAnsiTheme="minorHAnsi" w:cs="Calibri"/>
          <w:sz w:val="24"/>
          <w:szCs w:val="24"/>
        </w:rPr>
        <w:t>are greater</w:t>
      </w:r>
      <w:r>
        <w:rPr>
          <w:rFonts w:asciiTheme="minorHAnsi" w:hAnsiTheme="minorHAnsi" w:cs="Calibri"/>
          <w:sz w:val="24"/>
          <w:szCs w:val="24"/>
        </w:rPr>
        <w:t xml:space="preserve"> for groups of consumers who for a range of reasons are particularly vulnerable or experience </w:t>
      </w:r>
      <w:r w:rsidR="0089789F">
        <w:rPr>
          <w:rFonts w:asciiTheme="minorHAnsi" w:hAnsiTheme="minorHAnsi" w:cs="Calibri"/>
          <w:sz w:val="24"/>
          <w:szCs w:val="24"/>
        </w:rPr>
        <w:t>persistent</w:t>
      </w:r>
      <w:r>
        <w:rPr>
          <w:rFonts w:asciiTheme="minorHAnsi" w:hAnsiTheme="minorHAnsi" w:cs="Calibri"/>
          <w:sz w:val="24"/>
          <w:szCs w:val="24"/>
        </w:rPr>
        <w:t xml:space="preserve"> disadvantage.</w:t>
      </w:r>
    </w:p>
    <w:p w14:paraId="5C3E7DC7" w14:textId="77777777" w:rsidR="00007BCF" w:rsidRDefault="00007BCF" w:rsidP="00430E1A">
      <w:pPr>
        <w:kinsoku w:val="0"/>
        <w:overflowPunct w:val="0"/>
        <w:autoSpaceDE/>
        <w:autoSpaceDN/>
        <w:adjustRightInd/>
        <w:spacing w:line="276" w:lineRule="auto"/>
        <w:textAlignment w:val="baseline"/>
        <w:rPr>
          <w:rFonts w:asciiTheme="minorHAnsi" w:hAnsiTheme="minorHAnsi" w:cs="Calibri"/>
          <w:sz w:val="24"/>
          <w:szCs w:val="24"/>
        </w:rPr>
      </w:pPr>
    </w:p>
    <w:p w14:paraId="7FF23CAC" w14:textId="4BFA8F6B" w:rsidR="00430E1A" w:rsidRPr="00A8382F" w:rsidRDefault="00F53944" w:rsidP="00A8382F">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lastRenderedPageBreak/>
        <w:t>M</w:t>
      </w:r>
      <w:r w:rsidR="00A8382F">
        <w:rPr>
          <w:rFonts w:asciiTheme="minorHAnsi" w:hAnsiTheme="minorHAnsi" w:cs="Calibri"/>
          <w:sz w:val="24"/>
          <w:szCs w:val="24"/>
        </w:rPr>
        <w:t xml:space="preserve">arkets are </w:t>
      </w:r>
      <w:r>
        <w:rPr>
          <w:rFonts w:asciiTheme="minorHAnsi" w:hAnsiTheme="minorHAnsi" w:cs="Calibri"/>
          <w:sz w:val="24"/>
          <w:szCs w:val="24"/>
        </w:rPr>
        <w:t xml:space="preserve">rarely </w:t>
      </w:r>
      <w:r w:rsidR="00A8382F">
        <w:rPr>
          <w:rFonts w:asciiTheme="minorHAnsi" w:hAnsiTheme="minorHAnsi" w:cs="Calibri"/>
          <w:sz w:val="24"/>
          <w:szCs w:val="24"/>
        </w:rPr>
        <w:t xml:space="preserve">a level playing field and </w:t>
      </w:r>
      <w:r w:rsidR="00110C45">
        <w:rPr>
          <w:rFonts w:asciiTheme="minorHAnsi" w:hAnsiTheme="minorHAnsi" w:cs="Calibri"/>
          <w:sz w:val="24"/>
          <w:szCs w:val="24"/>
        </w:rPr>
        <w:t>we are</w:t>
      </w:r>
      <w:r w:rsidR="00A8382F">
        <w:rPr>
          <w:rFonts w:asciiTheme="minorHAnsi" w:hAnsiTheme="minorHAnsi" w:cs="Calibri"/>
          <w:sz w:val="24"/>
          <w:szCs w:val="24"/>
        </w:rPr>
        <w:t xml:space="preserve"> advocating strongly for consumer supports in the t</w:t>
      </w:r>
      <w:r w:rsidR="00ED0EC8">
        <w:rPr>
          <w:rFonts w:asciiTheme="minorHAnsi" w:hAnsiTheme="minorHAnsi" w:cs="Calibri"/>
          <w:sz w:val="24"/>
          <w:szCs w:val="24"/>
        </w:rPr>
        <w:t>ransiti</w:t>
      </w:r>
      <w:r w:rsidR="00962C6C">
        <w:rPr>
          <w:rFonts w:asciiTheme="minorHAnsi" w:hAnsiTheme="minorHAnsi" w:cs="Calibri"/>
          <w:sz w:val="24"/>
          <w:szCs w:val="24"/>
        </w:rPr>
        <w:t>on to the new service model in Aged C</w:t>
      </w:r>
      <w:r w:rsidR="00ED0EC8">
        <w:rPr>
          <w:rFonts w:asciiTheme="minorHAnsi" w:hAnsiTheme="minorHAnsi" w:cs="Calibri"/>
          <w:sz w:val="24"/>
          <w:szCs w:val="24"/>
        </w:rPr>
        <w:t>are</w:t>
      </w:r>
      <w:r w:rsidR="00110C45">
        <w:rPr>
          <w:rFonts w:asciiTheme="minorHAnsi" w:hAnsiTheme="minorHAnsi" w:cs="Calibri"/>
          <w:sz w:val="24"/>
          <w:szCs w:val="24"/>
        </w:rPr>
        <w:t>,</w:t>
      </w:r>
      <w:r w:rsidR="00ED0EC8">
        <w:rPr>
          <w:rFonts w:asciiTheme="minorHAnsi" w:hAnsiTheme="minorHAnsi" w:cs="Calibri"/>
          <w:sz w:val="24"/>
          <w:szCs w:val="24"/>
        </w:rPr>
        <w:t xml:space="preserve"> </w:t>
      </w:r>
      <w:r w:rsidR="00A8382F">
        <w:rPr>
          <w:rFonts w:asciiTheme="minorHAnsi" w:hAnsiTheme="minorHAnsi" w:cs="Calibri"/>
          <w:sz w:val="24"/>
          <w:szCs w:val="24"/>
        </w:rPr>
        <w:t xml:space="preserve">including: </w:t>
      </w:r>
      <w:r w:rsidR="0089789F">
        <w:rPr>
          <w:rFonts w:asciiTheme="minorHAnsi" w:hAnsiTheme="minorHAnsi" w:cs="Calibri"/>
          <w:sz w:val="24"/>
          <w:szCs w:val="24"/>
        </w:rPr>
        <w:t>revitalised</w:t>
      </w:r>
      <w:r w:rsidR="00A8382F">
        <w:rPr>
          <w:rFonts w:asciiTheme="minorHAnsi" w:hAnsiTheme="minorHAnsi" w:cs="Calibri"/>
          <w:sz w:val="24"/>
          <w:szCs w:val="24"/>
        </w:rPr>
        <w:t xml:space="preserve">, </w:t>
      </w:r>
      <w:r w:rsidR="00007BCF" w:rsidRPr="00A8382F">
        <w:rPr>
          <w:rFonts w:asciiTheme="minorHAnsi" w:hAnsiTheme="minorHAnsi" w:cs="Calibri"/>
          <w:sz w:val="24"/>
          <w:szCs w:val="24"/>
        </w:rPr>
        <w:t>robust</w:t>
      </w:r>
      <w:r w:rsidR="00A8382F">
        <w:rPr>
          <w:rFonts w:asciiTheme="minorHAnsi" w:hAnsiTheme="minorHAnsi" w:cs="Calibri"/>
          <w:sz w:val="24"/>
          <w:szCs w:val="24"/>
        </w:rPr>
        <w:t>, user-friendly</w:t>
      </w:r>
      <w:r w:rsidR="00007BCF" w:rsidRPr="00A8382F">
        <w:rPr>
          <w:rFonts w:asciiTheme="minorHAnsi" w:hAnsiTheme="minorHAnsi" w:cs="Calibri"/>
          <w:sz w:val="24"/>
          <w:szCs w:val="24"/>
        </w:rPr>
        <w:t xml:space="preserve"> </w:t>
      </w:r>
      <w:r w:rsidR="00A8382F">
        <w:rPr>
          <w:rFonts w:asciiTheme="minorHAnsi" w:hAnsiTheme="minorHAnsi" w:cs="Calibri"/>
          <w:sz w:val="24"/>
          <w:szCs w:val="24"/>
        </w:rPr>
        <w:t xml:space="preserve">consumer protections; transparent, accessible </w:t>
      </w:r>
      <w:r w:rsidR="00F94405" w:rsidRPr="00A8382F">
        <w:rPr>
          <w:rFonts w:asciiTheme="minorHAnsi" w:hAnsiTheme="minorHAnsi" w:cs="Calibri"/>
          <w:sz w:val="24"/>
          <w:szCs w:val="24"/>
        </w:rPr>
        <w:t>information about the choices available</w:t>
      </w:r>
      <w:r>
        <w:rPr>
          <w:rFonts w:asciiTheme="minorHAnsi" w:hAnsiTheme="minorHAnsi" w:cs="Calibri"/>
          <w:sz w:val="24"/>
          <w:szCs w:val="24"/>
        </w:rPr>
        <w:t>, their costs,</w:t>
      </w:r>
      <w:r w:rsidR="00F94405" w:rsidRPr="00A8382F">
        <w:rPr>
          <w:rFonts w:asciiTheme="minorHAnsi" w:hAnsiTheme="minorHAnsi" w:cs="Calibri"/>
          <w:sz w:val="24"/>
          <w:szCs w:val="24"/>
        </w:rPr>
        <w:t xml:space="preserve"> and their implications fo</w:t>
      </w:r>
      <w:r w:rsidR="00A8382F">
        <w:rPr>
          <w:rFonts w:asciiTheme="minorHAnsi" w:hAnsiTheme="minorHAnsi" w:cs="Calibri"/>
          <w:sz w:val="24"/>
          <w:szCs w:val="24"/>
        </w:rPr>
        <w:t xml:space="preserve">r individuals using the systems; </w:t>
      </w:r>
      <w:r w:rsidR="00420ACB">
        <w:rPr>
          <w:rFonts w:asciiTheme="minorHAnsi" w:hAnsiTheme="minorHAnsi" w:cs="Calibri"/>
          <w:sz w:val="24"/>
          <w:szCs w:val="24"/>
        </w:rPr>
        <w:t xml:space="preserve">and </w:t>
      </w:r>
      <w:r w:rsidR="00A8382F">
        <w:rPr>
          <w:rFonts w:asciiTheme="minorHAnsi" w:hAnsiTheme="minorHAnsi" w:cs="Calibri"/>
          <w:sz w:val="24"/>
          <w:szCs w:val="24"/>
        </w:rPr>
        <w:t>a well-designed</w:t>
      </w:r>
      <w:r w:rsidR="00050C90">
        <w:rPr>
          <w:rFonts w:asciiTheme="minorHAnsi" w:hAnsiTheme="minorHAnsi" w:cs="Calibri"/>
          <w:sz w:val="24"/>
          <w:szCs w:val="24"/>
        </w:rPr>
        <w:t xml:space="preserve"> and resourced</w:t>
      </w:r>
      <w:r w:rsidR="00A8382F">
        <w:rPr>
          <w:rFonts w:asciiTheme="minorHAnsi" w:hAnsiTheme="minorHAnsi" w:cs="Calibri"/>
          <w:sz w:val="24"/>
          <w:szCs w:val="24"/>
        </w:rPr>
        <w:t>, particip</w:t>
      </w:r>
      <w:r w:rsidR="00050C90">
        <w:rPr>
          <w:rFonts w:asciiTheme="minorHAnsi" w:hAnsiTheme="minorHAnsi" w:cs="Calibri"/>
          <w:sz w:val="24"/>
          <w:szCs w:val="24"/>
        </w:rPr>
        <w:t>atory Consumer Support P</w:t>
      </w:r>
      <w:r w:rsidR="00420ACB">
        <w:rPr>
          <w:rFonts w:asciiTheme="minorHAnsi" w:hAnsiTheme="minorHAnsi" w:cs="Calibri"/>
          <w:sz w:val="24"/>
          <w:szCs w:val="24"/>
        </w:rPr>
        <w:t>latform</w:t>
      </w:r>
      <w:r>
        <w:rPr>
          <w:rFonts w:asciiTheme="minorHAnsi" w:hAnsiTheme="minorHAnsi" w:cs="Calibri"/>
          <w:sz w:val="24"/>
          <w:szCs w:val="24"/>
        </w:rPr>
        <w:t xml:space="preserve"> that provides a</w:t>
      </w:r>
      <w:r w:rsidR="0089789F">
        <w:rPr>
          <w:rFonts w:asciiTheme="minorHAnsi" w:hAnsiTheme="minorHAnsi" w:cs="Calibri"/>
          <w:sz w:val="24"/>
          <w:szCs w:val="24"/>
        </w:rPr>
        <w:t>n integrated</w:t>
      </w:r>
      <w:r>
        <w:rPr>
          <w:rFonts w:asciiTheme="minorHAnsi" w:hAnsiTheme="minorHAnsi" w:cs="Calibri"/>
          <w:sz w:val="24"/>
          <w:szCs w:val="24"/>
        </w:rPr>
        <w:t xml:space="preserve"> range of individual and system</w:t>
      </w:r>
      <w:r w:rsidR="00BC7F42">
        <w:rPr>
          <w:rFonts w:asciiTheme="minorHAnsi" w:hAnsiTheme="minorHAnsi" w:cs="Calibri"/>
          <w:sz w:val="24"/>
          <w:szCs w:val="24"/>
        </w:rPr>
        <w:t>-</w:t>
      </w:r>
      <w:r>
        <w:rPr>
          <w:rFonts w:asciiTheme="minorHAnsi" w:hAnsiTheme="minorHAnsi" w:cs="Calibri"/>
          <w:sz w:val="24"/>
          <w:szCs w:val="24"/>
        </w:rPr>
        <w:t>wide support services.</w:t>
      </w:r>
      <w:r w:rsidR="00A8382F">
        <w:rPr>
          <w:rFonts w:asciiTheme="minorHAnsi" w:hAnsiTheme="minorHAnsi" w:cs="Calibri"/>
          <w:sz w:val="24"/>
          <w:szCs w:val="24"/>
        </w:rPr>
        <w:t xml:space="preserve"> </w:t>
      </w:r>
      <w:r w:rsidR="00F94405" w:rsidRPr="00A8382F">
        <w:rPr>
          <w:rFonts w:asciiTheme="minorHAnsi" w:hAnsiTheme="minorHAnsi" w:cs="Calibri"/>
          <w:sz w:val="24"/>
          <w:szCs w:val="24"/>
        </w:rPr>
        <w:t xml:space="preserve"> </w:t>
      </w:r>
    </w:p>
    <w:p w14:paraId="479FD50D" w14:textId="77777777" w:rsidR="005F0D8D" w:rsidRDefault="005F0D8D" w:rsidP="00EB27E8">
      <w:pPr>
        <w:kinsoku w:val="0"/>
        <w:overflowPunct w:val="0"/>
        <w:autoSpaceDE/>
        <w:autoSpaceDN/>
        <w:adjustRightInd/>
        <w:spacing w:line="276" w:lineRule="auto"/>
        <w:textAlignment w:val="baseline"/>
        <w:rPr>
          <w:rFonts w:asciiTheme="minorHAnsi" w:hAnsiTheme="minorHAnsi" w:cs="Calibri"/>
          <w:sz w:val="24"/>
          <w:szCs w:val="24"/>
        </w:rPr>
      </w:pPr>
    </w:p>
    <w:p w14:paraId="48D1C743" w14:textId="241B4028" w:rsidR="005F0D8D" w:rsidRPr="005F0D8D" w:rsidRDefault="005F2BEA" w:rsidP="00EB27E8">
      <w:pPr>
        <w:kinsoku w:val="0"/>
        <w:overflowPunct w:val="0"/>
        <w:autoSpaceDE/>
        <w:autoSpaceDN/>
        <w:adjustRightInd/>
        <w:spacing w:line="276" w:lineRule="auto"/>
        <w:textAlignment w:val="baseline"/>
        <w:rPr>
          <w:rFonts w:asciiTheme="minorHAnsi" w:hAnsiTheme="minorHAnsi" w:cs="Calibri"/>
          <w:b/>
          <w:sz w:val="24"/>
          <w:szCs w:val="24"/>
        </w:rPr>
      </w:pPr>
      <w:r>
        <w:rPr>
          <w:rFonts w:asciiTheme="minorHAnsi" w:hAnsiTheme="minorHAnsi" w:cs="Calibri"/>
          <w:b/>
          <w:sz w:val="24"/>
          <w:szCs w:val="24"/>
        </w:rPr>
        <w:t>System change</w:t>
      </w:r>
    </w:p>
    <w:p w14:paraId="2F92FC05" w14:textId="0FDC2F6F" w:rsidR="00802B0A" w:rsidRDefault="00CC1F56" w:rsidP="0005393C">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COTA’s experience with changes in the Aged Care system </w:t>
      </w:r>
      <w:r w:rsidR="00802B0A">
        <w:rPr>
          <w:rFonts w:asciiTheme="minorHAnsi" w:hAnsiTheme="minorHAnsi" w:cs="Calibri"/>
          <w:sz w:val="24"/>
          <w:szCs w:val="24"/>
        </w:rPr>
        <w:t xml:space="preserve">to date lead us to identify a number of important issues in managing change towards more open delivery markets in human services.  </w:t>
      </w:r>
    </w:p>
    <w:p w14:paraId="52FBF556" w14:textId="77777777" w:rsidR="00802B0A" w:rsidRDefault="00802B0A" w:rsidP="0005393C">
      <w:pPr>
        <w:kinsoku w:val="0"/>
        <w:overflowPunct w:val="0"/>
        <w:autoSpaceDE/>
        <w:autoSpaceDN/>
        <w:adjustRightInd/>
        <w:spacing w:line="276" w:lineRule="auto"/>
        <w:textAlignment w:val="baseline"/>
        <w:rPr>
          <w:rFonts w:asciiTheme="minorHAnsi" w:hAnsiTheme="minorHAnsi" w:cs="Calibri"/>
          <w:sz w:val="24"/>
          <w:szCs w:val="24"/>
        </w:rPr>
      </w:pPr>
    </w:p>
    <w:p w14:paraId="62C1E79A" w14:textId="0AB1E089" w:rsidR="00802B0A" w:rsidRDefault="00802B0A" w:rsidP="0089789F">
      <w:pPr>
        <w:kinsoku w:val="0"/>
        <w:overflowPunct w:val="0"/>
        <w:autoSpaceDE/>
        <w:autoSpaceDN/>
        <w:adjustRightInd/>
        <w:spacing w:after="120" w:line="276" w:lineRule="auto"/>
        <w:textAlignment w:val="baseline"/>
        <w:rPr>
          <w:rFonts w:asciiTheme="minorHAnsi" w:hAnsiTheme="minorHAnsi" w:cs="Calibri"/>
          <w:sz w:val="24"/>
          <w:szCs w:val="24"/>
        </w:rPr>
      </w:pPr>
      <w:r>
        <w:rPr>
          <w:rFonts w:asciiTheme="minorHAnsi" w:hAnsiTheme="minorHAnsi" w:cs="Calibri"/>
          <w:sz w:val="24"/>
          <w:szCs w:val="24"/>
        </w:rPr>
        <w:t>Essentially, these can be summed up as the need to undertake a planned, consult</w:t>
      </w:r>
      <w:r w:rsidR="00F53944">
        <w:rPr>
          <w:rFonts w:asciiTheme="minorHAnsi" w:hAnsiTheme="minorHAnsi" w:cs="Calibri"/>
          <w:sz w:val="24"/>
          <w:szCs w:val="24"/>
        </w:rPr>
        <w:t>ative</w:t>
      </w:r>
      <w:r>
        <w:rPr>
          <w:rFonts w:asciiTheme="minorHAnsi" w:hAnsiTheme="minorHAnsi" w:cs="Calibri"/>
          <w:sz w:val="24"/>
          <w:szCs w:val="24"/>
        </w:rPr>
        <w:t xml:space="preserve">, </w:t>
      </w:r>
      <w:r w:rsidR="00F53944">
        <w:rPr>
          <w:rFonts w:asciiTheme="minorHAnsi" w:hAnsiTheme="minorHAnsi" w:cs="Calibri"/>
          <w:sz w:val="24"/>
          <w:szCs w:val="24"/>
        </w:rPr>
        <w:t xml:space="preserve">well </w:t>
      </w:r>
      <w:r>
        <w:rPr>
          <w:rFonts w:asciiTheme="minorHAnsi" w:hAnsiTheme="minorHAnsi" w:cs="Calibri"/>
          <w:sz w:val="24"/>
          <w:szCs w:val="24"/>
        </w:rPr>
        <w:t>resourced</w:t>
      </w:r>
      <w:r w:rsidR="00660EA4">
        <w:rPr>
          <w:rFonts w:asciiTheme="minorHAnsi" w:hAnsiTheme="minorHAnsi" w:cs="Calibri"/>
          <w:sz w:val="24"/>
          <w:szCs w:val="24"/>
        </w:rPr>
        <w:t xml:space="preserve">, comprehensive </w:t>
      </w:r>
      <w:r>
        <w:rPr>
          <w:rFonts w:asciiTheme="minorHAnsi" w:hAnsiTheme="minorHAnsi" w:cs="Calibri"/>
          <w:sz w:val="24"/>
          <w:szCs w:val="24"/>
        </w:rPr>
        <w:t xml:space="preserve">change management </w:t>
      </w:r>
      <w:r w:rsidR="00660EA4">
        <w:rPr>
          <w:rFonts w:asciiTheme="minorHAnsi" w:hAnsiTheme="minorHAnsi" w:cs="Calibri"/>
          <w:sz w:val="24"/>
          <w:szCs w:val="24"/>
        </w:rPr>
        <w:t>process</w:t>
      </w:r>
      <w:r>
        <w:rPr>
          <w:rFonts w:asciiTheme="minorHAnsi" w:hAnsiTheme="minorHAnsi" w:cs="Calibri"/>
          <w:sz w:val="24"/>
          <w:szCs w:val="24"/>
        </w:rPr>
        <w:t>, including:</w:t>
      </w:r>
    </w:p>
    <w:p w14:paraId="3D949722" w14:textId="6F17E88B" w:rsidR="00802B0A" w:rsidRDefault="00802B0A" w:rsidP="0089789F">
      <w:pPr>
        <w:pStyle w:val="ListParagraph"/>
        <w:numPr>
          <w:ilvl w:val="0"/>
          <w:numId w:val="43"/>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Pr>
          <w:rFonts w:asciiTheme="minorHAnsi" w:hAnsiTheme="minorHAnsi" w:cs="Calibri"/>
          <w:sz w:val="24"/>
          <w:szCs w:val="24"/>
        </w:rPr>
        <w:t>Engage consumers and providers from the beginning</w:t>
      </w:r>
      <w:r w:rsidR="00962C6C">
        <w:rPr>
          <w:rFonts w:asciiTheme="minorHAnsi" w:hAnsiTheme="minorHAnsi" w:cs="Calibri"/>
          <w:sz w:val="24"/>
          <w:szCs w:val="24"/>
        </w:rPr>
        <w:t xml:space="preserve"> and at every stage</w:t>
      </w:r>
      <w:r w:rsidR="006C4177">
        <w:rPr>
          <w:rFonts w:asciiTheme="minorHAnsi" w:hAnsiTheme="minorHAnsi" w:cs="Calibri"/>
          <w:sz w:val="24"/>
          <w:szCs w:val="24"/>
        </w:rPr>
        <w:t xml:space="preserve"> of co-design of the reform</w:t>
      </w:r>
      <w:r>
        <w:rPr>
          <w:rFonts w:asciiTheme="minorHAnsi" w:hAnsiTheme="minorHAnsi" w:cs="Calibri"/>
          <w:sz w:val="24"/>
          <w:szCs w:val="24"/>
        </w:rPr>
        <w:t>;</w:t>
      </w:r>
    </w:p>
    <w:p w14:paraId="499E0EF9" w14:textId="00F92EE0" w:rsidR="00A6243B" w:rsidRDefault="00802B0A" w:rsidP="0089789F">
      <w:pPr>
        <w:pStyle w:val="ListParagraph"/>
        <w:numPr>
          <w:ilvl w:val="0"/>
          <w:numId w:val="43"/>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Pr>
          <w:rFonts w:asciiTheme="minorHAnsi" w:hAnsiTheme="minorHAnsi" w:cs="Calibri"/>
          <w:sz w:val="24"/>
          <w:szCs w:val="24"/>
        </w:rPr>
        <w:t xml:space="preserve">Create and test </w:t>
      </w:r>
      <w:r w:rsidR="00660EA4">
        <w:rPr>
          <w:rFonts w:asciiTheme="minorHAnsi" w:hAnsiTheme="minorHAnsi" w:cs="Calibri"/>
          <w:sz w:val="24"/>
          <w:szCs w:val="24"/>
        </w:rPr>
        <w:t xml:space="preserve">change </w:t>
      </w:r>
      <w:r>
        <w:rPr>
          <w:rFonts w:asciiTheme="minorHAnsi" w:hAnsiTheme="minorHAnsi" w:cs="Calibri"/>
          <w:sz w:val="24"/>
          <w:szCs w:val="24"/>
        </w:rPr>
        <w:t xml:space="preserve">plans and roadmaps </w:t>
      </w:r>
      <w:r w:rsidR="00A6243B">
        <w:rPr>
          <w:rFonts w:asciiTheme="minorHAnsi" w:hAnsiTheme="minorHAnsi" w:cs="Calibri"/>
          <w:sz w:val="24"/>
          <w:szCs w:val="24"/>
        </w:rPr>
        <w:t>with key stakeholders and provide resources and support for consumer and industry leaders to be full partners with government;</w:t>
      </w:r>
    </w:p>
    <w:p w14:paraId="1D806DE1" w14:textId="15F52491" w:rsidR="00802B0A" w:rsidRDefault="00A6243B" w:rsidP="0089789F">
      <w:pPr>
        <w:pStyle w:val="ListParagraph"/>
        <w:numPr>
          <w:ilvl w:val="0"/>
          <w:numId w:val="43"/>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Pr>
          <w:rFonts w:asciiTheme="minorHAnsi" w:hAnsiTheme="minorHAnsi" w:cs="Calibri"/>
          <w:sz w:val="24"/>
          <w:szCs w:val="24"/>
        </w:rPr>
        <w:t>C</w:t>
      </w:r>
      <w:r w:rsidR="00802B0A">
        <w:rPr>
          <w:rFonts w:asciiTheme="minorHAnsi" w:hAnsiTheme="minorHAnsi" w:cs="Calibri"/>
          <w:sz w:val="24"/>
          <w:szCs w:val="24"/>
        </w:rPr>
        <w:t xml:space="preserve">learly </w:t>
      </w:r>
      <w:r>
        <w:rPr>
          <w:rFonts w:asciiTheme="minorHAnsi" w:hAnsiTheme="minorHAnsi" w:cs="Calibri"/>
          <w:sz w:val="24"/>
          <w:szCs w:val="24"/>
        </w:rPr>
        <w:t xml:space="preserve">and frequently </w:t>
      </w:r>
      <w:r w:rsidR="00660EA4">
        <w:rPr>
          <w:rFonts w:asciiTheme="minorHAnsi" w:hAnsiTheme="minorHAnsi" w:cs="Calibri"/>
          <w:sz w:val="24"/>
          <w:szCs w:val="24"/>
        </w:rPr>
        <w:t>communicate to all stakeholders</w:t>
      </w:r>
      <w:r>
        <w:rPr>
          <w:rFonts w:asciiTheme="minorHAnsi" w:hAnsiTheme="minorHAnsi" w:cs="Calibri"/>
          <w:sz w:val="24"/>
          <w:szCs w:val="24"/>
        </w:rPr>
        <w:t xml:space="preserve">, but especially consumers, </w:t>
      </w:r>
      <w:r w:rsidR="00660EA4">
        <w:rPr>
          <w:rFonts w:asciiTheme="minorHAnsi" w:hAnsiTheme="minorHAnsi" w:cs="Calibri"/>
          <w:sz w:val="24"/>
          <w:szCs w:val="24"/>
        </w:rPr>
        <w:t xml:space="preserve">the </w:t>
      </w:r>
      <w:r w:rsidR="00F53944">
        <w:rPr>
          <w:rFonts w:asciiTheme="minorHAnsi" w:hAnsiTheme="minorHAnsi" w:cs="Calibri"/>
          <w:sz w:val="24"/>
          <w:szCs w:val="24"/>
        </w:rPr>
        <w:t>intended</w:t>
      </w:r>
      <w:r w:rsidR="00660EA4">
        <w:rPr>
          <w:rFonts w:asciiTheme="minorHAnsi" w:hAnsiTheme="minorHAnsi" w:cs="Calibri"/>
          <w:sz w:val="24"/>
          <w:szCs w:val="24"/>
        </w:rPr>
        <w:t xml:space="preserve"> </w:t>
      </w:r>
      <w:r w:rsidR="00802B0A">
        <w:rPr>
          <w:rFonts w:asciiTheme="minorHAnsi" w:hAnsiTheme="minorHAnsi" w:cs="Calibri"/>
          <w:sz w:val="24"/>
          <w:szCs w:val="24"/>
        </w:rPr>
        <w:t>directions</w:t>
      </w:r>
      <w:r w:rsidR="00660EA4">
        <w:rPr>
          <w:rFonts w:asciiTheme="minorHAnsi" w:hAnsiTheme="minorHAnsi" w:cs="Calibri"/>
          <w:sz w:val="24"/>
          <w:szCs w:val="24"/>
        </w:rPr>
        <w:t xml:space="preserve">, milestones, timeframes and </w:t>
      </w:r>
      <w:r>
        <w:rPr>
          <w:rFonts w:asciiTheme="minorHAnsi" w:hAnsiTheme="minorHAnsi" w:cs="Calibri"/>
          <w:sz w:val="24"/>
          <w:szCs w:val="24"/>
        </w:rPr>
        <w:t xml:space="preserve">improved </w:t>
      </w:r>
      <w:r w:rsidR="00660EA4">
        <w:rPr>
          <w:rFonts w:asciiTheme="minorHAnsi" w:hAnsiTheme="minorHAnsi" w:cs="Calibri"/>
          <w:sz w:val="24"/>
          <w:szCs w:val="24"/>
        </w:rPr>
        <w:t>outcomes</w:t>
      </w:r>
      <w:r>
        <w:rPr>
          <w:rFonts w:asciiTheme="minorHAnsi" w:hAnsiTheme="minorHAnsi" w:cs="Calibri"/>
          <w:sz w:val="24"/>
          <w:szCs w:val="24"/>
        </w:rPr>
        <w:t xml:space="preserve"> being sought</w:t>
      </w:r>
      <w:r w:rsidR="00660EA4">
        <w:rPr>
          <w:rFonts w:asciiTheme="minorHAnsi" w:hAnsiTheme="minorHAnsi" w:cs="Calibri"/>
          <w:sz w:val="24"/>
          <w:szCs w:val="24"/>
        </w:rPr>
        <w:t>;</w:t>
      </w:r>
    </w:p>
    <w:p w14:paraId="15E2D056" w14:textId="341A9AB9" w:rsidR="0005393C" w:rsidRDefault="00802B0A" w:rsidP="0089789F">
      <w:pPr>
        <w:pStyle w:val="ListParagraph"/>
        <w:numPr>
          <w:ilvl w:val="0"/>
          <w:numId w:val="43"/>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Pr>
          <w:rFonts w:asciiTheme="minorHAnsi" w:hAnsiTheme="minorHAnsi" w:cs="Calibri"/>
          <w:sz w:val="24"/>
          <w:szCs w:val="24"/>
        </w:rPr>
        <w:t xml:space="preserve">While maintaining momentum, ensure that transitions </w:t>
      </w:r>
      <w:r w:rsidR="00660EA4">
        <w:rPr>
          <w:rFonts w:asciiTheme="minorHAnsi" w:hAnsiTheme="minorHAnsi" w:cs="Calibri"/>
          <w:sz w:val="24"/>
          <w:szCs w:val="24"/>
        </w:rPr>
        <w:t xml:space="preserve">are orderly and </w:t>
      </w:r>
      <w:r w:rsidR="00F53944">
        <w:rPr>
          <w:rFonts w:asciiTheme="minorHAnsi" w:hAnsiTheme="minorHAnsi" w:cs="Calibri"/>
          <w:sz w:val="24"/>
          <w:szCs w:val="24"/>
        </w:rPr>
        <w:t>effectively sequenced, including in parallel when a change needing a longer lead time needs to be in planning and preparation while others are implemented</w:t>
      </w:r>
      <w:r>
        <w:rPr>
          <w:rFonts w:asciiTheme="minorHAnsi" w:hAnsiTheme="minorHAnsi" w:cs="Calibri"/>
          <w:sz w:val="24"/>
          <w:szCs w:val="24"/>
        </w:rPr>
        <w:t>;</w:t>
      </w:r>
    </w:p>
    <w:p w14:paraId="53F1C34C" w14:textId="28139EEC" w:rsidR="00802B0A" w:rsidRDefault="00F53944" w:rsidP="0089789F">
      <w:pPr>
        <w:pStyle w:val="ListParagraph"/>
        <w:numPr>
          <w:ilvl w:val="0"/>
          <w:numId w:val="43"/>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Pr>
          <w:rFonts w:asciiTheme="minorHAnsi" w:hAnsiTheme="minorHAnsi" w:cs="Calibri"/>
          <w:sz w:val="24"/>
          <w:szCs w:val="24"/>
        </w:rPr>
        <w:t>Where appropriate trial</w:t>
      </w:r>
      <w:r w:rsidR="00802B0A">
        <w:rPr>
          <w:rFonts w:asciiTheme="minorHAnsi" w:hAnsiTheme="minorHAnsi" w:cs="Calibri"/>
          <w:sz w:val="24"/>
          <w:szCs w:val="24"/>
        </w:rPr>
        <w:t xml:space="preserve"> and pilot changes before widespread implementation</w:t>
      </w:r>
      <w:r>
        <w:rPr>
          <w:rFonts w:asciiTheme="minorHAnsi" w:hAnsiTheme="minorHAnsi" w:cs="Calibri"/>
          <w:sz w:val="24"/>
          <w:szCs w:val="24"/>
        </w:rPr>
        <w:t xml:space="preserve">, </w:t>
      </w:r>
      <w:r w:rsidR="0089789F">
        <w:rPr>
          <w:rFonts w:asciiTheme="minorHAnsi" w:hAnsiTheme="minorHAnsi" w:cs="Calibri"/>
          <w:sz w:val="24"/>
          <w:szCs w:val="24"/>
        </w:rPr>
        <w:t>recognising</w:t>
      </w:r>
      <w:r>
        <w:rPr>
          <w:rFonts w:asciiTheme="minorHAnsi" w:hAnsiTheme="minorHAnsi" w:cs="Calibri"/>
          <w:sz w:val="24"/>
          <w:szCs w:val="24"/>
        </w:rPr>
        <w:t xml:space="preserve"> that this is not always possible or indeed desirable</w:t>
      </w:r>
      <w:r w:rsidR="00802B0A">
        <w:rPr>
          <w:rFonts w:asciiTheme="minorHAnsi" w:hAnsiTheme="minorHAnsi" w:cs="Calibri"/>
          <w:sz w:val="24"/>
          <w:szCs w:val="24"/>
        </w:rPr>
        <w:t>;</w:t>
      </w:r>
    </w:p>
    <w:p w14:paraId="3FBC9630" w14:textId="385B7652" w:rsidR="00802B0A" w:rsidRDefault="00802B0A" w:rsidP="0089789F">
      <w:pPr>
        <w:pStyle w:val="ListParagraph"/>
        <w:numPr>
          <w:ilvl w:val="0"/>
          <w:numId w:val="43"/>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Pr>
          <w:rFonts w:asciiTheme="minorHAnsi" w:hAnsiTheme="minorHAnsi" w:cs="Calibri"/>
          <w:sz w:val="24"/>
          <w:szCs w:val="24"/>
        </w:rPr>
        <w:t xml:space="preserve">Resource </w:t>
      </w:r>
      <w:r w:rsidR="0089789F">
        <w:rPr>
          <w:rFonts w:asciiTheme="minorHAnsi" w:hAnsiTheme="minorHAnsi" w:cs="Calibri"/>
          <w:sz w:val="24"/>
          <w:szCs w:val="24"/>
        </w:rPr>
        <w:t>organisational</w:t>
      </w:r>
      <w:r w:rsidR="00A6243B">
        <w:rPr>
          <w:rFonts w:asciiTheme="minorHAnsi" w:hAnsiTheme="minorHAnsi" w:cs="Calibri"/>
          <w:sz w:val="24"/>
          <w:szCs w:val="24"/>
        </w:rPr>
        <w:t xml:space="preserve"> and cultural </w:t>
      </w:r>
      <w:r>
        <w:rPr>
          <w:rFonts w:asciiTheme="minorHAnsi" w:hAnsiTheme="minorHAnsi" w:cs="Calibri"/>
          <w:sz w:val="24"/>
          <w:szCs w:val="24"/>
        </w:rPr>
        <w:t>change</w:t>
      </w:r>
      <w:r w:rsidR="00A6243B">
        <w:rPr>
          <w:rFonts w:asciiTheme="minorHAnsi" w:hAnsiTheme="minorHAnsi" w:cs="Calibri"/>
          <w:sz w:val="24"/>
          <w:szCs w:val="24"/>
        </w:rPr>
        <w:t xml:space="preserve"> management </w:t>
      </w:r>
      <w:r>
        <w:rPr>
          <w:rFonts w:asciiTheme="minorHAnsi" w:hAnsiTheme="minorHAnsi" w:cs="Calibri"/>
          <w:sz w:val="24"/>
          <w:szCs w:val="24"/>
        </w:rPr>
        <w:t>on the ground</w:t>
      </w:r>
      <w:r w:rsidR="00A6243B">
        <w:rPr>
          <w:rFonts w:asciiTheme="minorHAnsi" w:hAnsiTheme="minorHAnsi" w:cs="Calibri"/>
          <w:sz w:val="24"/>
          <w:szCs w:val="24"/>
        </w:rPr>
        <w:t xml:space="preserve"> (recogni</w:t>
      </w:r>
      <w:r w:rsidR="00BC7F42">
        <w:rPr>
          <w:rFonts w:asciiTheme="minorHAnsi" w:hAnsiTheme="minorHAnsi" w:cs="Calibri"/>
          <w:sz w:val="24"/>
          <w:szCs w:val="24"/>
        </w:rPr>
        <w:t>s</w:t>
      </w:r>
      <w:r w:rsidR="00A6243B">
        <w:rPr>
          <w:rFonts w:asciiTheme="minorHAnsi" w:hAnsiTheme="minorHAnsi" w:cs="Calibri"/>
          <w:sz w:val="24"/>
          <w:szCs w:val="24"/>
        </w:rPr>
        <w:t>ing provider</w:t>
      </w:r>
      <w:r w:rsidR="0089789F">
        <w:rPr>
          <w:rFonts w:asciiTheme="minorHAnsi" w:hAnsiTheme="minorHAnsi" w:cs="Calibri"/>
          <w:sz w:val="24"/>
          <w:szCs w:val="24"/>
        </w:rPr>
        <w:t>s also have</w:t>
      </w:r>
      <w:r w:rsidR="00A6243B">
        <w:rPr>
          <w:rFonts w:asciiTheme="minorHAnsi" w:hAnsiTheme="minorHAnsi" w:cs="Calibri"/>
          <w:sz w:val="24"/>
          <w:szCs w:val="24"/>
        </w:rPr>
        <w:t xml:space="preserve"> responsibility</w:t>
      </w:r>
      <w:r w:rsidR="0089789F">
        <w:rPr>
          <w:rFonts w:asciiTheme="minorHAnsi" w:hAnsiTheme="minorHAnsi" w:cs="Calibri"/>
          <w:sz w:val="24"/>
          <w:szCs w:val="24"/>
        </w:rPr>
        <w:t xml:space="preserve"> for this</w:t>
      </w:r>
      <w:r w:rsidR="00A6243B">
        <w:rPr>
          <w:rFonts w:asciiTheme="minorHAnsi" w:hAnsiTheme="minorHAnsi" w:cs="Calibri"/>
          <w:sz w:val="24"/>
          <w:szCs w:val="24"/>
        </w:rPr>
        <w:t>)</w:t>
      </w:r>
      <w:r>
        <w:rPr>
          <w:rFonts w:asciiTheme="minorHAnsi" w:hAnsiTheme="minorHAnsi" w:cs="Calibri"/>
          <w:sz w:val="24"/>
          <w:szCs w:val="24"/>
        </w:rPr>
        <w:t>;</w:t>
      </w:r>
    </w:p>
    <w:p w14:paraId="32D629EF" w14:textId="383B7966" w:rsidR="005F0D8D" w:rsidRPr="00660EA4" w:rsidRDefault="00660EA4" w:rsidP="00EB27E8">
      <w:pPr>
        <w:pStyle w:val="ListParagraph"/>
        <w:numPr>
          <w:ilvl w:val="0"/>
          <w:numId w:val="43"/>
        </w:num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Evaluate processes, outcomes and impacts at each phase of change, against the goals and purpose of service delivery and with a willingness to make adjustments as needed.</w:t>
      </w:r>
    </w:p>
    <w:p w14:paraId="52E599A5" w14:textId="77777777" w:rsidR="005F0D8D" w:rsidRDefault="005F0D8D" w:rsidP="00EB27E8">
      <w:pPr>
        <w:kinsoku w:val="0"/>
        <w:overflowPunct w:val="0"/>
        <w:autoSpaceDE/>
        <w:autoSpaceDN/>
        <w:adjustRightInd/>
        <w:spacing w:line="276" w:lineRule="auto"/>
        <w:textAlignment w:val="baseline"/>
        <w:rPr>
          <w:rFonts w:asciiTheme="minorHAnsi" w:hAnsiTheme="minorHAnsi" w:cs="Calibri"/>
          <w:sz w:val="24"/>
          <w:szCs w:val="24"/>
        </w:rPr>
      </w:pPr>
    </w:p>
    <w:p w14:paraId="4D44294E" w14:textId="0A5AB631" w:rsidR="005F0D8D" w:rsidRPr="000B1162" w:rsidRDefault="00962C6C" w:rsidP="00EB27E8">
      <w:pPr>
        <w:kinsoku w:val="0"/>
        <w:overflowPunct w:val="0"/>
        <w:autoSpaceDE/>
        <w:autoSpaceDN/>
        <w:adjustRightInd/>
        <w:spacing w:line="276" w:lineRule="auto"/>
        <w:textAlignment w:val="baseline"/>
        <w:rPr>
          <w:rFonts w:asciiTheme="minorHAnsi" w:hAnsiTheme="minorHAnsi" w:cs="Calibri"/>
          <w:b/>
          <w:sz w:val="24"/>
          <w:szCs w:val="24"/>
        </w:rPr>
      </w:pPr>
      <w:r>
        <w:rPr>
          <w:rFonts w:asciiTheme="minorHAnsi" w:hAnsiTheme="minorHAnsi" w:cs="Calibri"/>
          <w:b/>
          <w:sz w:val="24"/>
          <w:szCs w:val="24"/>
        </w:rPr>
        <w:t>Government as ‘Market S</w:t>
      </w:r>
      <w:r w:rsidR="00E609E5" w:rsidRPr="000B1162">
        <w:rPr>
          <w:rFonts w:asciiTheme="minorHAnsi" w:hAnsiTheme="minorHAnsi" w:cs="Calibri"/>
          <w:b/>
          <w:sz w:val="24"/>
          <w:szCs w:val="24"/>
        </w:rPr>
        <w:t>teward’</w:t>
      </w:r>
    </w:p>
    <w:p w14:paraId="0CEBBFFE" w14:textId="77777777" w:rsidR="00243FFD" w:rsidRDefault="007B1E84" w:rsidP="007B1E84">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 is aware that there is some </w:t>
      </w:r>
      <w:r w:rsidR="00660EA4">
        <w:rPr>
          <w:rFonts w:asciiTheme="minorHAnsi" w:hAnsiTheme="minorHAnsi" w:cs="Calibri"/>
          <w:sz w:val="24"/>
          <w:szCs w:val="24"/>
        </w:rPr>
        <w:t xml:space="preserve">stakeholder </w:t>
      </w:r>
      <w:r>
        <w:rPr>
          <w:rFonts w:asciiTheme="minorHAnsi" w:hAnsiTheme="minorHAnsi" w:cs="Calibri"/>
          <w:sz w:val="24"/>
          <w:szCs w:val="24"/>
        </w:rPr>
        <w:t>debate surrounding the choice of the Productivity Commission as the agency tasked with consid</w:t>
      </w:r>
      <w:r w:rsidR="00DA3109">
        <w:rPr>
          <w:rFonts w:asciiTheme="minorHAnsi" w:hAnsiTheme="minorHAnsi" w:cs="Calibri"/>
          <w:sz w:val="24"/>
          <w:szCs w:val="24"/>
        </w:rPr>
        <w:t>ering the future directions of Human S</w:t>
      </w:r>
      <w:r w:rsidR="00AA7596">
        <w:rPr>
          <w:rFonts w:asciiTheme="minorHAnsi" w:hAnsiTheme="minorHAnsi" w:cs="Calibri"/>
          <w:sz w:val="24"/>
          <w:szCs w:val="24"/>
        </w:rPr>
        <w:t>ervices.  COTA observes that t</w:t>
      </w:r>
      <w:r>
        <w:rPr>
          <w:rFonts w:asciiTheme="minorHAnsi" w:hAnsiTheme="minorHAnsi" w:cs="Calibri"/>
          <w:sz w:val="24"/>
          <w:szCs w:val="24"/>
        </w:rPr>
        <w:t xml:space="preserve">he Commission’s market orientation and economic remit </w:t>
      </w:r>
      <w:r w:rsidR="00A6243B">
        <w:rPr>
          <w:rFonts w:asciiTheme="minorHAnsi" w:hAnsiTheme="minorHAnsi" w:cs="Calibri"/>
          <w:sz w:val="24"/>
          <w:szCs w:val="24"/>
        </w:rPr>
        <w:t>appear to many to predetermine</w:t>
      </w:r>
      <w:r>
        <w:rPr>
          <w:rFonts w:asciiTheme="minorHAnsi" w:hAnsiTheme="minorHAnsi" w:cs="Calibri"/>
          <w:sz w:val="24"/>
          <w:szCs w:val="24"/>
        </w:rPr>
        <w:t xml:space="preserve"> a bent towards market solutions to all problems.  </w:t>
      </w:r>
    </w:p>
    <w:p w14:paraId="7B559844" w14:textId="77777777" w:rsidR="00243FFD" w:rsidRDefault="00243FFD" w:rsidP="007B1E84">
      <w:pPr>
        <w:kinsoku w:val="0"/>
        <w:overflowPunct w:val="0"/>
        <w:autoSpaceDE/>
        <w:autoSpaceDN/>
        <w:adjustRightInd/>
        <w:spacing w:line="276" w:lineRule="auto"/>
        <w:textAlignment w:val="baseline"/>
        <w:rPr>
          <w:rFonts w:asciiTheme="minorHAnsi" w:hAnsiTheme="minorHAnsi" w:cs="Calibri"/>
          <w:sz w:val="24"/>
          <w:szCs w:val="24"/>
        </w:rPr>
      </w:pPr>
    </w:p>
    <w:p w14:paraId="6B9F5589" w14:textId="108D05B1" w:rsidR="00DA3109" w:rsidRDefault="00E26F46" w:rsidP="007B1E84">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A market </w:t>
      </w:r>
      <w:r w:rsidR="007B1E84">
        <w:rPr>
          <w:rFonts w:asciiTheme="minorHAnsi" w:hAnsiTheme="minorHAnsi" w:cs="Calibri"/>
          <w:sz w:val="24"/>
          <w:szCs w:val="24"/>
        </w:rPr>
        <w:t>focus in the context of human services risks losing sight of the need</w:t>
      </w:r>
      <w:r w:rsidR="00A6243B">
        <w:rPr>
          <w:rFonts w:asciiTheme="minorHAnsi" w:hAnsiTheme="minorHAnsi" w:cs="Calibri"/>
          <w:sz w:val="24"/>
          <w:szCs w:val="24"/>
        </w:rPr>
        <w:t xml:space="preserve"> for </w:t>
      </w:r>
      <w:r w:rsidR="007B1E84">
        <w:rPr>
          <w:rFonts w:asciiTheme="minorHAnsi" w:hAnsiTheme="minorHAnsi" w:cs="Calibri"/>
          <w:sz w:val="24"/>
          <w:szCs w:val="24"/>
        </w:rPr>
        <w:t xml:space="preserve">empowerment </w:t>
      </w:r>
      <w:r w:rsidR="007B1E84">
        <w:rPr>
          <w:rFonts w:asciiTheme="minorHAnsi" w:hAnsiTheme="minorHAnsi" w:cs="Calibri"/>
          <w:sz w:val="24"/>
          <w:szCs w:val="24"/>
        </w:rPr>
        <w:lastRenderedPageBreak/>
        <w:t xml:space="preserve">of individual consumers and </w:t>
      </w:r>
      <w:r w:rsidR="00660EA4">
        <w:rPr>
          <w:rFonts w:asciiTheme="minorHAnsi" w:hAnsiTheme="minorHAnsi" w:cs="Calibri"/>
          <w:sz w:val="24"/>
          <w:szCs w:val="24"/>
        </w:rPr>
        <w:t xml:space="preserve">the </w:t>
      </w:r>
      <w:r w:rsidR="007B1E84">
        <w:rPr>
          <w:rFonts w:asciiTheme="minorHAnsi" w:hAnsiTheme="minorHAnsi" w:cs="Calibri"/>
          <w:sz w:val="24"/>
          <w:szCs w:val="24"/>
        </w:rPr>
        <w:t xml:space="preserve">values of social wellbeing, community engagement and fairness that are essential </w:t>
      </w:r>
      <w:r w:rsidR="005966D7">
        <w:rPr>
          <w:rFonts w:asciiTheme="minorHAnsi" w:hAnsiTheme="minorHAnsi" w:cs="Calibri"/>
          <w:sz w:val="24"/>
          <w:szCs w:val="24"/>
        </w:rPr>
        <w:t>to effective</w:t>
      </w:r>
      <w:r w:rsidR="007B1E84">
        <w:rPr>
          <w:rFonts w:asciiTheme="minorHAnsi" w:hAnsiTheme="minorHAnsi" w:cs="Calibri"/>
          <w:sz w:val="24"/>
          <w:szCs w:val="24"/>
        </w:rPr>
        <w:t xml:space="preserve"> human service planning and delivery</w:t>
      </w:r>
      <w:r w:rsidR="005966D7">
        <w:rPr>
          <w:rStyle w:val="FootnoteReference"/>
          <w:rFonts w:asciiTheme="minorHAnsi" w:hAnsiTheme="minorHAnsi" w:cs="Calibri"/>
          <w:sz w:val="24"/>
          <w:szCs w:val="24"/>
        </w:rPr>
        <w:footnoteReference w:id="8"/>
      </w:r>
      <w:r w:rsidR="007B1E84">
        <w:rPr>
          <w:rFonts w:asciiTheme="minorHAnsi" w:hAnsiTheme="minorHAnsi" w:cs="Calibri"/>
          <w:sz w:val="24"/>
          <w:szCs w:val="24"/>
        </w:rPr>
        <w:t xml:space="preserve">.  </w:t>
      </w:r>
    </w:p>
    <w:p w14:paraId="7CEEAE15" w14:textId="77777777" w:rsidR="00DA3109" w:rsidRDefault="00DA3109" w:rsidP="007B1E84">
      <w:pPr>
        <w:kinsoku w:val="0"/>
        <w:overflowPunct w:val="0"/>
        <w:autoSpaceDE/>
        <w:autoSpaceDN/>
        <w:adjustRightInd/>
        <w:spacing w:line="276" w:lineRule="auto"/>
        <w:textAlignment w:val="baseline"/>
        <w:rPr>
          <w:rFonts w:asciiTheme="minorHAnsi" w:hAnsiTheme="minorHAnsi" w:cs="Calibri"/>
          <w:sz w:val="24"/>
          <w:szCs w:val="24"/>
        </w:rPr>
      </w:pPr>
    </w:p>
    <w:p w14:paraId="4BFCE06A" w14:textId="3DD08753" w:rsidR="007B1E84" w:rsidRDefault="007B1E84" w:rsidP="007B1E84">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Human services </w:t>
      </w:r>
      <w:r w:rsidR="00DA3109">
        <w:rPr>
          <w:rFonts w:asciiTheme="minorHAnsi" w:hAnsiTheme="minorHAnsi" w:cs="Calibri"/>
          <w:sz w:val="24"/>
          <w:szCs w:val="24"/>
        </w:rPr>
        <w:t xml:space="preserve">are </w:t>
      </w:r>
      <w:r>
        <w:rPr>
          <w:rFonts w:asciiTheme="minorHAnsi" w:hAnsiTheme="minorHAnsi" w:cs="Calibri"/>
          <w:sz w:val="24"/>
          <w:szCs w:val="24"/>
        </w:rPr>
        <w:t>not simple exchange markets</w:t>
      </w:r>
      <w:r w:rsidR="005966D7">
        <w:rPr>
          <w:rFonts w:asciiTheme="minorHAnsi" w:hAnsiTheme="minorHAnsi" w:cs="Calibri"/>
          <w:sz w:val="24"/>
          <w:szCs w:val="24"/>
        </w:rPr>
        <w:t xml:space="preserve"> and the role of government should remain central in any delivery model.  </w:t>
      </w:r>
      <w:r w:rsidR="00DA3109">
        <w:rPr>
          <w:rFonts w:asciiTheme="minorHAnsi" w:hAnsiTheme="minorHAnsi" w:cs="Calibri"/>
          <w:sz w:val="24"/>
          <w:szCs w:val="24"/>
        </w:rPr>
        <w:t>As Jesuit Social Services put to the Harper Review</w:t>
      </w:r>
    </w:p>
    <w:p w14:paraId="16E3D78A" w14:textId="65A94327" w:rsidR="00DA3109" w:rsidRPr="00DA3109" w:rsidRDefault="00DA3109" w:rsidP="00DA3109">
      <w:pPr>
        <w:kinsoku w:val="0"/>
        <w:overflowPunct w:val="0"/>
        <w:autoSpaceDE/>
        <w:autoSpaceDN/>
        <w:adjustRightInd/>
        <w:spacing w:line="276" w:lineRule="auto"/>
        <w:ind w:left="720"/>
        <w:textAlignment w:val="baseline"/>
        <w:rPr>
          <w:rFonts w:asciiTheme="minorHAnsi" w:hAnsiTheme="minorHAnsi" w:cs="Calibri"/>
          <w:sz w:val="22"/>
          <w:szCs w:val="22"/>
        </w:rPr>
      </w:pPr>
      <w:r w:rsidRPr="00DA3109">
        <w:rPr>
          <w:rFonts w:asciiTheme="minorHAnsi" w:hAnsiTheme="minorHAnsi" w:cs="Calibri"/>
          <w:sz w:val="22"/>
          <w:szCs w:val="22"/>
        </w:rPr>
        <w:t>“</w:t>
      </w:r>
      <w:r w:rsidR="00AA7596">
        <w:rPr>
          <w:rFonts w:asciiTheme="minorHAnsi" w:hAnsiTheme="minorHAnsi" w:cs="Calibri"/>
          <w:sz w:val="22"/>
          <w:szCs w:val="22"/>
        </w:rPr>
        <w:t>[Human Services]</w:t>
      </w:r>
      <w:r w:rsidRPr="00DA3109">
        <w:rPr>
          <w:rFonts w:asciiTheme="minorHAnsi" w:hAnsiTheme="minorHAnsi" w:cs="Calibri"/>
          <w:sz w:val="22"/>
          <w:szCs w:val="22"/>
        </w:rPr>
        <w:t xml:space="preserve"> provide essential personal services to their users but they also have a wider role of building individual capabilities, cohesive communities and a more civil society.”</w:t>
      </w:r>
      <w:r>
        <w:rPr>
          <w:rStyle w:val="FootnoteReference"/>
          <w:rFonts w:asciiTheme="minorHAnsi" w:hAnsiTheme="minorHAnsi" w:cs="Calibri"/>
          <w:sz w:val="22"/>
          <w:szCs w:val="22"/>
        </w:rPr>
        <w:footnoteReference w:id="9"/>
      </w:r>
    </w:p>
    <w:p w14:paraId="3F3A24AA" w14:textId="77777777" w:rsidR="007B1E84" w:rsidRDefault="007B1E84" w:rsidP="007B1E84">
      <w:pPr>
        <w:kinsoku w:val="0"/>
        <w:overflowPunct w:val="0"/>
        <w:autoSpaceDE/>
        <w:autoSpaceDN/>
        <w:adjustRightInd/>
        <w:spacing w:line="276" w:lineRule="auto"/>
        <w:textAlignment w:val="baseline"/>
        <w:rPr>
          <w:rFonts w:asciiTheme="minorHAnsi" w:hAnsiTheme="minorHAnsi" w:cs="Calibri"/>
          <w:sz w:val="24"/>
          <w:szCs w:val="24"/>
        </w:rPr>
      </w:pPr>
    </w:p>
    <w:p w14:paraId="25D20559" w14:textId="60C6B4EC" w:rsidR="00DA3109" w:rsidRDefault="005966D7" w:rsidP="00DA3109">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The Productivity Commission has drawn on the Harper Review’s promotion of the concept of ‘market steward’ to describe </w:t>
      </w:r>
      <w:r w:rsidR="00AA7596">
        <w:rPr>
          <w:rFonts w:asciiTheme="minorHAnsi" w:hAnsiTheme="minorHAnsi" w:cs="Calibri"/>
          <w:sz w:val="24"/>
          <w:szCs w:val="24"/>
        </w:rPr>
        <w:t>government’s</w:t>
      </w:r>
      <w:r>
        <w:rPr>
          <w:rFonts w:asciiTheme="minorHAnsi" w:hAnsiTheme="minorHAnsi" w:cs="Calibri"/>
          <w:sz w:val="24"/>
          <w:szCs w:val="24"/>
        </w:rPr>
        <w:t xml:space="preserve"> role </w:t>
      </w:r>
      <w:r w:rsidR="00DA3109">
        <w:rPr>
          <w:rFonts w:asciiTheme="minorHAnsi" w:hAnsiTheme="minorHAnsi" w:cs="Calibri"/>
          <w:sz w:val="24"/>
          <w:szCs w:val="24"/>
        </w:rPr>
        <w:t xml:space="preserve">in a more competitive </w:t>
      </w:r>
      <w:r>
        <w:rPr>
          <w:rFonts w:asciiTheme="minorHAnsi" w:hAnsiTheme="minorHAnsi" w:cs="Calibri"/>
          <w:sz w:val="24"/>
          <w:szCs w:val="24"/>
        </w:rPr>
        <w:t>human services</w:t>
      </w:r>
      <w:r w:rsidR="00DA3109">
        <w:rPr>
          <w:rFonts w:asciiTheme="minorHAnsi" w:hAnsiTheme="minorHAnsi" w:cs="Calibri"/>
          <w:sz w:val="24"/>
          <w:szCs w:val="24"/>
        </w:rPr>
        <w:t xml:space="preserve"> sector</w:t>
      </w:r>
      <w:r>
        <w:rPr>
          <w:rStyle w:val="FootnoteReference"/>
          <w:rFonts w:asciiTheme="minorHAnsi" w:hAnsiTheme="minorHAnsi" w:cs="Calibri"/>
          <w:sz w:val="24"/>
          <w:szCs w:val="24"/>
        </w:rPr>
        <w:footnoteReference w:id="10"/>
      </w:r>
      <w:r>
        <w:rPr>
          <w:rFonts w:asciiTheme="minorHAnsi" w:hAnsiTheme="minorHAnsi" w:cs="Calibri"/>
          <w:sz w:val="24"/>
          <w:szCs w:val="24"/>
        </w:rPr>
        <w:t>.</w:t>
      </w:r>
      <w:r w:rsidR="00DA3109">
        <w:rPr>
          <w:rFonts w:asciiTheme="minorHAnsi" w:hAnsiTheme="minorHAnsi" w:cs="Calibri"/>
          <w:sz w:val="24"/>
          <w:szCs w:val="24"/>
        </w:rPr>
        <w:t xml:space="preserve">  COTA cautions against a narrow interpretation of this concept.  The terminology </w:t>
      </w:r>
      <w:r w:rsidR="00A6243B">
        <w:rPr>
          <w:rFonts w:asciiTheme="minorHAnsi" w:hAnsiTheme="minorHAnsi" w:cs="Calibri"/>
          <w:sz w:val="24"/>
          <w:szCs w:val="24"/>
        </w:rPr>
        <w:t xml:space="preserve">could be interpreted to </w:t>
      </w:r>
      <w:r w:rsidR="00DA3109">
        <w:rPr>
          <w:rFonts w:asciiTheme="minorHAnsi" w:hAnsiTheme="minorHAnsi" w:cs="Calibri"/>
          <w:sz w:val="24"/>
          <w:szCs w:val="24"/>
        </w:rPr>
        <w:t>imp</w:t>
      </w:r>
      <w:r w:rsidR="00A6243B">
        <w:rPr>
          <w:rFonts w:asciiTheme="minorHAnsi" w:hAnsiTheme="minorHAnsi" w:cs="Calibri"/>
          <w:sz w:val="24"/>
          <w:szCs w:val="24"/>
        </w:rPr>
        <w:t xml:space="preserve">ly </w:t>
      </w:r>
      <w:r w:rsidR="00DA3109">
        <w:rPr>
          <w:rFonts w:asciiTheme="minorHAnsi" w:hAnsiTheme="minorHAnsi" w:cs="Calibri"/>
          <w:sz w:val="24"/>
          <w:szCs w:val="24"/>
        </w:rPr>
        <w:t xml:space="preserve">a hands-off removal from the action; a </w:t>
      </w:r>
      <w:r w:rsidR="00A6243B">
        <w:rPr>
          <w:rFonts w:asciiTheme="minorHAnsi" w:hAnsiTheme="minorHAnsi" w:cs="Calibri"/>
          <w:sz w:val="24"/>
          <w:szCs w:val="24"/>
        </w:rPr>
        <w:t>regulatory ’light touch’</w:t>
      </w:r>
      <w:r w:rsidR="00DA3109">
        <w:rPr>
          <w:rFonts w:asciiTheme="minorHAnsi" w:hAnsiTheme="minorHAnsi" w:cs="Calibri"/>
          <w:sz w:val="24"/>
          <w:szCs w:val="24"/>
        </w:rPr>
        <w:t xml:space="preserve"> </w:t>
      </w:r>
      <w:r w:rsidR="00A6243B">
        <w:rPr>
          <w:rFonts w:asciiTheme="minorHAnsi" w:hAnsiTheme="minorHAnsi" w:cs="Calibri"/>
          <w:sz w:val="24"/>
          <w:szCs w:val="24"/>
        </w:rPr>
        <w:t xml:space="preserve">as a default, </w:t>
      </w:r>
      <w:r w:rsidR="00E26F46">
        <w:rPr>
          <w:rFonts w:asciiTheme="minorHAnsi" w:hAnsiTheme="minorHAnsi" w:cs="Calibri"/>
          <w:sz w:val="24"/>
          <w:szCs w:val="24"/>
        </w:rPr>
        <w:t xml:space="preserve">or </w:t>
      </w:r>
      <w:r w:rsidR="00DA3109">
        <w:rPr>
          <w:rFonts w:asciiTheme="minorHAnsi" w:hAnsiTheme="minorHAnsi" w:cs="Calibri"/>
          <w:sz w:val="24"/>
          <w:szCs w:val="24"/>
        </w:rPr>
        <w:t>after-the-fact reviewing of compliance.  As Carey says</w:t>
      </w:r>
    </w:p>
    <w:p w14:paraId="0641CFEA" w14:textId="05100FF9" w:rsidR="00DA3109" w:rsidRPr="00DA3109" w:rsidRDefault="00DA3109" w:rsidP="00DA3109">
      <w:pPr>
        <w:kinsoku w:val="0"/>
        <w:overflowPunct w:val="0"/>
        <w:autoSpaceDE/>
        <w:autoSpaceDN/>
        <w:adjustRightInd/>
        <w:spacing w:line="276" w:lineRule="auto"/>
        <w:ind w:left="720"/>
        <w:textAlignment w:val="baseline"/>
        <w:rPr>
          <w:rFonts w:asciiTheme="minorHAnsi" w:hAnsiTheme="minorHAnsi" w:cs="Calibri"/>
          <w:sz w:val="22"/>
          <w:szCs w:val="22"/>
        </w:rPr>
      </w:pPr>
      <w:r w:rsidRPr="00DA3109">
        <w:rPr>
          <w:rFonts w:asciiTheme="minorHAnsi" w:hAnsiTheme="minorHAnsi" w:cs="Calibri"/>
          <w:sz w:val="22"/>
          <w:szCs w:val="22"/>
        </w:rPr>
        <w:t>“Welfare and social supports have always been offered by a combination of government, community and private providers [using different levels of market approaches].  The question then becomes one of emphasis….”</w:t>
      </w:r>
      <w:r>
        <w:rPr>
          <w:rStyle w:val="FootnoteReference"/>
          <w:rFonts w:asciiTheme="minorHAnsi" w:hAnsiTheme="minorHAnsi" w:cs="Calibri"/>
          <w:sz w:val="22"/>
          <w:szCs w:val="22"/>
        </w:rPr>
        <w:footnoteReference w:id="11"/>
      </w:r>
    </w:p>
    <w:p w14:paraId="349D65A6" w14:textId="4A0C2922" w:rsidR="007B1E84" w:rsidRDefault="007B1E84" w:rsidP="007B1E84">
      <w:pPr>
        <w:kinsoku w:val="0"/>
        <w:overflowPunct w:val="0"/>
        <w:autoSpaceDE/>
        <w:autoSpaceDN/>
        <w:adjustRightInd/>
        <w:spacing w:line="276" w:lineRule="auto"/>
        <w:textAlignment w:val="baseline"/>
        <w:rPr>
          <w:rFonts w:asciiTheme="minorHAnsi" w:hAnsiTheme="minorHAnsi" w:cs="Calibri"/>
          <w:sz w:val="24"/>
          <w:szCs w:val="24"/>
        </w:rPr>
      </w:pPr>
    </w:p>
    <w:p w14:paraId="3456B6A7" w14:textId="0D7309F8" w:rsidR="00A6243B" w:rsidRDefault="00171561"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 xml:space="preserve">COTA argues that partnership between the four sectors integrally involved in human service delivery - government, civil society/community sector, for-profit providers, and consumers - is a stronger model than </w:t>
      </w:r>
      <w:r w:rsidR="00A6243B">
        <w:rPr>
          <w:rFonts w:asciiTheme="minorHAnsi" w:hAnsiTheme="minorHAnsi" w:cs="Calibri"/>
          <w:sz w:val="24"/>
          <w:szCs w:val="24"/>
        </w:rPr>
        <w:t xml:space="preserve">a </w:t>
      </w:r>
      <w:r>
        <w:rPr>
          <w:rFonts w:asciiTheme="minorHAnsi" w:hAnsiTheme="minorHAnsi" w:cs="Calibri"/>
          <w:sz w:val="24"/>
          <w:szCs w:val="24"/>
        </w:rPr>
        <w:t xml:space="preserve">government </w:t>
      </w:r>
      <w:r w:rsidR="00A6243B">
        <w:rPr>
          <w:rFonts w:asciiTheme="minorHAnsi" w:hAnsiTheme="minorHAnsi" w:cs="Calibri"/>
          <w:sz w:val="24"/>
          <w:szCs w:val="24"/>
        </w:rPr>
        <w:t>‘</w:t>
      </w:r>
      <w:r>
        <w:rPr>
          <w:rFonts w:asciiTheme="minorHAnsi" w:hAnsiTheme="minorHAnsi" w:cs="Calibri"/>
          <w:sz w:val="24"/>
          <w:szCs w:val="24"/>
        </w:rPr>
        <w:t>stewardship</w:t>
      </w:r>
      <w:r w:rsidR="00A6243B">
        <w:rPr>
          <w:rFonts w:asciiTheme="minorHAnsi" w:hAnsiTheme="minorHAnsi" w:cs="Calibri"/>
          <w:sz w:val="24"/>
          <w:szCs w:val="24"/>
        </w:rPr>
        <w:t>’</w:t>
      </w:r>
      <w:r>
        <w:rPr>
          <w:rFonts w:asciiTheme="minorHAnsi" w:hAnsiTheme="minorHAnsi" w:cs="Calibri"/>
          <w:sz w:val="24"/>
          <w:szCs w:val="24"/>
        </w:rPr>
        <w:t xml:space="preserve"> role</w:t>
      </w:r>
      <w:r w:rsidR="00AA7596">
        <w:rPr>
          <w:rFonts w:asciiTheme="minorHAnsi" w:hAnsiTheme="minorHAnsi" w:cs="Calibri"/>
          <w:sz w:val="24"/>
          <w:szCs w:val="24"/>
        </w:rPr>
        <w:t xml:space="preserve">.  </w:t>
      </w:r>
    </w:p>
    <w:p w14:paraId="11523707" w14:textId="75BFC07B" w:rsidR="00A6243B" w:rsidRDefault="00A6243B" w:rsidP="00EB27E8">
      <w:pPr>
        <w:kinsoku w:val="0"/>
        <w:overflowPunct w:val="0"/>
        <w:autoSpaceDE/>
        <w:autoSpaceDN/>
        <w:adjustRightInd/>
        <w:spacing w:line="276" w:lineRule="auto"/>
        <w:textAlignment w:val="baseline"/>
        <w:rPr>
          <w:rFonts w:asciiTheme="minorHAnsi" w:hAnsiTheme="minorHAnsi" w:cs="Calibri"/>
          <w:sz w:val="24"/>
          <w:szCs w:val="24"/>
        </w:rPr>
      </w:pPr>
    </w:p>
    <w:p w14:paraId="58481629" w14:textId="1742FA3D" w:rsidR="00A6243B" w:rsidRDefault="00A6243B"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It needs to be borne in mind that in most if not all Human Service</w:t>
      </w:r>
      <w:r w:rsidR="002434DF">
        <w:rPr>
          <w:rFonts w:asciiTheme="minorHAnsi" w:hAnsiTheme="minorHAnsi" w:cs="Calibri"/>
          <w:sz w:val="24"/>
          <w:szCs w:val="24"/>
        </w:rPr>
        <w:t xml:space="preserve"> areas</w:t>
      </w:r>
      <w:r>
        <w:rPr>
          <w:rFonts w:asciiTheme="minorHAnsi" w:hAnsiTheme="minorHAnsi" w:cs="Calibri"/>
          <w:sz w:val="24"/>
          <w:szCs w:val="24"/>
        </w:rPr>
        <w:t xml:space="preserve"> government is a major player and major stakeholder</w:t>
      </w:r>
      <w:r w:rsidR="002434DF">
        <w:rPr>
          <w:rFonts w:asciiTheme="minorHAnsi" w:hAnsiTheme="minorHAnsi" w:cs="Calibri"/>
          <w:sz w:val="24"/>
          <w:szCs w:val="24"/>
        </w:rPr>
        <w:t>,</w:t>
      </w:r>
      <w:r>
        <w:rPr>
          <w:rFonts w:asciiTheme="minorHAnsi" w:hAnsiTheme="minorHAnsi" w:cs="Calibri"/>
          <w:sz w:val="24"/>
          <w:szCs w:val="24"/>
        </w:rPr>
        <w:t xml:space="preserve"> in that it </w:t>
      </w:r>
      <w:r w:rsidR="002434DF">
        <w:rPr>
          <w:rFonts w:asciiTheme="minorHAnsi" w:hAnsiTheme="minorHAnsi" w:cs="Calibri"/>
          <w:sz w:val="24"/>
          <w:szCs w:val="24"/>
        </w:rPr>
        <w:t xml:space="preserve">provides the majority of funding, often overwhelmingly so, and either explicitly or in practice sets key prices and ‘terms of trade’. This is not inappropriate given the level of its stake and the fact that taxpayers and consumers of services look to government to ensure that it gets value for (taxpayers) money; achieves effective outcomes; and treats all stakeholders fairly.   </w:t>
      </w:r>
      <w:r>
        <w:rPr>
          <w:rFonts w:asciiTheme="minorHAnsi" w:hAnsiTheme="minorHAnsi" w:cs="Calibri"/>
          <w:sz w:val="24"/>
          <w:szCs w:val="24"/>
        </w:rPr>
        <w:t xml:space="preserve"> </w:t>
      </w:r>
    </w:p>
    <w:p w14:paraId="4504E3A1" w14:textId="77777777" w:rsidR="00A6243B" w:rsidRDefault="00A6243B" w:rsidP="00EB27E8">
      <w:pPr>
        <w:kinsoku w:val="0"/>
        <w:overflowPunct w:val="0"/>
        <w:autoSpaceDE/>
        <w:autoSpaceDN/>
        <w:adjustRightInd/>
        <w:spacing w:line="276" w:lineRule="auto"/>
        <w:textAlignment w:val="baseline"/>
        <w:rPr>
          <w:rFonts w:asciiTheme="minorHAnsi" w:hAnsiTheme="minorHAnsi" w:cs="Calibri"/>
          <w:sz w:val="24"/>
          <w:szCs w:val="24"/>
        </w:rPr>
      </w:pPr>
    </w:p>
    <w:p w14:paraId="40B03BCA" w14:textId="00748EC5" w:rsidR="00C544BC" w:rsidRDefault="00AA7596"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In the Principles</w:t>
      </w:r>
      <w:r w:rsidR="00962C6C">
        <w:rPr>
          <w:rFonts w:asciiTheme="minorHAnsi" w:hAnsiTheme="minorHAnsi" w:cs="Calibri"/>
          <w:sz w:val="24"/>
          <w:szCs w:val="24"/>
        </w:rPr>
        <w:t xml:space="preserve"> section</w:t>
      </w:r>
      <w:r>
        <w:rPr>
          <w:rFonts w:asciiTheme="minorHAnsi" w:hAnsiTheme="minorHAnsi" w:cs="Calibri"/>
          <w:sz w:val="24"/>
          <w:szCs w:val="24"/>
        </w:rPr>
        <w:t xml:space="preserve"> below we outline some of the key roles for government as we see them in any increased </w:t>
      </w:r>
      <w:r w:rsidR="006C4177">
        <w:rPr>
          <w:rFonts w:asciiTheme="minorHAnsi" w:hAnsiTheme="minorHAnsi" w:cs="Calibri"/>
          <w:sz w:val="24"/>
          <w:szCs w:val="24"/>
        </w:rPr>
        <w:t>marketization</w:t>
      </w:r>
      <w:r w:rsidR="00962C6C">
        <w:rPr>
          <w:rFonts w:asciiTheme="minorHAnsi" w:hAnsiTheme="minorHAnsi" w:cs="Calibri"/>
          <w:sz w:val="24"/>
          <w:szCs w:val="24"/>
        </w:rPr>
        <w:t xml:space="preserve"> of Human Services, whether referred to as ‘Market Stewardship’ or otherwise.</w:t>
      </w:r>
    </w:p>
    <w:p w14:paraId="1295BDBD" w14:textId="77777777" w:rsidR="006C4177" w:rsidRDefault="006C4177" w:rsidP="00EB27E8">
      <w:pPr>
        <w:kinsoku w:val="0"/>
        <w:overflowPunct w:val="0"/>
        <w:autoSpaceDE/>
        <w:autoSpaceDN/>
        <w:adjustRightInd/>
        <w:spacing w:line="276" w:lineRule="auto"/>
        <w:textAlignment w:val="baseline"/>
        <w:rPr>
          <w:rFonts w:asciiTheme="minorHAnsi" w:hAnsiTheme="minorHAnsi" w:cs="Calibri"/>
          <w:sz w:val="24"/>
          <w:szCs w:val="24"/>
        </w:rPr>
      </w:pPr>
    </w:p>
    <w:p w14:paraId="776A9410" w14:textId="0806A7D3" w:rsidR="00F94405" w:rsidRPr="00E2128E" w:rsidRDefault="00F94405" w:rsidP="00F94405">
      <w:pPr>
        <w:pStyle w:val="Heading1"/>
        <w:rPr>
          <w:rFonts w:asciiTheme="minorHAnsi" w:hAnsiTheme="minorHAnsi"/>
          <w:color w:val="E36C0A" w:themeColor="accent6" w:themeShade="BF"/>
        </w:rPr>
      </w:pPr>
      <w:r w:rsidRPr="00E2128E">
        <w:rPr>
          <w:rFonts w:asciiTheme="minorHAnsi" w:hAnsiTheme="minorHAnsi"/>
          <w:color w:val="E36C0A" w:themeColor="accent6" w:themeShade="BF"/>
        </w:rPr>
        <w:lastRenderedPageBreak/>
        <w:t>Principles</w:t>
      </w:r>
    </w:p>
    <w:p w14:paraId="4EBF16D5" w14:textId="77777777" w:rsidR="00F94405" w:rsidRDefault="00F94405" w:rsidP="00EB27E8">
      <w:pPr>
        <w:kinsoku w:val="0"/>
        <w:overflowPunct w:val="0"/>
        <w:autoSpaceDE/>
        <w:autoSpaceDN/>
        <w:adjustRightInd/>
        <w:spacing w:line="276" w:lineRule="auto"/>
        <w:textAlignment w:val="baseline"/>
        <w:rPr>
          <w:rFonts w:asciiTheme="minorHAnsi" w:hAnsiTheme="minorHAnsi" w:cs="Calibri"/>
          <w:sz w:val="24"/>
          <w:szCs w:val="24"/>
        </w:rPr>
      </w:pPr>
    </w:p>
    <w:p w14:paraId="6C3E501B" w14:textId="77F428F5" w:rsidR="00676F28" w:rsidRDefault="00962C6C"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In the interests of consumers, including our own constituency of older Australians,</w:t>
      </w:r>
      <w:r w:rsidR="00676F28">
        <w:rPr>
          <w:rFonts w:asciiTheme="minorHAnsi" w:hAnsiTheme="minorHAnsi" w:cs="Calibri"/>
          <w:sz w:val="24"/>
          <w:szCs w:val="24"/>
        </w:rPr>
        <w:t xml:space="preserve"> COTA </w:t>
      </w:r>
      <w:r w:rsidR="00110C45">
        <w:rPr>
          <w:rFonts w:asciiTheme="minorHAnsi" w:hAnsiTheme="minorHAnsi" w:cs="Calibri"/>
          <w:sz w:val="24"/>
          <w:szCs w:val="24"/>
        </w:rPr>
        <w:t xml:space="preserve">recommends </w:t>
      </w:r>
      <w:r w:rsidR="006C4177">
        <w:rPr>
          <w:rFonts w:asciiTheme="minorHAnsi" w:hAnsiTheme="minorHAnsi" w:cs="Calibri"/>
          <w:sz w:val="24"/>
          <w:szCs w:val="24"/>
        </w:rPr>
        <w:t xml:space="preserve">that </w:t>
      </w:r>
      <w:r w:rsidR="00E2128E">
        <w:rPr>
          <w:rFonts w:asciiTheme="minorHAnsi" w:hAnsiTheme="minorHAnsi" w:cs="Calibri"/>
          <w:sz w:val="24"/>
          <w:szCs w:val="24"/>
        </w:rPr>
        <w:t xml:space="preserve">the Productivity Commission and government </w:t>
      </w:r>
      <w:r w:rsidR="00F80F5A">
        <w:rPr>
          <w:rFonts w:asciiTheme="minorHAnsi" w:hAnsiTheme="minorHAnsi" w:cs="Calibri"/>
          <w:sz w:val="24"/>
          <w:szCs w:val="24"/>
        </w:rPr>
        <w:t xml:space="preserve">adopt </w:t>
      </w:r>
      <w:r w:rsidR="00676F28">
        <w:rPr>
          <w:rFonts w:asciiTheme="minorHAnsi" w:hAnsiTheme="minorHAnsi" w:cs="Calibri"/>
          <w:sz w:val="24"/>
          <w:szCs w:val="24"/>
        </w:rPr>
        <w:t>a set of principles</w:t>
      </w:r>
      <w:r w:rsidR="00E958D8">
        <w:rPr>
          <w:rFonts w:asciiTheme="minorHAnsi" w:hAnsiTheme="minorHAnsi" w:cs="Calibri"/>
          <w:sz w:val="24"/>
          <w:szCs w:val="24"/>
        </w:rPr>
        <w:t xml:space="preserve"> </w:t>
      </w:r>
      <w:r w:rsidR="00110C45">
        <w:rPr>
          <w:rFonts w:asciiTheme="minorHAnsi" w:hAnsiTheme="minorHAnsi" w:cs="Calibri"/>
          <w:sz w:val="24"/>
          <w:szCs w:val="24"/>
        </w:rPr>
        <w:t>as an essential component of a framework for reviewi</w:t>
      </w:r>
      <w:r>
        <w:rPr>
          <w:rFonts w:asciiTheme="minorHAnsi" w:hAnsiTheme="minorHAnsi" w:cs="Calibri"/>
          <w:sz w:val="24"/>
          <w:szCs w:val="24"/>
        </w:rPr>
        <w:t>ng the future of directions of Human S</w:t>
      </w:r>
      <w:r w:rsidR="00110C45">
        <w:rPr>
          <w:rFonts w:asciiTheme="minorHAnsi" w:hAnsiTheme="minorHAnsi" w:cs="Calibri"/>
          <w:sz w:val="24"/>
          <w:szCs w:val="24"/>
        </w:rPr>
        <w:t>ervices markets</w:t>
      </w:r>
      <w:r>
        <w:rPr>
          <w:rFonts w:asciiTheme="minorHAnsi" w:hAnsiTheme="minorHAnsi" w:cs="Calibri"/>
          <w:sz w:val="24"/>
          <w:szCs w:val="24"/>
        </w:rPr>
        <w:t>.</w:t>
      </w:r>
      <w:r w:rsidR="00F80F5A">
        <w:rPr>
          <w:rFonts w:asciiTheme="minorHAnsi" w:hAnsiTheme="minorHAnsi" w:cs="Calibri"/>
          <w:sz w:val="24"/>
          <w:szCs w:val="24"/>
        </w:rPr>
        <w:t xml:space="preserve">  We suggest the following</w:t>
      </w:r>
      <w:r w:rsidR="006C4177">
        <w:rPr>
          <w:rFonts w:asciiTheme="minorHAnsi" w:hAnsiTheme="minorHAnsi" w:cs="Calibri"/>
          <w:sz w:val="24"/>
          <w:szCs w:val="24"/>
        </w:rPr>
        <w:t>:</w:t>
      </w:r>
    </w:p>
    <w:p w14:paraId="454ABF2D" w14:textId="77777777" w:rsidR="00676F28" w:rsidRDefault="00676F28" w:rsidP="00EB27E8">
      <w:pPr>
        <w:kinsoku w:val="0"/>
        <w:overflowPunct w:val="0"/>
        <w:autoSpaceDE/>
        <w:autoSpaceDN/>
        <w:adjustRightInd/>
        <w:spacing w:line="276" w:lineRule="auto"/>
        <w:textAlignment w:val="baseline"/>
        <w:rPr>
          <w:rFonts w:asciiTheme="minorHAnsi" w:hAnsiTheme="minorHAnsi" w:cs="Calibri"/>
          <w:sz w:val="24"/>
          <w:szCs w:val="24"/>
        </w:rPr>
      </w:pPr>
    </w:p>
    <w:p w14:paraId="5630B6FA" w14:textId="33930DF5" w:rsidR="00B1027E" w:rsidRDefault="006D6E77"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sidRPr="006D6E77">
        <w:rPr>
          <w:rFonts w:asciiTheme="minorHAnsi" w:hAnsiTheme="minorHAnsi" w:cs="Calibri"/>
          <w:sz w:val="24"/>
          <w:szCs w:val="24"/>
        </w:rPr>
        <w:t xml:space="preserve">The purpose and </w:t>
      </w:r>
      <w:r w:rsidR="00750644" w:rsidRPr="006D6E77">
        <w:rPr>
          <w:rFonts w:asciiTheme="minorHAnsi" w:hAnsiTheme="minorHAnsi" w:cs="Calibri"/>
          <w:sz w:val="24"/>
          <w:szCs w:val="24"/>
        </w:rPr>
        <w:t xml:space="preserve">goal of </w:t>
      </w:r>
      <w:r>
        <w:rPr>
          <w:rFonts w:asciiTheme="minorHAnsi" w:hAnsiTheme="minorHAnsi" w:cs="Calibri"/>
          <w:sz w:val="24"/>
          <w:szCs w:val="24"/>
        </w:rPr>
        <w:t xml:space="preserve">government-funded </w:t>
      </w:r>
      <w:r w:rsidR="00750644" w:rsidRPr="006D6E77">
        <w:rPr>
          <w:rFonts w:asciiTheme="minorHAnsi" w:hAnsiTheme="minorHAnsi" w:cs="Calibri"/>
          <w:sz w:val="24"/>
          <w:szCs w:val="24"/>
        </w:rPr>
        <w:t xml:space="preserve">human services </w:t>
      </w:r>
      <w:r w:rsidRPr="006D6E77">
        <w:rPr>
          <w:rFonts w:asciiTheme="minorHAnsi" w:hAnsiTheme="minorHAnsi" w:cs="Calibri"/>
          <w:sz w:val="24"/>
          <w:szCs w:val="24"/>
        </w:rPr>
        <w:t>should be</w:t>
      </w:r>
      <w:r w:rsidR="00750644" w:rsidRPr="006D6E77">
        <w:rPr>
          <w:rFonts w:asciiTheme="minorHAnsi" w:hAnsiTheme="minorHAnsi" w:cs="Calibri"/>
          <w:sz w:val="24"/>
          <w:szCs w:val="24"/>
        </w:rPr>
        <w:t xml:space="preserve"> to ensure that all Australians have </w:t>
      </w:r>
      <w:r w:rsidR="00F660C3">
        <w:rPr>
          <w:rFonts w:asciiTheme="minorHAnsi" w:hAnsiTheme="minorHAnsi" w:cs="Calibri"/>
          <w:sz w:val="24"/>
          <w:szCs w:val="24"/>
        </w:rPr>
        <w:t xml:space="preserve">equitable </w:t>
      </w:r>
      <w:r w:rsidR="00F660C3" w:rsidRPr="006D6E77">
        <w:rPr>
          <w:rFonts w:asciiTheme="minorHAnsi" w:hAnsiTheme="minorHAnsi" w:cs="Calibri"/>
          <w:sz w:val="24"/>
          <w:szCs w:val="24"/>
        </w:rPr>
        <w:t>and affordabl</w:t>
      </w:r>
      <w:r w:rsidR="00F660C3">
        <w:rPr>
          <w:rFonts w:asciiTheme="minorHAnsi" w:hAnsiTheme="minorHAnsi" w:cs="Calibri"/>
          <w:sz w:val="24"/>
          <w:szCs w:val="24"/>
        </w:rPr>
        <w:t>e</w:t>
      </w:r>
      <w:r w:rsidR="00F660C3" w:rsidRPr="006D6E77">
        <w:rPr>
          <w:rFonts w:asciiTheme="minorHAnsi" w:hAnsiTheme="minorHAnsi" w:cs="Calibri"/>
          <w:sz w:val="24"/>
          <w:szCs w:val="24"/>
        </w:rPr>
        <w:t xml:space="preserve"> </w:t>
      </w:r>
      <w:r w:rsidR="00750644" w:rsidRPr="006D6E77">
        <w:rPr>
          <w:rFonts w:asciiTheme="minorHAnsi" w:hAnsiTheme="minorHAnsi" w:cs="Calibri"/>
          <w:sz w:val="24"/>
          <w:szCs w:val="24"/>
        </w:rPr>
        <w:t>access to th</w:t>
      </w:r>
      <w:r>
        <w:rPr>
          <w:rFonts w:asciiTheme="minorHAnsi" w:hAnsiTheme="minorHAnsi" w:cs="Calibri"/>
          <w:sz w:val="24"/>
          <w:szCs w:val="24"/>
        </w:rPr>
        <w:t>e services they need</w:t>
      </w:r>
      <w:r w:rsidR="00B1027E">
        <w:rPr>
          <w:rFonts w:asciiTheme="minorHAnsi" w:hAnsiTheme="minorHAnsi" w:cs="Calibri"/>
          <w:sz w:val="24"/>
          <w:szCs w:val="24"/>
        </w:rPr>
        <w:t>.</w:t>
      </w:r>
    </w:p>
    <w:p w14:paraId="02454D74" w14:textId="23656CC6" w:rsidR="00750644" w:rsidRPr="006D6E77" w:rsidRDefault="00B1027E"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The</w:t>
      </w:r>
      <w:r w:rsidR="00975CF1">
        <w:rPr>
          <w:rFonts w:asciiTheme="minorHAnsi" w:hAnsiTheme="minorHAnsi" w:cs="Calibri"/>
          <w:sz w:val="24"/>
          <w:szCs w:val="24"/>
        </w:rPr>
        <w:t xml:space="preserve"> achievement of</w:t>
      </w:r>
      <w:r w:rsidR="006D6E77">
        <w:rPr>
          <w:rFonts w:asciiTheme="minorHAnsi" w:hAnsiTheme="minorHAnsi" w:cs="Calibri"/>
          <w:sz w:val="24"/>
          <w:szCs w:val="24"/>
        </w:rPr>
        <w:t xml:space="preserve"> this purpose should guide decisions around </w:t>
      </w:r>
      <w:r w:rsidR="00C33C11">
        <w:rPr>
          <w:rFonts w:asciiTheme="minorHAnsi" w:hAnsiTheme="minorHAnsi" w:cs="Calibri"/>
          <w:sz w:val="24"/>
          <w:szCs w:val="24"/>
        </w:rPr>
        <w:t xml:space="preserve">and test the success of </w:t>
      </w:r>
      <w:r w:rsidR="006D6E77">
        <w:rPr>
          <w:rFonts w:asciiTheme="minorHAnsi" w:hAnsiTheme="minorHAnsi" w:cs="Calibri"/>
          <w:sz w:val="24"/>
          <w:szCs w:val="24"/>
        </w:rPr>
        <w:t>contestability and competition</w:t>
      </w:r>
      <w:r>
        <w:rPr>
          <w:rFonts w:asciiTheme="minorHAnsi" w:hAnsiTheme="minorHAnsi" w:cs="Calibri"/>
          <w:sz w:val="24"/>
          <w:szCs w:val="24"/>
        </w:rPr>
        <w:t xml:space="preserve"> in the sector</w:t>
      </w:r>
      <w:r w:rsidR="006057D5">
        <w:rPr>
          <w:rFonts w:asciiTheme="minorHAnsi" w:hAnsiTheme="minorHAnsi" w:cs="Calibri"/>
          <w:sz w:val="24"/>
          <w:szCs w:val="24"/>
        </w:rPr>
        <w:t>.</w:t>
      </w:r>
    </w:p>
    <w:p w14:paraId="60E65920" w14:textId="74BE4BEB" w:rsidR="000B3C27" w:rsidRDefault="00110C45"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 xml:space="preserve">Human </w:t>
      </w:r>
      <w:r w:rsidR="00DF27F4">
        <w:rPr>
          <w:rFonts w:asciiTheme="minorHAnsi" w:hAnsiTheme="minorHAnsi" w:cs="Calibri"/>
          <w:sz w:val="24"/>
          <w:szCs w:val="24"/>
        </w:rPr>
        <w:t>S</w:t>
      </w:r>
      <w:r>
        <w:rPr>
          <w:rFonts w:asciiTheme="minorHAnsi" w:hAnsiTheme="minorHAnsi" w:cs="Calibri"/>
          <w:sz w:val="24"/>
          <w:szCs w:val="24"/>
        </w:rPr>
        <w:t xml:space="preserve">ervices </w:t>
      </w:r>
      <w:r w:rsidR="00975CF1">
        <w:rPr>
          <w:rFonts w:asciiTheme="minorHAnsi" w:hAnsiTheme="minorHAnsi" w:cs="Calibri"/>
          <w:sz w:val="24"/>
          <w:szCs w:val="24"/>
        </w:rPr>
        <w:t xml:space="preserve">delivery </w:t>
      </w:r>
      <w:r>
        <w:rPr>
          <w:rFonts w:asciiTheme="minorHAnsi" w:hAnsiTheme="minorHAnsi" w:cs="Calibri"/>
          <w:sz w:val="24"/>
          <w:szCs w:val="24"/>
        </w:rPr>
        <w:t xml:space="preserve">should </w:t>
      </w:r>
      <w:r w:rsidR="00B1027E">
        <w:rPr>
          <w:rFonts w:asciiTheme="minorHAnsi" w:hAnsiTheme="minorHAnsi" w:cs="Calibri"/>
          <w:sz w:val="24"/>
          <w:szCs w:val="24"/>
        </w:rPr>
        <w:t>have</w:t>
      </w:r>
      <w:r>
        <w:rPr>
          <w:rFonts w:asciiTheme="minorHAnsi" w:hAnsiTheme="minorHAnsi" w:cs="Calibri"/>
          <w:sz w:val="24"/>
          <w:szCs w:val="24"/>
        </w:rPr>
        <w:t xml:space="preserve"> </w:t>
      </w:r>
      <w:r w:rsidR="00B1027E">
        <w:rPr>
          <w:rFonts w:asciiTheme="minorHAnsi" w:hAnsiTheme="minorHAnsi" w:cs="Calibri"/>
          <w:sz w:val="24"/>
          <w:szCs w:val="24"/>
        </w:rPr>
        <w:t>i</w:t>
      </w:r>
      <w:r>
        <w:rPr>
          <w:rFonts w:asciiTheme="minorHAnsi" w:hAnsiTheme="minorHAnsi" w:cs="Calibri"/>
          <w:sz w:val="24"/>
          <w:szCs w:val="24"/>
        </w:rPr>
        <w:t>nformed c</w:t>
      </w:r>
      <w:r w:rsidR="005550D1" w:rsidRPr="00110C45">
        <w:rPr>
          <w:rFonts w:asciiTheme="minorHAnsi" w:hAnsiTheme="minorHAnsi" w:cs="Calibri"/>
          <w:sz w:val="24"/>
          <w:szCs w:val="24"/>
        </w:rPr>
        <w:t xml:space="preserve">onsumer </w:t>
      </w:r>
      <w:r>
        <w:rPr>
          <w:rFonts w:asciiTheme="minorHAnsi" w:hAnsiTheme="minorHAnsi" w:cs="Calibri"/>
          <w:sz w:val="24"/>
          <w:szCs w:val="24"/>
        </w:rPr>
        <w:t xml:space="preserve">choice and </w:t>
      </w:r>
      <w:r w:rsidR="005550D1" w:rsidRPr="00110C45">
        <w:rPr>
          <w:rFonts w:asciiTheme="minorHAnsi" w:hAnsiTheme="minorHAnsi" w:cs="Calibri"/>
          <w:sz w:val="24"/>
          <w:szCs w:val="24"/>
        </w:rPr>
        <w:t>control</w:t>
      </w:r>
      <w:r w:rsidR="006057D5">
        <w:rPr>
          <w:rFonts w:asciiTheme="minorHAnsi" w:hAnsiTheme="minorHAnsi" w:cs="Calibri"/>
          <w:sz w:val="24"/>
          <w:szCs w:val="24"/>
        </w:rPr>
        <w:t xml:space="preserve"> as </w:t>
      </w:r>
      <w:r w:rsidR="00B1027E">
        <w:rPr>
          <w:rFonts w:asciiTheme="minorHAnsi" w:hAnsiTheme="minorHAnsi" w:cs="Calibri"/>
          <w:sz w:val="24"/>
          <w:szCs w:val="24"/>
        </w:rPr>
        <w:t>a</w:t>
      </w:r>
      <w:r w:rsidR="006057D5">
        <w:rPr>
          <w:rFonts w:asciiTheme="minorHAnsi" w:hAnsiTheme="minorHAnsi" w:cs="Calibri"/>
          <w:sz w:val="24"/>
          <w:szCs w:val="24"/>
        </w:rPr>
        <w:t xml:space="preserve"> central design feature.</w:t>
      </w:r>
    </w:p>
    <w:p w14:paraId="3C997D90" w14:textId="2DD169D2" w:rsidR="000A4824" w:rsidRDefault="000A4824"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Reliable, up-to-date service quality</w:t>
      </w:r>
      <w:r w:rsidR="001414A4">
        <w:rPr>
          <w:rFonts w:asciiTheme="minorHAnsi" w:hAnsiTheme="minorHAnsi" w:cs="Calibri"/>
          <w:sz w:val="24"/>
          <w:szCs w:val="24"/>
        </w:rPr>
        <w:t xml:space="preserve"> and price</w:t>
      </w:r>
      <w:r>
        <w:rPr>
          <w:rFonts w:asciiTheme="minorHAnsi" w:hAnsiTheme="minorHAnsi" w:cs="Calibri"/>
          <w:sz w:val="24"/>
          <w:szCs w:val="24"/>
        </w:rPr>
        <w:t xml:space="preserve"> information must be available and accessible to consumers</w:t>
      </w:r>
      <w:r w:rsidR="006057D5">
        <w:rPr>
          <w:rFonts w:asciiTheme="minorHAnsi" w:hAnsiTheme="minorHAnsi" w:cs="Calibri"/>
          <w:sz w:val="24"/>
          <w:szCs w:val="24"/>
        </w:rPr>
        <w:t>.</w:t>
      </w:r>
    </w:p>
    <w:p w14:paraId="07B633CA" w14:textId="779BD5AD" w:rsidR="006D6E77" w:rsidRPr="000B3C27" w:rsidRDefault="006D6E77"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 xml:space="preserve">Consumers of </w:t>
      </w:r>
      <w:r w:rsidR="00DF27F4">
        <w:rPr>
          <w:rFonts w:asciiTheme="minorHAnsi" w:hAnsiTheme="minorHAnsi" w:cs="Calibri"/>
          <w:sz w:val="24"/>
          <w:szCs w:val="24"/>
        </w:rPr>
        <w:t xml:space="preserve">Human Services </w:t>
      </w:r>
      <w:r w:rsidR="000A4824">
        <w:rPr>
          <w:rFonts w:asciiTheme="minorHAnsi" w:hAnsiTheme="minorHAnsi" w:cs="Calibri"/>
          <w:sz w:val="24"/>
          <w:szCs w:val="24"/>
        </w:rPr>
        <w:t>must</w:t>
      </w:r>
      <w:r>
        <w:rPr>
          <w:rFonts w:asciiTheme="minorHAnsi" w:hAnsiTheme="minorHAnsi" w:cs="Calibri"/>
          <w:sz w:val="24"/>
          <w:szCs w:val="24"/>
        </w:rPr>
        <w:t xml:space="preserve"> have adequate</w:t>
      </w:r>
      <w:r w:rsidR="000A4824">
        <w:rPr>
          <w:rFonts w:asciiTheme="minorHAnsi" w:hAnsiTheme="minorHAnsi" w:cs="Calibri"/>
          <w:sz w:val="24"/>
          <w:szCs w:val="24"/>
        </w:rPr>
        <w:t>, timely, affordable</w:t>
      </w:r>
      <w:r>
        <w:rPr>
          <w:rFonts w:asciiTheme="minorHAnsi" w:hAnsiTheme="minorHAnsi" w:cs="Calibri"/>
          <w:sz w:val="24"/>
          <w:szCs w:val="24"/>
        </w:rPr>
        <w:t xml:space="preserve"> protections and support available to them, including those </w:t>
      </w:r>
      <w:r w:rsidR="00975CF1">
        <w:rPr>
          <w:rFonts w:asciiTheme="minorHAnsi" w:hAnsiTheme="minorHAnsi" w:cs="Calibri"/>
          <w:sz w:val="24"/>
          <w:szCs w:val="24"/>
        </w:rPr>
        <w:t xml:space="preserve">consumers </w:t>
      </w:r>
      <w:r>
        <w:rPr>
          <w:rFonts w:asciiTheme="minorHAnsi" w:hAnsiTheme="minorHAnsi" w:cs="Calibri"/>
          <w:sz w:val="24"/>
          <w:szCs w:val="24"/>
        </w:rPr>
        <w:t>who are unable or unwilling to exercise choice</w:t>
      </w:r>
      <w:r w:rsidR="006057D5">
        <w:rPr>
          <w:rFonts w:asciiTheme="minorHAnsi" w:hAnsiTheme="minorHAnsi" w:cs="Calibri"/>
          <w:sz w:val="24"/>
          <w:szCs w:val="24"/>
        </w:rPr>
        <w:t>.</w:t>
      </w:r>
    </w:p>
    <w:p w14:paraId="08D75B9A" w14:textId="57DCE049" w:rsidR="006D6E77" w:rsidRPr="006D6E77" w:rsidRDefault="00E13B58"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sidRPr="006D6E77">
        <w:rPr>
          <w:rFonts w:asciiTheme="minorHAnsi" w:hAnsiTheme="minorHAnsi" w:cs="Calibri"/>
          <w:sz w:val="24"/>
          <w:szCs w:val="24"/>
        </w:rPr>
        <w:t>C</w:t>
      </w:r>
      <w:r w:rsidR="000A4824">
        <w:rPr>
          <w:rFonts w:asciiTheme="minorHAnsi" w:hAnsiTheme="minorHAnsi" w:cs="Calibri"/>
          <w:sz w:val="24"/>
          <w:szCs w:val="24"/>
        </w:rPr>
        <w:t>onsumer c</w:t>
      </w:r>
      <w:r w:rsidRPr="006D6E77">
        <w:rPr>
          <w:rFonts w:asciiTheme="minorHAnsi" w:hAnsiTheme="minorHAnsi" w:cs="Calibri"/>
          <w:sz w:val="24"/>
          <w:szCs w:val="24"/>
        </w:rPr>
        <w:t>hoice and competiti</w:t>
      </w:r>
      <w:r w:rsidR="001414A4">
        <w:rPr>
          <w:rFonts w:asciiTheme="minorHAnsi" w:hAnsiTheme="minorHAnsi" w:cs="Calibri"/>
          <w:sz w:val="24"/>
          <w:szCs w:val="24"/>
        </w:rPr>
        <w:t>ve provision</w:t>
      </w:r>
      <w:r w:rsidRPr="006D6E77">
        <w:rPr>
          <w:rFonts w:asciiTheme="minorHAnsi" w:hAnsiTheme="minorHAnsi" w:cs="Calibri"/>
          <w:sz w:val="24"/>
          <w:szCs w:val="24"/>
        </w:rPr>
        <w:t xml:space="preserve"> </w:t>
      </w:r>
      <w:r w:rsidR="000A4824">
        <w:rPr>
          <w:rFonts w:asciiTheme="minorHAnsi" w:hAnsiTheme="minorHAnsi" w:cs="Calibri"/>
          <w:sz w:val="24"/>
          <w:szCs w:val="24"/>
        </w:rPr>
        <w:t xml:space="preserve">in human services </w:t>
      </w:r>
      <w:r w:rsidRPr="006D6E77">
        <w:rPr>
          <w:rFonts w:asciiTheme="minorHAnsi" w:hAnsiTheme="minorHAnsi" w:cs="Calibri"/>
          <w:sz w:val="24"/>
          <w:szCs w:val="24"/>
        </w:rPr>
        <w:t xml:space="preserve">are related but not </w:t>
      </w:r>
      <w:r w:rsidR="00050C90">
        <w:rPr>
          <w:rFonts w:asciiTheme="minorHAnsi" w:hAnsiTheme="minorHAnsi" w:cs="Calibri"/>
          <w:sz w:val="24"/>
          <w:szCs w:val="24"/>
        </w:rPr>
        <w:t xml:space="preserve">always </w:t>
      </w:r>
      <w:r w:rsidR="001414A4">
        <w:rPr>
          <w:rFonts w:asciiTheme="minorHAnsi" w:hAnsiTheme="minorHAnsi" w:cs="Calibri"/>
          <w:sz w:val="24"/>
          <w:szCs w:val="24"/>
        </w:rPr>
        <w:t>co-</w:t>
      </w:r>
      <w:r w:rsidR="00050C90">
        <w:rPr>
          <w:rFonts w:asciiTheme="minorHAnsi" w:hAnsiTheme="minorHAnsi" w:cs="Calibri"/>
          <w:sz w:val="24"/>
          <w:szCs w:val="24"/>
        </w:rPr>
        <w:t>dependent</w:t>
      </w:r>
      <w:r w:rsidR="0024126D">
        <w:rPr>
          <w:rFonts w:asciiTheme="minorHAnsi" w:hAnsiTheme="minorHAnsi" w:cs="Calibri"/>
          <w:sz w:val="24"/>
          <w:szCs w:val="24"/>
        </w:rPr>
        <w:t xml:space="preserve">, and sector-by-sector analysis needs to clarify if the latter is required in order to </w:t>
      </w:r>
      <w:r w:rsidR="001414A4">
        <w:rPr>
          <w:rFonts w:asciiTheme="minorHAnsi" w:hAnsiTheme="minorHAnsi" w:cs="Calibri"/>
          <w:sz w:val="24"/>
          <w:szCs w:val="24"/>
        </w:rPr>
        <w:t>achieve</w:t>
      </w:r>
      <w:r w:rsidR="0024126D">
        <w:rPr>
          <w:rFonts w:asciiTheme="minorHAnsi" w:hAnsiTheme="minorHAnsi" w:cs="Calibri"/>
          <w:sz w:val="24"/>
          <w:szCs w:val="24"/>
        </w:rPr>
        <w:t xml:space="preserve"> the former</w:t>
      </w:r>
      <w:r w:rsidR="006057D5">
        <w:rPr>
          <w:rFonts w:asciiTheme="minorHAnsi" w:hAnsiTheme="minorHAnsi" w:cs="Calibri"/>
          <w:sz w:val="24"/>
          <w:szCs w:val="24"/>
        </w:rPr>
        <w:t>.</w:t>
      </w:r>
      <w:r w:rsidR="0024126D">
        <w:rPr>
          <w:rFonts w:asciiTheme="minorHAnsi" w:hAnsiTheme="minorHAnsi" w:cs="Calibri"/>
          <w:sz w:val="24"/>
          <w:szCs w:val="24"/>
        </w:rPr>
        <w:t xml:space="preserve"> </w:t>
      </w:r>
    </w:p>
    <w:p w14:paraId="5B77FE27" w14:textId="5BE5F10C" w:rsidR="000B3C27" w:rsidRDefault="00046641"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Any changes to human services markets must</w:t>
      </w:r>
      <w:r w:rsidR="00B1027E">
        <w:rPr>
          <w:rFonts w:asciiTheme="minorHAnsi" w:hAnsiTheme="minorHAnsi" w:cs="Calibri"/>
          <w:sz w:val="24"/>
          <w:szCs w:val="24"/>
        </w:rPr>
        <w:t xml:space="preserve"> safeguard equitable access, recognising</w:t>
      </w:r>
      <w:r>
        <w:rPr>
          <w:rFonts w:asciiTheme="minorHAnsi" w:hAnsiTheme="minorHAnsi" w:cs="Calibri"/>
          <w:sz w:val="24"/>
          <w:szCs w:val="24"/>
        </w:rPr>
        <w:t xml:space="preserve"> that c</w:t>
      </w:r>
      <w:r w:rsidR="000B3C27" w:rsidRPr="00D476DC">
        <w:rPr>
          <w:rFonts w:asciiTheme="minorHAnsi" w:hAnsiTheme="minorHAnsi" w:cs="Calibri"/>
          <w:sz w:val="24"/>
          <w:szCs w:val="24"/>
        </w:rPr>
        <w:t xml:space="preserve">ompetition is unlikely to be viable in the delivery of </w:t>
      </w:r>
      <w:r w:rsidR="0024126D" w:rsidRPr="00D476DC">
        <w:rPr>
          <w:rFonts w:asciiTheme="minorHAnsi" w:hAnsiTheme="minorHAnsi" w:cs="Calibri"/>
          <w:sz w:val="24"/>
          <w:szCs w:val="24"/>
        </w:rPr>
        <w:t xml:space="preserve">some </w:t>
      </w:r>
      <w:r w:rsidR="000B3C27" w:rsidRPr="00D476DC">
        <w:rPr>
          <w:rFonts w:asciiTheme="minorHAnsi" w:hAnsiTheme="minorHAnsi" w:cs="Calibri"/>
          <w:sz w:val="24"/>
          <w:szCs w:val="24"/>
        </w:rPr>
        <w:t>high cost, specialised human services where resources are scarce</w:t>
      </w:r>
      <w:r w:rsidR="006057D5">
        <w:rPr>
          <w:rFonts w:asciiTheme="minorHAnsi" w:hAnsiTheme="minorHAnsi" w:cs="Calibri"/>
          <w:sz w:val="24"/>
          <w:szCs w:val="24"/>
        </w:rPr>
        <w:t>.</w:t>
      </w:r>
      <w:r w:rsidR="0024126D" w:rsidRPr="00D476DC">
        <w:rPr>
          <w:rFonts w:asciiTheme="minorHAnsi" w:hAnsiTheme="minorHAnsi" w:cs="Calibri"/>
          <w:sz w:val="24"/>
          <w:szCs w:val="24"/>
        </w:rPr>
        <w:t xml:space="preserve"> </w:t>
      </w:r>
    </w:p>
    <w:p w14:paraId="6C0D2C6F" w14:textId="77777777" w:rsidR="00B1027E" w:rsidRDefault="00D476DC"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sidRPr="006D6E77">
        <w:rPr>
          <w:rFonts w:asciiTheme="minorHAnsi" w:hAnsiTheme="minorHAnsi" w:cs="Calibri"/>
          <w:sz w:val="24"/>
          <w:szCs w:val="24"/>
        </w:rPr>
        <w:t>Competition does not guarantee quality</w:t>
      </w:r>
      <w:r>
        <w:rPr>
          <w:rFonts w:asciiTheme="minorHAnsi" w:hAnsiTheme="minorHAnsi" w:cs="Calibri"/>
          <w:sz w:val="24"/>
          <w:szCs w:val="24"/>
        </w:rPr>
        <w:t xml:space="preserve"> and can in fact reduce it, therefore regulation </w:t>
      </w:r>
      <w:r w:rsidR="00B1027E">
        <w:rPr>
          <w:rFonts w:asciiTheme="minorHAnsi" w:hAnsiTheme="minorHAnsi" w:cs="Calibri"/>
          <w:sz w:val="24"/>
          <w:szCs w:val="24"/>
        </w:rPr>
        <w:t xml:space="preserve">of </w:t>
      </w:r>
      <w:r>
        <w:rPr>
          <w:rFonts w:asciiTheme="minorHAnsi" w:hAnsiTheme="minorHAnsi" w:cs="Calibri"/>
          <w:sz w:val="24"/>
          <w:szCs w:val="24"/>
        </w:rPr>
        <w:t>quality in human services remains a prime government responsibility</w:t>
      </w:r>
      <w:r w:rsidR="00B1027E">
        <w:rPr>
          <w:rFonts w:asciiTheme="minorHAnsi" w:hAnsiTheme="minorHAnsi" w:cs="Calibri"/>
          <w:sz w:val="24"/>
          <w:szCs w:val="24"/>
        </w:rPr>
        <w:t>.</w:t>
      </w:r>
    </w:p>
    <w:p w14:paraId="6C082B02" w14:textId="67F89D4C" w:rsidR="00050C90" w:rsidRDefault="00050C90"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 xml:space="preserve">Any systemic shift to current arrangements in Human Services should be undertaken through a better practice change management approach. </w:t>
      </w:r>
    </w:p>
    <w:p w14:paraId="3FC7F1A1" w14:textId="532098F4" w:rsidR="006D6E77" w:rsidRPr="00B1027E" w:rsidRDefault="00B1027E"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Efficacy in</w:t>
      </w:r>
      <w:r w:rsidR="00975CF1" w:rsidRPr="00B1027E">
        <w:rPr>
          <w:rFonts w:asciiTheme="minorHAnsi" w:hAnsiTheme="minorHAnsi" w:cs="Calibri"/>
          <w:sz w:val="24"/>
          <w:szCs w:val="24"/>
        </w:rPr>
        <w:t xml:space="preserve"> some </w:t>
      </w:r>
      <w:r w:rsidR="00962C6C">
        <w:rPr>
          <w:rFonts w:asciiTheme="minorHAnsi" w:hAnsiTheme="minorHAnsi" w:cs="Calibri"/>
          <w:sz w:val="24"/>
          <w:szCs w:val="24"/>
        </w:rPr>
        <w:t>H</w:t>
      </w:r>
      <w:r w:rsidR="006939A3">
        <w:rPr>
          <w:rFonts w:asciiTheme="minorHAnsi" w:hAnsiTheme="minorHAnsi" w:cs="Calibri"/>
          <w:sz w:val="24"/>
          <w:szCs w:val="24"/>
        </w:rPr>
        <w:t xml:space="preserve">uman </w:t>
      </w:r>
      <w:r w:rsidR="00962C6C">
        <w:rPr>
          <w:rFonts w:asciiTheme="minorHAnsi" w:hAnsiTheme="minorHAnsi" w:cs="Calibri"/>
          <w:sz w:val="24"/>
          <w:szCs w:val="24"/>
        </w:rPr>
        <w:t>S</w:t>
      </w:r>
      <w:r w:rsidR="00975CF1" w:rsidRPr="00B1027E">
        <w:rPr>
          <w:rFonts w:asciiTheme="minorHAnsi" w:hAnsiTheme="minorHAnsi" w:cs="Calibri"/>
          <w:sz w:val="24"/>
          <w:szCs w:val="24"/>
        </w:rPr>
        <w:t xml:space="preserve">ervices </w:t>
      </w:r>
      <w:r>
        <w:rPr>
          <w:rFonts w:asciiTheme="minorHAnsi" w:hAnsiTheme="minorHAnsi" w:cs="Calibri"/>
          <w:sz w:val="24"/>
          <w:szCs w:val="24"/>
        </w:rPr>
        <w:t xml:space="preserve">relies </w:t>
      </w:r>
      <w:r w:rsidR="006939A3">
        <w:rPr>
          <w:rFonts w:asciiTheme="minorHAnsi" w:hAnsiTheme="minorHAnsi" w:cs="Calibri"/>
          <w:sz w:val="24"/>
          <w:szCs w:val="24"/>
        </w:rPr>
        <w:t>on design and delivery taking place</w:t>
      </w:r>
      <w:r w:rsidR="00962C6C">
        <w:rPr>
          <w:rFonts w:asciiTheme="minorHAnsi" w:hAnsiTheme="minorHAnsi" w:cs="Calibri"/>
          <w:sz w:val="24"/>
          <w:szCs w:val="24"/>
        </w:rPr>
        <w:t xml:space="preserve"> very close to the ground</w:t>
      </w:r>
      <w:r w:rsidR="006D6E77" w:rsidRPr="00B1027E">
        <w:rPr>
          <w:rFonts w:asciiTheme="minorHAnsi" w:hAnsiTheme="minorHAnsi" w:cs="Calibri"/>
          <w:sz w:val="24"/>
          <w:szCs w:val="24"/>
        </w:rPr>
        <w:t xml:space="preserve"> </w:t>
      </w:r>
      <w:r w:rsidR="00962C6C">
        <w:rPr>
          <w:rFonts w:asciiTheme="minorHAnsi" w:hAnsiTheme="minorHAnsi" w:cs="Calibri"/>
          <w:sz w:val="24"/>
          <w:szCs w:val="24"/>
        </w:rPr>
        <w:t>(to enable the incorporation of</w:t>
      </w:r>
      <w:r w:rsidR="006D6E77" w:rsidRPr="00B1027E">
        <w:rPr>
          <w:rFonts w:asciiTheme="minorHAnsi" w:hAnsiTheme="minorHAnsi" w:cs="Calibri"/>
          <w:sz w:val="24"/>
          <w:szCs w:val="24"/>
        </w:rPr>
        <w:t xml:space="preserve"> </w:t>
      </w:r>
      <w:r w:rsidR="00962C6C">
        <w:rPr>
          <w:rFonts w:asciiTheme="minorHAnsi" w:hAnsiTheme="minorHAnsi" w:cs="Calibri"/>
          <w:sz w:val="24"/>
          <w:szCs w:val="24"/>
        </w:rPr>
        <w:t>local knowledge and trust relationships),</w:t>
      </w:r>
      <w:r w:rsidR="006D6E77" w:rsidRPr="00B1027E">
        <w:rPr>
          <w:rFonts w:asciiTheme="minorHAnsi" w:hAnsiTheme="minorHAnsi" w:cs="Calibri"/>
          <w:sz w:val="24"/>
          <w:szCs w:val="24"/>
        </w:rPr>
        <w:t xml:space="preserve"> </w:t>
      </w:r>
      <w:r w:rsidR="006939A3">
        <w:rPr>
          <w:rFonts w:asciiTheme="minorHAnsi" w:hAnsiTheme="minorHAnsi" w:cs="Calibri"/>
          <w:sz w:val="24"/>
          <w:szCs w:val="24"/>
        </w:rPr>
        <w:t>and market arrangements should not undermine this where it is needed.</w:t>
      </w:r>
      <w:r w:rsidR="006D6E77" w:rsidRPr="00B1027E">
        <w:rPr>
          <w:rFonts w:asciiTheme="minorHAnsi" w:hAnsiTheme="minorHAnsi" w:cs="Calibri"/>
          <w:sz w:val="24"/>
          <w:szCs w:val="24"/>
        </w:rPr>
        <w:t xml:space="preserve"> </w:t>
      </w:r>
    </w:p>
    <w:p w14:paraId="0DD9BE79" w14:textId="54ADC760" w:rsidR="006D6E77" w:rsidRDefault="000B3C27"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A balanced market allowing for niche or small local providers</w:t>
      </w:r>
      <w:r w:rsidR="0024126D">
        <w:rPr>
          <w:rFonts w:asciiTheme="minorHAnsi" w:hAnsiTheme="minorHAnsi" w:cs="Calibri"/>
          <w:sz w:val="24"/>
          <w:szCs w:val="24"/>
        </w:rPr>
        <w:t xml:space="preserve"> (for profit or not-for-profit)</w:t>
      </w:r>
      <w:r>
        <w:rPr>
          <w:rFonts w:asciiTheme="minorHAnsi" w:hAnsiTheme="minorHAnsi" w:cs="Calibri"/>
          <w:sz w:val="24"/>
          <w:szCs w:val="24"/>
        </w:rPr>
        <w:t xml:space="preserve"> is essential for meeting the needs of a diverse population</w:t>
      </w:r>
      <w:r w:rsidR="0024126D">
        <w:rPr>
          <w:rFonts w:asciiTheme="minorHAnsi" w:hAnsiTheme="minorHAnsi" w:cs="Calibri"/>
          <w:sz w:val="24"/>
          <w:szCs w:val="24"/>
        </w:rPr>
        <w:t>,</w:t>
      </w:r>
      <w:r>
        <w:rPr>
          <w:rFonts w:asciiTheme="minorHAnsi" w:hAnsiTheme="minorHAnsi" w:cs="Calibri"/>
          <w:sz w:val="24"/>
          <w:szCs w:val="24"/>
        </w:rPr>
        <w:t xml:space="preserve"> and unfettered competition should not be allowed to </w:t>
      </w:r>
      <w:r w:rsidR="0024126D">
        <w:rPr>
          <w:rFonts w:asciiTheme="minorHAnsi" w:hAnsiTheme="minorHAnsi" w:cs="Calibri"/>
          <w:sz w:val="24"/>
          <w:szCs w:val="24"/>
        </w:rPr>
        <w:t>result in elimination of</w:t>
      </w:r>
      <w:r>
        <w:rPr>
          <w:rFonts w:asciiTheme="minorHAnsi" w:hAnsiTheme="minorHAnsi" w:cs="Calibri"/>
          <w:sz w:val="24"/>
          <w:szCs w:val="24"/>
        </w:rPr>
        <w:t xml:space="preserve"> these providers </w:t>
      </w:r>
      <w:r w:rsidR="0024126D">
        <w:rPr>
          <w:rFonts w:asciiTheme="minorHAnsi" w:hAnsiTheme="minorHAnsi" w:cs="Calibri"/>
          <w:sz w:val="24"/>
          <w:szCs w:val="24"/>
        </w:rPr>
        <w:t>because of economies of scale</w:t>
      </w:r>
      <w:r w:rsidR="006939A3">
        <w:rPr>
          <w:rFonts w:asciiTheme="minorHAnsi" w:hAnsiTheme="minorHAnsi" w:cs="Calibri"/>
          <w:sz w:val="24"/>
          <w:szCs w:val="24"/>
        </w:rPr>
        <w:t>.</w:t>
      </w:r>
      <w:r w:rsidR="00DF27F4">
        <w:rPr>
          <w:rFonts w:asciiTheme="minorHAnsi" w:hAnsiTheme="minorHAnsi" w:cs="Calibri"/>
          <w:sz w:val="24"/>
          <w:szCs w:val="24"/>
        </w:rPr>
        <w:t xml:space="preserve"> However</w:t>
      </w:r>
      <w:r w:rsidR="00F80F5A">
        <w:rPr>
          <w:rFonts w:asciiTheme="minorHAnsi" w:hAnsiTheme="minorHAnsi" w:cs="Calibri"/>
          <w:sz w:val="24"/>
          <w:szCs w:val="24"/>
        </w:rPr>
        <w:t>,</w:t>
      </w:r>
      <w:r w:rsidR="00DF27F4">
        <w:rPr>
          <w:rFonts w:asciiTheme="minorHAnsi" w:hAnsiTheme="minorHAnsi" w:cs="Calibri"/>
          <w:sz w:val="24"/>
          <w:szCs w:val="24"/>
        </w:rPr>
        <w:t xml:space="preserve"> this should not protect niche and smaller providers from having to ensure they are responsive to consumer needs and preferences. </w:t>
      </w:r>
    </w:p>
    <w:p w14:paraId="764FF4D7" w14:textId="10D722F0" w:rsidR="00C33C11" w:rsidRPr="00046641" w:rsidRDefault="00C33C11"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Differential pricing</w:t>
      </w:r>
      <w:r w:rsidR="00DF27F4">
        <w:rPr>
          <w:rFonts w:asciiTheme="minorHAnsi" w:hAnsiTheme="minorHAnsi" w:cs="Calibri"/>
          <w:sz w:val="24"/>
          <w:szCs w:val="24"/>
        </w:rPr>
        <w:t xml:space="preserve"> levels or </w:t>
      </w:r>
      <w:r>
        <w:rPr>
          <w:rFonts w:asciiTheme="minorHAnsi" w:hAnsiTheme="minorHAnsi" w:cs="Calibri"/>
          <w:sz w:val="24"/>
          <w:szCs w:val="24"/>
        </w:rPr>
        <w:t xml:space="preserve">funding models should be supported by government to </w:t>
      </w:r>
      <w:r>
        <w:rPr>
          <w:rFonts w:asciiTheme="minorHAnsi" w:hAnsiTheme="minorHAnsi" w:cs="Calibri"/>
          <w:sz w:val="24"/>
          <w:szCs w:val="24"/>
        </w:rPr>
        <w:lastRenderedPageBreak/>
        <w:t>address differing circumstances in various markets, such as rural and remote areas</w:t>
      </w:r>
      <w:r w:rsidR="006939A3">
        <w:rPr>
          <w:rFonts w:asciiTheme="minorHAnsi" w:hAnsiTheme="minorHAnsi" w:cs="Calibri"/>
          <w:sz w:val="24"/>
          <w:szCs w:val="24"/>
        </w:rPr>
        <w:t>.</w:t>
      </w:r>
    </w:p>
    <w:p w14:paraId="36400FE3" w14:textId="6F3DC561" w:rsidR="00975CF1" w:rsidRDefault="006C4177"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Marketization</w:t>
      </w:r>
      <w:r w:rsidR="00975CF1">
        <w:rPr>
          <w:rFonts w:asciiTheme="minorHAnsi" w:hAnsiTheme="minorHAnsi" w:cs="Calibri"/>
          <w:sz w:val="24"/>
          <w:szCs w:val="24"/>
        </w:rPr>
        <w:t xml:space="preserve"> should not result in an increase in population or individual </w:t>
      </w:r>
      <w:r w:rsidR="006939A3">
        <w:rPr>
          <w:rFonts w:asciiTheme="minorHAnsi" w:hAnsiTheme="minorHAnsi" w:cs="Calibri"/>
          <w:sz w:val="24"/>
          <w:szCs w:val="24"/>
        </w:rPr>
        <w:t xml:space="preserve">socio-economic </w:t>
      </w:r>
      <w:r w:rsidR="00975CF1">
        <w:rPr>
          <w:rFonts w:asciiTheme="minorHAnsi" w:hAnsiTheme="minorHAnsi" w:cs="Calibri"/>
          <w:sz w:val="24"/>
          <w:szCs w:val="24"/>
        </w:rPr>
        <w:t xml:space="preserve">inequality and disadvantage </w:t>
      </w:r>
      <w:r w:rsidR="006939A3">
        <w:rPr>
          <w:rFonts w:asciiTheme="minorHAnsi" w:hAnsiTheme="minorHAnsi" w:cs="Calibri"/>
          <w:sz w:val="24"/>
          <w:szCs w:val="24"/>
        </w:rPr>
        <w:t xml:space="preserve">or unequal access to </w:t>
      </w:r>
      <w:r w:rsidR="00975CF1">
        <w:rPr>
          <w:rFonts w:asciiTheme="minorHAnsi" w:hAnsiTheme="minorHAnsi" w:cs="Calibri"/>
          <w:sz w:val="24"/>
          <w:szCs w:val="24"/>
        </w:rPr>
        <w:t>human servi</w:t>
      </w:r>
      <w:r w:rsidR="006939A3">
        <w:rPr>
          <w:rFonts w:asciiTheme="minorHAnsi" w:hAnsiTheme="minorHAnsi" w:cs="Calibri"/>
          <w:sz w:val="24"/>
          <w:szCs w:val="24"/>
        </w:rPr>
        <w:t>ces.</w:t>
      </w:r>
    </w:p>
    <w:p w14:paraId="7F70D95D" w14:textId="1D6A7FC7" w:rsidR="00975CF1" w:rsidRPr="00975CF1" w:rsidRDefault="00975CF1"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Systemic disadvantage must be re</w:t>
      </w:r>
      <w:r w:rsidRPr="00975CF1">
        <w:rPr>
          <w:rFonts w:asciiTheme="minorHAnsi" w:hAnsiTheme="minorHAnsi" w:cs="Calibri"/>
          <w:sz w:val="24"/>
          <w:szCs w:val="24"/>
        </w:rPr>
        <w:t>cognise</w:t>
      </w:r>
      <w:r>
        <w:rPr>
          <w:rFonts w:asciiTheme="minorHAnsi" w:hAnsiTheme="minorHAnsi" w:cs="Calibri"/>
          <w:sz w:val="24"/>
          <w:szCs w:val="24"/>
        </w:rPr>
        <w:t>d</w:t>
      </w:r>
      <w:r w:rsidRPr="00975CF1">
        <w:rPr>
          <w:rFonts w:asciiTheme="minorHAnsi" w:hAnsiTheme="minorHAnsi" w:cs="Calibri"/>
          <w:sz w:val="24"/>
          <w:szCs w:val="24"/>
        </w:rPr>
        <w:t xml:space="preserve"> and address</w:t>
      </w:r>
      <w:r>
        <w:rPr>
          <w:rFonts w:asciiTheme="minorHAnsi" w:hAnsiTheme="minorHAnsi" w:cs="Calibri"/>
          <w:sz w:val="24"/>
          <w:szCs w:val="24"/>
        </w:rPr>
        <w:t>ed</w:t>
      </w:r>
      <w:r w:rsidRPr="00975CF1">
        <w:rPr>
          <w:rFonts w:asciiTheme="minorHAnsi" w:hAnsiTheme="minorHAnsi" w:cs="Calibri"/>
          <w:sz w:val="24"/>
          <w:szCs w:val="24"/>
        </w:rPr>
        <w:t xml:space="preserve"> in the design and delivery of human services </w:t>
      </w:r>
      <w:r>
        <w:rPr>
          <w:rFonts w:asciiTheme="minorHAnsi" w:hAnsiTheme="minorHAnsi" w:cs="Calibri"/>
          <w:sz w:val="24"/>
          <w:szCs w:val="24"/>
        </w:rPr>
        <w:t>to Aboriginal and Torres Strait Islander</w:t>
      </w:r>
      <w:r w:rsidR="00046641">
        <w:rPr>
          <w:rFonts w:asciiTheme="minorHAnsi" w:hAnsiTheme="minorHAnsi" w:cs="Calibri"/>
          <w:sz w:val="24"/>
          <w:szCs w:val="24"/>
        </w:rPr>
        <w:t xml:space="preserve"> communities</w:t>
      </w:r>
      <w:r w:rsidRPr="00975CF1">
        <w:rPr>
          <w:rFonts w:asciiTheme="minorHAnsi" w:hAnsiTheme="minorHAnsi" w:cs="Calibri"/>
          <w:sz w:val="24"/>
          <w:szCs w:val="24"/>
        </w:rPr>
        <w:t>, C</w:t>
      </w:r>
      <w:r>
        <w:rPr>
          <w:rFonts w:asciiTheme="minorHAnsi" w:hAnsiTheme="minorHAnsi" w:cs="Calibri"/>
          <w:sz w:val="24"/>
          <w:szCs w:val="24"/>
        </w:rPr>
        <w:t>ulturally and Linguistically Diverse</w:t>
      </w:r>
      <w:r w:rsidR="00E26F46">
        <w:rPr>
          <w:rFonts w:asciiTheme="minorHAnsi" w:hAnsiTheme="minorHAnsi" w:cs="Calibri"/>
          <w:sz w:val="24"/>
          <w:szCs w:val="24"/>
        </w:rPr>
        <w:t xml:space="preserve"> (CALD)</w:t>
      </w:r>
      <w:r>
        <w:rPr>
          <w:rFonts w:asciiTheme="minorHAnsi" w:hAnsiTheme="minorHAnsi" w:cs="Calibri"/>
          <w:sz w:val="24"/>
          <w:szCs w:val="24"/>
        </w:rPr>
        <w:t xml:space="preserve"> </w:t>
      </w:r>
      <w:r w:rsidR="00DF27F4">
        <w:rPr>
          <w:rFonts w:asciiTheme="minorHAnsi" w:hAnsiTheme="minorHAnsi" w:cs="Calibri"/>
          <w:sz w:val="24"/>
          <w:szCs w:val="24"/>
        </w:rPr>
        <w:t xml:space="preserve">communities, </w:t>
      </w:r>
      <w:r w:rsidR="00E26F46">
        <w:rPr>
          <w:rFonts w:asciiTheme="minorHAnsi" w:hAnsiTheme="minorHAnsi" w:cs="Calibri"/>
          <w:sz w:val="24"/>
          <w:szCs w:val="24"/>
        </w:rPr>
        <w:t>r</w:t>
      </w:r>
      <w:r w:rsidRPr="00975CF1">
        <w:rPr>
          <w:rFonts w:asciiTheme="minorHAnsi" w:hAnsiTheme="minorHAnsi" w:cs="Calibri"/>
          <w:sz w:val="24"/>
          <w:szCs w:val="24"/>
        </w:rPr>
        <w:t xml:space="preserve">ural </w:t>
      </w:r>
      <w:r>
        <w:rPr>
          <w:rFonts w:asciiTheme="minorHAnsi" w:hAnsiTheme="minorHAnsi" w:cs="Calibri"/>
          <w:sz w:val="24"/>
          <w:szCs w:val="24"/>
        </w:rPr>
        <w:t xml:space="preserve">and </w:t>
      </w:r>
      <w:r w:rsidR="00E26F46">
        <w:rPr>
          <w:rFonts w:asciiTheme="minorHAnsi" w:hAnsiTheme="minorHAnsi" w:cs="Calibri"/>
          <w:sz w:val="24"/>
          <w:szCs w:val="24"/>
        </w:rPr>
        <w:t>r</w:t>
      </w:r>
      <w:r>
        <w:rPr>
          <w:rFonts w:asciiTheme="minorHAnsi" w:hAnsiTheme="minorHAnsi" w:cs="Calibri"/>
          <w:sz w:val="24"/>
          <w:szCs w:val="24"/>
        </w:rPr>
        <w:t xml:space="preserve">emote </w:t>
      </w:r>
      <w:r w:rsidR="00046641">
        <w:rPr>
          <w:rFonts w:asciiTheme="minorHAnsi" w:hAnsiTheme="minorHAnsi" w:cs="Calibri"/>
          <w:sz w:val="24"/>
          <w:szCs w:val="24"/>
        </w:rPr>
        <w:t>c</w:t>
      </w:r>
      <w:r>
        <w:rPr>
          <w:rFonts w:asciiTheme="minorHAnsi" w:hAnsiTheme="minorHAnsi" w:cs="Calibri"/>
          <w:sz w:val="24"/>
          <w:szCs w:val="24"/>
        </w:rPr>
        <w:t>ommunities</w:t>
      </w:r>
      <w:r w:rsidR="00DF27F4">
        <w:rPr>
          <w:rFonts w:asciiTheme="minorHAnsi" w:hAnsiTheme="minorHAnsi" w:cs="Calibri"/>
          <w:sz w:val="24"/>
          <w:szCs w:val="24"/>
        </w:rPr>
        <w:t xml:space="preserve"> and other special needs or vulnerable groups.</w:t>
      </w:r>
    </w:p>
    <w:p w14:paraId="14E7A6FA" w14:textId="1A7DBF77" w:rsidR="00975CF1" w:rsidRPr="00975CF1" w:rsidRDefault="00DF27F4"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 xml:space="preserve">Good </w:t>
      </w:r>
      <w:r w:rsidR="00050C90">
        <w:rPr>
          <w:rFonts w:asciiTheme="minorHAnsi" w:hAnsiTheme="minorHAnsi" w:cs="Calibri"/>
          <w:sz w:val="24"/>
          <w:szCs w:val="24"/>
        </w:rPr>
        <w:t>Human S</w:t>
      </w:r>
      <w:r w:rsidR="006939A3">
        <w:rPr>
          <w:rFonts w:asciiTheme="minorHAnsi" w:hAnsiTheme="minorHAnsi" w:cs="Calibri"/>
          <w:sz w:val="24"/>
          <w:szCs w:val="24"/>
        </w:rPr>
        <w:t xml:space="preserve">ervices </w:t>
      </w:r>
      <w:r>
        <w:rPr>
          <w:rFonts w:asciiTheme="minorHAnsi" w:hAnsiTheme="minorHAnsi" w:cs="Calibri"/>
          <w:sz w:val="24"/>
          <w:szCs w:val="24"/>
        </w:rPr>
        <w:t xml:space="preserve">often </w:t>
      </w:r>
      <w:r w:rsidR="006939A3">
        <w:rPr>
          <w:rFonts w:asciiTheme="minorHAnsi" w:hAnsiTheme="minorHAnsi" w:cs="Calibri"/>
          <w:sz w:val="24"/>
          <w:szCs w:val="24"/>
        </w:rPr>
        <w:t>deliver</w:t>
      </w:r>
      <w:r w:rsidR="00975CF1" w:rsidRPr="00975CF1">
        <w:rPr>
          <w:rFonts w:asciiTheme="minorHAnsi" w:hAnsiTheme="minorHAnsi" w:cs="Calibri"/>
          <w:sz w:val="24"/>
          <w:szCs w:val="24"/>
        </w:rPr>
        <w:t xml:space="preserve"> broader social and community outcomes</w:t>
      </w:r>
      <w:r w:rsidR="00975CF1">
        <w:rPr>
          <w:rFonts w:asciiTheme="minorHAnsi" w:hAnsiTheme="minorHAnsi" w:cs="Calibri"/>
          <w:sz w:val="24"/>
          <w:szCs w:val="24"/>
        </w:rPr>
        <w:t xml:space="preserve"> and </w:t>
      </w:r>
      <w:r w:rsidR="006939A3">
        <w:rPr>
          <w:rFonts w:asciiTheme="minorHAnsi" w:hAnsiTheme="minorHAnsi" w:cs="Calibri"/>
          <w:sz w:val="24"/>
          <w:szCs w:val="24"/>
        </w:rPr>
        <w:t>contribute</w:t>
      </w:r>
      <w:r w:rsidR="00975CF1">
        <w:rPr>
          <w:rFonts w:asciiTheme="minorHAnsi" w:hAnsiTheme="minorHAnsi" w:cs="Calibri"/>
          <w:sz w:val="24"/>
          <w:szCs w:val="24"/>
        </w:rPr>
        <w:t xml:space="preserve"> to the public good</w:t>
      </w:r>
      <w:r w:rsidR="006939A3">
        <w:rPr>
          <w:rFonts w:asciiTheme="minorHAnsi" w:hAnsiTheme="minorHAnsi" w:cs="Calibri"/>
          <w:sz w:val="24"/>
          <w:szCs w:val="24"/>
        </w:rPr>
        <w:t>, and these features should be</w:t>
      </w:r>
      <w:r w:rsidR="00975CF1">
        <w:rPr>
          <w:rFonts w:asciiTheme="minorHAnsi" w:hAnsiTheme="minorHAnsi" w:cs="Calibri"/>
          <w:sz w:val="24"/>
          <w:szCs w:val="24"/>
        </w:rPr>
        <w:t xml:space="preserve"> safeguarded</w:t>
      </w:r>
      <w:r w:rsidR="00050C90">
        <w:rPr>
          <w:rFonts w:asciiTheme="minorHAnsi" w:hAnsiTheme="minorHAnsi" w:cs="Calibri"/>
          <w:sz w:val="24"/>
          <w:szCs w:val="24"/>
        </w:rPr>
        <w:t xml:space="preserve"> in any Human S</w:t>
      </w:r>
      <w:r w:rsidR="00046641">
        <w:rPr>
          <w:rFonts w:asciiTheme="minorHAnsi" w:hAnsiTheme="minorHAnsi" w:cs="Calibri"/>
          <w:sz w:val="24"/>
          <w:szCs w:val="24"/>
        </w:rPr>
        <w:t>ervice</w:t>
      </w:r>
      <w:r w:rsidR="00050C90">
        <w:rPr>
          <w:rFonts w:asciiTheme="minorHAnsi" w:hAnsiTheme="minorHAnsi" w:cs="Calibri"/>
          <w:sz w:val="24"/>
          <w:szCs w:val="24"/>
        </w:rPr>
        <w:t>s</w:t>
      </w:r>
      <w:r w:rsidR="00046641">
        <w:rPr>
          <w:rFonts w:asciiTheme="minorHAnsi" w:hAnsiTheme="minorHAnsi" w:cs="Calibri"/>
          <w:sz w:val="24"/>
          <w:szCs w:val="24"/>
        </w:rPr>
        <w:t xml:space="preserve"> delivery model</w:t>
      </w:r>
      <w:r w:rsidR="006939A3">
        <w:rPr>
          <w:rFonts w:asciiTheme="minorHAnsi" w:hAnsiTheme="minorHAnsi" w:cs="Calibri"/>
          <w:sz w:val="24"/>
          <w:szCs w:val="24"/>
        </w:rPr>
        <w:t>.</w:t>
      </w:r>
    </w:p>
    <w:p w14:paraId="543FF34A" w14:textId="6143AD20" w:rsidR="000A4824" w:rsidRPr="000A4824" w:rsidRDefault="000A4824"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Competition should not undermine integrated or ‘j</w:t>
      </w:r>
      <w:r w:rsidR="00050C90">
        <w:rPr>
          <w:rFonts w:asciiTheme="minorHAnsi" w:hAnsiTheme="minorHAnsi" w:cs="Calibri"/>
          <w:sz w:val="24"/>
          <w:szCs w:val="24"/>
        </w:rPr>
        <w:t>oined up’ Human S</w:t>
      </w:r>
      <w:r>
        <w:rPr>
          <w:rFonts w:asciiTheme="minorHAnsi" w:hAnsiTheme="minorHAnsi" w:cs="Calibri"/>
          <w:sz w:val="24"/>
          <w:szCs w:val="24"/>
        </w:rPr>
        <w:t>ervice delivery and therefore r</w:t>
      </w:r>
      <w:r w:rsidRPr="000A4824">
        <w:rPr>
          <w:rFonts w:asciiTheme="minorHAnsi" w:hAnsiTheme="minorHAnsi" w:cs="Calibri"/>
          <w:sz w:val="24"/>
          <w:szCs w:val="24"/>
        </w:rPr>
        <w:t xml:space="preserve">elevant individual data must be </w:t>
      </w:r>
      <w:r>
        <w:rPr>
          <w:rFonts w:asciiTheme="minorHAnsi" w:hAnsiTheme="minorHAnsi" w:cs="Calibri"/>
          <w:sz w:val="24"/>
          <w:szCs w:val="24"/>
        </w:rPr>
        <w:t>portable, secure and protected by regulation</w:t>
      </w:r>
      <w:r w:rsidR="006939A3">
        <w:rPr>
          <w:rFonts w:asciiTheme="minorHAnsi" w:hAnsiTheme="minorHAnsi" w:cs="Calibri"/>
          <w:sz w:val="24"/>
          <w:szCs w:val="24"/>
        </w:rPr>
        <w:t>.</w:t>
      </w:r>
    </w:p>
    <w:p w14:paraId="499F0D07" w14:textId="2BCD8F81" w:rsidR="00046641" w:rsidRDefault="00C33C11"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sidRPr="006D6E77">
        <w:rPr>
          <w:rFonts w:asciiTheme="minorHAnsi" w:hAnsiTheme="minorHAnsi" w:cs="Calibri"/>
          <w:sz w:val="24"/>
          <w:szCs w:val="24"/>
        </w:rPr>
        <w:t xml:space="preserve">There should be full accountability to </w:t>
      </w:r>
      <w:r>
        <w:rPr>
          <w:rFonts w:asciiTheme="minorHAnsi" w:hAnsiTheme="minorHAnsi" w:cs="Calibri"/>
          <w:sz w:val="24"/>
          <w:szCs w:val="24"/>
        </w:rPr>
        <w:t xml:space="preserve">the Australian </w:t>
      </w:r>
      <w:r w:rsidRPr="006D6E77">
        <w:rPr>
          <w:rFonts w:asciiTheme="minorHAnsi" w:hAnsiTheme="minorHAnsi" w:cs="Calibri"/>
          <w:sz w:val="24"/>
          <w:szCs w:val="24"/>
        </w:rPr>
        <w:t>public and parliament</w:t>
      </w:r>
      <w:r>
        <w:rPr>
          <w:rFonts w:asciiTheme="minorHAnsi" w:hAnsiTheme="minorHAnsi" w:cs="Calibri"/>
          <w:sz w:val="24"/>
          <w:szCs w:val="24"/>
        </w:rPr>
        <w:t xml:space="preserve"> for the expenditure of public funds and the outcomes achieved </w:t>
      </w:r>
      <w:r w:rsidR="006939A3">
        <w:rPr>
          <w:rFonts w:asciiTheme="minorHAnsi" w:hAnsiTheme="minorHAnsi" w:cs="Calibri"/>
          <w:sz w:val="24"/>
          <w:szCs w:val="24"/>
        </w:rPr>
        <w:t>under</w:t>
      </w:r>
      <w:r>
        <w:rPr>
          <w:rFonts w:asciiTheme="minorHAnsi" w:hAnsiTheme="minorHAnsi" w:cs="Calibri"/>
          <w:sz w:val="24"/>
          <w:szCs w:val="24"/>
        </w:rPr>
        <w:t xml:space="preserve"> any model of human services delivery</w:t>
      </w:r>
      <w:r w:rsidR="006939A3">
        <w:rPr>
          <w:rFonts w:asciiTheme="minorHAnsi" w:hAnsiTheme="minorHAnsi" w:cs="Calibri"/>
          <w:sz w:val="24"/>
          <w:szCs w:val="24"/>
        </w:rPr>
        <w:t>.</w:t>
      </w:r>
    </w:p>
    <w:p w14:paraId="677C1D5A" w14:textId="75C38EF8" w:rsidR="00046641" w:rsidRPr="00046641" w:rsidRDefault="00046641" w:rsidP="00F660C3">
      <w:pPr>
        <w:pStyle w:val="ListParagraph"/>
        <w:numPr>
          <w:ilvl w:val="0"/>
          <w:numId w:val="42"/>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sidRPr="00046641">
        <w:rPr>
          <w:rFonts w:asciiTheme="minorHAnsi" w:hAnsiTheme="minorHAnsi" w:cs="Calibri"/>
          <w:sz w:val="24"/>
          <w:szCs w:val="24"/>
        </w:rPr>
        <w:t>The role of government as ‘market steward’ needs to be fully resourced, broadly interpreted and developed to ensure:</w:t>
      </w:r>
    </w:p>
    <w:p w14:paraId="1F7EE6F4" w14:textId="77777777" w:rsidR="00046641" w:rsidRDefault="00046641" w:rsidP="00F660C3">
      <w:pPr>
        <w:pStyle w:val="ListParagraph"/>
        <w:numPr>
          <w:ilvl w:val="0"/>
          <w:numId w:val="40"/>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Equitable access to affordable, quality services</w:t>
      </w:r>
    </w:p>
    <w:p w14:paraId="626EEFA3" w14:textId="5200190D" w:rsidR="00046641" w:rsidRDefault="00046641" w:rsidP="00F660C3">
      <w:pPr>
        <w:pStyle w:val="ListParagraph"/>
        <w:numPr>
          <w:ilvl w:val="0"/>
          <w:numId w:val="40"/>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 xml:space="preserve">Full mitigation of the </w:t>
      </w:r>
      <w:r w:rsidRPr="00D378D2">
        <w:rPr>
          <w:rFonts w:asciiTheme="minorHAnsi" w:hAnsiTheme="minorHAnsi" w:cs="Calibri"/>
          <w:sz w:val="24"/>
          <w:szCs w:val="24"/>
        </w:rPr>
        <w:t>risk of</w:t>
      </w:r>
      <w:r>
        <w:rPr>
          <w:rFonts w:asciiTheme="minorHAnsi" w:hAnsiTheme="minorHAnsi" w:cs="Calibri"/>
          <w:sz w:val="24"/>
          <w:szCs w:val="24"/>
        </w:rPr>
        <w:t>,</w:t>
      </w:r>
      <w:r w:rsidRPr="00D378D2">
        <w:rPr>
          <w:rFonts w:asciiTheme="minorHAnsi" w:hAnsiTheme="minorHAnsi" w:cs="Calibri"/>
          <w:sz w:val="24"/>
          <w:szCs w:val="24"/>
        </w:rPr>
        <w:t xml:space="preserve"> </w:t>
      </w:r>
      <w:r>
        <w:rPr>
          <w:rFonts w:asciiTheme="minorHAnsi" w:hAnsiTheme="minorHAnsi" w:cs="Calibri"/>
          <w:sz w:val="24"/>
          <w:szCs w:val="24"/>
        </w:rPr>
        <w:t xml:space="preserve">and a framework for effective responsiveness to </w:t>
      </w:r>
      <w:r w:rsidR="00DF27F4">
        <w:rPr>
          <w:rFonts w:asciiTheme="minorHAnsi" w:hAnsiTheme="minorHAnsi" w:cs="Calibri"/>
          <w:sz w:val="24"/>
          <w:szCs w:val="24"/>
        </w:rPr>
        <w:t>service provider failure, and thin markets</w:t>
      </w:r>
    </w:p>
    <w:p w14:paraId="54EC279D" w14:textId="0712B876" w:rsidR="00046641" w:rsidRDefault="00046641" w:rsidP="00F660C3">
      <w:pPr>
        <w:pStyle w:val="ListParagraph"/>
        <w:numPr>
          <w:ilvl w:val="0"/>
          <w:numId w:val="40"/>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Service ‘creaming’ and ‘parking’ does not occur</w:t>
      </w:r>
    </w:p>
    <w:p w14:paraId="02B8A55B" w14:textId="45A3F1B8" w:rsidR="00046641" w:rsidRDefault="00046641" w:rsidP="00F660C3">
      <w:pPr>
        <w:pStyle w:val="ListParagraph"/>
        <w:numPr>
          <w:ilvl w:val="0"/>
          <w:numId w:val="40"/>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Continued attempts to address systemic</w:t>
      </w:r>
      <w:r w:rsidR="00DF27F4">
        <w:rPr>
          <w:rFonts w:asciiTheme="minorHAnsi" w:hAnsiTheme="minorHAnsi" w:cs="Calibri"/>
          <w:sz w:val="24"/>
          <w:szCs w:val="24"/>
        </w:rPr>
        <w:t xml:space="preserve"> and </w:t>
      </w:r>
      <w:r w:rsidR="00F74B5B">
        <w:rPr>
          <w:rFonts w:asciiTheme="minorHAnsi" w:hAnsiTheme="minorHAnsi" w:cs="Calibri"/>
          <w:sz w:val="24"/>
          <w:szCs w:val="24"/>
        </w:rPr>
        <w:t>deep-seated</w:t>
      </w:r>
      <w:r>
        <w:rPr>
          <w:rFonts w:asciiTheme="minorHAnsi" w:hAnsiTheme="minorHAnsi" w:cs="Calibri"/>
          <w:sz w:val="24"/>
          <w:szCs w:val="24"/>
        </w:rPr>
        <w:t xml:space="preserve"> social and policy problems are not abandoned under greater </w:t>
      </w:r>
      <w:r w:rsidR="006C4177">
        <w:rPr>
          <w:rFonts w:asciiTheme="minorHAnsi" w:hAnsiTheme="minorHAnsi" w:cs="Calibri"/>
          <w:sz w:val="24"/>
          <w:szCs w:val="24"/>
        </w:rPr>
        <w:t>marketization</w:t>
      </w:r>
      <w:r>
        <w:rPr>
          <w:rFonts w:asciiTheme="minorHAnsi" w:hAnsiTheme="minorHAnsi" w:cs="Calibri"/>
          <w:sz w:val="24"/>
          <w:szCs w:val="24"/>
        </w:rPr>
        <w:t xml:space="preserve"> </w:t>
      </w:r>
    </w:p>
    <w:p w14:paraId="00AC3615" w14:textId="77777777" w:rsidR="00046641" w:rsidRDefault="00046641" w:rsidP="00F660C3">
      <w:pPr>
        <w:pStyle w:val="ListParagraph"/>
        <w:numPr>
          <w:ilvl w:val="0"/>
          <w:numId w:val="40"/>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Integration, wrap around service delivery, collaboration, collective effort and co-operation across service types to meet individual needs is not a casualty of greater market competition</w:t>
      </w:r>
    </w:p>
    <w:p w14:paraId="69A36293" w14:textId="5258CE0B" w:rsidR="00046641" w:rsidRDefault="00046641" w:rsidP="00F660C3">
      <w:pPr>
        <w:pStyle w:val="ListParagraph"/>
        <w:numPr>
          <w:ilvl w:val="0"/>
          <w:numId w:val="40"/>
        </w:numPr>
        <w:kinsoku w:val="0"/>
        <w:overflowPunct w:val="0"/>
        <w:autoSpaceDE/>
        <w:autoSpaceDN/>
        <w:adjustRightInd/>
        <w:spacing w:after="120" w:line="276" w:lineRule="auto"/>
        <w:ind w:hanging="357"/>
        <w:contextualSpacing w:val="0"/>
        <w:textAlignment w:val="baseline"/>
        <w:rPr>
          <w:rFonts w:asciiTheme="minorHAnsi" w:hAnsiTheme="minorHAnsi" w:cs="Calibri"/>
          <w:sz w:val="24"/>
          <w:szCs w:val="24"/>
        </w:rPr>
      </w:pPr>
      <w:r>
        <w:rPr>
          <w:rFonts w:asciiTheme="minorHAnsi" w:hAnsiTheme="minorHAnsi" w:cs="Calibri"/>
          <w:sz w:val="24"/>
          <w:szCs w:val="24"/>
        </w:rPr>
        <w:t>Diversity of individual needs are met by</w:t>
      </w:r>
      <w:r w:rsidR="00DF27F4">
        <w:rPr>
          <w:rFonts w:asciiTheme="minorHAnsi" w:hAnsiTheme="minorHAnsi" w:cs="Calibri"/>
          <w:sz w:val="24"/>
          <w:szCs w:val="24"/>
        </w:rPr>
        <w:t xml:space="preserve"> diversity in service offerings</w:t>
      </w:r>
    </w:p>
    <w:p w14:paraId="3C0992EA" w14:textId="743B3C4A" w:rsidR="00046641" w:rsidRPr="00D378D2" w:rsidRDefault="00046641" w:rsidP="00046641">
      <w:pPr>
        <w:pStyle w:val="ListParagraph"/>
        <w:numPr>
          <w:ilvl w:val="0"/>
          <w:numId w:val="40"/>
        </w:num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Non-market values of importance to the community are preserved in human services</w:t>
      </w:r>
      <w:r w:rsidR="006939A3">
        <w:rPr>
          <w:rFonts w:asciiTheme="minorHAnsi" w:hAnsiTheme="minorHAnsi" w:cs="Calibri"/>
          <w:sz w:val="24"/>
          <w:szCs w:val="24"/>
        </w:rPr>
        <w:t>.</w:t>
      </w:r>
    </w:p>
    <w:p w14:paraId="14FA758B" w14:textId="07767EC5" w:rsidR="00046641" w:rsidRDefault="00046641" w:rsidP="00046641">
      <w:pPr>
        <w:kinsoku w:val="0"/>
        <w:overflowPunct w:val="0"/>
        <w:autoSpaceDE/>
        <w:autoSpaceDN/>
        <w:adjustRightInd/>
        <w:spacing w:line="276" w:lineRule="auto"/>
        <w:textAlignment w:val="baseline"/>
        <w:rPr>
          <w:rFonts w:asciiTheme="minorHAnsi" w:hAnsiTheme="minorHAnsi" w:cs="Calibri"/>
          <w:sz w:val="24"/>
          <w:szCs w:val="24"/>
        </w:rPr>
      </w:pPr>
    </w:p>
    <w:p w14:paraId="67EA057C" w14:textId="677FBA0F" w:rsidR="005C4FAF" w:rsidRPr="006C4177" w:rsidRDefault="005C4FAF" w:rsidP="006C4177">
      <w:pPr>
        <w:pStyle w:val="Heading1"/>
        <w:rPr>
          <w:rFonts w:asciiTheme="minorHAnsi" w:hAnsiTheme="minorHAnsi"/>
          <w:color w:val="E36C0A" w:themeColor="accent6" w:themeShade="BF"/>
        </w:rPr>
      </w:pPr>
      <w:r w:rsidRPr="006C4177">
        <w:rPr>
          <w:rFonts w:asciiTheme="minorHAnsi" w:hAnsiTheme="minorHAnsi"/>
          <w:color w:val="E36C0A" w:themeColor="accent6" w:themeShade="BF"/>
        </w:rPr>
        <w:t xml:space="preserve">Sectors Proposed </w:t>
      </w:r>
      <w:r w:rsidR="006C4177">
        <w:rPr>
          <w:rFonts w:asciiTheme="minorHAnsi" w:hAnsiTheme="minorHAnsi"/>
          <w:color w:val="E36C0A" w:themeColor="accent6" w:themeShade="BF"/>
        </w:rPr>
        <w:t>(and not)</w:t>
      </w:r>
    </w:p>
    <w:p w14:paraId="60E00800" w14:textId="4DDD26E7" w:rsidR="005C4FAF" w:rsidRDefault="005C4FAF" w:rsidP="00046641">
      <w:pPr>
        <w:kinsoku w:val="0"/>
        <w:overflowPunct w:val="0"/>
        <w:autoSpaceDE/>
        <w:autoSpaceDN/>
        <w:adjustRightInd/>
        <w:spacing w:line="276" w:lineRule="auto"/>
        <w:textAlignment w:val="baseline"/>
        <w:rPr>
          <w:rFonts w:asciiTheme="minorHAnsi" w:hAnsiTheme="minorHAnsi" w:cs="Calibri"/>
          <w:sz w:val="24"/>
          <w:szCs w:val="24"/>
        </w:rPr>
      </w:pPr>
    </w:p>
    <w:p w14:paraId="13F9C93F" w14:textId="7F04F0B9" w:rsidR="00EC2AA1" w:rsidRDefault="005C4FAF" w:rsidP="006C4177">
      <w:pPr>
        <w:kinsoku w:val="0"/>
        <w:overflowPunct w:val="0"/>
        <w:autoSpaceDE/>
        <w:autoSpaceDN/>
        <w:adjustRightInd/>
        <w:spacing w:after="120" w:line="276" w:lineRule="auto"/>
        <w:textAlignment w:val="baseline"/>
        <w:rPr>
          <w:rFonts w:asciiTheme="minorHAnsi" w:hAnsiTheme="minorHAnsi" w:cs="Calibri"/>
          <w:sz w:val="24"/>
          <w:szCs w:val="24"/>
        </w:rPr>
      </w:pPr>
      <w:r>
        <w:rPr>
          <w:rFonts w:asciiTheme="minorHAnsi" w:hAnsiTheme="minorHAnsi" w:cs="Calibri"/>
          <w:sz w:val="24"/>
          <w:szCs w:val="24"/>
        </w:rPr>
        <w:t xml:space="preserve">Alongside family and community services commissioning and human services in remote Indigenous communities, the Discussion Paper identifies four specific service areas for choice/contestability/competition reform: social housing; public hospital services; end-of-life </w:t>
      </w:r>
      <w:r>
        <w:rPr>
          <w:rFonts w:asciiTheme="minorHAnsi" w:hAnsiTheme="minorHAnsi" w:cs="Calibri"/>
          <w:sz w:val="24"/>
          <w:szCs w:val="24"/>
        </w:rPr>
        <w:lastRenderedPageBreak/>
        <w:t xml:space="preserve">care; and public dental services.  </w:t>
      </w:r>
      <w:r w:rsidR="00F87F69">
        <w:rPr>
          <w:rFonts w:asciiTheme="minorHAnsi" w:hAnsiTheme="minorHAnsi" w:cs="Calibri"/>
          <w:sz w:val="24"/>
          <w:szCs w:val="24"/>
        </w:rPr>
        <w:t>These</w:t>
      </w:r>
      <w:r w:rsidR="00EC2AA1">
        <w:rPr>
          <w:rFonts w:asciiTheme="minorHAnsi" w:hAnsiTheme="minorHAnsi" w:cs="Calibri"/>
          <w:sz w:val="24"/>
          <w:szCs w:val="24"/>
        </w:rPr>
        <w:t xml:space="preserve"> sectors are of </w:t>
      </w:r>
      <w:r w:rsidR="00F87F69">
        <w:rPr>
          <w:rFonts w:asciiTheme="minorHAnsi" w:hAnsiTheme="minorHAnsi" w:cs="Calibri"/>
          <w:sz w:val="24"/>
          <w:szCs w:val="24"/>
        </w:rPr>
        <w:t>particular</w:t>
      </w:r>
      <w:r w:rsidR="00EC2AA1">
        <w:rPr>
          <w:rFonts w:asciiTheme="minorHAnsi" w:hAnsiTheme="minorHAnsi" w:cs="Calibri"/>
          <w:sz w:val="24"/>
          <w:szCs w:val="24"/>
        </w:rPr>
        <w:t xml:space="preserve"> importance to older Australians:  </w:t>
      </w:r>
    </w:p>
    <w:p w14:paraId="382A5D5C" w14:textId="2A4106C6" w:rsidR="005C4FAF" w:rsidRPr="00EC2AA1" w:rsidRDefault="00EC2AA1" w:rsidP="006C4177">
      <w:pPr>
        <w:pStyle w:val="ListParagraph"/>
        <w:numPr>
          <w:ilvl w:val="0"/>
          <w:numId w:val="45"/>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sidRPr="006C4177">
        <w:rPr>
          <w:rFonts w:asciiTheme="minorHAnsi" w:hAnsiTheme="minorHAnsi" w:cs="Calibri"/>
          <w:sz w:val="24"/>
          <w:szCs w:val="24"/>
        </w:rPr>
        <w:t xml:space="preserve">While </w:t>
      </w:r>
      <w:r w:rsidR="0077546D">
        <w:rPr>
          <w:rFonts w:asciiTheme="minorHAnsi" w:hAnsiTheme="minorHAnsi" w:cs="Calibri"/>
          <w:sz w:val="24"/>
          <w:szCs w:val="24"/>
        </w:rPr>
        <w:t>76</w:t>
      </w:r>
      <w:r w:rsidRPr="006C4177">
        <w:rPr>
          <w:rFonts w:asciiTheme="minorHAnsi" w:hAnsiTheme="minorHAnsi" w:cs="Calibri"/>
          <w:sz w:val="24"/>
          <w:szCs w:val="24"/>
        </w:rPr>
        <w:t xml:space="preserve">% of people over 65 </w:t>
      </w:r>
      <w:r w:rsidR="0077546D">
        <w:rPr>
          <w:rFonts w:asciiTheme="minorHAnsi" w:hAnsiTheme="minorHAnsi" w:cs="Calibri"/>
          <w:sz w:val="24"/>
          <w:szCs w:val="24"/>
        </w:rPr>
        <w:t>owned their own home in 2013-14</w:t>
      </w:r>
      <w:r w:rsidR="0077546D">
        <w:rPr>
          <w:rStyle w:val="FootnoteReference"/>
          <w:rFonts w:asciiTheme="minorHAnsi" w:hAnsiTheme="minorHAnsi" w:cs="Calibri"/>
          <w:sz w:val="24"/>
          <w:szCs w:val="24"/>
        </w:rPr>
        <w:footnoteReference w:id="12"/>
      </w:r>
      <w:r w:rsidRPr="006C4177">
        <w:rPr>
          <w:rFonts w:asciiTheme="minorHAnsi" w:hAnsiTheme="minorHAnsi" w:cs="Calibri"/>
          <w:sz w:val="24"/>
          <w:szCs w:val="24"/>
        </w:rPr>
        <w:t xml:space="preserve">, this is </w:t>
      </w:r>
      <w:r w:rsidR="006C4177" w:rsidRPr="006C4177">
        <w:rPr>
          <w:rFonts w:asciiTheme="minorHAnsi" w:hAnsiTheme="minorHAnsi" w:cs="Calibri"/>
          <w:sz w:val="24"/>
          <w:szCs w:val="24"/>
        </w:rPr>
        <w:t xml:space="preserve">consistently </w:t>
      </w:r>
      <w:r w:rsidRPr="006C4177">
        <w:rPr>
          <w:rFonts w:asciiTheme="minorHAnsi" w:hAnsiTheme="minorHAnsi" w:cs="Calibri"/>
          <w:sz w:val="24"/>
          <w:szCs w:val="24"/>
        </w:rPr>
        <w:t xml:space="preserve">trending downwards and </w:t>
      </w:r>
      <w:r w:rsidR="006C4177">
        <w:rPr>
          <w:rFonts w:asciiTheme="minorHAnsi" w:hAnsiTheme="minorHAnsi" w:cs="Calibri"/>
          <w:sz w:val="24"/>
          <w:szCs w:val="24"/>
        </w:rPr>
        <w:t>it may well be that</w:t>
      </w:r>
      <w:r w:rsidRPr="006C4177">
        <w:rPr>
          <w:rFonts w:asciiTheme="minorHAnsi" w:hAnsiTheme="minorHAnsi" w:cs="Calibri"/>
          <w:sz w:val="24"/>
          <w:szCs w:val="24"/>
        </w:rPr>
        <w:t xml:space="preserve"> in years to come a </w:t>
      </w:r>
      <w:r w:rsidR="006C4177">
        <w:rPr>
          <w:rFonts w:asciiTheme="minorHAnsi" w:hAnsiTheme="minorHAnsi" w:cs="Calibri"/>
          <w:sz w:val="24"/>
          <w:szCs w:val="24"/>
        </w:rPr>
        <w:t xml:space="preserve">there will be a </w:t>
      </w:r>
      <w:r w:rsidRPr="006C4177">
        <w:rPr>
          <w:rFonts w:asciiTheme="minorHAnsi" w:hAnsiTheme="minorHAnsi" w:cs="Calibri"/>
          <w:sz w:val="24"/>
          <w:szCs w:val="24"/>
        </w:rPr>
        <w:t xml:space="preserve">greater number </w:t>
      </w:r>
      <w:r w:rsidR="006C4177">
        <w:rPr>
          <w:rFonts w:asciiTheme="minorHAnsi" w:hAnsiTheme="minorHAnsi" w:cs="Calibri"/>
          <w:sz w:val="24"/>
          <w:szCs w:val="24"/>
        </w:rPr>
        <w:t xml:space="preserve">and proportion </w:t>
      </w:r>
      <w:r w:rsidRPr="006C4177">
        <w:rPr>
          <w:rFonts w:asciiTheme="minorHAnsi" w:hAnsiTheme="minorHAnsi" w:cs="Calibri"/>
          <w:sz w:val="24"/>
          <w:szCs w:val="24"/>
        </w:rPr>
        <w:t xml:space="preserve">of people entering older age </w:t>
      </w:r>
      <w:r>
        <w:rPr>
          <w:rFonts w:asciiTheme="minorHAnsi" w:hAnsiTheme="minorHAnsi" w:cs="Calibri"/>
          <w:sz w:val="24"/>
          <w:szCs w:val="24"/>
        </w:rPr>
        <w:t xml:space="preserve">(generally with very </w:t>
      </w:r>
      <w:r w:rsidR="006C4177">
        <w:rPr>
          <w:rFonts w:asciiTheme="minorHAnsi" w:hAnsiTheme="minorHAnsi" w:cs="Calibri"/>
          <w:sz w:val="24"/>
          <w:szCs w:val="24"/>
        </w:rPr>
        <w:t>constrained</w:t>
      </w:r>
      <w:r>
        <w:rPr>
          <w:rFonts w:asciiTheme="minorHAnsi" w:hAnsiTheme="minorHAnsi" w:cs="Calibri"/>
          <w:sz w:val="24"/>
          <w:szCs w:val="24"/>
        </w:rPr>
        <w:t xml:space="preserve"> incomes) </w:t>
      </w:r>
      <w:r w:rsidR="0077546D">
        <w:rPr>
          <w:rFonts w:asciiTheme="minorHAnsi" w:hAnsiTheme="minorHAnsi" w:cs="Calibri"/>
          <w:sz w:val="24"/>
          <w:szCs w:val="24"/>
        </w:rPr>
        <w:t>a</w:t>
      </w:r>
      <w:r w:rsidR="00F87F69">
        <w:rPr>
          <w:rFonts w:asciiTheme="minorHAnsi" w:hAnsiTheme="minorHAnsi" w:cs="Calibri"/>
          <w:sz w:val="24"/>
          <w:szCs w:val="24"/>
        </w:rPr>
        <w:t>s</w:t>
      </w:r>
      <w:r w:rsidR="0077546D">
        <w:rPr>
          <w:rFonts w:asciiTheme="minorHAnsi" w:hAnsiTheme="minorHAnsi" w:cs="Calibri"/>
          <w:sz w:val="24"/>
          <w:szCs w:val="24"/>
        </w:rPr>
        <w:t xml:space="preserve"> </w:t>
      </w:r>
      <w:r w:rsidRPr="006C4177">
        <w:rPr>
          <w:rFonts w:asciiTheme="minorHAnsi" w:hAnsiTheme="minorHAnsi" w:cs="Calibri"/>
          <w:sz w:val="24"/>
          <w:szCs w:val="24"/>
        </w:rPr>
        <w:t>renters in the private, public and social housing sectors.  A strong social housing</w:t>
      </w:r>
      <w:r w:rsidRPr="00EC2AA1">
        <w:rPr>
          <w:rFonts w:asciiTheme="minorHAnsi" w:hAnsiTheme="minorHAnsi" w:cs="Calibri"/>
          <w:sz w:val="24"/>
          <w:szCs w:val="24"/>
        </w:rPr>
        <w:t xml:space="preserve"> sector is and will increasingly be critically important to older people;</w:t>
      </w:r>
    </w:p>
    <w:p w14:paraId="4DB5E13B" w14:textId="37DEAC6F" w:rsidR="00506A4A" w:rsidRDefault="00506A4A" w:rsidP="006C4177">
      <w:pPr>
        <w:pStyle w:val="ListParagraph"/>
        <w:numPr>
          <w:ilvl w:val="0"/>
          <w:numId w:val="45"/>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sidRPr="006C4177">
        <w:rPr>
          <w:rFonts w:asciiTheme="minorHAnsi" w:hAnsiTheme="minorHAnsi" w:cs="Calibri"/>
          <w:sz w:val="24"/>
          <w:szCs w:val="24"/>
        </w:rPr>
        <w:t xml:space="preserve">People aged 65 and over (who make up about 15% of the population) accounted for 41% of </w:t>
      </w:r>
      <w:r w:rsidR="0077546D">
        <w:rPr>
          <w:rFonts w:asciiTheme="minorHAnsi" w:hAnsiTheme="minorHAnsi" w:cs="Calibri"/>
          <w:sz w:val="24"/>
          <w:szCs w:val="24"/>
        </w:rPr>
        <w:t xml:space="preserve">hospital </w:t>
      </w:r>
      <w:r w:rsidRPr="006C4177">
        <w:rPr>
          <w:rFonts w:asciiTheme="minorHAnsi" w:hAnsiTheme="minorHAnsi" w:cs="Calibri"/>
          <w:sz w:val="24"/>
          <w:szCs w:val="24"/>
        </w:rPr>
        <w:t xml:space="preserve">separations and 49% of patient days </w:t>
      </w:r>
      <w:r w:rsidR="0077546D">
        <w:rPr>
          <w:rFonts w:asciiTheme="minorHAnsi" w:hAnsiTheme="minorHAnsi" w:cs="Calibri"/>
          <w:sz w:val="24"/>
          <w:szCs w:val="24"/>
        </w:rPr>
        <w:t xml:space="preserve">(across public and private hospitals) </w:t>
      </w:r>
      <w:r w:rsidRPr="006C4177">
        <w:rPr>
          <w:rFonts w:asciiTheme="minorHAnsi" w:hAnsiTheme="minorHAnsi" w:cs="Calibri"/>
          <w:sz w:val="24"/>
          <w:szCs w:val="24"/>
        </w:rPr>
        <w:t>in 2014–15</w:t>
      </w:r>
      <w:r w:rsidR="0077546D">
        <w:rPr>
          <w:rStyle w:val="FootnoteReference"/>
          <w:rFonts w:asciiTheme="minorHAnsi" w:hAnsiTheme="minorHAnsi" w:cs="Calibri"/>
          <w:sz w:val="24"/>
          <w:szCs w:val="24"/>
        </w:rPr>
        <w:footnoteReference w:id="13"/>
      </w:r>
      <w:r w:rsidR="0077546D">
        <w:rPr>
          <w:rFonts w:asciiTheme="minorHAnsi" w:hAnsiTheme="minorHAnsi" w:cs="Calibri"/>
          <w:sz w:val="24"/>
          <w:szCs w:val="24"/>
        </w:rPr>
        <w:t>;</w:t>
      </w:r>
    </w:p>
    <w:p w14:paraId="1C75F2BC" w14:textId="0C41FE06" w:rsidR="00EC2AA1" w:rsidRDefault="00EC2AA1" w:rsidP="006C4177">
      <w:pPr>
        <w:pStyle w:val="ListParagraph"/>
        <w:numPr>
          <w:ilvl w:val="0"/>
          <w:numId w:val="45"/>
        </w:numPr>
        <w:kinsoku w:val="0"/>
        <w:overflowPunct w:val="0"/>
        <w:autoSpaceDE/>
        <w:autoSpaceDN/>
        <w:adjustRightInd/>
        <w:spacing w:after="120" w:line="276" w:lineRule="auto"/>
        <w:contextualSpacing w:val="0"/>
        <w:textAlignment w:val="baseline"/>
        <w:rPr>
          <w:rFonts w:asciiTheme="minorHAnsi" w:hAnsiTheme="minorHAnsi" w:cs="Calibri"/>
          <w:sz w:val="24"/>
          <w:szCs w:val="24"/>
        </w:rPr>
      </w:pPr>
      <w:r w:rsidRPr="006C4177">
        <w:rPr>
          <w:rFonts w:asciiTheme="minorHAnsi" w:hAnsiTheme="minorHAnsi" w:cs="Calibri"/>
          <w:sz w:val="24"/>
          <w:szCs w:val="24"/>
        </w:rPr>
        <w:t>Two-thirds (66%) of deaths were among people aged over 75 years</w:t>
      </w:r>
      <w:r>
        <w:rPr>
          <w:rStyle w:val="FootnoteReference"/>
          <w:rFonts w:asciiTheme="minorHAnsi" w:hAnsiTheme="minorHAnsi" w:cs="Calibri"/>
          <w:sz w:val="24"/>
          <w:szCs w:val="24"/>
        </w:rPr>
        <w:footnoteReference w:id="14"/>
      </w:r>
      <w:r>
        <w:rPr>
          <w:rFonts w:asciiTheme="minorHAnsi" w:hAnsiTheme="minorHAnsi" w:cs="Calibri"/>
          <w:sz w:val="24"/>
          <w:szCs w:val="24"/>
        </w:rPr>
        <w:t xml:space="preserve">, so end-of-life care is </w:t>
      </w:r>
      <w:r w:rsidR="00F80F5A">
        <w:rPr>
          <w:rFonts w:asciiTheme="minorHAnsi" w:hAnsiTheme="minorHAnsi" w:cs="Calibri"/>
          <w:sz w:val="24"/>
          <w:szCs w:val="24"/>
        </w:rPr>
        <w:t>a crucial issue for</w:t>
      </w:r>
      <w:r w:rsidR="0077546D">
        <w:rPr>
          <w:rFonts w:asciiTheme="minorHAnsi" w:hAnsiTheme="minorHAnsi" w:cs="Calibri"/>
          <w:sz w:val="24"/>
          <w:szCs w:val="24"/>
        </w:rPr>
        <w:t xml:space="preserve"> older people;</w:t>
      </w:r>
      <w:r>
        <w:rPr>
          <w:rFonts w:asciiTheme="minorHAnsi" w:hAnsiTheme="minorHAnsi" w:cs="Calibri"/>
          <w:sz w:val="24"/>
          <w:szCs w:val="24"/>
        </w:rPr>
        <w:t xml:space="preserve">  </w:t>
      </w:r>
    </w:p>
    <w:p w14:paraId="4139A38D" w14:textId="04EB6826" w:rsidR="00EC2AA1" w:rsidRPr="006C4177" w:rsidRDefault="00EC2AA1" w:rsidP="006C4177">
      <w:pPr>
        <w:pStyle w:val="ListParagraph"/>
        <w:numPr>
          <w:ilvl w:val="0"/>
          <w:numId w:val="45"/>
        </w:num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More than 50% of people over the age of 65 suffer from gum disease or peri</w:t>
      </w:r>
      <w:r w:rsidR="00506A4A">
        <w:rPr>
          <w:rFonts w:asciiTheme="minorHAnsi" w:hAnsiTheme="minorHAnsi" w:cs="Calibri"/>
          <w:sz w:val="24"/>
          <w:szCs w:val="24"/>
        </w:rPr>
        <w:t>odontitis</w:t>
      </w:r>
      <w:r w:rsidR="00506A4A">
        <w:rPr>
          <w:rStyle w:val="FootnoteReference"/>
          <w:rFonts w:asciiTheme="minorHAnsi" w:hAnsiTheme="minorHAnsi" w:cs="Calibri"/>
          <w:sz w:val="24"/>
          <w:szCs w:val="24"/>
        </w:rPr>
        <w:footnoteReference w:id="15"/>
      </w:r>
      <w:r w:rsidR="00F87F69">
        <w:rPr>
          <w:rFonts w:asciiTheme="minorHAnsi" w:hAnsiTheme="minorHAnsi" w:cs="Calibri"/>
          <w:sz w:val="24"/>
          <w:szCs w:val="24"/>
        </w:rPr>
        <w:t xml:space="preserve">.  Older people often can’t afford private dental care (as it is not covered by Medicare) and rely on the public system which is woefully inadequate to meet demand.  Oral health care is a crucial health care gap for older people.   </w:t>
      </w:r>
    </w:p>
    <w:p w14:paraId="45AD11F6" w14:textId="77777777" w:rsidR="00F80F5A" w:rsidRDefault="00F80F5A" w:rsidP="006C4177">
      <w:pPr>
        <w:kinsoku w:val="0"/>
        <w:overflowPunct w:val="0"/>
        <w:autoSpaceDE/>
        <w:autoSpaceDN/>
        <w:adjustRightInd/>
        <w:spacing w:line="276" w:lineRule="auto"/>
        <w:ind w:left="360"/>
        <w:textAlignment w:val="baseline"/>
        <w:rPr>
          <w:rFonts w:asciiTheme="minorHAnsi" w:hAnsiTheme="minorHAnsi" w:cs="Calibri"/>
          <w:sz w:val="24"/>
          <w:szCs w:val="24"/>
        </w:rPr>
      </w:pPr>
    </w:p>
    <w:p w14:paraId="0430CA91" w14:textId="51C9A4B6" w:rsidR="00F87F69" w:rsidRDefault="00F87F69" w:rsidP="006C4177">
      <w:pPr>
        <w:kinsoku w:val="0"/>
        <w:overflowPunct w:val="0"/>
        <w:autoSpaceDE/>
        <w:autoSpaceDN/>
        <w:adjustRightInd/>
        <w:spacing w:line="276" w:lineRule="auto"/>
        <w:ind w:left="360"/>
        <w:textAlignment w:val="baseline"/>
        <w:rPr>
          <w:rFonts w:asciiTheme="minorHAnsi" w:hAnsiTheme="minorHAnsi" w:cs="Calibri"/>
          <w:sz w:val="24"/>
          <w:szCs w:val="24"/>
        </w:rPr>
      </w:pPr>
      <w:r>
        <w:rPr>
          <w:rFonts w:asciiTheme="minorHAnsi" w:hAnsiTheme="minorHAnsi" w:cs="Calibri"/>
          <w:sz w:val="24"/>
          <w:szCs w:val="24"/>
        </w:rPr>
        <w:t xml:space="preserve">While COTA is not a specialist in the operation of these sectors, and therefore we are not </w:t>
      </w:r>
      <w:r w:rsidR="006C4177">
        <w:rPr>
          <w:rFonts w:asciiTheme="minorHAnsi" w:hAnsiTheme="minorHAnsi" w:cs="Calibri"/>
          <w:sz w:val="24"/>
          <w:szCs w:val="24"/>
        </w:rPr>
        <w:t>making</w:t>
      </w:r>
      <w:r>
        <w:rPr>
          <w:rFonts w:asciiTheme="minorHAnsi" w:hAnsiTheme="minorHAnsi" w:cs="Calibri"/>
          <w:sz w:val="24"/>
          <w:szCs w:val="24"/>
        </w:rPr>
        <w:t xml:space="preserve"> specific comment on the Commission’s requests for information pertaining to them, we have a particular interest in the outcomes of any changes to them.  Any policy shifts that result in even poorer service access, experience or outcomes than currently exists in these sectors is likely to have a disproportionate effect on older Australians</w:t>
      </w:r>
      <w:r w:rsidR="00F80F5A">
        <w:rPr>
          <w:rFonts w:asciiTheme="minorHAnsi" w:hAnsiTheme="minorHAnsi" w:cs="Calibri"/>
          <w:sz w:val="24"/>
          <w:szCs w:val="24"/>
        </w:rPr>
        <w:t>, either because they are greater users of them and/or their unmet needs are greater than some other groups’</w:t>
      </w:r>
      <w:r>
        <w:rPr>
          <w:rFonts w:asciiTheme="minorHAnsi" w:hAnsiTheme="minorHAnsi" w:cs="Calibri"/>
          <w:sz w:val="24"/>
          <w:szCs w:val="24"/>
        </w:rPr>
        <w:t xml:space="preserve">.  We will look closely at the Inquiry contributions of relevant stakeholders which are qualified </w:t>
      </w:r>
      <w:r w:rsidR="00F80F5A">
        <w:rPr>
          <w:rFonts w:asciiTheme="minorHAnsi" w:hAnsiTheme="minorHAnsi" w:cs="Calibri"/>
          <w:sz w:val="24"/>
          <w:szCs w:val="24"/>
        </w:rPr>
        <w:t xml:space="preserve">to comment </w:t>
      </w:r>
      <w:r>
        <w:rPr>
          <w:rFonts w:asciiTheme="minorHAnsi" w:hAnsiTheme="minorHAnsi" w:cs="Calibri"/>
          <w:sz w:val="24"/>
          <w:szCs w:val="24"/>
        </w:rPr>
        <w:t>in these sectors.</w:t>
      </w:r>
    </w:p>
    <w:p w14:paraId="122FA157" w14:textId="331AAEF0" w:rsidR="00F80F5A" w:rsidRPr="006C4177" w:rsidRDefault="00F80F5A" w:rsidP="006C4177">
      <w:pPr>
        <w:kinsoku w:val="0"/>
        <w:overflowPunct w:val="0"/>
        <w:autoSpaceDE/>
        <w:autoSpaceDN/>
        <w:adjustRightInd/>
        <w:spacing w:line="276" w:lineRule="auto"/>
        <w:ind w:left="360"/>
        <w:textAlignment w:val="baseline"/>
        <w:rPr>
          <w:rFonts w:asciiTheme="minorHAnsi" w:hAnsiTheme="minorHAnsi" w:cs="Calibri"/>
          <w:sz w:val="28"/>
          <w:szCs w:val="28"/>
        </w:rPr>
      </w:pPr>
    </w:p>
    <w:p w14:paraId="21B60501" w14:textId="259A9B9E" w:rsidR="006C4177" w:rsidRDefault="006C4177" w:rsidP="006C4177">
      <w:pPr>
        <w:kinsoku w:val="0"/>
        <w:overflowPunct w:val="0"/>
        <w:autoSpaceDE/>
        <w:autoSpaceDN/>
        <w:adjustRightInd/>
        <w:spacing w:line="276" w:lineRule="auto"/>
        <w:ind w:left="360"/>
        <w:textAlignment w:val="baseline"/>
        <w:rPr>
          <w:rFonts w:asciiTheme="minorHAnsi" w:hAnsiTheme="minorHAnsi" w:cs="Calibri"/>
          <w:b/>
          <w:color w:val="E36C0A" w:themeColor="accent6" w:themeShade="BF"/>
          <w:sz w:val="28"/>
          <w:szCs w:val="28"/>
        </w:rPr>
      </w:pPr>
      <w:r w:rsidRPr="006C4177">
        <w:rPr>
          <w:rFonts w:asciiTheme="minorHAnsi" w:hAnsiTheme="minorHAnsi" w:cs="Calibri"/>
          <w:b/>
          <w:color w:val="E36C0A" w:themeColor="accent6" w:themeShade="BF"/>
          <w:sz w:val="28"/>
          <w:szCs w:val="28"/>
        </w:rPr>
        <w:t>Residential aged care missing</w:t>
      </w:r>
    </w:p>
    <w:p w14:paraId="29830C3E" w14:textId="77777777" w:rsidR="00AE15E2" w:rsidRDefault="006C4177" w:rsidP="006C4177">
      <w:pPr>
        <w:kinsoku w:val="0"/>
        <w:overflowPunct w:val="0"/>
        <w:autoSpaceDE/>
        <w:autoSpaceDN/>
        <w:adjustRightInd/>
        <w:spacing w:line="276" w:lineRule="auto"/>
        <w:ind w:left="360"/>
        <w:textAlignment w:val="baseline"/>
        <w:rPr>
          <w:rFonts w:asciiTheme="minorHAnsi" w:hAnsiTheme="minorHAnsi" w:cs="Calibri"/>
          <w:sz w:val="24"/>
          <w:szCs w:val="24"/>
        </w:rPr>
      </w:pPr>
      <w:r w:rsidRPr="006C4177">
        <w:rPr>
          <w:rFonts w:asciiTheme="minorHAnsi" w:hAnsiTheme="minorHAnsi" w:cs="Calibri"/>
          <w:sz w:val="24"/>
          <w:szCs w:val="24"/>
        </w:rPr>
        <w:t xml:space="preserve">The </w:t>
      </w:r>
      <w:r>
        <w:rPr>
          <w:rFonts w:asciiTheme="minorHAnsi" w:hAnsiTheme="minorHAnsi" w:cs="Calibri"/>
          <w:sz w:val="24"/>
          <w:szCs w:val="24"/>
        </w:rPr>
        <w:t xml:space="preserve">Commission did not include residential aged care in its recommended sectors, which we understand was because reform is already underway </w:t>
      </w:r>
      <w:r w:rsidR="00AE15E2">
        <w:rPr>
          <w:rFonts w:asciiTheme="minorHAnsi" w:hAnsiTheme="minorHAnsi" w:cs="Calibri"/>
          <w:sz w:val="24"/>
          <w:szCs w:val="24"/>
        </w:rPr>
        <w:t>in</w:t>
      </w:r>
      <w:r>
        <w:rPr>
          <w:rFonts w:asciiTheme="minorHAnsi" w:hAnsiTheme="minorHAnsi" w:cs="Calibri"/>
          <w:sz w:val="24"/>
          <w:szCs w:val="24"/>
        </w:rPr>
        <w:t xml:space="preserve"> aged care</w:t>
      </w:r>
      <w:r w:rsidR="00AE15E2">
        <w:rPr>
          <w:rFonts w:asciiTheme="minorHAnsi" w:hAnsiTheme="minorHAnsi" w:cs="Calibri"/>
          <w:sz w:val="24"/>
          <w:szCs w:val="24"/>
        </w:rPr>
        <w:t xml:space="preserve">. However major reform to date in aged care has been largely focused on the home care component, and even that is till significantly constrained by a number of legacy policy settings and lack of investment in requisite system changes.  While proposals exist to extend such reform to the residential sector this is not yet either Government or Opposition policy.  </w:t>
      </w:r>
    </w:p>
    <w:p w14:paraId="3750C767" w14:textId="5CE5BC94" w:rsidR="006C4177" w:rsidRPr="006C4177" w:rsidRDefault="00AE15E2" w:rsidP="006C4177">
      <w:pPr>
        <w:kinsoku w:val="0"/>
        <w:overflowPunct w:val="0"/>
        <w:autoSpaceDE/>
        <w:autoSpaceDN/>
        <w:adjustRightInd/>
        <w:spacing w:line="276" w:lineRule="auto"/>
        <w:ind w:left="360"/>
        <w:textAlignment w:val="baseline"/>
        <w:rPr>
          <w:rFonts w:asciiTheme="minorHAnsi" w:hAnsiTheme="minorHAnsi" w:cs="Calibri"/>
          <w:sz w:val="24"/>
          <w:szCs w:val="24"/>
        </w:rPr>
      </w:pPr>
      <w:r>
        <w:rPr>
          <w:rFonts w:asciiTheme="minorHAnsi" w:hAnsiTheme="minorHAnsi" w:cs="Calibri"/>
          <w:sz w:val="24"/>
          <w:szCs w:val="24"/>
        </w:rPr>
        <w:t xml:space="preserve">COTA is therefore disappointed that the Commission made </w:t>
      </w:r>
      <w:r w:rsidR="007F303A">
        <w:rPr>
          <w:rFonts w:asciiTheme="minorHAnsi" w:hAnsiTheme="minorHAnsi" w:cs="Calibri"/>
          <w:sz w:val="24"/>
          <w:szCs w:val="24"/>
        </w:rPr>
        <w:t xml:space="preserve">the decision to drop aged care </w:t>
      </w:r>
      <w:r w:rsidR="007F303A">
        <w:rPr>
          <w:rFonts w:asciiTheme="minorHAnsi" w:hAnsiTheme="minorHAnsi" w:cs="Calibri"/>
          <w:sz w:val="24"/>
          <w:szCs w:val="24"/>
        </w:rPr>
        <w:lastRenderedPageBreak/>
        <w:t xml:space="preserve">from its proposed sectors despite initial interest. As we have said earlier we believe the sequence of the selection process should have been reversed and that aged care has been a victim of that decision, which may actually turn out to be detrimental to the reform process. We hope the Commission might reconsider this decision.  </w:t>
      </w:r>
      <w:r>
        <w:rPr>
          <w:rFonts w:asciiTheme="minorHAnsi" w:hAnsiTheme="minorHAnsi" w:cs="Calibri"/>
          <w:sz w:val="24"/>
          <w:szCs w:val="24"/>
        </w:rPr>
        <w:t xml:space="preserve"> </w:t>
      </w:r>
      <w:r w:rsidR="006C4177">
        <w:rPr>
          <w:rFonts w:asciiTheme="minorHAnsi" w:hAnsiTheme="minorHAnsi" w:cs="Calibri"/>
          <w:sz w:val="24"/>
          <w:szCs w:val="24"/>
        </w:rPr>
        <w:t xml:space="preserve">  </w:t>
      </w:r>
    </w:p>
    <w:p w14:paraId="126D3B5F" w14:textId="6DEB3967" w:rsidR="006C4177" w:rsidRPr="006C4177" w:rsidRDefault="006C4177" w:rsidP="006C4177">
      <w:pPr>
        <w:kinsoku w:val="0"/>
        <w:overflowPunct w:val="0"/>
        <w:autoSpaceDE/>
        <w:autoSpaceDN/>
        <w:adjustRightInd/>
        <w:spacing w:line="276" w:lineRule="auto"/>
        <w:textAlignment w:val="baseline"/>
        <w:rPr>
          <w:rFonts w:asciiTheme="minorHAnsi" w:hAnsiTheme="minorHAnsi" w:cs="Calibri"/>
          <w:sz w:val="24"/>
          <w:szCs w:val="24"/>
        </w:rPr>
      </w:pPr>
    </w:p>
    <w:p w14:paraId="40FF1E28" w14:textId="0CAC8F9D" w:rsidR="005550D1" w:rsidRDefault="005550D1" w:rsidP="00EB27E8">
      <w:pPr>
        <w:kinsoku w:val="0"/>
        <w:overflowPunct w:val="0"/>
        <w:autoSpaceDE/>
        <w:autoSpaceDN/>
        <w:adjustRightInd/>
        <w:spacing w:line="276" w:lineRule="auto"/>
        <w:textAlignment w:val="baseline"/>
        <w:rPr>
          <w:rFonts w:asciiTheme="minorHAnsi" w:hAnsiTheme="minorHAnsi" w:cs="Calibri"/>
          <w:sz w:val="24"/>
          <w:szCs w:val="24"/>
        </w:rPr>
      </w:pPr>
    </w:p>
    <w:p w14:paraId="530E3082" w14:textId="4AD8507E" w:rsidR="006C4177" w:rsidRDefault="006C4177" w:rsidP="00EB27E8">
      <w:pPr>
        <w:kinsoku w:val="0"/>
        <w:overflowPunct w:val="0"/>
        <w:autoSpaceDE/>
        <w:autoSpaceDN/>
        <w:adjustRightInd/>
        <w:spacing w:line="276" w:lineRule="auto"/>
        <w:textAlignment w:val="baseline"/>
        <w:rPr>
          <w:rFonts w:asciiTheme="minorHAnsi" w:hAnsiTheme="minorHAnsi" w:cs="Calibri"/>
          <w:sz w:val="24"/>
          <w:szCs w:val="24"/>
        </w:rPr>
      </w:pPr>
    </w:p>
    <w:p w14:paraId="679A9343" w14:textId="6C15F501" w:rsidR="005D4986" w:rsidRPr="00002A32" w:rsidRDefault="00962C6C" w:rsidP="00EB27E8">
      <w:pPr>
        <w:kinsoku w:val="0"/>
        <w:overflowPunct w:val="0"/>
        <w:autoSpaceDE/>
        <w:autoSpaceDN/>
        <w:adjustRightInd/>
        <w:spacing w:line="276" w:lineRule="auto"/>
        <w:textAlignment w:val="baseline"/>
        <w:rPr>
          <w:rFonts w:asciiTheme="minorHAnsi" w:hAnsiTheme="minorHAnsi" w:cs="Calibri"/>
          <w:sz w:val="24"/>
          <w:szCs w:val="24"/>
        </w:rPr>
      </w:pPr>
      <w:r>
        <w:rPr>
          <w:rFonts w:asciiTheme="minorHAnsi" w:hAnsiTheme="minorHAnsi" w:cs="Calibri"/>
          <w:sz w:val="24"/>
          <w:szCs w:val="24"/>
        </w:rPr>
        <w:t>End.</w:t>
      </w:r>
    </w:p>
    <w:sectPr w:rsidR="005D4986" w:rsidRPr="00002A32" w:rsidSect="00CA0F88">
      <w:headerReference w:type="default" r:id="rId17"/>
      <w:footerReference w:type="default" r:id="rId18"/>
      <w:footerReference w:type="first" r:id="rId19"/>
      <w:pgSz w:w="11909" w:h="16838"/>
      <w:pgMar w:top="960" w:right="1312" w:bottom="1145" w:left="1217"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36D26" w14:textId="77777777" w:rsidR="00CF65B3" w:rsidRDefault="00CF65B3" w:rsidP="00CA0F88">
      <w:r>
        <w:separator/>
      </w:r>
    </w:p>
  </w:endnote>
  <w:endnote w:type="continuationSeparator" w:id="0">
    <w:p w14:paraId="7CFFE1FF" w14:textId="77777777" w:rsidR="00CF65B3" w:rsidRDefault="00CF65B3" w:rsidP="00CA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12420"/>
      <w:docPartObj>
        <w:docPartGallery w:val="Page Numbers (Bottom of Page)"/>
        <w:docPartUnique/>
      </w:docPartObj>
    </w:sdtPr>
    <w:sdtEndPr>
      <w:rPr>
        <w:noProof/>
      </w:rPr>
    </w:sdtEndPr>
    <w:sdtContent>
      <w:p w14:paraId="78732275" w14:textId="49255F00" w:rsidR="00441464" w:rsidRDefault="00441464">
        <w:pPr>
          <w:pStyle w:val="Footer"/>
          <w:jc w:val="right"/>
        </w:pPr>
        <w:r>
          <w:fldChar w:fldCharType="begin"/>
        </w:r>
        <w:r>
          <w:instrText xml:space="preserve"> PAGE   \* MERGEFORMAT </w:instrText>
        </w:r>
        <w:r>
          <w:fldChar w:fldCharType="separate"/>
        </w:r>
        <w:r w:rsidR="0021628A">
          <w:rPr>
            <w:noProof/>
          </w:rPr>
          <w:t>4</w:t>
        </w:r>
        <w:r>
          <w:rPr>
            <w:noProof/>
          </w:rPr>
          <w:fldChar w:fldCharType="end"/>
        </w:r>
      </w:p>
    </w:sdtContent>
  </w:sdt>
  <w:p w14:paraId="2B3E9CAE" w14:textId="77777777" w:rsidR="00441464" w:rsidRDefault="00441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125621"/>
      <w:docPartObj>
        <w:docPartGallery w:val="Page Numbers (Bottom of Page)"/>
        <w:docPartUnique/>
      </w:docPartObj>
    </w:sdtPr>
    <w:sdtEndPr>
      <w:rPr>
        <w:noProof/>
      </w:rPr>
    </w:sdtEndPr>
    <w:sdtContent>
      <w:p w14:paraId="50224183" w14:textId="2F664E3F" w:rsidR="00441464" w:rsidRDefault="0021628A">
        <w:pPr>
          <w:pStyle w:val="Footer"/>
          <w:jc w:val="right"/>
        </w:pPr>
      </w:p>
    </w:sdtContent>
  </w:sdt>
  <w:p w14:paraId="4D3812F5" w14:textId="77777777" w:rsidR="00441464" w:rsidRDefault="00441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1E5A9" w14:textId="77777777" w:rsidR="00CF65B3" w:rsidRDefault="00CF65B3" w:rsidP="00CA0F88">
      <w:r>
        <w:separator/>
      </w:r>
    </w:p>
  </w:footnote>
  <w:footnote w:type="continuationSeparator" w:id="0">
    <w:p w14:paraId="4D18BA70" w14:textId="77777777" w:rsidR="00CF65B3" w:rsidRDefault="00CF65B3" w:rsidP="00CA0F88">
      <w:r>
        <w:continuationSeparator/>
      </w:r>
    </w:p>
  </w:footnote>
  <w:footnote w:id="1">
    <w:p w14:paraId="5738482F" w14:textId="5CFDE29A" w:rsidR="00441464" w:rsidRPr="00721B1C" w:rsidRDefault="00441464">
      <w:pPr>
        <w:pStyle w:val="FootnoteText"/>
        <w:rPr>
          <w:rFonts w:asciiTheme="minorHAnsi" w:hAnsiTheme="minorHAnsi"/>
          <w:lang w:val="en-AU"/>
        </w:rPr>
      </w:pPr>
      <w:r w:rsidRPr="00721B1C">
        <w:rPr>
          <w:rStyle w:val="FootnoteReference"/>
          <w:rFonts w:asciiTheme="minorHAnsi" w:hAnsiTheme="minorHAnsi"/>
        </w:rPr>
        <w:footnoteRef/>
      </w:r>
      <w:r w:rsidRPr="00721B1C">
        <w:rPr>
          <w:rFonts w:asciiTheme="minorHAnsi" w:hAnsiTheme="minorHAnsi"/>
        </w:rPr>
        <w:t xml:space="preserve"> </w:t>
      </w:r>
      <w:r w:rsidRPr="00721B1C">
        <w:rPr>
          <w:rFonts w:asciiTheme="minorHAnsi" w:hAnsiTheme="minorHAnsi"/>
          <w:lang w:val="en-AU"/>
        </w:rPr>
        <w:t>The Hon Scott Morrison MP, Treasure of the Commonwealth of Australia.  Productivity Commission inquiry into introducing competition and informed choice into human services, Media Release 2</w:t>
      </w:r>
      <w:r>
        <w:rPr>
          <w:rFonts w:asciiTheme="minorHAnsi" w:hAnsiTheme="minorHAnsi"/>
          <w:lang w:val="en-AU"/>
        </w:rPr>
        <w:t>able</w:t>
      </w:r>
      <w:r w:rsidRPr="00721B1C">
        <w:rPr>
          <w:rFonts w:asciiTheme="minorHAnsi" w:hAnsiTheme="minorHAnsi"/>
          <w:lang w:val="en-AU"/>
        </w:rPr>
        <w:t>9 April 2016, Canberra</w:t>
      </w:r>
    </w:p>
  </w:footnote>
  <w:footnote w:id="2">
    <w:p w14:paraId="49FF9876" w14:textId="6CC67357" w:rsidR="00441464" w:rsidRPr="000E037C" w:rsidRDefault="00441464" w:rsidP="000E037C">
      <w:pPr>
        <w:pStyle w:val="Heading1"/>
        <w:shd w:val="clear" w:color="auto" w:fill="FFFFFF"/>
        <w:spacing w:before="0"/>
        <w:rPr>
          <w:rFonts w:asciiTheme="minorHAnsi" w:hAnsiTheme="minorHAnsi"/>
          <w:sz w:val="20"/>
          <w:szCs w:val="20"/>
          <w:lang w:val="en-AU"/>
        </w:rPr>
      </w:pPr>
      <w:r w:rsidRPr="000E037C">
        <w:rPr>
          <w:rStyle w:val="FootnoteReference"/>
          <w:rFonts w:asciiTheme="minorHAnsi" w:hAnsiTheme="minorHAnsi"/>
          <w:sz w:val="20"/>
          <w:szCs w:val="20"/>
        </w:rPr>
        <w:footnoteRef/>
      </w:r>
      <w:r w:rsidRPr="000E037C">
        <w:rPr>
          <w:rFonts w:asciiTheme="minorHAnsi" w:eastAsiaTheme="minorEastAsia" w:hAnsiTheme="minorHAnsi" w:cs="Times New Roman"/>
          <w:color w:val="auto"/>
          <w:sz w:val="20"/>
          <w:szCs w:val="20"/>
        </w:rPr>
        <w:t xml:space="preserve">Eleanor Carter and Adam Whitworth, </w:t>
      </w:r>
      <w:r w:rsidRPr="000E037C">
        <w:rPr>
          <w:rFonts w:asciiTheme="minorHAnsi" w:eastAsiaTheme="minorEastAsia" w:hAnsiTheme="minorHAnsi" w:cs="Times New Roman"/>
          <w:i/>
          <w:color w:val="auto"/>
          <w:sz w:val="20"/>
          <w:szCs w:val="20"/>
        </w:rPr>
        <w:t>Creaming and Parking in Quasi-Marketised Welfare-to-Work Schemes: Designed Out Of or Designed In to the UK Work Programme?</w:t>
      </w:r>
      <w:r w:rsidRPr="000E037C">
        <w:rPr>
          <w:rFonts w:asciiTheme="minorHAnsi" w:eastAsiaTheme="minorEastAsia" w:hAnsiTheme="minorHAnsi" w:cs="Times New Roman"/>
          <w:color w:val="auto"/>
          <w:sz w:val="20"/>
          <w:szCs w:val="20"/>
        </w:rPr>
        <w:t xml:space="preserve"> Journal of Social Policy: 2015 Apr; 44(2): Pp 277–296</w:t>
      </w:r>
    </w:p>
  </w:footnote>
  <w:footnote w:id="3">
    <w:p w14:paraId="7E17E751" w14:textId="42DC53EF" w:rsidR="00441464" w:rsidRPr="000E037C" w:rsidRDefault="00441464" w:rsidP="000E037C">
      <w:pPr>
        <w:pStyle w:val="FootnoteText"/>
        <w:rPr>
          <w:rFonts w:asciiTheme="minorHAnsi" w:hAnsiTheme="minorHAnsi" w:cs="Calibri"/>
        </w:rPr>
      </w:pPr>
      <w:r w:rsidRPr="000E037C">
        <w:rPr>
          <w:rStyle w:val="FootnoteReference"/>
          <w:rFonts w:asciiTheme="minorHAnsi" w:hAnsiTheme="minorHAnsi"/>
        </w:rPr>
        <w:footnoteRef/>
      </w:r>
      <w:r w:rsidRPr="000E037C">
        <w:rPr>
          <w:rFonts w:asciiTheme="minorHAnsi" w:hAnsiTheme="minorHAnsi"/>
        </w:rPr>
        <w:t xml:space="preserve"> Department of Social Services, Statistical Paper No. 12: Income Support Customers: a statistical overview 2013.  Commonwealth of Australia 2014, p37</w:t>
      </w:r>
    </w:p>
  </w:footnote>
  <w:footnote w:id="4">
    <w:p w14:paraId="445D9B17" w14:textId="0D60BFF5" w:rsidR="00441464" w:rsidRPr="00721B1C" w:rsidRDefault="00441464" w:rsidP="000E037C">
      <w:pPr>
        <w:pStyle w:val="FootnoteText"/>
        <w:rPr>
          <w:rFonts w:asciiTheme="minorHAnsi" w:hAnsiTheme="minorHAnsi"/>
          <w:lang w:val="en-AU"/>
        </w:rPr>
      </w:pPr>
      <w:r w:rsidRPr="000E037C">
        <w:rPr>
          <w:rStyle w:val="FootnoteReference"/>
          <w:rFonts w:asciiTheme="minorHAnsi" w:hAnsiTheme="minorHAnsi"/>
        </w:rPr>
        <w:footnoteRef/>
      </w:r>
      <w:r w:rsidRPr="000E037C">
        <w:rPr>
          <w:rFonts w:asciiTheme="minorHAnsi" w:hAnsiTheme="minorHAnsi"/>
        </w:rPr>
        <w:t xml:space="preserve"> </w:t>
      </w:r>
      <w:r w:rsidRPr="000E037C">
        <w:rPr>
          <w:rFonts w:asciiTheme="minorHAnsi" w:hAnsiTheme="minorHAnsi" w:cs="Calibri"/>
        </w:rPr>
        <w:t xml:space="preserve">Dr Katherine Curchin, Research Fellow, ANU, Social Service Futures Market Innovation is a Double-Edged Sword, 23 May 2016 </w:t>
      </w:r>
      <w:hyperlink r:id="rId1" w:history="1">
        <w:r w:rsidRPr="000E037C">
          <w:rPr>
            <w:rStyle w:val="Hyperlink"/>
            <w:rFonts w:asciiTheme="minorHAnsi" w:hAnsiTheme="minorHAnsi" w:cs="Calibri"/>
          </w:rPr>
          <w:t>http://www.powertopersuade.org.au/blog/social-service-futures-market-driven-innovation-is-a-double-edged-sword/23/5/2016</w:t>
        </w:r>
      </w:hyperlink>
      <w:r w:rsidRPr="00721B1C">
        <w:rPr>
          <w:rFonts w:asciiTheme="minorHAnsi" w:hAnsiTheme="minorHAnsi" w:cs="Calibri"/>
          <w:sz w:val="24"/>
          <w:szCs w:val="24"/>
        </w:rPr>
        <w:t xml:space="preserve">  </w:t>
      </w:r>
    </w:p>
  </w:footnote>
  <w:footnote w:id="5">
    <w:p w14:paraId="6FE04704" w14:textId="4492DCD8" w:rsidR="00441464" w:rsidRPr="00925919" w:rsidRDefault="00441464">
      <w:pPr>
        <w:pStyle w:val="FootnoteText"/>
        <w:rPr>
          <w:rFonts w:asciiTheme="minorHAnsi" w:hAnsiTheme="minorHAnsi"/>
          <w:lang w:val="en-AU"/>
        </w:rPr>
      </w:pPr>
      <w:r w:rsidRPr="00925919">
        <w:rPr>
          <w:rStyle w:val="FootnoteReference"/>
          <w:rFonts w:asciiTheme="minorHAnsi" w:hAnsiTheme="minorHAnsi"/>
        </w:rPr>
        <w:footnoteRef/>
      </w:r>
      <w:r w:rsidRPr="00925919">
        <w:rPr>
          <w:rFonts w:asciiTheme="minorHAnsi" w:hAnsiTheme="minorHAnsi"/>
        </w:rPr>
        <w:t xml:space="preserve"> Ibid </w:t>
      </w:r>
    </w:p>
  </w:footnote>
  <w:footnote w:id="6">
    <w:p w14:paraId="7443256C" w14:textId="6AECE33C" w:rsidR="00441464" w:rsidRPr="00925919" w:rsidRDefault="00441464">
      <w:pPr>
        <w:pStyle w:val="FootnoteText"/>
        <w:rPr>
          <w:rFonts w:asciiTheme="minorHAnsi" w:hAnsiTheme="minorHAnsi"/>
          <w:lang w:val="en-AU"/>
        </w:rPr>
      </w:pPr>
      <w:r w:rsidRPr="00925919">
        <w:rPr>
          <w:rStyle w:val="FootnoteReference"/>
          <w:rFonts w:asciiTheme="minorHAnsi" w:hAnsiTheme="minorHAnsi"/>
        </w:rPr>
        <w:footnoteRef/>
      </w:r>
      <w:r w:rsidRPr="00925919">
        <w:rPr>
          <w:rFonts w:asciiTheme="minorHAnsi" w:hAnsiTheme="minorHAnsi"/>
        </w:rPr>
        <w:t xml:space="preserve"> </w:t>
      </w:r>
      <w:r w:rsidRPr="00925919">
        <w:rPr>
          <w:rFonts w:asciiTheme="minorHAnsi" w:hAnsiTheme="minorHAnsi"/>
          <w:lang w:val="en-AU"/>
        </w:rPr>
        <w:t xml:space="preserve">Ibid </w:t>
      </w:r>
    </w:p>
  </w:footnote>
  <w:footnote w:id="7">
    <w:p w14:paraId="16A82EE9" w14:textId="254D8CAF" w:rsidR="00441464" w:rsidRPr="001037B2" w:rsidRDefault="00441464" w:rsidP="000E037C">
      <w:pPr>
        <w:pStyle w:val="FootnoteText"/>
        <w:rPr>
          <w:lang w:val="en-AU"/>
        </w:rPr>
      </w:pPr>
      <w:r w:rsidRPr="00925919">
        <w:rPr>
          <w:rStyle w:val="FootnoteReference"/>
          <w:rFonts w:asciiTheme="minorHAnsi" w:hAnsiTheme="minorHAnsi"/>
        </w:rPr>
        <w:footnoteRef/>
      </w:r>
      <w:r w:rsidRPr="00925919">
        <w:rPr>
          <w:rFonts w:asciiTheme="minorHAnsi" w:hAnsiTheme="minorHAnsi"/>
        </w:rPr>
        <w:t xml:space="preserve"> COTA Australia, 2016 Election Statement </w:t>
      </w:r>
      <w:hyperlink r:id="rId2" w:history="1">
        <w:r w:rsidRPr="00925919">
          <w:rPr>
            <w:rStyle w:val="Hyperlink"/>
            <w:rFonts w:asciiTheme="minorHAnsi" w:hAnsiTheme="minorHAnsi"/>
          </w:rPr>
          <w:t>http://www.cota.org.au/lib/pdf/COTA_Australia/public_policy/cota-australia-2016-federal-election-platform.pdf</w:t>
        </w:r>
      </w:hyperlink>
      <w:r>
        <w:t xml:space="preserve">  </w:t>
      </w:r>
    </w:p>
  </w:footnote>
  <w:footnote w:id="8">
    <w:p w14:paraId="3619D25B" w14:textId="77777777" w:rsidR="00441464" w:rsidRPr="00E2128E" w:rsidRDefault="00441464" w:rsidP="00E2128E">
      <w:pPr>
        <w:pStyle w:val="FootnoteText"/>
        <w:rPr>
          <w:rFonts w:asciiTheme="minorHAnsi" w:hAnsiTheme="minorHAnsi"/>
          <w:lang w:val="en-AU"/>
        </w:rPr>
      </w:pPr>
      <w:r w:rsidRPr="00E2128E">
        <w:rPr>
          <w:rStyle w:val="FootnoteReference"/>
          <w:rFonts w:asciiTheme="minorHAnsi" w:hAnsiTheme="minorHAnsi"/>
        </w:rPr>
        <w:footnoteRef/>
      </w:r>
      <w:r w:rsidRPr="00E2128E">
        <w:rPr>
          <w:rFonts w:asciiTheme="minorHAnsi" w:hAnsiTheme="minorHAnsi"/>
        </w:rPr>
        <w:t xml:space="preserve"> Jesuit Social Services, Submission to the Competition Policy Review, November 2014. P2 </w:t>
      </w:r>
      <w:hyperlink r:id="rId3" w:history="1">
        <w:r w:rsidRPr="00E2128E">
          <w:rPr>
            <w:rStyle w:val="Hyperlink"/>
            <w:rFonts w:asciiTheme="minorHAnsi" w:hAnsiTheme="minorHAnsi"/>
          </w:rPr>
          <w:t>http://jss.org.au/submission-to-the-competition-policy-review/</w:t>
        </w:r>
      </w:hyperlink>
      <w:r w:rsidRPr="00E2128E">
        <w:rPr>
          <w:rFonts w:asciiTheme="minorHAnsi" w:hAnsiTheme="minorHAnsi"/>
        </w:rPr>
        <w:t xml:space="preserve"> </w:t>
      </w:r>
    </w:p>
    <w:p w14:paraId="17A7AB40" w14:textId="77777777" w:rsidR="00441464" w:rsidRPr="00E2128E" w:rsidRDefault="00441464" w:rsidP="00E2128E">
      <w:pPr>
        <w:pStyle w:val="FootnoteText"/>
        <w:rPr>
          <w:rFonts w:asciiTheme="minorHAnsi" w:hAnsiTheme="minorHAnsi"/>
          <w:lang w:val="en-AU"/>
        </w:rPr>
      </w:pPr>
      <w:r w:rsidRPr="00E2128E">
        <w:rPr>
          <w:rStyle w:val="FootnoteReference"/>
          <w:rFonts w:asciiTheme="minorHAnsi" w:hAnsiTheme="minorHAnsi"/>
        </w:rPr>
        <w:footnoteRef/>
      </w:r>
      <w:r w:rsidRPr="00E2128E">
        <w:rPr>
          <w:rFonts w:asciiTheme="minorHAnsi" w:hAnsiTheme="minorHAnsi"/>
        </w:rPr>
        <w:t xml:space="preserve"> Productivity Commission, Human Services: Identifying sectors for reform. Productivity Commission Issues Paper. June 2016, p1 </w:t>
      </w:r>
    </w:p>
    <w:p w14:paraId="71B3F253" w14:textId="3F2552E2" w:rsidR="00441464" w:rsidRPr="00E2128E" w:rsidRDefault="00441464" w:rsidP="00E2128E">
      <w:pPr>
        <w:kinsoku w:val="0"/>
        <w:overflowPunct w:val="0"/>
        <w:autoSpaceDE/>
        <w:autoSpaceDN/>
        <w:adjustRightInd/>
        <w:spacing w:line="276" w:lineRule="auto"/>
        <w:textAlignment w:val="baseline"/>
        <w:rPr>
          <w:rFonts w:asciiTheme="minorHAnsi" w:hAnsiTheme="minorHAnsi"/>
          <w:lang w:val="en-AU"/>
        </w:rPr>
      </w:pPr>
      <w:r w:rsidRPr="00E2128E">
        <w:rPr>
          <w:rStyle w:val="FootnoteReference"/>
          <w:rFonts w:asciiTheme="minorHAnsi" w:hAnsiTheme="minorHAnsi"/>
        </w:rPr>
        <w:footnoteRef/>
      </w:r>
      <w:r w:rsidRPr="00E2128E">
        <w:rPr>
          <w:rFonts w:asciiTheme="minorHAnsi" w:hAnsiTheme="minorHAnsi"/>
        </w:rPr>
        <w:t xml:space="preserve"> Carey Op Cit</w:t>
      </w:r>
    </w:p>
  </w:footnote>
  <w:footnote w:id="9">
    <w:p w14:paraId="2C110211" w14:textId="57E0D995" w:rsidR="00441464" w:rsidRPr="00DA3109" w:rsidRDefault="00441464">
      <w:pPr>
        <w:pStyle w:val="FootnoteText"/>
        <w:rPr>
          <w:lang w:val="en-AU"/>
        </w:rPr>
      </w:pPr>
      <w:r w:rsidRPr="00E2128E">
        <w:rPr>
          <w:rStyle w:val="FootnoteReference"/>
          <w:rFonts w:asciiTheme="minorHAnsi" w:hAnsiTheme="minorHAnsi"/>
        </w:rPr>
        <w:footnoteRef/>
      </w:r>
      <w:r w:rsidRPr="00E2128E">
        <w:rPr>
          <w:rFonts w:asciiTheme="minorHAnsi" w:hAnsiTheme="minorHAnsi"/>
        </w:rPr>
        <w:t xml:space="preserve"> </w:t>
      </w:r>
      <w:r w:rsidRPr="00E2128E">
        <w:rPr>
          <w:rFonts w:asciiTheme="minorHAnsi" w:hAnsiTheme="minorHAnsi" w:cs="Calibri"/>
        </w:rPr>
        <w:t>Jesuit Social Services, Submission to the Competition Policy Review, November 2014. P2</w:t>
      </w:r>
    </w:p>
  </w:footnote>
  <w:footnote w:id="10">
    <w:p w14:paraId="5D19212B" w14:textId="22B1D11E" w:rsidR="00441464" w:rsidRPr="00E2128E" w:rsidRDefault="00441464">
      <w:pPr>
        <w:pStyle w:val="FootnoteText"/>
        <w:rPr>
          <w:rFonts w:asciiTheme="minorHAnsi" w:hAnsiTheme="minorHAnsi"/>
          <w:lang w:val="en-AU"/>
        </w:rPr>
      </w:pPr>
      <w:r w:rsidRPr="00E2128E">
        <w:rPr>
          <w:rStyle w:val="FootnoteReference"/>
          <w:rFonts w:asciiTheme="minorHAnsi" w:hAnsiTheme="minorHAnsi"/>
        </w:rPr>
        <w:footnoteRef/>
      </w:r>
      <w:r w:rsidRPr="00E2128E">
        <w:rPr>
          <w:rFonts w:asciiTheme="minorHAnsi" w:hAnsiTheme="minorHAnsi"/>
        </w:rPr>
        <w:t xml:space="preserve"> Carey Op Cit</w:t>
      </w:r>
    </w:p>
  </w:footnote>
  <w:footnote w:id="11">
    <w:p w14:paraId="6A365A0A" w14:textId="77777777" w:rsidR="00441464" w:rsidRPr="00E2128E" w:rsidRDefault="00441464" w:rsidP="00E2128E">
      <w:pPr>
        <w:kinsoku w:val="0"/>
        <w:overflowPunct w:val="0"/>
        <w:autoSpaceDE/>
        <w:autoSpaceDN/>
        <w:adjustRightInd/>
        <w:textAlignment w:val="baseline"/>
        <w:rPr>
          <w:rFonts w:asciiTheme="minorHAnsi" w:hAnsiTheme="minorHAnsi" w:cs="Calibri"/>
          <w:sz w:val="24"/>
          <w:szCs w:val="24"/>
        </w:rPr>
      </w:pPr>
      <w:r w:rsidRPr="00E2128E">
        <w:rPr>
          <w:rStyle w:val="FootnoteReference"/>
          <w:rFonts w:asciiTheme="minorHAnsi" w:hAnsiTheme="minorHAnsi"/>
        </w:rPr>
        <w:footnoteRef/>
      </w:r>
      <w:r w:rsidRPr="00E2128E">
        <w:rPr>
          <w:rFonts w:asciiTheme="minorHAnsi" w:hAnsiTheme="minorHAnsi"/>
        </w:rPr>
        <w:t xml:space="preserve"> </w:t>
      </w:r>
      <w:r w:rsidRPr="00E2128E">
        <w:rPr>
          <w:rFonts w:asciiTheme="minorHAnsi" w:hAnsiTheme="minorHAnsi" w:cs="Calibri"/>
        </w:rPr>
        <w:t xml:space="preserve">Dr Gemma Carey, NHMRC Fellow and Senior Lecturer UNSW Canberra in </w:t>
      </w:r>
      <w:hyperlink r:id="rId4" w:history="1">
        <w:r w:rsidRPr="00E2128E">
          <w:rPr>
            <w:rStyle w:val="Hyperlink"/>
            <w:rFonts w:asciiTheme="minorHAnsi" w:hAnsiTheme="minorHAnsi" w:cs="Calibri"/>
          </w:rPr>
          <w:t>http://www.powertopersuade.org.au/blog/is-the-productivity-commission-still-fit-for-purpose/18/4/2016</w:t>
        </w:r>
      </w:hyperlink>
      <w:r w:rsidRPr="00E2128E">
        <w:rPr>
          <w:rFonts w:asciiTheme="minorHAnsi" w:hAnsiTheme="minorHAnsi" w:cs="Calibri"/>
          <w:sz w:val="24"/>
          <w:szCs w:val="24"/>
        </w:rPr>
        <w:t xml:space="preserve"> </w:t>
      </w:r>
    </w:p>
    <w:p w14:paraId="544167B9" w14:textId="478469B9" w:rsidR="00441464" w:rsidRPr="00DA3109" w:rsidRDefault="00441464">
      <w:pPr>
        <w:pStyle w:val="FootnoteText"/>
        <w:rPr>
          <w:lang w:val="en-AU"/>
        </w:rPr>
      </w:pPr>
    </w:p>
  </w:footnote>
  <w:footnote w:id="12">
    <w:p w14:paraId="6C37CEB8" w14:textId="19FA26B9" w:rsidR="0077546D" w:rsidRPr="006C4177" w:rsidRDefault="0077546D">
      <w:pPr>
        <w:pStyle w:val="FootnoteText"/>
        <w:rPr>
          <w:rFonts w:asciiTheme="minorHAnsi" w:hAnsiTheme="minorHAnsi" w:cstheme="minorHAnsi"/>
          <w:lang w:val="en-AU"/>
        </w:rPr>
      </w:pPr>
      <w:r w:rsidRPr="006C4177">
        <w:rPr>
          <w:rStyle w:val="FootnoteReference"/>
          <w:rFonts w:asciiTheme="minorHAnsi" w:hAnsiTheme="minorHAnsi" w:cstheme="minorHAnsi"/>
        </w:rPr>
        <w:footnoteRef/>
      </w:r>
      <w:r w:rsidRPr="006C4177">
        <w:rPr>
          <w:rFonts w:asciiTheme="minorHAnsi" w:hAnsiTheme="minorHAnsi" w:cstheme="minorHAnsi"/>
        </w:rPr>
        <w:t xml:space="preserve"> </w:t>
      </w:r>
      <w:r w:rsidRPr="006C4177">
        <w:rPr>
          <w:rFonts w:asciiTheme="minorHAnsi" w:hAnsiTheme="minorHAnsi" w:cstheme="minorHAnsi"/>
          <w:lang w:val="en-AU"/>
        </w:rPr>
        <w:t xml:space="preserve">AIHW: Older Australians at a Glance </w:t>
      </w:r>
      <w:hyperlink r:id="rId5" w:history="1">
        <w:r w:rsidRPr="006C4177">
          <w:rPr>
            <w:rStyle w:val="Hyperlink"/>
            <w:rFonts w:asciiTheme="minorHAnsi" w:hAnsiTheme="minorHAnsi" w:cstheme="minorHAnsi"/>
            <w:lang w:val="en-AU"/>
          </w:rPr>
          <w:t>http://www.aihw.gov.au/ageing/older-australia-at-a-glance/</w:t>
        </w:r>
      </w:hyperlink>
      <w:r w:rsidRPr="006C4177">
        <w:rPr>
          <w:rFonts w:asciiTheme="minorHAnsi" w:hAnsiTheme="minorHAnsi" w:cstheme="minorHAnsi"/>
          <w:lang w:val="en-AU"/>
        </w:rPr>
        <w:t xml:space="preserve"> </w:t>
      </w:r>
    </w:p>
  </w:footnote>
  <w:footnote w:id="13">
    <w:p w14:paraId="0F8AE405" w14:textId="2C9DCF65" w:rsidR="0077546D" w:rsidRPr="006C4177" w:rsidRDefault="0077546D">
      <w:pPr>
        <w:pStyle w:val="FootnoteText"/>
        <w:rPr>
          <w:rFonts w:asciiTheme="minorHAnsi" w:hAnsiTheme="minorHAnsi" w:cstheme="minorHAnsi"/>
          <w:lang w:val="en-AU"/>
        </w:rPr>
      </w:pPr>
      <w:r w:rsidRPr="006C4177">
        <w:rPr>
          <w:rStyle w:val="FootnoteReference"/>
          <w:rFonts w:asciiTheme="minorHAnsi" w:hAnsiTheme="minorHAnsi" w:cstheme="minorHAnsi"/>
        </w:rPr>
        <w:footnoteRef/>
      </w:r>
      <w:r w:rsidRPr="006C4177">
        <w:rPr>
          <w:rFonts w:asciiTheme="minorHAnsi" w:hAnsiTheme="minorHAnsi" w:cstheme="minorHAnsi"/>
        </w:rPr>
        <w:t xml:space="preserve"> </w:t>
      </w:r>
      <w:r w:rsidRPr="006C4177">
        <w:rPr>
          <w:rFonts w:asciiTheme="minorHAnsi" w:hAnsiTheme="minorHAnsi" w:cstheme="minorHAnsi"/>
          <w:lang w:val="en-AU"/>
        </w:rPr>
        <w:t xml:space="preserve">AIHW: Admitted Patient Care 2014-15, P53 </w:t>
      </w:r>
      <w:hyperlink r:id="rId6" w:history="1">
        <w:r w:rsidRPr="006C4177">
          <w:rPr>
            <w:rStyle w:val="Hyperlink"/>
            <w:rFonts w:asciiTheme="minorHAnsi" w:hAnsiTheme="minorHAnsi" w:cstheme="minorHAnsi"/>
            <w:lang w:val="en-AU"/>
          </w:rPr>
          <w:t>http://www.aihw.gov.au/WorkArea/DownloadAsset.aspx?id=60129554729</w:t>
        </w:r>
      </w:hyperlink>
      <w:r w:rsidRPr="006C4177">
        <w:rPr>
          <w:rFonts w:asciiTheme="minorHAnsi" w:hAnsiTheme="minorHAnsi" w:cstheme="minorHAnsi"/>
          <w:lang w:val="en-AU"/>
        </w:rPr>
        <w:t xml:space="preserve"> </w:t>
      </w:r>
    </w:p>
  </w:footnote>
  <w:footnote w:id="14">
    <w:p w14:paraId="0333E3F3" w14:textId="1AEC1A44" w:rsidR="00EC2AA1" w:rsidRPr="006C4177" w:rsidRDefault="00EC2AA1">
      <w:pPr>
        <w:pStyle w:val="FootnoteText"/>
        <w:rPr>
          <w:rFonts w:asciiTheme="minorHAnsi" w:hAnsiTheme="minorHAnsi" w:cstheme="minorHAnsi"/>
          <w:lang w:val="en-AU"/>
        </w:rPr>
      </w:pPr>
      <w:r w:rsidRPr="006C4177">
        <w:rPr>
          <w:rStyle w:val="FootnoteReference"/>
          <w:rFonts w:asciiTheme="minorHAnsi" w:hAnsiTheme="minorHAnsi" w:cstheme="minorHAnsi"/>
        </w:rPr>
        <w:footnoteRef/>
      </w:r>
      <w:r w:rsidRPr="006C4177">
        <w:rPr>
          <w:rFonts w:asciiTheme="minorHAnsi" w:hAnsiTheme="minorHAnsi" w:cstheme="minorHAnsi"/>
        </w:rPr>
        <w:t xml:space="preserve"> </w:t>
      </w:r>
      <w:r w:rsidRPr="006C4177">
        <w:rPr>
          <w:rFonts w:asciiTheme="minorHAnsi" w:hAnsiTheme="minorHAnsi" w:cstheme="minorHAnsi"/>
          <w:lang w:val="en-AU"/>
        </w:rPr>
        <w:t xml:space="preserve">AIHW: </w:t>
      </w:r>
      <w:hyperlink r:id="rId7" w:history="1">
        <w:r w:rsidRPr="006C4177">
          <w:rPr>
            <w:rStyle w:val="Hyperlink"/>
            <w:rFonts w:asciiTheme="minorHAnsi" w:hAnsiTheme="minorHAnsi" w:cstheme="minorHAnsi"/>
            <w:lang w:val="en-AU"/>
          </w:rPr>
          <w:t>http://www.aihw.gov.au/deaths/</w:t>
        </w:r>
      </w:hyperlink>
      <w:r w:rsidRPr="006C4177">
        <w:rPr>
          <w:rFonts w:asciiTheme="minorHAnsi" w:hAnsiTheme="minorHAnsi" w:cstheme="minorHAnsi"/>
          <w:lang w:val="en-AU"/>
        </w:rPr>
        <w:t xml:space="preserve"> (reported at 9 February 2017)</w:t>
      </w:r>
    </w:p>
  </w:footnote>
  <w:footnote w:id="15">
    <w:p w14:paraId="536682AB" w14:textId="3D01DF58" w:rsidR="00506A4A" w:rsidRPr="006C4177" w:rsidRDefault="00506A4A">
      <w:pPr>
        <w:pStyle w:val="FootnoteText"/>
        <w:rPr>
          <w:lang w:val="en-AU"/>
        </w:rPr>
      </w:pPr>
      <w:r w:rsidRPr="006C4177">
        <w:rPr>
          <w:rStyle w:val="FootnoteReference"/>
          <w:rFonts w:asciiTheme="minorHAnsi" w:hAnsiTheme="minorHAnsi" w:cstheme="minorHAnsi"/>
        </w:rPr>
        <w:footnoteRef/>
      </w:r>
      <w:r w:rsidRPr="006C4177">
        <w:rPr>
          <w:rFonts w:asciiTheme="minorHAnsi" w:hAnsiTheme="minorHAnsi" w:cstheme="minorHAnsi"/>
        </w:rPr>
        <w:t xml:space="preserve"> </w:t>
      </w:r>
      <w:r w:rsidRPr="006C4177">
        <w:rPr>
          <w:rFonts w:asciiTheme="minorHAnsi" w:hAnsiTheme="minorHAnsi" w:cstheme="minorHAnsi"/>
          <w:lang w:val="en-AU"/>
        </w:rPr>
        <w:t>Australian Dental Association, Pre-Budget Submission 2016-17 P1</w:t>
      </w:r>
      <w:r w:rsidRPr="006C4177">
        <w:rPr>
          <w:rFonts w:asciiTheme="minorHAnsi" w:hAnsiTheme="minorHAnsi" w:cstheme="minorHAnsi"/>
        </w:rPr>
        <w:t xml:space="preserve"> </w:t>
      </w:r>
      <w:hyperlink r:id="rId8" w:history="1">
        <w:r w:rsidRPr="006C4177">
          <w:rPr>
            <w:rStyle w:val="Hyperlink"/>
            <w:rFonts w:asciiTheme="minorHAnsi" w:hAnsiTheme="minorHAnsi" w:cstheme="minorHAnsi"/>
            <w:lang w:val="en-AU"/>
          </w:rPr>
          <w:t>https://www.treasury.gov.au/~/media/Treasury/Consultations%20and%20Reviews/Consultations/2015/2016%20Pre%20Budget%20submissions/Submissions/PDF/Australian%20Dental%20Association.ashx</w:t>
        </w:r>
      </w:hyperlink>
      <w:r>
        <w:rPr>
          <w:lang w:val="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6A56" w14:textId="76A98FA9" w:rsidR="00441464" w:rsidRDefault="00441464">
    <w:pPr>
      <w:pStyle w:val="Header"/>
    </w:pPr>
  </w:p>
  <w:p w14:paraId="61F93E34" w14:textId="59E7AE4F" w:rsidR="00441464" w:rsidRDefault="00441464">
    <w:pPr>
      <w:pStyle w:val="Header"/>
    </w:pPr>
  </w:p>
  <w:p w14:paraId="2816E903" w14:textId="27910C3C" w:rsidR="00441464" w:rsidRDefault="00441464">
    <w:pPr>
      <w:pStyle w:val="Header"/>
    </w:pPr>
  </w:p>
  <w:p w14:paraId="028F1E36" w14:textId="77777777" w:rsidR="00441464" w:rsidRDefault="00441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AE"/>
    <w:multiLevelType w:val="hybridMultilevel"/>
    <w:tmpl w:val="183ABB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DE1D3A"/>
    <w:multiLevelType w:val="hybridMultilevel"/>
    <w:tmpl w:val="C7A45E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7502F87"/>
    <w:multiLevelType w:val="hybridMultilevel"/>
    <w:tmpl w:val="1D2A1A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906990"/>
    <w:multiLevelType w:val="hybridMultilevel"/>
    <w:tmpl w:val="054E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FC81257"/>
    <w:multiLevelType w:val="hybridMultilevel"/>
    <w:tmpl w:val="8F8A0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8A1CA3"/>
    <w:multiLevelType w:val="hybridMultilevel"/>
    <w:tmpl w:val="925EBF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F8023AD"/>
    <w:multiLevelType w:val="hybridMultilevel"/>
    <w:tmpl w:val="D3D058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71459F"/>
    <w:multiLevelType w:val="hybridMultilevel"/>
    <w:tmpl w:val="6FC67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1EA3863"/>
    <w:multiLevelType w:val="hybridMultilevel"/>
    <w:tmpl w:val="D494E0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4F32E61"/>
    <w:multiLevelType w:val="hybridMultilevel"/>
    <w:tmpl w:val="18B89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FF0F8C"/>
    <w:multiLevelType w:val="hybridMultilevel"/>
    <w:tmpl w:val="509CF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6C6A79"/>
    <w:multiLevelType w:val="multilevel"/>
    <w:tmpl w:val="F84AF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7D26CBD"/>
    <w:multiLevelType w:val="hybridMultilevel"/>
    <w:tmpl w:val="A33E0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FE7872"/>
    <w:multiLevelType w:val="hybridMultilevel"/>
    <w:tmpl w:val="F232F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1DB4A7F"/>
    <w:multiLevelType w:val="hybridMultilevel"/>
    <w:tmpl w:val="78D281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nsid w:val="353F5F72"/>
    <w:multiLevelType w:val="hybridMultilevel"/>
    <w:tmpl w:val="C65E96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BF0D4B"/>
    <w:multiLevelType w:val="hybridMultilevel"/>
    <w:tmpl w:val="6C1AB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137AE0"/>
    <w:multiLevelType w:val="hybridMultilevel"/>
    <w:tmpl w:val="5F5A9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843F62"/>
    <w:multiLevelType w:val="hybridMultilevel"/>
    <w:tmpl w:val="9B1E4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48A24AE"/>
    <w:multiLevelType w:val="hybridMultilevel"/>
    <w:tmpl w:val="AEC43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6963210"/>
    <w:multiLevelType w:val="hybridMultilevel"/>
    <w:tmpl w:val="A1CEE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6D77587"/>
    <w:multiLevelType w:val="hybridMultilevel"/>
    <w:tmpl w:val="092C5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23143D"/>
    <w:multiLevelType w:val="hybridMultilevel"/>
    <w:tmpl w:val="47666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B8447BE"/>
    <w:multiLevelType w:val="hybridMultilevel"/>
    <w:tmpl w:val="1ED0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9260F1"/>
    <w:multiLevelType w:val="hybridMultilevel"/>
    <w:tmpl w:val="7654D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DA57C66"/>
    <w:multiLevelType w:val="hybridMultilevel"/>
    <w:tmpl w:val="48EA9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F57133F"/>
    <w:multiLevelType w:val="hybridMultilevel"/>
    <w:tmpl w:val="3F04F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5C63E0"/>
    <w:multiLevelType w:val="hybridMultilevel"/>
    <w:tmpl w:val="B6AA1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4370113"/>
    <w:multiLevelType w:val="hybridMultilevel"/>
    <w:tmpl w:val="DE560BA6"/>
    <w:lvl w:ilvl="0" w:tplc="0C09000B">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nsid w:val="55D21AA5"/>
    <w:multiLevelType w:val="hybridMultilevel"/>
    <w:tmpl w:val="ADF2B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CD2DC8"/>
    <w:multiLevelType w:val="hybridMultilevel"/>
    <w:tmpl w:val="1026E0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0E3AAD"/>
    <w:multiLevelType w:val="hybridMultilevel"/>
    <w:tmpl w:val="5D38A4B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2">
    <w:nsid w:val="5DB419B3"/>
    <w:multiLevelType w:val="hybridMultilevel"/>
    <w:tmpl w:val="2EF86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32E2055"/>
    <w:multiLevelType w:val="hybridMultilevel"/>
    <w:tmpl w:val="77FEA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43A40AB"/>
    <w:multiLevelType w:val="hybridMultilevel"/>
    <w:tmpl w:val="5B9CD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2D4924"/>
    <w:multiLevelType w:val="hybridMultilevel"/>
    <w:tmpl w:val="76D2F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D2454E4"/>
    <w:multiLevelType w:val="hybridMultilevel"/>
    <w:tmpl w:val="CA06F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1DC49D3"/>
    <w:multiLevelType w:val="hybridMultilevel"/>
    <w:tmpl w:val="B5368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3096460"/>
    <w:multiLevelType w:val="hybridMultilevel"/>
    <w:tmpl w:val="B4523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43314EC"/>
    <w:multiLevelType w:val="hybridMultilevel"/>
    <w:tmpl w:val="9062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4AF3CD0"/>
    <w:multiLevelType w:val="hybridMultilevel"/>
    <w:tmpl w:val="6F882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8942797"/>
    <w:multiLevelType w:val="hybridMultilevel"/>
    <w:tmpl w:val="29A6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B1367A8"/>
    <w:multiLevelType w:val="hybridMultilevel"/>
    <w:tmpl w:val="C0B204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nsid w:val="7B1C3F78"/>
    <w:multiLevelType w:val="hybridMultilevel"/>
    <w:tmpl w:val="DDB85C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E2F2FF2"/>
    <w:multiLevelType w:val="hybridMultilevel"/>
    <w:tmpl w:val="1968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F400E56"/>
    <w:multiLevelType w:val="hybridMultilevel"/>
    <w:tmpl w:val="6E16A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FBF0B73"/>
    <w:multiLevelType w:val="hybridMultilevel"/>
    <w:tmpl w:val="BD4216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46"/>
  </w:num>
  <w:num w:numId="2">
    <w:abstractNumId w:val="41"/>
  </w:num>
  <w:num w:numId="3">
    <w:abstractNumId w:val="45"/>
  </w:num>
  <w:num w:numId="4">
    <w:abstractNumId w:val="23"/>
  </w:num>
  <w:num w:numId="5">
    <w:abstractNumId w:val="9"/>
  </w:num>
  <w:num w:numId="6">
    <w:abstractNumId w:val="26"/>
  </w:num>
  <w:num w:numId="7">
    <w:abstractNumId w:val="15"/>
  </w:num>
  <w:num w:numId="8">
    <w:abstractNumId w:val="30"/>
  </w:num>
  <w:num w:numId="9">
    <w:abstractNumId w:val="6"/>
  </w:num>
  <w:num w:numId="10">
    <w:abstractNumId w:val="20"/>
  </w:num>
  <w:num w:numId="11">
    <w:abstractNumId w:val="37"/>
  </w:num>
  <w:num w:numId="12">
    <w:abstractNumId w:val="7"/>
  </w:num>
  <w:num w:numId="13">
    <w:abstractNumId w:val="27"/>
  </w:num>
  <w:num w:numId="14">
    <w:abstractNumId w:val="31"/>
  </w:num>
  <w:num w:numId="15">
    <w:abstractNumId w:val="22"/>
  </w:num>
  <w:num w:numId="16">
    <w:abstractNumId w:val="43"/>
  </w:num>
  <w:num w:numId="17">
    <w:abstractNumId w:val="3"/>
  </w:num>
  <w:num w:numId="18">
    <w:abstractNumId w:val="16"/>
  </w:num>
  <w:num w:numId="19">
    <w:abstractNumId w:val="5"/>
  </w:num>
  <w:num w:numId="20">
    <w:abstractNumId w:val="29"/>
  </w:num>
  <w:num w:numId="21">
    <w:abstractNumId w:val="33"/>
  </w:num>
  <w:num w:numId="22">
    <w:abstractNumId w:val="13"/>
  </w:num>
  <w:num w:numId="23">
    <w:abstractNumId w:val="24"/>
  </w:num>
  <w:num w:numId="24">
    <w:abstractNumId w:val="32"/>
  </w:num>
  <w:num w:numId="25">
    <w:abstractNumId w:val="39"/>
  </w:num>
  <w:num w:numId="26">
    <w:abstractNumId w:val="2"/>
  </w:num>
  <w:num w:numId="27">
    <w:abstractNumId w:val="36"/>
  </w:num>
  <w:num w:numId="28">
    <w:abstractNumId w:val="17"/>
  </w:num>
  <w:num w:numId="29">
    <w:abstractNumId w:val="44"/>
  </w:num>
  <w:num w:numId="30">
    <w:abstractNumId w:val="0"/>
  </w:num>
  <w:num w:numId="31">
    <w:abstractNumId w:val="35"/>
  </w:num>
  <w:num w:numId="32">
    <w:abstractNumId w:val="19"/>
  </w:num>
  <w:num w:numId="33">
    <w:abstractNumId w:val="18"/>
  </w:num>
  <w:num w:numId="34">
    <w:abstractNumId w:val="34"/>
  </w:num>
  <w:num w:numId="35">
    <w:abstractNumId w:val="40"/>
  </w:num>
  <w:num w:numId="36">
    <w:abstractNumId w:val="4"/>
  </w:num>
  <w:num w:numId="37">
    <w:abstractNumId w:val="38"/>
  </w:num>
  <w:num w:numId="38">
    <w:abstractNumId w:val="1"/>
  </w:num>
  <w:num w:numId="39">
    <w:abstractNumId w:val="10"/>
  </w:num>
  <w:num w:numId="40">
    <w:abstractNumId w:val="42"/>
  </w:num>
  <w:num w:numId="41">
    <w:abstractNumId w:val="25"/>
  </w:num>
  <w:num w:numId="42">
    <w:abstractNumId w:val="8"/>
  </w:num>
  <w:num w:numId="43">
    <w:abstractNumId w:val="21"/>
  </w:num>
  <w:num w:numId="44">
    <w:abstractNumId w:val="14"/>
  </w:num>
  <w:num w:numId="45">
    <w:abstractNumId w:val="12"/>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embedSystemFonts/>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E8"/>
    <w:rsid w:val="00000FFB"/>
    <w:rsid w:val="00002A32"/>
    <w:rsid w:val="00006617"/>
    <w:rsid w:val="00006B3D"/>
    <w:rsid w:val="00007BCF"/>
    <w:rsid w:val="00010381"/>
    <w:rsid w:val="0002067B"/>
    <w:rsid w:val="0004021C"/>
    <w:rsid w:val="00041267"/>
    <w:rsid w:val="00046641"/>
    <w:rsid w:val="0004750F"/>
    <w:rsid w:val="00050C90"/>
    <w:rsid w:val="00052D2C"/>
    <w:rsid w:val="0005393C"/>
    <w:rsid w:val="00055BD8"/>
    <w:rsid w:val="00057A53"/>
    <w:rsid w:val="000872EC"/>
    <w:rsid w:val="00087517"/>
    <w:rsid w:val="000A2160"/>
    <w:rsid w:val="000A4824"/>
    <w:rsid w:val="000B09DD"/>
    <w:rsid w:val="000B1162"/>
    <w:rsid w:val="000B3C27"/>
    <w:rsid w:val="000C22C8"/>
    <w:rsid w:val="000C3AA5"/>
    <w:rsid w:val="000C705D"/>
    <w:rsid w:val="000E037C"/>
    <w:rsid w:val="000E7855"/>
    <w:rsid w:val="000F1453"/>
    <w:rsid w:val="00100A28"/>
    <w:rsid w:val="001037B2"/>
    <w:rsid w:val="00104054"/>
    <w:rsid w:val="00104C0B"/>
    <w:rsid w:val="00105028"/>
    <w:rsid w:val="00106953"/>
    <w:rsid w:val="00110C45"/>
    <w:rsid w:val="00113D9F"/>
    <w:rsid w:val="001239A4"/>
    <w:rsid w:val="00125379"/>
    <w:rsid w:val="001266E8"/>
    <w:rsid w:val="00133052"/>
    <w:rsid w:val="001414A4"/>
    <w:rsid w:val="00141CBA"/>
    <w:rsid w:val="00141DAD"/>
    <w:rsid w:val="00141E41"/>
    <w:rsid w:val="00150C4B"/>
    <w:rsid w:val="00157183"/>
    <w:rsid w:val="00160616"/>
    <w:rsid w:val="00171561"/>
    <w:rsid w:val="001748A0"/>
    <w:rsid w:val="00177511"/>
    <w:rsid w:val="001924B4"/>
    <w:rsid w:val="001940D4"/>
    <w:rsid w:val="001942AC"/>
    <w:rsid w:val="001A0B9D"/>
    <w:rsid w:val="001A586F"/>
    <w:rsid w:val="001A74D2"/>
    <w:rsid w:val="001A7BB2"/>
    <w:rsid w:val="001C1D9C"/>
    <w:rsid w:val="001D0653"/>
    <w:rsid w:val="001D18E8"/>
    <w:rsid w:val="001F1469"/>
    <w:rsid w:val="002017CB"/>
    <w:rsid w:val="00213C81"/>
    <w:rsid w:val="0021628A"/>
    <w:rsid w:val="00217DD3"/>
    <w:rsid w:val="002262DA"/>
    <w:rsid w:val="00233C9A"/>
    <w:rsid w:val="0024126D"/>
    <w:rsid w:val="002434DF"/>
    <w:rsid w:val="00243D52"/>
    <w:rsid w:val="00243FFD"/>
    <w:rsid w:val="00253768"/>
    <w:rsid w:val="002539AD"/>
    <w:rsid w:val="00272E11"/>
    <w:rsid w:val="00280BFE"/>
    <w:rsid w:val="00281883"/>
    <w:rsid w:val="002831EB"/>
    <w:rsid w:val="00283979"/>
    <w:rsid w:val="00284045"/>
    <w:rsid w:val="00297980"/>
    <w:rsid w:val="002A0FB8"/>
    <w:rsid w:val="002A7BCA"/>
    <w:rsid w:val="002B092B"/>
    <w:rsid w:val="002B1FCB"/>
    <w:rsid w:val="002B57D9"/>
    <w:rsid w:val="002C25B2"/>
    <w:rsid w:val="002C2F7E"/>
    <w:rsid w:val="002C326E"/>
    <w:rsid w:val="002C410D"/>
    <w:rsid w:val="002E0FC5"/>
    <w:rsid w:val="002F6D9B"/>
    <w:rsid w:val="00304B43"/>
    <w:rsid w:val="003100D3"/>
    <w:rsid w:val="003143C8"/>
    <w:rsid w:val="00315EE7"/>
    <w:rsid w:val="00316311"/>
    <w:rsid w:val="003205EA"/>
    <w:rsid w:val="0032236F"/>
    <w:rsid w:val="003272CC"/>
    <w:rsid w:val="003350D8"/>
    <w:rsid w:val="00336EDA"/>
    <w:rsid w:val="0034583C"/>
    <w:rsid w:val="00351060"/>
    <w:rsid w:val="003530C1"/>
    <w:rsid w:val="00355C93"/>
    <w:rsid w:val="003610AC"/>
    <w:rsid w:val="003610C3"/>
    <w:rsid w:val="003616E7"/>
    <w:rsid w:val="003728CE"/>
    <w:rsid w:val="00373ECC"/>
    <w:rsid w:val="00375D8C"/>
    <w:rsid w:val="00376201"/>
    <w:rsid w:val="00381A7C"/>
    <w:rsid w:val="00383957"/>
    <w:rsid w:val="003A6E8E"/>
    <w:rsid w:val="003C2780"/>
    <w:rsid w:val="003C2C70"/>
    <w:rsid w:val="003D2B18"/>
    <w:rsid w:val="003D419B"/>
    <w:rsid w:val="003D60D8"/>
    <w:rsid w:val="003D7C0A"/>
    <w:rsid w:val="003E2F6C"/>
    <w:rsid w:val="003E37C3"/>
    <w:rsid w:val="00402429"/>
    <w:rsid w:val="00403016"/>
    <w:rsid w:val="004115B2"/>
    <w:rsid w:val="00413A3A"/>
    <w:rsid w:val="00414CD3"/>
    <w:rsid w:val="00416F37"/>
    <w:rsid w:val="004172FD"/>
    <w:rsid w:val="00417397"/>
    <w:rsid w:val="004178A9"/>
    <w:rsid w:val="00420ACB"/>
    <w:rsid w:val="00427DA9"/>
    <w:rsid w:val="00430E1A"/>
    <w:rsid w:val="00441161"/>
    <w:rsid w:val="00441464"/>
    <w:rsid w:val="00451A59"/>
    <w:rsid w:val="00455AE2"/>
    <w:rsid w:val="00456E05"/>
    <w:rsid w:val="0046061E"/>
    <w:rsid w:val="00464F15"/>
    <w:rsid w:val="00472343"/>
    <w:rsid w:val="00473311"/>
    <w:rsid w:val="00490D8B"/>
    <w:rsid w:val="0049653B"/>
    <w:rsid w:val="004B14BA"/>
    <w:rsid w:val="004B4ABC"/>
    <w:rsid w:val="004B776A"/>
    <w:rsid w:val="004D63BD"/>
    <w:rsid w:val="004D75F2"/>
    <w:rsid w:val="004E0456"/>
    <w:rsid w:val="004E32B6"/>
    <w:rsid w:val="004F552C"/>
    <w:rsid w:val="00500A4D"/>
    <w:rsid w:val="0050301A"/>
    <w:rsid w:val="00506A4A"/>
    <w:rsid w:val="00510DA9"/>
    <w:rsid w:val="00515AA7"/>
    <w:rsid w:val="0051627F"/>
    <w:rsid w:val="00522ED2"/>
    <w:rsid w:val="005339A6"/>
    <w:rsid w:val="005355FC"/>
    <w:rsid w:val="0054256C"/>
    <w:rsid w:val="00545323"/>
    <w:rsid w:val="00554791"/>
    <w:rsid w:val="005550D1"/>
    <w:rsid w:val="00557766"/>
    <w:rsid w:val="0056258A"/>
    <w:rsid w:val="00564D39"/>
    <w:rsid w:val="00567F19"/>
    <w:rsid w:val="005822A2"/>
    <w:rsid w:val="00584C98"/>
    <w:rsid w:val="005966D7"/>
    <w:rsid w:val="005A04EC"/>
    <w:rsid w:val="005A6237"/>
    <w:rsid w:val="005A638C"/>
    <w:rsid w:val="005B3E41"/>
    <w:rsid w:val="005B6A3C"/>
    <w:rsid w:val="005C4FAF"/>
    <w:rsid w:val="005C65F5"/>
    <w:rsid w:val="005D4986"/>
    <w:rsid w:val="005E0D46"/>
    <w:rsid w:val="005E6F47"/>
    <w:rsid w:val="005F0D8D"/>
    <w:rsid w:val="005F14A9"/>
    <w:rsid w:val="005F2BEA"/>
    <w:rsid w:val="005F58E0"/>
    <w:rsid w:val="006031C1"/>
    <w:rsid w:val="0060468A"/>
    <w:rsid w:val="0060506C"/>
    <w:rsid w:val="006057D5"/>
    <w:rsid w:val="00606D67"/>
    <w:rsid w:val="00611E7C"/>
    <w:rsid w:val="0061399D"/>
    <w:rsid w:val="00616FAC"/>
    <w:rsid w:val="00620D11"/>
    <w:rsid w:val="00641D59"/>
    <w:rsid w:val="00642205"/>
    <w:rsid w:val="00653546"/>
    <w:rsid w:val="0065482C"/>
    <w:rsid w:val="00660063"/>
    <w:rsid w:val="00660EA4"/>
    <w:rsid w:val="00676F28"/>
    <w:rsid w:val="00677B6F"/>
    <w:rsid w:val="0068121C"/>
    <w:rsid w:val="00681346"/>
    <w:rsid w:val="0068162A"/>
    <w:rsid w:val="006930A3"/>
    <w:rsid w:val="006939A3"/>
    <w:rsid w:val="00697319"/>
    <w:rsid w:val="0069782F"/>
    <w:rsid w:val="00697D42"/>
    <w:rsid w:val="006A7643"/>
    <w:rsid w:val="006A7B8F"/>
    <w:rsid w:val="006B1617"/>
    <w:rsid w:val="006C063A"/>
    <w:rsid w:val="006C351E"/>
    <w:rsid w:val="006C4177"/>
    <w:rsid w:val="006D6E77"/>
    <w:rsid w:val="006D78E6"/>
    <w:rsid w:val="006E2B7C"/>
    <w:rsid w:val="006E4677"/>
    <w:rsid w:val="006E4A0B"/>
    <w:rsid w:val="006E52FB"/>
    <w:rsid w:val="00705C73"/>
    <w:rsid w:val="007101CE"/>
    <w:rsid w:val="00713E83"/>
    <w:rsid w:val="0072067F"/>
    <w:rsid w:val="00721B1C"/>
    <w:rsid w:val="007221E4"/>
    <w:rsid w:val="00750644"/>
    <w:rsid w:val="00753776"/>
    <w:rsid w:val="0075468D"/>
    <w:rsid w:val="00755C2C"/>
    <w:rsid w:val="00755D04"/>
    <w:rsid w:val="007659AB"/>
    <w:rsid w:val="0077546D"/>
    <w:rsid w:val="007810C1"/>
    <w:rsid w:val="00790831"/>
    <w:rsid w:val="00794565"/>
    <w:rsid w:val="00796B5D"/>
    <w:rsid w:val="007A554A"/>
    <w:rsid w:val="007B1E84"/>
    <w:rsid w:val="007C0091"/>
    <w:rsid w:val="007C1525"/>
    <w:rsid w:val="007D0284"/>
    <w:rsid w:val="007D11CB"/>
    <w:rsid w:val="007D236E"/>
    <w:rsid w:val="007D568F"/>
    <w:rsid w:val="007E1797"/>
    <w:rsid w:val="007E2020"/>
    <w:rsid w:val="007E5144"/>
    <w:rsid w:val="007E631D"/>
    <w:rsid w:val="007F303A"/>
    <w:rsid w:val="00800462"/>
    <w:rsid w:val="00802B0A"/>
    <w:rsid w:val="00813D44"/>
    <w:rsid w:val="00822050"/>
    <w:rsid w:val="008358CD"/>
    <w:rsid w:val="00837ED2"/>
    <w:rsid w:val="0084682E"/>
    <w:rsid w:val="0084750C"/>
    <w:rsid w:val="00847F4A"/>
    <w:rsid w:val="00850DCC"/>
    <w:rsid w:val="00857091"/>
    <w:rsid w:val="00860BE4"/>
    <w:rsid w:val="00871B62"/>
    <w:rsid w:val="0089789F"/>
    <w:rsid w:val="008A5243"/>
    <w:rsid w:val="008B2488"/>
    <w:rsid w:val="008C416A"/>
    <w:rsid w:val="008C6430"/>
    <w:rsid w:val="008C781F"/>
    <w:rsid w:val="008D7955"/>
    <w:rsid w:val="008E27D5"/>
    <w:rsid w:val="008F7E64"/>
    <w:rsid w:val="00904391"/>
    <w:rsid w:val="00906F88"/>
    <w:rsid w:val="009102EC"/>
    <w:rsid w:val="0091619B"/>
    <w:rsid w:val="00917B7A"/>
    <w:rsid w:val="0092302B"/>
    <w:rsid w:val="00925919"/>
    <w:rsid w:val="0095536C"/>
    <w:rsid w:val="00955832"/>
    <w:rsid w:val="009560BF"/>
    <w:rsid w:val="00960F95"/>
    <w:rsid w:val="0096114B"/>
    <w:rsid w:val="00962BC2"/>
    <w:rsid w:val="00962C6C"/>
    <w:rsid w:val="009633FB"/>
    <w:rsid w:val="00965495"/>
    <w:rsid w:val="00966701"/>
    <w:rsid w:val="00971A23"/>
    <w:rsid w:val="00975CF1"/>
    <w:rsid w:val="0097608C"/>
    <w:rsid w:val="00976D2C"/>
    <w:rsid w:val="009803B3"/>
    <w:rsid w:val="009811C2"/>
    <w:rsid w:val="00982A5A"/>
    <w:rsid w:val="00987C91"/>
    <w:rsid w:val="00996F8B"/>
    <w:rsid w:val="009C1727"/>
    <w:rsid w:val="009C1FAE"/>
    <w:rsid w:val="009D025E"/>
    <w:rsid w:val="009D0B16"/>
    <w:rsid w:val="009D2497"/>
    <w:rsid w:val="009D2F1F"/>
    <w:rsid w:val="009D31B5"/>
    <w:rsid w:val="009D787A"/>
    <w:rsid w:val="009E5A63"/>
    <w:rsid w:val="009F1118"/>
    <w:rsid w:val="009F4308"/>
    <w:rsid w:val="009F723D"/>
    <w:rsid w:val="00A015D7"/>
    <w:rsid w:val="00A12D25"/>
    <w:rsid w:val="00A13896"/>
    <w:rsid w:val="00A20EA0"/>
    <w:rsid w:val="00A233B0"/>
    <w:rsid w:val="00A24221"/>
    <w:rsid w:val="00A320D9"/>
    <w:rsid w:val="00A377AB"/>
    <w:rsid w:val="00A4205B"/>
    <w:rsid w:val="00A455F5"/>
    <w:rsid w:val="00A57156"/>
    <w:rsid w:val="00A60EC2"/>
    <w:rsid w:val="00A61061"/>
    <w:rsid w:val="00A61D73"/>
    <w:rsid w:val="00A6243B"/>
    <w:rsid w:val="00A6307E"/>
    <w:rsid w:val="00A67A4F"/>
    <w:rsid w:val="00A725D0"/>
    <w:rsid w:val="00A73539"/>
    <w:rsid w:val="00A82E28"/>
    <w:rsid w:val="00A8382F"/>
    <w:rsid w:val="00A97DBB"/>
    <w:rsid w:val="00AA1670"/>
    <w:rsid w:val="00AA19B1"/>
    <w:rsid w:val="00AA7596"/>
    <w:rsid w:val="00AB066A"/>
    <w:rsid w:val="00AB0935"/>
    <w:rsid w:val="00AB0CEB"/>
    <w:rsid w:val="00AB1B67"/>
    <w:rsid w:val="00AB2052"/>
    <w:rsid w:val="00AB2D13"/>
    <w:rsid w:val="00AB7D5F"/>
    <w:rsid w:val="00AC49B3"/>
    <w:rsid w:val="00AC4C03"/>
    <w:rsid w:val="00AE15E2"/>
    <w:rsid w:val="00AE79D3"/>
    <w:rsid w:val="00AE7AE9"/>
    <w:rsid w:val="00AF289C"/>
    <w:rsid w:val="00B1027E"/>
    <w:rsid w:val="00B1193A"/>
    <w:rsid w:val="00B1652C"/>
    <w:rsid w:val="00B175D5"/>
    <w:rsid w:val="00B21489"/>
    <w:rsid w:val="00B23BD3"/>
    <w:rsid w:val="00B354D7"/>
    <w:rsid w:val="00B43BA7"/>
    <w:rsid w:val="00B469E9"/>
    <w:rsid w:val="00B55D98"/>
    <w:rsid w:val="00B6248C"/>
    <w:rsid w:val="00B66F71"/>
    <w:rsid w:val="00B70131"/>
    <w:rsid w:val="00B7050B"/>
    <w:rsid w:val="00B711B5"/>
    <w:rsid w:val="00B913C9"/>
    <w:rsid w:val="00B96D4A"/>
    <w:rsid w:val="00BB0D02"/>
    <w:rsid w:val="00BB1AF9"/>
    <w:rsid w:val="00BC7F42"/>
    <w:rsid w:val="00BD420A"/>
    <w:rsid w:val="00BD54FD"/>
    <w:rsid w:val="00BE3586"/>
    <w:rsid w:val="00BF18B5"/>
    <w:rsid w:val="00BF243E"/>
    <w:rsid w:val="00BF4DBD"/>
    <w:rsid w:val="00BF5533"/>
    <w:rsid w:val="00C104C1"/>
    <w:rsid w:val="00C1140F"/>
    <w:rsid w:val="00C1142D"/>
    <w:rsid w:val="00C12533"/>
    <w:rsid w:val="00C16C0E"/>
    <w:rsid w:val="00C22E5C"/>
    <w:rsid w:val="00C235BD"/>
    <w:rsid w:val="00C25A29"/>
    <w:rsid w:val="00C27FBF"/>
    <w:rsid w:val="00C322BA"/>
    <w:rsid w:val="00C33C11"/>
    <w:rsid w:val="00C36318"/>
    <w:rsid w:val="00C37BD1"/>
    <w:rsid w:val="00C544BC"/>
    <w:rsid w:val="00C60952"/>
    <w:rsid w:val="00C62472"/>
    <w:rsid w:val="00C6274A"/>
    <w:rsid w:val="00C6361D"/>
    <w:rsid w:val="00C63D83"/>
    <w:rsid w:val="00C70425"/>
    <w:rsid w:val="00C73E02"/>
    <w:rsid w:val="00C81366"/>
    <w:rsid w:val="00C93D18"/>
    <w:rsid w:val="00C951A1"/>
    <w:rsid w:val="00CA0F88"/>
    <w:rsid w:val="00CA2542"/>
    <w:rsid w:val="00CA3C0C"/>
    <w:rsid w:val="00CA55F2"/>
    <w:rsid w:val="00CA667F"/>
    <w:rsid w:val="00CB3CCD"/>
    <w:rsid w:val="00CB7343"/>
    <w:rsid w:val="00CB7A6D"/>
    <w:rsid w:val="00CC0764"/>
    <w:rsid w:val="00CC1F56"/>
    <w:rsid w:val="00CC4784"/>
    <w:rsid w:val="00CD04CE"/>
    <w:rsid w:val="00CF4585"/>
    <w:rsid w:val="00CF45C6"/>
    <w:rsid w:val="00CF4762"/>
    <w:rsid w:val="00CF4F4A"/>
    <w:rsid w:val="00CF65B3"/>
    <w:rsid w:val="00D01352"/>
    <w:rsid w:val="00D0316A"/>
    <w:rsid w:val="00D03496"/>
    <w:rsid w:val="00D10365"/>
    <w:rsid w:val="00D14956"/>
    <w:rsid w:val="00D20780"/>
    <w:rsid w:val="00D21886"/>
    <w:rsid w:val="00D362B2"/>
    <w:rsid w:val="00D378D2"/>
    <w:rsid w:val="00D476DC"/>
    <w:rsid w:val="00D56BC0"/>
    <w:rsid w:val="00D64984"/>
    <w:rsid w:val="00D76909"/>
    <w:rsid w:val="00D86704"/>
    <w:rsid w:val="00D90F32"/>
    <w:rsid w:val="00DA0195"/>
    <w:rsid w:val="00DA2AAD"/>
    <w:rsid w:val="00DA3109"/>
    <w:rsid w:val="00DA5C27"/>
    <w:rsid w:val="00DA6F7A"/>
    <w:rsid w:val="00DB170E"/>
    <w:rsid w:val="00DC2D38"/>
    <w:rsid w:val="00DC4287"/>
    <w:rsid w:val="00DD567D"/>
    <w:rsid w:val="00DF11E3"/>
    <w:rsid w:val="00DF15C4"/>
    <w:rsid w:val="00DF27F4"/>
    <w:rsid w:val="00DF5B19"/>
    <w:rsid w:val="00DF63B9"/>
    <w:rsid w:val="00DF72C9"/>
    <w:rsid w:val="00E0023C"/>
    <w:rsid w:val="00E05493"/>
    <w:rsid w:val="00E07373"/>
    <w:rsid w:val="00E13910"/>
    <w:rsid w:val="00E13B58"/>
    <w:rsid w:val="00E2128E"/>
    <w:rsid w:val="00E26F46"/>
    <w:rsid w:val="00E341BB"/>
    <w:rsid w:val="00E3523D"/>
    <w:rsid w:val="00E40913"/>
    <w:rsid w:val="00E40BC2"/>
    <w:rsid w:val="00E44F73"/>
    <w:rsid w:val="00E4548C"/>
    <w:rsid w:val="00E52902"/>
    <w:rsid w:val="00E609E5"/>
    <w:rsid w:val="00E62F07"/>
    <w:rsid w:val="00E771EE"/>
    <w:rsid w:val="00E8094B"/>
    <w:rsid w:val="00E9053B"/>
    <w:rsid w:val="00E958D8"/>
    <w:rsid w:val="00EA4053"/>
    <w:rsid w:val="00EA494D"/>
    <w:rsid w:val="00EB27E8"/>
    <w:rsid w:val="00EC00D9"/>
    <w:rsid w:val="00EC0F0C"/>
    <w:rsid w:val="00EC1DFC"/>
    <w:rsid w:val="00EC2AA1"/>
    <w:rsid w:val="00ED0EC8"/>
    <w:rsid w:val="00ED4ED9"/>
    <w:rsid w:val="00EE2F7B"/>
    <w:rsid w:val="00EE7319"/>
    <w:rsid w:val="00EF4AE4"/>
    <w:rsid w:val="00F17429"/>
    <w:rsid w:val="00F22B54"/>
    <w:rsid w:val="00F251D7"/>
    <w:rsid w:val="00F274CD"/>
    <w:rsid w:val="00F4749D"/>
    <w:rsid w:val="00F53549"/>
    <w:rsid w:val="00F53944"/>
    <w:rsid w:val="00F579B2"/>
    <w:rsid w:val="00F660C3"/>
    <w:rsid w:val="00F74B5B"/>
    <w:rsid w:val="00F80F5A"/>
    <w:rsid w:val="00F82305"/>
    <w:rsid w:val="00F85CCD"/>
    <w:rsid w:val="00F87F69"/>
    <w:rsid w:val="00F93C38"/>
    <w:rsid w:val="00F94405"/>
    <w:rsid w:val="00FA21E3"/>
    <w:rsid w:val="00FA7CCC"/>
    <w:rsid w:val="00FD1690"/>
    <w:rsid w:val="00FD5D09"/>
    <w:rsid w:val="00FF0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22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97980"/>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Heading1">
    <w:name w:val="heading 1"/>
    <w:basedOn w:val="Normal"/>
    <w:next w:val="Normal"/>
    <w:link w:val="Heading1Char"/>
    <w:uiPriority w:val="9"/>
    <w:qFormat/>
    <w:rsid w:val="00837E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7E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4A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201"/>
    <w:rPr>
      <w:rFonts w:ascii="Tahoma" w:hAnsi="Tahoma" w:cs="Tahoma"/>
      <w:sz w:val="16"/>
      <w:szCs w:val="16"/>
    </w:rPr>
  </w:style>
  <w:style w:type="character" w:customStyle="1" w:styleId="BalloonTextChar">
    <w:name w:val="Balloon Text Char"/>
    <w:basedOn w:val="DefaultParagraphFont"/>
    <w:link w:val="BalloonText"/>
    <w:uiPriority w:val="99"/>
    <w:semiHidden/>
    <w:rsid w:val="00376201"/>
    <w:rPr>
      <w:rFonts w:ascii="Tahoma" w:hAnsi="Tahoma" w:cs="Tahoma"/>
      <w:sz w:val="16"/>
      <w:szCs w:val="16"/>
      <w:lang w:val="en-US"/>
    </w:rPr>
  </w:style>
  <w:style w:type="paragraph" w:styleId="Header">
    <w:name w:val="header"/>
    <w:basedOn w:val="Normal"/>
    <w:link w:val="HeaderChar"/>
    <w:uiPriority w:val="99"/>
    <w:unhideWhenUsed/>
    <w:rsid w:val="00CA0F88"/>
    <w:pPr>
      <w:tabs>
        <w:tab w:val="center" w:pos="4513"/>
        <w:tab w:val="right" w:pos="9026"/>
      </w:tabs>
    </w:pPr>
  </w:style>
  <w:style w:type="character" w:customStyle="1" w:styleId="HeaderChar">
    <w:name w:val="Header Char"/>
    <w:basedOn w:val="DefaultParagraphFont"/>
    <w:link w:val="Header"/>
    <w:uiPriority w:val="99"/>
    <w:rsid w:val="00CA0F88"/>
    <w:rPr>
      <w:rFonts w:ascii="Times New Roman" w:hAnsi="Times New Roman" w:cs="Times New Roman"/>
      <w:sz w:val="20"/>
      <w:szCs w:val="20"/>
      <w:lang w:val="en-US"/>
    </w:rPr>
  </w:style>
  <w:style w:type="paragraph" w:styleId="Footer">
    <w:name w:val="footer"/>
    <w:basedOn w:val="Normal"/>
    <w:link w:val="FooterChar"/>
    <w:uiPriority w:val="99"/>
    <w:unhideWhenUsed/>
    <w:rsid w:val="00CA0F88"/>
    <w:pPr>
      <w:tabs>
        <w:tab w:val="center" w:pos="4513"/>
        <w:tab w:val="right" w:pos="9026"/>
      </w:tabs>
    </w:pPr>
  </w:style>
  <w:style w:type="character" w:customStyle="1" w:styleId="FooterChar">
    <w:name w:val="Footer Char"/>
    <w:basedOn w:val="DefaultParagraphFont"/>
    <w:link w:val="Footer"/>
    <w:uiPriority w:val="99"/>
    <w:rsid w:val="00CA0F88"/>
    <w:rPr>
      <w:rFonts w:ascii="Times New Roman" w:hAnsi="Times New Roman" w:cs="Times New Roman"/>
      <w:sz w:val="20"/>
      <w:szCs w:val="20"/>
      <w:lang w:val="en-US"/>
    </w:rPr>
  </w:style>
  <w:style w:type="character" w:styleId="Hyperlink">
    <w:name w:val="Hyperlink"/>
    <w:basedOn w:val="DefaultParagraphFont"/>
    <w:uiPriority w:val="99"/>
    <w:unhideWhenUsed/>
    <w:rsid w:val="00C16C0E"/>
    <w:rPr>
      <w:color w:val="0000FF" w:themeColor="hyperlink"/>
      <w:u w:val="single"/>
    </w:rPr>
  </w:style>
  <w:style w:type="paragraph" w:styleId="ListParagraph">
    <w:name w:val="List Paragraph"/>
    <w:basedOn w:val="Normal"/>
    <w:uiPriority w:val="99"/>
    <w:qFormat/>
    <w:rsid w:val="00AB2052"/>
    <w:pPr>
      <w:ind w:left="720"/>
      <w:contextualSpacing/>
    </w:pPr>
  </w:style>
  <w:style w:type="paragraph" w:styleId="NormalWeb">
    <w:name w:val="Normal (Web)"/>
    <w:basedOn w:val="Normal"/>
    <w:uiPriority w:val="99"/>
    <w:semiHidden/>
    <w:unhideWhenUsed/>
    <w:rsid w:val="00141E41"/>
    <w:pPr>
      <w:widowControl/>
      <w:autoSpaceDE/>
      <w:autoSpaceDN/>
      <w:adjustRightInd/>
      <w:spacing w:before="100" w:beforeAutospacing="1" w:after="100" w:afterAutospacing="1"/>
    </w:pPr>
    <w:rPr>
      <w:rFonts w:eastAsia="Times New Roman"/>
      <w:sz w:val="24"/>
      <w:szCs w:val="24"/>
      <w:lang w:val="en-AU"/>
    </w:rPr>
  </w:style>
  <w:style w:type="character" w:customStyle="1" w:styleId="Heading1Char">
    <w:name w:val="Heading 1 Char"/>
    <w:basedOn w:val="DefaultParagraphFont"/>
    <w:link w:val="Heading1"/>
    <w:uiPriority w:val="9"/>
    <w:rsid w:val="00837ED2"/>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837ED2"/>
    <w:pPr>
      <w:widowControl/>
      <w:autoSpaceDE/>
      <w:autoSpaceDN/>
      <w:adjustRightInd/>
      <w:spacing w:line="259" w:lineRule="auto"/>
      <w:outlineLvl w:val="9"/>
    </w:pPr>
    <w:rPr>
      <w:lang w:eastAsia="en-US"/>
    </w:rPr>
  </w:style>
  <w:style w:type="character" w:customStyle="1" w:styleId="Heading2Char">
    <w:name w:val="Heading 2 Char"/>
    <w:basedOn w:val="DefaultParagraphFont"/>
    <w:link w:val="Heading2"/>
    <w:uiPriority w:val="9"/>
    <w:rsid w:val="00837ED2"/>
    <w:rPr>
      <w:rFonts w:asciiTheme="majorHAnsi" w:eastAsiaTheme="majorEastAsia" w:hAnsiTheme="majorHAnsi" w:cstheme="majorBidi"/>
      <w:color w:val="365F91" w:themeColor="accent1" w:themeShade="BF"/>
      <w:sz w:val="26"/>
      <w:szCs w:val="26"/>
      <w:lang w:val="en-US"/>
    </w:rPr>
  </w:style>
  <w:style w:type="paragraph" w:styleId="TOC1">
    <w:name w:val="toc 1"/>
    <w:basedOn w:val="Normal"/>
    <w:next w:val="Normal"/>
    <w:autoRedefine/>
    <w:uiPriority w:val="39"/>
    <w:unhideWhenUsed/>
    <w:rsid w:val="00837ED2"/>
    <w:pPr>
      <w:spacing w:after="100"/>
    </w:pPr>
  </w:style>
  <w:style w:type="paragraph" w:styleId="TOC2">
    <w:name w:val="toc 2"/>
    <w:basedOn w:val="Normal"/>
    <w:next w:val="Normal"/>
    <w:autoRedefine/>
    <w:uiPriority w:val="39"/>
    <w:unhideWhenUsed/>
    <w:rsid w:val="00837ED2"/>
    <w:pPr>
      <w:spacing w:after="100"/>
      <w:ind w:left="200"/>
    </w:pPr>
  </w:style>
  <w:style w:type="paragraph" w:styleId="FootnoteText">
    <w:name w:val="footnote text"/>
    <w:basedOn w:val="Normal"/>
    <w:link w:val="FootnoteTextChar"/>
    <w:uiPriority w:val="99"/>
    <w:semiHidden/>
    <w:unhideWhenUsed/>
    <w:rsid w:val="001C1D9C"/>
  </w:style>
  <w:style w:type="character" w:customStyle="1" w:styleId="FootnoteTextChar">
    <w:name w:val="Footnote Text Char"/>
    <w:basedOn w:val="DefaultParagraphFont"/>
    <w:link w:val="FootnoteText"/>
    <w:uiPriority w:val="99"/>
    <w:semiHidden/>
    <w:rsid w:val="001C1D9C"/>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1C1D9C"/>
    <w:rPr>
      <w:vertAlign w:val="superscript"/>
    </w:rPr>
  </w:style>
  <w:style w:type="table" w:styleId="TableGrid">
    <w:name w:val="Table Grid"/>
    <w:basedOn w:val="TableNormal"/>
    <w:uiPriority w:val="59"/>
    <w:rsid w:val="005F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B4ABC"/>
    <w:rPr>
      <w:rFonts w:asciiTheme="majorHAnsi" w:eastAsiaTheme="majorEastAsia" w:hAnsiTheme="majorHAnsi" w:cstheme="majorBidi"/>
      <w:color w:val="243F60" w:themeColor="accent1" w:themeShade="7F"/>
      <w:sz w:val="24"/>
      <w:szCs w:val="24"/>
      <w:lang w:val="en-US"/>
    </w:rPr>
  </w:style>
  <w:style w:type="paragraph" w:styleId="CommentText">
    <w:name w:val="annotation text"/>
    <w:basedOn w:val="Normal"/>
    <w:link w:val="CommentTextChar"/>
    <w:uiPriority w:val="99"/>
    <w:semiHidden/>
    <w:unhideWhenUsed/>
    <w:rsid w:val="000872EC"/>
  </w:style>
  <w:style w:type="character" w:customStyle="1" w:styleId="CommentTextChar">
    <w:name w:val="Comment Text Char"/>
    <w:basedOn w:val="DefaultParagraphFont"/>
    <w:link w:val="CommentText"/>
    <w:uiPriority w:val="99"/>
    <w:semiHidden/>
    <w:rsid w:val="000872EC"/>
    <w:rPr>
      <w:rFonts w:ascii="Times New Roman" w:hAnsi="Times New Roman" w:cs="Times New Roman"/>
      <w:sz w:val="20"/>
      <w:szCs w:val="20"/>
      <w:lang w:val="en-US"/>
    </w:rPr>
  </w:style>
  <w:style w:type="character" w:styleId="CommentReference">
    <w:name w:val="annotation reference"/>
    <w:basedOn w:val="DefaultParagraphFont"/>
    <w:uiPriority w:val="99"/>
    <w:semiHidden/>
    <w:rsid w:val="000872EC"/>
    <w:rPr>
      <w:rFonts w:cs="Times New Roman"/>
      <w:sz w:val="16"/>
      <w:szCs w:val="16"/>
    </w:rPr>
  </w:style>
  <w:style w:type="paragraph" w:styleId="CommentSubject">
    <w:name w:val="annotation subject"/>
    <w:basedOn w:val="CommentText"/>
    <w:next w:val="CommentText"/>
    <w:link w:val="CommentSubjectChar"/>
    <w:uiPriority w:val="99"/>
    <w:semiHidden/>
    <w:unhideWhenUsed/>
    <w:rsid w:val="000872EC"/>
    <w:rPr>
      <w:b/>
      <w:bCs/>
    </w:rPr>
  </w:style>
  <w:style w:type="character" w:customStyle="1" w:styleId="CommentSubjectChar">
    <w:name w:val="Comment Subject Char"/>
    <w:basedOn w:val="CommentTextChar"/>
    <w:link w:val="CommentSubject"/>
    <w:uiPriority w:val="99"/>
    <w:semiHidden/>
    <w:rsid w:val="000872EC"/>
    <w:rPr>
      <w:rFonts w:ascii="Times New Roman" w:hAnsi="Times New Roman" w:cs="Times New Roman"/>
      <w:b/>
      <w:bCs/>
      <w:sz w:val="20"/>
      <w:szCs w:val="20"/>
      <w:lang w:val="en-US"/>
    </w:rPr>
  </w:style>
  <w:style w:type="paragraph" w:customStyle="1" w:styleId="Default">
    <w:name w:val="Default"/>
    <w:rsid w:val="008C78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97980"/>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Heading1">
    <w:name w:val="heading 1"/>
    <w:basedOn w:val="Normal"/>
    <w:next w:val="Normal"/>
    <w:link w:val="Heading1Char"/>
    <w:uiPriority w:val="9"/>
    <w:qFormat/>
    <w:rsid w:val="00837E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7E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4A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201"/>
    <w:rPr>
      <w:rFonts w:ascii="Tahoma" w:hAnsi="Tahoma" w:cs="Tahoma"/>
      <w:sz w:val="16"/>
      <w:szCs w:val="16"/>
    </w:rPr>
  </w:style>
  <w:style w:type="character" w:customStyle="1" w:styleId="BalloonTextChar">
    <w:name w:val="Balloon Text Char"/>
    <w:basedOn w:val="DefaultParagraphFont"/>
    <w:link w:val="BalloonText"/>
    <w:uiPriority w:val="99"/>
    <w:semiHidden/>
    <w:rsid w:val="00376201"/>
    <w:rPr>
      <w:rFonts w:ascii="Tahoma" w:hAnsi="Tahoma" w:cs="Tahoma"/>
      <w:sz w:val="16"/>
      <w:szCs w:val="16"/>
      <w:lang w:val="en-US"/>
    </w:rPr>
  </w:style>
  <w:style w:type="paragraph" w:styleId="Header">
    <w:name w:val="header"/>
    <w:basedOn w:val="Normal"/>
    <w:link w:val="HeaderChar"/>
    <w:uiPriority w:val="99"/>
    <w:unhideWhenUsed/>
    <w:rsid w:val="00CA0F88"/>
    <w:pPr>
      <w:tabs>
        <w:tab w:val="center" w:pos="4513"/>
        <w:tab w:val="right" w:pos="9026"/>
      </w:tabs>
    </w:pPr>
  </w:style>
  <w:style w:type="character" w:customStyle="1" w:styleId="HeaderChar">
    <w:name w:val="Header Char"/>
    <w:basedOn w:val="DefaultParagraphFont"/>
    <w:link w:val="Header"/>
    <w:uiPriority w:val="99"/>
    <w:rsid w:val="00CA0F88"/>
    <w:rPr>
      <w:rFonts w:ascii="Times New Roman" w:hAnsi="Times New Roman" w:cs="Times New Roman"/>
      <w:sz w:val="20"/>
      <w:szCs w:val="20"/>
      <w:lang w:val="en-US"/>
    </w:rPr>
  </w:style>
  <w:style w:type="paragraph" w:styleId="Footer">
    <w:name w:val="footer"/>
    <w:basedOn w:val="Normal"/>
    <w:link w:val="FooterChar"/>
    <w:uiPriority w:val="99"/>
    <w:unhideWhenUsed/>
    <w:rsid w:val="00CA0F88"/>
    <w:pPr>
      <w:tabs>
        <w:tab w:val="center" w:pos="4513"/>
        <w:tab w:val="right" w:pos="9026"/>
      </w:tabs>
    </w:pPr>
  </w:style>
  <w:style w:type="character" w:customStyle="1" w:styleId="FooterChar">
    <w:name w:val="Footer Char"/>
    <w:basedOn w:val="DefaultParagraphFont"/>
    <w:link w:val="Footer"/>
    <w:uiPriority w:val="99"/>
    <w:rsid w:val="00CA0F88"/>
    <w:rPr>
      <w:rFonts w:ascii="Times New Roman" w:hAnsi="Times New Roman" w:cs="Times New Roman"/>
      <w:sz w:val="20"/>
      <w:szCs w:val="20"/>
      <w:lang w:val="en-US"/>
    </w:rPr>
  </w:style>
  <w:style w:type="character" w:styleId="Hyperlink">
    <w:name w:val="Hyperlink"/>
    <w:basedOn w:val="DefaultParagraphFont"/>
    <w:uiPriority w:val="99"/>
    <w:unhideWhenUsed/>
    <w:rsid w:val="00C16C0E"/>
    <w:rPr>
      <w:color w:val="0000FF" w:themeColor="hyperlink"/>
      <w:u w:val="single"/>
    </w:rPr>
  </w:style>
  <w:style w:type="paragraph" w:styleId="ListParagraph">
    <w:name w:val="List Paragraph"/>
    <w:basedOn w:val="Normal"/>
    <w:uiPriority w:val="99"/>
    <w:qFormat/>
    <w:rsid w:val="00AB2052"/>
    <w:pPr>
      <w:ind w:left="720"/>
      <w:contextualSpacing/>
    </w:pPr>
  </w:style>
  <w:style w:type="paragraph" w:styleId="NormalWeb">
    <w:name w:val="Normal (Web)"/>
    <w:basedOn w:val="Normal"/>
    <w:uiPriority w:val="99"/>
    <w:semiHidden/>
    <w:unhideWhenUsed/>
    <w:rsid w:val="00141E41"/>
    <w:pPr>
      <w:widowControl/>
      <w:autoSpaceDE/>
      <w:autoSpaceDN/>
      <w:adjustRightInd/>
      <w:spacing w:before="100" w:beforeAutospacing="1" w:after="100" w:afterAutospacing="1"/>
    </w:pPr>
    <w:rPr>
      <w:rFonts w:eastAsia="Times New Roman"/>
      <w:sz w:val="24"/>
      <w:szCs w:val="24"/>
      <w:lang w:val="en-AU"/>
    </w:rPr>
  </w:style>
  <w:style w:type="character" w:customStyle="1" w:styleId="Heading1Char">
    <w:name w:val="Heading 1 Char"/>
    <w:basedOn w:val="DefaultParagraphFont"/>
    <w:link w:val="Heading1"/>
    <w:uiPriority w:val="9"/>
    <w:rsid w:val="00837ED2"/>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837ED2"/>
    <w:pPr>
      <w:widowControl/>
      <w:autoSpaceDE/>
      <w:autoSpaceDN/>
      <w:adjustRightInd/>
      <w:spacing w:line="259" w:lineRule="auto"/>
      <w:outlineLvl w:val="9"/>
    </w:pPr>
    <w:rPr>
      <w:lang w:eastAsia="en-US"/>
    </w:rPr>
  </w:style>
  <w:style w:type="character" w:customStyle="1" w:styleId="Heading2Char">
    <w:name w:val="Heading 2 Char"/>
    <w:basedOn w:val="DefaultParagraphFont"/>
    <w:link w:val="Heading2"/>
    <w:uiPriority w:val="9"/>
    <w:rsid w:val="00837ED2"/>
    <w:rPr>
      <w:rFonts w:asciiTheme="majorHAnsi" w:eastAsiaTheme="majorEastAsia" w:hAnsiTheme="majorHAnsi" w:cstheme="majorBidi"/>
      <w:color w:val="365F91" w:themeColor="accent1" w:themeShade="BF"/>
      <w:sz w:val="26"/>
      <w:szCs w:val="26"/>
      <w:lang w:val="en-US"/>
    </w:rPr>
  </w:style>
  <w:style w:type="paragraph" w:styleId="TOC1">
    <w:name w:val="toc 1"/>
    <w:basedOn w:val="Normal"/>
    <w:next w:val="Normal"/>
    <w:autoRedefine/>
    <w:uiPriority w:val="39"/>
    <w:unhideWhenUsed/>
    <w:rsid w:val="00837ED2"/>
    <w:pPr>
      <w:spacing w:after="100"/>
    </w:pPr>
  </w:style>
  <w:style w:type="paragraph" w:styleId="TOC2">
    <w:name w:val="toc 2"/>
    <w:basedOn w:val="Normal"/>
    <w:next w:val="Normal"/>
    <w:autoRedefine/>
    <w:uiPriority w:val="39"/>
    <w:unhideWhenUsed/>
    <w:rsid w:val="00837ED2"/>
    <w:pPr>
      <w:spacing w:after="100"/>
      <w:ind w:left="200"/>
    </w:pPr>
  </w:style>
  <w:style w:type="paragraph" w:styleId="FootnoteText">
    <w:name w:val="footnote text"/>
    <w:basedOn w:val="Normal"/>
    <w:link w:val="FootnoteTextChar"/>
    <w:uiPriority w:val="99"/>
    <w:semiHidden/>
    <w:unhideWhenUsed/>
    <w:rsid w:val="001C1D9C"/>
  </w:style>
  <w:style w:type="character" w:customStyle="1" w:styleId="FootnoteTextChar">
    <w:name w:val="Footnote Text Char"/>
    <w:basedOn w:val="DefaultParagraphFont"/>
    <w:link w:val="FootnoteText"/>
    <w:uiPriority w:val="99"/>
    <w:semiHidden/>
    <w:rsid w:val="001C1D9C"/>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1C1D9C"/>
    <w:rPr>
      <w:vertAlign w:val="superscript"/>
    </w:rPr>
  </w:style>
  <w:style w:type="table" w:styleId="TableGrid">
    <w:name w:val="Table Grid"/>
    <w:basedOn w:val="TableNormal"/>
    <w:uiPriority w:val="59"/>
    <w:rsid w:val="005F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B4ABC"/>
    <w:rPr>
      <w:rFonts w:asciiTheme="majorHAnsi" w:eastAsiaTheme="majorEastAsia" w:hAnsiTheme="majorHAnsi" w:cstheme="majorBidi"/>
      <w:color w:val="243F60" w:themeColor="accent1" w:themeShade="7F"/>
      <w:sz w:val="24"/>
      <w:szCs w:val="24"/>
      <w:lang w:val="en-US"/>
    </w:rPr>
  </w:style>
  <w:style w:type="paragraph" w:styleId="CommentText">
    <w:name w:val="annotation text"/>
    <w:basedOn w:val="Normal"/>
    <w:link w:val="CommentTextChar"/>
    <w:uiPriority w:val="99"/>
    <w:semiHidden/>
    <w:unhideWhenUsed/>
    <w:rsid w:val="000872EC"/>
  </w:style>
  <w:style w:type="character" w:customStyle="1" w:styleId="CommentTextChar">
    <w:name w:val="Comment Text Char"/>
    <w:basedOn w:val="DefaultParagraphFont"/>
    <w:link w:val="CommentText"/>
    <w:uiPriority w:val="99"/>
    <w:semiHidden/>
    <w:rsid w:val="000872EC"/>
    <w:rPr>
      <w:rFonts w:ascii="Times New Roman" w:hAnsi="Times New Roman" w:cs="Times New Roman"/>
      <w:sz w:val="20"/>
      <w:szCs w:val="20"/>
      <w:lang w:val="en-US"/>
    </w:rPr>
  </w:style>
  <w:style w:type="character" w:styleId="CommentReference">
    <w:name w:val="annotation reference"/>
    <w:basedOn w:val="DefaultParagraphFont"/>
    <w:uiPriority w:val="99"/>
    <w:semiHidden/>
    <w:rsid w:val="000872EC"/>
    <w:rPr>
      <w:rFonts w:cs="Times New Roman"/>
      <w:sz w:val="16"/>
      <w:szCs w:val="16"/>
    </w:rPr>
  </w:style>
  <w:style w:type="paragraph" w:styleId="CommentSubject">
    <w:name w:val="annotation subject"/>
    <w:basedOn w:val="CommentText"/>
    <w:next w:val="CommentText"/>
    <w:link w:val="CommentSubjectChar"/>
    <w:uiPriority w:val="99"/>
    <w:semiHidden/>
    <w:unhideWhenUsed/>
    <w:rsid w:val="000872EC"/>
    <w:rPr>
      <w:b/>
      <w:bCs/>
    </w:rPr>
  </w:style>
  <w:style w:type="character" w:customStyle="1" w:styleId="CommentSubjectChar">
    <w:name w:val="Comment Subject Char"/>
    <w:basedOn w:val="CommentTextChar"/>
    <w:link w:val="CommentSubject"/>
    <w:uiPriority w:val="99"/>
    <w:semiHidden/>
    <w:rsid w:val="000872EC"/>
    <w:rPr>
      <w:rFonts w:ascii="Times New Roman" w:hAnsi="Times New Roman" w:cs="Times New Roman"/>
      <w:b/>
      <w:bCs/>
      <w:sz w:val="20"/>
      <w:szCs w:val="20"/>
      <w:lang w:val="en-US"/>
    </w:rPr>
  </w:style>
  <w:style w:type="paragraph" w:customStyle="1" w:styleId="Default">
    <w:name w:val="Default"/>
    <w:rsid w:val="008C78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0790">
      <w:bodyDiv w:val="1"/>
      <w:marLeft w:val="0"/>
      <w:marRight w:val="0"/>
      <w:marTop w:val="0"/>
      <w:marBottom w:val="0"/>
      <w:divBdr>
        <w:top w:val="none" w:sz="0" w:space="0" w:color="auto"/>
        <w:left w:val="none" w:sz="0" w:space="0" w:color="auto"/>
        <w:bottom w:val="none" w:sz="0" w:space="0" w:color="auto"/>
        <w:right w:val="none" w:sz="0" w:space="0" w:color="auto"/>
      </w:divBdr>
    </w:div>
    <w:div w:id="250745560">
      <w:bodyDiv w:val="1"/>
      <w:marLeft w:val="0"/>
      <w:marRight w:val="0"/>
      <w:marTop w:val="0"/>
      <w:marBottom w:val="0"/>
      <w:divBdr>
        <w:top w:val="none" w:sz="0" w:space="0" w:color="auto"/>
        <w:left w:val="none" w:sz="0" w:space="0" w:color="auto"/>
        <w:bottom w:val="none" w:sz="0" w:space="0" w:color="auto"/>
        <w:right w:val="none" w:sz="0" w:space="0" w:color="auto"/>
      </w:divBdr>
    </w:div>
    <w:div w:id="380520679">
      <w:bodyDiv w:val="1"/>
      <w:marLeft w:val="0"/>
      <w:marRight w:val="0"/>
      <w:marTop w:val="0"/>
      <w:marBottom w:val="0"/>
      <w:divBdr>
        <w:top w:val="none" w:sz="0" w:space="0" w:color="auto"/>
        <w:left w:val="none" w:sz="0" w:space="0" w:color="auto"/>
        <w:bottom w:val="none" w:sz="0" w:space="0" w:color="auto"/>
        <w:right w:val="none" w:sz="0" w:space="0" w:color="auto"/>
      </w:divBdr>
    </w:div>
    <w:div w:id="456803485">
      <w:bodyDiv w:val="1"/>
      <w:marLeft w:val="0"/>
      <w:marRight w:val="0"/>
      <w:marTop w:val="0"/>
      <w:marBottom w:val="0"/>
      <w:divBdr>
        <w:top w:val="none" w:sz="0" w:space="0" w:color="auto"/>
        <w:left w:val="none" w:sz="0" w:space="0" w:color="auto"/>
        <w:bottom w:val="none" w:sz="0" w:space="0" w:color="auto"/>
        <w:right w:val="none" w:sz="0" w:space="0" w:color="auto"/>
      </w:divBdr>
    </w:div>
    <w:div w:id="725756693">
      <w:bodyDiv w:val="1"/>
      <w:marLeft w:val="0"/>
      <w:marRight w:val="0"/>
      <w:marTop w:val="0"/>
      <w:marBottom w:val="0"/>
      <w:divBdr>
        <w:top w:val="none" w:sz="0" w:space="0" w:color="auto"/>
        <w:left w:val="none" w:sz="0" w:space="0" w:color="auto"/>
        <w:bottom w:val="none" w:sz="0" w:space="0" w:color="auto"/>
        <w:right w:val="none" w:sz="0" w:space="0" w:color="auto"/>
      </w:divBdr>
    </w:div>
    <w:div w:id="1455833208">
      <w:bodyDiv w:val="1"/>
      <w:marLeft w:val="0"/>
      <w:marRight w:val="0"/>
      <w:marTop w:val="0"/>
      <w:marBottom w:val="0"/>
      <w:divBdr>
        <w:top w:val="none" w:sz="0" w:space="0" w:color="auto"/>
        <w:left w:val="none" w:sz="0" w:space="0" w:color="auto"/>
        <w:bottom w:val="none" w:sz="0" w:space="0" w:color="auto"/>
        <w:right w:val="none" w:sz="0" w:space="0" w:color="auto"/>
      </w:divBdr>
    </w:div>
    <w:div w:id="167283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ta.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au/~/media/Treasury/Consultations%20and%20Reviews/Consultations/2015/2016%20Pre%20Budget%20submissions/Submissions/PDF/Australian%20Dental%20Association.ashx" TargetMode="External"/><Relationship Id="rId3" Type="http://schemas.openxmlformats.org/officeDocument/2006/relationships/hyperlink" Target="http://jss.org.au/submission-to-the-competition-policy-review/" TargetMode="External"/><Relationship Id="rId7" Type="http://schemas.openxmlformats.org/officeDocument/2006/relationships/hyperlink" Target="http://www.aihw.gov.au/deaths/" TargetMode="External"/><Relationship Id="rId2" Type="http://schemas.openxmlformats.org/officeDocument/2006/relationships/hyperlink" Target="http://www.cota.org.au/lib/pdf/COTA_Australia/public_policy/cota-australia-2016-federal-election-platform.pdf" TargetMode="External"/><Relationship Id="rId1" Type="http://schemas.openxmlformats.org/officeDocument/2006/relationships/hyperlink" Target="http://www.powertopersuade.org.au/blog/social-service-futures-market-driven-innovation-is-a-double-edged-sword/23/5/2016" TargetMode="External"/><Relationship Id="rId6" Type="http://schemas.openxmlformats.org/officeDocument/2006/relationships/hyperlink" Target="http://www.aihw.gov.au/WorkArea/DownloadAsset.aspx?id=60129554729" TargetMode="External"/><Relationship Id="rId5" Type="http://schemas.openxmlformats.org/officeDocument/2006/relationships/hyperlink" Target="http://www.aihw.gov.au/ageing/older-australia-at-a-glance/" TargetMode="External"/><Relationship Id="rId4" Type="http://schemas.openxmlformats.org/officeDocument/2006/relationships/hyperlink" Target="http://www.powertopersuade.org.au/blog/is-the-productivity-commission-still-fit-for-purpose/18/4/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PCDOC-380165220-773</_dlc_DocId>
    <_dlc_DocIdUrl xmlns="3f4bcce7-ac1a-4c9d-aa3e-7e77695652db">
      <Url>https://inet.pc.gov.au/pmo/inq/hs/_layouts/15/DocIdRedir.aspx?ID=PCDOC-380165220-773</Url>
      <Description>PCDOC-380165220-773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FE92A-205C-4671-93A9-8A1F05E02DED}">
  <ds:schemaRefs>
    <ds:schemaRef ds:uri="Microsoft.SharePoint.Taxonomy.ContentTypeSync"/>
  </ds:schemaRefs>
</ds:datastoreItem>
</file>

<file path=customXml/itemProps2.xml><?xml version="1.0" encoding="utf-8"?>
<ds:datastoreItem xmlns:ds="http://schemas.openxmlformats.org/officeDocument/2006/customXml" ds:itemID="{7A0872C1-3D7E-47A6-8674-04C22ACAE177}">
  <ds:schemaRefs>
    <ds:schemaRef ds:uri="http://schemas.microsoft.com/sharepoint/v3/contenttype/forms"/>
  </ds:schemaRefs>
</ds:datastoreItem>
</file>

<file path=customXml/itemProps3.xml><?xml version="1.0" encoding="utf-8"?>
<ds:datastoreItem xmlns:ds="http://schemas.openxmlformats.org/officeDocument/2006/customXml" ds:itemID="{D1126BAE-EF90-4793-9476-0C64FB4C8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B76F7-9C3D-42B4-853C-0584719FD8CF}">
  <ds:schemaRefs>
    <ds:schemaRef ds:uri="http://schemas.microsoft.com/sharepoint/events"/>
  </ds:schemaRefs>
</ds:datastoreItem>
</file>

<file path=customXml/itemProps5.xml><?xml version="1.0" encoding="utf-8"?>
<ds:datastoreItem xmlns:ds="http://schemas.openxmlformats.org/officeDocument/2006/customXml" ds:itemID="{C59B7E31-4DB6-4B5F-BDE2-5773AA5DF237}">
  <ds:schemaRefs>
    <ds:schemaRef ds:uri="http://schemas.microsoft.com/office/2006/metadata/customXsn"/>
  </ds:schemaRefs>
</ds:datastoreItem>
</file>

<file path=customXml/itemProps6.xml><?xml version="1.0" encoding="utf-8"?>
<ds:datastoreItem xmlns:ds="http://schemas.openxmlformats.org/officeDocument/2006/customXml" ds:itemID="{ECEBED02-EA38-4706-825A-74BFA7170D0B}">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3f4bcce7-ac1a-4c9d-aa3e-7e77695652db"/>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334C39E1-ECC5-4F71-B56E-D8C3F193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3903</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456 - COTA Australia - Reforms to Human Services - Stage 2 of Human Services public inquiry</vt:lpstr>
    </vt:vector>
  </TitlesOfParts>
  <Company>COTA Australia</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456 - COTA Australia - Reforms to Human Services - Stage 2 of Human Services public inquiry</dc:title>
  <dc:creator>COTA Australia</dc:creator>
  <cp:keywords/>
  <cp:lastModifiedBy>Pimperl, Mark</cp:lastModifiedBy>
  <cp:revision>4</cp:revision>
  <cp:lastPrinted>2016-08-09T03:31:00Z</cp:lastPrinted>
  <dcterms:created xsi:type="dcterms:W3CDTF">2017-02-15T02:58:00Z</dcterms:created>
  <dcterms:modified xsi:type="dcterms:W3CDTF">2017-02-15T23:14:00Z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477cffb2-8187-4528-b4ee-83baa6379ae9</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