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FF818" w14:textId="77777777" w:rsidR="000A632E" w:rsidRDefault="000A632E" w:rsidP="000A632E">
      <w:pPr>
        <w:pStyle w:val="Title"/>
        <w:rPr>
          <w:rFonts w:asciiTheme="minorHAnsi" w:hAnsiTheme="minorHAnsi"/>
          <w:b/>
          <w:sz w:val="40"/>
          <w:szCs w:val="40"/>
        </w:rPr>
      </w:pPr>
    </w:p>
    <w:p w14:paraId="58FD6A30" w14:textId="77777777" w:rsidR="00F43362" w:rsidRDefault="00F43362" w:rsidP="00F43362">
      <w:pPr>
        <w:pStyle w:val="Title"/>
        <w:rPr>
          <w:rFonts w:asciiTheme="minorHAnsi" w:hAnsiTheme="minorHAnsi"/>
          <w:b/>
          <w:sz w:val="40"/>
          <w:szCs w:val="40"/>
        </w:rPr>
      </w:pPr>
    </w:p>
    <w:p w14:paraId="0CDF997E" w14:textId="77777777" w:rsidR="00F43362" w:rsidRDefault="00F43362" w:rsidP="00F43362">
      <w:pPr>
        <w:pStyle w:val="Title"/>
        <w:rPr>
          <w:rFonts w:asciiTheme="minorHAnsi" w:hAnsiTheme="minorHAnsi"/>
          <w:b/>
          <w:sz w:val="40"/>
          <w:szCs w:val="40"/>
        </w:rPr>
      </w:pPr>
    </w:p>
    <w:p w14:paraId="79103962" w14:textId="77777777" w:rsidR="00F43362" w:rsidRDefault="00F43362" w:rsidP="00F43362">
      <w:pPr>
        <w:pStyle w:val="Title"/>
        <w:rPr>
          <w:rFonts w:asciiTheme="minorHAnsi" w:hAnsiTheme="minorHAnsi"/>
          <w:b/>
          <w:sz w:val="40"/>
          <w:szCs w:val="40"/>
        </w:rPr>
      </w:pPr>
    </w:p>
    <w:p w14:paraId="7E7650CB" w14:textId="77777777" w:rsidR="00F43362" w:rsidRDefault="00F43362" w:rsidP="00F43362">
      <w:pPr>
        <w:pStyle w:val="Title"/>
        <w:rPr>
          <w:rFonts w:asciiTheme="minorHAnsi" w:hAnsiTheme="minorHAnsi"/>
          <w:b/>
          <w:sz w:val="40"/>
          <w:szCs w:val="40"/>
        </w:rPr>
      </w:pPr>
    </w:p>
    <w:p w14:paraId="1C06870A" w14:textId="77777777" w:rsidR="000A632E" w:rsidRPr="00F43362" w:rsidRDefault="00A07700" w:rsidP="00F43362">
      <w:pPr>
        <w:pStyle w:val="Title"/>
        <w:jc w:val="center"/>
        <w:rPr>
          <w:rFonts w:asciiTheme="minorHAnsi" w:hAnsiTheme="minorHAnsi"/>
          <w:b/>
          <w:sz w:val="48"/>
          <w:szCs w:val="48"/>
        </w:rPr>
      </w:pPr>
      <w:r w:rsidRPr="00F43362">
        <w:rPr>
          <w:rFonts w:asciiTheme="minorHAnsi" w:hAnsiTheme="minorHAnsi"/>
          <w:b/>
          <w:sz w:val="48"/>
          <w:szCs w:val="48"/>
        </w:rPr>
        <w:t xml:space="preserve">The provision of services under the NDIS for people with disabilities who are in contact </w:t>
      </w:r>
      <w:bookmarkStart w:id="0" w:name="_GoBack"/>
      <w:bookmarkEnd w:id="0"/>
      <w:r w:rsidRPr="00F43362">
        <w:rPr>
          <w:rFonts w:asciiTheme="minorHAnsi" w:hAnsiTheme="minorHAnsi"/>
          <w:b/>
          <w:sz w:val="48"/>
          <w:szCs w:val="48"/>
        </w:rPr>
        <w:t>with the criminal justice system</w:t>
      </w:r>
    </w:p>
    <w:p w14:paraId="417757E2" w14:textId="77777777" w:rsidR="00F43362" w:rsidRDefault="00F43362" w:rsidP="00F43362">
      <w:pPr>
        <w:pStyle w:val="PwCNormal"/>
        <w:numPr>
          <w:ilvl w:val="0"/>
          <w:numId w:val="0"/>
        </w:numPr>
        <w:jc w:val="center"/>
        <w:rPr>
          <w:rFonts w:asciiTheme="minorHAnsi" w:hAnsiTheme="minorHAnsi"/>
          <w:sz w:val="32"/>
          <w:szCs w:val="32"/>
        </w:rPr>
      </w:pPr>
    </w:p>
    <w:p w14:paraId="2412F436" w14:textId="77777777" w:rsidR="006365D7" w:rsidRDefault="00A07700" w:rsidP="00F43362">
      <w:pPr>
        <w:pStyle w:val="PwCNormal"/>
        <w:numPr>
          <w:ilvl w:val="0"/>
          <w:numId w:val="0"/>
        </w:numPr>
        <w:jc w:val="center"/>
        <w:rPr>
          <w:rFonts w:asciiTheme="minorHAnsi" w:hAnsiTheme="minorHAnsi"/>
          <w:sz w:val="44"/>
          <w:szCs w:val="44"/>
        </w:rPr>
      </w:pPr>
      <w:r w:rsidRPr="00F43362">
        <w:rPr>
          <w:rFonts w:asciiTheme="minorHAnsi" w:hAnsiTheme="minorHAnsi"/>
          <w:sz w:val="44"/>
          <w:szCs w:val="44"/>
        </w:rPr>
        <w:t>Supplementary S</w:t>
      </w:r>
      <w:r w:rsidR="000A632E" w:rsidRPr="00F43362">
        <w:rPr>
          <w:rFonts w:asciiTheme="minorHAnsi" w:hAnsiTheme="minorHAnsi"/>
          <w:sz w:val="44"/>
          <w:szCs w:val="44"/>
        </w:rPr>
        <w:t>ubmission</w:t>
      </w:r>
      <w:r w:rsidR="00F43362" w:rsidRPr="00F43362">
        <w:rPr>
          <w:rFonts w:asciiTheme="minorHAnsi" w:hAnsiTheme="minorHAnsi"/>
          <w:sz w:val="44"/>
          <w:szCs w:val="44"/>
        </w:rPr>
        <w:t xml:space="preserve"> </w:t>
      </w:r>
      <w:r w:rsidR="006365D7">
        <w:rPr>
          <w:rFonts w:asciiTheme="minorHAnsi" w:hAnsiTheme="minorHAnsi"/>
          <w:sz w:val="44"/>
          <w:szCs w:val="44"/>
        </w:rPr>
        <w:t xml:space="preserve">to the </w:t>
      </w:r>
    </w:p>
    <w:p w14:paraId="1A735D5C" w14:textId="062F941D" w:rsidR="00F83900" w:rsidRPr="00F43362" w:rsidRDefault="006365D7" w:rsidP="00F43362">
      <w:pPr>
        <w:pStyle w:val="PwCNormal"/>
        <w:numPr>
          <w:ilvl w:val="0"/>
          <w:numId w:val="0"/>
        </w:numPr>
        <w:jc w:val="center"/>
        <w:rPr>
          <w:rFonts w:asciiTheme="minorHAnsi" w:hAnsiTheme="minorHAnsi"/>
          <w:sz w:val="44"/>
          <w:szCs w:val="44"/>
        </w:rPr>
      </w:pPr>
      <w:r>
        <w:rPr>
          <w:rFonts w:asciiTheme="minorHAnsi" w:hAnsiTheme="minorHAnsi"/>
          <w:sz w:val="44"/>
          <w:szCs w:val="44"/>
        </w:rPr>
        <w:t xml:space="preserve">Productivity Commission </w:t>
      </w:r>
    </w:p>
    <w:p w14:paraId="56D1473F" w14:textId="77777777" w:rsidR="00F43362" w:rsidRDefault="00F43362" w:rsidP="000A632E">
      <w:pPr>
        <w:spacing w:after="0" w:line="240" w:lineRule="auto"/>
        <w:jc w:val="center"/>
        <w:rPr>
          <w:rFonts w:eastAsia="MS Mincho" w:cs="Times"/>
          <w:sz w:val="24"/>
          <w:szCs w:val="24"/>
          <w:lang w:val="en-US"/>
        </w:rPr>
      </w:pPr>
    </w:p>
    <w:p w14:paraId="35A717E6" w14:textId="77777777" w:rsidR="00F43362" w:rsidRDefault="00F43362" w:rsidP="000A632E">
      <w:pPr>
        <w:spacing w:after="0" w:line="240" w:lineRule="auto"/>
        <w:jc w:val="center"/>
        <w:rPr>
          <w:rFonts w:eastAsia="MS Mincho" w:cs="Times"/>
          <w:sz w:val="26"/>
          <w:szCs w:val="26"/>
          <w:lang w:val="en-US"/>
        </w:rPr>
      </w:pPr>
    </w:p>
    <w:p w14:paraId="51827141" w14:textId="77777777" w:rsidR="00496E6D" w:rsidRPr="00496E6D" w:rsidRDefault="00496E6D" w:rsidP="000A632E">
      <w:pPr>
        <w:spacing w:after="0" w:line="240" w:lineRule="auto"/>
        <w:jc w:val="center"/>
        <w:rPr>
          <w:rFonts w:eastAsia="MS Mincho" w:cs="Times"/>
          <w:sz w:val="26"/>
          <w:szCs w:val="26"/>
          <w:lang w:val="en-US"/>
        </w:rPr>
      </w:pPr>
    </w:p>
    <w:p w14:paraId="664CAE7D" w14:textId="1AE93EBA" w:rsidR="000A632E" w:rsidRPr="00A23ADD" w:rsidRDefault="000A632E" w:rsidP="002D6F48">
      <w:pPr>
        <w:spacing w:after="0" w:line="240" w:lineRule="auto"/>
        <w:jc w:val="center"/>
        <w:rPr>
          <w:rFonts w:eastAsia="MS Mincho" w:cs="Times"/>
          <w:sz w:val="24"/>
          <w:szCs w:val="24"/>
          <w:lang w:val="en-US"/>
        </w:rPr>
      </w:pPr>
      <w:r w:rsidRPr="00A23ADD">
        <w:rPr>
          <w:rFonts w:eastAsia="MS Mincho" w:cs="Times"/>
          <w:sz w:val="24"/>
          <w:szCs w:val="24"/>
          <w:lang w:val="en-US"/>
        </w:rPr>
        <w:t>Coordinated by</w:t>
      </w:r>
      <w:r w:rsidR="002D6F48">
        <w:rPr>
          <w:rFonts w:eastAsia="MS Mincho" w:cs="Times"/>
          <w:sz w:val="24"/>
          <w:szCs w:val="24"/>
          <w:lang w:val="en-US"/>
        </w:rPr>
        <w:t xml:space="preserve"> </w:t>
      </w:r>
      <w:r w:rsidRPr="00A23ADD">
        <w:rPr>
          <w:rFonts w:eastAsia="MS Mincho" w:cs="Times"/>
          <w:sz w:val="24"/>
          <w:szCs w:val="24"/>
          <w:lang w:val="en-US"/>
        </w:rPr>
        <w:t>Australians for Disability Justice (ADJ)</w:t>
      </w:r>
    </w:p>
    <w:p w14:paraId="6B5D0E1C" w14:textId="77777777" w:rsidR="000A632E" w:rsidRPr="00A23ADD" w:rsidRDefault="000A632E" w:rsidP="000A632E">
      <w:pPr>
        <w:spacing w:after="0"/>
        <w:jc w:val="center"/>
        <w:rPr>
          <w:sz w:val="24"/>
          <w:szCs w:val="24"/>
        </w:rPr>
      </w:pPr>
      <w:r w:rsidRPr="00A23ADD">
        <w:rPr>
          <w:rFonts w:eastAsia="MS Mincho" w:cs="Times"/>
          <w:color w:val="191919"/>
          <w:sz w:val="24"/>
          <w:szCs w:val="24"/>
          <w:lang w:val="en-US"/>
        </w:rPr>
        <w:t>ADJ is a national campaign that advocates for changes to legislation policy and practice regarding the recurrent and indefinite detention of people with cognitive impairment and mental health disorders.  ADJ particularly focuses on the impact of detention on Indigenous Australians.</w:t>
      </w:r>
    </w:p>
    <w:p w14:paraId="6F013E7C" w14:textId="77777777" w:rsidR="00F43362" w:rsidRPr="00A23ADD" w:rsidRDefault="00F43362" w:rsidP="00A07700">
      <w:pPr>
        <w:spacing w:line="240" w:lineRule="auto"/>
        <w:rPr>
          <w:rFonts w:cs="Arial"/>
          <w:sz w:val="24"/>
          <w:szCs w:val="24"/>
        </w:rPr>
      </w:pPr>
    </w:p>
    <w:p w14:paraId="143FB457" w14:textId="77777777" w:rsidR="00496E6D" w:rsidRPr="00A23ADD" w:rsidRDefault="00496E6D" w:rsidP="00A07700">
      <w:pPr>
        <w:pStyle w:val="PwCNormal"/>
        <w:numPr>
          <w:ilvl w:val="0"/>
          <w:numId w:val="0"/>
        </w:numPr>
        <w:rPr>
          <w:sz w:val="24"/>
          <w:szCs w:val="24"/>
        </w:rPr>
      </w:pPr>
    </w:p>
    <w:p w14:paraId="1D1A8A9A" w14:textId="7F69359F" w:rsidR="004B6BAB" w:rsidRDefault="00496E6D" w:rsidP="002D6F48">
      <w:pPr>
        <w:pStyle w:val="PwCNormal"/>
        <w:numPr>
          <w:ilvl w:val="0"/>
          <w:numId w:val="0"/>
        </w:numPr>
        <w:jc w:val="center"/>
        <w:rPr>
          <w:rFonts w:asciiTheme="minorHAnsi" w:hAnsiTheme="minorHAnsi"/>
          <w:sz w:val="24"/>
          <w:szCs w:val="24"/>
        </w:rPr>
      </w:pPr>
      <w:r w:rsidRPr="00A23ADD">
        <w:rPr>
          <w:rFonts w:asciiTheme="minorHAnsi" w:hAnsiTheme="minorHAnsi"/>
          <w:sz w:val="24"/>
          <w:szCs w:val="24"/>
        </w:rPr>
        <w:t>Written by Patrick McGee, Rikki M</w:t>
      </w:r>
      <w:r w:rsidR="004B6BAB">
        <w:rPr>
          <w:rFonts w:asciiTheme="minorHAnsi" w:hAnsiTheme="minorHAnsi"/>
          <w:sz w:val="24"/>
          <w:szCs w:val="24"/>
        </w:rPr>
        <w:t xml:space="preserve">awad, Professor Eileen Baldry, </w:t>
      </w:r>
    </w:p>
    <w:p w14:paraId="7822D260" w14:textId="579D3BAE" w:rsidR="00F43362" w:rsidRPr="00A23ADD" w:rsidRDefault="004B6BAB" w:rsidP="002D6F48">
      <w:pPr>
        <w:pStyle w:val="PwCNormal"/>
        <w:numPr>
          <w:ilvl w:val="0"/>
          <w:numId w:val="0"/>
        </w:numPr>
        <w:jc w:val="center"/>
        <w:rPr>
          <w:rFonts w:asciiTheme="minorHAnsi" w:hAnsiTheme="minorHAnsi"/>
          <w:sz w:val="24"/>
          <w:szCs w:val="24"/>
        </w:rPr>
      </w:pPr>
      <w:r>
        <w:rPr>
          <w:rFonts w:asciiTheme="minorHAnsi" w:hAnsiTheme="minorHAnsi"/>
          <w:sz w:val="24"/>
          <w:szCs w:val="24"/>
        </w:rPr>
        <w:t xml:space="preserve">Dr Piers Gooding, </w:t>
      </w:r>
      <w:r w:rsidR="00496E6D" w:rsidRPr="00A23ADD">
        <w:rPr>
          <w:rFonts w:asciiTheme="minorHAnsi" w:hAnsiTheme="minorHAnsi"/>
          <w:sz w:val="24"/>
          <w:szCs w:val="24"/>
        </w:rPr>
        <w:t>Dr Emma Phillips</w:t>
      </w:r>
      <w:r>
        <w:rPr>
          <w:rFonts w:asciiTheme="minorHAnsi" w:hAnsiTheme="minorHAnsi"/>
          <w:sz w:val="24"/>
          <w:szCs w:val="24"/>
        </w:rPr>
        <w:t xml:space="preserve"> and Simone Rowe</w:t>
      </w:r>
    </w:p>
    <w:p w14:paraId="775CBC74" w14:textId="77777777" w:rsidR="00496E6D" w:rsidRDefault="00496E6D" w:rsidP="00CE2D41">
      <w:pPr>
        <w:pStyle w:val="PwCNormal"/>
        <w:numPr>
          <w:ilvl w:val="0"/>
          <w:numId w:val="0"/>
        </w:numPr>
        <w:rPr>
          <w:rFonts w:asciiTheme="minorHAnsi" w:hAnsiTheme="minorHAnsi"/>
          <w:sz w:val="26"/>
          <w:szCs w:val="26"/>
        </w:rPr>
      </w:pPr>
    </w:p>
    <w:p w14:paraId="3BB69DA2" w14:textId="77777777" w:rsidR="00496E6D" w:rsidRPr="00496E6D" w:rsidRDefault="00496E6D" w:rsidP="00496E6D">
      <w:pPr>
        <w:pStyle w:val="PwCNormal"/>
        <w:numPr>
          <w:ilvl w:val="0"/>
          <w:numId w:val="0"/>
        </w:numPr>
        <w:jc w:val="center"/>
        <w:rPr>
          <w:rFonts w:asciiTheme="minorHAnsi" w:hAnsiTheme="minorHAnsi"/>
          <w:sz w:val="26"/>
          <w:szCs w:val="26"/>
        </w:rPr>
      </w:pPr>
    </w:p>
    <w:p w14:paraId="6AEDB04C" w14:textId="77777777" w:rsidR="00A07700" w:rsidRPr="00496E6D" w:rsidRDefault="00F83900" w:rsidP="00F83900">
      <w:pPr>
        <w:pStyle w:val="PwCNormal"/>
        <w:numPr>
          <w:ilvl w:val="0"/>
          <w:numId w:val="0"/>
        </w:numPr>
        <w:jc w:val="center"/>
        <w:rPr>
          <w:rFonts w:asciiTheme="minorHAnsi" w:hAnsiTheme="minorHAnsi"/>
          <w:sz w:val="44"/>
          <w:szCs w:val="44"/>
        </w:rPr>
      </w:pPr>
      <w:r w:rsidRPr="00496E6D">
        <w:rPr>
          <w:rFonts w:asciiTheme="minorHAnsi" w:hAnsiTheme="minorHAnsi"/>
          <w:sz w:val="44"/>
          <w:szCs w:val="44"/>
        </w:rPr>
        <w:t>May 2017</w:t>
      </w:r>
    </w:p>
    <w:p w14:paraId="57D31C70" w14:textId="77777777" w:rsidR="00F43362" w:rsidRPr="00F83900" w:rsidRDefault="00F43362" w:rsidP="00496E6D">
      <w:pPr>
        <w:pStyle w:val="PwCNormal"/>
        <w:numPr>
          <w:ilvl w:val="0"/>
          <w:numId w:val="0"/>
        </w:numPr>
        <w:rPr>
          <w:rFonts w:asciiTheme="minorHAnsi" w:hAnsiTheme="minorHAnsi"/>
          <w:sz w:val="32"/>
          <w:szCs w:val="32"/>
        </w:rPr>
      </w:pPr>
    </w:p>
    <w:p w14:paraId="58F6D305" w14:textId="77777777" w:rsidR="00A07700" w:rsidRDefault="00A07700" w:rsidP="00A07700">
      <w:pPr>
        <w:pStyle w:val="PwCNormal"/>
        <w:numPr>
          <w:ilvl w:val="0"/>
          <w:numId w:val="0"/>
        </w:numPr>
      </w:pPr>
    </w:p>
    <w:p w14:paraId="60887607" w14:textId="77777777" w:rsidR="00A23ADD" w:rsidRDefault="00A23ADD" w:rsidP="00A07700">
      <w:pPr>
        <w:pStyle w:val="PwCNormal"/>
        <w:numPr>
          <w:ilvl w:val="0"/>
          <w:numId w:val="0"/>
        </w:numPr>
      </w:pPr>
    </w:p>
    <w:p w14:paraId="100A5AF5" w14:textId="77777777" w:rsidR="00A07700" w:rsidRDefault="00A07700" w:rsidP="00A07700">
      <w:pPr>
        <w:pStyle w:val="PwCNormal"/>
        <w:numPr>
          <w:ilvl w:val="0"/>
          <w:numId w:val="0"/>
        </w:numPr>
      </w:pPr>
    </w:p>
    <w:sdt>
      <w:sdtPr>
        <w:rPr>
          <w:rFonts w:asciiTheme="minorHAnsi" w:eastAsiaTheme="minorHAnsi" w:hAnsiTheme="minorHAnsi" w:cstheme="minorBidi"/>
          <w:b w:val="0"/>
          <w:bCs w:val="0"/>
          <w:color w:val="auto"/>
          <w:kern w:val="2"/>
          <w:sz w:val="22"/>
          <w:szCs w:val="22"/>
          <w:lang w:val="en-AU" w:eastAsia="ja-JP"/>
        </w:rPr>
        <w:id w:val="122890271"/>
        <w:docPartObj>
          <w:docPartGallery w:val="Table of Contents"/>
          <w:docPartUnique/>
        </w:docPartObj>
      </w:sdtPr>
      <w:sdtEndPr>
        <w:rPr>
          <w:rFonts w:asciiTheme="majorHAnsi" w:eastAsiaTheme="majorEastAsia" w:hAnsiTheme="majorHAnsi" w:cstheme="majorBidi"/>
          <w:b/>
          <w:bCs/>
          <w:color w:val="345A8A" w:themeColor="accent1" w:themeShade="B5"/>
          <w:kern w:val="0"/>
          <w:sz w:val="32"/>
          <w:szCs w:val="32"/>
          <w:lang w:eastAsia="en-US"/>
        </w:rPr>
      </w:sdtEndPr>
      <w:sdtContent>
        <w:p w14:paraId="58FDB60D" w14:textId="325281B2" w:rsidR="000A632E" w:rsidRDefault="000A632E" w:rsidP="000A632E">
          <w:pPr>
            <w:pStyle w:val="TOCHeading"/>
            <w:spacing w:after="240" w:line="360" w:lineRule="auto"/>
            <w:rPr>
              <w:sz w:val="40"/>
              <w:szCs w:val="40"/>
              <w:lang w:val="en-AU"/>
            </w:rPr>
          </w:pPr>
          <w:r w:rsidRPr="008F4F24">
            <w:rPr>
              <w:sz w:val="40"/>
              <w:szCs w:val="40"/>
              <w:lang w:val="en-AU"/>
            </w:rPr>
            <w:t>Contents</w:t>
          </w:r>
        </w:p>
        <w:p w14:paraId="46979B99" w14:textId="77777777" w:rsidR="00CE2D41" w:rsidRPr="00CE2D41" w:rsidRDefault="00CE2D41" w:rsidP="00CE2D41"/>
        <w:p w14:paraId="64D2411E" w14:textId="2387AA94" w:rsidR="000A632E" w:rsidRPr="005021C4" w:rsidRDefault="000A632E" w:rsidP="0015172E">
          <w:pPr>
            <w:rPr>
              <w:rFonts w:asciiTheme="majorHAnsi" w:hAnsiTheme="majorHAnsi"/>
              <w:sz w:val="28"/>
              <w:szCs w:val="28"/>
            </w:rPr>
          </w:pPr>
          <w:r w:rsidRPr="00CB3725">
            <w:rPr>
              <w:rFonts w:asciiTheme="majorHAnsi" w:hAnsiTheme="majorHAnsi"/>
              <w:sz w:val="28"/>
              <w:szCs w:val="28"/>
            </w:rPr>
            <w:t xml:space="preserve">1. </w:t>
          </w:r>
          <w:r w:rsidR="008B266A">
            <w:rPr>
              <w:rFonts w:asciiTheme="majorHAnsi" w:hAnsiTheme="majorHAnsi"/>
              <w:sz w:val="28"/>
              <w:szCs w:val="28"/>
            </w:rPr>
            <w:t>The c</w:t>
          </w:r>
          <w:r>
            <w:rPr>
              <w:rFonts w:asciiTheme="majorHAnsi" w:hAnsiTheme="majorHAnsi"/>
              <w:sz w:val="28"/>
              <w:szCs w:val="28"/>
            </w:rPr>
            <w:t xml:space="preserve">entrality of the </w:t>
          </w:r>
          <w:r w:rsidR="0015172E">
            <w:rPr>
              <w:rFonts w:asciiTheme="majorHAnsi" w:hAnsiTheme="majorHAnsi"/>
              <w:sz w:val="28"/>
              <w:szCs w:val="28"/>
            </w:rPr>
            <w:t>UN</w:t>
          </w:r>
          <w:r w:rsidR="008B266A">
            <w:rPr>
              <w:rFonts w:asciiTheme="majorHAnsi" w:hAnsiTheme="majorHAnsi"/>
              <w:sz w:val="28"/>
              <w:szCs w:val="28"/>
            </w:rPr>
            <w:t>CRPD</w:t>
          </w:r>
          <w:r>
            <w:rPr>
              <w:rFonts w:asciiTheme="majorHAnsi" w:hAnsiTheme="majorHAnsi"/>
              <w:sz w:val="28"/>
              <w:szCs w:val="28"/>
            </w:rPr>
            <w:t xml:space="preserve"> </w:t>
          </w:r>
          <w:r w:rsidR="0015172E">
            <w:rPr>
              <w:rFonts w:asciiTheme="majorHAnsi" w:hAnsiTheme="majorHAnsi"/>
              <w:sz w:val="28"/>
              <w:szCs w:val="28"/>
            </w:rPr>
            <w:t>.............................................................................................3</w:t>
          </w:r>
        </w:p>
        <w:p w14:paraId="13925196" w14:textId="77777777" w:rsidR="005021C4" w:rsidRDefault="005021C4" w:rsidP="000A632E">
          <w:pPr>
            <w:pStyle w:val="TOC3"/>
            <w:spacing w:line="360" w:lineRule="auto"/>
            <w:ind w:left="0"/>
            <w:rPr>
              <w:rFonts w:asciiTheme="majorHAnsi" w:hAnsiTheme="majorHAnsi"/>
              <w:i w:val="0"/>
              <w:sz w:val="28"/>
              <w:szCs w:val="28"/>
              <w:lang w:val="en-AU"/>
            </w:rPr>
          </w:pPr>
        </w:p>
        <w:p w14:paraId="711901B9" w14:textId="26A7A5CA" w:rsidR="000A632E" w:rsidRDefault="005021C4" w:rsidP="000A632E">
          <w:pPr>
            <w:pStyle w:val="TOC3"/>
            <w:spacing w:line="360" w:lineRule="auto"/>
            <w:ind w:left="0"/>
            <w:rPr>
              <w:rFonts w:asciiTheme="majorHAnsi" w:hAnsiTheme="majorHAnsi"/>
              <w:i w:val="0"/>
              <w:sz w:val="28"/>
              <w:szCs w:val="28"/>
              <w:lang w:val="en-AU"/>
            </w:rPr>
          </w:pPr>
          <w:r>
            <w:rPr>
              <w:rFonts w:asciiTheme="majorHAnsi" w:hAnsiTheme="majorHAnsi"/>
              <w:i w:val="0"/>
              <w:sz w:val="28"/>
              <w:szCs w:val="28"/>
              <w:lang w:val="en-AU"/>
            </w:rPr>
            <w:t>2</w:t>
          </w:r>
          <w:r w:rsidR="000A632E">
            <w:rPr>
              <w:rFonts w:asciiTheme="majorHAnsi" w:hAnsiTheme="majorHAnsi"/>
              <w:i w:val="0"/>
              <w:sz w:val="28"/>
              <w:szCs w:val="28"/>
              <w:lang w:val="en-AU"/>
            </w:rPr>
            <w:t xml:space="preserve">. </w:t>
          </w:r>
          <w:r w:rsidR="00F43362">
            <w:rPr>
              <w:rFonts w:asciiTheme="majorHAnsi" w:hAnsiTheme="majorHAnsi"/>
              <w:i w:val="0"/>
              <w:sz w:val="28"/>
              <w:szCs w:val="28"/>
              <w:lang w:val="en-AU"/>
            </w:rPr>
            <w:t>Recommendations</w:t>
          </w:r>
          <w:r w:rsidR="000A632E" w:rsidRPr="00FC78BD">
            <w:rPr>
              <w:rFonts w:asciiTheme="majorHAnsi" w:hAnsiTheme="majorHAnsi"/>
              <w:sz w:val="28"/>
              <w:szCs w:val="28"/>
              <w:lang w:val="en-AU"/>
            </w:rPr>
            <w:t xml:space="preserve"> .................................</w:t>
          </w:r>
          <w:r w:rsidR="000A632E">
            <w:rPr>
              <w:rFonts w:asciiTheme="majorHAnsi" w:hAnsiTheme="majorHAnsi"/>
              <w:sz w:val="28"/>
              <w:szCs w:val="28"/>
              <w:lang w:val="en-AU"/>
            </w:rPr>
            <w:t>.</w:t>
          </w:r>
          <w:r w:rsidR="000A632E" w:rsidRPr="00FC78BD">
            <w:rPr>
              <w:rFonts w:asciiTheme="majorHAnsi" w:hAnsiTheme="majorHAnsi"/>
              <w:sz w:val="28"/>
              <w:szCs w:val="28"/>
              <w:lang w:val="en-AU"/>
            </w:rPr>
            <w:t>.............................</w:t>
          </w:r>
          <w:r w:rsidR="000A632E">
            <w:rPr>
              <w:rFonts w:asciiTheme="majorHAnsi" w:hAnsiTheme="majorHAnsi"/>
              <w:sz w:val="28"/>
              <w:szCs w:val="28"/>
              <w:lang w:val="en-AU"/>
            </w:rPr>
            <w:t>.....................</w:t>
          </w:r>
          <w:r w:rsidR="000A632E" w:rsidRPr="00FC78BD">
            <w:rPr>
              <w:rFonts w:asciiTheme="majorHAnsi" w:hAnsiTheme="majorHAnsi"/>
              <w:sz w:val="28"/>
              <w:szCs w:val="28"/>
              <w:lang w:val="en-AU"/>
            </w:rPr>
            <w:t>.</w:t>
          </w:r>
          <w:r w:rsidR="00A23ADD">
            <w:rPr>
              <w:rFonts w:asciiTheme="majorHAnsi" w:hAnsiTheme="majorHAnsi"/>
              <w:i w:val="0"/>
              <w:sz w:val="28"/>
              <w:szCs w:val="28"/>
              <w:lang w:val="en-AU"/>
            </w:rPr>
            <w:t>.....................</w:t>
          </w:r>
          <w:r w:rsidR="0015172E">
            <w:rPr>
              <w:rFonts w:asciiTheme="majorHAnsi" w:hAnsiTheme="majorHAnsi"/>
              <w:i w:val="0"/>
              <w:sz w:val="28"/>
              <w:szCs w:val="28"/>
              <w:lang w:val="en-AU"/>
            </w:rPr>
            <w:t>.</w:t>
          </w:r>
          <w:r w:rsidR="00A23ADD">
            <w:rPr>
              <w:rFonts w:asciiTheme="majorHAnsi" w:hAnsiTheme="majorHAnsi"/>
              <w:i w:val="0"/>
              <w:sz w:val="28"/>
              <w:szCs w:val="28"/>
              <w:lang w:val="en-AU"/>
            </w:rPr>
            <w:t>..</w:t>
          </w:r>
          <w:r w:rsidR="0015172E">
            <w:rPr>
              <w:rFonts w:asciiTheme="majorHAnsi" w:hAnsiTheme="majorHAnsi"/>
              <w:i w:val="0"/>
              <w:sz w:val="28"/>
              <w:szCs w:val="28"/>
              <w:lang w:val="en-AU"/>
            </w:rPr>
            <w:t>..</w:t>
          </w:r>
          <w:r w:rsidR="00AD5021">
            <w:rPr>
              <w:rFonts w:asciiTheme="majorHAnsi" w:hAnsiTheme="majorHAnsi"/>
              <w:i w:val="0"/>
              <w:sz w:val="28"/>
              <w:szCs w:val="28"/>
              <w:lang w:val="en-AU"/>
            </w:rPr>
            <w:t>.</w:t>
          </w:r>
          <w:r w:rsidR="000C7934">
            <w:rPr>
              <w:rFonts w:asciiTheme="majorHAnsi" w:hAnsiTheme="majorHAnsi"/>
              <w:i w:val="0"/>
              <w:sz w:val="28"/>
              <w:szCs w:val="28"/>
              <w:lang w:val="en-AU"/>
            </w:rPr>
            <w:t>.</w:t>
          </w:r>
          <w:r w:rsidR="00A23ADD">
            <w:rPr>
              <w:rFonts w:asciiTheme="majorHAnsi" w:hAnsiTheme="majorHAnsi"/>
              <w:i w:val="0"/>
              <w:sz w:val="28"/>
              <w:szCs w:val="28"/>
              <w:lang w:val="en-AU"/>
            </w:rPr>
            <w:t>...</w:t>
          </w:r>
          <w:r w:rsidR="0015172E">
            <w:rPr>
              <w:rFonts w:asciiTheme="majorHAnsi" w:hAnsiTheme="majorHAnsi"/>
              <w:i w:val="0"/>
              <w:sz w:val="28"/>
              <w:szCs w:val="28"/>
              <w:lang w:val="en-AU"/>
            </w:rPr>
            <w:t>.</w:t>
          </w:r>
          <w:r w:rsidR="00F43362">
            <w:rPr>
              <w:rFonts w:asciiTheme="majorHAnsi" w:hAnsiTheme="majorHAnsi"/>
              <w:i w:val="0"/>
              <w:sz w:val="28"/>
              <w:szCs w:val="28"/>
              <w:lang w:val="en-AU"/>
            </w:rPr>
            <w:t>.</w:t>
          </w:r>
          <w:r>
            <w:rPr>
              <w:rFonts w:asciiTheme="majorHAnsi" w:hAnsiTheme="majorHAnsi"/>
              <w:i w:val="0"/>
              <w:sz w:val="28"/>
              <w:szCs w:val="28"/>
              <w:lang w:val="en-AU"/>
            </w:rPr>
            <w:t>.5</w:t>
          </w:r>
        </w:p>
        <w:p w14:paraId="6F50B3C4" w14:textId="77777777" w:rsidR="005021C4" w:rsidRDefault="005021C4" w:rsidP="005021C4">
          <w:pPr>
            <w:pStyle w:val="TOC3"/>
            <w:spacing w:line="360" w:lineRule="auto"/>
            <w:ind w:left="0"/>
            <w:rPr>
              <w:rFonts w:asciiTheme="majorHAnsi" w:hAnsiTheme="majorHAnsi"/>
              <w:i w:val="0"/>
              <w:sz w:val="28"/>
              <w:szCs w:val="28"/>
              <w:lang w:val="en-AU"/>
            </w:rPr>
          </w:pPr>
        </w:p>
        <w:p w14:paraId="582EB994" w14:textId="08900ECD" w:rsidR="005021C4" w:rsidRDefault="005021C4" w:rsidP="005021C4">
          <w:pPr>
            <w:pStyle w:val="TOC3"/>
            <w:spacing w:line="360" w:lineRule="auto"/>
            <w:ind w:left="0"/>
            <w:rPr>
              <w:rFonts w:asciiTheme="majorHAnsi" w:hAnsiTheme="majorHAnsi"/>
              <w:i w:val="0"/>
              <w:sz w:val="28"/>
              <w:szCs w:val="28"/>
              <w:lang w:val="en-AU"/>
            </w:rPr>
          </w:pPr>
          <w:r>
            <w:rPr>
              <w:rFonts w:asciiTheme="majorHAnsi" w:hAnsiTheme="majorHAnsi"/>
              <w:i w:val="0"/>
              <w:sz w:val="28"/>
              <w:szCs w:val="28"/>
              <w:lang w:val="en-AU"/>
            </w:rPr>
            <w:t>3. Cost benefit case studies of persons with disability in the criminal justice system ........................................................................................................................................</w:t>
          </w:r>
          <w:r w:rsidR="0015172E">
            <w:rPr>
              <w:rFonts w:asciiTheme="majorHAnsi" w:hAnsiTheme="majorHAnsi"/>
              <w:i w:val="0"/>
              <w:sz w:val="28"/>
              <w:szCs w:val="28"/>
              <w:lang w:val="en-AU"/>
            </w:rPr>
            <w:t>.</w:t>
          </w:r>
          <w:r>
            <w:rPr>
              <w:rFonts w:asciiTheme="majorHAnsi" w:hAnsiTheme="majorHAnsi"/>
              <w:i w:val="0"/>
              <w:sz w:val="28"/>
              <w:szCs w:val="28"/>
              <w:lang w:val="en-AU"/>
            </w:rPr>
            <w:t>..</w:t>
          </w:r>
          <w:r w:rsidR="0015172E">
            <w:rPr>
              <w:rFonts w:asciiTheme="majorHAnsi" w:hAnsiTheme="majorHAnsi"/>
              <w:i w:val="0"/>
              <w:sz w:val="28"/>
              <w:szCs w:val="28"/>
              <w:lang w:val="en-AU"/>
            </w:rPr>
            <w:t>...</w:t>
          </w:r>
          <w:r>
            <w:rPr>
              <w:rFonts w:asciiTheme="majorHAnsi" w:hAnsiTheme="majorHAnsi"/>
              <w:i w:val="0"/>
              <w:sz w:val="28"/>
              <w:szCs w:val="28"/>
              <w:lang w:val="en-AU"/>
            </w:rPr>
            <w:t>....8</w:t>
          </w:r>
        </w:p>
        <w:p w14:paraId="676410A3" w14:textId="77777777" w:rsidR="000A632E" w:rsidRDefault="000A632E" w:rsidP="000A632E">
          <w:pPr>
            <w:spacing w:after="0" w:line="240" w:lineRule="auto"/>
            <w:rPr>
              <w:rFonts w:asciiTheme="majorHAnsi" w:hAnsiTheme="majorHAnsi"/>
              <w:sz w:val="28"/>
              <w:szCs w:val="28"/>
            </w:rPr>
          </w:pPr>
        </w:p>
        <w:p w14:paraId="060D62F6" w14:textId="77777777" w:rsidR="005021C4" w:rsidRDefault="005021C4" w:rsidP="000A632E">
          <w:pPr>
            <w:spacing w:after="0" w:line="240" w:lineRule="auto"/>
            <w:rPr>
              <w:rFonts w:asciiTheme="majorHAnsi" w:hAnsiTheme="majorHAnsi"/>
              <w:sz w:val="28"/>
              <w:szCs w:val="28"/>
            </w:rPr>
          </w:pPr>
        </w:p>
        <w:p w14:paraId="04DF35EE" w14:textId="19948ED7" w:rsidR="00F43362" w:rsidRDefault="00F43362" w:rsidP="000A632E">
          <w:pPr>
            <w:spacing w:after="0" w:line="240" w:lineRule="auto"/>
            <w:rPr>
              <w:rFonts w:asciiTheme="majorHAnsi" w:hAnsiTheme="majorHAnsi"/>
              <w:sz w:val="28"/>
              <w:szCs w:val="28"/>
            </w:rPr>
          </w:pPr>
          <w:r>
            <w:rPr>
              <w:rFonts w:asciiTheme="majorHAnsi" w:hAnsiTheme="majorHAnsi"/>
              <w:sz w:val="28"/>
              <w:szCs w:val="28"/>
            </w:rPr>
            <w:t xml:space="preserve">Appendix A: List of </w:t>
          </w:r>
          <w:r w:rsidR="008B266A">
            <w:rPr>
              <w:rFonts w:asciiTheme="majorHAnsi" w:hAnsiTheme="majorHAnsi"/>
              <w:sz w:val="28"/>
              <w:szCs w:val="28"/>
            </w:rPr>
            <w:t>c</w:t>
          </w:r>
          <w:r>
            <w:rPr>
              <w:rFonts w:asciiTheme="majorHAnsi" w:hAnsiTheme="majorHAnsi"/>
              <w:sz w:val="28"/>
              <w:szCs w:val="28"/>
            </w:rPr>
            <w:t>ontributors</w:t>
          </w:r>
          <w:r w:rsidR="008F4F24">
            <w:rPr>
              <w:rFonts w:asciiTheme="majorHAnsi" w:hAnsiTheme="majorHAnsi"/>
              <w:sz w:val="28"/>
              <w:szCs w:val="28"/>
            </w:rPr>
            <w:t xml:space="preserve"> </w:t>
          </w:r>
          <w:r>
            <w:rPr>
              <w:rFonts w:asciiTheme="majorHAnsi" w:hAnsiTheme="majorHAnsi"/>
              <w:sz w:val="28"/>
              <w:szCs w:val="28"/>
            </w:rPr>
            <w:t>.....</w:t>
          </w:r>
          <w:r w:rsidR="008F4F24">
            <w:rPr>
              <w:rFonts w:asciiTheme="majorHAnsi" w:hAnsiTheme="majorHAnsi"/>
              <w:sz w:val="28"/>
              <w:szCs w:val="28"/>
            </w:rPr>
            <w:t>......................................................</w:t>
          </w:r>
          <w:r w:rsidR="00A23ADD">
            <w:rPr>
              <w:rFonts w:asciiTheme="majorHAnsi" w:hAnsiTheme="majorHAnsi"/>
              <w:sz w:val="28"/>
              <w:szCs w:val="28"/>
            </w:rPr>
            <w:t>......................</w:t>
          </w:r>
          <w:r w:rsidR="00AD5021">
            <w:rPr>
              <w:rFonts w:asciiTheme="majorHAnsi" w:hAnsiTheme="majorHAnsi"/>
              <w:sz w:val="28"/>
              <w:szCs w:val="28"/>
            </w:rPr>
            <w:t>..</w:t>
          </w:r>
          <w:r w:rsidR="008C174D">
            <w:rPr>
              <w:rFonts w:asciiTheme="majorHAnsi" w:hAnsiTheme="majorHAnsi"/>
              <w:sz w:val="28"/>
              <w:szCs w:val="28"/>
            </w:rPr>
            <w:t>...</w:t>
          </w:r>
          <w:r w:rsidR="0015172E">
            <w:rPr>
              <w:rFonts w:asciiTheme="majorHAnsi" w:hAnsiTheme="majorHAnsi"/>
              <w:sz w:val="28"/>
              <w:szCs w:val="28"/>
            </w:rPr>
            <w:t>...</w:t>
          </w:r>
          <w:r w:rsidR="008C174D">
            <w:rPr>
              <w:rFonts w:asciiTheme="majorHAnsi" w:hAnsiTheme="majorHAnsi"/>
              <w:sz w:val="28"/>
              <w:szCs w:val="28"/>
            </w:rPr>
            <w:t>...13</w:t>
          </w:r>
        </w:p>
        <w:p w14:paraId="0224907B" w14:textId="77777777" w:rsidR="000A632E" w:rsidRDefault="00220672" w:rsidP="000A632E">
          <w:pPr>
            <w:pStyle w:val="Heading1"/>
            <w:spacing w:line="259" w:lineRule="auto"/>
            <w:rPr>
              <w:rFonts w:asciiTheme="minorHAnsi" w:eastAsiaTheme="minorHAnsi" w:hAnsiTheme="minorHAnsi" w:cstheme="minorBidi"/>
              <w:b w:val="0"/>
              <w:bCs w:val="0"/>
              <w:color w:val="auto"/>
              <w:sz w:val="22"/>
              <w:szCs w:val="22"/>
            </w:rPr>
          </w:pPr>
        </w:p>
      </w:sdtContent>
    </w:sdt>
    <w:p w14:paraId="4FC767D2" w14:textId="77777777" w:rsidR="00A07700" w:rsidRDefault="00A07700" w:rsidP="00A07700">
      <w:pPr>
        <w:pStyle w:val="PwCNormal"/>
        <w:numPr>
          <w:ilvl w:val="0"/>
          <w:numId w:val="0"/>
        </w:numPr>
      </w:pPr>
    </w:p>
    <w:p w14:paraId="2FE6B26B" w14:textId="77777777" w:rsidR="00A07700" w:rsidRDefault="00A07700" w:rsidP="00A07700">
      <w:pPr>
        <w:pStyle w:val="PwCNormal"/>
        <w:numPr>
          <w:ilvl w:val="0"/>
          <w:numId w:val="0"/>
        </w:numPr>
      </w:pPr>
    </w:p>
    <w:p w14:paraId="40577628" w14:textId="77777777" w:rsidR="00A07700" w:rsidRDefault="00A07700" w:rsidP="00A07700">
      <w:pPr>
        <w:pStyle w:val="PwCNormal"/>
        <w:numPr>
          <w:ilvl w:val="0"/>
          <w:numId w:val="0"/>
        </w:numPr>
      </w:pPr>
    </w:p>
    <w:p w14:paraId="765CBAB7" w14:textId="77777777" w:rsidR="00A07700" w:rsidRDefault="00A07700" w:rsidP="00A07700">
      <w:pPr>
        <w:pStyle w:val="PwCNormal"/>
        <w:numPr>
          <w:ilvl w:val="0"/>
          <w:numId w:val="0"/>
        </w:numPr>
      </w:pPr>
    </w:p>
    <w:p w14:paraId="5E73E4AE" w14:textId="77777777" w:rsidR="00A07700" w:rsidRDefault="00A07700" w:rsidP="00A07700">
      <w:pPr>
        <w:pStyle w:val="PwCNormal"/>
        <w:numPr>
          <w:ilvl w:val="0"/>
          <w:numId w:val="0"/>
        </w:numPr>
      </w:pPr>
    </w:p>
    <w:p w14:paraId="1F18DE20" w14:textId="77777777" w:rsidR="00A07700" w:rsidRDefault="00A07700" w:rsidP="00A07700">
      <w:pPr>
        <w:pStyle w:val="PwCNormal"/>
        <w:numPr>
          <w:ilvl w:val="0"/>
          <w:numId w:val="0"/>
        </w:numPr>
      </w:pPr>
    </w:p>
    <w:p w14:paraId="180E2F38" w14:textId="77777777" w:rsidR="00A07700" w:rsidRDefault="00A07700" w:rsidP="00A07700">
      <w:pPr>
        <w:pStyle w:val="PwCNormal"/>
        <w:numPr>
          <w:ilvl w:val="0"/>
          <w:numId w:val="0"/>
        </w:numPr>
      </w:pPr>
    </w:p>
    <w:p w14:paraId="733636A8" w14:textId="77777777" w:rsidR="00A07700" w:rsidRDefault="00A07700" w:rsidP="00A07700">
      <w:pPr>
        <w:pStyle w:val="PwCNormal"/>
        <w:numPr>
          <w:ilvl w:val="0"/>
          <w:numId w:val="0"/>
        </w:numPr>
      </w:pPr>
    </w:p>
    <w:p w14:paraId="01DBB788" w14:textId="77777777" w:rsidR="00A07700" w:rsidRDefault="00A07700" w:rsidP="00A07700">
      <w:pPr>
        <w:pStyle w:val="PwCNormal"/>
        <w:numPr>
          <w:ilvl w:val="0"/>
          <w:numId w:val="0"/>
        </w:numPr>
      </w:pPr>
    </w:p>
    <w:p w14:paraId="6D3F94EE" w14:textId="77777777" w:rsidR="00A07700" w:rsidRDefault="00A07700" w:rsidP="00A07700">
      <w:pPr>
        <w:pStyle w:val="PwCNormal"/>
        <w:numPr>
          <w:ilvl w:val="0"/>
          <w:numId w:val="0"/>
        </w:numPr>
      </w:pPr>
    </w:p>
    <w:p w14:paraId="221C20BC" w14:textId="77777777" w:rsidR="00A37EA7" w:rsidRPr="00A07700" w:rsidRDefault="00A37EA7" w:rsidP="00A07700">
      <w:pPr>
        <w:pStyle w:val="PwCNormal"/>
        <w:numPr>
          <w:ilvl w:val="0"/>
          <w:numId w:val="0"/>
        </w:numPr>
      </w:pPr>
    </w:p>
    <w:p w14:paraId="3B416B98" w14:textId="288F94D7" w:rsidR="00F43362" w:rsidRPr="008F4F24" w:rsidRDefault="008B266A" w:rsidP="00F43362">
      <w:pPr>
        <w:pStyle w:val="Heading1"/>
        <w:rPr>
          <w:sz w:val="40"/>
          <w:szCs w:val="40"/>
        </w:rPr>
      </w:pPr>
      <w:r>
        <w:rPr>
          <w:sz w:val="40"/>
          <w:szCs w:val="40"/>
        </w:rPr>
        <w:t>The c</w:t>
      </w:r>
      <w:r w:rsidR="00BA1504" w:rsidRPr="008F4F24">
        <w:rPr>
          <w:sz w:val="40"/>
          <w:szCs w:val="40"/>
        </w:rPr>
        <w:t xml:space="preserve">entrality of the CRPD </w:t>
      </w:r>
    </w:p>
    <w:p w14:paraId="57C966E1" w14:textId="77777777" w:rsidR="00F43362" w:rsidRPr="00F43362" w:rsidRDefault="00F43362" w:rsidP="00F43362"/>
    <w:p w14:paraId="647CBC93" w14:textId="77777777" w:rsidR="00BA1504" w:rsidRPr="00A07700" w:rsidRDefault="00BA1504" w:rsidP="00A07700">
      <w:pPr>
        <w:pStyle w:val="PwCNormal"/>
        <w:numPr>
          <w:ilvl w:val="0"/>
          <w:numId w:val="0"/>
        </w:numPr>
        <w:spacing w:line="276" w:lineRule="auto"/>
        <w:jc w:val="both"/>
        <w:rPr>
          <w:rFonts w:asciiTheme="minorHAnsi" w:hAnsiTheme="minorHAnsi"/>
          <w:sz w:val="24"/>
          <w:szCs w:val="24"/>
        </w:rPr>
      </w:pPr>
      <w:r w:rsidRPr="00A07700">
        <w:rPr>
          <w:rFonts w:asciiTheme="minorHAnsi" w:hAnsiTheme="minorHAnsi"/>
          <w:sz w:val="24"/>
          <w:szCs w:val="24"/>
        </w:rPr>
        <w:t xml:space="preserve">As a signatory to the </w:t>
      </w:r>
      <w:r w:rsidRPr="00A07700">
        <w:rPr>
          <w:rFonts w:asciiTheme="minorHAnsi" w:hAnsiTheme="minorHAnsi"/>
          <w:i/>
          <w:iCs/>
          <w:sz w:val="24"/>
          <w:szCs w:val="24"/>
        </w:rPr>
        <w:t>UNCRPD,</w:t>
      </w:r>
      <w:r w:rsidRPr="00A07700">
        <w:rPr>
          <w:rStyle w:val="FootnoteReference"/>
          <w:rFonts w:asciiTheme="minorHAnsi" w:hAnsiTheme="minorHAnsi"/>
          <w:iCs/>
          <w:sz w:val="24"/>
          <w:szCs w:val="24"/>
        </w:rPr>
        <w:footnoteReference w:id="1"/>
      </w:r>
      <w:r w:rsidRPr="00A07700">
        <w:rPr>
          <w:rFonts w:asciiTheme="minorHAnsi" w:hAnsiTheme="minorHAnsi"/>
          <w:sz w:val="24"/>
          <w:szCs w:val="24"/>
        </w:rPr>
        <w:t xml:space="preserve"> Australia is required to promote, protect and ensure the full and equal enjoyment of all human rights and fundamental freedoms by all persons with disabilities, and to promote respect for their inherent dignity.</w:t>
      </w:r>
      <w:r w:rsidRPr="00A07700">
        <w:rPr>
          <w:rStyle w:val="FootnoteReference"/>
          <w:rFonts w:asciiTheme="minorHAnsi" w:hAnsiTheme="minorHAnsi"/>
          <w:sz w:val="24"/>
          <w:szCs w:val="24"/>
        </w:rPr>
        <w:footnoteReference w:id="2"/>
      </w:r>
      <w:r w:rsidRPr="00A07700">
        <w:rPr>
          <w:rFonts w:asciiTheme="minorHAnsi" w:hAnsiTheme="minorHAnsi"/>
          <w:sz w:val="24"/>
          <w:szCs w:val="24"/>
        </w:rPr>
        <w:t xml:space="preserve">  This fundamental obligation to treat persons with disabilities equitably encompasses an obligation for Australia to ensure </w:t>
      </w:r>
      <w:r w:rsidRPr="00A07700">
        <w:rPr>
          <w:rFonts w:asciiTheme="minorHAnsi" w:hAnsiTheme="minorHAnsi"/>
          <w:sz w:val="24"/>
          <w:szCs w:val="24"/>
          <w:lang w:val="en-GB"/>
        </w:rPr>
        <w:t>accessibility measures for persons with disabilities in the form of ‘</w:t>
      </w:r>
      <w:r w:rsidRPr="00A07700">
        <w:rPr>
          <w:rFonts w:asciiTheme="minorHAnsi" w:hAnsiTheme="minorHAnsi"/>
          <w:i/>
          <w:iCs/>
          <w:sz w:val="24"/>
          <w:szCs w:val="24"/>
          <w:lang w:val="en-GB"/>
        </w:rPr>
        <w:t>necessary and appropriate</w:t>
      </w:r>
      <w:r w:rsidRPr="00A07700">
        <w:rPr>
          <w:rFonts w:asciiTheme="minorHAnsi" w:hAnsiTheme="minorHAnsi"/>
          <w:sz w:val="24"/>
          <w:szCs w:val="24"/>
          <w:lang w:val="en-GB"/>
        </w:rPr>
        <w:t xml:space="preserve"> modification and adjustments’.</w:t>
      </w:r>
      <w:r w:rsidRPr="00A07700">
        <w:rPr>
          <w:rStyle w:val="FootnoteReference"/>
          <w:rFonts w:asciiTheme="minorHAnsi" w:hAnsiTheme="minorHAnsi"/>
          <w:sz w:val="24"/>
          <w:szCs w:val="24"/>
          <w:lang w:val="en-GB"/>
        </w:rPr>
        <w:footnoteReference w:id="3"/>
      </w:r>
      <w:r w:rsidRPr="00A07700">
        <w:rPr>
          <w:rFonts w:asciiTheme="minorHAnsi" w:hAnsiTheme="minorHAnsi"/>
          <w:sz w:val="24"/>
          <w:szCs w:val="24"/>
          <w:lang w:val="en-GB"/>
        </w:rPr>
        <w:t xml:space="preserve"> </w:t>
      </w:r>
      <w:r w:rsidRPr="00A07700">
        <w:rPr>
          <w:rFonts w:asciiTheme="minorHAnsi" w:hAnsiTheme="minorHAnsi"/>
          <w:sz w:val="24"/>
          <w:szCs w:val="24"/>
        </w:rPr>
        <w:t>The primary articles relevant here refer to rights to equal recognition before the law (Article 12) and access to justice (Article 13).</w:t>
      </w:r>
    </w:p>
    <w:p w14:paraId="205B3064" w14:textId="77777777" w:rsidR="00BA1504" w:rsidRPr="00A07700" w:rsidRDefault="00BA1504" w:rsidP="00A07700">
      <w:pPr>
        <w:pStyle w:val="PwCNormal"/>
        <w:spacing w:line="276" w:lineRule="auto"/>
        <w:jc w:val="both"/>
        <w:rPr>
          <w:rFonts w:asciiTheme="minorHAnsi" w:hAnsiTheme="minorHAnsi"/>
          <w:sz w:val="24"/>
          <w:szCs w:val="24"/>
        </w:rPr>
      </w:pPr>
      <w:r w:rsidRPr="00A07700">
        <w:rPr>
          <w:rFonts w:asciiTheme="minorHAnsi" w:hAnsiTheme="minorHAnsi"/>
          <w:sz w:val="24"/>
          <w:szCs w:val="24"/>
        </w:rPr>
        <w:t>Article 12 recognises the right to equal recognition before the law.</w:t>
      </w:r>
      <w:r w:rsidRPr="00A07700">
        <w:rPr>
          <w:rStyle w:val="FootnoteReference"/>
          <w:rFonts w:asciiTheme="minorHAnsi" w:hAnsiTheme="minorHAnsi"/>
          <w:sz w:val="24"/>
          <w:szCs w:val="24"/>
        </w:rPr>
        <w:footnoteReference w:id="4"/>
      </w:r>
      <w:r w:rsidRPr="00A07700">
        <w:rPr>
          <w:rFonts w:asciiTheme="minorHAnsi" w:hAnsiTheme="minorHAnsi"/>
          <w:sz w:val="24"/>
          <w:szCs w:val="24"/>
          <w:vertAlign w:val="superscript"/>
        </w:rPr>
        <w:t xml:space="preserve"> </w:t>
      </w:r>
      <w:bookmarkStart w:id="1" w:name="_Ref465767069"/>
      <w:bookmarkEnd w:id="1"/>
      <w:r w:rsidRPr="00A07700">
        <w:rPr>
          <w:rFonts w:asciiTheme="minorHAnsi" w:hAnsiTheme="minorHAnsi"/>
          <w:sz w:val="24"/>
          <w:szCs w:val="24"/>
          <w:vertAlign w:val="superscript"/>
        </w:rPr>
        <w:t xml:space="preserve"> </w:t>
      </w:r>
      <w:r w:rsidRPr="00A07700">
        <w:rPr>
          <w:rFonts w:asciiTheme="minorHAnsi" w:hAnsiTheme="minorHAnsi"/>
          <w:sz w:val="24"/>
          <w:szCs w:val="24"/>
        </w:rPr>
        <w:t>States Parties are directed to ‘recognize that persons with disabilities enjoy legal capacity on an equal basis with others</w:t>
      </w:r>
      <w:r w:rsidRPr="00A07700">
        <w:rPr>
          <w:rFonts w:asciiTheme="minorHAnsi" w:hAnsiTheme="minorHAnsi"/>
          <w:i/>
          <w:iCs/>
          <w:sz w:val="24"/>
          <w:szCs w:val="24"/>
        </w:rPr>
        <w:t xml:space="preserve"> in all aspects of life</w:t>
      </w:r>
      <w:r w:rsidRPr="00A07700">
        <w:rPr>
          <w:rFonts w:asciiTheme="minorHAnsi" w:hAnsiTheme="minorHAnsi"/>
          <w:sz w:val="24"/>
          <w:szCs w:val="24"/>
        </w:rPr>
        <w:t xml:space="preserve">’ and to ‘take appropriate measures to provide access by persons with disabilities to the </w:t>
      </w:r>
      <w:r w:rsidRPr="00A07700">
        <w:rPr>
          <w:rFonts w:asciiTheme="minorHAnsi" w:hAnsiTheme="minorHAnsi"/>
          <w:i/>
          <w:iCs/>
          <w:sz w:val="24"/>
          <w:szCs w:val="24"/>
        </w:rPr>
        <w:t>support they may require in exercising their legal capacity</w:t>
      </w:r>
      <w:r w:rsidRPr="00A07700">
        <w:rPr>
          <w:rFonts w:asciiTheme="minorHAnsi" w:hAnsiTheme="minorHAnsi"/>
          <w:sz w:val="24"/>
          <w:szCs w:val="24"/>
        </w:rPr>
        <w:t>’.</w:t>
      </w:r>
      <w:r w:rsidRPr="00A07700">
        <w:rPr>
          <w:rStyle w:val="FootnoteReference"/>
          <w:rFonts w:asciiTheme="minorHAnsi" w:hAnsiTheme="minorHAnsi"/>
          <w:sz w:val="24"/>
          <w:szCs w:val="24"/>
        </w:rPr>
        <w:footnoteReference w:id="5"/>
      </w:r>
      <w:r w:rsidRPr="00A07700">
        <w:rPr>
          <w:rFonts w:asciiTheme="minorHAnsi" w:hAnsiTheme="minorHAnsi"/>
          <w:sz w:val="24"/>
          <w:szCs w:val="24"/>
        </w:rPr>
        <w:t xml:space="preserve"> </w:t>
      </w:r>
    </w:p>
    <w:p w14:paraId="655C2FC3" w14:textId="77777777" w:rsidR="00BA1504" w:rsidRPr="00A07700" w:rsidRDefault="00BA1504" w:rsidP="00A07700">
      <w:pPr>
        <w:pStyle w:val="PwCNormal"/>
        <w:spacing w:line="276" w:lineRule="auto"/>
        <w:jc w:val="both"/>
        <w:rPr>
          <w:rFonts w:asciiTheme="minorHAnsi" w:hAnsiTheme="minorHAnsi"/>
          <w:sz w:val="24"/>
          <w:szCs w:val="24"/>
        </w:rPr>
      </w:pPr>
      <w:r w:rsidRPr="00A07700">
        <w:rPr>
          <w:rFonts w:asciiTheme="minorHAnsi" w:hAnsiTheme="minorHAnsi"/>
          <w:sz w:val="24"/>
          <w:szCs w:val="24"/>
        </w:rPr>
        <w:t xml:space="preserve">Article 13 obliges States parties to ensure persons with disabilities enjoy access to justice on an equal basis with all others, </w:t>
      </w:r>
      <w:r w:rsidRPr="00A07700">
        <w:rPr>
          <w:rFonts w:asciiTheme="minorHAnsi" w:hAnsiTheme="minorHAnsi"/>
          <w:sz w:val="24"/>
          <w:szCs w:val="24"/>
          <w:lang w:val="en-GB"/>
        </w:rPr>
        <w:t>‘including through the provision of procedural and age-appropriate accommodations’ and training for those working in the judiciary.</w:t>
      </w:r>
      <w:r w:rsidRPr="00A07700">
        <w:rPr>
          <w:rStyle w:val="FootnoteReference"/>
          <w:rFonts w:asciiTheme="minorHAnsi" w:hAnsiTheme="minorHAnsi"/>
          <w:sz w:val="24"/>
          <w:szCs w:val="24"/>
          <w:lang w:val="en-GB"/>
        </w:rPr>
        <w:footnoteReference w:id="6"/>
      </w:r>
      <w:r w:rsidRPr="00A07700">
        <w:rPr>
          <w:rFonts w:asciiTheme="minorHAnsi" w:hAnsiTheme="minorHAnsi"/>
          <w:sz w:val="24"/>
          <w:szCs w:val="24"/>
          <w:lang w:val="en-GB"/>
        </w:rPr>
        <w:t xml:space="preserve">  Training, in the Australian context, could reasonably include training about the relevance and application of the NDIS to people with disabilities who are in the criminal justice system. More broadly, procedural </w:t>
      </w:r>
      <w:r w:rsidRPr="00A07700">
        <w:rPr>
          <w:rFonts w:asciiTheme="minorHAnsi" w:hAnsiTheme="minorHAnsi"/>
          <w:sz w:val="24"/>
          <w:szCs w:val="24"/>
        </w:rPr>
        <w:t>accommodations must be provided ‘to facilitate [persons with disabilities’] effective role as direct and indirect participants, including as witnesses, in all legal proceedings’.</w:t>
      </w:r>
      <w:r w:rsidRPr="00A07700">
        <w:rPr>
          <w:rStyle w:val="FootnoteReference"/>
          <w:rFonts w:asciiTheme="minorHAnsi" w:hAnsiTheme="minorHAnsi"/>
          <w:sz w:val="24"/>
          <w:szCs w:val="24"/>
        </w:rPr>
        <w:footnoteReference w:id="7"/>
      </w:r>
      <w:r w:rsidRPr="00A07700">
        <w:rPr>
          <w:rFonts w:asciiTheme="minorHAnsi" w:hAnsiTheme="minorHAnsi"/>
          <w:sz w:val="24"/>
          <w:szCs w:val="24"/>
        </w:rPr>
        <w:t xml:space="preserve"> </w:t>
      </w:r>
    </w:p>
    <w:p w14:paraId="18B1992B" w14:textId="3F116A7E" w:rsidR="00A56535" w:rsidRPr="00A56535" w:rsidRDefault="00BA1504" w:rsidP="00A56535">
      <w:pPr>
        <w:pStyle w:val="PwCNormal"/>
        <w:spacing w:line="276" w:lineRule="auto"/>
        <w:jc w:val="both"/>
        <w:rPr>
          <w:rFonts w:asciiTheme="minorHAnsi" w:hAnsiTheme="minorHAnsi"/>
          <w:sz w:val="24"/>
          <w:szCs w:val="24"/>
        </w:rPr>
      </w:pPr>
      <w:r w:rsidRPr="00A07700">
        <w:rPr>
          <w:rFonts w:asciiTheme="minorHAnsi" w:hAnsiTheme="minorHAnsi"/>
          <w:sz w:val="24"/>
          <w:szCs w:val="24"/>
        </w:rPr>
        <w:t xml:space="preserve">Failure to provide such accommodations may amount to </w:t>
      </w:r>
      <w:r w:rsidRPr="00A07700">
        <w:rPr>
          <w:rFonts w:asciiTheme="minorHAnsi" w:hAnsiTheme="minorHAnsi"/>
          <w:sz w:val="24"/>
          <w:szCs w:val="24"/>
          <w:lang w:val="en-GB"/>
        </w:rPr>
        <w:t>discrimination under Article 5 (equality and non-discrimination) given the definition of ‘discrimination on the basis of disability’ encompasses failure to provide ‘reasonable accommodation’.</w:t>
      </w:r>
      <w:r w:rsidRPr="00A07700">
        <w:rPr>
          <w:rStyle w:val="FootnoteReference"/>
          <w:rFonts w:asciiTheme="minorHAnsi" w:hAnsiTheme="minorHAnsi"/>
          <w:sz w:val="24"/>
          <w:szCs w:val="24"/>
          <w:lang w:val="en-GB"/>
        </w:rPr>
        <w:footnoteReference w:id="8"/>
      </w:r>
      <w:r w:rsidRPr="00A07700">
        <w:rPr>
          <w:rFonts w:asciiTheme="minorHAnsi" w:hAnsiTheme="minorHAnsi"/>
          <w:sz w:val="24"/>
          <w:szCs w:val="24"/>
        </w:rPr>
        <w:t xml:space="preserve">  Article 5 may also be violated where the NDIS supports are not extended to people with disabilities in the criminal justice system.</w:t>
      </w:r>
    </w:p>
    <w:p w14:paraId="6FECB653" w14:textId="77777777" w:rsidR="00BA1504" w:rsidRPr="00A56535" w:rsidRDefault="00BA1504" w:rsidP="00A56535">
      <w:pPr>
        <w:pStyle w:val="PwCNormal"/>
        <w:spacing w:line="276" w:lineRule="auto"/>
        <w:jc w:val="both"/>
        <w:rPr>
          <w:rFonts w:asciiTheme="minorHAnsi" w:hAnsiTheme="minorHAnsi"/>
          <w:sz w:val="24"/>
          <w:szCs w:val="24"/>
        </w:rPr>
      </w:pPr>
      <w:r w:rsidRPr="00A56535">
        <w:rPr>
          <w:rFonts w:asciiTheme="minorHAnsi" w:hAnsiTheme="minorHAnsi"/>
          <w:sz w:val="24"/>
          <w:szCs w:val="24"/>
        </w:rPr>
        <w:lastRenderedPageBreak/>
        <w:t xml:space="preserve">Article 19 is also central to the consideration of these issues, as it requires that Australia provides people with disability with the supports they need to live independently and be included in the community.  Within the new framework, NDIS funding is critical to the realisation of this right. </w:t>
      </w:r>
    </w:p>
    <w:p w14:paraId="671B85D0" w14:textId="77777777" w:rsidR="00BA1504" w:rsidRPr="00A07700" w:rsidRDefault="00BA1504" w:rsidP="00A07700">
      <w:pPr>
        <w:pStyle w:val="PwCNormal"/>
        <w:spacing w:line="276" w:lineRule="auto"/>
        <w:jc w:val="both"/>
        <w:rPr>
          <w:rFonts w:asciiTheme="minorHAnsi" w:hAnsiTheme="minorHAnsi"/>
          <w:sz w:val="24"/>
          <w:szCs w:val="24"/>
        </w:rPr>
      </w:pPr>
      <w:r w:rsidRPr="00A07700">
        <w:rPr>
          <w:rFonts w:asciiTheme="minorHAnsi" w:hAnsiTheme="minorHAnsi"/>
          <w:sz w:val="24"/>
          <w:szCs w:val="24"/>
        </w:rPr>
        <w:t>The rights contained in Articles 15 and 16 must also be noted, as they guarantee persons with disabilities freedom from torture, cruel, inhuman or degrading treatment or punishment (Article 15) and from exploitation, violence and abuse (Article 16).  Collectively, Articles 15 and 16 seek to protect people with disabilities from some of the horrific experiences they can endure whilst incarcerated.  Access to NDIS funding whilst incarcerated is vital to ensuring that people with disabilities can access the supports and services they need throughout this period, and realise the right of access to physical, cognitive and psychological recovery, rehabilitation and social reintegration following the experience of exploitation, violence and abuse that is protected by Article 16.</w:t>
      </w:r>
      <w:r w:rsidRPr="00A07700">
        <w:rPr>
          <w:rStyle w:val="FootnoteReference"/>
          <w:rFonts w:asciiTheme="minorHAnsi" w:hAnsiTheme="minorHAnsi"/>
          <w:sz w:val="24"/>
          <w:szCs w:val="24"/>
        </w:rPr>
        <w:footnoteReference w:id="9"/>
      </w:r>
    </w:p>
    <w:p w14:paraId="7039CE26" w14:textId="77777777" w:rsidR="008F4F24" w:rsidRDefault="008F4F24" w:rsidP="008F4F24">
      <w:pPr>
        <w:spacing w:after="160" w:line="259" w:lineRule="auto"/>
        <w:jc w:val="both"/>
        <w:rPr>
          <w:rFonts w:cstheme="minorHAnsi"/>
          <w:b/>
          <w:sz w:val="28"/>
          <w:szCs w:val="28"/>
        </w:rPr>
      </w:pPr>
    </w:p>
    <w:p w14:paraId="11378924" w14:textId="77777777" w:rsidR="00A56535" w:rsidRDefault="00A56535" w:rsidP="008F4F24">
      <w:pPr>
        <w:spacing w:after="160" w:line="259" w:lineRule="auto"/>
        <w:jc w:val="both"/>
        <w:rPr>
          <w:rFonts w:cstheme="minorHAnsi"/>
          <w:b/>
          <w:sz w:val="28"/>
          <w:szCs w:val="28"/>
        </w:rPr>
      </w:pPr>
    </w:p>
    <w:p w14:paraId="3086DA0F" w14:textId="77777777" w:rsidR="00EF6507" w:rsidRDefault="00EF6507" w:rsidP="008F4F24">
      <w:pPr>
        <w:spacing w:after="160" w:line="259" w:lineRule="auto"/>
        <w:jc w:val="both"/>
        <w:rPr>
          <w:rFonts w:cstheme="minorHAnsi"/>
          <w:b/>
          <w:sz w:val="28"/>
          <w:szCs w:val="28"/>
        </w:rPr>
      </w:pPr>
    </w:p>
    <w:p w14:paraId="40682DEB" w14:textId="77777777" w:rsidR="00EF6507" w:rsidRDefault="00EF6507" w:rsidP="008F4F24">
      <w:pPr>
        <w:spacing w:after="160" w:line="259" w:lineRule="auto"/>
        <w:jc w:val="both"/>
        <w:rPr>
          <w:rFonts w:cstheme="minorHAnsi"/>
          <w:b/>
          <w:sz w:val="28"/>
          <w:szCs w:val="28"/>
        </w:rPr>
      </w:pPr>
    </w:p>
    <w:p w14:paraId="77B65A3F" w14:textId="77777777" w:rsidR="00EF6507" w:rsidRDefault="00EF6507" w:rsidP="008F4F24">
      <w:pPr>
        <w:spacing w:after="160" w:line="259" w:lineRule="auto"/>
        <w:jc w:val="both"/>
        <w:rPr>
          <w:rFonts w:cstheme="minorHAnsi"/>
          <w:b/>
          <w:sz w:val="28"/>
          <w:szCs w:val="28"/>
        </w:rPr>
      </w:pPr>
    </w:p>
    <w:p w14:paraId="29B126D6" w14:textId="77777777" w:rsidR="00EF6507" w:rsidRDefault="00EF6507" w:rsidP="008F4F24">
      <w:pPr>
        <w:spacing w:after="160" w:line="259" w:lineRule="auto"/>
        <w:jc w:val="both"/>
        <w:rPr>
          <w:rFonts w:cstheme="minorHAnsi"/>
          <w:b/>
          <w:sz w:val="28"/>
          <w:szCs w:val="28"/>
        </w:rPr>
      </w:pPr>
    </w:p>
    <w:p w14:paraId="0C2BB4A4" w14:textId="77777777" w:rsidR="00EF6507" w:rsidRDefault="00EF6507" w:rsidP="008F4F24">
      <w:pPr>
        <w:spacing w:after="160" w:line="259" w:lineRule="auto"/>
        <w:jc w:val="both"/>
        <w:rPr>
          <w:rFonts w:cstheme="minorHAnsi"/>
          <w:b/>
          <w:sz w:val="28"/>
          <w:szCs w:val="28"/>
        </w:rPr>
      </w:pPr>
    </w:p>
    <w:p w14:paraId="03BDA357" w14:textId="77777777" w:rsidR="00EF6507" w:rsidRDefault="00EF6507" w:rsidP="008F4F24">
      <w:pPr>
        <w:spacing w:after="160" w:line="259" w:lineRule="auto"/>
        <w:jc w:val="both"/>
        <w:rPr>
          <w:rFonts w:cstheme="minorHAnsi"/>
          <w:b/>
          <w:sz w:val="28"/>
          <w:szCs w:val="28"/>
        </w:rPr>
      </w:pPr>
    </w:p>
    <w:p w14:paraId="1D2FF715" w14:textId="77777777" w:rsidR="00EF6507" w:rsidRDefault="00EF6507" w:rsidP="008F4F24">
      <w:pPr>
        <w:spacing w:after="160" w:line="259" w:lineRule="auto"/>
        <w:jc w:val="both"/>
        <w:rPr>
          <w:rFonts w:cstheme="minorHAnsi"/>
          <w:b/>
          <w:sz w:val="28"/>
          <w:szCs w:val="28"/>
        </w:rPr>
      </w:pPr>
    </w:p>
    <w:p w14:paraId="54269620" w14:textId="77777777" w:rsidR="00EF6507" w:rsidRDefault="00EF6507" w:rsidP="008F4F24">
      <w:pPr>
        <w:spacing w:after="160" w:line="259" w:lineRule="auto"/>
        <w:jc w:val="both"/>
        <w:rPr>
          <w:rFonts w:cstheme="minorHAnsi"/>
          <w:b/>
          <w:sz w:val="28"/>
          <w:szCs w:val="28"/>
        </w:rPr>
      </w:pPr>
    </w:p>
    <w:p w14:paraId="675A3DFD" w14:textId="77777777" w:rsidR="00EF6507" w:rsidRDefault="00EF6507" w:rsidP="008F4F24">
      <w:pPr>
        <w:spacing w:after="160" w:line="259" w:lineRule="auto"/>
        <w:jc w:val="both"/>
        <w:rPr>
          <w:rFonts w:cstheme="minorHAnsi"/>
          <w:b/>
          <w:sz w:val="28"/>
          <w:szCs w:val="28"/>
        </w:rPr>
      </w:pPr>
    </w:p>
    <w:p w14:paraId="0C08F020" w14:textId="77777777" w:rsidR="00EF6507" w:rsidRDefault="00EF6507" w:rsidP="008F4F24">
      <w:pPr>
        <w:spacing w:after="160" w:line="259" w:lineRule="auto"/>
        <w:jc w:val="both"/>
        <w:rPr>
          <w:rFonts w:cstheme="minorHAnsi"/>
          <w:b/>
          <w:sz w:val="28"/>
          <w:szCs w:val="28"/>
        </w:rPr>
      </w:pPr>
    </w:p>
    <w:p w14:paraId="2517C9B1" w14:textId="77777777" w:rsidR="00DD48F8" w:rsidRDefault="00DD48F8" w:rsidP="008F4F24">
      <w:pPr>
        <w:spacing w:after="160" w:line="259" w:lineRule="auto"/>
        <w:jc w:val="both"/>
        <w:rPr>
          <w:rFonts w:cstheme="minorHAnsi"/>
          <w:b/>
          <w:sz w:val="28"/>
          <w:szCs w:val="28"/>
        </w:rPr>
      </w:pPr>
    </w:p>
    <w:p w14:paraId="2540CCB5" w14:textId="77777777" w:rsidR="00EF6507" w:rsidRDefault="00EF6507" w:rsidP="008F4F24">
      <w:pPr>
        <w:spacing w:after="160" w:line="259" w:lineRule="auto"/>
        <w:jc w:val="both"/>
        <w:rPr>
          <w:rFonts w:cstheme="minorHAnsi"/>
          <w:b/>
          <w:sz w:val="28"/>
          <w:szCs w:val="28"/>
        </w:rPr>
      </w:pPr>
    </w:p>
    <w:p w14:paraId="3AB37570" w14:textId="77777777" w:rsidR="004B6BAB" w:rsidRDefault="004B6BAB" w:rsidP="00DD48F8">
      <w:pPr>
        <w:pStyle w:val="Heading1"/>
        <w:rPr>
          <w:rFonts w:asciiTheme="minorHAnsi" w:hAnsiTheme="minorHAnsi"/>
          <w:sz w:val="40"/>
          <w:szCs w:val="40"/>
        </w:rPr>
      </w:pPr>
    </w:p>
    <w:p w14:paraId="0938A0FD" w14:textId="555F0E46" w:rsidR="00DD48F8" w:rsidRPr="008F4F24" w:rsidRDefault="00DD48F8" w:rsidP="00DD48F8">
      <w:pPr>
        <w:pStyle w:val="Heading1"/>
        <w:rPr>
          <w:rFonts w:asciiTheme="minorHAnsi" w:hAnsiTheme="minorHAnsi"/>
          <w:sz w:val="40"/>
          <w:szCs w:val="40"/>
        </w:rPr>
      </w:pPr>
      <w:r w:rsidRPr="008F4F24">
        <w:rPr>
          <w:rFonts w:asciiTheme="minorHAnsi" w:hAnsiTheme="minorHAnsi"/>
          <w:sz w:val="40"/>
          <w:szCs w:val="40"/>
        </w:rPr>
        <w:t>Recommendations</w:t>
      </w:r>
    </w:p>
    <w:p w14:paraId="5C84C879" w14:textId="77777777" w:rsidR="00DD48F8" w:rsidRPr="00F43362" w:rsidRDefault="00DD48F8" w:rsidP="00DD48F8"/>
    <w:p w14:paraId="6D0BBD7E" w14:textId="77777777" w:rsidR="00DD48F8" w:rsidRPr="00320A50" w:rsidRDefault="00DD48F8" w:rsidP="00DD48F8">
      <w:pPr>
        <w:jc w:val="both"/>
        <w:rPr>
          <w:b/>
          <w:bCs/>
          <w:iCs/>
          <w:sz w:val="28"/>
          <w:szCs w:val="28"/>
        </w:rPr>
      </w:pPr>
      <w:r w:rsidRPr="00320A50">
        <w:rPr>
          <w:b/>
          <w:bCs/>
          <w:iCs/>
          <w:sz w:val="28"/>
          <w:szCs w:val="28"/>
        </w:rPr>
        <w:t>Recommendation 1</w:t>
      </w:r>
    </w:p>
    <w:p w14:paraId="76718E6B" w14:textId="77777777" w:rsidR="00DD48F8" w:rsidRPr="00344F35" w:rsidRDefault="00DD48F8" w:rsidP="00DD48F8">
      <w:pPr>
        <w:jc w:val="both"/>
        <w:rPr>
          <w:bCs/>
          <w:sz w:val="24"/>
          <w:szCs w:val="24"/>
        </w:rPr>
      </w:pPr>
      <w:r w:rsidRPr="00344F35">
        <w:rPr>
          <w:bCs/>
          <w:iCs/>
          <w:sz w:val="24"/>
          <w:szCs w:val="24"/>
        </w:rPr>
        <w:t xml:space="preserve">Australians for Disability Justice ask the Committee to recommend that the NDIS plan and fund to support people with disability at all points during the criminal justice system </w:t>
      </w:r>
      <w:r w:rsidRPr="00344F35">
        <w:rPr>
          <w:bCs/>
          <w:sz w:val="24"/>
          <w:szCs w:val="24"/>
        </w:rPr>
        <w:t xml:space="preserve">in order to: </w:t>
      </w:r>
    </w:p>
    <w:p w14:paraId="7D71A49D" w14:textId="77777777" w:rsidR="00DD48F8" w:rsidRPr="00344F35" w:rsidRDefault="00DD48F8" w:rsidP="00DD48F8">
      <w:pPr>
        <w:pStyle w:val="ListParagraph"/>
        <w:numPr>
          <w:ilvl w:val="0"/>
          <w:numId w:val="13"/>
        </w:numPr>
        <w:spacing w:line="276" w:lineRule="auto"/>
        <w:jc w:val="both"/>
        <w:rPr>
          <w:rFonts w:cs="Arial"/>
          <w:bCs/>
          <w:sz w:val="24"/>
          <w:szCs w:val="24"/>
          <w:lang w:val="en-AU"/>
        </w:rPr>
      </w:pPr>
      <w:r w:rsidRPr="00344F35">
        <w:rPr>
          <w:rFonts w:cs="Arial"/>
          <w:bCs/>
          <w:sz w:val="24"/>
          <w:szCs w:val="24"/>
          <w:lang w:val="en-AU"/>
        </w:rPr>
        <w:t>Divert them from detention in correctional centres and forensic facilities,</w:t>
      </w:r>
    </w:p>
    <w:p w14:paraId="0BC52415" w14:textId="77777777" w:rsidR="00DD48F8" w:rsidRPr="00344F35" w:rsidRDefault="00DD48F8" w:rsidP="00DD48F8">
      <w:pPr>
        <w:pStyle w:val="ListParagraph"/>
        <w:numPr>
          <w:ilvl w:val="0"/>
          <w:numId w:val="13"/>
        </w:numPr>
        <w:spacing w:line="276" w:lineRule="auto"/>
        <w:jc w:val="both"/>
        <w:rPr>
          <w:rFonts w:cs="Arial"/>
          <w:bCs/>
          <w:sz w:val="24"/>
          <w:szCs w:val="24"/>
          <w:lang w:val="en-AU"/>
        </w:rPr>
      </w:pPr>
      <w:r w:rsidRPr="00344F35">
        <w:rPr>
          <w:rFonts w:cs="Arial"/>
          <w:bCs/>
          <w:sz w:val="24"/>
          <w:szCs w:val="24"/>
          <w:lang w:val="en-AU"/>
        </w:rPr>
        <w:t xml:space="preserve">Support them whilst detained in correctional centres and forensic facilities </w:t>
      </w:r>
    </w:p>
    <w:p w14:paraId="2505F5A6" w14:textId="77777777" w:rsidR="00DD48F8" w:rsidRPr="008C174D" w:rsidRDefault="00DD48F8" w:rsidP="00DD48F8">
      <w:pPr>
        <w:pStyle w:val="ListParagraph"/>
        <w:numPr>
          <w:ilvl w:val="0"/>
          <w:numId w:val="13"/>
        </w:numPr>
        <w:spacing w:line="276" w:lineRule="auto"/>
        <w:jc w:val="both"/>
        <w:rPr>
          <w:rFonts w:cs="Arial"/>
          <w:bCs/>
          <w:sz w:val="24"/>
          <w:szCs w:val="24"/>
          <w:lang w:val="en-AU"/>
        </w:rPr>
      </w:pPr>
      <w:r w:rsidRPr="00344F35">
        <w:rPr>
          <w:rFonts w:cs="Arial"/>
          <w:bCs/>
          <w:sz w:val="24"/>
          <w:szCs w:val="24"/>
          <w:lang w:val="en-AU"/>
        </w:rPr>
        <w:t xml:space="preserve">Assist them to Exit Detention from correctional centres and forensic facilities </w:t>
      </w:r>
    </w:p>
    <w:p w14:paraId="70ADA7BC" w14:textId="77777777" w:rsidR="00DD48F8" w:rsidRDefault="00DD48F8" w:rsidP="00DD48F8">
      <w:pPr>
        <w:jc w:val="both"/>
        <w:rPr>
          <w:bCs/>
          <w:iCs/>
          <w:sz w:val="24"/>
          <w:szCs w:val="24"/>
        </w:rPr>
      </w:pPr>
      <w:r w:rsidRPr="00F43362">
        <w:rPr>
          <w:bCs/>
          <w:iCs/>
          <w:sz w:val="24"/>
          <w:szCs w:val="24"/>
        </w:rPr>
        <w:t>Effective planning and funding to support people with disability and their interactions with the justice system includes:</w:t>
      </w:r>
    </w:p>
    <w:p w14:paraId="119A30D0" w14:textId="77777777" w:rsidR="000D5B4B" w:rsidRPr="00320A50" w:rsidRDefault="000D5B4B" w:rsidP="000D5B4B">
      <w:pPr>
        <w:jc w:val="both"/>
        <w:rPr>
          <w:b/>
          <w:bCs/>
          <w:iCs/>
          <w:sz w:val="28"/>
          <w:szCs w:val="28"/>
        </w:rPr>
      </w:pPr>
      <w:r w:rsidRPr="00320A50">
        <w:rPr>
          <w:b/>
          <w:bCs/>
          <w:iCs/>
          <w:sz w:val="28"/>
          <w:szCs w:val="28"/>
        </w:rPr>
        <w:t>Re</w:t>
      </w:r>
      <w:r>
        <w:rPr>
          <w:b/>
          <w:bCs/>
          <w:iCs/>
          <w:sz w:val="28"/>
          <w:szCs w:val="28"/>
        </w:rPr>
        <w:t>commendation 2</w:t>
      </w:r>
    </w:p>
    <w:p w14:paraId="634F50AF" w14:textId="77777777" w:rsidR="000D5B4B" w:rsidRPr="004B6BAB" w:rsidRDefault="000D5B4B" w:rsidP="000D5B4B">
      <w:pPr>
        <w:jc w:val="both"/>
        <w:rPr>
          <w:bCs/>
          <w:sz w:val="24"/>
          <w:szCs w:val="24"/>
        </w:rPr>
      </w:pPr>
      <w:r w:rsidRPr="004B6BAB">
        <w:rPr>
          <w:bCs/>
          <w:sz w:val="24"/>
          <w:szCs w:val="24"/>
        </w:rPr>
        <w:t xml:space="preserve">As clarified at the Hearing, in view of the large number of people with cognitive disability in contact with the justice system and the specialised needs experienced by this group, Australians for Disability Justice recommends that the NDIA engage a senior expert with extensive knowledge and expertise to develop principles, policy and practice (as the agency has for mental health). </w:t>
      </w:r>
    </w:p>
    <w:p w14:paraId="5108CD9C" w14:textId="18447FCC" w:rsidR="00DD48F8" w:rsidRPr="00320A50" w:rsidRDefault="000D5B4B" w:rsidP="00DD48F8">
      <w:pPr>
        <w:jc w:val="both"/>
        <w:rPr>
          <w:b/>
          <w:bCs/>
          <w:iCs/>
          <w:sz w:val="28"/>
          <w:szCs w:val="28"/>
        </w:rPr>
      </w:pPr>
      <w:r>
        <w:rPr>
          <w:b/>
          <w:bCs/>
          <w:iCs/>
          <w:sz w:val="28"/>
          <w:szCs w:val="28"/>
        </w:rPr>
        <w:t>Recommendation 3</w:t>
      </w:r>
    </w:p>
    <w:p w14:paraId="59C4AC51" w14:textId="77777777" w:rsidR="00DD48F8" w:rsidRPr="008C174D" w:rsidRDefault="00DD48F8" w:rsidP="00DD48F8">
      <w:pPr>
        <w:jc w:val="both"/>
        <w:rPr>
          <w:bCs/>
          <w:sz w:val="24"/>
          <w:szCs w:val="24"/>
        </w:rPr>
      </w:pPr>
      <w:r w:rsidRPr="00344F35">
        <w:rPr>
          <w:bCs/>
          <w:sz w:val="24"/>
          <w:szCs w:val="24"/>
        </w:rPr>
        <w:t>A review of the NDIA policies and practices in relation to people with disabilities in contact with the criminal justice system against the elements of an appropriate NDIS response recommended by Australians for Disability Justice</w:t>
      </w:r>
      <w:r>
        <w:rPr>
          <w:bCs/>
          <w:sz w:val="24"/>
          <w:szCs w:val="24"/>
        </w:rPr>
        <w:t>.</w:t>
      </w:r>
    </w:p>
    <w:p w14:paraId="1F9E01B2" w14:textId="77777777" w:rsidR="00DD48F8" w:rsidRPr="00320A50" w:rsidRDefault="00DD48F8" w:rsidP="00DD48F8">
      <w:pPr>
        <w:jc w:val="both"/>
        <w:rPr>
          <w:b/>
          <w:bCs/>
          <w:iCs/>
          <w:sz w:val="28"/>
          <w:szCs w:val="28"/>
        </w:rPr>
      </w:pPr>
      <w:r>
        <w:rPr>
          <w:b/>
          <w:bCs/>
          <w:iCs/>
          <w:sz w:val="28"/>
          <w:szCs w:val="28"/>
        </w:rPr>
        <w:t>Recommendation 4</w:t>
      </w:r>
    </w:p>
    <w:p w14:paraId="0BB3CE3A" w14:textId="77777777" w:rsidR="00DD48F8" w:rsidRDefault="00DD48F8" w:rsidP="00DD48F8">
      <w:pPr>
        <w:jc w:val="both"/>
        <w:rPr>
          <w:bCs/>
          <w:sz w:val="24"/>
          <w:szCs w:val="24"/>
          <w:lang w:val="en-GB"/>
        </w:rPr>
      </w:pPr>
      <w:r w:rsidRPr="00281A1C">
        <w:rPr>
          <w:bCs/>
          <w:sz w:val="24"/>
          <w:szCs w:val="24"/>
          <w:lang w:val="en-GB"/>
        </w:rPr>
        <w:t xml:space="preserve">Recognition of the additional complexity involved in planning for people with disability in contact with the criminal justice system and a parallel commitment of resources that will increase the capacity of planners to take into account multiple and interacting personal and service issues.  </w:t>
      </w:r>
    </w:p>
    <w:p w14:paraId="0BFB4244" w14:textId="77777777" w:rsidR="00DD48F8" w:rsidRDefault="00DD48F8" w:rsidP="00DD48F8">
      <w:pPr>
        <w:jc w:val="both"/>
        <w:rPr>
          <w:bCs/>
          <w:sz w:val="24"/>
          <w:szCs w:val="24"/>
          <w:lang w:val="en-GB"/>
        </w:rPr>
      </w:pPr>
      <w:r>
        <w:rPr>
          <w:bCs/>
          <w:sz w:val="24"/>
          <w:szCs w:val="24"/>
          <w:lang w:val="en-GB"/>
        </w:rPr>
        <w:t>In particular, the inextricable connection between disability and health requires a close integration of the NDIA with the health system to avoid gaps in service provision as people with cognitive disability transition between these support and service systems.</w:t>
      </w:r>
    </w:p>
    <w:p w14:paraId="7CEB0537" w14:textId="64070F03" w:rsidR="00DD48F8" w:rsidRPr="0015172E" w:rsidRDefault="00DD48F8" w:rsidP="00DD48F8">
      <w:pPr>
        <w:jc w:val="both"/>
        <w:rPr>
          <w:bCs/>
          <w:iCs/>
          <w:sz w:val="24"/>
          <w:szCs w:val="24"/>
        </w:rPr>
      </w:pPr>
      <w:r w:rsidRPr="00281A1C">
        <w:rPr>
          <w:bCs/>
          <w:sz w:val="24"/>
          <w:szCs w:val="24"/>
          <w:lang w:val="en-GB"/>
        </w:rPr>
        <w:lastRenderedPageBreak/>
        <w:t>An example of a best practice/ responsive, comprehensive and sustainable approach to planning is available via this link:</w:t>
      </w:r>
      <w:r w:rsidRPr="00281A1C">
        <w:rPr>
          <w:b/>
          <w:bCs/>
          <w:color w:val="000000"/>
          <w:sz w:val="24"/>
          <w:szCs w:val="24"/>
          <w:lang w:val="en-GB"/>
        </w:rPr>
        <w:t xml:space="preserve"> </w:t>
      </w:r>
      <w:r w:rsidRPr="00320A50">
        <w:rPr>
          <w:sz w:val="24"/>
          <w:szCs w:val="24"/>
          <w:lang w:val="en-GB"/>
        </w:rPr>
        <w:t>www.arts.unsw.edu.au/research/intellectual-disability-behaviour-support-program/support-</w:t>
      </w:r>
      <w:r w:rsidR="0015172E">
        <w:rPr>
          <w:sz w:val="24"/>
          <w:szCs w:val="24"/>
          <w:lang w:val="en-GB"/>
        </w:rPr>
        <w:t xml:space="preserve">planning </w:t>
      </w:r>
    </w:p>
    <w:p w14:paraId="5F341600" w14:textId="77777777" w:rsidR="00DD48F8" w:rsidRDefault="00DD48F8" w:rsidP="00DD48F8">
      <w:pPr>
        <w:jc w:val="both"/>
        <w:rPr>
          <w:b/>
          <w:bCs/>
          <w:iCs/>
          <w:sz w:val="28"/>
          <w:szCs w:val="28"/>
        </w:rPr>
      </w:pPr>
      <w:r>
        <w:rPr>
          <w:b/>
          <w:bCs/>
          <w:iCs/>
          <w:sz w:val="28"/>
          <w:szCs w:val="28"/>
        </w:rPr>
        <w:t>Recommendation 6</w:t>
      </w:r>
    </w:p>
    <w:p w14:paraId="6C3CEF84" w14:textId="77777777" w:rsidR="00DD48F8" w:rsidRPr="008C174D" w:rsidRDefault="00DD48F8" w:rsidP="00DD48F8">
      <w:pPr>
        <w:jc w:val="both"/>
        <w:rPr>
          <w:bCs/>
          <w:iCs/>
          <w:sz w:val="24"/>
          <w:szCs w:val="24"/>
        </w:rPr>
      </w:pPr>
      <w:r>
        <w:rPr>
          <w:bCs/>
          <w:iCs/>
          <w:sz w:val="24"/>
          <w:szCs w:val="24"/>
        </w:rPr>
        <w:t>Shortening the time required to assess and initiate a NDIS transitional support plan to ensure that people with cognitive disability on relatively short sentences are no longer excluded from transitional planning and support.</w:t>
      </w:r>
    </w:p>
    <w:p w14:paraId="78BD7BE8" w14:textId="77777777" w:rsidR="00DD48F8" w:rsidRPr="00320A50" w:rsidRDefault="00DD48F8" w:rsidP="00DD48F8">
      <w:pPr>
        <w:jc w:val="both"/>
        <w:rPr>
          <w:b/>
          <w:bCs/>
          <w:iCs/>
          <w:sz w:val="28"/>
          <w:szCs w:val="28"/>
        </w:rPr>
      </w:pPr>
      <w:r>
        <w:rPr>
          <w:b/>
          <w:bCs/>
          <w:iCs/>
          <w:sz w:val="28"/>
          <w:szCs w:val="28"/>
        </w:rPr>
        <w:t>Recommendation 7</w:t>
      </w:r>
    </w:p>
    <w:p w14:paraId="18477549" w14:textId="77777777" w:rsidR="00DD48F8" w:rsidRPr="008C174D" w:rsidRDefault="00DD48F8" w:rsidP="00DD48F8">
      <w:pPr>
        <w:jc w:val="both"/>
        <w:rPr>
          <w:bCs/>
          <w:sz w:val="24"/>
          <w:szCs w:val="24"/>
        </w:rPr>
      </w:pPr>
      <w:r w:rsidRPr="00281A1C">
        <w:rPr>
          <w:bCs/>
          <w:sz w:val="24"/>
          <w:szCs w:val="24"/>
          <w:lang w:val="en-GB"/>
        </w:rPr>
        <w:t xml:space="preserve">Expanding </w:t>
      </w:r>
      <w:r w:rsidRPr="00281A1C">
        <w:rPr>
          <w:bCs/>
          <w:sz w:val="24"/>
          <w:szCs w:val="24"/>
        </w:rPr>
        <w:t>the Information, Linkages and Capacity Building (ILC) arm of the NDIA to complement and enhance the work of a specialist criminal justice unit. </w:t>
      </w:r>
    </w:p>
    <w:p w14:paraId="086B2AB2" w14:textId="77777777" w:rsidR="00DD48F8" w:rsidRPr="00320A50" w:rsidRDefault="00DD48F8" w:rsidP="00DD48F8">
      <w:pPr>
        <w:jc w:val="both"/>
        <w:rPr>
          <w:b/>
          <w:bCs/>
          <w:iCs/>
          <w:sz w:val="28"/>
          <w:szCs w:val="28"/>
        </w:rPr>
      </w:pPr>
      <w:r>
        <w:rPr>
          <w:b/>
          <w:bCs/>
          <w:iCs/>
          <w:sz w:val="28"/>
          <w:szCs w:val="28"/>
        </w:rPr>
        <w:t>Recommendation 8</w:t>
      </w:r>
    </w:p>
    <w:p w14:paraId="1251927C" w14:textId="77777777" w:rsidR="00DD48F8" w:rsidRDefault="00DD48F8" w:rsidP="00DD48F8">
      <w:pPr>
        <w:jc w:val="both"/>
        <w:rPr>
          <w:bCs/>
          <w:sz w:val="24"/>
          <w:szCs w:val="24"/>
        </w:rPr>
      </w:pPr>
      <w:r w:rsidRPr="00A37EA7">
        <w:rPr>
          <w:bCs/>
          <w:sz w:val="24"/>
          <w:szCs w:val="24"/>
        </w:rPr>
        <w:t xml:space="preserve">Investing in Sector Development and Workforce Capacity to ensure that Disability Workers </w:t>
      </w:r>
      <w:r>
        <w:rPr>
          <w:bCs/>
          <w:sz w:val="24"/>
          <w:szCs w:val="24"/>
        </w:rPr>
        <w:t xml:space="preserve">and criminal justice stakeholders </w:t>
      </w:r>
      <w:r w:rsidRPr="00A37EA7">
        <w:rPr>
          <w:bCs/>
          <w:sz w:val="24"/>
          <w:szCs w:val="24"/>
        </w:rPr>
        <w:t>have the requisite skills to assist people with disability in the criminal justice system.</w:t>
      </w:r>
    </w:p>
    <w:p w14:paraId="5E6D4BC7" w14:textId="77777777" w:rsidR="00DD48F8" w:rsidRPr="008C174D" w:rsidRDefault="00DD48F8" w:rsidP="00DD48F8">
      <w:pPr>
        <w:jc w:val="both"/>
        <w:rPr>
          <w:bCs/>
          <w:sz w:val="24"/>
          <w:szCs w:val="24"/>
        </w:rPr>
      </w:pPr>
      <w:r>
        <w:rPr>
          <w:bCs/>
          <w:sz w:val="24"/>
          <w:szCs w:val="24"/>
        </w:rPr>
        <w:t>This includes increasing the capacity for the identification and assessment of people with cognitive impairment in the criminal justice system. Specifically, this requires that the NDIA works closely with criminal justice service providers to train and upskill criminal justice stakeholders to recognise cognitive impairment at every stage of the criminal justice process. This would include: a) training staff in best-practice screening in criminal justice settings; b) creating a clearly defined protocol for systematic screening and NDIS eligibility assessment for those who screen positive; c) NDIS support integration for those with cognitive disability found to be eligible in custodial settings; and d) developing national benchmarks for screening, eligibility assessment and NDIS support integration that can be subject to ongoing rigorous evaluation to inform the future optimisation of NDIS support provision for people with cognitive disability in the criminal justice system.</w:t>
      </w:r>
    </w:p>
    <w:p w14:paraId="2200FBFE" w14:textId="77777777" w:rsidR="00DD48F8" w:rsidRPr="00320A50" w:rsidRDefault="00DD48F8" w:rsidP="00DD48F8">
      <w:pPr>
        <w:jc w:val="both"/>
        <w:rPr>
          <w:b/>
          <w:bCs/>
          <w:iCs/>
          <w:sz w:val="28"/>
          <w:szCs w:val="28"/>
        </w:rPr>
      </w:pPr>
      <w:r>
        <w:rPr>
          <w:b/>
          <w:bCs/>
          <w:iCs/>
          <w:sz w:val="28"/>
          <w:szCs w:val="28"/>
        </w:rPr>
        <w:t>Recommendation 9</w:t>
      </w:r>
    </w:p>
    <w:p w14:paraId="1AD00BED" w14:textId="77777777" w:rsidR="00DD48F8" w:rsidRPr="008C174D" w:rsidRDefault="00DD48F8" w:rsidP="00DD48F8">
      <w:pPr>
        <w:jc w:val="both"/>
        <w:rPr>
          <w:bCs/>
          <w:color w:val="000000" w:themeColor="text1"/>
          <w:sz w:val="24"/>
          <w:szCs w:val="24"/>
        </w:rPr>
      </w:pPr>
      <w:r w:rsidRPr="00A37EA7">
        <w:rPr>
          <w:bCs/>
          <w:color w:val="000000" w:themeColor="text1"/>
          <w:sz w:val="24"/>
          <w:szCs w:val="24"/>
        </w:rPr>
        <w:t>Developing a policy framework to ensure service quality and safeguards exist for services funded to respond to people with disabilities in the criminal justice system</w:t>
      </w:r>
      <w:r>
        <w:rPr>
          <w:bCs/>
          <w:color w:val="000000" w:themeColor="text1"/>
          <w:sz w:val="24"/>
          <w:szCs w:val="24"/>
        </w:rPr>
        <w:t>.</w:t>
      </w:r>
    </w:p>
    <w:p w14:paraId="3A6655F8" w14:textId="77777777" w:rsidR="00DD48F8" w:rsidRPr="00320A50" w:rsidRDefault="00DD48F8" w:rsidP="00DD48F8">
      <w:pPr>
        <w:jc w:val="both"/>
        <w:rPr>
          <w:b/>
          <w:bCs/>
          <w:iCs/>
          <w:sz w:val="28"/>
          <w:szCs w:val="28"/>
        </w:rPr>
      </w:pPr>
      <w:r>
        <w:rPr>
          <w:b/>
          <w:bCs/>
          <w:iCs/>
          <w:sz w:val="28"/>
          <w:szCs w:val="28"/>
        </w:rPr>
        <w:t>Recommendation 10</w:t>
      </w:r>
    </w:p>
    <w:p w14:paraId="02FCE0E4" w14:textId="77777777" w:rsidR="00DD48F8" w:rsidRPr="008F4F24" w:rsidRDefault="00DD48F8" w:rsidP="00DD48F8">
      <w:pPr>
        <w:jc w:val="both"/>
        <w:rPr>
          <w:bCs/>
          <w:sz w:val="24"/>
          <w:szCs w:val="24"/>
        </w:rPr>
      </w:pPr>
      <w:r w:rsidRPr="00A37EA7">
        <w:rPr>
          <w:bCs/>
          <w:sz w:val="24"/>
          <w:szCs w:val="24"/>
        </w:rPr>
        <w:t>Recommending that Australia’s Attorney's General and Ministers for Justice review the accessibility of criminal justice systems for people with disability which includes</w:t>
      </w:r>
      <w:r>
        <w:rPr>
          <w:bCs/>
          <w:sz w:val="24"/>
          <w:szCs w:val="24"/>
        </w:rPr>
        <w:t>:</w:t>
      </w:r>
      <w:r w:rsidRPr="00A37EA7">
        <w:rPr>
          <w:bCs/>
          <w:sz w:val="24"/>
          <w:szCs w:val="24"/>
        </w:rPr>
        <w:t xml:space="preserve"> </w:t>
      </w:r>
    </w:p>
    <w:p w14:paraId="3A4C3D7B" w14:textId="77777777" w:rsidR="00DD48F8" w:rsidRPr="008F4F24" w:rsidRDefault="00DD48F8" w:rsidP="00DD48F8">
      <w:pPr>
        <w:pStyle w:val="ListParagraph"/>
        <w:numPr>
          <w:ilvl w:val="0"/>
          <w:numId w:val="14"/>
        </w:numPr>
        <w:spacing w:line="276" w:lineRule="auto"/>
        <w:jc w:val="both"/>
        <w:rPr>
          <w:rFonts w:cs="Arial"/>
          <w:bCs/>
          <w:sz w:val="24"/>
          <w:szCs w:val="24"/>
          <w:lang w:val="en-AU"/>
        </w:rPr>
      </w:pPr>
      <w:r w:rsidRPr="008F4F24">
        <w:rPr>
          <w:rFonts w:cs="Arial"/>
          <w:bCs/>
          <w:sz w:val="24"/>
          <w:szCs w:val="24"/>
          <w:lang w:val="en-AU"/>
        </w:rPr>
        <w:lastRenderedPageBreak/>
        <w:t>Implementing the recommendations from the Community Affairs References Committee Indefinite Detention Report</w:t>
      </w:r>
      <w:r>
        <w:rPr>
          <w:rFonts w:cs="Arial"/>
          <w:bCs/>
          <w:sz w:val="24"/>
          <w:szCs w:val="24"/>
          <w:lang w:val="en-AU"/>
        </w:rPr>
        <w:t>;</w:t>
      </w:r>
    </w:p>
    <w:p w14:paraId="19DF696F" w14:textId="77777777" w:rsidR="00DD48F8" w:rsidRPr="008F4F24" w:rsidRDefault="00DD48F8" w:rsidP="00DD48F8">
      <w:pPr>
        <w:pStyle w:val="ListParagraph"/>
        <w:numPr>
          <w:ilvl w:val="0"/>
          <w:numId w:val="14"/>
        </w:numPr>
        <w:spacing w:line="276" w:lineRule="auto"/>
        <w:jc w:val="both"/>
        <w:rPr>
          <w:rFonts w:cs="Arial"/>
          <w:bCs/>
          <w:sz w:val="24"/>
          <w:szCs w:val="24"/>
        </w:rPr>
      </w:pPr>
      <w:r w:rsidRPr="008F4F24">
        <w:rPr>
          <w:rFonts w:cs="Arial"/>
          <w:bCs/>
          <w:sz w:val="24"/>
          <w:szCs w:val="24"/>
          <w:lang w:val="en-AU"/>
        </w:rPr>
        <w:t xml:space="preserve">When available adopt the </w:t>
      </w:r>
      <w:r w:rsidRPr="008F4F24">
        <w:rPr>
          <w:rFonts w:cs="Arial"/>
          <w:bCs/>
          <w:sz w:val="24"/>
          <w:szCs w:val="24"/>
        </w:rPr>
        <w:t>National Statement of Principles Relating to Persons Unfit to Plead or Found Not Guilty by Reason of Cognitive or Mental Health Impairment (National Principles) being developed by the Law, Crime and Community Safety Council (LCCSC)</w:t>
      </w:r>
      <w:r>
        <w:rPr>
          <w:rFonts w:cs="Arial"/>
          <w:bCs/>
          <w:sz w:val="24"/>
          <w:szCs w:val="24"/>
        </w:rPr>
        <w:t>;</w:t>
      </w:r>
    </w:p>
    <w:p w14:paraId="2ADC9853" w14:textId="77777777" w:rsidR="00DD48F8" w:rsidRPr="008C174D" w:rsidRDefault="00DD48F8" w:rsidP="00DD48F8">
      <w:pPr>
        <w:pStyle w:val="ListParagraph"/>
        <w:numPr>
          <w:ilvl w:val="0"/>
          <w:numId w:val="14"/>
        </w:numPr>
        <w:spacing w:line="276" w:lineRule="auto"/>
        <w:jc w:val="both"/>
        <w:rPr>
          <w:bCs/>
          <w:sz w:val="24"/>
          <w:szCs w:val="24"/>
        </w:rPr>
      </w:pPr>
      <w:r w:rsidRPr="008F4F24">
        <w:rPr>
          <w:bCs/>
          <w:sz w:val="24"/>
          <w:szCs w:val="24"/>
        </w:rPr>
        <w:t>Continue working with the Justice System to implement policy direction 3, 4 and 5 of ‘Rights, Protection and Justice’ from the National Disability Strategy 2010 – 2020</w:t>
      </w:r>
      <w:r>
        <w:rPr>
          <w:bCs/>
          <w:sz w:val="24"/>
          <w:szCs w:val="24"/>
        </w:rPr>
        <w:t>.</w:t>
      </w:r>
    </w:p>
    <w:p w14:paraId="6BCC6930" w14:textId="77777777" w:rsidR="00DD48F8" w:rsidRPr="00320A50" w:rsidRDefault="00DD48F8" w:rsidP="00DD48F8">
      <w:pPr>
        <w:jc w:val="both"/>
        <w:rPr>
          <w:b/>
          <w:bCs/>
          <w:iCs/>
          <w:sz w:val="28"/>
          <w:szCs w:val="28"/>
        </w:rPr>
      </w:pPr>
      <w:r>
        <w:rPr>
          <w:b/>
          <w:bCs/>
          <w:iCs/>
          <w:sz w:val="28"/>
          <w:szCs w:val="28"/>
        </w:rPr>
        <w:t>Recommendation 11</w:t>
      </w:r>
    </w:p>
    <w:p w14:paraId="1BEC49C1" w14:textId="77777777" w:rsidR="00DD48F8" w:rsidRPr="00320A50" w:rsidRDefault="00DD48F8" w:rsidP="00DD48F8">
      <w:pPr>
        <w:rPr>
          <w:sz w:val="24"/>
          <w:szCs w:val="24"/>
        </w:rPr>
      </w:pPr>
      <w:r w:rsidRPr="00A37EA7">
        <w:rPr>
          <w:bCs/>
          <w:sz w:val="24"/>
          <w:szCs w:val="24"/>
        </w:rPr>
        <w:t>That t</w:t>
      </w:r>
      <w:r>
        <w:rPr>
          <w:bCs/>
          <w:sz w:val="24"/>
          <w:szCs w:val="24"/>
        </w:rPr>
        <w:t>he Government invest further in, enact and</w:t>
      </w:r>
      <w:r w:rsidRPr="00A37EA7">
        <w:rPr>
          <w:bCs/>
          <w:sz w:val="24"/>
          <w:szCs w:val="24"/>
        </w:rPr>
        <w:t xml:space="preserve"> provide stronger support for the National Disability Strategy</w:t>
      </w:r>
      <w:r>
        <w:rPr>
          <w:bCs/>
          <w:sz w:val="24"/>
          <w:szCs w:val="24"/>
        </w:rPr>
        <w:t xml:space="preserve">: </w:t>
      </w:r>
      <w:r w:rsidRPr="0079491A">
        <w:rPr>
          <w:sz w:val="24"/>
          <w:szCs w:val="24"/>
        </w:rPr>
        <w:t>www.dss.gov.au/our-responsibilities/disability-and-carers/program-services/government-international/national-disability-strategy</w:t>
      </w:r>
    </w:p>
    <w:p w14:paraId="52D63991" w14:textId="77777777" w:rsidR="00DD48F8" w:rsidRPr="00320A50" w:rsidRDefault="00DD48F8" w:rsidP="00DD48F8">
      <w:pPr>
        <w:jc w:val="both"/>
        <w:rPr>
          <w:b/>
          <w:bCs/>
          <w:iCs/>
          <w:sz w:val="28"/>
          <w:szCs w:val="28"/>
        </w:rPr>
      </w:pPr>
      <w:r>
        <w:rPr>
          <w:b/>
          <w:bCs/>
          <w:iCs/>
          <w:sz w:val="28"/>
          <w:szCs w:val="28"/>
        </w:rPr>
        <w:t>Recommendation 12</w:t>
      </w:r>
    </w:p>
    <w:p w14:paraId="7F6B6250" w14:textId="77777777" w:rsidR="00DD48F8" w:rsidRPr="0079491A" w:rsidRDefault="00DD48F8" w:rsidP="00DD48F8">
      <w:pPr>
        <w:jc w:val="both"/>
        <w:rPr>
          <w:bCs/>
          <w:color w:val="000000"/>
          <w:sz w:val="24"/>
          <w:szCs w:val="24"/>
        </w:rPr>
      </w:pPr>
      <w:r w:rsidRPr="0020333A">
        <w:rPr>
          <w:bCs/>
          <w:color w:val="000000"/>
          <w:sz w:val="24"/>
          <w:szCs w:val="24"/>
        </w:rPr>
        <w:t xml:space="preserve">That the Committee improve the accessibility of consultation documents and recommendations relating to </w:t>
      </w:r>
      <w:r w:rsidRPr="00320A50">
        <w:rPr>
          <w:bCs/>
          <w:color w:val="000000"/>
          <w:sz w:val="24"/>
          <w:szCs w:val="24"/>
        </w:rPr>
        <w:t>the</w:t>
      </w:r>
      <w:r>
        <w:rPr>
          <w:bCs/>
          <w:color w:val="000000"/>
          <w:sz w:val="24"/>
          <w:szCs w:val="24"/>
        </w:rPr>
        <w:t xml:space="preserve"> NDIS: </w:t>
      </w:r>
      <w:r w:rsidRPr="0079491A">
        <w:rPr>
          <w:sz w:val="24"/>
          <w:szCs w:val="24"/>
        </w:rPr>
        <w:t>www.aph.gov.au/Help/Accessibility</w:t>
      </w:r>
    </w:p>
    <w:p w14:paraId="55A793D1" w14:textId="77777777" w:rsidR="00DD48F8" w:rsidRPr="00320A50" w:rsidRDefault="00DD48F8" w:rsidP="00DD48F8">
      <w:pPr>
        <w:jc w:val="both"/>
        <w:rPr>
          <w:bCs/>
          <w:iCs/>
          <w:sz w:val="28"/>
          <w:szCs w:val="28"/>
        </w:rPr>
      </w:pPr>
      <w:r w:rsidRPr="00320A50">
        <w:rPr>
          <w:b/>
          <w:bCs/>
          <w:iCs/>
          <w:sz w:val="28"/>
          <w:szCs w:val="28"/>
        </w:rPr>
        <w:t>Recommendation 1</w:t>
      </w:r>
      <w:r>
        <w:rPr>
          <w:b/>
          <w:bCs/>
          <w:iCs/>
          <w:sz w:val="28"/>
          <w:szCs w:val="28"/>
        </w:rPr>
        <w:t>3</w:t>
      </w:r>
    </w:p>
    <w:p w14:paraId="18DEA367" w14:textId="77777777" w:rsidR="00DD48F8" w:rsidRPr="0079491A" w:rsidRDefault="00DD48F8" w:rsidP="00DD48F8">
      <w:pPr>
        <w:rPr>
          <w:bCs/>
          <w:sz w:val="24"/>
          <w:szCs w:val="24"/>
        </w:rPr>
      </w:pPr>
      <w:r>
        <w:rPr>
          <w:bCs/>
          <w:sz w:val="24"/>
          <w:szCs w:val="24"/>
        </w:rPr>
        <w:t>That the Committee</w:t>
      </w:r>
      <w:r w:rsidRPr="0020333A">
        <w:rPr>
          <w:bCs/>
          <w:sz w:val="24"/>
          <w:szCs w:val="24"/>
        </w:rPr>
        <w:t xml:space="preserve"> include Easy English summaries: </w:t>
      </w:r>
      <w:r w:rsidRPr="0079491A">
        <w:rPr>
          <w:bCs/>
          <w:sz w:val="24"/>
          <w:szCs w:val="24"/>
        </w:rPr>
        <w:t>https://www.ndis.gov.au/html/sites/default/files/documents/NDIA-FAQ-Tasmania.pdf</w:t>
      </w:r>
    </w:p>
    <w:p w14:paraId="6B467663" w14:textId="77777777" w:rsidR="00DD48F8" w:rsidRDefault="00DD48F8" w:rsidP="00A56535">
      <w:pPr>
        <w:pStyle w:val="Heading1"/>
        <w:rPr>
          <w:sz w:val="40"/>
          <w:szCs w:val="40"/>
        </w:rPr>
      </w:pPr>
    </w:p>
    <w:p w14:paraId="1CA13FAE" w14:textId="77777777" w:rsidR="00DD48F8" w:rsidRDefault="00DD48F8" w:rsidP="00DD48F8"/>
    <w:p w14:paraId="7114A869" w14:textId="77777777" w:rsidR="00DD48F8" w:rsidRDefault="00DD48F8" w:rsidP="00DD48F8"/>
    <w:p w14:paraId="408DB8CF" w14:textId="77777777" w:rsidR="00DD48F8" w:rsidRDefault="00DD48F8" w:rsidP="00DD48F8"/>
    <w:p w14:paraId="17F7AFFF" w14:textId="77777777" w:rsidR="00DD48F8" w:rsidRDefault="00DD48F8" w:rsidP="00DD48F8"/>
    <w:p w14:paraId="71487ABE" w14:textId="77777777" w:rsidR="005021C4" w:rsidRDefault="005021C4" w:rsidP="00DD48F8"/>
    <w:p w14:paraId="14279877" w14:textId="77777777" w:rsidR="00DD48F8" w:rsidRPr="00DD48F8" w:rsidRDefault="00DD48F8" w:rsidP="00DD48F8"/>
    <w:p w14:paraId="1A8517E5" w14:textId="263724FC" w:rsidR="00F43362" w:rsidRPr="00E80284" w:rsidRDefault="00A56535" w:rsidP="00A56535">
      <w:pPr>
        <w:pStyle w:val="Heading1"/>
        <w:rPr>
          <w:sz w:val="40"/>
          <w:szCs w:val="40"/>
        </w:rPr>
      </w:pPr>
      <w:r w:rsidRPr="00E80284">
        <w:rPr>
          <w:sz w:val="40"/>
          <w:szCs w:val="40"/>
        </w:rPr>
        <w:lastRenderedPageBreak/>
        <w:t>Cost benefit case studies of persons with disability in the criminal justice system</w:t>
      </w:r>
      <w:r w:rsidRPr="00E80284">
        <w:rPr>
          <w:rStyle w:val="FootnoteReference"/>
          <w:rFonts w:asciiTheme="minorHAnsi" w:hAnsiTheme="minorHAnsi" w:cstheme="minorHAnsi"/>
          <w:b w:val="0"/>
          <w:sz w:val="40"/>
          <w:szCs w:val="40"/>
        </w:rPr>
        <w:footnoteReference w:id="10"/>
      </w:r>
    </w:p>
    <w:p w14:paraId="6F61AF60" w14:textId="0CE3638B" w:rsidR="00C7212A" w:rsidRDefault="000772E3" w:rsidP="00C7212A">
      <w:r w:rsidRPr="00A56535">
        <w:rPr>
          <w:rFonts w:cstheme="minorHAnsi"/>
          <w:b/>
          <w:noProof/>
          <w:sz w:val="24"/>
          <w:szCs w:val="24"/>
          <w:lang w:eastAsia="en-AU"/>
        </w:rPr>
        <mc:AlternateContent>
          <mc:Choice Requires="wps">
            <w:drawing>
              <wp:anchor distT="0" distB="0" distL="114300" distR="114300" simplePos="0" relativeHeight="251659264" behindDoc="0" locked="0" layoutInCell="1" allowOverlap="1" wp14:anchorId="6FF6AD06" wp14:editId="0A6E71F0">
                <wp:simplePos x="0" y="0"/>
                <wp:positionH relativeFrom="column">
                  <wp:posOffset>4114800</wp:posOffset>
                </wp:positionH>
                <wp:positionV relativeFrom="paragraph">
                  <wp:posOffset>243205</wp:posOffset>
                </wp:positionV>
                <wp:extent cx="1943100" cy="1828800"/>
                <wp:effectExtent l="0" t="0" r="12700" b="0"/>
                <wp:wrapSquare wrapText="bothSides"/>
                <wp:docPr id="1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828800"/>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990A80" w14:textId="77777777" w:rsidR="000D5B4B" w:rsidRPr="00084B39" w:rsidRDefault="000D5B4B" w:rsidP="00BA1504">
                            <w:pPr>
                              <w:rPr>
                                <w:rFonts w:cstheme="minorHAnsi"/>
                                <w:color w:val="FFFFFF" w:themeColor="background1"/>
                              </w:rPr>
                            </w:pPr>
                            <w:r w:rsidRPr="0076194C">
                              <w:rPr>
                                <w:rFonts w:cstheme="minorHAnsi"/>
                                <w:color w:val="FFFFFF" w:themeColor="background1"/>
                              </w:rPr>
                              <w:t xml:space="preserve">Peter’s lifecourse institutional costs by age 40 are </w:t>
                            </w:r>
                          </w:p>
                          <w:p w14:paraId="5C34C22A" w14:textId="77777777" w:rsidR="000D5B4B" w:rsidRPr="00084B39" w:rsidRDefault="000D5B4B" w:rsidP="00BA1504">
                            <w:pPr>
                              <w:rPr>
                                <w:rFonts w:cstheme="minorHAnsi"/>
                                <w:b/>
                                <w:color w:val="FFFFFF" w:themeColor="background1"/>
                              </w:rPr>
                            </w:pPr>
                            <w:r w:rsidRPr="0076194C">
                              <w:rPr>
                                <w:rFonts w:cstheme="minorHAnsi"/>
                                <w:b/>
                                <w:color w:val="FFFFFF" w:themeColor="background1"/>
                                <w:sz w:val="44"/>
                              </w:rPr>
                              <w:t>$1,</w:t>
                            </w:r>
                            <w:r>
                              <w:rPr>
                                <w:rFonts w:cstheme="minorHAnsi"/>
                                <w:b/>
                                <w:color w:val="FFFFFF" w:themeColor="background1"/>
                                <w:sz w:val="44"/>
                              </w:rPr>
                              <w:t>124,362</w:t>
                            </w:r>
                          </w:p>
                          <w:p w14:paraId="6F09B439" w14:textId="77777777" w:rsidR="000D5B4B" w:rsidRPr="00084B39" w:rsidRDefault="000D5B4B" w:rsidP="00BA1504">
                            <w:pPr>
                              <w:spacing w:before="240"/>
                              <w:rPr>
                                <w:rFonts w:cstheme="minorHAnsi"/>
                                <w:color w:val="FFFFFF" w:themeColor="background1"/>
                              </w:rPr>
                            </w:pPr>
                            <w:r w:rsidRPr="0076194C">
                              <w:rPr>
                                <w:rFonts w:cstheme="minorHAnsi"/>
                                <w:color w:val="FFFFFF" w:themeColor="background1"/>
                              </w:rPr>
                              <w:t>This includes 291 days in hospital over 25 admissions, and 1261 days in custody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F6AD06" id="_x0000_t202" coordsize="21600,21600" o:spt="202" path="m,l,21600r21600,l21600,xe">
                <v:stroke joinstyle="miter"/>
                <v:path gradientshapeok="t" o:connecttype="rect"/>
              </v:shapetype>
              <v:shape id="Text Box 7" o:spid="_x0000_s1026" type="#_x0000_t202" style="position:absolute;margin-left:324pt;margin-top:19.15pt;width:153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" fillcolor="#1f497d [3215]" stroked="f">
                <v:textbox>
                  <w:txbxContent>
                    <w:p w14:paraId="7A990A80" w14:textId="77777777" w:rsidR="000D5B4B" w:rsidRPr="00084B39" w:rsidRDefault="000D5B4B" w:rsidP="00BA1504">
                      <w:pPr>
                        <w:rPr>
                          <w:rFonts w:cstheme="minorHAnsi"/>
                          <w:color w:val="FFFFFF" w:themeColor="background1"/>
                        </w:rPr>
                      </w:pPr>
                      <w:r w:rsidRPr="0076194C">
                        <w:rPr>
                          <w:rFonts w:cstheme="minorHAnsi"/>
                          <w:color w:val="FFFFFF" w:themeColor="background1"/>
                        </w:rPr>
                        <w:t xml:space="preserve">Peter’s lifecourse institutional costs by age 40 are </w:t>
                      </w:r>
                    </w:p>
                    <w:p w14:paraId="5C34C22A" w14:textId="77777777" w:rsidR="000D5B4B" w:rsidRPr="00084B39" w:rsidRDefault="000D5B4B" w:rsidP="00BA1504">
                      <w:pPr>
                        <w:rPr>
                          <w:rFonts w:cstheme="minorHAnsi"/>
                          <w:b/>
                          <w:color w:val="FFFFFF" w:themeColor="background1"/>
                        </w:rPr>
                      </w:pPr>
                      <w:r w:rsidRPr="0076194C">
                        <w:rPr>
                          <w:rFonts w:cstheme="minorHAnsi"/>
                          <w:b/>
                          <w:color w:val="FFFFFF" w:themeColor="background1"/>
                          <w:sz w:val="44"/>
                        </w:rPr>
                        <w:t>$1,</w:t>
                      </w:r>
                      <w:r>
                        <w:rPr>
                          <w:rFonts w:cstheme="minorHAnsi"/>
                          <w:b/>
                          <w:color w:val="FFFFFF" w:themeColor="background1"/>
                          <w:sz w:val="44"/>
                        </w:rPr>
                        <w:t>124,362</w:t>
                      </w:r>
                    </w:p>
                    <w:p w14:paraId="6F09B439" w14:textId="77777777" w:rsidR="000D5B4B" w:rsidRPr="00084B39" w:rsidRDefault="000D5B4B" w:rsidP="00BA1504">
                      <w:pPr>
                        <w:spacing w:before="240"/>
                        <w:rPr>
                          <w:rFonts w:cstheme="minorHAnsi"/>
                          <w:color w:val="FFFFFF" w:themeColor="background1"/>
                        </w:rPr>
                      </w:pPr>
                      <w:r w:rsidRPr="0076194C">
                        <w:rPr>
                          <w:rFonts w:cstheme="minorHAnsi"/>
                          <w:color w:val="FFFFFF" w:themeColor="background1"/>
                        </w:rPr>
                        <w:t>This includes 291 days in hospital over 25 admissions, and 1261 days in custody</w:t>
                      </w:r>
                    </w:p>
                  </w:txbxContent>
                </v:textbox>
                <w10:wrap type="square"/>
              </v:shape>
            </w:pict>
          </mc:Fallback>
        </mc:AlternateContent>
      </w:r>
    </w:p>
    <w:p w14:paraId="7EF25DDE" w14:textId="48DE22A1" w:rsidR="00F43362" w:rsidRDefault="00F43362" w:rsidP="00BA1504">
      <w:pPr>
        <w:pStyle w:val="Heading9"/>
        <w:rPr>
          <w:rFonts w:asciiTheme="minorHAnsi" w:hAnsiTheme="minorHAnsi" w:cstheme="minorHAnsi"/>
          <w:b/>
        </w:rPr>
      </w:pPr>
    </w:p>
    <w:p w14:paraId="3307F7E6" w14:textId="2B5CA697" w:rsidR="00BA1504" w:rsidRPr="000772E3" w:rsidRDefault="00BA1504" w:rsidP="00A56535">
      <w:pPr>
        <w:pStyle w:val="Heading9"/>
        <w:spacing w:line="276" w:lineRule="auto"/>
        <w:rPr>
          <w:rFonts w:asciiTheme="minorHAnsi" w:hAnsiTheme="minorHAnsi" w:cstheme="minorHAnsi"/>
          <w:color w:val="auto"/>
          <w:sz w:val="28"/>
          <w:szCs w:val="28"/>
        </w:rPr>
      </w:pPr>
      <w:r w:rsidRPr="000772E3">
        <w:rPr>
          <w:rFonts w:asciiTheme="minorHAnsi" w:hAnsiTheme="minorHAnsi" w:cstheme="minorHAnsi"/>
          <w:b/>
          <w:color w:val="auto"/>
          <w:sz w:val="28"/>
          <w:szCs w:val="28"/>
        </w:rPr>
        <w:t>Case study 1: Peter</w:t>
      </w:r>
    </w:p>
    <w:p w14:paraId="53BDFBE9" w14:textId="77777777" w:rsidR="00BA1504" w:rsidRPr="00A56535" w:rsidRDefault="00BA1504" w:rsidP="00A56535">
      <w:pPr>
        <w:pStyle w:val="ChapterNumberedList1"/>
        <w:numPr>
          <w:ilvl w:val="0"/>
          <w:numId w:val="0"/>
        </w:numPr>
        <w:spacing w:line="276" w:lineRule="auto"/>
        <w:jc w:val="both"/>
        <w:rPr>
          <w:rFonts w:asciiTheme="minorHAnsi" w:hAnsiTheme="minorHAnsi" w:cstheme="minorHAnsi"/>
          <w:sz w:val="24"/>
          <w:szCs w:val="24"/>
        </w:rPr>
      </w:pPr>
      <w:r w:rsidRPr="00A56535">
        <w:rPr>
          <w:rFonts w:asciiTheme="minorHAnsi" w:hAnsiTheme="minorHAnsi" w:cstheme="minorHAnsi"/>
          <w:sz w:val="24"/>
          <w:szCs w:val="24"/>
        </w:rPr>
        <w:t>Peter is in his early 40s and has a dual diagnosis of a mental health disorder and a mild intellectual disability. He has a history of schizophrenic and psychotic episodes and exhibits post-traumatic stress disorder, obsessive-compulsive disorder and social personality disorder. Peter has little contact with the criminal justice system until the age of 26, precipitated by significant mental illness.</w:t>
      </w:r>
    </w:p>
    <w:p w14:paraId="380EE139" w14:textId="413F1222" w:rsidR="004D1074" w:rsidRPr="00A56535" w:rsidRDefault="00BA1504" w:rsidP="00A56535">
      <w:pPr>
        <w:pStyle w:val="ChapterNumberedList1"/>
        <w:numPr>
          <w:ilvl w:val="0"/>
          <w:numId w:val="0"/>
        </w:numPr>
        <w:spacing w:line="276" w:lineRule="auto"/>
        <w:rPr>
          <w:rFonts w:asciiTheme="minorHAnsi" w:hAnsiTheme="minorHAnsi" w:cstheme="minorHAnsi"/>
          <w:sz w:val="24"/>
          <w:szCs w:val="24"/>
        </w:rPr>
      </w:pPr>
      <w:r w:rsidRPr="00A56535">
        <w:rPr>
          <w:rFonts w:asciiTheme="minorHAnsi" w:hAnsiTheme="minorHAnsi" w:cstheme="minorHAnsi"/>
          <w:sz w:val="24"/>
          <w:szCs w:val="24"/>
        </w:rPr>
        <w:t xml:space="preserve">While supported by a complex needs parole officer on a community order, Peter had no recorded offences or hospital admissions. However, without that support he returned to his previous cycle of offending and regular readmission to hospital. </w:t>
      </w:r>
    </w:p>
    <w:p w14:paraId="590AD93A" w14:textId="77777777" w:rsidR="00BA1504" w:rsidRPr="003E7FCE" w:rsidRDefault="00BA1504" w:rsidP="00BA1504">
      <w:pPr>
        <w:pStyle w:val="Caption"/>
        <w:rPr>
          <w:rFonts w:asciiTheme="minorHAnsi" w:hAnsiTheme="minorHAnsi" w:cstheme="minorHAnsi"/>
          <w:color w:val="auto"/>
          <w:sz w:val="22"/>
          <w:szCs w:val="22"/>
        </w:rPr>
      </w:pPr>
      <w:r w:rsidRPr="003E7FCE">
        <w:rPr>
          <w:rFonts w:asciiTheme="minorHAnsi" w:hAnsiTheme="minorHAnsi" w:cstheme="minorHAnsi"/>
          <w:color w:val="auto"/>
          <w:sz w:val="22"/>
          <w:szCs w:val="22"/>
        </w:rPr>
        <w:t xml:space="preserve">Table </w:t>
      </w:r>
      <w:r w:rsidRPr="003E7FCE">
        <w:rPr>
          <w:rFonts w:asciiTheme="minorHAnsi" w:hAnsiTheme="minorHAnsi" w:cstheme="minorHAnsi"/>
          <w:color w:val="auto"/>
          <w:sz w:val="22"/>
          <w:szCs w:val="22"/>
        </w:rPr>
        <w:fldChar w:fldCharType="begin"/>
      </w:r>
      <w:r w:rsidRPr="003E7FCE">
        <w:rPr>
          <w:rFonts w:asciiTheme="minorHAnsi" w:hAnsiTheme="minorHAnsi" w:cstheme="minorHAnsi"/>
          <w:color w:val="auto"/>
          <w:sz w:val="22"/>
          <w:szCs w:val="22"/>
        </w:rPr>
        <w:instrText xml:space="preserve"> SEQ Table \* ARABIC </w:instrText>
      </w:r>
      <w:r w:rsidRPr="003E7FCE">
        <w:rPr>
          <w:rFonts w:asciiTheme="minorHAnsi" w:hAnsiTheme="minorHAnsi" w:cstheme="minorHAnsi"/>
          <w:color w:val="auto"/>
          <w:sz w:val="22"/>
          <w:szCs w:val="22"/>
        </w:rPr>
        <w:fldChar w:fldCharType="separate"/>
      </w:r>
      <w:r w:rsidRPr="003E7FCE">
        <w:rPr>
          <w:rFonts w:asciiTheme="minorHAnsi" w:hAnsiTheme="minorHAnsi" w:cstheme="minorHAnsi"/>
          <w:noProof/>
          <w:color w:val="auto"/>
          <w:sz w:val="22"/>
          <w:szCs w:val="22"/>
        </w:rPr>
        <w:t>1</w:t>
      </w:r>
      <w:r w:rsidRPr="003E7FCE">
        <w:rPr>
          <w:rFonts w:asciiTheme="minorHAnsi" w:hAnsiTheme="minorHAnsi" w:cstheme="minorHAnsi"/>
          <w:color w:val="auto"/>
          <w:sz w:val="22"/>
          <w:szCs w:val="22"/>
        </w:rPr>
        <w:fldChar w:fldCharType="end"/>
      </w:r>
      <w:r w:rsidRPr="003E7FCE">
        <w:rPr>
          <w:rFonts w:asciiTheme="minorHAnsi" w:hAnsiTheme="minorHAnsi" w:cstheme="minorHAnsi"/>
          <w:color w:val="auto"/>
          <w:sz w:val="22"/>
          <w:szCs w:val="22"/>
        </w:rPr>
        <w:t xml:space="preserve"> Selected agency costs over lifecourse: Peter</w:t>
      </w:r>
    </w:p>
    <w:tbl>
      <w:tblPr>
        <w:tblStyle w:val="TableGrid"/>
        <w:tblW w:w="0" w:type="auto"/>
        <w:tblInd w:w="108" w:type="dxa"/>
        <w:tblLook w:val="04A0" w:firstRow="1" w:lastRow="0" w:firstColumn="1" w:lastColumn="0" w:noHBand="0" w:noVBand="1"/>
      </w:tblPr>
      <w:tblGrid>
        <w:gridCol w:w="1156"/>
        <w:gridCol w:w="1037"/>
        <w:gridCol w:w="1014"/>
        <w:gridCol w:w="1015"/>
        <w:gridCol w:w="1015"/>
        <w:gridCol w:w="1124"/>
        <w:gridCol w:w="1124"/>
        <w:gridCol w:w="2035"/>
      </w:tblGrid>
      <w:tr w:rsidR="00A56535" w:rsidRPr="00DC4243" w14:paraId="72B57109" w14:textId="77777777" w:rsidTr="00CE2D41">
        <w:trPr>
          <w:trHeight w:hRule="exact" w:val="578"/>
        </w:trPr>
        <w:tc>
          <w:tcPr>
            <w:tcW w:w="1133" w:type="dxa"/>
          </w:tcPr>
          <w:p w14:paraId="103C74F8" w14:textId="77777777" w:rsidR="00BA1504" w:rsidRPr="00CE2D41" w:rsidRDefault="00BA1504" w:rsidP="00A07700">
            <w:pPr>
              <w:pStyle w:val="PwCNormal"/>
              <w:numPr>
                <w:ilvl w:val="0"/>
                <w:numId w:val="0"/>
              </w:numPr>
              <w:spacing w:before="60" w:after="60" w:line="720" w:lineRule="atLeast"/>
              <w:jc w:val="center"/>
              <w:outlineLvl w:val="0"/>
              <w:rPr>
                <w:rFonts w:asciiTheme="minorHAnsi" w:hAnsiTheme="minorHAnsi" w:cstheme="minorHAnsi"/>
                <w:sz w:val="22"/>
                <w:szCs w:val="22"/>
              </w:rPr>
            </w:pPr>
          </w:p>
        </w:tc>
        <w:tc>
          <w:tcPr>
            <w:tcW w:w="1047" w:type="dxa"/>
          </w:tcPr>
          <w:p w14:paraId="7A5FFAF9" w14:textId="77777777" w:rsidR="00BA1504" w:rsidRPr="00CE2D41" w:rsidRDefault="00BA1504" w:rsidP="00A07700">
            <w:pPr>
              <w:pStyle w:val="PwCNormal"/>
              <w:numPr>
                <w:ilvl w:val="0"/>
                <w:numId w:val="0"/>
              </w:numPr>
              <w:spacing w:before="60" w:after="60"/>
              <w:jc w:val="center"/>
              <w:rPr>
                <w:rFonts w:asciiTheme="minorHAnsi" w:hAnsiTheme="minorHAnsi" w:cstheme="minorHAnsi"/>
                <w:sz w:val="22"/>
                <w:szCs w:val="22"/>
              </w:rPr>
            </w:pPr>
            <w:r w:rsidRPr="00CE2D41">
              <w:rPr>
                <w:rFonts w:asciiTheme="minorHAnsi" w:hAnsiTheme="minorHAnsi" w:cstheme="minorHAnsi"/>
                <w:b/>
                <w:bCs/>
                <w:color w:val="000000"/>
                <w:sz w:val="22"/>
                <w:szCs w:val="22"/>
              </w:rPr>
              <w:t>10 to 15</w:t>
            </w:r>
          </w:p>
        </w:tc>
        <w:tc>
          <w:tcPr>
            <w:tcW w:w="1042" w:type="dxa"/>
          </w:tcPr>
          <w:p w14:paraId="4F2C1B17" w14:textId="77777777" w:rsidR="00BA1504" w:rsidRPr="00CE2D41" w:rsidRDefault="00BA1504" w:rsidP="00A07700">
            <w:pPr>
              <w:pStyle w:val="PwCNormal"/>
              <w:numPr>
                <w:ilvl w:val="0"/>
                <w:numId w:val="0"/>
              </w:numPr>
              <w:spacing w:before="60" w:after="60"/>
              <w:jc w:val="center"/>
              <w:rPr>
                <w:rFonts w:asciiTheme="minorHAnsi" w:hAnsiTheme="minorHAnsi" w:cstheme="minorHAnsi"/>
                <w:sz w:val="22"/>
                <w:szCs w:val="22"/>
              </w:rPr>
            </w:pPr>
            <w:r w:rsidRPr="00CE2D41">
              <w:rPr>
                <w:rFonts w:asciiTheme="minorHAnsi" w:hAnsiTheme="minorHAnsi" w:cstheme="minorHAnsi"/>
                <w:b/>
                <w:bCs/>
                <w:color w:val="000000"/>
                <w:sz w:val="22"/>
                <w:szCs w:val="22"/>
              </w:rPr>
              <w:t>16 to 18</w:t>
            </w:r>
          </w:p>
        </w:tc>
        <w:tc>
          <w:tcPr>
            <w:tcW w:w="1043" w:type="dxa"/>
          </w:tcPr>
          <w:p w14:paraId="6A182C47" w14:textId="77777777" w:rsidR="00BA1504" w:rsidRPr="00CE2D41" w:rsidRDefault="00BA1504" w:rsidP="00A07700">
            <w:pPr>
              <w:pStyle w:val="PwCNormal"/>
              <w:numPr>
                <w:ilvl w:val="0"/>
                <w:numId w:val="0"/>
              </w:numPr>
              <w:spacing w:before="60" w:after="60"/>
              <w:jc w:val="center"/>
              <w:rPr>
                <w:rFonts w:asciiTheme="minorHAnsi" w:hAnsiTheme="minorHAnsi" w:cstheme="minorHAnsi"/>
                <w:sz w:val="22"/>
                <w:szCs w:val="22"/>
              </w:rPr>
            </w:pPr>
            <w:r w:rsidRPr="00CE2D41">
              <w:rPr>
                <w:rFonts w:asciiTheme="minorHAnsi" w:hAnsiTheme="minorHAnsi" w:cstheme="minorHAnsi"/>
                <w:b/>
                <w:bCs/>
                <w:color w:val="000000"/>
                <w:sz w:val="22"/>
                <w:szCs w:val="22"/>
              </w:rPr>
              <w:t>19 to 21</w:t>
            </w:r>
          </w:p>
        </w:tc>
        <w:tc>
          <w:tcPr>
            <w:tcW w:w="1043" w:type="dxa"/>
          </w:tcPr>
          <w:p w14:paraId="3C67815A" w14:textId="77777777" w:rsidR="00BA1504" w:rsidRPr="00CE2D41" w:rsidRDefault="00BA1504" w:rsidP="00A07700">
            <w:pPr>
              <w:pStyle w:val="PwCNormal"/>
              <w:numPr>
                <w:ilvl w:val="0"/>
                <w:numId w:val="0"/>
              </w:numPr>
              <w:spacing w:before="60" w:after="60"/>
              <w:jc w:val="center"/>
              <w:rPr>
                <w:rFonts w:asciiTheme="minorHAnsi" w:hAnsiTheme="minorHAnsi" w:cstheme="minorHAnsi"/>
                <w:sz w:val="22"/>
                <w:szCs w:val="22"/>
              </w:rPr>
            </w:pPr>
            <w:r w:rsidRPr="00CE2D41">
              <w:rPr>
                <w:rFonts w:asciiTheme="minorHAnsi" w:hAnsiTheme="minorHAnsi" w:cstheme="minorHAnsi"/>
                <w:b/>
                <w:bCs/>
                <w:color w:val="000000"/>
                <w:sz w:val="22"/>
                <w:szCs w:val="22"/>
              </w:rPr>
              <w:t>22 to 25</w:t>
            </w:r>
          </w:p>
        </w:tc>
        <w:tc>
          <w:tcPr>
            <w:tcW w:w="1128" w:type="dxa"/>
          </w:tcPr>
          <w:p w14:paraId="69DA2033" w14:textId="77777777" w:rsidR="00BA1504" w:rsidRPr="00CE2D41" w:rsidRDefault="00BA1504" w:rsidP="00A07700">
            <w:pPr>
              <w:pStyle w:val="PwCNormal"/>
              <w:numPr>
                <w:ilvl w:val="0"/>
                <w:numId w:val="0"/>
              </w:numPr>
              <w:spacing w:before="60" w:after="60"/>
              <w:jc w:val="center"/>
              <w:rPr>
                <w:rFonts w:asciiTheme="minorHAnsi" w:hAnsiTheme="minorHAnsi" w:cstheme="minorHAnsi"/>
                <w:sz w:val="22"/>
                <w:szCs w:val="22"/>
              </w:rPr>
            </w:pPr>
            <w:r w:rsidRPr="00CE2D41">
              <w:rPr>
                <w:rFonts w:asciiTheme="minorHAnsi" w:hAnsiTheme="minorHAnsi" w:cstheme="minorHAnsi"/>
                <w:b/>
                <w:bCs/>
                <w:color w:val="000000"/>
                <w:sz w:val="22"/>
                <w:szCs w:val="22"/>
              </w:rPr>
              <w:t>26 to 35</w:t>
            </w:r>
          </w:p>
        </w:tc>
        <w:tc>
          <w:tcPr>
            <w:tcW w:w="1128" w:type="dxa"/>
          </w:tcPr>
          <w:p w14:paraId="701241CE" w14:textId="77777777" w:rsidR="00BA1504" w:rsidRPr="00CE2D41" w:rsidRDefault="00BA1504" w:rsidP="00A07700">
            <w:pPr>
              <w:pStyle w:val="PwCNormal"/>
              <w:numPr>
                <w:ilvl w:val="0"/>
                <w:numId w:val="0"/>
              </w:numPr>
              <w:spacing w:before="60" w:after="60"/>
              <w:jc w:val="center"/>
              <w:rPr>
                <w:rFonts w:asciiTheme="minorHAnsi" w:hAnsiTheme="minorHAnsi" w:cstheme="minorHAnsi"/>
                <w:sz w:val="22"/>
                <w:szCs w:val="22"/>
              </w:rPr>
            </w:pPr>
            <w:r w:rsidRPr="00CE2D41">
              <w:rPr>
                <w:rFonts w:asciiTheme="minorHAnsi" w:hAnsiTheme="minorHAnsi" w:cstheme="minorHAnsi"/>
                <w:b/>
                <w:bCs/>
                <w:color w:val="000000"/>
                <w:sz w:val="22"/>
                <w:szCs w:val="22"/>
              </w:rPr>
              <w:t>36 to 45</w:t>
            </w:r>
          </w:p>
        </w:tc>
        <w:tc>
          <w:tcPr>
            <w:tcW w:w="2075" w:type="dxa"/>
          </w:tcPr>
          <w:p w14:paraId="27847A6E" w14:textId="77777777" w:rsidR="00BA1504" w:rsidRPr="00CE2D41" w:rsidRDefault="00BA1504" w:rsidP="00A07700">
            <w:pPr>
              <w:pStyle w:val="PwCNormal"/>
              <w:numPr>
                <w:ilvl w:val="0"/>
                <w:numId w:val="0"/>
              </w:numPr>
              <w:spacing w:before="60" w:after="60"/>
              <w:jc w:val="center"/>
              <w:rPr>
                <w:rFonts w:asciiTheme="minorHAnsi" w:hAnsiTheme="minorHAnsi" w:cstheme="minorHAnsi"/>
                <w:b/>
                <w:bCs/>
                <w:color w:val="000000"/>
                <w:sz w:val="22"/>
                <w:szCs w:val="22"/>
              </w:rPr>
            </w:pPr>
            <w:r w:rsidRPr="00CE2D41">
              <w:rPr>
                <w:rFonts w:asciiTheme="minorHAnsi" w:hAnsiTheme="minorHAnsi" w:cstheme="minorHAnsi"/>
                <w:b/>
                <w:bCs/>
                <w:color w:val="000000"/>
                <w:sz w:val="22"/>
                <w:szCs w:val="22"/>
              </w:rPr>
              <w:t>Total Cost</w:t>
            </w:r>
          </w:p>
          <w:p w14:paraId="2059893B" w14:textId="77777777" w:rsidR="00CE2D41" w:rsidRPr="00CE2D41" w:rsidRDefault="00CE2D41" w:rsidP="00A07700">
            <w:pPr>
              <w:pStyle w:val="PwCNormal"/>
              <w:numPr>
                <w:ilvl w:val="0"/>
                <w:numId w:val="0"/>
              </w:numPr>
              <w:spacing w:before="60" w:after="60"/>
              <w:jc w:val="center"/>
              <w:rPr>
                <w:rFonts w:asciiTheme="minorHAnsi" w:hAnsiTheme="minorHAnsi" w:cstheme="minorHAnsi"/>
                <w:b/>
                <w:bCs/>
                <w:color w:val="000000"/>
                <w:sz w:val="22"/>
                <w:szCs w:val="22"/>
              </w:rPr>
            </w:pPr>
          </w:p>
          <w:p w14:paraId="077370A7" w14:textId="77777777" w:rsidR="00CE2D41" w:rsidRPr="00CE2D41" w:rsidRDefault="00CE2D41" w:rsidP="00A07700">
            <w:pPr>
              <w:pStyle w:val="PwCNormal"/>
              <w:numPr>
                <w:ilvl w:val="0"/>
                <w:numId w:val="0"/>
              </w:numPr>
              <w:spacing w:before="60" w:after="60"/>
              <w:jc w:val="center"/>
              <w:rPr>
                <w:rFonts w:asciiTheme="minorHAnsi" w:hAnsiTheme="minorHAnsi" w:cstheme="minorHAnsi"/>
                <w:sz w:val="22"/>
                <w:szCs w:val="22"/>
              </w:rPr>
            </w:pPr>
          </w:p>
        </w:tc>
      </w:tr>
      <w:tr w:rsidR="00A56535" w:rsidRPr="007630E0" w14:paraId="492CF653" w14:textId="77777777" w:rsidTr="00CE2D41">
        <w:trPr>
          <w:trHeight w:val="561"/>
        </w:trPr>
        <w:tc>
          <w:tcPr>
            <w:tcW w:w="1133" w:type="dxa"/>
          </w:tcPr>
          <w:p w14:paraId="35BE5337" w14:textId="77777777" w:rsidR="00BA1504" w:rsidRPr="00CE2D41" w:rsidRDefault="00BA1504" w:rsidP="00A07700">
            <w:pPr>
              <w:pStyle w:val="PwCNormal"/>
              <w:numPr>
                <w:ilvl w:val="0"/>
                <w:numId w:val="0"/>
              </w:numPr>
              <w:spacing w:before="60" w:after="60"/>
              <w:jc w:val="center"/>
              <w:rPr>
                <w:rFonts w:asciiTheme="minorHAnsi" w:hAnsiTheme="minorHAnsi" w:cstheme="minorHAnsi"/>
                <w:sz w:val="22"/>
                <w:szCs w:val="22"/>
              </w:rPr>
            </w:pPr>
            <w:r w:rsidRPr="00CE2D41">
              <w:rPr>
                <w:rFonts w:asciiTheme="minorHAnsi" w:hAnsiTheme="minorHAnsi" w:cstheme="minorHAnsi"/>
                <w:b/>
                <w:bCs/>
                <w:color w:val="000000"/>
                <w:sz w:val="22"/>
                <w:szCs w:val="22"/>
              </w:rPr>
              <w:t>Police</w:t>
            </w:r>
          </w:p>
        </w:tc>
        <w:tc>
          <w:tcPr>
            <w:tcW w:w="1047" w:type="dxa"/>
          </w:tcPr>
          <w:p w14:paraId="618B4304" w14:textId="77777777" w:rsidR="00BA1504" w:rsidRPr="00CE2D41" w:rsidRDefault="00BA1504" w:rsidP="00A07700">
            <w:pPr>
              <w:pStyle w:val="PwCNormal"/>
              <w:numPr>
                <w:ilvl w:val="0"/>
                <w:numId w:val="0"/>
              </w:numPr>
              <w:spacing w:before="60" w:after="60"/>
              <w:jc w:val="center"/>
              <w:rPr>
                <w:rFonts w:asciiTheme="minorHAnsi" w:hAnsiTheme="minorHAnsi" w:cstheme="minorHAnsi"/>
                <w:sz w:val="22"/>
                <w:szCs w:val="22"/>
              </w:rPr>
            </w:pPr>
            <w:r w:rsidRPr="00CE2D41">
              <w:rPr>
                <w:rFonts w:asciiTheme="minorHAnsi" w:hAnsiTheme="minorHAnsi" w:cstheme="minorHAnsi"/>
                <w:color w:val="000000"/>
                <w:sz w:val="22"/>
                <w:szCs w:val="22"/>
              </w:rPr>
              <w:t xml:space="preserve">$4,689 </w:t>
            </w:r>
          </w:p>
        </w:tc>
        <w:tc>
          <w:tcPr>
            <w:tcW w:w="1042" w:type="dxa"/>
          </w:tcPr>
          <w:p w14:paraId="3696C8B8" w14:textId="77777777" w:rsidR="00BA1504" w:rsidRPr="00CE2D41" w:rsidRDefault="00BA1504" w:rsidP="00A07700">
            <w:pPr>
              <w:pStyle w:val="PwCNormal"/>
              <w:numPr>
                <w:ilvl w:val="0"/>
                <w:numId w:val="0"/>
              </w:numPr>
              <w:spacing w:before="60" w:after="60"/>
              <w:jc w:val="center"/>
              <w:rPr>
                <w:rFonts w:asciiTheme="minorHAnsi" w:hAnsiTheme="minorHAnsi" w:cstheme="minorHAnsi"/>
                <w:sz w:val="22"/>
                <w:szCs w:val="22"/>
              </w:rPr>
            </w:pPr>
            <w:r w:rsidRPr="00CE2D41">
              <w:rPr>
                <w:rFonts w:asciiTheme="minorHAnsi" w:hAnsiTheme="minorHAnsi" w:cstheme="minorHAnsi"/>
                <w:sz w:val="22"/>
                <w:szCs w:val="22"/>
              </w:rPr>
              <w:t>$0</w:t>
            </w:r>
          </w:p>
        </w:tc>
        <w:tc>
          <w:tcPr>
            <w:tcW w:w="1043" w:type="dxa"/>
          </w:tcPr>
          <w:p w14:paraId="519F13A2" w14:textId="77777777" w:rsidR="00BA1504" w:rsidRPr="00CE2D41" w:rsidRDefault="00BA1504" w:rsidP="00A07700">
            <w:pPr>
              <w:pStyle w:val="PwCNormal"/>
              <w:numPr>
                <w:ilvl w:val="0"/>
                <w:numId w:val="0"/>
              </w:numPr>
              <w:spacing w:before="60" w:after="60"/>
              <w:jc w:val="center"/>
              <w:rPr>
                <w:rFonts w:asciiTheme="minorHAnsi" w:hAnsiTheme="minorHAnsi" w:cstheme="minorHAnsi"/>
                <w:sz w:val="22"/>
                <w:szCs w:val="22"/>
              </w:rPr>
            </w:pPr>
            <w:r w:rsidRPr="00CE2D41">
              <w:rPr>
                <w:rFonts w:asciiTheme="minorHAnsi" w:hAnsiTheme="minorHAnsi" w:cstheme="minorHAnsi"/>
                <w:sz w:val="22"/>
                <w:szCs w:val="22"/>
              </w:rPr>
              <w:t>$0</w:t>
            </w:r>
          </w:p>
        </w:tc>
        <w:tc>
          <w:tcPr>
            <w:tcW w:w="1043" w:type="dxa"/>
          </w:tcPr>
          <w:p w14:paraId="5EC1110E" w14:textId="77777777" w:rsidR="00BA1504" w:rsidRPr="00CE2D41" w:rsidRDefault="00BA1504" w:rsidP="00A07700">
            <w:pPr>
              <w:pStyle w:val="PwCNormal"/>
              <w:numPr>
                <w:ilvl w:val="0"/>
                <w:numId w:val="0"/>
              </w:numPr>
              <w:spacing w:before="60" w:after="60"/>
              <w:jc w:val="center"/>
              <w:rPr>
                <w:rFonts w:asciiTheme="minorHAnsi" w:hAnsiTheme="minorHAnsi" w:cstheme="minorHAnsi"/>
                <w:sz w:val="22"/>
                <w:szCs w:val="22"/>
              </w:rPr>
            </w:pPr>
            <w:r w:rsidRPr="00CE2D41">
              <w:rPr>
                <w:rFonts w:asciiTheme="minorHAnsi" w:hAnsiTheme="minorHAnsi" w:cstheme="minorHAnsi"/>
                <w:color w:val="000000"/>
                <w:sz w:val="22"/>
                <w:szCs w:val="22"/>
              </w:rPr>
              <w:t>$0</w:t>
            </w:r>
          </w:p>
        </w:tc>
        <w:tc>
          <w:tcPr>
            <w:tcW w:w="1128" w:type="dxa"/>
          </w:tcPr>
          <w:p w14:paraId="2FB832CF" w14:textId="77777777" w:rsidR="00BA1504" w:rsidRPr="00CE2D41" w:rsidRDefault="00BA1504" w:rsidP="00A07700">
            <w:pPr>
              <w:pStyle w:val="PwCNormal"/>
              <w:numPr>
                <w:ilvl w:val="0"/>
                <w:numId w:val="0"/>
              </w:numPr>
              <w:spacing w:before="60" w:after="60"/>
              <w:jc w:val="center"/>
              <w:rPr>
                <w:rFonts w:asciiTheme="minorHAnsi" w:hAnsiTheme="minorHAnsi" w:cstheme="minorHAnsi"/>
                <w:sz w:val="22"/>
                <w:szCs w:val="22"/>
              </w:rPr>
            </w:pPr>
            <w:r w:rsidRPr="00CE2D41">
              <w:rPr>
                <w:rFonts w:asciiTheme="minorHAnsi" w:hAnsiTheme="minorHAnsi" w:cstheme="minorHAnsi"/>
                <w:color w:val="000000"/>
                <w:sz w:val="22"/>
                <w:szCs w:val="22"/>
              </w:rPr>
              <w:t xml:space="preserve">$92,222 </w:t>
            </w:r>
          </w:p>
        </w:tc>
        <w:tc>
          <w:tcPr>
            <w:tcW w:w="1128" w:type="dxa"/>
          </w:tcPr>
          <w:p w14:paraId="4881F82E" w14:textId="77777777" w:rsidR="00BA1504" w:rsidRPr="00CE2D41" w:rsidRDefault="00BA1504" w:rsidP="00A07700">
            <w:pPr>
              <w:pStyle w:val="PwCNormal"/>
              <w:numPr>
                <w:ilvl w:val="0"/>
                <w:numId w:val="0"/>
              </w:numPr>
              <w:spacing w:before="60" w:after="60"/>
              <w:jc w:val="center"/>
              <w:rPr>
                <w:rFonts w:asciiTheme="minorHAnsi" w:hAnsiTheme="minorHAnsi" w:cstheme="minorHAnsi"/>
                <w:sz w:val="22"/>
                <w:szCs w:val="22"/>
              </w:rPr>
            </w:pPr>
            <w:r w:rsidRPr="00CE2D41">
              <w:rPr>
                <w:rFonts w:asciiTheme="minorHAnsi" w:hAnsiTheme="minorHAnsi" w:cstheme="minorHAnsi"/>
                <w:color w:val="000000"/>
                <w:sz w:val="22"/>
                <w:szCs w:val="22"/>
              </w:rPr>
              <w:t xml:space="preserve">$67,213 </w:t>
            </w:r>
          </w:p>
        </w:tc>
        <w:tc>
          <w:tcPr>
            <w:tcW w:w="2075" w:type="dxa"/>
          </w:tcPr>
          <w:p w14:paraId="3D1AD367" w14:textId="77777777" w:rsidR="00BA1504" w:rsidRPr="00CE2D41" w:rsidRDefault="00BA1504" w:rsidP="00A07700">
            <w:pPr>
              <w:pStyle w:val="PwCNormal"/>
              <w:numPr>
                <w:ilvl w:val="0"/>
                <w:numId w:val="0"/>
              </w:numPr>
              <w:spacing w:before="60" w:after="60"/>
              <w:jc w:val="center"/>
              <w:rPr>
                <w:rFonts w:asciiTheme="minorHAnsi" w:hAnsiTheme="minorHAnsi" w:cstheme="minorHAnsi"/>
                <w:sz w:val="22"/>
                <w:szCs w:val="22"/>
              </w:rPr>
            </w:pPr>
            <w:r w:rsidRPr="00CE2D41">
              <w:rPr>
                <w:rFonts w:asciiTheme="minorHAnsi" w:hAnsiTheme="minorHAnsi" w:cstheme="minorHAnsi"/>
                <w:b/>
                <w:bCs/>
                <w:color w:val="000000"/>
                <w:sz w:val="22"/>
                <w:szCs w:val="22"/>
              </w:rPr>
              <w:t>$166,065</w:t>
            </w:r>
          </w:p>
        </w:tc>
      </w:tr>
      <w:tr w:rsidR="00A56535" w:rsidRPr="007630E0" w14:paraId="2698876A" w14:textId="77777777" w:rsidTr="00CE2D41">
        <w:trPr>
          <w:trHeight w:val="534"/>
        </w:trPr>
        <w:tc>
          <w:tcPr>
            <w:tcW w:w="1133" w:type="dxa"/>
          </w:tcPr>
          <w:p w14:paraId="5CF2BB2C" w14:textId="77777777" w:rsidR="00BA1504" w:rsidRPr="00CE2D41" w:rsidRDefault="00BA1504" w:rsidP="00A07700">
            <w:pPr>
              <w:pStyle w:val="PwCNormal"/>
              <w:numPr>
                <w:ilvl w:val="0"/>
                <w:numId w:val="0"/>
              </w:numPr>
              <w:spacing w:before="60" w:after="60"/>
              <w:jc w:val="center"/>
              <w:rPr>
                <w:rFonts w:asciiTheme="minorHAnsi" w:hAnsiTheme="minorHAnsi" w:cstheme="minorHAnsi"/>
                <w:sz w:val="22"/>
                <w:szCs w:val="22"/>
              </w:rPr>
            </w:pPr>
            <w:r w:rsidRPr="00CE2D41">
              <w:rPr>
                <w:rFonts w:asciiTheme="minorHAnsi" w:hAnsiTheme="minorHAnsi" w:cstheme="minorHAnsi"/>
                <w:b/>
                <w:bCs/>
                <w:color w:val="000000"/>
                <w:sz w:val="22"/>
                <w:szCs w:val="22"/>
              </w:rPr>
              <w:t>Corrective Services</w:t>
            </w:r>
          </w:p>
        </w:tc>
        <w:tc>
          <w:tcPr>
            <w:tcW w:w="1047" w:type="dxa"/>
          </w:tcPr>
          <w:p w14:paraId="67036BD6" w14:textId="77777777" w:rsidR="00BA1504" w:rsidRPr="00CE2D41" w:rsidRDefault="00BA1504" w:rsidP="00A07700">
            <w:pPr>
              <w:pStyle w:val="PwCNormal"/>
              <w:numPr>
                <w:ilvl w:val="0"/>
                <w:numId w:val="0"/>
              </w:numPr>
              <w:spacing w:before="60" w:after="60"/>
              <w:jc w:val="center"/>
              <w:rPr>
                <w:rFonts w:asciiTheme="minorHAnsi" w:hAnsiTheme="minorHAnsi" w:cstheme="minorHAnsi"/>
                <w:sz w:val="22"/>
                <w:szCs w:val="22"/>
              </w:rPr>
            </w:pPr>
            <w:r w:rsidRPr="00CE2D41">
              <w:rPr>
                <w:rFonts w:asciiTheme="minorHAnsi" w:hAnsiTheme="minorHAnsi" w:cstheme="minorHAnsi"/>
                <w:sz w:val="22"/>
                <w:szCs w:val="22"/>
              </w:rPr>
              <w:t>$0</w:t>
            </w:r>
          </w:p>
        </w:tc>
        <w:tc>
          <w:tcPr>
            <w:tcW w:w="1042" w:type="dxa"/>
          </w:tcPr>
          <w:p w14:paraId="094CDD51" w14:textId="77777777" w:rsidR="00BA1504" w:rsidRPr="00CE2D41" w:rsidRDefault="00BA1504" w:rsidP="00A07700">
            <w:pPr>
              <w:pStyle w:val="PwCNormal"/>
              <w:numPr>
                <w:ilvl w:val="0"/>
                <w:numId w:val="0"/>
              </w:numPr>
              <w:spacing w:before="60" w:after="60"/>
              <w:jc w:val="center"/>
              <w:rPr>
                <w:rFonts w:asciiTheme="minorHAnsi" w:hAnsiTheme="minorHAnsi" w:cstheme="minorHAnsi"/>
                <w:sz w:val="22"/>
                <w:szCs w:val="22"/>
              </w:rPr>
            </w:pPr>
            <w:r w:rsidRPr="00CE2D41">
              <w:rPr>
                <w:rFonts w:asciiTheme="minorHAnsi" w:hAnsiTheme="minorHAnsi" w:cstheme="minorHAnsi"/>
                <w:sz w:val="22"/>
                <w:szCs w:val="22"/>
              </w:rPr>
              <w:t>$0</w:t>
            </w:r>
          </w:p>
        </w:tc>
        <w:tc>
          <w:tcPr>
            <w:tcW w:w="1043" w:type="dxa"/>
          </w:tcPr>
          <w:p w14:paraId="64D32778" w14:textId="77777777" w:rsidR="00BA1504" w:rsidRPr="00CE2D41" w:rsidRDefault="00BA1504" w:rsidP="00A07700">
            <w:pPr>
              <w:pStyle w:val="PwCNormal"/>
              <w:numPr>
                <w:ilvl w:val="0"/>
                <w:numId w:val="0"/>
              </w:numPr>
              <w:spacing w:before="60" w:after="60"/>
              <w:jc w:val="center"/>
              <w:rPr>
                <w:rFonts w:asciiTheme="minorHAnsi" w:hAnsiTheme="minorHAnsi" w:cstheme="minorHAnsi"/>
                <w:b/>
                <w:sz w:val="22"/>
                <w:szCs w:val="22"/>
              </w:rPr>
            </w:pPr>
            <w:r w:rsidRPr="00CE2D41">
              <w:rPr>
                <w:rFonts w:asciiTheme="minorHAnsi" w:hAnsiTheme="minorHAnsi" w:cstheme="minorHAnsi"/>
                <w:sz w:val="22"/>
                <w:szCs w:val="22"/>
              </w:rPr>
              <w:t>$0</w:t>
            </w:r>
            <w:r w:rsidRPr="00CE2D41">
              <w:rPr>
                <w:rFonts w:asciiTheme="minorHAnsi" w:hAnsiTheme="minorHAnsi" w:cstheme="minorHAnsi"/>
                <w:b/>
                <w:color w:val="000000"/>
                <w:sz w:val="22"/>
                <w:szCs w:val="22"/>
              </w:rPr>
              <w:t xml:space="preserve"> </w:t>
            </w:r>
          </w:p>
        </w:tc>
        <w:tc>
          <w:tcPr>
            <w:tcW w:w="1043" w:type="dxa"/>
          </w:tcPr>
          <w:p w14:paraId="139E0588" w14:textId="77777777" w:rsidR="00BA1504" w:rsidRPr="00CE2D41" w:rsidRDefault="00BA1504" w:rsidP="00A07700">
            <w:pPr>
              <w:pStyle w:val="PwCNormal"/>
              <w:framePr w:w="2154" w:wrap="notBeside" w:vAnchor="page" w:hAnchor="page" w:x="928" w:y="8427" w:anchorLock="1"/>
              <w:numPr>
                <w:ilvl w:val="0"/>
                <w:numId w:val="0"/>
              </w:numPr>
              <w:spacing w:before="60" w:after="60" w:line="260" w:lineRule="atLeast"/>
              <w:jc w:val="center"/>
              <w:rPr>
                <w:rFonts w:asciiTheme="minorHAnsi" w:hAnsiTheme="minorHAnsi" w:cstheme="minorHAnsi"/>
                <w:sz w:val="22"/>
                <w:szCs w:val="22"/>
              </w:rPr>
            </w:pPr>
            <w:r w:rsidRPr="00CE2D41">
              <w:rPr>
                <w:rFonts w:asciiTheme="minorHAnsi" w:hAnsiTheme="minorHAnsi" w:cstheme="minorHAnsi"/>
                <w:sz w:val="22"/>
                <w:szCs w:val="22"/>
              </w:rPr>
              <w:t>$0</w:t>
            </w:r>
          </w:p>
        </w:tc>
        <w:tc>
          <w:tcPr>
            <w:tcW w:w="1128" w:type="dxa"/>
          </w:tcPr>
          <w:p w14:paraId="3046EB34" w14:textId="77777777" w:rsidR="00BA1504" w:rsidRPr="00CE2D41" w:rsidRDefault="00BA1504" w:rsidP="00A07700">
            <w:pPr>
              <w:pStyle w:val="PwCNormal"/>
              <w:framePr w:w="2154" w:wrap="notBeside" w:vAnchor="page" w:hAnchor="page" w:x="928" w:y="8427" w:anchorLock="1"/>
              <w:numPr>
                <w:ilvl w:val="0"/>
                <w:numId w:val="0"/>
              </w:numPr>
              <w:spacing w:before="60" w:after="60" w:line="260" w:lineRule="atLeast"/>
              <w:jc w:val="center"/>
              <w:rPr>
                <w:rFonts w:asciiTheme="minorHAnsi" w:hAnsiTheme="minorHAnsi" w:cstheme="minorHAnsi"/>
                <w:sz w:val="22"/>
                <w:szCs w:val="22"/>
              </w:rPr>
            </w:pPr>
            <w:r w:rsidRPr="00CE2D41">
              <w:rPr>
                <w:rFonts w:asciiTheme="minorHAnsi" w:hAnsiTheme="minorHAnsi" w:cstheme="minorHAnsi"/>
                <w:color w:val="000000"/>
                <w:sz w:val="22"/>
                <w:szCs w:val="22"/>
              </w:rPr>
              <w:t xml:space="preserve">$312,271 </w:t>
            </w:r>
          </w:p>
        </w:tc>
        <w:tc>
          <w:tcPr>
            <w:tcW w:w="1128" w:type="dxa"/>
          </w:tcPr>
          <w:p w14:paraId="2BB9F798" w14:textId="77777777" w:rsidR="00BA1504" w:rsidRPr="00CE2D41" w:rsidRDefault="00BA1504" w:rsidP="00A07700">
            <w:pPr>
              <w:pStyle w:val="PwCNormal"/>
              <w:framePr w:w="2154" w:wrap="notBeside" w:vAnchor="page" w:hAnchor="page" w:x="928" w:y="8427" w:anchorLock="1"/>
              <w:numPr>
                <w:ilvl w:val="0"/>
                <w:numId w:val="0"/>
              </w:numPr>
              <w:spacing w:before="60" w:after="60" w:line="260" w:lineRule="atLeast"/>
              <w:jc w:val="center"/>
              <w:rPr>
                <w:rFonts w:asciiTheme="minorHAnsi" w:hAnsiTheme="minorHAnsi" w:cstheme="minorHAnsi"/>
                <w:sz w:val="22"/>
                <w:szCs w:val="22"/>
              </w:rPr>
            </w:pPr>
            <w:r w:rsidRPr="00CE2D41">
              <w:rPr>
                <w:rFonts w:asciiTheme="minorHAnsi" w:hAnsiTheme="minorHAnsi" w:cstheme="minorHAnsi"/>
                <w:color w:val="000000"/>
                <w:sz w:val="22"/>
                <w:szCs w:val="22"/>
              </w:rPr>
              <w:t xml:space="preserve">$84,536 </w:t>
            </w:r>
          </w:p>
        </w:tc>
        <w:tc>
          <w:tcPr>
            <w:tcW w:w="2075" w:type="dxa"/>
          </w:tcPr>
          <w:p w14:paraId="185C438F" w14:textId="77777777" w:rsidR="00BA1504" w:rsidRPr="00CE2D41" w:rsidRDefault="00BA1504" w:rsidP="00A07700">
            <w:pPr>
              <w:pStyle w:val="PwCNormal"/>
              <w:framePr w:w="2154" w:wrap="notBeside" w:vAnchor="page" w:hAnchor="page" w:x="928" w:y="8427" w:anchorLock="1"/>
              <w:numPr>
                <w:ilvl w:val="0"/>
                <w:numId w:val="0"/>
              </w:numPr>
              <w:spacing w:before="60" w:after="60" w:line="260" w:lineRule="atLeast"/>
              <w:jc w:val="center"/>
              <w:rPr>
                <w:rFonts w:asciiTheme="minorHAnsi" w:hAnsiTheme="minorHAnsi" w:cstheme="minorHAnsi"/>
                <w:sz w:val="22"/>
                <w:szCs w:val="22"/>
              </w:rPr>
            </w:pPr>
            <w:r w:rsidRPr="00CE2D41">
              <w:rPr>
                <w:rFonts w:asciiTheme="minorHAnsi" w:hAnsiTheme="minorHAnsi" w:cstheme="minorHAnsi"/>
                <w:b/>
                <w:bCs/>
                <w:color w:val="000000"/>
                <w:sz w:val="22"/>
                <w:szCs w:val="22"/>
              </w:rPr>
              <w:t xml:space="preserve">$434,745 </w:t>
            </w:r>
          </w:p>
        </w:tc>
      </w:tr>
      <w:tr w:rsidR="00A56535" w:rsidRPr="007630E0" w14:paraId="553898FB" w14:textId="77777777" w:rsidTr="00CE2D41">
        <w:trPr>
          <w:trHeight w:val="534"/>
        </w:trPr>
        <w:tc>
          <w:tcPr>
            <w:tcW w:w="1133" w:type="dxa"/>
          </w:tcPr>
          <w:p w14:paraId="448FA568" w14:textId="77777777" w:rsidR="00BA1504" w:rsidRPr="00CE2D41" w:rsidRDefault="00BA1504" w:rsidP="00A07700">
            <w:pPr>
              <w:pStyle w:val="PwCNormal"/>
              <w:numPr>
                <w:ilvl w:val="0"/>
                <w:numId w:val="0"/>
              </w:numPr>
              <w:spacing w:before="60" w:after="60"/>
              <w:jc w:val="center"/>
              <w:rPr>
                <w:rFonts w:asciiTheme="minorHAnsi" w:hAnsiTheme="minorHAnsi" w:cstheme="minorHAnsi"/>
                <w:b/>
                <w:bCs/>
                <w:color w:val="000000"/>
                <w:sz w:val="22"/>
                <w:szCs w:val="22"/>
              </w:rPr>
            </w:pPr>
            <w:r w:rsidRPr="00CE2D41">
              <w:rPr>
                <w:rFonts w:asciiTheme="minorHAnsi" w:hAnsiTheme="minorHAnsi" w:cstheme="minorHAnsi"/>
                <w:b/>
                <w:bCs/>
                <w:color w:val="000000"/>
                <w:sz w:val="22"/>
                <w:szCs w:val="22"/>
              </w:rPr>
              <w:t>Other agencies</w:t>
            </w:r>
          </w:p>
        </w:tc>
        <w:tc>
          <w:tcPr>
            <w:tcW w:w="1047" w:type="dxa"/>
          </w:tcPr>
          <w:p w14:paraId="55C94D96" w14:textId="77777777" w:rsidR="00BA1504" w:rsidRPr="00CE2D41" w:rsidRDefault="00BA1504" w:rsidP="00A07700">
            <w:pPr>
              <w:pStyle w:val="PwCNormal"/>
              <w:numPr>
                <w:ilvl w:val="0"/>
                <w:numId w:val="0"/>
              </w:numPr>
              <w:spacing w:before="60" w:after="60"/>
              <w:jc w:val="center"/>
              <w:rPr>
                <w:rFonts w:asciiTheme="minorHAnsi" w:hAnsiTheme="minorHAnsi" w:cstheme="minorHAnsi"/>
                <w:sz w:val="22"/>
                <w:szCs w:val="22"/>
              </w:rPr>
            </w:pPr>
            <w:r w:rsidRPr="00CE2D41">
              <w:rPr>
                <w:rFonts w:asciiTheme="minorHAnsi" w:hAnsiTheme="minorHAnsi" w:cstheme="minorHAnsi"/>
                <w:sz w:val="22"/>
                <w:szCs w:val="22"/>
              </w:rPr>
              <w:t>$0</w:t>
            </w:r>
          </w:p>
        </w:tc>
        <w:tc>
          <w:tcPr>
            <w:tcW w:w="1042" w:type="dxa"/>
          </w:tcPr>
          <w:p w14:paraId="26B26649" w14:textId="77777777" w:rsidR="00BA1504" w:rsidRPr="00CE2D41" w:rsidRDefault="00BA1504" w:rsidP="00A07700">
            <w:pPr>
              <w:pStyle w:val="PwCNormal"/>
              <w:numPr>
                <w:ilvl w:val="0"/>
                <w:numId w:val="0"/>
              </w:numPr>
              <w:spacing w:before="60" w:after="60"/>
              <w:jc w:val="center"/>
              <w:rPr>
                <w:rFonts w:asciiTheme="minorHAnsi" w:hAnsiTheme="minorHAnsi" w:cstheme="minorHAnsi"/>
                <w:sz w:val="22"/>
                <w:szCs w:val="22"/>
              </w:rPr>
            </w:pPr>
            <w:r w:rsidRPr="00CE2D41">
              <w:rPr>
                <w:rFonts w:asciiTheme="minorHAnsi" w:hAnsiTheme="minorHAnsi" w:cstheme="minorHAnsi"/>
                <w:sz w:val="22"/>
                <w:szCs w:val="22"/>
              </w:rPr>
              <w:t>$0</w:t>
            </w:r>
          </w:p>
        </w:tc>
        <w:tc>
          <w:tcPr>
            <w:tcW w:w="1043" w:type="dxa"/>
          </w:tcPr>
          <w:p w14:paraId="250ABC7D" w14:textId="77777777" w:rsidR="00BA1504" w:rsidRPr="00CE2D41" w:rsidRDefault="00BA1504" w:rsidP="00A07700">
            <w:pPr>
              <w:pStyle w:val="PwCNormal"/>
              <w:numPr>
                <w:ilvl w:val="0"/>
                <w:numId w:val="0"/>
              </w:numPr>
              <w:spacing w:before="60" w:after="60"/>
              <w:jc w:val="center"/>
              <w:rPr>
                <w:rFonts w:asciiTheme="minorHAnsi" w:hAnsiTheme="minorHAnsi" w:cstheme="minorHAnsi"/>
                <w:sz w:val="22"/>
                <w:szCs w:val="22"/>
              </w:rPr>
            </w:pPr>
            <w:r w:rsidRPr="00CE2D41">
              <w:rPr>
                <w:rFonts w:asciiTheme="minorHAnsi" w:hAnsiTheme="minorHAnsi" w:cstheme="minorHAnsi"/>
                <w:sz w:val="22"/>
                <w:szCs w:val="22"/>
              </w:rPr>
              <w:t>$0</w:t>
            </w:r>
          </w:p>
        </w:tc>
        <w:tc>
          <w:tcPr>
            <w:tcW w:w="1043" w:type="dxa"/>
          </w:tcPr>
          <w:p w14:paraId="27EDC334" w14:textId="77777777" w:rsidR="00BA1504" w:rsidRPr="00CE2D41" w:rsidRDefault="00BA1504" w:rsidP="00A07700">
            <w:pPr>
              <w:pStyle w:val="PwCNormal"/>
              <w:framePr w:w="2154" w:wrap="notBeside" w:vAnchor="page" w:hAnchor="page" w:x="928" w:y="8427" w:anchorLock="1"/>
              <w:numPr>
                <w:ilvl w:val="0"/>
                <w:numId w:val="0"/>
              </w:numPr>
              <w:spacing w:before="60" w:after="60" w:line="260" w:lineRule="atLeast"/>
              <w:jc w:val="center"/>
              <w:rPr>
                <w:rFonts w:asciiTheme="minorHAnsi" w:hAnsiTheme="minorHAnsi" w:cstheme="minorHAnsi"/>
                <w:sz w:val="22"/>
                <w:szCs w:val="22"/>
              </w:rPr>
            </w:pPr>
            <w:r w:rsidRPr="00CE2D41">
              <w:rPr>
                <w:rFonts w:asciiTheme="minorHAnsi" w:hAnsiTheme="minorHAnsi" w:cstheme="minorHAnsi"/>
                <w:sz w:val="22"/>
                <w:szCs w:val="22"/>
              </w:rPr>
              <w:t>$0</w:t>
            </w:r>
          </w:p>
        </w:tc>
        <w:tc>
          <w:tcPr>
            <w:tcW w:w="1128" w:type="dxa"/>
          </w:tcPr>
          <w:p w14:paraId="676679C8" w14:textId="77777777" w:rsidR="00BA1504" w:rsidRPr="00CE2D41" w:rsidRDefault="00BA1504" w:rsidP="00A07700">
            <w:pPr>
              <w:pStyle w:val="PwCNormal"/>
              <w:framePr w:w="2154" w:wrap="notBeside" w:vAnchor="page" w:hAnchor="page" w:x="928" w:y="8427" w:anchorLock="1"/>
              <w:numPr>
                <w:ilvl w:val="0"/>
                <w:numId w:val="0"/>
              </w:numPr>
              <w:spacing w:before="60" w:after="60" w:line="260" w:lineRule="atLeast"/>
              <w:jc w:val="center"/>
              <w:rPr>
                <w:rFonts w:asciiTheme="minorHAnsi" w:hAnsiTheme="minorHAnsi" w:cstheme="minorHAnsi"/>
                <w:color w:val="000000"/>
                <w:sz w:val="22"/>
                <w:szCs w:val="22"/>
              </w:rPr>
            </w:pPr>
            <w:r w:rsidRPr="00CE2D41">
              <w:rPr>
                <w:rFonts w:asciiTheme="minorHAnsi" w:hAnsiTheme="minorHAnsi" w:cstheme="minorHAnsi"/>
                <w:color w:val="000000"/>
                <w:sz w:val="22"/>
                <w:szCs w:val="22"/>
              </w:rPr>
              <w:t>$237,982</w:t>
            </w:r>
          </w:p>
        </w:tc>
        <w:tc>
          <w:tcPr>
            <w:tcW w:w="1128" w:type="dxa"/>
          </w:tcPr>
          <w:p w14:paraId="615AC9F7" w14:textId="77777777" w:rsidR="00BA1504" w:rsidRPr="00CE2D41" w:rsidRDefault="00BA1504" w:rsidP="00A07700">
            <w:pPr>
              <w:pStyle w:val="PwCNormal"/>
              <w:framePr w:w="2154" w:wrap="notBeside" w:vAnchor="page" w:hAnchor="page" w:x="928" w:y="8427" w:anchorLock="1"/>
              <w:numPr>
                <w:ilvl w:val="0"/>
                <w:numId w:val="0"/>
              </w:numPr>
              <w:spacing w:before="60" w:after="60" w:line="260" w:lineRule="atLeast"/>
              <w:jc w:val="center"/>
              <w:rPr>
                <w:rFonts w:asciiTheme="minorHAnsi" w:hAnsiTheme="minorHAnsi" w:cstheme="minorHAnsi"/>
                <w:color w:val="000000"/>
                <w:sz w:val="22"/>
                <w:szCs w:val="22"/>
              </w:rPr>
            </w:pPr>
            <w:r w:rsidRPr="00CE2D41">
              <w:rPr>
                <w:rFonts w:asciiTheme="minorHAnsi" w:hAnsiTheme="minorHAnsi" w:cstheme="minorHAnsi"/>
                <w:color w:val="000000"/>
                <w:sz w:val="22"/>
                <w:szCs w:val="22"/>
              </w:rPr>
              <w:t>$237,505</w:t>
            </w:r>
          </w:p>
        </w:tc>
        <w:tc>
          <w:tcPr>
            <w:tcW w:w="2075" w:type="dxa"/>
          </w:tcPr>
          <w:p w14:paraId="7303008A" w14:textId="77777777" w:rsidR="00BA1504" w:rsidRPr="00CE2D41" w:rsidRDefault="00BA1504" w:rsidP="00A07700">
            <w:pPr>
              <w:pStyle w:val="PwCNormal"/>
              <w:framePr w:w="2154" w:wrap="notBeside" w:vAnchor="page" w:hAnchor="page" w:x="928" w:y="8427" w:anchorLock="1"/>
              <w:numPr>
                <w:ilvl w:val="0"/>
                <w:numId w:val="0"/>
              </w:numPr>
              <w:spacing w:before="60" w:after="60" w:line="260" w:lineRule="atLeast"/>
              <w:jc w:val="center"/>
              <w:rPr>
                <w:rFonts w:asciiTheme="minorHAnsi" w:hAnsiTheme="minorHAnsi" w:cstheme="minorHAnsi"/>
                <w:b/>
                <w:bCs/>
                <w:color w:val="000000"/>
                <w:sz w:val="22"/>
                <w:szCs w:val="22"/>
              </w:rPr>
            </w:pPr>
            <w:r w:rsidRPr="00CE2D41">
              <w:rPr>
                <w:rFonts w:asciiTheme="minorHAnsi" w:hAnsiTheme="minorHAnsi" w:cstheme="minorHAnsi"/>
                <w:b/>
                <w:bCs/>
                <w:color w:val="000000"/>
                <w:sz w:val="22"/>
                <w:szCs w:val="22"/>
              </w:rPr>
              <w:t>$523,552</w:t>
            </w:r>
          </w:p>
        </w:tc>
      </w:tr>
      <w:tr w:rsidR="00A56535" w:rsidRPr="007630E0" w14:paraId="11B12D15" w14:textId="77777777" w:rsidTr="00CE2D41">
        <w:trPr>
          <w:trHeight w:val="534"/>
        </w:trPr>
        <w:tc>
          <w:tcPr>
            <w:tcW w:w="1133" w:type="dxa"/>
          </w:tcPr>
          <w:p w14:paraId="7751AFEB" w14:textId="77777777" w:rsidR="00BA1504" w:rsidRPr="00CE2D41" w:rsidRDefault="00BA1504" w:rsidP="00A07700">
            <w:pPr>
              <w:pStyle w:val="PwCNormal"/>
              <w:numPr>
                <w:ilvl w:val="0"/>
                <w:numId w:val="0"/>
              </w:numPr>
              <w:spacing w:before="60" w:after="60"/>
              <w:jc w:val="center"/>
              <w:rPr>
                <w:rFonts w:asciiTheme="minorHAnsi" w:hAnsiTheme="minorHAnsi" w:cstheme="minorHAnsi"/>
                <w:b/>
                <w:bCs/>
                <w:color w:val="000000"/>
                <w:sz w:val="22"/>
                <w:szCs w:val="22"/>
              </w:rPr>
            </w:pPr>
            <w:r w:rsidRPr="00CE2D41">
              <w:rPr>
                <w:rFonts w:asciiTheme="minorHAnsi" w:hAnsiTheme="minorHAnsi" w:cstheme="minorHAnsi"/>
                <w:b/>
                <w:bCs/>
                <w:color w:val="000000"/>
                <w:sz w:val="22"/>
                <w:szCs w:val="22"/>
              </w:rPr>
              <w:t>TOTAL</w:t>
            </w:r>
          </w:p>
        </w:tc>
        <w:tc>
          <w:tcPr>
            <w:tcW w:w="1047" w:type="dxa"/>
          </w:tcPr>
          <w:p w14:paraId="13D6C94D" w14:textId="77777777" w:rsidR="00BA1504" w:rsidRPr="00CE2D41" w:rsidRDefault="00BA1504" w:rsidP="00A07700">
            <w:pPr>
              <w:pStyle w:val="PwCNormal"/>
              <w:numPr>
                <w:ilvl w:val="0"/>
                <w:numId w:val="0"/>
              </w:numPr>
              <w:spacing w:before="60" w:after="60"/>
              <w:jc w:val="center"/>
              <w:rPr>
                <w:rFonts w:asciiTheme="minorHAnsi" w:hAnsiTheme="minorHAnsi" w:cstheme="minorHAnsi"/>
                <w:sz w:val="22"/>
                <w:szCs w:val="22"/>
              </w:rPr>
            </w:pPr>
            <w:r w:rsidRPr="00CE2D41">
              <w:rPr>
                <w:rFonts w:asciiTheme="minorHAnsi" w:hAnsiTheme="minorHAnsi" w:cstheme="minorHAnsi"/>
                <w:sz w:val="22"/>
                <w:szCs w:val="22"/>
              </w:rPr>
              <w:t>$4,689</w:t>
            </w:r>
          </w:p>
        </w:tc>
        <w:tc>
          <w:tcPr>
            <w:tcW w:w="1042" w:type="dxa"/>
          </w:tcPr>
          <w:p w14:paraId="31F55D6C" w14:textId="77777777" w:rsidR="00BA1504" w:rsidRPr="00CE2D41" w:rsidRDefault="00BA1504" w:rsidP="00A07700">
            <w:pPr>
              <w:pStyle w:val="PwCNormal"/>
              <w:numPr>
                <w:ilvl w:val="0"/>
                <w:numId w:val="0"/>
              </w:numPr>
              <w:spacing w:before="60" w:after="60"/>
              <w:jc w:val="center"/>
              <w:rPr>
                <w:rFonts w:asciiTheme="minorHAnsi" w:hAnsiTheme="minorHAnsi" w:cstheme="minorHAnsi"/>
                <w:sz w:val="22"/>
                <w:szCs w:val="22"/>
              </w:rPr>
            </w:pPr>
            <w:r w:rsidRPr="00CE2D41">
              <w:rPr>
                <w:rFonts w:asciiTheme="minorHAnsi" w:hAnsiTheme="minorHAnsi" w:cstheme="minorHAnsi"/>
                <w:sz w:val="22"/>
                <w:szCs w:val="22"/>
              </w:rPr>
              <w:t>$0</w:t>
            </w:r>
          </w:p>
        </w:tc>
        <w:tc>
          <w:tcPr>
            <w:tcW w:w="1043" w:type="dxa"/>
          </w:tcPr>
          <w:p w14:paraId="2D0DD8E5" w14:textId="77777777" w:rsidR="00BA1504" w:rsidRPr="00CE2D41" w:rsidRDefault="00BA1504" w:rsidP="00A07700">
            <w:pPr>
              <w:pStyle w:val="PwCNormal"/>
              <w:numPr>
                <w:ilvl w:val="0"/>
                <w:numId w:val="0"/>
              </w:numPr>
              <w:spacing w:before="60" w:after="60"/>
              <w:jc w:val="center"/>
              <w:rPr>
                <w:rFonts w:asciiTheme="minorHAnsi" w:hAnsiTheme="minorHAnsi" w:cstheme="minorHAnsi"/>
                <w:sz w:val="22"/>
                <w:szCs w:val="22"/>
              </w:rPr>
            </w:pPr>
            <w:r w:rsidRPr="00CE2D41">
              <w:rPr>
                <w:rFonts w:asciiTheme="minorHAnsi" w:hAnsiTheme="minorHAnsi" w:cstheme="minorHAnsi"/>
                <w:sz w:val="22"/>
                <w:szCs w:val="22"/>
              </w:rPr>
              <w:t>$0</w:t>
            </w:r>
          </w:p>
        </w:tc>
        <w:tc>
          <w:tcPr>
            <w:tcW w:w="1043" w:type="dxa"/>
          </w:tcPr>
          <w:p w14:paraId="074688CF" w14:textId="77777777" w:rsidR="00BA1504" w:rsidRPr="00CE2D41" w:rsidRDefault="00BA1504" w:rsidP="00A07700">
            <w:pPr>
              <w:pStyle w:val="PwCNormal"/>
              <w:framePr w:w="2154" w:wrap="notBeside" w:vAnchor="page" w:hAnchor="page" w:x="928" w:y="8427" w:anchorLock="1"/>
              <w:numPr>
                <w:ilvl w:val="0"/>
                <w:numId w:val="0"/>
              </w:numPr>
              <w:spacing w:before="60" w:after="60" w:line="260" w:lineRule="atLeast"/>
              <w:jc w:val="center"/>
              <w:rPr>
                <w:rFonts w:asciiTheme="minorHAnsi" w:hAnsiTheme="minorHAnsi" w:cstheme="minorHAnsi"/>
                <w:sz w:val="22"/>
                <w:szCs w:val="22"/>
              </w:rPr>
            </w:pPr>
            <w:r w:rsidRPr="00CE2D41">
              <w:rPr>
                <w:rFonts w:asciiTheme="minorHAnsi" w:hAnsiTheme="minorHAnsi" w:cstheme="minorHAnsi"/>
                <w:sz w:val="22"/>
                <w:szCs w:val="22"/>
              </w:rPr>
              <w:t>$0</w:t>
            </w:r>
          </w:p>
        </w:tc>
        <w:tc>
          <w:tcPr>
            <w:tcW w:w="1128" w:type="dxa"/>
          </w:tcPr>
          <w:p w14:paraId="37FB28D8" w14:textId="77777777" w:rsidR="00BA1504" w:rsidRPr="00CE2D41" w:rsidRDefault="00BA1504" w:rsidP="00A07700">
            <w:pPr>
              <w:pStyle w:val="PwCNormal"/>
              <w:framePr w:w="2154" w:wrap="notBeside" w:vAnchor="page" w:hAnchor="page" w:x="928" w:y="8427" w:anchorLock="1"/>
              <w:numPr>
                <w:ilvl w:val="0"/>
                <w:numId w:val="0"/>
              </w:numPr>
              <w:spacing w:before="60" w:after="60" w:line="260" w:lineRule="atLeast"/>
              <w:jc w:val="center"/>
              <w:rPr>
                <w:rFonts w:asciiTheme="minorHAnsi" w:hAnsiTheme="minorHAnsi" w:cstheme="minorHAnsi"/>
                <w:color w:val="000000"/>
                <w:sz w:val="22"/>
                <w:szCs w:val="22"/>
              </w:rPr>
            </w:pPr>
            <w:r w:rsidRPr="00CE2D41">
              <w:rPr>
                <w:rFonts w:asciiTheme="minorHAnsi" w:hAnsiTheme="minorHAnsi" w:cstheme="minorHAnsi"/>
                <w:color w:val="000000"/>
                <w:sz w:val="22"/>
                <w:szCs w:val="22"/>
              </w:rPr>
              <w:t>$642,475</w:t>
            </w:r>
          </w:p>
        </w:tc>
        <w:tc>
          <w:tcPr>
            <w:tcW w:w="1128" w:type="dxa"/>
          </w:tcPr>
          <w:p w14:paraId="395AB06C" w14:textId="77777777" w:rsidR="00BA1504" w:rsidRPr="00CE2D41" w:rsidRDefault="00BA1504" w:rsidP="00A07700">
            <w:pPr>
              <w:pStyle w:val="PwCNormal"/>
              <w:framePr w:w="2154" w:wrap="notBeside" w:vAnchor="page" w:hAnchor="page" w:x="928" w:y="8427" w:anchorLock="1"/>
              <w:numPr>
                <w:ilvl w:val="0"/>
                <w:numId w:val="0"/>
              </w:numPr>
              <w:spacing w:before="60" w:after="60" w:line="260" w:lineRule="atLeast"/>
              <w:jc w:val="center"/>
              <w:rPr>
                <w:rFonts w:asciiTheme="minorHAnsi" w:hAnsiTheme="minorHAnsi" w:cstheme="minorHAnsi"/>
                <w:color w:val="000000"/>
                <w:sz w:val="22"/>
                <w:szCs w:val="22"/>
              </w:rPr>
            </w:pPr>
            <w:r w:rsidRPr="00CE2D41">
              <w:rPr>
                <w:rFonts w:asciiTheme="minorHAnsi" w:hAnsiTheme="minorHAnsi" w:cstheme="minorHAnsi"/>
                <w:color w:val="000000"/>
                <w:sz w:val="22"/>
                <w:szCs w:val="22"/>
              </w:rPr>
              <w:t>$389,254</w:t>
            </w:r>
          </w:p>
        </w:tc>
        <w:tc>
          <w:tcPr>
            <w:tcW w:w="2075" w:type="dxa"/>
          </w:tcPr>
          <w:p w14:paraId="672F03C9" w14:textId="77777777" w:rsidR="00BA1504" w:rsidRPr="00CE2D41" w:rsidRDefault="00BA1504" w:rsidP="00A07700">
            <w:pPr>
              <w:pStyle w:val="PwCNormal"/>
              <w:framePr w:w="2154" w:wrap="notBeside" w:vAnchor="page" w:hAnchor="page" w:x="928" w:y="8427" w:anchorLock="1"/>
              <w:numPr>
                <w:ilvl w:val="0"/>
                <w:numId w:val="0"/>
              </w:numPr>
              <w:spacing w:before="60" w:after="60" w:line="260" w:lineRule="atLeast"/>
              <w:jc w:val="center"/>
              <w:rPr>
                <w:rFonts w:asciiTheme="minorHAnsi" w:hAnsiTheme="minorHAnsi" w:cstheme="minorHAnsi"/>
                <w:b/>
                <w:bCs/>
                <w:color w:val="000000"/>
                <w:sz w:val="22"/>
                <w:szCs w:val="22"/>
              </w:rPr>
            </w:pPr>
            <w:r w:rsidRPr="00CE2D41">
              <w:rPr>
                <w:rFonts w:asciiTheme="minorHAnsi" w:hAnsiTheme="minorHAnsi" w:cstheme="minorHAnsi"/>
                <w:b/>
                <w:bCs/>
                <w:color w:val="000000"/>
                <w:sz w:val="22"/>
                <w:szCs w:val="22"/>
              </w:rPr>
              <w:t>$1,124,362</w:t>
            </w:r>
          </w:p>
        </w:tc>
      </w:tr>
    </w:tbl>
    <w:p w14:paraId="2B94C359" w14:textId="77777777" w:rsidR="00784080" w:rsidRDefault="00784080" w:rsidP="00BA1504">
      <w:pPr>
        <w:pStyle w:val="ChapterNumberedList1"/>
        <w:numPr>
          <w:ilvl w:val="0"/>
          <w:numId w:val="0"/>
        </w:numPr>
        <w:spacing w:before="240"/>
        <w:rPr>
          <w:rFonts w:asciiTheme="minorHAnsi" w:hAnsiTheme="minorHAnsi" w:cstheme="minorHAnsi"/>
          <w:color w:val="1F497D" w:themeColor="text2"/>
          <w:szCs w:val="21"/>
        </w:rPr>
      </w:pPr>
    </w:p>
    <w:p w14:paraId="12F8BDF8" w14:textId="77777777" w:rsidR="00BA1504" w:rsidRPr="00A56535" w:rsidRDefault="00BA1504" w:rsidP="009E15FC">
      <w:pPr>
        <w:pStyle w:val="ChapterNumberedList1"/>
        <w:numPr>
          <w:ilvl w:val="0"/>
          <w:numId w:val="0"/>
        </w:numPr>
        <w:spacing w:before="240" w:line="276" w:lineRule="auto"/>
        <w:jc w:val="both"/>
        <w:rPr>
          <w:rFonts w:asciiTheme="minorHAnsi" w:hAnsiTheme="minorHAnsi" w:cstheme="minorHAnsi"/>
          <w:sz w:val="24"/>
          <w:szCs w:val="24"/>
        </w:rPr>
      </w:pPr>
      <w:r w:rsidRPr="00A56535">
        <w:rPr>
          <w:rFonts w:asciiTheme="minorHAnsi" w:hAnsiTheme="minorHAnsi" w:cstheme="minorHAnsi"/>
          <w:sz w:val="24"/>
          <w:szCs w:val="24"/>
        </w:rPr>
        <w:t>Substantial savings and great improvements to Peter’s wellbeing could be achieved if:</w:t>
      </w:r>
    </w:p>
    <w:p w14:paraId="6B9C99F9" w14:textId="5A988CE9" w:rsidR="00BA1504" w:rsidRPr="00A56535" w:rsidRDefault="00784080" w:rsidP="009E15FC">
      <w:pPr>
        <w:pStyle w:val="TableBullet1Normal"/>
        <w:spacing w:line="276" w:lineRule="auto"/>
        <w:jc w:val="both"/>
        <w:rPr>
          <w:rFonts w:asciiTheme="minorHAnsi" w:hAnsiTheme="minorHAnsi" w:cstheme="minorHAnsi"/>
          <w:sz w:val="24"/>
          <w:szCs w:val="24"/>
        </w:rPr>
      </w:pPr>
      <w:r w:rsidRPr="00A56535">
        <w:rPr>
          <w:rFonts w:asciiTheme="minorHAnsi" w:hAnsiTheme="minorHAnsi" w:cstheme="minorHAnsi"/>
          <w:sz w:val="24"/>
          <w:szCs w:val="24"/>
        </w:rPr>
        <w:t>At</w:t>
      </w:r>
      <w:r w:rsidR="00BA1504" w:rsidRPr="00A56535">
        <w:rPr>
          <w:rFonts w:asciiTheme="minorHAnsi" w:hAnsiTheme="minorHAnsi" w:cstheme="minorHAnsi"/>
          <w:sz w:val="24"/>
          <w:szCs w:val="24"/>
        </w:rPr>
        <w:t xml:space="preserve"> age 26, Peter was instead provided with intensive case management support services, such as the ISP.</w:t>
      </w:r>
    </w:p>
    <w:p w14:paraId="71CBDF36" w14:textId="4BD27741" w:rsidR="00BA1504" w:rsidRPr="00A56535" w:rsidRDefault="00784080" w:rsidP="009E15FC">
      <w:pPr>
        <w:pStyle w:val="TableBullet1Normal"/>
        <w:spacing w:line="276" w:lineRule="auto"/>
        <w:jc w:val="both"/>
        <w:rPr>
          <w:rFonts w:asciiTheme="minorHAnsi" w:hAnsiTheme="minorHAnsi" w:cstheme="minorHAnsi"/>
          <w:sz w:val="24"/>
          <w:szCs w:val="24"/>
        </w:rPr>
      </w:pPr>
      <w:r w:rsidRPr="00A56535">
        <w:rPr>
          <w:rFonts w:asciiTheme="minorHAnsi" w:hAnsiTheme="minorHAnsi" w:cstheme="minorHAnsi"/>
          <w:sz w:val="24"/>
          <w:szCs w:val="24"/>
        </w:rPr>
        <w:t>This</w:t>
      </w:r>
      <w:r w:rsidR="00BA1504" w:rsidRPr="00A56535">
        <w:rPr>
          <w:rFonts w:asciiTheme="minorHAnsi" w:hAnsiTheme="minorHAnsi" w:cstheme="minorHAnsi"/>
          <w:sz w:val="24"/>
          <w:szCs w:val="24"/>
        </w:rPr>
        <w:t xml:space="preserve"> support helps him to access Housing support from age 28 (after 2 years on the intensive intervention program), rather than age 35 (when he was placed with a complex needs parole officer). The annual cost of the Housing support is costed at $31,398 pa.</w:t>
      </w:r>
    </w:p>
    <w:p w14:paraId="353F2144" w14:textId="03163871" w:rsidR="00BA1504" w:rsidRPr="00A56535" w:rsidRDefault="00784080" w:rsidP="009E15FC">
      <w:pPr>
        <w:pStyle w:val="TableBullet1Normal"/>
        <w:spacing w:line="276" w:lineRule="auto"/>
        <w:jc w:val="both"/>
        <w:rPr>
          <w:rFonts w:asciiTheme="minorHAnsi" w:hAnsiTheme="minorHAnsi" w:cstheme="minorHAnsi"/>
          <w:sz w:val="24"/>
          <w:szCs w:val="24"/>
        </w:rPr>
      </w:pPr>
      <w:r w:rsidRPr="00A56535">
        <w:rPr>
          <w:rFonts w:asciiTheme="minorHAnsi" w:hAnsiTheme="minorHAnsi" w:cstheme="minorHAnsi"/>
          <w:sz w:val="24"/>
          <w:szCs w:val="24"/>
        </w:rPr>
        <w:t>The</w:t>
      </w:r>
      <w:r w:rsidR="00BA1504" w:rsidRPr="00A56535">
        <w:rPr>
          <w:rFonts w:asciiTheme="minorHAnsi" w:hAnsiTheme="minorHAnsi" w:cstheme="minorHAnsi"/>
          <w:sz w:val="24"/>
          <w:szCs w:val="24"/>
        </w:rPr>
        <w:t xml:space="preserve"> support results in reducing Peter’s court costs, prison days and hospital admissions by 50-100% of average ISP success rate.</w:t>
      </w:r>
    </w:p>
    <w:p w14:paraId="51EBF0EA" w14:textId="77777777" w:rsidR="00BA1504" w:rsidRPr="00A56535" w:rsidRDefault="00BA1504" w:rsidP="009E15FC">
      <w:pPr>
        <w:pStyle w:val="ChapterNumberedList1"/>
        <w:numPr>
          <w:ilvl w:val="0"/>
          <w:numId w:val="0"/>
        </w:numPr>
        <w:spacing w:after="0" w:line="276" w:lineRule="auto"/>
        <w:jc w:val="both"/>
        <w:rPr>
          <w:rFonts w:asciiTheme="minorHAnsi" w:hAnsiTheme="minorHAnsi" w:cstheme="minorHAnsi"/>
          <w:sz w:val="24"/>
          <w:szCs w:val="24"/>
        </w:rPr>
      </w:pPr>
    </w:p>
    <w:p w14:paraId="63861839" w14:textId="77777777" w:rsidR="00BA1504" w:rsidRPr="00A56535" w:rsidRDefault="00BA1504" w:rsidP="009E15FC">
      <w:pPr>
        <w:pStyle w:val="ChapterNumberedList1"/>
        <w:numPr>
          <w:ilvl w:val="0"/>
          <w:numId w:val="0"/>
        </w:numPr>
        <w:spacing w:after="0" w:line="276" w:lineRule="auto"/>
        <w:jc w:val="both"/>
        <w:rPr>
          <w:rFonts w:asciiTheme="minorHAnsi" w:hAnsiTheme="minorHAnsi" w:cstheme="minorHAnsi"/>
          <w:sz w:val="24"/>
          <w:szCs w:val="24"/>
        </w:rPr>
      </w:pPr>
      <w:r w:rsidRPr="00A56535">
        <w:rPr>
          <w:rFonts w:asciiTheme="minorHAnsi" w:hAnsiTheme="minorHAnsi" w:cstheme="minorHAnsi"/>
          <w:sz w:val="24"/>
          <w:szCs w:val="24"/>
        </w:rPr>
        <w:t>The figure below compares the trajectory of Peter’s lifetime cost without investment to the lifetime cost with average effectiveness of the ISP.</w:t>
      </w:r>
    </w:p>
    <w:p w14:paraId="2A5C2D08" w14:textId="77777777" w:rsidR="00BA1504" w:rsidRPr="00A56535" w:rsidRDefault="00BA1504" w:rsidP="00BA1504">
      <w:pPr>
        <w:pStyle w:val="ChapterNumberedList1"/>
        <w:numPr>
          <w:ilvl w:val="0"/>
          <w:numId w:val="0"/>
        </w:numPr>
        <w:spacing w:after="0"/>
        <w:rPr>
          <w:rFonts w:asciiTheme="minorHAnsi" w:hAnsiTheme="minorHAnsi" w:cstheme="minorHAnsi"/>
          <w:sz w:val="24"/>
          <w:szCs w:val="24"/>
        </w:rPr>
      </w:pPr>
    </w:p>
    <w:p w14:paraId="2D385C15" w14:textId="77777777" w:rsidR="00BA1504" w:rsidRPr="00A56535" w:rsidRDefault="00BA1504" w:rsidP="00BA1504">
      <w:pPr>
        <w:pStyle w:val="ChapterNumberedList1"/>
        <w:numPr>
          <w:ilvl w:val="0"/>
          <w:numId w:val="0"/>
        </w:numPr>
        <w:spacing w:after="0"/>
        <w:rPr>
          <w:rFonts w:asciiTheme="minorHAnsi" w:hAnsiTheme="minorHAnsi" w:cstheme="minorHAnsi"/>
          <w:sz w:val="24"/>
          <w:szCs w:val="24"/>
        </w:rPr>
      </w:pPr>
    </w:p>
    <w:p w14:paraId="663152BD" w14:textId="76678277" w:rsidR="00BA1504" w:rsidRPr="003E7FCE" w:rsidRDefault="00BA1504" w:rsidP="00BA1504">
      <w:pPr>
        <w:pStyle w:val="ChapterNumberedList1"/>
        <w:numPr>
          <w:ilvl w:val="0"/>
          <w:numId w:val="0"/>
        </w:numPr>
        <w:spacing w:after="0"/>
        <w:rPr>
          <w:rFonts w:asciiTheme="minorHAnsi" w:hAnsiTheme="minorHAnsi" w:cstheme="minorHAnsi"/>
          <w:b/>
          <w:sz w:val="22"/>
          <w:szCs w:val="22"/>
        </w:rPr>
      </w:pPr>
      <w:r w:rsidRPr="003E7FCE">
        <w:rPr>
          <w:rFonts w:asciiTheme="minorHAnsi" w:hAnsiTheme="minorHAnsi" w:cstheme="minorHAnsi"/>
          <w:b/>
          <w:sz w:val="22"/>
          <w:szCs w:val="22"/>
        </w:rPr>
        <w:t xml:space="preserve">Figure </w:t>
      </w:r>
      <w:r w:rsidRPr="003E7FCE">
        <w:rPr>
          <w:rFonts w:asciiTheme="minorHAnsi" w:hAnsiTheme="minorHAnsi" w:cstheme="minorHAnsi"/>
          <w:b/>
          <w:sz w:val="22"/>
          <w:szCs w:val="22"/>
        </w:rPr>
        <w:fldChar w:fldCharType="begin"/>
      </w:r>
      <w:r w:rsidRPr="003E7FCE">
        <w:rPr>
          <w:rFonts w:asciiTheme="minorHAnsi" w:hAnsiTheme="minorHAnsi" w:cstheme="minorHAnsi"/>
          <w:b/>
          <w:sz w:val="22"/>
          <w:szCs w:val="22"/>
        </w:rPr>
        <w:instrText xml:space="preserve"> SEQ Figure \* ARABIC </w:instrText>
      </w:r>
      <w:r w:rsidRPr="003E7FCE">
        <w:rPr>
          <w:rFonts w:asciiTheme="minorHAnsi" w:hAnsiTheme="minorHAnsi" w:cstheme="minorHAnsi"/>
          <w:b/>
          <w:sz w:val="22"/>
          <w:szCs w:val="22"/>
        </w:rPr>
        <w:fldChar w:fldCharType="separate"/>
      </w:r>
      <w:r w:rsidRPr="003E7FCE">
        <w:rPr>
          <w:rFonts w:asciiTheme="minorHAnsi" w:hAnsiTheme="minorHAnsi" w:cstheme="minorHAnsi"/>
          <w:b/>
          <w:noProof/>
          <w:sz w:val="22"/>
          <w:szCs w:val="22"/>
        </w:rPr>
        <w:t>1</w:t>
      </w:r>
      <w:r w:rsidRPr="003E7FCE">
        <w:rPr>
          <w:rFonts w:asciiTheme="minorHAnsi" w:hAnsiTheme="minorHAnsi" w:cstheme="minorHAnsi"/>
          <w:b/>
          <w:sz w:val="22"/>
          <w:szCs w:val="22"/>
        </w:rPr>
        <w:fldChar w:fldCharType="end"/>
      </w:r>
      <w:r w:rsidRPr="003E7FCE">
        <w:rPr>
          <w:rFonts w:asciiTheme="minorHAnsi" w:hAnsiTheme="minorHAnsi" w:cstheme="minorHAnsi"/>
          <w:b/>
          <w:sz w:val="22"/>
          <w:szCs w:val="22"/>
        </w:rPr>
        <w:t xml:space="preserve"> Case Study from </w:t>
      </w:r>
      <w:r w:rsidR="00784080" w:rsidRPr="003E7FCE">
        <w:rPr>
          <w:rFonts w:asciiTheme="minorHAnsi" w:hAnsiTheme="minorHAnsi" w:cstheme="minorHAnsi"/>
          <w:b/>
          <w:sz w:val="22"/>
          <w:szCs w:val="22"/>
        </w:rPr>
        <w:t xml:space="preserve">Lifetime cost of homelessness: </w:t>
      </w:r>
      <w:r w:rsidRPr="003E7FCE">
        <w:rPr>
          <w:rFonts w:asciiTheme="minorHAnsi" w:hAnsiTheme="minorHAnsi" w:cstheme="minorHAnsi"/>
          <w:b/>
          <w:sz w:val="22"/>
          <w:szCs w:val="22"/>
        </w:rPr>
        <w:t>Peter</w:t>
      </w:r>
    </w:p>
    <w:p w14:paraId="0D4016F2" w14:textId="77777777" w:rsidR="00BA1504" w:rsidRPr="007630E0" w:rsidRDefault="00BA1504" w:rsidP="00BA1504">
      <w:pPr>
        <w:pStyle w:val="Caption"/>
        <w:rPr>
          <w:rFonts w:asciiTheme="minorHAnsi" w:hAnsiTheme="minorHAnsi" w:cstheme="minorHAnsi"/>
        </w:rPr>
      </w:pPr>
      <w:r w:rsidRPr="003701BF">
        <w:rPr>
          <w:rFonts w:asciiTheme="minorHAnsi" w:hAnsiTheme="minorHAnsi" w:cstheme="minorHAnsi"/>
          <w:noProof/>
          <w:lang w:eastAsia="en-AU"/>
        </w:rPr>
        <w:drawing>
          <wp:inline distT="0" distB="0" distL="0" distR="0" wp14:anchorId="189345B3" wp14:editId="42A73AF6">
            <wp:extent cx="5830933" cy="2075658"/>
            <wp:effectExtent l="0" t="0" r="11430" b="7620"/>
            <wp:docPr id="13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srcRect/>
                    <a:stretch>
                      <a:fillRect/>
                    </a:stretch>
                  </pic:blipFill>
                  <pic:spPr bwMode="auto">
                    <a:xfrm>
                      <a:off x="0" y="0"/>
                      <a:ext cx="6179993" cy="2199914"/>
                    </a:xfrm>
                    <a:prstGeom prst="rect">
                      <a:avLst/>
                    </a:prstGeom>
                    <a:noFill/>
                    <a:ln w="9525">
                      <a:noFill/>
                      <a:miter lim="800000"/>
                      <a:headEnd/>
                      <a:tailEnd/>
                    </a:ln>
                  </pic:spPr>
                </pic:pic>
              </a:graphicData>
            </a:graphic>
          </wp:inline>
        </w:drawing>
      </w:r>
    </w:p>
    <w:p w14:paraId="6EBD062C" w14:textId="77777777" w:rsidR="00BA1504" w:rsidRPr="007630E0" w:rsidRDefault="00BA1504" w:rsidP="00BA1504">
      <w:pPr>
        <w:pStyle w:val="ChapterNumberedList1"/>
        <w:numPr>
          <w:ilvl w:val="0"/>
          <w:numId w:val="0"/>
        </w:numPr>
        <w:rPr>
          <w:rFonts w:asciiTheme="minorHAnsi" w:hAnsiTheme="minorHAnsi" w:cstheme="minorHAnsi"/>
        </w:rPr>
      </w:pPr>
    </w:p>
    <w:p w14:paraId="64A2B207" w14:textId="77777777" w:rsidR="00BA1504" w:rsidRPr="00784080" w:rsidRDefault="00BA1504" w:rsidP="009E15FC">
      <w:pPr>
        <w:jc w:val="both"/>
        <w:rPr>
          <w:sz w:val="24"/>
          <w:szCs w:val="24"/>
        </w:rPr>
      </w:pPr>
      <w:r w:rsidRPr="00784080">
        <w:rPr>
          <w:rFonts w:cstheme="minorHAnsi"/>
          <w:sz w:val="24"/>
          <w:szCs w:val="24"/>
        </w:rPr>
        <w:t>The lifetime cost of no-action breaks even with the lifetime cost of the investment and around 52% of the average effectiveness of the ISP. The extra investment between ages 25 and 29 is small compared with the diminished costs and savings later.</w:t>
      </w:r>
    </w:p>
    <w:p w14:paraId="5094B40C" w14:textId="77777777" w:rsidR="00BA1504" w:rsidRDefault="00BA1504" w:rsidP="00BA1504">
      <w:pPr>
        <w:pStyle w:val="PwCNormal"/>
        <w:rPr>
          <w:color w:val="1F497D" w:themeColor="text2"/>
          <w:szCs w:val="21"/>
        </w:rPr>
      </w:pPr>
      <w:r>
        <w:rPr>
          <w:rFonts w:asciiTheme="minorHAnsi" w:hAnsiTheme="minorHAnsi" w:cstheme="minorHAnsi"/>
          <w:noProof/>
          <w:snapToGrid/>
          <w:lang w:eastAsia="en-AU"/>
        </w:rPr>
        <mc:AlternateContent>
          <mc:Choice Requires="wps">
            <w:drawing>
              <wp:anchor distT="0" distB="0" distL="114300" distR="114300" simplePos="0" relativeHeight="251661312" behindDoc="0" locked="0" layoutInCell="1" allowOverlap="1" wp14:anchorId="57EC1648" wp14:editId="171FBAA6">
                <wp:simplePos x="0" y="0"/>
                <wp:positionH relativeFrom="column">
                  <wp:posOffset>4508500</wp:posOffset>
                </wp:positionH>
                <wp:positionV relativeFrom="paragraph">
                  <wp:posOffset>210185</wp:posOffset>
                </wp:positionV>
                <wp:extent cx="1766570" cy="908685"/>
                <wp:effectExtent l="0" t="0" r="11430" b="5715"/>
                <wp:wrapSquare wrapText="bothSides"/>
                <wp:docPr id="12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908685"/>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0F91AB" w14:textId="77777777" w:rsidR="000D5B4B" w:rsidRPr="00084B39" w:rsidRDefault="000D5B4B" w:rsidP="00BA1504">
                            <w:pPr>
                              <w:jc w:val="right"/>
                              <w:rPr>
                                <w:rFonts w:cstheme="minorHAnsi"/>
                                <w:color w:val="FFFFFF" w:themeColor="background1"/>
                              </w:rPr>
                            </w:pPr>
                            <w:r w:rsidRPr="0076194C">
                              <w:rPr>
                                <w:rFonts w:cstheme="minorHAnsi"/>
                                <w:color w:val="FFFFFF" w:themeColor="background1"/>
                              </w:rPr>
                              <w:t>By age 40, the</w:t>
                            </w:r>
                            <w:r>
                              <w:rPr>
                                <w:rFonts w:cstheme="minorHAnsi"/>
                                <w:color w:val="FFFFFF" w:themeColor="background1"/>
                              </w:rPr>
                              <w:t xml:space="preserve"> benefit cost ratio is estimated to be</w:t>
                            </w:r>
                          </w:p>
                          <w:p w14:paraId="75543844" w14:textId="77777777" w:rsidR="000D5B4B" w:rsidRPr="00084B39" w:rsidRDefault="000D5B4B" w:rsidP="00BA1504">
                            <w:pPr>
                              <w:jc w:val="right"/>
                              <w:rPr>
                                <w:rFonts w:cstheme="minorHAnsi"/>
                                <w:b/>
                                <w:color w:val="FFFFFF" w:themeColor="background1"/>
                                <w:sz w:val="44"/>
                              </w:rPr>
                            </w:pPr>
                            <w:r>
                              <w:rPr>
                                <w:rFonts w:cstheme="minorHAnsi"/>
                                <w:b/>
                                <w:color w:val="FFFFFF" w:themeColor="background1"/>
                                <w:sz w:val="44"/>
                              </w:rP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C1648" id="Text Box 15" o:spid="_x0000_s1027" type="#_x0000_t202" style="position:absolute;left:0;text-align:left;margin-left:355pt;margin-top:16.55pt;width:139.1pt;height:7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" fillcolor="#1f497d [3215]" stroked="f">
                <v:textbox>
                  <w:txbxContent>
                    <w:p w14:paraId="490F91AB" w14:textId="77777777" w:rsidR="000D5B4B" w:rsidRPr="00084B39" w:rsidRDefault="000D5B4B" w:rsidP="00BA1504">
                      <w:pPr>
                        <w:jc w:val="right"/>
                        <w:rPr>
                          <w:rFonts w:cstheme="minorHAnsi"/>
                          <w:color w:val="FFFFFF" w:themeColor="background1"/>
                        </w:rPr>
                      </w:pPr>
                      <w:r w:rsidRPr="0076194C">
                        <w:rPr>
                          <w:rFonts w:cstheme="minorHAnsi"/>
                          <w:color w:val="FFFFFF" w:themeColor="background1"/>
                        </w:rPr>
                        <w:t>By age 40, the</w:t>
                      </w:r>
                      <w:r>
                        <w:rPr>
                          <w:rFonts w:cstheme="minorHAnsi"/>
                          <w:color w:val="FFFFFF" w:themeColor="background1"/>
                        </w:rPr>
                        <w:t xml:space="preserve"> benefit cost ratio is estimated to be</w:t>
                      </w:r>
                    </w:p>
                    <w:p w14:paraId="75543844" w14:textId="77777777" w:rsidR="000D5B4B" w:rsidRPr="00084B39" w:rsidRDefault="000D5B4B" w:rsidP="00BA1504">
                      <w:pPr>
                        <w:jc w:val="right"/>
                        <w:rPr>
                          <w:rFonts w:cstheme="minorHAnsi"/>
                          <w:b/>
                          <w:color w:val="FFFFFF" w:themeColor="background1"/>
                          <w:sz w:val="44"/>
                        </w:rPr>
                      </w:pPr>
                      <w:r>
                        <w:rPr>
                          <w:rFonts w:cstheme="minorHAnsi"/>
                          <w:b/>
                          <w:color w:val="FFFFFF" w:themeColor="background1"/>
                          <w:sz w:val="44"/>
                        </w:rPr>
                        <w:t>1.7</w:t>
                      </w:r>
                    </w:p>
                  </w:txbxContent>
                </v:textbox>
                <w10:wrap type="square"/>
              </v:shape>
            </w:pict>
          </mc:Fallback>
        </mc:AlternateContent>
      </w:r>
      <w:r>
        <w:br w:type="page"/>
      </w:r>
    </w:p>
    <w:p w14:paraId="73CC13B6" w14:textId="2A3C4F48" w:rsidR="00BA1504" w:rsidRPr="000772E3" w:rsidRDefault="000772E3" w:rsidP="009E15FC">
      <w:pPr>
        <w:pStyle w:val="Heading9"/>
        <w:spacing w:line="276" w:lineRule="auto"/>
        <w:rPr>
          <w:rFonts w:asciiTheme="minorHAnsi" w:hAnsiTheme="minorHAnsi" w:cstheme="minorHAnsi"/>
          <w:b/>
          <w:color w:val="auto"/>
          <w:sz w:val="28"/>
          <w:szCs w:val="28"/>
        </w:rPr>
      </w:pPr>
      <w:r w:rsidRPr="000772E3">
        <w:rPr>
          <w:rFonts w:asciiTheme="minorHAnsi" w:hAnsiTheme="minorHAnsi" w:cstheme="minorHAnsi"/>
          <w:b/>
          <w:noProof/>
          <w:snapToGrid/>
          <w:color w:val="auto"/>
          <w:sz w:val="28"/>
          <w:szCs w:val="28"/>
          <w:lang w:eastAsia="en-AU"/>
        </w:rPr>
        <w:lastRenderedPageBreak/>
        <mc:AlternateContent>
          <mc:Choice Requires="wps">
            <w:drawing>
              <wp:anchor distT="0" distB="0" distL="114300" distR="114300" simplePos="0" relativeHeight="251660288" behindDoc="0" locked="0" layoutInCell="1" allowOverlap="1" wp14:anchorId="37483AC3" wp14:editId="05E2E132">
                <wp:simplePos x="0" y="0"/>
                <wp:positionH relativeFrom="column">
                  <wp:posOffset>0</wp:posOffset>
                </wp:positionH>
                <wp:positionV relativeFrom="paragraph">
                  <wp:posOffset>-571500</wp:posOffset>
                </wp:positionV>
                <wp:extent cx="2171700" cy="1943100"/>
                <wp:effectExtent l="0" t="0" r="12700" b="12700"/>
                <wp:wrapSquare wrapText="bothSides"/>
                <wp:docPr id="1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943100"/>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BE4ED6" w14:textId="77777777" w:rsidR="000D5B4B" w:rsidRPr="00084B39" w:rsidRDefault="000D5B4B" w:rsidP="00BA1504">
                            <w:pPr>
                              <w:rPr>
                                <w:rFonts w:cstheme="minorHAnsi"/>
                                <w:color w:val="FFFFFF" w:themeColor="background1"/>
                              </w:rPr>
                            </w:pPr>
                            <w:r w:rsidRPr="0076194C">
                              <w:rPr>
                                <w:rFonts w:cstheme="minorHAnsi"/>
                                <w:color w:val="FFFFFF" w:themeColor="background1"/>
                              </w:rPr>
                              <w:t xml:space="preserve">Casey’s lifecourse institutional costs by age 20 are </w:t>
                            </w:r>
                          </w:p>
                          <w:p w14:paraId="7DE36D1C" w14:textId="77777777" w:rsidR="000D5B4B" w:rsidRPr="00084B39" w:rsidRDefault="000D5B4B" w:rsidP="00BA1504">
                            <w:pPr>
                              <w:rPr>
                                <w:rFonts w:cstheme="minorHAnsi"/>
                                <w:b/>
                                <w:color w:val="FFFFFF" w:themeColor="background1"/>
                                <w:sz w:val="38"/>
                                <w:szCs w:val="38"/>
                              </w:rPr>
                            </w:pPr>
                            <w:r w:rsidRPr="0076194C">
                              <w:rPr>
                                <w:rFonts w:cstheme="minorHAnsi"/>
                                <w:b/>
                                <w:color w:val="FFFFFF" w:themeColor="background1"/>
                                <w:sz w:val="38"/>
                                <w:szCs w:val="38"/>
                              </w:rPr>
                              <w:t>$5,</w:t>
                            </w:r>
                            <w:r>
                              <w:rPr>
                                <w:rFonts w:cstheme="minorHAnsi"/>
                                <w:b/>
                                <w:color w:val="FFFFFF" w:themeColor="background1"/>
                                <w:sz w:val="38"/>
                                <w:szCs w:val="38"/>
                              </w:rPr>
                              <w:t>968,867</w:t>
                            </w:r>
                          </w:p>
                          <w:p w14:paraId="18DDD7AA" w14:textId="77777777" w:rsidR="000D5B4B" w:rsidRPr="00084B39" w:rsidRDefault="000D5B4B" w:rsidP="00BA1504">
                            <w:pPr>
                              <w:spacing w:before="240"/>
                              <w:rPr>
                                <w:rFonts w:cstheme="minorHAnsi"/>
                                <w:color w:val="FFFFFF" w:themeColor="background1"/>
                              </w:rPr>
                            </w:pPr>
                            <w:r w:rsidRPr="0076194C">
                              <w:rPr>
                                <w:rFonts w:cstheme="minorHAnsi"/>
                                <w:color w:val="FFFFFF" w:themeColor="background1"/>
                              </w:rPr>
                              <w:t>This includes 356 police incidents, 604 days in custody and 270 days in hospital.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83AC3" id="_x0000_s1028" type="#_x0000_t202" style="position:absolute;margin-left:0;margin-top:-45pt;width:171pt;height: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" fillcolor="#1f497d [3215]" stroked="f">
                <v:textbox>
                  <w:txbxContent>
                    <w:p w14:paraId="76BE4ED6" w14:textId="77777777" w:rsidR="000D5B4B" w:rsidRPr="00084B39" w:rsidRDefault="000D5B4B" w:rsidP="00BA1504">
                      <w:pPr>
                        <w:rPr>
                          <w:rFonts w:cstheme="minorHAnsi"/>
                          <w:color w:val="FFFFFF" w:themeColor="background1"/>
                        </w:rPr>
                      </w:pPr>
                      <w:r w:rsidRPr="0076194C">
                        <w:rPr>
                          <w:rFonts w:cstheme="minorHAnsi"/>
                          <w:color w:val="FFFFFF" w:themeColor="background1"/>
                        </w:rPr>
                        <w:t xml:space="preserve">Casey’s lifecourse institutional costs by age 20 are </w:t>
                      </w:r>
                    </w:p>
                    <w:p w14:paraId="7DE36D1C" w14:textId="77777777" w:rsidR="000D5B4B" w:rsidRPr="00084B39" w:rsidRDefault="000D5B4B" w:rsidP="00BA1504">
                      <w:pPr>
                        <w:rPr>
                          <w:rFonts w:cstheme="minorHAnsi"/>
                          <w:b/>
                          <w:color w:val="FFFFFF" w:themeColor="background1"/>
                          <w:sz w:val="38"/>
                          <w:szCs w:val="38"/>
                        </w:rPr>
                      </w:pPr>
                      <w:r w:rsidRPr="0076194C">
                        <w:rPr>
                          <w:rFonts w:cstheme="minorHAnsi"/>
                          <w:b/>
                          <w:color w:val="FFFFFF" w:themeColor="background1"/>
                          <w:sz w:val="38"/>
                          <w:szCs w:val="38"/>
                        </w:rPr>
                        <w:t>$5,</w:t>
                      </w:r>
                      <w:r>
                        <w:rPr>
                          <w:rFonts w:cstheme="minorHAnsi"/>
                          <w:b/>
                          <w:color w:val="FFFFFF" w:themeColor="background1"/>
                          <w:sz w:val="38"/>
                          <w:szCs w:val="38"/>
                        </w:rPr>
                        <w:t>968,867</w:t>
                      </w:r>
                    </w:p>
                    <w:p w14:paraId="18DDD7AA" w14:textId="77777777" w:rsidR="000D5B4B" w:rsidRPr="00084B39" w:rsidRDefault="000D5B4B" w:rsidP="00BA1504">
                      <w:pPr>
                        <w:spacing w:before="240"/>
                        <w:rPr>
                          <w:rFonts w:cstheme="minorHAnsi"/>
                          <w:color w:val="FFFFFF" w:themeColor="background1"/>
                        </w:rPr>
                      </w:pPr>
                      <w:r w:rsidRPr="0076194C">
                        <w:rPr>
                          <w:rFonts w:cstheme="minorHAnsi"/>
                          <w:color w:val="FFFFFF" w:themeColor="background1"/>
                        </w:rPr>
                        <w:t>This includes 356 police incidents, 604 days in custody and 270 days in hospital.</w:t>
                      </w:r>
                    </w:p>
                  </w:txbxContent>
                </v:textbox>
                <w10:wrap type="square"/>
              </v:shape>
            </w:pict>
          </mc:Fallback>
        </mc:AlternateContent>
      </w:r>
      <w:r w:rsidR="00BA1504" w:rsidRPr="000772E3">
        <w:rPr>
          <w:rFonts w:asciiTheme="minorHAnsi" w:hAnsiTheme="minorHAnsi" w:cstheme="minorHAnsi"/>
          <w:b/>
          <w:color w:val="auto"/>
          <w:sz w:val="28"/>
          <w:szCs w:val="28"/>
        </w:rPr>
        <w:t>Case study 2: Casey</w:t>
      </w:r>
    </w:p>
    <w:p w14:paraId="771D27C6" w14:textId="4FBD3F90" w:rsidR="00BA1504" w:rsidRPr="009E15FC" w:rsidRDefault="00BA1504" w:rsidP="009E15FC">
      <w:pPr>
        <w:pStyle w:val="ChapterNumberedList1"/>
        <w:numPr>
          <w:ilvl w:val="0"/>
          <w:numId w:val="0"/>
        </w:numPr>
        <w:spacing w:line="276" w:lineRule="auto"/>
        <w:jc w:val="both"/>
        <w:rPr>
          <w:rFonts w:asciiTheme="minorHAnsi" w:hAnsiTheme="minorHAnsi" w:cstheme="minorHAnsi"/>
          <w:sz w:val="24"/>
          <w:szCs w:val="24"/>
        </w:rPr>
      </w:pPr>
      <w:r w:rsidRPr="009E15FC">
        <w:rPr>
          <w:rFonts w:asciiTheme="minorHAnsi" w:hAnsiTheme="minorHAnsi" w:cstheme="minorHAnsi"/>
          <w:sz w:val="24"/>
          <w:szCs w:val="24"/>
        </w:rPr>
        <w:t xml:space="preserve">Casey is an Aboriginal woman in her early 20s who has an intellectual disability and has been diagnosed with a range of mental and cognitive conditions and intellectual disability, including Attention Deficit Hyperactivity Disorder, conduct disorders, adjustment disorders, personality disorder and bipolar affective disorder. She has a long history of self-harm, physical abuse and trauma. </w:t>
      </w:r>
    </w:p>
    <w:p w14:paraId="248DB6A0" w14:textId="48A7A027" w:rsidR="009E15FC" w:rsidRPr="003E7FCE" w:rsidRDefault="00BA1504" w:rsidP="003E7FCE">
      <w:pPr>
        <w:pStyle w:val="ChapterNumberedList1"/>
        <w:numPr>
          <w:ilvl w:val="0"/>
          <w:numId w:val="0"/>
        </w:numPr>
        <w:spacing w:line="276" w:lineRule="auto"/>
        <w:jc w:val="both"/>
        <w:rPr>
          <w:rFonts w:asciiTheme="minorHAnsi" w:hAnsiTheme="minorHAnsi" w:cstheme="minorHAnsi"/>
          <w:sz w:val="24"/>
          <w:szCs w:val="24"/>
        </w:rPr>
      </w:pPr>
      <w:r w:rsidRPr="009E15FC">
        <w:rPr>
          <w:rFonts w:asciiTheme="minorHAnsi" w:hAnsiTheme="minorHAnsi" w:cstheme="minorHAnsi"/>
          <w:sz w:val="24"/>
          <w:szCs w:val="24"/>
        </w:rPr>
        <w:t>Casey’s intellectual disability and personality disorders are key factors precipitating her very high levels of institutional contact from a young age, particularly with police. The extreme costs of Casey’s contact with the criminal justice system are significantly reduced after she becomes a client of the NSW Ageing, Disability and Home Care Community Justice Program at the age of 18.</w:t>
      </w:r>
    </w:p>
    <w:p w14:paraId="7008F04A" w14:textId="77777777" w:rsidR="00BA1504" w:rsidRPr="003E7FCE" w:rsidRDefault="00BA1504" w:rsidP="00BA1504">
      <w:pPr>
        <w:pStyle w:val="Caption"/>
        <w:rPr>
          <w:rFonts w:asciiTheme="minorHAnsi" w:hAnsiTheme="minorHAnsi" w:cstheme="minorHAnsi"/>
          <w:color w:val="auto"/>
          <w:sz w:val="22"/>
          <w:szCs w:val="22"/>
        </w:rPr>
      </w:pPr>
      <w:r w:rsidRPr="003E7FCE">
        <w:rPr>
          <w:rFonts w:asciiTheme="minorHAnsi" w:hAnsiTheme="minorHAnsi" w:cstheme="minorHAnsi"/>
          <w:color w:val="auto"/>
          <w:sz w:val="22"/>
          <w:szCs w:val="22"/>
        </w:rPr>
        <w:t xml:space="preserve">Table </w:t>
      </w:r>
      <w:r w:rsidRPr="003E7FCE">
        <w:rPr>
          <w:rFonts w:asciiTheme="minorHAnsi" w:hAnsiTheme="minorHAnsi" w:cstheme="minorHAnsi"/>
          <w:color w:val="auto"/>
          <w:sz w:val="22"/>
          <w:szCs w:val="22"/>
        </w:rPr>
        <w:fldChar w:fldCharType="begin"/>
      </w:r>
      <w:r w:rsidRPr="003E7FCE">
        <w:rPr>
          <w:rFonts w:asciiTheme="minorHAnsi" w:hAnsiTheme="minorHAnsi" w:cstheme="minorHAnsi"/>
          <w:color w:val="auto"/>
          <w:sz w:val="22"/>
          <w:szCs w:val="22"/>
        </w:rPr>
        <w:instrText xml:space="preserve"> SEQ Table \* ARABIC </w:instrText>
      </w:r>
      <w:r w:rsidRPr="003E7FCE">
        <w:rPr>
          <w:rFonts w:asciiTheme="minorHAnsi" w:hAnsiTheme="minorHAnsi" w:cstheme="minorHAnsi"/>
          <w:color w:val="auto"/>
          <w:sz w:val="22"/>
          <w:szCs w:val="22"/>
        </w:rPr>
        <w:fldChar w:fldCharType="separate"/>
      </w:r>
      <w:r w:rsidRPr="003E7FCE">
        <w:rPr>
          <w:rFonts w:asciiTheme="minorHAnsi" w:hAnsiTheme="minorHAnsi" w:cstheme="minorHAnsi"/>
          <w:noProof/>
          <w:color w:val="auto"/>
          <w:sz w:val="22"/>
          <w:szCs w:val="22"/>
        </w:rPr>
        <w:t>2</w:t>
      </w:r>
      <w:r w:rsidRPr="003E7FCE">
        <w:rPr>
          <w:rFonts w:asciiTheme="minorHAnsi" w:hAnsiTheme="minorHAnsi" w:cstheme="minorHAnsi"/>
          <w:color w:val="auto"/>
          <w:sz w:val="22"/>
          <w:szCs w:val="22"/>
        </w:rPr>
        <w:fldChar w:fldCharType="end"/>
      </w:r>
      <w:r w:rsidRPr="003E7FCE">
        <w:rPr>
          <w:rFonts w:asciiTheme="minorHAnsi" w:hAnsiTheme="minorHAnsi" w:cstheme="minorHAnsi"/>
          <w:color w:val="auto"/>
          <w:sz w:val="22"/>
          <w:szCs w:val="22"/>
        </w:rPr>
        <w:t xml:space="preserve"> Selected agency costs over lifecourse: Casey</w:t>
      </w:r>
    </w:p>
    <w:tbl>
      <w:tblPr>
        <w:tblStyle w:val="TableGrid"/>
        <w:tblW w:w="0" w:type="auto"/>
        <w:tblLook w:val="04A0" w:firstRow="1" w:lastRow="0" w:firstColumn="1" w:lastColumn="0" w:noHBand="0" w:noVBand="1"/>
      </w:tblPr>
      <w:tblGrid>
        <w:gridCol w:w="1924"/>
        <w:gridCol w:w="1925"/>
        <w:gridCol w:w="1927"/>
        <w:gridCol w:w="1926"/>
        <w:gridCol w:w="1926"/>
      </w:tblGrid>
      <w:tr w:rsidR="00BA1504" w:rsidRPr="009E15FC" w14:paraId="606D7508" w14:textId="77777777" w:rsidTr="009E15FC">
        <w:trPr>
          <w:trHeight w:hRule="exact" w:val="1041"/>
        </w:trPr>
        <w:tc>
          <w:tcPr>
            <w:tcW w:w="1929" w:type="dxa"/>
          </w:tcPr>
          <w:p w14:paraId="21F748F6" w14:textId="77777777" w:rsidR="00BA1504" w:rsidRPr="009E15FC" w:rsidRDefault="00BA1504" w:rsidP="00A07700">
            <w:pPr>
              <w:pStyle w:val="PwCNormal"/>
              <w:numPr>
                <w:ilvl w:val="0"/>
                <w:numId w:val="0"/>
              </w:numPr>
              <w:spacing w:before="60" w:after="60" w:line="720" w:lineRule="atLeast"/>
              <w:outlineLvl w:val="0"/>
              <w:rPr>
                <w:rFonts w:asciiTheme="minorHAnsi" w:hAnsiTheme="minorHAnsi" w:cstheme="minorHAnsi"/>
                <w:snapToGrid/>
                <w:sz w:val="22"/>
                <w:szCs w:val="22"/>
              </w:rPr>
            </w:pPr>
          </w:p>
        </w:tc>
        <w:tc>
          <w:tcPr>
            <w:tcW w:w="1929" w:type="dxa"/>
          </w:tcPr>
          <w:p w14:paraId="26B6C56F" w14:textId="77777777" w:rsidR="00BA1504" w:rsidRPr="009E15FC" w:rsidRDefault="00BA1504" w:rsidP="00A07700">
            <w:pPr>
              <w:pStyle w:val="PwCNormal"/>
              <w:numPr>
                <w:ilvl w:val="0"/>
                <w:numId w:val="0"/>
              </w:numPr>
              <w:spacing w:before="60" w:after="60"/>
              <w:jc w:val="center"/>
              <w:rPr>
                <w:rFonts w:asciiTheme="minorHAnsi" w:hAnsiTheme="minorHAnsi" w:cstheme="minorHAnsi"/>
                <w:sz w:val="22"/>
                <w:szCs w:val="22"/>
              </w:rPr>
            </w:pPr>
            <w:r w:rsidRPr="009E15FC">
              <w:rPr>
                <w:rFonts w:asciiTheme="minorHAnsi" w:hAnsiTheme="minorHAnsi" w:cstheme="minorHAnsi"/>
                <w:b/>
                <w:bCs/>
                <w:color w:val="000000"/>
                <w:sz w:val="22"/>
                <w:szCs w:val="22"/>
              </w:rPr>
              <w:t>10 to 15</w:t>
            </w:r>
          </w:p>
        </w:tc>
        <w:tc>
          <w:tcPr>
            <w:tcW w:w="1930" w:type="dxa"/>
          </w:tcPr>
          <w:p w14:paraId="4CC0F26A" w14:textId="77777777" w:rsidR="00BA1504" w:rsidRPr="009E15FC" w:rsidRDefault="00BA1504" w:rsidP="00A07700">
            <w:pPr>
              <w:pStyle w:val="PwCNormal"/>
              <w:numPr>
                <w:ilvl w:val="0"/>
                <w:numId w:val="0"/>
              </w:numPr>
              <w:spacing w:before="60" w:after="60"/>
              <w:jc w:val="center"/>
              <w:rPr>
                <w:rFonts w:asciiTheme="minorHAnsi" w:hAnsiTheme="minorHAnsi" w:cstheme="minorHAnsi"/>
                <w:sz w:val="22"/>
                <w:szCs w:val="22"/>
              </w:rPr>
            </w:pPr>
            <w:r w:rsidRPr="009E15FC">
              <w:rPr>
                <w:rFonts w:asciiTheme="minorHAnsi" w:hAnsiTheme="minorHAnsi" w:cstheme="minorHAnsi"/>
                <w:b/>
                <w:bCs/>
                <w:color w:val="000000"/>
                <w:sz w:val="22"/>
                <w:szCs w:val="22"/>
              </w:rPr>
              <w:t>16 to 18</w:t>
            </w:r>
          </w:p>
        </w:tc>
        <w:tc>
          <w:tcPr>
            <w:tcW w:w="1929" w:type="dxa"/>
          </w:tcPr>
          <w:p w14:paraId="2120A41A" w14:textId="77777777" w:rsidR="00BA1504" w:rsidRPr="009E15FC" w:rsidRDefault="00BA1504" w:rsidP="00A07700">
            <w:pPr>
              <w:pStyle w:val="PwCNormal"/>
              <w:numPr>
                <w:ilvl w:val="0"/>
                <w:numId w:val="0"/>
              </w:numPr>
              <w:spacing w:before="60" w:after="60"/>
              <w:jc w:val="center"/>
              <w:rPr>
                <w:rFonts w:asciiTheme="minorHAnsi" w:hAnsiTheme="minorHAnsi" w:cstheme="minorHAnsi"/>
                <w:sz w:val="22"/>
                <w:szCs w:val="22"/>
              </w:rPr>
            </w:pPr>
            <w:r w:rsidRPr="009E15FC">
              <w:rPr>
                <w:rFonts w:asciiTheme="minorHAnsi" w:hAnsiTheme="minorHAnsi" w:cstheme="minorHAnsi"/>
                <w:b/>
                <w:bCs/>
                <w:color w:val="000000"/>
                <w:sz w:val="22"/>
                <w:szCs w:val="22"/>
              </w:rPr>
              <w:t>19 to 21</w:t>
            </w:r>
          </w:p>
        </w:tc>
        <w:tc>
          <w:tcPr>
            <w:tcW w:w="1930" w:type="dxa"/>
          </w:tcPr>
          <w:p w14:paraId="7C4439E1" w14:textId="77777777" w:rsidR="00BA1504" w:rsidRPr="009E15FC" w:rsidRDefault="00BA1504" w:rsidP="00A07700">
            <w:pPr>
              <w:pStyle w:val="PwCNormal"/>
              <w:numPr>
                <w:ilvl w:val="0"/>
                <w:numId w:val="0"/>
              </w:numPr>
              <w:spacing w:before="60" w:after="60"/>
              <w:jc w:val="center"/>
              <w:rPr>
                <w:rFonts w:asciiTheme="minorHAnsi" w:hAnsiTheme="minorHAnsi" w:cstheme="minorHAnsi"/>
                <w:sz w:val="22"/>
                <w:szCs w:val="22"/>
              </w:rPr>
            </w:pPr>
            <w:r w:rsidRPr="009E15FC">
              <w:rPr>
                <w:rFonts w:asciiTheme="minorHAnsi" w:hAnsiTheme="minorHAnsi" w:cstheme="minorHAnsi"/>
                <w:b/>
                <w:bCs/>
                <w:color w:val="000000"/>
                <w:sz w:val="22"/>
                <w:szCs w:val="22"/>
              </w:rPr>
              <w:t>Total Cost</w:t>
            </w:r>
          </w:p>
        </w:tc>
      </w:tr>
      <w:tr w:rsidR="00BA1504" w:rsidRPr="009E15FC" w14:paraId="5962CF5E" w14:textId="77777777" w:rsidTr="009E15FC">
        <w:trPr>
          <w:trHeight w:val="679"/>
        </w:trPr>
        <w:tc>
          <w:tcPr>
            <w:tcW w:w="1929" w:type="dxa"/>
          </w:tcPr>
          <w:p w14:paraId="622F9D54" w14:textId="77777777" w:rsidR="00BA1504" w:rsidRPr="009E15FC" w:rsidRDefault="00BA1504" w:rsidP="00A07700">
            <w:pPr>
              <w:pStyle w:val="PwCNormal"/>
              <w:numPr>
                <w:ilvl w:val="0"/>
                <w:numId w:val="0"/>
              </w:numPr>
              <w:spacing w:before="60" w:after="60"/>
              <w:jc w:val="center"/>
              <w:rPr>
                <w:rFonts w:asciiTheme="minorHAnsi" w:hAnsiTheme="minorHAnsi" w:cstheme="minorHAnsi"/>
                <w:b/>
                <w:bCs/>
                <w:color w:val="000000"/>
                <w:sz w:val="22"/>
                <w:szCs w:val="22"/>
              </w:rPr>
            </w:pPr>
            <w:r w:rsidRPr="009E15FC">
              <w:rPr>
                <w:rFonts w:asciiTheme="minorHAnsi" w:hAnsiTheme="minorHAnsi" w:cstheme="minorHAnsi"/>
                <w:b/>
                <w:bCs/>
                <w:color w:val="000000"/>
                <w:sz w:val="22"/>
                <w:szCs w:val="22"/>
              </w:rPr>
              <w:t>Police</w:t>
            </w:r>
          </w:p>
        </w:tc>
        <w:tc>
          <w:tcPr>
            <w:tcW w:w="1929" w:type="dxa"/>
          </w:tcPr>
          <w:p w14:paraId="57B38F28" w14:textId="77777777" w:rsidR="00BA1504" w:rsidRPr="009E15FC" w:rsidRDefault="00BA1504" w:rsidP="00A07700">
            <w:pPr>
              <w:pStyle w:val="PwCNormal"/>
              <w:numPr>
                <w:ilvl w:val="0"/>
                <w:numId w:val="0"/>
              </w:numPr>
              <w:spacing w:before="60" w:after="60"/>
              <w:jc w:val="center"/>
              <w:rPr>
                <w:rFonts w:asciiTheme="minorHAnsi" w:hAnsiTheme="minorHAnsi" w:cstheme="minorHAnsi"/>
                <w:sz w:val="22"/>
                <w:szCs w:val="22"/>
              </w:rPr>
            </w:pPr>
            <w:r w:rsidRPr="009E15FC">
              <w:rPr>
                <w:rFonts w:asciiTheme="minorHAnsi" w:hAnsiTheme="minorHAnsi" w:cstheme="minorHAnsi"/>
                <w:sz w:val="22"/>
                <w:szCs w:val="22"/>
              </w:rPr>
              <w:t>$303,239.46</w:t>
            </w:r>
          </w:p>
        </w:tc>
        <w:tc>
          <w:tcPr>
            <w:tcW w:w="1930" w:type="dxa"/>
          </w:tcPr>
          <w:p w14:paraId="1E87E419" w14:textId="77777777" w:rsidR="00BA1504" w:rsidRPr="009E15FC" w:rsidRDefault="00BA1504" w:rsidP="00A07700">
            <w:pPr>
              <w:pStyle w:val="PwCNormal"/>
              <w:numPr>
                <w:ilvl w:val="0"/>
                <w:numId w:val="0"/>
              </w:numPr>
              <w:spacing w:before="60" w:after="60"/>
              <w:jc w:val="center"/>
              <w:rPr>
                <w:rFonts w:asciiTheme="minorHAnsi" w:hAnsiTheme="minorHAnsi" w:cstheme="minorHAnsi"/>
                <w:sz w:val="22"/>
                <w:szCs w:val="22"/>
              </w:rPr>
            </w:pPr>
            <w:r w:rsidRPr="009E15FC">
              <w:rPr>
                <w:rFonts w:asciiTheme="minorHAnsi" w:hAnsiTheme="minorHAnsi" w:cstheme="minorHAnsi"/>
                <w:sz w:val="22"/>
                <w:szCs w:val="22"/>
              </w:rPr>
              <w:t>$318,870.36</w:t>
            </w:r>
          </w:p>
        </w:tc>
        <w:tc>
          <w:tcPr>
            <w:tcW w:w="1929" w:type="dxa"/>
          </w:tcPr>
          <w:p w14:paraId="5E466281" w14:textId="77777777" w:rsidR="00BA1504" w:rsidRPr="009E15FC" w:rsidRDefault="00BA1504" w:rsidP="00A07700">
            <w:pPr>
              <w:pStyle w:val="PwCNormal"/>
              <w:numPr>
                <w:ilvl w:val="0"/>
                <w:numId w:val="0"/>
              </w:numPr>
              <w:spacing w:before="60" w:after="60"/>
              <w:jc w:val="center"/>
              <w:rPr>
                <w:rFonts w:asciiTheme="minorHAnsi" w:hAnsiTheme="minorHAnsi" w:cstheme="minorHAnsi"/>
                <w:sz w:val="22"/>
                <w:szCs w:val="22"/>
              </w:rPr>
            </w:pPr>
          </w:p>
        </w:tc>
        <w:tc>
          <w:tcPr>
            <w:tcW w:w="1930" w:type="dxa"/>
          </w:tcPr>
          <w:p w14:paraId="4D3DDD62" w14:textId="77777777" w:rsidR="00BA1504" w:rsidRPr="009E15FC" w:rsidRDefault="00BA1504" w:rsidP="00A07700">
            <w:pPr>
              <w:pStyle w:val="PwCNormal"/>
              <w:numPr>
                <w:ilvl w:val="0"/>
                <w:numId w:val="0"/>
              </w:numPr>
              <w:spacing w:before="60" w:after="60"/>
              <w:jc w:val="center"/>
              <w:rPr>
                <w:rFonts w:asciiTheme="minorHAnsi" w:hAnsiTheme="minorHAnsi" w:cstheme="minorHAnsi"/>
                <w:sz w:val="22"/>
                <w:szCs w:val="22"/>
              </w:rPr>
            </w:pPr>
            <w:r w:rsidRPr="009E15FC">
              <w:rPr>
                <w:rFonts w:asciiTheme="minorHAnsi" w:hAnsiTheme="minorHAnsi" w:cstheme="minorHAnsi"/>
                <w:sz w:val="22"/>
                <w:szCs w:val="22"/>
              </w:rPr>
              <w:t>$609,476</w:t>
            </w:r>
          </w:p>
        </w:tc>
      </w:tr>
      <w:tr w:rsidR="00BA1504" w:rsidRPr="009E15FC" w14:paraId="5BD7AA8F" w14:textId="77777777" w:rsidTr="009E15FC">
        <w:trPr>
          <w:trHeight w:val="690"/>
        </w:trPr>
        <w:tc>
          <w:tcPr>
            <w:tcW w:w="1929" w:type="dxa"/>
          </w:tcPr>
          <w:p w14:paraId="3EBA3006" w14:textId="77777777" w:rsidR="00BA1504" w:rsidRPr="009E15FC" w:rsidRDefault="00BA1504" w:rsidP="00A07700">
            <w:pPr>
              <w:pStyle w:val="PwCNormal"/>
              <w:numPr>
                <w:ilvl w:val="0"/>
                <w:numId w:val="0"/>
              </w:numPr>
              <w:spacing w:before="60" w:after="60"/>
              <w:jc w:val="center"/>
              <w:rPr>
                <w:rFonts w:asciiTheme="minorHAnsi" w:hAnsiTheme="minorHAnsi" w:cstheme="minorHAnsi"/>
                <w:b/>
                <w:bCs/>
                <w:color w:val="000000"/>
                <w:sz w:val="22"/>
                <w:szCs w:val="22"/>
              </w:rPr>
            </w:pPr>
            <w:r w:rsidRPr="009E15FC">
              <w:rPr>
                <w:rFonts w:asciiTheme="minorHAnsi" w:hAnsiTheme="minorHAnsi" w:cstheme="minorHAnsi"/>
                <w:b/>
                <w:bCs/>
                <w:color w:val="000000"/>
                <w:sz w:val="22"/>
                <w:szCs w:val="22"/>
              </w:rPr>
              <w:t>Juvenile Justice</w:t>
            </w:r>
          </w:p>
        </w:tc>
        <w:tc>
          <w:tcPr>
            <w:tcW w:w="1929" w:type="dxa"/>
          </w:tcPr>
          <w:p w14:paraId="07D13F15" w14:textId="77777777" w:rsidR="00BA1504" w:rsidRPr="009E15FC" w:rsidRDefault="00BA1504" w:rsidP="00A07700">
            <w:pPr>
              <w:pStyle w:val="PwCNormal"/>
              <w:numPr>
                <w:ilvl w:val="0"/>
                <w:numId w:val="0"/>
              </w:numPr>
              <w:spacing w:before="60" w:after="60"/>
              <w:jc w:val="center"/>
              <w:rPr>
                <w:rFonts w:asciiTheme="minorHAnsi" w:hAnsiTheme="minorHAnsi" w:cstheme="minorHAnsi"/>
                <w:sz w:val="22"/>
                <w:szCs w:val="22"/>
              </w:rPr>
            </w:pPr>
            <w:r w:rsidRPr="009E15FC">
              <w:rPr>
                <w:rFonts w:asciiTheme="minorHAnsi" w:hAnsiTheme="minorHAnsi" w:cstheme="minorHAnsi"/>
                <w:sz w:val="22"/>
                <w:szCs w:val="22"/>
              </w:rPr>
              <w:t>$215,571.40</w:t>
            </w:r>
          </w:p>
        </w:tc>
        <w:tc>
          <w:tcPr>
            <w:tcW w:w="1930" w:type="dxa"/>
          </w:tcPr>
          <w:p w14:paraId="016DC77F" w14:textId="77777777" w:rsidR="00BA1504" w:rsidRPr="009E15FC" w:rsidRDefault="00BA1504" w:rsidP="00A07700">
            <w:pPr>
              <w:pStyle w:val="PwCNormal"/>
              <w:numPr>
                <w:ilvl w:val="0"/>
                <w:numId w:val="0"/>
              </w:numPr>
              <w:spacing w:before="60" w:after="60"/>
              <w:jc w:val="center"/>
              <w:rPr>
                <w:rFonts w:asciiTheme="minorHAnsi" w:hAnsiTheme="minorHAnsi" w:cstheme="minorHAnsi"/>
                <w:sz w:val="22"/>
                <w:szCs w:val="22"/>
              </w:rPr>
            </w:pPr>
            <w:r w:rsidRPr="009E15FC">
              <w:rPr>
                <w:rFonts w:asciiTheme="minorHAnsi" w:hAnsiTheme="minorHAnsi" w:cstheme="minorHAnsi"/>
                <w:sz w:val="22"/>
                <w:szCs w:val="22"/>
              </w:rPr>
              <w:t>$262,486.08</w:t>
            </w:r>
          </w:p>
        </w:tc>
        <w:tc>
          <w:tcPr>
            <w:tcW w:w="1929" w:type="dxa"/>
          </w:tcPr>
          <w:p w14:paraId="6B8B15D2" w14:textId="77777777" w:rsidR="00BA1504" w:rsidRPr="009E15FC" w:rsidRDefault="00BA1504" w:rsidP="00A07700">
            <w:pPr>
              <w:pStyle w:val="PwCNormal"/>
              <w:numPr>
                <w:ilvl w:val="0"/>
                <w:numId w:val="0"/>
              </w:numPr>
              <w:spacing w:before="60" w:after="60"/>
              <w:jc w:val="center"/>
              <w:rPr>
                <w:rFonts w:asciiTheme="minorHAnsi" w:hAnsiTheme="minorHAnsi" w:cstheme="minorHAnsi"/>
                <w:sz w:val="22"/>
                <w:szCs w:val="22"/>
              </w:rPr>
            </w:pPr>
          </w:p>
        </w:tc>
        <w:tc>
          <w:tcPr>
            <w:tcW w:w="1930" w:type="dxa"/>
          </w:tcPr>
          <w:p w14:paraId="51D10C74" w14:textId="77777777" w:rsidR="00BA1504" w:rsidRPr="009E15FC" w:rsidRDefault="00BA1504" w:rsidP="00A07700">
            <w:pPr>
              <w:pStyle w:val="PwCNormal"/>
              <w:numPr>
                <w:ilvl w:val="0"/>
                <w:numId w:val="0"/>
              </w:numPr>
              <w:spacing w:before="60" w:after="60"/>
              <w:jc w:val="center"/>
              <w:rPr>
                <w:rFonts w:asciiTheme="minorHAnsi" w:hAnsiTheme="minorHAnsi" w:cstheme="minorHAnsi"/>
                <w:sz w:val="22"/>
                <w:szCs w:val="22"/>
              </w:rPr>
            </w:pPr>
            <w:r w:rsidRPr="009E15FC">
              <w:rPr>
                <w:rFonts w:asciiTheme="minorHAnsi" w:hAnsiTheme="minorHAnsi" w:cstheme="minorHAnsi"/>
                <w:sz w:val="22"/>
                <w:szCs w:val="22"/>
              </w:rPr>
              <w:t>$523,599</w:t>
            </w:r>
          </w:p>
        </w:tc>
      </w:tr>
      <w:tr w:rsidR="00BA1504" w:rsidRPr="009E15FC" w14:paraId="082A4645" w14:textId="77777777" w:rsidTr="009E15FC">
        <w:trPr>
          <w:trHeight w:val="679"/>
        </w:trPr>
        <w:tc>
          <w:tcPr>
            <w:tcW w:w="1929" w:type="dxa"/>
          </w:tcPr>
          <w:p w14:paraId="7BB729C8" w14:textId="77777777" w:rsidR="00BA1504" w:rsidRPr="009E15FC" w:rsidRDefault="00BA1504" w:rsidP="00A07700">
            <w:pPr>
              <w:pStyle w:val="PwCNormal"/>
              <w:numPr>
                <w:ilvl w:val="0"/>
                <w:numId w:val="0"/>
              </w:numPr>
              <w:spacing w:before="60" w:after="60"/>
              <w:jc w:val="center"/>
              <w:rPr>
                <w:rFonts w:asciiTheme="minorHAnsi" w:hAnsiTheme="minorHAnsi" w:cstheme="minorHAnsi"/>
                <w:sz w:val="22"/>
                <w:szCs w:val="22"/>
              </w:rPr>
            </w:pPr>
            <w:r w:rsidRPr="009E15FC">
              <w:rPr>
                <w:rFonts w:asciiTheme="minorHAnsi" w:hAnsiTheme="minorHAnsi" w:cstheme="minorHAnsi"/>
                <w:b/>
                <w:bCs/>
                <w:color w:val="000000"/>
                <w:sz w:val="22"/>
                <w:szCs w:val="22"/>
              </w:rPr>
              <w:t>Health</w:t>
            </w:r>
          </w:p>
        </w:tc>
        <w:tc>
          <w:tcPr>
            <w:tcW w:w="1929" w:type="dxa"/>
          </w:tcPr>
          <w:p w14:paraId="3CCAC4D5" w14:textId="77777777" w:rsidR="00BA1504" w:rsidRPr="009E15FC" w:rsidRDefault="00BA1504" w:rsidP="00A07700">
            <w:pPr>
              <w:pStyle w:val="PwCNormal"/>
              <w:numPr>
                <w:ilvl w:val="0"/>
                <w:numId w:val="0"/>
              </w:numPr>
              <w:spacing w:before="60" w:after="60"/>
              <w:jc w:val="center"/>
              <w:rPr>
                <w:rFonts w:asciiTheme="minorHAnsi" w:hAnsiTheme="minorHAnsi" w:cstheme="minorHAnsi"/>
                <w:sz w:val="22"/>
                <w:szCs w:val="22"/>
              </w:rPr>
            </w:pPr>
            <w:r w:rsidRPr="009E15FC">
              <w:rPr>
                <w:rFonts w:asciiTheme="minorHAnsi" w:hAnsiTheme="minorHAnsi" w:cstheme="minorHAnsi"/>
                <w:sz w:val="22"/>
                <w:szCs w:val="22"/>
              </w:rPr>
              <w:t>$111,631.67</w:t>
            </w:r>
          </w:p>
        </w:tc>
        <w:tc>
          <w:tcPr>
            <w:tcW w:w="1930" w:type="dxa"/>
          </w:tcPr>
          <w:p w14:paraId="49EDFDDD" w14:textId="77777777" w:rsidR="00BA1504" w:rsidRPr="009E15FC" w:rsidRDefault="00BA1504" w:rsidP="00A07700">
            <w:pPr>
              <w:pStyle w:val="PwCNormal"/>
              <w:numPr>
                <w:ilvl w:val="0"/>
                <w:numId w:val="0"/>
              </w:numPr>
              <w:spacing w:before="60" w:after="60"/>
              <w:jc w:val="center"/>
              <w:rPr>
                <w:rFonts w:asciiTheme="minorHAnsi" w:hAnsiTheme="minorHAnsi" w:cstheme="minorHAnsi"/>
                <w:sz w:val="22"/>
                <w:szCs w:val="22"/>
              </w:rPr>
            </w:pPr>
            <w:r w:rsidRPr="009E15FC">
              <w:rPr>
                <w:rFonts w:asciiTheme="minorHAnsi" w:hAnsiTheme="minorHAnsi" w:cstheme="minorHAnsi"/>
                <w:sz w:val="22"/>
                <w:szCs w:val="22"/>
              </w:rPr>
              <w:t>$174,290.01</w:t>
            </w:r>
          </w:p>
        </w:tc>
        <w:tc>
          <w:tcPr>
            <w:tcW w:w="1929" w:type="dxa"/>
          </w:tcPr>
          <w:p w14:paraId="4A30E2FF" w14:textId="77777777" w:rsidR="00BA1504" w:rsidRPr="009E15FC" w:rsidRDefault="00BA1504" w:rsidP="00A07700">
            <w:pPr>
              <w:pStyle w:val="PwCNormal"/>
              <w:numPr>
                <w:ilvl w:val="0"/>
                <w:numId w:val="0"/>
              </w:numPr>
              <w:spacing w:before="60" w:after="60"/>
              <w:jc w:val="center"/>
              <w:rPr>
                <w:rFonts w:asciiTheme="minorHAnsi" w:hAnsiTheme="minorHAnsi" w:cstheme="minorHAnsi"/>
                <w:sz w:val="22"/>
                <w:szCs w:val="22"/>
              </w:rPr>
            </w:pPr>
          </w:p>
        </w:tc>
        <w:tc>
          <w:tcPr>
            <w:tcW w:w="1930" w:type="dxa"/>
          </w:tcPr>
          <w:p w14:paraId="50813710" w14:textId="77777777" w:rsidR="00BA1504" w:rsidRPr="009E15FC" w:rsidRDefault="00BA1504" w:rsidP="00A07700">
            <w:pPr>
              <w:pStyle w:val="PwCNormal"/>
              <w:numPr>
                <w:ilvl w:val="0"/>
                <w:numId w:val="0"/>
              </w:numPr>
              <w:spacing w:before="60" w:after="60"/>
              <w:jc w:val="center"/>
              <w:rPr>
                <w:rFonts w:asciiTheme="minorHAnsi" w:hAnsiTheme="minorHAnsi" w:cstheme="minorHAnsi"/>
                <w:sz w:val="22"/>
                <w:szCs w:val="22"/>
              </w:rPr>
            </w:pPr>
            <w:r w:rsidRPr="009E15FC">
              <w:rPr>
                <w:rFonts w:asciiTheme="minorHAnsi" w:hAnsiTheme="minorHAnsi" w:cstheme="minorHAnsi"/>
                <w:sz w:val="22"/>
                <w:szCs w:val="22"/>
              </w:rPr>
              <w:t>$313,162</w:t>
            </w:r>
          </w:p>
        </w:tc>
      </w:tr>
      <w:tr w:rsidR="00BA1504" w:rsidRPr="009E15FC" w14:paraId="59EDCA7E" w14:textId="77777777" w:rsidTr="009E15FC">
        <w:trPr>
          <w:trHeight w:val="679"/>
        </w:trPr>
        <w:tc>
          <w:tcPr>
            <w:tcW w:w="1929" w:type="dxa"/>
          </w:tcPr>
          <w:p w14:paraId="58D6764B" w14:textId="77777777" w:rsidR="00BA1504" w:rsidRPr="009E15FC" w:rsidRDefault="00BA1504" w:rsidP="00A07700">
            <w:pPr>
              <w:pStyle w:val="PwCNormal"/>
              <w:numPr>
                <w:ilvl w:val="0"/>
                <w:numId w:val="0"/>
              </w:numPr>
              <w:spacing w:before="60" w:after="60"/>
              <w:jc w:val="center"/>
              <w:rPr>
                <w:rFonts w:asciiTheme="minorHAnsi" w:hAnsiTheme="minorHAnsi" w:cstheme="minorHAnsi"/>
                <w:b/>
                <w:bCs/>
                <w:color w:val="000000"/>
                <w:sz w:val="22"/>
                <w:szCs w:val="22"/>
              </w:rPr>
            </w:pPr>
            <w:r w:rsidRPr="009E15FC">
              <w:rPr>
                <w:rFonts w:asciiTheme="minorHAnsi" w:hAnsiTheme="minorHAnsi" w:cstheme="minorHAnsi"/>
                <w:b/>
                <w:bCs/>
                <w:color w:val="000000"/>
                <w:sz w:val="22"/>
                <w:szCs w:val="22"/>
              </w:rPr>
              <w:t>Other agencies</w:t>
            </w:r>
          </w:p>
        </w:tc>
        <w:tc>
          <w:tcPr>
            <w:tcW w:w="1929" w:type="dxa"/>
          </w:tcPr>
          <w:p w14:paraId="3685020C" w14:textId="77777777" w:rsidR="00BA1504" w:rsidRPr="009E15FC" w:rsidRDefault="00BA1504" w:rsidP="00A07700">
            <w:pPr>
              <w:pStyle w:val="PwCNormal"/>
              <w:numPr>
                <w:ilvl w:val="0"/>
                <w:numId w:val="0"/>
              </w:numPr>
              <w:spacing w:before="60" w:after="60"/>
              <w:jc w:val="center"/>
              <w:rPr>
                <w:rFonts w:asciiTheme="minorHAnsi" w:hAnsiTheme="minorHAnsi" w:cstheme="minorHAnsi"/>
                <w:sz w:val="22"/>
                <w:szCs w:val="22"/>
              </w:rPr>
            </w:pPr>
            <w:r w:rsidRPr="009E15FC">
              <w:rPr>
                <w:rFonts w:asciiTheme="minorHAnsi" w:hAnsiTheme="minorHAnsi" w:cstheme="minorHAnsi"/>
                <w:sz w:val="22"/>
                <w:szCs w:val="22"/>
              </w:rPr>
              <w:t>$147,156.07</w:t>
            </w:r>
          </w:p>
        </w:tc>
        <w:tc>
          <w:tcPr>
            <w:tcW w:w="1930" w:type="dxa"/>
          </w:tcPr>
          <w:p w14:paraId="27AC684B" w14:textId="77777777" w:rsidR="00BA1504" w:rsidRPr="009E15FC" w:rsidRDefault="00BA1504" w:rsidP="00A07700">
            <w:pPr>
              <w:pStyle w:val="PwCNormal"/>
              <w:numPr>
                <w:ilvl w:val="0"/>
                <w:numId w:val="0"/>
              </w:numPr>
              <w:spacing w:before="60" w:after="60"/>
              <w:jc w:val="center"/>
              <w:rPr>
                <w:rFonts w:asciiTheme="minorHAnsi" w:hAnsiTheme="minorHAnsi" w:cstheme="minorHAnsi"/>
                <w:sz w:val="22"/>
                <w:szCs w:val="22"/>
              </w:rPr>
            </w:pPr>
            <w:r w:rsidRPr="009E15FC">
              <w:rPr>
                <w:rFonts w:asciiTheme="minorHAnsi" w:hAnsiTheme="minorHAnsi" w:cstheme="minorHAnsi"/>
                <w:sz w:val="22"/>
                <w:szCs w:val="22"/>
              </w:rPr>
              <w:t>$978,976.80</w:t>
            </w:r>
          </w:p>
        </w:tc>
        <w:tc>
          <w:tcPr>
            <w:tcW w:w="1929" w:type="dxa"/>
          </w:tcPr>
          <w:p w14:paraId="1C29C83C" w14:textId="77777777" w:rsidR="00BA1504" w:rsidRPr="009E15FC" w:rsidRDefault="00BA1504" w:rsidP="00A07700">
            <w:pPr>
              <w:pStyle w:val="PwCNormal"/>
              <w:numPr>
                <w:ilvl w:val="0"/>
                <w:numId w:val="0"/>
              </w:numPr>
              <w:spacing w:before="60" w:after="60"/>
              <w:jc w:val="center"/>
              <w:rPr>
                <w:rFonts w:asciiTheme="minorHAnsi" w:hAnsiTheme="minorHAnsi" w:cstheme="minorHAnsi"/>
                <w:sz w:val="22"/>
                <w:szCs w:val="22"/>
              </w:rPr>
            </w:pPr>
            <w:r w:rsidRPr="009E15FC">
              <w:rPr>
                <w:rFonts w:asciiTheme="minorHAnsi" w:hAnsiTheme="minorHAnsi" w:cstheme="minorHAnsi"/>
                <w:sz w:val="22"/>
                <w:szCs w:val="22"/>
              </w:rPr>
              <w:t>$3,003,071.96</w:t>
            </w:r>
          </w:p>
        </w:tc>
        <w:tc>
          <w:tcPr>
            <w:tcW w:w="1930" w:type="dxa"/>
          </w:tcPr>
          <w:p w14:paraId="09F3681D" w14:textId="77777777" w:rsidR="00BA1504" w:rsidRPr="009E15FC" w:rsidRDefault="00BA1504" w:rsidP="00A07700">
            <w:pPr>
              <w:pStyle w:val="PwCNormal"/>
              <w:numPr>
                <w:ilvl w:val="0"/>
                <w:numId w:val="0"/>
              </w:numPr>
              <w:spacing w:before="60" w:after="60"/>
              <w:jc w:val="center"/>
              <w:rPr>
                <w:rFonts w:asciiTheme="minorHAnsi" w:hAnsiTheme="minorHAnsi" w:cstheme="minorHAnsi"/>
                <w:sz w:val="22"/>
                <w:szCs w:val="22"/>
              </w:rPr>
            </w:pPr>
            <w:r w:rsidRPr="009E15FC">
              <w:rPr>
                <w:rFonts w:asciiTheme="minorHAnsi" w:hAnsiTheme="minorHAnsi" w:cstheme="minorHAnsi"/>
                <w:sz w:val="22"/>
                <w:szCs w:val="22"/>
              </w:rPr>
              <w:t>$4,522,630</w:t>
            </w:r>
          </w:p>
        </w:tc>
      </w:tr>
      <w:tr w:rsidR="00BA1504" w:rsidRPr="009E15FC" w14:paraId="2A92D8ED" w14:textId="77777777" w:rsidTr="009E15FC">
        <w:trPr>
          <w:trHeight w:val="710"/>
        </w:trPr>
        <w:tc>
          <w:tcPr>
            <w:tcW w:w="1929" w:type="dxa"/>
          </w:tcPr>
          <w:p w14:paraId="127E3930" w14:textId="77777777" w:rsidR="00BA1504" w:rsidRPr="009E15FC" w:rsidRDefault="00BA1504" w:rsidP="00A07700">
            <w:pPr>
              <w:pStyle w:val="PwCNormal"/>
              <w:numPr>
                <w:ilvl w:val="0"/>
                <w:numId w:val="0"/>
              </w:numPr>
              <w:spacing w:before="60" w:after="0"/>
              <w:jc w:val="center"/>
              <w:rPr>
                <w:rFonts w:asciiTheme="minorHAnsi" w:hAnsiTheme="minorHAnsi" w:cstheme="minorHAnsi"/>
                <w:b/>
                <w:bCs/>
                <w:snapToGrid/>
                <w:color w:val="000000"/>
                <w:sz w:val="22"/>
                <w:szCs w:val="22"/>
              </w:rPr>
            </w:pPr>
            <w:r w:rsidRPr="009E15FC">
              <w:rPr>
                <w:rFonts w:asciiTheme="minorHAnsi" w:hAnsiTheme="minorHAnsi" w:cstheme="minorHAnsi"/>
                <w:b/>
                <w:bCs/>
                <w:color w:val="000000"/>
                <w:sz w:val="22"/>
                <w:szCs w:val="22"/>
              </w:rPr>
              <w:t>TOTAL</w:t>
            </w:r>
          </w:p>
        </w:tc>
        <w:tc>
          <w:tcPr>
            <w:tcW w:w="1929" w:type="dxa"/>
          </w:tcPr>
          <w:p w14:paraId="0F64B21E" w14:textId="77777777" w:rsidR="00BA1504" w:rsidRPr="009E15FC" w:rsidRDefault="00BA1504" w:rsidP="00A07700">
            <w:pPr>
              <w:pStyle w:val="PwCNormal"/>
              <w:numPr>
                <w:ilvl w:val="0"/>
                <w:numId w:val="0"/>
              </w:numPr>
              <w:spacing w:before="60" w:after="60"/>
              <w:jc w:val="center"/>
              <w:rPr>
                <w:rFonts w:asciiTheme="minorHAnsi" w:hAnsiTheme="minorHAnsi" w:cstheme="minorHAnsi"/>
                <w:sz w:val="22"/>
                <w:szCs w:val="22"/>
              </w:rPr>
            </w:pPr>
            <w:r w:rsidRPr="009E15FC">
              <w:rPr>
                <w:rFonts w:asciiTheme="minorHAnsi" w:hAnsiTheme="minorHAnsi" w:cstheme="minorHAnsi"/>
                <w:sz w:val="22"/>
                <w:szCs w:val="22"/>
              </w:rPr>
              <w:t>$777,598.60</w:t>
            </w:r>
          </w:p>
        </w:tc>
        <w:tc>
          <w:tcPr>
            <w:tcW w:w="1930" w:type="dxa"/>
          </w:tcPr>
          <w:p w14:paraId="2511EDE9" w14:textId="77777777" w:rsidR="00BA1504" w:rsidRPr="009E15FC" w:rsidRDefault="00BA1504" w:rsidP="00A07700">
            <w:pPr>
              <w:pStyle w:val="PwCNormal"/>
              <w:numPr>
                <w:ilvl w:val="0"/>
                <w:numId w:val="0"/>
              </w:numPr>
              <w:spacing w:before="60" w:after="60"/>
              <w:jc w:val="center"/>
              <w:rPr>
                <w:rFonts w:asciiTheme="minorHAnsi" w:hAnsiTheme="minorHAnsi" w:cstheme="minorHAnsi"/>
                <w:sz w:val="22"/>
                <w:szCs w:val="22"/>
              </w:rPr>
            </w:pPr>
            <w:r w:rsidRPr="009E15FC">
              <w:rPr>
                <w:rFonts w:asciiTheme="minorHAnsi" w:hAnsiTheme="minorHAnsi" w:cstheme="minorHAnsi"/>
                <w:sz w:val="22"/>
                <w:szCs w:val="22"/>
              </w:rPr>
              <w:t>$1,734,623.25</w:t>
            </w:r>
          </w:p>
        </w:tc>
        <w:tc>
          <w:tcPr>
            <w:tcW w:w="1929" w:type="dxa"/>
          </w:tcPr>
          <w:p w14:paraId="3BE0C249" w14:textId="77777777" w:rsidR="00BA1504" w:rsidRPr="009E15FC" w:rsidRDefault="00BA1504" w:rsidP="00A07700">
            <w:pPr>
              <w:pStyle w:val="PwCNormal"/>
              <w:numPr>
                <w:ilvl w:val="0"/>
                <w:numId w:val="0"/>
              </w:numPr>
              <w:spacing w:before="60" w:after="60"/>
              <w:jc w:val="center"/>
              <w:rPr>
                <w:rFonts w:asciiTheme="minorHAnsi" w:hAnsiTheme="minorHAnsi" w:cstheme="minorHAnsi"/>
                <w:sz w:val="22"/>
                <w:szCs w:val="22"/>
              </w:rPr>
            </w:pPr>
            <w:r w:rsidRPr="009E15FC">
              <w:rPr>
                <w:rFonts w:asciiTheme="minorHAnsi" w:hAnsiTheme="minorHAnsi" w:cstheme="minorHAnsi"/>
                <w:sz w:val="22"/>
                <w:szCs w:val="22"/>
              </w:rPr>
              <w:t>$3,003,071.96</w:t>
            </w:r>
          </w:p>
        </w:tc>
        <w:tc>
          <w:tcPr>
            <w:tcW w:w="1930" w:type="dxa"/>
          </w:tcPr>
          <w:p w14:paraId="388A3EAA" w14:textId="77777777" w:rsidR="00BA1504" w:rsidRPr="009E15FC" w:rsidRDefault="00BA1504" w:rsidP="00A07700">
            <w:pPr>
              <w:pStyle w:val="PwCNormal"/>
              <w:numPr>
                <w:ilvl w:val="0"/>
                <w:numId w:val="0"/>
              </w:numPr>
              <w:spacing w:before="60" w:after="60"/>
              <w:jc w:val="center"/>
              <w:rPr>
                <w:rFonts w:asciiTheme="minorHAnsi" w:hAnsiTheme="minorHAnsi" w:cstheme="minorHAnsi"/>
                <w:sz w:val="22"/>
                <w:szCs w:val="22"/>
              </w:rPr>
            </w:pPr>
            <w:r w:rsidRPr="009E15FC">
              <w:rPr>
                <w:rFonts w:asciiTheme="minorHAnsi" w:hAnsiTheme="minorHAnsi" w:cstheme="minorHAnsi"/>
                <w:sz w:val="22"/>
                <w:szCs w:val="22"/>
              </w:rPr>
              <w:t>$5,968,867</w:t>
            </w:r>
          </w:p>
        </w:tc>
      </w:tr>
    </w:tbl>
    <w:p w14:paraId="5E98B56B" w14:textId="77777777" w:rsidR="00BA1504" w:rsidRPr="009E15FC" w:rsidRDefault="00BA1504" w:rsidP="00BA1504">
      <w:pPr>
        <w:pStyle w:val="ChapterNumberedList1"/>
        <w:numPr>
          <w:ilvl w:val="0"/>
          <w:numId w:val="0"/>
        </w:numPr>
        <w:ind w:left="567" w:hanging="567"/>
        <w:rPr>
          <w:rFonts w:asciiTheme="minorHAnsi" w:hAnsiTheme="minorHAnsi" w:cstheme="minorHAnsi"/>
          <w:sz w:val="22"/>
          <w:szCs w:val="22"/>
        </w:rPr>
      </w:pPr>
    </w:p>
    <w:p w14:paraId="2374A1FD" w14:textId="19CFABE1" w:rsidR="00BA1504" w:rsidRPr="009E15FC" w:rsidRDefault="00BA1504" w:rsidP="000772E3">
      <w:pPr>
        <w:pStyle w:val="ChapterNumberedList1"/>
        <w:numPr>
          <w:ilvl w:val="0"/>
          <w:numId w:val="0"/>
        </w:numPr>
        <w:spacing w:line="276" w:lineRule="auto"/>
        <w:jc w:val="both"/>
        <w:rPr>
          <w:rFonts w:asciiTheme="minorHAnsi" w:hAnsiTheme="minorHAnsi" w:cstheme="minorHAnsi"/>
          <w:sz w:val="24"/>
          <w:szCs w:val="24"/>
        </w:rPr>
      </w:pPr>
      <w:r w:rsidRPr="009E15FC">
        <w:rPr>
          <w:rFonts w:asciiTheme="minorHAnsi" w:hAnsiTheme="minorHAnsi" w:cstheme="minorHAnsi"/>
          <w:sz w:val="24"/>
          <w:szCs w:val="24"/>
        </w:rPr>
        <w:t>ADHC and on Centrelink supports, amounting to $1m pa. If Casey</w:t>
      </w:r>
      <w:r w:rsidR="000772E3">
        <w:rPr>
          <w:rFonts w:asciiTheme="minorHAnsi" w:hAnsiTheme="minorHAnsi" w:cstheme="minorHAnsi"/>
          <w:sz w:val="24"/>
          <w:szCs w:val="24"/>
        </w:rPr>
        <w:t xml:space="preserve"> is given an early intervention </w:t>
      </w:r>
      <w:r w:rsidRPr="009E15FC">
        <w:rPr>
          <w:rFonts w:asciiTheme="minorHAnsi" w:hAnsiTheme="minorHAnsi" w:cstheme="minorHAnsi"/>
          <w:sz w:val="24"/>
          <w:szCs w:val="24"/>
        </w:rPr>
        <w:t>from the age of seven that would mean she didn’t offend, come into the criminal justice system, or end up on such an intensive package, substantial savings of up to $3m can be achieved by age 20. In another five years, further savings of $3.9m could be achieved.</w:t>
      </w:r>
    </w:p>
    <w:p w14:paraId="4C7731C3" w14:textId="77777777" w:rsidR="00BA1504" w:rsidRPr="009E15FC" w:rsidRDefault="00BA1504" w:rsidP="009E15FC">
      <w:pPr>
        <w:pStyle w:val="ChapterNumberedList1"/>
        <w:numPr>
          <w:ilvl w:val="0"/>
          <w:numId w:val="0"/>
        </w:numPr>
        <w:spacing w:line="276" w:lineRule="auto"/>
        <w:ind w:left="567" w:hanging="567"/>
        <w:jc w:val="both"/>
        <w:rPr>
          <w:rFonts w:asciiTheme="minorHAnsi" w:hAnsiTheme="minorHAnsi" w:cstheme="minorHAnsi"/>
          <w:sz w:val="24"/>
          <w:szCs w:val="24"/>
        </w:rPr>
      </w:pPr>
      <w:r w:rsidRPr="009E15FC">
        <w:rPr>
          <w:rFonts w:asciiTheme="minorHAnsi" w:hAnsiTheme="minorHAnsi" w:cstheme="minorHAnsi"/>
          <w:sz w:val="24"/>
          <w:szCs w:val="24"/>
        </w:rPr>
        <w:t>The following assumptions are made in the calculation of the benefits for Casey:</w:t>
      </w:r>
    </w:p>
    <w:p w14:paraId="13BCF14A" w14:textId="77777777" w:rsidR="00BA1504" w:rsidRPr="009E15FC" w:rsidRDefault="00BA1504" w:rsidP="003E7FCE">
      <w:pPr>
        <w:pStyle w:val="TableBullet1Normal"/>
        <w:spacing w:line="276" w:lineRule="auto"/>
        <w:jc w:val="both"/>
        <w:rPr>
          <w:rFonts w:asciiTheme="minorHAnsi" w:hAnsiTheme="minorHAnsi" w:cstheme="minorHAnsi"/>
          <w:sz w:val="24"/>
          <w:szCs w:val="24"/>
        </w:rPr>
      </w:pPr>
      <w:r w:rsidRPr="009E15FC">
        <w:rPr>
          <w:rFonts w:asciiTheme="minorHAnsi" w:hAnsiTheme="minorHAnsi" w:cstheme="minorHAnsi"/>
          <w:sz w:val="24"/>
          <w:szCs w:val="24"/>
        </w:rPr>
        <w:t>from age 7, Casey was provided with an intensive early intervention package of $150,000 pa</w:t>
      </w:r>
    </w:p>
    <w:p w14:paraId="5281697E" w14:textId="77777777" w:rsidR="00BA1504" w:rsidRPr="009E15FC" w:rsidRDefault="00BA1504" w:rsidP="003E7FCE">
      <w:pPr>
        <w:pStyle w:val="TableBullet1Normal"/>
        <w:spacing w:line="276" w:lineRule="auto"/>
        <w:jc w:val="both"/>
        <w:rPr>
          <w:rFonts w:asciiTheme="minorHAnsi" w:hAnsiTheme="minorHAnsi" w:cstheme="minorHAnsi"/>
          <w:sz w:val="24"/>
          <w:szCs w:val="24"/>
        </w:rPr>
      </w:pPr>
      <w:r w:rsidRPr="009E15FC">
        <w:rPr>
          <w:rFonts w:asciiTheme="minorHAnsi" w:hAnsiTheme="minorHAnsi" w:cstheme="minorHAnsi"/>
          <w:sz w:val="24"/>
          <w:szCs w:val="24"/>
        </w:rPr>
        <w:lastRenderedPageBreak/>
        <w:t>from age 18, Casey moves to an increased level of support, including accommodation, of $250,000 pa</w:t>
      </w:r>
    </w:p>
    <w:p w14:paraId="49B8D6CC" w14:textId="77777777" w:rsidR="00BA1504" w:rsidRPr="009E15FC" w:rsidRDefault="00BA1504" w:rsidP="003E7FCE">
      <w:pPr>
        <w:pStyle w:val="TableBullet1Normal"/>
        <w:spacing w:line="276" w:lineRule="auto"/>
        <w:jc w:val="both"/>
        <w:rPr>
          <w:rFonts w:asciiTheme="minorHAnsi" w:hAnsiTheme="minorHAnsi" w:cstheme="minorHAnsi"/>
          <w:sz w:val="24"/>
          <w:szCs w:val="24"/>
        </w:rPr>
      </w:pPr>
      <w:r w:rsidRPr="009E15FC">
        <w:rPr>
          <w:rFonts w:asciiTheme="minorHAnsi" w:hAnsiTheme="minorHAnsi" w:cstheme="minorHAnsi"/>
          <w:sz w:val="24"/>
          <w:szCs w:val="24"/>
        </w:rPr>
        <w:t>It is assumed that these supports prevent Casey from contact with the criminal justice and health systems, and mean that she does not require crisis supports from ADHC.</w:t>
      </w:r>
    </w:p>
    <w:p w14:paraId="531529A6" w14:textId="77777777" w:rsidR="00BA1504" w:rsidRPr="009E15FC" w:rsidRDefault="00BA1504" w:rsidP="009E15FC">
      <w:pPr>
        <w:pStyle w:val="ChapterNumberedList1"/>
        <w:numPr>
          <w:ilvl w:val="0"/>
          <w:numId w:val="0"/>
        </w:numPr>
        <w:spacing w:after="0" w:line="276" w:lineRule="auto"/>
        <w:jc w:val="both"/>
        <w:rPr>
          <w:rFonts w:asciiTheme="minorHAnsi" w:hAnsiTheme="minorHAnsi" w:cstheme="minorHAnsi"/>
          <w:sz w:val="24"/>
          <w:szCs w:val="24"/>
        </w:rPr>
      </w:pPr>
    </w:p>
    <w:p w14:paraId="6DEBA177" w14:textId="77777777" w:rsidR="00BA1504" w:rsidRPr="009E15FC" w:rsidRDefault="00BA1504" w:rsidP="009E15FC">
      <w:pPr>
        <w:pStyle w:val="ChapterNumberedList1"/>
        <w:numPr>
          <w:ilvl w:val="0"/>
          <w:numId w:val="0"/>
        </w:numPr>
        <w:spacing w:after="0" w:line="276" w:lineRule="auto"/>
        <w:jc w:val="both"/>
        <w:rPr>
          <w:rFonts w:asciiTheme="minorHAnsi" w:hAnsiTheme="minorHAnsi" w:cstheme="minorHAnsi"/>
          <w:sz w:val="24"/>
          <w:szCs w:val="24"/>
        </w:rPr>
      </w:pPr>
      <w:r w:rsidRPr="009E15FC">
        <w:rPr>
          <w:rFonts w:asciiTheme="minorHAnsi" w:hAnsiTheme="minorHAnsi" w:cstheme="minorHAnsi"/>
          <w:sz w:val="24"/>
          <w:szCs w:val="24"/>
        </w:rPr>
        <w:t>The figure below compares the trajectory of Casey’s lifetime cost without investment to the lifetime cost with early intervention. The extra investment early in Casey’s life is not much more than was being invested.</w:t>
      </w:r>
    </w:p>
    <w:p w14:paraId="039E3C1C" w14:textId="77777777" w:rsidR="00BA1504" w:rsidRPr="003E7FCE" w:rsidRDefault="00BA1504" w:rsidP="009E15FC">
      <w:pPr>
        <w:pStyle w:val="Caption"/>
        <w:spacing w:line="276" w:lineRule="auto"/>
        <w:rPr>
          <w:rFonts w:asciiTheme="minorHAnsi" w:hAnsiTheme="minorHAnsi" w:cstheme="minorHAnsi"/>
          <w:color w:val="auto"/>
          <w:sz w:val="22"/>
          <w:szCs w:val="22"/>
        </w:rPr>
      </w:pPr>
      <w:r w:rsidRPr="003E7FCE">
        <w:rPr>
          <w:rFonts w:asciiTheme="minorHAnsi" w:hAnsiTheme="minorHAnsi" w:cstheme="minorHAnsi"/>
          <w:color w:val="auto"/>
          <w:sz w:val="22"/>
          <w:szCs w:val="22"/>
        </w:rPr>
        <w:t xml:space="preserve">Figure </w:t>
      </w:r>
      <w:r w:rsidRPr="003E7FCE">
        <w:rPr>
          <w:rFonts w:asciiTheme="minorHAnsi" w:hAnsiTheme="minorHAnsi" w:cstheme="minorHAnsi"/>
          <w:color w:val="auto"/>
          <w:sz w:val="22"/>
          <w:szCs w:val="22"/>
        </w:rPr>
        <w:fldChar w:fldCharType="begin"/>
      </w:r>
      <w:r w:rsidRPr="003E7FCE">
        <w:rPr>
          <w:rFonts w:asciiTheme="minorHAnsi" w:hAnsiTheme="minorHAnsi" w:cstheme="minorHAnsi"/>
          <w:color w:val="auto"/>
          <w:sz w:val="22"/>
          <w:szCs w:val="22"/>
        </w:rPr>
        <w:instrText xml:space="preserve"> SEQ Figure \* ARABIC </w:instrText>
      </w:r>
      <w:r w:rsidRPr="003E7FCE">
        <w:rPr>
          <w:rFonts w:asciiTheme="minorHAnsi" w:hAnsiTheme="minorHAnsi" w:cstheme="minorHAnsi"/>
          <w:color w:val="auto"/>
          <w:sz w:val="22"/>
          <w:szCs w:val="22"/>
        </w:rPr>
        <w:fldChar w:fldCharType="separate"/>
      </w:r>
      <w:r w:rsidRPr="003E7FCE">
        <w:rPr>
          <w:rFonts w:asciiTheme="minorHAnsi" w:hAnsiTheme="minorHAnsi" w:cstheme="minorHAnsi"/>
          <w:noProof/>
          <w:color w:val="auto"/>
          <w:sz w:val="22"/>
          <w:szCs w:val="22"/>
        </w:rPr>
        <w:t>2</w:t>
      </w:r>
      <w:r w:rsidRPr="003E7FCE">
        <w:rPr>
          <w:rFonts w:asciiTheme="minorHAnsi" w:hAnsiTheme="minorHAnsi" w:cstheme="minorHAnsi"/>
          <w:color w:val="auto"/>
          <w:sz w:val="22"/>
          <w:szCs w:val="22"/>
        </w:rPr>
        <w:fldChar w:fldCharType="end"/>
      </w:r>
      <w:r w:rsidRPr="003E7FCE">
        <w:rPr>
          <w:rFonts w:asciiTheme="minorHAnsi" w:hAnsiTheme="minorHAnsi" w:cstheme="minorHAnsi"/>
          <w:color w:val="auto"/>
          <w:sz w:val="22"/>
          <w:szCs w:val="22"/>
        </w:rPr>
        <w:t xml:space="preserve"> Case Study from Lifetime cost of homelessness – Casey*</w:t>
      </w:r>
    </w:p>
    <w:p w14:paraId="6874A49C" w14:textId="77777777" w:rsidR="00BA1504" w:rsidRPr="007630E0" w:rsidRDefault="00BA1504" w:rsidP="00BA1504">
      <w:pPr>
        <w:pStyle w:val="PwCNormal"/>
        <w:numPr>
          <w:ilvl w:val="0"/>
          <w:numId w:val="0"/>
        </w:numPr>
        <w:rPr>
          <w:rFonts w:asciiTheme="minorHAnsi" w:hAnsiTheme="minorHAnsi" w:cstheme="minorHAnsi"/>
        </w:rPr>
      </w:pPr>
      <w:r w:rsidRPr="00B62595">
        <w:rPr>
          <w:noProof/>
          <w:lang w:eastAsia="en-AU"/>
        </w:rPr>
        <w:drawing>
          <wp:inline distT="0" distB="0" distL="0" distR="0" wp14:anchorId="369AB04B" wp14:editId="6769F147">
            <wp:extent cx="4832729" cy="1948043"/>
            <wp:effectExtent l="19050" t="0" r="5971"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4834045" cy="1948574"/>
                    </a:xfrm>
                    <a:prstGeom prst="rect">
                      <a:avLst/>
                    </a:prstGeom>
                    <a:noFill/>
                    <a:ln w="9525">
                      <a:noFill/>
                      <a:miter lim="800000"/>
                      <a:headEnd/>
                      <a:tailEnd/>
                    </a:ln>
                  </pic:spPr>
                </pic:pic>
              </a:graphicData>
            </a:graphic>
          </wp:inline>
        </w:drawing>
      </w:r>
    </w:p>
    <w:p w14:paraId="5DDBD57A" w14:textId="0988D69E" w:rsidR="00BA1504" w:rsidRPr="003E7FCE" w:rsidRDefault="003E7FCE" w:rsidP="00BA1504">
      <w:pPr>
        <w:rPr>
          <w:rFonts w:cstheme="minorHAnsi"/>
        </w:rPr>
      </w:pPr>
      <w:r>
        <w:rPr>
          <w:rFonts w:cstheme="minorHAnsi"/>
          <w:noProof/>
          <w:lang w:eastAsia="en-AU"/>
        </w:rPr>
        <mc:AlternateContent>
          <mc:Choice Requires="wps">
            <w:drawing>
              <wp:anchor distT="0" distB="0" distL="114300" distR="114300" simplePos="0" relativeHeight="251662336" behindDoc="0" locked="0" layoutInCell="1" allowOverlap="1" wp14:anchorId="665A2E4C" wp14:editId="42B212F1">
                <wp:simplePos x="0" y="0"/>
                <wp:positionH relativeFrom="column">
                  <wp:posOffset>3886200</wp:posOffset>
                </wp:positionH>
                <wp:positionV relativeFrom="paragraph">
                  <wp:posOffset>511810</wp:posOffset>
                </wp:positionV>
                <wp:extent cx="2378075" cy="1824990"/>
                <wp:effectExtent l="0" t="0" r="9525" b="3810"/>
                <wp:wrapSquare wrapText="bothSides"/>
                <wp:docPr id="12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8075" cy="1824990"/>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DDD130" w14:textId="77777777" w:rsidR="000D5B4B" w:rsidRPr="00084B39" w:rsidRDefault="000D5B4B" w:rsidP="00BA1504">
                            <w:pPr>
                              <w:jc w:val="right"/>
                              <w:rPr>
                                <w:rFonts w:cstheme="minorHAnsi"/>
                                <w:color w:val="FFFFFF" w:themeColor="background1"/>
                              </w:rPr>
                            </w:pPr>
                            <w:r w:rsidRPr="0076194C">
                              <w:rPr>
                                <w:rFonts w:cstheme="minorHAnsi"/>
                                <w:color w:val="FFFFFF" w:themeColor="background1"/>
                              </w:rPr>
                              <w:t xml:space="preserve">By age 20 the </w:t>
                            </w:r>
                            <w:r>
                              <w:rPr>
                                <w:rFonts w:cstheme="minorHAnsi"/>
                                <w:color w:val="FFFFFF" w:themeColor="background1"/>
                              </w:rPr>
                              <w:t>benefit cost ratio is estimated to be</w:t>
                            </w:r>
                          </w:p>
                          <w:p w14:paraId="44AEFF9F" w14:textId="77777777" w:rsidR="000D5B4B" w:rsidRDefault="000D5B4B" w:rsidP="00BA1504">
                            <w:pPr>
                              <w:jc w:val="right"/>
                              <w:rPr>
                                <w:rFonts w:cstheme="minorHAnsi"/>
                                <w:b/>
                                <w:color w:val="FFFFFF" w:themeColor="background1"/>
                                <w:sz w:val="44"/>
                              </w:rPr>
                            </w:pPr>
                            <w:r>
                              <w:rPr>
                                <w:rFonts w:cstheme="minorHAnsi"/>
                                <w:b/>
                                <w:color w:val="FFFFFF" w:themeColor="background1"/>
                                <w:sz w:val="44"/>
                              </w:rPr>
                              <w:t>2.1</w:t>
                            </w:r>
                          </w:p>
                          <w:p w14:paraId="089140CB" w14:textId="77777777" w:rsidR="000D5B4B" w:rsidRPr="00ED341E" w:rsidRDefault="000D5B4B" w:rsidP="00BA1504">
                            <w:pPr>
                              <w:pStyle w:val="PwCNormal"/>
                              <w:spacing w:after="0"/>
                            </w:pPr>
                            <w:r>
                              <w:rPr>
                                <w:rFonts w:asciiTheme="minorHAnsi" w:hAnsiTheme="minorHAnsi" w:cstheme="minorHAnsi"/>
                                <w:color w:val="FFFFFF" w:themeColor="background1"/>
                              </w:rPr>
                              <w:t xml:space="preserve">By age 27, the benefit cost ratio is estimated to be </w:t>
                            </w:r>
                          </w:p>
                          <w:p w14:paraId="476F70E8" w14:textId="77777777" w:rsidR="000D5B4B" w:rsidRPr="00183D6C" w:rsidRDefault="000D5B4B" w:rsidP="00BA1504">
                            <w:pPr>
                              <w:pStyle w:val="PwCNormal"/>
                              <w:spacing w:after="0"/>
                            </w:pPr>
                            <w:r>
                              <w:rPr>
                                <w:rFonts w:asciiTheme="minorHAnsi" w:hAnsiTheme="minorHAnsi" w:cstheme="minorHAnsi"/>
                                <w:b/>
                                <w:color w:val="FFFFFF" w:themeColor="background1"/>
                                <w:sz w:val="44"/>
                              </w:rPr>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A2E4C" id="Text Box 14" o:spid="_x0000_s1029" type="#_x0000_t202" style="position:absolute;margin-left:306pt;margin-top:40.3pt;width:187.25pt;height:14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" fillcolor="#1f497d [3215]" stroked="f">
                <v:textbox>
                  <w:txbxContent>
                    <w:p w14:paraId="5CDDD130" w14:textId="77777777" w:rsidR="000D5B4B" w:rsidRPr="00084B39" w:rsidRDefault="000D5B4B" w:rsidP="00BA1504">
                      <w:pPr>
                        <w:jc w:val="right"/>
                        <w:rPr>
                          <w:rFonts w:cstheme="minorHAnsi"/>
                          <w:color w:val="FFFFFF" w:themeColor="background1"/>
                        </w:rPr>
                      </w:pPr>
                      <w:r w:rsidRPr="0076194C">
                        <w:rPr>
                          <w:rFonts w:cstheme="minorHAnsi"/>
                          <w:color w:val="FFFFFF" w:themeColor="background1"/>
                        </w:rPr>
                        <w:t xml:space="preserve">By age 20 the </w:t>
                      </w:r>
                      <w:r>
                        <w:rPr>
                          <w:rFonts w:cstheme="minorHAnsi"/>
                          <w:color w:val="FFFFFF" w:themeColor="background1"/>
                        </w:rPr>
                        <w:t>benefit cost ratio is estimated to be</w:t>
                      </w:r>
                    </w:p>
                    <w:p w14:paraId="44AEFF9F" w14:textId="77777777" w:rsidR="000D5B4B" w:rsidRDefault="000D5B4B" w:rsidP="00BA1504">
                      <w:pPr>
                        <w:jc w:val="right"/>
                        <w:rPr>
                          <w:rFonts w:cstheme="minorHAnsi"/>
                          <w:b/>
                          <w:color w:val="FFFFFF" w:themeColor="background1"/>
                          <w:sz w:val="44"/>
                        </w:rPr>
                      </w:pPr>
                      <w:r>
                        <w:rPr>
                          <w:rFonts w:cstheme="minorHAnsi"/>
                          <w:b/>
                          <w:color w:val="FFFFFF" w:themeColor="background1"/>
                          <w:sz w:val="44"/>
                        </w:rPr>
                        <w:t>2.1</w:t>
                      </w:r>
                    </w:p>
                    <w:p w14:paraId="089140CB" w14:textId="77777777" w:rsidR="000D5B4B" w:rsidRPr="00ED341E" w:rsidRDefault="000D5B4B" w:rsidP="00BA1504">
                      <w:pPr>
                        <w:pStyle w:val="PwCNormal"/>
                        <w:spacing w:after="0"/>
                      </w:pPr>
                      <w:r>
                        <w:rPr>
                          <w:rFonts w:asciiTheme="minorHAnsi" w:hAnsiTheme="minorHAnsi" w:cstheme="minorHAnsi"/>
                          <w:color w:val="FFFFFF" w:themeColor="background1"/>
                        </w:rPr>
                        <w:t xml:space="preserve">By age 27, the benefit cost ratio is estimated to be </w:t>
                      </w:r>
                    </w:p>
                    <w:p w14:paraId="476F70E8" w14:textId="77777777" w:rsidR="000D5B4B" w:rsidRPr="00183D6C" w:rsidRDefault="000D5B4B" w:rsidP="00BA1504">
                      <w:pPr>
                        <w:pStyle w:val="PwCNormal"/>
                        <w:spacing w:after="0"/>
                      </w:pPr>
                      <w:r>
                        <w:rPr>
                          <w:rFonts w:asciiTheme="minorHAnsi" w:hAnsiTheme="minorHAnsi" w:cstheme="minorHAnsi"/>
                          <w:b/>
                          <w:color w:val="FFFFFF" w:themeColor="background1"/>
                          <w:sz w:val="44"/>
                        </w:rPr>
                        <w:t>2.4</w:t>
                      </w:r>
                    </w:p>
                  </w:txbxContent>
                </v:textbox>
                <w10:wrap type="square"/>
              </v:shape>
            </w:pict>
          </mc:Fallback>
        </mc:AlternateContent>
      </w:r>
      <w:r w:rsidR="00BA1504" w:rsidRPr="003E7FCE">
        <w:rPr>
          <w:rFonts w:cstheme="minorHAnsi"/>
        </w:rPr>
        <w:t>*Please note that the No Intervention Total Cost for Casey is the actual institutional cost up to age 20, plus a projected institutional cost from age 21 to age 27.</w:t>
      </w:r>
    </w:p>
    <w:p w14:paraId="0131E091" w14:textId="466AC809" w:rsidR="00BA1504" w:rsidRPr="003E7FCE" w:rsidRDefault="00BA1504" w:rsidP="00BA1504">
      <w:pPr>
        <w:rPr>
          <w:rFonts w:cstheme="minorHAnsi"/>
        </w:rPr>
      </w:pPr>
      <w:r w:rsidRPr="003E7FCE">
        <w:rPr>
          <w:rFonts w:cstheme="minorHAnsi"/>
          <w:sz w:val="24"/>
          <w:szCs w:val="24"/>
        </w:rPr>
        <w:t xml:space="preserve">The cumulative saving from early intervention become apparent at age 16. </w:t>
      </w:r>
    </w:p>
    <w:p w14:paraId="7180BF03" w14:textId="77777777" w:rsidR="00BA1504" w:rsidRDefault="00BA1504" w:rsidP="00BA1504">
      <w:pPr>
        <w:rPr>
          <w:rFonts w:cstheme="minorHAnsi"/>
        </w:rPr>
      </w:pPr>
    </w:p>
    <w:p w14:paraId="732CD9F6" w14:textId="77777777" w:rsidR="00BA1504" w:rsidRDefault="00BA1504" w:rsidP="00BA1504">
      <w:pPr>
        <w:rPr>
          <w:rFonts w:cstheme="minorHAnsi"/>
        </w:rPr>
      </w:pPr>
    </w:p>
    <w:p w14:paraId="1AB2B21F" w14:textId="77777777" w:rsidR="00BA1504" w:rsidRDefault="00BA1504" w:rsidP="00BA1504">
      <w:pPr>
        <w:rPr>
          <w:rFonts w:cstheme="minorHAnsi"/>
        </w:rPr>
      </w:pPr>
    </w:p>
    <w:p w14:paraId="54681D90" w14:textId="77777777" w:rsidR="00BA1504" w:rsidRDefault="00BA1504" w:rsidP="00BA1504">
      <w:pPr>
        <w:rPr>
          <w:rFonts w:cstheme="minorHAnsi"/>
        </w:rPr>
      </w:pPr>
    </w:p>
    <w:p w14:paraId="448D7148" w14:textId="77777777" w:rsidR="003E7FCE" w:rsidRDefault="003E7FCE" w:rsidP="00BA1504">
      <w:pPr>
        <w:rPr>
          <w:rFonts w:cstheme="minorHAnsi"/>
        </w:rPr>
      </w:pPr>
    </w:p>
    <w:p w14:paraId="013FA6CF" w14:textId="77777777" w:rsidR="003E7FCE" w:rsidRDefault="003E7FCE" w:rsidP="00BA1504">
      <w:pPr>
        <w:rPr>
          <w:rFonts w:cstheme="minorHAnsi"/>
        </w:rPr>
      </w:pPr>
    </w:p>
    <w:p w14:paraId="57FF5120" w14:textId="77777777" w:rsidR="00BA1504" w:rsidRDefault="00BA1504" w:rsidP="00F43362">
      <w:pPr>
        <w:rPr>
          <w:rFonts w:ascii="Arial" w:hAnsi="Arial"/>
          <w:b/>
          <w:sz w:val="24"/>
          <w:szCs w:val="24"/>
        </w:rPr>
      </w:pPr>
    </w:p>
    <w:p w14:paraId="49B0E253" w14:textId="77777777" w:rsidR="003E7FCE" w:rsidRPr="00F43362" w:rsidRDefault="003E7FCE" w:rsidP="00F43362">
      <w:pPr>
        <w:rPr>
          <w:sz w:val="24"/>
          <w:szCs w:val="24"/>
        </w:rPr>
      </w:pPr>
    </w:p>
    <w:p w14:paraId="78D819E1" w14:textId="77777777" w:rsidR="00BA1504" w:rsidRPr="00F43362" w:rsidRDefault="00BA1504" w:rsidP="00F43362">
      <w:pPr>
        <w:pStyle w:val="PwCNormal"/>
        <w:spacing w:line="276" w:lineRule="auto"/>
        <w:jc w:val="both"/>
        <w:rPr>
          <w:rFonts w:asciiTheme="minorHAnsi" w:hAnsiTheme="minorHAnsi"/>
          <w:color w:val="000000" w:themeColor="text1"/>
          <w:sz w:val="24"/>
          <w:szCs w:val="24"/>
        </w:rPr>
      </w:pPr>
      <w:r w:rsidRPr="00F43362">
        <w:rPr>
          <w:rFonts w:asciiTheme="minorHAnsi" w:hAnsiTheme="minorHAnsi"/>
          <w:sz w:val="24"/>
          <w:szCs w:val="24"/>
        </w:rPr>
        <w:lastRenderedPageBreak/>
        <w:t xml:space="preserve">Research in the field and the case studies presented in this paper demonstrate that </w:t>
      </w:r>
      <w:r w:rsidRPr="00F43362">
        <w:rPr>
          <w:rFonts w:asciiTheme="minorHAnsi" w:hAnsiTheme="minorHAnsi"/>
          <w:b/>
          <w:sz w:val="24"/>
          <w:szCs w:val="24"/>
        </w:rPr>
        <w:t>early holistic support is crucial</w:t>
      </w:r>
      <w:r w:rsidRPr="00F43362">
        <w:rPr>
          <w:rFonts w:asciiTheme="minorHAnsi" w:hAnsiTheme="minorHAnsi"/>
          <w:sz w:val="24"/>
          <w:szCs w:val="24"/>
        </w:rPr>
        <w:t xml:space="preserve"> for the development and well-being of children and young people with mental health disorders and cognitive impairment, particularly Aboriginal children and young people and those from disadvantaged backgrounds.</w:t>
      </w:r>
    </w:p>
    <w:p w14:paraId="1565C41A" w14:textId="77777777" w:rsidR="00BA1504" w:rsidRPr="00F43362" w:rsidRDefault="00BA1504" w:rsidP="00F43362">
      <w:pPr>
        <w:pStyle w:val="PwCNormal"/>
        <w:spacing w:line="276" w:lineRule="auto"/>
        <w:jc w:val="both"/>
        <w:rPr>
          <w:rFonts w:asciiTheme="minorHAnsi" w:hAnsiTheme="minorHAnsi"/>
          <w:color w:val="000000" w:themeColor="text1"/>
          <w:sz w:val="24"/>
          <w:szCs w:val="24"/>
        </w:rPr>
      </w:pPr>
      <w:r w:rsidRPr="00F43362">
        <w:rPr>
          <w:rFonts w:asciiTheme="minorHAnsi" w:hAnsiTheme="minorHAnsi"/>
          <w:sz w:val="24"/>
          <w:szCs w:val="24"/>
        </w:rPr>
        <w:t xml:space="preserve">Without such early intervention and diversion, the costs to individuals with mental health disorders and cognitive impairment, to their families and communities, as well as </w:t>
      </w:r>
      <w:r w:rsidRPr="00F43362">
        <w:rPr>
          <w:rFonts w:asciiTheme="minorHAnsi" w:hAnsiTheme="minorHAnsi"/>
          <w:b/>
          <w:sz w:val="24"/>
          <w:szCs w:val="24"/>
        </w:rPr>
        <w:t>the costs to government can be extremely high</w:t>
      </w:r>
      <w:r w:rsidRPr="00F43362">
        <w:rPr>
          <w:rFonts w:asciiTheme="minorHAnsi" w:hAnsiTheme="minorHAnsi"/>
          <w:sz w:val="24"/>
          <w:szCs w:val="24"/>
        </w:rPr>
        <w:t>. Such costs increase over time, as people with mental health disorders and cognitive impairment become entrenched in the criminal justice system and are further disadvantaged. Case studies presented in this paper illustrate that the lifetime of prison and crisis supports can be as high as $1 million per annum per person.</w:t>
      </w:r>
    </w:p>
    <w:p w14:paraId="7C20DA8E" w14:textId="77777777" w:rsidR="00BA1504" w:rsidRPr="00F43362" w:rsidRDefault="00BA1504" w:rsidP="00F43362">
      <w:pPr>
        <w:pStyle w:val="PwCNormal"/>
        <w:spacing w:line="276" w:lineRule="auto"/>
        <w:jc w:val="both"/>
        <w:rPr>
          <w:rFonts w:asciiTheme="minorHAnsi" w:hAnsiTheme="minorHAnsi"/>
          <w:sz w:val="24"/>
          <w:szCs w:val="24"/>
        </w:rPr>
      </w:pPr>
      <w:r w:rsidRPr="00F43362">
        <w:rPr>
          <w:rFonts w:asciiTheme="minorHAnsi" w:hAnsiTheme="minorHAnsi"/>
          <w:sz w:val="24"/>
          <w:szCs w:val="24"/>
        </w:rPr>
        <w:t xml:space="preserve">However, a number of small but </w:t>
      </w:r>
      <w:r w:rsidRPr="00F43362">
        <w:rPr>
          <w:rFonts w:asciiTheme="minorHAnsi" w:hAnsiTheme="minorHAnsi"/>
          <w:b/>
          <w:sz w:val="24"/>
          <w:szCs w:val="24"/>
        </w:rPr>
        <w:t>successful initiatives appear to improve well being and other outcomes</w:t>
      </w:r>
      <w:r w:rsidRPr="00F43362">
        <w:rPr>
          <w:rFonts w:asciiTheme="minorHAnsi" w:hAnsiTheme="minorHAnsi"/>
          <w:sz w:val="24"/>
          <w:szCs w:val="24"/>
        </w:rPr>
        <w:t xml:space="preserve"> for people with mental health disorders and cognitive impairment and result in diversion from the criminal justice system. Estimated benefit cost ratios in the above case studies range from 1.4 to 2.4. That is, for every dollar spent on the early investment, between $1.40 and $2.40 in government cost is saved in the longer term.</w:t>
      </w:r>
    </w:p>
    <w:p w14:paraId="136D73DF" w14:textId="77777777" w:rsidR="00BA1504" w:rsidRPr="00F43362" w:rsidRDefault="00BA1504" w:rsidP="00F43362">
      <w:pPr>
        <w:pStyle w:val="PwCNormal"/>
        <w:spacing w:line="276" w:lineRule="auto"/>
        <w:jc w:val="both"/>
        <w:rPr>
          <w:rFonts w:asciiTheme="minorHAnsi" w:hAnsiTheme="minorHAnsi"/>
          <w:sz w:val="24"/>
          <w:szCs w:val="24"/>
        </w:rPr>
      </w:pPr>
      <w:r w:rsidRPr="00F43362">
        <w:rPr>
          <w:rFonts w:asciiTheme="minorHAnsi" w:hAnsiTheme="minorHAnsi"/>
          <w:sz w:val="24"/>
          <w:szCs w:val="24"/>
        </w:rPr>
        <w:t>The estimated extra early and diversionary investment presented in the case studies is little more or no more than was being expended already, but resulting in significant savings</w:t>
      </w:r>
    </w:p>
    <w:p w14:paraId="6902F645" w14:textId="77777777" w:rsidR="00BA1504" w:rsidRPr="00F43362" w:rsidRDefault="00BA1504" w:rsidP="00F43362">
      <w:pPr>
        <w:pStyle w:val="PwCNormal"/>
        <w:spacing w:line="276" w:lineRule="auto"/>
        <w:jc w:val="both"/>
        <w:rPr>
          <w:rFonts w:asciiTheme="minorHAnsi" w:hAnsiTheme="minorHAnsi"/>
          <w:color w:val="000000" w:themeColor="text1"/>
          <w:sz w:val="24"/>
          <w:szCs w:val="24"/>
        </w:rPr>
      </w:pPr>
      <w:r w:rsidRPr="00F43362">
        <w:rPr>
          <w:rFonts w:asciiTheme="minorHAnsi" w:hAnsiTheme="minorHAnsi"/>
          <w:sz w:val="24"/>
          <w:szCs w:val="24"/>
        </w:rPr>
        <w:t>Robust, holistic, targeted cross portfolio support and intervention for people with mental health disorders and cognitive impairment would reduce the significant economic and human costs of cycling in and out of the criminal justice system.</w:t>
      </w:r>
    </w:p>
    <w:p w14:paraId="31AEA11D" w14:textId="77777777" w:rsidR="00BA1504" w:rsidRDefault="00BA1504" w:rsidP="00BA1504">
      <w:pPr>
        <w:pStyle w:val="PwCNormal"/>
        <w:rPr>
          <w:rFonts w:ascii="Arial" w:hAnsi="Arial"/>
          <w:sz w:val="24"/>
          <w:szCs w:val="24"/>
        </w:rPr>
      </w:pPr>
    </w:p>
    <w:p w14:paraId="1367AC88" w14:textId="77777777" w:rsidR="00BA1504" w:rsidRDefault="00BA1504" w:rsidP="00BA1504">
      <w:pPr>
        <w:pStyle w:val="PwCNormal"/>
        <w:rPr>
          <w:rFonts w:ascii="Arial" w:hAnsi="Arial"/>
          <w:sz w:val="24"/>
          <w:szCs w:val="24"/>
        </w:rPr>
      </w:pPr>
    </w:p>
    <w:p w14:paraId="0B528C77" w14:textId="77777777" w:rsidR="00F43362" w:rsidRPr="008F4F24" w:rsidRDefault="00F43362" w:rsidP="00F43362">
      <w:pPr>
        <w:pStyle w:val="PwCNormal"/>
        <w:rPr>
          <w:rFonts w:ascii="Arial" w:hAnsi="Arial"/>
          <w:sz w:val="24"/>
          <w:szCs w:val="24"/>
        </w:rPr>
      </w:pPr>
    </w:p>
    <w:p w14:paraId="78E36767" w14:textId="77777777" w:rsidR="008F4F24" w:rsidRDefault="008F4F24" w:rsidP="00F43362">
      <w:pPr>
        <w:pStyle w:val="Heading1"/>
        <w:rPr>
          <w:rFonts w:asciiTheme="minorHAnsi" w:hAnsiTheme="minorHAnsi"/>
          <w:sz w:val="40"/>
          <w:szCs w:val="40"/>
        </w:rPr>
      </w:pPr>
    </w:p>
    <w:p w14:paraId="75A7828A" w14:textId="77777777" w:rsidR="00A37EA7" w:rsidRDefault="00A37EA7" w:rsidP="00A37EA7"/>
    <w:p w14:paraId="01EF09E7" w14:textId="77777777" w:rsidR="003E7FCE" w:rsidRDefault="003E7FCE" w:rsidP="00A37EA7"/>
    <w:p w14:paraId="4A5B86F6" w14:textId="77777777" w:rsidR="003E7FCE" w:rsidRPr="00A37EA7" w:rsidRDefault="003E7FCE" w:rsidP="00A37EA7"/>
    <w:p w14:paraId="7DD55EA5" w14:textId="4E10C401" w:rsidR="008C174D" w:rsidRDefault="008C174D">
      <w:pPr>
        <w:rPr>
          <w:rFonts w:asciiTheme="majorHAnsi" w:eastAsiaTheme="majorEastAsia" w:hAnsiTheme="majorHAnsi" w:cstheme="majorBidi"/>
          <w:b/>
          <w:bCs/>
          <w:color w:val="345A8A" w:themeColor="accent1" w:themeShade="B5"/>
          <w:sz w:val="40"/>
          <w:szCs w:val="40"/>
        </w:rPr>
      </w:pPr>
    </w:p>
    <w:p w14:paraId="6334C50B" w14:textId="2B7D37E0" w:rsidR="0020333A" w:rsidRPr="003E7FCE" w:rsidRDefault="0020333A" w:rsidP="0020333A">
      <w:pPr>
        <w:pStyle w:val="Heading1"/>
        <w:rPr>
          <w:sz w:val="40"/>
          <w:szCs w:val="40"/>
        </w:rPr>
      </w:pPr>
      <w:r w:rsidRPr="003E7FCE">
        <w:rPr>
          <w:sz w:val="40"/>
          <w:szCs w:val="40"/>
        </w:rPr>
        <w:lastRenderedPageBreak/>
        <w:t xml:space="preserve">Appendix A: List of Contributors </w:t>
      </w:r>
    </w:p>
    <w:p w14:paraId="7A782E21" w14:textId="77777777" w:rsidR="0020333A" w:rsidRPr="0020333A" w:rsidRDefault="0020333A" w:rsidP="0020333A"/>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103"/>
      </w:tblGrid>
      <w:tr w:rsidR="003E7FCE" w14:paraId="118CD703" w14:textId="77777777" w:rsidTr="0079491A">
        <w:tc>
          <w:tcPr>
            <w:tcW w:w="4786" w:type="dxa"/>
          </w:tcPr>
          <w:p w14:paraId="603A85BC" w14:textId="4F4C3800" w:rsidR="0020333A" w:rsidRPr="003E7FCE" w:rsidRDefault="00177D06" w:rsidP="00F43362">
            <w:pPr>
              <w:jc w:val="both"/>
              <w:rPr>
                <w:rFonts w:asciiTheme="minorHAnsi" w:hAnsiTheme="minorHAnsi"/>
                <w:bCs/>
                <w:sz w:val="24"/>
                <w:szCs w:val="24"/>
              </w:rPr>
            </w:pPr>
            <w:r w:rsidRPr="003E7FCE">
              <w:rPr>
                <w:rFonts w:asciiTheme="minorHAnsi" w:hAnsiTheme="minorHAnsi" w:cs="Arial"/>
                <w:b/>
                <w:sz w:val="24"/>
                <w:szCs w:val="24"/>
              </w:rPr>
              <w:t>Australians for Disability Justice</w:t>
            </w:r>
          </w:p>
        </w:tc>
        <w:tc>
          <w:tcPr>
            <w:tcW w:w="5103" w:type="dxa"/>
          </w:tcPr>
          <w:p w14:paraId="08021132" w14:textId="6B386552" w:rsidR="00177D06" w:rsidRPr="003E7FCE" w:rsidRDefault="00177D06" w:rsidP="00177D06">
            <w:pPr>
              <w:rPr>
                <w:rFonts w:asciiTheme="minorHAnsi" w:hAnsiTheme="minorHAnsi" w:cs="Arial"/>
                <w:sz w:val="24"/>
                <w:szCs w:val="24"/>
              </w:rPr>
            </w:pPr>
            <w:r w:rsidRPr="003E7FCE">
              <w:rPr>
                <w:rFonts w:asciiTheme="minorHAnsi" w:hAnsiTheme="minorHAnsi" w:cs="Arial"/>
                <w:sz w:val="24"/>
                <w:szCs w:val="24"/>
              </w:rPr>
              <w:t>Patrick McGee &amp; Ian Mc</w:t>
            </w:r>
            <w:r w:rsidR="004B6BAB">
              <w:rPr>
                <w:rFonts w:asciiTheme="minorHAnsi" w:hAnsiTheme="minorHAnsi" w:cs="Arial"/>
                <w:sz w:val="24"/>
                <w:szCs w:val="24"/>
              </w:rPr>
              <w:t>K</w:t>
            </w:r>
            <w:r w:rsidRPr="003E7FCE">
              <w:rPr>
                <w:rFonts w:asciiTheme="minorHAnsi" w:hAnsiTheme="minorHAnsi" w:cs="Arial"/>
                <w:sz w:val="24"/>
                <w:szCs w:val="24"/>
              </w:rPr>
              <w:t>Inlay</w:t>
            </w:r>
          </w:p>
          <w:p w14:paraId="4029757B" w14:textId="77777777" w:rsidR="0020333A" w:rsidRPr="003E7FCE" w:rsidRDefault="0020333A" w:rsidP="00F43362">
            <w:pPr>
              <w:jc w:val="both"/>
              <w:rPr>
                <w:rFonts w:asciiTheme="minorHAnsi" w:hAnsiTheme="minorHAnsi"/>
                <w:bCs/>
                <w:sz w:val="24"/>
                <w:szCs w:val="24"/>
              </w:rPr>
            </w:pPr>
          </w:p>
        </w:tc>
      </w:tr>
      <w:tr w:rsidR="003E7FCE" w14:paraId="5E783FB7" w14:textId="77777777" w:rsidTr="0079491A">
        <w:tc>
          <w:tcPr>
            <w:tcW w:w="4786" w:type="dxa"/>
          </w:tcPr>
          <w:p w14:paraId="63215412" w14:textId="6ACEB689" w:rsidR="0020333A" w:rsidRPr="003E7FCE" w:rsidRDefault="00177D06" w:rsidP="00177D06">
            <w:pPr>
              <w:rPr>
                <w:rFonts w:asciiTheme="minorHAnsi" w:hAnsiTheme="minorHAnsi" w:cs="Arial"/>
                <w:sz w:val="24"/>
                <w:szCs w:val="24"/>
              </w:rPr>
            </w:pPr>
            <w:r w:rsidRPr="003E7FCE">
              <w:rPr>
                <w:rFonts w:asciiTheme="minorHAnsi" w:hAnsiTheme="minorHAnsi" w:cs="Arial"/>
                <w:b/>
                <w:sz w:val="24"/>
                <w:szCs w:val="24"/>
              </w:rPr>
              <w:t>Australian Lawyers for Human Rights</w:t>
            </w:r>
          </w:p>
        </w:tc>
        <w:tc>
          <w:tcPr>
            <w:tcW w:w="5103" w:type="dxa"/>
          </w:tcPr>
          <w:p w14:paraId="5C3EF9C0" w14:textId="77777777" w:rsidR="00177D06" w:rsidRPr="003E7FCE" w:rsidRDefault="00177D06" w:rsidP="00177D06">
            <w:pPr>
              <w:rPr>
                <w:rFonts w:asciiTheme="minorHAnsi" w:hAnsiTheme="minorHAnsi" w:cs="Arial"/>
                <w:sz w:val="24"/>
                <w:szCs w:val="24"/>
              </w:rPr>
            </w:pPr>
            <w:r w:rsidRPr="003E7FCE">
              <w:rPr>
                <w:rFonts w:asciiTheme="minorHAnsi" w:hAnsiTheme="minorHAnsi" w:cs="Arial"/>
                <w:sz w:val="24"/>
                <w:szCs w:val="24"/>
              </w:rPr>
              <w:t>Natalie Wade</w:t>
            </w:r>
          </w:p>
          <w:p w14:paraId="10A32968" w14:textId="77777777" w:rsidR="0020333A" w:rsidRPr="003E7FCE" w:rsidRDefault="0020333A" w:rsidP="00F43362">
            <w:pPr>
              <w:jc w:val="both"/>
              <w:rPr>
                <w:rFonts w:asciiTheme="minorHAnsi" w:hAnsiTheme="minorHAnsi"/>
                <w:bCs/>
                <w:sz w:val="24"/>
                <w:szCs w:val="24"/>
              </w:rPr>
            </w:pPr>
          </w:p>
        </w:tc>
      </w:tr>
      <w:tr w:rsidR="003E7FCE" w14:paraId="4B84B222" w14:textId="77777777" w:rsidTr="0079491A">
        <w:tc>
          <w:tcPr>
            <w:tcW w:w="4786" w:type="dxa"/>
          </w:tcPr>
          <w:p w14:paraId="46312D84" w14:textId="7DA19533" w:rsidR="0020333A" w:rsidRPr="003E7FCE" w:rsidRDefault="00177D06" w:rsidP="00F43362">
            <w:pPr>
              <w:jc w:val="both"/>
              <w:rPr>
                <w:rFonts w:asciiTheme="minorHAnsi" w:hAnsiTheme="minorHAnsi"/>
                <w:bCs/>
                <w:sz w:val="24"/>
                <w:szCs w:val="24"/>
              </w:rPr>
            </w:pPr>
            <w:r w:rsidRPr="003E7FCE">
              <w:rPr>
                <w:rFonts w:asciiTheme="minorHAnsi" w:hAnsiTheme="minorHAnsi" w:cs="Arial"/>
                <w:b/>
                <w:sz w:val="24"/>
                <w:szCs w:val="24"/>
              </w:rPr>
              <w:t xml:space="preserve">Community Restorative Centre </w:t>
            </w:r>
            <w:r w:rsidRPr="003E7FCE">
              <w:rPr>
                <w:rFonts w:asciiTheme="minorHAnsi" w:hAnsiTheme="minorHAnsi" w:cs="Arial"/>
                <w:b/>
                <w:sz w:val="24"/>
                <w:szCs w:val="24"/>
              </w:rPr>
              <w:tab/>
            </w:r>
          </w:p>
        </w:tc>
        <w:tc>
          <w:tcPr>
            <w:tcW w:w="5103" w:type="dxa"/>
          </w:tcPr>
          <w:p w14:paraId="5AC0D2D2" w14:textId="5E785AC4" w:rsidR="00177D06" w:rsidRPr="003E7FCE" w:rsidRDefault="00177D06" w:rsidP="00177D06">
            <w:pPr>
              <w:rPr>
                <w:rFonts w:asciiTheme="minorHAnsi" w:hAnsiTheme="minorHAnsi" w:cs="Arial"/>
                <w:sz w:val="24"/>
                <w:szCs w:val="24"/>
              </w:rPr>
            </w:pPr>
            <w:r w:rsidRPr="003E7FCE">
              <w:rPr>
                <w:rFonts w:asciiTheme="minorHAnsi" w:hAnsiTheme="minorHAnsi" w:cs="Arial"/>
                <w:sz w:val="24"/>
                <w:szCs w:val="24"/>
              </w:rPr>
              <w:t>Alison Churchill, Dr Mindy Sotiri &amp; Simone Rowe</w:t>
            </w:r>
          </w:p>
          <w:p w14:paraId="67ABF937" w14:textId="77777777" w:rsidR="0020333A" w:rsidRPr="003E7FCE" w:rsidRDefault="0020333A" w:rsidP="00F43362">
            <w:pPr>
              <w:jc w:val="both"/>
              <w:rPr>
                <w:rFonts w:asciiTheme="minorHAnsi" w:hAnsiTheme="minorHAnsi"/>
                <w:bCs/>
                <w:sz w:val="24"/>
                <w:szCs w:val="24"/>
              </w:rPr>
            </w:pPr>
          </w:p>
        </w:tc>
      </w:tr>
      <w:tr w:rsidR="003E7FCE" w14:paraId="315210AE" w14:textId="77777777" w:rsidTr="0079491A">
        <w:tc>
          <w:tcPr>
            <w:tcW w:w="4786" w:type="dxa"/>
          </w:tcPr>
          <w:p w14:paraId="6D554CE1" w14:textId="3926CDC7" w:rsidR="00177D06" w:rsidRPr="003E7FCE" w:rsidRDefault="00177D06" w:rsidP="00177D06">
            <w:pPr>
              <w:rPr>
                <w:rFonts w:asciiTheme="minorHAnsi" w:hAnsiTheme="minorHAnsi" w:cs="Arial"/>
                <w:sz w:val="24"/>
                <w:szCs w:val="24"/>
              </w:rPr>
            </w:pPr>
            <w:r w:rsidRPr="003E7FCE">
              <w:rPr>
                <w:rFonts w:asciiTheme="minorHAnsi" w:hAnsiTheme="minorHAnsi" w:cs="Arial"/>
                <w:b/>
                <w:sz w:val="24"/>
                <w:szCs w:val="24"/>
              </w:rPr>
              <w:t>Deaf Indigenous Community Consultancy</w:t>
            </w:r>
            <w:r w:rsidRPr="003E7FCE">
              <w:rPr>
                <w:rFonts w:asciiTheme="minorHAnsi" w:hAnsiTheme="minorHAnsi" w:cs="Arial"/>
                <w:sz w:val="24"/>
                <w:szCs w:val="24"/>
              </w:rPr>
              <w:tab/>
            </w:r>
          </w:p>
          <w:p w14:paraId="3CB2A58F" w14:textId="77777777" w:rsidR="0020333A" w:rsidRPr="003E7FCE" w:rsidRDefault="0020333A" w:rsidP="00F43362">
            <w:pPr>
              <w:jc w:val="both"/>
              <w:rPr>
                <w:rFonts w:asciiTheme="minorHAnsi" w:hAnsiTheme="minorHAnsi"/>
                <w:bCs/>
                <w:sz w:val="24"/>
                <w:szCs w:val="24"/>
              </w:rPr>
            </w:pPr>
          </w:p>
        </w:tc>
        <w:tc>
          <w:tcPr>
            <w:tcW w:w="5103" w:type="dxa"/>
          </w:tcPr>
          <w:p w14:paraId="4626E3D1" w14:textId="77777777" w:rsidR="00177D06" w:rsidRPr="003E7FCE" w:rsidRDefault="00177D06" w:rsidP="00177D06">
            <w:pPr>
              <w:rPr>
                <w:rFonts w:asciiTheme="minorHAnsi" w:hAnsiTheme="minorHAnsi" w:cs="Arial"/>
                <w:sz w:val="24"/>
                <w:szCs w:val="24"/>
              </w:rPr>
            </w:pPr>
            <w:r w:rsidRPr="003E7FCE">
              <w:rPr>
                <w:rFonts w:asciiTheme="minorHAnsi" w:hAnsiTheme="minorHAnsi" w:cs="Arial"/>
                <w:sz w:val="24"/>
                <w:szCs w:val="24"/>
              </w:rPr>
              <w:t>Jody Barney</w:t>
            </w:r>
          </w:p>
          <w:p w14:paraId="2C86254F" w14:textId="77777777" w:rsidR="0020333A" w:rsidRPr="003E7FCE" w:rsidRDefault="0020333A" w:rsidP="00F43362">
            <w:pPr>
              <w:jc w:val="both"/>
              <w:rPr>
                <w:rFonts w:asciiTheme="minorHAnsi" w:hAnsiTheme="minorHAnsi"/>
                <w:bCs/>
                <w:sz w:val="24"/>
                <w:szCs w:val="24"/>
              </w:rPr>
            </w:pPr>
          </w:p>
        </w:tc>
      </w:tr>
      <w:tr w:rsidR="003E7FCE" w14:paraId="2DA735AD" w14:textId="77777777" w:rsidTr="0079491A">
        <w:tc>
          <w:tcPr>
            <w:tcW w:w="4786" w:type="dxa"/>
          </w:tcPr>
          <w:p w14:paraId="3166377A" w14:textId="77777777" w:rsidR="00177D06" w:rsidRPr="003E7FCE" w:rsidRDefault="00177D06" w:rsidP="00177D06">
            <w:pPr>
              <w:rPr>
                <w:rFonts w:asciiTheme="minorHAnsi" w:hAnsiTheme="minorHAnsi" w:cs="Arial"/>
                <w:sz w:val="24"/>
                <w:szCs w:val="24"/>
              </w:rPr>
            </w:pPr>
            <w:r w:rsidRPr="003E7FCE">
              <w:rPr>
                <w:rFonts w:asciiTheme="minorHAnsi" w:hAnsiTheme="minorHAnsi" w:cs="Arial"/>
                <w:b/>
                <w:sz w:val="24"/>
                <w:szCs w:val="24"/>
              </w:rPr>
              <w:t>Developmental Disability Council WA</w:t>
            </w:r>
            <w:r w:rsidRPr="003E7FCE">
              <w:rPr>
                <w:rFonts w:asciiTheme="minorHAnsi" w:hAnsiTheme="minorHAnsi" w:cs="Arial"/>
                <w:sz w:val="24"/>
                <w:szCs w:val="24"/>
              </w:rPr>
              <w:t xml:space="preserve">           </w:t>
            </w:r>
          </w:p>
          <w:p w14:paraId="3456B9E7" w14:textId="77777777" w:rsidR="0020333A" w:rsidRPr="003E7FCE" w:rsidRDefault="0020333A" w:rsidP="00F43362">
            <w:pPr>
              <w:jc w:val="both"/>
              <w:rPr>
                <w:rFonts w:asciiTheme="minorHAnsi" w:hAnsiTheme="minorHAnsi"/>
                <w:bCs/>
                <w:sz w:val="24"/>
                <w:szCs w:val="24"/>
              </w:rPr>
            </w:pPr>
          </w:p>
        </w:tc>
        <w:tc>
          <w:tcPr>
            <w:tcW w:w="5103" w:type="dxa"/>
          </w:tcPr>
          <w:p w14:paraId="5C9287D8" w14:textId="77777777" w:rsidR="00177D06" w:rsidRPr="003E7FCE" w:rsidRDefault="00177D06" w:rsidP="00177D06">
            <w:pPr>
              <w:rPr>
                <w:rFonts w:asciiTheme="minorHAnsi" w:hAnsiTheme="minorHAnsi" w:cs="Arial"/>
                <w:sz w:val="24"/>
                <w:szCs w:val="24"/>
              </w:rPr>
            </w:pPr>
            <w:r w:rsidRPr="003E7FCE">
              <w:rPr>
                <w:rFonts w:asciiTheme="minorHAnsi" w:hAnsiTheme="minorHAnsi" w:cs="Arial"/>
                <w:sz w:val="24"/>
                <w:szCs w:val="24"/>
              </w:rPr>
              <w:t>Taryn Harvey</w:t>
            </w:r>
          </w:p>
          <w:p w14:paraId="7E26B2D3" w14:textId="77777777" w:rsidR="0020333A" w:rsidRPr="003E7FCE" w:rsidRDefault="0020333A" w:rsidP="00F43362">
            <w:pPr>
              <w:jc w:val="both"/>
              <w:rPr>
                <w:rFonts w:asciiTheme="minorHAnsi" w:hAnsiTheme="minorHAnsi"/>
                <w:bCs/>
                <w:sz w:val="24"/>
                <w:szCs w:val="24"/>
              </w:rPr>
            </w:pPr>
          </w:p>
        </w:tc>
      </w:tr>
      <w:tr w:rsidR="003E7FCE" w14:paraId="5DD3F5DC" w14:textId="77777777" w:rsidTr="0079491A">
        <w:tc>
          <w:tcPr>
            <w:tcW w:w="4786" w:type="dxa"/>
          </w:tcPr>
          <w:p w14:paraId="02C2EC6B" w14:textId="5CC3D362" w:rsidR="0020333A" w:rsidRPr="003E7FCE" w:rsidRDefault="00177D06" w:rsidP="00177D06">
            <w:pPr>
              <w:rPr>
                <w:rFonts w:asciiTheme="minorHAnsi" w:hAnsiTheme="minorHAnsi" w:cs="Arial"/>
                <w:b/>
                <w:sz w:val="24"/>
                <w:szCs w:val="24"/>
              </w:rPr>
            </w:pPr>
            <w:r w:rsidRPr="003E7FCE">
              <w:rPr>
                <w:rFonts w:asciiTheme="minorHAnsi" w:hAnsiTheme="minorHAnsi" w:cs="Arial"/>
                <w:b/>
                <w:sz w:val="24"/>
                <w:szCs w:val="24"/>
              </w:rPr>
              <w:t>Endeavour Foundation</w:t>
            </w:r>
          </w:p>
        </w:tc>
        <w:tc>
          <w:tcPr>
            <w:tcW w:w="5103" w:type="dxa"/>
          </w:tcPr>
          <w:p w14:paraId="717CB871" w14:textId="77777777" w:rsidR="00177D06" w:rsidRPr="003E7FCE" w:rsidRDefault="00177D06" w:rsidP="00177D06">
            <w:pPr>
              <w:rPr>
                <w:rFonts w:asciiTheme="minorHAnsi" w:hAnsiTheme="minorHAnsi" w:cs="Arial"/>
                <w:b/>
                <w:sz w:val="24"/>
                <w:szCs w:val="24"/>
              </w:rPr>
            </w:pPr>
            <w:r w:rsidRPr="003E7FCE">
              <w:rPr>
                <w:rFonts w:asciiTheme="minorHAnsi" w:hAnsiTheme="minorHAnsi" w:cs="Arial"/>
                <w:sz w:val="24"/>
                <w:szCs w:val="24"/>
              </w:rPr>
              <w:t>Simon Wardale</w:t>
            </w:r>
          </w:p>
          <w:p w14:paraId="0AF46BB0" w14:textId="77777777" w:rsidR="0020333A" w:rsidRPr="003E7FCE" w:rsidRDefault="0020333A" w:rsidP="00F43362">
            <w:pPr>
              <w:jc w:val="both"/>
              <w:rPr>
                <w:rFonts w:asciiTheme="minorHAnsi" w:hAnsiTheme="minorHAnsi"/>
                <w:bCs/>
                <w:sz w:val="24"/>
                <w:szCs w:val="24"/>
              </w:rPr>
            </w:pPr>
          </w:p>
        </w:tc>
      </w:tr>
      <w:tr w:rsidR="003E7FCE" w14:paraId="4E6F4C3E" w14:textId="77777777" w:rsidTr="0079491A">
        <w:tc>
          <w:tcPr>
            <w:tcW w:w="4786" w:type="dxa"/>
          </w:tcPr>
          <w:p w14:paraId="278BEF3A" w14:textId="41DD2AE8" w:rsidR="0020333A" w:rsidRPr="003E7FCE" w:rsidRDefault="00177D06" w:rsidP="00F43362">
            <w:pPr>
              <w:jc w:val="both"/>
              <w:rPr>
                <w:rFonts w:asciiTheme="minorHAnsi" w:hAnsiTheme="minorHAnsi"/>
                <w:bCs/>
                <w:sz w:val="24"/>
                <w:szCs w:val="24"/>
              </w:rPr>
            </w:pPr>
            <w:r w:rsidRPr="003E7FCE">
              <w:rPr>
                <w:rFonts w:asciiTheme="minorHAnsi" w:hAnsiTheme="minorHAnsi" w:cs="Arial"/>
                <w:b/>
                <w:sz w:val="24"/>
                <w:szCs w:val="24"/>
              </w:rPr>
              <w:t>Funds in Court</w:t>
            </w:r>
          </w:p>
        </w:tc>
        <w:tc>
          <w:tcPr>
            <w:tcW w:w="5103" w:type="dxa"/>
          </w:tcPr>
          <w:p w14:paraId="29F891BD" w14:textId="77777777" w:rsidR="00177D06" w:rsidRPr="003E7FCE" w:rsidRDefault="00177D06" w:rsidP="00177D06">
            <w:pPr>
              <w:rPr>
                <w:rFonts w:asciiTheme="minorHAnsi" w:hAnsiTheme="minorHAnsi" w:cs="Arial"/>
                <w:sz w:val="24"/>
                <w:szCs w:val="24"/>
              </w:rPr>
            </w:pPr>
            <w:r w:rsidRPr="003E7FCE">
              <w:rPr>
                <w:rFonts w:asciiTheme="minorHAnsi" w:hAnsiTheme="minorHAnsi" w:cs="Arial"/>
                <w:sz w:val="24"/>
                <w:szCs w:val="24"/>
              </w:rPr>
              <w:t>Miranda Bain &amp; Glenn Jordan</w:t>
            </w:r>
          </w:p>
          <w:p w14:paraId="3E65475B" w14:textId="77777777" w:rsidR="0020333A" w:rsidRPr="003E7FCE" w:rsidRDefault="0020333A" w:rsidP="00F43362">
            <w:pPr>
              <w:jc w:val="both"/>
              <w:rPr>
                <w:rFonts w:asciiTheme="minorHAnsi" w:hAnsiTheme="minorHAnsi"/>
                <w:bCs/>
                <w:sz w:val="24"/>
                <w:szCs w:val="24"/>
              </w:rPr>
            </w:pPr>
          </w:p>
        </w:tc>
      </w:tr>
      <w:tr w:rsidR="003E7FCE" w14:paraId="18617EDB" w14:textId="77777777" w:rsidTr="0079491A">
        <w:tc>
          <w:tcPr>
            <w:tcW w:w="4786" w:type="dxa"/>
          </w:tcPr>
          <w:p w14:paraId="3772C79C" w14:textId="77777777" w:rsidR="00177D06" w:rsidRPr="003E7FCE" w:rsidRDefault="00177D06" w:rsidP="00177D06">
            <w:pPr>
              <w:rPr>
                <w:rFonts w:asciiTheme="minorHAnsi" w:hAnsiTheme="minorHAnsi" w:cs="Arial"/>
                <w:sz w:val="24"/>
                <w:szCs w:val="24"/>
              </w:rPr>
            </w:pPr>
            <w:r w:rsidRPr="003E7FCE">
              <w:rPr>
                <w:rFonts w:asciiTheme="minorHAnsi" w:hAnsiTheme="minorHAnsi" w:cs="Arial"/>
                <w:b/>
                <w:sz w:val="24"/>
                <w:szCs w:val="24"/>
              </w:rPr>
              <w:t>Intellectual Disability Rights Service</w:t>
            </w:r>
            <w:r w:rsidRPr="003E7FCE">
              <w:rPr>
                <w:rFonts w:asciiTheme="minorHAnsi" w:hAnsiTheme="minorHAnsi" w:cs="Arial"/>
                <w:sz w:val="24"/>
                <w:szCs w:val="24"/>
              </w:rPr>
              <w:t xml:space="preserve">               </w:t>
            </w:r>
          </w:p>
          <w:p w14:paraId="1ECCCCBA" w14:textId="77777777" w:rsidR="0020333A" w:rsidRPr="003E7FCE" w:rsidRDefault="0020333A" w:rsidP="00F43362">
            <w:pPr>
              <w:jc w:val="both"/>
              <w:rPr>
                <w:rFonts w:asciiTheme="minorHAnsi" w:hAnsiTheme="minorHAnsi"/>
                <w:bCs/>
                <w:sz w:val="24"/>
                <w:szCs w:val="24"/>
              </w:rPr>
            </w:pPr>
          </w:p>
        </w:tc>
        <w:tc>
          <w:tcPr>
            <w:tcW w:w="5103" w:type="dxa"/>
          </w:tcPr>
          <w:p w14:paraId="16424C06" w14:textId="77777777" w:rsidR="00177D06" w:rsidRPr="003E7FCE" w:rsidRDefault="00177D06" w:rsidP="00177D06">
            <w:pPr>
              <w:rPr>
                <w:rFonts w:asciiTheme="minorHAnsi" w:hAnsiTheme="minorHAnsi" w:cs="Arial"/>
                <w:sz w:val="24"/>
                <w:szCs w:val="24"/>
              </w:rPr>
            </w:pPr>
            <w:r w:rsidRPr="003E7FCE">
              <w:rPr>
                <w:rFonts w:asciiTheme="minorHAnsi" w:hAnsiTheme="minorHAnsi" w:cs="Arial"/>
                <w:sz w:val="24"/>
                <w:szCs w:val="24"/>
              </w:rPr>
              <w:t>Kelly Watson &amp; Janene Cootes</w:t>
            </w:r>
          </w:p>
          <w:p w14:paraId="31D6CC1F" w14:textId="77777777" w:rsidR="0020333A" w:rsidRPr="003E7FCE" w:rsidRDefault="0020333A" w:rsidP="00F43362">
            <w:pPr>
              <w:jc w:val="both"/>
              <w:rPr>
                <w:rFonts w:asciiTheme="minorHAnsi" w:hAnsiTheme="minorHAnsi"/>
                <w:bCs/>
                <w:sz w:val="24"/>
                <w:szCs w:val="24"/>
              </w:rPr>
            </w:pPr>
          </w:p>
        </w:tc>
      </w:tr>
      <w:tr w:rsidR="003E7FCE" w14:paraId="444D76AA" w14:textId="77777777" w:rsidTr="0079491A">
        <w:tc>
          <w:tcPr>
            <w:tcW w:w="4786" w:type="dxa"/>
          </w:tcPr>
          <w:p w14:paraId="6F4C56DF" w14:textId="0A068983" w:rsidR="0020333A" w:rsidRPr="003E7FCE" w:rsidRDefault="00177D06" w:rsidP="00F43362">
            <w:pPr>
              <w:jc w:val="both"/>
              <w:rPr>
                <w:rFonts w:asciiTheme="minorHAnsi" w:hAnsiTheme="minorHAnsi"/>
                <w:bCs/>
                <w:sz w:val="24"/>
                <w:szCs w:val="24"/>
              </w:rPr>
            </w:pPr>
            <w:r w:rsidRPr="003E7FCE">
              <w:rPr>
                <w:rFonts w:asciiTheme="minorHAnsi" w:hAnsiTheme="minorHAnsi" w:cs="Arial"/>
                <w:b/>
                <w:sz w:val="24"/>
                <w:szCs w:val="24"/>
              </w:rPr>
              <w:t>NSW Council for Intellectual Disability</w:t>
            </w:r>
            <w:r w:rsidRPr="003E7FCE">
              <w:rPr>
                <w:rFonts w:asciiTheme="minorHAnsi" w:hAnsiTheme="minorHAnsi" w:cs="Arial"/>
                <w:sz w:val="24"/>
                <w:szCs w:val="24"/>
              </w:rPr>
              <w:t xml:space="preserve"> </w:t>
            </w:r>
            <w:r w:rsidRPr="003E7FCE">
              <w:rPr>
                <w:rFonts w:asciiTheme="minorHAnsi" w:hAnsiTheme="minorHAnsi" w:cs="Arial"/>
                <w:sz w:val="24"/>
                <w:szCs w:val="24"/>
              </w:rPr>
              <w:tab/>
            </w:r>
          </w:p>
        </w:tc>
        <w:tc>
          <w:tcPr>
            <w:tcW w:w="5103" w:type="dxa"/>
          </w:tcPr>
          <w:p w14:paraId="73E2611D" w14:textId="77777777" w:rsidR="00177D06" w:rsidRPr="003E7FCE" w:rsidRDefault="00177D06" w:rsidP="00177D06">
            <w:pPr>
              <w:rPr>
                <w:rFonts w:asciiTheme="minorHAnsi" w:hAnsiTheme="minorHAnsi" w:cs="Arial"/>
                <w:b/>
                <w:sz w:val="24"/>
                <w:szCs w:val="24"/>
              </w:rPr>
            </w:pPr>
            <w:r w:rsidRPr="003E7FCE">
              <w:rPr>
                <w:rFonts w:asciiTheme="minorHAnsi" w:hAnsiTheme="minorHAnsi" w:cs="Arial"/>
                <w:sz w:val="24"/>
                <w:szCs w:val="24"/>
              </w:rPr>
              <w:t>Jim Simpson</w:t>
            </w:r>
          </w:p>
          <w:p w14:paraId="5EAD9582" w14:textId="77777777" w:rsidR="0020333A" w:rsidRPr="003E7FCE" w:rsidRDefault="0020333A" w:rsidP="00F43362">
            <w:pPr>
              <w:jc w:val="both"/>
              <w:rPr>
                <w:rFonts w:asciiTheme="minorHAnsi" w:hAnsiTheme="minorHAnsi"/>
                <w:bCs/>
                <w:sz w:val="24"/>
                <w:szCs w:val="24"/>
              </w:rPr>
            </w:pPr>
          </w:p>
        </w:tc>
      </w:tr>
      <w:tr w:rsidR="003E7FCE" w14:paraId="665353A1" w14:textId="77777777" w:rsidTr="0079491A">
        <w:tc>
          <w:tcPr>
            <w:tcW w:w="4786" w:type="dxa"/>
          </w:tcPr>
          <w:p w14:paraId="5EAC5A60" w14:textId="77777777" w:rsidR="00177D06" w:rsidRPr="003E7FCE" w:rsidRDefault="00177D06" w:rsidP="00177D06">
            <w:pPr>
              <w:rPr>
                <w:rFonts w:asciiTheme="minorHAnsi" w:hAnsiTheme="minorHAnsi" w:cs="Arial"/>
                <w:sz w:val="24"/>
                <w:szCs w:val="24"/>
              </w:rPr>
            </w:pPr>
            <w:r w:rsidRPr="003E7FCE">
              <w:rPr>
                <w:rFonts w:asciiTheme="minorHAnsi" w:hAnsiTheme="minorHAnsi" w:cs="Arial"/>
                <w:b/>
                <w:sz w:val="24"/>
                <w:szCs w:val="24"/>
              </w:rPr>
              <w:t>Queensland Advocacy Inc.</w:t>
            </w:r>
            <w:r w:rsidRPr="003E7FCE">
              <w:rPr>
                <w:rFonts w:asciiTheme="minorHAnsi" w:hAnsiTheme="minorHAnsi" w:cs="Arial"/>
                <w:sz w:val="24"/>
                <w:szCs w:val="24"/>
              </w:rPr>
              <w:t xml:space="preserve">                                </w:t>
            </w:r>
          </w:p>
          <w:p w14:paraId="6ACE3AD0" w14:textId="77777777" w:rsidR="0020333A" w:rsidRPr="003E7FCE" w:rsidRDefault="0020333A" w:rsidP="00F43362">
            <w:pPr>
              <w:jc w:val="both"/>
              <w:rPr>
                <w:rFonts w:asciiTheme="minorHAnsi" w:hAnsiTheme="minorHAnsi"/>
                <w:bCs/>
                <w:sz w:val="24"/>
                <w:szCs w:val="24"/>
              </w:rPr>
            </w:pPr>
          </w:p>
        </w:tc>
        <w:tc>
          <w:tcPr>
            <w:tcW w:w="5103" w:type="dxa"/>
          </w:tcPr>
          <w:p w14:paraId="3A3AE2D3" w14:textId="30618B0A" w:rsidR="00177D06" w:rsidRPr="003E7FCE" w:rsidRDefault="00496E6D" w:rsidP="00177D06">
            <w:pPr>
              <w:rPr>
                <w:rFonts w:asciiTheme="minorHAnsi" w:hAnsiTheme="minorHAnsi" w:cs="Arial"/>
                <w:sz w:val="24"/>
                <w:szCs w:val="24"/>
              </w:rPr>
            </w:pPr>
            <w:r w:rsidRPr="003E7FCE">
              <w:rPr>
                <w:rFonts w:asciiTheme="minorHAnsi" w:hAnsiTheme="minorHAnsi" w:cs="Arial"/>
                <w:sz w:val="24"/>
                <w:szCs w:val="24"/>
              </w:rPr>
              <w:t xml:space="preserve">Dr Emma Phillips, </w:t>
            </w:r>
            <w:r w:rsidR="00177D06" w:rsidRPr="003E7FCE">
              <w:rPr>
                <w:rFonts w:asciiTheme="minorHAnsi" w:hAnsiTheme="minorHAnsi" w:cs="Arial"/>
                <w:sz w:val="24"/>
                <w:szCs w:val="24"/>
              </w:rPr>
              <w:t>Dr Nick C</w:t>
            </w:r>
            <w:r w:rsidRPr="003E7FCE">
              <w:rPr>
                <w:rFonts w:asciiTheme="minorHAnsi" w:hAnsiTheme="minorHAnsi" w:cs="Arial"/>
                <w:sz w:val="24"/>
                <w:szCs w:val="24"/>
              </w:rPr>
              <w:t xml:space="preserve">ollyer &amp; </w:t>
            </w:r>
            <w:r w:rsidR="00177D06" w:rsidRPr="003E7FCE">
              <w:rPr>
                <w:rFonts w:asciiTheme="minorHAnsi" w:hAnsiTheme="minorHAnsi" w:cs="Arial"/>
                <w:sz w:val="24"/>
                <w:szCs w:val="24"/>
              </w:rPr>
              <w:t xml:space="preserve">Michelle O’Flynn </w:t>
            </w:r>
          </w:p>
          <w:p w14:paraId="04B31C5A" w14:textId="77777777" w:rsidR="0020333A" w:rsidRPr="003E7FCE" w:rsidRDefault="0020333A" w:rsidP="00F43362">
            <w:pPr>
              <w:jc w:val="both"/>
              <w:rPr>
                <w:rFonts w:asciiTheme="minorHAnsi" w:hAnsiTheme="minorHAnsi"/>
                <w:bCs/>
                <w:sz w:val="24"/>
                <w:szCs w:val="24"/>
              </w:rPr>
            </w:pPr>
          </w:p>
        </w:tc>
      </w:tr>
      <w:tr w:rsidR="003E7FCE" w14:paraId="0618B159" w14:textId="77777777" w:rsidTr="0079491A">
        <w:tc>
          <w:tcPr>
            <w:tcW w:w="4786" w:type="dxa"/>
          </w:tcPr>
          <w:p w14:paraId="25BC2467" w14:textId="2D368E8C" w:rsidR="0020333A" w:rsidRPr="003E7FCE" w:rsidRDefault="00177D06" w:rsidP="00F43362">
            <w:pPr>
              <w:jc w:val="both"/>
              <w:rPr>
                <w:rFonts w:asciiTheme="minorHAnsi" w:hAnsiTheme="minorHAnsi"/>
                <w:bCs/>
                <w:sz w:val="24"/>
                <w:szCs w:val="24"/>
              </w:rPr>
            </w:pPr>
            <w:r w:rsidRPr="003E7FCE">
              <w:rPr>
                <w:rFonts w:asciiTheme="minorHAnsi" w:hAnsiTheme="minorHAnsi" w:cs="Arial"/>
                <w:b/>
                <w:sz w:val="24"/>
                <w:szCs w:val="24"/>
              </w:rPr>
              <w:t xml:space="preserve">University of Melbourne </w:t>
            </w:r>
            <w:r w:rsidRPr="003E7FCE">
              <w:rPr>
                <w:rFonts w:asciiTheme="minorHAnsi" w:hAnsiTheme="minorHAnsi" w:cs="Arial"/>
                <w:b/>
                <w:sz w:val="24"/>
                <w:szCs w:val="24"/>
              </w:rPr>
              <w:tab/>
            </w:r>
          </w:p>
        </w:tc>
        <w:tc>
          <w:tcPr>
            <w:tcW w:w="5103" w:type="dxa"/>
          </w:tcPr>
          <w:p w14:paraId="64C12A1E" w14:textId="77777777" w:rsidR="00177D06" w:rsidRPr="003E7FCE" w:rsidRDefault="00177D06" w:rsidP="00177D06">
            <w:pPr>
              <w:rPr>
                <w:rFonts w:asciiTheme="minorHAnsi" w:hAnsiTheme="minorHAnsi" w:cs="Arial"/>
                <w:sz w:val="24"/>
                <w:szCs w:val="24"/>
              </w:rPr>
            </w:pPr>
            <w:r w:rsidRPr="003E7FCE">
              <w:rPr>
                <w:rFonts w:asciiTheme="minorHAnsi" w:hAnsiTheme="minorHAnsi" w:cs="Arial"/>
                <w:sz w:val="24"/>
                <w:szCs w:val="24"/>
              </w:rPr>
              <w:t>Jesse Young &amp; Dr Piers Gooding</w:t>
            </w:r>
          </w:p>
          <w:p w14:paraId="3DCD3FE3" w14:textId="77777777" w:rsidR="0020333A" w:rsidRPr="003E7FCE" w:rsidRDefault="0020333A" w:rsidP="00F43362">
            <w:pPr>
              <w:jc w:val="both"/>
              <w:rPr>
                <w:rFonts w:asciiTheme="minorHAnsi" w:hAnsiTheme="minorHAnsi"/>
                <w:bCs/>
                <w:sz w:val="24"/>
                <w:szCs w:val="24"/>
              </w:rPr>
            </w:pPr>
          </w:p>
        </w:tc>
      </w:tr>
      <w:tr w:rsidR="003E7FCE" w14:paraId="087936F0" w14:textId="77777777" w:rsidTr="0079491A">
        <w:tc>
          <w:tcPr>
            <w:tcW w:w="4786" w:type="dxa"/>
          </w:tcPr>
          <w:p w14:paraId="16621A96" w14:textId="77777777" w:rsidR="00177D06" w:rsidRPr="003E7FCE" w:rsidRDefault="00177D06" w:rsidP="00177D06">
            <w:pPr>
              <w:rPr>
                <w:rFonts w:asciiTheme="minorHAnsi" w:hAnsiTheme="minorHAnsi" w:cs="Arial"/>
                <w:sz w:val="24"/>
                <w:szCs w:val="24"/>
              </w:rPr>
            </w:pPr>
            <w:r w:rsidRPr="003E7FCE">
              <w:rPr>
                <w:rFonts w:asciiTheme="minorHAnsi" w:hAnsiTheme="minorHAnsi" w:cs="Arial"/>
                <w:b/>
                <w:sz w:val="24"/>
                <w:szCs w:val="24"/>
              </w:rPr>
              <w:t>University of New South Wales</w:t>
            </w:r>
            <w:r w:rsidRPr="003E7FCE">
              <w:rPr>
                <w:rFonts w:asciiTheme="minorHAnsi" w:hAnsiTheme="minorHAnsi" w:cs="Arial"/>
                <w:sz w:val="24"/>
                <w:szCs w:val="24"/>
              </w:rPr>
              <w:t xml:space="preserve">                      </w:t>
            </w:r>
          </w:p>
          <w:p w14:paraId="7C585A8D" w14:textId="77777777" w:rsidR="0020333A" w:rsidRPr="003E7FCE" w:rsidRDefault="0020333A" w:rsidP="00F43362">
            <w:pPr>
              <w:jc w:val="both"/>
              <w:rPr>
                <w:rFonts w:asciiTheme="minorHAnsi" w:hAnsiTheme="minorHAnsi"/>
                <w:bCs/>
                <w:sz w:val="24"/>
                <w:szCs w:val="24"/>
              </w:rPr>
            </w:pPr>
          </w:p>
        </w:tc>
        <w:tc>
          <w:tcPr>
            <w:tcW w:w="5103" w:type="dxa"/>
          </w:tcPr>
          <w:p w14:paraId="1E107C10" w14:textId="72817679" w:rsidR="00177D06" w:rsidRPr="003E7FCE" w:rsidRDefault="00177D06" w:rsidP="00177D06">
            <w:pPr>
              <w:rPr>
                <w:rFonts w:asciiTheme="minorHAnsi" w:hAnsiTheme="minorHAnsi" w:cs="Arial"/>
                <w:sz w:val="24"/>
                <w:szCs w:val="24"/>
              </w:rPr>
            </w:pPr>
            <w:r w:rsidRPr="003E7FCE">
              <w:rPr>
                <w:rFonts w:asciiTheme="minorHAnsi" w:hAnsiTheme="minorHAnsi" w:cs="Arial"/>
                <w:sz w:val="24"/>
                <w:szCs w:val="24"/>
              </w:rPr>
              <w:t>Professor Eileen Baldry &amp; A/ Professor Leanne Dowse</w:t>
            </w:r>
          </w:p>
          <w:p w14:paraId="6496CE67" w14:textId="77777777" w:rsidR="0020333A" w:rsidRPr="003E7FCE" w:rsidRDefault="0020333A" w:rsidP="00F43362">
            <w:pPr>
              <w:jc w:val="both"/>
              <w:rPr>
                <w:rFonts w:asciiTheme="minorHAnsi" w:hAnsiTheme="minorHAnsi"/>
                <w:bCs/>
                <w:sz w:val="24"/>
                <w:szCs w:val="24"/>
              </w:rPr>
            </w:pPr>
          </w:p>
        </w:tc>
      </w:tr>
      <w:tr w:rsidR="003E7FCE" w14:paraId="0E8F67F7" w14:textId="77777777" w:rsidTr="0079491A">
        <w:tc>
          <w:tcPr>
            <w:tcW w:w="4786" w:type="dxa"/>
          </w:tcPr>
          <w:p w14:paraId="580AE7F0" w14:textId="77777777" w:rsidR="0079491A" w:rsidRDefault="00177D06" w:rsidP="00177D06">
            <w:pPr>
              <w:jc w:val="both"/>
              <w:rPr>
                <w:rFonts w:asciiTheme="minorHAnsi" w:hAnsiTheme="minorHAnsi"/>
                <w:b/>
                <w:sz w:val="24"/>
                <w:szCs w:val="24"/>
              </w:rPr>
            </w:pPr>
            <w:r w:rsidRPr="003E7FCE">
              <w:rPr>
                <w:rFonts w:asciiTheme="minorHAnsi" w:hAnsiTheme="minorHAnsi"/>
                <w:b/>
                <w:sz w:val="24"/>
                <w:szCs w:val="24"/>
              </w:rPr>
              <w:t xml:space="preserve">University of Tasmania, </w:t>
            </w:r>
          </w:p>
          <w:p w14:paraId="7C7043E2" w14:textId="3570B728" w:rsidR="00177D06" w:rsidRPr="003E7FCE" w:rsidRDefault="00496E6D" w:rsidP="00177D06">
            <w:pPr>
              <w:jc w:val="both"/>
              <w:rPr>
                <w:rFonts w:asciiTheme="minorHAnsi" w:hAnsiTheme="minorHAnsi"/>
                <w:b/>
                <w:sz w:val="24"/>
                <w:szCs w:val="24"/>
              </w:rPr>
            </w:pPr>
            <w:r w:rsidRPr="003E7FCE">
              <w:rPr>
                <w:rFonts w:asciiTheme="minorHAnsi" w:hAnsiTheme="minorHAnsi"/>
                <w:b/>
                <w:sz w:val="24"/>
                <w:szCs w:val="24"/>
              </w:rPr>
              <w:t>Tasmania Law Reform Institute</w:t>
            </w:r>
          </w:p>
          <w:p w14:paraId="2D3D4FC8" w14:textId="77777777" w:rsidR="0020333A" w:rsidRPr="003E7FCE" w:rsidRDefault="0020333A" w:rsidP="00F43362">
            <w:pPr>
              <w:jc w:val="both"/>
              <w:rPr>
                <w:rFonts w:asciiTheme="minorHAnsi" w:hAnsiTheme="minorHAnsi"/>
                <w:bCs/>
                <w:sz w:val="24"/>
                <w:szCs w:val="24"/>
              </w:rPr>
            </w:pPr>
          </w:p>
        </w:tc>
        <w:tc>
          <w:tcPr>
            <w:tcW w:w="5103" w:type="dxa"/>
          </w:tcPr>
          <w:p w14:paraId="242A8725" w14:textId="3CC2BDFB" w:rsidR="0020333A" w:rsidRPr="003E7FCE" w:rsidRDefault="00496E6D" w:rsidP="00F43362">
            <w:pPr>
              <w:jc w:val="both"/>
              <w:rPr>
                <w:rFonts w:asciiTheme="minorHAnsi" w:hAnsiTheme="minorHAnsi"/>
                <w:bCs/>
                <w:sz w:val="24"/>
                <w:szCs w:val="24"/>
              </w:rPr>
            </w:pPr>
            <w:r w:rsidRPr="003E7FCE">
              <w:rPr>
                <w:rFonts w:asciiTheme="minorHAnsi" w:hAnsiTheme="minorHAnsi"/>
                <w:bCs/>
                <w:sz w:val="24"/>
                <w:szCs w:val="24"/>
              </w:rPr>
              <w:t>Rikki Mawad</w:t>
            </w:r>
          </w:p>
        </w:tc>
      </w:tr>
    </w:tbl>
    <w:p w14:paraId="1FBF8DC4" w14:textId="77777777" w:rsidR="0020333A" w:rsidRPr="0020333A" w:rsidRDefault="0020333A" w:rsidP="00F43362">
      <w:pPr>
        <w:jc w:val="both"/>
        <w:rPr>
          <w:bCs/>
          <w:sz w:val="24"/>
          <w:szCs w:val="24"/>
        </w:rPr>
      </w:pPr>
    </w:p>
    <w:p w14:paraId="4255C86C" w14:textId="1FAB746E" w:rsidR="00930E31" w:rsidRPr="0079491A" w:rsidRDefault="00930E31" w:rsidP="003E7FCE">
      <w:pPr>
        <w:spacing w:line="240" w:lineRule="auto"/>
        <w:rPr>
          <w:rFonts w:cs="Arial"/>
          <w:sz w:val="24"/>
          <w:szCs w:val="24"/>
        </w:rPr>
      </w:pPr>
    </w:p>
    <w:sectPr w:rsidR="00930E31" w:rsidRPr="0079491A" w:rsidSect="005021C4">
      <w:headerReference w:type="default" r:id="rId16"/>
      <w:footerReference w:type="even" r:id="rId17"/>
      <w:footerReference w:type="default" r:id="rId18"/>
      <w:pgSz w:w="11906" w:h="16838"/>
      <w:pgMar w:top="2381"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00FB96" w14:textId="77777777" w:rsidR="000D5B4B" w:rsidRDefault="000D5B4B" w:rsidP="00F273E5">
      <w:pPr>
        <w:spacing w:after="0" w:line="240" w:lineRule="auto"/>
      </w:pPr>
      <w:r>
        <w:separator/>
      </w:r>
    </w:p>
  </w:endnote>
  <w:endnote w:type="continuationSeparator" w:id="0">
    <w:p w14:paraId="62B16C12" w14:textId="77777777" w:rsidR="000D5B4B" w:rsidRDefault="000D5B4B" w:rsidP="00F27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42AC3" w14:textId="77777777" w:rsidR="000D5B4B" w:rsidRDefault="000D5B4B" w:rsidP="005021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C9955F" w14:textId="77777777" w:rsidR="000D5B4B" w:rsidRDefault="000D5B4B" w:rsidP="004E45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D5F30" w14:textId="7841E07C" w:rsidR="000D5B4B" w:rsidRDefault="000D5B4B" w:rsidP="005021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20672">
      <w:rPr>
        <w:rStyle w:val="PageNumber"/>
        <w:noProof/>
      </w:rPr>
      <w:t>13</w:t>
    </w:r>
    <w:r>
      <w:rPr>
        <w:rStyle w:val="PageNumber"/>
      </w:rPr>
      <w:fldChar w:fldCharType="end"/>
    </w:r>
  </w:p>
  <w:p w14:paraId="2B7F7344" w14:textId="5128B5FD" w:rsidR="000D5B4B" w:rsidRDefault="000D5B4B" w:rsidP="004E452B">
    <w:pPr>
      <w:pStyle w:val="Footer"/>
      <w:ind w:right="360"/>
      <w:jc w:val="right"/>
    </w:pPr>
  </w:p>
  <w:p w14:paraId="5375CA0C" w14:textId="77777777" w:rsidR="000D5B4B" w:rsidRDefault="000D5B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2B6406" w14:textId="77777777" w:rsidR="000D5B4B" w:rsidRDefault="000D5B4B" w:rsidP="00F273E5">
      <w:pPr>
        <w:spacing w:after="0" w:line="240" w:lineRule="auto"/>
      </w:pPr>
      <w:r>
        <w:separator/>
      </w:r>
    </w:p>
  </w:footnote>
  <w:footnote w:type="continuationSeparator" w:id="0">
    <w:p w14:paraId="126E9E9A" w14:textId="77777777" w:rsidR="000D5B4B" w:rsidRDefault="000D5B4B" w:rsidP="00F273E5">
      <w:pPr>
        <w:spacing w:after="0" w:line="240" w:lineRule="auto"/>
      </w:pPr>
      <w:r>
        <w:continuationSeparator/>
      </w:r>
    </w:p>
  </w:footnote>
  <w:footnote w:id="1">
    <w:p w14:paraId="16D8E41F" w14:textId="77777777" w:rsidR="000D5B4B" w:rsidRPr="00A56535" w:rsidRDefault="000D5B4B" w:rsidP="00BA1504">
      <w:pPr>
        <w:pStyle w:val="FootnoteText"/>
        <w:rPr>
          <w:rFonts w:asciiTheme="minorHAnsi" w:hAnsiTheme="minorHAnsi"/>
          <w:sz w:val="20"/>
          <w:szCs w:val="20"/>
        </w:rPr>
      </w:pPr>
      <w:r w:rsidRPr="00A56535">
        <w:rPr>
          <w:rStyle w:val="FootnoteReference"/>
          <w:rFonts w:asciiTheme="minorHAnsi" w:hAnsiTheme="minorHAnsi"/>
          <w:sz w:val="20"/>
          <w:szCs w:val="20"/>
        </w:rPr>
        <w:footnoteRef/>
      </w:r>
      <w:r w:rsidRPr="00A56535">
        <w:rPr>
          <w:rFonts w:asciiTheme="minorHAnsi" w:hAnsiTheme="minorHAnsi"/>
          <w:sz w:val="20"/>
          <w:szCs w:val="20"/>
        </w:rPr>
        <w:t xml:space="preserve"> GA Res 61/106, UN GAOR, 61</w:t>
      </w:r>
      <w:r w:rsidRPr="00A56535">
        <w:rPr>
          <w:rFonts w:asciiTheme="minorHAnsi" w:hAnsiTheme="minorHAnsi"/>
          <w:sz w:val="20"/>
          <w:szCs w:val="20"/>
          <w:vertAlign w:val="superscript"/>
        </w:rPr>
        <w:t>st</w:t>
      </w:r>
      <w:r w:rsidRPr="00A56535">
        <w:rPr>
          <w:rFonts w:asciiTheme="minorHAnsi" w:hAnsiTheme="minorHAnsi"/>
          <w:sz w:val="20"/>
          <w:szCs w:val="20"/>
        </w:rPr>
        <w:t xml:space="preserve"> sess, 76</w:t>
      </w:r>
      <w:r w:rsidRPr="00A56535">
        <w:rPr>
          <w:rFonts w:asciiTheme="minorHAnsi" w:hAnsiTheme="minorHAnsi"/>
          <w:sz w:val="20"/>
          <w:szCs w:val="20"/>
          <w:vertAlign w:val="superscript"/>
        </w:rPr>
        <w:t>th</w:t>
      </w:r>
      <w:r w:rsidRPr="00A56535">
        <w:rPr>
          <w:rFonts w:asciiTheme="minorHAnsi" w:hAnsiTheme="minorHAnsi"/>
          <w:sz w:val="20"/>
          <w:szCs w:val="20"/>
        </w:rPr>
        <w:t xml:space="preserve"> plen mtg, UN Doc A/RES/61/106 (24 January 2007).</w:t>
      </w:r>
    </w:p>
  </w:footnote>
  <w:footnote w:id="2">
    <w:p w14:paraId="19B43F3F" w14:textId="77777777" w:rsidR="000D5B4B" w:rsidRPr="00A56535" w:rsidRDefault="000D5B4B" w:rsidP="00BA1504">
      <w:pPr>
        <w:pStyle w:val="FootnoteText"/>
        <w:rPr>
          <w:rFonts w:asciiTheme="minorHAnsi" w:hAnsiTheme="minorHAnsi"/>
          <w:sz w:val="20"/>
          <w:szCs w:val="20"/>
        </w:rPr>
      </w:pPr>
      <w:r w:rsidRPr="00A56535">
        <w:rPr>
          <w:rStyle w:val="FootnoteReference"/>
          <w:rFonts w:asciiTheme="minorHAnsi" w:hAnsiTheme="minorHAnsi"/>
          <w:sz w:val="20"/>
          <w:szCs w:val="20"/>
        </w:rPr>
        <w:footnoteRef/>
      </w:r>
      <w:r w:rsidRPr="00A56535">
        <w:rPr>
          <w:rFonts w:asciiTheme="minorHAnsi" w:hAnsiTheme="minorHAnsi"/>
          <w:sz w:val="20"/>
          <w:szCs w:val="20"/>
        </w:rPr>
        <w:t xml:space="preserve"> </w:t>
      </w:r>
      <w:r w:rsidRPr="00A56535">
        <w:rPr>
          <w:rFonts w:asciiTheme="minorHAnsi" w:hAnsiTheme="minorHAnsi"/>
          <w:i/>
          <w:sz w:val="20"/>
          <w:szCs w:val="20"/>
        </w:rPr>
        <w:t xml:space="preserve">UNCRPD </w:t>
      </w:r>
      <w:r w:rsidRPr="00A56535">
        <w:rPr>
          <w:rFonts w:asciiTheme="minorHAnsi" w:hAnsiTheme="minorHAnsi"/>
          <w:sz w:val="20"/>
          <w:szCs w:val="20"/>
        </w:rPr>
        <w:t>art 1.</w:t>
      </w:r>
    </w:p>
  </w:footnote>
  <w:footnote w:id="3">
    <w:p w14:paraId="32EB2064" w14:textId="77777777" w:rsidR="000D5B4B" w:rsidRPr="00A56535" w:rsidRDefault="000D5B4B" w:rsidP="00BA1504">
      <w:pPr>
        <w:pStyle w:val="FootnoteText"/>
        <w:rPr>
          <w:rFonts w:asciiTheme="minorHAnsi" w:hAnsiTheme="minorHAnsi"/>
          <w:sz w:val="20"/>
          <w:szCs w:val="20"/>
        </w:rPr>
      </w:pPr>
      <w:r w:rsidRPr="00A56535">
        <w:rPr>
          <w:rStyle w:val="FootnoteReference"/>
          <w:rFonts w:asciiTheme="minorHAnsi" w:hAnsiTheme="minorHAnsi"/>
          <w:sz w:val="20"/>
          <w:szCs w:val="20"/>
        </w:rPr>
        <w:footnoteRef/>
      </w:r>
      <w:r w:rsidRPr="00A56535">
        <w:rPr>
          <w:rFonts w:asciiTheme="minorHAnsi" w:hAnsiTheme="minorHAnsi"/>
          <w:sz w:val="20"/>
          <w:szCs w:val="20"/>
        </w:rPr>
        <w:t xml:space="preserve"> </w:t>
      </w:r>
      <w:r w:rsidRPr="00A56535">
        <w:rPr>
          <w:rFonts w:asciiTheme="minorHAnsi" w:hAnsiTheme="minorHAnsi"/>
          <w:sz w:val="20"/>
          <w:szCs w:val="20"/>
          <w:lang w:val="en-GB"/>
        </w:rPr>
        <w:t>Emphasis added.</w:t>
      </w:r>
    </w:p>
  </w:footnote>
  <w:footnote w:id="4">
    <w:p w14:paraId="01466144" w14:textId="77777777" w:rsidR="000D5B4B" w:rsidRPr="00A56535" w:rsidRDefault="000D5B4B" w:rsidP="00BA1504">
      <w:pPr>
        <w:pStyle w:val="FootnoteText"/>
        <w:rPr>
          <w:rFonts w:asciiTheme="minorHAnsi" w:hAnsiTheme="minorHAnsi"/>
          <w:sz w:val="20"/>
          <w:szCs w:val="20"/>
        </w:rPr>
      </w:pPr>
      <w:r w:rsidRPr="00A56535">
        <w:rPr>
          <w:rStyle w:val="FootnoteReference"/>
          <w:rFonts w:asciiTheme="minorHAnsi" w:hAnsiTheme="minorHAnsi"/>
          <w:sz w:val="20"/>
          <w:szCs w:val="20"/>
        </w:rPr>
        <w:footnoteRef/>
      </w:r>
      <w:r w:rsidRPr="00A56535">
        <w:rPr>
          <w:rFonts w:asciiTheme="minorHAnsi" w:hAnsiTheme="minorHAnsi"/>
          <w:sz w:val="20"/>
          <w:szCs w:val="20"/>
        </w:rPr>
        <w:t xml:space="preserve"> </w:t>
      </w:r>
      <w:r w:rsidRPr="00A56535">
        <w:rPr>
          <w:rFonts w:asciiTheme="minorHAnsi" w:hAnsiTheme="minorHAnsi"/>
          <w:i/>
          <w:iCs/>
          <w:sz w:val="20"/>
          <w:szCs w:val="20"/>
        </w:rPr>
        <w:t>UNCRPD</w:t>
      </w:r>
      <w:r w:rsidRPr="00A56535">
        <w:rPr>
          <w:rFonts w:asciiTheme="minorHAnsi" w:hAnsiTheme="minorHAnsi"/>
          <w:sz w:val="20"/>
          <w:szCs w:val="20"/>
        </w:rPr>
        <w:t xml:space="preserve"> art 12(1).</w:t>
      </w:r>
    </w:p>
  </w:footnote>
  <w:footnote w:id="5">
    <w:p w14:paraId="040E2561" w14:textId="77777777" w:rsidR="000D5B4B" w:rsidRPr="00A56535" w:rsidRDefault="000D5B4B" w:rsidP="00BA1504">
      <w:pPr>
        <w:pStyle w:val="FootnoteText"/>
        <w:rPr>
          <w:rFonts w:asciiTheme="minorHAnsi" w:hAnsiTheme="minorHAnsi"/>
          <w:sz w:val="20"/>
          <w:szCs w:val="20"/>
        </w:rPr>
      </w:pPr>
      <w:r w:rsidRPr="00A56535">
        <w:rPr>
          <w:rStyle w:val="FootnoteReference"/>
          <w:rFonts w:asciiTheme="minorHAnsi" w:hAnsiTheme="minorHAnsi"/>
          <w:sz w:val="20"/>
          <w:szCs w:val="20"/>
        </w:rPr>
        <w:footnoteRef/>
      </w:r>
      <w:r w:rsidRPr="00A56535">
        <w:rPr>
          <w:rFonts w:asciiTheme="minorHAnsi" w:hAnsiTheme="minorHAnsi"/>
          <w:sz w:val="20"/>
          <w:szCs w:val="20"/>
        </w:rPr>
        <w:t xml:space="preserve"> </w:t>
      </w:r>
      <w:r w:rsidRPr="00A56535">
        <w:rPr>
          <w:rFonts w:asciiTheme="minorHAnsi" w:hAnsiTheme="minorHAnsi"/>
          <w:i/>
          <w:iCs/>
          <w:sz w:val="20"/>
          <w:szCs w:val="20"/>
        </w:rPr>
        <w:t>UNCRPD</w:t>
      </w:r>
      <w:r w:rsidRPr="00A56535">
        <w:rPr>
          <w:rFonts w:asciiTheme="minorHAnsi" w:hAnsiTheme="minorHAnsi"/>
          <w:sz w:val="20"/>
          <w:szCs w:val="20"/>
        </w:rPr>
        <w:t xml:space="preserve"> art 12(2)(3) (emphasis added).</w:t>
      </w:r>
    </w:p>
  </w:footnote>
  <w:footnote w:id="6">
    <w:p w14:paraId="2DBCAC25" w14:textId="77777777" w:rsidR="000D5B4B" w:rsidRPr="00A56535" w:rsidRDefault="000D5B4B" w:rsidP="00BA1504">
      <w:pPr>
        <w:pStyle w:val="FootnoteText"/>
        <w:rPr>
          <w:rFonts w:asciiTheme="minorHAnsi" w:hAnsiTheme="minorHAnsi"/>
          <w:sz w:val="20"/>
          <w:szCs w:val="20"/>
        </w:rPr>
      </w:pPr>
      <w:r w:rsidRPr="00A56535">
        <w:rPr>
          <w:rStyle w:val="FootnoteReference"/>
          <w:rFonts w:asciiTheme="minorHAnsi" w:hAnsiTheme="minorHAnsi"/>
          <w:sz w:val="20"/>
          <w:szCs w:val="20"/>
        </w:rPr>
        <w:footnoteRef/>
      </w:r>
      <w:r w:rsidRPr="00A56535">
        <w:rPr>
          <w:rFonts w:asciiTheme="minorHAnsi" w:hAnsiTheme="minorHAnsi"/>
          <w:sz w:val="20"/>
          <w:szCs w:val="20"/>
        </w:rPr>
        <w:t xml:space="preserve"> </w:t>
      </w:r>
      <w:r w:rsidRPr="00A56535">
        <w:rPr>
          <w:rFonts w:asciiTheme="minorHAnsi" w:hAnsiTheme="minorHAnsi"/>
          <w:i/>
          <w:iCs/>
          <w:sz w:val="20"/>
          <w:szCs w:val="20"/>
        </w:rPr>
        <w:t>UNCRPD</w:t>
      </w:r>
      <w:r w:rsidRPr="00A56535">
        <w:rPr>
          <w:rFonts w:asciiTheme="minorHAnsi" w:hAnsiTheme="minorHAnsi"/>
          <w:sz w:val="20"/>
          <w:szCs w:val="20"/>
          <w:lang w:val="en-GB"/>
        </w:rPr>
        <w:t xml:space="preserve"> art 13(1).</w:t>
      </w:r>
    </w:p>
  </w:footnote>
  <w:footnote w:id="7">
    <w:p w14:paraId="3A24C55E" w14:textId="77777777" w:rsidR="000D5B4B" w:rsidRPr="00A56535" w:rsidRDefault="000D5B4B" w:rsidP="00BA1504">
      <w:pPr>
        <w:pStyle w:val="FootnoteText"/>
        <w:rPr>
          <w:rFonts w:asciiTheme="minorHAnsi" w:hAnsiTheme="minorHAnsi"/>
          <w:sz w:val="20"/>
          <w:szCs w:val="20"/>
        </w:rPr>
      </w:pPr>
      <w:r w:rsidRPr="00A56535">
        <w:rPr>
          <w:rStyle w:val="FootnoteReference"/>
          <w:rFonts w:asciiTheme="minorHAnsi" w:hAnsiTheme="minorHAnsi"/>
          <w:sz w:val="20"/>
          <w:szCs w:val="20"/>
        </w:rPr>
        <w:footnoteRef/>
      </w:r>
      <w:r w:rsidRPr="00A56535">
        <w:rPr>
          <w:rFonts w:asciiTheme="minorHAnsi" w:hAnsiTheme="minorHAnsi"/>
          <w:sz w:val="20"/>
          <w:szCs w:val="20"/>
        </w:rPr>
        <w:t xml:space="preserve"> </w:t>
      </w:r>
      <w:r w:rsidRPr="00A56535">
        <w:rPr>
          <w:rFonts w:asciiTheme="minorHAnsi" w:hAnsiTheme="minorHAnsi"/>
          <w:i/>
          <w:iCs/>
          <w:sz w:val="20"/>
          <w:szCs w:val="20"/>
        </w:rPr>
        <w:t xml:space="preserve">UNCRPD </w:t>
      </w:r>
      <w:r w:rsidRPr="00A56535">
        <w:rPr>
          <w:rFonts w:asciiTheme="minorHAnsi" w:hAnsiTheme="minorHAnsi"/>
          <w:sz w:val="20"/>
          <w:szCs w:val="20"/>
        </w:rPr>
        <w:t>art 13.</w:t>
      </w:r>
    </w:p>
  </w:footnote>
  <w:footnote w:id="8">
    <w:p w14:paraId="2FB46AFF" w14:textId="77777777" w:rsidR="000D5B4B" w:rsidRPr="00DD6D3A" w:rsidRDefault="000D5B4B" w:rsidP="00BA1504">
      <w:pPr>
        <w:pStyle w:val="FootnoteText"/>
        <w:rPr>
          <w:sz w:val="18"/>
          <w:szCs w:val="18"/>
        </w:rPr>
      </w:pPr>
      <w:r w:rsidRPr="00A56535">
        <w:rPr>
          <w:rStyle w:val="FootnoteReference"/>
          <w:rFonts w:asciiTheme="minorHAnsi" w:hAnsiTheme="minorHAnsi"/>
          <w:sz w:val="20"/>
          <w:szCs w:val="20"/>
        </w:rPr>
        <w:footnoteRef/>
      </w:r>
      <w:r w:rsidRPr="00A56535">
        <w:rPr>
          <w:rFonts w:asciiTheme="minorHAnsi" w:hAnsiTheme="minorHAnsi"/>
          <w:sz w:val="20"/>
          <w:szCs w:val="20"/>
        </w:rPr>
        <w:t xml:space="preserve"> </w:t>
      </w:r>
      <w:r w:rsidRPr="00A56535">
        <w:rPr>
          <w:rFonts w:asciiTheme="minorHAnsi" w:hAnsiTheme="minorHAnsi"/>
          <w:i/>
          <w:iCs/>
          <w:sz w:val="20"/>
          <w:szCs w:val="20"/>
        </w:rPr>
        <w:t xml:space="preserve">UNCRPD </w:t>
      </w:r>
      <w:r w:rsidRPr="00A56535">
        <w:rPr>
          <w:rFonts w:asciiTheme="minorHAnsi" w:hAnsiTheme="minorHAnsi"/>
          <w:sz w:val="20"/>
          <w:szCs w:val="20"/>
        </w:rPr>
        <w:t>art 2.</w:t>
      </w:r>
      <w:r w:rsidRPr="00DD6D3A">
        <w:rPr>
          <w:sz w:val="18"/>
          <w:szCs w:val="18"/>
        </w:rPr>
        <w:t xml:space="preserve"> </w:t>
      </w:r>
    </w:p>
  </w:footnote>
  <w:footnote w:id="9">
    <w:p w14:paraId="37799181" w14:textId="77777777" w:rsidR="000D5B4B" w:rsidRPr="00A56535" w:rsidRDefault="000D5B4B" w:rsidP="00A56535">
      <w:pPr>
        <w:pStyle w:val="FootnoteText"/>
        <w:rPr>
          <w:rFonts w:asciiTheme="minorHAnsi" w:hAnsiTheme="minorHAnsi"/>
          <w:sz w:val="20"/>
          <w:szCs w:val="20"/>
        </w:rPr>
      </w:pPr>
      <w:r w:rsidRPr="00A56535">
        <w:rPr>
          <w:rStyle w:val="FootnoteReference"/>
          <w:rFonts w:asciiTheme="minorHAnsi" w:hAnsiTheme="minorHAnsi"/>
          <w:sz w:val="20"/>
          <w:szCs w:val="20"/>
        </w:rPr>
        <w:footnoteRef/>
      </w:r>
      <w:r w:rsidRPr="00A56535">
        <w:rPr>
          <w:rFonts w:asciiTheme="minorHAnsi" w:hAnsiTheme="minorHAnsi"/>
          <w:sz w:val="20"/>
          <w:szCs w:val="20"/>
        </w:rPr>
        <w:t xml:space="preserve"> </w:t>
      </w:r>
      <w:r w:rsidRPr="00A56535">
        <w:rPr>
          <w:rFonts w:asciiTheme="minorHAnsi" w:hAnsiTheme="minorHAnsi"/>
          <w:i/>
          <w:sz w:val="20"/>
          <w:szCs w:val="20"/>
        </w:rPr>
        <w:t xml:space="preserve">UNCRPD </w:t>
      </w:r>
      <w:r w:rsidRPr="00A56535">
        <w:rPr>
          <w:rFonts w:asciiTheme="minorHAnsi" w:hAnsiTheme="minorHAnsi"/>
          <w:sz w:val="20"/>
          <w:szCs w:val="20"/>
        </w:rPr>
        <w:t>art 16(4).</w:t>
      </w:r>
    </w:p>
  </w:footnote>
  <w:footnote w:id="10">
    <w:p w14:paraId="287DE1D6" w14:textId="1EE5FE08" w:rsidR="000D5B4B" w:rsidRPr="00FE501B" w:rsidRDefault="000D5B4B" w:rsidP="00A56535">
      <w:pPr>
        <w:pStyle w:val="NormalWeb"/>
        <w:shd w:val="clear" w:color="auto" w:fill="FFFFFF"/>
        <w:spacing w:line="300" w:lineRule="atLeast"/>
        <w:rPr>
          <w:rFonts w:asciiTheme="minorHAnsi" w:hAnsiTheme="minorHAnsi" w:cs="Arial"/>
          <w:sz w:val="20"/>
          <w:szCs w:val="20"/>
        </w:rPr>
      </w:pPr>
      <w:r w:rsidRPr="00FE501B">
        <w:rPr>
          <w:rStyle w:val="FootnoteReference"/>
          <w:rFonts w:asciiTheme="minorHAnsi" w:hAnsiTheme="minorHAnsi"/>
          <w:sz w:val="20"/>
          <w:szCs w:val="20"/>
        </w:rPr>
        <w:footnoteRef/>
      </w:r>
      <w:r w:rsidRPr="00FE501B">
        <w:rPr>
          <w:rFonts w:asciiTheme="minorHAnsi" w:hAnsiTheme="minorHAnsi"/>
          <w:sz w:val="20"/>
          <w:szCs w:val="20"/>
        </w:rPr>
        <w:t xml:space="preserve"> </w:t>
      </w:r>
      <w:r w:rsidRPr="00FE501B">
        <w:rPr>
          <w:rFonts w:asciiTheme="minorHAnsi" w:hAnsiTheme="minorHAnsi"/>
          <w:sz w:val="20"/>
          <w:szCs w:val="20"/>
          <w:lang w:val="en-US"/>
        </w:rPr>
        <w:t xml:space="preserve">Taken from an updated version of </w:t>
      </w:r>
      <w:r w:rsidRPr="00FE501B">
        <w:rPr>
          <w:rFonts w:asciiTheme="minorHAnsi" w:hAnsiTheme="minorHAnsi" w:cs="Arial"/>
          <w:sz w:val="20"/>
          <w:szCs w:val="20"/>
        </w:rPr>
        <w:t xml:space="preserve">McCausland, R, Baldry, E. &amp; PwC 2013 </w:t>
      </w:r>
      <w:r w:rsidRPr="00FE501B">
        <w:rPr>
          <w:rFonts w:asciiTheme="minorHAnsi" w:hAnsiTheme="minorHAnsi" w:cs="Arial"/>
          <w:i/>
          <w:sz w:val="20"/>
          <w:szCs w:val="20"/>
        </w:rPr>
        <w:t>People with mental health disorders and cognitive impairment in the criminal justice system Cost-benefit analysis of early support and diversion</w:t>
      </w:r>
      <w:r w:rsidRPr="00FE501B">
        <w:rPr>
          <w:rFonts w:asciiTheme="minorHAnsi" w:hAnsiTheme="minorHAnsi" w:cs="Arial"/>
          <w:sz w:val="20"/>
          <w:szCs w:val="20"/>
        </w:rPr>
        <w:t xml:space="preserve"> Report for AHRC, pp1-12 http://www.humanrights.gov.au/publications/justice-reinvestment-people-disability-could-save-millions</w:t>
      </w:r>
    </w:p>
    <w:p w14:paraId="004D8AFD" w14:textId="77777777" w:rsidR="000D5B4B" w:rsidRPr="005F6BF8" w:rsidRDefault="000D5B4B" w:rsidP="00A56535">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2EC34" w14:textId="77777777" w:rsidR="000D5B4B" w:rsidRDefault="000D5B4B">
    <w:pPr>
      <w:pStyle w:val="Header"/>
    </w:pPr>
    <w:r>
      <w:rPr>
        <w:noProof/>
        <w:lang w:eastAsia="en-AU"/>
      </w:rPr>
      <w:drawing>
        <wp:anchor distT="0" distB="0" distL="114300" distR="114300" simplePos="0" relativeHeight="251659264" behindDoc="0" locked="0" layoutInCell="1" allowOverlap="1" wp14:anchorId="72F09709" wp14:editId="3BD9A465">
          <wp:simplePos x="0" y="0"/>
          <wp:positionH relativeFrom="page">
            <wp:posOffset>5063490</wp:posOffset>
          </wp:positionH>
          <wp:positionV relativeFrom="page">
            <wp:posOffset>33655</wp:posOffset>
          </wp:positionV>
          <wp:extent cx="2470785" cy="2372360"/>
          <wp:effectExtent l="0" t="0" r="0" b="0"/>
          <wp:wrapThrough wrapText="bothSides">
            <wp:wrapPolygon edited="0">
              <wp:start x="0" y="0"/>
              <wp:lineTo x="0" y="21276"/>
              <wp:lineTo x="21317" y="21276"/>
              <wp:lineTo x="2131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ralians for Disability Justice.jpg"/>
                  <pic:cNvPicPr/>
                </pic:nvPicPr>
                <pic:blipFill>
                  <a:blip r:embed="rId1">
                    <a:extLst>
                      <a:ext uri="{28A0092B-C50C-407E-A947-70E740481C1C}">
                        <a14:useLocalDpi xmlns:a14="http://schemas.microsoft.com/office/drawing/2010/main" val="0"/>
                      </a:ext>
                    </a:extLst>
                  </a:blip>
                  <a:stretch>
                    <a:fillRect/>
                  </a:stretch>
                </pic:blipFill>
                <pic:spPr>
                  <a:xfrm>
                    <a:off x="0" y="0"/>
                    <a:ext cx="2470785" cy="237236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F87C7C"/>
    <w:multiLevelType w:val="hybridMultilevel"/>
    <w:tmpl w:val="DB60A7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2391283"/>
    <w:multiLevelType w:val="hybridMultilevel"/>
    <w:tmpl w:val="DDC2FCFE"/>
    <w:lvl w:ilvl="0" w:tplc="AE463D3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2F5F1D01"/>
    <w:multiLevelType w:val="hybridMultilevel"/>
    <w:tmpl w:val="C6184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6A4EC8"/>
    <w:multiLevelType w:val="hybridMultilevel"/>
    <w:tmpl w:val="4BB25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BE60D4C"/>
    <w:multiLevelType w:val="hybridMultilevel"/>
    <w:tmpl w:val="86087A2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8C2F25"/>
    <w:multiLevelType w:val="multilevel"/>
    <w:tmpl w:val="6E008996"/>
    <w:lvl w:ilvl="0">
      <w:start w:val="1"/>
      <w:numFmt w:val="bullet"/>
      <w:lvlRestart w:val="0"/>
      <w:pStyle w:val="TableBullet1Normal"/>
      <w:lvlText w:val=""/>
      <w:lvlJc w:val="left"/>
      <w:pPr>
        <w:tabs>
          <w:tab w:val="num" w:pos="283"/>
        </w:tabs>
        <w:ind w:left="284" w:hanging="284"/>
      </w:pPr>
      <w:rPr>
        <w:rFonts w:ascii="Symbol" w:hAnsi="Symbol" w:hint="default"/>
        <w:b w:val="0"/>
        <w:i w:val="0"/>
        <w:color w:val="auto"/>
      </w:rPr>
    </w:lvl>
    <w:lvl w:ilvl="1">
      <w:start w:val="1"/>
      <w:numFmt w:val="bullet"/>
      <w:lvlRestart w:val="0"/>
      <w:pStyle w:val="TableBullet2Normal"/>
      <w:lvlText w:val="–"/>
      <w:lvlJc w:val="left"/>
      <w:pPr>
        <w:tabs>
          <w:tab w:val="num" w:pos="567"/>
        </w:tabs>
        <w:ind w:left="567" w:hanging="283"/>
      </w:pPr>
      <w:rPr>
        <w:rFonts w:ascii="Arial" w:hAnsi="Arial" w:hint="default"/>
        <w:b w:val="0"/>
        <w:i w:val="0"/>
        <w:color w:val="auto"/>
        <w:szCs w:val="10"/>
      </w:rPr>
    </w:lvl>
    <w:lvl w:ilvl="2">
      <w:start w:val="1"/>
      <w:numFmt w:val="bullet"/>
      <w:lvlRestart w:val="0"/>
      <w:pStyle w:val="TableBullet3Normal"/>
      <w:lvlText w:val="o"/>
      <w:lvlJc w:val="left"/>
      <w:pPr>
        <w:tabs>
          <w:tab w:val="num" w:pos="851"/>
        </w:tabs>
        <w:ind w:left="851" w:hanging="284"/>
      </w:pPr>
      <w:rPr>
        <w:rFonts w:ascii="Arial" w:hAnsi="Arial" w:hint="default"/>
        <w:b w:val="0"/>
        <w:i w:val="0"/>
        <w:color w:val="auto"/>
        <w:sz w:val="10"/>
        <w:szCs w:val="10"/>
      </w:rPr>
    </w:lvl>
    <w:lvl w:ilvl="3">
      <w:start w:val="1"/>
      <w:numFmt w:val="none"/>
      <w:lvlRestart w:val="0"/>
      <w:lvlText w:val=""/>
      <w:lvlJc w:val="left"/>
      <w:pPr>
        <w:tabs>
          <w:tab w:val="num" w:pos="0"/>
        </w:tabs>
        <w:ind w:left="0" w:firstLine="0"/>
      </w:pPr>
      <w:rPr>
        <w:rFonts w:hint="default"/>
        <w:color w:val="auto"/>
        <w:sz w:val="10"/>
        <w:szCs w:val="10"/>
      </w:rPr>
    </w:lvl>
    <w:lvl w:ilvl="4">
      <w:start w:val="1"/>
      <w:numFmt w:val="none"/>
      <w:lvlText w:val="%5"/>
      <w:lvlJc w:val="left"/>
      <w:pPr>
        <w:tabs>
          <w:tab w:val="num" w:pos="1800"/>
        </w:tabs>
        <w:ind w:left="1800" w:hanging="360"/>
      </w:pPr>
      <w:rPr>
        <w:rFonts w:hint="default"/>
      </w:rPr>
    </w:lvl>
    <w:lvl w:ilvl="5">
      <w:start w:val="1"/>
      <w:numFmt w:val="lowerRoman"/>
      <w:lvlText w:val=""/>
      <w:lvlJc w:val="left"/>
      <w:pPr>
        <w:tabs>
          <w:tab w:val="num" w:pos="2160"/>
        </w:tabs>
        <w:ind w:left="2160" w:hanging="360"/>
      </w:pPr>
      <w:rPr>
        <w:rFonts w:hint="default"/>
      </w:rPr>
    </w:lvl>
    <w:lvl w:ilvl="6">
      <w:start w:val="1"/>
      <w:numFmt w:val="decimal"/>
      <w:lvlText w:val=""/>
      <w:lvlJc w:val="left"/>
      <w:pPr>
        <w:tabs>
          <w:tab w:val="num" w:pos="2520"/>
        </w:tabs>
        <w:ind w:left="2520" w:hanging="360"/>
      </w:pPr>
      <w:rPr>
        <w:rFonts w:hint="default"/>
      </w:rPr>
    </w:lvl>
    <w:lvl w:ilvl="7">
      <w:start w:val="1"/>
      <w:numFmt w:val="lowerLetter"/>
      <w:lvlText w:val=""/>
      <w:lvlJc w:val="left"/>
      <w:pPr>
        <w:tabs>
          <w:tab w:val="num" w:pos="2880"/>
        </w:tabs>
        <w:ind w:left="2880" w:hanging="360"/>
      </w:pPr>
      <w:rPr>
        <w:rFonts w:hint="default"/>
      </w:rPr>
    </w:lvl>
    <w:lvl w:ilvl="8">
      <w:start w:val="1"/>
      <w:numFmt w:val="lowerRoman"/>
      <w:lvlText w:val=""/>
      <w:lvlJc w:val="left"/>
      <w:pPr>
        <w:tabs>
          <w:tab w:val="num" w:pos="3240"/>
        </w:tabs>
        <w:ind w:left="3240" w:hanging="360"/>
      </w:pPr>
      <w:rPr>
        <w:rFonts w:hint="default"/>
      </w:rPr>
    </w:lvl>
  </w:abstractNum>
  <w:abstractNum w:abstractNumId="6" w15:restartNumberingAfterBreak="0">
    <w:nsid w:val="5AAC457F"/>
    <w:multiLevelType w:val="hybridMultilevel"/>
    <w:tmpl w:val="F446B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DC76B7F"/>
    <w:multiLevelType w:val="multilevel"/>
    <w:tmpl w:val="B7A856B4"/>
    <w:name w:val="Chapter numbering list"/>
    <w:lvl w:ilvl="0">
      <w:start w:val="1"/>
      <w:numFmt w:val="decimal"/>
      <w:lvlRestart w:val="0"/>
      <w:pStyle w:val="ChapterNumberLong"/>
      <w:suff w:val="nothing"/>
      <w:lvlText w:val="%1"/>
      <w:lvlJc w:val="left"/>
      <w:pPr>
        <w:tabs>
          <w:tab w:val="num" w:pos="0"/>
        </w:tabs>
        <w:ind w:left="0" w:firstLine="0"/>
      </w:pPr>
      <w:rPr>
        <w:rFonts w:hint="default"/>
      </w:rPr>
    </w:lvl>
    <w:lvl w:ilvl="1">
      <w:start w:val="1"/>
      <w:numFmt w:val="decimal"/>
      <w:lvlRestart w:val="0"/>
      <w:pStyle w:val="Heading2"/>
      <w:lvlText w:val="%2"/>
      <w:lvlJc w:val="left"/>
      <w:pPr>
        <w:tabs>
          <w:tab w:val="num" w:pos="850"/>
        </w:tabs>
        <w:ind w:left="850" w:hanging="850"/>
      </w:pPr>
      <w:rPr>
        <w:rFonts w:hint="default"/>
      </w:rPr>
    </w:lvl>
    <w:lvl w:ilvl="2">
      <w:start w:val="1"/>
      <w:numFmt w:val="decimal"/>
      <w:pStyle w:val="Heading6"/>
      <w:lvlText w:val="%2.%3"/>
      <w:lvlJc w:val="left"/>
      <w:pPr>
        <w:tabs>
          <w:tab w:val="num" w:pos="850"/>
        </w:tabs>
        <w:ind w:left="850" w:hanging="850"/>
      </w:pPr>
      <w:rPr>
        <w:rFonts w:hint="default"/>
      </w:rPr>
    </w:lvl>
    <w:lvl w:ilvl="3">
      <w:start w:val="1"/>
      <w:numFmt w:val="decimal"/>
      <w:pStyle w:val="Heading7"/>
      <w:lvlText w:val="%2.%3.%4"/>
      <w:lvlJc w:val="left"/>
      <w:pPr>
        <w:tabs>
          <w:tab w:val="num" w:pos="850"/>
        </w:tabs>
        <w:ind w:left="850" w:hanging="850"/>
      </w:pPr>
      <w:rPr>
        <w:rFonts w:hint="default"/>
      </w:rPr>
    </w:lvl>
    <w:lvl w:ilvl="4">
      <w:start w:val="1"/>
      <w:numFmt w:val="upperLetter"/>
      <w:lvlRestart w:val="0"/>
      <w:pStyle w:val="Heading4"/>
      <w:lvlText w:val="Appendix %5"/>
      <w:lvlJc w:val="left"/>
      <w:pPr>
        <w:tabs>
          <w:tab w:val="num" w:pos="3685"/>
        </w:tabs>
        <w:ind w:left="0" w:firstLine="0"/>
      </w:pPr>
      <w:rPr>
        <w:rFonts w:hint="default"/>
      </w:rPr>
    </w:lvl>
    <w:lvl w:ilvl="5">
      <w:start w:val="1"/>
      <w:numFmt w:val="upperLetter"/>
      <w:lvlRestart w:val="0"/>
      <w:pStyle w:val="AppendixNumberLong"/>
      <w:suff w:val="nothing"/>
      <w:lvlText w:val="Appendix %6"/>
      <w:lvlJc w:val="left"/>
      <w:pPr>
        <w:tabs>
          <w:tab w:val="num" w:pos="0"/>
        </w:tabs>
        <w:ind w:left="0" w:firstLine="0"/>
      </w:pPr>
      <w:rPr>
        <w:rFonts w:hint="default"/>
      </w:rPr>
    </w:lvl>
    <w:lvl w:ilvl="6">
      <w:start w:val="1"/>
      <w:numFmt w:val="decimal"/>
      <w:pStyle w:val="Heading8"/>
      <w:lvlText w:val="%7"/>
      <w:lvlJc w:val="left"/>
      <w:pPr>
        <w:tabs>
          <w:tab w:val="num" w:pos="567"/>
        </w:tabs>
        <w:ind w:left="567" w:hanging="567"/>
      </w:pPr>
      <w:rPr>
        <w:rFonts w:hint="default"/>
        <w:b/>
        <w:i/>
      </w:rPr>
    </w:lvl>
    <w:lvl w:ilvl="7">
      <w:start w:val="1"/>
      <w:numFmt w:val="decimal"/>
      <w:pStyle w:val="ChapterNumberedList1"/>
      <w:lvlText w:val="%8"/>
      <w:lvlJc w:val="left"/>
      <w:pPr>
        <w:tabs>
          <w:tab w:val="num" w:pos="567"/>
        </w:tabs>
        <w:ind w:left="567" w:hanging="567"/>
      </w:pPr>
      <w:rPr>
        <w:rFonts w:hint="default"/>
        <w:b w:val="0"/>
        <w:i w:val="0"/>
        <w:color w:val="auto"/>
      </w:rPr>
    </w:lvl>
    <w:lvl w:ilvl="8">
      <w:start w:val="1"/>
      <w:numFmt w:val="lowerLetter"/>
      <w:pStyle w:val="ChapterNumberedList2"/>
      <w:lvlText w:val="%9"/>
      <w:lvlJc w:val="left"/>
      <w:pPr>
        <w:tabs>
          <w:tab w:val="num" w:pos="1134"/>
        </w:tabs>
        <w:ind w:left="1134" w:hanging="567"/>
      </w:pPr>
      <w:rPr>
        <w:rFonts w:hint="default"/>
        <w:b w:val="0"/>
        <w:i w:val="0"/>
        <w:color w:val="auto"/>
      </w:rPr>
    </w:lvl>
  </w:abstractNum>
  <w:abstractNum w:abstractNumId="8" w15:restartNumberingAfterBreak="0">
    <w:nsid w:val="622C1031"/>
    <w:multiLevelType w:val="hybridMultilevel"/>
    <w:tmpl w:val="3A8800EA"/>
    <w:lvl w:ilvl="0" w:tplc="4ECEAE60">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3917BB9"/>
    <w:multiLevelType w:val="multilevel"/>
    <w:tmpl w:val="4E5C847A"/>
    <w:lvl w:ilvl="0">
      <w:start w:val="1"/>
      <w:numFmt w:val="none"/>
      <w:pStyle w:val="PwCNormal"/>
      <w:suff w:val="nothing"/>
      <w:lvlText w:val=""/>
      <w:lvlJc w:val="left"/>
      <w:pPr>
        <w:ind w:left="0" w:firstLine="0"/>
      </w:pPr>
      <w:rPr>
        <w:rFonts w:hint="default"/>
        <w:color w:val="auto"/>
      </w:rPr>
    </w:lvl>
    <w:lvl w:ilvl="1">
      <w:start w:val="1"/>
      <w:numFmt w:val="none"/>
      <w:pStyle w:val="Indent1"/>
      <w:suff w:val="nothing"/>
      <w:lvlText w:val=""/>
      <w:lvlJc w:val="left"/>
      <w:pPr>
        <w:ind w:left="567" w:firstLine="0"/>
      </w:pPr>
      <w:rPr>
        <w:rFonts w:hint="default"/>
      </w:rPr>
    </w:lvl>
    <w:lvl w:ilvl="2">
      <w:start w:val="1"/>
      <w:numFmt w:val="none"/>
      <w:pStyle w:val="Indent2"/>
      <w:suff w:val="nothing"/>
      <w:lvlText w:val=""/>
      <w:lvlJc w:val="left"/>
      <w:pPr>
        <w:ind w:left="1134" w:firstLine="0"/>
      </w:pPr>
      <w:rPr>
        <w:rFonts w:hint="default"/>
      </w:rPr>
    </w:lvl>
    <w:lvl w:ilvl="3">
      <w:start w:val="1"/>
      <w:numFmt w:val="none"/>
      <w:pStyle w:val="Indent3"/>
      <w:suff w:val="nothing"/>
      <w:lvlText w:val=""/>
      <w:lvlJc w:val="left"/>
      <w:pPr>
        <w:ind w:left="1701" w:firstLine="0"/>
      </w:pPr>
      <w:rPr>
        <w:rFonts w:hint="default"/>
      </w:rPr>
    </w:lvl>
    <w:lvl w:ilvl="4">
      <w:start w:val="1"/>
      <w:numFmt w:val="none"/>
      <w:pStyle w:val="Indent4"/>
      <w:suff w:val="nothing"/>
      <w:lvlText w:val=""/>
      <w:lvlJc w:val="left"/>
      <w:pPr>
        <w:ind w:left="2268" w:firstLine="0"/>
      </w:pPr>
      <w:rPr>
        <w:rFonts w:hint="default"/>
      </w:rPr>
    </w:lvl>
    <w:lvl w:ilvl="5">
      <w:start w:val="1"/>
      <w:numFmt w:val="none"/>
      <w:pStyle w:val="Indent5"/>
      <w:suff w:val="nothing"/>
      <w:lvlText w:val=""/>
      <w:lvlJc w:val="left"/>
      <w:pPr>
        <w:ind w:left="2835" w:firstLine="0"/>
      </w:pPr>
      <w:rPr>
        <w:rFonts w:hint="default"/>
      </w:rPr>
    </w:lvl>
    <w:lvl w:ilvl="6">
      <w:start w:val="1"/>
      <w:numFmt w:val="none"/>
      <w:pStyle w:val="Indent6"/>
      <w:suff w:val="nothing"/>
      <w:lvlText w:val=""/>
      <w:lvlJc w:val="left"/>
      <w:pPr>
        <w:ind w:left="3402" w:firstLine="0"/>
      </w:pPr>
      <w:rPr>
        <w:rFonts w:hint="default"/>
      </w:rPr>
    </w:lvl>
    <w:lvl w:ilvl="7">
      <w:start w:val="1"/>
      <w:numFmt w:val="none"/>
      <w:pStyle w:val="Indent7"/>
      <w:suff w:val="nothing"/>
      <w:lvlText w:val=""/>
      <w:lvlJc w:val="left"/>
      <w:pPr>
        <w:ind w:left="3969" w:firstLine="0"/>
      </w:pPr>
      <w:rPr>
        <w:rFonts w:hint="default"/>
      </w:rPr>
    </w:lvl>
    <w:lvl w:ilvl="8">
      <w:start w:val="1"/>
      <w:numFmt w:val="none"/>
      <w:pStyle w:val="Indent8"/>
      <w:suff w:val="nothing"/>
      <w:lvlText w:val=""/>
      <w:lvlJc w:val="left"/>
      <w:pPr>
        <w:ind w:left="4536" w:firstLine="0"/>
      </w:pPr>
      <w:rPr>
        <w:rFonts w:hint="default"/>
      </w:rPr>
    </w:lvl>
  </w:abstractNum>
  <w:abstractNum w:abstractNumId="10" w15:restartNumberingAfterBreak="0">
    <w:nsid w:val="6A60453E"/>
    <w:multiLevelType w:val="hybridMultilevel"/>
    <w:tmpl w:val="5F3CFAC0"/>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06D565D"/>
    <w:multiLevelType w:val="hybridMultilevel"/>
    <w:tmpl w:val="B4C0C262"/>
    <w:lvl w:ilvl="0" w:tplc="BF8AC05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C261CB2"/>
    <w:multiLevelType w:val="hybridMultilevel"/>
    <w:tmpl w:val="37DA1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F9422DC"/>
    <w:multiLevelType w:val="hybridMultilevel"/>
    <w:tmpl w:val="0D70E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5"/>
  </w:num>
  <w:num w:numId="4">
    <w:abstractNumId w:val="2"/>
  </w:num>
  <w:num w:numId="5">
    <w:abstractNumId w:val="1"/>
  </w:num>
  <w:num w:numId="6">
    <w:abstractNumId w:val="3"/>
  </w:num>
  <w:num w:numId="7">
    <w:abstractNumId w:val="6"/>
  </w:num>
  <w:num w:numId="8">
    <w:abstractNumId w:val="8"/>
  </w:num>
  <w:num w:numId="9">
    <w:abstractNumId w:val="13"/>
  </w:num>
  <w:num w:numId="10">
    <w:abstractNumId w:val="11"/>
  </w:num>
  <w:num w:numId="11">
    <w:abstractNumId w:val="10"/>
  </w:num>
  <w:num w:numId="12">
    <w:abstractNumId w:val="4"/>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E5"/>
    <w:rsid w:val="000772E3"/>
    <w:rsid w:val="000A50B9"/>
    <w:rsid w:val="000A632E"/>
    <w:rsid w:val="000C7934"/>
    <w:rsid w:val="000D5B4B"/>
    <w:rsid w:val="0015172E"/>
    <w:rsid w:val="00177D06"/>
    <w:rsid w:val="001F7AC3"/>
    <w:rsid w:val="0020333A"/>
    <w:rsid w:val="00220672"/>
    <w:rsid w:val="00281A1C"/>
    <w:rsid w:val="002A51A8"/>
    <w:rsid w:val="002C1BAB"/>
    <w:rsid w:val="002D6F48"/>
    <w:rsid w:val="00320A50"/>
    <w:rsid w:val="00344F35"/>
    <w:rsid w:val="003E7FCE"/>
    <w:rsid w:val="004604F6"/>
    <w:rsid w:val="004620AA"/>
    <w:rsid w:val="00496E6D"/>
    <w:rsid w:val="004B6BAB"/>
    <w:rsid w:val="004D1074"/>
    <w:rsid w:val="004E452B"/>
    <w:rsid w:val="005021C4"/>
    <w:rsid w:val="006365D7"/>
    <w:rsid w:val="00701C31"/>
    <w:rsid w:val="00784080"/>
    <w:rsid w:val="0079491A"/>
    <w:rsid w:val="008108AD"/>
    <w:rsid w:val="00850A04"/>
    <w:rsid w:val="008B266A"/>
    <w:rsid w:val="008C174D"/>
    <w:rsid w:val="008E1110"/>
    <w:rsid w:val="008F4F24"/>
    <w:rsid w:val="00930E31"/>
    <w:rsid w:val="009622D1"/>
    <w:rsid w:val="009E15FC"/>
    <w:rsid w:val="00A07700"/>
    <w:rsid w:val="00A23ADD"/>
    <w:rsid w:val="00A37EA7"/>
    <w:rsid w:val="00A51E0F"/>
    <w:rsid w:val="00A56535"/>
    <w:rsid w:val="00A82103"/>
    <w:rsid w:val="00AD5021"/>
    <w:rsid w:val="00B7453A"/>
    <w:rsid w:val="00B93D87"/>
    <w:rsid w:val="00BA1504"/>
    <w:rsid w:val="00BF26B0"/>
    <w:rsid w:val="00C7212A"/>
    <w:rsid w:val="00CA3CA9"/>
    <w:rsid w:val="00CB61F9"/>
    <w:rsid w:val="00CE2D41"/>
    <w:rsid w:val="00D702E7"/>
    <w:rsid w:val="00DD48F8"/>
    <w:rsid w:val="00E64426"/>
    <w:rsid w:val="00E66F8D"/>
    <w:rsid w:val="00E80284"/>
    <w:rsid w:val="00EF6507"/>
    <w:rsid w:val="00F0443D"/>
    <w:rsid w:val="00F273E5"/>
    <w:rsid w:val="00F43362"/>
    <w:rsid w:val="00F83900"/>
    <w:rsid w:val="00FC226B"/>
    <w:rsid w:val="00FE501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778651"/>
  <w15:docId w15:val="{79D88300-9B91-47CE-89B8-5D5FEB58E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A1504"/>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aliases w:val="Chapter Heading (Short)"/>
    <w:basedOn w:val="Normal"/>
    <w:next w:val="PwCNormal"/>
    <w:link w:val="Heading2Char"/>
    <w:uiPriority w:val="99"/>
    <w:qFormat/>
    <w:rsid w:val="00BA1504"/>
    <w:pPr>
      <w:keepNext/>
      <w:keepLines/>
      <w:pageBreakBefore/>
      <w:numPr>
        <w:ilvl w:val="1"/>
        <w:numId w:val="2"/>
      </w:numPr>
      <w:kinsoku w:val="0"/>
      <w:overflowPunct w:val="0"/>
      <w:autoSpaceDE w:val="0"/>
      <w:autoSpaceDN w:val="0"/>
      <w:adjustRightInd w:val="0"/>
      <w:snapToGrid w:val="0"/>
      <w:spacing w:after="480" w:line="600" w:lineRule="atLeast"/>
      <w:outlineLvl w:val="1"/>
    </w:pPr>
    <w:rPr>
      <w:rFonts w:asciiTheme="majorHAnsi" w:eastAsia="Times New Roman" w:hAnsiTheme="majorHAnsi" w:cs="Arial"/>
      <w:b/>
      <w:bCs/>
      <w:i/>
      <w:iCs/>
      <w:snapToGrid w:val="0"/>
      <w:color w:val="000000" w:themeColor="text1"/>
      <w:sz w:val="56"/>
      <w:szCs w:val="36"/>
    </w:rPr>
  </w:style>
  <w:style w:type="paragraph" w:styleId="Heading3">
    <w:name w:val="heading 3"/>
    <w:basedOn w:val="Normal"/>
    <w:next w:val="Normal"/>
    <w:link w:val="Heading3Char"/>
    <w:uiPriority w:val="9"/>
    <w:unhideWhenUsed/>
    <w:qFormat/>
    <w:rsid w:val="00BA150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Appendix Heading (Short)"/>
    <w:basedOn w:val="Heading2"/>
    <w:next w:val="PwCNormal"/>
    <w:link w:val="Heading4Char"/>
    <w:uiPriority w:val="99"/>
    <w:qFormat/>
    <w:rsid w:val="00BA1504"/>
    <w:pPr>
      <w:pageBreakBefore w:val="0"/>
      <w:numPr>
        <w:ilvl w:val="4"/>
      </w:numPr>
      <w:outlineLvl w:val="3"/>
    </w:pPr>
    <w:rPr>
      <w:bCs w:val="0"/>
    </w:rPr>
  </w:style>
  <w:style w:type="paragraph" w:styleId="Heading6">
    <w:name w:val="heading 6"/>
    <w:basedOn w:val="Heading2"/>
    <w:next w:val="PwCNormal"/>
    <w:link w:val="Heading6Char"/>
    <w:uiPriority w:val="99"/>
    <w:qFormat/>
    <w:rsid w:val="00BA1504"/>
    <w:pPr>
      <w:pageBreakBefore w:val="0"/>
      <w:numPr>
        <w:ilvl w:val="2"/>
      </w:numPr>
      <w:spacing w:after="40" w:line="240" w:lineRule="auto"/>
      <w:outlineLvl w:val="5"/>
    </w:pPr>
    <w:rPr>
      <w:bCs w:val="0"/>
      <w:color w:val="1F497D" w:themeColor="text2"/>
      <w:sz w:val="32"/>
    </w:rPr>
  </w:style>
  <w:style w:type="paragraph" w:styleId="Heading7">
    <w:name w:val="heading 7"/>
    <w:basedOn w:val="Heading6"/>
    <w:next w:val="PwCNormal"/>
    <w:link w:val="Heading7Char"/>
    <w:uiPriority w:val="99"/>
    <w:qFormat/>
    <w:rsid w:val="00BA1504"/>
    <w:pPr>
      <w:numPr>
        <w:ilvl w:val="3"/>
      </w:numPr>
      <w:outlineLvl w:val="6"/>
    </w:pPr>
    <w:rPr>
      <w:b w:val="0"/>
      <w:sz w:val="28"/>
      <w:szCs w:val="28"/>
    </w:rPr>
  </w:style>
  <w:style w:type="paragraph" w:styleId="Heading8">
    <w:name w:val="heading 8"/>
    <w:basedOn w:val="Normal"/>
    <w:next w:val="PwCNormal"/>
    <w:link w:val="Heading8Char"/>
    <w:uiPriority w:val="99"/>
    <w:qFormat/>
    <w:rsid w:val="00BA1504"/>
    <w:pPr>
      <w:keepNext/>
      <w:keepLines/>
      <w:numPr>
        <w:ilvl w:val="6"/>
        <w:numId w:val="2"/>
      </w:numPr>
      <w:kinsoku w:val="0"/>
      <w:overflowPunct w:val="0"/>
      <w:autoSpaceDE w:val="0"/>
      <w:autoSpaceDN w:val="0"/>
      <w:adjustRightInd w:val="0"/>
      <w:snapToGrid w:val="0"/>
      <w:spacing w:before="240" w:after="40" w:line="240" w:lineRule="auto"/>
      <w:outlineLvl w:val="7"/>
    </w:pPr>
    <w:rPr>
      <w:rFonts w:asciiTheme="majorHAnsi" w:eastAsia="Times New Roman" w:hAnsiTheme="majorHAnsi" w:cs="Arial"/>
      <w:b/>
      <w:i/>
      <w:snapToGrid w:val="0"/>
      <w:color w:val="1F497D" w:themeColor="text2"/>
      <w:sz w:val="32"/>
      <w:szCs w:val="21"/>
    </w:rPr>
  </w:style>
  <w:style w:type="paragraph" w:styleId="Heading9">
    <w:name w:val="heading 9"/>
    <w:basedOn w:val="Heading8"/>
    <w:next w:val="PwCNormal"/>
    <w:link w:val="Heading9Char"/>
    <w:qFormat/>
    <w:rsid w:val="00BA1504"/>
    <w:pPr>
      <w:numPr>
        <w:ilvl w:val="0"/>
        <w:numId w:val="0"/>
      </w:numPr>
      <w:outlineLvl w:val="8"/>
    </w:pPr>
    <w:rPr>
      <w:b w:val="0"/>
      <w:i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3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73E5"/>
  </w:style>
  <w:style w:type="paragraph" w:styleId="Footer">
    <w:name w:val="footer"/>
    <w:basedOn w:val="Normal"/>
    <w:link w:val="FooterChar"/>
    <w:uiPriority w:val="99"/>
    <w:unhideWhenUsed/>
    <w:rsid w:val="00F273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73E5"/>
  </w:style>
  <w:style w:type="character" w:customStyle="1" w:styleId="Heading2Char">
    <w:name w:val="Heading 2 Char"/>
    <w:aliases w:val="Chapter Heading (Short) Char"/>
    <w:basedOn w:val="DefaultParagraphFont"/>
    <w:link w:val="Heading2"/>
    <w:uiPriority w:val="99"/>
    <w:rsid w:val="00BA1504"/>
    <w:rPr>
      <w:rFonts w:asciiTheme="majorHAnsi" w:eastAsia="Times New Roman" w:hAnsiTheme="majorHAnsi" w:cs="Arial"/>
      <w:b/>
      <w:bCs/>
      <w:i/>
      <w:iCs/>
      <w:snapToGrid w:val="0"/>
      <w:color w:val="000000" w:themeColor="text1"/>
      <w:sz w:val="56"/>
      <w:szCs w:val="36"/>
    </w:rPr>
  </w:style>
  <w:style w:type="character" w:customStyle="1" w:styleId="Heading4Char">
    <w:name w:val="Heading 4 Char"/>
    <w:aliases w:val="Appendix Heading (Short) Char"/>
    <w:basedOn w:val="DefaultParagraphFont"/>
    <w:link w:val="Heading4"/>
    <w:uiPriority w:val="99"/>
    <w:rsid w:val="00BA1504"/>
    <w:rPr>
      <w:rFonts w:asciiTheme="majorHAnsi" w:eastAsia="Times New Roman" w:hAnsiTheme="majorHAnsi" w:cs="Arial"/>
      <w:b/>
      <w:i/>
      <w:iCs/>
      <w:snapToGrid w:val="0"/>
      <w:color w:val="000000" w:themeColor="text1"/>
      <w:sz w:val="56"/>
      <w:szCs w:val="36"/>
    </w:rPr>
  </w:style>
  <w:style w:type="character" w:customStyle="1" w:styleId="Heading6Char">
    <w:name w:val="Heading 6 Char"/>
    <w:basedOn w:val="DefaultParagraphFont"/>
    <w:link w:val="Heading6"/>
    <w:uiPriority w:val="99"/>
    <w:rsid w:val="00BA1504"/>
    <w:rPr>
      <w:rFonts w:asciiTheme="majorHAnsi" w:eastAsia="Times New Roman" w:hAnsiTheme="majorHAnsi" w:cs="Arial"/>
      <w:b/>
      <w:i/>
      <w:iCs/>
      <w:snapToGrid w:val="0"/>
      <w:color w:val="1F497D" w:themeColor="text2"/>
      <w:sz w:val="32"/>
      <w:szCs w:val="36"/>
    </w:rPr>
  </w:style>
  <w:style w:type="character" w:customStyle="1" w:styleId="Heading7Char">
    <w:name w:val="Heading 7 Char"/>
    <w:basedOn w:val="DefaultParagraphFont"/>
    <w:link w:val="Heading7"/>
    <w:uiPriority w:val="99"/>
    <w:rsid w:val="00BA1504"/>
    <w:rPr>
      <w:rFonts w:asciiTheme="majorHAnsi" w:eastAsia="Times New Roman" w:hAnsiTheme="majorHAnsi" w:cs="Arial"/>
      <w:i/>
      <w:iCs/>
      <w:snapToGrid w:val="0"/>
      <w:color w:val="1F497D" w:themeColor="text2"/>
      <w:sz w:val="28"/>
      <w:szCs w:val="28"/>
    </w:rPr>
  </w:style>
  <w:style w:type="character" w:customStyle="1" w:styleId="Heading8Char">
    <w:name w:val="Heading 8 Char"/>
    <w:basedOn w:val="DefaultParagraphFont"/>
    <w:link w:val="Heading8"/>
    <w:uiPriority w:val="99"/>
    <w:rsid w:val="00BA1504"/>
    <w:rPr>
      <w:rFonts w:asciiTheme="majorHAnsi" w:eastAsia="Times New Roman" w:hAnsiTheme="majorHAnsi" w:cs="Arial"/>
      <w:b/>
      <w:i/>
      <w:snapToGrid w:val="0"/>
      <w:color w:val="1F497D" w:themeColor="text2"/>
      <w:sz w:val="32"/>
      <w:szCs w:val="21"/>
    </w:rPr>
  </w:style>
  <w:style w:type="character" w:customStyle="1" w:styleId="Heading9Char">
    <w:name w:val="Heading 9 Char"/>
    <w:basedOn w:val="DefaultParagraphFont"/>
    <w:link w:val="Heading9"/>
    <w:rsid w:val="00BA1504"/>
    <w:rPr>
      <w:rFonts w:asciiTheme="majorHAnsi" w:eastAsia="Times New Roman" w:hAnsiTheme="majorHAnsi" w:cs="Arial"/>
      <w:snapToGrid w:val="0"/>
      <w:color w:val="1F497D" w:themeColor="text2"/>
      <w:sz w:val="20"/>
      <w:szCs w:val="21"/>
    </w:rPr>
  </w:style>
  <w:style w:type="paragraph" w:customStyle="1" w:styleId="AppendixNumberLong">
    <w:name w:val="Appendix Number (Long)"/>
    <w:basedOn w:val="Heading3"/>
    <w:next w:val="Heading3"/>
    <w:uiPriority w:val="99"/>
    <w:rsid w:val="00BA1504"/>
    <w:pPr>
      <w:pageBreakBefore/>
      <w:numPr>
        <w:ilvl w:val="5"/>
        <w:numId w:val="2"/>
      </w:numPr>
      <w:tabs>
        <w:tab w:val="clear" w:pos="0"/>
        <w:tab w:val="num" w:pos="360"/>
      </w:tabs>
      <w:kinsoku w:val="0"/>
      <w:overflowPunct w:val="0"/>
      <w:autoSpaceDE w:val="0"/>
      <w:autoSpaceDN w:val="0"/>
      <w:adjustRightInd w:val="0"/>
      <w:snapToGrid w:val="0"/>
      <w:spacing w:before="0" w:line="720" w:lineRule="atLeast"/>
    </w:pPr>
    <w:rPr>
      <w:rFonts w:eastAsia="Times New Roman" w:cs="Arial"/>
      <w:bCs w:val="0"/>
      <w:i/>
      <w:snapToGrid w:val="0"/>
      <w:color w:val="000000" w:themeColor="text1"/>
      <w:sz w:val="56"/>
      <w:szCs w:val="72"/>
    </w:rPr>
  </w:style>
  <w:style w:type="paragraph" w:customStyle="1" w:styleId="ChapterNumberLong">
    <w:name w:val="Chapter Number (Long)"/>
    <w:basedOn w:val="Heading1"/>
    <w:next w:val="Heading1"/>
    <w:uiPriority w:val="99"/>
    <w:rsid w:val="00BA1504"/>
    <w:pPr>
      <w:keepNext w:val="0"/>
      <w:keepLines w:val="0"/>
      <w:pageBreakBefore/>
      <w:numPr>
        <w:numId w:val="2"/>
      </w:numPr>
      <w:tabs>
        <w:tab w:val="clear" w:pos="0"/>
        <w:tab w:val="num" w:pos="360"/>
      </w:tabs>
      <w:kinsoku w:val="0"/>
      <w:overflowPunct w:val="0"/>
      <w:autoSpaceDE w:val="0"/>
      <w:autoSpaceDN w:val="0"/>
      <w:adjustRightInd w:val="0"/>
      <w:snapToGrid w:val="0"/>
      <w:spacing w:before="0" w:line="720" w:lineRule="atLeast"/>
    </w:pPr>
    <w:rPr>
      <w:rFonts w:eastAsia="Times New Roman" w:cs="Arial"/>
      <w:i/>
      <w:snapToGrid w:val="0"/>
      <w:color w:val="auto"/>
      <w:sz w:val="56"/>
      <w:szCs w:val="72"/>
    </w:rPr>
  </w:style>
  <w:style w:type="paragraph" w:customStyle="1" w:styleId="Indent1">
    <w:name w:val="Indent 1"/>
    <w:basedOn w:val="Normal"/>
    <w:rsid w:val="00BA1504"/>
    <w:pPr>
      <w:numPr>
        <w:ilvl w:val="1"/>
        <w:numId w:val="1"/>
      </w:numPr>
      <w:kinsoku w:val="0"/>
      <w:overflowPunct w:val="0"/>
      <w:autoSpaceDE w:val="0"/>
      <w:autoSpaceDN w:val="0"/>
      <w:adjustRightInd w:val="0"/>
      <w:snapToGrid w:val="0"/>
      <w:spacing w:before="100" w:after="100" w:line="240" w:lineRule="auto"/>
    </w:pPr>
    <w:rPr>
      <w:rFonts w:ascii="Georgia" w:eastAsia="Times New Roman" w:hAnsi="Georgia" w:cs="Times New Roman"/>
      <w:snapToGrid w:val="0"/>
      <w:sz w:val="20"/>
      <w:szCs w:val="20"/>
    </w:rPr>
  </w:style>
  <w:style w:type="paragraph" w:customStyle="1" w:styleId="Indent2">
    <w:name w:val="Indent 2"/>
    <w:basedOn w:val="Indent1"/>
    <w:rsid w:val="00BA1504"/>
    <w:pPr>
      <w:numPr>
        <w:ilvl w:val="2"/>
      </w:numPr>
    </w:pPr>
  </w:style>
  <w:style w:type="paragraph" w:customStyle="1" w:styleId="Indent3">
    <w:name w:val="Indent 3"/>
    <w:basedOn w:val="Indent2"/>
    <w:rsid w:val="00BA1504"/>
    <w:pPr>
      <w:numPr>
        <w:ilvl w:val="3"/>
      </w:numPr>
    </w:pPr>
  </w:style>
  <w:style w:type="paragraph" w:customStyle="1" w:styleId="Indent5">
    <w:name w:val="Indent 5"/>
    <w:basedOn w:val="Indent4"/>
    <w:rsid w:val="00BA1504"/>
    <w:pPr>
      <w:numPr>
        <w:ilvl w:val="5"/>
      </w:numPr>
    </w:pPr>
  </w:style>
  <w:style w:type="paragraph" w:customStyle="1" w:styleId="Indent6">
    <w:name w:val="Indent 6"/>
    <w:basedOn w:val="Indent5"/>
    <w:rsid w:val="00BA1504"/>
    <w:pPr>
      <w:numPr>
        <w:ilvl w:val="6"/>
      </w:numPr>
    </w:pPr>
  </w:style>
  <w:style w:type="paragraph" w:customStyle="1" w:styleId="Indent7">
    <w:name w:val="Indent 7"/>
    <w:basedOn w:val="Indent6"/>
    <w:rsid w:val="00BA1504"/>
    <w:pPr>
      <w:numPr>
        <w:ilvl w:val="7"/>
      </w:numPr>
    </w:pPr>
  </w:style>
  <w:style w:type="paragraph" w:customStyle="1" w:styleId="Indent4">
    <w:name w:val="Indent 4"/>
    <w:basedOn w:val="Indent3"/>
    <w:rsid w:val="00BA1504"/>
    <w:pPr>
      <w:numPr>
        <w:ilvl w:val="4"/>
      </w:numPr>
    </w:pPr>
  </w:style>
  <w:style w:type="paragraph" w:customStyle="1" w:styleId="ChapterNumberedList1">
    <w:name w:val="Chapter Numbered List 1"/>
    <w:basedOn w:val="PwCNormal"/>
    <w:uiPriority w:val="99"/>
    <w:rsid w:val="00BA1504"/>
    <w:pPr>
      <w:numPr>
        <w:ilvl w:val="7"/>
        <w:numId w:val="2"/>
      </w:numPr>
      <w:tabs>
        <w:tab w:val="clear" w:pos="567"/>
        <w:tab w:val="num" w:pos="360"/>
      </w:tabs>
      <w:ind w:left="3969" w:firstLine="0"/>
    </w:pPr>
  </w:style>
  <w:style w:type="paragraph" w:customStyle="1" w:styleId="ChapterNumberedList2">
    <w:name w:val="Chapter Numbered List 2"/>
    <w:basedOn w:val="ChapterNumberedList1"/>
    <w:uiPriority w:val="99"/>
    <w:rsid w:val="00BA1504"/>
    <w:pPr>
      <w:numPr>
        <w:ilvl w:val="8"/>
      </w:numPr>
      <w:tabs>
        <w:tab w:val="clear" w:pos="1134"/>
        <w:tab w:val="num" w:pos="360"/>
      </w:tabs>
    </w:pPr>
  </w:style>
  <w:style w:type="paragraph" w:customStyle="1" w:styleId="PwCNormal">
    <w:name w:val="PwC Normal"/>
    <w:aliases w:val="n"/>
    <w:basedOn w:val="Normal"/>
    <w:link w:val="PwCNormalChar"/>
    <w:uiPriority w:val="99"/>
    <w:rsid w:val="00BA1504"/>
    <w:pPr>
      <w:numPr>
        <w:numId w:val="1"/>
      </w:numPr>
      <w:kinsoku w:val="0"/>
      <w:overflowPunct w:val="0"/>
      <w:autoSpaceDE w:val="0"/>
      <w:autoSpaceDN w:val="0"/>
      <w:adjustRightInd w:val="0"/>
      <w:snapToGrid w:val="0"/>
      <w:spacing w:after="240" w:line="240" w:lineRule="auto"/>
    </w:pPr>
    <w:rPr>
      <w:rFonts w:ascii="Georgia" w:eastAsia="Times New Roman" w:hAnsi="Georgia" w:cs="Arial"/>
      <w:snapToGrid w:val="0"/>
      <w:sz w:val="20"/>
      <w:szCs w:val="20"/>
    </w:rPr>
  </w:style>
  <w:style w:type="character" w:customStyle="1" w:styleId="PwCNormalChar">
    <w:name w:val="PwC Normal Char"/>
    <w:aliases w:val="n Char Char,n Char"/>
    <w:basedOn w:val="DefaultParagraphFont"/>
    <w:link w:val="PwCNormal"/>
    <w:uiPriority w:val="99"/>
    <w:rsid w:val="00BA1504"/>
    <w:rPr>
      <w:rFonts w:ascii="Georgia" w:eastAsia="Times New Roman" w:hAnsi="Georgia" w:cs="Arial"/>
      <w:snapToGrid w:val="0"/>
      <w:sz w:val="20"/>
      <w:szCs w:val="20"/>
    </w:rPr>
  </w:style>
  <w:style w:type="paragraph" w:styleId="Caption">
    <w:name w:val="caption"/>
    <w:basedOn w:val="Normal"/>
    <w:next w:val="Normal"/>
    <w:unhideWhenUsed/>
    <w:qFormat/>
    <w:rsid w:val="00BA1504"/>
    <w:pPr>
      <w:keepNext/>
      <w:keepLines/>
      <w:tabs>
        <w:tab w:val="left" w:pos="992"/>
      </w:tabs>
      <w:kinsoku w:val="0"/>
      <w:overflowPunct w:val="0"/>
      <w:autoSpaceDE w:val="0"/>
      <w:autoSpaceDN w:val="0"/>
      <w:adjustRightInd w:val="0"/>
      <w:snapToGrid w:val="0"/>
      <w:spacing w:before="240" w:after="120" w:line="240" w:lineRule="auto"/>
      <w:ind w:left="992" w:hanging="992"/>
    </w:pPr>
    <w:rPr>
      <w:rFonts w:asciiTheme="majorHAnsi" w:eastAsia="Times New Roman" w:hAnsiTheme="majorHAnsi" w:cs="Arial"/>
      <w:b/>
      <w:bCs/>
      <w:snapToGrid w:val="0"/>
      <w:color w:val="1F497D" w:themeColor="text2"/>
      <w:sz w:val="20"/>
      <w:szCs w:val="18"/>
    </w:rPr>
  </w:style>
  <w:style w:type="table" w:styleId="TableGrid">
    <w:name w:val="Table Grid"/>
    <w:basedOn w:val="TableNormal"/>
    <w:rsid w:val="00BA1504"/>
    <w:pPr>
      <w:kinsoku w:val="0"/>
      <w:overflowPunct w:val="0"/>
      <w:autoSpaceDE w:val="0"/>
      <w:autoSpaceDN w:val="0"/>
      <w:adjustRightInd w:val="0"/>
      <w:snapToGrid w:val="0"/>
      <w:spacing w:after="0" w:line="240" w:lineRule="auto"/>
    </w:pPr>
    <w:rPr>
      <w:rFonts w:ascii="Georgia" w:eastAsia="Times New Roman" w:hAnsi="Georgia"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8">
    <w:name w:val="Indent 8"/>
    <w:basedOn w:val="Indent7"/>
    <w:rsid w:val="00BA1504"/>
    <w:pPr>
      <w:numPr>
        <w:ilvl w:val="8"/>
      </w:numPr>
    </w:pPr>
  </w:style>
  <w:style w:type="paragraph" w:customStyle="1" w:styleId="TableBullet1Normal">
    <w:name w:val="Table Bullet 1 Normal"/>
    <w:basedOn w:val="Normal"/>
    <w:rsid w:val="00BA1504"/>
    <w:pPr>
      <w:numPr>
        <w:numId w:val="3"/>
      </w:numPr>
      <w:kinsoku w:val="0"/>
      <w:overflowPunct w:val="0"/>
      <w:autoSpaceDE w:val="0"/>
      <w:autoSpaceDN w:val="0"/>
      <w:adjustRightInd w:val="0"/>
      <w:snapToGrid w:val="0"/>
      <w:spacing w:before="40" w:after="40" w:line="240" w:lineRule="auto"/>
    </w:pPr>
    <w:rPr>
      <w:rFonts w:ascii="Georgia" w:eastAsia="Times New Roman" w:hAnsi="Georgia" w:cs="Arial"/>
      <w:snapToGrid w:val="0"/>
      <w:sz w:val="20"/>
      <w:szCs w:val="20"/>
    </w:rPr>
  </w:style>
  <w:style w:type="paragraph" w:customStyle="1" w:styleId="TableBullet3Normal">
    <w:name w:val="Table Bullet 3 Normal"/>
    <w:basedOn w:val="TableBullet2Normal"/>
    <w:rsid w:val="00BA1504"/>
    <w:pPr>
      <w:numPr>
        <w:ilvl w:val="2"/>
      </w:numPr>
    </w:pPr>
  </w:style>
  <w:style w:type="paragraph" w:customStyle="1" w:styleId="TableBullet2Normal">
    <w:name w:val="Table Bullet 2 Normal"/>
    <w:basedOn w:val="TableBullet1Normal"/>
    <w:rsid w:val="00BA1504"/>
    <w:pPr>
      <w:numPr>
        <w:ilvl w:val="1"/>
      </w:numPr>
    </w:pPr>
  </w:style>
  <w:style w:type="paragraph" w:styleId="FootnoteText">
    <w:name w:val="footnote text"/>
    <w:aliases w:val="Footnote text 1 Char Char,Footnote text 1,Footnote Text Char Char,Kneebone1,Footnote,Text Char Char Char,Text Char,Footnote Text Char Char Char Char Char,Text Char Char Char Char,Footnote text 1 Char,5_G,Char,Cha"/>
    <w:basedOn w:val="Normal"/>
    <w:link w:val="FootnoteTextChar"/>
    <w:uiPriority w:val="99"/>
    <w:unhideWhenUsed/>
    <w:rsid w:val="00BA1504"/>
    <w:pPr>
      <w:kinsoku w:val="0"/>
      <w:overflowPunct w:val="0"/>
      <w:autoSpaceDE w:val="0"/>
      <w:autoSpaceDN w:val="0"/>
      <w:adjustRightInd w:val="0"/>
      <w:snapToGrid w:val="0"/>
      <w:spacing w:after="0" w:line="240" w:lineRule="auto"/>
    </w:pPr>
    <w:rPr>
      <w:rFonts w:ascii="Georgia" w:eastAsia="Times New Roman" w:hAnsi="Georgia" w:cs="Arial"/>
      <w:snapToGrid w:val="0"/>
      <w:sz w:val="24"/>
      <w:szCs w:val="24"/>
    </w:rPr>
  </w:style>
  <w:style w:type="character" w:customStyle="1" w:styleId="FootnoteTextChar">
    <w:name w:val="Footnote Text Char"/>
    <w:aliases w:val="Footnote text 1 Char Char Char,Footnote text 1 Char1,Footnote Text Char Char Char,Kneebone1 Char,Footnote Char,Text Char Char Char Char1,Text Char Char,Footnote Text Char Char Char Char Char Char,Text Char Char Char Char Char,5_G Char"/>
    <w:basedOn w:val="DefaultParagraphFont"/>
    <w:link w:val="FootnoteText"/>
    <w:uiPriority w:val="99"/>
    <w:rsid w:val="00BA1504"/>
    <w:rPr>
      <w:rFonts w:ascii="Georgia" w:eastAsia="Times New Roman" w:hAnsi="Georgia" w:cs="Arial"/>
      <w:snapToGrid w:val="0"/>
      <w:sz w:val="24"/>
      <w:szCs w:val="24"/>
    </w:rPr>
  </w:style>
  <w:style w:type="character" w:styleId="FootnoteReference">
    <w:name w:val="footnote reference"/>
    <w:aliases w:val="Footnotes refss,Footnote number,4_G,4_G Char,Footnotes refss Char,ftref Char,BVI fnr Char,BVI fnr Car Car Char,BVI fnr Car Char,BVI fnr Car Car Car Car Char,BVI fnr Char Car Car Car Char,BVI fnr Char Car Car Car Char Char,callout,Ref"/>
    <w:basedOn w:val="DefaultParagraphFont"/>
    <w:link w:val="ftref"/>
    <w:uiPriority w:val="99"/>
    <w:unhideWhenUsed/>
    <w:rsid w:val="00BA1504"/>
    <w:rPr>
      <w:vertAlign w:val="superscript"/>
    </w:rPr>
  </w:style>
  <w:style w:type="paragraph" w:styleId="NormalWeb">
    <w:name w:val="Normal (Web)"/>
    <w:basedOn w:val="Normal"/>
    <w:uiPriority w:val="99"/>
    <w:unhideWhenUsed/>
    <w:rsid w:val="00BA150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BA1504"/>
    <w:pPr>
      <w:spacing w:after="160" w:line="259" w:lineRule="auto"/>
      <w:ind w:left="720"/>
      <w:contextualSpacing/>
    </w:pPr>
    <w:rPr>
      <w:lang w:val="en-US"/>
    </w:rPr>
  </w:style>
  <w:style w:type="character" w:styleId="Hyperlink">
    <w:name w:val="Hyperlink"/>
    <w:basedOn w:val="DefaultParagraphFont"/>
    <w:uiPriority w:val="99"/>
    <w:unhideWhenUsed/>
    <w:rsid w:val="00BA1504"/>
    <w:rPr>
      <w:color w:val="0000FF" w:themeColor="hyperlink"/>
      <w:u w:val="single"/>
    </w:rPr>
  </w:style>
  <w:style w:type="paragraph" w:customStyle="1" w:styleId="ftref">
    <w:name w:val="ftref"/>
    <w:aliases w:val="BVI fnr,BVI fnr Car Car,BVI fnr Car,BVI fnr Car Car Car Car,BVI fnr Char Car Car Car,BVI fnr Car Car Car Car Char Char,BVI fnr Car Car Car Car Char Char Char Char Char"/>
    <w:basedOn w:val="Normal"/>
    <w:link w:val="FootnoteReference"/>
    <w:uiPriority w:val="99"/>
    <w:rsid w:val="00BA1504"/>
    <w:pPr>
      <w:spacing w:after="160" w:line="240" w:lineRule="exact"/>
      <w:ind w:firstLine="360"/>
      <w:jc w:val="both"/>
    </w:pPr>
    <w:rPr>
      <w:vertAlign w:val="superscript"/>
    </w:rPr>
  </w:style>
  <w:style w:type="character" w:customStyle="1" w:styleId="Heading3Char">
    <w:name w:val="Heading 3 Char"/>
    <w:basedOn w:val="DefaultParagraphFont"/>
    <w:link w:val="Heading3"/>
    <w:uiPriority w:val="9"/>
    <w:rsid w:val="00BA1504"/>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BA1504"/>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BA150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1504"/>
    <w:rPr>
      <w:rFonts w:ascii="Lucida Grande" w:hAnsi="Lucida Grande" w:cs="Lucida Grande"/>
      <w:sz w:val="18"/>
      <w:szCs w:val="18"/>
    </w:rPr>
  </w:style>
  <w:style w:type="paragraph" w:styleId="Title">
    <w:name w:val="Title"/>
    <w:basedOn w:val="Normal"/>
    <w:next w:val="Normal"/>
    <w:link w:val="TitleChar"/>
    <w:uiPriority w:val="10"/>
    <w:qFormat/>
    <w:rsid w:val="00A077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07700"/>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unhideWhenUsed/>
    <w:qFormat/>
    <w:rsid w:val="000A632E"/>
    <w:pPr>
      <w:outlineLvl w:val="9"/>
    </w:pPr>
    <w:rPr>
      <w:color w:val="365F91" w:themeColor="accent1" w:themeShade="BF"/>
      <w:sz w:val="28"/>
      <w:szCs w:val="28"/>
      <w:lang w:val="en-US"/>
    </w:rPr>
  </w:style>
  <w:style w:type="paragraph" w:styleId="TOC3">
    <w:name w:val="toc 3"/>
    <w:basedOn w:val="Normal"/>
    <w:next w:val="Normal"/>
    <w:autoRedefine/>
    <w:uiPriority w:val="39"/>
    <w:unhideWhenUsed/>
    <w:rsid w:val="000A632E"/>
    <w:pPr>
      <w:spacing w:after="0" w:line="240" w:lineRule="auto"/>
      <w:ind w:left="480"/>
    </w:pPr>
    <w:rPr>
      <w:rFonts w:eastAsiaTheme="minorEastAsia"/>
      <w:i/>
      <w:lang w:val="en-US"/>
    </w:rPr>
  </w:style>
  <w:style w:type="character" w:styleId="FollowedHyperlink">
    <w:name w:val="FollowedHyperlink"/>
    <w:basedOn w:val="DefaultParagraphFont"/>
    <w:uiPriority w:val="99"/>
    <w:semiHidden/>
    <w:unhideWhenUsed/>
    <w:rsid w:val="00A37EA7"/>
    <w:rPr>
      <w:color w:val="800080" w:themeColor="followedHyperlink"/>
      <w:u w:val="single"/>
    </w:rPr>
  </w:style>
  <w:style w:type="character" w:styleId="PageNumber">
    <w:name w:val="page number"/>
    <w:basedOn w:val="DefaultParagraphFont"/>
    <w:uiPriority w:val="99"/>
    <w:semiHidden/>
    <w:unhideWhenUsed/>
    <w:rsid w:val="004E4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65575214D5791B40892CC94A91E315EF" ma:contentTypeVersion="3" ma:contentTypeDescription="" ma:contentTypeScope="" ma:versionID="06dded4e35c266ad56b7e77895c7d77e">
  <xsd:schema xmlns:xsd="http://www.w3.org/2001/XMLSchema" xmlns:xs="http://www.w3.org/2001/XMLSchema" xmlns:p="http://schemas.microsoft.com/office/2006/metadata/properties" xmlns:ns1="http://schemas.microsoft.com/sharepoint/v3" xmlns:ns2="3f4bcce7-ac1a-4c9d-aa3e-7e77695652db" xmlns:ns4="6a8ec81c-bfde-4978-a564-7a0956685b26" targetNamespace="http://schemas.microsoft.com/office/2006/metadata/properties" ma:root="true" ma:fieldsID="961b371ce1eae309b89d1a45e0ca9f6c" ns1:_="" ns2:_="" ns4:_="">
    <xsd:import namespace="http://schemas.microsoft.com/sharepoint/v3"/>
    <xsd:import namespace="3f4bcce7-ac1a-4c9d-aa3e-7e77695652db"/>
    <xsd:import namespace="6a8ec81c-bfde-4978-a564-7a0956685b26"/>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element ref="ns4:Org_x0020_Type" minOccurs="0"/>
                <xsd:element ref="ns4:Sub_x0020_Topic" minOccurs="0"/>
                <xsd:element ref="ns4:Rec_x0020_Ref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8ec81c-bfde-4978-a564-7a0956685b26" elementFormDefault="qualified">
    <xsd:import namespace="http://schemas.microsoft.com/office/2006/documentManagement/types"/>
    <xsd:import namespace="http://schemas.microsoft.com/office/infopath/2007/PartnerControls"/>
    <xsd:element name="Org_x0020_Type" ma:index="19" nillable="true" ma:displayName="Org Type" ma:format="Dropdown" ma:internalName="Org_x0020_Type">
      <xsd:simpleType>
        <xsd:restriction base="dms:Choice">
          <xsd:enumeration value="Academic"/>
          <xsd:enumeration value="Disability care provider"/>
          <xsd:enumeration value="Regulatory/Government Agency"/>
          <xsd:enumeration value="NDIS participant"/>
          <xsd:enumeration value="Member of Public"/>
          <xsd:enumeration value="Peak Body"/>
          <xsd:enumeration value="Other"/>
        </xsd:restriction>
      </xsd:simpleType>
    </xsd:element>
    <xsd:element name="Sub_x0020_Topic" ma:index="20" nillable="true" ma:displayName="Sub Topic" ma:internalName="Sub_x0020_Topic">
      <xsd:complexType>
        <xsd:complexContent>
          <xsd:extension base="dms:MultiChoice">
            <xsd:sequence>
              <xsd:element name="Value" maxOccurs="unbounded" minOccurs="0" nillable="true">
                <xsd:simpleType>
                  <xsd:restriction base="dms:Choice">
                    <xsd:enumeration value="Assessment and Planning"/>
                    <xsd:enumeration value="Benefits"/>
                    <xsd:enumeration value="Funding"/>
                    <xsd:enumeration value="Governance"/>
                    <xsd:enumeration value="Mainstream Interface &amp; ILC"/>
                    <xsd:enumeration value="Scheme Costs"/>
                    <xsd:enumeration value="Scheme Participants"/>
                    <xsd:enumeration value="Scheme Services"/>
                    <xsd:enumeration value="Scheme-wide solutions"/>
                    <xsd:enumeration value="Supplier Readiness"/>
                    <xsd:enumeration value="Workforce Readiness"/>
                  </xsd:restriction>
                </xsd:simpleType>
              </xsd:element>
            </xsd:sequence>
          </xsd:extension>
        </xsd:complexContent>
      </xsd:complexType>
    </xsd:element>
    <xsd:element name="Rec_x0020_Refs" ma:index="21" nillable="true" ma:displayName="Rec Refs" ma:internalName="Rec_x0020_Refs">
      <xsd:complexType>
        <xsd:complexContent>
          <xsd:extension base="dms:MultiChoice">
            <xsd:sequence>
              <xsd:element name="Value" maxOccurs="unbounded" minOccurs="0" nillable="true">
                <xsd:simpleType>
                  <xsd:restriction base="dms:Choice">
                    <xsd:enumeration value="F2.1"/>
                    <xsd:enumeration value="F2.2"/>
                    <xsd:enumeration value="F2.3"/>
                    <xsd:enumeration value="F2.4"/>
                    <xsd:enumeration value="F5.1"/>
                    <xsd:enumeration value="F6.1"/>
                    <xsd:enumeration value="F7.1"/>
                    <xsd:enumeration value="F10.1"/>
                    <xsd:enumeration value="F10.2"/>
                    <xsd:enumeration value="R3.1"/>
                    <xsd:enumeration value="R4.1"/>
                    <xsd:enumeration value="R4.2"/>
                    <xsd:enumeration value="R5.1"/>
                    <xsd:enumeration value="R5.2"/>
                    <xsd:enumeration value="R5.3"/>
                    <xsd:enumeration value="R6.1"/>
                    <xsd:enumeration value="R7.1"/>
                    <xsd:enumeration value="R7.2"/>
                    <xsd:enumeration value="R7.3"/>
                    <xsd:enumeration value="R8.1"/>
                    <xsd:enumeration value="R9.1"/>
                    <xsd:enumeration value="R9.2"/>
                    <xsd:enumeration value="R9.3"/>
                    <xsd:enumeration value="R9.4"/>
                    <xsd:enumeration value="R9.5"/>
                    <xsd:enumeration value="R10.1"/>
                    <xsd:enumeration value="R10.2"/>
                    <xsd:enumeration value="R10.3"/>
                    <xsd:enumeration value="IR3.1"/>
                    <xsd:enumeration value="IR3.2"/>
                    <xsd:enumeration value="IR4.1"/>
                    <xsd:enumeration value="IR4.2"/>
                    <xsd:enumeration value="IR5.1"/>
                    <xsd:enumeration value="IR6.1"/>
                    <xsd:enumeration value="IR6.2"/>
                    <xsd:enumeration value="IR7.1"/>
                    <xsd:enumeration value="IR7.2"/>
                    <xsd:enumeration value="IR8.1"/>
                    <xsd:enumeration value="IR8.2"/>
                    <xsd:enumeration value="IR9.1"/>
                    <xsd:enumeration value="IR10.1"/>
                    <xsd:enumeration value="IR10.2"/>
                    <xsd:enumeration value="IR10.3"/>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p:properties xmlns:p="http://schemas.microsoft.com/office/2006/metadata/properties" xmlns:xsi="http://www.w3.org/2001/XMLSchema-instance" xmlns:pc="http://schemas.microsoft.com/office/infopath/2007/PartnerControls">
  <documentManagement>
    <Rec_x0020_Refs xmlns="6a8ec81c-bfde-4978-a564-7a0956685b26"/>
    <TaxKeywordTaxHTField xmlns="3f4bcce7-ac1a-4c9d-aa3e-7e77695652db">
      <Terms xmlns="http://schemas.microsoft.com/office/infopath/2007/PartnerControls"/>
    </TaxKeywordTaxHTField>
    <V3Comments xmlns="http://schemas.microsoft.com/sharepoint/v3" xsi:nil="true"/>
    <Org_x0020_Type xmlns="6a8ec81c-bfde-4978-a564-7a0956685b26">Peak Body</Org_x0020_Typ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Sub_x0020_Topic xmlns="6a8ec81c-bfde-4978-a564-7a0956685b26">
      <Value>Assessment and Planning</Value>
      <Value>Mainstream Interface &amp; ILC</Value>
    </Sub_x0020_Topic>
  </documentManagement>
</p:properti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E9D60-D2DC-4994-98D7-7BCE0D9CD0D2}">
  <ds:schemaRefs>
    <ds:schemaRef ds:uri="http://schemas.microsoft.com/sharepoint/v3/contenttype/forms"/>
  </ds:schemaRefs>
</ds:datastoreItem>
</file>

<file path=customXml/itemProps2.xml><?xml version="1.0" encoding="utf-8"?>
<ds:datastoreItem xmlns:ds="http://schemas.openxmlformats.org/officeDocument/2006/customXml" ds:itemID="{BA3686D2-F734-43CE-A26C-F0596F888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6a8ec81c-bfde-4978-a564-7a0956685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4EFF13-8EBD-4A9A-907A-E9B8C2DD9783}">
  <ds:schemaRefs>
    <ds:schemaRef ds:uri="Microsoft.SharePoint.Taxonomy.ContentTypeSync"/>
  </ds:schemaRefs>
</ds:datastoreItem>
</file>

<file path=customXml/itemProps4.xml><?xml version="1.0" encoding="utf-8"?>
<ds:datastoreItem xmlns:ds="http://schemas.openxmlformats.org/officeDocument/2006/customXml" ds:itemID="{439FFDB1-3E02-4C01-86B9-F1EA2EF84AB1}">
  <ds:schemaRefs>
    <ds:schemaRef ds:uri="http://schemas.microsoft.com/sharepoint/v3"/>
    <ds:schemaRef ds:uri="http://schemas.microsoft.com/office/2006/documentManagement/types"/>
    <ds:schemaRef ds:uri="http://schemas.openxmlformats.org/package/2006/metadata/core-properties"/>
    <ds:schemaRef ds:uri="6a8ec81c-bfde-4978-a564-7a0956685b26"/>
    <ds:schemaRef ds:uri="http://purl.org/dc/elements/1.1/"/>
    <ds:schemaRef ds:uri="http://schemas.microsoft.com/office/infopath/2007/PartnerControls"/>
    <ds:schemaRef ds:uri="3f4bcce7-ac1a-4c9d-aa3e-7e77695652db"/>
    <ds:schemaRef ds:uri="http://schemas.microsoft.com/office/2006/metadata/properties"/>
    <ds:schemaRef ds:uri="http://purl.org/dc/terms/"/>
    <ds:schemaRef ds:uri="http://www.w3.org/XML/1998/namespace"/>
    <ds:schemaRef ds:uri="http://purl.org/dc/dcmitype/"/>
  </ds:schemaRefs>
</ds:datastoreItem>
</file>

<file path=customXml/itemProps5.xml><?xml version="1.0" encoding="utf-8"?>
<ds:datastoreItem xmlns:ds="http://schemas.openxmlformats.org/officeDocument/2006/customXml" ds:itemID="{DDEBD841-2648-4116-98DA-9D8C49AFD61E}">
  <ds:schemaRefs>
    <ds:schemaRef ds:uri="http://schemas.microsoft.com/office/2006/metadata/customXsn"/>
  </ds:schemaRefs>
</ds:datastoreItem>
</file>

<file path=customXml/itemProps6.xml><?xml version="1.0" encoding="utf-8"?>
<ds:datastoreItem xmlns:ds="http://schemas.openxmlformats.org/officeDocument/2006/customXml" ds:itemID="{CB9FFF4B-E71D-48FD-AB03-C9F27E7142C7}">
  <ds:schemaRefs>
    <ds:schemaRef ds:uri="http://schemas.microsoft.com/sharepoint/events"/>
  </ds:schemaRefs>
</ds:datastoreItem>
</file>

<file path=customXml/itemProps7.xml><?xml version="1.0" encoding="utf-8"?>
<ds:datastoreItem xmlns:ds="http://schemas.openxmlformats.org/officeDocument/2006/customXml" ds:itemID="{C218192F-73BB-4BB8-B3A8-C17AD2AA0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2538</Words>
  <Characters>14473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Submission PP342 - Australians for Disability Justice (ADJ) - National Disability Insurance Scheme (NDIS) Costs - Commissioned study</vt:lpstr>
    </vt:vector>
  </TitlesOfParts>
  <Company>Australians for Disability Justice (ADJ)</Company>
  <LinksUpToDate>false</LinksUpToDate>
  <CharactersWithSpaces>16978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PP342 - Australians for Disability Justice (ADJ) - National Disability Insurance Scheme (NDIS) Costs - Commissioned study</dc:title>
  <dc:creator>Australians for Disability Justice (ADJ)</dc:creator>
  <cp:keywords/>
  <cp:lastModifiedBy>Productivity Commission</cp:lastModifiedBy>
  <cp:revision>3</cp:revision>
  <dcterms:created xsi:type="dcterms:W3CDTF">2017-07-26T04:58:00Z</dcterms:created>
  <dcterms:modified xsi:type="dcterms:W3CDTF">2017-07-26T05:15:00Z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0x0101007916246811615643A710C6FEAFF56A8711050065575214D5791B40892CC94A91E315EF</vt:lpwstr>
  </property>
  <property fmtid="{D5CDD505-2E9C-101B-9397-08002B2CF9AE}" pid="3" name="Record Tag">
    <vt:lpwstr>139;#Submissions|c6e0dbf8-5444-433c-844d-d567dd519a05</vt:lpwstr>
  </property>
  <property fmtid="{D5CDD505-2E9C-101B-9397-08002B2CF9AE}" pid="4" name="TaxKeyword">
    <vt:lpwstr/>
  </property>
</Properties>
</file>