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66" w:rsidRPr="00163BEB" w:rsidRDefault="00B41E66" w:rsidP="00B41E66">
      <w:pPr>
        <w:spacing w:after="120"/>
        <w:jc w:val="center"/>
        <w:rPr>
          <w:b/>
          <w:sz w:val="36"/>
          <w:szCs w:val="36"/>
        </w:rPr>
      </w:pPr>
    </w:p>
    <w:p w:rsidR="00E50AA2" w:rsidRDefault="00B41E66" w:rsidP="00B41E66">
      <w:pPr>
        <w:spacing w:after="120"/>
        <w:jc w:val="center"/>
        <w:rPr>
          <w:b/>
          <w:sz w:val="36"/>
          <w:szCs w:val="36"/>
        </w:rPr>
      </w:pPr>
      <w:r w:rsidRPr="00163BEB">
        <w:rPr>
          <w:b/>
          <w:sz w:val="36"/>
          <w:szCs w:val="36"/>
        </w:rPr>
        <w:t xml:space="preserve">Comment on </w:t>
      </w:r>
      <w:r w:rsidR="00836AAA" w:rsidRPr="00163BEB">
        <w:rPr>
          <w:b/>
          <w:sz w:val="36"/>
          <w:szCs w:val="36"/>
        </w:rPr>
        <w:t>9 Oct</w:t>
      </w:r>
      <w:r w:rsidR="00E50AA2">
        <w:rPr>
          <w:b/>
          <w:sz w:val="36"/>
          <w:szCs w:val="36"/>
        </w:rPr>
        <w:t>ober</w:t>
      </w:r>
      <w:r w:rsidR="00836AAA" w:rsidRPr="00163BEB">
        <w:rPr>
          <w:b/>
          <w:sz w:val="36"/>
          <w:szCs w:val="36"/>
        </w:rPr>
        <w:t xml:space="preserve"> 2017 </w:t>
      </w:r>
      <w:r w:rsidR="00421BE0" w:rsidRPr="00163BEB">
        <w:rPr>
          <w:b/>
          <w:sz w:val="36"/>
          <w:szCs w:val="36"/>
        </w:rPr>
        <w:t xml:space="preserve">Productivity </w:t>
      </w:r>
    </w:p>
    <w:p w:rsidR="00B41E66" w:rsidRPr="00163BEB" w:rsidRDefault="00421BE0" w:rsidP="00B41E66">
      <w:pPr>
        <w:spacing w:after="120"/>
        <w:jc w:val="center"/>
        <w:rPr>
          <w:b/>
          <w:sz w:val="36"/>
          <w:szCs w:val="36"/>
        </w:rPr>
      </w:pPr>
      <w:r w:rsidRPr="00163BEB">
        <w:rPr>
          <w:b/>
          <w:sz w:val="36"/>
          <w:szCs w:val="36"/>
        </w:rPr>
        <w:t xml:space="preserve">Commission </w:t>
      </w:r>
      <w:r w:rsidR="00836AAA" w:rsidRPr="00163BEB">
        <w:rPr>
          <w:b/>
          <w:sz w:val="36"/>
          <w:szCs w:val="36"/>
        </w:rPr>
        <w:t>draft</w:t>
      </w:r>
      <w:r w:rsidR="00836AAA">
        <w:rPr>
          <w:b/>
          <w:sz w:val="36"/>
          <w:szCs w:val="36"/>
        </w:rPr>
        <w:t xml:space="preserve"> </w:t>
      </w:r>
      <w:r w:rsidR="00B41E66" w:rsidRPr="00163BEB">
        <w:rPr>
          <w:b/>
          <w:sz w:val="36"/>
          <w:szCs w:val="36"/>
        </w:rPr>
        <w:t>report on HFE</w:t>
      </w:r>
    </w:p>
    <w:p w:rsidR="00B41E66" w:rsidRPr="003C7274" w:rsidRDefault="00B41E66" w:rsidP="00B41E66">
      <w:pPr>
        <w:jc w:val="center"/>
        <w:rPr>
          <w:sz w:val="36"/>
          <w:szCs w:val="36"/>
        </w:rPr>
      </w:pPr>
      <w:r w:rsidRPr="003C7274">
        <w:rPr>
          <w:sz w:val="36"/>
          <w:szCs w:val="36"/>
        </w:rPr>
        <w:t>Doug Buckley</w:t>
      </w:r>
      <w:r w:rsidR="003C7274" w:rsidRPr="003C7274">
        <w:rPr>
          <w:sz w:val="36"/>
          <w:szCs w:val="36"/>
        </w:rPr>
        <w:t xml:space="preserve">, </w:t>
      </w:r>
      <w:r w:rsidR="001B2C15" w:rsidRPr="003C7274">
        <w:rPr>
          <w:sz w:val="36"/>
          <w:szCs w:val="36"/>
        </w:rPr>
        <w:t>1</w:t>
      </w:r>
      <w:r w:rsidR="00836AAA" w:rsidRPr="003C7274">
        <w:rPr>
          <w:sz w:val="36"/>
          <w:szCs w:val="36"/>
        </w:rPr>
        <w:t>7</w:t>
      </w:r>
      <w:r w:rsidR="00394900" w:rsidRPr="003C7274">
        <w:rPr>
          <w:sz w:val="36"/>
          <w:szCs w:val="36"/>
        </w:rPr>
        <w:t xml:space="preserve"> October 2017</w:t>
      </w:r>
    </w:p>
    <w:p w:rsidR="00923DD2" w:rsidRPr="00163BEB" w:rsidRDefault="00923DD2" w:rsidP="00B41E66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CB6683" w:rsidRDefault="00923DD2" w:rsidP="00CB6683">
      <w:pPr>
        <w:rPr>
          <w:sz w:val="36"/>
          <w:szCs w:val="36"/>
        </w:rPr>
      </w:pPr>
      <w:r w:rsidRPr="00163BEB">
        <w:rPr>
          <w:b/>
          <w:sz w:val="36"/>
          <w:szCs w:val="36"/>
        </w:rPr>
        <w:t xml:space="preserve">General   </w:t>
      </w:r>
      <w:r w:rsidRPr="00163BEB">
        <w:rPr>
          <w:sz w:val="36"/>
          <w:szCs w:val="36"/>
        </w:rPr>
        <w:t xml:space="preserve">There is a chance that I </w:t>
      </w:r>
      <w:r w:rsidR="006A603F">
        <w:rPr>
          <w:sz w:val="36"/>
          <w:szCs w:val="36"/>
        </w:rPr>
        <w:t xml:space="preserve">have </w:t>
      </w:r>
      <w:r w:rsidRPr="00163BEB">
        <w:rPr>
          <w:sz w:val="36"/>
          <w:szCs w:val="36"/>
        </w:rPr>
        <w:t>missed it</w:t>
      </w:r>
      <w:r w:rsidR="00E50AA2">
        <w:rPr>
          <w:sz w:val="36"/>
          <w:szCs w:val="36"/>
        </w:rPr>
        <w:t xml:space="preserve"> in</w:t>
      </w:r>
      <w:r w:rsidRPr="00163BEB">
        <w:rPr>
          <w:sz w:val="36"/>
          <w:szCs w:val="36"/>
        </w:rPr>
        <w:t xml:space="preserve"> </w:t>
      </w:r>
      <w:r w:rsidR="00BF106D">
        <w:rPr>
          <w:sz w:val="36"/>
          <w:szCs w:val="36"/>
        </w:rPr>
        <w:t xml:space="preserve">your </w:t>
      </w:r>
      <w:r w:rsidR="00651756">
        <w:rPr>
          <w:sz w:val="36"/>
          <w:szCs w:val="36"/>
        </w:rPr>
        <w:t xml:space="preserve">publications </w:t>
      </w:r>
      <w:r w:rsidRPr="00163BEB">
        <w:rPr>
          <w:sz w:val="36"/>
          <w:szCs w:val="36"/>
        </w:rPr>
        <w:t xml:space="preserve">but surely there is a case for the PC including some kind of </w:t>
      </w:r>
      <w:r w:rsidR="00FA1A64">
        <w:rPr>
          <w:sz w:val="36"/>
          <w:szCs w:val="36"/>
        </w:rPr>
        <w:t xml:space="preserve">overall </w:t>
      </w:r>
      <w:r w:rsidRPr="00163BEB">
        <w:rPr>
          <w:sz w:val="36"/>
          <w:szCs w:val="36"/>
        </w:rPr>
        <w:t>comment on the nature of taxation.</w:t>
      </w:r>
      <w:r w:rsidR="00E50AA2">
        <w:rPr>
          <w:sz w:val="36"/>
          <w:szCs w:val="36"/>
        </w:rPr>
        <w:t xml:space="preserve"> Contrary to the views expressed by some</w:t>
      </w:r>
      <w:r w:rsidR="00CB6683">
        <w:rPr>
          <w:sz w:val="36"/>
          <w:szCs w:val="36"/>
        </w:rPr>
        <w:t xml:space="preserve">, </w:t>
      </w:r>
      <w:r w:rsidR="00E50AA2">
        <w:rPr>
          <w:sz w:val="36"/>
          <w:szCs w:val="36"/>
        </w:rPr>
        <w:t>particularly in Western Australia</w:t>
      </w:r>
      <w:r w:rsidR="00CB6683">
        <w:rPr>
          <w:sz w:val="36"/>
          <w:szCs w:val="36"/>
        </w:rPr>
        <w:t xml:space="preserve">, </w:t>
      </w:r>
      <w:r w:rsidR="00E50AA2">
        <w:rPr>
          <w:sz w:val="36"/>
          <w:szCs w:val="36"/>
        </w:rPr>
        <w:t>t</w:t>
      </w:r>
      <w:r w:rsidR="00FB1B4A" w:rsidRPr="00163BEB">
        <w:rPr>
          <w:sz w:val="36"/>
          <w:szCs w:val="36"/>
        </w:rPr>
        <w:t>axation i</w:t>
      </w:r>
      <w:r w:rsidRPr="00163BEB">
        <w:rPr>
          <w:sz w:val="36"/>
          <w:szCs w:val="36"/>
        </w:rPr>
        <w:t xml:space="preserve">s not about rewarding </w:t>
      </w:r>
      <w:r w:rsidR="00E50AA2">
        <w:rPr>
          <w:sz w:val="36"/>
          <w:szCs w:val="36"/>
        </w:rPr>
        <w:t>persons (</w:t>
      </w:r>
      <w:r w:rsidR="00CB6683">
        <w:rPr>
          <w:sz w:val="36"/>
          <w:szCs w:val="36"/>
        </w:rPr>
        <w:t>or</w:t>
      </w:r>
      <w:r w:rsidR="00E50AA2">
        <w:rPr>
          <w:sz w:val="36"/>
          <w:szCs w:val="36"/>
        </w:rPr>
        <w:t xml:space="preserve"> States) that </w:t>
      </w:r>
      <w:r w:rsidRPr="00163BEB">
        <w:rPr>
          <w:sz w:val="36"/>
          <w:szCs w:val="36"/>
        </w:rPr>
        <w:t xml:space="preserve">pay the most </w:t>
      </w:r>
      <w:r w:rsidR="00E50AA2">
        <w:rPr>
          <w:sz w:val="36"/>
          <w:szCs w:val="36"/>
        </w:rPr>
        <w:t xml:space="preserve">income </w:t>
      </w:r>
      <w:r w:rsidR="00CC4325">
        <w:rPr>
          <w:sz w:val="36"/>
          <w:szCs w:val="36"/>
        </w:rPr>
        <w:t>(</w:t>
      </w:r>
      <w:r w:rsidR="00CB6683">
        <w:rPr>
          <w:sz w:val="36"/>
          <w:szCs w:val="36"/>
        </w:rPr>
        <w:t xml:space="preserve">or </w:t>
      </w:r>
      <w:r w:rsidR="00CC4325">
        <w:rPr>
          <w:sz w:val="36"/>
          <w:szCs w:val="36"/>
        </w:rPr>
        <w:t xml:space="preserve">goods and services) </w:t>
      </w:r>
      <w:r w:rsidRPr="00163BEB">
        <w:rPr>
          <w:sz w:val="36"/>
          <w:szCs w:val="36"/>
        </w:rPr>
        <w:t>tax</w:t>
      </w:r>
      <w:r w:rsidR="00651756">
        <w:rPr>
          <w:sz w:val="36"/>
          <w:szCs w:val="36"/>
        </w:rPr>
        <w:t xml:space="preserve">, </w:t>
      </w:r>
      <w:r w:rsidRPr="00163BEB">
        <w:rPr>
          <w:sz w:val="36"/>
          <w:szCs w:val="36"/>
        </w:rPr>
        <w:t>but rather,</w:t>
      </w:r>
      <w:r w:rsidR="00FA1A64">
        <w:rPr>
          <w:sz w:val="36"/>
          <w:szCs w:val="36"/>
        </w:rPr>
        <w:t xml:space="preserve"> very often, </w:t>
      </w:r>
      <w:r w:rsidRPr="00163BEB">
        <w:rPr>
          <w:sz w:val="36"/>
          <w:szCs w:val="36"/>
        </w:rPr>
        <w:t xml:space="preserve">the opposite. </w:t>
      </w:r>
      <w:r w:rsidR="00FB1B4A" w:rsidRPr="00163BEB">
        <w:rPr>
          <w:sz w:val="36"/>
          <w:szCs w:val="36"/>
        </w:rPr>
        <w:t xml:space="preserve">Such comment, carefully expressed, should be part of the </w:t>
      </w:r>
      <w:r w:rsidR="00B41E66" w:rsidRPr="00163BEB">
        <w:rPr>
          <w:sz w:val="36"/>
          <w:szCs w:val="36"/>
        </w:rPr>
        <w:t>PR work called for in my submission of 7 June 2017</w:t>
      </w:r>
      <w:r w:rsidR="006A603F">
        <w:rPr>
          <w:sz w:val="36"/>
          <w:szCs w:val="36"/>
        </w:rPr>
        <w:t xml:space="preserve">. </w:t>
      </w:r>
      <w:r w:rsidR="00CB6683">
        <w:rPr>
          <w:sz w:val="36"/>
          <w:szCs w:val="36"/>
        </w:rPr>
        <w:t xml:space="preserve">     </w:t>
      </w:r>
    </w:p>
    <w:p w:rsidR="00CB6683" w:rsidRDefault="00CB6683" w:rsidP="00063D73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C7274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="006A603F">
        <w:rPr>
          <w:sz w:val="36"/>
          <w:szCs w:val="36"/>
        </w:rPr>
        <w:t>M</w:t>
      </w:r>
      <w:r w:rsidR="007E79B3">
        <w:rPr>
          <w:sz w:val="36"/>
          <w:szCs w:val="36"/>
        </w:rPr>
        <w:t xml:space="preserve">uch more could be made </w:t>
      </w:r>
      <w:r w:rsidR="00394900">
        <w:rPr>
          <w:sz w:val="36"/>
          <w:szCs w:val="36"/>
        </w:rPr>
        <w:t xml:space="preserve">publicly </w:t>
      </w:r>
      <w:r w:rsidR="007E79B3">
        <w:rPr>
          <w:sz w:val="36"/>
          <w:szCs w:val="36"/>
        </w:rPr>
        <w:t xml:space="preserve">of the important fact that the process is democratic in that grants are untied, leaving states to </w:t>
      </w:r>
      <w:r>
        <w:rPr>
          <w:sz w:val="36"/>
          <w:szCs w:val="36"/>
        </w:rPr>
        <w:t xml:space="preserve">tax and </w:t>
      </w:r>
      <w:r w:rsidR="007E79B3">
        <w:rPr>
          <w:sz w:val="36"/>
          <w:szCs w:val="36"/>
        </w:rPr>
        <w:t>spend</w:t>
      </w:r>
      <w:r w:rsidR="00394900">
        <w:rPr>
          <w:sz w:val="36"/>
          <w:szCs w:val="36"/>
        </w:rPr>
        <w:t xml:space="preserve"> as they see fit</w:t>
      </w:r>
      <w:r>
        <w:rPr>
          <w:sz w:val="36"/>
          <w:szCs w:val="36"/>
        </w:rPr>
        <w:t xml:space="preserve">; a reasonably happy Australian union of equity and democracy. </w:t>
      </w:r>
      <w:r w:rsidR="00FA1A64">
        <w:rPr>
          <w:sz w:val="36"/>
          <w:szCs w:val="36"/>
        </w:rPr>
        <w:t xml:space="preserve">The CGC's work is of course the distribution of some of the </w:t>
      </w:r>
      <w:r w:rsidR="00FA1A64" w:rsidRPr="006A603F">
        <w:rPr>
          <w:sz w:val="36"/>
          <w:szCs w:val="36"/>
          <w:u w:val="single"/>
        </w:rPr>
        <w:t>common</w:t>
      </w:r>
      <w:r w:rsidR="00FA1A64">
        <w:rPr>
          <w:sz w:val="36"/>
          <w:szCs w:val="36"/>
        </w:rPr>
        <w:t xml:space="preserve"> </w:t>
      </w:r>
      <w:r w:rsidR="00FA1A64" w:rsidRPr="006A603F">
        <w:rPr>
          <w:sz w:val="36"/>
          <w:szCs w:val="36"/>
          <w:u w:val="single"/>
        </w:rPr>
        <w:t>wealth</w:t>
      </w:r>
      <w:r w:rsidR="00FA1A64">
        <w:rPr>
          <w:sz w:val="36"/>
          <w:szCs w:val="36"/>
        </w:rPr>
        <w:t xml:space="preserve"> of the Commonwealth of Australia.</w:t>
      </w:r>
    </w:p>
    <w:p w:rsidR="00BF106D" w:rsidRDefault="00CB6683" w:rsidP="00063D73">
      <w:pPr>
        <w:rPr>
          <w:sz w:val="36"/>
          <w:szCs w:val="36"/>
        </w:rPr>
      </w:pPr>
      <w:r>
        <w:rPr>
          <w:b/>
          <w:sz w:val="36"/>
          <w:szCs w:val="36"/>
        </w:rPr>
        <w:t>"</w:t>
      </w:r>
      <w:r w:rsidR="00394900">
        <w:rPr>
          <w:b/>
          <w:sz w:val="36"/>
          <w:szCs w:val="36"/>
        </w:rPr>
        <w:t>Second strongest state</w:t>
      </w:r>
      <w:r>
        <w:rPr>
          <w:b/>
          <w:sz w:val="36"/>
          <w:szCs w:val="36"/>
        </w:rPr>
        <w:t>"</w:t>
      </w:r>
      <w:r w:rsidR="00BF106D">
        <w:rPr>
          <w:b/>
          <w:sz w:val="36"/>
          <w:szCs w:val="36"/>
        </w:rPr>
        <w:t>?</w:t>
      </w:r>
      <w:r w:rsidR="00394900">
        <w:rPr>
          <w:b/>
          <w:sz w:val="36"/>
          <w:szCs w:val="36"/>
        </w:rPr>
        <w:t xml:space="preserve">  </w:t>
      </w:r>
      <w:r w:rsidR="006A720C" w:rsidRPr="007E79B3">
        <w:rPr>
          <w:sz w:val="36"/>
          <w:szCs w:val="36"/>
        </w:rPr>
        <w:t>Given that the total q</w:t>
      </w:r>
      <w:r w:rsidR="006A720C" w:rsidRPr="00163BEB">
        <w:rPr>
          <w:sz w:val="36"/>
          <w:szCs w:val="36"/>
        </w:rPr>
        <w:t xml:space="preserve">uantum of the GST is collected </w:t>
      </w:r>
      <w:r w:rsidR="00BF106D" w:rsidRPr="00BF106D">
        <w:rPr>
          <w:sz w:val="36"/>
          <w:szCs w:val="36"/>
          <w:u w:val="single"/>
        </w:rPr>
        <w:t xml:space="preserve">quite </w:t>
      </w:r>
      <w:r w:rsidR="006A720C" w:rsidRPr="00BF106D">
        <w:rPr>
          <w:sz w:val="36"/>
          <w:szCs w:val="36"/>
          <w:u w:val="single"/>
        </w:rPr>
        <w:t>independently</w:t>
      </w:r>
      <w:r w:rsidR="006A720C" w:rsidRPr="00163BEB">
        <w:rPr>
          <w:sz w:val="36"/>
          <w:szCs w:val="36"/>
          <w:u w:val="single"/>
        </w:rPr>
        <w:t xml:space="preserve"> of state budgets</w:t>
      </w:r>
      <w:r w:rsidR="006A720C" w:rsidRPr="00163BEB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it </w:t>
      </w:r>
      <w:proofErr w:type="gramStart"/>
      <w:r>
        <w:rPr>
          <w:sz w:val="36"/>
          <w:szCs w:val="36"/>
        </w:rPr>
        <w:t>is</w:t>
      </w:r>
      <w:proofErr w:type="gramEnd"/>
      <w:r>
        <w:rPr>
          <w:sz w:val="36"/>
          <w:szCs w:val="36"/>
        </w:rPr>
        <w:t xml:space="preserve"> illogical to </w:t>
      </w:r>
      <w:r w:rsidR="006A720C" w:rsidRPr="00163BEB">
        <w:rPr>
          <w:sz w:val="36"/>
          <w:szCs w:val="36"/>
        </w:rPr>
        <w:t>require</w:t>
      </w:r>
      <w:r w:rsidR="00951E9D" w:rsidRPr="00163BEB">
        <w:rPr>
          <w:sz w:val="36"/>
          <w:szCs w:val="36"/>
        </w:rPr>
        <w:t xml:space="preserve"> that </w:t>
      </w:r>
      <w:r w:rsidR="006A720C" w:rsidRPr="00163BEB">
        <w:rPr>
          <w:sz w:val="36"/>
          <w:szCs w:val="36"/>
        </w:rPr>
        <w:t xml:space="preserve">all states </w:t>
      </w:r>
      <w:r w:rsidR="007D48BB" w:rsidRPr="00163BEB">
        <w:rPr>
          <w:sz w:val="36"/>
          <w:szCs w:val="36"/>
        </w:rPr>
        <w:t>be</w:t>
      </w:r>
      <w:r w:rsidR="00951E9D" w:rsidRPr="00163BEB">
        <w:rPr>
          <w:sz w:val="36"/>
          <w:szCs w:val="36"/>
        </w:rPr>
        <w:t xml:space="preserve"> </w:t>
      </w:r>
      <w:r w:rsidR="006A720C" w:rsidRPr="00163BEB">
        <w:rPr>
          <w:sz w:val="36"/>
          <w:szCs w:val="36"/>
        </w:rPr>
        <w:t xml:space="preserve">brought up </w:t>
      </w:r>
      <w:r w:rsidR="00951E9D" w:rsidRPr="00163BEB">
        <w:rPr>
          <w:sz w:val="36"/>
          <w:szCs w:val="36"/>
        </w:rPr>
        <w:t xml:space="preserve">(or indeed down) </w:t>
      </w:r>
      <w:r w:rsidR="006A720C" w:rsidRPr="00163BEB">
        <w:rPr>
          <w:sz w:val="36"/>
          <w:szCs w:val="36"/>
        </w:rPr>
        <w:t xml:space="preserve">to the </w:t>
      </w:r>
      <w:r w:rsidR="00394900">
        <w:rPr>
          <w:sz w:val="36"/>
          <w:szCs w:val="36"/>
        </w:rPr>
        <w:t>"</w:t>
      </w:r>
      <w:r w:rsidR="006A720C" w:rsidRPr="00163BEB">
        <w:rPr>
          <w:sz w:val="36"/>
          <w:szCs w:val="36"/>
        </w:rPr>
        <w:t>fiscal capacity of the s</w:t>
      </w:r>
      <w:r w:rsidR="007D48BB" w:rsidRPr="00163BEB">
        <w:rPr>
          <w:sz w:val="36"/>
          <w:szCs w:val="36"/>
        </w:rPr>
        <w:t>econd strongest state</w:t>
      </w:r>
      <w:r w:rsidR="00394900">
        <w:rPr>
          <w:sz w:val="36"/>
          <w:szCs w:val="36"/>
        </w:rPr>
        <w:t>"</w:t>
      </w:r>
      <w:r w:rsidR="007D48BB" w:rsidRPr="00163BEB">
        <w:rPr>
          <w:sz w:val="36"/>
          <w:szCs w:val="36"/>
        </w:rPr>
        <w:t>?</w:t>
      </w:r>
      <w:r w:rsidR="009647F5">
        <w:rPr>
          <w:sz w:val="36"/>
          <w:szCs w:val="36"/>
        </w:rPr>
        <w:t xml:space="preserve"> (</w:t>
      </w:r>
      <w:proofErr w:type="gramStart"/>
      <w:r w:rsidR="009647F5">
        <w:rPr>
          <w:sz w:val="36"/>
          <w:szCs w:val="36"/>
        </w:rPr>
        <w:t>page</w:t>
      </w:r>
      <w:proofErr w:type="gramEnd"/>
      <w:r w:rsidR="009647F5">
        <w:rPr>
          <w:sz w:val="36"/>
          <w:szCs w:val="36"/>
        </w:rPr>
        <w:t xml:space="preserve"> </w:t>
      </w:r>
      <w:r w:rsidR="006F3551">
        <w:rPr>
          <w:sz w:val="36"/>
          <w:szCs w:val="36"/>
        </w:rPr>
        <w:t>22</w:t>
      </w:r>
      <w:r w:rsidR="009647F5">
        <w:rPr>
          <w:sz w:val="36"/>
          <w:szCs w:val="36"/>
        </w:rPr>
        <w:t>)</w:t>
      </w:r>
      <w:r w:rsidR="00063D73" w:rsidRPr="00163BEB">
        <w:rPr>
          <w:sz w:val="36"/>
          <w:szCs w:val="36"/>
        </w:rPr>
        <w:t xml:space="preserve"> </w:t>
      </w:r>
      <w:r w:rsidR="009647F5">
        <w:rPr>
          <w:sz w:val="36"/>
          <w:szCs w:val="36"/>
        </w:rPr>
        <w:t>o</w:t>
      </w:r>
      <w:r w:rsidR="00394900">
        <w:rPr>
          <w:sz w:val="36"/>
          <w:szCs w:val="36"/>
        </w:rPr>
        <w:t xml:space="preserve">r indeed any particular state. </w:t>
      </w:r>
      <w:r w:rsidR="00063D73" w:rsidRPr="00163BEB">
        <w:rPr>
          <w:sz w:val="36"/>
          <w:szCs w:val="36"/>
        </w:rPr>
        <w:t xml:space="preserve"> </w:t>
      </w:r>
      <w:r w:rsidR="009647F5">
        <w:rPr>
          <w:sz w:val="36"/>
          <w:szCs w:val="36"/>
        </w:rPr>
        <w:t xml:space="preserve">Leave the CGC to </w:t>
      </w:r>
      <w:r w:rsidR="009647F5">
        <w:rPr>
          <w:sz w:val="36"/>
          <w:szCs w:val="36"/>
        </w:rPr>
        <w:lastRenderedPageBreak/>
        <w:t xml:space="preserve">figure out as best it can (this is no exact science) what that level should be, given a specific quantum of GST. </w:t>
      </w:r>
      <w:r w:rsidR="00063D73" w:rsidRPr="00163BEB">
        <w:rPr>
          <w:sz w:val="36"/>
          <w:szCs w:val="36"/>
        </w:rPr>
        <w:t xml:space="preserve"> </w:t>
      </w:r>
    </w:p>
    <w:p w:rsidR="00063D73" w:rsidRPr="00163BEB" w:rsidRDefault="00BF106D" w:rsidP="00063D73">
      <w:pPr>
        <w:rPr>
          <w:sz w:val="36"/>
          <w:szCs w:val="36"/>
        </w:rPr>
      </w:pPr>
      <w:r w:rsidRPr="00394900">
        <w:rPr>
          <w:b/>
          <w:sz w:val="36"/>
          <w:szCs w:val="36"/>
        </w:rPr>
        <w:t>Contemporaneity</w:t>
      </w:r>
      <w:r w:rsidRPr="00163BEB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</w:t>
      </w:r>
      <w:r w:rsidR="00063D73" w:rsidRPr="00163BEB">
        <w:rPr>
          <w:sz w:val="36"/>
          <w:szCs w:val="36"/>
        </w:rPr>
        <w:t xml:space="preserve">Of course </w:t>
      </w:r>
      <w:r w:rsidR="0060717B" w:rsidRPr="00163BEB">
        <w:rPr>
          <w:sz w:val="36"/>
          <w:szCs w:val="36"/>
        </w:rPr>
        <w:t>I think that extreme swings are best deal</w:t>
      </w:r>
      <w:r w:rsidR="007F0B8F" w:rsidRPr="00163BEB">
        <w:rPr>
          <w:sz w:val="36"/>
          <w:szCs w:val="36"/>
        </w:rPr>
        <w:t>t</w:t>
      </w:r>
      <w:r w:rsidR="0060717B" w:rsidRPr="00163BEB">
        <w:rPr>
          <w:sz w:val="36"/>
          <w:szCs w:val="36"/>
        </w:rPr>
        <w:t xml:space="preserve"> with by the kind of limited annual forecasting and backward revision outlined in my earlier submissio</w:t>
      </w:r>
      <w:r w:rsidR="00B41E66" w:rsidRPr="00163BEB">
        <w:rPr>
          <w:sz w:val="36"/>
          <w:szCs w:val="36"/>
        </w:rPr>
        <w:t>n (7 June 2017)</w:t>
      </w:r>
      <w:r w:rsidR="0060717B" w:rsidRPr="00163BEB">
        <w:rPr>
          <w:sz w:val="36"/>
          <w:szCs w:val="36"/>
        </w:rPr>
        <w:t xml:space="preserve">. </w:t>
      </w:r>
    </w:p>
    <w:p w:rsidR="00951E9D" w:rsidRPr="00163BEB" w:rsidRDefault="00B41E66" w:rsidP="00421BE0">
      <w:pPr>
        <w:rPr>
          <w:sz w:val="36"/>
          <w:szCs w:val="36"/>
        </w:rPr>
      </w:pPr>
      <w:r w:rsidRPr="00163BEB">
        <w:rPr>
          <w:b/>
          <w:sz w:val="36"/>
          <w:szCs w:val="36"/>
        </w:rPr>
        <w:t>"</w:t>
      </w:r>
      <w:r w:rsidR="00FB1B4A" w:rsidRPr="00163BEB">
        <w:rPr>
          <w:sz w:val="36"/>
          <w:szCs w:val="36"/>
        </w:rPr>
        <w:t>Trying to increase the contemporaneity of the assessment could introduce additional complexity and volatility</w:t>
      </w:r>
      <w:r w:rsidRPr="00163BEB">
        <w:rPr>
          <w:sz w:val="36"/>
          <w:szCs w:val="36"/>
        </w:rPr>
        <w:t>"</w:t>
      </w:r>
      <w:r w:rsidR="00BF106D">
        <w:rPr>
          <w:sz w:val="36"/>
          <w:szCs w:val="36"/>
        </w:rPr>
        <w:t xml:space="preserve"> </w:t>
      </w:r>
      <w:r w:rsidR="009647F5">
        <w:rPr>
          <w:sz w:val="36"/>
          <w:szCs w:val="36"/>
        </w:rPr>
        <w:t xml:space="preserve">(page </w:t>
      </w:r>
      <w:r w:rsidR="00FA1A64">
        <w:rPr>
          <w:sz w:val="36"/>
          <w:szCs w:val="36"/>
        </w:rPr>
        <w:t>17</w:t>
      </w:r>
      <w:r w:rsidR="009647F5">
        <w:rPr>
          <w:sz w:val="36"/>
          <w:szCs w:val="36"/>
        </w:rPr>
        <w:t xml:space="preserve">). </w:t>
      </w:r>
      <w:r w:rsidR="00BF106D">
        <w:rPr>
          <w:sz w:val="36"/>
          <w:szCs w:val="36"/>
        </w:rPr>
        <w:t xml:space="preserve">Does my method add </w:t>
      </w:r>
      <w:r w:rsidR="007F0B8F" w:rsidRPr="00163BEB">
        <w:rPr>
          <w:sz w:val="36"/>
          <w:szCs w:val="36"/>
        </w:rPr>
        <w:t xml:space="preserve">complexity? Yes, but not much. </w:t>
      </w:r>
      <w:r w:rsidR="00BF106D">
        <w:rPr>
          <w:sz w:val="36"/>
          <w:szCs w:val="36"/>
        </w:rPr>
        <w:t xml:space="preserve">Add </w:t>
      </w:r>
      <w:r w:rsidR="007F0B8F" w:rsidRPr="00163BEB">
        <w:rPr>
          <w:sz w:val="36"/>
          <w:szCs w:val="36"/>
        </w:rPr>
        <w:t>v</w:t>
      </w:r>
      <w:r w:rsidR="009647F5">
        <w:rPr>
          <w:sz w:val="36"/>
          <w:szCs w:val="36"/>
        </w:rPr>
        <w:t>olatility? Not so sure. I think</w:t>
      </w:r>
      <w:r w:rsidR="004B1891" w:rsidRPr="00163BEB">
        <w:rPr>
          <w:sz w:val="36"/>
          <w:szCs w:val="36"/>
        </w:rPr>
        <w:t xml:space="preserve"> </w:t>
      </w:r>
      <w:r w:rsidR="007F0B8F" w:rsidRPr="00163BEB">
        <w:rPr>
          <w:sz w:val="36"/>
          <w:szCs w:val="36"/>
        </w:rPr>
        <w:t>it would have softened the shocks in WA that engender</w:t>
      </w:r>
      <w:r w:rsidR="004B1891" w:rsidRPr="00163BEB">
        <w:rPr>
          <w:sz w:val="36"/>
          <w:szCs w:val="36"/>
        </w:rPr>
        <w:t>ed</w:t>
      </w:r>
      <w:r w:rsidR="007F0B8F" w:rsidRPr="00163BEB">
        <w:rPr>
          <w:sz w:val="36"/>
          <w:szCs w:val="36"/>
        </w:rPr>
        <w:t xml:space="preserve"> your present work. </w:t>
      </w:r>
    </w:p>
    <w:p w:rsidR="00421BE0" w:rsidRDefault="00421BE0">
      <w:pPr>
        <w:rPr>
          <w:b/>
          <w:sz w:val="36"/>
          <w:szCs w:val="36"/>
        </w:rPr>
      </w:pPr>
    </w:p>
    <w:p w:rsidR="003C7274" w:rsidRDefault="003C7274" w:rsidP="003C7274">
      <w:pPr>
        <w:rPr>
          <w:b/>
          <w:sz w:val="36"/>
          <w:szCs w:val="36"/>
        </w:rPr>
      </w:pPr>
      <w:r w:rsidRPr="00163BEB">
        <w:rPr>
          <w:b/>
          <w:sz w:val="36"/>
          <w:szCs w:val="36"/>
        </w:rPr>
        <w:t>Doug Buckley</w:t>
      </w:r>
    </w:p>
    <w:p w:rsidR="003C7274" w:rsidRPr="00E50AA2" w:rsidRDefault="003C7274" w:rsidP="003C7274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6C67D1">
        <w:rPr>
          <w:sz w:val="36"/>
          <w:szCs w:val="36"/>
          <w:highlight w:val="black"/>
        </w:rPr>
        <w:t>dougbuckley@bigpond.com</w:t>
      </w:r>
    </w:p>
    <w:p w:rsidR="003C7274" w:rsidRPr="00163BEB" w:rsidRDefault="003C7274" w:rsidP="003C7274">
      <w:pPr>
        <w:rPr>
          <w:b/>
          <w:sz w:val="36"/>
          <w:szCs w:val="36"/>
        </w:rPr>
      </w:pPr>
      <w:r w:rsidRPr="00E50AA2">
        <w:rPr>
          <w:sz w:val="36"/>
          <w:szCs w:val="36"/>
        </w:rPr>
        <w:t>17 October 2017</w:t>
      </w:r>
    </w:p>
    <w:p w:rsidR="003C7274" w:rsidRPr="00163BEB" w:rsidRDefault="003C7274">
      <w:pPr>
        <w:rPr>
          <w:b/>
          <w:sz w:val="36"/>
          <w:szCs w:val="36"/>
        </w:rPr>
      </w:pPr>
    </w:p>
    <w:p w:rsidR="00421BE0" w:rsidRPr="00163BEB" w:rsidRDefault="00421BE0">
      <w:pPr>
        <w:rPr>
          <w:sz w:val="36"/>
          <w:szCs w:val="36"/>
        </w:rPr>
      </w:pPr>
    </w:p>
    <w:p w:rsidR="00421BE0" w:rsidRPr="00163BEB" w:rsidRDefault="00421BE0">
      <w:pPr>
        <w:rPr>
          <w:sz w:val="36"/>
          <w:szCs w:val="36"/>
        </w:rPr>
      </w:pPr>
    </w:p>
    <w:p w:rsidR="00421BE0" w:rsidRPr="00163BEB" w:rsidRDefault="00421BE0">
      <w:pPr>
        <w:rPr>
          <w:sz w:val="36"/>
          <w:szCs w:val="36"/>
        </w:rPr>
      </w:pPr>
    </w:p>
    <w:p w:rsidR="00421BE0" w:rsidRPr="00163BEB" w:rsidRDefault="00421BE0">
      <w:pPr>
        <w:rPr>
          <w:sz w:val="36"/>
          <w:szCs w:val="36"/>
        </w:rPr>
      </w:pPr>
    </w:p>
    <w:p w:rsidR="00421BE0" w:rsidRPr="00163BEB" w:rsidRDefault="00421BE0">
      <w:pPr>
        <w:rPr>
          <w:sz w:val="36"/>
          <w:szCs w:val="36"/>
        </w:rPr>
      </w:pPr>
    </w:p>
    <w:p w:rsidR="00421BE0" w:rsidRPr="00163BEB" w:rsidRDefault="00421BE0">
      <w:pPr>
        <w:rPr>
          <w:sz w:val="36"/>
          <w:szCs w:val="36"/>
        </w:rPr>
      </w:pPr>
    </w:p>
    <w:sectPr w:rsidR="00421BE0" w:rsidRPr="00163B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415F"/>
    <w:multiLevelType w:val="hybridMultilevel"/>
    <w:tmpl w:val="11042038"/>
    <w:lvl w:ilvl="0" w:tplc="CC683DAA">
      <w:start w:val="1"/>
      <w:numFmt w:val="bullet"/>
      <w:pStyle w:val="KeyPoints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79"/>
    <w:rsid w:val="00063D73"/>
    <w:rsid w:val="0008556F"/>
    <w:rsid w:val="000E42B3"/>
    <w:rsid w:val="00163BEB"/>
    <w:rsid w:val="001B2C15"/>
    <w:rsid w:val="002355AE"/>
    <w:rsid w:val="00394900"/>
    <w:rsid w:val="003C7274"/>
    <w:rsid w:val="00421BE0"/>
    <w:rsid w:val="004B1891"/>
    <w:rsid w:val="0060717B"/>
    <w:rsid w:val="00651756"/>
    <w:rsid w:val="006A603F"/>
    <w:rsid w:val="006A720C"/>
    <w:rsid w:val="006C67D1"/>
    <w:rsid w:val="006F3551"/>
    <w:rsid w:val="007D48BB"/>
    <w:rsid w:val="007E79B3"/>
    <w:rsid w:val="007F0B8F"/>
    <w:rsid w:val="00836AAA"/>
    <w:rsid w:val="00922FCB"/>
    <w:rsid w:val="00923DD2"/>
    <w:rsid w:val="00951E9D"/>
    <w:rsid w:val="009647F5"/>
    <w:rsid w:val="00A05B3D"/>
    <w:rsid w:val="00B41E66"/>
    <w:rsid w:val="00BF106D"/>
    <w:rsid w:val="00CB6683"/>
    <w:rsid w:val="00CC4325"/>
    <w:rsid w:val="00DA54B2"/>
    <w:rsid w:val="00E50AA2"/>
    <w:rsid w:val="00EA0979"/>
    <w:rsid w:val="00EF7F96"/>
    <w:rsid w:val="00F039B9"/>
    <w:rsid w:val="00FA1A64"/>
    <w:rsid w:val="00FB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598EB-4D38-4810-84DB-58F61331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PointsListBullet2">
    <w:name w:val="Key Points List Bullet 2"/>
    <w:basedOn w:val="Normal"/>
    <w:rsid w:val="00951E9D"/>
    <w:pPr>
      <w:keepNext/>
      <w:numPr>
        <w:numId w:val="1"/>
      </w:numPr>
      <w:spacing w:before="100" w:after="0" w:line="260" w:lineRule="atLeast"/>
      <w:ind w:left="568" w:hanging="284"/>
      <w:jc w:val="both"/>
    </w:pPr>
    <w:rPr>
      <w:rFonts w:ascii="Arial" w:eastAsia="Times New Roman" w:hAnsi="Arial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57 - Doug Buckley - Horizontal Fiscal Equalisation - Public inquiry</vt:lpstr>
    </vt:vector>
  </TitlesOfParts>
  <Company>Doug Buckley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57 - Doug Buckley - Horizontal Fiscal Equalisation - Public inquiry</dc:title>
  <dc:creator>Doug Buckley</dc:creator>
  <cp:lastModifiedBy>Productivity Commission</cp:lastModifiedBy>
  <cp:revision>10</cp:revision>
  <dcterms:created xsi:type="dcterms:W3CDTF">2017-10-16T21:27:00Z</dcterms:created>
  <dcterms:modified xsi:type="dcterms:W3CDTF">2017-10-20T00:01:00Z</dcterms:modified>
</cp:coreProperties>
</file>