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8AC9" w14:textId="77777777" w:rsidR="00854AB4" w:rsidRDefault="00854AB4" w:rsidP="00854AB4">
      <w:pPr>
        <w:jc w:val="right"/>
      </w:pPr>
      <w:bookmarkStart w:id="0" w:name="_GoBack"/>
      <w:bookmarkEnd w:id="0"/>
      <w:r w:rsidRPr="00854AB4">
        <w:rPr>
          <w:noProof/>
          <w:lang w:val="en-AU" w:eastAsia="en-AU"/>
        </w:rPr>
        <w:drawing>
          <wp:inline distT="0" distB="0" distL="0" distR="0" wp14:anchorId="6B22312F" wp14:editId="19C5B823">
            <wp:extent cx="943429" cy="990600"/>
            <wp:effectExtent l="0" t="0" r="9525" b="0"/>
            <wp:docPr id="1" name="Picture 1" descr="IA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H Australia"/>
                    <pic:cNvPicPr>
                      <a:picLocks noChangeAspect="1" noChangeArrowheads="1"/>
                    </pic:cNvPicPr>
                  </pic:nvPicPr>
                  <pic:blipFill rotWithShape="1">
                    <a:blip r:embed="rId13">
                      <a:extLst>
                        <a:ext uri="{28A0092B-C50C-407E-A947-70E740481C1C}">
                          <a14:useLocalDpi xmlns:a14="http://schemas.microsoft.com/office/drawing/2010/main" val="0"/>
                        </a:ext>
                      </a:extLst>
                    </a:blip>
                    <a:srcRect r="58764"/>
                    <a:stretch/>
                  </pic:blipFill>
                  <pic:spPr bwMode="auto">
                    <a:xfrm>
                      <a:off x="0" y="0"/>
                      <a:ext cx="948754" cy="99619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lang w:val="en-AU" w:eastAsia="en-AU"/>
        </w:rPr>
        <w:drawing>
          <wp:inline distT="0" distB="0" distL="0" distR="0" wp14:anchorId="5135C518" wp14:editId="16D71445">
            <wp:extent cx="953062" cy="925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h-logo.gif"/>
                    <pic:cNvPicPr/>
                  </pic:nvPicPr>
                  <pic:blipFill>
                    <a:blip r:embed="rId14">
                      <a:extLst>
                        <a:ext uri="{28A0092B-C50C-407E-A947-70E740481C1C}">
                          <a14:useLocalDpi xmlns:a14="http://schemas.microsoft.com/office/drawing/2010/main" val="0"/>
                        </a:ext>
                      </a:extLst>
                    </a:blip>
                    <a:stretch>
                      <a:fillRect/>
                    </a:stretch>
                  </pic:blipFill>
                  <pic:spPr>
                    <a:xfrm>
                      <a:off x="0" y="0"/>
                      <a:ext cx="1022735" cy="993512"/>
                    </a:xfrm>
                    <a:prstGeom prst="rect">
                      <a:avLst/>
                    </a:prstGeom>
                  </pic:spPr>
                </pic:pic>
              </a:graphicData>
            </a:graphic>
          </wp:inline>
        </w:drawing>
      </w:r>
    </w:p>
    <w:p w14:paraId="16D1ECDB" w14:textId="77777777" w:rsidR="00854AB4" w:rsidRPr="007E5EDC" w:rsidRDefault="00854AB4" w:rsidP="007E5EDC">
      <w:pPr>
        <w:spacing w:after="120"/>
        <w:rPr>
          <w:sz w:val="28"/>
          <w:szCs w:val="28"/>
        </w:rPr>
      </w:pPr>
      <w:r w:rsidRPr="007E5EDC">
        <w:rPr>
          <w:b/>
          <w:bCs/>
          <w:sz w:val="28"/>
          <w:szCs w:val="28"/>
        </w:rPr>
        <w:t xml:space="preserve">Submission by International Association of Hydrogeologists </w:t>
      </w:r>
    </w:p>
    <w:p w14:paraId="0E784B01" w14:textId="77777777" w:rsidR="00854AB4" w:rsidRPr="007E5EDC" w:rsidRDefault="00854AB4" w:rsidP="007E5EDC">
      <w:pPr>
        <w:spacing w:after="120"/>
        <w:rPr>
          <w:sz w:val="28"/>
          <w:szCs w:val="28"/>
        </w:rPr>
      </w:pPr>
      <w:r w:rsidRPr="007E5EDC">
        <w:rPr>
          <w:b/>
          <w:bCs/>
          <w:sz w:val="28"/>
          <w:szCs w:val="28"/>
        </w:rPr>
        <w:t xml:space="preserve">To: </w:t>
      </w:r>
      <w:r w:rsidR="00F912DE" w:rsidRPr="007E5EDC">
        <w:rPr>
          <w:b/>
          <w:bCs/>
          <w:sz w:val="28"/>
          <w:szCs w:val="28"/>
        </w:rPr>
        <w:t xml:space="preserve"> </w:t>
      </w:r>
      <w:r w:rsidRPr="007E5EDC">
        <w:rPr>
          <w:b/>
          <w:bCs/>
          <w:sz w:val="28"/>
          <w:szCs w:val="28"/>
        </w:rPr>
        <w:t xml:space="preserve">Productivity Commission </w:t>
      </w:r>
    </w:p>
    <w:p w14:paraId="37E2223E" w14:textId="77777777" w:rsidR="005812AA" w:rsidRPr="007E5EDC" w:rsidRDefault="00854AB4" w:rsidP="007E5EDC">
      <w:pPr>
        <w:spacing w:after="120"/>
        <w:rPr>
          <w:sz w:val="28"/>
          <w:szCs w:val="28"/>
        </w:rPr>
      </w:pPr>
      <w:r w:rsidRPr="007E5EDC">
        <w:rPr>
          <w:b/>
          <w:bCs/>
          <w:sz w:val="28"/>
          <w:szCs w:val="28"/>
        </w:rPr>
        <w:t xml:space="preserve">On: </w:t>
      </w:r>
      <w:r w:rsidR="005812AA" w:rsidRPr="007E5EDC">
        <w:rPr>
          <w:b/>
          <w:bCs/>
          <w:sz w:val="28"/>
          <w:szCs w:val="28"/>
        </w:rPr>
        <w:t xml:space="preserve">Issues Paper March 2018: Murray-Darling Basin Plan: Five-year assessment </w:t>
      </w:r>
    </w:p>
    <w:p w14:paraId="7948818B" w14:textId="77777777" w:rsidR="00854AB4" w:rsidRPr="00854AB4" w:rsidRDefault="00854AB4" w:rsidP="00854AB4">
      <w:r w:rsidRPr="00854AB4">
        <w:rPr>
          <w:b/>
          <w:bCs/>
        </w:rPr>
        <w:t xml:space="preserve">Date: </w:t>
      </w:r>
      <w:r w:rsidR="00E715F6">
        <w:rPr>
          <w:b/>
          <w:bCs/>
        </w:rPr>
        <w:t>16</w:t>
      </w:r>
      <w:r w:rsidR="0006781B">
        <w:rPr>
          <w:b/>
          <w:bCs/>
        </w:rPr>
        <w:t xml:space="preserve"> April</w:t>
      </w:r>
      <w:r>
        <w:rPr>
          <w:b/>
          <w:bCs/>
        </w:rPr>
        <w:t xml:space="preserve"> 2018</w:t>
      </w:r>
      <w:r w:rsidRPr="00854AB4">
        <w:rPr>
          <w:b/>
          <w:bCs/>
        </w:rPr>
        <w:t xml:space="preserve"> </w:t>
      </w:r>
    </w:p>
    <w:p w14:paraId="6D9EB1EC" w14:textId="77777777" w:rsidR="00854AB4" w:rsidRPr="00854AB4" w:rsidRDefault="00854AB4" w:rsidP="00854AB4">
      <w:r w:rsidRPr="00854AB4">
        <w:rPr>
          <w:b/>
          <w:bCs/>
        </w:rPr>
        <w:t xml:space="preserve">Terms of Reference addressed in this submission: </w:t>
      </w:r>
    </w:p>
    <w:p w14:paraId="7C1C9175" w14:textId="77777777" w:rsidR="005812AA" w:rsidRPr="005812AA" w:rsidRDefault="005812AA" w:rsidP="005812AA">
      <w:pPr>
        <w:spacing w:after="0"/>
        <w:rPr>
          <w:i/>
        </w:rPr>
      </w:pPr>
      <w:r w:rsidRPr="005812AA">
        <w:rPr>
          <w:i/>
        </w:rPr>
        <w:t xml:space="preserve">Specifically, the Commission should focus on progress towards a pathway for three key priorities including:  </w:t>
      </w:r>
    </w:p>
    <w:p w14:paraId="6F0536E7" w14:textId="77777777" w:rsidR="005812AA" w:rsidRPr="005812AA" w:rsidRDefault="005812AA" w:rsidP="005812AA">
      <w:pPr>
        <w:spacing w:after="0"/>
        <w:rPr>
          <w:i/>
        </w:rPr>
      </w:pPr>
      <w:r w:rsidRPr="005812AA">
        <w:rPr>
          <w:i/>
        </w:rPr>
        <w:t xml:space="preserve">• supply measures to offset the Basin Plan water recovery target of 2,750 GL by 2019, using the Sustainable Diversion Limit (SDL) adjustment mechanism;  </w:t>
      </w:r>
    </w:p>
    <w:p w14:paraId="3618306F" w14:textId="77777777" w:rsidR="005812AA" w:rsidRPr="005812AA" w:rsidRDefault="005812AA" w:rsidP="005812AA">
      <w:pPr>
        <w:spacing w:after="0"/>
        <w:rPr>
          <w:i/>
        </w:rPr>
      </w:pPr>
      <w:r w:rsidRPr="005812AA">
        <w:rPr>
          <w:i/>
        </w:rPr>
        <w:t xml:space="preserve">• constraints measures to address impediments to delivering environmental water; and  </w:t>
      </w:r>
    </w:p>
    <w:p w14:paraId="5906D72F" w14:textId="77777777" w:rsidR="005812AA" w:rsidRDefault="005812AA" w:rsidP="005812AA">
      <w:pPr>
        <w:spacing w:after="0"/>
      </w:pPr>
      <w:r w:rsidRPr="005812AA">
        <w:rPr>
          <w:i/>
        </w:rPr>
        <w:t>• efficiency measures to recover an additional 450 GL by 2024, consistent with the Basin Plan legal requirement to achieve neutral or improved socio-economic outcomes.</w:t>
      </w:r>
    </w:p>
    <w:p w14:paraId="7679FD23" w14:textId="77777777" w:rsidR="00083B98" w:rsidRDefault="00083B98" w:rsidP="00854AB4"/>
    <w:p w14:paraId="40F12A77" w14:textId="77777777" w:rsidR="005812AA" w:rsidRDefault="005812AA" w:rsidP="00854AB4">
      <w:r>
        <w:t xml:space="preserve">In particular the focus of this submission is on </w:t>
      </w:r>
      <w:r w:rsidR="00BA0CE3">
        <w:t xml:space="preserve">the </w:t>
      </w:r>
      <w:r w:rsidR="00F42B86" w:rsidRPr="00854AB4">
        <w:t>Broken Hill town water supply</w:t>
      </w:r>
      <w:r w:rsidR="00BA0CE3">
        <w:t xml:space="preserve"> and </w:t>
      </w:r>
      <w:r w:rsidR="00F42B86" w:rsidRPr="00854AB4">
        <w:t>Menindee Lakes system</w:t>
      </w:r>
      <w:r w:rsidR="00F42B86">
        <w:t xml:space="preserve">, the inadequate process of selection of a preferred </w:t>
      </w:r>
      <w:r w:rsidR="00BA0CE3">
        <w:t xml:space="preserve">pipeline from the River Murray </w:t>
      </w:r>
      <w:r w:rsidR="00F42B86">
        <w:t xml:space="preserve">option by </w:t>
      </w:r>
      <w:r w:rsidR="00BA0CE3">
        <w:t xml:space="preserve">the </w:t>
      </w:r>
      <w:r w:rsidR="00F42B86">
        <w:t xml:space="preserve">Govt of New South Wales to date, and potential significant savings in costs and increased water security through a groundwater and managed aquifer recharge </w:t>
      </w:r>
      <w:r w:rsidR="00BA0CE3">
        <w:t xml:space="preserve">(MAR) </w:t>
      </w:r>
      <w:r w:rsidR="00F42B86">
        <w:t xml:space="preserve">option based on the current water supply from </w:t>
      </w:r>
      <w:r w:rsidR="00BA0CE3">
        <w:t>W</w:t>
      </w:r>
      <w:r w:rsidR="00F42B86">
        <w:t xml:space="preserve">eir 32 near Menindee. </w:t>
      </w:r>
      <w:r w:rsidR="00083B98">
        <w:t xml:space="preserve"> Th</w:t>
      </w:r>
      <w:r w:rsidR="00BA0CE3">
        <w:t xml:space="preserve">e principles explored in this submission indicate </w:t>
      </w:r>
      <w:r w:rsidR="00083B98">
        <w:t>that MAR has broader opportunities in water banking for securing dry weather supplies in a basin that adheres to an uncontested plan.</w:t>
      </w:r>
    </w:p>
    <w:p w14:paraId="7EF6EFB8" w14:textId="77777777" w:rsidR="00854AB4" w:rsidRPr="00854AB4" w:rsidRDefault="00854AB4" w:rsidP="00854AB4">
      <w:r w:rsidRPr="00854AB4">
        <w:rPr>
          <w:b/>
          <w:bCs/>
        </w:rPr>
        <w:t xml:space="preserve">The submitting organisation </w:t>
      </w:r>
    </w:p>
    <w:p w14:paraId="62575389" w14:textId="77777777" w:rsidR="00D0380C" w:rsidRDefault="00854AB4" w:rsidP="00D0380C">
      <w:pPr>
        <w:spacing w:after="0"/>
      </w:pPr>
      <w:r w:rsidRPr="00854AB4">
        <w:t xml:space="preserve">The International Association of Hydrogeologists </w:t>
      </w:r>
      <w:r w:rsidR="007D12C3">
        <w:t xml:space="preserve">(IAH) </w:t>
      </w:r>
      <w:r w:rsidRPr="00854AB4">
        <w:t xml:space="preserve">is the international peak scientific professional organisation engaged in groundwater resources management. It has a global membership of more than 4000 hydrogeologists, groundwater scientists and engineers, and its largest national chapter is the Australian Chapter, with more than 500 members. This submission has been assembled by the Australian Chapter together with the IAH Commission on Managing Aquifer Recharge which is a specialist international group with expertise in advancing safe and reliable intentional augmentation of groundwater resources. The signatories to this submission are Lange Jorstad, President of the Australian National Chapter and Peter Dillon, Co-chair of the Commission on Managing Aquifer Recharge. </w:t>
      </w:r>
      <w:r w:rsidR="00785AC3">
        <w:br/>
      </w:r>
    </w:p>
    <w:p w14:paraId="4B2CABF9" w14:textId="19F4D8C3" w:rsidR="008D668F" w:rsidRDefault="00785AC3" w:rsidP="00EB0F3B">
      <w:pPr>
        <w:tabs>
          <w:tab w:val="left" w:pos="3828"/>
        </w:tabs>
        <w:rPr>
          <w:noProof/>
          <w:lang w:val="en-AU" w:eastAsia="en-AU"/>
        </w:rPr>
      </w:pPr>
      <w:r>
        <w:tab/>
      </w:r>
    </w:p>
    <w:p w14:paraId="612C65E3" w14:textId="77777777" w:rsidR="005413E3" w:rsidRDefault="005413E3" w:rsidP="00EB0F3B">
      <w:pPr>
        <w:tabs>
          <w:tab w:val="left" w:pos="3828"/>
        </w:tabs>
      </w:pPr>
    </w:p>
    <w:p w14:paraId="0BCE5D4E" w14:textId="77777777" w:rsidR="00854AB4" w:rsidRPr="00854AB4" w:rsidRDefault="00854AB4" w:rsidP="00F42B86">
      <w:pPr>
        <w:spacing w:after="0"/>
      </w:pPr>
      <w:r w:rsidRPr="00854AB4">
        <w:t xml:space="preserve">Lange Jorstad </w:t>
      </w:r>
      <w:r w:rsidR="00F42B86">
        <w:tab/>
      </w:r>
      <w:r w:rsidR="00F42B86">
        <w:tab/>
      </w:r>
      <w:r w:rsidR="00F42B86">
        <w:tab/>
      </w:r>
      <w:r w:rsidR="00F42B86">
        <w:tab/>
      </w:r>
      <w:r w:rsidR="00F71D5B">
        <w:t xml:space="preserve">    </w:t>
      </w:r>
      <w:r w:rsidR="00F42B86">
        <w:t xml:space="preserve"> </w:t>
      </w:r>
      <w:r w:rsidRPr="00854AB4">
        <w:t xml:space="preserve">Peter Dillon </w:t>
      </w:r>
    </w:p>
    <w:p w14:paraId="06DE37C1" w14:textId="77777777" w:rsidR="00D0380C" w:rsidRDefault="00854AB4" w:rsidP="00F42B86">
      <w:pPr>
        <w:spacing w:after="0"/>
      </w:pPr>
      <w:r w:rsidRPr="00854AB4">
        <w:t>President, IAH Australian Chapter</w:t>
      </w:r>
      <w:r w:rsidR="00F71D5B">
        <w:tab/>
        <w:t xml:space="preserve">     </w:t>
      </w:r>
      <w:r w:rsidRPr="00854AB4">
        <w:t>Co-Chair,</w:t>
      </w:r>
      <w:r w:rsidR="00F42B86">
        <w:t xml:space="preserve"> </w:t>
      </w:r>
      <w:r w:rsidRPr="00854AB4">
        <w:t>IAH Commission on Managing Aquifer Recharge</w:t>
      </w:r>
    </w:p>
    <w:p w14:paraId="160DA65B" w14:textId="77777777" w:rsidR="00854AB4" w:rsidRPr="00570633" w:rsidRDefault="00854AB4" w:rsidP="00854AB4">
      <w:pPr>
        <w:rPr>
          <w:b/>
          <w:bCs/>
          <w:szCs w:val="24"/>
        </w:rPr>
      </w:pPr>
      <w:r w:rsidRPr="00570633">
        <w:rPr>
          <w:b/>
          <w:bCs/>
          <w:szCs w:val="24"/>
        </w:rPr>
        <w:lastRenderedPageBreak/>
        <w:t xml:space="preserve">IAH Submission </w:t>
      </w:r>
      <w:r w:rsidR="00F42B86" w:rsidRPr="00570633">
        <w:rPr>
          <w:b/>
          <w:bCs/>
          <w:szCs w:val="24"/>
        </w:rPr>
        <w:t>to Productivity Commission on Murray-Darling Basin Plan: Five-year assessment</w:t>
      </w:r>
    </w:p>
    <w:p w14:paraId="24B3B03A" w14:textId="77777777" w:rsidR="00854AB4" w:rsidRPr="00854AB4" w:rsidRDefault="00854AB4" w:rsidP="00854AB4">
      <w:r w:rsidRPr="00854AB4">
        <w:rPr>
          <w:b/>
          <w:bCs/>
        </w:rPr>
        <w:t xml:space="preserve">Broken Hill Water Supply Options </w:t>
      </w:r>
    </w:p>
    <w:p w14:paraId="1C7C5945" w14:textId="77777777" w:rsidR="00854AB4" w:rsidRPr="00854AB4" w:rsidRDefault="00DD3C93" w:rsidP="00854AB4">
      <w:r>
        <w:t xml:space="preserve">According to </w:t>
      </w:r>
      <w:r w:rsidR="001174A9">
        <w:t>NSW Department of Industry</w:t>
      </w:r>
      <w:r w:rsidR="008F3B3B">
        <w:t xml:space="preserve"> </w:t>
      </w:r>
      <w:r w:rsidR="001174A9">
        <w:t>(</w:t>
      </w:r>
      <w:r w:rsidR="007D12C3">
        <w:t xml:space="preserve">DPI, </w:t>
      </w:r>
      <w:r w:rsidR="001174A9">
        <w:t>2017)</w:t>
      </w:r>
      <w:r>
        <w:t>,</w:t>
      </w:r>
      <w:r w:rsidR="001174A9">
        <w:t xml:space="preserve"> the</w:t>
      </w:r>
      <w:r>
        <w:t xml:space="preserve"> </w:t>
      </w:r>
      <w:r w:rsidR="00854AB4" w:rsidRPr="00854AB4">
        <w:t xml:space="preserve">NSW government intends </w:t>
      </w:r>
      <w:r w:rsidR="008F3B3B">
        <w:t>supplying water to</w:t>
      </w:r>
      <w:r w:rsidR="008F3B3B" w:rsidRPr="00854AB4">
        <w:t xml:space="preserve"> </w:t>
      </w:r>
      <w:r w:rsidR="00854AB4" w:rsidRPr="00854AB4">
        <w:t xml:space="preserve">Broken Hill </w:t>
      </w:r>
      <w:r w:rsidR="008F3B3B">
        <w:t>from</w:t>
      </w:r>
      <w:r w:rsidR="008F3B3B" w:rsidRPr="00854AB4">
        <w:t xml:space="preserve"> </w:t>
      </w:r>
      <w:r w:rsidR="00854AB4" w:rsidRPr="00854AB4">
        <w:t xml:space="preserve">the River Murray </w:t>
      </w:r>
      <w:r w:rsidR="008F3B3B">
        <w:t>via</w:t>
      </w:r>
      <w:r w:rsidR="008F3B3B" w:rsidRPr="00854AB4">
        <w:t xml:space="preserve"> </w:t>
      </w:r>
      <w:r w:rsidR="00854AB4" w:rsidRPr="00854AB4">
        <w:t xml:space="preserve">a 270km pipeline </w:t>
      </w:r>
      <w:r>
        <w:t xml:space="preserve">from near Wentworth </w:t>
      </w:r>
      <w:r w:rsidR="00854AB4" w:rsidRPr="00854AB4">
        <w:t xml:space="preserve">to </w:t>
      </w:r>
      <w:r w:rsidR="008F3B3B">
        <w:t xml:space="preserve">deliver </w:t>
      </w:r>
      <w:r w:rsidR="00854AB4" w:rsidRPr="00854AB4">
        <w:t xml:space="preserve">10 GL/yr at a capital cost of </w:t>
      </w:r>
      <w:r w:rsidR="001174A9">
        <w:t xml:space="preserve">around </w:t>
      </w:r>
      <w:r w:rsidR="00854AB4" w:rsidRPr="00854AB4">
        <w:t xml:space="preserve">$500M. </w:t>
      </w:r>
    </w:p>
    <w:p w14:paraId="69796862" w14:textId="43BCCD82" w:rsidR="00854AB4" w:rsidRPr="00854AB4" w:rsidRDefault="00854AB4" w:rsidP="00854AB4">
      <w:r w:rsidRPr="00854AB4">
        <w:t xml:space="preserve">Geoscience Australia and CSIRO explored options to use the existing Menindee water supply infrastructure, together with significant fresh groundwater reserves near the Darling River in the vicinity of Menindee and groundwater replenishment during high flow years to provide a higher reliability and quality of supply at less than half this cost. This significant work was published as a series of Geoscience Australia reports, summarised in Lawrie </w:t>
      </w:r>
      <w:r w:rsidRPr="00854AB4">
        <w:rPr>
          <w:i/>
          <w:iCs/>
        </w:rPr>
        <w:t xml:space="preserve">et al </w:t>
      </w:r>
      <w:r w:rsidRPr="00854AB4">
        <w:t xml:space="preserve">(2012) and was presented in several special sessions during the IAH 40th International Congress in Perth in 2013. </w:t>
      </w:r>
    </w:p>
    <w:p w14:paraId="71A659E8" w14:textId="77777777" w:rsidR="00854AB4" w:rsidRPr="00854AB4" w:rsidRDefault="00DD3C93" w:rsidP="00854AB4">
      <w:r w:rsidRPr="00854AB4">
        <w:t xml:space="preserve">Aquifer storages </w:t>
      </w:r>
      <w:r>
        <w:t>found by Geoscience Australia’s geophysics and drilling program are</w:t>
      </w:r>
      <w:r w:rsidRPr="00854AB4">
        <w:t xml:space="preserve"> large</w:t>
      </w:r>
      <w:r w:rsidR="008F3B3B">
        <w:t>,</w:t>
      </w:r>
      <w:r w:rsidRPr="00854AB4">
        <w:t xml:space="preserve"> </w:t>
      </w:r>
      <w:r>
        <w:t xml:space="preserve">containing many years </w:t>
      </w:r>
      <w:r w:rsidR="00AD47BB">
        <w:t xml:space="preserve">of freshwater </w:t>
      </w:r>
      <w:r>
        <w:t xml:space="preserve">supply to Broken Hill (Lawrie </w:t>
      </w:r>
      <w:r w:rsidRPr="005D0F0C">
        <w:rPr>
          <w:i/>
        </w:rPr>
        <w:t>et al</w:t>
      </w:r>
      <w:r>
        <w:t xml:space="preserve"> 2012).  These </w:t>
      </w:r>
      <w:r w:rsidR="008F3B3B">
        <w:t xml:space="preserve">aquifer </w:t>
      </w:r>
      <w:r>
        <w:t>storages are</w:t>
      </w:r>
      <w:r w:rsidRPr="00854AB4">
        <w:t xml:space="preserve"> protected from evaporation</w:t>
      </w:r>
      <w:r w:rsidR="008F3B3B">
        <w:t>,</w:t>
      </w:r>
      <w:r w:rsidRPr="00854AB4">
        <w:t xml:space="preserve"> so give resilient supplies through multiple dry years</w:t>
      </w:r>
      <w:r w:rsidR="001174A9">
        <w:t>, they are replenished naturally at very high flows, but are poorly connected with the Darling at low flow</w:t>
      </w:r>
      <w:r w:rsidRPr="00854AB4">
        <w:t xml:space="preserve">. </w:t>
      </w:r>
      <w:r>
        <w:t xml:space="preserve"> </w:t>
      </w:r>
      <w:r w:rsidR="00AD47BB">
        <w:t xml:space="preserve">Lawrie </w:t>
      </w:r>
      <w:r w:rsidR="00AD47BB" w:rsidRPr="005D0F0C">
        <w:rPr>
          <w:i/>
        </w:rPr>
        <w:t>et al</w:t>
      </w:r>
      <w:r w:rsidR="00AD47BB">
        <w:t xml:space="preserve"> (2012) proposed managed aquifer recharge </w:t>
      </w:r>
      <w:r w:rsidR="008F3B3B">
        <w:t xml:space="preserve">(MAR) </w:t>
      </w:r>
      <w:r w:rsidR="00AD47BB">
        <w:t>to replenish the fresh g</w:t>
      </w:r>
      <w:r w:rsidRPr="00854AB4">
        <w:t xml:space="preserve">roundwater </w:t>
      </w:r>
      <w:r w:rsidR="00AD47BB">
        <w:t>reserves when river salinity is low</w:t>
      </w:r>
      <w:r w:rsidR="00AD47BB" w:rsidRPr="00854AB4">
        <w:t xml:space="preserve"> </w:t>
      </w:r>
      <w:r w:rsidR="00AD47BB">
        <w:t xml:space="preserve">during occasional </w:t>
      </w:r>
      <w:r w:rsidR="001174A9">
        <w:t>moderately-</w:t>
      </w:r>
      <w:r w:rsidR="00AD47BB">
        <w:t xml:space="preserve">high flows </w:t>
      </w:r>
      <w:r w:rsidRPr="00854AB4">
        <w:t xml:space="preserve">to ensure </w:t>
      </w:r>
      <w:r w:rsidR="00AD47BB">
        <w:t>on-going drought-resilience and assure</w:t>
      </w:r>
      <w:r w:rsidRPr="00854AB4">
        <w:t xml:space="preserve"> protect</w:t>
      </w:r>
      <w:r w:rsidR="00AD47BB">
        <w:t>ion of</w:t>
      </w:r>
      <w:r w:rsidRPr="00854AB4">
        <w:t xml:space="preserve"> ecosystems from being impacted by increased withdrawal</w:t>
      </w:r>
      <w:r w:rsidR="00E72C6D">
        <w:t xml:space="preserve"> without replenishment</w:t>
      </w:r>
      <w:r w:rsidRPr="00854AB4">
        <w:t xml:space="preserve">. </w:t>
      </w:r>
      <w:r w:rsidR="001174A9">
        <w:t xml:space="preserve"> </w:t>
      </w:r>
      <w:r w:rsidR="00854AB4" w:rsidRPr="00854AB4">
        <w:t xml:space="preserve">IAH </w:t>
      </w:r>
      <w:r>
        <w:t xml:space="preserve">observes that </w:t>
      </w:r>
      <w:r w:rsidR="00854AB4" w:rsidRPr="00854AB4">
        <w:t>fresh groundwater resources are generally preferred over surface water for drinking water supplies particularly where rivers are turbid, variable in quality or suffer from algal blooms</w:t>
      </w:r>
      <w:r w:rsidR="00AD47BB">
        <w:t xml:space="preserve"> (</w:t>
      </w:r>
      <w:r w:rsidR="00D43302" w:rsidRPr="00D43302">
        <w:rPr>
          <w:bCs/>
          <w:lang w:val="en-AU"/>
        </w:rPr>
        <w:t>Jekel and Grünheid</w:t>
      </w:r>
      <w:r w:rsidR="00D43302">
        <w:rPr>
          <w:bCs/>
          <w:lang w:val="en-AU"/>
        </w:rPr>
        <w:t xml:space="preserve"> </w:t>
      </w:r>
      <w:r w:rsidR="00D43302" w:rsidRPr="00D43302">
        <w:rPr>
          <w:bCs/>
          <w:lang w:val="en-AU"/>
        </w:rPr>
        <w:t xml:space="preserve">2005). </w:t>
      </w:r>
      <w:r w:rsidR="001174A9">
        <w:rPr>
          <w:bCs/>
          <w:lang w:val="en-AU"/>
        </w:rPr>
        <w:t xml:space="preserve"> </w:t>
      </w:r>
      <w:r w:rsidR="00854AB4" w:rsidRPr="00854AB4">
        <w:t xml:space="preserve">Groundwater is filtered in natural aquifer materials providing a stable water quality and </w:t>
      </w:r>
      <w:r w:rsidR="009A683E">
        <w:t>removes</w:t>
      </w:r>
      <w:r w:rsidR="008A2E41" w:rsidRPr="00854AB4">
        <w:t xml:space="preserve"> </w:t>
      </w:r>
      <w:r w:rsidR="00854AB4" w:rsidRPr="00854AB4">
        <w:t xml:space="preserve">organic matter that produces unwanted disinfection by-products in drinking water supplies. </w:t>
      </w:r>
    </w:p>
    <w:p w14:paraId="15D3FF1D" w14:textId="3D24BD82" w:rsidR="00854AB4" w:rsidRPr="00854AB4" w:rsidRDefault="007D12C3" w:rsidP="00854AB4">
      <w:r>
        <w:t>IAH understands</w:t>
      </w:r>
      <w:r w:rsidR="00854AB4" w:rsidRPr="00854AB4">
        <w:t xml:space="preserve"> that </w:t>
      </w:r>
      <w:r w:rsidR="00D43302">
        <w:t xml:space="preserve">for </w:t>
      </w:r>
      <w:r w:rsidR="00854AB4" w:rsidRPr="00854AB4">
        <w:t xml:space="preserve">less than half the capital cost of the </w:t>
      </w:r>
      <w:r w:rsidR="00D43302">
        <w:t xml:space="preserve">proposed </w:t>
      </w:r>
      <w:r w:rsidR="00854AB4" w:rsidRPr="00854AB4">
        <w:t xml:space="preserve">River Murray connection </w:t>
      </w:r>
      <w:r w:rsidR="00D43302">
        <w:t>to Broken Hill</w:t>
      </w:r>
      <w:r w:rsidR="00E72C6D">
        <w:t>, the following can be delivered</w:t>
      </w:r>
      <w:r w:rsidR="00854AB4" w:rsidRPr="00854AB4">
        <w:t xml:space="preserve">; </w:t>
      </w:r>
    </w:p>
    <w:p w14:paraId="00EEA952" w14:textId="77777777" w:rsidR="00D43302" w:rsidRPr="00854AB4" w:rsidRDefault="00D43302" w:rsidP="00E71D53">
      <w:pPr>
        <w:pStyle w:val="ListParagraph"/>
        <w:numPr>
          <w:ilvl w:val="0"/>
          <w:numId w:val="3"/>
        </w:numPr>
        <w:spacing w:after="0"/>
      </w:pPr>
      <w:r>
        <w:t xml:space="preserve">The </w:t>
      </w:r>
      <w:r w:rsidRPr="00854AB4">
        <w:t xml:space="preserve">groundwater supply and recharge infrastructure adjacent the Darling River at Menindee </w:t>
      </w:r>
      <w:r w:rsidR="00990660">
        <w:t xml:space="preserve">(referred to as the </w:t>
      </w:r>
      <w:r w:rsidR="00990660">
        <w:rPr>
          <w:rFonts w:eastAsia="Calibri" w:cstheme="minorHAnsi"/>
          <w:lang w:eastAsia="en-GB"/>
        </w:rPr>
        <w:t xml:space="preserve">Talyawalka groundwater and MAR </w:t>
      </w:r>
      <w:r w:rsidR="00CA0326">
        <w:rPr>
          <w:rFonts w:eastAsia="Calibri" w:cstheme="minorHAnsi"/>
          <w:lang w:eastAsia="en-GB"/>
        </w:rPr>
        <w:t>proposal</w:t>
      </w:r>
      <w:r w:rsidR="00990660">
        <w:rPr>
          <w:rFonts w:eastAsia="Calibri" w:cstheme="minorHAnsi"/>
          <w:lang w:eastAsia="en-GB"/>
        </w:rPr>
        <w:t>)</w:t>
      </w:r>
      <w:r w:rsidR="00990660">
        <w:t xml:space="preserve"> </w:t>
      </w:r>
      <w:r>
        <w:t xml:space="preserve">could be </w:t>
      </w:r>
      <w:r w:rsidRPr="00854AB4">
        <w:t>establish</w:t>
      </w:r>
      <w:r>
        <w:t>ed</w:t>
      </w:r>
      <w:r w:rsidRPr="00854AB4">
        <w:t xml:space="preserve"> and connect</w:t>
      </w:r>
      <w:r>
        <w:t>ed</w:t>
      </w:r>
      <w:r w:rsidRPr="00854AB4">
        <w:t xml:space="preserve"> to the existing water supply</w:t>
      </w:r>
      <w:r w:rsidR="00F912DE">
        <w:t xml:space="preserve"> by 2024</w:t>
      </w:r>
      <w:r w:rsidRPr="00854AB4">
        <w:t xml:space="preserve">, </w:t>
      </w:r>
    </w:p>
    <w:p w14:paraId="5EE26197" w14:textId="77777777" w:rsidR="00D43302" w:rsidRDefault="00244476" w:rsidP="00E71D53">
      <w:pPr>
        <w:pStyle w:val="ListParagraph"/>
        <w:numPr>
          <w:ilvl w:val="0"/>
          <w:numId w:val="3"/>
        </w:numPr>
        <w:spacing w:after="0"/>
      </w:pPr>
      <w:r>
        <w:t>Finalising i</w:t>
      </w:r>
      <w:r w:rsidR="00D43302" w:rsidRPr="00854AB4">
        <w:t>nvestigations to refine and optimise the operating strategies for groundwater extraction and aquifer recharge</w:t>
      </w:r>
      <w:r w:rsidR="00D43302">
        <w:t xml:space="preserve"> to</w:t>
      </w:r>
      <w:r w:rsidR="00D43302" w:rsidRPr="00854AB4">
        <w:t xml:space="preserve"> ensure supplies of better quantity, quality and reliability for Broken Hill with acceptable environmental impacts</w:t>
      </w:r>
      <w:r w:rsidR="002B2DCD">
        <w:t>,</w:t>
      </w:r>
    </w:p>
    <w:p w14:paraId="2DC6BD8B" w14:textId="77777777" w:rsidR="00854AB4" w:rsidRPr="00854AB4" w:rsidRDefault="00D43302" w:rsidP="00E71D53">
      <w:pPr>
        <w:pStyle w:val="ListParagraph"/>
        <w:numPr>
          <w:ilvl w:val="0"/>
          <w:numId w:val="3"/>
        </w:numPr>
        <w:spacing w:after="0"/>
      </w:pPr>
      <w:r>
        <w:t>A</w:t>
      </w:r>
      <w:r w:rsidR="00854AB4" w:rsidRPr="00854AB4">
        <w:t xml:space="preserve"> public information program</w:t>
      </w:r>
      <w:r w:rsidR="00E72C6D">
        <w:t xml:space="preserve"> conducted</w:t>
      </w:r>
      <w:r w:rsidR="00F912DE">
        <w:t xml:space="preserve"> </w:t>
      </w:r>
      <w:r w:rsidR="00854AB4" w:rsidRPr="00854AB4">
        <w:t>in Broken Hill allowing tast</w:t>
      </w:r>
      <w:r w:rsidR="00F912DE">
        <w:t>ing</w:t>
      </w:r>
      <w:r w:rsidR="00854AB4" w:rsidRPr="00854AB4">
        <w:t xml:space="preserve"> of the new groundwater supply, </w:t>
      </w:r>
      <w:r>
        <w:t xml:space="preserve">and information on the </w:t>
      </w:r>
      <w:r w:rsidR="0075434E">
        <w:t xml:space="preserve">economics of this system compared with the current proposed Murray pipeline, </w:t>
      </w:r>
    </w:p>
    <w:p w14:paraId="3C623AB7" w14:textId="77777777" w:rsidR="0075434E" w:rsidRDefault="0075434E" w:rsidP="00E71D53">
      <w:pPr>
        <w:pStyle w:val="ListParagraph"/>
        <w:numPr>
          <w:ilvl w:val="0"/>
          <w:numId w:val="3"/>
        </w:numPr>
        <w:spacing w:after="0"/>
      </w:pPr>
      <w:r>
        <w:t>T</w:t>
      </w:r>
      <w:r w:rsidRPr="00854AB4">
        <w:t>ransparent and reliable accounting for entitlements and surface water-groundwater interactions</w:t>
      </w:r>
      <w:r>
        <w:t xml:space="preserve"> can be established</w:t>
      </w:r>
      <w:r w:rsidR="002B2DCD">
        <w:t>, and</w:t>
      </w:r>
    </w:p>
    <w:p w14:paraId="1F734152" w14:textId="77777777" w:rsidR="00854AB4" w:rsidRPr="00854AB4" w:rsidRDefault="00D43302" w:rsidP="00D43302">
      <w:pPr>
        <w:pStyle w:val="ListParagraph"/>
        <w:numPr>
          <w:ilvl w:val="0"/>
          <w:numId w:val="3"/>
        </w:numPr>
      </w:pPr>
      <w:r>
        <w:t xml:space="preserve">Refurbish as needed, </w:t>
      </w:r>
      <w:r w:rsidR="00F912DE">
        <w:t>or</w:t>
      </w:r>
      <w:r>
        <w:t xml:space="preserve"> replace</w:t>
      </w:r>
      <w:r w:rsidR="00F912DE">
        <w:t>,</w:t>
      </w:r>
      <w:r>
        <w:t xml:space="preserve"> the current </w:t>
      </w:r>
      <w:r w:rsidR="00F912DE">
        <w:t xml:space="preserve">110 km </w:t>
      </w:r>
      <w:r w:rsidR="0075434E">
        <w:t>pipeline from Menindee to Broken Hill.</w:t>
      </w:r>
    </w:p>
    <w:p w14:paraId="239D9B2A" w14:textId="77777777" w:rsidR="00854AB4" w:rsidRDefault="00854AB4" w:rsidP="00854AB4">
      <w:r w:rsidRPr="00854AB4">
        <w:t>Operating costs for the groundwater option are also likely to be lower than for the River Murray connection</w:t>
      </w:r>
      <w:r w:rsidR="002B2DCD">
        <w:t>, which involves more than double the distance of pipeline</w:t>
      </w:r>
      <w:r w:rsidRPr="00854AB4">
        <w:t xml:space="preserve">. </w:t>
      </w:r>
    </w:p>
    <w:p w14:paraId="705672D2" w14:textId="2E840BCC" w:rsidR="007E5EDC" w:rsidRDefault="00340697" w:rsidP="00570633">
      <w:pPr>
        <w:rPr>
          <w:b/>
        </w:rPr>
      </w:pPr>
      <w:r>
        <w:rPr>
          <w:b/>
        </w:rPr>
        <w:t xml:space="preserve">Information inconsistencies used </w:t>
      </w:r>
      <w:r w:rsidR="007007C6">
        <w:rPr>
          <w:b/>
        </w:rPr>
        <w:t>to</w:t>
      </w:r>
      <w:r w:rsidR="007007C6" w:rsidRPr="007007C6">
        <w:rPr>
          <w:b/>
        </w:rPr>
        <w:t xml:space="preserve"> support a </w:t>
      </w:r>
      <w:r w:rsidR="00FC158D">
        <w:rPr>
          <w:b/>
        </w:rPr>
        <w:t xml:space="preserve">NSW government </w:t>
      </w:r>
      <w:r w:rsidR="007007C6" w:rsidRPr="007007C6">
        <w:rPr>
          <w:b/>
        </w:rPr>
        <w:t>decision</w:t>
      </w:r>
      <w:r w:rsidR="007E5EDC">
        <w:rPr>
          <w:b/>
        </w:rPr>
        <w:t xml:space="preserve"> </w:t>
      </w:r>
      <w:r>
        <w:rPr>
          <w:b/>
        </w:rPr>
        <w:t>on the Broken Hill Water Supply.</w:t>
      </w:r>
    </w:p>
    <w:p w14:paraId="3F7FD6F4" w14:textId="34F5B086" w:rsidR="005D0F0C" w:rsidRDefault="005D0F0C" w:rsidP="00570633">
      <w:pPr>
        <w:rPr>
          <w:lang w:eastAsia="en-GB"/>
        </w:rPr>
      </w:pPr>
      <w:r>
        <w:t>In July 2017, NSW Department of Water</w:t>
      </w:r>
      <w:r>
        <w:rPr>
          <w:lang w:eastAsia="en-GB"/>
        </w:rPr>
        <w:t xml:space="preserve"> web site </w:t>
      </w:r>
      <w:r w:rsidR="00340697">
        <w:rPr>
          <w:lang w:eastAsia="en-GB"/>
        </w:rPr>
        <w:t xml:space="preserve">stated </w:t>
      </w:r>
      <w:r>
        <w:rPr>
          <w:lang w:eastAsia="en-GB"/>
        </w:rPr>
        <w:t xml:space="preserve">that “a </w:t>
      </w:r>
      <w:r w:rsidRPr="00245146">
        <w:rPr>
          <w:lang w:eastAsia="en-GB"/>
        </w:rPr>
        <w:t>shortlist of project options were evaluated</w:t>
      </w:r>
      <w:r>
        <w:rPr>
          <w:lang w:eastAsia="en-GB"/>
        </w:rPr>
        <w:t>”</w:t>
      </w:r>
      <w:r w:rsidRPr="00245146">
        <w:rPr>
          <w:lang w:eastAsia="en-GB"/>
        </w:rPr>
        <w:t xml:space="preserve"> and</w:t>
      </w:r>
      <w:r>
        <w:rPr>
          <w:lang w:eastAsia="en-GB"/>
        </w:rPr>
        <w:t xml:space="preserve"> “the analysis </w:t>
      </w:r>
      <w:r w:rsidRPr="00245146">
        <w:rPr>
          <w:lang w:eastAsia="en-GB"/>
        </w:rPr>
        <w:t xml:space="preserve">was performed in a transparent, robust and structured manner – </w:t>
      </w:r>
      <w:r w:rsidRPr="00245146">
        <w:rPr>
          <w:lang w:eastAsia="en-GB"/>
        </w:rPr>
        <w:lastRenderedPageBreak/>
        <w:t>overseen by experts from DPI Water, NSW Public Works and Infrastructure NSW.”</w:t>
      </w:r>
      <w:r>
        <w:rPr>
          <w:lang w:eastAsia="en-GB"/>
        </w:rPr>
        <w:t xml:space="preserve">  </w:t>
      </w:r>
      <w:r w:rsidR="00340697">
        <w:rPr>
          <w:lang w:eastAsia="en-GB"/>
        </w:rPr>
        <w:t>When considering ground</w:t>
      </w:r>
      <w:r w:rsidR="00990660">
        <w:rPr>
          <w:lang w:eastAsia="en-GB"/>
        </w:rPr>
        <w:t>w</w:t>
      </w:r>
      <w:r w:rsidR="00340697">
        <w:rPr>
          <w:lang w:eastAsia="en-GB"/>
        </w:rPr>
        <w:t>ater options, the analysis described a deep, saline ground</w:t>
      </w:r>
      <w:r w:rsidR="00990660">
        <w:rPr>
          <w:lang w:eastAsia="en-GB"/>
        </w:rPr>
        <w:t>w</w:t>
      </w:r>
      <w:r w:rsidR="00340697">
        <w:rPr>
          <w:lang w:eastAsia="en-GB"/>
        </w:rPr>
        <w:t>ater option that require desalination and brine disposal.</w:t>
      </w:r>
      <w:r w:rsidR="00990660">
        <w:rPr>
          <w:lang w:eastAsia="en-GB"/>
        </w:rPr>
        <w:t xml:space="preserve">  N</w:t>
      </w:r>
      <w:r>
        <w:rPr>
          <w:lang w:eastAsia="en-GB"/>
        </w:rPr>
        <w:t xml:space="preserve">o data or reports were presented to support the </w:t>
      </w:r>
      <w:r w:rsidRPr="006341F4">
        <w:rPr>
          <w:lang w:eastAsia="en-GB"/>
        </w:rPr>
        <w:t>Talyawalka</w:t>
      </w:r>
      <w:r>
        <w:rPr>
          <w:lang w:eastAsia="en-GB"/>
        </w:rPr>
        <w:t xml:space="preserve"> </w:t>
      </w:r>
      <w:r w:rsidR="00990660">
        <w:rPr>
          <w:lang w:eastAsia="en-GB"/>
        </w:rPr>
        <w:t xml:space="preserve">groundwater and MAR </w:t>
      </w:r>
      <w:r w:rsidR="00CA0326">
        <w:rPr>
          <w:lang w:eastAsia="en-GB"/>
        </w:rPr>
        <w:t>proposal</w:t>
      </w:r>
      <w:r w:rsidR="00990660">
        <w:rPr>
          <w:lang w:eastAsia="en-GB"/>
        </w:rPr>
        <w:t xml:space="preserve"> </w:t>
      </w:r>
      <w:r>
        <w:rPr>
          <w:lang w:eastAsia="en-GB"/>
        </w:rPr>
        <w:t xml:space="preserve">previously identified and extensively scrutinised by Geoscience Australia and CSIRO.  </w:t>
      </w:r>
      <w:r w:rsidR="00CA0326">
        <w:rPr>
          <w:rFonts w:eastAsia="Calibri" w:cstheme="minorHAnsi"/>
          <w:lang w:eastAsia="en-GB"/>
        </w:rPr>
        <w:t xml:space="preserve">The International Association of Hydrogeologists (IAH) wrote several times to the DPI seeking clarification on why the Talyawalka proposal was not considered but is yet to receive an explanation.  </w:t>
      </w:r>
    </w:p>
    <w:p w14:paraId="26662170" w14:textId="334D25FC" w:rsidR="00C2375F" w:rsidRDefault="00CA0326" w:rsidP="00A85CC9">
      <w:pPr>
        <w:rPr>
          <w:rFonts w:eastAsia="Calibri" w:cstheme="minorHAnsi"/>
          <w:lang w:eastAsia="en-GB"/>
        </w:rPr>
      </w:pPr>
      <w:r>
        <w:rPr>
          <w:rFonts w:eastAsia="Calibri" w:cstheme="minorHAnsi"/>
          <w:lang w:eastAsia="en-GB"/>
        </w:rPr>
        <w:t xml:space="preserve">The </w:t>
      </w:r>
      <w:r>
        <w:rPr>
          <w:rFonts w:eastAsia="Calibri" w:cstheme="minorHAnsi"/>
          <w:lang w:val="en-AU" w:eastAsia="en-GB"/>
        </w:rPr>
        <w:t xml:space="preserve">NSW Department of Industry recently released </w:t>
      </w:r>
      <w:r w:rsidR="00023628">
        <w:rPr>
          <w:rFonts w:eastAsia="Calibri" w:cstheme="minorHAnsi"/>
          <w:lang w:eastAsia="en-GB"/>
        </w:rPr>
        <w:t xml:space="preserve">a report entitled </w:t>
      </w:r>
      <w:r w:rsidR="00023628" w:rsidRPr="00023628">
        <w:rPr>
          <w:rFonts w:eastAsia="Calibri" w:cstheme="minorHAnsi"/>
          <w:i/>
          <w:lang w:val="en-AU" w:eastAsia="en-GB"/>
        </w:rPr>
        <w:t>Summary of the Final Business Case: Broken Hill Long-Term Water Supply Solution, October 2017</w:t>
      </w:r>
      <w:r w:rsidR="00736079">
        <w:rPr>
          <w:rFonts w:eastAsia="Calibri" w:cstheme="minorHAnsi"/>
          <w:i/>
          <w:lang w:val="en-AU" w:eastAsia="en-GB"/>
        </w:rPr>
        <w:t>.</w:t>
      </w:r>
      <w:r w:rsidR="00023628">
        <w:rPr>
          <w:rFonts w:eastAsia="Calibri" w:cstheme="minorHAnsi"/>
          <w:lang w:eastAsia="en-GB"/>
        </w:rPr>
        <w:t xml:space="preserve"> </w:t>
      </w:r>
      <w:r>
        <w:rPr>
          <w:rFonts w:eastAsia="Calibri" w:cstheme="minorHAnsi"/>
          <w:lang w:val="en-AU" w:eastAsia="en-GB"/>
        </w:rPr>
        <w:t xml:space="preserve">It </w:t>
      </w:r>
      <w:r w:rsidR="00023628">
        <w:rPr>
          <w:rFonts w:eastAsia="Calibri" w:cstheme="minorHAnsi"/>
          <w:lang w:eastAsia="en-GB"/>
        </w:rPr>
        <w:t>address</w:t>
      </w:r>
      <w:r>
        <w:rPr>
          <w:rFonts w:eastAsia="Calibri" w:cstheme="minorHAnsi"/>
          <w:lang w:eastAsia="en-GB"/>
        </w:rPr>
        <w:t>ed</w:t>
      </w:r>
      <w:r w:rsidR="00023628">
        <w:rPr>
          <w:rFonts w:eastAsia="Calibri" w:cstheme="minorHAnsi"/>
          <w:lang w:eastAsia="en-GB"/>
        </w:rPr>
        <w:t xml:space="preserve"> the Talyawalka groundwater and MAR </w:t>
      </w:r>
      <w:r>
        <w:rPr>
          <w:rFonts w:eastAsia="Calibri" w:cstheme="minorHAnsi"/>
          <w:lang w:eastAsia="en-GB"/>
        </w:rPr>
        <w:t>proposal</w:t>
      </w:r>
      <w:r w:rsidR="00023628">
        <w:rPr>
          <w:rFonts w:eastAsia="Calibri" w:cstheme="minorHAnsi"/>
          <w:lang w:eastAsia="en-GB"/>
        </w:rPr>
        <w:t>.  However</w:t>
      </w:r>
      <w:r w:rsidR="002F51DF">
        <w:rPr>
          <w:rFonts w:eastAsia="Calibri" w:cstheme="minorHAnsi"/>
          <w:lang w:eastAsia="en-GB"/>
        </w:rPr>
        <w:t>,</w:t>
      </w:r>
      <w:r w:rsidR="00023628">
        <w:rPr>
          <w:rFonts w:eastAsia="Calibri" w:cstheme="minorHAnsi"/>
          <w:lang w:eastAsia="en-GB"/>
        </w:rPr>
        <w:t xml:space="preserve"> </w:t>
      </w:r>
      <w:r>
        <w:rPr>
          <w:rFonts w:eastAsia="Calibri" w:cstheme="minorHAnsi"/>
          <w:lang w:eastAsia="en-GB"/>
        </w:rPr>
        <w:t xml:space="preserve">in undertaking the analysis, </w:t>
      </w:r>
      <w:r w:rsidR="00023628">
        <w:rPr>
          <w:rFonts w:eastAsia="Calibri" w:cstheme="minorHAnsi"/>
          <w:lang w:eastAsia="en-GB"/>
        </w:rPr>
        <w:t xml:space="preserve">it appears to have adopted costs from the highly saline </w:t>
      </w:r>
      <w:r w:rsidR="00BB2BCC">
        <w:rPr>
          <w:rFonts w:eastAsia="Calibri" w:cstheme="minorHAnsi"/>
          <w:lang w:eastAsia="en-GB"/>
        </w:rPr>
        <w:t xml:space="preserve">deep </w:t>
      </w:r>
      <w:r w:rsidR="005419BB">
        <w:rPr>
          <w:rFonts w:eastAsia="Calibri" w:cstheme="minorHAnsi"/>
          <w:lang w:eastAsia="en-GB"/>
        </w:rPr>
        <w:t>groundwater option</w:t>
      </w:r>
      <w:r w:rsidR="0061338F">
        <w:rPr>
          <w:rFonts w:eastAsia="Calibri" w:cstheme="minorHAnsi"/>
          <w:lang w:eastAsia="en-GB"/>
        </w:rPr>
        <w:t>,</w:t>
      </w:r>
      <w:r>
        <w:rPr>
          <w:rFonts w:eastAsia="Calibri" w:cstheme="minorHAnsi"/>
          <w:lang w:eastAsia="en-GB"/>
        </w:rPr>
        <w:t xml:space="preserve"> and not the shallow freshwater resource identified in the Geoscience Australia studies.  This shallow freshwater storage zone has</w:t>
      </w:r>
      <w:r w:rsidR="00FA303C">
        <w:rPr>
          <w:rFonts w:eastAsia="Calibri" w:cstheme="minorHAnsi"/>
          <w:lang w:eastAsia="en-GB"/>
        </w:rPr>
        <w:t xml:space="preserve"> </w:t>
      </w:r>
      <w:r w:rsidR="00023628">
        <w:rPr>
          <w:rFonts w:eastAsia="Calibri" w:cstheme="minorHAnsi"/>
          <w:lang w:eastAsia="en-GB"/>
        </w:rPr>
        <w:t xml:space="preserve">at least 50GL </w:t>
      </w:r>
      <w:r>
        <w:rPr>
          <w:rFonts w:eastAsia="Calibri" w:cstheme="minorHAnsi"/>
          <w:lang w:eastAsia="en-GB"/>
        </w:rPr>
        <w:t xml:space="preserve">of </w:t>
      </w:r>
      <w:r w:rsidR="00BB2BCC">
        <w:rPr>
          <w:rFonts w:eastAsia="Calibri" w:cstheme="minorHAnsi"/>
          <w:lang w:eastAsia="en-GB"/>
        </w:rPr>
        <w:t xml:space="preserve">shallow </w:t>
      </w:r>
      <w:r w:rsidR="00023628">
        <w:rPr>
          <w:rFonts w:eastAsia="Calibri" w:cstheme="minorHAnsi"/>
          <w:lang w:eastAsia="en-GB"/>
        </w:rPr>
        <w:t xml:space="preserve">freshwater </w:t>
      </w:r>
      <w:r>
        <w:rPr>
          <w:rFonts w:eastAsia="Calibri" w:cstheme="minorHAnsi"/>
          <w:lang w:eastAsia="en-GB"/>
        </w:rPr>
        <w:t xml:space="preserve">in </w:t>
      </w:r>
      <w:r w:rsidR="00023628">
        <w:rPr>
          <w:rFonts w:eastAsia="Calibri" w:cstheme="minorHAnsi"/>
          <w:lang w:eastAsia="en-GB"/>
        </w:rPr>
        <w:t xml:space="preserve">storage </w:t>
      </w:r>
      <w:r>
        <w:rPr>
          <w:rFonts w:eastAsia="Calibri" w:cstheme="minorHAnsi"/>
          <w:lang w:eastAsia="en-GB"/>
        </w:rPr>
        <w:t>and is</w:t>
      </w:r>
      <w:r w:rsidR="001E4792">
        <w:rPr>
          <w:rFonts w:eastAsia="Calibri" w:cstheme="minorHAnsi"/>
          <w:lang w:eastAsia="en-GB"/>
        </w:rPr>
        <w:t xml:space="preserve"> capable of </w:t>
      </w:r>
      <w:r w:rsidR="001E4792" w:rsidRPr="001E4792">
        <w:rPr>
          <w:rFonts w:eastAsia="Calibri" w:cstheme="minorHAnsi"/>
          <w:lang w:val="en-AU" w:eastAsia="en-GB"/>
        </w:rPr>
        <w:t xml:space="preserve">replenishment </w:t>
      </w:r>
      <w:r w:rsidR="001E4792">
        <w:rPr>
          <w:rFonts w:eastAsia="Calibri" w:cstheme="minorHAnsi"/>
          <w:lang w:val="en-AU" w:eastAsia="en-GB"/>
        </w:rPr>
        <w:t xml:space="preserve">during fresh </w:t>
      </w:r>
      <w:r>
        <w:rPr>
          <w:rFonts w:eastAsia="Calibri" w:cstheme="minorHAnsi"/>
          <w:lang w:val="en-AU" w:eastAsia="en-GB"/>
        </w:rPr>
        <w:t xml:space="preserve">river </w:t>
      </w:r>
      <w:r w:rsidR="001E4792">
        <w:rPr>
          <w:rFonts w:eastAsia="Calibri" w:cstheme="minorHAnsi"/>
          <w:lang w:val="en-AU" w:eastAsia="en-GB"/>
        </w:rPr>
        <w:t xml:space="preserve">flows </w:t>
      </w:r>
      <w:r w:rsidR="001E4792" w:rsidRPr="001E4792">
        <w:rPr>
          <w:rFonts w:eastAsia="Calibri" w:cstheme="minorHAnsi"/>
          <w:lang w:val="en-AU" w:eastAsia="en-GB"/>
        </w:rPr>
        <w:t xml:space="preserve">to </w:t>
      </w:r>
      <w:r w:rsidR="001E4792">
        <w:rPr>
          <w:rFonts w:eastAsia="Calibri" w:cstheme="minorHAnsi"/>
          <w:lang w:val="en-AU" w:eastAsia="en-GB"/>
        </w:rPr>
        <w:t xml:space="preserve">sustain the fresh </w:t>
      </w:r>
      <w:r w:rsidR="00707AB6">
        <w:rPr>
          <w:rFonts w:eastAsia="Calibri" w:cstheme="minorHAnsi"/>
          <w:lang w:val="en-AU" w:eastAsia="en-GB"/>
        </w:rPr>
        <w:t xml:space="preserve">groundwater </w:t>
      </w:r>
      <w:r w:rsidR="001E4792">
        <w:rPr>
          <w:rFonts w:eastAsia="Calibri" w:cstheme="minorHAnsi"/>
          <w:lang w:val="en-AU" w:eastAsia="en-GB"/>
        </w:rPr>
        <w:t xml:space="preserve">resource. </w:t>
      </w:r>
      <w:r w:rsidR="001E4792" w:rsidRPr="001E4792">
        <w:rPr>
          <w:rFonts w:eastAsia="Calibri" w:cstheme="minorHAnsi"/>
          <w:lang w:val="en-AU" w:eastAsia="en-GB"/>
        </w:rPr>
        <w:t xml:space="preserve"> </w:t>
      </w:r>
      <w:r w:rsidR="007D12C3">
        <w:rPr>
          <w:rFonts w:eastAsia="Calibri" w:cstheme="minorHAnsi"/>
          <w:lang w:eastAsia="en-GB"/>
        </w:rPr>
        <w:t xml:space="preserve">The DPI report </w:t>
      </w:r>
      <w:r>
        <w:rPr>
          <w:rFonts w:eastAsia="Calibri" w:cstheme="minorHAnsi"/>
          <w:lang w:eastAsia="en-GB"/>
        </w:rPr>
        <w:t xml:space="preserve">also </w:t>
      </w:r>
      <w:r w:rsidR="007007C6">
        <w:rPr>
          <w:rFonts w:eastAsia="Calibri" w:cstheme="minorHAnsi"/>
          <w:lang w:eastAsia="en-GB"/>
        </w:rPr>
        <w:t>claims that the 110</w:t>
      </w:r>
      <w:r w:rsidR="007D12C3">
        <w:rPr>
          <w:rFonts w:eastAsia="Calibri" w:cstheme="minorHAnsi"/>
          <w:lang w:eastAsia="en-GB"/>
        </w:rPr>
        <w:t xml:space="preserve"> </w:t>
      </w:r>
      <w:r w:rsidR="007007C6">
        <w:rPr>
          <w:rFonts w:eastAsia="Calibri" w:cstheme="minorHAnsi"/>
          <w:lang w:eastAsia="en-GB"/>
        </w:rPr>
        <w:t xml:space="preserve">km pipeline would need to be replaced at a cost of </w:t>
      </w:r>
      <w:r w:rsidR="007007C6" w:rsidRPr="007007C6">
        <w:rPr>
          <w:rFonts w:eastAsia="Calibri" w:cstheme="minorHAnsi"/>
          <w:lang w:eastAsia="en-GB"/>
        </w:rPr>
        <w:t>approximately $270m</w:t>
      </w:r>
      <w:r w:rsidR="007007C6">
        <w:rPr>
          <w:rFonts w:eastAsia="Calibri" w:cstheme="minorHAnsi"/>
          <w:lang w:eastAsia="en-GB"/>
        </w:rPr>
        <w:t xml:space="preserve">. </w:t>
      </w:r>
      <w:r w:rsidR="007007C6" w:rsidRPr="007007C6">
        <w:rPr>
          <w:rFonts w:eastAsia="Calibri" w:cstheme="minorHAnsi"/>
          <w:lang w:eastAsia="en-GB"/>
        </w:rPr>
        <w:t xml:space="preserve"> </w:t>
      </w:r>
      <w:r w:rsidR="0061338F">
        <w:rPr>
          <w:rFonts w:eastAsia="Calibri" w:cstheme="minorHAnsi"/>
          <w:lang w:eastAsia="en-GB"/>
        </w:rPr>
        <w:t>This is stated without a condition assessment on the existing pipeline</w:t>
      </w:r>
      <w:r>
        <w:rPr>
          <w:rFonts w:eastAsia="Calibri" w:cstheme="minorHAnsi"/>
          <w:lang w:eastAsia="en-GB"/>
        </w:rPr>
        <w:t xml:space="preserve">.  As a result, the opportunity for reduced </w:t>
      </w:r>
      <w:r w:rsidR="00C56F7A">
        <w:rPr>
          <w:rFonts w:eastAsia="Calibri" w:cstheme="minorHAnsi"/>
          <w:lang w:eastAsia="en-GB"/>
        </w:rPr>
        <w:t xml:space="preserve">costs through repair and reuse </w:t>
      </w:r>
      <w:r>
        <w:rPr>
          <w:rFonts w:eastAsia="Calibri" w:cstheme="minorHAnsi"/>
          <w:lang w:eastAsia="en-GB"/>
        </w:rPr>
        <w:t xml:space="preserve">or </w:t>
      </w:r>
      <w:r w:rsidR="00FA303C">
        <w:rPr>
          <w:rFonts w:eastAsia="Calibri" w:cstheme="minorHAnsi"/>
          <w:lang w:eastAsia="en-GB"/>
        </w:rPr>
        <w:t>deferral of</w:t>
      </w:r>
      <w:r w:rsidR="00C56F7A">
        <w:rPr>
          <w:rFonts w:eastAsia="Calibri" w:cstheme="minorHAnsi"/>
          <w:lang w:eastAsia="en-GB"/>
        </w:rPr>
        <w:t xml:space="preserve"> major capital expenditure </w:t>
      </w:r>
      <w:r>
        <w:rPr>
          <w:rFonts w:eastAsia="Calibri" w:cstheme="minorHAnsi"/>
          <w:lang w:eastAsia="en-GB"/>
        </w:rPr>
        <w:t xml:space="preserve">have not been considered in the business case analysis.  It is also noted that the </w:t>
      </w:r>
      <w:r w:rsidR="00FC158D">
        <w:rPr>
          <w:rFonts w:eastAsia="Calibri" w:cstheme="minorHAnsi"/>
          <w:lang w:eastAsia="en-GB"/>
        </w:rPr>
        <w:t xml:space="preserve">$270m </w:t>
      </w:r>
      <w:r>
        <w:rPr>
          <w:rFonts w:eastAsia="Calibri" w:cstheme="minorHAnsi"/>
          <w:lang w:eastAsia="en-GB"/>
        </w:rPr>
        <w:t xml:space="preserve">cost </w:t>
      </w:r>
      <w:r w:rsidR="0061338F">
        <w:rPr>
          <w:rFonts w:eastAsia="Calibri" w:cstheme="minorHAnsi"/>
          <w:lang w:eastAsia="en-GB"/>
        </w:rPr>
        <w:t xml:space="preserve">is out of proportion </w:t>
      </w:r>
      <w:r w:rsidR="005419BB">
        <w:rPr>
          <w:rFonts w:eastAsia="Calibri" w:cstheme="minorHAnsi"/>
          <w:lang w:eastAsia="en-GB"/>
        </w:rPr>
        <w:t>in comparison with the $470.2M for a 270</w:t>
      </w:r>
      <w:r w:rsidR="00EB0F3B">
        <w:rPr>
          <w:rFonts w:eastAsia="Calibri" w:cstheme="minorHAnsi"/>
          <w:lang w:eastAsia="en-GB"/>
        </w:rPr>
        <w:t xml:space="preserve"> </w:t>
      </w:r>
      <w:r w:rsidR="005419BB">
        <w:rPr>
          <w:rFonts w:eastAsia="Calibri" w:cstheme="minorHAnsi"/>
          <w:lang w:eastAsia="en-GB"/>
        </w:rPr>
        <w:t>km pipeline along a new route</w:t>
      </w:r>
      <w:r w:rsidR="00023628">
        <w:rPr>
          <w:rFonts w:eastAsia="Calibri" w:cstheme="minorHAnsi"/>
          <w:lang w:eastAsia="en-GB"/>
        </w:rPr>
        <w:t xml:space="preserve">. </w:t>
      </w:r>
      <w:r w:rsidR="005419BB">
        <w:rPr>
          <w:rFonts w:eastAsia="Calibri" w:cstheme="minorHAnsi"/>
          <w:lang w:eastAsia="en-GB"/>
        </w:rPr>
        <w:t xml:space="preserve"> </w:t>
      </w:r>
      <w:r w:rsidR="00C56F7A">
        <w:rPr>
          <w:rFonts w:eastAsia="Calibri" w:cstheme="minorHAnsi"/>
          <w:lang w:eastAsia="en-GB"/>
        </w:rPr>
        <w:t>The overall inferred figure of $430m is between 4 and 10 times of</w:t>
      </w:r>
      <w:r w:rsidR="00FA303C">
        <w:rPr>
          <w:rFonts w:eastAsia="Calibri" w:cstheme="minorHAnsi"/>
          <w:lang w:eastAsia="en-GB"/>
        </w:rPr>
        <w:t xml:space="preserve"> what we understand to be the cost independently obtained within the Geoscience Australia project. DPI gives no basis for expenditure on the groundwater and MAR system and its connection to the upgraded water treatment plant.</w:t>
      </w:r>
      <w:r w:rsidR="00FC158D">
        <w:rPr>
          <w:rFonts w:eastAsia="Calibri" w:cstheme="minorHAnsi"/>
          <w:lang w:eastAsia="en-GB"/>
        </w:rPr>
        <w:t xml:space="preserve"> </w:t>
      </w:r>
      <w:r w:rsidR="00FA303C">
        <w:rPr>
          <w:rFonts w:eastAsia="Calibri" w:cstheme="minorHAnsi"/>
          <w:lang w:eastAsia="en-GB"/>
        </w:rPr>
        <w:t>P</w:t>
      </w:r>
      <w:r w:rsidR="00BE7C14">
        <w:rPr>
          <w:rFonts w:eastAsia="Times New Roman"/>
        </w:rPr>
        <w:t xml:space="preserve">roduction </w:t>
      </w:r>
      <w:r w:rsidR="00BB2BCC">
        <w:rPr>
          <w:rFonts w:eastAsia="Times New Roman"/>
        </w:rPr>
        <w:t>bores</w:t>
      </w:r>
      <w:r w:rsidR="00FA303C">
        <w:rPr>
          <w:rFonts w:eastAsia="Times New Roman"/>
        </w:rPr>
        <w:t xml:space="preserve"> </w:t>
      </w:r>
      <w:r w:rsidR="00BB2BCC">
        <w:rPr>
          <w:rFonts w:eastAsia="Times New Roman"/>
        </w:rPr>
        <w:t xml:space="preserve">required for the borefield are now established, while bridge, power and road infrastructure is largely in place to Talyawalka.  Also, most of the requisite additional studies recommended </w:t>
      </w:r>
      <w:r w:rsidR="00244476">
        <w:rPr>
          <w:rFonts w:eastAsia="Times New Roman"/>
        </w:rPr>
        <w:t xml:space="preserve">by </w:t>
      </w:r>
      <w:r w:rsidR="00BB2BCC">
        <w:t xml:space="preserve">Lawrie </w:t>
      </w:r>
      <w:r w:rsidR="00BB2BCC" w:rsidRPr="005D0F0C">
        <w:rPr>
          <w:i/>
        </w:rPr>
        <w:t>et al</w:t>
      </w:r>
      <w:r w:rsidR="00BB2BCC">
        <w:t xml:space="preserve"> </w:t>
      </w:r>
      <w:r w:rsidR="00244476">
        <w:t>(</w:t>
      </w:r>
      <w:r w:rsidR="00BB2BCC">
        <w:t xml:space="preserve">2012) </w:t>
      </w:r>
      <w:r w:rsidR="00BB2BCC">
        <w:rPr>
          <w:rFonts w:eastAsia="Times New Roman"/>
        </w:rPr>
        <w:t xml:space="preserve">have been completed, such as detailed mapping of the borefields, surface water and groundwater dependent ecosystems studies, and groundwater modelling. </w:t>
      </w:r>
      <w:r w:rsidR="00C56F7A">
        <w:rPr>
          <w:rFonts w:eastAsia="Times New Roman"/>
        </w:rPr>
        <w:t xml:space="preserve"> M</w:t>
      </w:r>
      <w:r w:rsidR="00BB2BCC">
        <w:rPr>
          <w:rFonts w:eastAsia="Times New Roman"/>
        </w:rPr>
        <w:t xml:space="preserve">any of the costs identified </w:t>
      </w:r>
      <w:r w:rsidR="00C56F7A">
        <w:rPr>
          <w:rFonts w:eastAsia="Times New Roman"/>
        </w:rPr>
        <w:t xml:space="preserve">in the NSW options analysis </w:t>
      </w:r>
      <w:r w:rsidR="00BB2BCC">
        <w:rPr>
          <w:rFonts w:eastAsia="Times New Roman"/>
        </w:rPr>
        <w:t xml:space="preserve">are already </w:t>
      </w:r>
      <w:r w:rsidR="00C56F7A">
        <w:rPr>
          <w:rFonts w:eastAsia="Times New Roman"/>
        </w:rPr>
        <w:t>completed</w:t>
      </w:r>
      <w:r w:rsidR="00BB2BCC">
        <w:rPr>
          <w:rFonts w:eastAsia="Times New Roman"/>
        </w:rPr>
        <w:t>.</w:t>
      </w:r>
      <w:r w:rsidR="00C56F7A">
        <w:rPr>
          <w:rFonts w:eastAsia="Times New Roman"/>
        </w:rPr>
        <w:t xml:space="preserve"> </w:t>
      </w:r>
      <w:r w:rsidR="00244476">
        <w:rPr>
          <w:rFonts w:eastAsia="Times New Roman"/>
        </w:rPr>
        <w:t xml:space="preserve"> </w:t>
      </w:r>
      <w:r w:rsidR="00C56F7A">
        <w:rPr>
          <w:rFonts w:eastAsia="Times New Roman"/>
        </w:rPr>
        <w:t xml:space="preserve">It does not appear that </w:t>
      </w:r>
      <w:r w:rsidR="0046515A">
        <w:rPr>
          <w:rFonts w:eastAsia="Calibri" w:cstheme="minorHAnsi"/>
          <w:lang w:eastAsia="en-GB"/>
        </w:rPr>
        <w:t>the reported costs have been built up from the components of the Talyawalka project</w:t>
      </w:r>
      <w:r w:rsidR="00C56F7A">
        <w:rPr>
          <w:rFonts w:eastAsia="Calibri" w:cstheme="minorHAnsi"/>
          <w:lang w:eastAsia="en-GB"/>
        </w:rPr>
        <w:t xml:space="preserve"> completed by Geo</w:t>
      </w:r>
      <w:r w:rsidR="00EB0F3B">
        <w:rPr>
          <w:rFonts w:eastAsia="Calibri" w:cstheme="minorHAnsi"/>
          <w:lang w:eastAsia="en-GB"/>
        </w:rPr>
        <w:t>s</w:t>
      </w:r>
      <w:r w:rsidR="00C56F7A">
        <w:rPr>
          <w:rFonts w:eastAsia="Calibri" w:cstheme="minorHAnsi"/>
          <w:lang w:eastAsia="en-GB"/>
        </w:rPr>
        <w:t>cience Aust</w:t>
      </w:r>
      <w:r w:rsidR="00EB0F3B">
        <w:rPr>
          <w:rFonts w:eastAsia="Calibri" w:cstheme="minorHAnsi"/>
          <w:lang w:eastAsia="en-GB"/>
        </w:rPr>
        <w:t>r</w:t>
      </w:r>
      <w:r w:rsidR="00C56F7A">
        <w:rPr>
          <w:rFonts w:eastAsia="Calibri" w:cstheme="minorHAnsi"/>
          <w:lang w:eastAsia="en-GB"/>
        </w:rPr>
        <w:t>alia</w:t>
      </w:r>
      <w:r w:rsidR="0046515A">
        <w:rPr>
          <w:rFonts w:eastAsia="Calibri" w:cstheme="minorHAnsi"/>
          <w:lang w:eastAsia="en-GB"/>
        </w:rPr>
        <w:t xml:space="preserve">. </w:t>
      </w:r>
      <w:r w:rsidR="001174A9">
        <w:rPr>
          <w:rFonts w:eastAsia="Calibri" w:cstheme="minorHAnsi"/>
          <w:lang w:eastAsia="en-GB"/>
        </w:rPr>
        <w:t xml:space="preserve"> </w:t>
      </w:r>
    </w:p>
    <w:p w14:paraId="371D9483" w14:textId="7C036A04" w:rsidR="00D51DF8" w:rsidRDefault="00DE3E58" w:rsidP="008D668F">
      <w:pPr>
        <w:rPr>
          <w:rFonts w:eastAsia="Calibri" w:cstheme="minorHAnsi"/>
          <w:lang w:eastAsia="en-GB"/>
        </w:rPr>
      </w:pPr>
      <w:r>
        <w:rPr>
          <w:rFonts w:eastAsia="Calibri" w:cstheme="minorHAnsi"/>
          <w:lang w:eastAsia="en-GB"/>
        </w:rPr>
        <w:t xml:space="preserve">The quantitative project risk has been pitched at $130M more than the preferred option, and yet there is no description of the risks for each option, nor how they were quantified.  </w:t>
      </w:r>
      <w:r w:rsidR="007D12C3">
        <w:rPr>
          <w:rFonts w:eastAsia="Calibri" w:cstheme="minorHAnsi"/>
          <w:lang w:eastAsia="en-GB"/>
        </w:rPr>
        <w:t>IAH’s review of the available information</w:t>
      </w:r>
      <w:r w:rsidR="004D7502">
        <w:rPr>
          <w:rFonts w:eastAsia="Calibri" w:cstheme="minorHAnsi"/>
          <w:lang w:eastAsia="en-GB"/>
        </w:rPr>
        <w:t xml:space="preserve"> suggests </w:t>
      </w:r>
      <w:r w:rsidR="008A2E41">
        <w:rPr>
          <w:rFonts w:eastAsia="Calibri" w:cstheme="minorHAnsi"/>
          <w:lang w:eastAsia="en-GB"/>
        </w:rPr>
        <w:t xml:space="preserve"> </w:t>
      </w:r>
      <w:r w:rsidR="00785AC3">
        <w:rPr>
          <w:rFonts w:eastAsia="Calibri" w:cstheme="minorHAnsi"/>
          <w:lang w:eastAsia="en-GB"/>
        </w:rPr>
        <w:t>unrealistically</w:t>
      </w:r>
      <w:r w:rsidR="007D12C3">
        <w:rPr>
          <w:rFonts w:eastAsia="Calibri" w:cstheme="minorHAnsi"/>
          <w:lang w:eastAsia="en-GB"/>
        </w:rPr>
        <w:t xml:space="preserve"> </w:t>
      </w:r>
      <w:r w:rsidR="00FC158D">
        <w:rPr>
          <w:rFonts w:eastAsia="Calibri" w:cstheme="minorHAnsi"/>
          <w:lang w:eastAsia="en-GB"/>
        </w:rPr>
        <w:t>high cost</w:t>
      </w:r>
      <w:r w:rsidR="004D7502">
        <w:rPr>
          <w:rFonts w:eastAsia="Calibri" w:cstheme="minorHAnsi"/>
          <w:lang w:eastAsia="en-GB"/>
        </w:rPr>
        <w:t xml:space="preserve">s have been applied </w:t>
      </w:r>
      <w:r w:rsidR="00FC158D">
        <w:rPr>
          <w:rFonts w:eastAsia="Calibri" w:cstheme="minorHAnsi"/>
          <w:lang w:eastAsia="en-GB"/>
        </w:rPr>
        <w:t xml:space="preserve"> </w:t>
      </w:r>
      <w:r w:rsidR="007D12C3">
        <w:rPr>
          <w:rFonts w:eastAsia="Calibri" w:cstheme="minorHAnsi"/>
          <w:lang w:eastAsia="en-GB"/>
        </w:rPr>
        <w:t xml:space="preserve">to </w:t>
      </w:r>
      <w:r w:rsidR="00FC158D">
        <w:rPr>
          <w:rFonts w:eastAsia="Calibri" w:cstheme="minorHAnsi"/>
          <w:lang w:eastAsia="en-GB"/>
        </w:rPr>
        <w:t xml:space="preserve">the Talyawalka groundwater and MAR option </w:t>
      </w:r>
      <w:r w:rsidR="00D072DC">
        <w:rPr>
          <w:rFonts w:eastAsia="Calibri" w:cstheme="minorHAnsi"/>
          <w:lang w:eastAsia="en-GB"/>
        </w:rPr>
        <w:t xml:space="preserve">that </w:t>
      </w:r>
      <w:r w:rsidR="00EB0F3B">
        <w:rPr>
          <w:rFonts w:eastAsia="Calibri" w:cstheme="minorHAnsi"/>
          <w:lang w:eastAsia="en-GB"/>
        </w:rPr>
        <w:t>are</w:t>
      </w:r>
      <w:r w:rsidR="00D072DC">
        <w:rPr>
          <w:rFonts w:eastAsia="Calibri" w:cstheme="minorHAnsi"/>
          <w:lang w:eastAsia="en-GB"/>
        </w:rPr>
        <w:t xml:space="preserve"> inconsistent with the existing Geosciences Australia cost estimate</w:t>
      </w:r>
      <w:r w:rsidR="004D7502">
        <w:rPr>
          <w:rFonts w:eastAsia="Calibri" w:cstheme="minorHAnsi"/>
          <w:lang w:eastAsia="en-GB"/>
        </w:rPr>
        <w:t xml:space="preserve">.  </w:t>
      </w:r>
      <w:r w:rsidR="003C137A">
        <w:rPr>
          <w:rFonts w:eastAsia="Calibri" w:cstheme="minorHAnsi"/>
          <w:lang w:eastAsia="en-GB"/>
        </w:rPr>
        <w:t>IAH believes r</w:t>
      </w:r>
      <w:r w:rsidR="004D7502">
        <w:rPr>
          <w:rFonts w:eastAsia="Calibri" w:cstheme="minorHAnsi"/>
          <w:lang w:eastAsia="en-GB"/>
        </w:rPr>
        <w:t>easse</w:t>
      </w:r>
      <w:r w:rsidR="003C137A">
        <w:rPr>
          <w:rFonts w:eastAsia="Calibri" w:cstheme="minorHAnsi"/>
          <w:lang w:eastAsia="en-GB"/>
        </w:rPr>
        <w:t>ssment of the option using this information would</w:t>
      </w:r>
      <w:r w:rsidR="00D072DC">
        <w:rPr>
          <w:rFonts w:eastAsia="Calibri" w:cstheme="minorHAnsi"/>
          <w:lang w:eastAsia="en-GB"/>
        </w:rPr>
        <w:t xml:space="preserve"> result </w:t>
      </w:r>
      <w:r w:rsidR="003C137A">
        <w:rPr>
          <w:rFonts w:eastAsia="Calibri" w:cstheme="minorHAnsi"/>
          <w:lang w:eastAsia="en-GB"/>
        </w:rPr>
        <w:t>in the Talyawalka groundwater and MAR option being a more financially competitive proposal to the current</w:t>
      </w:r>
      <w:r w:rsidR="00FC158D">
        <w:rPr>
          <w:rFonts w:eastAsia="Calibri" w:cstheme="minorHAnsi"/>
          <w:lang w:eastAsia="en-GB"/>
        </w:rPr>
        <w:t xml:space="preserve"> NSW Government preferred option</w:t>
      </w:r>
      <w:r w:rsidR="0046515A">
        <w:rPr>
          <w:rFonts w:eastAsia="Calibri" w:cstheme="minorHAnsi"/>
          <w:lang w:eastAsia="en-GB"/>
        </w:rPr>
        <w:t>.  Th</w:t>
      </w:r>
      <w:r>
        <w:rPr>
          <w:rFonts w:eastAsia="Calibri" w:cstheme="minorHAnsi"/>
          <w:lang w:eastAsia="en-GB"/>
        </w:rPr>
        <w:t xml:space="preserve">e groundwater and MAR option </w:t>
      </w:r>
      <w:r w:rsidR="0046515A">
        <w:rPr>
          <w:rFonts w:eastAsia="Calibri" w:cstheme="minorHAnsi"/>
          <w:lang w:eastAsia="en-GB"/>
        </w:rPr>
        <w:t xml:space="preserve">to </w:t>
      </w:r>
      <w:r w:rsidR="007D12C3">
        <w:rPr>
          <w:rFonts w:eastAsia="Calibri" w:cstheme="minorHAnsi"/>
          <w:lang w:eastAsia="en-GB"/>
        </w:rPr>
        <w:t xml:space="preserve">IAH’s </w:t>
      </w:r>
      <w:r w:rsidR="0046515A">
        <w:rPr>
          <w:rFonts w:eastAsia="Calibri" w:cstheme="minorHAnsi"/>
          <w:lang w:eastAsia="en-GB"/>
        </w:rPr>
        <w:t xml:space="preserve">best information has a lower cost, </w:t>
      </w:r>
      <w:r w:rsidR="001174A9">
        <w:rPr>
          <w:rFonts w:eastAsia="Calibri" w:cstheme="minorHAnsi"/>
          <w:lang w:eastAsia="en-GB"/>
        </w:rPr>
        <w:t>would be</w:t>
      </w:r>
      <w:r w:rsidR="0046515A">
        <w:rPr>
          <w:rFonts w:eastAsia="Calibri" w:cstheme="minorHAnsi"/>
          <w:lang w:eastAsia="en-GB"/>
        </w:rPr>
        <w:t xml:space="preserve"> more reliable and </w:t>
      </w:r>
      <w:r w:rsidR="001174A9">
        <w:rPr>
          <w:rFonts w:eastAsia="Calibri" w:cstheme="minorHAnsi"/>
          <w:lang w:eastAsia="en-GB"/>
        </w:rPr>
        <w:t xml:space="preserve">would </w:t>
      </w:r>
      <w:r w:rsidR="0046515A">
        <w:rPr>
          <w:rFonts w:eastAsia="Calibri" w:cstheme="minorHAnsi"/>
          <w:lang w:eastAsia="en-GB"/>
        </w:rPr>
        <w:t>impinge less on other water users in drought conditions, than the NSW Government’s preferred option</w:t>
      </w:r>
      <w:r>
        <w:rPr>
          <w:rFonts w:eastAsia="Calibri" w:cstheme="minorHAnsi"/>
          <w:lang w:eastAsia="en-GB"/>
        </w:rPr>
        <w:t xml:space="preserve">. </w:t>
      </w:r>
    </w:p>
    <w:p w14:paraId="04D742BB" w14:textId="77777777" w:rsidR="001174A9" w:rsidRPr="001174A9" w:rsidRDefault="001174A9" w:rsidP="00854AB4">
      <w:pPr>
        <w:rPr>
          <w:b/>
        </w:rPr>
      </w:pPr>
      <w:r w:rsidRPr="001174A9">
        <w:rPr>
          <w:b/>
        </w:rPr>
        <w:t>Water savings</w:t>
      </w:r>
    </w:p>
    <w:p w14:paraId="5127AAF1" w14:textId="77777777" w:rsidR="00B14FF4" w:rsidRDefault="003E40B9" w:rsidP="00854AB4">
      <w:r>
        <w:t>S</w:t>
      </w:r>
      <w:r w:rsidRPr="00854AB4">
        <w:t>upply</w:t>
      </w:r>
      <w:r>
        <w:t xml:space="preserve">ing Broken Hill </w:t>
      </w:r>
      <w:r w:rsidR="00854AB4" w:rsidRPr="00854AB4">
        <w:t>from a re</w:t>
      </w:r>
      <w:r>
        <w:t>plenishable</w:t>
      </w:r>
      <w:r w:rsidR="00854AB4" w:rsidRPr="00854AB4">
        <w:t xml:space="preserve"> groundwater resource adjacent the Darling River near Menindee would create </w:t>
      </w:r>
      <w:r>
        <w:t xml:space="preserve">exactly </w:t>
      </w:r>
      <w:r w:rsidR="00854AB4" w:rsidRPr="00854AB4">
        <w:t>the same opportunities for operating the Menindee Lakes storages to produce water savings from reduced evaporation</w:t>
      </w:r>
      <w:r w:rsidRPr="003E40B9">
        <w:t xml:space="preserve"> </w:t>
      </w:r>
      <w:r>
        <w:t>as supplying water directly from</w:t>
      </w:r>
      <w:r w:rsidRPr="00854AB4">
        <w:t xml:space="preserve"> </w:t>
      </w:r>
      <w:r>
        <w:t xml:space="preserve">the </w:t>
      </w:r>
      <w:r w:rsidRPr="00854AB4">
        <w:t>River Murray</w:t>
      </w:r>
      <w:r>
        <w:t>.</w:t>
      </w:r>
      <w:r w:rsidR="00854AB4" w:rsidRPr="00854AB4">
        <w:t xml:space="preserve"> </w:t>
      </w:r>
      <w:r w:rsidR="0075434E">
        <w:t xml:space="preserve"> A report of NSW Office of Water (2012) and CSIRO reports cited within it, demonstrate that mean annual evaporative savings would be at least 125 GL/yr while still allowing Lakes Menindee and </w:t>
      </w:r>
      <w:r w:rsidR="00F878F8">
        <w:t>Cawndilla to fill during floods</w:t>
      </w:r>
      <w:r w:rsidR="0075434E">
        <w:t xml:space="preserve">.  </w:t>
      </w:r>
      <w:r w:rsidR="00F878F8">
        <w:t xml:space="preserve">That report erroneously purported that evaporation losses would be marginally increased by the managed aquifer recharge scheme.  </w:t>
      </w:r>
      <w:r w:rsidR="00762530">
        <w:t>By definition,</w:t>
      </w:r>
      <w:r w:rsidR="00F878F8">
        <w:t xml:space="preserve"> the managed aquifer recharge scheme proposed </w:t>
      </w:r>
      <w:r w:rsidR="00F912DE">
        <w:t xml:space="preserve">above </w:t>
      </w:r>
      <w:r>
        <w:t>can</w:t>
      </w:r>
      <w:r w:rsidR="00F878F8">
        <w:t xml:space="preserve">not add to evaporative losses.  </w:t>
      </w:r>
      <w:r w:rsidR="0075434E">
        <w:t xml:space="preserve"> </w:t>
      </w:r>
    </w:p>
    <w:p w14:paraId="79D5C36D" w14:textId="77777777" w:rsidR="00D51DF8" w:rsidRDefault="0074745D" w:rsidP="00854AB4">
      <w:r>
        <w:t>For a conservative</w:t>
      </w:r>
      <w:r w:rsidR="003E40B9">
        <w:t xml:space="preserve"> estimate of </w:t>
      </w:r>
      <w:r>
        <w:t xml:space="preserve">125GL/yr </w:t>
      </w:r>
      <w:r w:rsidR="00F878F8">
        <w:t>water savings</w:t>
      </w:r>
      <w:r>
        <w:t>,</w:t>
      </w:r>
      <w:r w:rsidR="003E40B9">
        <w:t xml:space="preserve"> the capital cost for the groundwater and MAR option would amount to $2M/GL saved, compared with $4M/GL saved for the Wentworth to Broken Hill pipeline.  </w:t>
      </w:r>
      <w:r>
        <w:t>Furthermore</w:t>
      </w:r>
      <w:r w:rsidR="00762530">
        <w:t>,</w:t>
      </w:r>
      <w:r>
        <w:t xml:space="preserve"> an advantage with a groundwater</w:t>
      </w:r>
      <w:r w:rsidR="00762530">
        <w:t>-</w:t>
      </w:r>
      <w:r>
        <w:t xml:space="preserve">based scheme is that during drought </w:t>
      </w:r>
      <w:r w:rsidR="00027C81">
        <w:t>no</w:t>
      </w:r>
      <w:r>
        <w:t xml:space="preserve"> river </w:t>
      </w:r>
      <w:r w:rsidR="00027C81">
        <w:t xml:space="preserve">water is needed to supply </w:t>
      </w:r>
      <w:r>
        <w:t>Broken Hill, whereas for a surface water supply the town competes with all other river users.</w:t>
      </w:r>
      <w:r w:rsidR="0061676F">
        <w:t xml:space="preserve">  Some changes to current diversion operations will need to be considered (see Appendix).</w:t>
      </w:r>
    </w:p>
    <w:p w14:paraId="18B731AC" w14:textId="77777777" w:rsidR="001174A9" w:rsidRDefault="00383346" w:rsidP="00A725C7">
      <w:r w:rsidRPr="00383346">
        <w:rPr>
          <w:b/>
        </w:rPr>
        <w:t xml:space="preserve">MAR </w:t>
      </w:r>
      <w:r w:rsidR="007D12C3">
        <w:rPr>
          <w:b/>
        </w:rPr>
        <w:t xml:space="preserve">precedents in Australia and </w:t>
      </w:r>
      <w:r w:rsidR="001B2FF6">
        <w:rPr>
          <w:b/>
        </w:rPr>
        <w:t xml:space="preserve">MAR </w:t>
      </w:r>
      <w:r w:rsidR="007D12C3">
        <w:rPr>
          <w:b/>
        </w:rPr>
        <w:t xml:space="preserve">potential for </w:t>
      </w:r>
      <w:r w:rsidRPr="00383346">
        <w:rPr>
          <w:b/>
        </w:rPr>
        <w:t>elsewhere in the MDB</w:t>
      </w:r>
    </w:p>
    <w:p w14:paraId="46F95DBD" w14:textId="32B62400" w:rsidR="00A725C7" w:rsidRPr="00854AB4" w:rsidRDefault="00A725C7" w:rsidP="00A725C7">
      <w:r>
        <w:t>A p</w:t>
      </w:r>
      <w:r w:rsidRPr="00854AB4">
        <w:t xml:space="preserve">recedent for </w:t>
      </w:r>
      <w:r w:rsidR="004156BE">
        <w:t xml:space="preserve">municipal-scale </w:t>
      </w:r>
      <w:r w:rsidR="007D12C3">
        <w:t>MAR</w:t>
      </w:r>
      <w:r>
        <w:t xml:space="preserve"> </w:t>
      </w:r>
      <w:r w:rsidR="004156BE">
        <w:t xml:space="preserve">can be found </w:t>
      </w:r>
      <w:r>
        <w:t xml:space="preserve">in Perth where a 14 GL/yr scheme is under construction and will be expanded to </w:t>
      </w:r>
      <w:r w:rsidR="00E46994">
        <w:t>28 </w:t>
      </w:r>
      <w:r>
        <w:t xml:space="preserve">GL/yr by 2020.  </w:t>
      </w:r>
      <w:r w:rsidRPr="00854AB4">
        <w:t>Water Corporation undert</w:t>
      </w:r>
      <w:r>
        <w:t>ook</w:t>
      </w:r>
      <w:r w:rsidRPr="00854AB4">
        <w:t xml:space="preserve"> a trial and adopted a groundwater replenishment option at a </w:t>
      </w:r>
      <w:r>
        <w:t>much</w:t>
      </w:r>
      <w:r w:rsidRPr="00854AB4">
        <w:t xml:space="preserve"> lower cost than the conventional alternative drinking water supply (Vanderzalm </w:t>
      </w:r>
      <w:r w:rsidRPr="00854AB4">
        <w:rPr>
          <w:i/>
          <w:iCs/>
        </w:rPr>
        <w:t xml:space="preserve">et al </w:t>
      </w:r>
      <w:r w:rsidRPr="00854AB4">
        <w:t xml:space="preserve">2015). </w:t>
      </w:r>
      <w:r w:rsidR="00383346">
        <w:t xml:space="preserve"> </w:t>
      </w:r>
      <w:r w:rsidR="00810B66">
        <w:t>Dillon</w:t>
      </w:r>
      <w:r w:rsidR="00762530">
        <w:t xml:space="preserve"> </w:t>
      </w:r>
      <w:r w:rsidR="00810B66">
        <w:t>(2015) summarised t</w:t>
      </w:r>
      <w:r w:rsidR="00383346">
        <w:t xml:space="preserve">he </w:t>
      </w:r>
      <w:r w:rsidR="00810B66">
        <w:t>state of MAR in Australia, which has now reached 400</w:t>
      </w:r>
      <w:r w:rsidR="00762530">
        <w:t xml:space="preserve"> </w:t>
      </w:r>
      <w:r w:rsidR="00810B66">
        <w:t xml:space="preserve">GL/yr, and opportunities for water banking are plentiful. </w:t>
      </w:r>
    </w:p>
    <w:p w14:paraId="678DF5B9" w14:textId="7BB2ADA3" w:rsidR="00027C81" w:rsidRPr="00854AB4" w:rsidRDefault="00027C81" w:rsidP="00854AB4">
      <w:r>
        <w:t xml:space="preserve">Considerably more could be done with decentralised </w:t>
      </w:r>
      <w:r w:rsidR="007D12C3">
        <w:t>MAR</w:t>
      </w:r>
      <w:r>
        <w:t xml:space="preserve"> in the</w:t>
      </w:r>
      <w:r w:rsidR="00D51DF8">
        <w:t xml:space="preserve"> Murray-</w:t>
      </w:r>
      <w:r>
        <w:t xml:space="preserve">Darling Basin to secure supplies during low flows, but this would </w:t>
      </w:r>
      <w:r w:rsidR="00A725C7">
        <w:t>rely</w:t>
      </w:r>
      <w:r>
        <w:t xml:space="preserve"> on having secure and uncontested water entitlements to surface water and groundwater and appropriate </w:t>
      </w:r>
      <w:r w:rsidR="00A725C7">
        <w:t>rules relating to entitlement transfers between them for conjunctive water management</w:t>
      </w:r>
      <w:r>
        <w:t xml:space="preserve">. </w:t>
      </w:r>
      <w:r w:rsidR="00383346">
        <w:t xml:space="preserve"> </w:t>
      </w:r>
    </w:p>
    <w:p w14:paraId="4C18A0C9" w14:textId="10BC46DF" w:rsidR="00291196" w:rsidRDefault="00854AB4" w:rsidP="00854AB4">
      <w:r w:rsidRPr="00854AB4">
        <w:t xml:space="preserve">IAH is aware of the magnitude of the investment and of the potential savings to be made by using groundwater and </w:t>
      </w:r>
      <w:r w:rsidR="007D12C3">
        <w:t>MAR</w:t>
      </w:r>
      <w:r w:rsidRPr="00854AB4">
        <w:t xml:space="preserve">. The IAH Australian Chapter and IAH Commission on Managing Aquifer Recharge </w:t>
      </w:r>
      <w:r w:rsidR="00291196">
        <w:t>are</w:t>
      </w:r>
      <w:r w:rsidRPr="00854AB4">
        <w:t xml:space="preserve"> willing to offer key specialists in these fields </w:t>
      </w:r>
      <w:r w:rsidR="00244476">
        <w:t xml:space="preserve">to </w:t>
      </w:r>
      <w:r w:rsidRPr="00854AB4">
        <w:t xml:space="preserve">meet with </w:t>
      </w:r>
      <w:r w:rsidR="00383346">
        <w:t xml:space="preserve">the relevant parties at Commonwealth, State and Local levels.  </w:t>
      </w:r>
      <w:r w:rsidRPr="00854AB4">
        <w:t xml:space="preserve">IAH specialists can </w:t>
      </w:r>
      <w:r w:rsidR="00383346">
        <w:t xml:space="preserve">also </w:t>
      </w:r>
      <w:r w:rsidRPr="00854AB4">
        <w:t xml:space="preserve">assist with policy and institutional matters </w:t>
      </w:r>
      <w:r w:rsidR="00383346">
        <w:t>if these</w:t>
      </w:r>
      <w:r w:rsidRPr="00854AB4">
        <w:t xml:space="preserve"> impede </w:t>
      </w:r>
      <w:r w:rsidR="00383346">
        <w:t xml:space="preserve">perceived </w:t>
      </w:r>
      <w:r w:rsidRPr="00854AB4">
        <w:t xml:space="preserve">opportunities for managed aquifer recharge in </w:t>
      </w:r>
      <w:r w:rsidR="00383346">
        <w:t>the Murray-Darling Basin</w:t>
      </w:r>
      <w:r w:rsidRPr="00854AB4">
        <w:t xml:space="preserve">. </w:t>
      </w:r>
      <w:r w:rsidR="00D51DF8">
        <w:t xml:space="preserve"> </w:t>
      </w:r>
      <w:r w:rsidR="00D51DF8" w:rsidRPr="00854AB4">
        <w:t xml:space="preserve">IAH members </w:t>
      </w:r>
      <w:r w:rsidR="00D51DF8">
        <w:t xml:space="preserve">in Australia </w:t>
      </w:r>
      <w:r w:rsidR="00291196">
        <w:t xml:space="preserve">and colleagues </w:t>
      </w:r>
      <w:r w:rsidR="00D51DF8" w:rsidRPr="00854AB4">
        <w:t xml:space="preserve">have </w:t>
      </w:r>
      <w:r w:rsidR="00D51DF8">
        <w:t>the</w:t>
      </w:r>
      <w:r w:rsidR="00D51DF8" w:rsidRPr="00854AB4">
        <w:t xml:space="preserve"> broad range of scientific and technical capacity to assist in all </w:t>
      </w:r>
      <w:r w:rsidR="00D51DF8">
        <w:t>novel</w:t>
      </w:r>
      <w:r w:rsidR="00D51DF8" w:rsidRPr="00854AB4">
        <w:t xml:space="preserve"> elements to </w:t>
      </w:r>
      <w:r w:rsidR="00291196">
        <w:t>manage real and perceived risks</w:t>
      </w:r>
      <w:r w:rsidR="00291196" w:rsidRPr="00854AB4">
        <w:t xml:space="preserve"> </w:t>
      </w:r>
      <w:r w:rsidR="00291196">
        <w:t xml:space="preserve">and </w:t>
      </w:r>
      <w:r w:rsidR="00D51DF8" w:rsidRPr="00854AB4">
        <w:t xml:space="preserve">enable the best value investment possible. </w:t>
      </w:r>
    </w:p>
    <w:p w14:paraId="67DD0C0B" w14:textId="7EAA14FE" w:rsidR="00854AB4" w:rsidRPr="00854AB4" w:rsidRDefault="007D12C3" w:rsidP="00854AB4">
      <w:r>
        <w:t>The IAH is ready and willing to assist with a deeper evaluation of the MAR option if the opportunity is made available (noting that some project components are common to both the MAR and River Murray pipeline options).</w:t>
      </w:r>
      <w:r w:rsidR="00291196">
        <w:t xml:space="preserve">  </w:t>
      </w:r>
      <w:r w:rsidR="007175F7">
        <w:t xml:space="preserve">We believe </w:t>
      </w:r>
      <w:r>
        <w:t>MAR</w:t>
      </w:r>
      <w:r w:rsidR="00291196">
        <w:t xml:space="preserve"> </w:t>
      </w:r>
      <w:r w:rsidR="007175F7">
        <w:t xml:space="preserve">can and should </w:t>
      </w:r>
      <w:r w:rsidR="00291196">
        <w:t>play a</w:t>
      </w:r>
      <w:r w:rsidR="008A2E41">
        <w:t>n active</w:t>
      </w:r>
      <w:r w:rsidR="00291196">
        <w:t xml:space="preserve"> role in </w:t>
      </w:r>
      <w:r w:rsidR="007175F7">
        <w:t xml:space="preserve">best practice water management as part of the Murray-Darling </w:t>
      </w:r>
      <w:r w:rsidR="00762530">
        <w:t>B</w:t>
      </w:r>
      <w:r w:rsidR="00291196">
        <w:t xml:space="preserve">asin </w:t>
      </w:r>
      <w:r w:rsidR="00762530">
        <w:t>P</w:t>
      </w:r>
      <w:r w:rsidR="00291196">
        <w:t>lan.</w:t>
      </w:r>
      <w:r w:rsidR="00D51DF8">
        <w:t xml:space="preserve"> </w:t>
      </w:r>
    </w:p>
    <w:p w14:paraId="2623F7B6" w14:textId="77777777" w:rsidR="00854AB4" w:rsidRPr="00854AB4" w:rsidRDefault="00854AB4" w:rsidP="00854AB4">
      <w:r w:rsidRPr="00854AB4">
        <w:rPr>
          <w:b/>
          <w:bCs/>
        </w:rPr>
        <w:t xml:space="preserve">References: </w:t>
      </w:r>
    </w:p>
    <w:p w14:paraId="4CE2C24E" w14:textId="77777777" w:rsidR="00854AB4" w:rsidRPr="00E133DC" w:rsidRDefault="00854AB4" w:rsidP="00E864BF">
      <w:pPr>
        <w:spacing w:after="0" w:line="240" w:lineRule="auto"/>
        <w:rPr>
          <w:sz w:val="20"/>
          <w:szCs w:val="20"/>
        </w:rPr>
      </w:pPr>
      <w:r w:rsidRPr="00E133DC">
        <w:rPr>
          <w:sz w:val="20"/>
          <w:szCs w:val="20"/>
        </w:rPr>
        <w:t xml:space="preserve">Dillon, P.J. (2015). Australian progress in managed aquifer recharge and the water banking frontier. Aust. Water Assoc. J. Water. 42 (6) 53-57, Sept 2015 </w:t>
      </w:r>
    </w:p>
    <w:p w14:paraId="3245053A" w14:textId="77777777" w:rsidR="00854AB4" w:rsidRPr="00E133DC" w:rsidRDefault="00854AB4" w:rsidP="00E864BF">
      <w:pPr>
        <w:spacing w:after="0" w:line="240" w:lineRule="auto"/>
        <w:rPr>
          <w:sz w:val="20"/>
          <w:szCs w:val="20"/>
        </w:rPr>
      </w:pPr>
      <w:r w:rsidRPr="00E133DC">
        <w:rPr>
          <w:sz w:val="20"/>
          <w:szCs w:val="20"/>
        </w:rPr>
        <w:t xml:space="preserve">Lawrie, K.C., Brodie, R.S., Dillon, P., Tan, K.P., Gibson, D., Magee, J., Clarke, J.D.A., Somerville, P., Gow, L., Halas, L., Apps, H.E, Page, D., Vanderzalm, J., Hostetler, S., Christensen, N.B., Miotlinski, K., Brodie, R.C., Smith, M. and Schoning, G. (2012). Assessment of Conjunctive Water Supply Options to Enhance the Drought Security of Broken Hill, Regional Communities and Industries. Summary Report. Record 2012/15 Geocat # 73823, Report 5 of 5 Final Report July 2012. </w:t>
      </w:r>
      <w:hyperlink r:id="rId15" w:history="1">
        <w:r w:rsidR="00DD3C93" w:rsidRPr="00B14FF4">
          <w:rPr>
            <w:rStyle w:val="Hyperlink"/>
            <w:sz w:val="20"/>
            <w:szCs w:val="20"/>
          </w:rPr>
          <w:t>www.ga.gov.au/corporate_data/73823/Rec2012_015.pdf</w:t>
        </w:r>
      </w:hyperlink>
      <w:r w:rsidR="00DD3C93" w:rsidRPr="00E133DC">
        <w:rPr>
          <w:sz w:val="20"/>
          <w:szCs w:val="20"/>
        </w:rPr>
        <w:t xml:space="preserve"> </w:t>
      </w:r>
      <w:r w:rsidRPr="00E133DC">
        <w:rPr>
          <w:sz w:val="20"/>
          <w:szCs w:val="20"/>
        </w:rPr>
        <w:t xml:space="preserve"> </w:t>
      </w:r>
    </w:p>
    <w:p w14:paraId="1CE64236" w14:textId="77777777" w:rsidR="00D43302" w:rsidRPr="00E133DC" w:rsidRDefault="00D43302" w:rsidP="00E864BF">
      <w:pPr>
        <w:spacing w:after="0" w:line="240" w:lineRule="auto"/>
        <w:rPr>
          <w:bCs/>
          <w:sz w:val="20"/>
          <w:szCs w:val="20"/>
          <w:lang w:val="en-AU"/>
        </w:rPr>
      </w:pPr>
      <w:r w:rsidRPr="00E133DC">
        <w:rPr>
          <w:bCs/>
          <w:sz w:val="20"/>
          <w:szCs w:val="20"/>
          <w:lang w:val="en-AU"/>
        </w:rPr>
        <w:t>Jekel, M. and Grünheid, S. (2005). Bank filtration and groundwater recharge for treatment of polluted surface waters. WST Water Supply 5(5), 57-66.</w:t>
      </w:r>
    </w:p>
    <w:p w14:paraId="4886D7AD" w14:textId="77777777" w:rsidR="00DD3C93" w:rsidRPr="00E133DC" w:rsidRDefault="00DD3C93" w:rsidP="00E864BF">
      <w:pPr>
        <w:spacing w:after="0" w:line="240" w:lineRule="auto"/>
        <w:rPr>
          <w:sz w:val="20"/>
          <w:szCs w:val="20"/>
        </w:rPr>
      </w:pPr>
      <w:r w:rsidRPr="00E133DC">
        <w:rPr>
          <w:bCs/>
          <w:sz w:val="20"/>
          <w:szCs w:val="20"/>
        </w:rPr>
        <w:t xml:space="preserve">NSW Office of Water (2012). Review of Hydrological Investigations Carried Out Under the Menindee Lakes Memorandum of Understanding </w:t>
      </w:r>
      <w:r w:rsidRPr="00E133DC">
        <w:rPr>
          <w:sz w:val="20"/>
          <w:szCs w:val="20"/>
        </w:rPr>
        <w:t>Final Report, prepared by Bewsher Consulting, January 2012</w:t>
      </w:r>
      <w:r w:rsidR="007E5EDC" w:rsidRPr="00E133DC">
        <w:rPr>
          <w:sz w:val="20"/>
          <w:szCs w:val="20"/>
        </w:rPr>
        <w:t xml:space="preserve"> </w:t>
      </w:r>
      <w:hyperlink r:id="rId16" w:history="1">
        <w:r w:rsidR="00BD04B5" w:rsidRPr="00BD04B5">
          <w:rPr>
            <w:rStyle w:val="Hyperlink"/>
            <w:sz w:val="20"/>
            <w:szCs w:val="20"/>
          </w:rPr>
          <w:t>http://www.water.nsw.gov.au/__data/assets/pdf_file/0010/548317/recovery_menindee_bewshers_report.pdf</w:t>
        </w:r>
      </w:hyperlink>
      <w:r w:rsidRPr="00E133DC">
        <w:rPr>
          <w:sz w:val="20"/>
          <w:szCs w:val="20"/>
        </w:rPr>
        <w:t xml:space="preserve"> </w:t>
      </w:r>
    </w:p>
    <w:p w14:paraId="780CDB51" w14:textId="77777777" w:rsidR="00B14FF4" w:rsidRDefault="005D0F0C" w:rsidP="00E864BF">
      <w:pPr>
        <w:spacing w:after="0" w:line="240" w:lineRule="auto"/>
        <w:rPr>
          <w:sz w:val="20"/>
          <w:szCs w:val="20"/>
          <w:lang w:val="en-AU"/>
        </w:rPr>
      </w:pPr>
      <w:r w:rsidRPr="00E133DC">
        <w:rPr>
          <w:sz w:val="20"/>
          <w:szCs w:val="20"/>
          <w:lang w:val="en-AU"/>
        </w:rPr>
        <w:t xml:space="preserve">NSW Dept. of Industry (2017). Summary of the Final Business Case: Broken Hill Long-Term Water Supply Solution, October 2017. </w:t>
      </w:r>
      <w:hyperlink r:id="rId17" w:history="1">
        <w:r w:rsidRPr="00B14FF4">
          <w:rPr>
            <w:rStyle w:val="Hyperlink"/>
            <w:sz w:val="20"/>
            <w:szCs w:val="20"/>
            <w:lang w:val="en-AU"/>
          </w:rPr>
          <w:t>http://www.water.nsw.gov.au/__data/assets/pdf_file/0008/739700/Broken-hill-long-term-water-supply-solution-summary-of-final-business-case.pdf</w:t>
        </w:r>
      </w:hyperlink>
      <w:r w:rsidRPr="00E133DC">
        <w:rPr>
          <w:sz w:val="20"/>
          <w:szCs w:val="20"/>
          <w:lang w:val="en-AU"/>
        </w:rPr>
        <w:t xml:space="preserve"> </w:t>
      </w:r>
    </w:p>
    <w:p w14:paraId="2046999B" w14:textId="77777777" w:rsidR="00E133DC" w:rsidRDefault="00854AB4" w:rsidP="00E864BF">
      <w:pPr>
        <w:spacing w:after="0" w:line="240" w:lineRule="auto"/>
        <w:rPr>
          <w:sz w:val="20"/>
          <w:szCs w:val="20"/>
        </w:rPr>
      </w:pPr>
      <w:r w:rsidRPr="00E133DC">
        <w:rPr>
          <w:sz w:val="20"/>
          <w:szCs w:val="20"/>
        </w:rPr>
        <w:t xml:space="preserve">Vanderzalm, J.L., Dillon, P.J., Tapsuwan, S., Pickering, P., Arold, N., Bekele, E.B., Barry, K.E., Donn, M.J., Hepburn, P. and McFarlane, D. (2015). Economics and experiences of managed aquifer recharge (MAR) with recycled water in Australia, Australian Water Recycling Centre of Excellence Report. </w:t>
      </w:r>
      <w:hyperlink r:id="rId18" w:history="1">
        <w:r w:rsidR="00DD3C93" w:rsidRPr="00B14FF4">
          <w:rPr>
            <w:rStyle w:val="Hyperlink"/>
            <w:sz w:val="20"/>
            <w:szCs w:val="20"/>
          </w:rPr>
          <w:t>http://www.australianwaterrecycling.com.au/research-publications.html</w:t>
        </w:r>
      </w:hyperlink>
      <w:r w:rsidR="00DD3C93" w:rsidRPr="00E133DC">
        <w:rPr>
          <w:sz w:val="20"/>
          <w:szCs w:val="20"/>
        </w:rPr>
        <w:t xml:space="preserve"> </w:t>
      </w:r>
      <w:r w:rsidR="008D668F">
        <w:rPr>
          <w:sz w:val="20"/>
          <w:szCs w:val="20"/>
        </w:rPr>
        <w:t xml:space="preserve"> </w:t>
      </w:r>
    </w:p>
    <w:p w14:paraId="4F7F876E" w14:textId="77777777" w:rsidR="007D12C3" w:rsidRDefault="007D12C3">
      <w:pPr>
        <w:rPr>
          <w:b/>
        </w:rPr>
      </w:pPr>
      <w:r>
        <w:rPr>
          <w:b/>
        </w:rPr>
        <w:br w:type="page"/>
      </w:r>
    </w:p>
    <w:p w14:paraId="6A7B62AC" w14:textId="77777777" w:rsidR="003743CB" w:rsidRDefault="003743CB" w:rsidP="008D668F">
      <w:pPr>
        <w:spacing w:after="60" w:line="240" w:lineRule="auto"/>
        <w:rPr>
          <w:b/>
        </w:rPr>
      </w:pPr>
      <w:r w:rsidRPr="00BD04B5">
        <w:rPr>
          <w:b/>
        </w:rPr>
        <w:t>Appendix 1.</w:t>
      </w:r>
      <w:r w:rsidR="00707AB6">
        <w:rPr>
          <w:b/>
        </w:rPr>
        <w:t xml:space="preserve"> </w:t>
      </w:r>
      <w:r w:rsidR="00324FB5" w:rsidRPr="00BD04B5">
        <w:rPr>
          <w:b/>
        </w:rPr>
        <w:t xml:space="preserve"> Flow and salinity of River Darling at Weir 32</w:t>
      </w:r>
      <w:r w:rsidR="00707AB6">
        <w:rPr>
          <w:b/>
        </w:rPr>
        <w:t xml:space="preserve"> in relation to MAR</w:t>
      </w:r>
    </w:p>
    <w:p w14:paraId="1A8546EA" w14:textId="77777777" w:rsidR="00E864BF" w:rsidRPr="00E864BF" w:rsidRDefault="00E864BF" w:rsidP="00E864BF">
      <w:pPr>
        <w:spacing w:after="60" w:line="240" w:lineRule="auto"/>
      </w:pPr>
      <w:r w:rsidRPr="00E864BF">
        <w:t xml:space="preserve">The median salinity of river water at Weir 32 is about 500 µS/cm, and about 85% time the salinity is less than 1000 µS/cm, an essential requirement for acceptable drinking water quality.  Whenever flow exceeds 3000ML/d, and frequently at lower flows, the salinity is less than the median. This allows the opportunity for replenishing and freshening the shallow groundwater storage.  This is required to buffer the groundwater resource to sustain extraction at suitable quality during extensive droughts without relying on desalination.  </w:t>
      </w:r>
    </w:p>
    <w:p w14:paraId="05FE3E1A" w14:textId="77777777" w:rsidR="00E864BF" w:rsidRPr="00E864BF" w:rsidRDefault="00E864BF" w:rsidP="00E864BF">
      <w:pPr>
        <w:spacing w:after="60" w:line="240" w:lineRule="auto"/>
      </w:pPr>
      <w:r w:rsidRPr="00E864BF">
        <w:t xml:space="preserve">Managed Aquifer Recharge (MAR) is a technique which can take occasional flows of fresh low security water, and bank it in an aquifer to recover it during drought or </w:t>
      </w:r>
      <w:r>
        <w:t xml:space="preserve">when river salinity is </w:t>
      </w:r>
      <w:r w:rsidRPr="00E864BF">
        <w:t>high to provide high quality, high security supplies.  However its use depends entirely on an entitlement system that encompasses surface water and groundwater and is adhered to across the whole catchment and basin</w:t>
      </w:r>
      <w:r w:rsidR="00707AB6">
        <w:t xml:space="preserve"> (Ward and Dillon 2011)</w:t>
      </w:r>
      <w:r w:rsidRPr="00E864BF">
        <w:t>.</w:t>
      </w:r>
      <w:r>
        <w:t xml:space="preserve">  When this is in place, and not before, MAR opportunities may commence.</w:t>
      </w:r>
    </w:p>
    <w:p w14:paraId="05A11CAD" w14:textId="77777777" w:rsidR="00E864BF" w:rsidRPr="00E864BF" w:rsidRDefault="00430F47" w:rsidP="008D668F">
      <w:pPr>
        <w:spacing w:after="60" w:line="240" w:lineRule="auto"/>
      </w:pPr>
      <w:r>
        <w:rPr>
          <w:rFonts w:ascii="Arial" w:hAnsi="Arial" w:cs="Arial"/>
          <w:noProof/>
          <w:color w:val="222222"/>
          <w:sz w:val="24"/>
          <w:szCs w:val="24"/>
          <w:lang w:val="en-AU" w:eastAsia="en-AU"/>
        </w:rPr>
        <mc:AlternateContent>
          <mc:Choice Requires="wps">
            <w:drawing>
              <wp:anchor distT="0" distB="0" distL="114300" distR="114300" simplePos="0" relativeHeight="251659264" behindDoc="0" locked="0" layoutInCell="1" allowOverlap="1" wp14:anchorId="344D8C87" wp14:editId="1E14F3A8">
                <wp:simplePos x="0" y="0"/>
                <wp:positionH relativeFrom="column">
                  <wp:posOffset>44323</wp:posOffset>
                </wp:positionH>
                <wp:positionV relativeFrom="paragraph">
                  <wp:posOffset>1452372</wp:posOffset>
                </wp:positionV>
                <wp:extent cx="5681472" cy="12192"/>
                <wp:effectExtent l="0" t="0" r="14605" b="26035"/>
                <wp:wrapNone/>
                <wp:docPr id="6" name="Straight Connector 6"/>
                <wp:cNvGraphicFramePr/>
                <a:graphic xmlns:a="http://schemas.openxmlformats.org/drawingml/2006/main">
                  <a:graphicData uri="http://schemas.microsoft.com/office/word/2010/wordprocessingShape">
                    <wps:wsp>
                      <wps:cNvCnPr/>
                      <wps:spPr>
                        <a:xfrm flipH="1" flipV="1">
                          <a:off x="0" y="0"/>
                          <a:ext cx="5681472" cy="12192"/>
                        </a:xfrm>
                        <a:prstGeom prst="line">
                          <a:avLst/>
                        </a:prstGeom>
                        <a:ln>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EA538" id="Straight Connector 6"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3.5pt,114.35pt" to="450.8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" strokecolor="#ffc000" strokeweight=".5pt">
                <v:stroke joinstyle="miter"/>
              </v:line>
            </w:pict>
          </mc:Fallback>
        </mc:AlternateContent>
      </w:r>
      <w:r w:rsidRPr="00430F47">
        <w:rPr>
          <w:noProof/>
          <w:lang w:val="en-AU" w:eastAsia="en-AU"/>
        </w:rPr>
        <w:drawing>
          <wp:inline distT="0" distB="0" distL="0" distR="0" wp14:anchorId="24D43AFE" wp14:editId="7CE7D645">
            <wp:extent cx="5731510" cy="2238782"/>
            <wp:effectExtent l="0" t="0" r="2540" b="9525"/>
            <wp:docPr id="13" name="Picture 13" descr="C:\Users\Peter\AppData\Local\Microsoft\Windows\INetCache\Content.Outlook\6U4QMV24\BHMAR_summary_Fig7_2_flow_salinity_se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Outlook\6U4QMV24\BHMAR_summary_Fig7_2_flow_salinity_ser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238782"/>
                    </a:xfrm>
                    <a:prstGeom prst="rect">
                      <a:avLst/>
                    </a:prstGeom>
                    <a:noFill/>
                    <a:ln>
                      <a:noFill/>
                    </a:ln>
                  </pic:spPr>
                </pic:pic>
              </a:graphicData>
            </a:graphic>
          </wp:inline>
        </w:drawing>
      </w:r>
    </w:p>
    <w:p w14:paraId="10D5D94A" w14:textId="77777777" w:rsidR="00367D50" w:rsidRDefault="00367D50" w:rsidP="00B14FF4">
      <w:pPr>
        <w:rPr>
          <w:sz w:val="20"/>
          <w:szCs w:val="20"/>
        </w:rPr>
      </w:pPr>
    </w:p>
    <w:p w14:paraId="76FDA773" w14:textId="77777777" w:rsidR="003743CB" w:rsidRDefault="00430F47" w:rsidP="00BD04B5">
      <w:pPr>
        <w:jc w:val="center"/>
        <w:rPr>
          <w:sz w:val="20"/>
          <w:szCs w:val="20"/>
        </w:rPr>
      </w:pPr>
      <w:r w:rsidRPr="00430F47">
        <w:rPr>
          <w:rFonts w:ascii="Arial" w:hAnsi="Arial" w:cs="Arial"/>
          <w:noProof/>
          <w:color w:val="222222"/>
          <w:sz w:val="24"/>
          <w:szCs w:val="24"/>
          <w:lang w:val="en-AU" w:eastAsia="en-AU"/>
        </w:rPr>
        <w:drawing>
          <wp:inline distT="0" distB="0" distL="0" distR="0" wp14:anchorId="65141784" wp14:editId="4ED705EF">
            <wp:extent cx="4804516" cy="3144501"/>
            <wp:effectExtent l="0" t="0" r="0" b="0"/>
            <wp:docPr id="14" name="Picture 14" descr="C:\Users\Peter\AppData\Local\Microsoft\Windows\INetCache\Content.Outlook\6U4QMV24\BHMAR_summary_Fig7_3_salinity_exceed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AppData\Local\Microsoft\Windows\INetCache\Content.Outlook\6U4QMV24\BHMAR_summary_Fig7_3_salinity_exceedanc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9734" cy="3167551"/>
                    </a:xfrm>
                    <a:prstGeom prst="rect">
                      <a:avLst/>
                    </a:prstGeom>
                    <a:noFill/>
                    <a:ln>
                      <a:noFill/>
                    </a:ln>
                  </pic:spPr>
                </pic:pic>
              </a:graphicData>
            </a:graphic>
          </wp:inline>
        </w:drawing>
      </w:r>
    </w:p>
    <w:p w14:paraId="7C0DD020" w14:textId="77777777" w:rsidR="00707AB6" w:rsidRPr="00707AB6" w:rsidRDefault="00707AB6" w:rsidP="00707AB6">
      <w:pPr>
        <w:ind w:left="360"/>
        <w:rPr>
          <w:bCs/>
          <w:sz w:val="20"/>
          <w:szCs w:val="20"/>
          <w:lang w:val="en-AU"/>
        </w:rPr>
      </w:pPr>
      <w:r w:rsidRPr="00707AB6">
        <w:rPr>
          <w:bCs/>
          <w:sz w:val="20"/>
          <w:szCs w:val="20"/>
          <w:lang w:val="en-AU"/>
        </w:rPr>
        <w:t xml:space="preserve">Ward, J. and Dillon, P. (2011). Robust policy design for managed aquifer recharge.  Waterlines Report Series No 38, January 2011, 28p. </w:t>
      </w:r>
      <w:hyperlink r:id="rId21" w:history="1">
        <w:r w:rsidRPr="00707AB6">
          <w:rPr>
            <w:rStyle w:val="Hyperlink"/>
            <w:bCs/>
            <w:sz w:val="20"/>
            <w:szCs w:val="20"/>
            <w:lang w:val="en-AU"/>
          </w:rPr>
          <w:t>http://webarchive.nla.gov.au/gov/20160615084848/http://archive.nwc.gov.au/library/waterlines/38</w:t>
        </w:r>
      </w:hyperlink>
      <w:r w:rsidRPr="00707AB6">
        <w:rPr>
          <w:bCs/>
          <w:sz w:val="20"/>
          <w:szCs w:val="20"/>
          <w:lang w:val="en-AU"/>
        </w:rPr>
        <w:t xml:space="preserve"> (accessed 27 Feb 2018)</w:t>
      </w:r>
    </w:p>
    <w:p w14:paraId="38F64473" w14:textId="77777777" w:rsidR="00D0380C" w:rsidRPr="00D0380C" w:rsidRDefault="00D0380C" w:rsidP="00D0380C">
      <w:pPr>
        <w:rPr>
          <w:b/>
          <w:sz w:val="24"/>
          <w:szCs w:val="24"/>
        </w:rPr>
        <w:sectPr w:rsidR="00D0380C" w:rsidRPr="00D0380C" w:rsidSect="00D0380C">
          <w:footerReference w:type="default" r:id="rId22"/>
          <w:type w:val="continuous"/>
          <w:pgSz w:w="11906" w:h="16838"/>
          <w:pgMar w:top="1440" w:right="1440" w:bottom="1440" w:left="1440" w:header="720" w:footer="720" w:gutter="0"/>
          <w:cols w:space="720"/>
          <w:docGrid w:linePitch="360"/>
        </w:sectPr>
      </w:pPr>
      <w:r w:rsidRPr="00D0380C">
        <w:rPr>
          <w:b/>
          <w:sz w:val="24"/>
          <w:szCs w:val="24"/>
        </w:rPr>
        <w:t xml:space="preserve">Appendix 2: </w:t>
      </w:r>
      <w:r w:rsidR="00430F47" w:rsidRPr="00D0380C">
        <w:rPr>
          <w:b/>
          <w:sz w:val="24"/>
          <w:szCs w:val="24"/>
        </w:rPr>
        <w:t>M</w:t>
      </w:r>
      <w:r w:rsidR="00430F47">
        <w:rPr>
          <w:b/>
          <w:sz w:val="24"/>
          <w:szCs w:val="24"/>
        </w:rPr>
        <w:t>e</w:t>
      </w:r>
      <w:r w:rsidR="00430F47" w:rsidRPr="00D0380C">
        <w:rPr>
          <w:b/>
          <w:sz w:val="24"/>
          <w:szCs w:val="24"/>
        </w:rPr>
        <w:t xml:space="preserve">nindee </w:t>
      </w:r>
      <w:r w:rsidRPr="00D0380C">
        <w:rPr>
          <w:b/>
          <w:sz w:val="24"/>
          <w:szCs w:val="24"/>
        </w:rPr>
        <w:t>Lakes diversion June 2010 - and implications for possible future MAR operations</w:t>
      </w:r>
    </w:p>
    <w:p w14:paraId="5AACCE1C" w14:textId="77777777" w:rsidR="00D0380C" w:rsidRPr="00D0380C" w:rsidRDefault="00D0380C" w:rsidP="00D0380C">
      <w:pPr>
        <w:sectPr w:rsidR="00D0380C" w:rsidRPr="00D0380C" w:rsidSect="00CA0326">
          <w:type w:val="continuous"/>
          <w:pgSz w:w="11906" w:h="16838"/>
          <w:pgMar w:top="1440" w:right="1440" w:bottom="1440" w:left="1440" w:header="720" w:footer="720" w:gutter="0"/>
          <w:cols w:num="2" w:space="288" w:equalWidth="0">
            <w:col w:w="5587" w:space="288"/>
            <w:col w:w="3151"/>
          </w:cols>
          <w:docGrid w:linePitch="360"/>
        </w:sectPr>
      </w:pPr>
    </w:p>
    <w:p w14:paraId="326BFC50" w14:textId="77777777" w:rsidR="00D0380C" w:rsidRPr="00D0380C" w:rsidRDefault="00D0380C" w:rsidP="00D0380C">
      <w:r w:rsidRPr="00D0380C">
        <w:rPr>
          <w:noProof/>
          <w:lang w:val="en-AU" w:eastAsia="en-AU"/>
        </w:rPr>
        <w:drawing>
          <wp:inline distT="0" distB="0" distL="0" distR="0" wp14:anchorId="2A0B79A4" wp14:editId="15465DED">
            <wp:extent cx="3419475" cy="2564607"/>
            <wp:effectExtent l="0" t="0" r="0" b="7620"/>
            <wp:docPr id="7" name="Picture 7" descr="C:\Users\Peter\AppData\Local\Microsoft\Windows\INetCache\Content.Outlook\6U4QMV24\Img2010-06-09-BHMAR-GA-Menindee 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AppData\Local\Microsoft\Windows\INetCache\Content.Outlook\6U4QMV24\Img2010-06-09-BHMAR-GA-Menindee 09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7539" cy="2585655"/>
                    </a:xfrm>
                    <a:prstGeom prst="rect">
                      <a:avLst/>
                    </a:prstGeom>
                    <a:noFill/>
                    <a:ln>
                      <a:noFill/>
                    </a:ln>
                  </pic:spPr>
                </pic:pic>
              </a:graphicData>
            </a:graphic>
          </wp:inline>
        </w:drawing>
      </w:r>
    </w:p>
    <w:p w14:paraId="73BB515E" w14:textId="77777777" w:rsidR="00D0380C" w:rsidRPr="00D0380C" w:rsidRDefault="00D0380C" w:rsidP="00D0380C">
      <w:r w:rsidRPr="00D0380C">
        <w:rPr>
          <w:noProof/>
          <w:lang w:val="en-AU" w:eastAsia="en-AU"/>
        </w:rPr>
        <w:drawing>
          <wp:inline distT="0" distB="0" distL="0" distR="0" wp14:anchorId="478DFC4D" wp14:editId="2D150072">
            <wp:extent cx="3419475" cy="2564609"/>
            <wp:effectExtent l="0" t="0" r="0" b="7620"/>
            <wp:docPr id="8" name="Picture 8" descr="C:\Users\Peter\AppData\Local\Microsoft\Windows\INetCache\Content.Outlook\6U4QMV24\Img2010-06-09-BHMAR-GA-Menindee 045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AppData\Local\Microsoft\Windows\INetCache\Content.Outlook\6U4QMV24\Img2010-06-09-BHMAR-GA-Menindee 045 (00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7644" cy="2615736"/>
                    </a:xfrm>
                    <a:prstGeom prst="rect">
                      <a:avLst/>
                    </a:prstGeom>
                    <a:noFill/>
                    <a:ln>
                      <a:noFill/>
                    </a:ln>
                  </pic:spPr>
                </pic:pic>
              </a:graphicData>
            </a:graphic>
          </wp:inline>
        </w:drawing>
      </w:r>
    </w:p>
    <w:p w14:paraId="742D67D9" w14:textId="77777777" w:rsidR="00D0380C" w:rsidRPr="00D0380C" w:rsidRDefault="00D0380C" w:rsidP="00D0380C">
      <w:r w:rsidRPr="00D0380C">
        <w:rPr>
          <w:noProof/>
          <w:lang w:val="en-AU" w:eastAsia="en-AU"/>
        </w:rPr>
        <w:drawing>
          <wp:inline distT="0" distB="0" distL="0" distR="0" wp14:anchorId="19BEF387" wp14:editId="4D913AEA">
            <wp:extent cx="3419475" cy="2564606"/>
            <wp:effectExtent l="0" t="0" r="0" b="7620"/>
            <wp:docPr id="9" name="Picture 9" descr="C:\Users\Peter\AppData\Local\Microsoft\Windows\INetCache\Content.Outlook\6U4QMV24\Img2010-06-09-BHMAR-GA-Menindee 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r\AppData\Local\Microsoft\Windows\INetCache\Content.Outlook\6U4QMV24\Img2010-06-09-BHMAR-GA-Menindee 1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7230" cy="2592922"/>
                    </a:xfrm>
                    <a:prstGeom prst="rect">
                      <a:avLst/>
                    </a:prstGeom>
                    <a:noFill/>
                    <a:ln>
                      <a:noFill/>
                    </a:ln>
                  </pic:spPr>
                </pic:pic>
              </a:graphicData>
            </a:graphic>
          </wp:inline>
        </w:drawing>
      </w:r>
    </w:p>
    <w:p w14:paraId="0CF5F4D5" w14:textId="77777777" w:rsidR="00D0380C" w:rsidRPr="00D0380C" w:rsidRDefault="00D0380C" w:rsidP="00D0380C">
      <w:r w:rsidRPr="00D0380C">
        <w:t xml:space="preserve">The Main Weir at Lake Wetherell allows diversion of water from the River Darling into the </w:t>
      </w:r>
      <w:r w:rsidR="00430F47" w:rsidRPr="00D0380C">
        <w:t>M</w:t>
      </w:r>
      <w:r w:rsidR="00430F47">
        <w:t>e</w:t>
      </w:r>
      <w:r w:rsidR="00430F47" w:rsidRPr="00D0380C">
        <w:t xml:space="preserve">nindee </w:t>
      </w:r>
      <w:r w:rsidRPr="00D0380C">
        <w:t>Lakes system.</w:t>
      </w:r>
    </w:p>
    <w:p w14:paraId="52BE52BD" w14:textId="77777777" w:rsidR="00D0380C" w:rsidRPr="00D0380C" w:rsidRDefault="00D0380C" w:rsidP="00D0380C">
      <w:r w:rsidRPr="00D0380C">
        <w:t>Photo P. Dillon 7/6/2010 5:25pm</w:t>
      </w:r>
    </w:p>
    <w:p w14:paraId="6A7901D0" w14:textId="77777777" w:rsidR="00D0380C" w:rsidRPr="00D0380C" w:rsidRDefault="00D0380C" w:rsidP="00D0380C"/>
    <w:p w14:paraId="3F476AA5" w14:textId="77777777" w:rsidR="00D0380C" w:rsidRPr="00D0380C" w:rsidRDefault="00D0380C" w:rsidP="00D0380C"/>
    <w:p w14:paraId="31D30CDD" w14:textId="77777777" w:rsidR="00D0380C" w:rsidRPr="00D0380C" w:rsidRDefault="00D0380C" w:rsidP="00D0380C"/>
    <w:p w14:paraId="08A15AB9" w14:textId="77777777" w:rsidR="00D0380C" w:rsidRPr="00D0380C" w:rsidRDefault="00D0380C" w:rsidP="00D0380C"/>
    <w:p w14:paraId="312215EB" w14:textId="77777777" w:rsidR="00D0380C" w:rsidRPr="00D0380C" w:rsidRDefault="00D0380C" w:rsidP="00D0380C"/>
    <w:p w14:paraId="03AFA062" w14:textId="77777777" w:rsidR="00D0380C" w:rsidRPr="00D0380C" w:rsidRDefault="00D0380C" w:rsidP="00D0380C"/>
    <w:p w14:paraId="03A87213" w14:textId="77777777" w:rsidR="00D0380C" w:rsidRPr="00D0380C" w:rsidRDefault="00D0380C" w:rsidP="00D0380C">
      <w:r w:rsidRPr="00D0380C">
        <w:t>This photo shows the water being diverted by the Main Weir into the Menindee Lakes system in June 2010.  There was a standing wave in the diversion structure as deep water discharged at high velocity through the diversion.</w:t>
      </w:r>
    </w:p>
    <w:p w14:paraId="702CE54B" w14:textId="77777777" w:rsidR="00D0380C" w:rsidRPr="00D0380C" w:rsidRDefault="00D0380C" w:rsidP="00D0380C">
      <w:r w:rsidRPr="00D0380C">
        <w:t>Photo P. Dillon 6/6/2010 5:52pm</w:t>
      </w:r>
    </w:p>
    <w:p w14:paraId="05655666" w14:textId="77777777" w:rsidR="00D0380C" w:rsidRPr="00D0380C" w:rsidRDefault="00D0380C" w:rsidP="00D0380C"/>
    <w:p w14:paraId="1BB04D1D" w14:textId="77777777" w:rsidR="00D0380C" w:rsidRPr="00D0380C" w:rsidRDefault="00D0380C" w:rsidP="00D0380C"/>
    <w:p w14:paraId="558B2501" w14:textId="77777777" w:rsidR="00D0380C" w:rsidRPr="00D0380C" w:rsidRDefault="00D0380C" w:rsidP="00D0380C"/>
    <w:p w14:paraId="56177E8A" w14:textId="77777777" w:rsidR="00D0380C" w:rsidRPr="00D0380C" w:rsidRDefault="00D0380C" w:rsidP="00D0380C">
      <w:r w:rsidRPr="00D0380C">
        <w:t>This is the River Darling immediately downstream of the Main Weir that forms Lake Wetherell.  No flow is being released. There is a trickle of dam leakage that passes through a 1m diameter culvert about half full at low velocity into the river bed downstream.</w:t>
      </w:r>
    </w:p>
    <w:p w14:paraId="5E5E528A" w14:textId="77777777" w:rsidR="00D0380C" w:rsidRPr="00D0380C" w:rsidRDefault="00D0380C" w:rsidP="00D0380C">
      <w:r w:rsidRPr="00D0380C">
        <w:t>Photo P. Dillon 7/6/2010 5:37pm</w:t>
      </w:r>
    </w:p>
    <w:p w14:paraId="6391733D" w14:textId="77777777" w:rsidR="00D0380C" w:rsidRPr="00D0380C" w:rsidRDefault="00D0380C" w:rsidP="00D0380C"/>
    <w:p w14:paraId="5DFED5B5" w14:textId="77777777" w:rsidR="00D0380C" w:rsidRPr="00D0380C" w:rsidRDefault="00D0380C" w:rsidP="00D0380C">
      <w:r w:rsidRPr="00D0380C">
        <w:rPr>
          <w:noProof/>
          <w:lang w:val="en-AU" w:eastAsia="en-AU"/>
        </w:rPr>
        <w:drawing>
          <wp:inline distT="0" distB="0" distL="0" distR="0" wp14:anchorId="578DF7AD" wp14:editId="7C638B6D">
            <wp:extent cx="3524250" cy="2643189"/>
            <wp:effectExtent l="0" t="0" r="0" b="5080"/>
            <wp:docPr id="10" name="Picture 10" descr="C:\Users\Peter\AppData\Local\Microsoft\Windows\INetCache\Content.Outlook\6U4QMV24\Img2010-06-09-BHMAR-GA-Menindee 04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Outlook\6U4QMV24\Img2010-06-09-BHMAR-GA-Menindee 047 (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9089" cy="2669318"/>
                    </a:xfrm>
                    <a:prstGeom prst="rect">
                      <a:avLst/>
                    </a:prstGeom>
                    <a:noFill/>
                    <a:ln>
                      <a:noFill/>
                    </a:ln>
                  </pic:spPr>
                </pic:pic>
              </a:graphicData>
            </a:graphic>
          </wp:inline>
        </w:drawing>
      </w:r>
    </w:p>
    <w:p w14:paraId="145965D6" w14:textId="77777777" w:rsidR="00D0380C" w:rsidRPr="00D0380C" w:rsidRDefault="00D0380C" w:rsidP="00D0380C">
      <w:pPr>
        <w:rPr>
          <w:noProof/>
          <w:lang w:eastAsia="en-GB"/>
        </w:rPr>
      </w:pPr>
      <w:r w:rsidRPr="00D0380C">
        <w:rPr>
          <w:noProof/>
          <w:lang w:val="en-AU" w:eastAsia="en-AU"/>
        </w:rPr>
        <w:drawing>
          <wp:inline distT="0" distB="0" distL="0" distR="0" wp14:anchorId="11E8BDCD" wp14:editId="28C615D9">
            <wp:extent cx="3524250" cy="2643342"/>
            <wp:effectExtent l="0" t="0" r="0" b="5080"/>
            <wp:docPr id="11" name="Picture 11" descr="C:\Users\Peter\AppData\Local\Microsoft\Windows\INetCache\Content.Outlook\6U4QMV24\Img2010-06-09-BHMAR-GA-Menindee 07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er\AppData\Local\Microsoft\Windows\INetCache\Content.Outlook\6U4QMV24\Img2010-06-09-BHMAR-GA-Menindee 074 (00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3289" cy="2672623"/>
                    </a:xfrm>
                    <a:prstGeom prst="rect">
                      <a:avLst/>
                    </a:prstGeom>
                    <a:noFill/>
                    <a:ln>
                      <a:noFill/>
                    </a:ln>
                  </pic:spPr>
                </pic:pic>
              </a:graphicData>
            </a:graphic>
          </wp:inline>
        </w:drawing>
      </w:r>
    </w:p>
    <w:p w14:paraId="44A4777E" w14:textId="77777777" w:rsidR="00D0380C" w:rsidRPr="00D0380C" w:rsidRDefault="00D0380C" w:rsidP="00D0380C">
      <w:r w:rsidRPr="00D0380C">
        <w:rPr>
          <w:noProof/>
          <w:lang w:val="en-AU" w:eastAsia="en-AU"/>
        </w:rPr>
        <w:drawing>
          <wp:inline distT="0" distB="0" distL="0" distR="0" wp14:anchorId="5240FE65" wp14:editId="226C5D5B">
            <wp:extent cx="3524250" cy="2643188"/>
            <wp:effectExtent l="0" t="0" r="0" b="5080"/>
            <wp:docPr id="12" name="Picture 12" descr="C:\Users\Peter\AppData\Local\Microsoft\Windows\INetCache\Content.Outlook\6U4QMV24\Img2010-06-09-BHMAR-GA-Menindee 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AppData\Local\Microsoft\Windows\INetCache\Content.Outlook\6U4QMV24\Img2010-06-09-BHMAR-GA-Menindee 09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84068" cy="2688051"/>
                    </a:xfrm>
                    <a:prstGeom prst="rect">
                      <a:avLst/>
                    </a:prstGeom>
                    <a:noFill/>
                    <a:ln>
                      <a:noFill/>
                    </a:ln>
                  </pic:spPr>
                </pic:pic>
              </a:graphicData>
            </a:graphic>
          </wp:inline>
        </w:drawing>
      </w:r>
    </w:p>
    <w:p w14:paraId="7488F1D0" w14:textId="77777777" w:rsidR="00D0380C" w:rsidRPr="00D0380C" w:rsidRDefault="00D0380C" w:rsidP="00D0380C">
      <w:r w:rsidRPr="00D0380C">
        <w:t xml:space="preserve">Water diverted by the Main Weir passing into the Menindee Lakes system in June 2010.  </w:t>
      </w:r>
    </w:p>
    <w:p w14:paraId="44B1BEFC" w14:textId="77777777" w:rsidR="00D0380C" w:rsidRPr="00D0380C" w:rsidRDefault="00D0380C" w:rsidP="00D0380C">
      <w:r w:rsidRPr="00D0380C">
        <w:t xml:space="preserve">Photo P.Dillon 6/6/2010 5:54pm </w:t>
      </w:r>
    </w:p>
    <w:p w14:paraId="71F89E4A" w14:textId="77777777" w:rsidR="00D0380C" w:rsidRPr="00D0380C" w:rsidRDefault="00D0380C" w:rsidP="00D0380C"/>
    <w:p w14:paraId="69DD676E" w14:textId="77777777" w:rsidR="00D0380C" w:rsidRPr="00D0380C" w:rsidRDefault="00D0380C" w:rsidP="00D0380C"/>
    <w:p w14:paraId="6DD5CC30" w14:textId="77777777" w:rsidR="00D0380C" w:rsidRPr="00D0380C" w:rsidRDefault="00D0380C" w:rsidP="00D0380C"/>
    <w:p w14:paraId="3E07367D" w14:textId="77777777" w:rsidR="00D0380C" w:rsidRPr="00D0380C" w:rsidRDefault="00D0380C" w:rsidP="00D0380C"/>
    <w:p w14:paraId="35C2265D" w14:textId="77777777" w:rsidR="00D0380C" w:rsidRPr="00D0380C" w:rsidRDefault="00D0380C" w:rsidP="00D0380C"/>
    <w:p w14:paraId="7446862A" w14:textId="77777777" w:rsidR="00D0380C" w:rsidRPr="00D0380C" w:rsidRDefault="00D0380C" w:rsidP="00D0380C"/>
    <w:p w14:paraId="5095E4EE" w14:textId="77777777" w:rsidR="00D0380C" w:rsidRPr="00D0380C" w:rsidRDefault="00D0380C" w:rsidP="00D0380C"/>
    <w:p w14:paraId="217C590D" w14:textId="77777777" w:rsidR="00D0380C" w:rsidRPr="00D0380C" w:rsidRDefault="00D0380C" w:rsidP="00D0380C">
      <w:r w:rsidRPr="00D0380C">
        <w:t xml:space="preserve">The River Darling further downstream of the Main Weir at the proposed Talyawalka borefield site.  Water is pooled at a low level with very low flow rate.  Freshwater releases during high flow events would benefit MAR systems as well as the stream environment. </w:t>
      </w:r>
    </w:p>
    <w:p w14:paraId="3A71125A" w14:textId="77777777" w:rsidR="00D0380C" w:rsidRPr="00D0380C" w:rsidRDefault="00D0380C" w:rsidP="00D0380C">
      <w:r w:rsidRPr="00D0380C">
        <w:t xml:space="preserve">Photo P. Dillon 7/6/2010 1:57pm </w:t>
      </w:r>
    </w:p>
    <w:p w14:paraId="1ED9DD3D" w14:textId="77777777" w:rsidR="00D0380C" w:rsidRPr="00D0380C" w:rsidRDefault="00D0380C" w:rsidP="00D0380C"/>
    <w:p w14:paraId="27093F22" w14:textId="77777777" w:rsidR="00D0380C" w:rsidRPr="00D0380C" w:rsidRDefault="00D0380C" w:rsidP="00D0380C"/>
    <w:p w14:paraId="28C7CA41" w14:textId="77777777" w:rsidR="00D0380C" w:rsidRPr="00D0380C" w:rsidRDefault="00D0380C" w:rsidP="00D0380C">
      <w:r w:rsidRPr="00D0380C">
        <w:t xml:space="preserve">Salt efflorescence on the dry banks of the River Darling about 0.5km downstream of the main weir that forms Lake Wetherell.  These may increase salinity of first flush of releases and hence delay utility of the released water for recharging aquifers used as drinking water supplies. </w:t>
      </w:r>
    </w:p>
    <w:p w14:paraId="13A6DD5B" w14:textId="77777777" w:rsidR="00D0380C" w:rsidRPr="00D0380C" w:rsidRDefault="00D0380C" w:rsidP="00D0380C">
      <w:r w:rsidRPr="00D0380C">
        <w:t>Photo P.Dillon 7/6/2010 5:08pm</w:t>
      </w:r>
    </w:p>
    <w:p w14:paraId="0386B950" w14:textId="77777777" w:rsidR="00D0380C" w:rsidRPr="00D0380C" w:rsidRDefault="00D0380C" w:rsidP="00D0380C"/>
    <w:p w14:paraId="627FEFF4" w14:textId="77777777" w:rsidR="00D0380C" w:rsidRPr="00D0380C" w:rsidRDefault="00D0380C" w:rsidP="00D0380C"/>
    <w:p w14:paraId="61253ED4" w14:textId="77777777" w:rsidR="00D0380C" w:rsidRPr="00D0380C" w:rsidRDefault="00D0380C" w:rsidP="00D0380C">
      <w:pPr>
        <w:sectPr w:rsidR="00D0380C" w:rsidRPr="00D0380C" w:rsidSect="00CA0326">
          <w:type w:val="continuous"/>
          <w:pgSz w:w="11906" w:h="16838"/>
          <w:pgMar w:top="1440" w:right="1440" w:bottom="1440" w:left="1440" w:header="720" w:footer="720" w:gutter="0"/>
          <w:cols w:num="2" w:space="288" w:equalWidth="0">
            <w:col w:w="5587" w:space="288"/>
            <w:col w:w="3151"/>
          </w:cols>
          <w:docGrid w:linePitch="360"/>
        </w:sectPr>
      </w:pPr>
    </w:p>
    <w:p w14:paraId="6CE82706" w14:textId="77777777" w:rsidR="00D0380C" w:rsidRPr="00D0380C" w:rsidRDefault="00D0380C" w:rsidP="00D0380C">
      <w:pPr>
        <w:rPr>
          <w:b/>
        </w:rPr>
      </w:pPr>
    </w:p>
    <w:p w14:paraId="212E137B" w14:textId="77777777" w:rsidR="00D0380C" w:rsidRPr="00D0380C" w:rsidRDefault="00D0380C" w:rsidP="00D0380C">
      <w:pPr>
        <w:rPr>
          <w:b/>
        </w:rPr>
      </w:pPr>
    </w:p>
    <w:p w14:paraId="7FAE2AB9" w14:textId="77777777" w:rsidR="00D0380C" w:rsidRPr="00D0380C" w:rsidRDefault="00D0380C" w:rsidP="00D0380C">
      <w:pPr>
        <w:rPr>
          <w:b/>
        </w:rPr>
      </w:pPr>
      <w:r w:rsidRPr="00D0380C">
        <w:rPr>
          <w:b/>
        </w:rPr>
        <w:t xml:space="preserve">Observations and corollary for MAR: </w:t>
      </w:r>
    </w:p>
    <w:p w14:paraId="57AA01A1" w14:textId="16EE11A9" w:rsidR="00D0380C" w:rsidRPr="00D0380C" w:rsidRDefault="00D0380C" w:rsidP="00D0380C">
      <w:r w:rsidRPr="00D0380C">
        <w:t xml:space="preserve">In June 2010 a high flow </w:t>
      </w:r>
      <w:r w:rsidR="00BC57E8" w:rsidRPr="00D0380C">
        <w:t>c</w:t>
      </w:r>
      <w:r w:rsidR="00BC57E8">
        <w:t>ame</w:t>
      </w:r>
      <w:r w:rsidR="00BC57E8" w:rsidRPr="00D0380C">
        <w:t xml:space="preserve"> </w:t>
      </w:r>
      <w:r w:rsidRPr="00D0380C">
        <w:t>down the Darling River into Lake Wetherell</w:t>
      </w:r>
      <w:r w:rsidR="00BC57E8">
        <w:t>.</w:t>
      </w:r>
      <w:r w:rsidR="00BC57E8" w:rsidRPr="00D0380C">
        <w:t xml:space="preserve">  </w:t>
      </w:r>
      <w:r w:rsidRPr="00D0380C">
        <w:t xml:space="preserve">At the main weir ALL this flow was diverted to the Menindee Lake System and NONE was released downstream.  </w:t>
      </w:r>
    </w:p>
    <w:p w14:paraId="300D523C" w14:textId="7A619AC8" w:rsidR="00D0380C" w:rsidRPr="00D0380C" w:rsidRDefault="00D0380C" w:rsidP="00D0380C">
      <w:r w:rsidRPr="00D0380C">
        <w:t xml:space="preserve">If lake levels are below </w:t>
      </w:r>
      <w:r w:rsidR="00BC57E8">
        <w:t>the</w:t>
      </w:r>
      <w:r w:rsidR="00BC57E8" w:rsidRPr="00D0380C">
        <w:t xml:space="preserve"> </w:t>
      </w:r>
      <w:r w:rsidRPr="00D0380C">
        <w:t xml:space="preserve">threshold </w:t>
      </w:r>
      <w:r w:rsidR="00BC57E8">
        <w:t xml:space="preserve">for NSW management </w:t>
      </w:r>
      <w:r w:rsidRPr="00D0380C">
        <w:t xml:space="preserve">it would appear that </w:t>
      </w:r>
      <w:r w:rsidR="00BC57E8">
        <w:t>ALL</w:t>
      </w:r>
      <w:r w:rsidR="00BC57E8" w:rsidRPr="00D0380C">
        <w:t xml:space="preserve"> </w:t>
      </w:r>
      <w:r w:rsidRPr="00D0380C">
        <w:t>water is diverted to the lakes</w:t>
      </w:r>
      <w:r w:rsidR="00815884">
        <w:t xml:space="preserve">, with </w:t>
      </w:r>
      <w:r w:rsidRPr="00D0380C">
        <w:t xml:space="preserve">no </w:t>
      </w:r>
      <w:r w:rsidR="00815884">
        <w:t xml:space="preserve">minimum </w:t>
      </w:r>
      <w:r w:rsidRPr="00D0380C">
        <w:t xml:space="preserve">percentage of inflow released for restoring the river environment downstream of Lake Wetherell.  </w:t>
      </w:r>
    </w:p>
    <w:p w14:paraId="0A188BFC" w14:textId="2F8CD8D0" w:rsidR="00D0380C" w:rsidRPr="00D0380C" w:rsidRDefault="00D0380C" w:rsidP="00D0380C">
      <w:r w:rsidRPr="00D0380C">
        <w:t>The establishment of a MAR system for replenishing fresh aquifers used for Broken Hill water supplies when Darling flows are inadequate or of poor quality would re</w:t>
      </w:r>
      <w:r w:rsidR="00815884">
        <w:t>lax the requirement for diversions just as the proposed pipeline from the Murray would do</w:t>
      </w:r>
      <w:r w:rsidRPr="00D0380C">
        <w:t xml:space="preserve">.  A high quality drinking water resource would be sustained through extended droughts by a mean annual </w:t>
      </w:r>
      <w:r w:rsidR="009B727B">
        <w:t xml:space="preserve">volume of </w:t>
      </w:r>
      <w:r w:rsidRPr="00D0380C">
        <w:t>recharge</w:t>
      </w:r>
      <w:r w:rsidR="009B727B">
        <w:t>,</w:t>
      </w:r>
      <w:r w:rsidRPr="00D0380C">
        <w:t xml:space="preserve"> </w:t>
      </w:r>
      <w:r w:rsidR="009B727B">
        <w:t>equivalent to the volume of mean annual groundwater use,</w:t>
      </w:r>
      <w:r w:rsidRPr="00D0380C">
        <w:t xml:space="preserve"> </w:t>
      </w:r>
      <w:r w:rsidR="009B727B">
        <w:t xml:space="preserve">and </w:t>
      </w:r>
      <w:r w:rsidRPr="00D0380C">
        <w:t>occurring only in years when flow and water quality are suitable  (</w:t>
      </w:r>
      <w:r w:rsidR="009B727B">
        <w:t>a</w:t>
      </w:r>
      <w:r w:rsidR="009B727B" w:rsidRPr="00D0380C">
        <w:t xml:space="preserve">s </w:t>
      </w:r>
      <w:r w:rsidRPr="00D0380C">
        <w:t xml:space="preserve">per Appendix 1).  </w:t>
      </w:r>
    </w:p>
    <w:p w14:paraId="6ABF0142" w14:textId="77777777" w:rsidR="00D0380C" w:rsidRPr="00D0380C" w:rsidRDefault="00D0380C" w:rsidP="00D0380C"/>
    <w:p w14:paraId="3CA04274" w14:textId="77777777" w:rsidR="00267280" w:rsidRPr="00F912DE" w:rsidRDefault="00267280" w:rsidP="0043550D">
      <w:pPr>
        <w:rPr>
          <w:sz w:val="20"/>
          <w:szCs w:val="20"/>
        </w:rPr>
      </w:pPr>
    </w:p>
    <w:sectPr w:rsidR="00267280" w:rsidRPr="00F912DE" w:rsidSect="00B14FF4">
      <w:footerReference w:type="default" r:id="rId29"/>
      <w:type w:val="continuous"/>
      <w:pgSz w:w="11906" w:h="16838" w:code="9"/>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3C69" w14:textId="77777777" w:rsidR="00273020" w:rsidRDefault="00273020" w:rsidP="00C2375F">
      <w:pPr>
        <w:spacing w:after="0" w:line="240" w:lineRule="auto"/>
      </w:pPr>
      <w:r>
        <w:separator/>
      </w:r>
    </w:p>
  </w:endnote>
  <w:endnote w:type="continuationSeparator" w:id="0">
    <w:p w14:paraId="0A128035" w14:textId="77777777" w:rsidR="00273020" w:rsidRDefault="00273020" w:rsidP="00C2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833067"/>
      <w:docPartObj>
        <w:docPartGallery w:val="Page Numbers (Bottom of Page)"/>
        <w:docPartUnique/>
      </w:docPartObj>
    </w:sdtPr>
    <w:sdtEndPr>
      <w:rPr>
        <w:noProof/>
      </w:rPr>
    </w:sdtEndPr>
    <w:sdtContent>
      <w:p w14:paraId="2B61641D" w14:textId="77777777" w:rsidR="00CA0326" w:rsidRDefault="00CA0326">
        <w:pPr>
          <w:pStyle w:val="Footer"/>
          <w:jc w:val="right"/>
        </w:pPr>
        <w:r>
          <w:fldChar w:fldCharType="begin"/>
        </w:r>
        <w:r>
          <w:instrText xml:space="preserve"> PAGE   \* MERGEFORMAT </w:instrText>
        </w:r>
        <w:r>
          <w:fldChar w:fldCharType="separate"/>
        </w:r>
        <w:r w:rsidR="004F18F6">
          <w:rPr>
            <w:noProof/>
          </w:rPr>
          <w:t>1</w:t>
        </w:r>
        <w:r>
          <w:rPr>
            <w:noProof/>
          </w:rPr>
          <w:fldChar w:fldCharType="end"/>
        </w:r>
      </w:p>
    </w:sdtContent>
  </w:sdt>
  <w:p w14:paraId="524A6973" w14:textId="77777777" w:rsidR="00CA0326" w:rsidRDefault="00CA0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1570"/>
      <w:docPartObj>
        <w:docPartGallery w:val="Page Numbers (Bottom of Page)"/>
        <w:docPartUnique/>
      </w:docPartObj>
    </w:sdtPr>
    <w:sdtEndPr>
      <w:rPr>
        <w:noProof/>
      </w:rPr>
    </w:sdtEndPr>
    <w:sdtContent>
      <w:p w14:paraId="53014474" w14:textId="77777777" w:rsidR="00CA0326" w:rsidRDefault="00CA0326">
        <w:pPr>
          <w:pStyle w:val="Footer"/>
          <w:jc w:val="right"/>
        </w:pPr>
        <w:r>
          <w:fldChar w:fldCharType="begin"/>
        </w:r>
        <w:r>
          <w:instrText xml:space="preserve"> PAGE   \* MERGEFORMAT </w:instrText>
        </w:r>
        <w:r>
          <w:fldChar w:fldCharType="separate"/>
        </w:r>
        <w:r w:rsidR="004F18F6">
          <w:rPr>
            <w:noProof/>
          </w:rPr>
          <w:t>9</w:t>
        </w:r>
        <w:r>
          <w:rPr>
            <w:noProof/>
          </w:rPr>
          <w:fldChar w:fldCharType="end"/>
        </w:r>
      </w:p>
    </w:sdtContent>
  </w:sdt>
  <w:p w14:paraId="72ABED34" w14:textId="77777777" w:rsidR="00CA0326" w:rsidRDefault="00CA03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D6F9D" w14:textId="77777777" w:rsidR="00273020" w:rsidRDefault="00273020" w:rsidP="00C2375F">
      <w:pPr>
        <w:spacing w:after="0" w:line="240" w:lineRule="auto"/>
      </w:pPr>
      <w:r>
        <w:separator/>
      </w:r>
    </w:p>
  </w:footnote>
  <w:footnote w:type="continuationSeparator" w:id="0">
    <w:p w14:paraId="20B4B4D7" w14:textId="77777777" w:rsidR="00273020" w:rsidRDefault="00273020" w:rsidP="00C23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B061F"/>
    <w:multiLevelType w:val="hybridMultilevel"/>
    <w:tmpl w:val="1B641F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9543931"/>
    <w:multiLevelType w:val="hybridMultilevel"/>
    <w:tmpl w:val="B65A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70868"/>
    <w:multiLevelType w:val="hybridMultilevel"/>
    <w:tmpl w:val="BFE4044E"/>
    <w:lvl w:ilvl="0" w:tplc="695E96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10227"/>
    <w:multiLevelType w:val="hybridMultilevel"/>
    <w:tmpl w:val="6442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4"/>
    <w:rsid w:val="00023628"/>
    <w:rsid w:val="00027C81"/>
    <w:rsid w:val="00066EAC"/>
    <w:rsid w:val="0006781B"/>
    <w:rsid w:val="00083B98"/>
    <w:rsid w:val="000F77CF"/>
    <w:rsid w:val="001174A9"/>
    <w:rsid w:val="00187005"/>
    <w:rsid w:val="001B0976"/>
    <w:rsid w:val="001B2FF6"/>
    <w:rsid w:val="001E4792"/>
    <w:rsid w:val="00216AD3"/>
    <w:rsid w:val="00244476"/>
    <w:rsid w:val="00267280"/>
    <w:rsid w:val="002673F4"/>
    <w:rsid w:val="00273020"/>
    <w:rsid w:val="00291196"/>
    <w:rsid w:val="002B2DCD"/>
    <w:rsid w:val="002B7337"/>
    <w:rsid w:val="002F51DF"/>
    <w:rsid w:val="00324FB5"/>
    <w:rsid w:val="00340697"/>
    <w:rsid w:val="00367D50"/>
    <w:rsid w:val="003743CB"/>
    <w:rsid w:val="00382C9A"/>
    <w:rsid w:val="00383346"/>
    <w:rsid w:val="003C137A"/>
    <w:rsid w:val="003E40B9"/>
    <w:rsid w:val="004156BE"/>
    <w:rsid w:val="00420608"/>
    <w:rsid w:val="00430F47"/>
    <w:rsid w:val="0043550D"/>
    <w:rsid w:val="0046515A"/>
    <w:rsid w:val="004B348D"/>
    <w:rsid w:val="004C32B1"/>
    <w:rsid w:val="004D7502"/>
    <w:rsid w:val="004F18F6"/>
    <w:rsid w:val="00505A57"/>
    <w:rsid w:val="005413E3"/>
    <w:rsid w:val="005419BB"/>
    <w:rsid w:val="00556877"/>
    <w:rsid w:val="00570633"/>
    <w:rsid w:val="005812AA"/>
    <w:rsid w:val="005D0F0C"/>
    <w:rsid w:val="005E7D38"/>
    <w:rsid w:val="0061265A"/>
    <w:rsid w:val="0061338F"/>
    <w:rsid w:val="0061676F"/>
    <w:rsid w:val="006369DA"/>
    <w:rsid w:val="006D519F"/>
    <w:rsid w:val="007007C6"/>
    <w:rsid w:val="00707AB6"/>
    <w:rsid w:val="0071590E"/>
    <w:rsid w:val="007175F7"/>
    <w:rsid w:val="00736079"/>
    <w:rsid w:val="0074745D"/>
    <w:rsid w:val="0075434E"/>
    <w:rsid w:val="00762530"/>
    <w:rsid w:val="00785AC3"/>
    <w:rsid w:val="00787EFA"/>
    <w:rsid w:val="007D12C3"/>
    <w:rsid w:val="007D5A91"/>
    <w:rsid w:val="007E5EDC"/>
    <w:rsid w:val="0080780F"/>
    <w:rsid w:val="00810B66"/>
    <w:rsid w:val="008143DE"/>
    <w:rsid w:val="00815884"/>
    <w:rsid w:val="00854AB4"/>
    <w:rsid w:val="008A2E41"/>
    <w:rsid w:val="008B0DBD"/>
    <w:rsid w:val="008D668F"/>
    <w:rsid w:val="008F3B3B"/>
    <w:rsid w:val="009302FE"/>
    <w:rsid w:val="00990660"/>
    <w:rsid w:val="009A683E"/>
    <w:rsid w:val="009B727B"/>
    <w:rsid w:val="009F4E8F"/>
    <w:rsid w:val="00A725C7"/>
    <w:rsid w:val="00A773C2"/>
    <w:rsid w:val="00A85CC9"/>
    <w:rsid w:val="00AD47BB"/>
    <w:rsid w:val="00B14FF4"/>
    <w:rsid w:val="00BA0CE3"/>
    <w:rsid w:val="00BB2BCC"/>
    <w:rsid w:val="00BC57E8"/>
    <w:rsid w:val="00BD04B5"/>
    <w:rsid w:val="00BE7C14"/>
    <w:rsid w:val="00C07816"/>
    <w:rsid w:val="00C2375F"/>
    <w:rsid w:val="00C56F7A"/>
    <w:rsid w:val="00CA0326"/>
    <w:rsid w:val="00CB2A29"/>
    <w:rsid w:val="00CC04D5"/>
    <w:rsid w:val="00CD1F57"/>
    <w:rsid w:val="00CF31BC"/>
    <w:rsid w:val="00D0380C"/>
    <w:rsid w:val="00D072DC"/>
    <w:rsid w:val="00D121F7"/>
    <w:rsid w:val="00D43302"/>
    <w:rsid w:val="00D51DF8"/>
    <w:rsid w:val="00D77625"/>
    <w:rsid w:val="00D936AC"/>
    <w:rsid w:val="00D973B9"/>
    <w:rsid w:val="00DA0F41"/>
    <w:rsid w:val="00DD3C93"/>
    <w:rsid w:val="00DE3E58"/>
    <w:rsid w:val="00E133DC"/>
    <w:rsid w:val="00E221F9"/>
    <w:rsid w:val="00E246CB"/>
    <w:rsid w:val="00E44574"/>
    <w:rsid w:val="00E46994"/>
    <w:rsid w:val="00E70EE5"/>
    <w:rsid w:val="00E715F6"/>
    <w:rsid w:val="00E71D53"/>
    <w:rsid w:val="00E72C6D"/>
    <w:rsid w:val="00E864BF"/>
    <w:rsid w:val="00EA3A22"/>
    <w:rsid w:val="00EB0F3B"/>
    <w:rsid w:val="00F42B86"/>
    <w:rsid w:val="00F71D5B"/>
    <w:rsid w:val="00F878F8"/>
    <w:rsid w:val="00F912DE"/>
    <w:rsid w:val="00FA303C"/>
    <w:rsid w:val="00FC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80DA"/>
  <w15:chartTrackingRefBased/>
  <w15:docId w15:val="{6EDA48A7-CBE5-4BD1-BE78-0FA80151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C93"/>
    <w:rPr>
      <w:color w:val="0563C1" w:themeColor="hyperlink"/>
      <w:u w:val="single"/>
    </w:rPr>
  </w:style>
  <w:style w:type="paragraph" w:styleId="ListParagraph">
    <w:name w:val="List Paragraph"/>
    <w:basedOn w:val="Normal"/>
    <w:uiPriority w:val="34"/>
    <w:qFormat/>
    <w:rsid w:val="00D43302"/>
    <w:pPr>
      <w:ind w:left="720"/>
      <w:contextualSpacing/>
    </w:pPr>
  </w:style>
  <w:style w:type="character" w:styleId="FollowedHyperlink">
    <w:name w:val="FollowedHyperlink"/>
    <w:basedOn w:val="DefaultParagraphFont"/>
    <w:uiPriority w:val="99"/>
    <w:semiHidden/>
    <w:unhideWhenUsed/>
    <w:rsid w:val="005D0F0C"/>
    <w:rPr>
      <w:color w:val="954F72" w:themeColor="followedHyperlink"/>
      <w:u w:val="single"/>
    </w:rPr>
  </w:style>
  <w:style w:type="paragraph" w:styleId="Header">
    <w:name w:val="header"/>
    <w:basedOn w:val="Normal"/>
    <w:link w:val="HeaderChar"/>
    <w:uiPriority w:val="99"/>
    <w:unhideWhenUsed/>
    <w:rsid w:val="00C23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75F"/>
  </w:style>
  <w:style w:type="paragraph" w:styleId="Footer">
    <w:name w:val="footer"/>
    <w:basedOn w:val="Normal"/>
    <w:link w:val="FooterChar"/>
    <w:uiPriority w:val="99"/>
    <w:unhideWhenUsed/>
    <w:rsid w:val="00C23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75F"/>
  </w:style>
  <w:style w:type="paragraph" w:styleId="BalloonText">
    <w:name w:val="Balloon Text"/>
    <w:basedOn w:val="Normal"/>
    <w:link w:val="BalloonTextChar"/>
    <w:uiPriority w:val="99"/>
    <w:semiHidden/>
    <w:unhideWhenUsed/>
    <w:rsid w:val="002F5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DF"/>
    <w:rPr>
      <w:rFonts w:ascii="Segoe UI" w:hAnsi="Segoe UI" w:cs="Segoe UI"/>
      <w:sz w:val="18"/>
      <w:szCs w:val="18"/>
    </w:rPr>
  </w:style>
  <w:style w:type="character" w:styleId="CommentReference">
    <w:name w:val="annotation reference"/>
    <w:basedOn w:val="DefaultParagraphFont"/>
    <w:uiPriority w:val="99"/>
    <w:semiHidden/>
    <w:unhideWhenUsed/>
    <w:rsid w:val="002F51DF"/>
    <w:rPr>
      <w:sz w:val="16"/>
      <w:szCs w:val="16"/>
    </w:rPr>
  </w:style>
  <w:style w:type="paragraph" w:styleId="CommentText">
    <w:name w:val="annotation text"/>
    <w:basedOn w:val="Normal"/>
    <w:link w:val="CommentTextChar"/>
    <w:uiPriority w:val="99"/>
    <w:semiHidden/>
    <w:unhideWhenUsed/>
    <w:rsid w:val="002F51DF"/>
    <w:pPr>
      <w:spacing w:line="240" w:lineRule="auto"/>
    </w:pPr>
    <w:rPr>
      <w:sz w:val="20"/>
      <w:szCs w:val="20"/>
    </w:rPr>
  </w:style>
  <w:style w:type="character" w:customStyle="1" w:styleId="CommentTextChar">
    <w:name w:val="Comment Text Char"/>
    <w:basedOn w:val="DefaultParagraphFont"/>
    <w:link w:val="CommentText"/>
    <w:uiPriority w:val="99"/>
    <w:semiHidden/>
    <w:rsid w:val="002F51DF"/>
    <w:rPr>
      <w:sz w:val="20"/>
      <w:szCs w:val="20"/>
    </w:rPr>
  </w:style>
  <w:style w:type="paragraph" w:styleId="CommentSubject">
    <w:name w:val="annotation subject"/>
    <w:basedOn w:val="CommentText"/>
    <w:next w:val="CommentText"/>
    <w:link w:val="CommentSubjectChar"/>
    <w:uiPriority w:val="99"/>
    <w:semiHidden/>
    <w:unhideWhenUsed/>
    <w:rsid w:val="002F51DF"/>
    <w:rPr>
      <w:b/>
      <w:bCs/>
    </w:rPr>
  </w:style>
  <w:style w:type="character" w:customStyle="1" w:styleId="CommentSubjectChar">
    <w:name w:val="Comment Subject Char"/>
    <w:basedOn w:val="CommentTextChar"/>
    <w:link w:val="CommentSubject"/>
    <w:uiPriority w:val="99"/>
    <w:semiHidden/>
    <w:rsid w:val="002F51DF"/>
    <w:rPr>
      <w:b/>
      <w:bCs/>
      <w:sz w:val="20"/>
      <w:szCs w:val="20"/>
    </w:rPr>
  </w:style>
  <w:style w:type="paragraph" w:styleId="Revision">
    <w:name w:val="Revision"/>
    <w:hidden/>
    <w:uiPriority w:val="99"/>
    <w:semiHidden/>
    <w:rsid w:val="00736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australianwaterrecycling.com.au/research-publications.html" TargetMode="Externa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yperlink" Target="http://webarchive.nla.gov.au/gov/20160615084848/http://archive.nwc.gov.au/library/waterlines/3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ater.nsw.gov.au/__data/assets/pdf_file/0008/739700/Broken-hill-long-term-water-supply-solution-summary-of-final-business-case.pdf" TargetMode="Externa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water.nsw.gov.au/__data/assets/pdf_file/0010/548317/recovery_menindee_bewshers_report.pdf"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5" Type="http://schemas.openxmlformats.org/officeDocument/2006/relationships/customXml" Target="../customXml/item5.xml"/><Relationship Id="rId15" Type="http://schemas.openxmlformats.org/officeDocument/2006/relationships/hyperlink" Target="http://www.ga.gov.au/corporate_data/73823/Rec2012_015.pdf"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 Id="rId22" Type="http://schemas.openxmlformats.org/officeDocument/2006/relationships/footer" Target="footer1.xml"/><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PCDOC-679391099-61</_dlc_DocId>
    <_dlc_DocIdUrl xmlns="3f4bcce7-ac1a-4c9d-aa3e-7e77695652db">
      <Url>http://inet.pc.gov.au/pmo/inq/mdbp/_layouts/15/DocIdRedir.aspx?ID=PCDOC-679391099-61</Url>
      <Description>PCDOC-679391099-61</Description>
    </_dlc_DocIdUrl>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8D6D8-A3C6-4C13-8FF6-C035C468229A}">
  <ds:schemaRefs>
    <ds:schemaRef ds:uri="http://schemas.microsoft.com/sharepoint/events"/>
  </ds:schemaRefs>
</ds:datastoreItem>
</file>

<file path=customXml/itemProps2.xml><?xml version="1.0" encoding="utf-8"?>
<ds:datastoreItem xmlns:ds="http://schemas.openxmlformats.org/officeDocument/2006/customXml" ds:itemID="{29F6ADDE-E446-4930-94D7-9D6F14533727}">
  <ds:schemaRefs>
    <ds:schemaRef ds:uri="http://schemas.microsoft.com/office/2006/metadata/customXsn"/>
  </ds:schemaRefs>
</ds:datastoreItem>
</file>

<file path=customXml/itemProps3.xml><?xml version="1.0" encoding="utf-8"?>
<ds:datastoreItem xmlns:ds="http://schemas.openxmlformats.org/officeDocument/2006/customXml" ds:itemID="{9E5707FD-2D86-420E-AE65-53297493D3B5}">
  <ds:schemaRefs>
    <ds:schemaRef ds:uri="http://purl.org/dc/terms/"/>
    <ds:schemaRef ds:uri="http://schemas.microsoft.com/sharepoint/v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4bcce7-ac1a-4c9d-aa3e-7e77695652d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36DA0D2-F345-4521-B7D2-66F2F3C1AA5B}">
  <ds:schemaRefs>
    <ds:schemaRef ds:uri="Microsoft.SharePoint.Taxonomy.ContentTypeSync"/>
  </ds:schemaRefs>
</ds:datastoreItem>
</file>

<file path=customXml/itemProps5.xml><?xml version="1.0" encoding="utf-8"?>
<ds:datastoreItem xmlns:ds="http://schemas.openxmlformats.org/officeDocument/2006/customXml" ds:itemID="{EF5AAF4F-42E2-4BFD-B97D-8D1D5048822E}">
  <ds:schemaRefs>
    <ds:schemaRef ds:uri="http://schemas.microsoft.com/sharepoint/v3/contenttype/forms"/>
  </ds:schemaRefs>
</ds:datastoreItem>
</file>

<file path=customXml/itemProps6.xml><?xml version="1.0" encoding="utf-8"?>
<ds:datastoreItem xmlns:ds="http://schemas.openxmlformats.org/officeDocument/2006/customXml" ds:itemID="{84DF175F-3703-47D6-B390-E268DC4F4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Submission 25 - International Association of Hydrogeologists (IAH) - Murray-Darling Basin Plan: Five-year assessment - Public inquiry</vt:lpstr>
    </vt:vector>
  </TitlesOfParts>
  <Company>International Association of Hydrogeologists (IAH)</Company>
  <LinksUpToDate>false</LinksUpToDate>
  <CharactersWithSpaces>18692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International Association of Hydrogeologists (IAH) - Murray-Darling Basin Plan: Five-year assessment - Public inquiry</dc:title>
  <dc:subject/>
  <dc:creator>International Association of Hydrogeologists (IAH)</dc:creator>
  <cp:keywords/>
  <dc:description/>
  <cp:lastModifiedBy>Productivity Commission</cp:lastModifiedBy>
  <cp:revision>3</cp:revision>
  <dcterms:created xsi:type="dcterms:W3CDTF">2018-04-24T02:36:00Z</dcterms:created>
  <dcterms:modified xsi:type="dcterms:W3CDTF">2018-04-24T04:19:00Z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ce3237c8-a2de-4ccc-b2e0-0d853614efe0</vt:lpwstr>
  </property>
  <property fmtid="{D5CDD505-2E9C-101B-9397-08002B2CF9AE}" pid="4" name="Record Tag">
    <vt:lpwstr>139;#Submissions|c6e0dbf8-5444-433c-844d-d567dd519a05</vt:lpwstr>
  </property>
  <property fmtid="{D5CDD505-2E9C-101B-9397-08002B2CF9AE}" pid="5" name="TaxKeyword">
    <vt:lpwstr/>
  </property>
</Properties>
</file>