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B67933" w14:textId="49FA6E73" w:rsidR="00145A24" w:rsidRDefault="00145A24">
      <w:bookmarkStart w:id="0" w:name="_GoBack"/>
      <w:bookmarkEnd w:id="0"/>
      <w:r>
        <w:rPr>
          <w:rFonts w:ascii="Times New Roman"/>
          <w:noProof/>
          <w:sz w:val="20"/>
          <w:lang w:eastAsia="en-AU"/>
        </w:rPr>
        <w:drawing>
          <wp:anchor distT="0" distB="0" distL="114300" distR="114300" simplePos="0" relativeHeight="251666432" behindDoc="0" locked="0" layoutInCell="1" allowOverlap="1" wp14:anchorId="23F4D5B0" wp14:editId="48A47BC5">
            <wp:simplePos x="0" y="0"/>
            <wp:positionH relativeFrom="page">
              <wp:posOffset>1699895</wp:posOffset>
            </wp:positionH>
            <wp:positionV relativeFrom="paragraph">
              <wp:posOffset>-199708</wp:posOffset>
            </wp:positionV>
            <wp:extent cx="4121975" cy="692657"/>
            <wp:effectExtent l="0" t="0" r="0" b="0"/>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21975" cy="692657"/>
                    </a:xfrm>
                    <a:prstGeom prst="rect">
                      <a:avLst/>
                    </a:prstGeom>
                  </pic:spPr>
                </pic:pic>
              </a:graphicData>
            </a:graphic>
            <wp14:sizeRelH relativeFrom="page">
              <wp14:pctWidth>0</wp14:pctWidth>
            </wp14:sizeRelH>
            <wp14:sizeRelV relativeFrom="page">
              <wp14:pctHeight>0</wp14:pctHeight>
            </wp14:sizeRelV>
          </wp:anchor>
        </w:drawing>
      </w:r>
    </w:p>
    <w:p w14:paraId="4C8E543E" w14:textId="77777777" w:rsidR="00145A24" w:rsidRDefault="00145A24"/>
    <w:p w14:paraId="1626A63C" w14:textId="77777777" w:rsidR="00145A24" w:rsidRDefault="00145A24"/>
    <w:p w14:paraId="15B1B77D" w14:textId="77777777" w:rsidR="002C00C5" w:rsidRDefault="002C00C5">
      <w:pPr>
        <w:rPr>
          <w:sz w:val="40"/>
          <w:szCs w:val="40"/>
        </w:rPr>
      </w:pPr>
    </w:p>
    <w:p w14:paraId="66A6DEA8" w14:textId="77777777" w:rsidR="002C00C5" w:rsidRDefault="002C00C5">
      <w:pPr>
        <w:rPr>
          <w:sz w:val="40"/>
          <w:szCs w:val="40"/>
        </w:rPr>
      </w:pPr>
    </w:p>
    <w:p w14:paraId="74F08663" w14:textId="5DD8F11D" w:rsidR="00145A24" w:rsidRPr="00100E7C" w:rsidRDefault="00100E7C">
      <w:pPr>
        <w:rPr>
          <w:sz w:val="40"/>
          <w:szCs w:val="40"/>
        </w:rPr>
      </w:pPr>
      <w:r w:rsidRPr="00100E7C">
        <w:rPr>
          <w:sz w:val="40"/>
          <w:szCs w:val="40"/>
        </w:rPr>
        <w:t>Attachment A</w:t>
      </w:r>
    </w:p>
    <w:p w14:paraId="4D1B2A42" w14:textId="5E588047" w:rsidR="00100E7C" w:rsidRPr="00100E7C" w:rsidRDefault="00100E7C">
      <w:pPr>
        <w:rPr>
          <w:sz w:val="40"/>
          <w:szCs w:val="40"/>
        </w:rPr>
      </w:pPr>
      <w:r w:rsidRPr="00100E7C">
        <w:rPr>
          <w:sz w:val="40"/>
          <w:szCs w:val="40"/>
        </w:rPr>
        <w:t>Copy of a submission made in 2013</w:t>
      </w:r>
    </w:p>
    <w:p w14:paraId="71E3CC93" w14:textId="77777777" w:rsidR="00145A24" w:rsidRDefault="00145A24"/>
    <w:p w14:paraId="76257139" w14:textId="77777777" w:rsidR="00145A24" w:rsidRDefault="00145A24"/>
    <w:p w14:paraId="7B62B0AD" w14:textId="661EE314" w:rsidR="00145A24" w:rsidRDefault="00145A24">
      <w:r>
        <w:br w:type="page"/>
      </w:r>
    </w:p>
    <w:p w14:paraId="013D7ACE" w14:textId="77777777" w:rsidR="00145A24" w:rsidRDefault="00145A24">
      <w:pPr>
        <w:rPr>
          <w:rFonts w:asciiTheme="majorHAnsi" w:eastAsiaTheme="majorEastAsia" w:hAnsiTheme="majorHAnsi" w:cstheme="majorBidi"/>
          <w:spacing w:val="5"/>
          <w:sz w:val="52"/>
          <w:szCs w:val="52"/>
        </w:rPr>
      </w:pPr>
    </w:p>
    <w:p w14:paraId="2A72C079" w14:textId="12AFBFED" w:rsidR="008D7D13" w:rsidRDefault="008D7D13" w:rsidP="000A3A4E">
      <w:pPr>
        <w:pStyle w:val="Title"/>
        <w:jc w:val="center"/>
      </w:pPr>
      <w:r>
        <w:rPr>
          <w:rFonts w:ascii="Times New Roman"/>
          <w:noProof/>
          <w:sz w:val="20"/>
          <w:lang w:eastAsia="en-AU"/>
        </w:rPr>
        <w:drawing>
          <wp:anchor distT="0" distB="0" distL="114300" distR="114300" simplePos="0" relativeHeight="251664384" behindDoc="0" locked="0" layoutInCell="1" allowOverlap="1" wp14:anchorId="58766A93" wp14:editId="252B8C3D">
            <wp:simplePos x="0" y="0"/>
            <wp:positionH relativeFrom="column">
              <wp:posOffset>975678</wp:posOffset>
            </wp:positionH>
            <wp:positionV relativeFrom="paragraph">
              <wp:posOffset>-692150</wp:posOffset>
            </wp:positionV>
            <wp:extent cx="4121975" cy="692657"/>
            <wp:effectExtent l="0" t="0" r="0" b="0"/>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21975" cy="692657"/>
                    </a:xfrm>
                    <a:prstGeom prst="rect">
                      <a:avLst/>
                    </a:prstGeom>
                  </pic:spPr>
                </pic:pic>
              </a:graphicData>
            </a:graphic>
            <wp14:sizeRelH relativeFrom="page">
              <wp14:pctWidth>0</wp14:pctWidth>
            </wp14:sizeRelH>
            <wp14:sizeRelV relativeFrom="page">
              <wp14:pctHeight>0</wp14:pctHeight>
            </wp14:sizeRelV>
          </wp:anchor>
        </w:drawing>
      </w:r>
    </w:p>
    <w:p w14:paraId="2D639265" w14:textId="7E8E0C17" w:rsidR="000B0EDD" w:rsidRDefault="00EC28FB" w:rsidP="000A3A4E">
      <w:pPr>
        <w:pStyle w:val="Title"/>
        <w:jc w:val="center"/>
      </w:pPr>
      <w:r>
        <w:t>COSBOA</w:t>
      </w:r>
    </w:p>
    <w:p w14:paraId="2D639266" w14:textId="77777777" w:rsidR="00EC28FB" w:rsidRDefault="003437A9" w:rsidP="000A3A4E">
      <w:pPr>
        <w:pStyle w:val="Title"/>
        <w:jc w:val="center"/>
      </w:pPr>
      <w:r>
        <w:t>Super</w:t>
      </w:r>
      <w:r w:rsidR="000B0EDD">
        <w:t xml:space="preserve"> paid via</w:t>
      </w:r>
      <w:r>
        <w:t xml:space="preserve"> Tax</w:t>
      </w:r>
    </w:p>
    <w:p w14:paraId="2D639267" w14:textId="77777777" w:rsidR="000A3A4E" w:rsidRDefault="000A3A4E" w:rsidP="00541165">
      <w:pPr>
        <w:jc w:val="both"/>
      </w:pPr>
    </w:p>
    <w:p w14:paraId="2D639268" w14:textId="77777777" w:rsidR="000A3A4E" w:rsidRDefault="000A3A4E" w:rsidP="00541165">
      <w:pPr>
        <w:jc w:val="both"/>
      </w:pPr>
    </w:p>
    <w:p w14:paraId="2D639269" w14:textId="77777777" w:rsidR="00643308" w:rsidRDefault="00907071" w:rsidP="00541165">
      <w:pPr>
        <w:jc w:val="both"/>
      </w:pPr>
      <w:r>
        <w:t xml:space="preserve">A goal of </w:t>
      </w:r>
      <w:r w:rsidR="00702DA8">
        <w:t>COSBOA is to simplify superannuation payments for employers by incorporating the</w:t>
      </w:r>
      <w:r w:rsidR="003437A9">
        <w:t>m</w:t>
      </w:r>
      <w:r w:rsidR="00702DA8">
        <w:t xml:space="preserve"> into one tax payment made with </w:t>
      </w:r>
      <w:r w:rsidR="00670072">
        <w:t>each</w:t>
      </w:r>
      <w:r w:rsidR="00702DA8">
        <w:t xml:space="preserve"> Business Activity </w:t>
      </w:r>
      <w:r w:rsidR="00670072">
        <w:t>S</w:t>
      </w:r>
      <w:r w:rsidR="00702DA8">
        <w:t>tatement</w:t>
      </w:r>
      <w:r w:rsidR="00670072">
        <w:t xml:space="preserve"> (BAS)</w:t>
      </w:r>
      <w:r w:rsidR="00702DA8">
        <w:t>.</w:t>
      </w:r>
      <w:r w:rsidR="00471BB1">
        <w:t xml:space="preserve">  During the “Simple Super” negotiations </w:t>
      </w:r>
      <w:r w:rsidR="00F260F1">
        <w:t xml:space="preserve">COSBOA proposed that </w:t>
      </w:r>
      <w:r w:rsidR="00471BB1">
        <w:t xml:space="preserve">Superannuation payments were much simpler </w:t>
      </w:r>
      <w:r w:rsidR="00F260F1">
        <w:t xml:space="preserve">for Employers </w:t>
      </w:r>
      <w:r w:rsidR="00471BB1">
        <w:t>if they didn’t have to pay them</w:t>
      </w:r>
      <w:r w:rsidR="007B7BCF">
        <w:t xml:space="preserve"> </w:t>
      </w:r>
      <w:r w:rsidR="00CA01DD">
        <w:t>separately</w:t>
      </w:r>
      <w:r w:rsidR="00EC28FB">
        <w:t xml:space="preserve"> but incorporated them into </w:t>
      </w:r>
      <w:r w:rsidR="00F260F1">
        <w:t>employee</w:t>
      </w:r>
      <w:r w:rsidR="007B7BCF">
        <w:t xml:space="preserve"> </w:t>
      </w:r>
      <w:r w:rsidR="00F260F1">
        <w:t xml:space="preserve">PAYG </w:t>
      </w:r>
      <w:r w:rsidR="00EC28FB">
        <w:t>tax payment</w:t>
      </w:r>
      <w:r w:rsidR="00F260F1">
        <w:t>s</w:t>
      </w:r>
      <w:r w:rsidR="00471BB1">
        <w:t xml:space="preserve">. </w:t>
      </w:r>
    </w:p>
    <w:p w14:paraId="2D63926A" w14:textId="77777777" w:rsidR="000A3A4E" w:rsidRDefault="000A3A4E" w:rsidP="007D654D"/>
    <w:p w14:paraId="2D63926B" w14:textId="77777777" w:rsidR="007D654D" w:rsidRPr="003437A9" w:rsidRDefault="007D654D" w:rsidP="007D654D">
      <w:r>
        <w:t>With the payment of super via the tax office now seriously being considered by the current Opposition (and potentially the alternate government) it is timely to re-</w:t>
      </w:r>
      <w:r w:rsidR="000A3A4E">
        <w:t>visit</w:t>
      </w:r>
      <w:r>
        <w:t xml:space="preserve"> the COSBOA proposal with further comment.</w:t>
      </w:r>
    </w:p>
    <w:p w14:paraId="2D63926C" w14:textId="77777777" w:rsidR="000A3A4E" w:rsidRDefault="000A3A4E"/>
    <w:p w14:paraId="2D63926D" w14:textId="77777777" w:rsidR="000A3A4E" w:rsidRPr="000A3A4E" w:rsidRDefault="007D654D" w:rsidP="000A3A4E">
      <w:pPr>
        <w:pStyle w:val="Title"/>
        <w:rPr>
          <w:rStyle w:val="SubtleReference"/>
        </w:rPr>
      </w:pPr>
      <w:r>
        <w:br w:type="page"/>
      </w:r>
      <w:r w:rsidR="000A3A4E" w:rsidRPr="000A3A4E">
        <w:rPr>
          <w:rStyle w:val="SubtleReference"/>
        </w:rPr>
        <w:lastRenderedPageBreak/>
        <w:t>Executive Summary</w:t>
      </w:r>
    </w:p>
    <w:p w14:paraId="2D63926E" w14:textId="77777777" w:rsidR="00FE79E5" w:rsidRDefault="00FE79E5" w:rsidP="00302D7C">
      <w:pPr>
        <w:pStyle w:val="Heading3"/>
      </w:pPr>
      <w:r>
        <w:t>Regulations and Administration processes removed.</w:t>
      </w:r>
    </w:p>
    <w:p w14:paraId="2D63926F" w14:textId="77777777" w:rsidR="00FE79E5" w:rsidRDefault="00A704B3" w:rsidP="00FE79E5">
      <w:pPr>
        <w:pStyle w:val="ListParagraph"/>
        <w:numPr>
          <w:ilvl w:val="0"/>
          <w:numId w:val="11"/>
        </w:numPr>
      </w:pPr>
      <w:r>
        <w:t xml:space="preserve">Separate Administration </w:t>
      </w:r>
      <w:r w:rsidR="008E0E6E">
        <w:t>for the</w:t>
      </w:r>
      <w:r w:rsidR="007B7BCF">
        <w:t xml:space="preserve"> </w:t>
      </w:r>
      <w:r w:rsidR="008E0E6E">
        <w:t>p</w:t>
      </w:r>
      <w:r>
        <w:t xml:space="preserve">ayment of Super </w:t>
      </w:r>
      <w:r w:rsidR="00302D7C">
        <w:t xml:space="preserve">to multiple funds </w:t>
      </w:r>
      <w:r>
        <w:t>removed</w:t>
      </w:r>
      <w:r w:rsidR="00EC515F">
        <w:t>.</w:t>
      </w:r>
    </w:p>
    <w:p w14:paraId="2D639270" w14:textId="77777777" w:rsidR="00FE79E5" w:rsidRDefault="00FE79E5" w:rsidP="00FE79E5">
      <w:pPr>
        <w:pStyle w:val="ListParagraph"/>
        <w:numPr>
          <w:ilvl w:val="0"/>
          <w:numId w:val="11"/>
        </w:numPr>
      </w:pPr>
      <w:r>
        <w:t xml:space="preserve">Choice of Super administration </w:t>
      </w:r>
      <w:r w:rsidR="00302D7C">
        <w:t xml:space="preserve">and multiple penalties </w:t>
      </w:r>
      <w:r>
        <w:t xml:space="preserve">removed. </w:t>
      </w:r>
    </w:p>
    <w:p w14:paraId="2D639271" w14:textId="77777777" w:rsidR="00FE79E5" w:rsidRDefault="00FE79E5" w:rsidP="00FE79E5">
      <w:pPr>
        <w:pStyle w:val="ListParagraph"/>
        <w:numPr>
          <w:ilvl w:val="0"/>
          <w:numId w:val="11"/>
        </w:numPr>
      </w:pPr>
      <w:r>
        <w:t xml:space="preserve">Employer “Default” Super Fund </w:t>
      </w:r>
      <w:r w:rsidR="008E0E6E">
        <w:t xml:space="preserve">requirement </w:t>
      </w:r>
      <w:r w:rsidR="00302D7C">
        <w:t xml:space="preserve">and associated penalties </w:t>
      </w:r>
      <w:r w:rsidR="008E0E6E">
        <w:t xml:space="preserve">removed. </w:t>
      </w:r>
    </w:p>
    <w:p w14:paraId="2D639272" w14:textId="77777777" w:rsidR="00EC515F" w:rsidRDefault="008E0E6E" w:rsidP="00FE79E5">
      <w:pPr>
        <w:pStyle w:val="ListParagraph"/>
        <w:numPr>
          <w:ilvl w:val="0"/>
          <w:numId w:val="11"/>
        </w:numPr>
      </w:pPr>
      <w:r>
        <w:t>Separate reference to</w:t>
      </w:r>
      <w:r w:rsidR="00A704B3">
        <w:t xml:space="preserve"> Superannuation</w:t>
      </w:r>
      <w:r>
        <w:t xml:space="preserve"> Guarantee</w:t>
      </w:r>
      <w:r w:rsidR="007B7BCF">
        <w:t xml:space="preserve"> </w:t>
      </w:r>
      <w:r>
        <w:t>in awards not required.</w:t>
      </w:r>
    </w:p>
    <w:p w14:paraId="2D639273" w14:textId="77777777" w:rsidR="008E0E6E" w:rsidRDefault="008E0E6E" w:rsidP="00FE79E5">
      <w:pPr>
        <w:pStyle w:val="ListParagraph"/>
        <w:numPr>
          <w:ilvl w:val="0"/>
          <w:numId w:val="11"/>
        </w:numPr>
      </w:pPr>
      <w:r>
        <w:t>Separate late payment penalty system on employers removed.</w:t>
      </w:r>
    </w:p>
    <w:p w14:paraId="2D639274" w14:textId="77777777" w:rsidR="008E0E6E" w:rsidRDefault="008E0E6E" w:rsidP="00FE79E5">
      <w:pPr>
        <w:pStyle w:val="ListParagraph"/>
        <w:numPr>
          <w:ilvl w:val="0"/>
          <w:numId w:val="11"/>
        </w:numPr>
      </w:pPr>
      <w:r>
        <w:t>The “No TFN” payment system not required.</w:t>
      </w:r>
    </w:p>
    <w:p w14:paraId="2D639275" w14:textId="77777777" w:rsidR="008E0E6E" w:rsidRDefault="008E0E6E" w:rsidP="00FE79E5">
      <w:pPr>
        <w:pStyle w:val="ListParagraph"/>
        <w:numPr>
          <w:ilvl w:val="0"/>
          <w:numId w:val="11"/>
        </w:numPr>
      </w:pPr>
      <w:r>
        <w:t>Superannuation “failure to keep records” penalties removed</w:t>
      </w:r>
    </w:p>
    <w:p w14:paraId="2D639276" w14:textId="77777777" w:rsidR="00302D7C" w:rsidRDefault="00302D7C" w:rsidP="00FE79E5">
      <w:pPr>
        <w:pStyle w:val="ListParagraph"/>
        <w:numPr>
          <w:ilvl w:val="0"/>
          <w:numId w:val="11"/>
        </w:numPr>
      </w:pPr>
      <w:r>
        <w:t>Files and communications with multiple Super Funds (beyond payment system) not required.</w:t>
      </w:r>
    </w:p>
    <w:p w14:paraId="2D639277" w14:textId="77777777" w:rsidR="00EC515F" w:rsidRDefault="00EC515F" w:rsidP="00302D7C">
      <w:pPr>
        <w:pStyle w:val="Heading3"/>
      </w:pPr>
      <w:r>
        <w:t>Efficiencies achieved</w:t>
      </w:r>
    </w:p>
    <w:p w14:paraId="2D639278" w14:textId="4AAB52EB" w:rsidR="00302D7C" w:rsidRDefault="00302D7C" w:rsidP="00EC515F">
      <w:pPr>
        <w:pStyle w:val="ListParagraph"/>
        <w:numPr>
          <w:ilvl w:val="0"/>
          <w:numId w:val="12"/>
        </w:numPr>
      </w:pPr>
      <w:r>
        <w:t xml:space="preserve">Communications (monthly quarterly and annually) between </w:t>
      </w:r>
      <w:r w:rsidR="00FD73F8">
        <w:t>~</w:t>
      </w:r>
      <w:r>
        <w:t xml:space="preserve">800,000 employers and </w:t>
      </w:r>
      <w:r w:rsidR="00FD73F8">
        <w:t>~</w:t>
      </w:r>
      <w:r w:rsidR="00476BA8">
        <w:t>1</w:t>
      </w:r>
      <w:r>
        <w:t xml:space="preserve">000 super funds regarding </w:t>
      </w:r>
      <w:r w:rsidR="00FD73F8">
        <w:t>~</w:t>
      </w:r>
      <w:r w:rsidR="004D6F61">
        <w:t>10</w:t>
      </w:r>
      <w:r>
        <w:t xml:space="preserve">,000,000 employees eliminated. </w:t>
      </w:r>
    </w:p>
    <w:p w14:paraId="2D639279" w14:textId="77777777" w:rsidR="00EC515F" w:rsidRDefault="00302D7C" w:rsidP="00EC515F">
      <w:pPr>
        <w:pStyle w:val="ListParagraph"/>
        <w:numPr>
          <w:ilvl w:val="0"/>
          <w:numId w:val="12"/>
        </w:numPr>
      </w:pPr>
      <w:r>
        <w:t>Immediate capture of Lost Super by ATO</w:t>
      </w:r>
    </w:p>
    <w:p w14:paraId="2D63927A" w14:textId="77777777" w:rsidR="00302D7C" w:rsidRDefault="00302D7C" w:rsidP="00EC515F">
      <w:pPr>
        <w:pStyle w:val="ListParagraph"/>
        <w:numPr>
          <w:ilvl w:val="0"/>
          <w:numId w:val="12"/>
        </w:numPr>
      </w:pPr>
      <w:r>
        <w:t>Immediate accumulation of SG tax by ATO</w:t>
      </w:r>
    </w:p>
    <w:p w14:paraId="2D63927B" w14:textId="77777777" w:rsidR="00302D7C" w:rsidRDefault="00302D7C" w:rsidP="00EC515F">
      <w:pPr>
        <w:pStyle w:val="ListParagraph"/>
        <w:numPr>
          <w:ilvl w:val="0"/>
          <w:numId w:val="12"/>
        </w:numPr>
      </w:pPr>
      <w:r>
        <w:t>Quicker identification of non-payment of super by ATO</w:t>
      </w:r>
    </w:p>
    <w:p w14:paraId="2D63927C" w14:textId="77777777" w:rsidR="00302D7C" w:rsidRDefault="00302D7C" w:rsidP="00EC515F">
      <w:pPr>
        <w:pStyle w:val="ListParagraph"/>
        <w:numPr>
          <w:ilvl w:val="0"/>
          <w:numId w:val="12"/>
        </w:numPr>
      </w:pPr>
      <w:r>
        <w:t xml:space="preserve">Greater connection of employees with their super from </w:t>
      </w:r>
      <w:r w:rsidR="00FD73F8">
        <w:t>their first employment event.</w:t>
      </w:r>
    </w:p>
    <w:p w14:paraId="2D63927D" w14:textId="77777777" w:rsidR="00FD73F8" w:rsidRDefault="00FD73F8" w:rsidP="00EC515F">
      <w:pPr>
        <w:pStyle w:val="ListParagraph"/>
        <w:numPr>
          <w:ilvl w:val="0"/>
          <w:numId w:val="12"/>
        </w:numPr>
      </w:pPr>
      <w:r>
        <w:t>Potentially two billion dollars in administration costs removed from the industry</w:t>
      </w:r>
    </w:p>
    <w:p w14:paraId="2D63927E" w14:textId="77777777" w:rsidR="00555647" w:rsidRDefault="00555647" w:rsidP="00555647">
      <w:pPr>
        <w:pStyle w:val="Heading3"/>
      </w:pPr>
      <w:r>
        <w:t>Issues to be addressed</w:t>
      </w:r>
    </w:p>
    <w:p w14:paraId="2D63927F" w14:textId="77777777" w:rsidR="00555647" w:rsidRDefault="00555647" w:rsidP="00555647">
      <w:pPr>
        <w:pStyle w:val="ListParagraph"/>
        <w:numPr>
          <w:ilvl w:val="0"/>
          <w:numId w:val="13"/>
        </w:numPr>
      </w:pPr>
      <w:r>
        <w:t xml:space="preserve">Current SG calculations are based on AWOTE and would need to be on Gross Wages. </w:t>
      </w:r>
    </w:p>
    <w:p w14:paraId="2D639280" w14:textId="77777777" w:rsidR="00555647" w:rsidRDefault="00254331" w:rsidP="00555647">
      <w:pPr>
        <w:pStyle w:val="ListParagraph"/>
        <w:numPr>
          <w:ilvl w:val="0"/>
          <w:numId w:val="13"/>
        </w:numPr>
      </w:pPr>
      <w:r>
        <w:t>Extra Super from o</w:t>
      </w:r>
      <w:r w:rsidR="00555647">
        <w:t xml:space="preserve">vertime </w:t>
      </w:r>
      <w:r>
        <w:t>adjusted in SG move from</w:t>
      </w:r>
      <w:r w:rsidR="00555647">
        <w:t xml:space="preserve"> 9% to 12%</w:t>
      </w:r>
    </w:p>
    <w:p w14:paraId="2D639281" w14:textId="77777777" w:rsidR="00555647" w:rsidRDefault="00555647" w:rsidP="00555647">
      <w:pPr>
        <w:pStyle w:val="ListParagraph"/>
        <w:numPr>
          <w:ilvl w:val="0"/>
          <w:numId w:val="13"/>
        </w:numPr>
      </w:pPr>
      <w:r>
        <w:t>Super would be payable of all wages including payments below $450 per month ($54 extra super per month at 12% SG). This also removes Superannuation threshold anomalies in the award system</w:t>
      </w:r>
    </w:p>
    <w:p w14:paraId="2D639282" w14:textId="77777777" w:rsidR="00555647" w:rsidRPr="00555647" w:rsidRDefault="00555647" w:rsidP="00555647">
      <w:pPr>
        <w:pStyle w:val="ListParagraph"/>
        <w:numPr>
          <w:ilvl w:val="0"/>
          <w:numId w:val="13"/>
        </w:numPr>
      </w:pPr>
      <w:r>
        <w:t>Adjustment of the Superstream/payslip project to allow employee</w:t>
      </w:r>
      <w:r w:rsidR="00254331">
        <w:t>s to authorise the</w:t>
      </w:r>
      <w:r>
        <w:t xml:space="preserve"> transfer of gross pay information to their super fund.</w:t>
      </w:r>
    </w:p>
    <w:p w14:paraId="2D639283" w14:textId="2392AD5F" w:rsidR="000A3A4E" w:rsidRDefault="00D85C67" w:rsidP="00411BCD">
      <w:pPr>
        <w:pStyle w:val="ListParagraph"/>
        <w:ind w:left="360"/>
      </w:pPr>
      <w:r>
        <w:rPr>
          <w:noProof/>
          <w:lang w:eastAsia="en-AU"/>
        </w:rPr>
        <mc:AlternateContent>
          <mc:Choice Requires="wps">
            <w:drawing>
              <wp:anchor distT="0" distB="0" distL="114300" distR="114300" simplePos="0" relativeHeight="251662336" behindDoc="0" locked="0" layoutInCell="1" allowOverlap="1" wp14:anchorId="2D639310" wp14:editId="2167BB8C">
                <wp:simplePos x="0" y="0"/>
                <wp:positionH relativeFrom="column">
                  <wp:posOffset>206375</wp:posOffset>
                </wp:positionH>
                <wp:positionV relativeFrom="paragraph">
                  <wp:posOffset>216535</wp:posOffset>
                </wp:positionV>
                <wp:extent cx="3178810" cy="3221355"/>
                <wp:effectExtent l="0" t="0" r="254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8810" cy="3221355"/>
                        </a:xfrm>
                        <a:prstGeom prst="rect">
                          <a:avLst/>
                        </a:prstGeom>
                        <a:solidFill>
                          <a:srgbClr val="FFFFFF"/>
                        </a:solidFill>
                        <a:ln w="9525">
                          <a:solidFill>
                            <a:srgbClr val="000000"/>
                          </a:solidFill>
                          <a:miter lim="800000"/>
                          <a:headEnd/>
                          <a:tailEnd/>
                        </a:ln>
                      </wps:spPr>
                      <wps:txbx>
                        <w:txbxContent>
                          <w:p w14:paraId="2D639317" w14:textId="77777777" w:rsidR="00411BCD" w:rsidRDefault="00411BCD">
                            <w:r>
                              <w:rPr>
                                <w:noProof/>
                                <w:lang w:eastAsia="en-AU"/>
                              </w:rPr>
                              <w:drawing>
                                <wp:inline distT="0" distB="0" distL="0" distR="0" wp14:anchorId="2D639318" wp14:editId="2D639319">
                                  <wp:extent cx="3033757" cy="3102124"/>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system_alone.jpg"/>
                                          <pic:cNvPicPr/>
                                        </pic:nvPicPr>
                                        <pic:blipFill>
                                          <a:blip r:embed="rId6">
                                            <a:extLst>
                                              <a:ext uri="{28A0092B-C50C-407E-A947-70E740481C1C}">
                                                <a14:useLocalDpi xmlns:a14="http://schemas.microsoft.com/office/drawing/2010/main" val="0"/>
                                              </a:ext>
                                            </a:extLst>
                                          </a:blip>
                                          <a:stretch>
                                            <a:fillRect/>
                                          </a:stretch>
                                        </pic:blipFill>
                                        <pic:spPr>
                                          <a:xfrm>
                                            <a:off x="0" y="0"/>
                                            <a:ext cx="3043454" cy="311204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D639310" id="_x0000_t202" coordsize="21600,21600" o:spt="202" path="m,l,21600r21600,l21600,xe">
                <v:stroke joinstyle="miter"/>
                <v:path gradientshapeok="t" o:connecttype="rect"/>
              </v:shapetype>
              <v:shape id="Text Box 2" o:spid="_x0000_s1026" type="#_x0000_t202" style="position:absolute;left:0;text-align:left;margin-left:16.25pt;margin-top:17.05pt;width:250.3pt;height:253.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">
                <v:textbox>
                  <w:txbxContent>
                    <w:p w14:paraId="2D639317" w14:textId="77777777" w:rsidR="00411BCD" w:rsidRDefault="00411BCD">
                      <w:r>
                        <w:rPr>
                          <w:noProof/>
                          <w:lang w:val="en-US"/>
                        </w:rPr>
                        <w:drawing>
                          <wp:inline distT="0" distB="0" distL="0" distR="0" wp14:anchorId="2D639318" wp14:editId="2D639319">
                            <wp:extent cx="3033757" cy="3102124"/>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system_alone.jpg"/>
                                    <pic:cNvPicPr/>
                                  </pic:nvPicPr>
                                  <pic:blipFill>
                                    <a:blip r:embed="rId7">
                                      <a:extLst>
                                        <a:ext uri="{28A0092B-C50C-407E-A947-70E740481C1C}">
                                          <a14:useLocalDpi xmlns:a14="http://schemas.microsoft.com/office/drawing/2010/main" val="0"/>
                                        </a:ext>
                                      </a:extLst>
                                    </a:blip>
                                    <a:stretch>
                                      <a:fillRect/>
                                    </a:stretch>
                                  </pic:blipFill>
                                  <pic:spPr>
                                    <a:xfrm>
                                      <a:off x="0" y="0"/>
                                      <a:ext cx="3043454" cy="3112040"/>
                                    </a:xfrm>
                                    <a:prstGeom prst="rect">
                                      <a:avLst/>
                                    </a:prstGeom>
                                  </pic:spPr>
                                </pic:pic>
                              </a:graphicData>
                            </a:graphic>
                          </wp:inline>
                        </w:drawing>
                      </w:r>
                    </w:p>
                  </w:txbxContent>
                </v:textbox>
              </v:shape>
            </w:pict>
          </mc:Fallback>
        </mc:AlternateContent>
      </w:r>
      <w:r w:rsidR="000A3A4E">
        <w:br w:type="page"/>
      </w:r>
    </w:p>
    <w:p w14:paraId="2D639284" w14:textId="77777777" w:rsidR="00555647" w:rsidRPr="00555647" w:rsidRDefault="00555647" w:rsidP="00555647">
      <w:pPr>
        <w:pStyle w:val="Title"/>
        <w:rPr>
          <w:rStyle w:val="SubtleReference"/>
        </w:rPr>
      </w:pPr>
      <w:r w:rsidRPr="00555647">
        <w:rPr>
          <w:rStyle w:val="SubtleReference"/>
        </w:rPr>
        <w:lastRenderedPageBreak/>
        <w:t>Detailed Proposal</w:t>
      </w:r>
    </w:p>
    <w:p w14:paraId="2D639285" w14:textId="77777777" w:rsidR="00B6360F" w:rsidRDefault="00B6360F" w:rsidP="000A3A4E">
      <w:pPr>
        <w:jc w:val="both"/>
      </w:pPr>
    </w:p>
    <w:p w14:paraId="2D639286" w14:textId="77777777" w:rsidR="00B6360F" w:rsidRDefault="000A3A4E" w:rsidP="000A3A4E">
      <w:pPr>
        <w:jc w:val="both"/>
      </w:pPr>
      <w:r>
        <w:t xml:space="preserve">The COSBOA proposition is </w:t>
      </w:r>
      <w:r w:rsidR="00B6360F">
        <w:t>for</w:t>
      </w:r>
      <w:r>
        <w:t xml:space="preserve"> employer SG (Superannuation Guarantee) payments </w:t>
      </w:r>
      <w:r w:rsidR="00B6360F">
        <w:t>to</w:t>
      </w:r>
      <w:r>
        <w:t xml:space="preserve"> be incorporated into the employee’s PAYG tax payments by adjusting the personal tax rate so that only one payment is required.  </w:t>
      </w:r>
      <w:r w:rsidR="00B6360F">
        <w:t>The tax office w</w:t>
      </w:r>
      <w:r>
        <w:t xml:space="preserve">ould then distribute these to the appropriate Super fund. </w:t>
      </w:r>
    </w:p>
    <w:p w14:paraId="2D639287" w14:textId="77777777" w:rsidR="000A3A4E" w:rsidRDefault="000A3A4E" w:rsidP="000A3A4E">
      <w:pPr>
        <w:jc w:val="both"/>
      </w:pPr>
      <w:r>
        <w:t>This would eliminate a significant amount of administrative burden from the small business employer’s obligations. To provide concrete proposals to back this case a systems analysis of t</w:t>
      </w:r>
      <w:r w:rsidR="00DE6FBC">
        <w:t>he SG Super system (Attachment 2</w:t>
      </w:r>
      <w:r>
        <w:t>) was undertaken an</w:t>
      </w:r>
      <w:r w:rsidR="00DE6FBC">
        <w:t>d a draft proposal (Attachment 3</w:t>
      </w:r>
      <w:r>
        <w:t>) developed along with a</w:t>
      </w:r>
      <w:r w:rsidR="0080163A">
        <w:t>n adjusted TFN declaration so the ATO immediately</w:t>
      </w:r>
      <w:r w:rsidR="007B7BCF">
        <w:t xml:space="preserve"> </w:t>
      </w:r>
      <w:r w:rsidR="00DE6FBC">
        <w:t>captures</w:t>
      </w:r>
      <w:r>
        <w:t xml:space="preserve"> employee supe</w:t>
      </w:r>
      <w:r w:rsidR="00DE6FBC">
        <w:t>rannuation details (Attachment 4</w:t>
      </w:r>
      <w:r>
        <w:t xml:space="preserve">). The proposed system </w:t>
      </w:r>
      <w:r w:rsidR="0080163A">
        <w:t>gives</w:t>
      </w:r>
      <w:r>
        <w:t xml:space="preserve"> significant reduction in regulation and administration for small business employers. </w:t>
      </w:r>
    </w:p>
    <w:p w14:paraId="2D639288" w14:textId="77777777" w:rsidR="00B6360F" w:rsidRDefault="00B6360F" w:rsidP="00EC28FB">
      <w:pPr>
        <w:pStyle w:val="Heading2"/>
      </w:pPr>
    </w:p>
    <w:p w14:paraId="2D639289" w14:textId="77777777" w:rsidR="00541165" w:rsidRDefault="00B6360F" w:rsidP="00EC28FB">
      <w:pPr>
        <w:pStyle w:val="Heading2"/>
      </w:pPr>
      <w:r>
        <w:t>Basic S</w:t>
      </w:r>
      <w:r w:rsidR="00EC28FB">
        <w:t xml:space="preserve">ystem for </w:t>
      </w:r>
      <w:r w:rsidR="00541165">
        <w:t>SG Payments</w:t>
      </w:r>
      <w:r w:rsidR="00EC28FB">
        <w:t>.</w:t>
      </w:r>
    </w:p>
    <w:p w14:paraId="2D63928A" w14:textId="77777777" w:rsidR="00F260F1" w:rsidRDefault="00605FEE" w:rsidP="00F260F1">
      <w:pPr>
        <w:jc w:val="both"/>
      </w:pPr>
      <w:r>
        <w:t xml:space="preserve">As both PAYG and </w:t>
      </w:r>
      <w:r w:rsidR="00D23C76">
        <w:t>t</w:t>
      </w:r>
      <w:r w:rsidR="00EC28FB">
        <w:t xml:space="preserve">he very basic system for paying </w:t>
      </w:r>
      <w:r w:rsidR="00CD6D14">
        <w:t xml:space="preserve">SG payments </w:t>
      </w:r>
      <w:r w:rsidR="00CA01DD">
        <w:t xml:space="preserve">are </w:t>
      </w:r>
      <w:r w:rsidR="00F260F1">
        <w:t xml:space="preserve">calculated as a </w:t>
      </w:r>
      <w:r w:rsidR="00CA01DD">
        <w:t xml:space="preserve">percentage </w:t>
      </w:r>
      <w:r w:rsidR="00F260F1">
        <w:t>of Gross Wages,</w:t>
      </w:r>
      <w:r w:rsidR="00CA01DD">
        <w:t xml:space="preserve"> both can be incorporated by </w:t>
      </w:r>
      <w:r w:rsidR="00CD6D14">
        <w:t xml:space="preserve">raising the PAYG rate by an equivalent </w:t>
      </w:r>
      <w:r w:rsidR="004D01B8">
        <w:t xml:space="preserve">percentage </w:t>
      </w:r>
      <w:r w:rsidR="00CD6D14">
        <w:t>to include the SG rate</w:t>
      </w:r>
      <w:r w:rsidR="00F260F1">
        <w:t>, f</w:t>
      </w:r>
      <w:r w:rsidR="004D01B8">
        <w:t>or example</w:t>
      </w:r>
      <w:r w:rsidR="00F260F1">
        <w:t>:</w:t>
      </w:r>
    </w:p>
    <w:p w14:paraId="2D63928B" w14:textId="77777777" w:rsidR="00F260F1" w:rsidRDefault="004D01B8" w:rsidP="00F260F1">
      <w:pPr>
        <w:pStyle w:val="ListParagraph"/>
        <w:numPr>
          <w:ilvl w:val="0"/>
          <w:numId w:val="5"/>
        </w:numPr>
        <w:jc w:val="both"/>
      </w:pPr>
      <w:r>
        <w:t>a</w:t>
      </w:r>
      <w:r w:rsidR="00605FEE">
        <w:t xml:space="preserve"> 9% SG rate would be achieved by raising the PAYG rate by </w:t>
      </w:r>
      <w:r>
        <w:t>8.2569%.</w:t>
      </w:r>
      <w:r w:rsidR="00B6360F">
        <w:t>(</w:t>
      </w:r>
      <w:r w:rsidR="00F260F1">
        <w:t xml:space="preserve">Note: </w:t>
      </w:r>
      <w:r>
        <w:t xml:space="preserve">the actual increase in PAYG can be suitably rounded to a </w:t>
      </w:r>
      <w:r w:rsidR="00B6360F">
        <w:t>manageable</w:t>
      </w:r>
      <w:r>
        <w:t xml:space="preserve"> number </w:t>
      </w:r>
      <w:r w:rsidR="0080163A">
        <w:t>during the SG increase from 9% to 12 %</w:t>
      </w:r>
      <w:r>
        <w:t>.</w:t>
      </w:r>
      <w:r w:rsidR="00B6360F">
        <w:t>)</w:t>
      </w:r>
    </w:p>
    <w:p w14:paraId="2D63928C" w14:textId="77777777" w:rsidR="00D23C76" w:rsidRDefault="00D23C76" w:rsidP="00F260F1">
      <w:pPr>
        <w:jc w:val="both"/>
      </w:pPr>
      <w:r>
        <w:t>The Tax office identif</w:t>
      </w:r>
      <w:r w:rsidR="00B6360F">
        <w:t>ies</w:t>
      </w:r>
      <w:r>
        <w:t xml:space="preserve"> the amount of Superannuation included in the</w:t>
      </w:r>
      <w:r w:rsidR="00F260F1">
        <w:t>se</w:t>
      </w:r>
      <w:r>
        <w:t xml:space="preserve"> tax payment by applying the </w:t>
      </w:r>
      <w:r w:rsidR="00F260F1">
        <w:t xml:space="preserve">set SG </w:t>
      </w:r>
      <w:r>
        <w:t>percentage to the gross wages declared at W1 on the BAS return.</w:t>
      </w:r>
    </w:p>
    <w:p w14:paraId="2D63928D" w14:textId="77777777" w:rsidR="002C7542" w:rsidRDefault="002C7542" w:rsidP="002C7542">
      <w:pPr>
        <w:jc w:val="both"/>
      </w:pPr>
      <w:r>
        <w:t>In line with current requirements the employer provides a payslip to the employee. This payslip now only has to show tax withheld and is significantly simplified by removing nominations of superannuation payments.</w:t>
      </w:r>
      <w:r w:rsidR="00DE6FBC">
        <w:t xml:space="preserve"> An example of this process is attached (Attachment 1)</w:t>
      </w:r>
    </w:p>
    <w:p w14:paraId="2D63928E" w14:textId="77777777" w:rsidR="00F260F1" w:rsidRDefault="0080163A" w:rsidP="00D23C76">
      <w:pPr>
        <w:pStyle w:val="Heading2"/>
      </w:pPr>
      <w:r>
        <w:t xml:space="preserve">Employee takes responsibility </w:t>
      </w:r>
      <w:r w:rsidR="007B7BCF">
        <w:t>using the</w:t>
      </w:r>
      <w:r w:rsidR="00B6360F">
        <w:t xml:space="preserve"> </w:t>
      </w:r>
      <w:r w:rsidR="007B7BCF">
        <w:t>Superstream changes</w:t>
      </w:r>
      <w:r w:rsidR="00B6360F">
        <w:t>.</w:t>
      </w:r>
    </w:p>
    <w:p w14:paraId="2D63928F" w14:textId="77777777" w:rsidR="00D23C76" w:rsidRDefault="00D23C76" w:rsidP="00D23C76">
      <w:pPr>
        <w:pStyle w:val="Heading3"/>
      </w:pPr>
      <w:r>
        <w:t>Identification of Individual Superannuation payments</w:t>
      </w:r>
    </w:p>
    <w:p w14:paraId="2D639290" w14:textId="77777777" w:rsidR="00E93B63" w:rsidRDefault="00D23C76" w:rsidP="00EC28FB">
      <w:pPr>
        <w:jc w:val="both"/>
      </w:pPr>
      <w:r>
        <w:t>A modified Employee Tax File declaration was developed and accepted by the “S</w:t>
      </w:r>
      <w:r w:rsidR="00AC10A5">
        <w:t>tronger</w:t>
      </w:r>
      <w:r>
        <w:t xml:space="preserve"> Super” committees that linked an employee</w:t>
      </w:r>
      <w:r w:rsidR="002C7542">
        <w:t>’s TFN directly</w:t>
      </w:r>
      <w:r>
        <w:t xml:space="preserve"> to their superannuation </w:t>
      </w:r>
      <w:r w:rsidR="002C7542">
        <w:t>fund</w:t>
      </w:r>
      <w:r>
        <w:t xml:space="preserve">. </w:t>
      </w:r>
    </w:p>
    <w:p w14:paraId="2D639291" w14:textId="77777777" w:rsidR="00EC28FB" w:rsidRDefault="00D23C76" w:rsidP="00EC28FB">
      <w:pPr>
        <w:jc w:val="both"/>
      </w:pPr>
      <w:r>
        <w:t xml:space="preserve">The form (Attachment </w:t>
      </w:r>
      <w:r w:rsidR="00CA01DD">
        <w:t>3) incorporate</w:t>
      </w:r>
      <w:r w:rsidR="0080163A">
        <w:t>s</w:t>
      </w:r>
      <w:r>
        <w:t xml:space="preserve"> a “Superannuation File Number” with the TFN declaration</w:t>
      </w:r>
      <w:r w:rsidR="00B6360F">
        <w:t>.</w:t>
      </w:r>
    </w:p>
    <w:p w14:paraId="2D639292" w14:textId="77777777" w:rsidR="00E93B63" w:rsidRDefault="00E93B63" w:rsidP="00EC28FB">
      <w:pPr>
        <w:jc w:val="both"/>
      </w:pPr>
      <w:r>
        <w:t>This gives a firm connection between the TFN and the superfund member.</w:t>
      </w:r>
    </w:p>
    <w:p w14:paraId="2D639293" w14:textId="77777777" w:rsidR="0080163A" w:rsidRDefault="0080163A" w:rsidP="0080163A">
      <w:pPr>
        <w:pStyle w:val="Heading3"/>
      </w:pPr>
      <w:r>
        <w:t>Move to electronic payslips by 2016 gives employees control of their Super Payments</w:t>
      </w:r>
    </w:p>
    <w:p w14:paraId="2D639294" w14:textId="77777777" w:rsidR="00E93B63" w:rsidRDefault="008A2E6E" w:rsidP="00E93B63">
      <w:pPr>
        <w:pStyle w:val="ListParagraph"/>
        <w:numPr>
          <w:ilvl w:val="0"/>
          <w:numId w:val="5"/>
        </w:numPr>
      </w:pPr>
      <w:r>
        <w:t xml:space="preserve">The current Superstream project aims to have all participants using the new data and e-commerce standards by 2016. This includes electronic </w:t>
      </w:r>
      <w:r w:rsidR="007B7BCF">
        <w:t>payslips</w:t>
      </w:r>
      <w:r>
        <w:t xml:space="preserve"> to each employee. </w:t>
      </w:r>
    </w:p>
    <w:p w14:paraId="2D639295" w14:textId="77777777" w:rsidR="00E93B63" w:rsidRDefault="008A2E6E" w:rsidP="00E93B63">
      <w:pPr>
        <w:pStyle w:val="ListParagraph"/>
        <w:numPr>
          <w:ilvl w:val="0"/>
          <w:numId w:val="5"/>
        </w:numPr>
      </w:pPr>
      <w:r>
        <w:t xml:space="preserve">This process only requires minor adjustment to allow employees to authorise the forwarding of the gross wages data to their super fund. </w:t>
      </w:r>
    </w:p>
    <w:p w14:paraId="2D639296" w14:textId="77777777" w:rsidR="00E93B63" w:rsidRDefault="008A2E6E" w:rsidP="00E93B63">
      <w:pPr>
        <w:pStyle w:val="ListParagraph"/>
        <w:numPr>
          <w:ilvl w:val="0"/>
          <w:numId w:val="5"/>
        </w:numPr>
      </w:pPr>
      <w:r>
        <w:t>Employers onl</w:t>
      </w:r>
      <w:r w:rsidR="00E93B63">
        <w:t xml:space="preserve">y need forward that data to where the employee stipulates and they will have fulfilled their duties in this regard. </w:t>
      </w:r>
    </w:p>
    <w:p w14:paraId="2D639297" w14:textId="77777777" w:rsidR="0080163A" w:rsidRPr="0080163A" w:rsidRDefault="00E93B63" w:rsidP="00E93B63">
      <w:pPr>
        <w:pStyle w:val="ListParagraph"/>
        <w:numPr>
          <w:ilvl w:val="0"/>
          <w:numId w:val="5"/>
        </w:numPr>
      </w:pPr>
      <w:r>
        <w:t>The Superannuation industry can set up the protocols for gaining the employee authority to receive their pay information</w:t>
      </w:r>
    </w:p>
    <w:p w14:paraId="2D639298" w14:textId="77777777" w:rsidR="002C7542" w:rsidRDefault="002C7542" w:rsidP="00E93B63">
      <w:pPr>
        <w:pStyle w:val="Heading2"/>
      </w:pPr>
      <w:r w:rsidRPr="00E93B63">
        <w:rPr>
          <w:rStyle w:val="Heading3Char"/>
          <w:b/>
          <w:bCs/>
        </w:rPr>
        <w:lastRenderedPageBreak/>
        <w:t>The Timing of transfer of funds from the Tax Office to individual Funds</w:t>
      </w:r>
      <w:r w:rsidRPr="00E93B63">
        <w:t>.</w:t>
      </w:r>
    </w:p>
    <w:p w14:paraId="2D639299" w14:textId="77777777" w:rsidR="00E93B63" w:rsidRPr="00E93B63" w:rsidRDefault="00E93B63" w:rsidP="00E93B63"/>
    <w:p w14:paraId="2D63929A" w14:textId="77777777" w:rsidR="00DE76A5" w:rsidRDefault="002C7542" w:rsidP="002C7542">
      <w:pPr>
        <w:pStyle w:val="ListParagraph"/>
        <w:numPr>
          <w:ilvl w:val="0"/>
          <w:numId w:val="2"/>
        </w:numPr>
        <w:jc w:val="both"/>
      </w:pPr>
      <w:r w:rsidRPr="002C7542">
        <w:rPr>
          <w:b/>
        </w:rPr>
        <w:t>Annual:</w:t>
      </w:r>
    </w:p>
    <w:p w14:paraId="2D63929B" w14:textId="77777777" w:rsidR="00DE76A5" w:rsidRDefault="002C7542" w:rsidP="00DE76A5">
      <w:pPr>
        <w:pStyle w:val="ListParagraph"/>
        <w:numPr>
          <w:ilvl w:val="1"/>
          <w:numId w:val="2"/>
        </w:numPr>
        <w:jc w:val="both"/>
      </w:pPr>
      <w:r>
        <w:t xml:space="preserve">Employee puts in their tax return and the </w:t>
      </w:r>
      <w:r w:rsidR="006C5EA1">
        <w:t xml:space="preserve">accumulated Superannuation is determined from the tax paid on Gross Income. The </w:t>
      </w:r>
      <w:r>
        <w:t xml:space="preserve">Tax Office matches </w:t>
      </w:r>
      <w:r w:rsidR="006C5EA1">
        <w:t xml:space="preserve">the </w:t>
      </w:r>
      <w:r>
        <w:t>accumulated Super with the Super Fund nominated on the TFN. The net funds (minus SG tax) are transferred to the appropriate Super fund.</w:t>
      </w:r>
    </w:p>
    <w:p w14:paraId="2D63929C" w14:textId="77777777" w:rsidR="002C7542" w:rsidRDefault="00DE76A5" w:rsidP="00DE76A5">
      <w:pPr>
        <w:pStyle w:val="ListParagraph"/>
        <w:numPr>
          <w:ilvl w:val="1"/>
          <w:numId w:val="2"/>
        </w:numPr>
        <w:jc w:val="both"/>
      </w:pPr>
      <w:r>
        <w:t>This is an adaption of the current</w:t>
      </w:r>
      <w:r w:rsidR="006C5EA1">
        <w:t xml:space="preserve"> the Tax Office </w:t>
      </w:r>
      <w:r>
        <w:t xml:space="preserve">system where </w:t>
      </w:r>
      <w:r w:rsidR="006C5EA1">
        <w:t>“Superannuation Guarantee Charge”</w:t>
      </w:r>
      <w:r>
        <w:t xml:space="preserve"> from late super payments are paid by business to the ATO and then passed onto the appropriate Super Fund</w:t>
      </w:r>
      <w:r w:rsidR="006C5EA1">
        <w:t xml:space="preserve">. </w:t>
      </w:r>
    </w:p>
    <w:p w14:paraId="2D63929D" w14:textId="77777777" w:rsidR="00E93B63" w:rsidRDefault="00E93B63" w:rsidP="00E93B63">
      <w:pPr>
        <w:pStyle w:val="ListParagraph"/>
        <w:numPr>
          <w:ilvl w:val="1"/>
          <w:numId w:val="2"/>
        </w:numPr>
        <w:ind w:left="1434" w:hanging="357"/>
        <w:contextualSpacing w:val="0"/>
        <w:jc w:val="both"/>
      </w:pPr>
      <w:r>
        <w:t>The annual system is appropriate where employees are in their first year of employment and have not chosen their fund as yet or they are itinerant with very patchy employment history and do not have consistent habits in consolidating their super.</w:t>
      </w:r>
    </w:p>
    <w:p w14:paraId="2D63929E" w14:textId="77777777" w:rsidR="002C7542" w:rsidRPr="002C7542" w:rsidRDefault="002C7542" w:rsidP="00E93B63">
      <w:pPr>
        <w:pStyle w:val="ListParagraph"/>
        <w:numPr>
          <w:ilvl w:val="0"/>
          <w:numId w:val="2"/>
        </w:numPr>
        <w:ind w:left="714" w:hanging="357"/>
        <w:contextualSpacing w:val="0"/>
        <w:jc w:val="both"/>
        <w:rPr>
          <w:b/>
        </w:rPr>
      </w:pPr>
      <w:r w:rsidRPr="002C7542">
        <w:rPr>
          <w:b/>
        </w:rPr>
        <w:t>Quarterly</w:t>
      </w:r>
      <w:r w:rsidR="00295748">
        <w:rPr>
          <w:b/>
        </w:rPr>
        <w:t>:</w:t>
      </w:r>
      <w:r w:rsidR="007B7BCF">
        <w:rPr>
          <w:b/>
        </w:rPr>
        <w:t xml:space="preserve"> </w:t>
      </w:r>
      <w:r w:rsidR="008A32CC">
        <w:t>Employees provide details of their payslips to their Superannuation funds who make a claim against payments held by the tax office. Once the quarterly payments from the employer are received the Tax Office transfers the funds (net of tax) to the Super Fund.</w:t>
      </w:r>
    </w:p>
    <w:p w14:paraId="2D63929F" w14:textId="77777777" w:rsidR="002C7542" w:rsidRPr="00295748" w:rsidRDefault="008A32CC" w:rsidP="00E93B63">
      <w:pPr>
        <w:pStyle w:val="ListParagraph"/>
        <w:numPr>
          <w:ilvl w:val="0"/>
          <w:numId w:val="2"/>
        </w:numPr>
        <w:ind w:left="714" w:hanging="357"/>
        <w:contextualSpacing w:val="0"/>
        <w:jc w:val="both"/>
        <w:rPr>
          <w:b/>
        </w:rPr>
      </w:pPr>
      <w:r w:rsidRPr="008A32CC">
        <w:rPr>
          <w:b/>
        </w:rPr>
        <w:t>Monthly</w:t>
      </w:r>
      <w:r w:rsidR="00295748">
        <w:rPr>
          <w:b/>
        </w:rPr>
        <w:t>:</w:t>
      </w:r>
      <w:r w:rsidR="007B7BCF">
        <w:rPr>
          <w:b/>
        </w:rPr>
        <w:t xml:space="preserve"> </w:t>
      </w:r>
      <w:r w:rsidRPr="008A32CC">
        <w:t xml:space="preserve">(where employers do BAS payments </w:t>
      </w:r>
      <w:r>
        <w:t>monthly</w:t>
      </w:r>
      <w:r w:rsidRPr="008A32CC">
        <w:t>)</w:t>
      </w:r>
      <w:r>
        <w:t>: Employees provide details of their payslips to their Superannuation funds who make a claim against payments held by the tax office. Once the quarterly payments from the employer are received the Tax Office transfers the funds (net of tax) to the Super Fund.</w:t>
      </w:r>
    </w:p>
    <w:p w14:paraId="2D6392A0" w14:textId="77777777" w:rsidR="00295748" w:rsidRDefault="00E93B63" w:rsidP="00E93B63">
      <w:pPr>
        <w:pStyle w:val="ListParagraph"/>
        <w:numPr>
          <w:ilvl w:val="0"/>
          <w:numId w:val="2"/>
        </w:numPr>
        <w:ind w:left="714" w:hanging="357"/>
        <w:contextualSpacing w:val="0"/>
        <w:jc w:val="both"/>
      </w:pPr>
      <w:r>
        <w:rPr>
          <w:b/>
        </w:rPr>
        <w:t>Employer la</w:t>
      </w:r>
      <w:r w:rsidR="00295748">
        <w:rPr>
          <w:b/>
        </w:rPr>
        <w:t xml:space="preserve">te payments: </w:t>
      </w:r>
      <w:r w:rsidR="00295748" w:rsidRPr="00295748">
        <w:t xml:space="preserve">A general interest charge </w:t>
      </w:r>
      <w:r w:rsidR="00295748">
        <w:t xml:space="preserve">is applied as per </w:t>
      </w:r>
      <w:r w:rsidR="00E50552">
        <w:t xml:space="preserve">the </w:t>
      </w:r>
      <w:r w:rsidR="00295748">
        <w:t>current tax payment systems.</w:t>
      </w:r>
    </w:p>
    <w:p w14:paraId="2D6392A1" w14:textId="77777777" w:rsidR="00E93B63" w:rsidRPr="00295748" w:rsidRDefault="00E93B63" w:rsidP="008A32CC">
      <w:pPr>
        <w:pStyle w:val="ListParagraph"/>
        <w:numPr>
          <w:ilvl w:val="0"/>
          <w:numId w:val="2"/>
        </w:numPr>
        <w:jc w:val="both"/>
      </w:pPr>
      <w:r>
        <w:rPr>
          <w:b/>
        </w:rPr>
        <w:t>Employer non-</w:t>
      </w:r>
      <w:r w:rsidRPr="00E93B63">
        <w:rPr>
          <w:b/>
        </w:rPr>
        <w:t>payment:</w:t>
      </w:r>
      <w:r>
        <w:t xml:space="preserve"> Normal Tax office protocols apply for non-payment of taxes.</w:t>
      </w:r>
    </w:p>
    <w:p w14:paraId="2D6392A2" w14:textId="77777777" w:rsidR="00CE2AE6" w:rsidRDefault="00CE2AE6">
      <w:pPr>
        <w:rPr>
          <w:rFonts w:asciiTheme="majorHAnsi" w:eastAsiaTheme="majorEastAsia" w:hAnsiTheme="majorHAnsi" w:cstheme="majorBidi"/>
          <w:b/>
          <w:bCs/>
          <w:sz w:val="26"/>
          <w:szCs w:val="26"/>
        </w:rPr>
      </w:pPr>
      <w:r>
        <w:br w:type="page"/>
      </w:r>
    </w:p>
    <w:p w14:paraId="2D6392A3" w14:textId="77777777" w:rsidR="00CE2AE6" w:rsidRPr="00CE2AE6" w:rsidRDefault="00CE2AE6" w:rsidP="00CE2AE6">
      <w:pPr>
        <w:pStyle w:val="Title"/>
        <w:rPr>
          <w:rStyle w:val="SubtleReference"/>
        </w:rPr>
      </w:pPr>
      <w:r w:rsidRPr="00CE2AE6">
        <w:rPr>
          <w:rStyle w:val="SubtleReference"/>
        </w:rPr>
        <w:lastRenderedPageBreak/>
        <w:t xml:space="preserve">Payments Not Part of PAYG </w:t>
      </w:r>
    </w:p>
    <w:p w14:paraId="2D6392A4" w14:textId="77777777" w:rsidR="008A32CC" w:rsidRDefault="008A32CC" w:rsidP="00CE2AE6">
      <w:pPr>
        <w:pStyle w:val="Heading2"/>
        <w:spacing w:after="120"/>
      </w:pPr>
      <w:r>
        <w:t>Personal Contributions</w:t>
      </w:r>
      <w:r w:rsidR="00E93B63">
        <w:t>.</w:t>
      </w:r>
    </w:p>
    <w:p w14:paraId="2D6392A5" w14:textId="77777777" w:rsidR="008A32CC" w:rsidRDefault="008A32CC" w:rsidP="008A32CC">
      <w:pPr>
        <w:jc w:val="both"/>
      </w:pPr>
      <w:r>
        <w:t xml:space="preserve">Personal Contributions are not the responsibility of an employer. Where an employer </w:t>
      </w:r>
      <w:r w:rsidR="00C26B33">
        <w:t>wishes to provide this service (through an employee service culture or an enterprise agreement) they can do so through their own administrative choice. This option is much easier for large employers and does not need to be universally applied to all employers.</w:t>
      </w:r>
    </w:p>
    <w:p w14:paraId="2D6392A6" w14:textId="77777777" w:rsidR="008A32CC" w:rsidRDefault="008A32CC" w:rsidP="00CE2AE6">
      <w:pPr>
        <w:pStyle w:val="Heading2"/>
        <w:spacing w:after="120"/>
      </w:pPr>
      <w:r>
        <w:t>Salary sacrifice</w:t>
      </w:r>
      <w:r w:rsidR="00E93B63">
        <w:t>.</w:t>
      </w:r>
    </w:p>
    <w:p w14:paraId="2D6392A7" w14:textId="77777777" w:rsidR="00AD219E" w:rsidRDefault="00C26B33" w:rsidP="00C26B33">
      <w:r>
        <w:t xml:space="preserve">Salary sacrifice is the choice of the employee. Currently an agreement </w:t>
      </w:r>
      <w:r w:rsidR="0084569F">
        <w:t xml:space="preserve">needs to be arranged </w:t>
      </w:r>
      <w:r>
        <w:t xml:space="preserve">between the employer and the employee for this to occur. </w:t>
      </w:r>
      <w:r w:rsidR="00E93B63">
        <w:t xml:space="preserve">This process is clumsy and subject to possible mistakes </w:t>
      </w:r>
      <w:r w:rsidR="00AD219E">
        <w:t xml:space="preserve">by employers e.g. </w:t>
      </w:r>
      <w:r w:rsidR="00E93B63">
        <w:t>overpayment and excess contribution taxes</w:t>
      </w:r>
      <w:r w:rsidR="00AD219E">
        <w:t xml:space="preserve"> or </w:t>
      </w:r>
      <w:r w:rsidR="00E93B63">
        <w:t xml:space="preserve">claiming salary sacrifice as SG </w:t>
      </w:r>
      <w:r w:rsidR="00AD219E">
        <w:t xml:space="preserve">liability </w:t>
      </w:r>
      <w:r w:rsidR="00E93B63">
        <w:t>amount</w:t>
      </w:r>
      <w:r w:rsidR="00AD219E">
        <w:t xml:space="preserve">s. </w:t>
      </w:r>
    </w:p>
    <w:p w14:paraId="2D6392A8" w14:textId="77777777" w:rsidR="00C26B33" w:rsidRDefault="00C26B33" w:rsidP="00C26B33">
      <w:r>
        <w:t xml:space="preserve">To allow salary sacrifice to occur without having to involve employers the following procedure is proposed; </w:t>
      </w:r>
    </w:p>
    <w:p w14:paraId="2D6392A9" w14:textId="77777777" w:rsidR="00AD219E" w:rsidRDefault="00C26B33" w:rsidP="00AD219E">
      <w:pPr>
        <w:pStyle w:val="ListParagraph"/>
        <w:numPr>
          <w:ilvl w:val="0"/>
          <w:numId w:val="14"/>
        </w:numPr>
      </w:pPr>
      <w:r>
        <w:t xml:space="preserve">The </w:t>
      </w:r>
      <w:r w:rsidR="0084569F">
        <w:t>employee forwards the post-tax portion of a Salary Sacrifice payment to their super fund and nominates it</w:t>
      </w:r>
      <w:r>
        <w:t xml:space="preserve"> as salary sacrifice. </w:t>
      </w:r>
    </w:p>
    <w:p w14:paraId="2D6392AA" w14:textId="77777777" w:rsidR="00AD219E" w:rsidRDefault="00AD219E" w:rsidP="00C26B33">
      <w:pPr>
        <w:pStyle w:val="ListParagraph"/>
        <w:numPr>
          <w:ilvl w:val="0"/>
          <w:numId w:val="14"/>
        </w:numPr>
      </w:pPr>
      <w:r>
        <w:t xml:space="preserve">The calculation of these amounts can be carried out with the help of financial advisers associated with their super fund. </w:t>
      </w:r>
    </w:p>
    <w:p w14:paraId="2D6392AB" w14:textId="77777777" w:rsidR="00AD219E" w:rsidRDefault="00C26B33" w:rsidP="00C26B33">
      <w:pPr>
        <w:pStyle w:val="ListParagraph"/>
        <w:numPr>
          <w:ilvl w:val="0"/>
          <w:numId w:val="14"/>
        </w:numPr>
      </w:pPr>
      <w:r>
        <w:t xml:space="preserve">The current pay and tax rate is identifiable from their payslip. </w:t>
      </w:r>
    </w:p>
    <w:p w14:paraId="2D6392AC" w14:textId="77777777" w:rsidR="00AD219E" w:rsidRDefault="00C26B33" w:rsidP="00C26B33">
      <w:pPr>
        <w:pStyle w:val="ListParagraph"/>
        <w:numPr>
          <w:ilvl w:val="0"/>
          <w:numId w:val="14"/>
        </w:numPr>
      </w:pPr>
      <w:r>
        <w:t xml:space="preserve">The Super Fund then draws the taxed amount from the Tax Office (net of SG tax).  </w:t>
      </w:r>
    </w:p>
    <w:p w14:paraId="2D6392AD" w14:textId="77777777" w:rsidR="00C26B33" w:rsidRPr="00C26B33" w:rsidRDefault="0084569F" w:rsidP="00C26B33">
      <w:pPr>
        <w:pStyle w:val="ListParagraph"/>
        <w:numPr>
          <w:ilvl w:val="0"/>
          <w:numId w:val="14"/>
        </w:numPr>
      </w:pPr>
      <w:r>
        <w:t>With electronic payslip notification this process can be automated.</w:t>
      </w:r>
    </w:p>
    <w:p w14:paraId="2D6392AE" w14:textId="77777777" w:rsidR="00503643" w:rsidRDefault="00503643" w:rsidP="00AD219E">
      <w:pPr>
        <w:pStyle w:val="Heading2"/>
      </w:pPr>
      <w:r>
        <w:t xml:space="preserve">Self Employed </w:t>
      </w:r>
    </w:p>
    <w:p w14:paraId="2D6392AF" w14:textId="77777777" w:rsidR="00ED4454" w:rsidRDefault="00ED4454" w:rsidP="00CE2AE6">
      <w:pPr>
        <w:spacing w:after="120"/>
      </w:pPr>
      <w:r>
        <w:t>The self-employed (noncorporatised) are not part of the SG system and do not need adjustment.</w:t>
      </w:r>
      <w:r w:rsidR="00D4417A">
        <w:t>Where they choose to contribute to Super t</w:t>
      </w:r>
      <w:r w:rsidR="00CE2AE6">
        <w:t xml:space="preserve">he current system of making a claim for </w:t>
      </w:r>
      <w:r w:rsidR="00D4417A">
        <w:t>a personal deductible contribution can continue.</w:t>
      </w:r>
    </w:p>
    <w:p w14:paraId="2D6392B0" w14:textId="77777777" w:rsidR="00ED4454" w:rsidRDefault="00ED4454" w:rsidP="00AD219E">
      <w:pPr>
        <w:pStyle w:val="Heading2"/>
      </w:pPr>
      <w:r>
        <w:t xml:space="preserve">Corporatised Self-employed. </w:t>
      </w:r>
    </w:p>
    <w:p w14:paraId="2D6392B1" w14:textId="77777777" w:rsidR="00ED4454" w:rsidRDefault="00ED4454" w:rsidP="00ED4454">
      <w:r>
        <w:t xml:space="preserve">There appears no impediment to this category of employee using the overall system. </w:t>
      </w:r>
    </w:p>
    <w:p w14:paraId="2D6392B2" w14:textId="77777777" w:rsidR="00D4417A" w:rsidRDefault="00D4417A" w:rsidP="00D4417A">
      <w:pPr>
        <w:pStyle w:val="Heading2"/>
      </w:pPr>
      <w:r>
        <w:t>SMSFs</w:t>
      </w:r>
    </w:p>
    <w:p w14:paraId="2D6392B3" w14:textId="77777777" w:rsidR="00D4417A" w:rsidRPr="00D4417A" w:rsidRDefault="00D4417A" w:rsidP="00D4417A">
      <w:r>
        <w:t xml:space="preserve">The Superstream e-commerce standards are being extended to SMSFs and they should be able to fit in with the new SG Super payments via PAYG as applicable.  </w:t>
      </w:r>
    </w:p>
    <w:p w14:paraId="2D6392B4" w14:textId="77777777" w:rsidR="00541165" w:rsidRDefault="00541165" w:rsidP="00AD219E">
      <w:pPr>
        <w:pStyle w:val="Heading2"/>
      </w:pPr>
      <w:r>
        <w:t>Defined Benefit</w:t>
      </w:r>
      <w:r w:rsidR="00D93167">
        <w:t>/Payment</w:t>
      </w:r>
      <w:r>
        <w:t xml:space="preserve"> Schemes</w:t>
      </w:r>
    </w:p>
    <w:p w14:paraId="2D6392B5" w14:textId="77777777" w:rsidR="00ED4454" w:rsidRDefault="00D93167" w:rsidP="00ED4454">
      <w:r>
        <w:t xml:space="preserve">Given the complications and variations within this sector of the superannuation system it is beyond the author’s capability to provide </w:t>
      </w:r>
      <w:r w:rsidR="00D4417A">
        <w:t xml:space="preserve">individual </w:t>
      </w:r>
      <w:r>
        <w:t>options. P</w:t>
      </w:r>
      <w:r w:rsidR="000B0EDD">
        <w:t>r</w:t>
      </w:r>
      <w:r>
        <w:t xml:space="preserve">ima facie it appears this system should be adaptable </w:t>
      </w:r>
      <w:r w:rsidR="00D4417A">
        <w:t xml:space="preserve">to the new situation </w:t>
      </w:r>
      <w:r>
        <w:t xml:space="preserve">as the system </w:t>
      </w:r>
      <w:r w:rsidR="000B0EDD">
        <w:t>mainly</w:t>
      </w:r>
      <w:r>
        <w:t xml:space="preserve"> relies on calculation rather than actual cash fl</w:t>
      </w:r>
      <w:r w:rsidR="000B0EDD">
        <w:t>ow and an adjustment the formulae</w:t>
      </w:r>
      <w:r>
        <w:t xml:space="preserve"> may be all that is needed to fit the new system.  COSBOA is open to feedback on any issues found.</w:t>
      </w:r>
    </w:p>
    <w:p w14:paraId="2D6392B6" w14:textId="77777777" w:rsidR="00CE2AE6" w:rsidRDefault="00CE2AE6">
      <w:pPr>
        <w:rPr>
          <w:rFonts w:asciiTheme="majorHAnsi" w:eastAsiaTheme="majorEastAsia" w:hAnsiTheme="majorHAnsi" w:cstheme="majorBidi"/>
          <w:b/>
          <w:bCs/>
          <w:sz w:val="26"/>
          <w:szCs w:val="26"/>
        </w:rPr>
      </w:pPr>
      <w:r>
        <w:br w:type="page"/>
      </w:r>
    </w:p>
    <w:p w14:paraId="2D6392B7" w14:textId="77777777" w:rsidR="00AD219E" w:rsidRPr="00CE2AE6" w:rsidRDefault="00AD219E" w:rsidP="00CE2AE6">
      <w:pPr>
        <w:pStyle w:val="Title"/>
        <w:rPr>
          <w:rStyle w:val="SubtleReference"/>
        </w:rPr>
      </w:pPr>
      <w:r w:rsidRPr="00CE2AE6">
        <w:rPr>
          <w:rStyle w:val="SubtleReference"/>
        </w:rPr>
        <w:lastRenderedPageBreak/>
        <w:t xml:space="preserve">Issues to be </w:t>
      </w:r>
      <w:r w:rsidR="00CE2AE6" w:rsidRPr="00CE2AE6">
        <w:rPr>
          <w:rStyle w:val="SubtleReference"/>
        </w:rPr>
        <w:t>addressed</w:t>
      </w:r>
    </w:p>
    <w:p w14:paraId="2D6392B8" w14:textId="77777777" w:rsidR="00D4417A" w:rsidRDefault="00D4417A" w:rsidP="00CE2AE6">
      <w:pPr>
        <w:pStyle w:val="Heading2"/>
        <w:spacing w:after="120"/>
      </w:pPr>
    </w:p>
    <w:p w14:paraId="2D6392B9" w14:textId="77777777" w:rsidR="0084569F" w:rsidRDefault="0084569F" w:rsidP="00CE2AE6">
      <w:pPr>
        <w:pStyle w:val="Heading2"/>
        <w:spacing w:after="120"/>
      </w:pPr>
      <w:r>
        <w:t>Extension of AWOTE coverage to include Overtime payments.</w:t>
      </w:r>
    </w:p>
    <w:p w14:paraId="2D6392BA" w14:textId="77777777" w:rsidR="0084569F" w:rsidRPr="00C26B33" w:rsidRDefault="0084569F" w:rsidP="0084569F">
      <w:r>
        <w:t xml:space="preserve">To allow the simple application of this process to all employer payments the superannuation guarantee payments would need to cover wages beyond AWOTE. Given there is a rise in the SG rate currently being implemented it is proposed that the final rate is adjusted to balance out the added costs to business. </w:t>
      </w:r>
    </w:p>
    <w:p w14:paraId="2D6392BB" w14:textId="77777777" w:rsidR="00D4417A" w:rsidRDefault="00D4417A" w:rsidP="00CE2AE6">
      <w:pPr>
        <w:pStyle w:val="Heading2"/>
        <w:spacing w:after="120"/>
      </w:pPr>
    </w:p>
    <w:p w14:paraId="2D6392BC" w14:textId="77777777" w:rsidR="0084569F" w:rsidRDefault="0084569F" w:rsidP="00CE2AE6">
      <w:pPr>
        <w:pStyle w:val="Heading2"/>
        <w:spacing w:after="120"/>
      </w:pPr>
      <w:r>
        <w:t xml:space="preserve">Casual employees under $450 per month </w:t>
      </w:r>
    </w:p>
    <w:p w14:paraId="2D6392BD" w14:textId="77777777" w:rsidR="0084569F" w:rsidRDefault="0084569F" w:rsidP="0084569F">
      <w:r>
        <w:t xml:space="preserve">Remove the lower limit on superannuation payments. The cost to a business per employee of approximately $50 per month is more than offset by the removal of the cost of administration of superannuation for all employees. </w:t>
      </w:r>
    </w:p>
    <w:p w14:paraId="2D6392BE" w14:textId="77777777" w:rsidR="00681A94" w:rsidRDefault="00681A94" w:rsidP="0084569F"/>
    <w:p w14:paraId="2D6392BF" w14:textId="77777777" w:rsidR="00681A94" w:rsidRDefault="00681A94" w:rsidP="00681A94">
      <w:pPr>
        <w:pStyle w:val="Heading2"/>
        <w:spacing w:after="120"/>
      </w:pPr>
      <w:r>
        <w:t xml:space="preserve">SBR requirements to allow Straight Through Processing of Payslips </w:t>
      </w:r>
    </w:p>
    <w:p w14:paraId="2D6392C0" w14:textId="77777777" w:rsidR="001A54D2" w:rsidRDefault="001A54D2" w:rsidP="00681A94">
      <w:r>
        <w:t xml:space="preserve">The current Superstream programme aims at standardising the e-commerce systems for transferring superannuation payments between all participants within the industry. COSBOA is of the opinion that once an employee payment (including PAYG tax) has been made and payslip information provided the employer should no longer be part of the administration system associated with those payments.  It is then the responsibility of the employee how that money is handled. </w:t>
      </w:r>
    </w:p>
    <w:p w14:paraId="2D6392C1" w14:textId="77777777" w:rsidR="006B47F6" w:rsidRDefault="001A54D2" w:rsidP="00681A94">
      <w:r>
        <w:t>Given the whole administration system is currently being changed to an e-commerce platform the opportunity should be taken to allow the employee to forward their Gross Wages information to their chosen Super Fund. By adjusting the Superstream process this can be incorporated into the project. As part of normal employment practice the employee can nominate to the employer where they want their payslip information sent</w:t>
      </w:r>
      <w:r w:rsidR="006B47F6">
        <w:t>. The Superfunds arrange directly with the employee for the forwarding of their information and this process should be incorporated into the SBR project currently underway for Superstream.</w:t>
      </w:r>
    </w:p>
    <w:p w14:paraId="2D6392C2" w14:textId="77777777" w:rsidR="00681A94" w:rsidRDefault="00681A94" w:rsidP="00681A94"/>
    <w:p w14:paraId="2D6392C3" w14:textId="77777777" w:rsidR="00EC28FB" w:rsidRDefault="00EC28FB" w:rsidP="00541165">
      <w:pPr>
        <w:jc w:val="both"/>
      </w:pPr>
    </w:p>
    <w:p w14:paraId="2D6392C4" w14:textId="77777777" w:rsidR="007552D0" w:rsidRDefault="007552D0">
      <w:r>
        <w:br w:type="page"/>
      </w:r>
    </w:p>
    <w:p w14:paraId="2D6392C5" w14:textId="77777777" w:rsidR="008A32CC" w:rsidRPr="00D4417A" w:rsidRDefault="00D4417A" w:rsidP="00D4417A">
      <w:pPr>
        <w:pStyle w:val="Title"/>
        <w:rPr>
          <w:rStyle w:val="SubtleReference"/>
        </w:rPr>
      </w:pPr>
      <w:r>
        <w:rPr>
          <w:rStyle w:val="SubtleReference"/>
        </w:rPr>
        <w:lastRenderedPageBreak/>
        <w:t>Breaches and Regulations Removed</w:t>
      </w:r>
    </w:p>
    <w:p w14:paraId="2D6392C6" w14:textId="77777777" w:rsidR="008852AA" w:rsidRDefault="008852AA" w:rsidP="00D4417A">
      <w:pPr>
        <w:spacing w:before="240" w:after="0"/>
        <w:jc w:val="both"/>
      </w:pPr>
      <w:r>
        <w:t>Removal of:</w:t>
      </w:r>
    </w:p>
    <w:p w14:paraId="2D6392C7" w14:textId="77777777" w:rsidR="0084569F" w:rsidRDefault="00E1249F" w:rsidP="0084569F">
      <w:pPr>
        <w:pStyle w:val="ListParagraph"/>
        <w:numPr>
          <w:ilvl w:val="0"/>
          <w:numId w:val="4"/>
        </w:numPr>
        <w:jc w:val="both"/>
      </w:pPr>
      <w:r>
        <w:t xml:space="preserve">Employer </w:t>
      </w:r>
      <w:r w:rsidR="0084569F">
        <w:t>Requirement to choose a Default Super Fund</w:t>
      </w:r>
      <w:r w:rsidR="008852AA">
        <w:t>.</w:t>
      </w:r>
    </w:p>
    <w:p w14:paraId="2D6392C8" w14:textId="77777777" w:rsidR="008852AA" w:rsidRDefault="00E1249F" w:rsidP="008852AA">
      <w:pPr>
        <w:pStyle w:val="ListParagraph"/>
        <w:numPr>
          <w:ilvl w:val="0"/>
          <w:numId w:val="4"/>
        </w:numPr>
        <w:jc w:val="both"/>
      </w:pPr>
      <w:r>
        <w:t xml:space="preserve">Employer </w:t>
      </w:r>
      <w:r w:rsidR="008852AA">
        <w:t>requirement to provide new employees details of the default fund.</w:t>
      </w:r>
    </w:p>
    <w:p w14:paraId="2D6392C9" w14:textId="77777777" w:rsidR="008852AA" w:rsidRDefault="00E1249F" w:rsidP="0084569F">
      <w:pPr>
        <w:pStyle w:val="ListParagraph"/>
        <w:numPr>
          <w:ilvl w:val="0"/>
          <w:numId w:val="4"/>
        </w:numPr>
        <w:jc w:val="both"/>
      </w:pPr>
      <w:r>
        <w:t xml:space="preserve">Employer </w:t>
      </w:r>
      <w:r w:rsidR="008852AA">
        <w:t xml:space="preserve">requirement to choose insurance for an employee in </w:t>
      </w:r>
      <w:r w:rsidR="00907071">
        <w:t xml:space="preserve">the default </w:t>
      </w:r>
      <w:r w:rsidR="008852AA">
        <w:t>super</w:t>
      </w:r>
      <w:r w:rsidR="00907071">
        <w:t xml:space="preserve"> fund</w:t>
      </w:r>
      <w:r w:rsidR="008852AA">
        <w:t>.</w:t>
      </w:r>
    </w:p>
    <w:p w14:paraId="2D6392CA" w14:textId="77777777" w:rsidR="0084569F" w:rsidRDefault="00E1249F" w:rsidP="0084569F">
      <w:pPr>
        <w:pStyle w:val="ListParagraph"/>
        <w:numPr>
          <w:ilvl w:val="0"/>
          <w:numId w:val="4"/>
        </w:numPr>
        <w:jc w:val="both"/>
      </w:pPr>
      <w:r>
        <w:t xml:space="preserve">Employer </w:t>
      </w:r>
      <w:r w:rsidR="0084569F">
        <w:t>requirement to provide a “Choice of Super” form to a new employee</w:t>
      </w:r>
      <w:r w:rsidR="008852AA">
        <w:t>.</w:t>
      </w:r>
    </w:p>
    <w:p w14:paraId="2D6392CB" w14:textId="77777777" w:rsidR="0084569F" w:rsidRDefault="00E1249F" w:rsidP="0084569F">
      <w:pPr>
        <w:pStyle w:val="ListParagraph"/>
        <w:numPr>
          <w:ilvl w:val="0"/>
          <w:numId w:val="4"/>
        </w:numPr>
        <w:jc w:val="both"/>
      </w:pPr>
      <w:r>
        <w:t xml:space="preserve">Employer </w:t>
      </w:r>
      <w:r w:rsidR="00C614BD">
        <w:t xml:space="preserve">Requirement to wait up to </w:t>
      </w:r>
      <w:r w:rsidR="0084569F">
        <w:t>30 day</w:t>
      </w:r>
      <w:r w:rsidR="00C614BD">
        <w:t>s</w:t>
      </w:r>
      <w:r w:rsidR="00F564AC">
        <w:t xml:space="preserve"> </w:t>
      </w:r>
      <w:r w:rsidR="00C614BD">
        <w:t>for a Choice form to be returned (if at all) before</w:t>
      </w:r>
      <w:r w:rsidR="0084569F">
        <w:t xml:space="preserve"> finalising </w:t>
      </w:r>
      <w:r w:rsidR="00C614BD">
        <w:t xml:space="preserve">the </w:t>
      </w:r>
      <w:r w:rsidR="0084569F">
        <w:t>new employee start up process</w:t>
      </w:r>
      <w:r w:rsidR="00C614BD">
        <w:t xml:space="preserve">. </w:t>
      </w:r>
    </w:p>
    <w:p w14:paraId="2D6392CC" w14:textId="77777777" w:rsidR="00EA294D" w:rsidRDefault="00907071" w:rsidP="0084569F">
      <w:pPr>
        <w:pStyle w:val="ListParagraph"/>
        <w:numPr>
          <w:ilvl w:val="0"/>
          <w:numId w:val="4"/>
        </w:numPr>
        <w:jc w:val="both"/>
      </w:pPr>
      <w:r>
        <w:t>Requirement for s</w:t>
      </w:r>
      <w:r w:rsidR="00EA294D">
        <w:t>eparate</w:t>
      </w:r>
      <w:r>
        <w:t xml:space="preserve"> administration of</w:t>
      </w:r>
      <w:r w:rsidR="00EA294D">
        <w:t xml:space="preserve"> “No TFN provided” </w:t>
      </w:r>
      <w:r>
        <w:t>situations</w:t>
      </w:r>
      <w:r w:rsidR="00EA294D">
        <w:t xml:space="preserve"> for Super and wages.</w:t>
      </w:r>
    </w:p>
    <w:p w14:paraId="2D6392CD" w14:textId="77777777" w:rsidR="008852AA" w:rsidRDefault="00907071" w:rsidP="0084569F">
      <w:pPr>
        <w:pStyle w:val="ListParagraph"/>
        <w:numPr>
          <w:ilvl w:val="0"/>
          <w:numId w:val="4"/>
        </w:numPr>
        <w:jc w:val="both"/>
      </w:pPr>
      <w:r>
        <w:t xml:space="preserve">Requirement for extra </w:t>
      </w:r>
      <w:r w:rsidR="00E1249F">
        <w:t xml:space="preserve">Employer </w:t>
      </w:r>
      <w:r w:rsidR="008852AA">
        <w:t xml:space="preserve">admin </w:t>
      </w:r>
      <w:r>
        <w:t>each time an employee changed funds</w:t>
      </w:r>
      <w:r w:rsidR="008852AA">
        <w:t>.</w:t>
      </w:r>
    </w:p>
    <w:p w14:paraId="2D6392CE" w14:textId="77777777" w:rsidR="00C614BD" w:rsidRDefault="00E1249F" w:rsidP="0084569F">
      <w:pPr>
        <w:pStyle w:val="ListParagraph"/>
        <w:numPr>
          <w:ilvl w:val="0"/>
          <w:numId w:val="4"/>
        </w:numPr>
        <w:jc w:val="both"/>
      </w:pPr>
      <w:r>
        <w:t xml:space="preserve">Employer </w:t>
      </w:r>
      <w:r w:rsidR="00C614BD">
        <w:t>Uncertainty as to what Super Fund an employee will choose or change to.</w:t>
      </w:r>
    </w:p>
    <w:p w14:paraId="2D6392CF" w14:textId="77777777" w:rsidR="0084569F" w:rsidRDefault="00E1249F" w:rsidP="0084569F">
      <w:pPr>
        <w:pStyle w:val="ListParagraph"/>
        <w:numPr>
          <w:ilvl w:val="0"/>
          <w:numId w:val="4"/>
        </w:numPr>
        <w:jc w:val="both"/>
      </w:pPr>
      <w:r>
        <w:t>Employer</w:t>
      </w:r>
      <w:r w:rsidR="00295748">
        <w:t xml:space="preserve"> “Choice Liability” breach and associated fines.</w:t>
      </w:r>
    </w:p>
    <w:p w14:paraId="2D6392D0" w14:textId="77777777" w:rsidR="00295748" w:rsidRDefault="00E1249F" w:rsidP="0084569F">
      <w:pPr>
        <w:pStyle w:val="ListParagraph"/>
        <w:numPr>
          <w:ilvl w:val="0"/>
          <w:numId w:val="4"/>
        </w:numPr>
        <w:jc w:val="both"/>
      </w:pPr>
      <w:r>
        <w:t xml:space="preserve">Employer </w:t>
      </w:r>
      <w:r w:rsidR="00295748">
        <w:t>superannuation liability charge statement</w:t>
      </w:r>
      <w:r w:rsidR="008852AA">
        <w:t>.</w:t>
      </w:r>
    </w:p>
    <w:p w14:paraId="2D6392D1" w14:textId="77777777" w:rsidR="00295748" w:rsidRDefault="00D4417A" w:rsidP="0084569F">
      <w:pPr>
        <w:pStyle w:val="ListParagraph"/>
        <w:numPr>
          <w:ilvl w:val="0"/>
          <w:numId w:val="4"/>
        </w:numPr>
        <w:jc w:val="both"/>
      </w:pPr>
      <w:r>
        <w:t>All</w:t>
      </w:r>
      <w:r w:rsidR="00E1249F">
        <w:t xml:space="preserve">Employer </w:t>
      </w:r>
      <w:r w:rsidR="008852AA">
        <w:t xml:space="preserve">correspondence with </w:t>
      </w:r>
      <w:r w:rsidR="00C614BD">
        <w:t xml:space="preserve">potentially </w:t>
      </w:r>
      <w:r>
        <w:t>multiple</w:t>
      </w:r>
      <w:r w:rsidR="008852AA">
        <w:t xml:space="preserve"> Superannuation funds.</w:t>
      </w:r>
    </w:p>
    <w:p w14:paraId="2D6392D2" w14:textId="77777777" w:rsidR="008F06DA" w:rsidRDefault="00C614BD" w:rsidP="0084569F">
      <w:pPr>
        <w:pStyle w:val="ListParagraph"/>
        <w:numPr>
          <w:ilvl w:val="0"/>
          <w:numId w:val="4"/>
        </w:numPr>
        <w:jc w:val="both"/>
      </w:pPr>
      <w:r>
        <w:t>VariousSuper funds demands</w:t>
      </w:r>
      <w:r w:rsidR="008F06DA">
        <w:t xml:space="preserve"> for a </w:t>
      </w:r>
      <w:r>
        <w:t xml:space="preserve">signed </w:t>
      </w:r>
      <w:r w:rsidR="008F06DA">
        <w:t>contract</w:t>
      </w:r>
      <w:r w:rsidR="00E1249F">
        <w:t xml:space="preserve"> with the Employer</w:t>
      </w:r>
      <w:r w:rsidR="008F06DA">
        <w:t xml:space="preserve"> to provide a default fund</w:t>
      </w:r>
    </w:p>
    <w:p w14:paraId="2D6392D3" w14:textId="77777777" w:rsidR="00C614BD" w:rsidRDefault="00C614BD" w:rsidP="0084569F">
      <w:pPr>
        <w:pStyle w:val="ListParagraph"/>
        <w:numPr>
          <w:ilvl w:val="0"/>
          <w:numId w:val="4"/>
        </w:numPr>
        <w:jc w:val="both"/>
      </w:pPr>
      <w:r>
        <w:t xml:space="preserve">Various Super funds demands for a signed contract </w:t>
      </w:r>
      <w:r w:rsidR="00E1249F">
        <w:t xml:space="preserve">with the Employer </w:t>
      </w:r>
      <w:r>
        <w:t xml:space="preserve">to provide a </w:t>
      </w:r>
      <w:r w:rsidR="00EA294D">
        <w:t>“Choice”</w:t>
      </w:r>
      <w:r>
        <w:t xml:space="preserve"> fund</w:t>
      </w:r>
      <w:r w:rsidR="00EA294D">
        <w:t xml:space="preserve"> for employees who choose their fund.</w:t>
      </w:r>
    </w:p>
    <w:p w14:paraId="2D6392D4" w14:textId="77777777" w:rsidR="008852AA" w:rsidRDefault="008F06DA" w:rsidP="0084569F">
      <w:pPr>
        <w:pStyle w:val="ListParagraph"/>
        <w:numPr>
          <w:ilvl w:val="0"/>
          <w:numId w:val="4"/>
        </w:numPr>
        <w:jc w:val="both"/>
      </w:pPr>
      <w:r>
        <w:t>“</w:t>
      </w:r>
      <w:r w:rsidR="008852AA">
        <w:t>administrative penalties</w:t>
      </w:r>
      <w:r>
        <w:t>”</w:t>
      </w:r>
      <w:r w:rsidR="00E1249F">
        <w:t xml:space="preserve">on Employers </w:t>
      </w:r>
      <w:r w:rsidR="008852AA">
        <w:t>around superannuation breaches</w:t>
      </w:r>
    </w:p>
    <w:p w14:paraId="2D6392D5" w14:textId="4EED3AA8" w:rsidR="008852AA" w:rsidRDefault="008852AA" w:rsidP="0084569F">
      <w:pPr>
        <w:pStyle w:val="ListParagraph"/>
        <w:numPr>
          <w:ilvl w:val="0"/>
          <w:numId w:val="4"/>
        </w:numPr>
        <w:jc w:val="both"/>
      </w:pPr>
      <w:r>
        <w:t xml:space="preserve">“failure to keep </w:t>
      </w:r>
      <w:r w:rsidR="00E1249F">
        <w:t xml:space="preserve">Superannuation </w:t>
      </w:r>
      <w:r>
        <w:t>records</w:t>
      </w:r>
      <w:r w:rsidR="00C77B80">
        <w:t>”</w:t>
      </w:r>
      <w:r w:rsidR="004917D7">
        <w:t xml:space="preserve"> </w:t>
      </w:r>
      <w:r>
        <w:t>fines</w:t>
      </w:r>
      <w:r w:rsidR="00E1249F">
        <w:t>.</w:t>
      </w:r>
    </w:p>
    <w:p w14:paraId="2D6392D6" w14:textId="77777777" w:rsidR="001E36DE" w:rsidRDefault="00E1249F" w:rsidP="0084569F">
      <w:pPr>
        <w:pStyle w:val="ListParagraph"/>
        <w:numPr>
          <w:ilvl w:val="0"/>
          <w:numId w:val="4"/>
        </w:numPr>
        <w:jc w:val="both"/>
      </w:pPr>
      <w:r>
        <w:t xml:space="preserve">Employer  </w:t>
      </w:r>
      <w:r w:rsidR="00EA294D">
        <w:t>“</w:t>
      </w:r>
      <w:r w:rsidR="001E36DE">
        <w:t>Late payment</w:t>
      </w:r>
      <w:r w:rsidR="00EA294D">
        <w:t>”</w:t>
      </w:r>
      <w:r w:rsidR="001E36DE">
        <w:t xml:space="preserve"> breaches</w:t>
      </w:r>
    </w:p>
    <w:p w14:paraId="2D6392D7" w14:textId="77777777" w:rsidR="001E36DE" w:rsidRDefault="00E1249F" w:rsidP="0084569F">
      <w:pPr>
        <w:pStyle w:val="ListParagraph"/>
        <w:numPr>
          <w:ilvl w:val="0"/>
          <w:numId w:val="4"/>
        </w:numPr>
        <w:jc w:val="both"/>
      </w:pPr>
      <w:r>
        <w:t xml:space="preserve">Employer  </w:t>
      </w:r>
      <w:r w:rsidR="00EA294D">
        <w:t>“</w:t>
      </w:r>
      <w:r w:rsidR="001E36DE">
        <w:t>Incorrect amount paid</w:t>
      </w:r>
      <w:r w:rsidR="00EA294D">
        <w:t>”</w:t>
      </w:r>
      <w:r w:rsidR="001E36DE">
        <w:t xml:space="preserve"> breach</w:t>
      </w:r>
    </w:p>
    <w:p w14:paraId="2D6392D8" w14:textId="77777777" w:rsidR="008F06DA" w:rsidRDefault="00E1249F" w:rsidP="0084569F">
      <w:pPr>
        <w:pStyle w:val="ListParagraph"/>
        <w:numPr>
          <w:ilvl w:val="0"/>
          <w:numId w:val="4"/>
        </w:numPr>
        <w:jc w:val="both"/>
      </w:pPr>
      <w:r>
        <w:t>Employer  requirement to l</w:t>
      </w:r>
      <w:r w:rsidR="008F06DA">
        <w:t>odge a superannuation guarantee charge statement</w:t>
      </w:r>
    </w:p>
    <w:p w14:paraId="2D6392D9" w14:textId="77777777" w:rsidR="008852AA" w:rsidRPr="008852AA" w:rsidRDefault="008852AA" w:rsidP="008852AA">
      <w:pPr>
        <w:pStyle w:val="ListParagraph"/>
        <w:numPr>
          <w:ilvl w:val="0"/>
          <w:numId w:val="4"/>
        </w:numPr>
        <w:jc w:val="both"/>
      </w:pPr>
      <w:r>
        <w:t>“</w:t>
      </w:r>
      <w:r w:rsidRPr="008852AA">
        <w:t>Not providing a Superannuation guarantee charge statement</w:t>
      </w:r>
      <w:r>
        <w:t>” fines</w:t>
      </w:r>
      <w:r w:rsidRPr="008852AA">
        <w:t> </w:t>
      </w:r>
    </w:p>
    <w:p w14:paraId="2D6392DA" w14:textId="77777777" w:rsidR="008852AA" w:rsidRDefault="008F06DA" w:rsidP="0084569F">
      <w:pPr>
        <w:pStyle w:val="ListParagraph"/>
        <w:numPr>
          <w:ilvl w:val="0"/>
          <w:numId w:val="4"/>
        </w:numPr>
        <w:jc w:val="both"/>
      </w:pPr>
      <w:r>
        <w:t>Lodgement of “Superannuation Guarantee late payment offset election” form</w:t>
      </w:r>
    </w:p>
    <w:p w14:paraId="2D6392DB" w14:textId="77777777" w:rsidR="008F06DA" w:rsidRDefault="00E1249F" w:rsidP="0084569F">
      <w:pPr>
        <w:pStyle w:val="ListParagraph"/>
        <w:numPr>
          <w:ilvl w:val="0"/>
          <w:numId w:val="4"/>
        </w:numPr>
        <w:jc w:val="both"/>
      </w:pPr>
      <w:r>
        <w:t xml:space="preserve">Employer </w:t>
      </w:r>
      <w:r w:rsidR="008F06DA">
        <w:t>Requirement to provide employee TFN details to Super Funds</w:t>
      </w:r>
    </w:p>
    <w:p w14:paraId="2D6392DC" w14:textId="77777777" w:rsidR="008F06DA" w:rsidRDefault="008F06DA" w:rsidP="0084569F">
      <w:pPr>
        <w:pStyle w:val="ListParagraph"/>
        <w:numPr>
          <w:ilvl w:val="0"/>
          <w:numId w:val="4"/>
        </w:numPr>
        <w:jc w:val="both"/>
      </w:pPr>
      <w:r>
        <w:t>The need to advise Super Funds when employees are not paid super</w:t>
      </w:r>
      <w:r w:rsidR="00EA294D">
        <w:t xml:space="preserve"> or face legal demands</w:t>
      </w:r>
      <w:r>
        <w:t>.</w:t>
      </w:r>
    </w:p>
    <w:p w14:paraId="2D6392DD" w14:textId="77777777" w:rsidR="008F06DA" w:rsidRDefault="00E1249F" w:rsidP="0084569F">
      <w:pPr>
        <w:pStyle w:val="ListParagraph"/>
        <w:numPr>
          <w:ilvl w:val="0"/>
          <w:numId w:val="4"/>
        </w:numPr>
        <w:jc w:val="both"/>
      </w:pPr>
      <w:r>
        <w:t xml:space="preserve">Employer </w:t>
      </w:r>
      <w:r w:rsidR="00FE5925">
        <w:t xml:space="preserve">Reporting Superannuation on </w:t>
      </w:r>
      <w:r w:rsidR="001E36DE">
        <w:t xml:space="preserve">annual </w:t>
      </w:r>
      <w:r w:rsidR="00FE5925">
        <w:t xml:space="preserve">Tax Office employee </w:t>
      </w:r>
      <w:r w:rsidR="001E36DE">
        <w:t>payment summary</w:t>
      </w:r>
    </w:p>
    <w:p w14:paraId="2D6392DE" w14:textId="77777777" w:rsidR="001E36DE" w:rsidRDefault="00E1249F" w:rsidP="0084569F">
      <w:pPr>
        <w:pStyle w:val="ListParagraph"/>
        <w:numPr>
          <w:ilvl w:val="0"/>
          <w:numId w:val="4"/>
        </w:numPr>
        <w:jc w:val="both"/>
      </w:pPr>
      <w:r>
        <w:t xml:space="preserve">Employer </w:t>
      </w:r>
      <w:r w:rsidR="00EA294D">
        <w:t xml:space="preserve">Providing </w:t>
      </w:r>
      <w:r w:rsidR="001E36DE">
        <w:t>Confusing and complicated superannuation details on pay slips</w:t>
      </w:r>
      <w:r w:rsidR="00EA294D">
        <w:t>.</w:t>
      </w:r>
    </w:p>
    <w:p w14:paraId="2D6392DF" w14:textId="77777777" w:rsidR="00EA294D" w:rsidRDefault="00E1249F" w:rsidP="0084569F">
      <w:pPr>
        <w:pStyle w:val="ListParagraph"/>
        <w:numPr>
          <w:ilvl w:val="0"/>
          <w:numId w:val="4"/>
        </w:numPr>
        <w:jc w:val="both"/>
      </w:pPr>
      <w:r>
        <w:t xml:space="preserve">Employer  </w:t>
      </w:r>
      <w:r w:rsidR="00EA294D">
        <w:t>Breaches for providing incorrect superannuation details on a pay slip</w:t>
      </w:r>
    </w:p>
    <w:p w14:paraId="2D6392E0" w14:textId="77777777" w:rsidR="001E36DE" w:rsidRDefault="001E36DE" w:rsidP="0084569F">
      <w:pPr>
        <w:pStyle w:val="ListParagraph"/>
        <w:numPr>
          <w:ilvl w:val="0"/>
          <w:numId w:val="4"/>
        </w:numPr>
        <w:jc w:val="both"/>
      </w:pPr>
      <w:r>
        <w:t>Separate administration of superannuation liabilities</w:t>
      </w:r>
    </w:p>
    <w:p w14:paraId="2D6392E1" w14:textId="77777777" w:rsidR="001E36DE" w:rsidRDefault="001E36DE" w:rsidP="0084569F">
      <w:pPr>
        <w:pStyle w:val="ListParagraph"/>
        <w:numPr>
          <w:ilvl w:val="0"/>
          <w:numId w:val="4"/>
        </w:numPr>
        <w:jc w:val="both"/>
      </w:pPr>
      <w:r>
        <w:t>Separate calculations of super liabilities</w:t>
      </w:r>
    </w:p>
    <w:p w14:paraId="2D6392E2" w14:textId="77777777" w:rsidR="00D4417A" w:rsidRDefault="00D4417A">
      <w:pPr>
        <w:rPr>
          <w:rFonts w:asciiTheme="majorHAnsi" w:eastAsiaTheme="majorEastAsia" w:hAnsiTheme="majorHAnsi" w:cstheme="majorBidi"/>
          <w:b/>
          <w:bCs/>
          <w:sz w:val="26"/>
          <w:szCs w:val="26"/>
        </w:rPr>
      </w:pPr>
      <w:r>
        <w:br w:type="page"/>
      </w:r>
    </w:p>
    <w:p w14:paraId="2D6392E3" w14:textId="77777777" w:rsidR="00EA294D" w:rsidRDefault="00EA294D" w:rsidP="00D4417A">
      <w:pPr>
        <w:pStyle w:val="Title"/>
        <w:rPr>
          <w:rStyle w:val="SubtleReference"/>
        </w:rPr>
      </w:pPr>
      <w:r w:rsidRPr="00D4417A">
        <w:rPr>
          <w:rStyle w:val="SubtleReference"/>
        </w:rPr>
        <w:lastRenderedPageBreak/>
        <w:t>Administrative improvements:</w:t>
      </w:r>
    </w:p>
    <w:p w14:paraId="2D6392E4" w14:textId="77777777" w:rsidR="00D4417A" w:rsidRPr="00D4417A" w:rsidRDefault="00D4417A" w:rsidP="00D4417A"/>
    <w:p w14:paraId="2D6392E5" w14:textId="77777777" w:rsidR="0042254A" w:rsidRDefault="00A1679B" w:rsidP="00EA294D">
      <w:pPr>
        <w:pStyle w:val="ListParagraph"/>
        <w:numPr>
          <w:ilvl w:val="0"/>
          <w:numId w:val="4"/>
        </w:numPr>
        <w:jc w:val="both"/>
      </w:pPr>
      <w:r>
        <w:t>Simple</w:t>
      </w:r>
      <w:r w:rsidR="0042254A">
        <w:t xml:space="preserve"> collection of Superannuation </w:t>
      </w:r>
      <w:r>
        <w:t xml:space="preserve">obligation </w:t>
      </w:r>
      <w:r w:rsidR="0042254A">
        <w:t>rather than a separate and potentially confusing employer obligation</w:t>
      </w:r>
    </w:p>
    <w:p w14:paraId="2D6392E6" w14:textId="77777777" w:rsidR="00EA294D" w:rsidRDefault="00EA294D" w:rsidP="00EA294D">
      <w:pPr>
        <w:pStyle w:val="ListParagraph"/>
        <w:numPr>
          <w:ilvl w:val="0"/>
          <w:numId w:val="4"/>
        </w:numPr>
        <w:jc w:val="both"/>
      </w:pPr>
      <w:r>
        <w:t xml:space="preserve">Immediate Tax Office collection of SG tax. </w:t>
      </w:r>
    </w:p>
    <w:p w14:paraId="2D6392E7" w14:textId="77777777" w:rsidR="00EA294D" w:rsidRDefault="00EA294D" w:rsidP="00EA294D">
      <w:pPr>
        <w:pStyle w:val="ListParagraph"/>
        <w:numPr>
          <w:ilvl w:val="0"/>
          <w:numId w:val="4"/>
        </w:numPr>
        <w:jc w:val="both"/>
      </w:pPr>
      <w:r>
        <w:t>Immediate Tax Office collection of Lost Super where casual employees ignore small amounts of Super as they move to other jobs</w:t>
      </w:r>
      <w:r w:rsidR="00A1679B">
        <w:t xml:space="preserve"> and don’t register their payslips with their super fund. </w:t>
      </w:r>
    </w:p>
    <w:p w14:paraId="2D6392E8" w14:textId="77777777" w:rsidR="00EA294D" w:rsidRDefault="00EA294D" w:rsidP="00EA294D">
      <w:pPr>
        <w:pStyle w:val="ListParagraph"/>
        <w:numPr>
          <w:ilvl w:val="0"/>
          <w:numId w:val="4"/>
        </w:numPr>
        <w:jc w:val="both"/>
      </w:pPr>
      <w:r>
        <w:t xml:space="preserve">Immediate Tax Office collection </w:t>
      </w:r>
      <w:r w:rsidR="006B47F6">
        <w:t xml:space="preserve">of </w:t>
      </w:r>
      <w:r>
        <w:t>“No TFN provided” amounts</w:t>
      </w:r>
    </w:p>
    <w:p w14:paraId="2D6392E9" w14:textId="77777777" w:rsidR="00EA294D" w:rsidRDefault="007552D0" w:rsidP="00EA294D">
      <w:pPr>
        <w:pStyle w:val="ListParagraph"/>
        <w:numPr>
          <w:ilvl w:val="0"/>
          <w:numId w:val="4"/>
        </w:numPr>
        <w:jc w:val="both"/>
      </w:pPr>
      <w:r>
        <w:t xml:space="preserve">Direct and timely </w:t>
      </w:r>
      <w:r w:rsidR="00EA294D">
        <w:t xml:space="preserve"> Tax Office </w:t>
      </w:r>
      <w:r w:rsidR="0042254A">
        <w:t xml:space="preserve">involvement in </w:t>
      </w:r>
      <w:r w:rsidR="00EA294D">
        <w:t>un</w:t>
      </w:r>
      <w:r w:rsidR="0042254A">
        <w:t>paid Super situations</w:t>
      </w:r>
    </w:p>
    <w:p w14:paraId="2D6392EA" w14:textId="77777777" w:rsidR="006B47F6" w:rsidRDefault="006B47F6" w:rsidP="00EA294D">
      <w:pPr>
        <w:pStyle w:val="ListParagraph"/>
        <w:numPr>
          <w:ilvl w:val="0"/>
          <w:numId w:val="4"/>
        </w:numPr>
        <w:jc w:val="both"/>
      </w:pPr>
      <w:r>
        <w:t>Hundreds of millions of unnecessary repetitive transactions eliminated realising extensive administrative cost savings.</w:t>
      </w:r>
    </w:p>
    <w:p w14:paraId="2D6392EB" w14:textId="77777777" w:rsidR="007552D0" w:rsidRDefault="007552D0" w:rsidP="00AD219E">
      <w:pPr>
        <w:pStyle w:val="ListParagraph"/>
        <w:jc w:val="both"/>
      </w:pPr>
    </w:p>
    <w:p w14:paraId="2D6392EC" w14:textId="77777777" w:rsidR="001E36DE" w:rsidRDefault="001E36DE" w:rsidP="00EA294D">
      <w:pPr>
        <w:pStyle w:val="ListParagraph"/>
        <w:jc w:val="both"/>
      </w:pPr>
    </w:p>
    <w:p w14:paraId="2D6392ED" w14:textId="77777777" w:rsidR="00DE6FBC" w:rsidRDefault="00DE6FBC" w:rsidP="00DE6FBC">
      <w:pPr>
        <w:pStyle w:val="Title"/>
        <w:rPr>
          <w:rStyle w:val="SubtleReference"/>
        </w:rPr>
      </w:pPr>
      <w:r>
        <w:rPr>
          <w:rStyle w:val="SubtleReference"/>
        </w:rPr>
        <w:t>Improved connection of super member</w:t>
      </w:r>
      <w:r w:rsidR="00010528">
        <w:rPr>
          <w:rStyle w:val="SubtleReference"/>
        </w:rPr>
        <w:t>s</w:t>
      </w:r>
      <w:r w:rsidRPr="00D4417A">
        <w:rPr>
          <w:rStyle w:val="SubtleReference"/>
        </w:rPr>
        <w:t>:</w:t>
      </w:r>
    </w:p>
    <w:p w14:paraId="2D6392EE" w14:textId="77777777" w:rsidR="00010528" w:rsidRDefault="00DE6FBC" w:rsidP="00010528">
      <w:pPr>
        <w:pStyle w:val="ListParagraph"/>
        <w:ind w:left="0"/>
        <w:jc w:val="both"/>
      </w:pPr>
      <w:r>
        <w:t xml:space="preserve">One </w:t>
      </w:r>
      <w:r w:rsidR="00010528">
        <w:t xml:space="preserve">of the </w:t>
      </w:r>
      <w:r>
        <w:t xml:space="preserve">major </w:t>
      </w:r>
      <w:r w:rsidR="00010528">
        <w:t>failures of the superannuation system is the sense of ownership employees have for their Super. Despite the “Choice of Super” regime and extensive advertising very few Australians have a sense of significant ownership of their superannuation. When they do gain a sense of ownership many then move their super into their own SMSF.</w:t>
      </w:r>
    </w:p>
    <w:p w14:paraId="2D6392EF" w14:textId="77777777" w:rsidR="00010528" w:rsidRDefault="00010528" w:rsidP="00010528">
      <w:pPr>
        <w:pStyle w:val="ListParagraph"/>
        <w:ind w:left="0"/>
        <w:jc w:val="both"/>
      </w:pPr>
    </w:p>
    <w:p w14:paraId="2D6392F0" w14:textId="77777777" w:rsidR="00010528" w:rsidRDefault="00010528" w:rsidP="00010528">
      <w:pPr>
        <w:pStyle w:val="ListParagraph"/>
        <w:ind w:left="0"/>
        <w:jc w:val="both"/>
      </w:pPr>
      <w:r>
        <w:t xml:space="preserve">COSBOA believes this is primarily due to the complete disconnect that employees have with their super from their very first day of employment because; </w:t>
      </w:r>
    </w:p>
    <w:p w14:paraId="2D6392F1" w14:textId="77777777" w:rsidR="00010528" w:rsidRDefault="00010528" w:rsidP="00010528">
      <w:pPr>
        <w:pStyle w:val="ListParagraph"/>
        <w:numPr>
          <w:ilvl w:val="0"/>
          <w:numId w:val="15"/>
        </w:numPr>
        <w:jc w:val="both"/>
      </w:pPr>
      <w:r>
        <w:t xml:space="preserve">The concept of an “Employer” Default Super fund immediately divorces the employee from this payment. </w:t>
      </w:r>
    </w:p>
    <w:p w14:paraId="2D6392F2" w14:textId="77777777" w:rsidR="00010528" w:rsidRDefault="00010528" w:rsidP="00010528">
      <w:pPr>
        <w:pStyle w:val="ListParagraph"/>
        <w:numPr>
          <w:ilvl w:val="0"/>
          <w:numId w:val="15"/>
        </w:numPr>
        <w:jc w:val="both"/>
      </w:pPr>
      <w:r>
        <w:t xml:space="preserve">The fact that in many cases making a Choice of their fund is taken away from them because they think an Award directs where their Super should go further distances them from involvement </w:t>
      </w:r>
    </w:p>
    <w:p w14:paraId="2D6392F3" w14:textId="77777777" w:rsidR="00DE6FBC" w:rsidRDefault="00010528" w:rsidP="00010528">
      <w:pPr>
        <w:pStyle w:val="ListParagraph"/>
        <w:numPr>
          <w:ilvl w:val="0"/>
          <w:numId w:val="15"/>
        </w:numPr>
        <w:jc w:val="both"/>
      </w:pPr>
      <w:r>
        <w:t>The fact they are rarely if ever involved in directing where the payment of their Super should go gives them no immediate or continuing connection with their funds.</w:t>
      </w:r>
    </w:p>
    <w:p w14:paraId="2D6392F4" w14:textId="77777777" w:rsidR="00010528" w:rsidRDefault="00EF42DF" w:rsidP="00010528">
      <w:pPr>
        <w:jc w:val="both"/>
      </w:pPr>
      <w:r>
        <w:t>The recommended process of in the first instance sending employee super to the ATO and having the ATO directly contact the employee asking for direction as to where to send their super or it will be held by the tax office immediately and starkly brings this choice to the Employee. Ownership of their Super becomes real, no one wants to willingly leave extra funds with the ATO.</w:t>
      </w:r>
    </w:p>
    <w:p w14:paraId="2D6392F5" w14:textId="77777777" w:rsidR="00EF42DF" w:rsidRDefault="00EF42DF" w:rsidP="00010528">
      <w:pPr>
        <w:jc w:val="both"/>
      </w:pPr>
      <w:r>
        <w:t>This process also introduces real competition into the Super Industry with each fund needing to vie with others to educate and attract employees to consider nominating their fund as their Choice.</w:t>
      </w:r>
    </w:p>
    <w:p w14:paraId="2D6392F6" w14:textId="77777777" w:rsidR="00EF42DF" w:rsidRDefault="00EF42DF" w:rsidP="00010528">
      <w:pPr>
        <w:jc w:val="both"/>
      </w:pPr>
      <w:r>
        <w:t>A win win situation, employers are removed from the process and employees much more firmly connected to their Super.</w:t>
      </w:r>
    </w:p>
    <w:p w14:paraId="2D6392F7" w14:textId="77777777" w:rsidR="004D7F22" w:rsidRDefault="004D7F22" w:rsidP="004D7F22">
      <w:pPr>
        <w:sectPr w:rsidR="004D7F22" w:rsidSect="00CE2AE6">
          <w:pgSz w:w="11906" w:h="16838"/>
          <w:pgMar w:top="1440" w:right="991" w:bottom="851" w:left="1276" w:header="708" w:footer="708" w:gutter="0"/>
          <w:cols w:space="708"/>
          <w:docGrid w:linePitch="360"/>
        </w:sectPr>
      </w:pPr>
      <w:r>
        <w:br w:type="page"/>
      </w:r>
    </w:p>
    <w:p w14:paraId="2D6392F8" w14:textId="77777777" w:rsidR="004D7F22" w:rsidRDefault="006B47F6" w:rsidP="004D7F22">
      <w:pPr>
        <w:pStyle w:val="Heading2"/>
        <w:jc w:val="center"/>
      </w:pPr>
      <w:r>
        <w:lastRenderedPageBreak/>
        <w:t xml:space="preserve">Attachment 1: </w:t>
      </w:r>
      <w:r w:rsidR="004D7F22">
        <w:t xml:space="preserve">Employer Superannuation Guarantee Payments via </w:t>
      </w:r>
      <w:r w:rsidR="00CE2AE6">
        <w:t xml:space="preserve">PAYG </w:t>
      </w:r>
      <w:r w:rsidR="004D7F22">
        <w:t>Tax</w:t>
      </w:r>
    </w:p>
    <w:p w14:paraId="2D6392F9" w14:textId="77777777" w:rsidR="004D7F22" w:rsidRDefault="00CE2AE6" w:rsidP="004D7F22">
      <w:r>
        <w:rPr>
          <w:noProof/>
          <w:lang w:eastAsia="en-AU"/>
        </w:rPr>
        <w:drawing>
          <wp:anchor distT="0" distB="0" distL="114300" distR="114300" simplePos="0" relativeHeight="251663360" behindDoc="0" locked="0" layoutInCell="1" allowOverlap="1" wp14:anchorId="2D639311" wp14:editId="2D639312">
            <wp:simplePos x="0" y="0"/>
            <wp:positionH relativeFrom="column">
              <wp:posOffset>195580</wp:posOffset>
            </wp:positionH>
            <wp:positionV relativeFrom="paragraph">
              <wp:posOffset>297180</wp:posOffset>
            </wp:positionV>
            <wp:extent cx="8579485" cy="5401945"/>
            <wp:effectExtent l="19050" t="19050" r="12065" b="273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0820 payg_with_super.jpg"/>
                    <pic:cNvPicPr/>
                  </pic:nvPicPr>
                  <pic:blipFill>
                    <a:blip r:embed="rId8">
                      <a:extLst>
                        <a:ext uri="{28A0092B-C50C-407E-A947-70E740481C1C}">
                          <a14:useLocalDpi xmlns:a14="http://schemas.microsoft.com/office/drawing/2010/main" val="0"/>
                        </a:ext>
                      </a:extLst>
                    </a:blip>
                    <a:stretch>
                      <a:fillRect/>
                    </a:stretch>
                  </pic:blipFill>
                  <pic:spPr>
                    <a:xfrm>
                      <a:off x="0" y="0"/>
                      <a:ext cx="8579485" cy="5401945"/>
                    </a:xfrm>
                    <a:prstGeom prst="rect">
                      <a:avLst/>
                    </a:prstGeom>
                    <a:ln>
                      <a:solidFill>
                        <a:schemeClr val="tx1"/>
                      </a:solidFill>
                    </a:ln>
                  </pic:spPr>
                </pic:pic>
              </a:graphicData>
            </a:graphic>
          </wp:anchor>
        </w:drawing>
      </w:r>
    </w:p>
    <w:p w14:paraId="2D6392FA" w14:textId="77777777" w:rsidR="004D7F22" w:rsidRDefault="004D7F22" w:rsidP="004D7F22"/>
    <w:p w14:paraId="2D6392FB" w14:textId="77777777" w:rsidR="004D7F22" w:rsidRDefault="004D7F22" w:rsidP="004D7F22"/>
    <w:p w14:paraId="2D6392FC" w14:textId="77777777" w:rsidR="004D7F22" w:rsidRDefault="004D7F22" w:rsidP="004D7F22"/>
    <w:p w14:paraId="2D6392FD" w14:textId="77777777" w:rsidR="004D7F22" w:rsidRDefault="004D7F22" w:rsidP="004D7F22"/>
    <w:p w14:paraId="2D6392FE" w14:textId="77777777" w:rsidR="004D7F22" w:rsidRDefault="004D7F22" w:rsidP="004D7F22"/>
    <w:p w14:paraId="2D6392FF" w14:textId="77777777" w:rsidR="004D7F22" w:rsidRDefault="004D7F22" w:rsidP="004D7F22"/>
    <w:p w14:paraId="2D639300" w14:textId="77777777" w:rsidR="004D7F22" w:rsidRDefault="004D7F22" w:rsidP="004D7F22"/>
    <w:p w14:paraId="2D639301" w14:textId="77777777" w:rsidR="004D7F22" w:rsidRDefault="004D7F22" w:rsidP="004D7F22"/>
    <w:p w14:paraId="2D639302" w14:textId="77777777" w:rsidR="004D7F22" w:rsidRDefault="004D7F22" w:rsidP="004D7F22"/>
    <w:p w14:paraId="2D639303" w14:textId="77777777" w:rsidR="004D7F22" w:rsidRDefault="004D7F22" w:rsidP="004D7F22"/>
    <w:p w14:paraId="2D639304" w14:textId="77777777" w:rsidR="004D7F22" w:rsidRDefault="004D7F22" w:rsidP="004D7F22"/>
    <w:p w14:paraId="2D639305" w14:textId="77777777" w:rsidR="006B47F6" w:rsidRDefault="006B47F6">
      <w:pPr>
        <w:sectPr w:rsidR="006B47F6" w:rsidSect="00CE2AE6">
          <w:pgSz w:w="16838" w:h="11906" w:orient="landscape"/>
          <w:pgMar w:top="1440" w:right="1440" w:bottom="993" w:left="1440" w:header="708" w:footer="708" w:gutter="0"/>
          <w:cols w:space="708"/>
          <w:docGrid w:linePitch="360"/>
        </w:sectPr>
      </w:pPr>
      <w:r>
        <w:br w:type="page"/>
      </w:r>
    </w:p>
    <w:p w14:paraId="2D639306" w14:textId="77777777" w:rsidR="006B47F6" w:rsidRDefault="006B47F6" w:rsidP="006B47F6">
      <w:pPr>
        <w:pStyle w:val="Heading2"/>
        <w:jc w:val="center"/>
      </w:pPr>
      <w:r>
        <w:lastRenderedPageBreak/>
        <w:t>Attachment 2. Current Super System (with Stronger Super Adjustments)</w:t>
      </w:r>
    </w:p>
    <w:p w14:paraId="2D639307" w14:textId="77777777" w:rsidR="006B47F6" w:rsidRDefault="006B47F6"/>
    <w:p w14:paraId="2D639308" w14:textId="77777777" w:rsidR="006B47F6" w:rsidRDefault="006B47F6">
      <w:r>
        <w:rPr>
          <w:noProof/>
          <w:lang w:eastAsia="en-AU"/>
        </w:rPr>
        <w:drawing>
          <wp:inline distT="0" distB="0" distL="0" distR="0" wp14:anchorId="2D639313" wp14:editId="2D639314">
            <wp:extent cx="6015355" cy="7686040"/>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rrent_Super_Proposal (1).jpg"/>
                    <pic:cNvPicPr/>
                  </pic:nvPicPr>
                  <pic:blipFill>
                    <a:blip r:embed="rId9">
                      <a:extLst>
                        <a:ext uri="{28A0092B-C50C-407E-A947-70E740481C1C}">
                          <a14:useLocalDpi xmlns:a14="http://schemas.microsoft.com/office/drawing/2010/main" val="0"/>
                        </a:ext>
                      </a:extLst>
                    </a:blip>
                    <a:stretch>
                      <a:fillRect/>
                    </a:stretch>
                  </pic:blipFill>
                  <pic:spPr>
                    <a:xfrm>
                      <a:off x="0" y="0"/>
                      <a:ext cx="6015355" cy="7686040"/>
                    </a:xfrm>
                    <a:prstGeom prst="rect">
                      <a:avLst/>
                    </a:prstGeom>
                  </pic:spPr>
                </pic:pic>
              </a:graphicData>
            </a:graphic>
          </wp:inline>
        </w:drawing>
      </w:r>
    </w:p>
    <w:p w14:paraId="2D639309" w14:textId="77777777" w:rsidR="006B47F6" w:rsidRDefault="006B47F6"/>
    <w:p w14:paraId="2D63930A" w14:textId="77777777" w:rsidR="006B47F6" w:rsidRDefault="006B47F6" w:rsidP="006B47F6">
      <w:pPr>
        <w:pStyle w:val="Heading2"/>
        <w:jc w:val="center"/>
      </w:pPr>
      <w:r>
        <w:lastRenderedPageBreak/>
        <w:t xml:space="preserve">Attachment 3: Proposed </w:t>
      </w:r>
      <w:r w:rsidR="00DE6FBC">
        <w:t>Streamlined</w:t>
      </w:r>
      <w:r>
        <w:t xml:space="preserve"> Super </w:t>
      </w:r>
      <w:r w:rsidR="00DE6FBC">
        <w:t>Process Using PAYG S</w:t>
      </w:r>
      <w:r>
        <w:t>ystem</w:t>
      </w:r>
    </w:p>
    <w:p w14:paraId="2D63930B" w14:textId="77777777" w:rsidR="00DE6FBC" w:rsidRDefault="00DE6FBC" w:rsidP="00DE6FBC"/>
    <w:p w14:paraId="2D63930C" w14:textId="77777777" w:rsidR="00DE6FBC" w:rsidRDefault="00DE6FBC" w:rsidP="00DE6FBC">
      <w:r>
        <w:rPr>
          <w:noProof/>
          <w:lang w:eastAsia="en-AU"/>
        </w:rPr>
        <w:drawing>
          <wp:inline distT="0" distB="0" distL="0" distR="0" wp14:anchorId="2D639315" wp14:editId="2D639316">
            <wp:extent cx="6015355" cy="6986270"/>
            <wp:effectExtent l="0" t="0" r="4445"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ying_Super_via_PAYG_Tax.jpg"/>
                    <pic:cNvPicPr/>
                  </pic:nvPicPr>
                  <pic:blipFill>
                    <a:blip r:embed="rId10">
                      <a:extLst>
                        <a:ext uri="{28A0092B-C50C-407E-A947-70E740481C1C}">
                          <a14:useLocalDpi xmlns:a14="http://schemas.microsoft.com/office/drawing/2010/main" val="0"/>
                        </a:ext>
                      </a:extLst>
                    </a:blip>
                    <a:stretch>
                      <a:fillRect/>
                    </a:stretch>
                  </pic:blipFill>
                  <pic:spPr>
                    <a:xfrm>
                      <a:off x="0" y="0"/>
                      <a:ext cx="6015355" cy="6986270"/>
                    </a:xfrm>
                    <a:prstGeom prst="rect">
                      <a:avLst/>
                    </a:prstGeom>
                  </pic:spPr>
                </pic:pic>
              </a:graphicData>
            </a:graphic>
          </wp:inline>
        </w:drawing>
      </w:r>
    </w:p>
    <w:p w14:paraId="2D63930D" w14:textId="77777777" w:rsidR="00DE6FBC" w:rsidRDefault="00DE6FBC"/>
    <w:p w14:paraId="2D63930E" w14:textId="77777777" w:rsidR="00DE6FBC" w:rsidRPr="00DE6FBC" w:rsidRDefault="00DE6FBC" w:rsidP="00DE6FBC"/>
    <w:sectPr w:rsidR="00DE6FBC" w:rsidRPr="00DE6FBC" w:rsidSect="006B47F6">
      <w:pgSz w:w="11906" w:h="16838"/>
      <w:pgMar w:top="1440" w:right="99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24838"/>
    <w:multiLevelType w:val="hybridMultilevel"/>
    <w:tmpl w:val="9F2E3A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6C21CC"/>
    <w:multiLevelType w:val="hybridMultilevel"/>
    <w:tmpl w:val="B20C2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84425A5"/>
    <w:multiLevelType w:val="hybridMultilevel"/>
    <w:tmpl w:val="FA54ED42"/>
    <w:lvl w:ilvl="0" w:tplc="0C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0790B8D"/>
    <w:multiLevelType w:val="hybridMultilevel"/>
    <w:tmpl w:val="C554C2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2832F3D"/>
    <w:multiLevelType w:val="hybridMultilevel"/>
    <w:tmpl w:val="633A0490"/>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5" w15:restartNumberingAfterBreak="0">
    <w:nsid w:val="39175E34"/>
    <w:multiLevelType w:val="hybridMultilevel"/>
    <w:tmpl w:val="980CA7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21D0E8E"/>
    <w:multiLevelType w:val="hybridMultilevel"/>
    <w:tmpl w:val="FE3040F8"/>
    <w:lvl w:ilvl="0" w:tplc="0C090001">
      <w:start w:val="1"/>
      <w:numFmt w:val="bullet"/>
      <w:lvlText w:val=""/>
      <w:lvlJc w:val="left"/>
      <w:pPr>
        <w:ind w:left="6480" w:hanging="360"/>
      </w:pPr>
      <w:rPr>
        <w:rFonts w:ascii="Symbol" w:hAnsi="Symbol" w:hint="default"/>
      </w:rPr>
    </w:lvl>
    <w:lvl w:ilvl="1" w:tplc="0C090003" w:tentative="1">
      <w:start w:val="1"/>
      <w:numFmt w:val="bullet"/>
      <w:lvlText w:val="o"/>
      <w:lvlJc w:val="left"/>
      <w:pPr>
        <w:ind w:left="7200" w:hanging="360"/>
      </w:pPr>
      <w:rPr>
        <w:rFonts w:ascii="Courier New" w:hAnsi="Courier New" w:cs="Courier New" w:hint="default"/>
      </w:rPr>
    </w:lvl>
    <w:lvl w:ilvl="2" w:tplc="0C090005" w:tentative="1">
      <w:start w:val="1"/>
      <w:numFmt w:val="bullet"/>
      <w:lvlText w:val=""/>
      <w:lvlJc w:val="left"/>
      <w:pPr>
        <w:ind w:left="7920" w:hanging="360"/>
      </w:pPr>
      <w:rPr>
        <w:rFonts w:ascii="Wingdings" w:hAnsi="Wingdings" w:hint="default"/>
      </w:rPr>
    </w:lvl>
    <w:lvl w:ilvl="3" w:tplc="0C090001" w:tentative="1">
      <w:start w:val="1"/>
      <w:numFmt w:val="bullet"/>
      <w:lvlText w:val=""/>
      <w:lvlJc w:val="left"/>
      <w:pPr>
        <w:ind w:left="8640" w:hanging="360"/>
      </w:pPr>
      <w:rPr>
        <w:rFonts w:ascii="Symbol" w:hAnsi="Symbol" w:hint="default"/>
      </w:rPr>
    </w:lvl>
    <w:lvl w:ilvl="4" w:tplc="0C090003" w:tentative="1">
      <w:start w:val="1"/>
      <w:numFmt w:val="bullet"/>
      <w:lvlText w:val="o"/>
      <w:lvlJc w:val="left"/>
      <w:pPr>
        <w:ind w:left="9360" w:hanging="360"/>
      </w:pPr>
      <w:rPr>
        <w:rFonts w:ascii="Courier New" w:hAnsi="Courier New" w:cs="Courier New" w:hint="default"/>
      </w:rPr>
    </w:lvl>
    <w:lvl w:ilvl="5" w:tplc="0C090005" w:tentative="1">
      <w:start w:val="1"/>
      <w:numFmt w:val="bullet"/>
      <w:lvlText w:val=""/>
      <w:lvlJc w:val="left"/>
      <w:pPr>
        <w:ind w:left="10080" w:hanging="360"/>
      </w:pPr>
      <w:rPr>
        <w:rFonts w:ascii="Wingdings" w:hAnsi="Wingdings" w:hint="default"/>
      </w:rPr>
    </w:lvl>
    <w:lvl w:ilvl="6" w:tplc="0C090001" w:tentative="1">
      <w:start w:val="1"/>
      <w:numFmt w:val="bullet"/>
      <w:lvlText w:val=""/>
      <w:lvlJc w:val="left"/>
      <w:pPr>
        <w:ind w:left="10800" w:hanging="360"/>
      </w:pPr>
      <w:rPr>
        <w:rFonts w:ascii="Symbol" w:hAnsi="Symbol" w:hint="default"/>
      </w:rPr>
    </w:lvl>
    <w:lvl w:ilvl="7" w:tplc="0C090003" w:tentative="1">
      <w:start w:val="1"/>
      <w:numFmt w:val="bullet"/>
      <w:lvlText w:val="o"/>
      <w:lvlJc w:val="left"/>
      <w:pPr>
        <w:ind w:left="11520" w:hanging="360"/>
      </w:pPr>
      <w:rPr>
        <w:rFonts w:ascii="Courier New" w:hAnsi="Courier New" w:cs="Courier New" w:hint="default"/>
      </w:rPr>
    </w:lvl>
    <w:lvl w:ilvl="8" w:tplc="0C090005" w:tentative="1">
      <w:start w:val="1"/>
      <w:numFmt w:val="bullet"/>
      <w:lvlText w:val=""/>
      <w:lvlJc w:val="left"/>
      <w:pPr>
        <w:ind w:left="12240" w:hanging="360"/>
      </w:pPr>
      <w:rPr>
        <w:rFonts w:ascii="Wingdings" w:hAnsi="Wingdings" w:hint="default"/>
      </w:rPr>
    </w:lvl>
  </w:abstractNum>
  <w:abstractNum w:abstractNumId="7" w15:restartNumberingAfterBreak="0">
    <w:nsid w:val="439201DE"/>
    <w:multiLevelType w:val="hybridMultilevel"/>
    <w:tmpl w:val="AB76391C"/>
    <w:lvl w:ilvl="0" w:tplc="0C090001">
      <w:start w:val="1"/>
      <w:numFmt w:val="bullet"/>
      <w:lvlText w:val=""/>
      <w:lvlJc w:val="left"/>
      <w:pPr>
        <w:ind w:left="9360" w:hanging="360"/>
      </w:pPr>
      <w:rPr>
        <w:rFonts w:ascii="Symbol" w:hAnsi="Symbol" w:hint="default"/>
      </w:rPr>
    </w:lvl>
    <w:lvl w:ilvl="1" w:tplc="0C090003" w:tentative="1">
      <w:start w:val="1"/>
      <w:numFmt w:val="bullet"/>
      <w:lvlText w:val="o"/>
      <w:lvlJc w:val="left"/>
      <w:pPr>
        <w:ind w:left="10080" w:hanging="360"/>
      </w:pPr>
      <w:rPr>
        <w:rFonts w:ascii="Courier New" w:hAnsi="Courier New" w:cs="Courier New" w:hint="default"/>
      </w:rPr>
    </w:lvl>
    <w:lvl w:ilvl="2" w:tplc="0C090005" w:tentative="1">
      <w:start w:val="1"/>
      <w:numFmt w:val="bullet"/>
      <w:lvlText w:val=""/>
      <w:lvlJc w:val="left"/>
      <w:pPr>
        <w:ind w:left="10800" w:hanging="360"/>
      </w:pPr>
      <w:rPr>
        <w:rFonts w:ascii="Wingdings" w:hAnsi="Wingdings" w:hint="default"/>
      </w:rPr>
    </w:lvl>
    <w:lvl w:ilvl="3" w:tplc="0C090001" w:tentative="1">
      <w:start w:val="1"/>
      <w:numFmt w:val="bullet"/>
      <w:lvlText w:val=""/>
      <w:lvlJc w:val="left"/>
      <w:pPr>
        <w:ind w:left="11520" w:hanging="360"/>
      </w:pPr>
      <w:rPr>
        <w:rFonts w:ascii="Symbol" w:hAnsi="Symbol" w:hint="default"/>
      </w:rPr>
    </w:lvl>
    <w:lvl w:ilvl="4" w:tplc="0C090003" w:tentative="1">
      <w:start w:val="1"/>
      <w:numFmt w:val="bullet"/>
      <w:lvlText w:val="o"/>
      <w:lvlJc w:val="left"/>
      <w:pPr>
        <w:ind w:left="12240" w:hanging="360"/>
      </w:pPr>
      <w:rPr>
        <w:rFonts w:ascii="Courier New" w:hAnsi="Courier New" w:cs="Courier New" w:hint="default"/>
      </w:rPr>
    </w:lvl>
    <w:lvl w:ilvl="5" w:tplc="0C090005" w:tentative="1">
      <w:start w:val="1"/>
      <w:numFmt w:val="bullet"/>
      <w:lvlText w:val=""/>
      <w:lvlJc w:val="left"/>
      <w:pPr>
        <w:ind w:left="12960" w:hanging="360"/>
      </w:pPr>
      <w:rPr>
        <w:rFonts w:ascii="Wingdings" w:hAnsi="Wingdings" w:hint="default"/>
      </w:rPr>
    </w:lvl>
    <w:lvl w:ilvl="6" w:tplc="0C090001" w:tentative="1">
      <w:start w:val="1"/>
      <w:numFmt w:val="bullet"/>
      <w:lvlText w:val=""/>
      <w:lvlJc w:val="left"/>
      <w:pPr>
        <w:ind w:left="13680" w:hanging="360"/>
      </w:pPr>
      <w:rPr>
        <w:rFonts w:ascii="Symbol" w:hAnsi="Symbol" w:hint="default"/>
      </w:rPr>
    </w:lvl>
    <w:lvl w:ilvl="7" w:tplc="0C090003" w:tentative="1">
      <w:start w:val="1"/>
      <w:numFmt w:val="bullet"/>
      <w:lvlText w:val="o"/>
      <w:lvlJc w:val="left"/>
      <w:pPr>
        <w:ind w:left="14400" w:hanging="360"/>
      </w:pPr>
      <w:rPr>
        <w:rFonts w:ascii="Courier New" w:hAnsi="Courier New" w:cs="Courier New" w:hint="default"/>
      </w:rPr>
    </w:lvl>
    <w:lvl w:ilvl="8" w:tplc="0C090005" w:tentative="1">
      <w:start w:val="1"/>
      <w:numFmt w:val="bullet"/>
      <w:lvlText w:val=""/>
      <w:lvlJc w:val="left"/>
      <w:pPr>
        <w:ind w:left="15120" w:hanging="360"/>
      </w:pPr>
      <w:rPr>
        <w:rFonts w:ascii="Wingdings" w:hAnsi="Wingdings" w:hint="default"/>
      </w:rPr>
    </w:lvl>
  </w:abstractNum>
  <w:abstractNum w:abstractNumId="8" w15:restartNumberingAfterBreak="0">
    <w:nsid w:val="4CE656FD"/>
    <w:multiLevelType w:val="hybridMultilevel"/>
    <w:tmpl w:val="CC985756"/>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9" w15:restartNumberingAfterBreak="0">
    <w:nsid w:val="53D13883"/>
    <w:multiLevelType w:val="hybridMultilevel"/>
    <w:tmpl w:val="5A2EF55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44A6E3F"/>
    <w:multiLevelType w:val="hybridMultilevel"/>
    <w:tmpl w:val="4F6A1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B9A6A1E"/>
    <w:multiLevelType w:val="hybridMultilevel"/>
    <w:tmpl w:val="B726B0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CC46932"/>
    <w:multiLevelType w:val="hybridMultilevel"/>
    <w:tmpl w:val="C76AD47A"/>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72D6464D"/>
    <w:multiLevelType w:val="hybridMultilevel"/>
    <w:tmpl w:val="837487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DFE3F80"/>
    <w:multiLevelType w:val="hybridMultilevel"/>
    <w:tmpl w:val="7FD0B9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1"/>
  </w:num>
  <w:num w:numId="2">
    <w:abstractNumId w:val="2"/>
  </w:num>
  <w:num w:numId="3">
    <w:abstractNumId w:val="0"/>
  </w:num>
  <w:num w:numId="4">
    <w:abstractNumId w:val="10"/>
  </w:num>
  <w:num w:numId="5">
    <w:abstractNumId w:val="4"/>
  </w:num>
  <w:num w:numId="6">
    <w:abstractNumId w:val="12"/>
  </w:num>
  <w:num w:numId="7">
    <w:abstractNumId w:val="1"/>
  </w:num>
  <w:num w:numId="8">
    <w:abstractNumId w:val="8"/>
  </w:num>
  <w:num w:numId="9">
    <w:abstractNumId w:val="6"/>
  </w:num>
  <w:num w:numId="10">
    <w:abstractNumId w:val="7"/>
  </w:num>
  <w:num w:numId="11">
    <w:abstractNumId w:val="9"/>
  </w:num>
  <w:num w:numId="12">
    <w:abstractNumId w:val="14"/>
  </w:num>
  <w:num w:numId="13">
    <w:abstractNumId w:val="13"/>
  </w:num>
  <w:num w:numId="14">
    <w:abstractNumId w:val="5"/>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DA8"/>
    <w:rsid w:val="00010528"/>
    <w:rsid w:val="00062056"/>
    <w:rsid w:val="000A3A4E"/>
    <w:rsid w:val="000B0EDD"/>
    <w:rsid w:val="00100E7C"/>
    <w:rsid w:val="00145A24"/>
    <w:rsid w:val="001923C3"/>
    <w:rsid w:val="001A54D2"/>
    <w:rsid w:val="001E36DE"/>
    <w:rsid w:val="00254331"/>
    <w:rsid w:val="0028413B"/>
    <w:rsid w:val="00295748"/>
    <w:rsid w:val="002966EB"/>
    <w:rsid w:val="002C00C5"/>
    <w:rsid w:val="002C7542"/>
    <w:rsid w:val="00302D7C"/>
    <w:rsid w:val="00331F8E"/>
    <w:rsid w:val="003437A9"/>
    <w:rsid w:val="0034779C"/>
    <w:rsid w:val="00353E1D"/>
    <w:rsid w:val="00411BCD"/>
    <w:rsid w:val="0042254A"/>
    <w:rsid w:val="00471BB1"/>
    <w:rsid w:val="00476BA8"/>
    <w:rsid w:val="004917D7"/>
    <w:rsid w:val="00497A69"/>
    <w:rsid w:val="004D01B8"/>
    <w:rsid w:val="004D6F61"/>
    <w:rsid w:val="004D7F22"/>
    <w:rsid w:val="00503643"/>
    <w:rsid w:val="00506049"/>
    <w:rsid w:val="00541165"/>
    <w:rsid w:val="00555647"/>
    <w:rsid w:val="00605FEE"/>
    <w:rsid w:val="00643308"/>
    <w:rsid w:val="00670072"/>
    <w:rsid w:val="00681A94"/>
    <w:rsid w:val="006B47F6"/>
    <w:rsid w:val="006C5EA1"/>
    <w:rsid w:val="00702DA8"/>
    <w:rsid w:val="007552D0"/>
    <w:rsid w:val="007B7BCF"/>
    <w:rsid w:val="007D654D"/>
    <w:rsid w:val="0080163A"/>
    <w:rsid w:val="0084569F"/>
    <w:rsid w:val="00857163"/>
    <w:rsid w:val="008852AA"/>
    <w:rsid w:val="008A2E6E"/>
    <w:rsid w:val="008A32CC"/>
    <w:rsid w:val="008D7D13"/>
    <w:rsid w:val="008E0E6E"/>
    <w:rsid w:val="008F06DA"/>
    <w:rsid w:val="00907071"/>
    <w:rsid w:val="00947F05"/>
    <w:rsid w:val="00976C7A"/>
    <w:rsid w:val="009E4CB4"/>
    <w:rsid w:val="00A1679B"/>
    <w:rsid w:val="00A40EEE"/>
    <w:rsid w:val="00A704B3"/>
    <w:rsid w:val="00A940AC"/>
    <w:rsid w:val="00AA4559"/>
    <w:rsid w:val="00AC10A5"/>
    <w:rsid w:val="00AD219E"/>
    <w:rsid w:val="00B3170F"/>
    <w:rsid w:val="00B6360F"/>
    <w:rsid w:val="00BF49CA"/>
    <w:rsid w:val="00C26B33"/>
    <w:rsid w:val="00C614BD"/>
    <w:rsid w:val="00C77B80"/>
    <w:rsid w:val="00CA01DD"/>
    <w:rsid w:val="00CD6D14"/>
    <w:rsid w:val="00CE2AE6"/>
    <w:rsid w:val="00D23C76"/>
    <w:rsid w:val="00D4417A"/>
    <w:rsid w:val="00D85C67"/>
    <w:rsid w:val="00D93167"/>
    <w:rsid w:val="00DA63CE"/>
    <w:rsid w:val="00DE22CE"/>
    <w:rsid w:val="00DE6FBC"/>
    <w:rsid w:val="00DE76A5"/>
    <w:rsid w:val="00E1249F"/>
    <w:rsid w:val="00E50552"/>
    <w:rsid w:val="00E93B63"/>
    <w:rsid w:val="00EA294D"/>
    <w:rsid w:val="00EB67B4"/>
    <w:rsid w:val="00EC28FB"/>
    <w:rsid w:val="00EC4BEE"/>
    <w:rsid w:val="00EC515F"/>
    <w:rsid w:val="00ED4454"/>
    <w:rsid w:val="00EF42DF"/>
    <w:rsid w:val="00F260F1"/>
    <w:rsid w:val="00F564AC"/>
    <w:rsid w:val="00F670F1"/>
    <w:rsid w:val="00FD73F8"/>
    <w:rsid w:val="00FE5925"/>
    <w:rsid w:val="00FE79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39265"/>
  <w15:docId w15:val="{EC86518D-D4CC-4210-9376-C0FD4AD68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5EA1"/>
  </w:style>
  <w:style w:type="paragraph" w:styleId="Heading1">
    <w:name w:val="heading 1"/>
    <w:basedOn w:val="Normal"/>
    <w:next w:val="Normal"/>
    <w:link w:val="Heading1Char"/>
    <w:uiPriority w:val="9"/>
    <w:qFormat/>
    <w:rsid w:val="006C5EA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6C5EA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6C5EA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6C5EA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6C5EA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C5EA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C5EA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C5EA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C5EA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C5EA1"/>
    <w:rPr>
      <w:rFonts w:asciiTheme="majorHAnsi" w:eastAsiaTheme="majorEastAsia" w:hAnsiTheme="majorHAnsi" w:cstheme="majorBidi"/>
      <w:b/>
      <w:bCs/>
      <w:sz w:val="26"/>
      <w:szCs w:val="26"/>
    </w:rPr>
  </w:style>
  <w:style w:type="paragraph" w:styleId="ListParagraph">
    <w:name w:val="List Paragraph"/>
    <w:basedOn w:val="Normal"/>
    <w:uiPriority w:val="34"/>
    <w:qFormat/>
    <w:rsid w:val="006C5EA1"/>
    <w:pPr>
      <w:ind w:left="720"/>
      <w:contextualSpacing/>
    </w:pPr>
  </w:style>
  <w:style w:type="character" w:customStyle="1" w:styleId="Heading1Char">
    <w:name w:val="Heading 1 Char"/>
    <w:basedOn w:val="DefaultParagraphFont"/>
    <w:link w:val="Heading1"/>
    <w:uiPriority w:val="9"/>
    <w:rsid w:val="006C5EA1"/>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6C5EA1"/>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6C5EA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6C5EA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C5EA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C5EA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C5EA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C5EA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6C5EA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6C5EA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6C5EA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6C5EA1"/>
    <w:rPr>
      <w:rFonts w:asciiTheme="majorHAnsi" w:eastAsiaTheme="majorEastAsia" w:hAnsiTheme="majorHAnsi" w:cstheme="majorBidi"/>
      <w:i/>
      <w:iCs/>
      <w:spacing w:val="13"/>
      <w:sz w:val="24"/>
      <w:szCs w:val="24"/>
    </w:rPr>
  </w:style>
  <w:style w:type="character" w:styleId="Strong">
    <w:name w:val="Strong"/>
    <w:uiPriority w:val="22"/>
    <w:qFormat/>
    <w:rsid w:val="006C5EA1"/>
    <w:rPr>
      <w:b/>
      <w:bCs/>
    </w:rPr>
  </w:style>
  <w:style w:type="character" w:styleId="Emphasis">
    <w:name w:val="Emphasis"/>
    <w:uiPriority w:val="20"/>
    <w:qFormat/>
    <w:rsid w:val="006C5EA1"/>
    <w:rPr>
      <w:b/>
      <w:bCs/>
      <w:i/>
      <w:iCs/>
      <w:spacing w:val="10"/>
      <w:bdr w:val="none" w:sz="0" w:space="0" w:color="auto"/>
      <w:shd w:val="clear" w:color="auto" w:fill="auto"/>
    </w:rPr>
  </w:style>
  <w:style w:type="paragraph" w:styleId="NoSpacing">
    <w:name w:val="No Spacing"/>
    <w:basedOn w:val="Normal"/>
    <w:uiPriority w:val="1"/>
    <w:qFormat/>
    <w:rsid w:val="006C5EA1"/>
    <w:pPr>
      <w:spacing w:after="0" w:line="240" w:lineRule="auto"/>
    </w:pPr>
  </w:style>
  <w:style w:type="paragraph" w:styleId="Quote">
    <w:name w:val="Quote"/>
    <w:basedOn w:val="Normal"/>
    <w:next w:val="Normal"/>
    <w:link w:val="QuoteChar"/>
    <w:uiPriority w:val="29"/>
    <w:qFormat/>
    <w:rsid w:val="006C5EA1"/>
    <w:pPr>
      <w:spacing w:before="200" w:after="0"/>
      <w:ind w:left="360" w:right="360"/>
    </w:pPr>
    <w:rPr>
      <w:i/>
      <w:iCs/>
    </w:rPr>
  </w:style>
  <w:style w:type="character" w:customStyle="1" w:styleId="QuoteChar">
    <w:name w:val="Quote Char"/>
    <w:basedOn w:val="DefaultParagraphFont"/>
    <w:link w:val="Quote"/>
    <w:uiPriority w:val="29"/>
    <w:rsid w:val="006C5EA1"/>
    <w:rPr>
      <w:i/>
      <w:iCs/>
    </w:rPr>
  </w:style>
  <w:style w:type="paragraph" w:styleId="IntenseQuote">
    <w:name w:val="Intense Quote"/>
    <w:basedOn w:val="Normal"/>
    <w:next w:val="Normal"/>
    <w:link w:val="IntenseQuoteChar"/>
    <w:uiPriority w:val="30"/>
    <w:qFormat/>
    <w:rsid w:val="006C5EA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C5EA1"/>
    <w:rPr>
      <w:b/>
      <w:bCs/>
      <w:i/>
      <w:iCs/>
    </w:rPr>
  </w:style>
  <w:style w:type="character" w:styleId="SubtleEmphasis">
    <w:name w:val="Subtle Emphasis"/>
    <w:uiPriority w:val="19"/>
    <w:qFormat/>
    <w:rsid w:val="006C5EA1"/>
    <w:rPr>
      <w:i/>
      <w:iCs/>
    </w:rPr>
  </w:style>
  <w:style w:type="character" w:styleId="IntenseEmphasis">
    <w:name w:val="Intense Emphasis"/>
    <w:uiPriority w:val="21"/>
    <w:qFormat/>
    <w:rsid w:val="006C5EA1"/>
    <w:rPr>
      <w:b/>
      <w:bCs/>
    </w:rPr>
  </w:style>
  <w:style w:type="character" w:styleId="SubtleReference">
    <w:name w:val="Subtle Reference"/>
    <w:uiPriority w:val="31"/>
    <w:qFormat/>
    <w:rsid w:val="006C5EA1"/>
    <w:rPr>
      <w:smallCaps/>
    </w:rPr>
  </w:style>
  <w:style w:type="character" w:styleId="IntenseReference">
    <w:name w:val="Intense Reference"/>
    <w:uiPriority w:val="32"/>
    <w:qFormat/>
    <w:rsid w:val="006C5EA1"/>
    <w:rPr>
      <w:smallCaps/>
      <w:spacing w:val="5"/>
      <w:u w:val="single"/>
    </w:rPr>
  </w:style>
  <w:style w:type="character" w:styleId="BookTitle">
    <w:name w:val="Book Title"/>
    <w:uiPriority w:val="33"/>
    <w:qFormat/>
    <w:rsid w:val="006C5EA1"/>
    <w:rPr>
      <w:i/>
      <w:iCs/>
      <w:smallCaps/>
      <w:spacing w:val="5"/>
    </w:rPr>
  </w:style>
  <w:style w:type="paragraph" w:styleId="TOCHeading">
    <w:name w:val="TOC Heading"/>
    <w:basedOn w:val="Heading1"/>
    <w:next w:val="Normal"/>
    <w:uiPriority w:val="39"/>
    <w:semiHidden/>
    <w:unhideWhenUsed/>
    <w:qFormat/>
    <w:rsid w:val="006C5EA1"/>
    <w:pPr>
      <w:outlineLvl w:val="9"/>
    </w:pPr>
    <w:rPr>
      <w:lang w:bidi="en-US"/>
    </w:rPr>
  </w:style>
  <w:style w:type="character" w:customStyle="1" w:styleId="apple-converted-space">
    <w:name w:val="apple-converted-space"/>
    <w:basedOn w:val="DefaultParagraphFont"/>
    <w:rsid w:val="008852AA"/>
  </w:style>
  <w:style w:type="paragraph" w:styleId="BalloonText">
    <w:name w:val="Balloon Text"/>
    <w:basedOn w:val="Normal"/>
    <w:link w:val="BalloonTextChar"/>
    <w:uiPriority w:val="99"/>
    <w:semiHidden/>
    <w:unhideWhenUsed/>
    <w:rsid w:val="00411BCD"/>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411BCD"/>
    <w:rPr>
      <w:rFonts w:ascii="Tahoma" w:hAnsi="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0120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0.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8204F28D.dotm</Template>
  <TotalTime>44</TotalTime>
  <Pages>12</Pages>
  <Words>2280</Words>
  <Characters>13002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Submission DR203 - Attachment: Copy of submission made in 2013 - Council of Small Business Organisations of Australia (COSBOA) - Superannuation: Assessing Efficiency and Competitiveness - Public inquiry</vt:lpstr>
    </vt:vector>
  </TitlesOfParts>
  <Company>Council of Small Business Organisations of Australia (COSBOA)</Company>
  <LinksUpToDate>false</LinksUpToDate>
  <CharactersWithSpaces>15252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DR203 - Attachment: Copy of submission made in 2013 - Council of Small Business Organisations of Australia (COSBOA) - Superannuation: Assessing Efficiency and Competitiveness - Public inquiry</dc:title>
  <dc:creator>Council of Small Business Organisations of Australia (COSBOA)</dc:creator>
  <cp:lastModifiedBy>Alston, Chris</cp:lastModifiedBy>
  <cp:revision>8</cp:revision>
  <dcterms:created xsi:type="dcterms:W3CDTF">2018-05-09T04:53:00Z</dcterms:created>
  <dcterms:modified xsi:type="dcterms:W3CDTF">2018-08-02T04:20:00Z</dcterms:modified>
</cp:coreProperties>
</file>