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29" w:rsidRDefault="005E3F29" w:rsidP="005E3F29">
      <w:pPr>
        <w:spacing w:after="0" w:line="240" w:lineRule="auto"/>
      </w:pPr>
      <w:bookmarkStart w:id="0" w:name="_GoBack"/>
      <w:bookmarkEnd w:id="0"/>
      <w:r>
        <w:t xml:space="preserve">Prepared by Dr Paula Dabovich PhD </w:t>
      </w:r>
    </w:p>
    <w:p w:rsidR="005E3F29" w:rsidRDefault="005E3F29" w:rsidP="005E3F29">
      <w:pPr>
        <w:spacing w:after="0" w:line="240" w:lineRule="auto"/>
      </w:pPr>
      <w:r>
        <w:t xml:space="preserve">Adjunct Senior Lecturer </w:t>
      </w:r>
    </w:p>
    <w:p w:rsidR="005E3F29" w:rsidRDefault="005E3F29" w:rsidP="005E3F29">
      <w:pPr>
        <w:spacing w:after="0" w:line="240" w:lineRule="auto"/>
      </w:pPr>
      <w:r>
        <w:t>School of Public Health</w:t>
      </w:r>
    </w:p>
    <w:p w:rsidR="005E3F29" w:rsidRDefault="005E3F29" w:rsidP="005E3F29">
      <w:pPr>
        <w:spacing w:after="0" w:line="240" w:lineRule="auto"/>
      </w:pPr>
      <w:r>
        <w:t>Visiting Fellow</w:t>
      </w:r>
    </w:p>
    <w:p w:rsidR="005E3F29" w:rsidRDefault="005E3F29" w:rsidP="005E3F29">
      <w:pPr>
        <w:spacing w:after="0" w:line="240" w:lineRule="auto"/>
      </w:pPr>
      <w:r>
        <w:t>Centre for Traumatic Stress Studies</w:t>
      </w:r>
    </w:p>
    <w:p w:rsidR="005E3F29" w:rsidRDefault="005E3F29" w:rsidP="005E3F29">
      <w:pPr>
        <w:spacing w:after="0" w:line="240" w:lineRule="auto"/>
      </w:pPr>
      <w:r>
        <w:t>The University of Adelaide</w:t>
      </w:r>
    </w:p>
    <w:p w:rsidR="00AA2DF8" w:rsidRDefault="00AA2DF8" w:rsidP="00AA2DF8"/>
    <w:p w:rsidR="005E3F29" w:rsidRDefault="005E3F29" w:rsidP="005E3F29">
      <w:pPr>
        <w:spacing w:after="0" w:line="240" w:lineRule="auto"/>
      </w:pPr>
      <w:r>
        <w:t>11 February 2019</w:t>
      </w:r>
    </w:p>
    <w:p w:rsidR="005E3F29" w:rsidRDefault="005E3F29" w:rsidP="005E3F29">
      <w:pPr>
        <w:spacing w:after="0" w:line="240" w:lineRule="auto"/>
      </w:pPr>
    </w:p>
    <w:p w:rsidR="005E3F29" w:rsidRDefault="005E3F29" w:rsidP="005E3F29">
      <w:pPr>
        <w:spacing w:after="0" w:line="240" w:lineRule="auto"/>
      </w:pPr>
    </w:p>
    <w:p w:rsidR="005E3F29" w:rsidRDefault="005E3F29" w:rsidP="005E3F29">
      <w:pPr>
        <w:spacing w:after="0" w:line="240" w:lineRule="auto"/>
      </w:pPr>
      <w:r>
        <w:t>Committee Secretary</w:t>
      </w:r>
    </w:p>
    <w:p w:rsidR="00AA2DF8" w:rsidRDefault="005E3F29" w:rsidP="005E3F29">
      <w:pPr>
        <w:spacing w:after="0" w:line="240" w:lineRule="auto"/>
      </w:pPr>
      <w:r>
        <w:t>Committee for the Inquiry into Compensation and Rehabilitation for Veterans</w:t>
      </w:r>
    </w:p>
    <w:p w:rsidR="005E3F29" w:rsidRDefault="005E3F29" w:rsidP="005E3F29">
      <w:pPr>
        <w:spacing w:after="0" w:line="240" w:lineRule="auto"/>
      </w:pPr>
      <w:r>
        <w:t>Parliament House</w:t>
      </w:r>
    </w:p>
    <w:p w:rsidR="005E3F29" w:rsidRPr="00AA2DF8" w:rsidRDefault="005E3F29" w:rsidP="005E3F29">
      <w:pPr>
        <w:spacing w:after="0" w:line="240" w:lineRule="auto"/>
      </w:pPr>
      <w:r>
        <w:t>Canberra ACT 2600</w:t>
      </w:r>
    </w:p>
    <w:p w:rsidR="00DC6FA9" w:rsidRPr="00DC6FA9" w:rsidRDefault="00DC6FA9" w:rsidP="00DC6FA9"/>
    <w:p w:rsidR="007B17B5" w:rsidRDefault="007B17B5" w:rsidP="007B17B5">
      <w:pPr>
        <w:spacing w:after="0" w:line="240" w:lineRule="auto"/>
      </w:pPr>
    </w:p>
    <w:p w:rsidR="009C5A2E" w:rsidRDefault="00184ABE" w:rsidP="007B17B5">
      <w:pPr>
        <w:spacing w:after="0" w:line="240" w:lineRule="auto"/>
      </w:pPr>
      <w:r>
        <w:t xml:space="preserve">Thank you for </w:t>
      </w:r>
      <w:r w:rsidR="00EF6BA8">
        <w:t xml:space="preserve">the opportunity to provide this </w:t>
      </w:r>
      <w:r>
        <w:t>submission to the Productivity Commission</w:t>
      </w:r>
      <w:r w:rsidR="00F6396D">
        <w:t>’s</w:t>
      </w:r>
      <w:r>
        <w:t xml:space="preserve"> Inquiry into </w:t>
      </w:r>
      <w:r w:rsidR="00EF6BA8">
        <w:t xml:space="preserve">the </w:t>
      </w:r>
      <w:r w:rsidR="00EF6BA8" w:rsidRPr="00EF6BA8">
        <w:t>Compensation and Rehabilitation for Veterans</w:t>
      </w:r>
      <w:r w:rsidR="00EF6BA8">
        <w:t xml:space="preserve">, which I make in a private capacity. </w:t>
      </w:r>
      <w:r w:rsidR="00F00D45">
        <w:t xml:space="preserve">By way of introduction I </w:t>
      </w:r>
      <w:r w:rsidR="00EF6BA8">
        <w:t xml:space="preserve">have </w:t>
      </w:r>
      <w:r w:rsidR="00F00D45">
        <w:t>completed a PhD (Medicine</w:t>
      </w:r>
      <w:r w:rsidR="00D9564B">
        <w:t xml:space="preserve"> with commendation</w:t>
      </w:r>
      <w:r w:rsidR="00F00D45">
        <w:t>)</w:t>
      </w:r>
      <w:r w:rsidR="009848F7" w:rsidRPr="009848F7">
        <w:t xml:space="preserve"> </w:t>
      </w:r>
      <w:r w:rsidR="00F00D45">
        <w:t>in</w:t>
      </w:r>
      <w:r w:rsidR="00EF6BA8">
        <w:t xml:space="preserve"> which I examined</w:t>
      </w:r>
      <w:r w:rsidR="00F00D45">
        <w:t xml:space="preserve"> the rehabilitation and transition experiences of serving military personnel</w:t>
      </w:r>
      <w:r w:rsidR="001D584D">
        <w:t xml:space="preserve">, </w:t>
      </w:r>
      <w:r w:rsidR="00EF6BA8">
        <w:t>using a public health lens</w:t>
      </w:r>
      <w:r w:rsidR="00DC6FA9">
        <w:t xml:space="preserve"> </w:t>
      </w:r>
      <w:r w:rsidR="00DC6FA9" w:rsidRPr="009848F7">
        <w:t>(Dabovich, 2018)</w:t>
      </w:r>
      <w:r w:rsidR="00EF6BA8">
        <w:t xml:space="preserve">. </w:t>
      </w:r>
      <w:r w:rsidR="001D584D">
        <w:t>This work</w:t>
      </w:r>
      <w:r w:rsidR="00EF6BA8">
        <w:t xml:space="preserve"> </w:t>
      </w:r>
      <w:r w:rsidR="005E3F29">
        <w:t xml:space="preserve">now </w:t>
      </w:r>
      <w:r w:rsidR="00EF6BA8">
        <w:t xml:space="preserve">underpins a tri-nation working group that seeks to </w:t>
      </w:r>
      <w:r w:rsidR="00D9564B">
        <w:t xml:space="preserve">improve </w:t>
      </w:r>
      <w:r w:rsidR="00EF6BA8">
        <w:t xml:space="preserve">transition and wellbeing outcomes for those who leave the </w:t>
      </w:r>
      <w:r w:rsidR="009C5A2E">
        <w:t>Canadian Armed Forces</w:t>
      </w:r>
      <w:r w:rsidR="00EF6BA8">
        <w:t xml:space="preserve"> on medical grounds. </w:t>
      </w:r>
      <w:r w:rsidR="00C541B6">
        <w:t>I am happy to provide the Commission with more specific details relating to this project, upon request.</w:t>
      </w:r>
      <w:r w:rsidR="0009651A">
        <w:t xml:space="preserve"> In addition,</w:t>
      </w:r>
      <w:r w:rsidR="00C541B6">
        <w:t xml:space="preserve"> </w:t>
      </w:r>
      <w:r w:rsidR="00480193">
        <w:t xml:space="preserve">I </w:t>
      </w:r>
      <w:r w:rsidR="0009651A">
        <w:t>am a member of</w:t>
      </w:r>
      <w:r w:rsidR="00480193">
        <w:t xml:space="preserve"> South Australia’s Veteran Health Advisory Council, Veteran Advisory Council, and have </w:t>
      </w:r>
      <w:r w:rsidR="0009651A">
        <w:t>accepted membership with the</w:t>
      </w:r>
      <w:r w:rsidR="00480193">
        <w:t xml:space="preserve"> Advisory Council </w:t>
      </w:r>
      <w:r w:rsidR="00141D47">
        <w:t xml:space="preserve">for </w:t>
      </w:r>
      <w:r w:rsidR="00480193">
        <w:t>the National Centre for Veteran’s’ Healthcare</w:t>
      </w:r>
      <w:r w:rsidR="00141D47">
        <w:t xml:space="preserve">, New South Wales. </w:t>
      </w:r>
      <w:r w:rsidR="00480193">
        <w:t xml:space="preserve"> </w:t>
      </w:r>
      <w:r w:rsidR="00141D47">
        <w:t>Concurrently,</w:t>
      </w:r>
      <w:r w:rsidR="00480193">
        <w:t xml:space="preserve"> </w:t>
      </w:r>
      <w:r w:rsidR="0009651A">
        <w:t xml:space="preserve">in my full time capacity, </w:t>
      </w:r>
      <w:r w:rsidR="00EF6BA8">
        <w:t xml:space="preserve">I am </w:t>
      </w:r>
      <w:r w:rsidR="00141D47">
        <w:t xml:space="preserve">assisting </w:t>
      </w:r>
      <w:r w:rsidR="00EF6BA8">
        <w:t xml:space="preserve">a </w:t>
      </w:r>
      <w:r w:rsidR="0009651A">
        <w:t>portion of the</w:t>
      </w:r>
      <w:r w:rsidR="00EF6BA8">
        <w:t xml:space="preserve"> Australian Army better </w:t>
      </w:r>
      <w:r w:rsidR="001D584D">
        <w:t xml:space="preserve">understand and meet the needs of </w:t>
      </w:r>
      <w:r w:rsidR="00EF6BA8">
        <w:t>members</w:t>
      </w:r>
      <w:r w:rsidR="009C5A2E">
        <w:t>’ families</w:t>
      </w:r>
      <w:r w:rsidR="00141D47">
        <w:t>, using a public health approach.</w:t>
      </w:r>
    </w:p>
    <w:p w:rsidR="009C5A2E" w:rsidRDefault="009C5A2E" w:rsidP="007B17B5">
      <w:pPr>
        <w:spacing w:after="0" w:line="240" w:lineRule="auto"/>
      </w:pPr>
    </w:p>
    <w:p w:rsidR="00C867DD" w:rsidRDefault="00F00D45" w:rsidP="007B17B5">
      <w:pPr>
        <w:spacing w:after="0" w:line="240" w:lineRule="auto"/>
      </w:pPr>
      <w:r>
        <w:t>With</w:t>
      </w:r>
      <w:r w:rsidR="00EF6BA8">
        <w:t xml:space="preserve"> a professional background as an Army General Service Officer</w:t>
      </w:r>
      <w:r w:rsidR="00DC6FA9">
        <w:t>,</w:t>
      </w:r>
      <w:r w:rsidR="00EF6BA8">
        <w:t xml:space="preserve"> </w:t>
      </w:r>
      <w:r>
        <w:t>Registered Nurse</w:t>
      </w:r>
      <w:r w:rsidR="001D584D">
        <w:t>, and with a growing expertise in the field of Public Health</w:t>
      </w:r>
      <w:r w:rsidR="00EF6BA8">
        <w:t xml:space="preserve"> in a military </w:t>
      </w:r>
      <w:r w:rsidR="005E3F29">
        <w:t xml:space="preserve">and veteran </w:t>
      </w:r>
      <w:r w:rsidR="00EF6BA8">
        <w:t>context</w:t>
      </w:r>
      <w:r w:rsidR="001D584D">
        <w:t>, I offer this submission with a perspective that accounts for the human experienc</w:t>
      </w:r>
      <w:r w:rsidR="00C23317">
        <w:t>e</w:t>
      </w:r>
      <w:r w:rsidR="001D584D">
        <w:t xml:space="preserve"> of those who leave the military on medical grounds, and an understanding of the </w:t>
      </w:r>
      <w:r w:rsidR="00C867DD">
        <w:t>pragmatic and complex task</w:t>
      </w:r>
      <w:r w:rsidR="001D584D">
        <w:t xml:space="preserve"> of </w:t>
      </w:r>
      <w:r w:rsidR="00C23317">
        <w:t>government to deliver services</w:t>
      </w:r>
      <w:r w:rsidR="001D584D">
        <w:t xml:space="preserve"> that </w:t>
      </w:r>
      <w:r w:rsidR="00C23317">
        <w:t xml:space="preserve">extend </w:t>
      </w:r>
      <w:r w:rsidR="001D584D">
        <w:t xml:space="preserve">across </w:t>
      </w:r>
      <w:r w:rsidR="00C867DD">
        <w:t>federal, state, and community systems of care.</w:t>
      </w:r>
    </w:p>
    <w:p w:rsidR="00EF6BA8" w:rsidRDefault="00EF6BA8" w:rsidP="007B17B5">
      <w:pPr>
        <w:spacing w:after="0" w:line="240" w:lineRule="auto"/>
      </w:pPr>
    </w:p>
    <w:p w:rsidR="00184ABE" w:rsidRDefault="00184ABE" w:rsidP="00184ABE">
      <w:pPr>
        <w:pStyle w:val="Heading2"/>
      </w:pPr>
      <w:r>
        <w:t>Background</w:t>
      </w:r>
    </w:p>
    <w:p w:rsidR="00C856CA" w:rsidRDefault="0041447B">
      <w:r>
        <w:t xml:space="preserve">It is clear, the challenge faced by the </w:t>
      </w:r>
      <w:r w:rsidR="00E25B16">
        <w:t>C</w:t>
      </w:r>
      <w:r>
        <w:t xml:space="preserve">ommission is to propose a system of care that can support the unique health and wellbeing needs of veterans </w:t>
      </w:r>
      <w:r w:rsidR="001747E7">
        <w:t xml:space="preserve">and their families </w:t>
      </w:r>
      <w:r>
        <w:t>as they transition from the military</w:t>
      </w:r>
      <w:r w:rsidR="005E3F29">
        <w:t>,</w:t>
      </w:r>
      <w:r>
        <w:t xml:space="preserve"> and </w:t>
      </w:r>
      <w:r w:rsidR="005E3F29">
        <w:t xml:space="preserve">can continue </w:t>
      </w:r>
      <w:r w:rsidR="00117FCC">
        <w:t>to</w:t>
      </w:r>
      <w:r>
        <w:t xml:space="preserve"> meet those needs, </w:t>
      </w:r>
      <w:r w:rsidR="00117FCC">
        <w:t xml:space="preserve">as they change </w:t>
      </w:r>
      <w:r>
        <w:t>over time.</w:t>
      </w:r>
      <w:r w:rsidR="007374C3">
        <w:t xml:space="preserve"> </w:t>
      </w:r>
      <w:r w:rsidR="0024598A">
        <w:t>Those who are required to leave the military on medical grounds are extremely</w:t>
      </w:r>
      <w:r w:rsidR="007374C3">
        <w:t xml:space="preserve"> sensitive to the function or dysfunction of </w:t>
      </w:r>
      <w:r w:rsidR="0024598A">
        <w:t xml:space="preserve">the system responsible for their care, as they simultaneously </w:t>
      </w:r>
      <w:r w:rsidR="007374C3">
        <w:t xml:space="preserve">face </w:t>
      </w:r>
      <w:r w:rsidR="00DA1612">
        <w:t xml:space="preserve">stressors related to significant </w:t>
      </w:r>
      <w:r w:rsidR="007374C3">
        <w:t>physical, financial and so</w:t>
      </w:r>
      <w:r w:rsidR="00DA1612">
        <w:t>cial loss. Unless managed well, the impact of these stressors may exacerbate existing mental health conditions</w:t>
      </w:r>
      <w:r w:rsidR="00BF76B4">
        <w:t>,</w:t>
      </w:r>
      <w:r w:rsidR="007374C3">
        <w:t xml:space="preserve"> for which </w:t>
      </w:r>
      <w:r w:rsidR="00C856CA">
        <w:t xml:space="preserve">the commonwealth may become further liable. </w:t>
      </w:r>
    </w:p>
    <w:p w:rsidR="00BF76B4" w:rsidRDefault="00C856CA">
      <w:r>
        <w:t>It is striking that the</w:t>
      </w:r>
      <w:r w:rsidR="00117FCC">
        <w:t xml:space="preserve"> in the current context</w:t>
      </w:r>
      <w:r w:rsidR="004035A7">
        <w:t>,</w:t>
      </w:r>
      <w:r w:rsidR="00117FCC">
        <w:t xml:space="preserve"> there are two health systems that are charged with the care </w:t>
      </w:r>
      <w:r>
        <w:t xml:space="preserve">of </w:t>
      </w:r>
      <w:r w:rsidR="001747E7">
        <w:t xml:space="preserve">our veterans over time—the “military” system and the “DVA system” and that </w:t>
      </w:r>
      <w:r>
        <w:t>trans</w:t>
      </w:r>
      <w:r w:rsidR="004035A7">
        <w:t xml:space="preserve">itioning </w:t>
      </w:r>
      <w:r w:rsidR="001747E7">
        <w:t>between the</w:t>
      </w:r>
      <w:r w:rsidR="004035A7">
        <w:t>m</w:t>
      </w:r>
      <w:r w:rsidR="001747E7">
        <w:t xml:space="preserve"> occurs during a period </w:t>
      </w:r>
      <w:r w:rsidR="00E25B16">
        <w:t xml:space="preserve">of </w:t>
      </w:r>
      <w:r w:rsidR="001747E7">
        <w:t>heightened vulnerability</w:t>
      </w:r>
      <w:r w:rsidR="0009651A">
        <w:t>—</w:t>
      </w:r>
      <w:r w:rsidR="00E25B16">
        <w:t>p</w:t>
      </w:r>
      <w:r>
        <w:t xml:space="preserve">recisely when many wounded, injured, and ill personnel are least equipped to </w:t>
      </w:r>
      <w:r w:rsidR="00C23317">
        <w:t>manage it</w:t>
      </w:r>
      <w:r>
        <w:t xml:space="preserve">. </w:t>
      </w:r>
      <w:r w:rsidR="00BF76B4">
        <w:t>The C</w:t>
      </w:r>
      <w:r>
        <w:t xml:space="preserve">ommission </w:t>
      </w:r>
      <w:r w:rsidR="00BF76B4">
        <w:t>ought to be commended for acknowledging this issue</w:t>
      </w:r>
      <w:r w:rsidR="0024598A">
        <w:t xml:space="preserve"> which</w:t>
      </w:r>
      <w:r w:rsidR="00BF76B4">
        <w:t xml:space="preserve"> has </w:t>
      </w:r>
      <w:r w:rsidR="00184ABE">
        <w:t>impacted</w:t>
      </w:r>
      <w:r w:rsidR="00BF76B4">
        <w:t xml:space="preserve"> many generations of our veterans. </w:t>
      </w:r>
    </w:p>
    <w:p w:rsidR="00674367" w:rsidRDefault="007433B9">
      <w:r>
        <w:lastRenderedPageBreak/>
        <w:t xml:space="preserve">The </w:t>
      </w:r>
      <w:r w:rsidR="00C23317">
        <w:t>current “</w:t>
      </w:r>
      <w:r w:rsidR="00BF76B4">
        <w:t>military to DVA</w:t>
      </w:r>
      <w:r w:rsidR="00C23317">
        <w:t>”</w:t>
      </w:r>
      <w:r w:rsidR="00BF76B4">
        <w:t xml:space="preserve"> health system </w:t>
      </w:r>
      <w:r w:rsidR="00C23317">
        <w:t>was born</w:t>
      </w:r>
      <w:r w:rsidR="00BF76B4">
        <w:t xml:space="preserve"> of the early and mid-20</w:t>
      </w:r>
      <w:r w:rsidR="00BF76B4" w:rsidRPr="00BF76B4">
        <w:rPr>
          <w:vertAlign w:val="superscript"/>
        </w:rPr>
        <w:t>th</w:t>
      </w:r>
      <w:r w:rsidR="00BF76B4">
        <w:t xml:space="preserve"> century</w:t>
      </w:r>
      <w:r w:rsidR="00C23317">
        <w:t>’s</w:t>
      </w:r>
      <w:r w:rsidR="00BF76B4">
        <w:t xml:space="preserve"> </w:t>
      </w:r>
      <w:r w:rsidR="0009651A">
        <w:t xml:space="preserve">biomedical </w:t>
      </w:r>
      <w:r w:rsidR="00BF76B4">
        <w:t>understanding of health</w:t>
      </w:r>
      <w:r w:rsidR="002F243B">
        <w:t xml:space="preserve">. </w:t>
      </w:r>
      <w:r w:rsidR="00C23317">
        <w:t>During this period</w:t>
      </w:r>
      <w:r w:rsidR="002F243B">
        <w:t xml:space="preserve">, a person’s </w:t>
      </w:r>
      <w:r w:rsidR="00BF76B4">
        <w:t xml:space="preserve">individual parts </w:t>
      </w:r>
      <w:r w:rsidR="00C23317">
        <w:t xml:space="preserve">tended to be </w:t>
      </w:r>
      <w:r w:rsidR="00BF76B4">
        <w:t>isolated from the whole</w:t>
      </w:r>
      <w:r w:rsidR="009848F7">
        <w:t>,</w:t>
      </w:r>
      <w:r w:rsidR="002F243B">
        <w:t xml:space="preserve"> </w:t>
      </w:r>
      <w:r w:rsidR="00C23317">
        <w:t xml:space="preserve">their </w:t>
      </w:r>
      <w:r w:rsidR="00852281">
        <w:t xml:space="preserve">bodies </w:t>
      </w:r>
      <w:r w:rsidR="007A547E">
        <w:t xml:space="preserve">were </w:t>
      </w:r>
      <w:r w:rsidR="00852281">
        <w:t>isolated from th</w:t>
      </w:r>
      <w:r w:rsidR="00C23317">
        <w:t>eir</w:t>
      </w:r>
      <w:r w:rsidR="00852281">
        <w:t xml:space="preserve"> mind</w:t>
      </w:r>
      <w:r w:rsidR="00C23317">
        <w:t>s</w:t>
      </w:r>
      <w:r w:rsidR="00852281">
        <w:t xml:space="preserve">, </w:t>
      </w:r>
      <w:r w:rsidR="002F243B">
        <w:t xml:space="preserve">and people </w:t>
      </w:r>
      <w:r w:rsidR="00C23317">
        <w:t>were considered as</w:t>
      </w:r>
      <w:r w:rsidR="00852281">
        <w:t xml:space="preserve"> separate to their social world</w:t>
      </w:r>
      <w:r w:rsidR="009848F7">
        <w:t xml:space="preserve"> </w:t>
      </w:r>
      <w:r w:rsidR="009848F7" w:rsidRPr="009848F7">
        <w:t>(McFarlane, 2017)</w:t>
      </w:r>
      <w:r w:rsidR="00852281">
        <w:t xml:space="preserve">. For </w:t>
      </w:r>
      <w:r w:rsidR="00E25B16">
        <w:t>example,</w:t>
      </w:r>
      <w:r w:rsidR="00852281">
        <w:t xml:space="preserve"> it was </w:t>
      </w:r>
      <w:r w:rsidR="00F574A1">
        <w:t xml:space="preserve">the function of </w:t>
      </w:r>
      <w:r w:rsidR="00852281">
        <w:t xml:space="preserve">a </w:t>
      </w:r>
      <w:r w:rsidR="00852281">
        <w:rPr>
          <w:i/>
        </w:rPr>
        <w:t xml:space="preserve">limb </w:t>
      </w:r>
      <w:r w:rsidR="00852281" w:rsidRPr="00674367">
        <w:t>that was of concern</w:t>
      </w:r>
      <w:r w:rsidR="00852281">
        <w:t xml:space="preserve"> (and compensated for)</w:t>
      </w:r>
      <w:r w:rsidR="00852281">
        <w:rPr>
          <w:i/>
        </w:rPr>
        <w:t xml:space="preserve"> </w:t>
      </w:r>
      <w:r w:rsidR="00EB5041">
        <w:t>more so</w:t>
      </w:r>
      <w:r w:rsidR="00852281">
        <w:t xml:space="preserve"> than the </w:t>
      </w:r>
      <w:r w:rsidR="00F574A1">
        <w:t xml:space="preserve">overall wellbeing </w:t>
      </w:r>
      <w:r w:rsidR="00852281">
        <w:t>of the person to whom the limb was attached. With such</w:t>
      </w:r>
      <w:r w:rsidR="00C23317">
        <w:t xml:space="preserve"> </w:t>
      </w:r>
      <w:r w:rsidR="008612F5">
        <w:t>reductionist</w:t>
      </w:r>
      <w:r w:rsidR="00852281">
        <w:t xml:space="preserve"> thinking</w:t>
      </w:r>
      <w:r w:rsidR="00C23317">
        <w:t>,</w:t>
      </w:r>
      <w:r w:rsidR="008612F5">
        <w:t xml:space="preserve"> the</w:t>
      </w:r>
      <w:r w:rsidR="00C23317">
        <w:t xml:space="preserve"> </w:t>
      </w:r>
      <w:r w:rsidR="002F243B">
        <w:t>previous</w:t>
      </w:r>
      <w:r w:rsidR="008612F5">
        <w:t xml:space="preserve"> “military to DVA” health system was fit-for-purpose.</w:t>
      </w:r>
    </w:p>
    <w:p w:rsidR="00797215" w:rsidRDefault="00852281">
      <w:r>
        <w:t>The understanding of health has evolved enormously since the mid-20</w:t>
      </w:r>
      <w:r w:rsidRPr="00852281">
        <w:rPr>
          <w:vertAlign w:val="superscript"/>
        </w:rPr>
        <w:t>th</w:t>
      </w:r>
      <w:r>
        <w:t xml:space="preserve"> century with conceptualisations of it extending from </w:t>
      </w:r>
      <w:r w:rsidR="00E25B16">
        <w:t xml:space="preserve">the </w:t>
      </w:r>
      <w:r>
        <w:t>disorder of a person’s part, to their wellbeing as whole, as they exist</w:t>
      </w:r>
      <w:r w:rsidR="00EB5041">
        <w:t xml:space="preserve"> in relation to their social environment</w:t>
      </w:r>
      <w:r w:rsidR="0042357C">
        <w:t xml:space="preserve">, and most significantly, </w:t>
      </w:r>
      <w:r w:rsidR="0042357C" w:rsidRPr="0042357C">
        <w:rPr>
          <w:i/>
        </w:rPr>
        <w:t>over-time.</w:t>
      </w:r>
      <w:r w:rsidR="0042357C">
        <w:rPr>
          <w:i/>
        </w:rPr>
        <w:t xml:space="preserve"> </w:t>
      </w:r>
      <w:r w:rsidR="007A547E">
        <w:t>In the late 1970s this approach was</w:t>
      </w:r>
      <w:r w:rsidR="0009651A">
        <w:t xml:space="preserve"> conceptualised as the biopsychosocial</w:t>
      </w:r>
      <w:r w:rsidR="007A547E">
        <w:t xml:space="preserve"> model</w:t>
      </w:r>
      <w:r w:rsidR="007433B9">
        <w:t xml:space="preserve"> </w:t>
      </w:r>
      <w:r w:rsidR="007433B9">
        <w:fldChar w:fldCharType="begin"/>
      </w:r>
      <w:r w:rsidR="006A1538">
        <w:instrText xml:space="preserve"> ADDIN EN.CITE &lt;EndNote&gt;&lt;Cite&gt;&lt;Author&gt;Engel&lt;/Author&gt;&lt;Year&gt;1977&lt;/Year&gt;&lt;RecNum&gt;1075&lt;/RecNum&gt;&lt;DisplayText&gt;(Engel, 1977)&lt;/DisplayText&gt;&lt;record&gt;&lt;rec-number&gt;1075&lt;/rec-number&gt;&lt;foreign-keys&gt;&lt;key app="EN" db-id="fax52sdvld0ft1e2dt35r2da9s5ftzr5vrez" timestamp="0"&gt;1075&lt;/key&gt;&lt;/foreign-keys&gt;&lt;ref-type name="Journal Article"&gt;17&lt;/ref-type&gt;&lt;contributors&gt;&lt;authors&gt;&lt;author&gt;Engel, George L.&lt;/author&gt;&lt;/authors&gt;&lt;/contributors&gt;&lt;titles&gt;&lt;title&gt;The need for a new medical model: A challenge for biomeicine&lt;/title&gt;&lt;secondary-title&gt;Science, New Series&lt;/secondary-title&gt;&lt;/titles&gt;&lt;volume&gt;196&lt;/volume&gt;&lt;number&gt;4286&lt;/number&gt;&lt;dates&gt;&lt;year&gt;1977&lt;/year&gt;&lt;/dates&gt;&lt;urls&gt;&lt;/urls&gt;&lt;/record&gt;&lt;/Cite&gt;&lt;/EndNote&gt;</w:instrText>
      </w:r>
      <w:r w:rsidR="007433B9">
        <w:fldChar w:fldCharType="separate"/>
      </w:r>
      <w:r w:rsidR="006A1538">
        <w:rPr>
          <w:noProof/>
        </w:rPr>
        <w:t>(</w:t>
      </w:r>
      <w:hyperlink w:anchor="_ENREF_3" w:tooltip="Engel, 1977 #1075" w:history="1">
        <w:r w:rsidR="009C3462">
          <w:rPr>
            <w:noProof/>
          </w:rPr>
          <w:t>Engel, 1977</w:t>
        </w:r>
      </w:hyperlink>
      <w:r w:rsidR="006A1538">
        <w:rPr>
          <w:noProof/>
        </w:rPr>
        <w:t>)</w:t>
      </w:r>
      <w:r w:rsidR="007433B9">
        <w:fldChar w:fldCharType="end"/>
      </w:r>
      <w:r w:rsidR="007A547E">
        <w:t xml:space="preserve">, </w:t>
      </w:r>
      <w:r w:rsidR="0009651A">
        <w:t>which now</w:t>
      </w:r>
      <w:r w:rsidR="007A547E">
        <w:t xml:space="preserve"> underpins significant </w:t>
      </w:r>
      <w:r w:rsidR="00F574A1">
        <w:t>guiding principles</w:t>
      </w:r>
      <w:r w:rsidR="007A547E">
        <w:t xml:space="preserve"> </w:t>
      </w:r>
      <w:r w:rsidR="00F574A1">
        <w:t>in life</w:t>
      </w:r>
      <w:r w:rsidR="008612F5">
        <w:t>-</w:t>
      </w:r>
      <w:r w:rsidR="00F574A1">
        <w:t xml:space="preserve">course and </w:t>
      </w:r>
      <w:r w:rsidR="007A547E">
        <w:t xml:space="preserve">public health models </w:t>
      </w:r>
      <w:r w:rsidR="00B77DC1">
        <w:t>globally</w:t>
      </w:r>
      <w:r w:rsidR="007433B9">
        <w:t xml:space="preserve"> </w:t>
      </w:r>
      <w:r w:rsidR="00E25B16" w:rsidRPr="00E25B16">
        <w:t>(</w:t>
      </w:r>
      <w:r w:rsidR="00E25B16">
        <w:t>Henly et al.</w:t>
      </w:r>
      <w:r w:rsidR="009848F7">
        <w:t>,</w:t>
      </w:r>
      <w:r w:rsidR="00E25B16">
        <w:t xml:space="preserve"> </w:t>
      </w:r>
      <w:r w:rsidR="009848F7">
        <w:t xml:space="preserve">2011; </w:t>
      </w:r>
      <w:r w:rsidR="00E25B16" w:rsidRPr="00E25B16">
        <w:t>World Health Organization, 1978)</w:t>
      </w:r>
      <w:r w:rsidR="007A547E">
        <w:t xml:space="preserve">. It is to this understanding that advances in systems of care for </w:t>
      </w:r>
      <w:r w:rsidR="00B77DC1">
        <w:t xml:space="preserve">our veterans are to be framed, if our nation is to create a </w:t>
      </w:r>
      <w:r w:rsidR="00EB266E">
        <w:t>structure</w:t>
      </w:r>
      <w:r w:rsidR="00B77DC1">
        <w:t xml:space="preserve"> that </w:t>
      </w:r>
      <w:r w:rsidR="00F574A1">
        <w:t>can truly meet the needs o</w:t>
      </w:r>
      <w:r w:rsidR="00797215">
        <w:t>f our veterans in an economically sustainable way</w:t>
      </w:r>
      <w:r w:rsidR="00EB266E">
        <w:t>,</w:t>
      </w:r>
      <w:r w:rsidR="00797215">
        <w:t xml:space="preserve"> both now and into the future.</w:t>
      </w:r>
    </w:p>
    <w:p w:rsidR="00D016CA" w:rsidRDefault="008612F5">
      <w:r>
        <w:t>The word</w:t>
      </w:r>
      <w:r w:rsidR="00797215">
        <w:t xml:space="preserve"> “veteran” which is at the core of this inquiry</w:t>
      </w:r>
      <w:r>
        <w:t>, has come to hold different meanings to Australia</w:t>
      </w:r>
      <w:r w:rsidR="0024598A">
        <w:t>n</w:t>
      </w:r>
      <w:r>
        <w:t xml:space="preserve"> society over the past 100 years. Throughout most of the 20</w:t>
      </w:r>
      <w:r w:rsidRPr="008612F5">
        <w:rPr>
          <w:vertAlign w:val="superscript"/>
        </w:rPr>
        <w:t>th</w:t>
      </w:r>
      <w:r>
        <w:t xml:space="preserve"> century, it was a term reserved for those who </w:t>
      </w:r>
      <w:r w:rsidR="00E6467A">
        <w:t>returned from</w:t>
      </w:r>
      <w:r>
        <w:t xml:space="preserve"> war, however in the 1990s, </w:t>
      </w:r>
      <w:r w:rsidR="009848F7">
        <w:t>it</w:t>
      </w:r>
      <w:r w:rsidR="00E6467A">
        <w:t xml:space="preserve"> came to include those who had returned from </w:t>
      </w:r>
      <w:r w:rsidR="0024598A">
        <w:t xml:space="preserve">warlike operations and </w:t>
      </w:r>
      <w:r w:rsidR="00E6467A">
        <w:t>peacekeeping missions</w:t>
      </w:r>
      <w:r w:rsidR="000E615D">
        <w:t xml:space="preserve">. </w:t>
      </w:r>
      <w:r w:rsidR="00E6467A">
        <w:t>More recently</w:t>
      </w:r>
      <w:r w:rsidR="009848F7">
        <w:t xml:space="preserve"> the unique stressors of military service, including participation in border patrol operations, and the use of drone technology (in which military personnel can target and engage enemy forces without deploying), means </w:t>
      </w:r>
      <w:r w:rsidR="00E6467A">
        <w:t xml:space="preserve">the term </w:t>
      </w:r>
      <w:r w:rsidR="00EB266E">
        <w:t>has now come to include</w:t>
      </w:r>
      <w:r w:rsidR="00654F8B">
        <w:t xml:space="preserve"> </w:t>
      </w:r>
      <w:r w:rsidR="00E6467A">
        <w:t xml:space="preserve">all those who have served at least one day in full time service. </w:t>
      </w:r>
      <w:r w:rsidR="00654F8B">
        <w:t>T</w:t>
      </w:r>
      <w:r w:rsidR="00E6467A">
        <w:t>his change in definition</w:t>
      </w:r>
      <w:r w:rsidR="00E02477">
        <w:t xml:space="preserve"> is</w:t>
      </w:r>
      <w:r w:rsidR="00E6467A">
        <w:t xml:space="preserve"> reflected in</w:t>
      </w:r>
      <w:r w:rsidR="00574579">
        <w:t xml:space="preserve"> </w:t>
      </w:r>
      <w:r w:rsidR="00E6467A">
        <w:t>DVA</w:t>
      </w:r>
      <w:r w:rsidR="00AB5219">
        <w:t xml:space="preserve"> policy</w:t>
      </w:r>
      <w:r w:rsidR="00E6467A">
        <w:t xml:space="preserve"> </w:t>
      </w:r>
      <w:r w:rsidR="00242E48">
        <w:t xml:space="preserve">that enables full-time </w:t>
      </w:r>
      <w:r w:rsidR="00654F8B">
        <w:t>military personnel and veterans</w:t>
      </w:r>
      <w:r w:rsidR="00E02477">
        <w:t xml:space="preserve"> </w:t>
      </w:r>
      <w:r w:rsidR="00D016CA">
        <w:t>access</w:t>
      </w:r>
      <w:r w:rsidR="00E6467A">
        <w:t xml:space="preserve"> </w:t>
      </w:r>
      <w:r w:rsidR="00574579">
        <w:t xml:space="preserve">to </w:t>
      </w:r>
      <w:r w:rsidR="00E6467A">
        <w:t>non-liability mental healthcare</w:t>
      </w:r>
      <w:r w:rsidR="00242E48">
        <w:t xml:space="preserve">. </w:t>
      </w:r>
      <w:r w:rsidR="000D4F05">
        <w:t xml:space="preserve">From an evolutionary perspective, this latest shift is significant because </w:t>
      </w:r>
      <w:r w:rsidR="00906786">
        <w:t xml:space="preserve">those in the ADF </w:t>
      </w:r>
      <w:r w:rsidR="000D4F05">
        <w:t>are</w:t>
      </w:r>
      <w:r w:rsidR="00906786">
        <w:t xml:space="preserve"> </w:t>
      </w:r>
      <w:r w:rsidR="00FF74D2">
        <w:t xml:space="preserve">now </w:t>
      </w:r>
      <w:r w:rsidR="000D4F05">
        <w:t>considered serving</w:t>
      </w:r>
      <w:r w:rsidR="00184ABE">
        <w:t xml:space="preserve"> </w:t>
      </w:r>
      <w:r w:rsidR="0024598A">
        <w:t xml:space="preserve">personnel </w:t>
      </w:r>
      <w:r w:rsidR="00906786" w:rsidRPr="00184ABE">
        <w:rPr>
          <w:i/>
        </w:rPr>
        <w:t>and</w:t>
      </w:r>
      <w:r w:rsidR="00906786">
        <w:t xml:space="preserve"> veterans</w:t>
      </w:r>
      <w:r w:rsidR="00FF74D2" w:rsidRPr="00FF74D2">
        <w:t xml:space="preserve"> </w:t>
      </w:r>
      <w:r w:rsidR="00FF74D2">
        <w:t>concurrently</w:t>
      </w:r>
      <w:r w:rsidR="0024598A">
        <w:t>,</w:t>
      </w:r>
      <w:r w:rsidR="000D4F05">
        <w:t xml:space="preserve"> </w:t>
      </w:r>
      <w:r w:rsidR="004035A7">
        <w:t>which provides</w:t>
      </w:r>
      <w:r w:rsidR="00E02477">
        <w:t xml:space="preserve"> </w:t>
      </w:r>
      <w:r w:rsidR="00184ABE">
        <w:t xml:space="preserve">clues as to what may constitute an </w:t>
      </w:r>
      <w:r w:rsidR="00906786">
        <w:t xml:space="preserve">effective framework </w:t>
      </w:r>
      <w:r w:rsidR="000D4F05">
        <w:t>for a progressive</w:t>
      </w:r>
      <w:r w:rsidR="00E02477">
        <w:t xml:space="preserve"> military to civilian healthcare and compensatory system</w:t>
      </w:r>
      <w:r w:rsidR="000D4F05">
        <w:t>.</w:t>
      </w:r>
    </w:p>
    <w:p w:rsidR="00906786" w:rsidRDefault="00184ABE" w:rsidP="00184ABE">
      <w:pPr>
        <w:pStyle w:val="Heading2"/>
      </w:pPr>
      <w:r>
        <w:t>The system</w:t>
      </w:r>
      <w:r w:rsidR="0068023B">
        <w:t xml:space="preserve"> and accountability</w:t>
      </w:r>
    </w:p>
    <w:p w:rsidR="008E1D76" w:rsidRDefault="008A78A1">
      <w:r>
        <w:t>The productivity commissions report acknowledges the need to move toward a more cohesive and sustainable system of care for our military personnel and veterans</w:t>
      </w:r>
      <w:r w:rsidR="00CB17C6">
        <w:t>.</w:t>
      </w:r>
      <w:r w:rsidR="0065764F">
        <w:t xml:space="preserve"> </w:t>
      </w:r>
      <w:r w:rsidR="00441551">
        <w:t xml:space="preserve">This requires </w:t>
      </w:r>
      <w:r w:rsidR="00EE299A">
        <w:t>moving</w:t>
      </w:r>
      <w:r w:rsidR="00441551">
        <w:t xml:space="preserve"> from systems of care </w:t>
      </w:r>
      <w:r w:rsidR="000E4D98">
        <w:t>that have</w:t>
      </w:r>
      <w:r w:rsidR="00AD5C63">
        <w:t xml:space="preserve"> limited internal feedback-</w:t>
      </w:r>
      <w:r w:rsidR="00441551">
        <w:t xml:space="preserve">loops within their own organisations </w:t>
      </w:r>
      <w:r w:rsidR="000E4D98">
        <w:t xml:space="preserve">and </w:t>
      </w:r>
      <w:r w:rsidR="00441551">
        <w:t>with each other</w:t>
      </w:r>
      <w:r w:rsidR="008E1D76">
        <w:t>,</w:t>
      </w:r>
      <w:r w:rsidR="00441551">
        <w:t xml:space="preserve"> to systems which are </w:t>
      </w:r>
      <w:r w:rsidR="000E4D98">
        <w:t xml:space="preserve">integrated, </w:t>
      </w:r>
      <w:r w:rsidR="00441551">
        <w:t>reflexive, and</w:t>
      </w:r>
      <w:r w:rsidR="008E1D76">
        <w:t xml:space="preserve"> </w:t>
      </w:r>
      <w:r w:rsidR="00441551">
        <w:t xml:space="preserve">accountable. </w:t>
      </w:r>
    </w:p>
    <w:p w:rsidR="0068023B" w:rsidRDefault="008E1D76">
      <w:r>
        <w:t>C</w:t>
      </w:r>
      <w:r w:rsidR="00441551">
        <w:t>urrently, t</w:t>
      </w:r>
      <w:r w:rsidR="00544DBD">
        <w:t xml:space="preserve">he </w:t>
      </w:r>
      <w:r>
        <w:t xml:space="preserve">liabilities of the </w:t>
      </w:r>
      <w:r w:rsidR="00544DBD">
        <w:t>ADF</w:t>
      </w:r>
      <w:r>
        <w:t xml:space="preserve"> (which may be understood in human or fiscal terms) </w:t>
      </w:r>
      <w:r w:rsidR="00544DBD">
        <w:t xml:space="preserve">are </w:t>
      </w:r>
      <w:r w:rsidR="00441551">
        <w:t xml:space="preserve">ultimately </w:t>
      </w:r>
      <w:r w:rsidR="00544DBD">
        <w:t>carried by DVA</w:t>
      </w:r>
      <w:r w:rsidR="000E4D98">
        <w:t xml:space="preserve"> and the liabilities of DVA are met with an uncapped budget</w:t>
      </w:r>
      <w:r w:rsidR="0068023B">
        <w:t xml:space="preserve"> which is carried by the people of Australia</w:t>
      </w:r>
      <w:r w:rsidR="000E4D98">
        <w:t xml:space="preserve">. Ultimately then, </w:t>
      </w:r>
      <w:r w:rsidR="009848F7">
        <w:t xml:space="preserve">neither </w:t>
      </w:r>
      <w:r w:rsidR="000E4D98">
        <w:t xml:space="preserve">the ADF </w:t>
      </w:r>
      <w:r w:rsidR="009848F7">
        <w:t>or</w:t>
      </w:r>
      <w:r w:rsidR="000E4D98">
        <w:t xml:space="preserve"> DVA have little organisational motivation to </w:t>
      </w:r>
      <w:r w:rsidR="0068023B">
        <w:t xml:space="preserve">monitor, gain insight, or </w:t>
      </w:r>
      <w:r w:rsidR="000E4D98">
        <w:t xml:space="preserve">critically analyse </w:t>
      </w:r>
      <w:r w:rsidR="0068023B">
        <w:t xml:space="preserve">their </w:t>
      </w:r>
      <w:r w:rsidR="005E7B6F">
        <w:t xml:space="preserve">interventions of </w:t>
      </w:r>
      <w:r w:rsidR="0068023B">
        <w:t>systems of care</w:t>
      </w:r>
      <w:r w:rsidR="000E4D98">
        <w:t xml:space="preserve"> </w:t>
      </w:r>
      <w:r w:rsidR="0068023B">
        <w:t xml:space="preserve">which may otherwise </w:t>
      </w:r>
      <w:r w:rsidR="000E4D98">
        <w:t xml:space="preserve">ensure best outcomes </w:t>
      </w:r>
      <w:r w:rsidR="00C06FBF">
        <w:t>for our veterans and our nation.</w:t>
      </w:r>
      <w:r w:rsidR="000E4D98">
        <w:t xml:space="preserve"> </w:t>
      </w:r>
      <w:r w:rsidR="00693290">
        <w:t xml:space="preserve">This situation represents </w:t>
      </w:r>
      <w:r w:rsidR="00EE299A">
        <w:t xml:space="preserve">a complete </w:t>
      </w:r>
      <w:r w:rsidR="00693290">
        <w:t xml:space="preserve">absence of </w:t>
      </w:r>
      <w:r w:rsidR="002D5096">
        <w:t>clinical governance</w:t>
      </w:r>
      <w:r w:rsidR="00693290">
        <w:t>, which is remarkable given the high rates of distress experienced by our veterans</w:t>
      </w:r>
      <w:r w:rsidR="006A1538">
        <w:t xml:space="preserve"> </w:t>
      </w:r>
      <w:r w:rsidR="006A1538">
        <w:fldChar w:fldCharType="begin"/>
      </w:r>
      <w:r w:rsidR="006A1538">
        <w:instrText xml:space="preserve"> ADDIN EN.CITE &lt;EndNote&gt;&lt;Cite&gt;&lt;Author&gt;Van Hooff&lt;/Author&gt;&lt;Year&gt;2018&lt;/Year&gt;&lt;RecNum&gt;1876&lt;/RecNum&gt;&lt;DisplayText&gt;(Van Hooff et al., 2018)&lt;/DisplayText&gt;&lt;record&gt;&lt;rec-number&gt;1876&lt;/rec-number&gt;&lt;foreign-keys&gt;&lt;key app="EN" db-id="fax52sdvld0ft1e2dt35r2da9s5ftzr5vrez" timestamp="1532912708"&gt;1876&lt;/key&gt;&lt;/foreign-keys&gt;&lt;ref-type name="Government Document"&gt;46&lt;/ref-type&gt;&lt;contributors&gt;&lt;authors&gt;&lt;author&gt;Van Hooff, M&lt;/author&gt;&lt;author&gt;Lawrence-Wood, E&lt;/author&gt;&lt;author&gt;Hodson, S&lt;/author&gt;&lt;author&gt;Sadler, N&lt;/author&gt;&lt;author&gt;Benassi, H&lt;/author&gt;&lt;author&gt;Hansen, C&lt;/author&gt;&lt;author&gt;Grace, B&lt;/author&gt;&lt;author&gt;Avery, J&lt;/author&gt;&lt;author&gt;Searle, A&lt;/author&gt;&lt;author&gt;Iannos, M&lt;/author&gt;&lt;author&gt;Abraham, M&lt;/author&gt;&lt;author&gt;Baur, J&lt;/author&gt;&lt;author&gt;McFarlane, A&lt;/author&gt;&lt;/authors&gt;&lt;secondary-authors&gt;&lt;author&gt;Department of Defence and the Department of Veterans’ Affairs&lt;/author&gt;&lt;/secondary-authors&gt;&lt;/contributors&gt;&lt;titles&gt;&lt;title&gt;Mental Health Prevalence, Mental Health and Wellbeing Transition Study&lt;/title&gt;&lt;/titles&gt;&lt;dates&gt;&lt;year&gt;2018&lt;/year&gt;&lt;/dates&gt;&lt;pub-location&gt;Canberra&lt;/pub-location&gt;&lt;urls&gt;&lt;/urls&gt;&lt;/record&gt;&lt;/Cite&gt;&lt;/EndNote&gt;</w:instrText>
      </w:r>
      <w:r w:rsidR="006A1538">
        <w:fldChar w:fldCharType="separate"/>
      </w:r>
      <w:r w:rsidR="006A1538">
        <w:rPr>
          <w:noProof/>
        </w:rPr>
        <w:t>(</w:t>
      </w:r>
      <w:hyperlink w:anchor="_ENREF_6" w:tooltip="Van Hooff, 2018 #1876" w:history="1">
        <w:r w:rsidR="009C3462">
          <w:rPr>
            <w:noProof/>
          </w:rPr>
          <w:t>Van Hooff et al., 2018</w:t>
        </w:r>
      </w:hyperlink>
      <w:r w:rsidR="006A1538">
        <w:rPr>
          <w:noProof/>
        </w:rPr>
        <w:t>)</w:t>
      </w:r>
      <w:r w:rsidR="006A1538">
        <w:fldChar w:fldCharType="end"/>
      </w:r>
      <w:r w:rsidR="00693290">
        <w:t xml:space="preserve"> and the degree of expenditure </w:t>
      </w:r>
      <w:r w:rsidR="00C541B6">
        <w:t xml:space="preserve">afforded to their care—a situation aggravated by the fact that many of the generalised psychotherapeutic interventions (which have been developed on civilians for civilians) are known to have poor rate of efficacy in military and veteran populations </w:t>
      </w:r>
      <w:r w:rsidR="009C3462">
        <w:fldChar w:fldCharType="begin"/>
      </w:r>
      <w:r w:rsidR="009C3462">
        <w:instrText xml:space="preserve"> ADDIN EN.CITE &lt;EndNote&gt;&lt;Cite&gt;&lt;Author&gt;Steenkamp&lt;/Author&gt;&lt;Year&gt;2015&lt;/Year&gt;&lt;RecNum&gt;1475&lt;/RecNum&gt;&lt;DisplayText&gt;(Steenkamp, Litz, Hoge, &amp;amp; Marmar, 2015)&lt;/DisplayText&gt;&lt;record&gt;&lt;rec-number&gt;1475&lt;/rec-number&gt;&lt;foreign-keys&gt;&lt;key app="EN" db-id="fax52sdvld0ft1e2dt35r2da9s5ftzr5vrez" timestamp="1493697444"&gt;1475&lt;/key&gt;&lt;/foreign-keys&gt;&lt;ref-type name="Journal Article"&gt;17&lt;/ref-type&gt;&lt;contributors&gt;&lt;authors&gt;&lt;author&gt;Steenkamp, Maria M&lt;/author&gt;&lt;author&gt;Litz, Brett T&lt;/author&gt;&lt;author&gt;Hoge, Charles W&lt;/author&gt;&lt;author&gt;Marmar, Charles R&lt;/author&gt;&lt;/authors&gt;&lt;/contributors&gt;&lt;titles&gt;&lt;title&gt;Psychotherapy for military-related PTSD: a review of randomized clinical trials&lt;/title&gt;&lt;secondary-title&gt;Jama&lt;/secondary-title&gt;&lt;/titles&gt;&lt;periodical&gt;&lt;full-title&gt;Jama&lt;/full-title&gt;&lt;/periodical&gt;&lt;pages&gt;489-500&lt;/pages&gt;&lt;volume&gt;314&lt;/volume&gt;&lt;number&gt;5&lt;/number&gt;&lt;dates&gt;&lt;year&gt;2015&lt;/year&gt;&lt;/dates&gt;&lt;isbn&gt;0098-7484&lt;/isbn&gt;&lt;urls&gt;&lt;related-urls&gt;&lt;url&gt;http://jama.jamanetwork.com/pdfaccess.ashx?url=/data/journals/jama/934282/jrv150012.pdf&lt;/url&gt;&lt;/related-urls&gt;&lt;/urls&gt;&lt;/record&gt;&lt;/Cite&gt;&lt;/EndNote&gt;</w:instrText>
      </w:r>
      <w:r w:rsidR="009C3462">
        <w:fldChar w:fldCharType="separate"/>
      </w:r>
      <w:r w:rsidR="009C3462">
        <w:rPr>
          <w:noProof/>
        </w:rPr>
        <w:t>(</w:t>
      </w:r>
      <w:hyperlink w:anchor="_ENREF_5" w:tooltip="Steenkamp, 2015 #1475" w:history="1">
        <w:r w:rsidR="009C3462">
          <w:rPr>
            <w:noProof/>
          </w:rPr>
          <w:t>Steenkamp, Litz, Hoge, &amp; Marmar, 2015</w:t>
        </w:r>
      </w:hyperlink>
      <w:r w:rsidR="009C3462">
        <w:rPr>
          <w:noProof/>
        </w:rPr>
        <w:t>)</w:t>
      </w:r>
      <w:r w:rsidR="009C3462">
        <w:fldChar w:fldCharType="end"/>
      </w:r>
      <w:r w:rsidR="009C3462">
        <w:t>.</w:t>
      </w:r>
    </w:p>
    <w:p w:rsidR="009848F7" w:rsidRDefault="005E7B6F" w:rsidP="001B62AB">
      <w:r>
        <w:t>T</w:t>
      </w:r>
      <w:r w:rsidR="0068023B">
        <w:t xml:space="preserve">his submission does not propose either the ADF or DVA be capped in terms of the care it provides </w:t>
      </w:r>
      <w:r>
        <w:t>our veterans.</w:t>
      </w:r>
      <w:r w:rsidR="0068023B">
        <w:t xml:space="preserve"> </w:t>
      </w:r>
      <w:r w:rsidR="00556853">
        <w:t>Indeed,</w:t>
      </w:r>
      <w:r w:rsidR="008E1D76">
        <w:t xml:space="preserve"> the demands of service in the ADF are unique and often </w:t>
      </w:r>
      <w:r w:rsidR="00496843">
        <w:t xml:space="preserve">expose </w:t>
      </w:r>
      <w:r w:rsidR="008E1D76">
        <w:t xml:space="preserve">our people </w:t>
      </w:r>
      <w:r w:rsidR="00496843">
        <w:t xml:space="preserve">to </w:t>
      </w:r>
      <w:r w:rsidR="008E1D76">
        <w:lastRenderedPageBreak/>
        <w:t xml:space="preserve">circumstances </w:t>
      </w:r>
      <w:r w:rsidR="00C06FBF">
        <w:t xml:space="preserve">above and beyond civilian comprehension. </w:t>
      </w:r>
      <w:r w:rsidR="00496843">
        <w:t xml:space="preserve">As </w:t>
      </w:r>
      <w:r w:rsidR="008E1D76">
        <w:t>a nation</w:t>
      </w:r>
      <w:r w:rsidR="00496843">
        <w:t xml:space="preserve"> </w:t>
      </w:r>
      <w:r w:rsidR="008E1D76">
        <w:t xml:space="preserve">we must </w:t>
      </w:r>
      <w:r w:rsidR="00496843">
        <w:t xml:space="preserve">continue to </w:t>
      </w:r>
      <w:r w:rsidR="008E1D76">
        <w:t>honour this service and the consequences of it</w:t>
      </w:r>
      <w:r w:rsidR="00693290">
        <w:t xml:space="preserve">—but we must do it responsibly. </w:t>
      </w:r>
    </w:p>
    <w:p w:rsidR="00EA592F" w:rsidRDefault="00EB266E" w:rsidP="001B62AB">
      <w:r>
        <w:t>What is proposed is a</w:t>
      </w:r>
      <w:r w:rsidR="00BF4CC4">
        <w:t>n</w:t>
      </w:r>
      <w:r>
        <w:t xml:space="preserve"> </w:t>
      </w:r>
      <w:r w:rsidR="00BF4CC4">
        <w:t xml:space="preserve">integrated </w:t>
      </w:r>
      <w:r w:rsidR="005E7B6F">
        <w:t>system that</w:t>
      </w:r>
      <w:r w:rsidR="005E7B6F" w:rsidRPr="00EB266E">
        <w:rPr>
          <w:i/>
        </w:rPr>
        <w:t xml:space="preserve"> acts</w:t>
      </w:r>
      <w:r w:rsidR="005E7B6F">
        <w:t xml:space="preserve"> accountably</w:t>
      </w:r>
      <w:r w:rsidR="00BF4CC4">
        <w:t xml:space="preserve"> through critically examining</w:t>
      </w:r>
      <w:r w:rsidR="005E7B6F">
        <w:t xml:space="preserve"> its internal systems and outcomes, measures them in humanistic (i.e. wellbeing</w:t>
      </w:r>
      <w:r w:rsidR="00EE299A">
        <w:t>)</w:t>
      </w:r>
      <w:r w:rsidR="006A1538">
        <w:fldChar w:fldCharType="begin"/>
      </w:r>
      <w:r w:rsidR="006A1538">
        <w:instrText xml:space="preserve"> ADDIN EN.CITE &lt;EndNote&gt;&lt;Cite&gt;&lt;Author&gt;Vogt&lt;/Author&gt;&lt;Year&gt;2018&lt;/Year&gt;&lt;RecNum&gt;1948&lt;/RecNum&gt;&lt;DisplayText&gt;(Vogt, Taverna, Nillni, &amp;amp; Tyrell, 2018)&lt;/DisplayText&gt;&lt;record&gt;&lt;rec-number&gt;1948&lt;/rec-number&gt;&lt;foreign-keys&gt;&lt;key app="EN" db-id="fax52sdvld0ft1e2dt35r2da9s5ftzr5vrez" timestamp="1549603428"&gt;1948&lt;/key&gt;&lt;/foreign-keys&gt;&lt;ref-type name="Government Document"&gt;46&lt;/ref-type&gt;&lt;contributors&gt;&lt;authors&gt;&lt;author&gt;Vogt, D.&lt;/author&gt;&lt;author&gt;Taverna, E.&lt;/author&gt;&lt;author&gt;Nillni, Y.&lt;/author&gt;&lt;author&gt;Tyrell, F.&lt;/author&gt;&lt;/authors&gt;&lt;secondary-authors&gt;&lt;author&gt;National Center for PTSD.&lt;/author&gt;&lt;/secondary-authors&gt;&lt;/contributors&gt;&lt;titles&gt;&lt;title&gt;Manual for the Well-Being Inventory (WBI): A multidimensional tool for assessing key components of well-being&lt;/title&gt;&lt;secondary-title&gt; &lt;/secondary-title&gt;&lt;/titles&gt;&lt;periodical&gt;&lt;full-title&gt;Med Journal of Australia&lt;/full-title&gt;&lt;/periodical&gt;&lt;dates&gt;&lt;year&gt;2018&lt;/year&gt;&lt;/dates&gt;&lt;pub-location&gt;Boston, MA.&lt;/pub-location&gt;&lt;urls&gt;&lt;/urls&gt;&lt;/record&gt;&lt;/Cite&gt;&lt;/EndNote&gt;</w:instrText>
      </w:r>
      <w:r w:rsidR="006A1538">
        <w:fldChar w:fldCharType="separate"/>
      </w:r>
      <w:r w:rsidR="006A1538">
        <w:rPr>
          <w:noProof/>
        </w:rPr>
        <w:t>(</w:t>
      </w:r>
      <w:hyperlink w:anchor="_ENREF_7" w:tooltip="Vogt, 2018 #1948" w:history="1">
        <w:r w:rsidR="009C3462">
          <w:rPr>
            <w:noProof/>
          </w:rPr>
          <w:t>Vogt, Taverna, Nillni, &amp; Tyrell, 2018</w:t>
        </w:r>
      </w:hyperlink>
      <w:r w:rsidR="006A1538">
        <w:rPr>
          <w:noProof/>
        </w:rPr>
        <w:t>)</w:t>
      </w:r>
      <w:r w:rsidR="006A1538">
        <w:fldChar w:fldCharType="end"/>
      </w:r>
      <w:r w:rsidR="00EE299A">
        <w:t xml:space="preserve"> </w:t>
      </w:r>
      <w:r w:rsidR="005E7B6F">
        <w:t xml:space="preserve">and fiscal terms, and considers results in relation to community </w:t>
      </w:r>
      <w:r w:rsidR="00BF4CC4">
        <w:t xml:space="preserve">norms and </w:t>
      </w:r>
      <w:r w:rsidR="005E7B6F">
        <w:t>expectations. Accountability may be generated from within or fo</w:t>
      </w:r>
      <w:r w:rsidR="00BF4CC4">
        <w:t xml:space="preserve">rced from without and </w:t>
      </w:r>
      <w:r w:rsidR="005E7B6F">
        <w:t>because there is currently no coherent means of</w:t>
      </w:r>
      <w:r w:rsidR="00BF4CC4">
        <w:t xml:space="preserve"> accountability in these terms from within,</w:t>
      </w:r>
      <w:r w:rsidR="00EA592F">
        <w:t xml:space="preserve"> </w:t>
      </w:r>
      <w:r w:rsidR="005E7B6F">
        <w:t xml:space="preserve">the Commission’s recommendation to adopt an actuary model to prompt such </w:t>
      </w:r>
      <w:r w:rsidR="00BF4CC4">
        <w:t>organisational insight</w:t>
      </w:r>
      <w:r w:rsidR="005E7B6F">
        <w:t xml:space="preserve">, has merit. </w:t>
      </w:r>
      <w:r w:rsidR="00390C3C">
        <w:t xml:space="preserve">If this model is adopted, the onus of </w:t>
      </w:r>
      <w:r w:rsidR="00F87CBF">
        <w:t xml:space="preserve">governance </w:t>
      </w:r>
      <w:r w:rsidR="00390C3C">
        <w:t>must fall on Joint Health Command</w:t>
      </w:r>
      <w:r w:rsidR="003A21E2">
        <w:t xml:space="preserve"> (in the hope it will prompt a critical analysis of the</w:t>
      </w:r>
      <w:r w:rsidR="00F87CBF">
        <w:t xml:space="preserve"> services they provide to support our people</w:t>
      </w:r>
      <w:r w:rsidR="003A21E2">
        <w:t>),</w:t>
      </w:r>
      <w:r w:rsidR="00F87CBF">
        <w:t xml:space="preserve"> rather than directly on the fighting force who already operate under rigorous</w:t>
      </w:r>
      <w:r w:rsidR="006A1538">
        <w:t xml:space="preserve"> OHS and risk-</w:t>
      </w:r>
      <w:r w:rsidR="00F87CBF">
        <w:t>mitigation frameworks.</w:t>
      </w:r>
      <w:r w:rsidR="003A21E2">
        <w:t xml:space="preserve"> </w:t>
      </w:r>
    </w:p>
    <w:p w:rsidR="003C2958" w:rsidRDefault="00BF4CC4" w:rsidP="00D9564B">
      <w:pPr>
        <w:pStyle w:val="Heading2"/>
      </w:pPr>
      <w:r>
        <w:t>A combined military and DVA system</w:t>
      </w:r>
    </w:p>
    <w:p w:rsidR="003A21E2" w:rsidRDefault="00633FE3" w:rsidP="001B62AB">
      <w:r>
        <w:t>The Commission has articulated that o</w:t>
      </w:r>
      <w:r w:rsidR="00BF4CC4">
        <w:t xml:space="preserve">ne way to create a coherent system </w:t>
      </w:r>
      <w:r>
        <w:t xml:space="preserve">that accounts for the individual over time, and which may lessen the administrative burden of leaving the military with health issues, is to abolish </w:t>
      </w:r>
      <w:r w:rsidR="00642A6F">
        <w:t>DVA and transfer</w:t>
      </w:r>
      <w:r w:rsidR="0009651A">
        <w:t xml:space="preserve"> the</w:t>
      </w:r>
      <w:r w:rsidR="00642A6F">
        <w:t xml:space="preserve"> </w:t>
      </w:r>
      <w:r w:rsidR="0009651A">
        <w:t xml:space="preserve">responsibility </w:t>
      </w:r>
      <w:r w:rsidR="00642A6F">
        <w:t>of veteran policy to Defence</w:t>
      </w:r>
      <w:r w:rsidR="00860045">
        <w:t xml:space="preserve"> and (presumably) health provision to the civil sector</w:t>
      </w:r>
      <w:r w:rsidR="00642A6F">
        <w:t xml:space="preserve">. </w:t>
      </w:r>
      <w:r>
        <w:t xml:space="preserve"> </w:t>
      </w:r>
      <w:r w:rsidR="00EA592F">
        <w:t xml:space="preserve">In </w:t>
      </w:r>
      <w:r w:rsidR="003C2958">
        <w:t xml:space="preserve">its current form, </w:t>
      </w:r>
      <w:r w:rsidR="00642A6F">
        <w:t>t</w:t>
      </w:r>
      <w:r w:rsidR="00EA592F">
        <w:t xml:space="preserve">his shift may be problematic because the </w:t>
      </w:r>
      <w:r w:rsidR="00347B16">
        <w:t xml:space="preserve">expertise available in </w:t>
      </w:r>
      <w:r w:rsidR="00EA592F">
        <w:t>Defence is not commensurate with what is required</w:t>
      </w:r>
      <w:r w:rsidR="00347B16">
        <w:t xml:space="preserve"> to </w:t>
      </w:r>
      <w:r w:rsidR="00860045">
        <w:t>develop and monitor policy that accounts for</w:t>
      </w:r>
      <w:r w:rsidR="00EA592F">
        <w:t xml:space="preserve"> the complex and often chronic health issues </w:t>
      </w:r>
      <w:r w:rsidR="00225895">
        <w:t>experienced by our veterans</w:t>
      </w:r>
      <w:r w:rsidR="00EE01CE">
        <w:t xml:space="preserve"> </w:t>
      </w:r>
      <w:r w:rsidR="00EA592F">
        <w:t>across the life span</w:t>
      </w:r>
      <w:r w:rsidR="00EE01CE">
        <w:t>. In addition, the</w:t>
      </w:r>
      <w:r w:rsidR="00AD5C63">
        <w:t xml:space="preserve"> civil sector </w:t>
      </w:r>
      <w:r w:rsidR="00EE01CE">
        <w:t xml:space="preserve">(as it currently stands) </w:t>
      </w:r>
      <w:r w:rsidR="00AD5C63">
        <w:t xml:space="preserve">does not hold the </w:t>
      </w:r>
      <w:r w:rsidR="00F361C2">
        <w:t xml:space="preserve">aetiological (causal) </w:t>
      </w:r>
      <w:r w:rsidR="00EE01CE">
        <w:t>expertise</w:t>
      </w:r>
      <w:r w:rsidR="00EE299A">
        <w:t xml:space="preserve"> or cultural competence </w:t>
      </w:r>
      <w:r w:rsidR="00F361C2">
        <w:t>which would otherwise help clinicians and lay workers better</w:t>
      </w:r>
      <w:r w:rsidR="00EE01CE">
        <w:t xml:space="preserve"> address and</w:t>
      </w:r>
      <w:r w:rsidR="00F361C2">
        <w:t xml:space="preserve"> help veterans</w:t>
      </w:r>
      <w:r w:rsidR="00EE01CE">
        <w:t xml:space="preserve"> </w:t>
      </w:r>
      <w:r w:rsidR="00F361C2">
        <w:t xml:space="preserve">and their families </w:t>
      </w:r>
      <w:r w:rsidR="00EE01CE">
        <w:t>manage</w:t>
      </w:r>
      <w:r w:rsidR="00F361C2">
        <w:t xml:space="preserve"> their</w:t>
      </w:r>
      <w:r w:rsidR="00EE01CE">
        <w:t xml:space="preserve"> higher rates of chronic and complex health outcomes</w:t>
      </w:r>
      <w:r w:rsidR="00F361C2">
        <w:t xml:space="preserve">. </w:t>
      </w:r>
    </w:p>
    <w:p w:rsidR="00EE01CE" w:rsidRDefault="00EE01CE" w:rsidP="001B62AB">
      <w:r>
        <w:t>Th</w:t>
      </w:r>
      <w:r w:rsidR="00A31222">
        <w:t xml:space="preserve">e current lack of expertise and cultural competence in relation to military and veteran health </w:t>
      </w:r>
      <w:r>
        <w:t>is problematic because both the current DVA system and that which may be created in relation to t</w:t>
      </w:r>
      <w:r w:rsidR="00AB3742">
        <w:t xml:space="preserve">he Commission’s insights so far, assume </w:t>
      </w:r>
      <w:r>
        <w:t>the expertise required to care for ve</w:t>
      </w:r>
      <w:r w:rsidR="00AB3742">
        <w:t>terans exists in the community. H</w:t>
      </w:r>
      <w:r>
        <w:t>owever this assumption is based on the previously articulated biomedical model developed in the mid-20</w:t>
      </w:r>
      <w:r w:rsidRPr="00642A6F">
        <w:rPr>
          <w:vertAlign w:val="superscript"/>
        </w:rPr>
        <w:t>th</w:t>
      </w:r>
      <w:r>
        <w:t xml:space="preserve"> century wherein veterans are reduced to their parts and without regard to the relationships and values developed in service, and further, how these </w:t>
      </w:r>
      <w:r w:rsidR="00AB3742">
        <w:t xml:space="preserve">(and changes in them) can and </w:t>
      </w:r>
      <w:r w:rsidR="00AB3742" w:rsidRPr="00873997">
        <w:rPr>
          <w:i/>
        </w:rPr>
        <w:t>do</w:t>
      </w:r>
      <w:r w:rsidR="00AB3742">
        <w:t xml:space="preserve"> </w:t>
      </w:r>
      <w:r>
        <w:t xml:space="preserve">impact their health outcomes </w:t>
      </w:r>
      <w:r w:rsidR="00AB3742">
        <w:t xml:space="preserve">during transition and over-time. </w:t>
      </w:r>
      <w:r w:rsidR="00200527">
        <w:t>In addition, the civil community do</w:t>
      </w:r>
      <w:r w:rsidR="00A31222">
        <w:t>es</w:t>
      </w:r>
      <w:r w:rsidR="00200527">
        <w:t xml:space="preserve"> not provide the structure many veterans have come to </w:t>
      </w:r>
      <w:r w:rsidR="00EE299A">
        <w:t xml:space="preserve">rely </w:t>
      </w:r>
      <w:r w:rsidR="006C5D2D">
        <w:t>up</w:t>
      </w:r>
      <w:r w:rsidR="00EE299A">
        <w:t>on in</w:t>
      </w:r>
      <w:r w:rsidR="00200527">
        <w:t xml:space="preserve"> the military which helps maintain a degree of psychological organisation when operating </w:t>
      </w:r>
      <w:r w:rsidR="00A31222">
        <w:t>amidst</w:t>
      </w:r>
      <w:r w:rsidR="00200527">
        <w:t xml:space="preserve"> unstable environments</w:t>
      </w:r>
      <w:r w:rsidR="00A31222">
        <w:t xml:space="preserve">. </w:t>
      </w:r>
      <w:r w:rsidR="00200527">
        <w:t xml:space="preserve">For those who have been exposed to trauma, either in the military or prior to enlistment, such structure is likely critical during transition and </w:t>
      </w:r>
      <w:r w:rsidR="00A31222">
        <w:t>during other life stages (that may also represent instability)</w:t>
      </w:r>
      <w:r w:rsidR="00200527">
        <w:t>—which is something the civilian health sector</w:t>
      </w:r>
      <w:r w:rsidR="00A31222">
        <w:t>, however well meaning,</w:t>
      </w:r>
      <w:r w:rsidR="00200527">
        <w:t xml:space="preserve"> cannot provide.  </w:t>
      </w:r>
      <w:r w:rsidR="00A31222">
        <w:t>For these reasons,</w:t>
      </w:r>
      <w:r w:rsidR="00AB3742">
        <w:t xml:space="preserve"> meeting the needs of our </w:t>
      </w:r>
      <w:r w:rsidR="00D9564B">
        <w:t>veterans</w:t>
      </w:r>
      <w:r w:rsidR="00A31222">
        <w:t xml:space="preserve">, even under the current purchaser-provider model, </w:t>
      </w:r>
      <w:r w:rsidR="00AB3742">
        <w:t>remains so difficult</w:t>
      </w:r>
      <w:r w:rsidR="00A31222">
        <w:t xml:space="preserve">. </w:t>
      </w:r>
    </w:p>
    <w:p w:rsidR="006C5D2D" w:rsidRDefault="00AB3742" w:rsidP="006407A5">
      <w:r>
        <w:t xml:space="preserve">An alternative to abolishing DVA, the Commission might consider </w:t>
      </w:r>
      <w:r w:rsidR="00860045">
        <w:t xml:space="preserve">a system that </w:t>
      </w:r>
      <w:r w:rsidR="00873997">
        <w:t xml:space="preserve">that both creates and </w:t>
      </w:r>
      <w:r w:rsidR="00860045">
        <w:t xml:space="preserve">integrates </w:t>
      </w:r>
      <w:r w:rsidR="00873997">
        <w:t>direct DVA health assets with those of</w:t>
      </w:r>
      <w:r>
        <w:t xml:space="preserve"> </w:t>
      </w:r>
      <w:r w:rsidR="00860045">
        <w:t>the ADF</w:t>
      </w:r>
      <w:r w:rsidR="00873997">
        <w:t xml:space="preserve">. Such a system would ideally be based on </w:t>
      </w:r>
      <w:r w:rsidR="00860045">
        <w:t xml:space="preserve">primary, secondary, and tertiary levels of care. </w:t>
      </w:r>
      <w:r w:rsidR="00873997">
        <w:t xml:space="preserve">For example, whilst in service, the ADF would be required to provide serving personnel primary (or garrison) health support, in addition to the health services necessary for deployment (with a specialist workforce generated by </w:t>
      </w:r>
      <w:r w:rsidR="00170393">
        <w:t xml:space="preserve">the </w:t>
      </w:r>
      <w:r w:rsidR="00873997">
        <w:t>Reserve</w:t>
      </w:r>
      <w:r w:rsidR="00170393">
        <w:t xml:space="preserve"> component</w:t>
      </w:r>
      <w:r w:rsidR="00EA0FC8">
        <w:t xml:space="preserve">, as per current practice), with secondary and tertiary </w:t>
      </w:r>
      <w:r w:rsidR="00F11A83">
        <w:t>healthcare being</w:t>
      </w:r>
      <w:r w:rsidR="00EA0FC8">
        <w:t xml:space="preserve"> provided by direct DVA health assets</w:t>
      </w:r>
      <w:r w:rsidR="00170393">
        <w:t xml:space="preserve"> (which </w:t>
      </w:r>
      <w:r w:rsidR="002D5096">
        <w:t xml:space="preserve">would ideally </w:t>
      </w:r>
      <w:r w:rsidR="00170393">
        <w:t xml:space="preserve">also </w:t>
      </w:r>
      <w:r w:rsidR="002D5096">
        <w:t>employ</w:t>
      </w:r>
      <w:r w:rsidR="00170393">
        <w:t xml:space="preserve"> Reservists)</w:t>
      </w:r>
      <w:r w:rsidR="00EA0FC8">
        <w:t xml:space="preserve">. </w:t>
      </w:r>
    </w:p>
    <w:p w:rsidR="006407A5" w:rsidRPr="006C5D2D" w:rsidRDefault="00EA0FC8" w:rsidP="00AB3742">
      <w:pPr>
        <w:rPr>
          <w:color w:val="000000" w:themeColor="text1"/>
        </w:rPr>
      </w:pPr>
      <w:r>
        <w:t>DVA healthcare would also</w:t>
      </w:r>
      <w:r w:rsidR="00E91F90">
        <w:t xml:space="preserve"> support </w:t>
      </w:r>
      <w:r w:rsidR="00873997">
        <w:t>veterans</w:t>
      </w:r>
      <w:r>
        <w:t xml:space="preserve"> </w:t>
      </w:r>
      <w:r w:rsidR="006C5D2D">
        <w:t>and</w:t>
      </w:r>
      <w:r>
        <w:t xml:space="preserve"> their families </w:t>
      </w:r>
      <w:r w:rsidR="00873997">
        <w:t xml:space="preserve">more broadly, </w:t>
      </w:r>
      <w:r w:rsidR="006C5D2D">
        <w:t>as they address</w:t>
      </w:r>
      <w:r w:rsidR="00873997">
        <w:t xml:space="preserve"> conditions</w:t>
      </w:r>
      <w:r>
        <w:t xml:space="preserve"> associated with service</w:t>
      </w:r>
      <w:r w:rsidR="00F11A83">
        <w:t>. For serving members and veterans, these</w:t>
      </w:r>
      <w:r w:rsidR="00E91F90">
        <w:t xml:space="preserve"> conditions</w:t>
      </w:r>
      <w:r w:rsidR="00F11A83">
        <w:t xml:space="preserve"> </w:t>
      </w:r>
      <w:r w:rsidR="006C5D2D">
        <w:t xml:space="preserve">are known </w:t>
      </w:r>
      <w:r w:rsidR="006C5D2D">
        <w:lastRenderedPageBreak/>
        <w:t xml:space="preserve">to include </w:t>
      </w:r>
      <w:r w:rsidR="009A5DE8">
        <w:t xml:space="preserve">mental health </w:t>
      </w:r>
      <w:r>
        <w:t>problems</w:t>
      </w:r>
      <w:r w:rsidR="00873997">
        <w:t xml:space="preserve">, </w:t>
      </w:r>
      <w:r w:rsidR="009A5DE8">
        <w:t xml:space="preserve">joint and mobility </w:t>
      </w:r>
      <w:r>
        <w:t>limitations</w:t>
      </w:r>
      <w:r w:rsidR="009A5DE8">
        <w:t xml:space="preserve">, </w:t>
      </w:r>
      <w:r>
        <w:t xml:space="preserve">chronic pain, </w:t>
      </w:r>
      <w:r w:rsidR="009A5DE8">
        <w:t xml:space="preserve">and </w:t>
      </w:r>
      <w:r w:rsidR="006C5D2D">
        <w:t xml:space="preserve">later, </w:t>
      </w:r>
      <w:r w:rsidR="009A5DE8">
        <w:t>chronic disease</w:t>
      </w:r>
      <w:r w:rsidR="00D9564B">
        <w:t xml:space="preserve"> </w:t>
      </w:r>
      <w:r w:rsidR="00D9564B">
        <w:fldChar w:fldCharType="begin"/>
      </w:r>
      <w:r w:rsidR="00D9564B">
        <w:instrText xml:space="preserve"> ADDIN EN.CITE &lt;EndNote&gt;&lt;Cite&gt;&lt;Author&gt;DVA&lt;/Author&gt;&lt;Year&gt;2017&lt;/Year&gt;&lt;RecNum&gt;513&lt;/RecNum&gt;&lt;DisplayText&gt;(DVA, 2017)&lt;/DisplayText&gt;&lt;record&gt;&lt;rec-number&gt;513&lt;/rec-number&gt;&lt;foreign-keys&gt;&lt;key app="EN" db-id="fax52sdvld0ft1e2dt35r2da9s5ftzr5vrez" timestamp="0"&gt;513&lt;/key&gt;&lt;/foreign-keys&gt;&lt;ref-type name="Electronic Article"&gt;43&lt;/ref-type&gt;&lt;contributors&gt;&lt;authors&gt;&lt;author&gt;DVA&lt;/author&gt;&lt;/authors&gt;&lt;/contributors&gt;&lt;titles&gt;&lt;title&gt;Accepted conditions for veterans of selected conflicts: September 2013&lt;/title&gt;&lt;tertiary-title&gt;http://www.dva.gov.au/aboutDVA/statistics/Pages/Statistics.aspx#top20&lt;/tertiary-title&gt;&lt;/titles&gt;&lt;dates&gt;&lt;year&gt;2017&lt;/year&gt;&lt;pub-dates&gt;&lt;date&gt;11 Febuary 2014&lt;/date&gt;&lt;/pub-dates&gt;&lt;/dates&gt;&lt;pub-location&gt;Australia&lt;/pub-location&gt;&lt;publisher&gt;Department of Veterans Affairs&lt;/publisher&gt;&lt;urls&gt;&lt;/urls&gt;&lt;research-notes&gt;East timor, solomon islands afghanistan iraq : veterans with an accepted condition: 6517 and total number of accepted conditons 16417&lt;/research-notes&gt;&lt;/record&gt;&lt;/Cite&gt;&lt;/EndNote&gt;</w:instrText>
      </w:r>
      <w:r w:rsidR="00D9564B">
        <w:fldChar w:fldCharType="separate"/>
      </w:r>
      <w:r w:rsidR="00D9564B">
        <w:rPr>
          <w:noProof/>
        </w:rPr>
        <w:t>(</w:t>
      </w:r>
      <w:hyperlink w:anchor="_ENREF_2" w:tooltip="DVA, 2017 #513" w:history="1">
        <w:r w:rsidR="009C3462">
          <w:rPr>
            <w:noProof/>
          </w:rPr>
          <w:t>DVA, 2017</w:t>
        </w:r>
      </w:hyperlink>
      <w:r w:rsidR="00D9564B">
        <w:rPr>
          <w:noProof/>
        </w:rPr>
        <w:t>)</w:t>
      </w:r>
      <w:r w:rsidR="00D9564B">
        <w:fldChar w:fldCharType="end"/>
      </w:r>
      <w:r w:rsidR="006C5D2D">
        <w:t>, whilst their spouses may benefit from mental health and relationship support (</w:t>
      </w:r>
      <w:r w:rsidR="000F5E5F">
        <w:t>Lester et al., 2010; Turner &amp; Chessor, 2015)</w:t>
      </w:r>
      <w:r w:rsidR="006C5D2D">
        <w:t>. Ideally and critically, such services would come to include a range of interventions that support (and connect) the children of our service personnel and veterans, who experience</w:t>
      </w:r>
      <w:r w:rsidR="000F5E5F">
        <w:t xml:space="preserve"> higher rates </w:t>
      </w:r>
      <w:r w:rsidR="000F5E5F" w:rsidRPr="000F5E5F">
        <w:rPr>
          <w:color w:val="000000" w:themeColor="text1"/>
        </w:rPr>
        <w:t xml:space="preserve">of </w:t>
      </w:r>
      <w:r w:rsidR="006407A5" w:rsidRPr="000F5E5F">
        <w:rPr>
          <w:color w:val="000000" w:themeColor="text1"/>
        </w:rPr>
        <w:t>hyperactivity, distractibility, emotional symptoms (such as anxiety or fearfulness), peer rejection, and bullying</w:t>
      </w:r>
      <w:r w:rsidR="006C5D2D">
        <w:rPr>
          <w:color w:val="000000" w:themeColor="text1"/>
        </w:rPr>
        <w:t xml:space="preserve"> compared to their civilian counterparts</w:t>
      </w:r>
      <w:r w:rsidR="006407A5" w:rsidRPr="000F5E5F">
        <w:rPr>
          <w:color w:val="000000" w:themeColor="text1"/>
        </w:rPr>
        <w:t xml:space="preserve"> (Daraganova, Smart, &amp; Romaniuk, 2018</w:t>
      </w:r>
      <w:r w:rsidR="00E91F90" w:rsidRPr="000F5E5F">
        <w:rPr>
          <w:color w:val="000000" w:themeColor="text1"/>
        </w:rPr>
        <w:t>; Esposito-Smythers, 2011; White, 2011; Chandra et al., 2010; Gorman 2010)</w:t>
      </w:r>
      <w:r w:rsidR="000F5E5F" w:rsidRPr="000F5E5F">
        <w:rPr>
          <w:color w:val="000000" w:themeColor="text1"/>
        </w:rPr>
        <w:t xml:space="preserve">. </w:t>
      </w:r>
    </w:p>
    <w:p w:rsidR="00873997" w:rsidRDefault="007778D7" w:rsidP="00AB3742">
      <w:r>
        <w:t>In such a system, serving personnel will enter</w:t>
      </w:r>
      <w:r w:rsidR="00EA0FC8">
        <w:t xml:space="preserve"> DVA </w:t>
      </w:r>
      <w:r>
        <w:t>when they present with</w:t>
      </w:r>
      <w:r w:rsidR="000C4A2C">
        <w:t xml:space="preserve"> </w:t>
      </w:r>
      <w:r w:rsidR="00EA0FC8">
        <w:t xml:space="preserve">a condition </w:t>
      </w:r>
      <w:r>
        <w:t xml:space="preserve">that is </w:t>
      </w:r>
      <w:r w:rsidR="00EA0FC8">
        <w:t xml:space="preserve">serious enough to warrant secondary or tertiary examination or care, and which may therefore attract </w:t>
      </w:r>
      <w:r w:rsidR="001D0DDA">
        <w:t>(</w:t>
      </w:r>
      <w:r w:rsidR="002D5096">
        <w:t>what we now understand as</w:t>
      </w:r>
      <w:r w:rsidR="001D0DDA">
        <w:t>)</w:t>
      </w:r>
      <w:r w:rsidR="002D5096">
        <w:t xml:space="preserve"> </w:t>
      </w:r>
      <w:r>
        <w:t>future liability</w:t>
      </w:r>
      <w:r w:rsidR="00EA0FC8">
        <w:t xml:space="preserve">. </w:t>
      </w:r>
      <w:r w:rsidR="002D5096">
        <w:t>Entering DVA care</w:t>
      </w:r>
      <w:r w:rsidR="00EA0FC8">
        <w:t xml:space="preserve"> therefore</w:t>
      </w:r>
      <w:r w:rsidR="002D5096">
        <w:t>,</w:t>
      </w:r>
      <w:r w:rsidR="00EA0FC8">
        <w:t xml:space="preserve"> </w:t>
      </w:r>
      <w:r w:rsidR="005468B6">
        <w:t xml:space="preserve">will become </w:t>
      </w:r>
      <w:r w:rsidR="00EA0FC8">
        <w:t xml:space="preserve">a process that occurs </w:t>
      </w:r>
      <w:r w:rsidR="001D0DDA">
        <w:t>during a</w:t>
      </w:r>
      <w:r w:rsidR="00EA0FC8">
        <w:t xml:space="preserve"> career </w:t>
      </w:r>
      <w:r w:rsidR="001D0DDA">
        <w:t xml:space="preserve">whilst a person is </w:t>
      </w:r>
      <w:r w:rsidR="001D0DDA" w:rsidRPr="007778D7">
        <w:rPr>
          <w:i/>
        </w:rPr>
        <w:t>mostly</w:t>
      </w:r>
      <w:r w:rsidR="001D0DDA">
        <w:t xml:space="preserve"> well, </w:t>
      </w:r>
      <w:r w:rsidR="00EA0FC8">
        <w:t xml:space="preserve">rather than an event to be encountered during the sensitive period of transition. </w:t>
      </w:r>
      <w:r w:rsidR="00873997">
        <w:t xml:space="preserve"> </w:t>
      </w:r>
      <w:r w:rsidR="0045259E">
        <w:t xml:space="preserve">In this case, the only shift an individual </w:t>
      </w:r>
      <w:r w:rsidR="00C74AB2">
        <w:t xml:space="preserve">would </w:t>
      </w:r>
      <w:r w:rsidR="0045259E">
        <w:t xml:space="preserve">need experience between “health systems” during transition, </w:t>
      </w:r>
      <w:r w:rsidR="001D0DDA">
        <w:t xml:space="preserve">would </w:t>
      </w:r>
      <w:r w:rsidR="00C74AB2">
        <w:t>b</w:t>
      </w:r>
      <w:r w:rsidR="001D0DDA">
        <w:t>e</w:t>
      </w:r>
      <w:r w:rsidR="0045259E">
        <w:t xml:space="preserve"> from the garrison primary healthcare service to a family general practitioner</w:t>
      </w:r>
      <w:r w:rsidR="002D5096">
        <w:t xml:space="preserve"> (GP)</w:t>
      </w:r>
      <w:r w:rsidR="0045259E">
        <w:t xml:space="preserve"> in their anticipated local community. </w:t>
      </w:r>
    </w:p>
    <w:p w:rsidR="0045259E" w:rsidRDefault="002D5096" w:rsidP="00D9564B">
      <w:pPr>
        <w:pStyle w:val="Heading2"/>
      </w:pPr>
      <w:r>
        <w:t xml:space="preserve">A network of General Practitioners in the </w:t>
      </w:r>
      <w:r w:rsidR="000C4A2C">
        <w:t>civil</w:t>
      </w:r>
      <w:r>
        <w:t xml:space="preserve"> community</w:t>
      </w:r>
    </w:p>
    <w:p w:rsidR="0045259E" w:rsidRDefault="0045259E" w:rsidP="0045259E">
      <w:r>
        <w:t xml:space="preserve">The concept of developing a </w:t>
      </w:r>
      <w:r w:rsidR="002D5096">
        <w:t xml:space="preserve">network of </w:t>
      </w:r>
      <w:r>
        <w:t>culturally aware GPs (and other</w:t>
      </w:r>
      <w:r w:rsidR="002D5096">
        <w:t xml:space="preserve"> primary</w:t>
      </w:r>
      <w:r>
        <w:t xml:space="preserve"> health</w:t>
      </w:r>
      <w:r w:rsidR="002D5096">
        <w:t>care</w:t>
      </w:r>
      <w:r>
        <w:t xml:space="preserve"> providers) who </w:t>
      </w:r>
      <w:r w:rsidR="004425E9">
        <w:t>understand</w:t>
      </w:r>
      <w:r>
        <w:t xml:space="preserve"> the impact of service</w:t>
      </w:r>
      <w:r w:rsidR="003207B9">
        <w:t xml:space="preserve"> on veterans and their families,</w:t>
      </w:r>
      <w:r>
        <w:t xml:space="preserve"> and who are familiar with the DVA system, is not new. It has been </w:t>
      </w:r>
      <w:r w:rsidR="001D0DDA">
        <w:t>offered</w:t>
      </w:r>
      <w:r>
        <w:t xml:space="preserve"> </w:t>
      </w:r>
      <w:r w:rsidR="00ED0BB2">
        <w:t xml:space="preserve">in </w:t>
      </w:r>
      <w:r>
        <w:t>many professional and representative forums</w:t>
      </w:r>
      <w:r w:rsidR="00E10962">
        <w:t xml:space="preserve"> over the past few years</w:t>
      </w:r>
      <w:r>
        <w:t xml:space="preserve">. To date, this concept does not seem to have penetrated </w:t>
      </w:r>
      <w:r w:rsidR="005B29D1">
        <w:t xml:space="preserve">the military or </w:t>
      </w:r>
      <w:r>
        <w:t xml:space="preserve">DVA system, and if it has, it is not well communicated. The ability for Veterans and their families to connect with </w:t>
      </w:r>
      <w:r w:rsidR="002D5096">
        <w:t>health professionals (especially during transition)</w:t>
      </w:r>
      <w:r w:rsidR="003207B9">
        <w:t xml:space="preserve"> who can contextualise and thereby help manage their distress or health issue</w:t>
      </w:r>
      <w:r w:rsidR="005B29D1">
        <w:t>s, is</w:t>
      </w:r>
      <w:r>
        <w:t xml:space="preserve"> likely to have a profound</w:t>
      </w:r>
      <w:r w:rsidR="005B29D1">
        <w:t xml:space="preserve">ly positive </w:t>
      </w:r>
      <w:r>
        <w:t xml:space="preserve">impact on </w:t>
      </w:r>
      <w:r w:rsidR="002D5096">
        <w:t xml:space="preserve">long-term </w:t>
      </w:r>
      <w:r>
        <w:t xml:space="preserve">health and wellbeing. </w:t>
      </w:r>
      <w:r w:rsidR="0097187F">
        <w:t xml:space="preserve">This service is </w:t>
      </w:r>
      <w:r w:rsidR="005B29D1">
        <w:t>more</w:t>
      </w:r>
      <w:r w:rsidR="0097187F">
        <w:t xml:space="preserve"> critical given the proliferation of GP super-centres in Australia, many of which may</w:t>
      </w:r>
      <w:r w:rsidR="005B29D1">
        <w:t xml:space="preserve"> mis-represent what good care looks </w:t>
      </w:r>
      <w:r w:rsidR="00566A41">
        <w:t>like and</w:t>
      </w:r>
      <w:r w:rsidR="005B29D1">
        <w:t xml:space="preserve"> </w:t>
      </w:r>
      <w:r w:rsidR="0097187F">
        <w:t xml:space="preserve">fail to provide veterans and their families with the </w:t>
      </w:r>
      <w:r w:rsidR="005B29D1">
        <w:t>contextual</w:t>
      </w:r>
      <w:r w:rsidR="0097187F">
        <w:t xml:space="preserve"> understanding </w:t>
      </w:r>
      <w:r w:rsidR="005B29D1">
        <w:t xml:space="preserve">and attention </w:t>
      </w:r>
      <w:r w:rsidR="0097187F">
        <w:t xml:space="preserve">they </w:t>
      </w:r>
      <w:r w:rsidR="007778D7">
        <w:t xml:space="preserve">may need and </w:t>
      </w:r>
      <w:r w:rsidR="005B29D1">
        <w:t>deserve</w:t>
      </w:r>
      <w:r w:rsidR="007778D7">
        <w:t>.</w:t>
      </w:r>
    </w:p>
    <w:p w:rsidR="00014C91" w:rsidRDefault="008852DF" w:rsidP="00D9564B">
      <w:pPr>
        <w:pStyle w:val="Heading2"/>
      </w:pPr>
      <w:r>
        <w:t>A Transition C</w:t>
      </w:r>
      <w:r w:rsidR="00014C91">
        <w:t>ommand</w:t>
      </w:r>
    </w:p>
    <w:p w:rsidR="000223BE" w:rsidRDefault="003207B9" w:rsidP="001B62AB">
      <w:r>
        <w:t>As may be gleaned from the all that has been stated and is consequential to the above, t</w:t>
      </w:r>
      <w:r w:rsidR="00C65ECA">
        <w:t xml:space="preserve">he difficulty with transition and veteran care across the lifespan is that it </w:t>
      </w:r>
      <w:r w:rsidR="00750FFC">
        <w:t xml:space="preserve">very complex. For example, at an individual </w:t>
      </w:r>
      <w:r w:rsidR="00C65ECA">
        <w:t xml:space="preserve">level, transition sits at the intersection of </w:t>
      </w:r>
      <w:r w:rsidR="00750FFC">
        <w:t>a person’s</w:t>
      </w:r>
      <w:r w:rsidR="00C65ECA">
        <w:t xml:space="preserve"> professional and pr</w:t>
      </w:r>
      <w:r w:rsidR="00750FFC">
        <w:t>ivate life—both of which are significantly disrupted</w:t>
      </w:r>
      <w:r w:rsidR="00C65ECA">
        <w:t>; and at the system</w:t>
      </w:r>
      <w:r w:rsidR="000223BE">
        <w:t>s</w:t>
      </w:r>
      <w:r w:rsidR="00C65ECA">
        <w:t xml:space="preserve"> level, </w:t>
      </w:r>
      <w:r w:rsidR="000223BE">
        <w:t xml:space="preserve">it </w:t>
      </w:r>
      <w:r w:rsidR="00C65ECA">
        <w:t xml:space="preserve">sits at the intersection of federal (i.e. Defence and DVA), state, and community health services. </w:t>
      </w:r>
      <w:r w:rsidR="000223BE">
        <w:t>Because of this complexity we don’t yet have the “system” right</w:t>
      </w:r>
      <w:r w:rsidR="00C07BA2">
        <w:t xml:space="preserve"> in Australia</w:t>
      </w:r>
      <w:r w:rsidR="000223BE">
        <w:t>, because none of these levels of organisations or systems of care are charged with the</w:t>
      </w:r>
      <w:r w:rsidR="000223BE" w:rsidRPr="003207B9">
        <w:rPr>
          <w:i/>
        </w:rPr>
        <w:t xml:space="preserve"> responsibility </w:t>
      </w:r>
      <w:r w:rsidR="000223BE">
        <w:t>of transition</w:t>
      </w:r>
      <w:r w:rsidR="00C07BA2">
        <w:t xml:space="preserve"> and </w:t>
      </w:r>
      <w:r>
        <w:t xml:space="preserve">therefore, there is no organisation </w:t>
      </w:r>
      <w:r w:rsidR="00C07BA2">
        <w:t xml:space="preserve">held </w:t>
      </w:r>
      <w:r w:rsidR="008852DF">
        <w:t>accountable for</w:t>
      </w:r>
      <w:r w:rsidR="00C07BA2">
        <w:t xml:space="preserve"> it</w:t>
      </w:r>
      <w:r w:rsidR="000223BE">
        <w:t xml:space="preserve">. This must be challenged. </w:t>
      </w:r>
    </w:p>
    <w:p w:rsidR="00D87D11" w:rsidRDefault="000223BE" w:rsidP="00F47AC0">
      <w:r>
        <w:t>The commission has proposed a “Transition Command”</w:t>
      </w:r>
      <w:r w:rsidR="00F47AC0">
        <w:t xml:space="preserve"> within Defence </w:t>
      </w:r>
      <w:r w:rsidR="00750FFC">
        <w:t>and this</w:t>
      </w:r>
      <w:r w:rsidR="00F47AC0">
        <w:t xml:space="preserve"> may go some way in alleviating the question of </w:t>
      </w:r>
      <w:r w:rsidR="00F47AC0" w:rsidRPr="0009651A">
        <w:rPr>
          <w:i/>
        </w:rPr>
        <w:t>“who is responsible?”</w:t>
      </w:r>
      <w:r w:rsidR="00C07BA2">
        <w:t xml:space="preserve"> for developing programs and measures that would better prepare and support our veterans </w:t>
      </w:r>
      <w:r w:rsidR="00750FFC">
        <w:t>as they adjust to civilian life; and upon which states, local communities, and organisations can build upon</w:t>
      </w:r>
      <w:r w:rsidR="00C07BA2">
        <w:t>. This</w:t>
      </w:r>
      <w:r w:rsidR="000F7CA5">
        <w:t xml:space="preserve"> proposal </w:t>
      </w:r>
      <w:r w:rsidR="00C07BA2">
        <w:t>has</w:t>
      </w:r>
      <w:r w:rsidR="000F7CA5">
        <w:t xml:space="preserve"> great merit</w:t>
      </w:r>
      <w:r w:rsidR="00C07BA2">
        <w:t xml:space="preserve"> </w:t>
      </w:r>
      <w:r w:rsidR="00750FFC">
        <w:t>which is</w:t>
      </w:r>
      <w:r w:rsidR="00C07BA2">
        <w:t xml:space="preserve"> reflected by </w:t>
      </w:r>
      <w:r w:rsidR="00750FFC">
        <w:t xml:space="preserve">fact that </w:t>
      </w:r>
      <w:r w:rsidR="00C07BA2">
        <w:t xml:space="preserve">the </w:t>
      </w:r>
      <w:r w:rsidR="00F47AC0">
        <w:t>Canadian Armed Forces</w:t>
      </w:r>
      <w:r w:rsidR="00C07BA2">
        <w:t xml:space="preserve"> </w:t>
      </w:r>
      <w:r w:rsidR="000F7CA5">
        <w:t xml:space="preserve">have raised </w:t>
      </w:r>
      <w:r w:rsidR="00750FFC">
        <w:t xml:space="preserve">such a </w:t>
      </w:r>
      <w:r w:rsidR="00EC7EA2">
        <w:t>T</w:t>
      </w:r>
      <w:r w:rsidR="00750FFC">
        <w:t xml:space="preserve">ransition </w:t>
      </w:r>
      <w:r w:rsidR="00EC7EA2">
        <w:t>G</w:t>
      </w:r>
      <w:r w:rsidR="00750FFC">
        <w:t>roup</w:t>
      </w:r>
      <w:r w:rsidR="000F7CA5">
        <w:t xml:space="preserve"> </w:t>
      </w:r>
      <w:r w:rsidR="00C07BA2">
        <w:t>as a part of their National Defence Headquarters</w:t>
      </w:r>
      <w:r w:rsidR="003207B9">
        <w:t>,</w:t>
      </w:r>
      <w:r w:rsidR="00C07BA2">
        <w:t xml:space="preserve"> to meet </w:t>
      </w:r>
      <w:r w:rsidR="0045259E">
        <w:t>the needs of their veterans in this context</w:t>
      </w:r>
      <w:r w:rsidR="00C07BA2">
        <w:t xml:space="preserve">. </w:t>
      </w:r>
      <w:r w:rsidR="00D87D11">
        <w:t>In the Australia</w:t>
      </w:r>
      <w:r w:rsidR="0045259E">
        <w:t xml:space="preserve">, </w:t>
      </w:r>
      <w:r w:rsidR="00A63F5E">
        <w:t xml:space="preserve">such a command may also </w:t>
      </w:r>
      <w:r w:rsidR="00D87D11">
        <w:t xml:space="preserve">come to hold a level of expertise </w:t>
      </w:r>
      <w:r w:rsidR="00750FFC">
        <w:t xml:space="preserve">(which may be disseminated </w:t>
      </w:r>
      <w:r w:rsidR="0045259E">
        <w:t xml:space="preserve">in the professional </w:t>
      </w:r>
      <w:r w:rsidR="003207B9">
        <w:t xml:space="preserve">education of health providers) </w:t>
      </w:r>
      <w:r w:rsidR="00D87D11">
        <w:t xml:space="preserve">that could </w:t>
      </w:r>
      <w:r w:rsidR="00EF7D12">
        <w:t xml:space="preserve">help </w:t>
      </w:r>
      <w:r w:rsidR="00D87D11">
        <w:t xml:space="preserve">cohere </w:t>
      </w:r>
      <w:r w:rsidR="00E10962">
        <w:t xml:space="preserve">our veterans’ </w:t>
      </w:r>
      <w:r w:rsidR="00EF7D12">
        <w:t>service and post-service lives</w:t>
      </w:r>
      <w:r w:rsidR="00A63F5E">
        <w:t>,</w:t>
      </w:r>
      <w:r w:rsidR="00EF7D12">
        <w:t xml:space="preserve"> </w:t>
      </w:r>
      <w:r w:rsidR="008852DF">
        <w:t>which is</w:t>
      </w:r>
      <w:r w:rsidR="00EF7D12">
        <w:t xml:space="preserve"> </w:t>
      </w:r>
      <w:r w:rsidR="003207B9">
        <w:t xml:space="preserve">the very essence of what is </w:t>
      </w:r>
      <w:r w:rsidR="00EF7D12">
        <w:t xml:space="preserve">currently lacking in the </w:t>
      </w:r>
      <w:r w:rsidR="003207B9">
        <w:t>current disjoined system.</w:t>
      </w:r>
    </w:p>
    <w:p w:rsidR="00347B16" w:rsidRDefault="00C43838" w:rsidP="00D9564B">
      <w:pPr>
        <w:pStyle w:val="Heading2"/>
      </w:pPr>
      <w:r>
        <w:lastRenderedPageBreak/>
        <w:t xml:space="preserve">Clinical </w:t>
      </w:r>
      <w:r w:rsidR="006407A5">
        <w:t>g</w:t>
      </w:r>
      <w:r>
        <w:t>overnance</w:t>
      </w:r>
    </w:p>
    <w:p w:rsidR="00E10962" w:rsidRDefault="002D5096" w:rsidP="00430F68">
      <w:r>
        <w:t xml:space="preserve">As previously stated, </w:t>
      </w:r>
      <w:r w:rsidR="003207B9">
        <w:t xml:space="preserve">a </w:t>
      </w:r>
      <w:r>
        <w:t xml:space="preserve">system </w:t>
      </w:r>
      <w:r w:rsidR="003207B9">
        <w:t xml:space="preserve">born of this Inquiry </w:t>
      </w:r>
      <w:r>
        <w:t>may be either</w:t>
      </w:r>
      <w:r w:rsidRPr="00404512">
        <w:rPr>
          <w:i/>
        </w:rPr>
        <w:t xml:space="preserve"> held</w:t>
      </w:r>
      <w:r>
        <w:t xml:space="preserve"> to an actuary model of </w:t>
      </w:r>
      <w:r w:rsidR="00EC7EA2">
        <w:t>accountability or</w:t>
      </w:r>
      <w:r>
        <w:t xml:space="preserve"> be imbued with the resourc</w:t>
      </w:r>
      <w:r w:rsidR="00EC7EA2">
        <w:t>es</w:t>
      </w:r>
      <w:r>
        <w:t xml:space="preserve"> and tools that would enable </w:t>
      </w:r>
      <w:r w:rsidR="003207B9">
        <w:t>DVA and the ADF</w:t>
      </w:r>
      <w:r>
        <w:t xml:space="preserve"> to</w:t>
      </w:r>
      <w:r w:rsidRPr="00573836">
        <w:rPr>
          <w:i/>
        </w:rPr>
        <w:t xml:space="preserve"> </w:t>
      </w:r>
      <w:r w:rsidRPr="00352568">
        <w:rPr>
          <w:i/>
        </w:rPr>
        <w:t>act</w:t>
      </w:r>
      <w:r>
        <w:t xml:space="preserve"> accountably, of their own accord.  Either way, </w:t>
      </w:r>
      <w:r w:rsidR="003207B9">
        <w:t>the existing or refreshed system</w:t>
      </w:r>
      <w:r>
        <w:t xml:space="preserve"> must be founded on a rigorous longitudinal research agenda, </w:t>
      </w:r>
      <w:r w:rsidR="00EC7EA2">
        <w:t>which must</w:t>
      </w:r>
      <w:r>
        <w:t xml:space="preserve"> have the capacity to monitor needs of serving personnel and veterans, ascertain the efficacy of treatments and healthcare interventions offered, and generate insights in both humanistic and fiscal terms. </w:t>
      </w:r>
      <w:r w:rsidR="008B4527">
        <w:t>Monitoring of our veterans should continue for at least five years after service.</w:t>
      </w:r>
    </w:p>
    <w:p w:rsidR="00B00D3C" w:rsidRDefault="002D5096" w:rsidP="00430F68">
      <w:r>
        <w:t>The long-te</w:t>
      </w:r>
      <w:r w:rsidR="003207B9">
        <w:t xml:space="preserve">rm monitoring of these measures, which </w:t>
      </w:r>
      <w:r w:rsidR="00E10962">
        <w:t xml:space="preserve">would </w:t>
      </w:r>
      <w:r w:rsidR="003207B9">
        <w:t xml:space="preserve">essentially constitute </w:t>
      </w:r>
      <w:r w:rsidR="00E10962">
        <w:t xml:space="preserve">good </w:t>
      </w:r>
      <w:r w:rsidR="003207B9">
        <w:t xml:space="preserve">clinical governance, </w:t>
      </w:r>
      <w:r>
        <w:t>would ideally commence at the beginning of entry into the ADF</w:t>
      </w:r>
      <w:r w:rsidR="00430F68">
        <w:t>. Indeed, research programs are already being designed and harnessed in relation through a Human Performance Optimisation lens, which aims to monitor, provide interventions</w:t>
      </w:r>
      <w:r w:rsidR="00E10962">
        <w:t>, and</w:t>
      </w:r>
      <w:r w:rsidR="00430F68">
        <w:t xml:space="preserve"> improve </w:t>
      </w:r>
      <w:r w:rsidR="00B5454C">
        <w:t xml:space="preserve">individual </w:t>
      </w:r>
      <w:r w:rsidR="00430F68">
        <w:t>function</w:t>
      </w:r>
      <w:r w:rsidR="00B5454C">
        <w:t xml:space="preserve"> (and thereby collective capability)</w:t>
      </w:r>
      <w:r w:rsidR="00430F68">
        <w:t xml:space="preserve">. Given that function and dysfunction </w:t>
      </w:r>
      <w:r w:rsidR="00EC7EA2">
        <w:t xml:space="preserve">(or disorder) </w:t>
      </w:r>
      <w:r w:rsidR="00430F68">
        <w:t xml:space="preserve">sit at opposite ends of the same spectrum, and that </w:t>
      </w:r>
      <w:r w:rsidR="00B5454C">
        <w:t>many service personnel will experience both these—especially in terms of cognition and mental health— there exists an opportunity to capture longitudinal data that may assist with both clinical governance and capability, with little extra resource.</w:t>
      </w:r>
    </w:p>
    <w:p w:rsidR="00E10962" w:rsidRDefault="00C541B6" w:rsidP="009C3462">
      <w:pPr>
        <w:pStyle w:val="Heading2"/>
      </w:pPr>
      <w:r>
        <w:t>Conclusion</w:t>
      </w:r>
    </w:p>
    <w:p w:rsidR="00200527" w:rsidRDefault="00200527" w:rsidP="00200527">
      <w:r>
        <w:t xml:space="preserve">When an individual swears an oath to the Commonwealth of Australia, they are swearing to ultimately put the nation’s needs ahead of their own, which places enormous demands </w:t>
      </w:r>
      <w:r w:rsidR="003D051B">
        <w:t xml:space="preserve">on both </w:t>
      </w:r>
      <w:r>
        <w:t xml:space="preserve">them and their families. </w:t>
      </w:r>
      <w:r w:rsidR="00111AA9">
        <w:t>For many service personnel, these demands include frequent postings</w:t>
      </w:r>
      <w:r w:rsidR="003D051B">
        <w:t xml:space="preserve"> and deployments, along with disruptions to </w:t>
      </w:r>
      <w:r w:rsidR="00111AA9">
        <w:t>social</w:t>
      </w:r>
      <w:r w:rsidR="003D051B">
        <w:t xml:space="preserve"> support systems</w:t>
      </w:r>
      <w:r w:rsidR="00111AA9">
        <w:t>, work, and school</w:t>
      </w:r>
      <w:r w:rsidR="003D051B">
        <w:t xml:space="preserve">. </w:t>
      </w:r>
      <w:r w:rsidR="00111AA9">
        <w:t xml:space="preserve">For a few, demands include exposure to profound trauma and situations likely beyond the comprehension of most civilians which further complicate the experiences of transition and adaptation to civilian life—especially when this occurs on medical grounds. </w:t>
      </w:r>
      <w:r w:rsidR="003414C3">
        <w:t>Because of all the</w:t>
      </w:r>
      <w:r w:rsidR="00111AA9">
        <w:t>s</w:t>
      </w:r>
      <w:r w:rsidR="003414C3">
        <w:t>e factors</w:t>
      </w:r>
      <w:r w:rsidR="00111AA9">
        <w:t xml:space="preserve">, there is a need for our nation to develop a structured, cohesive, and accountable healthcare system </w:t>
      </w:r>
      <w:r w:rsidR="003414C3">
        <w:t xml:space="preserve">that meets the needs of our service members and their families, both during service and after it. </w:t>
      </w:r>
      <w:r w:rsidR="003D051B">
        <w:t xml:space="preserve">The current </w:t>
      </w:r>
      <w:r w:rsidR="003414C3">
        <w:t>system</w:t>
      </w:r>
      <w:r w:rsidR="003D051B">
        <w:t>,</w:t>
      </w:r>
      <w:r w:rsidR="003414C3">
        <w:t xml:space="preserve"> </w:t>
      </w:r>
      <w:r w:rsidR="003D051B">
        <w:t>which</w:t>
      </w:r>
      <w:r w:rsidR="003414C3">
        <w:t xml:space="preserve"> is characterise</w:t>
      </w:r>
      <w:r w:rsidR="003D051B">
        <w:t>d</w:t>
      </w:r>
      <w:r w:rsidR="003414C3">
        <w:t xml:space="preserve"> by a sharp disjuncture during a period of vulnerability is not fit for purpose, nor is a system that lacks veteran health expertise in the civil community. A</w:t>
      </w:r>
      <w:r w:rsidR="003D051B">
        <w:t>n alternative</w:t>
      </w:r>
      <w:r w:rsidR="003414C3">
        <w:t xml:space="preserve"> system that </w:t>
      </w:r>
      <w:r w:rsidR="003D051B">
        <w:t xml:space="preserve">has the capacity to help </w:t>
      </w:r>
      <w:r w:rsidR="003414C3">
        <w:t xml:space="preserve">cohere an individual’s service and post-service life, is reflexive and accountable, and can help veterans </w:t>
      </w:r>
      <w:r w:rsidR="003D051B">
        <w:t xml:space="preserve">and their families </w:t>
      </w:r>
      <w:r w:rsidR="003414C3">
        <w:t>navigate various life-stages</w:t>
      </w:r>
      <w:r w:rsidR="00CB3CFC">
        <w:t>,</w:t>
      </w:r>
      <w:r w:rsidR="003414C3">
        <w:t xml:space="preserve"> may go further to ensure their wellbeing</w:t>
      </w:r>
      <w:r w:rsidR="00CB3CFC">
        <w:t>, and the</w:t>
      </w:r>
      <w:r w:rsidR="003414C3">
        <w:t xml:space="preserve"> </w:t>
      </w:r>
      <w:r w:rsidR="00CB3CFC">
        <w:t xml:space="preserve">health </w:t>
      </w:r>
      <w:r w:rsidR="003414C3">
        <w:t xml:space="preserve">of the Australian economy more broadly. </w:t>
      </w:r>
    </w:p>
    <w:p w:rsidR="006407A5" w:rsidRDefault="00E25B16">
      <w:r w:rsidRPr="00E25B16">
        <w:t xml:space="preserve"> </w:t>
      </w:r>
    </w:p>
    <w:p w:rsidR="006407A5" w:rsidRDefault="006407A5">
      <w:r>
        <w:br w:type="page"/>
      </w:r>
    </w:p>
    <w:p w:rsidR="00E25B16" w:rsidRDefault="00E25B16"/>
    <w:p w:rsidR="00E25B16" w:rsidRDefault="00A131EB" w:rsidP="00A131EB">
      <w:pPr>
        <w:pStyle w:val="Heading2"/>
      </w:pPr>
      <w:r>
        <w:t>References</w:t>
      </w:r>
    </w:p>
    <w:p w:rsidR="006407A5" w:rsidRDefault="006407A5" w:rsidP="00CB3CFC">
      <w:r w:rsidRPr="006407A5">
        <w:t>Chandra, A., Lara-Cinisomo, S., Jaycox, L. H., Tanielian, T., Burns, R. M., Ruder, T., &amp; Han, B. (2010). Children on the homefront: The experience of children from military families. Pediatrics, 125(1), 16-25.</w:t>
      </w:r>
    </w:p>
    <w:p w:rsidR="00E25B16" w:rsidRDefault="00E25B16" w:rsidP="00CB3CFC">
      <w:r w:rsidRPr="00CB3CFC">
        <w:t>Dabovich, P. A. (2018). Iden</w:t>
      </w:r>
      <w:r w:rsidR="006B7565" w:rsidRPr="00CB3CFC">
        <w:t>t</w:t>
      </w:r>
      <w:r w:rsidRPr="00CB3CFC">
        <w:t>ity and veteran health: considerations of context, culture, and change. (Doctor of Philosophy), The University of Adelaide, Adelaide</w:t>
      </w:r>
      <w:r>
        <w:t xml:space="preserve">.   </w:t>
      </w:r>
    </w:p>
    <w:p w:rsidR="006407A5" w:rsidRDefault="006407A5" w:rsidP="006407A5">
      <w:r>
        <w:t>Daraganova, G., Smart, D., &amp; Romaniuk, H. (2018). Family Wellbeing Study: Part 1: Families of Current and Ex-Serving ADF Members: Health and Wellbeing. Canberra: Department of Defence and Department of Veterans’ Affairs.</w:t>
      </w:r>
    </w:p>
    <w:p w:rsidR="00E25B16" w:rsidRDefault="00E25B16" w:rsidP="00E25B16">
      <w:r>
        <w:t xml:space="preserve">DVA. (2017). Accepted conditions for veterans of selected conflicts: September 2013. Retrieved from http://www.dva.gov.au/aboutDVA/statistics/Pages/Statistics.aspx#top20 website: </w:t>
      </w:r>
    </w:p>
    <w:p w:rsidR="00E25B16" w:rsidRDefault="00E25B16" w:rsidP="00E25B16">
      <w:r>
        <w:t xml:space="preserve">Engel, G. L. (1977). The need for a new medical model: A challenge for biomeicine. Science, New Series, 196(4286). </w:t>
      </w:r>
    </w:p>
    <w:p w:rsidR="006407A5" w:rsidRDefault="006407A5" w:rsidP="00E25B16">
      <w:r w:rsidRPr="006407A5">
        <w:t>Esposito-Smythers, C., Wolff, J., Lemmon, K. M., Bodzy, M., Swenson, R. R., &amp; Spirito, A. (2011). Military youth and the deployment cycle: Emotional health consequences and recommendations for intervention. Journal of Family Psychology, 25(4), 497.</w:t>
      </w:r>
    </w:p>
    <w:p w:rsidR="006407A5" w:rsidRDefault="006407A5" w:rsidP="00E25B16">
      <w:r w:rsidRPr="006407A5">
        <w:t>Gorman, G. H., Eide, M., &amp; Hisle-Gorman, E. (2010). Wartime military deployment and increased pediatric mental and behavioral health complaints. Pediatrics, peds-2009.</w:t>
      </w:r>
    </w:p>
    <w:p w:rsidR="00E25B16" w:rsidRDefault="00E25B16" w:rsidP="00E25B16">
      <w:r w:rsidRPr="00E25B16">
        <w:t xml:space="preserve">Henly, S. J., Wyman, J. F., &amp; Findorff, M. J. (2011). Health and illness over time: The trajectory perspective in nursing science. </w:t>
      </w:r>
      <w:r w:rsidRPr="00E25B16">
        <w:rPr>
          <w:i/>
          <w:iCs/>
        </w:rPr>
        <w:t>Nursing research</w:t>
      </w:r>
      <w:r w:rsidRPr="00E25B16">
        <w:t xml:space="preserve">, </w:t>
      </w:r>
      <w:r w:rsidRPr="00E25B16">
        <w:rPr>
          <w:i/>
          <w:iCs/>
        </w:rPr>
        <w:t>60</w:t>
      </w:r>
      <w:r w:rsidRPr="00E25B16">
        <w:t>(3 Suppl), S5.</w:t>
      </w:r>
    </w:p>
    <w:p w:rsidR="000F5E5F" w:rsidRDefault="000F5E5F" w:rsidP="00E25B16">
      <w:r w:rsidRPr="000F5E5F">
        <w:t>Lester, P., Peterson, K., Reeves, J., Knauss, L., Glover, D., Mogil, C., . . . Wilt, K. (2010). The long war and parental combat deployment: Effects on military children and at-home spouses. Journal of the American Academy of Child &amp; Adolescent Psychiatry, 49(4), 310-320.</w:t>
      </w:r>
    </w:p>
    <w:p w:rsidR="00E25B16" w:rsidRDefault="00E25B16" w:rsidP="00E25B16">
      <w:r>
        <w:t>McFarlane, A. C. (2017). Post-traumatic stress disorder is a systemic illness, not a mental disorder: is Cartesian dualism dead? Med Journal of Australia, 206(6), 248-249. doi: 10.5694/mja17.00048</w:t>
      </w:r>
    </w:p>
    <w:p w:rsidR="00E25B16" w:rsidRDefault="00E25B16" w:rsidP="00E25B16">
      <w:r>
        <w:t xml:space="preserve">Steenkamp, M. M., Litz, B. T., Hoge, C. W., &amp; Marmar, C. R. (2015). Psychotherapy for military-related PTSD: a review of randomized clinical trials. Jama, 314(5), 489-500. </w:t>
      </w:r>
    </w:p>
    <w:p w:rsidR="006407A5" w:rsidRDefault="006407A5" w:rsidP="00E25B16">
      <w:r w:rsidRPr="006407A5">
        <w:t>Turner, J., &amp; Chessor, D. (2015). Relationship Satisfaction, Conflict and Psychological Distress: The Impact of Combat Deployment to Afghanistan on the Romantic Partners of Australian Army Personnel. Journal of Relationships Research 6(e3), 1-12. doi: 10.1017/jrr.2014.13</w:t>
      </w:r>
    </w:p>
    <w:p w:rsidR="00E25B16" w:rsidRDefault="00E25B16" w:rsidP="00E25B16">
      <w:r>
        <w:t>Van Hooff, M., Lawrence-Wood, E., Hodson, S., Sadler, N., Benassi, H., Hansen, C., . . . McFarlane, A. (2018). Mental Health Prevalence, Mental Health and Wellbeing Transition Study.  Canberra.</w:t>
      </w:r>
    </w:p>
    <w:p w:rsidR="00E25B16" w:rsidRDefault="00E25B16" w:rsidP="00E25B16">
      <w:r>
        <w:t>Vogt, D., Taverna, E., Nillni, Y., &amp; Tyrell, F. (2018). Manual for the Well-Being Inventory (WBI): A multidimensional tool for assessing key components of well-being.  Boston, MA.</w:t>
      </w:r>
    </w:p>
    <w:p w:rsidR="006407A5" w:rsidRDefault="006407A5" w:rsidP="006407A5">
      <w:r w:rsidRPr="006407A5">
        <w:t>White, C. J., de Burgh, H. T., Fear, N. T., &amp; Iversen, A. C. (2011). The impact of deployment to Iraq or Afghanistan on military children: A review of the literature. International Review of Psychiatry, 23(2), 210-217.</w:t>
      </w:r>
    </w:p>
    <w:p w:rsidR="00E25B16" w:rsidRDefault="00E25B16" w:rsidP="00E25B16">
      <w:r>
        <w:t>World Health Organization. (1978). La Déclaration d'Alma-Ata La Déclaration d'Alma-Ata (pp. 2-2).</w:t>
      </w:r>
    </w:p>
    <w:sectPr w:rsidR="00E25B1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AE1" w:rsidRDefault="00353AE1" w:rsidP="008A78A1">
      <w:pPr>
        <w:spacing w:after="0" w:line="240" w:lineRule="auto"/>
      </w:pPr>
      <w:r>
        <w:separator/>
      </w:r>
    </w:p>
  </w:endnote>
  <w:endnote w:type="continuationSeparator" w:id="0">
    <w:p w:rsidR="00353AE1" w:rsidRDefault="00353AE1" w:rsidP="008A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301600"/>
      <w:docPartObj>
        <w:docPartGallery w:val="Page Numbers (Bottom of Page)"/>
        <w:docPartUnique/>
      </w:docPartObj>
    </w:sdtPr>
    <w:sdtEndPr>
      <w:rPr>
        <w:noProof/>
      </w:rPr>
    </w:sdtEndPr>
    <w:sdtContent>
      <w:p w:rsidR="007B17B5" w:rsidRDefault="007B17B5">
        <w:pPr>
          <w:pStyle w:val="Footer"/>
          <w:jc w:val="center"/>
        </w:pPr>
        <w:r>
          <w:fldChar w:fldCharType="begin"/>
        </w:r>
        <w:r>
          <w:instrText xml:space="preserve"> PAGE   \* MERGEFORMAT </w:instrText>
        </w:r>
        <w:r>
          <w:fldChar w:fldCharType="separate"/>
        </w:r>
        <w:r w:rsidR="00004BA9">
          <w:rPr>
            <w:noProof/>
          </w:rPr>
          <w:t>1</w:t>
        </w:r>
        <w:r>
          <w:rPr>
            <w:noProof/>
          </w:rPr>
          <w:fldChar w:fldCharType="end"/>
        </w:r>
      </w:p>
    </w:sdtContent>
  </w:sdt>
  <w:p w:rsidR="007B17B5" w:rsidRDefault="007B1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AE1" w:rsidRDefault="00353AE1" w:rsidP="008A78A1">
      <w:pPr>
        <w:spacing w:after="0" w:line="240" w:lineRule="auto"/>
      </w:pPr>
      <w:r>
        <w:separator/>
      </w:r>
    </w:p>
  </w:footnote>
  <w:footnote w:type="continuationSeparator" w:id="0">
    <w:p w:rsidR="00353AE1" w:rsidRDefault="00353AE1" w:rsidP="008A7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D6F17"/>
    <w:multiLevelType w:val="hybridMultilevel"/>
    <w:tmpl w:val="2D56B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ax52sdvld0ft1e2dt35r2da9s5ftzr5vrez&quot;&gt;correct one for thesis Copy&lt;record-ids&gt;&lt;item&gt;513&lt;/item&gt;&lt;item&gt;1075&lt;/item&gt;&lt;item&gt;1299&lt;/item&gt;&lt;item&gt;1432&lt;/item&gt;&lt;item&gt;1475&lt;/item&gt;&lt;item&gt;1876&lt;/item&gt;&lt;item&gt;1891&lt;/item&gt;&lt;item&gt;1948&lt;/item&gt;&lt;/record-ids&gt;&lt;/item&gt;&lt;/Libraries&gt;"/>
  </w:docVars>
  <w:rsids>
    <w:rsidRoot w:val="0019725F"/>
    <w:rsid w:val="00004BA9"/>
    <w:rsid w:val="00014C91"/>
    <w:rsid w:val="000223BE"/>
    <w:rsid w:val="00064739"/>
    <w:rsid w:val="0007558D"/>
    <w:rsid w:val="000933F5"/>
    <w:rsid w:val="00094020"/>
    <w:rsid w:val="0009651A"/>
    <w:rsid w:val="000C4A2C"/>
    <w:rsid w:val="000D3358"/>
    <w:rsid w:val="000D4F05"/>
    <w:rsid w:val="000E233B"/>
    <w:rsid w:val="000E4D98"/>
    <w:rsid w:val="000E615D"/>
    <w:rsid w:val="000F5E5F"/>
    <w:rsid w:val="000F7CA5"/>
    <w:rsid w:val="00111AA9"/>
    <w:rsid w:val="00116EFD"/>
    <w:rsid w:val="00117FCC"/>
    <w:rsid w:val="00141D47"/>
    <w:rsid w:val="00170393"/>
    <w:rsid w:val="001747E7"/>
    <w:rsid w:val="00184ABE"/>
    <w:rsid w:val="00187EA2"/>
    <w:rsid w:val="0019725F"/>
    <w:rsid w:val="001B62AB"/>
    <w:rsid w:val="001D0DDA"/>
    <w:rsid w:val="001D584D"/>
    <w:rsid w:val="001D6FFD"/>
    <w:rsid w:val="001E435E"/>
    <w:rsid w:val="00200527"/>
    <w:rsid w:val="00211FAC"/>
    <w:rsid w:val="0022473D"/>
    <w:rsid w:val="00225895"/>
    <w:rsid w:val="00242E48"/>
    <w:rsid w:val="0024598A"/>
    <w:rsid w:val="002479F4"/>
    <w:rsid w:val="00262D8D"/>
    <w:rsid w:val="00292AC1"/>
    <w:rsid w:val="002D00D2"/>
    <w:rsid w:val="002D5096"/>
    <w:rsid w:val="002F243B"/>
    <w:rsid w:val="003207B9"/>
    <w:rsid w:val="003414C3"/>
    <w:rsid w:val="00347B16"/>
    <w:rsid w:val="00352568"/>
    <w:rsid w:val="00353AE1"/>
    <w:rsid w:val="00355A2D"/>
    <w:rsid w:val="00390C3C"/>
    <w:rsid w:val="003A21E2"/>
    <w:rsid w:val="003C2958"/>
    <w:rsid w:val="003D051B"/>
    <w:rsid w:val="004035A7"/>
    <w:rsid w:val="00404512"/>
    <w:rsid w:val="004140B2"/>
    <w:rsid w:val="0041447B"/>
    <w:rsid w:val="0042357C"/>
    <w:rsid w:val="00430F68"/>
    <w:rsid w:val="00434E2D"/>
    <w:rsid w:val="00437BA3"/>
    <w:rsid w:val="00441551"/>
    <w:rsid w:val="004425E9"/>
    <w:rsid w:val="0045259E"/>
    <w:rsid w:val="00473D72"/>
    <w:rsid w:val="00480193"/>
    <w:rsid w:val="00483151"/>
    <w:rsid w:val="00496843"/>
    <w:rsid w:val="004D1C38"/>
    <w:rsid w:val="004D5F3A"/>
    <w:rsid w:val="004E3A2C"/>
    <w:rsid w:val="00526F79"/>
    <w:rsid w:val="005301D5"/>
    <w:rsid w:val="00544DBD"/>
    <w:rsid w:val="005468B6"/>
    <w:rsid w:val="00556853"/>
    <w:rsid w:val="00556F60"/>
    <w:rsid w:val="00566A41"/>
    <w:rsid w:val="00573836"/>
    <w:rsid w:val="00574579"/>
    <w:rsid w:val="005B29D1"/>
    <w:rsid w:val="005E3F29"/>
    <w:rsid w:val="005E7B6F"/>
    <w:rsid w:val="0060448D"/>
    <w:rsid w:val="00633FE3"/>
    <w:rsid w:val="006407A5"/>
    <w:rsid w:val="00642A6F"/>
    <w:rsid w:val="00651963"/>
    <w:rsid w:val="00654F8B"/>
    <w:rsid w:val="0065764F"/>
    <w:rsid w:val="00674367"/>
    <w:rsid w:val="0067768B"/>
    <w:rsid w:val="0068023B"/>
    <w:rsid w:val="00693290"/>
    <w:rsid w:val="00695FC4"/>
    <w:rsid w:val="006A1538"/>
    <w:rsid w:val="006B7565"/>
    <w:rsid w:val="006C5D2D"/>
    <w:rsid w:val="006D79B4"/>
    <w:rsid w:val="007047B3"/>
    <w:rsid w:val="00712C4E"/>
    <w:rsid w:val="007351EB"/>
    <w:rsid w:val="007374C3"/>
    <w:rsid w:val="007433B9"/>
    <w:rsid w:val="00750FFC"/>
    <w:rsid w:val="007778D7"/>
    <w:rsid w:val="007849F2"/>
    <w:rsid w:val="00797215"/>
    <w:rsid w:val="007A547E"/>
    <w:rsid w:val="007B17B5"/>
    <w:rsid w:val="007E3BEF"/>
    <w:rsid w:val="0084799F"/>
    <w:rsid w:val="00851C60"/>
    <w:rsid w:val="00852281"/>
    <w:rsid w:val="00860045"/>
    <w:rsid w:val="008612F5"/>
    <w:rsid w:val="00873997"/>
    <w:rsid w:val="008852DF"/>
    <w:rsid w:val="008960EE"/>
    <w:rsid w:val="008A78A1"/>
    <w:rsid w:val="008B3C0D"/>
    <w:rsid w:val="008B4527"/>
    <w:rsid w:val="008C691A"/>
    <w:rsid w:val="008E1D76"/>
    <w:rsid w:val="00906786"/>
    <w:rsid w:val="00945228"/>
    <w:rsid w:val="00962869"/>
    <w:rsid w:val="0097187F"/>
    <w:rsid w:val="009848F7"/>
    <w:rsid w:val="009953BD"/>
    <w:rsid w:val="009A5DE8"/>
    <w:rsid w:val="009C3462"/>
    <w:rsid w:val="009C5A2E"/>
    <w:rsid w:val="009E2444"/>
    <w:rsid w:val="00A10301"/>
    <w:rsid w:val="00A131EB"/>
    <w:rsid w:val="00A272ED"/>
    <w:rsid w:val="00A31222"/>
    <w:rsid w:val="00A63F5E"/>
    <w:rsid w:val="00A71F2A"/>
    <w:rsid w:val="00A81D63"/>
    <w:rsid w:val="00AA2DF8"/>
    <w:rsid w:val="00AB3742"/>
    <w:rsid w:val="00AB5219"/>
    <w:rsid w:val="00AD5C63"/>
    <w:rsid w:val="00AE7D18"/>
    <w:rsid w:val="00B00D3C"/>
    <w:rsid w:val="00B10990"/>
    <w:rsid w:val="00B244BD"/>
    <w:rsid w:val="00B26056"/>
    <w:rsid w:val="00B5454C"/>
    <w:rsid w:val="00B77DC1"/>
    <w:rsid w:val="00BB16D2"/>
    <w:rsid w:val="00BF4CC4"/>
    <w:rsid w:val="00BF7305"/>
    <w:rsid w:val="00BF76B4"/>
    <w:rsid w:val="00C06FBF"/>
    <w:rsid w:val="00C07BA2"/>
    <w:rsid w:val="00C17D8D"/>
    <w:rsid w:val="00C23317"/>
    <w:rsid w:val="00C258C4"/>
    <w:rsid w:val="00C4283B"/>
    <w:rsid w:val="00C43838"/>
    <w:rsid w:val="00C47B7A"/>
    <w:rsid w:val="00C541B6"/>
    <w:rsid w:val="00C65ECA"/>
    <w:rsid w:val="00C74AB2"/>
    <w:rsid w:val="00C856CA"/>
    <w:rsid w:val="00C867DD"/>
    <w:rsid w:val="00CB17C6"/>
    <w:rsid w:val="00CB3CFC"/>
    <w:rsid w:val="00CF581E"/>
    <w:rsid w:val="00D016CA"/>
    <w:rsid w:val="00D12942"/>
    <w:rsid w:val="00D87D11"/>
    <w:rsid w:val="00D9564B"/>
    <w:rsid w:val="00DA1612"/>
    <w:rsid w:val="00DB2A9C"/>
    <w:rsid w:val="00DC6FA9"/>
    <w:rsid w:val="00E02477"/>
    <w:rsid w:val="00E10962"/>
    <w:rsid w:val="00E25B16"/>
    <w:rsid w:val="00E6467A"/>
    <w:rsid w:val="00E868BB"/>
    <w:rsid w:val="00E91F90"/>
    <w:rsid w:val="00EA0FC8"/>
    <w:rsid w:val="00EA592F"/>
    <w:rsid w:val="00EB266E"/>
    <w:rsid w:val="00EB5041"/>
    <w:rsid w:val="00EC7EA2"/>
    <w:rsid w:val="00ED0BB2"/>
    <w:rsid w:val="00ED65F3"/>
    <w:rsid w:val="00EE01CE"/>
    <w:rsid w:val="00EE299A"/>
    <w:rsid w:val="00EF6BA8"/>
    <w:rsid w:val="00EF7D12"/>
    <w:rsid w:val="00F00D45"/>
    <w:rsid w:val="00F11A83"/>
    <w:rsid w:val="00F361C2"/>
    <w:rsid w:val="00F47AC0"/>
    <w:rsid w:val="00F574A1"/>
    <w:rsid w:val="00F6396D"/>
    <w:rsid w:val="00F846E1"/>
    <w:rsid w:val="00F87CBF"/>
    <w:rsid w:val="00FD1A78"/>
    <w:rsid w:val="00FE09F5"/>
    <w:rsid w:val="00FE68BE"/>
    <w:rsid w:val="00FF7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6FCD8-7C58-4B3F-A2FB-8424E764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1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4A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29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DC1"/>
    <w:pPr>
      <w:ind w:left="720"/>
      <w:contextualSpacing/>
    </w:pPr>
  </w:style>
  <w:style w:type="character" w:customStyle="1" w:styleId="Heading2Char">
    <w:name w:val="Heading 2 Char"/>
    <w:basedOn w:val="DefaultParagraphFont"/>
    <w:link w:val="Heading2"/>
    <w:uiPriority w:val="9"/>
    <w:rsid w:val="00184AB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A7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8A1"/>
    <w:rPr>
      <w:sz w:val="20"/>
      <w:szCs w:val="20"/>
    </w:rPr>
  </w:style>
  <w:style w:type="character" w:styleId="FootnoteReference">
    <w:name w:val="footnote reference"/>
    <w:basedOn w:val="DefaultParagraphFont"/>
    <w:uiPriority w:val="99"/>
    <w:semiHidden/>
    <w:unhideWhenUsed/>
    <w:rsid w:val="008A78A1"/>
    <w:rPr>
      <w:vertAlign w:val="superscript"/>
    </w:rPr>
  </w:style>
  <w:style w:type="character" w:customStyle="1" w:styleId="Heading3Char">
    <w:name w:val="Heading 3 Char"/>
    <w:basedOn w:val="DefaultParagraphFont"/>
    <w:link w:val="Heading3"/>
    <w:uiPriority w:val="9"/>
    <w:rsid w:val="003C295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B1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7B5"/>
  </w:style>
  <w:style w:type="paragraph" w:styleId="Footer">
    <w:name w:val="footer"/>
    <w:basedOn w:val="Normal"/>
    <w:link w:val="FooterChar"/>
    <w:uiPriority w:val="99"/>
    <w:unhideWhenUsed/>
    <w:rsid w:val="007B1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7B5"/>
  </w:style>
  <w:style w:type="paragraph" w:customStyle="1" w:styleId="EndNoteBibliographyTitle">
    <w:name w:val="EndNote Bibliography Title"/>
    <w:basedOn w:val="Normal"/>
    <w:link w:val="EndNoteBibliographyTitleChar"/>
    <w:rsid w:val="00EF6BA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F6BA8"/>
    <w:rPr>
      <w:rFonts w:ascii="Calibri" w:hAnsi="Calibri"/>
      <w:noProof/>
      <w:lang w:val="en-US"/>
    </w:rPr>
  </w:style>
  <w:style w:type="paragraph" w:customStyle="1" w:styleId="EndNoteBibliography">
    <w:name w:val="EndNote Bibliography"/>
    <w:basedOn w:val="Normal"/>
    <w:link w:val="EndNoteBibliographyChar"/>
    <w:rsid w:val="00EF6BA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F6BA8"/>
    <w:rPr>
      <w:rFonts w:ascii="Calibri" w:hAnsi="Calibri"/>
      <w:noProof/>
      <w:lang w:val="en-US"/>
    </w:rPr>
  </w:style>
  <w:style w:type="character" w:styleId="Hyperlink">
    <w:name w:val="Hyperlink"/>
    <w:basedOn w:val="DefaultParagraphFont"/>
    <w:uiPriority w:val="99"/>
    <w:unhideWhenUsed/>
    <w:rsid w:val="00EF6BA8"/>
    <w:rPr>
      <w:color w:val="0563C1" w:themeColor="hyperlink"/>
      <w:u w:val="single"/>
    </w:rPr>
  </w:style>
  <w:style w:type="character" w:customStyle="1" w:styleId="Heading1Char">
    <w:name w:val="Heading 1 Char"/>
    <w:basedOn w:val="DefaultParagraphFont"/>
    <w:link w:val="Heading1"/>
    <w:uiPriority w:val="9"/>
    <w:rsid w:val="00FD1A7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26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D60E-D4FF-4BB2-9389-E1B4C184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3901</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Submission DR242 - Paula Dabovich - Compensation and Rehabilitation for Veterans - Public inquiry</vt:lpstr>
    </vt:vector>
  </TitlesOfParts>
  <Company>Paula Dabovich</Company>
  <LinksUpToDate>false</LinksUpToDate>
  <CharactersWithSpaces>26091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DR242 - Paula Dabovich - Compensation and Rehabilitation for Veterans - Public inquiry</dc:title>
  <dc:subject/>
  <dc:creator>Paula Dabovich</dc:creator>
  <cp:keywords/>
  <dc:description/>
  <cp:lastModifiedBy>Productivity Commission</cp:lastModifiedBy>
  <cp:revision>4</cp:revision>
  <cp:lastPrinted>2019-02-10T09:12:00Z</cp:lastPrinted>
  <dcterms:created xsi:type="dcterms:W3CDTF">2019-02-20T03:43:00Z</dcterms:created>
  <dcterms:modified xsi:type="dcterms:W3CDTF">2019-02-21T03:48:00Z</dcterms:modified>
</cp:coreProperties>
</file>