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44303" w14:textId="77777777" w:rsidR="00446AD4" w:rsidRDefault="00446AFF" w:rsidP="00D30BFB">
      <w:pPr>
        <w:spacing w:line="276" w:lineRule="auto"/>
        <w:rPr>
          <w:rFonts w:ascii="Source Sans Pro Light" w:hAnsi="Source Sans Pro Light"/>
          <w:b/>
          <w:bCs/>
          <w:sz w:val="32"/>
          <w:szCs w:val="32"/>
        </w:rPr>
      </w:pPr>
      <w:bookmarkStart w:id="0" w:name="_GoBack"/>
      <w:bookmarkEnd w:id="0"/>
      <w:r>
        <w:rPr>
          <w:rFonts w:ascii="Source Sans Pro Light" w:hAnsi="Source Sans Pro Light"/>
          <w:b/>
          <w:bCs/>
          <w:noProof/>
          <w:sz w:val="32"/>
          <w:szCs w:val="32"/>
          <w:lang w:eastAsia="en-AU"/>
        </w:rPr>
        <w:drawing>
          <wp:anchor distT="0" distB="0" distL="114300" distR="114300" simplePos="0" relativeHeight="251658240" behindDoc="0" locked="0" layoutInCell="1" allowOverlap="1" wp14:anchorId="4A1D1234" wp14:editId="18118BD7">
            <wp:simplePos x="0" y="0"/>
            <wp:positionH relativeFrom="column">
              <wp:posOffset>2030730</wp:posOffset>
            </wp:positionH>
            <wp:positionV relativeFrom="paragraph">
              <wp:posOffset>412</wp:posOffset>
            </wp:positionV>
            <wp:extent cx="1666800" cy="730800"/>
            <wp:effectExtent l="0" t="0" r="0" b="6350"/>
            <wp:wrapThrough wrapText="bothSides">
              <wp:wrapPolygon edited="0">
                <wp:start x="0" y="0"/>
                <wp:lineTo x="0" y="21412"/>
                <wp:lineTo x="21402" y="21412"/>
                <wp:lineTo x="21402" y="0"/>
                <wp:lineTo x="0" y="0"/>
              </wp:wrapPolygon>
            </wp:wrapThrough>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indanaLC.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6800" cy="730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446AFF" w:rsidRDefault="00446AFF" w:rsidP="00D30BFB">
      <w:pPr>
        <w:spacing w:line="276" w:lineRule="auto"/>
        <w:rPr>
          <w:rFonts w:ascii="Source Sans Pro Light" w:hAnsi="Source Sans Pro Light"/>
          <w:b/>
          <w:bCs/>
          <w:sz w:val="32"/>
          <w:szCs w:val="32"/>
        </w:rPr>
      </w:pPr>
    </w:p>
    <w:p w14:paraId="232BE19B" w14:textId="035EE76A" w:rsidR="00810E13" w:rsidRDefault="00810E13" w:rsidP="00D30BFB">
      <w:pPr>
        <w:spacing w:line="276" w:lineRule="auto"/>
      </w:pPr>
    </w:p>
    <w:p w14:paraId="6AE072F8" w14:textId="3FA78D67" w:rsidR="00CD3652" w:rsidRDefault="00CD3652" w:rsidP="00D30BFB">
      <w:pPr>
        <w:spacing w:line="276" w:lineRule="auto"/>
      </w:pPr>
    </w:p>
    <w:p w14:paraId="1E50742C" w14:textId="48F93499" w:rsidR="000A4A48" w:rsidRPr="000A4A48" w:rsidRDefault="00EA09AB" w:rsidP="000A4A48">
      <w:pPr>
        <w:pStyle w:val="Date"/>
        <w:rPr>
          <w:rStyle w:val="Bold"/>
          <w:rFonts w:asciiTheme="minorHAnsi" w:hAnsiTheme="minorHAnsi" w:cstheme="minorHAnsi"/>
          <w:sz w:val="22"/>
          <w:szCs w:val="22"/>
        </w:rPr>
      </w:pPr>
      <w:r w:rsidRPr="00635860">
        <w:rPr>
          <w:rFonts w:cstheme="minorHAnsi"/>
          <w:sz w:val="22"/>
          <w:szCs w:val="22"/>
        </w:rPr>
        <w:t xml:space="preserve">22 </w:t>
      </w:r>
      <w:r w:rsidR="000A4A48" w:rsidRPr="00635860">
        <w:rPr>
          <w:rFonts w:cstheme="minorHAnsi"/>
          <w:sz w:val="22"/>
          <w:szCs w:val="22"/>
        </w:rPr>
        <w:t xml:space="preserve">January </w:t>
      </w:r>
      <w:r w:rsidR="000A4A48" w:rsidRPr="000A4A48">
        <w:rPr>
          <w:rFonts w:cstheme="minorHAnsi"/>
          <w:sz w:val="22"/>
          <w:szCs w:val="22"/>
        </w:rPr>
        <w:t>2020</w:t>
      </w:r>
    </w:p>
    <w:p w14:paraId="0F858797" w14:textId="77777777" w:rsidR="000A4A48" w:rsidRPr="000A4A48" w:rsidRDefault="000A4A48" w:rsidP="000A4A48">
      <w:pPr>
        <w:rPr>
          <w:rFonts w:cstheme="minorHAnsi"/>
          <w:sz w:val="22"/>
          <w:szCs w:val="22"/>
        </w:rPr>
      </w:pPr>
      <w:r w:rsidRPr="000A4A48">
        <w:rPr>
          <w:rFonts w:cstheme="minorHAnsi"/>
          <w:sz w:val="22"/>
          <w:szCs w:val="22"/>
        </w:rPr>
        <w:t>Mental Health Inquiry</w:t>
      </w:r>
    </w:p>
    <w:p w14:paraId="10AF69E6" w14:textId="77777777" w:rsidR="000A4A48" w:rsidRPr="000A4A48" w:rsidRDefault="000A4A48" w:rsidP="000A4A48">
      <w:pPr>
        <w:rPr>
          <w:rFonts w:cstheme="minorHAnsi"/>
          <w:sz w:val="22"/>
          <w:szCs w:val="22"/>
        </w:rPr>
      </w:pPr>
      <w:r w:rsidRPr="000A4A48">
        <w:rPr>
          <w:rFonts w:cstheme="minorHAnsi"/>
          <w:sz w:val="22"/>
          <w:szCs w:val="22"/>
        </w:rPr>
        <w:t>Productivity Commission</w:t>
      </w:r>
    </w:p>
    <w:p w14:paraId="347E5F51" w14:textId="77777777" w:rsidR="000A4A48" w:rsidRPr="000A4A48" w:rsidRDefault="006F5867" w:rsidP="000A4A48">
      <w:pPr>
        <w:rPr>
          <w:rFonts w:cstheme="minorHAnsi"/>
          <w:sz w:val="22"/>
          <w:szCs w:val="22"/>
        </w:rPr>
      </w:pPr>
      <w:hyperlink r:id="rId14" w:history="1">
        <w:r w:rsidR="000A4A48" w:rsidRPr="000A4A48">
          <w:rPr>
            <w:rStyle w:val="Hyperlink"/>
            <w:rFonts w:cstheme="minorHAnsi"/>
            <w:sz w:val="22"/>
            <w:szCs w:val="22"/>
          </w:rPr>
          <w:t>https://www.pc.gov.au/inquiries/current/mental-health/submissions</w:t>
        </w:r>
      </w:hyperlink>
    </w:p>
    <w:p w14:paraId="6F1B7A31" w14:textId="77777777" w:rsidR="000A4A48" w:rsidRPr="000A4A48" w:rsidRDefault="000A4A48" w:rsidP="000A4A48">
      <w:pPr>
        <w:rPr>
          <w:rFonts w:cstheme="minorHAnsi"/>
          <w:sz w:val="22"/>
          <w:szCs w:val="22"/>
        </w:rPr>
      </w:pPr>
    </w:p>
    <w:p w14:paraId="4BCF8515" w14:textId="77777777" w:rsidR="000A4A48" w:rsidRPr="000A4A48" w:rsidRDefault="000A4A48" w:rsidP="000A4A48">
      <w:pPr>
        <w:rPr>
          <w:rFonts w:ascii="Goudy Old Style" w:hAnsi="Goudy Old Style" w:cstheme="minorHAnsi"/>
          <w:caps/>
          <w:sz w:val="22"/>
          <w:szCs w:val="22"/>
        </w:rPr>
      </w:pPr>
    </w:p>
    <w:p w14:paraId="0C2BACDB" w14:textId="1402D425" w:rsidR="000A4A48" w:rsidRPr="00635860" w:rsidRDefault="000A4A48" w:rsidP="000A4A48">
      <w:pPr>
        <w:rPr>
          <w:rFonts w:cstheme="minorHAnsi"/>
          <w:caps/>
          <w:sz w:val="22"/>
          <w:szCs w:val="22"/>
        </w:rPr>
      </w:pPr>
      <w:r w:rsidRPr="00635860">
        <w:rPr>
          <w:rFonts w:cstheme="minorHAnsi"/>
          <w:caps/>
          <w:sz w:val="22"/>
          <w:szCs w:val="22"/>
        </w:rPr>
        <w:t>About Windana</w:t>
      </w:r>
    </w:p>
    <w:p w14:paraId="4B9140D2" w14:textId="77777777" w:rsidR="0086343B" w:rsidRPr="000A4A48" w:rsidRDefault="0086343B" w:rsidP="000A4A48">
      <w:pPr>
        <w:rPr>
          <w:rFonts w:ascii="Goudy Old Style" w:hAnsi="Goudy Old Style" w:cstheme="minorHAnsi"/>
          <w:caps/>
          <w:sz w:val="22"/>
          <w:szCs w:val="22"/>
        </w:rPr>
      </w:pPr>
    </w:p>
    <w:p w14:paraId="1ED8538C" w14:textId="77777777" w:rsidR="00024C32" w:rsidRPr="000A4A48" w:rsidRDefault="00024C32" w:rsidP="00024C32">
      <w:pPr>
        <w:rPr>
          <w:rFonts w:cstheme="minorHAnsi"/>
          <w:sz w:val="22"/>
          <w:szCs w:val="22"/>
        </w:rPr>
      </w:pPr>
      <w:r w:rsidRPr="000A4A48">
        <w:rPr>
          <w:rFonts w:cstheme="minorHAnsi"/>
          <w:sz w:val="22"/>
          <w:szCs w:val="22"/>
        </w:rPr>
        <w:t xml:space="preserve">Windana Drug and Alcohol Recovery (Windana) is a leading Melbourne-based alcohol and other drug (AOD) treatment centre specialising in holistic, client-focused recovery service programs. Clients choose from residential and a range of supportive community-based, harm reduction, recovery and rehabilitation programs. We help people rebuild their lives in a safe, caring environment and support our clients wherever they are in the recovery process. </w:t>
      </w:r>
    </w:p>
    <w:p w14:paraId="2D53E210" w14:textId="6C09D555" w:rsidR="00654592" w:rsidRDefault="00024C32" w:rsidP="00024C32">
      <w:pPr>
        <w:rPr>
          <w:rFonts w:cstheme="minorHAnsi"/>
          <w:sz w:val="22"/>
          <w:szCs w:val="22"/>
        </w:rPr>
      </w:pPr>
      <w:r w:rsidRPr="000A4A48">
        <w:rPr>
          <w:rFonts w:cstheme="minorHAnsi"/>
          <w:sz w:val="22"/>
          <w:szCs w:val="22"/>
        </w:rPr>
        <w:t>Windana assists close to 2,000 people across Victoria per annum by providing AOD treatment services including residential withdrawal services, residential rehabilitation and a suite of non-residential services</w:t>
      </w:r>
    </w:p>
    <w:p w14:paraId="39B644F7" w14:textId="0B7DE7B2" w:rsidR="000A4A48" w:rsidRDefault="000A4A48" w:rsidP="000A4A48">
      <w:pPr>
        <w:rPr>
          <w:rFonts w:cstheme="minorHAnsi"/>
          <w:sz w:val="22"/>
          <w:szCs w:val="22"/>
        </w:rPr>
      </w:pPr>
    </w:p>
    <w:p w14:paraId="782E3E19" w14:textId="77777777" w:rsidR="00024C32" w:rsidRPr="000A4A48" w:rsidRDefault="00024C32" w:rsidP="000A4A48">
      <w:pPr>
        <w:rPr>
          <w:rFonts w:cstheme="minorHAnsi"/>
          <w:sz w:val="22"/>
          <w:szCs w:val="22"/>
        </w:rPr>
      </w:pPr>
    </w:p>
    <w:p w14:paraId="4645A738" w14:textId="1E7086AB" w:rsidR="000A4A48" w:rsidRPr="00635860" w:rsidRDefault="000A4A48" w:rsidP="000A4A48">
      <w:pPr>
        <w:rPr>
          <w:rFonts w:cstheme="minorHAnsi"/>
          <w:caps/>
          <w:sz w:val="22"/>
          <w:szCs w:val="22"/>
        </w:rPr>
      </w:pPr>
      <w:r w:rsidRPr="00635860">
        <w:rPr>
          <w:rFonts w:cstheme="minorHAnsi"/>
          <w:caps/>
          <w:sz w:val="22"/>
          <w:szCs w:val="22"/>
        </w:rPr>
        <w:t>Recommendations</w:t>
      </w:r>
    </w:p>
    <w:p w14:paraId="5DEB0172" w14:textId="77777777" w:rsidR="0086343B" w:rsidRPr="00654592" w:rsidRDefault="0086343B" w:rsidP="000A4A48">
      <w:pPr>
        <w:rPr>
          <w:rFonts w:ascii="Goudy Old Style" w:hAnsi="Goudy Old Style" w:cstheme="minorHAnsi"/>
          <w:caps/>
          <w:sz w:val="22"/>
          <w:szCs w:val="22"/>
        </w:rPr>
      </w:pPr>
    </w:p>
    <w:p w14:paraId="7D613790" w14:textId="1B1140AD" w:rsidR="00654592" w:rsidRPr="00654592" w:rsidRDefault="00654592" w:rsidP="00024C32">
      <w:pPr>
        <w:pBdr>
          <w:top w:val="single" w:sz="4" w:space="1" w:color="auto"/>
          <w:left w:val="single" w:sz="4" w:space="4" w:color="auto"/>
          <w:bottom w:val="single" w:sz="4" w:space="31" w:color="auto"/>
          <w:right w:val="single" w:sz="4" w:space="4" w:color="auto"/>
        </w:pBdr>
        <w:rPr>
          <w:rFonts w:cstheme="minorHAnsi"/>
          <w:bCs/>
          <w:i/>
          <w:iCs/>
          <w:sz w:val="22"/>
          <w:szCs w:val="22"/>
        </w:rPr>
      </w:pPr>
      <w:r w:rsidRPr="00654592">
        <w:rPr>
          <w:rFonts w:cstheme="minorHAnsi"/>
          <w:bCs/>
          <w:i/>
          <w:iCs/>
          <w:sz w:val="22"/>
          <w:szCs w:val="22"/>
        </w:rPr>
        <w:t>Recommendation 1: develop a step up – step down model of care with increased capacity to support those experiencing acute AOD and mental health concerns. The model should include seamless service pathways to less intensive support services.</w:t>
      </w:r>
    </w:p>
    <w:p w14:paraId="7FEAE890" w14:textId="77777777" w:rsidR="00654592" w:rsidRPr="00654592" w:rsidRDefault="00654592" w:rsidP="00024C32">
      <w:pPr>
        <w:pBdr>
          <w:top w:val="single" w:sz="4" w:space="1" w:color="auto"/>
          <w:left w:val="single" w:sz="4" w:space="4" w:color="auto"/>
          <w:bottom w:val="single" w:sz="4" w:space="31" w:color="auto"/>
          <w:right w:val="single" w:sz="4" w:space="4" w:color="auto"/>
        </w:pBdr>
        <w:rPr>
          <w:rFonts w:cstheme="minorHAnsi"/>
          <w:bCs/>
          <w:i/>
          <w:iCs/>
          <w:sz w:val="22"/>
          <w:szCs w:val="22"/>
        </w:rPr>
      </w:pPr>
    </w:p>
    <w:p w14:paraId="56BA622B" w14:textId="71E8D398" w:rsidR="00654592" w:rsidRPr="00654592" w:rsidRDefault="00654592" w:rsidP="00024C32">
      <w:pPr>
        <w:pBdr>
          <w:top w:val="single" w:sz="4" w:space="1" w:color="auto"/>
          <w:left w:val="single" w:sz="4" w:space="4" w:color="auto"/>
          <w:bottom w:val="single" w:sz="4" w:space="31" w:color="auto"/>
          <w:right w:val="single" w:sz="4" w:space="4" w:color="auto"/>
        </w:pBdr>
        <w:rPr>
          <w:rFonts w:cstheme="minorHAnsi"/>
          <w:bCs/>
          <w:i/>
          <w:iCs/>
          <w:sz w:val="22"/>
          <w:szCs w:val="22"/>
        </w:rPr>
      </w:pPr>
      <w:r w:rsidRPr="00654592">
        <w:rPr>
          <w:rFonts w:cstheme="minorHAnsi"/>
          <w:bCs/>
          <w:i/>
          <w:iCs/>
          <w:sz w:val="22"/>
          <w:szCs w:val="22"/>
        </w:rPr>
        <w:t>Recommendation 2: increase the capacity of the AOD sector to meet demand.</w:t>
      </w:r>
    </w:p>
    <w:p w14:paraId="0C0A7505" w14:textId="77777777" w:rsidR="00654592" w:rsidRPr="00654592" w:rsidRDefault="00654592" w:rsidP="00024C32">
      <w:pPr>
        <w:pBdr>
          <w:top w:val="single" w:sz="4" w:space="1" w:color="auto"/>
          <w:left w:val="single" w:sz="4" w:space="4" w:color="auto"/>
          <w:bottom w:val="single" w:sz="4" w:space="31" w:color="auto"/>
          <w:right w:val="single" w:sz="4" w:space="4" w:color="auto"/>
        </w:pBdr>
        <w:rPr>
          <w:rFonts w:cstheme="minorHAnsi"/>
          <w:bCs/>
          <w:i/>
          <w:iCs/>
          <w:sz w:val="22"/>
          <w:szCs w:val="22"/>
        </w:rPr>
      </w:pPr>
    </w:p>
    <w:p w14:paraId="1EF69169" w14:textId="504A15EA" w:rsidR="00654592" w:rsidRPr="00654592" w:rsidRDefault="00654592" w:rsidP="00024C32">
      <w:pPr>
        <w:pBdr>
          <w:top w:val="single" w:sz="4" w:space="1" w:color="auto"/>
          <w:left w:val="single" w:sz="4" w:space="4" w:color="auto"/>
          <w:bottom w:val="single" w:sz="4" w:space="31" w:color="auto"/>
          <w:right w:val="single" w:sz="4" w:space="4" w:color="auto"/>
        </w:pBdr>
        <w:rPr>
          <w:rFonts w:cstheme="minorHAnsi"/>
          <w:bCs/>
          <w:i/>
          <w:iCs/>
          <w:sz w:val="22"/>
          <w:szCs w:val="22"/>
        </w:rPr>
      </w:pPr>
      <w:r w:rsidRPr="00654592">
        <w:rPr>
          <w:rFonts w:cstheme="minorHAnsi"/>
          <w:bCs/>
          <w:i/>
          <w:iCs/>
          <w:sz w:val="22"/>
          <w:szCs w:val="22"/>
        </w:rPr>
        <w:t>Recommendation 3:  A community sector Industry Plan should be progressed to support the community sector workforce to respond to the causes of mental health.</w:t>
      </w:r>
      <w:r w:rsidR="00042538">
        <w:rPr>
          <w:rFonts w:cstheme="minorHAnsi"/>
          <w:bCs/>
          <w:i/>
          <w:iCs/>
          <w:sz w:val="22"/>
          <w:szCs w:val="22"/>
        </w:rPr>
        <w:t xml:space="preserve"> </w:t>
      </w:r>
    </w:p>
    <w:p w14:paraId="645641EB" w14:textId="77777777" w:rsidR="00654592" w:rsidRPr="00654592" w:rsidRDefault="00654592" w:rsidP="00024C32">
      <w:pPr>
        <w:pBdr>
          <w:top w:val="single" w:sz="4" w:space="1" w:color="auto"/>
          <w:left w:val="single" w:sz="4" w:space="4" w:color="auto"/>
          <w:bottom w:val="single" w:sz="4" w:space="31" w:color="auto"/>
          <w:right w:val="single" w:sz="4" w:space="4" w:color="auto"/>
        </w:pBdr>
        <w:rPr>
          <w:rFonts w:cstheme="minorHAnsi"/>
          <w:bCs/>
          <w:i/>
          <w:iCs/>
          <w:sz w:val="22"/>
          <w:szCs w:val="22"/>
        </w:rPr>
      </w:pPr>
    </w:p>
    <w:p w14:paraId="74142E05" w14:textId="19C41193" w:rsidR="00654592" w:rsidRPr="00654592" w:rsidRDefault="00654592" w:rsidP="00024C32">
      <w:pPr>
        <w:pBdr>
          <w:top w:val="single" w:sz="4" w:space="1" w:color="auto"/>
          <w:left w:val="single" w:sz="4" w:space="4" w:color="auto"/>
          <w:bottom w:val="single" w:sz="4" w:space="31" w:color="auto"/>
          <w:right w:val="single" w:sz="4" w:space="4" w:color="auto"/>
        </w:pBdr>
        <w:rPr>
          <w:rFonts w:cstheme="minorHAnsi"/>
          <w:bCs/>
          <w:i/>
          <w:iCs/>
          <w:sz w:val="22"/>
          <w:szCs w:val="22"/>
        </w:rPr>
      </w:pPr>
      <w:r w:rsidRPr="00654592">
        <w:rPr>
          <w:rFonts w:cstheme="minorHAnsi"/>
          <w:bCs/>
          <w:i/>
          <w:iCs/>
          <w:sz w:val="22"/>
          <w:szCs w:val="22"/>
        </w:rPr>
        <w:t>Recommendation 4: This inquiry should recommend measures to reduce stigma towards disadvantaged cohorts, including</w:t>
      </w:r>
      <w:r w:rsidR="00DC3B9D">
        <w:rPr>
          <w:rFonts w:cstheme="minorHAnsi"/>
          <w:bCs/>
          <w:i/>
          <w:iCs/>
          <w:sz w:val="22"/>
          <w:szCs w:val="22"/>
        </w:rPr>
        <w:t>,</w:t>
      </w:r>
      <w:r w:rsidRPr="00654592">
        <w:rPr>
          <w:rFonts w:cstheme="minorHAnsi"/>
          <w:bCs/>
          <w:i/>
          <w:iCs/>
          <w:sz w:val="22"/>
          <w:szCs w:val="22"/>
        </w:rPr>
        <w:t xml:space="preserve"> but not limited to</w:t>
      </w:r>
      <w:r w:rsidR="00DC3B9D">
        <w:rPr>
          <w:rFonts w:cstheme="minorHAnsi"/>
          <w:bCs/>
          <w:i/>
          <w:iCs/>
          <w:sz w:val="22"/>
          <w:szCs w:val="22"/>
        </w:rPr>
        <w:t>,</w:t>
      </w:r>
      <w:r w:rsidRPr="00654592">
        <w:rPr>
          <w:rFonts w:cstheme="minorHAnsi"/>
          <w:bCs/>
          <w:i/>
          <w:iCs/>
          <w:sz w:val="22"/>
          <w:szCs w:val="22"/>
        </w:rPr>
        <w:t xml:space="preserve"> those experiencing mental illness, alcohol and other drug dependency, homelessness</w:t>
      </w:r>
      <w:r w:rsidR="003A3FF9">
        <w:rPr>
          <w:rFonts w:cstheme="minorHAnsi"/>
          <w:bCs/>
          <w:i/>
          <w:iCs/>
          <w:sz w:val="22"/>
          <w:szCs w:val="22"/>
        </w:rPr>
        <w:t xml:space="preserve"> and</w:t>
      </w:r>
      <w:r w:rsidRPr="00654592">
        <w:rPr>
          <w:rFonts w:cstheme="minorHAnsi"/>
          <w:bCs/>
          <w:i/>
          <w:iCs/>
          <w:sz w:val="22"/>
          <w:szCs w:val="22"/>
        </w:rPr>
        <w:t xml:space="preserve"> unemployment</w:t>
      </w:r>
      <w:r w:rsidR="003A3FF9">
        <w:rPr>
          <w:rFonts w:cstheme="minorHAnsi"/>
          <w:bCs/>
          <w:i/>
          <w:iCs/>
          <w:sz w:val="22"/>
          <w:szCs w:val="22"/>
        </w:rPr>
        <w:t>,</w:t>
      </w:r>
      <w:r w:rsidRPr="00654592">
        <w:rPr>
          <w:rFonts w:cstheme="minorHAnsi"/>
          <w:bCs/>
          <w:i/>
          <w:iCs/>
          <w:sz w:val="22"/>
          <w:szCs w:val="22"/>
        </w:rPr>
        <w:t xml:space="preserve"> as well as that experienced by LGBTIQ communities.</w:t>
      </w:r>
    </w:p>
    <w:p w14:paraId="155C418C" w14:textId="77777777" w:rsidR="00654592" w:rsidRPr="00654592" w:rsidRDefault="00654592" w:rsidP="00024C32">
      <w:pPr>
        <w:pBdr>
          <w:top w:val="single" w:sz="4" w:space="1" w:color="auto"/>
          <w:left w:val="single" w:sz="4" w:space="4" w:color="auto"/>
          <w:bottom w:val="single" w:sz="4" w:space="31" w:color="auto"/>
          <w:right w:val="single" w:sz="4" w:space="4" w:color="auto"/>
        </w:pBdr>
        <w:rPr>
          <w:rFonts w:cstheme="minorHAnsi"/>
          <w:bCs/>
          <w:i/>
          <w:iCs/>
          <w:sz w:val="22"/>
          <w:szCs w:val="22"/>
        </w:rPr>
      </w:pPr>
    </w:p>
    <w:p w14:paraId="56126749" w14:textId="77777777" w:rsidR="00654592" w:rsidRPr="00654592" w:rsidRDefault="00654592" w:rsidP="00024C32">
      <w:pPr>
        <w:pBdr>
          <w:top w:val="single" w:sz="4" w:space="1" w:color="auto"/>
          <w:left w:val="single" w:sz="4" w:space="4" w:color="auto"/>
          <w:bottom w:val="single" w:sz="4" w:space="31" w:color="auto"/>
          <w:right w:val="single" w:sz="4" w:space="4" w:color="auto"/>
        </w:pBdr>
        <w:rPr>
          <w:rFonts w:cstheme="minorHAnsi"/>
          <w:bCs/>
          <w:i/>
          <w:iCs/>
          <w:sz w:val="22"/>
          <w:szCs w:val="22"/>
        </w:rPr>
      </w:pPr>
      <w:r w:rsidRPr="00654592">
        <w:rPr>
          <w:rFonts w:cstheme="minorHAnsi"/>
          <w:bCs/>
          <w:i/>
          <w:iCs/>
          <w:sz w:val="22"/>
          <w:szCs w:val="22"/>
        </w:rPr>
        <w:t xml:space="preserve">Recommendation 5: </w:t>
      </w:r>
      <w:r w:rsidRPr="00654592">
        <w:rPr>
          <w:rFonts w:eastAsia="Calibri" w:cstheme="minorHAnsi"/>
          <w:bCs/>
          <w:i/>
          <w:iCs/>
          <w:sz w:val="22"/>
          <w:szCs w:val="22"/>
        </w:rPr>
        <w:t>Establish a reference committee with multidisciplinary representation to develop a model of justice reinvestment which is suitable for selected high-risk regions to address the drivers of disadvantage.</w:t>
      </w:r>
    </w:p>
    <w:p w14:paraId="792CDFBD" w14:textId="77777777" w:rsidR="000A4A48" w:rsidRPr="00654592" w:rsidRDefault="000A4A48" w:rsidP="00654592">
      <w:pPr>
        <w:spacing w:after="180" w:line="228" w:lineRule="auto"/>
        <w:rPr>
          <w:rFonts w:cstheme="minorHAnsi"/>
          <w:sz w:val="22"/>
          <w:szCs w:val="22"/>
        </w:rPr>
      </w:pPr>
    </w:p>
    <w:p w14:paraId="4990520A" w14:textId="45378B8C" w:rsidR="000A4A48" w:rsidRDefault="000A4A48" w:rsidP="000A4A48">
      <w:pPr>
        <w:rPr>
          <w:rFonts w:cstheme="minorHAnsi"/>
          <w:sz w:val="22"/>
          <w:szCs w:val="22"/>
        </w:rPr>
      </w:pPr>
    </w:p>
    <w:p w14:paraId="7EF15605" w14:textId="77777777" w:rsidR="00024C32" w:rsidRDefault="00024C32" w:rsidP="000A4A48">
      <w:pPr>
        <w:rPr>
          <w:rFonts w:cstheme="minorHAnsi"/>
          <w:sz w:val="22"/>
          <w:szCs w:val="22"/>
        </w:rPr>
      </w:pPr>
    </w:p>
    <w:p w14:paraId="71DF3182" w14:textId="1A7B4C2E" w:rsidR="00654592" w:rsidRDefault="00654592" w:rsidP="000A4A48">
      <w:pPr>
        <w:rPr>
          <w:rFonts w:cstheme="minorHAnsi"/>
          <w:sz w:val="22"/>
          <w:szCs w:val="22"/>
        </w:rPr>
      </w:pPr>
    </w:p>
    <w:p w14:paraId="3E0CB388" w14:textId="77777777" w:rsidR="00654592" w:rsidRPr="000A4A48" w:rsidRDefault="00654592" w:rsidP="000A4A48">
      <w:pPr>
        <w:rPr>
          <w:rFonts w:cstheme="minorHAnsi"/>
          <w:sz w:val="22"/>
          <w:szCs w:val="22"/>
        </w:rPr>
      </w:pPr>
    </w:p>
    <w:p w14:paraId="40A8378E" w14:textId="6E653276" w:rsidR="000A4A48" w:rsidRDefault="000A4A48" w:rsidP="000A4A48">
      <w:pPr>
        <w:rPr>
          <w:rFonts w:cstheme="minorHAnsi"/>
          <w:sz w:val="22"/>
          <w:szCs w:val="22"/>
        </w:rPr>
      </w:pPr>
      <w:r w:rsidRPr="000A4A48">
        <w:rPr>
          <w:rFonts w:cstheme="minorHAnsi"/>
          <w:sz w:val="22"/>
          <w:szCs w:val="22"/>
        </w:rPr>
        <w:t xml:space="preserve">Windana Drug and Alcohol Recovery (Windana) acknowledges the Productivity Commission in developing the Draft Report which canvasses a range of recommendations to better support people experiencing mental illness. </w:t>
      </w:r>
    </w:p>
    <w:p w14:paraId="3B4DD0C1" w14:textId="77777777" w:rsidR="0077065B" w:rsidRPr="000A4A48" w:rsidRDefault="0077065B" w:rsidP="000A4A48">
      <w:pPr>
        <w:rPr>
          <w:rFonts w:cstheme="minorHAnsi"/>
          <w:sz w:val="22"/>
          <w:szCs w:val="22"/>
        </w:rPr>
      </w:pPr>
    </w:p>
    <w:p w14:paraId="106807F9" w14:textId="4C087054" w:rsidR="000A4A48" w:rsidRDefault="000A4A48" w:rsidP="000A4A48">
      <w:pPr>
        <w:rPr>
          <w:rFonts w:cstheme="minorHAnsi"/>
          <w:sz w:val="22"/>
          <w:szCs w:val="22"/>
        </w:rPr>
      </w:pPr>
      <w:r w:rsidRPr="000A4A48">
        <w:rPr>
          <w:rFonts w:cstheme="minorHAnsi"/>
          <w:sz w:val="22"/>
          <w:szCs w:val="22"/>
        </w:rPr>
        <w:t xml:space="preserve">The findings and recommendations detail the foundations to achieve system reform and address </w:t>
      </w:r>
      <w:r w:rsidR="00BA4035" w:rsidRPr="000A4A48">
        <w:rPr>
          <w:rFonts w:cstheme="minorHAnsi"/>
          <w:sz w:val="22"/>
          <w:szCs w:val="22"/>
        </w:rPr>
        <w:t>several</w:t>
      </w:r>
      <w:r w:rsidRPr="000A4A48">
        <w:rPr>
          <w:rFonts w:cstheme="minorHAnsi"/>
          <w:sz w:val="22"/>
          <w:szCs w:val="22"/>
        </w:rPr>
        <w:t xml:space="preserve"> </w:t>
      </w:r>
      <w:r w:rsidR="0077065B" w:rsidRPr="000A4A48">
        <w:rPr>
          <w:rFonts w:cstheme="minorHAnsi"/>
          <w:sz w:val="22"/>
          <w:szCs w:val="22"/>
        </w:rPr>
        <w:t>long-standing</w:t>
      </w:r>
      <w:r w:rsidRPr="000A4A48">
        <w:rPr>
          <w:rFonts w:cstheme="minorHAnsi"/>
          <w:sz w:val="22"/>
          <w:szCs w:val="22"/>
        </w:rPr>
        <w:t xml:space="preserve"> structural impediments to positive mental health. These include the interface between mental illness and the justice system, housing, the NDIS, employment, stigma and workforce issues.</w:t>
      </w:r>
    </w:p>
    <w:p w14:paraId="5D1C5C24" w14:textId="77777777" w:rsidR="0077065B" w:rsidRPr="000A4A48" w:rsidRDefault="0077065B" w:rsidP="000A4A48">
      <w:pPr>
        <w:rPr>
          <w:rFonts w:cstheme="minorHAnsi"/>
          <w:sz w:val="22"/>
          <w:szCs w:val="22"/>
        </w:rPr>
      </w:pPr>
    </w:p>
    <w:p w14:paraId="02069694" w14:textId="3A63F2DD" w:rsidR="000A4A48" w:rsidRDefault="000A4A48" w:rsidP="000A4A48">
      <w:pPr>
        <w:rPr>
          <w:rFonts w:cstheme="minorHAnsi"/>
          <w:sz w:val="22"/>
          <w:szCs w:val="22"/>
        </w:rPr>
      </w:pPr>
      <w:r w:rsidRPr="000A4A48">
        <w:rPr>
          <w:rFonts w:cstheme="minorHAnsi"/>
          <w:sz w:val="22"/>
          <w:szCs w:val="22"/>
        </w:rPr>
        <w:t>While alcohol and other drugs (AOD) is in focus and regularly discussed in the Draft Report, the discussion does not translate into recommendations</w:t>
      </w:r>
      <w:r w:rsidR="00024C32">
        <w:rPr>
          <w:rFonts w:cstheme="minorHAnsi"/>
          <w:sz w:val="22"/>
          <w:szCs w:val="22"/>
        </w:rPr>
        <w:t>, r</w:t>
      </w:r>
      <w:r w:rsidRPr="000A4A48">
        <w:rPr>
          <w:rFonts w:cstheme="minorHAnsi"/>
          <w:sz w:val="22"/>
          <w:szCs w:val="22"/>
        </w:rPr>
        <w:t>esulting in a missed opportunity to progress substantive social and economic improvements.</w:t>
      </w:r>
      <w:r w:rsidR="0077065B">
        <w:rPr>
          <w:rFonts w:cstheme="minorHAnsi"/>
          <w:sz w:val="22"/>
          <w:szCs w:val="22"/>
        </w:rPr>
        <w:t xml:space="preserve"> The absence also means that </w:t>
      </w:r>
      <w:r w:rsidR="003A3FF9">
        <w:rPr>
          <w:rFonts w:cstheme="minorHAnsi"/>
          <w:sz w:val="22"/>
          <w:szCs w:val="22"/>
        </w:rPr>
        <w:t xml:space="preserve">some </w:t>
      </w:r>
      <w:r w:rsidR="0077065B">
        <w:rPr>
          <w:rFonts w:cstheme="minorHAnsi"/>
          <w:sz w:val="22"/>
          <w:szCs w:val="22"/>
        </w:rPr>
        <w:t>Australians experiencing co-occurring mental illness and AOD dependency are not adequately represented in this endeavour.</w:t>
      </w:r>
      <w:r w:rsidRPr="000A4A48">
        <w:rPr>
          <w:rFonts w:cstheme="minorHAnsi"/>
          <w:sz w:val="22"/>
          <w:szCs w:val="22"/>
        </w:rPr>
        <w:t xml:space="preserve"> This submission will canvas associated limitations.</w:t>
      </w:r>
    </w:p>
    <w:p w14:paraId="344EBEFC" w14:textId="77777777" w:rsidR="0077065B" w:rsidRPr="000A4A48" w:rsidRDefault="0077065B" w:rsidP="000A4A48">
      <w:pPr>
        <w:rPr>
          <w:rFonts w:cstheme="minorHAnsi"/>
          <w:sz w:val="22"/>
          <w:szCs w:val="22"/>
        </w:rPr>
      </w:pPr>
    </w:p>
    <w:p w14:paraId="51CB6B4E" w14:textId="77777777" w:rsidR="000A4A48" w:rsidRPr="000A4A48" w:rsidRDefault="000A4A48" w:rsidP="000A4A48">
      <w:pPr>
        <w:pStyle w:val="ListParagraph"/>
        <w:rPr>
          <w:rFonts w:cstheme="minorHAnsi"/>
          <w:b/>
          <w:sz w:val="22"/>
          <w:szCs w:val="22"/>
        </w:rPr>
      </w:pPr>
    </w:p>
    <w:p w14:paraId="03E06A61" w14:textId="48FF949E" w:rsidR="000A4A48" w:rsidRPr="00635860" w:rsidRDefault="002057E4" w:rsidP="000A4A48">
      <w:pPr>
        <w:rPr>
          <w:rFonts w:cstheme="minorHAnsi"/>
          <w:caps/>
          <w:sz w:val="22"/>
          <w:szCs w:val="22"/>
        </w:rPr>
      </w:pPr>
      <w:r w:rsidRPr="00635860">
        <w:rPr>
          <w:rFonts w:cstheme="minorHAnsi"/>
          <w:caps/>
          <w:sz w:val="22"/>
          <w:szCs w:val="22"/>
        </w:rPr>
        <w:t>plugging service gaps</w:t>
      </w:r>
    </w:p>
    <w:p w14:paraId="522F87E0" w14:textId="77777777" w:rsidR="0077065B" w:rsidRPr="000A4A48" w:rsidRDefault="0077065B" w:rsidP="000A4A48">
      <w:pPr>
        <w:rPr>
          <w:rFonts w:ascii="Goudy Old Style" w:hAnsi="Goudy Old Style" w:cstheme="minorHAnsi"/>
          <w:caps/>
          <w:sz w:val="22"/>
          <w:szCs w:val="22"/>
        </w:rPr>
      </w:pPr>
    </w:p>
    <w:p w14:paraId="15BF154A" w14:textId="4C043909" w:rsidR="00C51EDD" w:rsidRDefault="000A4A48" w:rsidP="000A4A48">
      <w:pPr>
        <w:rPr>
          <w:rFonts w:cstheme="minorHAnsi"/>
          <w:bCs/>
          <w:sz w:val="22"/>
          <w:szCs w:val="22"/>
        </w:rPr>
      </w:pPr>
      <w:r w:rsidRPr="000A4A48">
        <w:rPr>
          <w:rFonts w:cstheme="minorHAnsi"/>
          <w:bCs/>
          <w:sz w:val="22"/>
          <w:szCs w:val="22"/>
        </w:rPr>
        <w:t>The Victori</w:t>
      </w:r>
      <w:r w:rsidR="0077065B">
        <w:rPr>
          <w:rFonts w:cstheme="minorHAnsi"/>
          <w:bCs/>
          <w:sz w:val="22"/>
          <w:szCs w:val="22"/>
        </w:rPr>
        <w:t>a</w:t>
      </w:r>
      <w:r w:rsidRPr="000A4A48">
        <w:rPr>
          <w:rFonts w:cstheme="minorHAnsi"/>
          <w:bCs/>
          <w:sz w:val="22"/>
          <w:szCs w:val="22"/>
        </w:rPr>
        <w:t>n Royal Commission into Mental Health Interim Report (</w:t>
      </w:r>
      <w:r w:rsidR="0077065B">
        <w:rPr>
          <w:rFonts w:cstheme="minorHAnsi"/>
          <w:bCs/>
          <w:sz w:val="22"/>
          <w:szCs w:val="22"/>
        </w:rPr>
        <w:t>2019) (Interim Report</w:t>
      </w:r>
      <w:r w:rsidRPr="000A4A48">
        <w:rPr>
          <w:rFonts w:cstheme="minorHAnsi"/>
          <w:bCs/>
          <w:sz w:val="22"/>
          <w:szCs w:val="22"/>
        </w:rPr>
        <w:t>) noted that 35 per</w:t>
      </w:r>
      <w:r w:rsidR="003A3FF9">
        <w:rPr>
          <w:rFonts w:cstheme="minorHAnsi"/>
          <w:bCs/>
          <w:sz w:val="22"/>
          <w:szCs w:val="22"/>
        </w:rPr>
        <w:t xml:space="preserve"> </w:t>
      </w:r>
      <w:r w:rsidRPr="000A4A48">
        <w:rPr>
          <w:rFonts w:cstheme="minorHAnsi"/>
          <w:bCs/>
          <w:sz w:val="22"/>
          <w:szCs w:val="22"/>
        </w:rPr>
        <w:t xml:space="preserve">cent of individuals with AOD issues experience mental health concerns. This finding aligns with Windana’s experience, with </w:t>
      </w:r>
      <w:r w:rsidR="004C009B">
        <w:rPr>
          <w:rFonts w:cstheme="minorHAnsi"/>
          <w:bCs/>
          <w:sz w:val="22"/>
          <w:szCs w:val="22"/>
        </w:rPr>
        <w:t>high numbers of</w:t>
      </w:r>
      <w:r w:rsidRPr="000A4A48">
        <w:rPr>
          <w:rFonts w:cstheme="minorHAnsi"/>
          <w:bCs/>
          <w:sz w:val="22"/>
          <w:szCs w:val="22"/>
        </w:rPr>
        <w:t xml:space="preserve"> Windana’s various treatment programs experienc</w:t>
      </w:r>
      <w:r w:rsidR="0077065B">
        <w:rPr>
          <w:rFonts w:cstheme="minorHAnsi"/>
          <w:bCs/>
          <w:sz w:val="22"/>
          <w:szCs w:val="22"/>
        </w:rPr>
        <w:t>ing</w:t>
      </w:r>
      <w:r w:rsidRPr="000A4A48">
        <w:rPr>
          <w:rFonts w:cstheme="minorHAnsi"/>
          <w:bCs/>
          <w:sz w:val="22"/>
          <w:szCs w:val="22"/>
        </w:rPr>
        <w:t xml:space="preserve"> co-occurring mental health and AOD issues. Windana’s treatment programs support many of these service users </w:t>
      </w:r>
      <w:r w:rsidR="00C51EDD">
        <w:rPr>
          <w:rFonts w:cstheme="minorHAnsi"/>
          <w:bCs/>
          <w:sz w:val="22"/>
          <w:szCs w:val="22"/>
        </w:rPr>
        <w:t>to</w:t>
      </w:r>
      <w:r w:rsidRPr="000A4A48">
        <w:rPr>
          <w:rFonts w:cstheme="minorHAnsi"/>
          <w:bCs/>
          <w:sz w:val="22"/>
          <w:szCs w:val="22"/>
        </w:rPr>
        <w:t xml:space="preserve"> </w:t>
      </w:r>
      <w:r w:rsidR="00E4053F">
        <w:rPr>
          <w:rFonts w:cstheme="minorHAnsi"/>
          <w:bCs/>
          <w:sz w:val="22"/>
          <w:szCs w:val="22"/>
        </w:rPr>
        <w:t>achieve</w:t>
      </w:r>
      <w:r w:rsidR="00270A67" w:rsidRPr="000A4A48">
        <w:rPr>
          <w:rFonts w:cstheme="minorHAnsi"/>
          <w:bCs/>
          <w:sz w:val="22"/>
          <w:szCs w:val="22"/>
        </w:rPr>
        <w:t xml:space="preserve"> </w:t>
      </w:r>
      <w:r w:rsidRPr="000A4A48">
        <w:rPr>
          <w:rFonts w:cstheme="minorHAnsi"/>
          <w:bCs/>
          <w:sz w:val="22"/>
          <w:szCs w:val="22"/>
        </w:rPr>
        <w:t xml:space="preserve">positive </w:t>
      </w:r>
      <w:r w:rsidR="00E4053F">
        <w:rPr>
          <w:rFonts w:cstheme="minorHAnsi"/>
          <w:bCs/>
          <w:sz w:val="22"/>
          <w:szCs w:val="22"/>
        </w:rPr>
        <w:t>outcomes</w:t>
      </w:r>
      <w:r w:rsidRPr="000A4A48">
        <w:rPr>
          <w:rFonts w:cstheme="minorHAnsi"/>
          <w:bCs/>
          <w:sz w:val="22"/>
          <w:szCs w:val="22"/>
        </w:rPr>
        <w:t xml:space="preserve">. </w:t>
      </w:r>
    </w:p>
    <w:p w14:paraId="4E9C138E" w14:textId="77777777" w:rsidR="00C51EDD" w:rsidRDefault="00C51EDD" w:rsidP="000A4A48">
      <w:pPr>
        <w:rPr>
          <w:rFonts w:cstheme="minorHAnsi"/>
          <w:bCs/>
          <w:sz w:val="22"/>
          <w:szCs w:val="22"/>
        </w:rPr>
      </w:pPr>
    </w:p>
    <w:p w14:paraId="3D200C87" w14:textId="05F9D9DA" w:rsidR="0077065B" w:rsidRDefault="004C009B" w:rsidP="000A4A48">
      <w:pPr>
        <w:rPr>
          <w:rFonts w:cstheme="minorHAnsi"/>
          <w:bCs/>
          <w:sz w:val="22"/>
          <w:szCs w:val="22"/>
        </w:rPr>
      </w:pPr>
      <w:r>
        <w:rPr>
          <w:rFonts w:cstheme="minorHAnsi"/>
          <w:bCs/>
          <w:sz w:val="22"/>
          <w:szCs w:val="22"/>
        </w:rPr>
        <w:t>However,</w:t>
      </w:r>
      <w:r w:rsidR="000A4A48" w:rsidRPr="000A4A48">
        <w:rPr>
          <w:rFonts w:cstheme="minorHAnsi"/>
          <w:bCs/>
          <w:sz w:val="22"/>
          <w:szCs w:val="22"/>
        </w:rPr>
        <w:t xml:space="preserve"> </w:t>
      </w:r>
      <w:r w:rsidR="00270A67">
        <w:rPr>
          <w:rFonts w:cstheme="minorHAnsi"/>
          <w:bCs/>
          <w:sz w:val="22"/>
          <w:szCs w:val="22"/>
        </w:rPr>
        <w:t>some</w:t>
      </w:r>
      <w:r w:rsidR="00E4053F">
        <w:rPr>
          <w:rFonts w:cstheme="minorHAnsi"/>
          <w:bCs/>
          <w:sz w:val="22"/>
          <w:szCs w:val="22"/>
        </w:rPr>
        <w:t xml:space="preserve"> Windana clients</w:t>
      </w:r>
      <w:r w:rsidR="000A4A48" w:rsidRPr="000A4A48">
        <w:rPr>
          <w:rFonts w:cstheme="minorHAnsi"/>
          <w:bCs/>
          <w:sz w:val="22"/>
          <w:szCs w:val="22"/>
        </w:rPr>
        <w:t xml:space="preserve"> experience mental health </w:t>
      </w:r>
      <w:r w:rsidR="00E4053F">
        <w:rPr>
          <w:rFonts w:cstheme="minorHAnsi"/>
          <w:bCs/>
          <w:sz w:val="22"/>
          <w:szCs w:val="22"/>
        </w:rPr>
        <w:t xml:space="preserve">issues that </w:t>
      </w:r>
      <w:r>
        <w:rPr>
          <w:rFonts w:cstheme="minorHAnsi"/>
          <w:bCs/>
          <w:sz w:val="22"/>
          <w:szCs w:val="22"/>
        </w:rPr>
        <w:t>limit</w:t>
      </w:r>
      <w:r w:rsidR="00E4053F">
        <w:rPr>
          <w:rFonts w:cstheme="minorHAnsi"/>
          <w:bCs/>
          <w:sz w:val="22"/>
          <w:szCs w:val="22"/>
        </w:rPr>
        <w:t xml:space="preserve"> </w:t>
      </w:r>
      <w:r>
        <w:rPr>
          <w:rFonts w:cstheme="minorHAnsi"/>
          <w:bCs/>
          <w:sz w:val="22"/>
          <w:szCs w:val="22"/>
        </w:rPr>
        <w:t>their ability to complete</w:t>
      </w:r>
      <w:r w:rsidR="00C51EDD">
        <w:rPr>
          <w:rFonts w:cstheme="minorHAnsi"/>
          <w:bCs/>
          <w:sz w:val="22"/>
          <w:szCs w:val="22"/>
        </w:rPr>
        <w:t xml:space="preserve"> </w:t>
      </w:r>
      <w:r w:rsidR="000A4A48" w:rsidRPr="000A4A48">
        <w:rPr>
          <w:rFonts w:cstheme="minorHAnsi"/>
          <w:bCs/>
          <w:sz w:val="22"/>
          <w:szCs w:val="22"/>
        </w:rPr>
        <w:t xml:space="preserve">treatment. </w:t>
      </w:r>
      <w:r>
        <w:rPr>
          <w:rFonts w:cstheme="minorHAnsi"/>
          <w:bCs/>
          <w:sz w:val="22"/>
          <w:szCs w:val="22"/>
        </w:rPr>
        <w:t>Many</w:t>
      </w:r>
      <w:r w:rsidR="0077065B">
        <w:rPr>
          <w:rFonts w:cstheme="minorHAnsi"/>
          <w:bCs/>
          <w:sz w:val="22"/>
          <w:szCs w:val="22"/>
        </w:rPr>
        <w:t xml:space="preserve"> </w:t>
      </w:r>
      <w:r w:rsidR="000A4A48" w:rsidRPr="000A4A48">
        <w:rPr>
          <w:rFonts w:cstheme="minorHAnsi"/>
          <w:bCs/>
          <w:sz w:val="22"/>
          <w:szCs w:val="22"/>
        </w:rPr>
        <w:t xml:space="preserve">find it difficult </w:t>
      </w:r>
      <w:r w:rsidR="00C51EDD">
        <w:rPr>
          <w:rFonts w:cstheme="minorHAnsi"/>
          <w:bCs/>
          <w:sz w:val="22"/>
          <w:szCs w:val="22"/>
        </w:rPr>
        <w:t>to access</w:t>
      </w:r>
      <w:r w:rsidR="000A4A48" w:rsidRPr="000A4A48">
        <w:rPr>
          <w:rFonts w:cstheme="minorHAnsi"/>
          <w:bCs/>
          <w:sz w:val="22"/>
          <w:szCs w:val="22"/>
        </w:rPr>
        <w:t xml:space="preserve"> mental health support</w:t>
      </w:r>
      <w:r w:rsidR="0077065B">
        <w:rPr>
          <w:rFonts w:cstheme="minorHAnsi"/>
          <w:bCs/>
          <w:sz w:val="22"/>
          <w:szCs w:val="22"/>
        </w:rPr>
        <w:t xml:space="preserve"> due to</w:t>
      </w:r>
      <w:r w:rsidR="00E4053F">
        <w:rPr>
          <w:rFonts w:cstheme="minorHAnsi"/>
          <w:bCs/>
          <w:sz w:val="22"/>
          <w:szCs w:val="22"/>
        </w:rPr>
        <w:t xml:space="preserve"> their</w:t>
      </w:r>
      <w:r w:rsidR="0077065B">
        <w:rPr>
          <w:rFonts w:cstheme="minorHAnsi"/>
          <w:bCs/>
          <w:sz w:val="22"/>
          <w:szCs w:val="22"/>
        </w:rPr>
        <w:t xml:space="preserve"> AOD issues</w:t>
      </w:r>
      <w:r>
        <w:rPr>
          <w:rFonts w:cstheme="minorHAnsi"/>
          <w:bCs/>
          <w:sz w:val="22"/>
          <w:szCs w:val="22"/>
        </w:rPr>
        <w:t>.</w:t>
      </w:r>
    </w:p>
    <w:p w14:paraId="01B132E3" w14:textId="77777777" w:rsidR="004C009B" w:rsidRPr="000A4A48" w:rsidRDefault="004C009B" w:rsidP="000A4A48">
      <w:pPr>
        <w:rPr>
          <w:rFonts w:cstheme="minorHAnsi"/>
          <w:bCs/>
          <w:sz w:val="22"/>
          <w:szCs w:val="22"/>
        </w:rPr>
      </w:pPr>
    </w:p>
    <w:p w14:paraId="678CEB96" w14:textId="0F53EAC4" w:rsidR="000A4A48" w:rsidRDefault="000A4A48" w:rsidP="000A4A48">
      <w:pPr>
        <w:rPr>
          <w:rFonts w:cstheme="minorHAnsi"/>
          <w:bCs/>
          <w:sz w:val="22"/>
          <w:szCs w:val="22"/>
        </w:rPr>
      </w:pPr>
      <w:r w:rsidRPr="000A4A48">
        <w:rPr>
          <w:rFonts w:cstheme="minorHAnsi"/>
          <w:bCs/>
          <w:sz w:val="22"/>
          <w:szCs w:val="22"/>
        </w:rPr>
        <w:t xml:space="preserve">In Victoria, six hospitals maintain integrated mental health and alcohol and other drug service </w:t>
      </w:r>
      <w:r w:rsidR="00270A67">
        <w:rPr>
          <w:rFonts w:cstheme="minorHAnsi"/>
          <w:bCs/>
          <w:sz w:val="22"/>
          <w:szCs w:val="22"/>
        </w:rPr>
        <w:t xml:space="preserve">hubs </w:t>
      </w:r>
      <w:r w:rsidR="002E48FE">
        <w:rPr>
          <w:rFonts w:cstheme="minorHAnsi"/>
          <w:bCs/>
          <w:sz w:val="22"/>
          <w:szCs w:val="22"/>
        </w:rPr>
        <w:t>providing</w:t>
      </w:r>
      <w:r w:rsidRPr="000A4A48">
        <w:rPr>
          <w:rFonts w:cstheme="minorHAnsi"/>
          <w:bCs/>
          <w:sz w:val="22"/>
          <w:szCs w:val="22"/>
        </w:rPr>
        <w:t xml:space="preserve"> a point of referral for those </w:t>
      </w:r>
      <w:r w:rsidR="00924E1C">
        <w:rPr>
          <w:rFonts w:cstheme="minorHAnsi"/>
          <w:bCs/>
          <w:sz w:val="22"/>
          <w:szCs w:val="22"/>
        </w:rPr>
        <w:t>people requiring an acute response</w:t>
      </w:r>
      <w:r w:rsidRPr="000A4A48">
        <w:rPr>
          <w:rFonts w:cstheme="minorHAnsi"/>
          <w:bCs/>
          <w:sz w:val="22"/>
          <w:szCs w:val="22"/>
        </w:rPr>
        <w:t>. An expansion of this system, to provide a model of care where at risk individuals can step up into a</w:t>
      </w:r>
      <w:r w:rsidR="00144EAA">
        <w:rPr>
          <w:rFonts w:cstheme="minorHAnsi"/>
          <w:bCs/>
          <w:sz w:val="22"/>
          <w:szCs w:val="22"/>
        </w:rPr>
        <w:t>n intensive</w:t>
      </w:r>
      <w:r w:rsidRPr="000A4A48">
        <w:rPr>
          <w:rFonts w:cstheme="minorHAnsi"/>
          <w:bCs/>
          <w:sz w:val="22"/>
          <w:szCs w:val="22"/>
        </w:rPr>
        <w:t xml:space="preserve"> clinical multidisciplinary supportive environment </w:t>
      </w:r>
      <w:r w:rsidR="00144EAA">
        <w:rPr>
          <w:rFonts w:cstheme="minorHAnsi"/>
          <w:bCs/>
          <w:sz w:val="22"/>
          <w:szCs w:val="22"/>
        </w:rPr>
        <w:t>during an acute phase of illness</w:t>
      </w:r>
      <w:r w:rsidRPr="000A4A48">
        <w:rPr>
          <w:rFonts w:cstheme="minorHAnsi"/>
          <w:bCs/>
          <w:sz w:val="22"/>
          <w:szCs w:val="22"/>
        </w:rPr>
        <w:t xml:space="preserve"> should be considered. When the symptoms improve, they could step down into a less intensive</w:t>
      </w:r>
      <w:r w:rsidR="00144EAA">
        <w:rPr>
          <w:rFonts w:cstheme="minorHAnsi"/>
          <w:bCs/>
          <w:sz w:val="22"/>
          <w:szCs w:val="22"/>
        </w:rPr>
        <w:t xml:space="preserve"> community</w:t>
      </w:r>
      <w:r w:rsidRPr="000A4A48">
        <w:rPr>
          <w:rFonts w:cstheme="minorHAnsi"/>
          <w:bCs/>
          <w:sz w:val="22"/>
          <w:szCs w:val="22"/>
        </w:rPr>
        <w:t xml:space="preserve"> service response. </w:t>
      </w:r>
    </w:p>
    <w:p w14:paraId="51D131C1" w14:textId="77777777" w:rsidR="00144EAA" w:rsidRPr="000A4A48" w:rsidRDefault="00144EAA" w:rsidP="000A4A48">
      <w:pPr>
        <w:rPr>
          <w:rFonts w:cstheme="minorHAnsi"/>
          <w:bCs/>
          <w:sz w:val="22"/>
          <w:szCs w:val="22"/>
        </w:rPr>
      </w:pPr>
    </w:p>
    <w:p w14:paraId="2436D49A" w14:textId="0FF54CF7" w:rsidR="000A4A48" w:rsidRDefault="000A4A48" w:rsidP="000A4A48">
      <w:pPr>
        <w:rPr>
          <w:rFonts w:cstheme="minorHAnsi"/>
          <w:b/>
          <w:sz w:val="22"/>
          <w:szCs w:val="22"/>
        </w:rPr>
      </w:pPr>
      <w:r w:rsidRPr="000A4A48">
        <w:rPr>
          <w:rFonts w:cstheme="minorHAnsi"/>
          <w:b/>
          <w:sz w:val="22"/>
          <w:szCs w:val="22"/>
        </w:rPr>
        <w:t>Recommendation 1: develop a step up – step down model of care with increased capacity to support those experienc</w:t>
      </w:r>
      <w:r w:rsidR="00116F2C">
        <w:rPr>
          <w:rFonts w:cstheme="minorHAnsi"/>
          <w:b/>
          <w:sz w:val="22"/>
          <w:szCs w:val="22"/>
        </w:rPr>
        <w:t>ing</w:t>
      </w:r>
      <w:r w:rsidRPr="000A4A48">
        <w:rPr>
          <w:rFonts w:cstheme="minorHAnsi"/>
          <w:b/>
          <w:sz w:val="22"/>
          <w:szCs w:val="22"/>
        </w:rPr>
        <w:t xml:space="preserve"> acute AOD and mental health concerns. The model should include </w:t>
      </w:r>
      <w:r w:rsidR="00116F2C">
        <w:rPr>
          <w:rFonts w:cstheme="minorHAnsi"/>
          <w:b/>
          <w:sz w:val="22"/>
          <w:szCs w:val="22"/>
        </w:rPr>
        <w:t>seamless</w:t>
      </w:r>
      <w:r w:rsidRPr="000A4A48">
        <w:rPr>
          <w:rFonts w:cstheme="minorHAnsi"/>
          <w:b/>
          <w:sz w:val="22"/>
          <w:szCs w:val="22"/>
        </w:rPr>
        <w:t xml:space="preserve"> service pathways to less intensive support services.</w:t>
      </w:r>
    </w:p>
    <w:p w14:paraId="509651DB" w14:textId="77777777" w:rsidR="002057E4" w:rsidRPr="000A4A48" w:rsidRDefault="002057E4" w:rsidP="000A4A48">
      <w:pPr>
        <w:rPr>
          <w:rFonts w:cstheme="minorHAnsi"/>
          <w:b/>
          <w:sz w:val="22"/>
          <w:szCs w:val="22"/>
        </w:rPr>
      </w:pPr>
    </w:p>
    <w:p w14:paraId="6686DC21" w14:textId="1914BC10" w:rsidR="000A4A48" w:rsidRDefault="000A4A48" w:rsidP="000A4A48">
      <w:pPr>
        <w:rPr>
          <w:rFonts w:cstheme="minorHAnsi"/>
          <w:sz w:val="22"/>
          <w:szCs w:val="22"/>
        </w:rPr>
      </w:pPr>
    </w:p>
    <w:p w14:paraId="4B7F77CC" w14:textId="77777777" w:rsidR="0070494F" w:rsidRPr="000A4A48" w:rsidRDefault="0070494F" w:rsidP="000A4A48">
      <w:pPr>
        <w:rPr>
          <w:rFonts w:cstheme="minorHAnsi"/>
          <w:sz w:val="22"/>
          <w:szCs w:val="22"/>
        </w:rPr>
      </w:pPr>
    </w:p>
    <w:p w14:paraId="5EB7C311" w14:textId="7423999C" w:rsidR="000A4A48" w:rsidRPr="00635860" w:rsidRDefault="000A4A48" w:rsidP="000A4A48">
      <w:pPr>
        <w:rPr>
          <w:rFonts w:cstheme="minorHAnsi"/>
          <w:caps/>
          <w:sz w:val="22"/>
          <w:szCs w:val="22"/>
        </w:rPr>
      </w:pPr>
      <w:r w:rsidRPr="00635860">
        <w:rPr>
          <w:rFonts w:cstheme="minorHAnsi"/>
          <w:caps/>
          <w:sz w:val="22"/>
          <w:szCs w:val="22"/>
        </w:rPr>
        <w:t>Demand for AOD treatment</w:t>
      </w:r>
    </w:p>
    <w:p w14:paraId="14C8E0F9" w14:textId="77777777" w:rsidR="0070494F" w:rsidRPr="00635860" w:rsidRDefault="0070494F" w:rsidP="000A4A48">
      <w:pPr>
        <w:rPr>
          <w:rFonts w:cstheme="minorHAnsi"/>
          <w:caps/>
          <w:sz w:val="22"/>
          <w:szCs w:val="22"/>
        </w:rPr>
      </w:pPr>
    </w:p>
    <w:p w14:paraId="4AC33E4A" w14:textId="02422D38" w:rsidR="000A4A48" w:rsidRDefault="000A4A48" w:rsidP="000A4A48">
      <w:pPr>
        <w:rPr>
          <w:rFonts w:cstheme="minorHAnsi"/>
          <w:sz w:val="22"/>
          <w:szCs w:val="22"/>
        </w:rPr>
      </w:pPr>
      <w:r w:rsidRPr="000A4A48">
        <w:rPr>
          <w:rFonts w:cstheme="minorHAnsi"/>
          <w:sz w:val="22"/>
          <w:szCs w:val="22"/>
        </w:rPr>
        <w:t xml:space="preserve">AOD treatment services are </w:t>
      </w:r>
      <w:r w:rsidR="00924E1C">
        <w:rPr>
          <w:rFonts w:cstheme="minorHAnsi"/>
          <w:sz w:val="22"/>
          <w:szCs w:val="22"/>
        </w:rPr>
        <w:t>overwhelmed</w:t>
      </w:r>
      <w:r w:rsidRPr="000A4A48">
        <w:rPr>
          <w:rFonts w:cstheme="minorHAnsi"/>
          <w:sz w:val="22"/>
          <w:szCs w:val="22"/>
        </w:rPr>
        <w:t xml:space="preserve"> by forensic demand, </w:t>
      </w:r>
      <w:r w:rsidR="00116F2C">
        <w:rPr>
          <w:rFonts w:cstheme="minorHAnsi"/>
          <w:sz w:val="22"/>
          <w:szCs w:val="22"/>
        </w:rPr>
        <w:t xml:space="preserve">with </w:t>
      </w:r>
      <w:r w:rsidRPr="000A4A48">
        <w:rPr>
          <w:rFonts w:cstheme="minorHAnsi"/>
          <w:sz w:val="22"/>
          <w:szCs w:val="22"/>
        </w:rPr>
        <w:t>many</w:t>
      </w:r>
      <w:r w:rsidR="00116F2C">
        <w:rPr>
          <w:rFonts w:cstheme="minorHAnsi"/>
          <w:sz w:val="22"/>
          <w:szCs w:val="22"/>
        </w:rPr>
        <w:t xml:space="preserve"> </w:t>
      </w:r>
      <w:r w:rsidR="00DE7376">
        <w:rPr>
          <w:rFonts w:cstheme="minorHAnsi"/>
          <w:sz w:val="22"/>
          <w:szCs w:val="22"/>
        </w:rPr>
        <w:t>people</w:t>
      </w:r>
      <w:r w:rsidRPr="000A4A48">
        <w:rPr>
          <w:rFonts w:cstheme="minorHAnsi"/>
          <w:sz w:val="22"/>
          <w:szCs w:val="22"/>
        </w:rPr>
        <w:t xml:space="preserve"> presenting with co-occurring mental health and AOD dependency</w:t>
      </w:r>
      <w:r w:rsidR="00116F2C">
        <w:rPr>
          <w:rFonts w:cstheme="minorHAnsi"/>
          <w:sz w:val="22"/>
          <w:szCs w:val="22"/>
        </w:rPr>
        <w:t xml:space="preserve">. </w:t>
      </w:r>
      <w:r w:rsidR="002E48FE">
        <w:rPr>
          <w:rFonts w:cstheme="minorHAnsi"/>
          <w:sz w:val="22"/>
          <w:szCs w:val="22"/>
        </w:rPr>
        <w:t>F</w:t>
      </w:r>
      <w:r w:rsidR="00116F2C">
        <w:rPr>
          <w:rFonts w:cstheme="minorHAnsi"/>
          <w:sz w:val="22"/>
          <w:szCs w:val="22"/>
        </w:rPr>
        <w:t>orensic</w:t>
      </w:r>
      <w:r w:rsidR="002E48FE">
        <w:rPr>
          <w:rFonts w:cstheme="minorHAnsi"/>
          <w:sz w:val="22"/>
          <w:szCs w:val="22"/>
        </w:rPr>
        <w:t xml:space="preserve"> </w:t>
      </w:r>
      <w:r w:rsidR="00116F2C">
        <w:rPr>
          <w:rFonts w:cstheme="minorHAnsi"/>
          <w:sz w:val="22"/>
          <w:szCs w:val="22"/>
        </w:rPr>
        <w:t xml:space="preserve">AOD </w:t>
      </w:r>
      <w:r w:rsidR="002E48FE">
        <w:rPr>
          <w:rFonts w:cstheme="minorHAnsi"/>
          <w:sz w:val="22"/>
          <w:szCs w:val="22"/>
        </w:rPr>
        <w:t xml:space="preserve">clients </w:t>
      </w:r>
      <w:r w:rsidR="00116F2C">
        <w:rPr>
          <w:rFonts w:cstheme="minorHAnsi"/>
          <w:sz w:val="22"/>
          <w:szCs w:val="22"/>
        </w:rPr>
        <w:t>are prioritised ahead of</w:t>
      </w:r>
      <w:r w:rsidRPr="000A4A48">
        <w:rPr>
          <w:rFonts w:cstheme="minorHAnsi"/>
          <w:sz w:val="22"/>
          <w:szCs w:val="22"/>
        </w:rPr>
        <w:t xml:space="preserve"> voluntary service users</w:t>
      </w:r>
      <w:r w:rsidR="002E48FE">
        <w:rPr>
          <w:rFonts w:cstheme="minorHAnsi"/>
          <w:sz w:val="22"/>
          <w:szCs w:val="22"/>
        </w:rPr>
        <w:t>. As a result, voluntary clients</w:t>
      </w:r>
      <w:r w:rsidR="00F40579">
        <w:rPr>
          <w:rFonts w:cstheme="minorHAnsi"/>
          <w:sz w:val="22"/>
          <w:szCs w:val="22"/>
        </w:rPr>
        <w:t xml:space="preserve"> are less able</w:t>
      </w:r>
      <w:r w:rsidR="00F40579" w:rsidRPr="000A4A48">
        <w:rPr>
          <w:rFonts w:cstheme="minorHAnsi"/>
          <w:sz w:val="22"/>
          <w:szCs w:val="22"/>
        </w:rPr>
        <w:t xml:space="preserve"> </w:t>
      </w:r>
      <w:r w:rsidRPr="000A4A48">
        <w:rPr>
          <w:rFonts w:cstheme="minorHAnsi"/>
          <w:sz w:val="22"/>
          <w:szCs w:val="22"/>
        </w:rPr>
        <w:t>to access timely AOD treatment</w:t>
      </w:r>
      <w:r w:rsidR="00DE7376">
        <w:rPr>
          <w:rFonts w:cstheme="minorHAnsi"/>
          <w:sz w:val="22"/>
          <w:szCs w:val="22"/>
        </w:rPr>
        <w:t xml:space="preserve"> and </w:t>
      </w:r>
      <w:r w:rsidRPr="000A4A48">
        <w:rPr>
          <w:rFonts w:cstheme="minorHAnsi"/>
          <w:sz w:val="22"/>
          <w:szCs w:val="22"/>
        </w:rPr>
        <w:t>often progress to the forensic system or engag</w:t>
      </w:r>
      <w:r w:rsidR="00F40579">
        <w:rPr>
          <w:rFonts w:cstheme="minorHAnsi"/>
          <w:sz w:val="22"/>
          <w:szCs w:val="22"/>
        </w:rPr>
        <w:t>e</w:t>
      </w:r>
      <w:r w:rsidRPr="000A4A48">
        <w:rPr>
          <w:rFonts w:cstheme="minorHAnsi"/>
          <w:sz w:val="22"/>
          <w:szCs w:val="22"/>
        </w:rPr>
        <w:t xml:space="preserve"> an unregulated</w:t>
      </w:r>
      <w:r w:rsidR="00DE7376">
        <w:rPr>
          <w:rFonts w:cstheme="minorHAnsi"/>
          <w:sz w:val="22"/>
          <w:szCs w:val="22"/>
        </w:rPr>
        <w:t>,</w:t>
      </w:r>
      <w:r w:rsidRPr="000A4A48">
        <w:rPr>
          <w:rFonts w:cstheme="minorHAnsi"/>
          <w:sz w:val="22"/>
          <w:szCs w:val="22"/>
        </w:rPr>
        <w:t xml:space="preserve"> for-profit support</w:t>
      </w:r>
      <w:r w:rsidR="00F40579">
        <w:rPr>
          <w:rFonts w:cstheme="minorHAnsi"/>
          <w:sz w:val="22"/>
          <w:szCs w:val="22"/>
        </w:rPr>
        <w:t xml:space="preserve"> provider</w:t>
      </w:r>
      <w:r w:rsidRPr="000A4A48">
        <w:rPr>
          <w:rFonts w:cstheme="minorHAnsi"/>
          <w:sz w:val="22"/>
          <w:szCs w:val="22"/>
        </w:rPr>
        <w:t xml:space="preserve">. </w:t>
      </w:r>
    </w:p>
    <w:p w14:paraId="3964D766" w14:textId="77777777" w:rsidR="002057E4" w:rsidRPr="000A4A48" w:rsidRDefault="002057E4" w:rsidP="000A4A48">
      <w:pPr>
        <w:rPr>
          <w:rFonts w:cstheme="minorHAnsi"/>
          <w:sz w:val="22"/>
          <w:szCs w:val="22"/>
        </w:rPr>
      </w:pPr>
    </w:p>
    <w:p w14:paraId="3F3971ED" w14:textId="3FCD6176" w:rsidR="000A4A48" w:rsidRDefault="000A4A48" w:rsidP="000A4A48">
      <w:pPr>
        <w:rPr>
          <w:rFonts w:cstheme="minorHAnsi"/>
          <w:sz w:val="22"/>
          <w:szCs w:val="22"/>
        </w:rPr>
      </w:pPr>
      <w:r w:rsidRPr="000A4A48">
        <w:rPr>
          <w:rFonts w:cstheme="minorHAnsi"/>
          <w:sz w:val="22"/>
          <w:szCs w:val="22"/>
        </w:rPr>
        <w:t xml:space="preserve">Volume </w:t>
      </w:r>
      <w:r w:rsidR="002057E4">
        <w:rPr>
          <w:rFonts w:cstheme="minorHAnsi"/>
          <w:sz w:val="22"/>
          <w:szCs w:val="22"/>
        </w:rPr>
        <w:t>O</w:t>
      </w:r>
      <w:r w:rsidRPr="000A4A48">
        <w:rPr>
          <w:rFonts w:cstheme="minorHAnsi"/>
          <w:sz w:val="22"/>
          <w:szCs w:val="22"/>
        </w:rPr>
        <w:t>ne of the Draft Report cites UNSW Drug Policy Modelling Program research (Ritter et al 2019)</w:t>
      </w:r>
      <w:r w:rsidR="002057E4">
        <w:rPr>
          <w:rFonts w:cstheme="minorHAnsi"/>
          <w:sz w:val="22"/>
          <w:szCs w:val="22"/>
        </w:rPr>
        <w:t xml:space="preserve"> which</w:t>
      </w:r>
      <w:r w:rsidRPr="000A4A48">
        <w:rPr>
          <w:rFonts w:cstheme="minorHAnsi"/>
          <w:sz w:val="22"/>
          <w:szCs w:val="22"/>
        </w:rPr>
        <w:t xml:space="preserve"> indicates that between 180,000 and 533,000 Australians would be engaging AOD treatment services to meet national demand. </w:t>
      </w:r>
      <w:r w:rsidR="00AA7411">
        <w:rPr>
          <w:rFonts w:cstheme="minorHAnsi"/>
          <w:sz w:val="22"/>
          <w:szCs w:val="22"/>
        </w:rPr>
        <w:t>F</w:t>
      </w:r>
      <w:r w:rsidRPr="000A4A48">
        <w:rPr>
          <w:rFonts w:cstheme="minorHAnsi"/>
          <w:sz w:val="22"/>
          <w:szCs w:val="22"/>
        </w:rPr>
        <w:t xml:space="preserve">igures provided by the Interim Report (2019) </w:t>
      </w:r>
      <w:r w:rsidR="00AA7411">
        <w:rPr>
          <w:rFonts w:cstheme="minorHAnsi"/>
          <w:sz w:val="22"/>
          <w:szCs w:val="22"/>
        </w:rPr>
        <w:t xml:space="preserve">indicate </w:t>
      </w:r>
      <w:r w:rsidRPr="000A4A48">
        <w:rPr>
          <w:rFonts w:cstheme="minorHAnsi"/>
          <w:sz w:val="22"/>
          <w:szCs w:val="22"/>
        </w:rPr>
        <w:lastRenderedPageBreak/>
        <w:t xml:space="preserve">between 60,000 and 180,000 of this cohort may be experiencing co-occurring mental health and AOD issues. </w:t>
      </w:r>
    </w:p>
    <w:p w14:paraId="77A88D32" w14:textId="77777777" w:rsidR="002057E4" w:rsidRPr="000A4A48" w:rsidRDefault="002057E4" w:rsidP="000A4A48">
      <w:pPr>
        <w:rPr>
          <w:rFonts w:cstheme="minorHAnsi"/>
          <w:sz w:val="22"/>
          <w:szCs w:val="22"/>
        </w:rPr>
      </w:pPr>
    </w:p>
    <w:p w14:paraId="19D47129" w14:textId="48C439D9" w:rsidR="000A4A48" w:rsidRDefault="000A4A48" w:rsidP="000A4A48">
      <w:pPr>
        <w:rPr>
          <w:rFonts w:cstheme="minorHAnsi"/>
          <w:sz w:val="22"/>
          <w:szCs w:val="22"/>
        </w:rPr>
      </w:pPr>
      <w:r w:rsidRPr="000A4A48">
        <w:rPr>
          <w:rFonts w:cstheme="minorHAnsi"/>
          <w:sz w:val="22"/>
          <w:szCs w:val="22"/>
        </w:rPr>
        <w:t xml:space="preserve">AOD treatment provides a protective element </w:t>
      </w:r>
      <w:r w:rsidR="00FD257D">
        <w:rPr>
          <w:rFonts w:cstheme="minorHAnsi"/>
          <w:sz w:val="22"/>
          <w:szCs w:val="22"/>
        </w:rPr>
        <w:t>for</w:t>
      </w:r>
      <w:r w:rsidR="00FD257D" w:rsidRPr="000A4A48">
        <w:rPr>
          <w:rFonts w:cstheme="minorHAnsi"/>
          <w:sz w:val="22"/>
          <w:szCs w:val="22"/>
        </w:rPr>
        <w:t xml:space="preserve"> </w:t>
      </w:r>
      <w:r w:rsidRPr="000A4A48">
        <w:rPr>
          <w:rFonts w:cstheme="minorHAnsi"/>
          <w:sz w:val="22"/>
          <w:szCs w:val="22"/>
        </w:rPr>
        <w:t>those unable or otherwise disengaged from treatment and related services systems at</w:t>
      </w:r>
      <w:r w:rsidR="002057E4">
        <w:rPr>
          <w:rFonts w:cstheme="minorHAnsi"/>
          <w:sz w:val="22"/>
          <w:szCs w:val="22"/>
        </w:rPr>
        <w:t xml:space="preserve"> greater</w:t>
      </w:r>
      <w:r w:rsidRPr="000A4A48">
        <w:rPr>
          <w:rFonts w:cstheme="minorHAnsi"/>
          <w:sz w:val="22"/>
          <w:szCs w:val="22"/>
        </w:rPr>
        <w:t xml:space="preserve"> risk of harm, including fatal overdose</w:t>
      </w:r>
      <w:r w:rsidR="00924E1C">
        <w:rPr>
          <w:rFonts w:cstheme="minorHAnsi"/>
          <w:sz w:val="22"/>
          <w:szCs w:val="22"/>
        </w:rPr>
        <w:t xml:space="preserve">. </w:t>
      </w:r>
      <w:r w:rsidRPr="000A4A48">
        <w:rPr>
          <w:rFonts w:cstheme="minorHAnsi"/>
          <w:sz w:val="22"/>
          <w:szCs w:val="22"/>
        </w:rPr>
        <w:t xml:space="preserve"> Dwyer et al (2017) note, reflecting on fatal overdose involving pharmaceuticals</w:t>
      </w:r>
      <w:r w:rsidR="002057E4">
        <w:rPr>
          <w:rFonts w:cstheme="minorHAnsi"/>
          <w:sz w:val="22"/>
          <w:szCs w:val="22"/>
        </w:rPr>
        <w:t xml:space="preserve"> in Victoria</w:t>
      </w:r>
      <w:r w:rsidRPr="000A4A48">
        <w:rPr>
          <w:rFonts w:cstheme="minorHAnsi"/>
          <w:sz w:val="22"/>
          <w:szCs w:val="22"/>
        </w:rPr>
        <w:t>, that 73 per</w:t>
      </w:r>
      <w:r w:rsidR="00FD257D">
        <w:rPr>
          <w:rFonts w:cstheme="minorHAnsi"/>
          <w:sz w:val="22"/>
          <w:szCs w:val="22"/>
        </w:rPr>
        <w:t xml:space="preserve"> </w:t>
      </w:r>
      <w:r w:rsidRPr="000A4A48">
        <w:rPr>
          <w:rFonts w:cstheme="minorHAnsi"/>
          <w:sz w:val="22"/>
          <w:szCs w:val="22"/>
        </w:rPr>
        <w:t xml:space="preserve">cent of the victims had a history of mental illness, with the majority having experienced mental health concerns for </w:t>
      </w:r>
      <w:r w:rsidR="00FD257D">
        <w:rPr>
          <w:rFonts w:cstheme="minorHAnsi"/>
          <w:sz w:val="22"/>
          <w:szCs w:val="22"/>
        </w:rPr>
        <w:t>longer than</w:t>
      </w:r>
      <w:r w:rsidR="00FD257D" w:rsidRPr="000A4A48">
        <w:rPr>
          <w:rFonts w:cstheme="minorHAnsi"/>
          <w:sz w:val="22"/>
          <w:szCs w:val="22"/>
        </w:rPr>
        <w:t xml:space="preserve"> </w:t>
      </w:r>
      <w:r w:rsidRPr="000A4A48">
        <w:rPr>
          <w:rFonts w:cstheme="minorHAnsi"/>
          <w:sz w:val="22"/>
          <w:szCs w:val="22"/>
        </w:rPr>
        <w:t xml:space="preserve">a decade. </w:t>
      </w:r>
    </w:p>
    <w:p w14:paraId="73E19074" w14:textId="77777777" w:rsidR="002057E4" w:rsidRPr="000A4A48" w:rsidRDefault="002057E4" w:rsidP="000A4A48">
      <w:pPr>
        <w:rPr>
          <w:rFonts w:cstheme="minorHAnsi"/>
          <w:sz w:val="22"/>
          <w:szCs w:val="22"/>
        </w:rPr>
      </w:pPr>
    </w:p>
    <w:p w14:paraId="0605E021" w14:textId="775E3F3E" w:rsidR="000A4A48" w:rsidRDefault="002057E4" w:rsidP="000A4A48">
      <w:pPr>
        <w:rPr>
          <w:rFonts w:cstheme="minorHAnsi"/>
          <w:bCs/>
          <w:sz w:val="22"/>
          <w:szCs w:val="22"/>
        </w:rPr>
      </w:pPr>
      <w:r>
        <w:rPr>
          <w:rFonts w:cstheme="minorHAnsi"/>
          <w:bCs/>
          <w:sz w:val="22"/>
          <w:szCs w:val="22"/>
        </w:rPr>
        <w:t xml:space="preserve">Meeting unmet AOD demand will reduce harm and may provide a safety net for these </w:t>
      </w:r>
      <w:r w:rsidR="0086343B">
        <w:rPr>
          <w:rFonts w:cstheme="minorHAnsi"/>
          <w:bCs/>
          <w:sz w:val="22"/>
          <w:szCs w:val="22"/>
        </w:rPr>
        <w:t>at-risk</w:t>
      </w:r>
      <w:r>
        <w:rPr>
          <w:rFonts w:cstheme="minorHAnsi"/>
          <w:bCs/>
          <w:sz w:val="22"/>
          <w:szCs w:val="22"/>
        </w:rPr>
        <w:t xml:space="preserve"> cohorts.</w:t>
      </w:r>
    </w:p>
    <w:p w14:paraId="1CE35169" w14:textId="57B6EFE0" w:rsidR="002057E4" w:rsidRDefault="002057E4" w:rsidP="000A4A48">
      <w:pPr>
        <w:rPr>
          <w:rFonts w:cstheme="minorHAnsi"/>
          <w:bCs/>
          <w:sz w:val="22"/>
          <w:szCs w:val="22"/>
        </w:rPr>
      </w:pPr>
    </w:p>
    <w:p w14:paraId="201D5033" w14:textId="4DE412F3" w:rsidR="002057E4" w:rsidRDefault="002057E4" w:rsidP="000A4A48">
      <w:pPr>
        <w:rPr>
          <w:rFonts w:cstheme="minorHAnsi"/>
          <w:b/>
          <w:sz w:val="22"/>
          <w:szCs w:val="22"/>
        </w:rPr>
      </w:pPr>
      <w:r>
        <w:rPr>
          <w:rFonts w:cstheme="minorHAnsi"/>
          <w:b/>
          <w:sz w:val="22"/>
          <w:szCs w:val="22"/>
        </w:rPr>
        <w:t>Recommendation 2: increase the capacity of the AOD sector to meet demand.</w:t>
      </w:r>
    </w:p>
    <w:p w14:paraId="41B7D5FC" w14:textId="77777777" w:rsidR="002057E4" w:rsidRPr="002057E4" w:rsidRDefault="002057E4" w:rsidP="000A4A48">
      <w:pPr>
        <w:rPr>
          <w:rFonts w:cstheme="minorHAnsi"/>
          <w:b/>
          <w:sz w:val="22"/>
          <w:szCs w:val="22"/>
        </w:rPr>
      </w:pPr>
    </w:p>
    <w:p w14:paraId="06B2FCDA" w14:textId="77777777" w:rsidR="002057E4" w:rsidRPr="000A4A48" w:rsidRDefault="002057E4" w:rsidP="000A4A48">
      <w:pPr>
        <w:rPr>
          <w:rFonts w:cstheme="minorHAnsi"/>
          <w:bCs/>
          <w:sz w:val="22"/>
          <w:szCs w:val="22"/>
        </w:rPr>
      </w:pPr>
    </w:p>
    <w:p w14:paraId="2A74083D" w14:textId="4498F8FE" w:rsidR="000A4A48" w:rsidRPr="00635860" w:rsidRDefault="000A4A48" w:rsidP="000A4A48">
      <w:pPr>
        <w:rPr>
          <w:rFonts w:cstheme="minorHAnsi"/>
          <w:caps/>
          <w:sz w:val="22"/>
          <w:szCs w:val="22"/>
        </w:rPr>
      </w:pPr>
      <w:r w:rsidRPr="00635860">
        <w:rPr>
          <w:rFonts w:cstheme="minorHAnsi"/>
          <w:caps/>
          <w:sz w:val="22"/>
          <w:szCs w:val="22"/>
        </w:rPr>
        <w:t>Workforce</w:t>
      </w:r>
    </w:p>
    <w:p w14:paraId="3B94F6F3" w14:textId="77777777" w:rsidR="002057E4" w:rsidRPr="000A4A48" w:rsidRDefault="002057E4" w:rsidP="000A4A48">
      <w:pPr>
        <w:rPr>
          <w:rFonts w:ascii="Goudy Old Style" w:hAnsi="Goudy Old Style" w:cstheme="minorHAnsi"/>
          <w:caps/>
          <w:sz w:val="22"/>
          <w:szCs w:val="22"/>
        </w:rPr>
      </w:pPr>
    </w:p>
    <w:p w14:paraId="406CD31E" w14:textId="517633B1" w:rsidR="000A4A48" w:rsidRDefault="000A4A48" w:rsidP="000A4A48">
      <w:pPr>
        <w:rPr>
          <w:rFonts w:cstheme="minorHAnsi"/>
          <w:sz w:val="22"/>
          <w:szCs w:val="22"/>
        </w:rPr>
      </w:pPr>
      <w:r w:rsidRPr="000A4A48">
        <w:rPr>
          <w:rFonts w:cstheme="minorHAnsi"/>
          <w:sz w:val="22"/>
          <w:szCs w:val="22"/>
        </w:rPr>
        <w:t>Many of the challenges which the Draft Report and Victorian Interim Report observe regarding the mental health sector workforce are similar</w:t>
      </w:r>
      <w:r w:rsidR="00FD257D">
        <w:rPr>
          <w:rFonts w:cstheme="minorHAnsi"/>
          <w:sz w:val="22"/>
          <w:szCs w:val="22"/>
        </w:rPr>
        <w:t>ly experienced</w:t>
      </w:r>
      <w:r w:rsidRPr="000A4A48">
        <w:rPr>
          <w:rFonts w:cstheme="minorHAnsi"/>
          <w:sz w:val="22"/>
          <w:szCs w:val="22"/>
        </w:rPr>
        <w:t xml:space="preserve"> </w:t>
      </w:r>
      <w:r w:rsidR="00FD257D">
        <w:rPr>
          <w:rFonts w:cstheme="minorHAnsi"/>
          <w:sz w:val="22"/>
          <w:szCs w:val="22"/>
        </w:rPr>
        <w:t>in</w:t>
      </w:r>
      <w:r w:rsidRPr="000A4A48">
        <w:rPr>
          <w:rFonts w:cstheme="minorHAnsi"/>
          <w:sz w:val="22"/>
          <w:szCs w:val="22"/>
        </w:rPr>
        <w:t xml:space="preserve"> the AOD sector. In both cases, there are </w:t>
      </w:r>
      <w:r w:rsidR="002E48FE">
        <w:rPr>
          <w:rFonts w:cstheme="minorHAnsi"/>
          <w:sz w:val="22"/>
          <w:szCs w:val="22"/>
        </w:rPr>
        <w:t>common</w:t>
      </w:r>
      <w:r w:rsidR="002E48FE" w:rsidRPr="000A4A48">
        <w:rPr>
          <w:rFonts w:cstheme="minorHAnsi"/>
          <w:sz w:val="22"/>
          <w:szCs w:val="22"/>
        </w:rPr>
        <w:t xml:space="preserve"> </w:t>
      </w:r>
      <w:r w:rsidR="00FD257D">
        <w:rPr>
          <w:rFonts w:cstheme="minorHAnsi"/>
          <w:sz w:val="22"/>
          <w:szCs w:val="22"/>
        </w:rPr>
        <w:t>issu</w:t>
      </w:r>
      <w:r w:rsidR="00FD257D" w:rsidRPr="000A4A48">
        <w:rPr>
          <w:rFonts w:cstheme="minorHAnsi"/>
          <w:sz w:val="22"/>
          <w:szCs w:val="22"/>
        </w:rPr>
        <w:t xml:space="preserve">es </w:t>
      </w:r>
      <w:r w:rsidRPr="000A4A48">
        <w:rPr>
          <w:rFonts w:cstheme="minorHAnsi"/>
          <w:sz w:val="22"/>
          <w:szCs w:val="22"/>
        </w:rPr>
        <w:t xml:space="preserve">with cross sector capacity, training, recruitment and </w:t>
      </w:r>
      <w:r w:rsidR="004C009B" w:rsidRPr="000A4A48">
        <w:rPr>
          <w:rFonts w:cstheme="minorHAnsi"/>
          <w:sz w:val="22"/>
          <w:szCs w:val="22"/>
        </w:rPr>
        <w:t>retention</w:t>
      </w:r>
      <w:r w:rsidR="004C009B">
        <w:rPr>
          <w:rFonts w:cstheme="minorHAnsi"/>
          <w:sz w:val="22"/>
          <w:szCs w:val="22"/>
        </w:rPr>
        <w:t>,</w:t>
      </w:r>
      <w:r w:rsidRPr="000A4A48">
        <w:rPr>
          <w:rFonts w:cstheme="minorHAnsi"/>
          <w:sz w:val="22"/>
          <w:szCs w:val="22"/>
        </w:rPr>
        <w:t xml:space="preserve"> especially in rural and regional areas </w:t>
      </w:r>
      <w:r w:rsidR="004D08B2">
        <w:rPr>
          <w:rFonts w:cstheme="minorHAnsi"/>
          <w:sz w:val="22"/>
          <w:szCs w:val="22"/>
        </w:rPr>
        <w:t>along with</w:t>
      </w:r>
      <w:r w:rsidR="004D08B2" w:rsidRPr="000A4A48">
        <w:rPr>
          <w:rFonts w:cstheme="minorHAnsi"/>
          <w:sz w:val="22"/>
          <w:szCs w:val="22"/>
        </w:rPr>
        <w:t xml:space="preserve"> </w:t>
      </w:r>
      <w:r w:rsidRPr="000A4A48">
        <w:rPr>
          <w:rFonts w:cstheme="minorHAnsi"/>
          <w:sz w:val="22"/>
          <w:szCs w:val="22"/>
        </w:rPr>
        <w:t xml:space="preserve">a greater need to engage a peer workforce. </w:t>
      </w:r>
    </w:p>
    <w:p w14:paraId="1609FCF0" w14:textId="77777777" w:rsidR="002057E4" w:rsidRPr="000A4A48" w:rsidRDefault="002057E4" w:rsidP="000A4A48">
      <w:pPr>
        <w:rPr>
          <w:rFonts w:cstheme="minorHAnsi"/>
          <w:sz w:val="22"/>
          <w:szCs w:val="22"/>
        </w:rPr>
      </w:pPr>
    </w:p>
    <w:p w14:paraId="29EC0043" w14:textId="63334C7A" w:rsidR="000A4A48" w:rsidRDefault="000A4A48" w:rsidP="000A4A48">
      <w:pPr>
        <w:rPr>
          <w:rFonts w:cstheme="minorHAnsi"/>
          <w:sz w:val="22"/>
          <w:szCs w:val="22"/>
        </w:rPr>
      </w:pPr>
      <w:r w:rsidRPr="000A4A48">
        <w:rPr>
          <w:rFonts w:cstheme="minorHAnsi"/>
          <w:sz w:val="22"/>
          <w:szCs w:val="22"/>
        </w:rPr>
        <w:t xml:space="preserve">Building the capacity of the AOD workforce should be within scope of the Draft Report as many Australians experiencing mental health concerns will engage the AOD treatment sector. A community sector Industry Plan should be progressed </w:t>
      </w:r>
      <w:r w:rsidR="004D08B2">
        <w:rPr>
          <w:rFonts w:cstheme="minorHAnsi"/>
          <w:sz w:val="22"/>
          <w:szCs w:val="22"/>
        </w:rPr>
        <w:t>to</w:t>
      </w:r>
      <w:r w:rsidRPr="000A4A48">
        <w:rPr>
          <w:rFonts w:cstheme="minorHAnsi"/>
          <w:sz w:val="22"/>
          <w:szCs w:val="22"/>
        </w:rPr>
        <w:t xml:space="preserve"> identify and action workforce </w:t>
      </w:r>
      <w:r w:rsidR="00B83594" w:rsidRPr="000A4A48">
        <w:rPr>
          <w:rFonts w:cstheme="minorHAnsi"/>
          <w:sz w:val="22"/>
          <w:szCs w:val="22"/>
        </w:rPr>
        <w:t>development</w:t>
      </w:r>
      <w:r w:rsidR="00B83594">
        <w:rPr>
          <w:rFonts w:cstheme="minorHAnsi"/>
          <w:sz w:val="22"/>
          <w:szCs w:val="22"/>
        </w:rPr>
        <w:t xml:space="preserve"> </w:t>
      </w:r>
      <w:r w:rsidR="00B83594" w:rsidRPr="000A4A48">
        <w:rPr>
          <w:rFonts w:cstheme="minorHAnsi"/>
          <w:sz w:val="22"/>
          <w:szCs w:val="22"/>
        </w:rPr>
        <w:t>to</w:t>
      </w:r>
      <w:r w:rsidRPr="000A4A48">
        <w:rPr>
          <w:rFonts w:cstheme="minorHAnsi"/>
          <w:sz w:val="22"/>
          <w:szCs w:val="22"/>
        </w:rPr>
        <w:t xml:space="preserve"> enhance cross sector capacity. This plan would establish the building blocks necessary to </w:t>
      </w:r>
      <w:r w:rsidR="002057E4">
        <w:rPr>
          <w:rFonts w:cstheme="minorHAnsi"/>
          <w:sz w:val="22"/>
          <w:szCs w:val="22"/>
        </w:rPr>
        <w:t xml:space="preserve">support a community sector workforce to </w:t>
      </w:r>
      <w:r w:rsidRPr="000A4A48">
        <w:rPr>
          <w:rFonts w:cstheme="minorHAnsi"/>
          <w:sz w:val="22"/>
          <w:szCs w:val="22"/>
        </w:rPr>
        <w:t>address the intersecting causes of mental illness and the associated indicators of disadvantage.</w:t>
      </w:r>
    </w:p>
    <w:p w14:paraId="67575964" w14:textId="77777777" w:rsidR="002057E4" w:rsidRPr="000A4A48" w:rsidRDefault="002057E4" w:rsidP="000A4A48">
      <w:pPr>
        <w:rPr>
          <w:rFonts w:cstheme="minorHAnsi"/>
          <w:sz w:val="22"/>
          <w:szCs w:val="22"/>
        </w:rPr>
      </w:pPr>
    </w:p>
    <w:p w14:paraId="5DD2E66D" w14:textId="5F32D9E2" w:rsidR="000A4A48" w:rsidRPr="000A4A48" w:rsidRDefault="000A4A48" w:rsidP="000A4A48">
      <w:pPr>
        <w:rPr>
          <w:rFonts w:cstheme="minorHAnsi"/>
          <w:b/>
          <w:bCs/>
          <w:sz w:val="22"/>
          <w:szCs w:val="22"/>
        </w:rPr>
      </w:pPr>
      <w:r w:rsidRPr="000A4A48">
        <w:rPr>
          <w:rFonts w:cstheme="minorHAnsi"/>
          <w:b/>
          <w:bCs/>
          <w:sz w:val="22"/>
          <w:szCs w:val="22"/>
        </w:rPr>
        <w:t xml:space="preserve">Recommendation </w:t>
      </w:r>
      <w:r w:rsidR="00654592">
        <w:rPr>
          <w:rFonts w:cstheme="minorHAnsi"/>
          <w:b/>
          <w:bCs/>
          <w:sz w:val="22"/>
          <w:szCs w:val="22"/>
        </w:rPr>
        <w:t>3</w:t>
      </w:r>
      <w:r w:rsidRPr="000A4A48">
        <w:rPr>
          <w:rFonts w:cstheme="minorHAnsi"/>
          <w:b/>
          <w:bCs/>
          <w:sz w:val="22"/>
          <w:szCs w:val="22"/>
        </w:rPr>
        <w:t>:  A community sector Industry Plan should be progressed to support the community sector workforce to respond to the causes of mental health.</w:t>
      </w:r>
    </w:p>
    <w:p w14:paraId="7EDEC680" w14:textId="77777777" w:rsidR="000A4A48" w:rsidRPr="000A4A48" w:rsidRDefault="000A4A48" w:rsidP="000A4A48">
      <w:pPr>
        <w:rPr>
          <w:rFonts w:cstheme="minorHAnsi"/>
          <w:i/>
          <w:sz w:val="22"/>
          <w:szCs w:val="22"/>
        </w:rPr>
      </w:pPr>
    </w:p>
    <w:p w14:paraId="437213B6" w14:textId="4996B530" w:rsidR="000A4A48" w:rsidRPr="00635860" w:rsidRDefault="000A4A48" w:rsidP="000A4A48">
      <w:pPr>
        <w:rPr>
          <w:rFonts w:cstheme="minorHAnsi"/>
          <w:caps/>
          <w:sz w:val="22"/>
          <w:szCs w:val="22"/>
        </w:rPr>
      </w:pPr>
      <w:r w:rsidRPr="00635860">
        <w:rPr>
          <w:rFonts w:cstheme="minorHAnsi"/>
          <w:caps/>
          <w:sz w:val="22"/>
          <w:szCs w:val="22"/>
        </w:rPr>
        <w:t>Stigma</w:t>
      </w:r>
    </w:p>
    <w:p w14:paraId="35B1E0CF" w14:textId="77777777" w:rsidR="002057E4" w:rsidRPr="000A4A48" w:rsidRDefault="002057E4" w:rsidP="000A4A48">
      <w:pPr>
        <w:rPr>
          <w:rFonts w:ascii="Goudy Old Style" w:hAnsi="Goudy Old Style" w:cstheme="minorHAnsi"/>
          <w:caps/>
          <w:sz w:val="22"/>
          <w:szCs w:val="22"/>
        </w:rPr>
      </w:pPr>
    </w:p>
    <w:p w14:paraId="0A6B06A9" w14:textId="5FB504BA" w:rsidR="000A4A48" w:rsidRPr="000A4A48" w:rsidRDefault="000A4A48" w:rsidP="000A4A48">
      <w:pPr>
        <w:rPr>
          <w:rFonts w:cstheme="minorHAnsi"/>
          <w:sz w:val="22"/>
          <w:szCs w:val="22"/>
        </w:rPr>
      </w:pPr>
      <w:r w:rsidRPr="000A4A48">
        <w:rPr>
          <w:rFonts w:cstheme="minorHAnsi"/>
          <w:sz w:val="22"/>
          <w:szCs w:val="22"/>
        </w:rPr>
        <w:t>Stigma remains a pressing issue</w:t>
      </w:r>
      <w:r w:rsidR="00C60377">
        <w:rPr>
          <w:rFonts w:cstheme="minorHAnsi"/>
          <w:sz w:val="22"/>
          <w:szCs w:val="22"/>
        </w:rPr>
        <w:t xml:space="preserve">, deterring </w:t>
      </w:r>
      <w:r w:rsidRPr="000A4A48">
        <w:rPr>
          <w:rFonts w:cstheme="minorHAnsi"/>
          <w:sz w:val="22"/>
          <w:szCs w:val="22"/>
        </w:rPr>
        <w:t>help</w:t>
      </w:r>
      <w:r w:rsidR="00C60377">
        <w:rPr>
          <w:rFonts w:cstheme="minorHAnsi"/>
          <w:sz w:val="22"/>
          <w:szCs w:val="22"/>
        </w:rPr>
        <w:t>-s</w:t>
      </w:r>
      <w:r w:rsidRPr="000A4A48">
        <w:rPr>
          <w:rFonts w:cstheme="minorHAnsi"/>
          <w:sz w:val="22"/>
          <w:szCs w:val="22"/>
        </w:rPr>
        <w:t xml:space="preserve">eeking behaviour and </w:t>
      </w:r>
      <w:r w:rsidR="00C60377" w:rsidRPr="000A4A48">
        <w:rPr>
          <w:rFonts w:cstheme="minorHAnsi"/>
          <w:sz w:val="22"/>
          <w:szCs w:val="22"/>
        </w:rPr>
        <w:t>impair</w:t>
      </w:r>
      <w:r w:rsidR="00C60377">
        <w:rPr>
          <w:rFonts w:cstheme="minorHAnsi"/>
          <w:sz w:val="22"/>
          <w:szCs w:val="22"/>
        </w:rPr>
        <w:t>ing</w:t>
      </w:r>
      <w:r w:rsidR="00C60377" w:rsidRPr="000A4A48">
        <w:rPr>
          <w:rFonts w:cstheme="minorHAnsi"/>
          <w:sz w:val="22"/>
          <w:szCs w:val="22"/>
        </w:rPr>
        <w:t xml:space="preserve"> </w:t>
      </w:r>
      <w:r w:rsidRPr="000A4A48">
        <w:rPr>
          <w:rFonts w:cstheme="minorHAnsi"/>
          <w:sz w:val="22"/>
          <w:szCs w:val="22"/>
        </w:rPr>
        <w:t xml:space="preserve">community wellbeing. </w:t>
      </w:r>
      <w:r w:rsidR="00F40579">
        <w:rPr>
          <w:rFonts w:cstheme="minorHAnsi"/>
          <w:sz w:val="22"/>
          <w:szCs w:val="22"/>
        </w:rPr>
        <w:t>Disadvantaged people</w:t>
      </w:r>
      <w:r w:rsidRPr="000A4A48">
        <w:rPr>
          <w:rFonts w:cstheme="minorHAnsi"/>
          <w:sz w:val="22"/>
          <w:szCs w:val="22"/>
        </w:rPr>
        <w:t xml:space="preserve"> </w:t>
      </w:r>
      <w:r w:rsidR="00F40579">
        <w:rPr>
          <w:rFonts w:cstheme="minorHAnsi"/>
          <w:sz w:val="22"/>
          <w:szCs w:val="22"/>
        </w:rPr>
        <w:t>experience</w:t>
      </w:r>
      <w:r w:rsidR="00C60377" w:rsidRPr="000A4A48">
        <w:rPr>
          <w:rFonts w:cstheme="minorHAnsi"/>
          <w:sz w:val="22"/>
          <w:szCs w:val="22"/>
        </w:rPr>
        <w:t xml:space="preserve"> </w:t>
      </w:r>
      <w:r w:rsidRPr="000A4A48">
        <w:rPr>
          <w:rFonts w:cstheme="minorHAnsi"/>
          <w:sz w:val="22"/>
          <w:szCs w:val="22"/>
        </w:rPr>
        <w:t xml:space="preserve">various forms of stigma, </w:t>
      </w:r>
      <w:r w:rsidR="00C60377">
        <w:rPr>
          <w:rFonts w:cstheme="minorHAnsi"/>
          <w:sz w:val="22"/>
          <w:szCs w:val="22"/>
        </w:rPr>
        <w:t>compounding</w:t>
      </w:r>
      <w:r w:rsidRPr="000A4A48">
        <w:rPr>
          <w:rFonts w:cstheme="minorHAnsi"/>
          <w:sz w:val="22"/>
          <w:szCs w:val="22"/>
        </w:rPr>
        <w:t xml:space="preserve"> in cases of co-occurring issues. Recently a harmful narrative has emerged seeking to link unemployment with substance use</w:t>
      </w:r>
      <w:r w:rsidR="00C60377">
        <w:rPr>
          <w:rFonts w:cstheme="minorHAnsi"/>
          <w:sz w:val="22"/>
          <w:szCs w:val="22"/>
        </w:rPr>
        <w:t>.</w:t>
      </w:r>
      <w:r w:rsidR="002057E4">
        <w:rPr>
          <w:rFonts w:cstheme="minorHAnsi"/>
          <w:sz w:val="22"/>
          <w:szCs w:val="22"/>
        </w:rPr>
        <w:t xml:space="preserve"> </w:t>
      </w:r>
      <w:r w:rsidR="00C60377">
        <w:rPr>
          <w:rFonts w:cstheme="minorHAnsi"/>
          <w:sz w:val="22"/>
          <w:szCs w:val="22"/>
        </w:rPr>
        <w:t>M</w:t>
      </w:r>
      <w:r w:rsidR="002057E4">
        <w:rPr>
          <w:rFonts w:cstheme="minorHAnsi"/>
          <w:sz w:val="22"/>
          <w:szCs w:val="22"/>
        </w:rPr>
        <w:t xml:space="preserve">any believe </w:t>
      </w:r>
      <w:r w:rsidR="00C60377">
        <w:rPr>
          <w:rFonts w:cstheme="minorHAnsi"/>
          <w:sz w:val="22"/>
          <w:szCs w:val="22"/>
        </w:rPr>
        <w:t xml:space="preserve">this thinking </w:t>
      </w:r>
      <w:r w:rsidR="00F40579">
        <w:rPr>
          <w:rFonts w:cstheme="minorHAnsi"/>
          <w:sz w:val="22"/>
          <w:szCs w:val="22"/>
        </w:rPr>
        <w:t>is designed</w:t>
      </w:r>
      <w:r w:rsidR="002057E4">
        <w:rPr>
          <w:rFonts w:cstheme="minorHAnsi"/>
          <w:sz w:val="22"/>
          <w:szCs w:val="22"/>
        </w:rPr>
        <w:t xml:space="preserve"> to</w:t>
      </w:r>
      <w:r w:rsidRPr="000A4A48">
        <w:rPr>
          <w:rFonts w:cstheme="minorHAnsi"/>
          <w:sz w:val="22"/>
          <w:szCs w:val="22"/>
        </w:rPr>
        <w:t xml:space="preserve"> </w:t>
      </w:r>
      <w:r w:rsidR="00F40579">
        <w:rPr>
          <w:rFonts w:cstheme="minorHAnsi"/>
          <w:sz w:val="22"/>
          <w:szCs w:val="22"/>
        </w:rPr>
        <w:t>garner</w:t>
      </w:r>
      <w:r w:rsidR="00F40579" w:rsidRPr="000A4A48">
        <w:rPr>
          <w:rFonts w:cstheme="minorHAnsi"/>
          <w:sz w:val="22"/>
          <w:szCs w:val="22"/>
        </w:rPr>
        <w:t xml:space="preserve"> </w:t>
      </w:r>
      <w:r w:rsidRPr="000A4A48">
        <w:rPr>
          <w:rFonts w:cstheme="minorHAnsi"/>
          <w:sz w:val="22"/>
          <w:szCs w:val="22"/>
        </w:rPr>
        <w:t xml:space="preserve">populist support for certain harmful policies, such as </w:t>
      </w:r>
      <w:r w:rsidR="00C60377">
        <w:rPr>
          <w:rFonts w:cstheme="minorHAnsi"/>
          <w:sz w:val="22"/>
          <w:szCs w:val="22"/>
        </w:rPr>
        <w:t xml:space="preserve">the </w:t>
      </w:r>
      <w:r w:rsidRPr="000A4A48">
        <w:rPr>
          <w:rFonts w:cstheme="minorHAnsi"/>
          <w:sz w:val="22"/>
          <w:szCs w:val="22"/>
        </w:rPr>
        <w:t xml:space="preserve">drug testing </w:t>
      </w:r>
      <w:r w:rsidR="00C60377">
        <w:rPr>
          <w:rFonts w:cstheme="minorHAnsi"/>
          <w:sz w:val="22"/>
          <w:szCs w:val="22"/>
        </w:rPr>
        <w:t xml:space="preserve">of </w:t>
      </w:r>
      <w:r w:rsidRPr="000A4A48">
        <w:rPr>
          <w:rFonts w:cstheme="minorHAnsi"/>
          <w:sz w:val="22"/>
          <w:szCs w:val="22"/>
        </w:rPr>
        <w:t xml:space="preserve">welfare recipients.  </w:t>
      </w:r>
    </w:p>
    <w:p w14:paraId="46EB3731" w14:textId="746173D5" w:rsidR="000A4A48" w:rsidRDefault="0067725B" w:rsidP="000A4A48">
      <w:pPr>
        <w:rPr>
          <w:rFonts w:cstheme="minorHAnsi"/>
          <w:sz w:val="22"/>
          <w:szCs w:val="22"/>
        </w:rPr>
      </w:pPr>
      <w:r>
        <w:rPr>
          <w:rFonts w:cstheme="minorHAnsi"/>
          <w:sz w:val="22"/>
          <w:szCs w:val="22"/>
        </w:rPr>
        <w:t>Ano</w:t>
      </w:r>
      <w:r w:rsidR="000A4A48" w:rsidRPr="000A4A48">
        <w:rPr>
          <w:rFonts w:cstheme="minorHAnsi"/>
          <w:sz w:val="22"/>
          <w:szCs w:val="22"/>
        </w:rPr>
        <w:t xml:space="preserve">ther example of structural stigma </w:t>
      </w:r>
      <w:r>
        <w:rPr>
          <w:rFonts w:cstheme="minorHAnsi"/>
          <w:sz w:val="22"/>
          <w:szCs w:val="22"/>
        </w:rPr>
        <w:t>is</w:t>
      </w:r>
      <w:r w:rsidRPr="000A4A48">
        <w:rPr>
          <w:rFonts w:cstheme="minorHAnsi"/>
          <w:sz w:val="22"/>
          <w:szCs w:val="22"/>
        </w:rPr>
        <w:t xml:space="preserve"> </w:t>
      </w:r>
      <w:r w:rsidR="000A4A48" w:rsidRPr="000A4A48">
        <w:rPr>
          <w:rFonts w:cstheme="minorHAnsi"/>
          <w:sz w:val="22"/>
          <w:szCs w:val="22"/>
        </w:rPr>
        <w:t xml:space="preserve">the </w:t>
      </w:r>
      <w:r w:rsidRPr="000A4A48">
        <w:rPr>
          <w:rFonts w:cstheme="minorHAnsi"/>
          <w:sz w:val="22"/>
          <w:szCs w:val="22"/>
        </w:rPr>
        <w:t>belief</w:t>
      </w:r>
      <w:r w:rsidR="000A4A48" w:rsidRPr="000A4A48">
        <w:rPr>
          <w:rFonts w:cstheme="minorHAnsi"/>
          <w:sz w:val="22"/>
          <w:szCs w:val="22"/>
        </w:rPr>
        <w:t xml:space="preserve"> </w:t>
      </w:r>
      <w:r>
        <w:rPr>
          <w:rFonts w:cstheme="minorHAnsi"/>
          <w:sz w:val="22"/>
          <w:szCs w:val="22"/>
        </w:rPr>
        <w:t>that</w:t>
      </w:r>
      <w:r w:rsidRPr="000A4A48">
        <w:rPr>
          <w:rFonts w:cstheme="minorHAnsi"/>
          <w:sz w:val="22"/>
          <w:szCs w:val="22"/>
        </w:rPr>
        <w:t xml:space="preserve"> </w:t>
      </w:r>
      <w:r w:rsidR="000A4A48" w:rsidRPr="000A4A48">
        <w:rPr>
          <w:rFonts w:cstheme="minorHAnsi"/>
          <w:sz w:val="22"/>
          <w:szCs w:val="22"/>
        </w:rPr>
        <w:t xml:space="preserve">substance dependence </w:t>
      </w:r>
      <w:r>
        <w:rPr>
          <w:rFonts w:cstheme="minorHAnsi"/>
          <w:sz w:val="22"/>
          <w:szCs w:val="22"/>
        </w:rPr>
        <w:t>i</w:t>
      </w:r>
      <w:r w:rsidR="000A4A48" w:rsidRPr="000A4A48">
        <w:rPr>
          <w:rFonts w:cstheme="minorHAnsi"/>
          <w:sz w:val="22"/>
          <w:szCs w:val="22"/>
        </w:rPr>
        <w:t>s a choice</w:t>
      </w:r>
      <w:r>
        <w:rPr>
          <w:rFonts w:cstheme="minorHAnsi"/>
          <w:sz w:val="22"/>
          <w:szCs w:val="22"/>
        </w:rPr>
        <w:t>, a</w:t>
      </w:r>
      <w:r w:rsidR="000A4A48" w:rsidRPr="000A4A48">
        <w:rPr>
          <w:rFonts w:cstheme="minorHAnsi"/>
          <w:sz w:val="22"/>
          <w:szCs w:val="22"/>
        </w:rPr>
        <w:t xml:space="preserve"> narrative</w:t>
      </w:r>
      <w:r>
        <w:rPr>
          <w:rFonts w:cstheme="minorHAnsi"/>
          <w:sz w:val="22"/>
          <w:szCs w:val="22"/>
        </w:rPr>
        <w:t xml:space="preserve"> that</w:t>
      </w:r>
      <w:r w:rsidR="000A4A48" w:rsidRPr="000A4A48">
        <w:rPr>
          <w:rFonts w:cstheme="minorHAnsi"/>
          <w:sz w:val="22"/>
          <w:szCs w:val="22"/>
        </w:rPr>
        <w:t xml:space="preserve"> has been used to critique a range of evidence informed harm reduction policies</w:t>
      </w:r>
      <w:r>
        <w:rPr>
          <w:rFonts w:cstheme="minorHAnsi"/>
          <w:sz w:val="22"/>
          <w:szCs w:val="22"/>
        </w:rPr>
        <w:t xml:space="preserve"> including</w:t>
      </w:r>
      <w:r w:rsidR="000A4A48" w:rsidRPr="000A4A48">
        <w:rPr>
          <w:rFonts w:cstheme="minorHAnsi"/>
          <w:sz w:val="22"/>
          <w:szCs w:val="22"/>
        </w:rPr>
        <w:t xml:space="preserve"> supervised injecting. Victoria’s Medically Supervised Injecting Room (MSIR) provides vital harm reduction services to </w:t>
      </w:r>
      <w:r>
        <w:rPr>
          <w:rFonts w:cstheme="minorHAnsi"/>
          <w:sz w:val="22"/>
          <w:szCs w:val="22"/>
        </w:rPr>
        <w:t>injecting drug</w:t>
      </w:r>
      <w:r w:rsidR="000A4A48" w:rsidRPr="000A4A48">
        <w:rPr>
          <w:rFonts w:cstheme="minorHAnsi"/>
          <w:sz w:val="22"/>
          <w:szCs w:val="22"/>
        </w:rPr>
        <w:t xml:space="preserve"> users, many of </w:t>
      </w:r>
      <w:r w:rsidR="006D644F">
        <w:rPr>
          <w:rFonts w:cstheme="minorHAnsi"/>
          <w:sz w:val="22"/>
          <w:szCs w:val="22"/>
        </w:rPr>
        <w:t>whom</w:t>
      </w:r>
      <w:r w:rsidR="006D644F" w:rsidRPr="000A4A48">
        <w:rPr>
          <w:rFonts w:cstheme="minorHAnsi"/>
          <w:sz w:val="22"/>
          <w:szCs w:val="22"/>
        </w:rPr>
        <w:t xml:space="preserve"> </w:t>
      </w:r>
      <w:r w:rsidR="000A4A48" w:rsidRPr="000A4A48">
        <w:rPr>
          <w:rFonts w:cstheme="minorHAnsi"/>
          <w:sz w:val="22"/>
          <w:szCs w:val="22"/>
        </w:rPr>
        <w:t xml:space="preserve">likely experience mental health concerns. While data is not available on the prevalence of mental illness among Victorian MSIR users, four in five of those using the Sydney based Medically Supervised </w:t>
      </w:r>
      <w:r w:rsidR="00654592">
        <w:rPr>
          <w:rFonts w:cstheme="minorHAnsi"/>
          <w:sz w:val="22"/>
          <w:szCs w:val="22"/>
        </w:rPr>
        <w:t>have been</w:t>
      </w:r>
      <w:r w:rsidR="000A4A48" w:rsidRPr="000A4A48">
        <w:rPr>
          <w:rFonts w:cstheme="minorHAnsi"/>
          <w:sz w:val="22"/>
          <w:szCs w:val="22"/>
        </w:rPr>
        <w:t xml:space="preserve"> diagnosed with a mental illness (O’Mara, </w:t>
      </w:r>
      <w:proofErr w:type="spellStart"/>
      <w:r w:rsidR="000A4A48" w:rsidRPr="000A4A48">
        <w:rPr>
          <w:rFonts w:cstheme="minorHAnsi"/>
          <w:sz w:val="22"/>
          <w:szCs w:val="22"/>
        </w:rPr>
        <w:t>McCoster</w:t>
      </w:r>
      <w:proofErr w:type="spellEnd"/>
      <w:r w:rsidR="000A4A48" w:rsidRPr="000A4A48">
        <w:rPr>
          <w:rFonts w:cstheme="minorHAnsi"/>
          <w:sz w:val="22"/>
          <w:szCs w:val="22"/>
        </w:rPr>
        <w:t xml:space="preserve"> and </w:t>
      </w:r>
      <w:proofErr w:type="spellStart"/>
      <w:r w:rsidR="000A4A48" w:rsidRPr="000A4A48">
        <w:rPr>
          <w:rFonts w:cstheme="minorHAnsi"/>
          <w:sz w:val="22"/>
          <w:szCs w:val="22"/>
        </w:rPr>
        <w:t>Sherker</w:t>
      </w:r>
      <w:proofErr w:type="spellEnd"/>
      <w:r w:rsidR="000A4A48" w:rsidRPr="000A4A48">
        <w:rPr>
          <w:rFonts w:cstheme="minorHAnsi"/>
          <w:sz w:val="22"/>
          <w:szCs w:val="22"/>
        </w:rPr>
        <w:t xml:space="preserve"> 2017). The Victorian MSIR is likely to host a similar cohort. </w:t>
      </w:r>
      <w:r w:rsidR="00654592">
        <w:rPr>
          <w:rFonts w:cstheme="minorHAnsi"/>
          <w:sz w:val="22"/>
          <w:szCs w:val="22"/>
        </w:rPr>
        <w:t xml:space="preserve">The stigmatising narrative </w:t>
      </w:r>
      <w:r w:rsidR="006D644F">
        <w:rPr>
          <w:rFonts w:cstheme="minorHAnsi"/>
          <w:sz w:val="22"/>
          <w:szCs w:val="22"/>
        </w:rPr>
        <w:t xml:space="preserve">around </w:t>
      </w:r>
      <w:r w:rsidR="00654592">
        <w:rPr>
          <w:rFonts w:cstheme="minorHAnsi"/>
          <w:sz w:val="22"/>
          <w:szCs w:val="22"/>
        </w:rPr>
        <w:t xml:space="preserve">the MSIR is </w:t>
      </w:r>
      <w:r w:rsidR="006D644F">
        <w:rPr>
          <w:rFonts w:cstheme="minorHAnsi"/>
          <w:sz w:val="22"/>
          <w:szCs w:val="22"/>
        </w:rPr>
        <w:t>especially hard on</w:t>
      </w:r>
      <w:r w:rsidR="00654592">
        <w:rPr>
          <w:rFonts w:cstheme="minorHAnsi"/>
          <w:sz w:val="22"/>
          <w:szCs w:val="22"/>
        </w:rPr>
        <w:t xml:space="preserve"> those experiencing mental illness.</w:t>
      </w:r>
    </w:p>
    <w:p w14:paraId="05CEA6B0" w14:textId="77777777" w:rsidR="00654592" w:rsidRPr="000A4A48" w:rsidRDefault="00654592" w:rsidP="000A4A48">
      <w:pPr>
        <w:rPr>
          <w:rFonts w:cstheme="minorHAnsi"/>
          <w:sz w:val="22"/>
          <w:szCs w:val="22"/>
        </w:rPr>
      </w:pPr>
    </w:p>
    <w:p w14:paraId="48B13CAD" w14:textId="59A5A28C" w:rsidR="000A4A48" w:rsidRPr="000A4A48" w:rsidRDefault="000A4A48" w:rsidP="000A4A48">
      <w:pPr>
        <w:rPr>
          <w:rFonts w:cstheme="minorHAnsi"/>
          <w:sz w:val="22"/>
          <w:szCs w:val="22"/>
        </w:rPr>
      </w:pPr>
      <w:r w:rsidRPr="000A4A48">
        <w:rPr>
          <w:rFonts w:cstheme="minorHAnsi"/>
          <w:sz w:val="22"/>
          <w:szCs w:val="22"/>
        </w:rPr>
        <w:t xml:space="preserve">Seeking to address stigma solely from a mental health perspective will leave many experiencing co-occurring mental health and other morbidities </w:t>
      </w:r>
      <w:r w:rsidR="006D644F">
        <w:rPr>
          <w:rFonts w:cstheme="minorHAnsi"/>
          <w:sz w:val="22"/>
          <w:szCs w:val="22"/>
        </w:rPr>
        <w:t>vulnerable</w:t>
      </w:r>
      <w:r w:rsidRPr="000A4A48">
        <w:rPr>
          <w:rFonts w:cstheme="minorHAnsi"/>
          <w:sz w:val="22"/>
          <w:szCs w:val="22"/>
        </w:rPr>
        <w:t>.</w:t>
      </w:r>
    </w:p>
    <w:p w14:paraId="52718593" w14:textId="77777777" w:rsidR="000A4A48" w:rsidRPr="000A4A48" w:rsidRDefault="000A4A48" w:rsidP="000A4A48">
      <w:pPr>
        <w:rPr>
          <w:rFonts w:cstheme="minorHAnsi"/>
          <w:sz w:val="22"/>
          <w:szCs w:val="22"/>
        </w:rPr>
      </w:pPr>
    </w:p>
    <w:p w14:paraId="681E323D" w14:textId="4259AB8D" w:rsidR="000A4A48" w:rsidRPr="000A4A48" w:rsidRDefault="000A4A48" w:rsidP="000A4A48">
      <w:pPr>
        <w:rPr>
          <w:rFonts w:cstheme="minorHAnsi"/>
          <w:b/>
          <w:sz w:val="22"/>
          <w:szCs w:val="22"/>
        </w:rPr>
      </w:pPr>
      <w:bookmarkStart w:id="1" w:name="_Hlk30026072"/>
      <w:r w:rsidRPr="000A4A48">
        <w:rPr>
          <w:rFonts w:cstheme="minorHAnsi"/>
          <w:b/>
          <w:sz w:val="22"/>
          <w:szCs w:val="22"/>
        </w:rPr>
        <w:lastRenderedPageBreak/>
        <w:t xml:space="preserve">Recommendation </w:t>
      </w:r>
      <w:r w:rsidR="00654592">
        <w:rPr>
          <w:rFonts w:cstheme="minorHAnsi"/>
          <w:b/>
          <w:sz w:val="22"/>
          <w:szCs w:val="22"/>
        </w:rPr>
        <w:t>4</w:t>
      </w:r>
      <w:r w:rsidRPr="000A4A48">
        <w:rPr>
          <w:rFonts w:cstheme="minorHAnsi"/>
          <w:b/>
          <w:sz w:val="22"/>
          <w:szCs w:val="22"/>
        </w:rPr>
        <w:t>: This inquiry should recommend measures to reduce stigma towards disadvantaged cohorts, including</w:t>
      </w:r>
      <w:r w:rsidR="006D644F">
        <w:rPr>
          <w:rFonts w:cstheme="minorHAnsi"/>
          <w:b/>
          <w:sz w:val="22"/>
          <w:szCs w:val="22"/>
        </w:rPr>
        <w:t>,</w:t>
      </w:r>
      <w:r w:rsidRPr="000A4A48">
        <w:rPr>
          <w:rFonts w:cstheme="minorHAnsi"/>
          <w:b/>
          <w:sz w:val="22"/>
          <w:szCs w:val="22"/>
        </w:rPr>
        <w:t xml:space="preserve"> but not limited to</w:t>
      </w:r>
      <w:r w:rsidR="006D644F">
        <w:rPr>
          <w:rFonts w:cstheme="minorHAnsi"/>
          <w:b/>
          <w:sz w:val="22"/>
          <w:szCs w:val="22"/>
        </w:rPr>
        <w:t>,</w:t>
      </w:r>
      <w:r w:rsidRPr="000A4A48">
        <w:rPr>
          <w:rFonts w:cstheme="minorHAnsi"/>
          <w:b/>
          <w:sz w:val="22"/>
          <w:szCs w:val="22"/>
        </w:rPr>
        <w:t xml:space="preserve"> those experiencing mental illness, alcohol and other drug dependency, homelessness</w:t>
      </w:r>
      <w:r w:rsidR="006D644F">
        <w:rPr>
          <w:rFonts w:cstheme="minorHAnsi"/>
          <w:b/>
          <w:sz w:val="22"/>
          <w:szCs w:val="22"/>
        </w:rPr>
        <w:t xml:space="preserve"> and </w:t>
      </w:r>
      <w:r w:rsidRPr="000A4A48">
        <w:rPr>
          <w:rFonts w:cstheme="minorHAnsi"/>
          <w:b/>
          <w:sz w:val="22"/>
          <w:szCs w:val="22"/>
        </w:rPr>
        <w:t>unemployment</w:t>
      </w:r>
      <w:r w:rsidR="006D644F">
        <w:rPr>
          <w:rFonts w:cstheme="minorHAnsi"/>
          <w:b/>
          <w:sz w:val="22"/>
          <w:szCs w:val="22"/>
        </w:rPr>
        <w:t>,</w:t>
      </w:r>
      <w:r w:rsidRPr="000A4A48">
        <w:rPr>
          <w:rFonts w:cstheme="minorHAnsi"/>
          <w:b/>
          <w:sz w:val="22"/>
          <w:szCs w:val="22"/>
        </w:rPr>
        <w:t xml:space="preserve"> </w:t>
      </w:r>
      <w:r w:rsidR="00654592">
        <w:rPr>
          <w:rFonts w:cstheme="minorHAnsi"/>
          <w:b/>
          <w:sz w:val="22"/>
          <w:szCs w:val="22"/>
        </w:rPr>
        <w:t xml:space="preserve">as well as that experienced by </w:t>
      </w:r>
      <w:r w:rsidRPr="000A4A48">
        <w:rPr>
          <w:rFonts w:cstheme="minorHAnsi"/>
          <w:b/>
          <w:sz w:val="22"/>
          <w:szCs w:val="22"/>
        </w:rPr>
        <w:t>LGBTIQ communities.</w:t>
      </w:r>
    </w:p>
    <w:bookmarkEnd w:id="1"/>
    <w:p w14:paraId="697A4631" w14:textId="77777777" w:rsidR="000A4A48" w:rsidRPr="000A4A48" w:rsidRDefault="000A4A48" w:rsidP="000A4A48">
      <w:pPr>
        <w:pStyle w:val="ListParagraph"/>
        <w:rPr>
          <w:rFonts w:cstheme="minorHAnsi"/>
          <w:sz w:val="22"/>
          <w:szCs w:val="22"/>
        </w:rPr>
      </w:pPr>
    </w:p>
    <w:p w14:paraId="318F4E0B" w14:textId="77777777" w:rsidR="00654592" w:rsidRDefault="00654592" w:rsidP="000A4A48">
      <w:pPr>
        <w:rPr>
          <w:rFonts w:ascii="Goudy Old Style" w:hAnsi="Goudy Old Style" w:cstheme="minorHAnsi"/>
          <w:caps/>
          <w:sz w:val="22"/>
          <w:szCs w:val="22"/>
        </w:rPr>
      </w:pPr>
    </w:p>
    <w:p w14:paraId="12E3C58E" w14:textId="3AD8FDD9" w:rsidR="000A4A48" w:rsidRPr="00635860" w:rsidRDefault="000A4A48" w:rsidP="000A4A48">
      <w:pPr>
        <w:rPr>
          <w:rFonts w:cstheme="minorHAnsi"/>
          <w:caps/>
          <w:sz w:val="22"/>
          <w:szCs w:val="22"/>
        </w:rPr>
      </w:pPr>
      <w:r w:rsidRPr="00635860">
        <w:rPr>
          <w:rFonts w:cstheme="minorHAnsi"/>
          <w:caps/>
          <w:sz w:val="22"/>
          <w:szCs w:val="22"/>
        </w:rPr>
        <w:t>Justice reinvestment</w:t>
      </w:r>
    </w:p>
    <w:p w14:paraId="452599CA" w14:textId="77777777" w:rsidR="00654592" w:rsidRDefault="00654592" w:rsidP="000A4A48">
      <w:pPr>
        <w:rPr>
          <w:rFonts w:cstheme="minorHAnsi"/>
          <w:sz w:val="22"/>
          <w:szCs w:val="22"/>
        </w:rPr>
      </w:pPr>
    </w:p>
    <w:p w14:paraId="471EA6D0" w14:textId="3DD8D75C" w:rsidR="000A4A48" w:rsidRDefault="000A4A48" w:rsidP="000A4A48">
      <w:pPr>
        <w:rPr>
          <w:rFonts w:cstheme="minorHAnsi"/>
          <w:sz w:val="22"/>
          <w:szCs w:val="22"/>
        </w:rPr>
      </w:pPr>
      <w:r w:rsidRPr="000A4A48">
        <w:rPr>
          <w:rFonts w:cstheme="minorHAnsi"/>
          <w:sz w:val="22"/>
          <w:szCs w:val="22"/>
        </w:rPr>
        <w:t xml:space="preserve">The Draft Report lends focus to the high </w:t>
      </w:r>
      <w:r w:rsidR="00F24185">
        <w:rPr>
          <w:rFonts w:cstheme="minorHAnsi"/>
          <w:sz w:val="22"/>
          <w:szCs w:val="22"/>
        </w:rPr>
        <w:t>number</w:t>
      </w:r>
      <w:r w:rsidR="00F24185" w:rsidRPr="000A4A48">
        <w:rPr>
          <w:rFonts w:cstheme="minorHAnsi"/>
          <w:sz w:val="22"/>
          <w:szCs w:val="22"/>
        </w:rPr>
        <w:t xml:space="preserve"> </w:t>
      </w:r>
      <w:r w:rsidRPr="000A4A48">
        <w:rPr>
          <w:rFonts w:cstheme="minorHAnsi"/>
          <w:sz w:val="22"/>
          <w:szCs w:val="22"/>
        </w:rPr>
        <w:t xml:space="preserve">of those engaged with the justice system, particularly prisoners, who experience mental health concerns. Recommendations </w:t>
      </w:r>
      <w:r w:rsidR="00654592">
        <w:rPr>
          <w:rFonts w:cstheme="minorHAnsi"/>
          <w:sz w:val="22"/>
          <w:szCs w:val="22"/>
        </w:rPr>
        <w:t>highlight the need for</w:t>
      </w:r>
      <w:r w:rsidRPr="000A4A48">
        <w:rPr>
          <w:rFonts w:cstheme="minorHAnsi"/>
          <w:sz w:val="22"/>
          <w:szCs w:val="22"/>
        </w:rPr>
        <w:t xml:space="preserve"> greater access to diversion schemes, transitional support, legal support and the provision of mental</w:t>
      </w:r>
      <w:r w:rsidR="00654592">
        <w:rPr>
          <w:rFonts w:cstheme="minorHAnsi"/>
          <w:sz w:val="22"/>
          <w:szCs w:val="22"/>
        </w:rPr>
        <w:t xml:space="preserve"> illness related</w:t>
      </w:r>
      <w:r w:rsidRPr="000A4A48">
        <w:rPr>
          <w:rFonts w:cstheme="minorHAnsi"/>
          <w:sz w:val="22"/>
          <w:szCs w:val="22"/>
        </w:rPr>
        <w:t xml:space="preserve"> healthcare within correctional facilities. These recommendations consist largely of add-ons</w:t>
      </w:r>
      <w:r w:rsidR="00654592">
        <w:rPr>
          <w:rFonts w:cstheme="minorHAnsi"/>
          <w:sz w:val="22"/>
          <w:szCs w:val="22"/>
        </w:rPr>
        <w:t xml:space="preserve"> and </w:t>
      </w:r>
      <w:r w:rsidRPr="000A4A48">
        <w:rPr>
          <w:rFonts w:cstheme="minorHAnsi"/>
          <w:sz w:val="22"/>
          <w:szCs w:val="22"/>
        </w:rPr>
        <w:t>enhancements to the current system which, while welcome, do not go far enough to reduce the prevalence of individuals experiencing mental health issues within the correctional system</w:t>
      </w:r>
      <w:r w:rsidR="00654592">
        <w:rPr>
          <w:rFonts w:cstheme="minorHAnsi"/>
          <w:sz w:val="22"/>
          <w:szCs w:val="22"/>
        </w:rPr>
        <w:t xml:space="preserve"> and the</w:t>
      </w:r>
      <w:r w:rsidR="00F24185">
        <w:rPr>
          <w:rFonts w:cstheme="minorHAnsi"/>
          <w:sz w:val="22"/>
          <w:szCs w:val="22"/>
        </w:rPr>
        <w:t xml:space="preserve"> </w:t>
      </w:r>
      <w:r w:rsidR="00654592">
        <w:rPr>
          <w:rFonts w:cstheme="minorHAnsi"/>
          <w:sz w:val="22"/>
          <w:szCs w:val="22"/>
        </w:rPr>
        <w:t>preventable harm they endure</w:t>
      </w:r>
      <w:r w:rsidRPr="000A4A48">
        <w:rPr>
          <w:rFonts w:cstheme="minorHAnsi"/>
          <w:sz w:val="22"/>
          <w:szCs w:val="22"/>
        </w:rPr>
        <w:t>.</w:t>
      </w:r>
    </w:p>
    <w:p w14:paraId="01189DD6" w14:textId="77777777" w:rsidR="00654592" w:rsidRPr="000A4A48" w:rsidRDefault="00654592" w:rsidP="000A4A48">
      <w:pPr>
        <w:rPr>
          <w:rFonts w:cstheme="minorHAnsi"/>
          <w:sz w:val="22"/>
          <w:szCs w:val="22"/>
        </w:rPr>
      </w:pPr>
    </w:p>
    <w:p w14:paraId="7DF24550" w14:textId="42CAC800" w:rsidR="000A4A48" w:rsidRDefault="000A4A48" w:rsidP="000A4A48">
      <w:pPr>
        <w:rPr>
          <w:rFonts w:cstheme="minorHAnsi"/>
          <w:sz w:val="22"/>
          <w:szCs w:val="22"/>
        </w:rPr>
      </w:pPr>
      <w:r w:rsidRPr="000A4A48">
        <w:rPr>
          <w:rFonts w:cstheme="minorHAnsi"/>
          <w:sz w:val="22"/>
          <w:szCs w:val="22"/>
        </w:rPr>
        <w:t xml:space="preserve">Systems need to be developed </w:t>
      </w:r>
      <w:r w:rsidR="00F24185">
        <w:rPr>
          <w:rFonts w:cstheme="minorHAnsi"/>
          <w:sz w:val="22"/>
          <w:szCs w:val="22"/>
        </w:rPr>
        <w:t>to</w:t>
      </w:r>
      <w:r w:rsidRPr="000A4A48">
        <w:rPr>
          <w:rFonts w:cstheme="minorHAnsi"/>
          <w:sz w:val="22"/>
          <w:szCs w:val="22"/>
        </w:rPr>
        <w:t xml:space="preserve"> address the causes of crime and the drivers of trauma which can </w:t>
      </w:r>
      <w:r w:rsidR="00654592">
        <w:rPr>
          <w:rFonts w:cstheme="minorHAnsi"/>
          <w:sz w:val="22"/>
          <w:szCs w:val="22"/>
        </w:rPr>
        <w:t>contribute</w:t>
      </w:r>
      <w:r w:rsidRPr="000A4A48">
        <w:rPr>
          <w:rFonts w:cstheme="minorHAnsi"/>
          <w:sz w:val="22"/>
          <w:szCs w:val="22"/>
        </w:rPr>
        <w:t xml:space="preserve"> to offending behaviour. Many of these drivers more commonly occur within regions experienc</w:t>
      </w:r>
      <w:r w:rsidR="00654592">
        <w:rPr>
          <w:rFonts w:cstheme="minorHAnsi"/>
          <w:sz w:val="22"/>
          <w:szCs w:val="22"/>
        </w:rPr>
        <w:t>ing</w:t>
      </w:r>
      <w:r w:rsidRPr="000A4A48">
        <w:rPr>
          <w:rFonts w:cstheme="minorHAnsi"/>
          <w:sz w:val="22"/>
          <w:szCs w:val="22"/>
        </w:rPr>
        <w:t xml:space="preserve"> stark disadvantage, particularly those regions where entrenched disadvantage spans multiple generations. </w:t>
      </w:r>
    </w:p>
    <w:p w14:paraId="789591F5" w14:textId="77777777" w:rsidR="00654592" w:rsidRPr="000A4A48" w:rsidRDefault="00654592" w:rsidP="000A4A48">
      <w:pPr>
        <w:rPr>
          <w:rFonts w:cstheme="minorHAnsi"/>
          <w:sz w:val="22"/>
          <w:szCs w:val="22"/>
        </w:rPr>
      </w:pPr>
    </w:p>
    <w:p w14:paraId="40AEA5AA" w14:textId="383A2C44" w:rsidR="00654592" w:rsidRDefault="000A4A48" w:rsidP="000A4A48">
      <w:pPr>
        <w:rPr>
          <w:rFonts w:cstheme="minorHAnsi"/>
          <w:sz w:val="22"/>
          <w:szCs w:val="22"/>
        </w:rPr>
      </w:pPr>
      <w:r w:rsidRPr="000A4A48">
        <w:rPr>
          <w:rFonts w:cstheme="minorHAnsi"/>
          <w:sz w:val="22"/>
          <w:szCs w:val="22"/>
        </w:rPr>
        <w:t xml:space="preserve">Jesuit Social Services (2015) in </w:t>
      </w:r>
      <w:r w:rsidR="00F24185">
        <w:rPr>
          <w:rFonts w:cstheme="minorHAnsi"/>
          <w:sz w:val="22"/>
          <w:szCs w:val="22"/>
        </w:rPr>
        <w:t>its</w:t>
      </w:r>
      <w:r w:rsidR="00F24185" w:rsidRPr="000A4A48">
        <w:rPr>
          <w:rFonts w:cstheme="minorHAnsi"/>
          <w:sz w:val="22"/>
          <w:szCs w:val="22"/>
        </w:rPr>
        <w:t xml:space="preserve"> </w:t>
      </w:r>
      <w:r w:rsidRPr="000A4A48">
        <w:rPr>
          <w:rFonts w:cstheme="minorHAnsi"/>
          <w:sz w:val="22"/>
          <w:szCs w:val="22"/>
        </w:rPr>
        <w:t>publication ‘Dropping off the Edge’ (DOTE) examine</w:t>
      </w:r>
      <w:r w:rsidR="00C713C7">
        <w:rPr>
          <w:rFonts w:cstheme="minorHAnsi"/>
          <w:sz w:val="22"/>
          <w:szCs w:val="22"/>
        </w:rPr>
        <w:t>s</w:t>
      </w:r>
      <w:r w:rsidRPr="000A4A48">
        <w:rPr>
          <w:rFonts w:cstheme="minorHAnsi"/>
          <w:sz w:val="22"/>
          <w:szCs w:val="22"/>
        </w:rPr>
        <w:t xml:space="preserve"> disadvantage across Australia; </w:t>
      </w:r>
      <w:r w:rsidR="00654592">
        <w:rPr>
          <w:rFonts w:cstheme="minorHAnsi"/>
          <w:sz w:val="22"/>
          <w:szCs w:val="22"/>
        </w:rPr>
        <w:t>the publication identifies</w:t>
      </w:r>
      <w:r w:rsidRPr="000A4A48">
        <w:rPr>
          <w:rFonts w:cstheme="minorHAnsi"/>
          <w:sz w:val="22"/>
          <w:szCs w:val="22"/>
        </w:rPr>
        <w:t xml:space="preserve"> regions </w:t>
      </w:r>
      <w:r w:rsidR="00654592">
        <w:rPr>
          <w:rFonts w:cstheme="minorHAnsi"/>
          <w:sz w:val="22"/>
          <w:szCs w:val="22"/>
        </w:rPr>
        <w:t>which experienced</w:t>
      </w:r>
      <w:r w:rsidRPr="000A4A48">
        <w:rPr>
          <w:rFonts w:cstheme="minorHAnsi"/>
          <w:sz w:val="22"/>
          <w:szCs w:val="22"/>
        </w:rPr>
        <w:t xml:space="preserve"> extreme disadvantage across most of the 22 indicators in 1999</w:t>
      </w:r>
      <w:r w:rsidR="00654592">
        <w:rPr>
          <w:rFonts w:cstheme="minorHAnsi"/>
          <w:sz w:val="22"/>
          <w:szCs w:val="22"/>
        </w:rPr>
        <w:t xml:space="preserve"> and that those regions</w:t>
      </w:r>
      <w:r w:rsidRPr="000A4A48">
        <w:rPr>
          <w:rFonts w:cstheme="minorHAnsi"/>
          <w:sz w:val="22"/>
          <w:szCs w:val="22"/>
        </w:rPr>
        <w:t xml:space="preserve"> remained extremely disadvantaged in 2015. In addition, </w:t>
      </w:r>
      <w:r w:rsidR="00654592">
        <w:rPr>
          <w:rFonts w:cstheme="minorHAnsi"/>
          <w:sz w:val="22"/>
          <w:szCs w:val="22"/>
        </w:rPr>
        <w:t>i</w:t>
      </w:r>
      <w:r w:rsidRPr="000A4A48">
        <w:rPr>
          <w:rFonts w:cstheme="minorHAnsi"/>
          <w:sz w:val="22"/>
          <w:szCs w:val="22"/>
        </w:rPr>
        <w:t xml:space="preserve">n Victoria, </w:t>
      </w:r>
      <w:r w:rsidR="00654592">
        <w:rPr>
          <w:rFonts w:cstheme="minorHAnsi"/>
          <w:sz w:val="22"/>
          <w:szCs w:val="22"/>
        </w:rPr>
        <w:t>four</w:t>
      </w:r>
      <w:r w:rsidRPr="000A4A48">
        <w:rPr>
          <w:rFonts w:cstheme="minorHAnsi"/>
          <w:sz w:val="22"/>
          <w:szCs w:val="22"/>
        </w:rPr>
        <w:t xml:space="preserve"> per</w:t>
      </w:r>
      <w:r w:rsidR="00C713C7">
        <w:rPr>
          <w:rFonts w:cstheme="minorHAnsi"/>
          <w:sz w:val="22"/>
          <w:szCs w:val="22"/>
        </w:rPr>
        <w:t xml:space="preserve"> </w:t>
      </w:r>
      <w:r w:rsidRPr="000A4A48">
        <w:rPr>
          <w:rFonts w:cstheme="minorHAnsi"/>
          <w:sz w:val="22"/>
          <w:szCs w:val="22"/>
        </w:rPr>
        <w:t>cent of postcodes accounted for 28.2</w:t>
      </w:r>
      <w:r w:rsidR="00C713C7">
        <w:rPr>
          <w:rFonts w:cstheme="minorHAnsi"/>
          <w:sz w:val="22"/>
          <w:szCs w:val="22"/>
        </w:rPr>
        <w:t xml:space="preserve"> per cent</w:t>
      </w:r>
      <w:r w:rsidRPr="000A4A48">
        <w:rPr>
          <w:rFonts w:cstheme="minorHAnsi"/>
          <w:sz w:val="22"/>
          <w:szCs w:val="22"/>
        </w:rPr>
        <w:t xml:space="preserve"> of the highest level of disadvantage across all indicators, with psychiatric admissions, criminal convictions, unemployment, family violence and low education levels consistent across these regions. </w:t>
      </w:r>
    </w:p>
    <w:p w14:paraId="7E4C5C7D" w14:textId="77777777" w:rsidR="00654592" w:rsidRDefault="00654592" w:rsidP="000A4A48">
      <w:pPr>
        <w:rPr>
          <w:rFonts w:cstheme="minorHAnsi"/>
          <w:sz w:val="22"/>
          <w:szCs w:val="22"/>
        </w:rPr>
      </w:pPr>
    </w:p>
    <w:p w14:paraId="525A0067" w14:textId="49F6D63D" w:rsidR="000A4A48" w:rsidRDefault="00C713C7" w:rsidP="000A4A48">
      <w:pPr>
        <w:rPr>
          <w:rFonts w:cstheme="minorHAnsi"/>
          <w:sz w:val="22"/>
          <w:szCs w:val="22"/>
        </w:rPr>
      </w:pPr>
      <w:r>
        <w:rPr>
          <w:rFonts w:cstheme="minorHAnsi"/>
          <w:sz w:val="22"/>
          <w:szCs w:val="22"/>
        </w:rPr>
        <w:t>T</w:t>
      </w:r>
      <w:r w:rsidR="000A4A48" w:rsidRPr="000A4A48">
        <w:rPr>
          <w:rFonts w:cstheme="minorHAnsi"/>
          <w:sz w:val="22"/>
          <w:szCs w:val="22"/>
        </w:rPr>
        <w:t xml:space="preserve">hose </w:t>
      </w:r>
      <w:r w:rsidR="00654592">
        <w:rPr>
          <w:rFonts w:cstheme="minorHAnsi"/>
          <w:sz w:val="22"/>
          <w:szCs w:val="22"/>
        </w:rPr>
        <w:t xml:space="preserve">residing </w:t>
      </w:r>
      <w:r w:rsidR="000A4A48" w:rsidRPr="000A4A48">
        <w:rPr>
          <w:rFonts w:cstheme="minorHAnsi"/>
          <w:sz w:val="22"/>
          <w:szCs w:val="22"/>
        </w:rPr>
        <w:t xml:space="preserve">in the highest </w:t>
      </w:r>
      <w:r w:rsidR="00654592">
        <w:rPr>
          <w:rFonts w:cstheme="minorHAnsi"/>
          <w:sz w:val="22"/>
          <w:szCs w:val="22"/>
        </w:rPr>
        <w:t>three</w:t>
      </w:r>
      <w:r w:rsidR="000A4A48" w:rsidRPr="000A4A48">
        <w:rPr>
          <w:rFonts w:cstheme="minorHAnsi"/>
          <w:sz w:val="22"/>
          <w:szCs w:val="22"/>
        </w:rPr>
        <w:t xml:space="preserve"> per</w:t>
      </w:r>
      <w:r>
        <w:rPr>
          <w:rFonts w:cstheme="minorHAnsi"/>
          <w:sz w:val="22"/>
          <w:szCs w:val="22"/>
        </w:rPr>
        <w:t xml:space="preserve"> </w:t>
      </w:r>
      <w:r w:rsidR="000A4A48" w:rsidRPr="000A4A48">
        <w:rPr>
          <w:rFonts w:cstheme="minorHAnsi"/>
          <w:sz w:val="22"/>
          <w:szCs w:val="22"/>
        </w:rPr>
        <w:t>cent of disadvantaged postcodes were 2.4 times more likely</w:t>
      </w:r>
      <w:r>
        <w:rPr>
          <w:rFonts w:cstheme="minorHAnsi"/>
          <w:sz w:val="22"/>
          <w:szCs w:val="22"/>
        </w:rPr>
        <w:t xml:space="preserve"> to</w:t>
      </w:r>
      <w:r w:rsidR="000A4A48" w:rsidRPr="000A4A48">
        <w:rPr>
          <w:rFonts w:cstheme="minorHAnsi"/>
          <w:sz w:val="22"/>
          <w:szCs w:val="22"/>
        </w:rPr>
        <w:t xml:space="preserve"> require disability related support and twice as likely to have criminal convictions when compared with the national average.</w:t>
      </w:r>
    </w:p>
    <w:p w14:paraId="3109F741" w14:textId="77777777" w:rsidR="00654592" w:rsidRPr="000A4A48" w:rsidRDefault="00654592" w:rsidP="000A4A48">
      <w:pPr>
        <w:rPr>
          <w:rFonts w:cstheme="minorHAnsi"/>
          <w:sz w:val="22"/>
          <w:szCs w:val="22"/>
        </w:rPr>
      </w:pPr>
    </w:p>
    <w:p w14:paraId="61CE5073" w14:textId="71243FEA" w:rsidR="000A4A48" w:rsidRDefault="000A4A48" w:rsidP="000A4A48">
      <w:pPr>
        <w:rPr>
          <w:rFonts w:cstheme="minorHAnsi"/>
          <w:sz w:val="22"/>
          <w:szCs w:val="22"/>
        </w:rPr>
      </w:pPr>
      <w:r w:rsidRPr="000A4A48">
        <w:rPr>
          <w:rFonts w:cstheme="minorHAnsi"/>
          <w:sz w:val="22"/>
          <w:szCs w:val="22"/>
        </w:rPr>
        <w:t xml:space="preserve">The co-occurring signifiers of disadvantage can be ameliorated through an increase in capacity of those services which address these concerns. Targeted service </w:t>
      </w:r>
      <w:r w:rsidR="00654592">
        <w:rPr>
          <w:rFonts w:cstheme="minorHAnsi"/>
          <w:sz w:val="22"/>
          <w:szCs w:val="22"/>
        </w:rPr>
        <w:t>builds</w:t>
      </w:r>
      <w:r w:rsidRPr="000A4A48">
        <w:rPr>
          <w:rFonts w:cstheme="minorHAnsi"/>
          <w:sz w:val="22"/>
          <w:szCs w:val="22"/>
        </w:rPr>
        <w:t xml:space="preserve">, </w:t>
      </w:r>
      <w:r w:rsidR="00F22D97">
        <w:rPr>
          <w:rFonts w:cstheme="minorHAnsi"/>
          <w:sz w:val="22"/>
          <w:szCs w:val="22"/>
        </w:rPr>
        <w:t xml:space="preserve">along with </w:t>
      </w:r>
      <w:r w:rsidRPr="000A4A48">
        <w:rPr>
          <w:rFonts w:cstheme="minorHAnsi"/>
          <w:sz w:val="22"/>
          <w:szCs w:val="22"/>
        </w:rPr>
        <w:t>greater access to high qualit</w:t>
      </w:r>
      <w:r w:rsidR="00F22D97">
        <w:rPr>
          <w:rFonts w:cstheme="minorHAnsi"/>
          <w:sz w:val="22"/>
          <w:szCs w:val="22"/>
        </w:rPr>
        <w:t>y</w:t>
      </w:r>
      <w:r w:rsidRPr="000A4A48">
        <w:rPr>
          <w:rFonts w:cstheme="minorHAnsi"/>
          <w:sz w:val="22"/>
          <w:szCs w:val="22"/>
        </w:rPr>
        <w:t xml:space="preserve"> </w:t>
      </w:r>
      <w:r w:rsidR="0086343B" w:rsidRPr="000A4A48">
        <w:rPr>
          <w:rFonts w:cstheme="minorHAnsi"/>
          <w:sz w:val="22"/>
          <w:szCs w:val="22"/>
        </w:rPr>
        <w:t>pre-school</w:t>
      </w:r>
      <w:r w:rsidRPr="000A4A48">
        <w:rPr>
          <w:rFonts w:cstheme="minorHAnsi"/>
          <w:sz w:val="22"/>
          <w:szCs w:val="22"/>
        </w:rPr>
        <w:t xml:space="preserve"> and educational facilities, employment opportunities and family services</w:t>
      </w:r>
      <w:r w:rsidR="00F22D97">
        <w:rPr>
          <w:rFonts w:cstheme="minorHAnsi"/>
          <w:sz w:val="22"/>
          <w:szCs w:val="22"/>
        </w:rPr>
        <w:t>,</w:t>
      </w:r>
      <w:r w:rsidRPr="000A4A48">
        <w:rPr>
          <w:rFonts w:cstheme="minorHAnsi"/>
          <w:sz w:val="22"/>
          <w:szCs w:val="22"/>
        </w:rPr>
        <w:t xml:space="preserve"> </w:t>
      </w:r>
      <w:r w:rsidR="0067725B">
        <w:rPr>
          <w:rFonts w:cstheme="minorHAnsi"/>
          <w:sz w:val="22"/>
          <w:szCs w:val="22"/>
        </w:rPr>
        <w:t xml:space="preserve">help </w:t>
      </w:r>
      <w:r w:rsidR="0067725B" w:rsidRPr="000A4A48">
        <w:rPr>
          <w:rFonts w:cstheme="minorHAnsi"/>
          <w:sz w:val="22"/>
          <w:szCs w:val="22"/>
        </w:rPr>
        <w:t xml:space="preserve">disadvantaged </w:t>
      </w:r>
      <w:r w:rsidR="00B83594" w:rsidRPr="000A4A48">
        <w:rPr>
          <w:rFonts w:cstheme="minorHAnsi"/>
          <w:sz w:val="22"/>
          <w:szCs w:val="22"/>
        </w:rPr>
        <w:t>communities</w:t>
      </w:r>
      <w:r w:rsidR="00B83594" w:rsidDel="0067725B">
        <w:rPr>
          <w:rFonts w:cstheme="minorHAnsi"/>
          <w:sz w:val="22"/>
          <w:szCs w:val="22"/>
        </w:rPr>
        <w:t xml:space="preserve"> </w:t>
      </w:r>
      <w:r w:rsidR="00B83594">
        <w:rPr>
          <w:rFonts w:cstheme="minorHAnsi"/>
          <w:sz w:val="22"/>
          <w:szCs w:val="22"/>
        </w:rPr>
        <w:t>build greater</w:t>
      </w:r>
      <w:r w:rsidRPr="000A4A48">
        <w:rPr>
          <w:rFonts w:cstheme="minorHAnsi"/>
          <w:sz w:val="22"/>
          <w:szCs w:val="22"/>
        </w:rPr>
        <w:t xml:space="preserve"> </w:t>
      </w:r>
      <w:r w:rsidR="0093647A" w:rsidRPr="000A4A48">
        <w:rPr>
          <w:rFonts w:cstheme="minorHAnsi"/>
          <w:sz w:val="22"/>
          <w:szCs w:val="22"/>
        </w:rPr>
        <w:t>resilience</w:t>
      </w:r>
      <w:r w:rsidR="0093647A">
        <w:rPr>
          <w:rFonts w:cstheme="minorHAnsi"/>
          <w:sz w:val="22"/>
          <w:szCs w:val="22"/>
        </w:rPr>
        <w:t>.</w:t>
      </w:r>
    </w:p>
    <w:p w14:paraId="6DCC0D46" w14:textId="77777777" w:rsidR="00654592" w:rsidRPr="000A4A48" w:rsidRDefault="00654592" w:rsidP="000A4A48">
      <w:pPr>
        <w:rPr>
          <w:rFonts w:cstheme="minorHAnsi"/>
          <w:sz w:val="22"/>
          <w:szCs w:val="22"/>
        </w:rPr>
      </w:pPr>
    </w:p>
    <w:p w14:paraId="42F12E3C" w14:textId="183D93D6" w:rsidR="000A4A48" w:rsidRDefault="000A4A48" w:rsidP="000A4A48">
      <w:pPr>
        <w:rPr>
          <w:rFonts w:cstheme="minorHAnsi"/>
          <w:sz w:val="22"/>
          <w:szCs w:val="22"/>
        </w:rPr>
      </w:pPr>
      <w:r w:rsidRPr="000A4A48">
        <w:rPr>
          <w:rFonts w:cstheme="minorHAnsi"/>
          <w:sz w:val="22"/>
          <w:szCs w:val="22"/>
        </w:rPr>
        <w:t xml:space="preserve">This approach is aligned with justice reinvestment, where service enhancements within disadvantaged areas reduce future expenditure on correctional facilities and acute services resulting in healthier, more resilient communities and economic savings for government. </w:t>
      </w:r>
    </w:p>
    <w:p w14:paraId="0D5D29F9" w14:textId="77777777" w:rsidR="00654592" w:rsidRPr="000A4A48" w:rsidRDefault="00654592" w:rsidP="000A4A48">
      <w:pPr>
        <w:rPr>
          <w:rFonts w:cstheme="minorHAnsi"/>
          <w:sz w:val="22"/>
          <w:szCs w:val="22"/>
        </w:rPr>
      </w:pPr>
    </w:p>
    <w:p w14:paraId="39878133" w14:textId="4729341F" w:rsidR="000A4A48" w:rsidRPr="000A4A48" w:rsidRDefault="000A4A48" w:rsidP="000A4A48">
      <w:pPr>
        <w:rPr>
          <w:rFonts w:cstheme="minorHAnsi"/>
          <w:b/>
          <w:bCs/>
          <w:sz w:val="22"/>
          <w:szCs w:val="22"/>
        </w:rPr>
      </w:pPr>
      <w:r w:rsidRPr="000A4A48">
        <w:rPr>
          <w:rFonts w:cstheme="minorHAnsi"/>
          <w:b/>
          <w:bCs/>
          <w:sz w:val="22"/>
          <w:szCs w:val="22"/>
        </w:rPr>
        <w:t xml:space="preserve">Recommendation </w:t>
      </w:r>
      <w:r w:rsidR="00654592">
        <w:rPr>
          <w:rFonts w:cstheme="minorHAnsi"/>
          <w:b/>
          <w:bCs/>
          <w:sz w:val="22"/>
          <w:szCs w:val="22"/>
        </w:rPr>
        <w:t>5</w:t>
      </w:r>
      <w:r w:rsidRPr="000A4A48">
        <w:rPr>
          <w:rFonts w:cstheme="minorHAnsi"/>
          <w:b/>
          <w:bCs/>
          <w:sz w:val="22"/>
          <w:szCs w:val="22"/>
        </w:rPr>
        <w:t xml:space="preserve">: </w:t>
      </w:r>
      <w:r w:rsidRPr="000A4A48">
        <w:rPr>
          <w:rFonts w:eastAsia="Calibri" w:cstheme="minorHAnsi"/>
          <w:b/>
          <w:bCs/>
          <w:sz w:val="22"/>
          <w:szCs w:val="22"/>
        </w:rPr>
        <w:t>Establish a reference committee with multidisciplinary representation to develop a model of justice reinvestment which is suitable for selected high-risk regions to address the drivers of disadvantage.</w:t>
      </w:r>
    </w:p>
    <w:p w14:paraId="1E744D5B" w14:textId="77777777" w:rsidR="000A4A48" w:rsidRPr="000A4A48" w:rsidRDefault="000A4A48" w:rsidP="000A4A48">
      <w:pPr>
        <w:rPr>
          <w:rFonts w:cstheme="minorHAnsi"/>
          <w:sz w:val="22"/>
          <w:szCs w:val="22"/>
        </w:rPr>
      </w:pPr>
    </w:p>
    <w:p w14:paraId="6EC86F00" w14:textId="6302B02D" w:rsidR="000A4A48" w:rsidRDefault="000A4A48" w:rsidP="000A4A48">
      <w:pPr>
        <w:rPr>
          <w:rFonts w:cstheme="minorHAnsi"/>
          <w:sz w:val="22"/>
          <w:szCs w:val="22"/>
        </w:rPr>
      </w:pPr>
    </w:p>
    <w:p w14:paraId="792DA8C7" w14:textId="67B0D2DA" w:rsidR="0086343B" w:rsidRDefault="0086343B" w:rsidP="000A4A48">
      <w:pPr>
        <w:rPr>
          <w:rFonts w:cstheme="minorHAnsi"/>
          <w:sz w:val="22"/>
          <w:szCs w:val="22"/>
        </w:rPr>
      </w:pPr>
    </w:p>
    <w:p w14:paraId="0595D914" w14:textId="60B58C9C" w:rsidR="0086343B" w:rsidRDefault="0086343B" w:rsidP="000A4A48">
      <w:pPr>
        <w:rPr>
          <w:rFonts w:cstheme="minorHAnsi"/>
          <w:sz w:val="22"/>
          <w:szCs w:val="22"/>
        </w:rPr>
      </w:pPr>
    </w:p>
    <w:p w14:paraId="2FE02D4A" w14:textId="463649F2" w:rsidR="0086343B" w:rsidRDefault="0086343B" w:rsidP="000A4A48">
      <w:pPr>
        <w:rPr>
          <w:rFonts w:cstheme="minorHAnsi"/>
          <w:sz w:val="22"/>
          <w:szCs w:val="22"/>
        </w:rPr>
      </w:pPr>
    </w:p>
    <w:p w14:paraId="2BBFAF7E" w14:textId="73BC41CC" w:rsidR="0086343B" w:rsidRDefault="0086343B" w:rsidP="000A4A48">
      <w:pPr>
        <w:rPr>
          <w:rFonts w:cstheme="minorHAnsi"/>
          <w:sz w:val="22"/>
          <w:szCs w:val="22"/>
        </w:rPr>
      </w:pPr>
    </w:p>
    <w:p w14:paraId="2DFFB83A" w14:textId="464B551F" w:rsidR="0086343B" w:rsidRDefault="0086343B" w:rsidP="000A4A48">
      <w:pPr>
        <w:rPr>
          <w:rFonts w:cstheme="minorHAnsi"/>
          <w:sz w:val="22"/>
          <w:szCs w:val="22"/>
        </w:rPr>
      </w:pPr>
    </w:p>
    <w:p w14:paraId="530D6E1D" w14:textId="45461EEF" w:rsidR="0086343B" w:rsidRDefault="0086343B" w:rsidP="000A4A48">
      <w:pPr>
        <w:rPr>
          <w:rFonts w:cstheme="minorHAnsi"/>
          <w:sz w:val="22"/>
          <w:szCs w:val="22"/>
        </w:rPr>
      </w:pPr>
    </w:p>
    <w:p w14:paraId="2E1D8CD8" w14:textId="3EB10207" w:rsidR="0086343B" w:rsidRDefault="0086343B" w:rsidP="000A4A48">
      <w:pPr>
        <w:rPr>
          <w:rFonts w:cstheme="minorHAnsi"/>
          <w:sz w:val="22"/>
          <w:szCs w:val="22"/>
        </w:rPr>
      </w:pPr>
    </w:p>
    <w:p w14:paraId="27A78BEE" w14:textId="61AFE494" w:rsidR="0086343B" w:rsidRDefault="0086343B" w:rsidP="000A4A48">
      <w:pPr>
        <w:rPr>
          <w:rFonts w:cstheme="minorHAnsi"/>
          <w:sz w:val="22"/>
          <w:szCs w:val="22"/>
        </w:rPr>
      </w:pPr>
    </w:p>
    <w:p w14:paraId="33E0E7AB" w14:textId="56246628" w:rsidR="0086343B" w:rsidRDefault="0086343B" w:rsidP="000A4A48">
      <w:pPr>
        <w:rPr>
          <w:rFonts w:cstheme="minorHAnsi"/>
          <w:sz w:val="22"/>
          <w:szCs w:val="22"/>
        </w:rPr>
      </w:pPr>
    </w:p>
    <w:p w14:paraId="4D7000F8" w14:textId="5CE20E45" w:rsidR="0086343B" w:rsidRDefault="0086343B" w:rsidP="000A4A48">
      <w:pPr>
        <w:rPr>
          <w:rFonts w:cstheme="minorHAnsi"/>
          <w:sz w:val="22"/>
          <w:szCs w:val="22"/>
        </w:rPr>
      </w:pPr>
    </w:p>
    <w:p w14:paraId="674A67A6" w14:textId="2C772B70" w:rsidR="0086343B" w:rsidRDefault="0086343B" w:rsidP="000A4A48">
      <w:pPr>
        <w:rPr>
          <w:rFonts w:cstheme="minorHAnsi"/>
          <w:sz w:val="22"/>
          <w:szCs w:val="22"/>
        </w:rPr>
      </w:pPr>
    </w:p>
    <w:p w14:paraId="72CA433F" w14:textId="5482C6BD" w:rsidR="0086343B" w:rsidRDefault="0086343B" w:rsidP="000A4A48">
      <w:pPr>
        <w:rPr>
          <w:rFonts w:cstheme="minorHAnsi"/>
          <w:sz w:val="22"/>
          <w:szCs w:val="22"/>
        </w:rPr>
      </w:pPr>
    </w:p>
    <w:p w14:paraId="380F2E6E" w14:textId="39750FC6" w:rsidR="0086343B" w:rsidRDefault="0086343B" w:rsidP="000A4A48">
      <w:pPr>
        <w:rPr>
          <w:rFonts w:cstheme="minorHAnsi"/>
          <w:sz w:val="22"/>
          <w:szCs w:val="22"/>
        </w:rPr>
      </w:pPr>
    </w:p>
    <w:p w14:paraId="5AEAE24A" w14:textId="7FF81608" w:rsidR="0086343B" w:rsidRDefault="0086343B" w:rsidP="000A4A48">
      <w:pPr>
        <w:rPr>
          <w:rFonts w:cstheme="minorHAnsi"/>
          <w:sz w:val="22"/>
          <w:szCs w:val="22"/>
        </w:rPr>
      </w:pPr>
    </w:p>
    <w:p w14:paraId="6B723959" w14:textId="77777777" w:rsidR="0086343B" w:rsidRPr="000A4A48" w:rsidRDefault="0086343B" w:rsidP="000A4A48">
      <w:pPr>
        <w:rPr>
          <w:rFonts w:cstheme="minorHAnsi"/>
          <w:sz w:val="22"/>
          <w:szCs w:val="22"/>
        </w:rPr>
      </w:pPr>
    </w:p>
    <w:p w14:paraId="1A575621" w14:textId="363B0E56" w:rsidR="000A4A48" w:rsidRPr="00635860" w:rsidRDefault="000A4A48" w:rsidP="000A4A48">
      <w:pPr>
        <w:rPr>
          <w:rFonts w:cstheme="minorHAnsi"/>
          <w:caps/>
          <w:sz w:val="22"/>
          <w:szCs w:val="22"/>
        </w:rPr>
      </w:pPr>
      <w:r w:rsidRPr="00635860">
        <w:rPr>
          <w:rFonts w:cstheme="minorHAnsi"/>
          <w:caps/>
          <w:sz w:val="22"/>
          <w:szCs w:val="22"/>
        </w:rPr>
        <w:t>References</w:t>
      </w:r>
    </w:p>
    <w:p w14:paraId="261253F5" w14:textId="77777777" w:rsidR="000A4A48" w:rsidRPr="000A4A48" w:rsidRDefault="000A4A48" w:rsidP="000A4A48">
      <w:pPr>
        <w:rPr>
          <w:rFonts w:cstheme="minorHAnsi"/>
          <w:b/>
          <w:sz w:val="22"/>
          <w:szCs w:val="22"/>
        </w:rPr>
      </w:pPr>
    </w:p>
    <w:p w14:paraId="4BE35BC0" w14:textId="0EE8A687" w:rsidR="00E14F1F" w:rsidRPr="00E14F1F" w:rsidRDefault="00E14F1F" w:rsidP="000A4A48">
      <w:pPr>
        <w:rPr>
          <w:rFonts w:cstheme="minorHAnsi"/>
          <w:sz w:val="22"/>
          <w:szCs w:val="22"/>
        </w:rPr>
      </w:pPr>
      <w:r>
        <w:rPr>
          <w:rFonts w:cstheme="minorHAnsi"/>
          <w:sz w:val="22"/>
          <w:szCs w:val="22"/>
        </w:rPr>
        <w:t xml:space="preserve">Dwyer, J, </w:t>
      </w:r>
      <w:proofErr w:type="spellStart"/>
      <w:r>
        <w:rPr>
          <w:rFonts w:cstheme="minorHAnsi"/>
          <w:sz w:val="22"/>
          <w:szCs w:val="22"/>
        </w:rPr>
        <w:t>Ogeil</w:t>
      </w:r>
      <w:proofErr w:type="spellEnd"/>
      <w:r>
        <w:rPr>
          <w:rFonts w:cstheme="minorHAnsi"/>
          <w:sz w:val="22"/>
          <w:szCs w:val="22"/>
        </w:rPr>
        <w:t xml:space="preserve">, R, </w:t>
      </w:r>
      <w:proofErr w:type="spellStart"/>
      <w:r>
        <w:rPr>
          <w:rFonts w:cstheme="minorHAnsi"/>
          <w:sz w:val="22"/>
          <w:szCs w:val="22"/>
        </w:rPr>
        <w:t>Bugeja</w:t>
      </w:r>
      <w:proofErr w:type="spellEnd"/>
      <w:r>
        <w:rPr>
          <w:rFonts w:cstheme="minorHAnsi"/>
          <w:sz w:val="22"/>
          <w:szCs w:val="22"/>
        </w:rPr>
        <w:t xml:space="preserve">, L, Heilbronn, C and Lloyd, B 2017, </w:t>
      </w:r>
      <w:r>
        <w:rPr>
          <w:rFonts w:cstheme="minorHAnsi"/>
          <w:i/>
          <w:iCs/>
          <w:sz w:val="22"/>
          <w:szCs w:val="22"/>
        </w:rPr>
        <w:t>Victorian overdose deaths: the role of pharmaceutical drugs and drug combinations</w:t>
      </w:r>
      <w:r>
        <w:rPr>
          <w:rFonts w:cstheme="minorHAnsi"/>
          <w:sz w:val="22"/>
          <w:szCs w:val="22"/>
        </w:rPr>
        <w:t>, Turning Point, Richmond.</w:t>
      </w:r>
    </w:p>
    <w:p w14:paraId="7C5F7F15" w14:textId="77777777" w:rsidR="00E14F1F" w:rsidRDefault="00E14F1F" w:rsidP="000A4A48">
      <w:pPr>
        <w:rPr>
          <w:rFonts w:cstheme="minorHAnsi"/>
          <w:sz w:val="22"/>
          <w:szCs w:val="22"/>
        </w:rPr>
      </w:pPr>
    </w:p>
    <w:p w14:paraId="615E262D" w14:textId="09C94808" w:rsidR="000A4A48" w:rsidRDefault="000A4A48" w:rsidP="000A4A48">
      <w:pPr>
        <w:rPr>
          <w:rStyle w:val="Hyperlink"/>
          <w:rFonts w:cstheme="minorHAnsi"/>
          <w:sz w:val="22"/>
          <w:szCs w:val="22"/>
        </w:rPr>
      </w:pPr>
      <w:r w:rsidRPr="000A4A48">
        <w:rPr>
          <w:rFonts w:cstheme="minorHAnsi"/>
          <w:sz w:val="22"/>
          <w:szCs w:val="22"/>
        </w:rPr>
        <w:t xml:space="preserve">Jesuit Social Services and Catholic Community Services 2015, </w:t>
      </w:r>
      <w:r w:rsidRPr="000A4A48">
        <w:rPr>
          <w:rFonts w:cstheme="minorHAnsi"/>
          <w:i/>
          <w:iCs/>
          <w:sz w:val="22"/>
          <w:szCs w:val="22"/>
        </w:rPr>
        <w:t>DOTE</w:t>
      </w:r>
      <w:r w:rsidRPr="000A4A48">
        <w:rPr>
          <w:rFonts w:cstheme="minorHAnsi"/>
          <w:sz w:val="22"/>
          <w:szCs w:val="22"/>
        </w:rPr>
        <w:t xml:space="preserve">, viewed 29 June 2019, </w:t>
      </w:r>
      <w:hyperlink r:id="rId15" w:history="1">
        <w:r w:rsidRPr="000A4A48">
          <w:rPr>
            <w:rStyle w:val="Hyperlink"/>
            <w:rFonts w:cstheme="minorHAnsi"/>
            <w:sz w:val="22"/>
            <w:szCs w:val="22"/>
          </w:rPr>
          <w:t>https://dote.org.au/findings/victoria/</w:t>
        </w:r>
      </w:hyperlink>
    </w:p>
    <w:p w14:paraId="09DD03AC" w14:textId="77777777" w:rsidR="0086343B" w:rsidRPr="000A4A48" w:rsidRDefault="0086343B" w:rsidP="000A4A48">
      <w:pPr>
        <w:rPr>
          <w:rFonts w:cstheme="minorHAnsi"/>
          <w:sz w:val="22"/>
          <w:szCs w:val="22"/>
        </w:rPr>
      </w:pPr>
    </w:p>
    <w:p w14:paraId="44022F15" w14:textId="77777777" w:rsidR="0086343B" w:rsidRPr="000A4A48" w:rsidRDefault="0086343B" w:rsidP="0086343B">
      <w:pPr>
        <w:rPr>
          <w:rStyle w:val="Hyperlink"/>
          <w:rFonts w:cstheme="minorHAnsi"/>
          <w:sz w:val="22"/>
          <w:szCs w:val="22"/>
        </w:rPr>
      </w:pPr>
      <w:r>
        <w:rPr>
          <w:rFonts w:cstheme="minorHAnsi"/>
          <w:sz w:val="22"/>
          <w:szCs w:val="22"/>
        </w:rPr>
        <w:t xml:space="preserve">O’Mara, B, </w:t>
      </w:r>
      <w:proofErr w:type="spellStart"/>
      <w:r>
        <w:rPr>
          <w:rFonts w:cstheme="minorHAnsi"/>
          <w:sz w:val="22"/>
          <w:szCs w:val="22"/>
        </w:rPr>
        <w:t>McCosker</w:t>
      </w:r>
      <w:proofErr w:type="spellEnd"/>
      <w:r>
        <w:rPr>
          <w:rFonts w:cstheme="minorHAnsi"/>
          <w:sz w:val="22"/>
          <w:szCs w:val="22"/>
        </w:rPr>
        <w:t xml:space="preserve">, &amp; </w:t>
      </w:r>
      <w:proofErr w:type="spellStart"/>
      <w:r>
        <w:rPr>
          <w:rFonts w:cstheme="minorHAnsi"/>
          <w:sz w:val="22"/>
          <w:szCs w:val="22"/>
        </w:rPr>
        <w:t>Sherker</w:t>
      </w:r>
      <w:proofErr w:type="spellEnd"/>
      <w:r>
        <w:rPr>
          <w:rFonts w:cstheme="minorHAnsi"/>
          <w:sz w:val="22"/>
          <w:szCs w:val="22"/>
        </w:rPr>
        <w:t xml:space="preserve">, S 2017, </w:t>
      </w:r>
      <w:r>
        <w:rPr>
          <w:rFonts w:cstheme="minorHAnsi"/>
          <w:i/>
          <w:iCs/>
          <w:sz w:val="22"/>
          <w:szCs w:val="22"/>
        </w:rPr>
        <w:t>A medically supervised injection facility matters for Victoria – and for more inclusive mental health support</w:t>
      </w:r>
      <w:r>
        <w:rPr>
          <w:rFonts w:cstheme="minorHAnsi"/>
          <w:sz w:val="22"/>
          <w:szCs w:val="22"/>
        </w:rPr>
        <w:t xml:space="preserve">, the Conversation, viewed 15 January 2020, </w:t>
      </w:r>
      <w:hyperlink r:id="rId16" w:history="1">
        <w:r w:rsidRPr="0001675B">
          <w:rPr>
            <w:rStyle w:val="Hyperlink"/>
            <w:rFonts w:cstheme="minorHAnsi"/>
            <w:sz w:val="22"/>
            <w:szCs w:val="22"/>
          </w:rPr>
          <w:t>http://theconversation.com/a-medically-supervised-injection-facility-matters-for-victoria-and-for-more-inclusive-mental-health-support-79761</w:t>
        </w:r>
      </w:hyperlink>
    </w:p>
    <w:p w14:paraId="73EB874D" w14:textId="4C2F7E8A" w:rsidR="000A4A48" w:rsidRDefault="000A4A48" w:rsidP="000A4A48">
      <w:pPr>
        <w:rPr>
          <w:rFonts w:cstheme="minorHAnsi"/>
          <w:b/>
          <w:sz w:val="22"/>
          <w:szCs w:val="22"/>
        </w:rPr>
      </w:pPr>
    </w:p>
    <w:p w14:paraId="2178B1FA" w14:textId="54B35EDF" w:rsidR="0070494F" w:rsidRDefault="0070494F" w:rsidP="0077065B">
      <w:pPr>
        <w:autoSpaceDE w:val="0"/>
        <w:autoSpaceDN w:val="0"/>
        <w:adjustRightInd w:val="0"/>
        <w:rPr>
          <w:rFonts w:eastAsia="VIC-Regular" w:cstheme="minorHAnsi"/>
          <w:sz w:val="22"/>
          <w:szCs w:val="22"/>
        </w:rPr>
      </w:pPr>
      <w:r>
        <w:rPr>
          <w:rFonts w:eastAsia="VIC-Regular" w:cstheme="minorHAnsi"/>
          <w:sz w:val="22"/>
          <w:szCs w:val="22"/>
        </w:rPr>
        <w:t>Ritter, A, Chalmers, J &amp; Gomez, M 2019, ‘</w:t>
      </w:r>
      <w:r w:rsidRPr="0070494F">
        <w:rPr>
          <w:rFonts w:eastAsia="VIC-Regular" w:cstheme="minorHAnsi"/>
          <w:sz w:val="22"/>
          <w:szCs w:val="22"/>
        </w:rPr>
        <w:t>Measuring unmet demand for alcohol and other drug treatment: the application of an Australian Population based planning model</w:t>
      </w:r>
      <w:r>
        <w:rPr>
          <w:rFonts w:eastAsia="VIC-Regular" w:cstheme="minorHAnsi"/>
          <w:sz w:val="22"/>
          <w:szCs w:val="22"/>
        </w:rPr>
        <w:t>’</w:t>
      </w:r>
      <w:r w:rsidRPr="0070494F">
        <w:rPr>
          <w:rFonts w:eastAsia="VIC-Regular" w:cstheme="minorHAnsi"/>
          <w:sz w:val="22"/>
          <w:szCs w:val="22"/>
        </w:rPr>
        <w:t>,</w:t>
      </w:r>
      <w:r>
        <w:rPr>
          <w:rFonts w:eastAsia="VIC-Regular" w:cstheme="minorHAnsi"/>
          <w:sz w:val="22"/>
          <w:szCs w:val="22"/>
        </w:rPr>
        <w:t xml:space="preserve"> </w:t>
      </w:r>
      <w:r>
        <w:rPr>
          <w:rFonts w:eastAsia="VIC-Regular" w:cstheme="minorHAnsi"/>
          <w:i/>
          <w:iCs/>
          <w:sz w:val="22"/>
          <w:szCs w:val="22"/>
        </w:rPr>
        <w:t>Journal of Studies on Alcohol and Drugs</w:t>
      </w:r>
      <w:r>
        <w:rPr>
          <w:rFonts w:eastAsia="VIC-Regular" w:cstheme="minorHAnsi"/>
          <w:sz w:val="22"/>
          <w:szCs w:val="22"/>
        </w:rPr>
        <w:t>, sup no. 18, pp. 42-50.</w:t>
      </w:r>
    </w:p>
    <w:p w14:paraId="004B6ADB" w14:textId="77777777" w:rsidR="0070494F" w:rsidRPr="0070494F" w:rsidRDefault="0070494F" w:rsidP="0077065B">
      <w:pPr>
        <w:autoSpaceDE w:val="0"/>
        <w:autoSpaceDN w:val="0"/>
        <w:adjustRightInd w:val="0"/>
        <w:rPr>
          <w:rFonts w:eastAsia="VIC-Regular" w:cstheme="minorHAnsi"/>
          <w:sz w:val="22"/>
          <w:szCs w:val="22"/>
        </w:rPr>
      </w:pPr>
    </w:p>
    <w:p w14:paraId="5DAB6C7B" w14:textId="6B1B5E70" w:rsidR="00446AFF" w:rsidRPr="000A4A48" w:rsidRDefault="0077065B" w:rsidP="0086343B">
      <w:pPr>
        <w:autoSpaceDE w:val="0"/>
        <w:autoSpaceDN w:val="0"/>
        <w:adjustRightInd w:val="0"/>
        <w:rPr>
          <w:rFonts w:cstheme="minorHAnsi"/>
          <w:b/>
          <w:bCs/>
        </w:rPr>
      </w:pPr>
      <w:r w:rsidRPr="0077065B">
        <w:rPr>
          <w:rFonts w:eastAsia="VIC-Regular" w:cstheme="minorHAnsi"/>
          <w:sz w:val="22"/>
          <w:szCs w:val="22"/>
        </w:rPr>
        <w:t>Royal Commission into Victoria’s Mental Health System</w:t>
      </w:r>
      <w:r>
        <w:rPr>
          <w:rFonts w:eastAsia="VIC-Regular" w:cstheme="minorHAnsi"/>
          <w:sz w:val="22"/>
          <w:szCs w:val="22"/>
        </w:rPr>
        <w:t xml:space="preserve"> 2019</w:t>
      </w:r>
      <w:r w:rsidRPr="0077065B">
        <w:rPr>
          <w:rFonts w:eastAsia="VIC-Regular" w:cstheme="minorHAnsi"/>
          <w:sz w:val="22"/>
          <w:szCs w:val="22"/>
        </w:rPr>
        <w:t>, Interim Report, Parl Paper No. 87</w:t>
      </w:r>
      <w:r>
        <w:rPr>
          <w:rFonts w:eastAsia="VIC-Regular" w:cstheme="minorHAnsi"/>
          <w:sz w:val="22"/>
          <w:szCs w:val="22"/>
        </w:rPr>
        <w:t>, Victoria.</w:t>
      </w:r>
    </w:p>
    <w:sectPr w:rsidR="00446AFF" w:rsidRPr="000A4A48" w:rsidSect="000532C0">
      <w:headerReference w:type="default" r:id="rId17"/>
      <w:footerReference w:type="even" r:id="rId18"/>
      <w:footerReference w:type="default" r:id="rId19"/>
      <w:pgSz w:w="11900" w:h="16840"/>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ADC6F" w14:textId="77777777" w:rsidR="00D84CC9" w:rsidRDefault="00D84CC9" w:rsidP="00083FFF">
      <w:r>
        <w:separator/>
      </w:r>
    </w:p>
  </w:endnote>
  <w:endnote w:type="continuationSeparator" w:id="0">
    <w:p w14:paraId="2A14C8E2" w14:textId="77777777" w:rsidR="00D84CC9" w:rsidRDefault="00D84CC9" w:rsidP="00083FFF">
      <w:r>
        <w:continuationSeparator/>
      </w:r>
    </w:p>
  </w:endnote>
  <w:endnote w:type="continuationNotice" w:id="1">
    <w:p w14:paraId="0371FC0E" w14:textId="77777777" w:rsidR="00D84CC9" w:rsidRDefault="00D84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Light">
    <w:altName w:val="Cambria Math"/>
    <w:charset w:val="00"/>
    <w:family w:val="swiss"/>
    <w:pitch w:val="variable"/>
    <w:sig w:usb0="00000001" w:usb1="02000001"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VIC-Regular">
    <w:altName w:val="Yu Gothic"/>
    <w:panose1 w:val="00000000000000000000"/>
    <w:charset w:val="8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33888737"/>
      <w:docPartObj>
        <w:docPartGallery w:val="Page Numbers (Bottom of Page)"/>
        <w:docPartUnique/>
      </w:docPartObj>
    </w:sdtPr>
    <w:sdtEndPr>
      <w:rPr>
        <w:rStyle w:val="PageNumber"/>
      </w:rPr>
    </w:sdtEndPr>
    <w:sdtContent>
      <w:p w14:paraId="1C36B14E" w14:textId="77777777" w:rsidR="00083FFF" w:rsidRDefault="00083FFF" w:rsidP="00674F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CE0A41" w14:textId="77777777" w:rsidR="00083FFF" w:rsidRDefault="00083FFF" w:rsidP="00083F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CB0E" w14:textId="499E6DFB" w:rsidR="00083FFF" w:rsidRDefault="00083FFF" w:rsidP="00083F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C969F" w14:textId="77777777" w:rsidR="00D84CC9" w:rsidRDefault="00D84CC9" w:rsidP="00083FFF">
      <w:r>
        <w:separator/>
      </w:r>
    </w:p>
  </w:footnote>
  <w:footnote w:type="continuationSeparator" w:id="0">
    <w:p w14:paraId="10DE82BD" w14:textId="77777777" w:rsidR="00D84CC9" w:rsidRDefault="00D84CC9" w:rsidP="00083FFF">
      <w:r>
        <w:continuationSeparator/>
      </w:r>
    </w:p>
  </w:footnote>
  <w:footnote w:type="continuationNotice" w:id="1">
    <w:p w14:paraId="14C476C8" w14:textId="77777777" w:rsidR="00D84CC9" w:rsidRDefault="00D84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EF00" w14:textId="77777777" w:rsidR="00446AD4" w:rsidRDefault="00446AD4" w:rsidP="00446AD4">
    <w:pPr>
      <w:pStyle w:val="Header"/>
      <w:ind w:hanging="1440"/>
    </w:pPr>
    <w:r>
      <w:rPr>
        <w:noProof/>
        <w:lang w:eastAsia="en-AU"/>
      </w:rPr>
      <w:drawing>
        <wp:inline distT="0" distB="0" distL="0" distR="0" wp14:anchorId="2923AA99" wp14:editId="07777777">
          <wp:extent cx="75374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ndana.jpeg"/>
                  <pic:cNvPicPr/>
                </pic:nvPicPr>
                <pic:blipFill>
                  <a:blip r:embed="rId1">
                    <a:extLst>
                      <a:ext uri="{28A0092B-C50C-407E-A947-70E740481C1C}">
                        <a14:useLocalDpi xmlns:a14="http://schemas.microsoft.com/office/drawing/2010/main" val="0"/>
                      </a:ext>
                    </a:extLst>
                  </a:blip>
                  <a:stretch>
                    <a:fillRect/>
                  </a:stretch>
                </pic:blipFill>
                <pic:spPr>
                  <a:xfrm>
                    <a:off x="0" y="0"/>
                    <a:ext cx="7569301" cy="9182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4CDE"/>
    <w:multiLevelType w:val="hybridMultilevel"/>
    <w:tmpl w:val="52CCB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A7B31"/>
    <w:multiLevelType w:val="hybridMultilevel"/>
    <w:tmpl w:val="855237A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02046C"/>
    <w:multiLevelType w:val="hybridMultilevel"/>
    <w:tmpl w:val="6D2A42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760C9E"/>
    <w:multiLevelType w:val="hybridMultilevel"/>
    <w:tmpl w:val="60C6E08A"/>
    <w:lvl w:ilvl="0" w:tplc="0C090019">
      <w:start w:val="1"/>
      <w:numFmt w:val="lowerLetter"/>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4" w15:restartNumberingAfterBreak="0">
    <w:nsid w:val="4B7175DB"/>
    <w:multiLevelType w:val="hybridMultilevel"/>
    <w:tmpl w:val="37787EDE"/>
    <w:lvl w:ilvl="0" w:tplc="0C09000F">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963E07"/>
    <w:multiLevelType w:val="hybridMultilevel"/>
    <w:tmpl w:val="CB5AE79C"/>
    <w:lvl w:ilvl="0" w:tplc="CC66F544">
      <w:start w:val="1"/>
      <w:numFmt w:val="bullet"/>
      <w:lvlText w:val="•"/>
      <w:lvlJc w:val="left"/>
      <w:pPr>
        <w:tabs>
          <w:tab w:val="num" w:pos="360"/>
        </w:tabs>
        <w:ind w:left="360" w:hanging="360"/>
      </w:pPr>
      <w:rPr>
        <w:rFonts w:ascii="Arial" w:hAnsi="Arial" w:hint="default"/>
      </w:rPr>
    </w:lvl>
    <w:lvl w:ilvl="1" w:tplc="EE523F4C" w:tentative="1">
      <w:start w:val="1"/>
      <w:numFmt w:val="bullet"/>
      <w:lvlText w:val="•"/>
      <w:lvlJc w:val="left"/>
      <w:pPr>
        <w:tabs>
          <w:tab w:val="num" w:pos="1080"/>
        </w:tabs>
        <w:ind w:left="1080" w:hanging="360"/>
      </w:pPr>
      <w:rPr>
        <w:rFonts w:ascii="Arial" w:hAnsi="Arial" w:hint="default"/>
      </w:rPr>
    </w:lvl>
    <w:lvl w:ilvl="2" w:tplc="9B60327E" w:tentative="1">
      <w:start w:val="1"/>
      <w:numFmt w:val="bullet"/>
      <w:lvlText w:val="•"/>
      <w:lvlJc w:val="left"/>
      <w:pPr>
        <w:tabs>
          <w:tab w:val="num" w:pos="1800"/>
        </w:tabs>
        <w:ind w:left="1800" w:hanging="360"/>
      </w:pPr>
      <w:rPr>
        <w:rFonts w:ascii="Arial" w:hAnsi="Arial" w:hint="default"/>
      </w:rPr>
    </w:lvl>
    <w:lvl w:ilvl="3" w:tplc="60F059AC" w:tentative="1">
      <w:start w:val="1"/>
      <w:numFmt w:val="bullet"/>
      <w:lvlText w:val="•"/>
      <w:lvlJc w:val="left"/>
      <w:pPr>
        <w:tabs>
          <w:tab w:val="num" w:pos="2520"/>
        </w:tabs>
        <w:ind w:left="2520" w:hanging="360"/>
      </w:pPr>
      <w:rPr>
        <w:rFonts w:ascii="Arial" w:hAnsi="Arial" w:hint="default"/>
      </w:rPr>
    </w:lvl>
    <w:lvl w:ilvl="4" w:tplc="A4FCDE9E" w:tentative="1">
      <w:start w:val="1"/>
      <w:numFmt w:val="bullet"/>
      <w:lvlText w:val="•"/>
      <w:lvlJc w:val="left"/>
      <w:pPr>
        <w:tabs>
          <w:tab w:val="num" w:pos="3240"/>
        </w:tabs>
        <w:ind w:left="3240" w:hanging="360"/>
      </w:pPr>
      <w:rPr>
        <w:rFonts w:ascii="Arial" w:hAnsi="Arial" w:hint="default"/>
      </w:rPr>
    </w:lvl>
    <w:lvl w:ilvl="5" w:tplc="EC90E9AC" w:tentative="1">
      <w:start w:val="1"/>
      <w:numFmt w:val="bullet"/>
      <w:lvlText w:val="•"/>
      <w:lvlJc w:val="left"/>
      <w:pPr>
        <w:tabs>
          <w:tab w:val="num" w:pos="3960"/>
        </w:tabs>
        <w:ind w:left="3960" w:hanging="360"/>
      </w:pPr>
      <w:rPr>
        <w:rFonts w:ascii="Arial" w:hAnsi="Arial" w:hint="default"/>
      </w:rPr>
    </w:lvl>
    <w:lvl w:ilvl="6" w:tplc="EF08C9F6" w:tentative="1">
      <w:start w:val="1"/>
      <w:numFmt w:val="bullet"/>
      <w:lvlText w:val="•"/>
      <w:lvlJc w:val="left"/>
      <w:pPr>
        <w:tabs>
          <w:tab w:val="num" w:pos="4680"/>
        </w:tabs>
        <w:ind w:left="4680" w:hanging="360"/>
      </w:pPr>
      <w:rPr>
        <w:rFonts w:ascii="Arial" w:hAnsi="Arial" w:hint="default"/>
      </w:rPr>
    </w:lvl>
    <w:lvl w:ilvl="7" w:tplc="5BD8CAE4" w:tentative="1">
      <w:start w:val="1"/>
      <w:numFmt w:val="bullet"/>
      <w:lvlText w:val="•"/>
      <w:lvlJc w:val="left"/>
      <w:pPr>
        <w:tabs>
          <w:tab w:val="num" w:pos="5400"/>
        </w:tabs>
        <w:ind w:left="5400" w:hanging="360"/>
      </w:pPr>
      <w:rPr>
        <w:rFonts w:ascii="Arial" w:hAnsi="Arial" w:hint="default"/>
      </w:rPr>
    </w:lvl>
    <w:lvl w:ilvl="8" w:tplc="0F3CE71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E631818"/>
    <w:multiLevelType w:val="hybridMultilevel"/>
    <w:tmpl w:val="086C7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E70C82"/>
    <w:multiLevelType w:val="hybridMultilevel"/>
    <w:tmpl w:val="7E2CC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47315E"/>
    <w:multiLevelType w:val="hybridMultilevel"/>
    <w:tmpl w:val="446424D2"/>
    <w:lvl w:ilvl="0" w:tplc="F5348BC8">
      <w:start w:val="1"/>
      <w:numFmt w:val="bullet"/>
      <w:lvlText w:val="•"/>
      <w:lvlJc w:val="left"/>
      <w:pPr>
        <w:tabs>
          <w:tab w:val="num" w:pos="360"/>
        </w:tabs>
        <w:ind w:left="360" w:hanging="360"/>
      </w:pPr>
      <w:rPr>
        <w:rFonts w:ascii="Arial" w:hAnsi="Arial" w:hint="default"/>
      </w:rPr>
    </w:lvl>
    <w:lvl w:ilvl="1" w:tplc="F20098CA" w:tentative="1">
      <w:start w:val="1"/>
      <w:numFmt w:val="bullet"/>
      <w:lvlText w:val="•"/>
      <w:lvlJc w:val="left"/>
      <w:pPr>
        <w:tabs>
          <w:tab w:val="num" w:pos="1080"/>
        </w:tabs>
        <w:ind w:left="1080" w:hanging="360"/>
      </w:pPr>
      <w:rPr>
        <w:rFonts w:ascii="Arial" w:hAnsi="Arial" w:hint="default"/>
      </w:rPr>
    </w:lvl>
    <w:lvl w:ilvl="2" w:tplc="196CB560" w:tentative="1">
      <w:start w:val="1"/>
      <w:numFmt w:val="bullet"/>
      <w:lvlText w:val="•"/>
      <w:lvlJc w:val="left"/>
      <w:pPr>
        <w:tabs>
          <w:tab w:val="num" w:pos="1800"/>
        </w:tabs>
        <w:ind w:left="1800" w:hanging="360"/>
      </w:pPr>
      <w:rPr>
        <w:rFonts w:ascii="Arial" w:hAnsi="Arial" w:hint="default"/>
      </w:rPr>
    </w:lvl>
    <w:lvl w:ilvl="3" w:tplc="A686CC1E" w:tentative="1">
      <w:start w:val="1"/>
      <w:numFmt w:val="bullet"/>
      <w:lvlText w:val="•"/>
      <w:lvlJc w:val="left"/>
      <w:pPr>
        <w:tabs>
          <w:tab w:val="num" w:pos="2520"/>
        </w:tabs>
        <w:ind w:left="2520" w:hanging="360"/>
      </w:pPr>
      <w:rPr>
        <w:rFonts w:ascii="Arial" w:hAnsi="Arial" w:hint="default"/>
      </w:rPr>
    </w:lvl>
    <w:lvl w:ilvl="4" w:tplc="3CDAD736" w:tentative="1">
      <w:start w:val="1"/>
      <w:numFmt w:val="bullet"/>
      <w:lvlText w:val="•"/>
      <w:lvlJc w:val="left"/>
      <w:pPr>
        <w:tabs>
          <w:tab w:val="num" w:pos="3240"/>
        </w:tabs>
        <w:ind w:left="3240" w:hanging="360"/>
      </w:pPr>
      <w:rPr>
        <w:rFonts w:ascii="Arial" w:hAnsi="Arial" w:hint="default"/>
      </w:rPr>
    </w:lvl>
    <w:lvl w:ilvl="5" w:tplc="CCCC3296" w:tentative="1">
      <w:start w:val="1"/>
      <w:numFmt w:val="bullet"/>
      <w:lvlText w:val="•"/>
      <w:lvlJc w:val="left"/>
      <w:pPr>
        <w:tabs>
          <w:tab w:val="num" w:pos="3960"/>
        </w:tabs>
        <w:ind w:left="3960" w:hanging="360"/>
      </w:pPr>
      <w:rPr>
        <w:rFonts w:ascii="Arial" w:hAnsi="Arial" w:hint="default"/>
      </w:rPr>
    </w:lvl>
    <w:lvl w:ilvl="6" w:tplc="08A04980" w:tentative="1">
      <w:start w:val="1"/>
      <w:numFmt w:val="bullet"/>
      <w:lvlText w:val="•"/>
      <w:lvlJc w:val="left"/>
      <w:pPr>
        <w:tabs>
          <w:tab w:val="num" w:pos="4680"/>
        </w:tabs>
        <w:ind w:left="4680" w:hanging="360"/>
      </w:pPr>
      <w:rPr>
        <w:rFonts w:ascii="Arial" w:hAnsi="Arial" w:hint="default"/>
      </w:rPr>
    </w:lvl>
    <w:lvl w:ilvl="7" w:tplc="2820A4DE" w:tentative="1">
      <w:start w:val="1"/>
      <w:numFmt w:val="bullet"/>
      <w:lvlText w:val="•"/>
      <w:lvlJc w:val="left"/>
      <w:pPr>
        <w:tabs>
          <w:tab w:val="num" w:pos="5400"/>
        </w:tabs>
        <w:ind w:left="5400" w:hanging="360"/>
      </w:pPr>
      <w:rPr>
        <w:rFonts w:ascii="Arial" w:hAnsi="Arial" w:hint="default"/>
      </w:rPr>
    </w:lvl>
    <w:lvl w:ilvl="8" w:tplc="80CEC9D2"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7E0D062F"/>
    <w:multiLevelType w:val="hybridMultilevel"/>
    <w:tmpl w:val="C05C43F8"/>
    <w:lvl w:ilvl="0" w:tplc="EDCC6476">
      <w:start w:val="1"/>
      <w:numFmt w:val="decimal"/>
      <w:lvlText w:val="%1."/>
      <w:lvlJc w:val="left"/>
      <w:pPr>
        <w:tabs>
          <w:tab w:val="num" w:pos="360"/>
        </w:tabs>
        <w:ind w:left="360" w:hanging="360"/>
      </w:pPr>
    </w:lvl>
    <w:lvl w:ilvl="1" w:tplc="803C0D26" w:tentative="1">
      <w:start w:val="1"/>
      <w:numFmt w:val="decimal"/>
      <w:lvlText w:val="%2."/>
      <w:lvlJc w:val="left"/>
      <w:pPr>
        <w:tabs>
          <w:tab w:val="num" w:pos="1080"/>
        </w:tabs>
        <w:ind w:left="1080" w:hanging="360"/>
      </w:pPr>
    </w:lvl>
    <w:lvl w:ilvl="2" w:tplc="A6B87D7A" w:tentative="1">
      <w:start w:val="1"/>
      <w:numFmt w:val="decimal"/>
      <w:lvlText w:val="%3."/>
      <w:lvlJc w:val="left"/>
      <w:pPr>
        <w:tabs>
          <w:tab w:val="num" w:pos="1800"/>
        </w:tabs>
        <w:ind w:left="1800" w:hanging="360"/>
      </w:pPr>
    </w:lvl>
    <w:lvl w:ilvl="3" w:tplc="2DAEC46E" w:tentative="1">
      <w:start w:val="1"/>
      <w:numFmt w:val="decimal"/>
      <w:lvlText w:val="%4."/>
      <w:lvlJc w:val="left"/>
      <w:pPr>
        <w:tabs>
          <w:tab w:val="num" w:pos="2520"/>
        </w:tabs>
        <w:ind w:left="2520" w:hanging="360"/>
      </w:pPr>
    </w:lvl>
    <w:lvl w:ilvl="4" w:tplc="56CAF55A" w:tentative="1">
      <w:start w:val="1"/>
      <w:numFmt w:val="decimal"/>
      <w:lvlText w:val="%5."/>
      <w:lvlJc w:val="left"/>
      <w:pPr>
        <w:tabs>
          <w:tab w:val="num" w:pos="3240"/>
        </w:tabs>
        <w:ind w:left="3240" w:hanging="360"/>
      </w:pPr>
    </w:lvl>
    <w:lvl w:ilvl="5" w:tplc="0A769916" w:tentative="1">
      <w:start w:val="1"/>
      <w:numFmt w:val="decimal"/>
      <w:lvlText w:val="%6."/>
      <w:lvlJc w:val="left"/>
      <w:pPr>
        <w:tabs>
          <w:tab w:val="num" w:pos="3960"/>
        </w:tabs>
        <w:ind w:left="3960" w:hanging="360"/>
      </w:pPr>
    </w:lvl>
    <w:lvl w:ilvl="6" w:tplc="4FD2C18E" w:tentative="1">
      <w:start w:val="1"/>
      <w:numFmt w:val="decimal"/>
      <w:lvlText w:val="%7."/>
      <w:lvlJc w:val="left"/>
      <w:pPr>
        <w:tabs>
          <w:tab w:val="num" w:pos="4680"/>
        </w:tabs>
        <w:ind w:left="4680" w:hanging="360"/>
      </w:pPr>
    </w:lvl>
    <w:lvl w:ilvl="7" w:tplc="F0CC76BE" w:tentative="1">
      <w:start w:val="1"/>
      <w:numFmt w:val="decimal"/>
      <w:lvlText w:val="%8."/>
      <w:lvlJc w:val="left"/>
      <w:pPr>
        <w:tabs>
          <w:tab w:val="num" w:pos="5400"/>
        </w:tabs>
        <w:ind w:left="5400" w:hanging="360"/>
      </w:pPr>
    </w:lvl>
    <w:lvl w:ilvl="8" w:tplc="C4708AE8" w:tentative="1">
      <w:start w:val="1"/>
      <w:numFmt w:val="decimal"/>
      <w:lvlText w:val="%9."/>
      <w:lvlJc w:val="left"/>
      <w:pPr>
        <w:tabs>
          <w:tab w:val="num" w:pos="6120"/>
        </w:tabs>
        <w:ind w:left="6120" w:hanging="360"/>
      </w:pPr>
    </w:lvl>
  </w:abstractNum>
  <w:abstractNum w:abstractNumId="10" w15:restartNumberingAfterBreak="0">
    <w:nsid w:val="7E3C2527"/>
    <w:multiLevelType w:val="hybridMultilevel"/>
    <w:tmpl w:val="2138C97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9"/>
  </w:num>
  <w:num w:numId="2">
    <w:abstractNumId w:val="8"/>
  </w:num>
  <w:num w:numId="3">
    <w:abstractNumId w:val="5"/>
  </w:num>
  <w:num w:numId="4">
    <w:abstractNumId w:val="2"/>
  </w:num>
  <w:num w:numId="5">
    <w:abstractNumId w:val="0"/>
  </w:num>
  <w:num w:numId="6">
    <w:abstractNumId w:val="3"/>
  </w:num>
  <w:num w:numId="7">
    <w:abstractNumId w:val="7"/>
  </w:num>
  <w:num w:numId="8">
    <w:abstractNumId w:val="6"/>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42"/>
    <w:rsid w:val="0001706E"/>
    <w:rsid w:val="00024C32"/>
    <w:rsid w:val="00042538"/>
    <w:rsid w:val="000532C0"/>
    <w:rsid w:val="0006678D"/>
    <w:rsid w:val="00083FFF"/>
    <w:rsid w:val="000A2FC8"/>
    <w:rsid w:val="000A4A48"/>
    <w:rsid w:val="00116F2C"/>
    <w:rsid w:val="00144EAA"/>
    <w:rsid w:val="00152F4F"/>
    <w:rsid w:val="0017454C"/>
    <w:rsid w:val="001B446C"/>
    <w:rsid w:val="001C0A8B"/>
    <w:rsid w:val="00201584"/>
    <w:rsid w:val="002057E4"/>
    <w:rsid w:val="00266ED4"/>
    <w:rsid w:val="00270A67"/>
    <w:rsid w:val="002B3803"/>
    <w:rsid w:val="002D0F07"/>
    <w:rsid w:val="002E48FE"/>
    <w:rsid w:val="00301903"/>
    <w:rsid w:val="003A3FF9"/>
    <w:rsid w:val="003C0851"/>
    <w:rsid w:val="003C726B"/>
    <w:rsid w:val="003E7753"/>
    <w:rsid w:val="00405BFB"/>
    <w:rsid w:val="00446AD4"/>
    <w:rsid w:val="00446AFF"/>
    <w:rsid w:val="00491365"/>
    <w:rsid w:val="004B3A83"/>
    <w:rsid w:val="004C009B"/>
    <w:rsid w:val="004D08B2"/>
    <w:rsid w:val="00564C4E"/>
    <w:rsid w:val="00570079"/>
    <w:rsid w:val="00577F5E"/>
    <w:rsid w:val="00622442"/>
    <w:rsid w:val="00635860"/>
    <w:rsid w:val="00641006"/>
    <w:rsid w:val="00654592"/>
    <w:rsid w:val="0067725B"/>
    <w:rsid w:val="006D2CA2"/>
    <w:rsid w:val="006D644F"/>
    <w:rsid w:val="006F5867"/>
    <w:rsid w:val="0070494F"/>
    <w:rsid w:val="0076311C"/>
    <w:rsid w:val="0077065B"/>
    <w:rsid w:val="007977FD"/>
    <w:rsid w:val="007A2574"/>
    <w:rsid w:val="007C526F"/>
    <w:rsid w:val="00810E13"/>
    <w:rsid w:val="00826B6F"/>
    <w:rsid w:val="008504C6"/>
    <w:rsid w:val="0086343B"/>
    <w:rsid w:val="008B1106"/>
    <w:rsid w:val="008F0D49"/>
    <w:rsid w:val="00924E1C"/>
    <w:rsid w:val="00932577"/>
    <w:rsid w:val="0093647A"/>
    <w:rsid w:val="009C077C"/>
    <w:rsid w:val="009E6D08"/>
    <w:rsid w:val="009E7D30"/>
    <w:rsid w:val="009F6783"/>
    <w:rsid w:val="00A16907"/>
    <w:rsid w:val="00AA7411"/>
    <w:rsid w:val="00B20D83"/>
    <w:rsid w:val="00B5271A"/>
    <w:rsid w:val="00B75B83"/>
    <w:rsid w:val="00B83594"/>
    <w:rsid w:val="00BA4035"/>
    <w:rsid w:val="00C14A79"/>
    <w:rsid w:val="00C51EDD"/>
    <w:rsid w:val="00C60377"/>
    <w:rsid w:val="00C713C7"/>
    <w:rsid w:val="00CA1DD8"/>
    <w:rsid w:val="00CD3652"/>
    <w:rsid w:val="00D13E76"/>
    <w:rsid w:val="00D30BFB"/>
    <w:rsid w:val="00D434DD"/>
    <w:rsid w:val="00D45285"/>
    <w:rsid w:val="00D45796"/>
    <w:rsid w:val="00D76B4D"/>
    <w:rsid w:val="00D84CC9"/>
    <w:rsid w:val="00DC3B9D"/>
    <w:rsid w:val="00DD2732"/>
    <w:rsid w:val="00DE37B7"/>
    <w:rsid w:val="00DE3FE2"/>
    <w:rsid w:val="00DE7376"/>
    <w:rsid w:val="00E14F1F"/>
    <w:rsid w:val="00E2715C"/>
    <w:rsid w:val="00E4053F"/>
    <w:rsid w:val="00EA09AB"/>
    <w:rsid w:val="00F03B62"/>
    <w:rsid w:val="00F22D97"/>
    <w:rsid w:val="00F24185"/>
    <w:rsid w:val="00F37208"/>
    <w:rsid w:val="00F40579"/>
    <w:rsid w:val="00FD257D"/>
    <w:rsid w:val="233B7B16"/>
    <w:rsid w:val="4A6B6C4B"/>
    <w:rsid w:val="5323F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79B7C8"/>
  <w15:chartTrackingRefBased/>
  <w15:docId w15:val="{177E211F-6C60-4C46-9BDD-2E52C593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FFF"/>
    <w:pPr>
      <w:ind w:left="720"/>
      <w:contextualSpacing/>
    </w:pPr>
  </w:style>
  <w:style w:type="paragraph" w:styleId="Footer">
    <w:name w:val="footer"/>
    <w:basedOn w:val="Normal"/>
    <w:link w:val="FooterChar"/>
    <w:uiPriority w:val="99"/>
    <w:unhideWhenUsed/>
    <w:rsid w:val="00083FFF"/>
    <w:pPr>
      <w:tabs>
        <w:tab w:val="center" w:pos="4680"/>
        <w:tab w:val="right" w:pos="9360"/>
      </w:tabs>
    </w:pPr>
  </w:style>
  <w:style w:type="character" w:customStyle="1" w:styleId="FooterChar">
    <w:name w:val="Footer Char"/>
    <w:basedOn w:val="DefaultParagraphFont"/>
    <w:link w:val="Footer"/>
    <w:uiPriority w:val="99"/>
    <w:rsid w:val="00083FFF"/>
  </w:style>
  <w:style w:type="character" w:styleId="PageNumber">
    <w:name w:val="page number"/>
    <w:basedOn w:val="DefaultParagraphFont"/>
    <w:uiPriority w:val="99"/>
    <w:semiHidden/>
    <w:unhideWhenUsed/>
    <w:rsid w:val="00083FFF"/>
  </w:style>
  <w:style w:type="paragraph" w:styleId="Header">
    <w:name w:val="header"/>
    <w:basedOn w:val="Normal"/>
    <w:link w:val="HeaderChar"/>
    <w:uiPriority w:val="99"/>
    <w:unhideWhenUsed/>
    <w:rsid w:val="000532C0"/>
    <w:pPr>
      <w:tabs>
        <w:tab w:val="center" w:pos="4680"/>
        <w:tab w:val="right" w:pos="9360"/>
      </w:tabs>
    </w:pPr>
  </w:style>
  <w:style w:type="character" w:customStyle="1" w:styleId="HeaderChar">
    <w:name w:val="Header Char"/>
    <w:basedOn w:val="DefaultParagraphFont"/>
    <w:link w:val="Header"/>
    <w:uiPriority w:val="99"/>
    <w:rsid w:val="000532C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19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1903"/>
    <w:rPr>
      <w:rFonts w:ascii="Times New Roman" w:hAnsi="Times New Roman" w:cs="Times New Roman"/>
      <w:sz w:val="18"/>
      <w:szCs w:val="18"/>
    </w:rPr>
  </w:style>
  <w:style w:type="character" w:styleId="Hyperlink">
    <w:name w:val="Hyperlink"/>
    <w:basedOn w:val="DefaultParagraphFont"/>
    <w:uiPriority w:val="99"/>
    <w:unhideWhenUsed/>
    <w:rsid w:val="00810E13"/>
    <w:rPr>
      <w:color w:val="0000FF"/>
      <w:u w:val="single"/>
    </w:rPr>
  </w:style>
  <w:style w:type="paragraph" w:customStyle="1" w:styleId="EndNoteBibliography">
    <w:name w:val="EndNote Bibliography"/>
    <w:basedOn w:val="Normal"/>
    <w:link w:val="EndNoteBibliographyChar"/>
    <w:rsid w:val="00810E13"/>
    <w:pPr>
      <w:spacing w:after="160"/>
    </w:pPr>
    <w:rPr>
      <w:rFonts w:ascii="Calibri" w:hAnsi="Calibri" w:cs="Calibri"/>
      <w:noProof/>
      <w:sz w:val="22"/>
      <w:szCs w:val="22"/>
      <w:lang w:val="en-US"/>
    </w:rPr>
  </w:style>
  <w:style w:type="character" w:customStyle="1" w:styleId="EndNoteBibliographyChar">
    <w:name w:val="EndNote Bibliography Char"/>
    <w:basedOn w:val="DefaultParagraphFont"/>
    <w:link w:val="EndNoteBibliography"/>
    <w:rsid w:val="00810E13"/>
    <w:rPr>
      <w:rFonts w:ascii="Calibri" w:hAnsi="Calibri" w:cs="Calibri"/>
      <w:noProof/>
      <w:sz w:val="22"/>
      <w:szCs w:val="22"/>
      <w:lang w:val="en-US"/>
    </w:rPr>
  </w:style>
  <w:style w:type="paragraph" w:styleId="Date">
    <w:name w:val="Date"/>
    <w:basedOn w:val="Normal"/>
    <w:next w:val="Normal"/>
    <w:link w:val="DateChar"/>
    <w:uiPriority w:val="2"/>
    <w:rsid w:val="000A4A48"/>
    <w:pPr>
      <w:spacing w:after="480" w:line="228" w:lineRule="auto"/>
    </w:pPr>
    <w:rPr>
      <w:rFonts w:eastAsia="Times New Roman" w:cs="Times New Roman"/>
      <w:sz w:val="20"/>
      <w:szCs w:val="20"/>
      <w:lang w:eastAsia="en-AU"/>
    </w:rPr>
  </w:style>
  <w:style w:type="character" w:customStyle="1" w:styleId="DateChar">
    <w:name w:val="Date Char"/>
    <w:basedOn w:val="DefaultParagraphFont"/>
    <w:link w:val="Date"/>
    <w:uiPriority w:val="2"/>
    <w:rsid w:val="000A4A48"/>
    <w:rPr>
      <w:rFonts w:eastAsia="Times New Roman" w:cs="Times New Roman"/>
      <w:sz w:val="20"/>
      <w:szCs w:val="20"/>
      <w:lang w:eastAsia="en-AU"/>
    </w:rPr>
  </w:style>
  <w:style w:type="character" w:customStyle="1" w:styleId="Bold">
    <w:name w:val="Bold"/>
    <w:qFormat/>
    <w:rsid w:val="000A4A48"/>
    <w:rPr>
      <w:rFonts w:asciiTheme="majorHAnsi" w:hAnsiTheme="majorHAnsi"/>
    </w:rPr>
  </w:style>
  <w:style w:type="paragraph" w:styleId="CommentSubject">
    <w:name w:val="annotation subject"/>
    <w:basedOn w:val="CommentText"/>
    <w:next w:val="CommentText"/>
    <w:link w:val="CommentSubjectChar"/>
    <w:uiPriority w:val="99"/>
    <w:semiHidden/>
    <w:unhideWhenUsed/>
    <w:rsid w:val="000A4A48"/>
    <w:rPr>
      <w:b/>
      <w:bCs/>
    </w:rPr>
  </w:style>
  <w:style w:type="character" w:customStyle="1" w:styleId="CommentSubjectChar">
    <w:name w:val="Comment Subject Char"/>
    <w:basedOn w:val="CommentTextChar"/>
    <w:link w:val="CommentSubject"/>
    <w:uiPriority w:val="99"/>
    <w:semiHidden/>
    <w:rsid w:val="000A4A48"/>
    <w:rPr>
      <w:b/>
      <w:bCs/>
      <w:sz w:val="20"/>
      <w:szCs w:val="20"/>
    </w:rPr>
  </w:style>
  <w:style w:type="character" w:styleId="FollowedHyperlink">
    <w:name w:val="FollowedHyperlink"/>
    <w:basedOn w:val="DefaultParagraphFont"/>
    <w:uiPriority w:val="99"/>
    <w:semiHidden/>
    <w:unhideWhenUsed/>
    <w:rsid w:val="00641006"/>
    <w:rPr>
      <w:color w:val="954F72" w:themeColor="followedHyperlink"/>
      <w:u w:val="single"/>
    </w:rPr>
  </w:style>
  <w:style w:type="character" w:customStyle="1" w:styleId="UnresolvedMention">
    <w:name w:val="Unresolved Mention"/>
    <w:basedOn w:val="DefaultParagraphFont"/>
    <w:uiPriority w:val="99"/>
    <w:semiHidden/>
    <w:unhideWhenUsed/>
    <w:rsid w:val="00863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384805">
      <w:bodyDiv w:val="1"/>
      <w:marLeft w:val="0"/>
      <w:marRight w:val="0"/>
      <w:marTop w:val="0"/>
      <w:marBottom w:val="0"/>
      <w:divBdr>
        <w:top w:val="none" w:sz="0" w:space="0" w:color="auto"/>
        <w:left w:val="none" w:sz="0" w:space="0" w:color="auto"/>
        <w:bottom w:val="none" w:sz="0" w:space="0" w:color="auto"/>
        <w:right w:val="none" w:sz="0" w:space="0" w:color="auto"/>
      </w:divBdr>
      <w:divsChild>
        <w:div w:id="1041176776">
          <w:marLeft w:val="360"/>
          <w:marRight w:val="0"/>
          <w:marTop w:val="0"/>
          <w:marBottom w:val="0"/>
          <w:divBdr>
            <w:top w:val="none" w:sz="0" w:space="0" w:color="auto"/>
            <w:left w:val="none" w:sz="0" w:space="0" w:color="auto"/>
            <w:bottom w:val="none" w:sz="0" w:space="0" w:color="auto"/>
            <w:right w:val="none" w:sz="0" w:space="0" w:color="auto"/>
          </w:divBdr>
        </w:div>
        <w:div w:id="600380842">
          <w:marLeft w:val="360"/>
          <w:marRight w:val="0"/>
          <w:marTop w:val="0"/>
          <w:marBottom w:val="0"/>
          <w:divBdr>
            <w:top w:val="none" w:sz="0" w:space="0" w:color="auto"/>
            <w:left w:val="none" w:sz="0" w:space="0" w:color="auto"/>
            <w:bottom w:val="none" w:sz="0" w:space="0" w:color="auto"/>
            <w:right w:val="none" w:sz="0" w:space="0" w:color="auto"/>
          </w:divBdr>
        </w:div>
        <w:div w:id="399867208">
          <w:marLeft w:val="360"/>
          <w:marRight w:val="0"/>
          <w:marTop w:val="0"/>
          <w:marBottom w:val="0"/>
          <w:divBdr>
            <w:top w:val="none" w:sz="0" w:space="0" w:color="auto"/>
            <w:left w:val="none" w:sz="0" w:space="0" w:color="auto"/>
            <w:bottom w:val="none" w:sz="0" w:space="0" w:color="auto"/>
            <w:right w:val="none" w:sz="0" w:space="0" w:color="auto"/>
          </w:divBdr>
        </w:div>
        <w:div w:id="830409445">
          <w:marLeft w:val="360"/>
          <w:marRight w:val="0"/>
          <w:marTop w:val="0"/>
          <w:marBottom w:val="0"/>
          <w:divBdr>
            <w:top w:val="none" w:sz="0" w:space="0" w:color="auto"/>
            <w:left w:val="none" w:sz="0" w:space="0" w:color="auto"/>
            <w:bottom w:val="none" w:sz="0" w:space="0" w:color="auto"/>
            <w:right w:val="none" w:sz="0" w:space="0" w:color="auto"/>
          </w:divBdr>
        </w:div>
        <w:div w:id="2107193308">
          <w:marLeft w:val="360"/>
          <w:marRight w:val="0"/>
          <w:marTop w:val="0"/>
          <w:marBottom w:val="0"/>
          <w:divBdr>
            <w:top w:val="none" w:sz="0" w:space="0" w:color="auto"/>
            <w:left w:val="none" w:sz="0" w:space="0" w:color="auto"/>
            <w:bottom w:val="none" w:sz="0" w:space="0" w:color="auto"/>
            <w:right w:val="none" w:sz="0" w:space="0" w:color="auto"/>
          </w:divBdr>
        </w:div>
        <w:div w:id="1912345468">
          <w:marLeft w:val="274"/>
          <w:marRight w:val="0"/>
          <w:marTop w:val="0"/>
          <w:marBottom w:val="0"/>
          <w:divBdr>
            <w:top w:val="none" w:sz="0" w:space="0" w:color="auto"/>
            <w:left w:val="none" w:sz="0" w:space="0" w:color="auto"/>
            <w:bottom w:val="none" w:sz="0" w:space="0" w:color="auto"/>
            <w:right w:val="none" w:sz="0" w:space="0" w:color="auto"/>
          </w:divBdr>
        </w:div>
        <w:div w:id="1795173305">
          <w:marLeft w:val="274"/>
          <w:marRight w:val="0"/>
          <w:marTop w:val="0"/>
          <w:marBottom w:val="0"/>
          <w:divBdr>
            <w:top w:val="none" w:sz="0" w:space="0" w:color="auto"/>
            <w:left w:val="none" w:sz="0" w:space="0" w:color="auto"/>
            <w:bottom w:val="none" w:sz="0" w:space="0" w:color="auto"/>
            <w:right w:val="none" w:sz="0" w:space="0" w:color="auto"/>
          </w:divBdr>
        </w:div>
        <w:div w:id="1312322231">
          <w:marLeft w:val="274"/>
          <w:marRight w:val="0"/>
          <w:marTop w:val="0"/>
          <w:marBottom w:val="0"/>
          <w:divBdr>
            <w:top w:val="none" w:sz="0" w:space="0" w:color="auto"/>
            <w:left w:val="none" w:sz="0" w:space="0" w:color="auto"/>
            <w:bottom w:val="none" w:sz="0" w:space="0" w:color="auto"/>
            <w:right w:val="none" w:sz="0" w:space="0" w:color="auto"/>
          </w:divBdr>
        </w:div>
        <w:div w:id="669481341">
          <w:marLeft w:val="274"/>
          <w:marRight w:val="0"/>
          <w:marTop w:val="0"/>
          <w:marBottom w:val="0"/>
          <w:divBdr>
            <w:top w:val="none" w:sz="0" w:space="0" w:color="auto"/>
            <w:left w:val="none" w:sz="0" w:space="0" w:color="auto"/>
            <w:bottom w:val="none" w:sz="0" w:space="0" w:color="auto"/>
            <w:right w:val="none" w:sz="0" w:space="0" w:color="auto"/>
          </w:divBdr>
        </w:div>
        <w:div w:id="1690526414">
          <w:marLeft w:val="274"/>
          <w:marRight w:val="0"/>
          <w:marTop w:val="0"/>
          <w:marBottom w:val="0"/>
          <w:divBdr>
            <w:top w:val="none" w:sz="0" w:space="0" w:color="auto"/>
            <w:left w:val="none" w:sz="0" w:space="0" w:color="auto"/>
            <w:bottom w:val="none" w:sz="0" w:space="0" w:color="auto"/>
            <w:right w:val="none" w:sz="0" w:space="0" w:color="auto"/>
          </w:divBdr>
        </w:div>
        <w:div w:id="1542396026">
          <w:marLeft w:val="274"/>
          <w:marRight w:val="0"/>
          <w:marTop w:val="0"/>
          <w:marBottom w:val="0"/>
          <w:divBdr>
            <w:top w:val="none" w:sz="0" w:space="0" w:color="auto"/>
            <w:left w:val="none" w:sz="0" w:space="0" w:color="auto"/>
            <w:bottom w:val="none" w:sz="0" w:space="0" w:color="auto"/>
            <w:right w:val="none" w:sz="0" w:space="0" w:color="auto"/>
          </w:divBdr>
        </w:div>
        <w:div w:id="1972589076">
          <w:marLeft w:val="274"/>
          <w:marRight w:val="0"/>
          <w:marTop w:val="0"/>
          <w:marBottom w:val="0"/>
          <w:divBdr>
            <w:top w:val="none" w:sz="0" w:space="0" w:color="auto"/>
            <w:left w:val="none" w:sz="0" w:space="0" w:color="auto"/>
            <w:bottom w:val="none" w:sz="0" w:space="0" w:color="auto"/>
            <w:right w:val="none" w:sz="0" w:space="0" w:color="auto"/>
          </w:divBdr>
        </w:div>
        <w:div w:id="1575436499">
          <w:marLeft w:val="274"/>
          <w:marRight w:val="0"/>
          <w:marTop w:val="0"/>
          <w:marBottom w:val="0"/>
          <w:divBdr>
            <w:top w:val="none" w:sz="0" w:space="0" w:color="auto"/>
            <w:left w:val="none" w:sz="0" w:space="0" w:color="auto"/>
            <w:bottom w:val="none" w:sz="0" w:space="0" w:color="auto"/>
            <w:right w:val="none" w:sz="0" w:space="0" w:color="auto"/>
          </w:divBdr>
        </w:div>
        <w:div w:id="857621419">
          <w:marLeft w:val="274"/>
          <w:marRight w:val="0"/>
          <w:marTop w:val="0"/>
          <w:marBottom w:val="0"/>
          <w:divBdr>
            <w:top w:val="none" w:sz="0" w:space="0" w:color="auto"/>
            <w:left w:val="none" w:sz="0" w:space="0" w:color="auto"/>
            <w:bottom w:val="none" w:sz="0" w:space="0" w:color="auto"/>
            <w:right w:val="none" w:sz="0" w:space="0" w:color="auto"/>
          </w:divBdr>
        </w:div>
        <w:div w:id="480191351">
          <w:marLeft w:val="274"/>
          <w:marRight w:val="0"/>
          <w:marTop w:val="0"/>
          <w:marBottom w:val="0"/>
          <w:divBdr>
            <w:top w:val="none" w:sz="0" w:space="0" w:color="auto"/>
            <w:left w:val="none" w:sz="0" w:space="0" w:color="auto"/>
            <w:bottom w:val="none" w:sz="0" w:space="0" w:color="auto"/>
            <w:right w:val="none" w:sz="0" w:space="0" w:color="auto"/>
          </w:divBdr>
        </w:div>
        <w:div w:id="1247420813">
          <w:marLeft w:val="274"/>
          <w:marRight w:val="0"/>
          <w:marTop w:val="0"/>
          <w:marBottom w:val="0"/>
          <w:divBdr>
            <w:top w:val="none" w:sz="0" w:space="0" w:color="auto"/>
            <w:left w:val="none" w:sz="0" w:space="0" w:color="auto"/>
            <w:bottom w:val="none" w:sz="0" w:space="0" w:color="auto"/>
            <w:right w:val="none" w:sz="0" w:space="0" w:color="auto"/>
          </w:divBdr>
        </w:div>
        <w:div w:id="81818364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heconversation.com/a-medically-supervised-injection-facility-matters-for-victoria-and-for-more-inclusive-mental-health-support-7976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ote.org.au/findings/victoria/"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c.gov.au/inquiries/current/mental-health/sub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PCDOC-1378080517-979</_dlc_DocId>
    <_dlc_DocIdUrl xmlns="3f4bcce7-ac1a-4c9d-aa3e-7e77695652db">
      <Url>http://inet.pc.gov.au/pmo/inq/mentalhealth/_layouts/15/DocIdRedir.aspx?ID=PCDOC-1378080517-979</Url>
      <Description>PCDOC-1378080517-979</Description>
    </_dlc_DocIdUr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C3CBBA-FEF4-4737-BF7F-73824B9E455B}">
  <ds:schemaRefs>
    <ds:schemaRef ds:uri="Microsoft.SharePoint.Taxonomy.ContentTypeSync"/>
  </ds:schemaRefs>
</ds:datastoreItem>
</file>

<file path=customXml/itemProps2.xml><?xml version="1.0" encoding="utf-8"?>
<ds:datastoreItem xmlns:ds="http://schemas.openxmlformats.org/officeDocument/2006/customXml" ds:itemID="{49ABB4D1-7167-434A-9650-009843AA481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D3D16143-46BF-49E8-94FA-88581C058E54}">
  <ds:schemaRefs>
    <ds:schemaRef ds:uri="http://schemas.microsoft.com/office/2006/metadata/customXsn"/>
  </ds:schemaRefs>
</ds:datastoreItem>
</file>

<file path=customXml/itemProps4.xml><?xml version="1.0" encoding="utf-8"?>
<ds:datastoreItem xmlns:ds="http://schemas.openxmlformats.org/officeDocument/2006/customXml" ds:itemID="{A2703AE1-D3F5-4048-8C12-208002A6F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66F101-AA51-49F7-B3DE-54B9BACEF871}">
  <ds:schemaRefs>
    <ds:schemaRef ds:uri="http://schemas.microsoft.com/sharepoint/v3/contenttype/forms"/>
  </ds:schemaRefs>
</ds:datastoreItem>
</file>

<file path=customXml/itemProps6.xml><?xml version="1.0" encoding="utf-8"?>
<ds:datastoreItem xmlns:ds="http://schemas.openxmlformats.org/officeDocument/2006/customXml" ds:itemID="{1B13D7E7-5486-4E81-B727-A1AEF154C0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1902</Words>
  <Characters>10309</Characters>
  <Application>Microsoft Office Word</Application>
  <DocSecurity>0</DocSecurity>
  <Lines>190</Lines>
  <Paragraphs>39</Paragraphs>
  <ScaleCrop>false</ScaleCrop>
  <HeadingPairs>
    <vt:vector size="2" baseType="variant">
      <vt:variant>
        <vt:lpstr>Title</vt:lpstr>
      </vt:variant>
      <vt:variant>
        <vt:i4>1</vt:i4>
      </vt:variant>
    </vt:vector>
  </HeadingPairs>
  <TitlesOfParts>
    <vt:vector size="1" baseType="lpstr">
      <vt:lpstr>Submission 738 - Windana Drug and Alcohol Recovery Ltd - Mental Health - Public inquiry</vt:lpstr>
    </vt:vector>
  </TitlesOfParts>
  <Company>Windana Drug and Alcohol Recovery Ltd</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738 - Windana Drug and Alcohol Recovery Ltd - Mental Health - Public inquiry</dc:title>
  <dc:subject/>
  <dc:creator>Windana Drug and Alcohol Recovery Ltd</dc:creator>
  <cp:keywords/>
  <dc:description/>
  <cp:lastModifiedBy>Pimperl, Mark</cp:lastModifiedBy>
  <cp:revision>5</cp:revision>
  <cp:lastPrinted>2019-07-05T02:05:00Z</cp:lastPrinted>
  <dcterms:created xsi:type="dcterms:W3CDTF">2020-01-22T08:00:00Z</dcterms:created>
  <dcterms:modified xsi:type="dcterms:W3CDTF">2020-01-29T23:57:00Z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8d2ec1e2-1ebe-4f7e-a1c2-3ba1b58bf6c8</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