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7344F1" w14:textId="36BC65BE" w:rsidR="001852E1" w:rsidRPr="009A6E0B" w:rsidRDefault="009A6E0B">
      <w:pPr>
        <w:rPr>
          <w:sz w:val="24"/>
          <w:szCs w:val="24"/>
        </w:rPr>
      </w:pPr>
      <w:r w:rsidRPr="009A6E0B">
        <w:rPr>
          <w:sz w:val="24"/>
          <w:szCs w:val="24"/>
        </w:rPr>
        <w:t>Submission to the Productivity Commission</w:t>
      </w:r>
    </w:p>
    <w:p w14:paraId="7497F8B2" w14:textId="4A3018A5" w:rsidR="009A6E0B" w:rsidRDefault="009A6E0B">
      <w:pPr>
        <w:rPr>
          <w:sz w:val="24"/>
          <w:szCs w:val="24"/>
        </w:rPr>
      </w:pPr>
      <w:r w:rsidRPr="009A6E0B">
        <w:rPr>
          <w:sz w:val="24"/>
          <w:szCs w:val="24"/>
        </w:rPr>
        <w:t>Re Skills and Workforce Development Agreement</w:t>
      </w:r>
    </w:p>
    <w:p w14:paraId="322E450A" w14:textId="341B54F8" w:rsidR="009A6E0B" w:rsidRDefault="009A6E0B">
      <w:pPr>
        <w:rPr>
          <w:sz w:val="24"/>
          <w:szCs w:val="24"/>
        </w:rPr>
      </w:pPr>
    </w:p>
    <w:p w14:paraId="17977AC0" w14:textId="7E527A31" w:rsidR="009A6E0B" w:rsidRDefault="009A6E0B">
      <w:r>
        <w:rPr>
          <w:sz w:val="24"/>
          <w:szCs w:val="24"/>
        </w:rPr>
        <w:t xml:space="preserve">I </w:t>
      </w:r>
      <w:r w:rsidR="0080189E">
        <w:rPr>
          <w:sz w:val="24"/>
          <w:szCs w:val="24"/>
        </w:rPr>
        <w:t xml:space="preserve">note </w:t>
      </w:r>
      <w:r>
        <w:rPr>
          <w:sz w:val="24"/>
          <w:szCs w:val="24"/>
        </w:rPr>
        <w:t>with some concern the Commission’s recommendation</w:t>
      </w:r>
      <w:r w:rsidR="0080189E">
        <w:rPr>
          <w:sz w:val="24"/>
          <w:szCs w:val="24"/>
        </w:rPr>
        <w:t xml:space="preserve"> for ‘</w:t>
      </w:r>
      <w:r w:rsidR="0080189E">
        <w:t>reforms to make the VET system a more efficient, competitive market.’</w:t>
      </w:r>
    </w:p>
    <w:p w14:paraId="6DB2A820" w14:textId="0D9143F5" w:rsidR="00436776" w:rsidRDefault="0080189E">
      <w:r>
        <w:t xml:space="preserve">The Victorian Government’s experiment in similar reform of the </w:t>
      </w:r>
      <w:r w:rsidR="0022100A">
        <w:t>VET system</w:t>
      </w:r>
      <w:r>
        <w:t xml:space="preserve">, </w:t>
      </w:r>
      <w:r w:rsidR="00170DEA">
        <w:t>beginning with their</w:t>
      </w:r>
      <w:r>
        <w:t xml:space="preserve"> </w:t>
      </w:r>
      <w:r w:rsidR="007A4560">
        <w:t xml:space="preserve">2008 </w:t>
      </w:r>
      <w:r>
        <w:t xml:space="preserve">policy ‘Securing Jobs for Your Future’ </w:t>
      </w:r>
      <w:r w:rsidR="00170DEA">
        <w:t xml:space="preserve">almost destroyed the </w:t>
      </w:r>
      <w:r w:rsidR="0022100A">
        <w:t xml:space="preserve">TAFE </w:t>
      </w:r>
      <w:r w:rsidR="00170DEA">
        <w:t xml:space="preserve">sector </w:t>
      </w:r>
      <w:r w:rsidR="007A4560">
        <w:t>with</w:t>
      </w:r>
      <w:r w:rsidR="00170DEA">
        <w:t xml:space="preserve">in four short years. </w:t>
      </w:r>
    </w:p>
    <w:p w14:paraId="3D2696BF" w14:textId="4A65448A" w:rsidR="0080189E" w:rsidRDefault="0022100A">
      <w:r>
        <w:t xml:space="preserve">I believe that the Victorian experience should provide sufficient warning of how not to implement reform. </w:t>
      </w:r>
      <w:r w:rsidR="00170DEA">
        <w:t xml:space="preserve">Here </w:t>
      </w:r>
      <w:r>
        <w:t>is</w:t>
      </w:r>
      <w:r w:rsidR="00170DEA">
        <w:t xml:space="preserve"> a brief outline of what happened:</w:t>
      </w:r>
    </w:p>
    <w:p w14:paraId="4CFA2D9D" w14:textId="77777777" w:rsidR="00170DEA" w:rsidRDefault="00170DEA" w:rsidP="00170DEA">
      <w:pPr>
        <w:jc w:val="both"/>
        <w:rPr>
          <w:b/>
          <w:sz w:val="24"/>
          <w:szCs w:val="24"/>
        </w:rPr>
      </w:pPr>
    </w:p>
    <w:p w14:paraId="2A12347F" w14:textId="2212F97E" w:rsidR="00170DEA" w:rsidRPr="00981865" w:rsidRDefault="00170DEA" w:rsidP="00170DEA">
      <w:pPr>
        <w:jc w:val="both"/>
        <w:rPr>
          <w:sz w:val="24"/>
          <w:szCs w:val="24"/>
        </w:rPr>
      </w:pPr>
      <w:r w:rsidRPr="00981865">
        <w:rPr>
          <w:sz w:val="24"/>
          <w:szCs w:val="24"/>
        </w:rPr>
        <w:t xml:space="preserve">In </w:t>
      </w:r>
      <w:r>
        <w:rPr>
          <w:sz w:val="24"/>
          <w:szCs w:val="24"/>
        </w:rPr>
        <w:t xml:space="preserve">August </w:t>
      </w:r>
      <w:r w:rsidRPr="00981865">
        <w:rPr>
          <w:sz w:val="24"/>
          <w:szCs w:val="24"/>
        </w:rPr>
        <w:t xml:space="preserve">2008 the Victorian government announced radical reform to the state’s skills training system in the policy document </w:t>
      </w:r>
      <w:r w:rsidRPr="00981865">
        <w:rPr>
          <w:i/>
          <w:sz w:val="24"/>
          <w:szCs w:val="24"/>
        </w:rPr>
        <w:t>Securing Jobs for Your Future</w:t>
      </w:r>
      <w:r w:rsidRPr="00981865">
        <w:rPr>
          <w:sz w:val="24"/>
          <w:szCs w:val="24"/>
        </w:rPr>
        <w:t xml:space="preserve">. This policy was premised on a growing need for highly skilled workers in order to maintain and improve Victoria’s social and economic development in a competitive global market. The Victorian policy was consistent with </w:t>
      </w:r>
      <w:proofErr w:type="spellStart"/>
      <w:r w:rsidRPr="00981865">
        <w:rPr>
          <w:sz w:val="24"/>
          <w:szCs w:val="24"/>
        </w:rPr>
        <w:t>COAG’s</w:t>
      </w:r>
      <w:proofErr w:type="spellEnd"/>
      <w:r w:rsidRPr="00981865">
        <w:rPr>
          <w:sz w:val="24"/>
          <w:szCs w:val="24"/>
        </w:rPr>
        <w:t xml:space="preserve"> reform agenda to boost productivity and increase workforce participation and mobility.</w:t>
      </w:r>
    </w:p>
    <w:p w14:paraId="1774A7DB" w14:textId="77777777" w:rsidR="00170DEA" w:rsidRPr="00981865" w:rsidRDefault="00170DEA" w:rsidP="00170DEA">
      <w:pPr>
        <w:jc w:val="both"/>
        <w:rPr>
          <w:sz w:val="24"/>
          <w:szCs w:val="24"/>
        </w:rPr>
      </w:pPr>
      <w:r w:rsidRPr="00981865">
        <w:rPr>
          <w:sz w:val="24"/>
          <w:szCs w:val="24"/>
        </w:rPr>
        <w:t xml:space="preserve">The policy encouraged growth and diversity in the VET sector by </w:t>
      </w:r>
      <w:r>
        <w:rPr>
          <w:sz w:val="24"/>
          <w:szCs w:val="24"/>
        </w:rPr>
        <w:t>transitioning</w:t>
      </w:r>
      <w:r w:rsidRPr="00981865">
        <w:rPr>
          <w:sz w:val="24"/>
          <w:szCs w:val="24"/>
        </w:rPr>
        <w:t xml:space="preserve"> to a demand-driven model of training provision. </w:t>
      </w:r>
      <w:r>
        <w:rPr>
          <w:sz w:val="24"/>
          <w:szCs w:val="24"/>
        </w:rPr>
        <w:t>Under the new ‘Victorian Training Guarantee,’</w:t>
      </w:r>
      <w:r w:rsidRPr="00981865">
        <w:rPr>
          <w:sz w:val="24"/>
          <w:szCs w:val="24"/>
        </w:rPr>
        <w:t xml:space="preserve"> </w:t>
      </w:r>
      <w:r>
        <w:rPr>
          <w:sz w:val="24"/>
          <w:szCs w:val="24"/>
        </w:rPr>
        <w:t>a</w:t>
      </w:r>
      <w:r w:rsidRPr="00981865">
        <w:rPr>
          <w:sz w:val="24"/>
          <w:szCs w:val="24"/>
        </w:rPr>
        <w:t>llocation caps on government subsidised places were removed for all registered training organisations, while at the same time student eligibility criteria for subsidy were tightened.</w:t>
      </w:r>
    </w:p>
    <w:p w14:paraId="71584D7A" w14:textId="77777777" w:rsidR="00170DEA" w:rsidRDefault="00170DEA" w:rsidP="00170DEA">
      <w:pPr>
        <w:jc w:val="both"/>
        <w:rPr>
          <w:sz w:val="24"/>
          <w:szCs w:val="24"/>
        </w:rPr>
      </w:pPr>
      <w:r w:rsidRPr="00981865">
        <w:rPr>
          <w:sz w:val="24"/>
          <w:szCs w:val="24"/>
        </w:rPr>
        <w:t>In other measures</w:t>
      </w:r>
      <w:r>
        <w:rPr>
          <w:sz w:val="24"/>
          <w:szCs w:val="24"/>
        </w:rPr>
        <w:t>, the policy:</w:t>
      </w:r>
    </w:p>
    <w:p w14:paraId="63A1481D" w14:textId="77777777" w:rsidR="00170DEA" w:rsidRPr="00AB35FC" w:rsidRDefault="00170DEA" w:rsidP="00170DEA">
      <w:pPr>
        <w:pStyle w:val="ListParagraph"/>
        <w:numPr>
          <w:ilvl w:val="0"/>
          <w:numId w:val="1"/>
        </w:numPr>
        <w:jc w:val="both"/>
        <w:rPr>
          <w:sz w:val="24"/>
          <w:szCs w:val="24"/>
        </w:rPr>
      </w:pPr>
      <w:r w:rsidRPr="00AB35FC">
        <w:rPr>
          <w:sz w:val="24"/>
          <w:szCs w:val="24"/>
        </w:rPr>
        <w:t>subsidised TAFEs at a higher rate than private training providers for sub-diploma level courses, in recognition of the TAFEs’ higher cost base as ‘full service providers,’</w:t>
      </w:r>
    </w:p>
    <w:p w14:paraId="3D58780C" w14:textId="77777777" w:rsidR="00170DEA" w:rsidRPr="00AB35FC" w:rsidRDefault="00170DEA" w:rsidP="00170DEA">
      <w:pPr>
        <w:pStyle w:val="ListParagraph"/>
        <w:numPr>
          <w:ilvl w:val="0"/>
          <w:numId w:val="1"/>
        </w:numPr>
        <w:jc w:val="both"/>
        <w:rPr>
          <w:sz w:val="24"/>
          <w:szCs w:val="24"/>
        </w:rPr>
      </w:pPr>
      <w:r w:rsidRPr="00AB35FC">
        <w:rPr>
          <w:sz w:val="24"/>
          <w:szCs w:val="24"/>
        </w:rPr>
        <w:t>allowed all providers to set their own tuition fees up to maximum price limits, and</w:t>
      </w:r>
    </w:p>
    <w:p w14:paraId="06023356" w14:textId="77777777" w:rsidR="00170DEA" w:rsidRPr="00AB35FC" w:rsidRDefault="00170DEA" w:rsidP="00170DEA">
      <w:pPr>
        <w:pStyle w:val="ListParagraph"/>
        <w:numPr>
          <w:ilvl w:val="0"/>
          <w:numId w:val="1"/>
        </w:numPr>
        <w:jc w:val="both"/>
        <w:rPr>
          <w:sz w:val="24"/>
          <w:szCs w:val="24"/>
        </w:rPr>
      </w:pPr>
      <w:r w:rsidRPr="00AB35FC">
        <w:rPr>
          <w:sz w:val="24"/>
          <w:szCs w:val="24"/>
        </w:rPr>
        <w:t>provided for capital grants to TAFE institutes.</w:t>
      </w:r>
    </w:p>
    <w:p w14:paraId="1D782EF4" w14:textId="77777777" w:rsidR="00170DEA" w:rsidRPr="00981865" w:rsidRDefault="00170DEA" w:rsidP="00170DEA">
      <w:pPr>
        <w:jc w:val="both"/>
        <w:rPr>
          <w:sz w:val="24"/>
          <w:szCs w:val="24"/>
        </w:rPr>
      </w:pPr>
      <w:r w:rsidRPr="00981865">
        <w:rPr>
          <w:sz w:val="24"/>
          <w:szCs w:val="24"/>
        </w:rPr>
        <w:t xml:space="preserve">The reforms were </w:t>
      </w:r>
      <w:r>
        <w:rPr>
          <w:sz w:val="24"/>
          <w:szCs w:val="24"/>
        </w:rPr>
        <w:t xml:space="preserve">to be </w:t>
      </w:r>
      <w:r w:rsidRPr="00981865">
        <w:rPr>
          <w:sz w:val="24"/>
          <w:szCs w:val="24"/>
        </w:rPr>
        <w:t>phased in over four years, with fully contestable funding to start in 2011.</w:t>
      </w:r>
    </w:p>
    <w:p w14:paraId="26AE0FC6" w14:textId="34B4CDE2" w:rsidR="00170DEA" w:rsidRPr="00981865" w:rsidRDefault="00170DEA" w:rsidP="00170DEA">
      <w:pPr>
        <w:jc w:val="both"/>
        <w:rPr>
          <w:sz w:val="24"/>
          <w:szCs w:val="24"/>
        </w:rPr>
      </w:pPr>
      <w:r>
        <w:rPr>
          <w:sz w:val="24"/>
          <w:szCs w:val="24"/>
        </w:rPr>
        <w:t>When</w:t>
      </w:r>
      <w:r w:rsidRPr="00981865">
        <w:rPr>
          <w:sz w:val="24"/>
          <w:szCs w:val="24"/>
        </w:rPr>
        <w:t xml:space="preserve"> the reforms were announced in 2008, Victoria’s 14 stand-alone TAFEs were in good financial shape according to the Victorian Auditor-General’s Office. Student fees in 2008 </w:t>
      </w:r>
      <w:r>
        <w:rPr>
          <w:sz w:val="24"/>
          <w:szCs w:val="24"/>
        </w:rPr>
        <w:t>had grown</w:t>
      </w:r>
      <w:r w:rsidRPr="00981865">
        <w:rPr>
          <w:sz w:val="24"/>
          <w:szCs w:val="24"/>
        </w:rPr>
        <w:t xml:space="preserve"> by 13% over the previous year, and the sector overall was considered low-risk on four out of five key indicators. </w:t>
      </w:r>
      <w:proofErr w:type="spellStart"/>
      <w:r w:rsidRPr="00981865">
        <w:rPr>
          <w:sz w:val="24"/>
          <w:szCs w:val="24"/>
        </w:rPr>
        <w:t>VAGO’s</w:t>
      </w:r>
      <w:proofErr w:type="spellEnd"/>
      <w:r w:rsidRPr="00981865">
        <w:rPr>
          <w:sz w:val="24"/>
          <w:szCs w:val="24"/>
        </w:rPr>
        <w:t xml:space="preserve"> summary view was that:</w:t>
      </w:r>
    </w:p>
    <w:p w14:paraId="7E9FDD31" w14:textId="77777777" w:rsidR="00170DEA" w:rsidRPr="00F8710D" w:rsidRDefault="00170DEA" w:rsidP="00170DEA">
      <w:pPr>
        <w:autoSpaceDE w:val="0"/>
        <w:autoSpaceDN w:val="0"/>
        <w:adjustRightInd w:val="0"/>
        <w:spacing w:after="0" w:line="240" w:lineRule="auto"/>
        <w:ind w:left="567" w:right="662"/>
        <w:jc w:val="both"/>
        <w:rPr>
          <w:rFonts w:cs="Arial"/>
          <w:i/>
          <w:sz w:val="24"/>
          <w:szCs w:val="24"/>
        </w:rPr>
      </w:pPr>
      <w:r w:rsidRPr="00F8710D">
        <w:rPr>
          <w:rFonts w:cs="Arial"/>
          <w:i/>
          <w:sz w:val="24"/>
          <w:szCs w:val="24"/>
        </w:rPr>
        <w:t xml:space="preserve">Overall the financial sustainability indicators suggest that the TAFEs are in a healthy condition. The self-financing ratio is the only indicator of concern, as not only is the sector at medium risk of not being able to finance assets with the cash generated from operating activities, but all TAFEs are in this same position…. There are no high risk indicators and the trend generally shows that TAFEs are financially viable over the long term. While the financial sustainability of the </w:t>
      </w:r>
      <w:r w:rsidRPr="00F8710D">
        <w:rPr>
          <w:rFonts w:cs="Arial"/>
          <w:i/>
          <w:sz w:val="24"/>
          <w:szCs w:val="24"/>
        </w:rPr>
        <w:lastRenderedPageBreak/>
        <w:t>TAFEs on the whole is encouraging, some individual TAFEs may need to be monitored to maintain sustained viability.</w:t>
      </w:r>
      <w:r w:rsidRPr="00F8710D">
        <w:rPr>
          <w:rStyle w:val="FootnoteReference"/>
          <w:rFonts w:cs="Arial"/>
          <w:i/>
          <w:sz w:val="24"/>
          <w:szCs w:val="24"/>
        </w:rPr>
        <w:footnoteReference w:id="1"/>
      </w:r>
    </w:p>
    <w:p w14:paraId="52587492" w14:textId="77777777" w:rsidR="00170DEA" w:rsidRDefault="00170DEA" w:rsidP="00170DEA">
      <w:pPr>
        <w:jc w:val="both"/>
        <w:rPr>
          <w:sz w:val="24"/>
          <w:szCs w:val="24"/>
        </w:rPr>
      </w:pPr>
    </w:p>
    <w:p w14:paraId="20A46239" w14:textId="77777777" w:rsidR="00170DEA" w:rsidRPr="00981865" w:rsidRDefault="00170DEA" w:rsidP="00170DEA">
      <w:pPr>
        <w:jc w:val="both"/>
        <w:rPr>
          <w:sz w:val="24"/>
          <w:szCs w:val="24"/>
        </w:rPr>
      </w:pPr>
      <w:r w:rsidRPr="00981865">
        <w:rPr>
          <w:sz w:val="24"/>
          <w:szCs w:val="24"/>
        </w:rPr>
        <w:t>Contestable funding significantly impacted VET</w:t>
      </w:r>
      <w:r>
        <w:rPr>
          <w:sz w:val="24"/>
          <w:szCs w:val="24"/>
        </w:rPr>
        <w:t xml:space="preserve"> enrolments in its</w:t>
      </w:r>
      <w:r w:rsidRPr="00981865">
        <w:rPr>
          <w:sz w:val="24"/>
          <w:szCs w:val="24"/>
        </w:rPr>
        <w:t xml:space="preserve"> first full year of operation in 2011.  In just </w:t>
      </w:r>
      <w:r>
        <w:rPr>
          <w:sz w:val="24"/>
          <w:szCs w:val="24"/>
        </w:rPr>
        <w:t>twelve months</w:t>
      </w:r>
      <w:r w:rsidRPr="00981865">
        <w:rPr>
          <w:sz w:val="24"/>
          <w:szCs w:val="24"/>
        </w:rPr>
        <w:t xml:space="preserve">, government-funded enrolments ballooned by 29%, and </w:t>
      </w:r>
      <w:r>
        <w:rPr>
          <w:sz w:val="24"/>
          <w:szCs w:val="24"/>
        </w:rPr>
        <w:t>teaching</w:t>
      </w:r>
      <w:r w:rsidRPr="00981865">
        <w:rPr>
          <w:sz w:val="24"/>
          <w:szCs w:val="24"/>
        </w:rPr>
        <w:t xml:space="preserve"> delivery </w:t>
      </w:r>
      <w:r>
        <w:rPr>
          <w:sz w:val="24"/>
          <w:szCs w:val="24"/>
        </w:rPr>
        <w:t xml:space="preserve">claims </w:t>
      </w:r>
      <w:r w:rsidRPr="00981865">
        <w:rPr>
          <w:sz w:val="24"/>
          <w:szCs w:val="24"/>
        </w:rPr>
        <w:t>increased by 31% to 147,000,000 student contact hours.</w:t>
      </w:r>
      <w:r w:rsidRPr="00981865">
        <w:rPr>
          <w:rStyle w:val="FootnoteReference"/>
          <w:sz w:val="24"/>
          <w:szCs w:val="24"/>
        </w:rPr>
        <w:footnoteReference w:id="2"/>
      </w:r>
    </w:p>
    <w:p w14:paraId="5D58D961" w14:textId="77777777" w:rsidR="00170DEA" w:rsidRPr="006D189F" w:rsidRDefault="00170DEA" w:rsidP="00170DEA">
      <w:pPr>
        <w:jc w:val="both"/>
        <w:rPr>
          <w:sz w:val="24"/>
          <w:szCs w:val="24"/>
        </w:rPr>
      </w:pPr>
      <w:r w:rsidRPr="00981865">
        <w:rPr>
          <w:sz w:val="24"/>
          <w:szCs w:val="24"/>
        </w:rPr>
        <w:t xml:space="preserve">Data published by Skills Victoria show that private providers took up </w:t>
      </w:r>
      <w:r>
        <w:rPr>
          <w:sz w:val="24"/>
          <w:szCs w:val="24"/>
        </w:rPr>
        <w:t>virtually all</w:t>
      </w:r>
      <w:r w:rsidRPr="00981865">
        <w:rPr>
          <w:sz w:val="24"/>
          <w:szCs w:val="24"/>
        </w:rPr>
        <w:t xml:space="preserve"> of this market expansion</w:t>
      </w:r>
      <w:r>
        <w:rPr>
          <w:sz w:val="24"/>
          <w:szCs w:val="24"/>
        </w:rPr>
        <w:t xml:space="preserve"> and additional government subsidy</w:t>
      </w:r>
      <w:r w:rsidRPr="00981865">
        <w:rPr>
          <w:sz w:val="24"/>
          <w:szCs w:val="24"/>
        </w:rPr>
        <w:t>:</w:t>
      </w:r>
    </w:p>
    <w:p w14:paraId="349852AE" w14:textId="77777777" w:rsidR="00170DEA" w:rsidRPr="00A1775F" w:rsidRDefault="00170DEA" w:rsidP="00170DEA">
      <w:pPr>
        <w:rPr>
          <w:i/>
        </w:rPr>
      </w:pPr>
      <w:r>
        <w:rPr>
          <w:i/>
        </w:rPr>
        <w:t>Table 1</w:t>
      </w:r>
      <w:r w:rsidRPr="00A1775F">
        <w:rPr>
          <w:i/>
        </w:rPr>
        <w:t xml:space="preserve">: </w:t>
      </w:r>
      <w:r>
        <w:rPr>
          <w:i/>
        </w:rPr>
        <w:t>M</w:t>
      </w:r>
      <w:r w:rsidRPr="00A1775F">
        <w:rPr>
          <w:i/>
        </w:rPr>
        <w:t xml:space="preserve">arket share </w:t>
      </w:r>
      <w:r>
        <w:rPr>
          <w:i/>
        </w:rPr>
        <w:t xml:space="preserve">(enrolments) </w:t>
      </w:r>
      <w:r w:rsidRPr="00A1775F">
        <w:rPr>
          <w:i/>
        </w:rPr>
        <w:t>by provider type 2008-2011</w:t>
      </w:r>
    </w:p>
    <w:tbl>
      <w:tblPr>
        <w:tblStyle w:val="TableGrid"/>
        <w:tblW w:w="0" w:type="auto"/>
        <w:tblLook w:val="04A0" w:firstRow="1" w:lastRow="0" w:firstColumn="1" w:lastColumn="0" w:noHBand="0" w:noVBand="1"/>
      </w:tblPr>
      <w:tblGrid>
        <w:gridCol w:w="1813"/>
        <w:gridCol w:w="1801"/>
        <w:gridCol w:w="1800"/>
        <w:gridCol w:w="1801"/>
        <w:gridCol w:w="1801"/>
      </w:tblGrid>
      <w:tr w:rsidR="00170DEA" w:rsidRPr="00A33D09" w14:paraId="29502FC4" w14:textId="77777777" w:rsidTr="000B16A4">
        <w:tc>
          <w:tcPr>
            <w:tcW w:w="9242" w:type="dxa"/>
            <w:gridSpan w:val="5"/>
          </w:tcPr>
          <w:p w14:paraId="52A89B07" w14:textId="77777777" w:rsidR="00170DEA" w:rsidRPr="00A33D09" w:rsidRDefault="00170DEA" w:rsidP="000B16A4">
            <w:pPr>
              <w:rPr>
                <w:b/>
                <w:bCs/>
              </w:rPr>
            </w:pPr>
            <w:r w:rsidRPr="00A33D09">
              <w:rPr>
                <w:b/>
                <w:bCs/>
              </w:rPr>
              <w:t>Gov</w:t>
            </w:r>
            <w:r>
              <w:rPr>
                <w:b/>
                <w:bCs/>
              </w:rPr>
              <w:t>ernmen</w:t>
            </w:r>
            <w:r w:rsidRPr="00A33D09">
              <w:rPr>
                <w:b/>
                <w:bCs/>
              </w:rPr>
              <w:t>t</w:t>
            </w:r>
            <w:r>
              <w:rPr>
                <w:b/>
                <w:bCs/>
              </w:rPr>
              <w:t xml:space="preserve"> f</w:t>
            </w:r>
            <w:r w:rsidRPr="00A33D09">
              <w:rPr>
                <w:b/>
                <w:bCs/>
              </w:rPr>
              <w:t>unded</w:t>
            </w:r>
            <w:r>
              <w:rPr>
                <w:b/>
                <w:bCs/>
              </w:rPr>
              <w:t xml:space="preserve"> </w:t>
            </w:r>
            <w:r w:rsidRPr="00A33D09">
              <w:rPr>
                <w:b/>
                <w:bCs/>
              </w:rPr>
              <w:t>market</w:t>
            </w:r>
            <w:r>
              <w:rPr>
                <w:b/>
                <w:bCs/>
              </w:rPr>
              <w:t xml:space="preserve"> </w:t>
            </w:r>
            <w:r w:rsidRPr="00A33D09">
              <w:rPr>
                <w:b/>
                <w:bCs/>
              </w:rPr>
              <w:t>share</w:t>
            </w:r>
            <w:r>
              <w:rPr>
                <w:b/>
                <w:bCs/>
              </w:rPr>
              <w:t xml:space="preserve"> (number of enrolments) </w:t>
            </w:r>
            <w:r w:rsidRPr="00A33D09">
              <w:rPr>
                <w:b/>
                <w:bCs/>
              </w:rPr>
              <w:t>by</w:t>
            </w:r>
            <w:r>
              <w:rPr>
                <w:b/>
                <w:bCs/>
              </w:rPr>
              <w:t xml:space="preserve"> provider type </w:t>
            </w:r>
          </w:p>
        </w:tc>
      </w:tr>
      <w:tr w:rsidR="00170DEA" w:rsidRPr="00A33D09" w14:paraId="1326DCFF" w14:textId="77777777" w:rsidTr="000B16A4">
        <w:tc>
          <w:tcPr>
            <w:tcW w:w="1848" w:type="dxa"/>
          </w:tcPr>
          <w:p w14:paraId="04452BFA" w14:textId="77777777" w:rsidR="00170DEA" w:rsidRPr="00A33D09" w:rsidRDefault="00170DEA" w:rsidP="000B16A4">
            <w:pPr>
              <w:rPr>
                <w:b/>
                <w:bCs/>
              </w:rPr>
            </w:pPr>
            <w:r>
              <w:rPr>
                <w:b/>
                <w:bCs/>
              </w:rPr>
              <w:t>Provider type</w:t>
            </w:r>
          </w:p>
        </w:tc>
        <w:tc>
          <w:tcPr>
            <w:tcW w:w="1848" w:type="dxa"/>
          </w:tcPr>
          <w:p w14:paraId="6CB4CB04" w14:textId="77777777" w:rsidR="00170DEA" w:rsidRPr="00A33D09" w:rsidRDefault="00170DEA" w:rsidP="000B16A4">
            <w:pPr>
              <w:jc w:val="center"/>
              <w:rPr>
                <w:b/>
                <w:bCs/>
              </w:rPr>
            </w:pPr>
            <w:r w:rsidRPr="00A33D09">
              <w:rPr>
                <w:b/>
                <w:bCs/>
              </w:rPr>
              <w:t>2008</w:t>
            </w:r>
          </w:p>
        </w:tc>
        <w:tc>
          <w:tcPr>
            <w:tcW w:w="1848" w:type="dxa"/>
          </w:tcPr>
          <w:p w14:paraId="6EDD574E" w14:textId="77777777" w:rsidR="00170DEA" w:rsidRPr="00A33D09" w:rsidRDefault="00170DEA" w:rsidP="000B16A4">
            <w:pPr>
              <w:jc w:val="center"/>
              <w:rPr>
                <w:b/>
                <w:bCs/>
              </w:rPr>
            </w:pPr>
            <w:r w:rsidRPr="00A33D09">
              <w:rPr>
                <w:b/>
                <w:bCs/>
              </w:rPr>
              <w:t>2009</w:t>
            </w:r>
          </w:p>
        </w:tc>
        <w:tc>
          <w:tcPr>
            <w:tcW w:w="1849" w:type="dxa"/>
          </w:tcPr>
          <w:p w14:paraId="3C6B391B" w14:textId="77777777" w:rsidR="00170DEA" w:rsidRPr="00A33D09" w:rsidRDefault="00170DEA" w:rsidP="000B16A4">
            <w:pPr>
              <w:jc w:val="center"/>
              <w:rPr>
                <w:b/>
                <w:bCs/>
              </w:rPr>
            </w:pPr>
            <w:r w:rsidRPr="00A33D09">
              <w:rPr>
                <w:b/>
                <w:bCs/>
              </w:rPr>
              <w:t>2010</w:t>
            </w:r>
          </w:p>
        </w:tc>
        <w:tc>
          <w:tcPr>
            <w:tcW w:w="1849" w:type="dxa"/>
          </w:tcPr>
          <w:p w14:paraId="787A9EB1" w14:textId="77777777" w:rsidR="00170DEA" w:rsidRPr="00A33D09" w:rsidRDefault="00170DEA" w:rsidP="000B16A4">
            <w:pPr>
              <w:jc w:val="center"/>
              <w:rPr>
                <w:b/>
                <w:bCs/>
              </w:rPr>
            </w:pPr>
            <w:r w:rsidRPr="00A33D09">
              <w:rPr>
                <w:b/>
                <w:bCs/>
              </w:rPr>
              <w:t>2011</w:t>
            </w:r>
          </w:p>
        </w:tc>
      </w:tr>
      <w:tr w:rsidR="00170DEA" w:rsidRPr="00A33D09" w14:paraId="500690F2" w14:textId="77777777" w:rsidTr="000B16A4">
        <w:tc>
          <w:tcPr>
            <w:tcW w:w="1848" w:type="dxa"/>
          </w:tcPr>
          <w:p w14:paraId="54F8DD4E" w14:textId="77777777" w:rsidR="00170DEA" w:rsidRPr="00A33D09" w:rsidRDefault="00170DEA" w:rsidP="000B16A4">
            <w:r w:rsidRPr="00A33D09">
              <w:t>ACE</w:t>
            </w:r>
          </w:p>
        </w:tc>
        <w:tc>
          <w:tcPr>
            <w:tcW w:w="1848" w:type="dxa"/>
          </w:tcPr>
          <w:p w14:paraId="6A4EDBCA" w14:textId="77777777" w:rsidR="00170DEA" w:rsidRPr="00A33D09" w:rsidRDefault="00170DEA" w:rsidP="000B16A4">
            <w:r w:rsidRPr="00A33D09">
              <w:t>19%</w:t>
            </w:r>
            <w:r>
              <w:t xml:space="preserve"> (73,771)</w:t>
            </w:r>
          </w:p>
        </w:tc>
        <w:tc>
          <w:tcPr>
            <w:tcW w:w="1848" w:type="dxa"/>
          </w:tcPr>
          <w:p w14:paraId="6E52C825" w14:textId="77777777" w:rsidR="00170DEA" w:rsidRPr="00A33D09" w:rsidRDefault="00170DEA" w:rsidP="000B16A4">
            <w:r w:rsidRPr="00A33D09">
              <w:t>18%</w:t>
            </w:r>
            <w:r>
              <w:t xml:space="preserve"> (68,304)</w:t>
            </w:r>
          </w:p>
        </w:tc>
        <w:tc>
          <w:tcPr>
            <w:tcW w:w="1849" w:type="dxa"/>
          </w:tcPr>
          <w:p w14:paraId="78D525A1" w14:textId="77777777" w:rsidR="00170DEA" w:rsidRPr="00A33D09" w:rsidRDefault="00170DEA" w:rsidP="000B16A4">
            <w:r w:rsidRPr="00A33D09">
              <w:t>15%</w:t>
            </w:r>
            <w:r>
              <w:t xml:space="preserve"> (63,810)</w:t>
            </w:r>
          </w:p>
        </w:tc>
        <w:tc>
          <w:tcPr>
            <w:tcW w:w="1849" w:type="dxa"/>
          </w:tcPr>
          <w:p w14:paraId="24118ACD" w14:textId="77777777" w:rsidR="00170DEA" w:rsidRPr="00A33D09" w:rsidRDefault="00170DEA" w:rsidP="000B16A4">
            <w:r w:rsidRPr="00A33D09">
              <w:t>12%</w:t>
            </w:r>
            <w:r>
              <w:t xml:space="preserve"> (64,634)</w:t>
            </w:r>
          </w:p>
        </w:tc>
      </w:tr>
      <w:tr w:rsidR="00170DEA" w:rsidRPr="00A33D09" w14:paraId="6E4C3B06" w14:textId="77777777" w:rsidTr="000B16A4">
        <w:tc>
          <w:tcPr>
            <w:tcW w:w="1848" w:type="dxa"/>
          </w:tcPr>
          <w:p w14:paraId="26F36FC7" w14:textId="77777777" w:rsidR="00170DEA" w:rsidRPr="00A33D09" w:rsidRDefault="00170DEA" w:rsidP="000B16A4">
            <w:r w:rsidRPr="00A33D09">
              <w:t>PRIV</w:t>
            </w:r>
            <w:r>
              <w:t>ATE</w:t>
            </w:r>
          </w:p>
        </w:tc>
        <w:tc>
          <w:tcPr>
            <w:tcW w:w="1848" w:type="dxa"/>
          </w:tcPr>
          <w:p w14:paraId="6413F34B" w14:textId="77777777" w:rsidR="00170DEA" w:rsidRPr="00A33D09" w:rsidRDefault="00170DEA" w:rsidP="000B16A4">
            <w:r w:rsidRPr="00A33D09">
              <w:t>14%</w:t>
            </w:r>
            <w:r>
              <w:t xml:space="preserve"> (54,031)</w:t>
            </w:r>
          </w:p>
        </w:tc>
        <w:tc>
          <w:tcPr>
            <w:tcW w:w="1848" w:type="dxa"/>
          </w:tcPr>
          <w:p w14:paraId="6C696174" w14:textId="77777777" w:rsidR="00170DEA" w:rsidRPr="00A33D09" w:rsidRDefault="00170DEA" w:rsidP="000B16A4">
            <w:r w:rsidRPr="00A33D09">
              <w:t>15%</w:t>
            </w:r>
            <w:r>
              <w:t xml:space="preserve"> (57,412)</w:t>
            </w:r>
          </w:p>
        </w:tc>
        <w:tc>
          <w:tcPr>
            <w:tcW w:w="1849" w:type="dxa"/>
          </w:tcPr>
          <w:p w14:paraId="21CC9DD9" w14:textId="77777777" w:rsidR="00170DEA" w:rsidRPr="00A33D09" w:rsidRDefault="00170DEA" w:rsidP="000B16A4">
            <w:r w:rsidRPr="00A33D09">
              <w:t>23%</w:t>
            </w:r>
            <w:r>
              <w:t xml:space="preserve"> (99,758)</w:t>
            </w:r>
          </w:p>
        </w:tc>
        <w:tc>
          <w:tcPr>
            <w:tcW w:w="1849" w:type="dxa"/>
          </w:tcPr>
          <w:p w14:paraId="41D0474D" w14:textId="77777777" w:rsidR="00170DEA" w:rsidRPr="00A33D09" w:rsidRDefault="00170DEA" w:rsidP="000B16A4">
            <w:r w:rsidRPr="00A33D09">
              <w:t>40%</w:t>
            </w:r>
            <w:r>
              <w:t xml:space="preserve"> (221,356)</w:t>
            </w:r>
          </w:p>
        </w:tc>
      </w:tr>
      <w:tr w:rsidR="00170DEA" w:rsidRPr="00A33D09" w14:paraId="51801B4E" w14:textId="77777777" w:rsidTr="000B16A4">
        <w:tc>
          <w:tcPr>
            <w:tcW w:w="1848" w:type="dxa"/>
          </w:tcPr>
          <w:p w14:paraId="7D813E27" w14:textId="77777777" w:rsidR="00170DEA" w:rsidRPr="00A33D09" w:rsidRDefault="00170DEA" w:rsidP="000B16A4">
            <w:r w:rsidRPr="00A33D09">
              <w:t>TAFE</w:t>
            </w:r>
            <w:r>
              <w:t xml:space="preserve"> (all TAFEs)</w:t>
            </w:r>
          </w:p>
        </w:tc>
        <w:tc>
          <w:tcPr>
            <w:tcW w:w="1848" w:type="dxa"/>
          </w:tcPr>
          <w:p w14:paraId="623A4A70" w14:textId="77777777" w:rsidR="00170DEA" w:rsidRPr="00A33D09" w:rsidRDefault="00170DEA" w:rsidP="000B16A4">
            <w:r w:rsidRPr="00A33D09">
              <w:t>66%</w:t>
            </w:r>
            <w:r>
              <w:t xml:space="preserve"> (253,468)</w:t>
            </w:r>
          </w:p>
        </w:tc>
        <w:tc>
          <w:tcPr>
            <w:tcW w:w="1848" w:type="dxa"/>
          </w:tcPr>
          <w:p w14:paraId="714696A8" w14:textId="77777777" w:rsidR="00170DEA" w:rsidRPr="00A33D09" w:rsidRDefault="00170DEA" w:rsidP="000B16A4">
            <w:r w:rsidRPr="00A33D09">
              <w:t>67%</w:t>
            </w:r>
            <w:r>
              <w:t xml:space="preserve"> (251,079)</w:t>
            </w:r>
          </w:p>
        </w:tc>
        <w:tc>
          <w:tcPr>
            <w:tcW w:w="1849" w:type="dxa"/>
          </w:tcPr>
          <w:p w14:paraId="3C0EA16B" w14:textId="77777777" w:rsidR="00170DEA" w:rsidRPr="00A33D09" w:rsidRDefault="00170DEA" w:rsidP="000B16A4">
            <w:r w:rsidRPr="00A33D09">
              <w:t>62%</w:t>
            </w:r>
            <w:r>
              <w:t xml:space="preserve"> (263,337)</w:t>
            </w:r>
          </w:p>
        </w:tc>
        <w:tc>
          <w:tcPr>
            <w:tcW w:w="1849" w:type="dxa"/>
          </w:tcPr>
          <w:p w14:paraId="18535F6A" w14:textId="77777777" w:rsidR="00170DEA" w:rsidRPr="00A33D09" w:rsidRDefault="00170DEA" w:rsidP="000B16A4">
            <w:r w:rsidRPr="00A33D09">
              <w:t>48%</w:t>
            </w:r>
            <w:r>
              <w:t xml:space="preserve"> (263,460)</w:t>
            </w:r>
          </w:p>
        </w:tc>
      </w:tr>
      <w:tr w:rsidR="00170DEA" w:rsidRPr="0046216B" w14:paraId="68117DA4" w14:textId="77777777" w:rsidTr="000B16A4">
        <w:tc>
          <w:tcPr>
            <w:tcW w:w="1848" w:type="dxa"/>
          </w:tcPr>
          <w:p w14:paraId="3AA46936" w14:textId="77777777" w:rsidR="00170DEA" w:rsidRPr="0046216B" w:rsidRDefault="00170DEA" w:rsidP="000B16A4">
            <w:pPr>
              <w:rPr>
                <w:b/>
              </w:rPr>
            </w:pPr>
            <w:r w:rsidRPr="0046216B">
              <w:rPr>
                <w:b/>
              </w:rPr>
              <w:t>Total</w:t>
            </w:r>
            <w:r>
              <w:rPr>
                <w:b/>
              </w:rPr>
              <w:t xml:space="preserve"> enrolments</w:t>
            </w:r>
          </w:p>
        </w:tc>
        <w:tc>
          <w:tcPr>
            <w:tcW w:w="1848" w:type="dxa"/>
          </w:tcPr>
          <w:p w14:paraId="50650958" w14:textId="77777777" w:rsidR="00170DEA" w:rsidRPr="0046216B" w:rsidRDefault="00170DEA" w:rsidP="000B16A4">
            <w:pPr>
              <w:jc w:val="center"/>
              <w:rPr>
                <w:b/>
              </w:rPr>
            </w:pPr>
            <w:r w:rsidRPr="0046216B">
              <w:rPr>
                <w:b/>
              </w:rPr>
              <w:t>381,270</w:t>
            </w:r>
          </w:p>
        </w:tc>
        <w:tc>
          <w:tcPr>
            <w:tcW w:w="1848" w:type="dxa"/>
          </w:tcPr>
          <w:p w14:paraId="4F244ECF" w14:textId="77777777" w:rsidR="00170DEA" w:rsidRPr="0046216B" w:rsidRDefault="00170DEA" w:rsidP="000B16A4">
            <w:pPr>
              <w:jc w:val="center"/>
              <w:rPr>
                <w:b/>
              </w:rPr>
            </w:pPr>
            <w:r w:rsidRPr="0046216B">
              <w:rPr>
                <w:b/>
              </w:rPr>
              <w:t>376,795</w:t>
            </w:r>
          </w:p>
        </w:tc>
        <w:tc>
          <w:tcPr>
            <w:tcW w:w="1849" w:type="dxa"/>
          </w:tcPr>
          <w:p w14:paraId="3EF02CDF" w14:textId="77777777" w:rsidR="00170DEA" w:rsidRPr="0046216B" w:rsidRDefault="00170DEA" w:rsidP="000B16A4">
            <w:pPr>
              <w:jc w:val="center"/>
              <w:rPr>
                <w:b/>
              </w:rPr>
            </w:pPr>
            <w:r w:rsidRPr="0046216B">
              <w:rPr>
                <w:b/>
              </w:rPr>
              <w:t>426,905</w:t>
            </w:r>
          </w:p>
        </w:tc>
        <w:tc>
          <w:tcPr>
            <w:tcW w:w="1849" w:type="dxa"/>
          </w:tcPr>
          <w:p w14:paraId="1EF64067" w14:textId="77777777" w:rsidR="00170DEA" w:rsidRPr="0046216B" w:rsidRDefault="00170DEA" w:rsidP="000B16A4">
            <w:pPr>
              <w:jc w:val="center"/>
              <w:rPr>
                <w:b/>
              </w:rPr>
            </w:pPr>
            <w:r w:rsidRPr="0046216B">
              <w:rPr>
                <w:b/>
              </w:rPr>
              <w:t>549,450</w:t>
            </w:r>
          </w:p>
        </w:tc>
      </w:tr>
    </w:tbl>
    <w:p w14:paraId="020DEEB3" w14:textId="77777777" w:rsidR="00170DEA" w:rsidRPr="002630EA" w:rsidRDefault="00170DEA" w:rsidP="00170DEA">
      <w:pPr>
        <w:rPr>
          <w:i/>
        </w:rPr>
      </w:pPr>
      <w:r w:rsidRPr="002630EA">
        <w:rPr>
          <w:i/>
        </w:rPr>
        <w:t xml:space="preserve">Source: Victorian Training Market Quarterly Report, Full Year 2011. Skills Victoria, </w:t>
      </w:r>
      <w:proofErr w:type="spellStart"/>
      <w:r w:rsidRPr="002630EA">
        <w:rPr>
          <w:i/>
        </w:rPr>
        <w:t>DEECD</w:t>
      </w:r>
      <w:proofErr w:type="spellEnd"/>
      <w:r w:rsidRPr="002630EA">
        <w:rPr>
          <w:i/>
        </w:rPr>
        <w:t>. (</w:t>
      </w:r>
      <w:proofErr w:type="spellStart"/>
      <w:r>
        <w:rPr>
          <w:i/>
        </w:rPr>
        <w:t>p</w:t>
      </w:r>
      <w:r w:rsidRPr="002630EA">
        <w:rPr>
          <w:i/>
        </w:rPr>
        <w:t>p.7</w:t>
      </w:r>
      <w:r>
        <w:rPr>
          <w:i/>
        </w:rPr>
        <w:t>,50</w:t>
      </w:r>
      <w:proofErr w:type="spellEnd"/>
      <w:r w:rsidRPr="002630EA">
        <w:rPr>
          <w:i/>
        </w:rPr>
        <w:t>)</w:t>
      </w:r>
    </w:p>
    <w:p w14:paraId="6B8AEEA4" w14:textId="77777777" w:rsidR="00170DEA" w:rsidRDefault="00170DEA" w:rsidP="00170DEA">
      <w:pPr>
        <w:rPr>
          <w:sz w:val="24"/>
          <w:szCs w:val="24"/>
        </w:rPr>
      </w:pPr>
    </w:p>
    <w:p w14:paraId="3FD46457" w14:textId="79E8BA0C" w:rsidR="00436776" w:rsidRDefault="00170DEA" w:rsidP="00170DEA">
      <w:pPr>
        <w:jc w:val="both"/>
        <w:rPr>
          <w:sz w:val="24"/>
          <w:szCs w:val="24"/>
        </w:rPr>
      </w:pPr>
      <w:r w:rsidRPr="00981865">
        <w:rPr>
          <w:sz w:val="24"/>
          <w:szCs w:val="24"/>
        </w:rPr>
        <w:t xml:space="preserve">In this rapidly expanding market, the TAFEs were left behind by the more agile private training organisations that could choose to offer the most profitable courses and were not burdened with </w:t>
      </w:r>
      <w:r>
        <w:rPr>
          <w:sz w:val="24"/>
          <w:szCs w:val="24"/>
        </w:rPr>
        <w:t>costly</w:t>
      </w:r>
      <w:r w:rsidRPr="00981865">
        <w:rPr>
          <w:sz w:val="24"/>
          <w:szCs w:val="24"/>
        </w:rPr>
        <w:t xml:space="preserve"> and ageing infrastructure</w:t>
      </w:r>
      <w:r>
        <w:rPr>
          <w:sz w:val="24"/>
          <w:szCs w:val="24"/>
        </w:rPr>
        <w:t>,</w:t>
      </w:r>
      <w:r w:rsidRPr="00981865">
        <w:rPr>
          <w:sz w:val="24"/>
          <w:szCs w:val="24"/>
        </w:rPr>
        <w:t xml:space="preserve"> or </w:t>
      </w:r>
      <w:r>
        <w:rPr>
          <w:sz w:val="24"/>
          <w:szCs w:val="24"/>
        </w:rPr>
        <w:t>by public sector</w:t>
      </w:r>
      <w:r w:rsidRPr="00981865">
        <w:rPr>
          <w:sz w:val="24"/>
          <w:szCs w:val="24"/>
        </w:rPr>
        <w:t xml:space="preserve"> industrial agreements.</w:t>
      </w:r>
    </w:p>
    <w:p w14:paraId="1ABC9C64" w14:textId="60AF1295" w:rsidR="00170DEA" w:rsidRDefault="00436776" w:rsidP="00170DEA">
      <w:pPr>
        <w:jc w:val="both"/>
        <w:rPr>
          <w:sz w:val="24"/>
          <w:szCs w:val="24"/>
        </w:rPr>
      </w:pPr>
      <w:r>
        <w:rPr>
          <w:sz w:val="24"/>
          <w:szCs w:val="24"/>
        </w:rPr>
        <w:t>In short, private RTOs ‘cherry-picked’ courses that were in high demand, required minimal capital expenditure and infrastructure to deliver, and that could be taught by minimally qualified instructors.</w:t>
      </w:r>
      <w:r w:rsidR="0022100A">
        <w:rPr>
          <w:sz w:val="24"/>
          <w:szCs w:val="24"/>
        </w:rPr>
        <w:t xml:space="preserve"> This is apart from the problem of rogue RTOs delivering substandard education and in some</w:t>
      </w:r>
      <w:r w:rsidR="007A4560">
        <w:rPr>
          <w:sz w:val="24"/>
          <w:szCs w:val="24"/>
        </w:rPr>
        <w:t xml:space="preserve"> thousands of</w:t>
      </w:r>
      <w:r w:rsidR="0022100A">
        <w:rPr>
          <w:sz w:val="24"/>
          <w:szCs w:val="24"/>
        </w:rPr>
        <w:t xml:space="preserve"> instances entirely worthless qualifications.</w:t>
      </w:r>
    </w:p>
    <w:p w14:paraId="3AD9C69B" w14:textId="77777777" w:rsidR="00436776" w:rsidRPr="00436776" w:rsidRDefault="00436776" w:rsidP="00170DEA">
      <w:pPr>
        <w:jc w:val="both"/>
        <w:rPr>
          <w:sz w:val="24"/>
          <w:szCs w:val="24"/>
        </w:rPr>
      </w:pPr>
    </w:p>
    <w:p w14:paraId="31B87547" w14:textId="0C77F891" w:rsidR="00436776" w:rsidRDefault="00170DEA" w:rsidP="00170DEA">
      <w:pPr>
        <w:jc w:val="both"/>
        <w:rPr>
          <w:sz w:val="24"/>
          <w:szCs w:val="24"/>
        </w:rPr>
      </w:pPr>
      <w:r w:rsidRPr="00981865">
        <w:rPr>
          <w:sz w:val="24"/>
          <w:szCs w:val="24"/>
        </w:rPr>
        <w:t xml:space="preserve">In April 2012 the Victorian government </w:t>
      </w:r>
      <w:r>
        <w:rPr>
          <w:sz w:val="24"/>
          <w:szCs w:val="24"/>
        </w:rPr>
        <w:t xml:space="preserve">released </w:t>
      </w:r>
      <w:r w:rsidRPr="00786933">
        <w:rPr>
          <w:i/>
          <w:sz w:val="24"/>
          <w:szCs w:val="24"/>
        </w:rPr>
        <w:t>Refocusing Vocational Training in Victoria</w:t>
      </w:r>
      <w:r>
        <w:rPr>
          <w:sz w:val="24"/>
          <w:szCs w:val="24"/>
        </w:rPr>
        <w:t xml:space="preserve">, which </w:t>
      </w:r>
      <w:r w:rsidRPr="00981865">
        <w:rPr>
          <w:sz w:val="24"/>
          <w:szCs w:val="24"/>
        </w:rPr>
        <w:t xml:space="preserve">signalled alarm at a projected $400 million budget blow-out in VET funding for the current financial year, and stated </w:t>
      </w:r>
      <w:r>
        <w:rPr>
          <w:sz w:val="24"/>
          <w:szCs w:val="24"/>
        </w:rPr>
        <w:t>an</w:t>
      </w:r>
      <w:r w:rsidRPr="00981865">
        <w:rPr>
          <w:sz w:val="24"/>
          <w:szCs w:val="24"/>
        </w:rPr>
        <w:t xml:space="preserve"> intention to cap VET spending</w:t>
      </w:r>
      <w:r>
        <w:rPr>
          <w:sz w:val="24"/>
          <w:szCs w:val="24"/>
        </w:rPr>
        <w:t>,</w:t>
      </w:r>
      <w:r w:rsidRPr="00981865">
        <w:rPr>
          <w:sz w:val="24"/>
          <w:szCs w:val="24"/>
        </w:rPr>
        <w:t xml:space="preserve"> and refocus the sector towards efficiency, effectiveness and sustainability. The State budget for 2012-13 reduced </w:t>
      </w:r>
      <w:r>
        <w:rPr>
          <w:sz w:val="24"/>
          <w:szCs w:val="24"/>
        </w:rPr>
        <w:t>supplementary funding</w:t>
      </w:r>
      <w:r w:rsidRPr="00981865">
        <w:rPr>
          <w:sz w:val="24"/>
          <w:szCs w:val="24"/>
        </w:rPr>
        <w:t xml:space="preserve"> to </w:t>
      </w:r>
      <w:r>
        <w:rPr>
          <w:sz w:val="24"/>
          <w:szCs w:val="24"/>
        </w:rPr>
        <w:t xml:space="preserve">the </w:t>
      </w:r>
      <w:r w:rsidRPr="00981865">
        <w:rPr>
          <w:sz w:val="24"/>
          <w:szCs w:val="24"/>
        </w:rPr>
        <w:t xml:space="preserve">TAFE </w:t>
      </w:r>
      <w:r>
        <w:rPr>
          <w:sz w:val="24"/>
          <w:szCs w:val="24"/>
        </w:rPr>
        <w:t>sector</w:t>
      </w:r>
      <w:r w:rsidRPr="00981865">
        <w:rPr>
          <w:sz w:val="24"/>
          <w:szCs w:val="24"/>
        </w:rPr>
        <w:t xml:space="preserve"> </w:t>
      </w:r>
      <w:r>
        <w:rPr>
          <w:sz w:val="24"/>
          <w:szCs w:val="24"/>
        </w:rPr>
        <w:t xml:space="preserve">(including dual sector universities) </w:t>
      </w:r>
      <w:r w:rsidRPr="00981865">
        <w:rPr>
          <w:sz w:val="24"/>
          <w:szCs w:val="24"/>
        </w:rPr>
        <w:t xml:space="preserve">by </w:t>
      </w:r>
      <w:r>
        <w:rPr>
          <w:sz w:val="24"/>
          <w:szCs w:val="24"/>
        </w:rPr>
        <w:t>$270-</w:t>
      </w:r>
      <w:r w:rsidRPr="00981865">
        <w:rPr>
          <w:sz w:val="24"/>
          <w:szCs w:val="24"/>
        </w:rPr>
        <w:t>$300 million.</w:t>
      </w:r>
      <w:r w:rsidRPr="00981865">
        <w:rPr>
          <w:rStyle w:val="FootnoteReference"/>
          <w:sz w:val="24"/>
          <w:szCs w:val="24"/>
        </w:rPr>
        <w:footnoteReference w:id="3"/>
      </w:r>
      <w:r w:rsidRPr="00981865">
        <w:rPr>
          <w:sz w:val="24"/>
          <w:szCs w:val="24"/>
        </w:rPr>
        <w:t xml:space="preserve"> </w:t>
      </w:r>
    </w:p>
    <w:p w14:paraId="7C35357F" w14:textId="7E4D7FF3" w:rsidR="00170DEA" w:rsidRDefault="00436776" w:rsidP="00170DEA">
      <w:pPr>
        <w:widowControl w:val="0"/>
        <w:autoSpaceDE w:val="0"/>
        <w:autoSpaceDN w:val="0"/>
        <w:adjustRightInd w:val="0"/>
        <w:spacing w:after="0" w:line="240" w:lineRule="auto"/>
        <w:jc w:val="both"/>
        <w:rPr>
          <w:sz w:val="24"/>
          <w:szCs w:val="24"/>
        </w:rPr>
      </w:pPr>
      <w:r w:rsidRPr="00436776">
        <w:rPr>
          <w:sz w:val="24"/>
          <w:szCs w:val="24"/>
        </w:rPr>
        <w:t>When supplementary funding was cut severely in mid-2012, even the better performing TAFEs became financially unsustainable. The immediate response by most TAFEs was to initiate staff redundancy programs, if they had not done so already.</w:t>
      </w:r>
    </w:p>
    <w:p w14:paraId="7E327ECA" w14:textId="77777777" w:rsidR="00436776" w:rsidRDefault="00436776" w:rsidP="00170DEA">
      <w:pPr>
        <w:widowControl w:val="0"/>
        <w:autoSpaceDE w:val="0"/>
        <w:autoSpaceDN w:val="0"/>
        <w:adjustRightInd w:val="0"/>
        <w:spacing w:after="0" w:line="240" w:lineRule="auto"/>
        <w:jc w:val="both"/>
        <w:rPr>
          <w:sz w:val="24"/>
          <w:szCs w:val="24"/>
        </w:rPr>
      </w:pPr>
    </w:p>
    <w:p w14:paraId="205251CF" w14:textId="59D8FA38" w:rsidR="00170DEA" w:rsidRDefault="00170DEA" w:rsidP="00170DEA">
      <w:pPr>
        <w:widowControl w:val="0"/>
        <w:autoSpaceDE w:val="0"/>
        <w:autoSpaceDN w:val="0"/>
        <w:adjustRightInd w:val="0"/>
        <w:spacing w:after="0" w:line="240" w:lineRule="auto"/>
        <w:jc w:val="both"/>
        <w:rPr>
          <w:sz w:val="24"/>
          <w:szCs w:val="24"/>
        </w:rPr>
      </w:pPr>
      <w:r>
        <w:rPr>
          <w:sz w:val="24"/>
          <w:szCs w:val="24"/>
        </w:rPr>
        <w:t xml:space="preserve">By </w:t>
      </w:r>
      <w:r w:rsidR="00436776">
        <w:rPr>
          <w:sz w:val="24"/>
          <w:szCs w:val="24"/>
        </w:rPr>
        <w:t>2013</w:t>
      </w:r>
      <w:r>
        <w:rPr>
          <w:sz w:val="24"/>
          <w:szCs w:val="24"/>
        </w:rPr>
        <w:t>, TAFE institutes</w:t>
      </w:r>
      <w:r w:rsidRPr="00981865">
        <w:rPr>
          <w:sz w:val="24"/>
          <w:szCs w:val="24"/>
        </w:rPr>
        <w:t xml:space="preserve"> were experiencing increased employment costs primarily </w:t>
      </w:r>
      <w:r>
        <w:rPr>
          <w:sz w:val="24"/>
          <w:szCs w:val="24"/>
        </w:rPr>
        <w:t>from</w:t>
      </w:r>
      <w:r w:rsidRPr="00981865">
        <w:rPr>
          <w:sz w:val="24"/>
          <w:szCs w:val="24"/>
        </w:rPr>
        <w:t xml:space="preserve"> redundancies, reduced capital grants, reduced </w:t>
      </w:r>
      <w:r>
        <w:rPr>
          <w:sz w:val="24"/>
          <w:szCs w:val="24"/>
        </w:rPr>
        <w:t xml:space="preserve">course </w:t>
      </w:r>
      <w:r w:rsidRPr="00981865">
        <w:rPr>
          <w:sz w:val="24"/>
          <w:szCs w:val="24"/>
        </w:rPr>
        <w:t xml:space="preserve">subsidies and stagnant student fee </w:t>
      </w:r>
      <w:r w:rsidRPr="00981865">
        <w:rPr>
          <w:sz w:val="24"/>
          <w:szCs w:val="24"/>
        </w:rPr>
        <w:lastRenderedPageBreak/>
        <w:t>revenue.</w:t>
      </w:r>
      <w:r>
        <w:rPr>
          <w:sz w:val="24"/>
          <w:szCs w:val="24"/>
        </w:rPr>
        <w:t xml:space="preserve"> </w:t>
      </w:r>
      <w:proofErr w:type="spellStart"/>
      <w:r>
        <w:rPr>
          <w:sz w:val="24"/>
          <w:szCs w:val="24"/>
        </w:rPr>
        <w:t>VAGO’s</w:t>
      </w:r>
      <w:proofErr w:type="spellEnd"/>
      <w:r>
        <w:rPr>
          <w:sz w:val="24"/>
          <w:szCs w:val="24"/>
        </w:rPr>
        <w:t xml:space="preserve"> audit for 2012 concluded that:</w:t>
      </w:r>
    </w:p>
    <w:p w14:paraId="111931AB" w14:textId="77777777" w:rsidR="00170DEA" w:rsidRDefault="00170DEA" w:rsidP="00170DEA">
      <w:pPr>
        <w:widowControl w:val="0"/>
        <w:autoSpaceDE w:val="0"/>
        <w:autoSpaceDN w:val="0"/>
        <w:adjustRightInd w:val="0"/>
        <w:spacing w:after="0" w:line="240" w:lineRule="auto"/>
        <w:jc w:val="both"/>
        <w:rPr>
          <w:sz w:val="24"/>
          <w:szCs w:val="24"/>
        </w:rPr>
      </w:pPr>
    </w:p>
    <w:p w14:paraId="0E931AD5" w14:textId="77777777" w:rsidR="00170DEA" w:rsidRPr="00AD77DF" w:rsidRDefault="00170DEA" w:rsidP="00170DEA">
      <w:pPr>
        <w:widowControl w:val="0"/>
        <w:autoSpaceDE w:val="0"/>
        <w:autoSpaceDN w:val="0"/>
        <w:adjustRightInd w:val="0"/>
        <w:spacing w:after="0" w:line="240" w:lineRule="auto"/>
        <w:ind w:left="567" w:right="662"/>
        <w:jc w:val="both"/>
        <w:rPr>
          <w:rFonts w:cs="Arial"/>
          <w:i/>
          <w:sz w:val="24"/>
          <w:szCs w:val="24"/>
          <w:lang w:val="en-US"/>
        </w:rPr>
      </w:pPr>
      <w:r w:rsidRPr="00AD77DF">
        <w:rPr>
          <w:rFonts w:cs="Arial"/>
          <w:i/>
          <w:sz w:val="24"/>
          <w:szCs w:val="24"/>
          <w:lang w:val="en-US"/>
        </w:rPr>
        <w:t>The sector's financial sustainability risk is deteriorating, with 10 of the 14 TAFEs assessed as medium risk in 2012, compared with seven in 2011… There is a risk that if individual TAFEs do not change their operations to cut costs and increase student revenue, they may become unsustainable.</w:t>
      </w:r>
      <w:r w:rsidRPr="00AD77DF">
        <w:rPr>
          <w:rStyle w:val="FootnoteReference"/>
          <w:rFonts w:cs="Arial"/>
          <w:i/>
          <w:sz w:val="24"/>
          <w:szCs w:val="24"/>
        </w:rPr>
        <w:footnoteReference w:id="4"/>
      </w:r>
      <w:r w:rsidRPr="00AD77DF">
        <w:rPr>
          <w:rFonts w:cs="Arial"/>
          <w:i/>
          <w:sz w:val="24"/>
          <w:szCs w:val="24"/>
        </w:rPr>
        <w:t xml:space="preserve"> </w:t>
      </w:r>
    </w:p>
    <w:p w14:paraId="69A66885" w14:textId="7404198C" w:rsidR="00170DEA" w:rsidRDefault="00170DEA">
      <w:pPr>
        <w:rPr>
          <w:sz w:val="24"/>
          <w:szCs w:val="24"/>
        </w:rPr>
      </w:pPr>
    </w:p>
    <w:p w14:paraId="7C60F0A4" w14:textId="46E4C939" w:rsidR="00886F46" w:rsidRDefault="00886F46" w:rsidP="00886F46">
      <w:pPr>
        <w:jc w:val="both"/>
        <w:rPr>
          <w:sz w:val="24"/>
          <w:szCs w:val="24"/>
        </w:rPr>
      </w:pPr>
      <w:r>
        <w:rPr>
          <w:sz w:val="24"/>
          <w:szCs w:val="24"/>
        </w:rPr>
        <w:t xml:space="preserve">It is </w:t>
      </w:r>
      <w:proofErr w:type="spellStart"/>
      <w:r>
        <w:rPr>
          <w:sz w:val="24"/>
          <w:szCs w:val="24"/>
        </w:rPr>
        <w:t>fund</w:t>
      </w:r>
      <w:r w:rsidR="0022100A">
        <w:rPr>
          <w:sz w:val="24"/>
          <w:szCs w:val="24"/>
        </w:rPr>
        <w:t>a</w:t>
      </w:r>
      <w:r>
        <w:rPr>
          <w:sz w:val="24"/>
          <w:szCs w:val="24"/>
        </w:rPr>
        <w:t>mantal</w:t>
      </w:r>
      <w:proofErr w:type="spellEnd"/>
      <w:r>
        <w:rPr>
          <w:sz w:val="24"/>
          <w:szCs w:val="24"/>
        </w:rPr>
        <w:t xml:space="preserve"> that any proposed reforms recognise that TAFE institutions by legislation face additional obligations and fixed costs that RTOs do not bear.</w:t>
      </w:r>
    </w:p>
    <w:p w14:paraId="68B809F2" w14:textId="77777777" w:rsidR="0022100A" w:rsidRDefault="00886F46" w:rsidP="00886F46">
      <w:pPr>
        <w:jc w:val="both"/>
        <w:rPr>
          <w:sz w:val="24"/>
          <w:szCs w:val="24"/>
        </w:rPr>
      </w:pPr>
      <w:r>
        <w:rPr>
          <w:sz w:val="24"/>
          <w:szCs w:val="24"/>
        </w:rPr>
        <w:t>In Victoria at least, most TAFEs are burdened with maintaining more premises and property than they can efficiently use for teaching purposes, but without government approval they are unable to take full commercial advantage of their surplus assets as a private business would – for example by sale, subdivision, leasing or even borrowing against assets.</w:t>
      </w:r>
    </w:p>
    <w:p w14:paraId="7FC564ED" w14:textId="2FF8FC22" w:rsidR="00886F46" w:rsidRDefault="0022100A" w:rsidP="00886F46">
      <w:pPr>
        <w:jc w:val="both"/>
        <w:rPr>
          <w:sz w:val="24"/>
          <w:szCs w:val="24"/>
        </w:rPr>
      </w:pPr>
      <w:r>
        <w:rPr>
          <w:sz w:val="24"/>
          <w:szCs w:val="24"/>
        </w:rPr>
        <w:t xml:space="preserve">For example, </w:t>
      </w:r>
      <w:r w:rsidR="00886F46">
        <w:rPr>
          <w:sz w:val="24"/>
          <w:szCs w:val="24"/>
        </w:rPr>
        <w:t xml:space="preserve">one regional </w:t>
      </w:r>
      <w:r>
        <w:rPr>
          <w:sz w:val="24"/>
          <w:szCs w:val="24"/>
        </w:rPr>
        <w:t xml:space="preserve">Victorian </w:t>
      </w:r>
      <w:r w:rsidR="00886F46">
        <w:rPr>
          <w:sz w:val="24"/>
          <w:szCs w:val="24"/>
        </w:rPr>
        <w:t>TAFE had 16 properties of which they used eleven</w:t>
      </w:r>
      <w:r>
        <w:rPr>
          <w:sz w:val="24"/>
          <w:szCs w:val="24"/>
        </w:rPr>
        <w:t xml:space="preserve"> (2017 data)</w:t>
      </w:r>
      <w:r w:rsidR="00886F46">
        <w:rPr>
          <w:sz w:val="24"/>
          <w:szCs w:val="24"/>
        </w:rPr>
        <w:t>. They were still obliged to maintain five closed campuses, and were unable to sell, subdivide or even lease their unused properties without departmental approval that would take many months or years.</w:t>
      </w:r>
    </w:p>
    <w:p w14:paraId="52BDC651" w14:textId="68185D8F" w:rsidR="00886F46" w:rsidRDefault="00886F46" w:rsidP="00886F46">
      <w:pPr>
        <w:jc w:val="both"/>
        <w:rPr>
          <w:sz w:val="24"/>
          <w:szCs w:val="24"/>
        </w:rPr>
      </w:pPr>
      <w:r>
        <w:rPr>
          <w:sz w:val="24"/>
          <w:szCs w:val="24"/>
        </w:rPr>
        <w:t xml:space="preserve">TAFEs also are not entirely free to choose which courses they run. </w:t>
      </w:r>
      <w:r w:rsidR="0022100A">
        <w:rPr>
          <w:sz w:val="24"/>
          <w:szCs w:val="24"/>
        </w:rPr>
        <w:t>A</w:t>
      </w:r>
      <w:r>
        <w:rPr>
          <w:sz w:val="24"/>
          <w:szCs w:val="24"/>
        </w:rPr>
        <w:t xml:space="preserve">utomotive, construction and commercial cookery require significant infrastructure to teach hands-on, and for some TAFEs these courses are an integral part of their branding. </w:t>
      </w:r>
    </w:p>
    <w:p w14:paraId="556DF2C2" w14:textId="5210F51F" w:rsidR="00886F46" w:rsidRDefault="00886F46" w:rsidP="00886F46">
      <w:pPr>
        <w:jc w:val="both"/>
        <w:rPr>
          <w:sz w:val="24"/>
          <w:szCs w:val="24"/>
        </w:rPr>
      </w:pPr>
      <w:r>
        <w:rPr>
          <w:sz w:val="24"/>
          <w:szCs w:val="24"/>
        </w:rPr>
        <w:t xml:space="preserve">For example: A perceived oversupply of courses in business studies, retail and hospitality led the Victorian Government in late 2012 to cut subsidy rates for these courses from $7-9 per hour down to $1.50. One TAFE specialising in hospitality was hit hard. It had weathered the earlier funding cuts through pro-active efficiency measures and maintaining </w:t>
      </w:r>
      <w:r w:rsidR="0022100A">
        <w:rPr>
          <w:sz w:val="24"/>
          <w:szCs w:val="24"/>
        </w:rPr>
        <w:t>international</w:t>
      </w:r>
      <w:r>
        <w:rPr>
          <w:sz w:val="24"/>
          <w:szCs w:val="24"/>
        </w:rPr>
        <w:t xml:space="preserve"> student revenue via </w:t>
      </w:r>
      <w:r w:rsidR="0022100A">
        <w:rPr>
          <w:sz w:val="24"/>
          <w:szCs w:val="24"/>
        </w:rPr>
        <w:t>very successful marketing and branding overseas</w:t>
      </w:r>
      <w:r>
        <w:rPr>
          <w:sz w:val="24"/>
          <w:szCs w:val="24"/>
        </w:rPr>
        <w:t xml:space="preserve">. The sudden </w:t>
      </w:r>
      <w:r w:rsidR="0022100A">
        <w:rPr>
          <w:sz w:val="24"/>
          <w:szCs w:val="24"/>
        </w:rPr>
        <w:t>plummet in</w:t>
      </w:r>
      <w:r>
        <w:rPr>
          <w:sz w:val="24"/>
          <w:szCs w:val="24"/>
        </w:rPr>
        <w:t xml:space="preserve"> subsidy revenue forced them to increase student fees, reduce staff numbers further, and draw on savings earmarked for </w:t>
      </w:r>
      <w:r w:rsidR="0022100A">
        <w:rPr>
          <w:sz w:val="24"/>
          <w:szCs w:val="24"/>
        </w:rPr>
        <w:t xml:space="preserve">campus </w:t>
      </w:r>
      <w:r>
        <w:rPr>
          <w:sz w:val="24"/>
          <w:szCs w:val="24"/>
        </w:rPr>
        <w:t>expansion interstate and overseas.</w:t>
      </w:r>
    </w:p>
    <w:p w14:paraId="5C54FC94" w14:textId="3768DAF6" w:rsidR="00436776" w:rsidRDefault="00436776">
      <w:pPr>
        <w:rPr>
          <w:sz w:val="24"/>
          <w:szCs w:val="24"/>
        </w:rPr>
      </w:pPr>
    </w:p>
    <w:p w14:paraId="4CA4DA5F" w14:textId="3E4856E4" w:rsidR="007A4560" w:rsidRDefault="00D120A6">
      <w:pPr>
        <w:rPr>
          <w:sz w:val="24"/>
          <w:szCs w:val="24"/>
        </w:rPr>
      </w:pPr>
      <w:r>
        <w:rPr>
          <w:sz w:val="24"/>
          <w:szCs w:val="24"/>
        </w:rPr>
        <w:t xml:space="preserve">I also hold some concerns about introduction of a student voucher system instead of subsidy payments. </w:t>
      </w:r>
      <w:r w:rsidR="000915A2">
        <w:rPr>
          <w:sz w:val="24"/>
          <w:szCs w:val="24"/>
        </w:rPr>
        <w:t xml:space="preserve">TAFE institutes will continue to have higher fixed costs and fuller service obligations than private RTOs – as outlined earlier – therefore will require subsidy payments to maintain financial viability. Additionally, </w:t>
      </w:r>
      <w:r w:rsidR="00B0227B">
        <w:rPr>
          <w:sz w:val="24"/>
          <w:szCs w:val="24"/>
        </w:rPr>
        <w:t>a voucher system will provide no incentive for RTOs</w:t>
      </w:r>
      <w:r w:rsidR="002A704B">
        <w:rPr>
          <w:sz w:val="24"/>
          <w:szCs w:val="24"/>
        </w:rPr>
        <w:t>,</w:t>
      </w:r>
      <w:r w:rsidR="00B0227B">
        <w:rPr>
          <w:sz w:val="24"/>
          <w:szCs w:val="24"/>
        </w:rPr>
        <w:t xml:space="preserve"> private or public</w:t>
      </w:r>
      <w:r w:rsidR="002A704B">
        <w:rPr>
          <w:sz w:val="24"/>
          <w:szCs w:val="24"/>
        </w:rPr>
        <w:t>,</w:t>
      </w:r>
      <w:r w:rsidR="00B0227B">
        <w:rPr>
          <w:sz w:val="24"/>
          <w:szCs w:val="24"/>
        </w:rPr>
        <w:t xml:space="preserve"> to improve quality nor will it drive innovation in the sector, as RTOs will </w:t>
      </w:r>
      <w:r w:rsidR="002A704B">
        <w:rPr>
          <w:sz w:val="24"/>
          <w:szCs w:val="24"/>
        </w:rPr>
        <w:t xml:space="preserve">be forced to </w:t>
      </w:r>
      <w:r w:rsidR="00B0227B">
        <w:rPr>
          <w:sz w:val="24"/>
          <w:szCs w:val="24"/>
        </w:rPr>
        <w:t xml:space="preserve">compete </w:t>
      </w:r>
      <w:r w:rsidR="002A704B">
        <w:rPr>
          <w:sz w:val="24"/>
          <w:szCs w:val="24"/>
        </w:rPr>
        <w:t xml:space="preserve">for students </w:t>
      </w:r>
      <w:r w:rsidR="00B0227B">
        <w:rPr>
          <w:sz w:val="24"/>
          <w:szCs w:val="24"/>
        </w:rPr>
        <w:t>on price alone.</w:t>
      </w:r>
      <w:r w:rsidR="002A704B">
        <w:rPr>
          <w:sz w:val="24"/>
          <w:szCs w:val="24"/>
        </w:rPr>
        <w:t xml:space="preserve"> Once again, private RTOs with lower overheads will be offering a free iPad to every new student.</w:t>
      </w:r>
    </w:p>
    <w:p w14:paraId="69B900EC" w14:textId="174077B7" w:rsidR="00B0227B" w:rsidRDefault="00B0227B">
      <w:pPr>
        <w:rPr>
          <w:sz w:val="24"/>
          <w:szCs w:val="24"/>
        </w:rPr>
      </w:pPr>
      <w:r>
        <w:rPr>
          <w:sz w:val="24"/>
          <w:szCs w:val="24"/>
        </w:rPr>
        <w:t>Thank you for the opportunity to make this submission.</w:t>
      </w:r>
    </w:p>
    <w:p w14:paraId="62DE84E1" w14:textId="77777777" w:rsidR="002A704B" w:rsidRDefault="002A704B">
      <w:pPr>
        <w:rPr>
          <w:sz w:val="24"/>
          <w:szCs w:val="24"/>
        </w:rPr>
      </w:pPr>
    </w:p>
    <w:p w14:paraId="0D63D4AD" w14:textId="376506CB" w:rsidR="00B0227B" w:rsidRPr="009A6E0B" w:rsidRDefault="00B0227B">
      <w:pPr>
        <w:rPr>
          <w:sz w:val="24"/>
          <w:szCs w:val="24"/>
        </w:rPr>
      </w:pPr>
      <w:r>
        <w:rPr>
          <w:sz w:val="24"/>
          <w:szCs w:val="24"/>
        </w:rPr>
        <w:t>Peter Feldman</w:t>
      </w:r>
      <w:r w:rsidR="002A704B">
        <w:rPr>
          <w:sz w:val="24"/>
          <w:szCs w:val="24"/>
        </w:rPr>
        <w:t xml:space="preserve">, </w:t>
      </w:r>
      <w:r>
        <w:rPr>
          <w:sz w:val="24"/>
          <w:szCs w:val="24"/>
        </w:rPr>
        <w:t>Melbourne, 16</w:t>
      </w:r>
      <w:r w:rsidRPr="00B0227B">
        <w:rPr>
          <w:sz w:val="24"/>
          <w:szCs w:val="24"/>
          <w:vertAlign w:val="superscript"/>
        </w:rPr>
        <w:t>th</w:t>
      </w:r>
      <w:r w:rsidR="00C876E1">
        <w:rPr>
          <w:sz w:val="24"/>
          <w:szCs w:val="24"/>
        </w:rPr>
        <w:t xml:space="preserve"> July 2020</w:t>
      </w:r>
      <w:bookmarkStart w:id="0" w:name="_GoBack"/>
      <w:bookmarkEnd w:id="0"/>
    </w:p>
    <w:sectPr w:rsidR="00B0227B" w:rsidRPr="009A6E0B" w:rsidSect="00B0227B">
      <w:footerReference w:type="default" r:id="rId7"/>
      <w:pgSz w:w="11906" w:h="16838"/>
      <w:pgMar w:top="1134" w:right="1440" w:bottom="1134"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701C7C" w14:textId="77777777" w:rsidR="005379E4" w:rsidRDefault="005379E4" w:rsidP="00170DEA">
      <w:pPr>
        <w:spacing w:after="0" w:line="240" w:lineRule="auto"/>
      </w:pPr>
      <w:r>
        <w:separator/>
      </w:r>
    </w:p>
  </w:endnote>
  <w:endnote w:type="continuationSeparator" w:id="0">
    <w:p w14:paraId="4C3EE615" w14:textId="77777777" w:rsidR="005379E4" w:rsidRDefault="005379E4" w:rsidP="00170D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019590"/>
      <w:docPartObj>
        <w:docPartGallery w:val="Page Numbers (Bottom of Page)"/>
        <w:docPartUnique/>
      </w:docPartObj>
    </w:sdtPr>
    <w:sdtEndPr>
      <w:rPr>
        <w:noProof/>
      </w:rPr>
    </w:sdtEndPr>
    <w:sdtContent>
      <w:p w14:paraId="5277C306" w14:textId="248AE9F6" w:rsidR="00B0227B" w:rsidRDefault="00B0227B">
        <w:pPr>
          <w:pStyle w:val="Footer"/>
          <w:jc w:val="right"/>
        </w:pPr>
        <w:r>
          <w:fldChar w:fldCharType="begin"/>
        </w:r>
        <w:r>
          <w:instrText xml:space="preserve"> PAGE   \* MERGEFORMAT </w:instrText>
        </w:r>
        <w:r>
          <w:fldChar w:fldCharType="separate"/>
        </w:r>
        <w:r w:rsidR="00C876E1">
          <w:rPr>
            <w:noProof/>
          </w:rPr>
          <w:t>2</w:t>
        </w:r>
        <w:r>
          <w:rPr>
            <w:noProof/>
          </w:rPr>
          <w:fldChar w:fldCharType="end"/>
        </w:r>
      </w:p>
    </w:sdtContent>
  </w:sdt>
  <w:p w14:paraId="0A8375D1" w14:textId="77777777" w:rsidR="00B0227B" w:rsidRDefault="00B0227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0B23EA" w14:textId="77777777" w:rsidR="005379E4" w:rsidRDefault="005379E4" w:rsidP="00170DEA">
      <w:pPr>
        <w:spacing w:after="0" w:line="240" w:lineRule="auto"/>
      </w:pPr>
      <w:r>
        <w:separator/>
      </w:r>
    </w:p>
  </w:footnote>
  <w:footnote w:type="continuationSeparator" w:id="0">
    <w:p w14:paraId="68C3A717" w14:textId="77777777" w:rsidR="005379E4" w:rsidRDefault="005379E4" w:rsidP="00170DEA">
      <w:pPr>
        <w:spacing w:after="0" w:line="240" w:lineRule="auto"/>
      </w:pPr>
      <w:r>
        <w:continuationSeparator/>
      </w:r>
    </w:p>
  </w:footnote>
  <w:footnote w:id="1">
    <w:p w14:paraId="0A63406D" w14:textId="77777777" w:rsidR="00170DEA" w:rsidRPr="00594CCB" w:rsidRDefault="00170DEA" w:rsidP="00170DEA">
      <w:pPr>
        <w:autoSpaceDE w:val="0"/>
        <w:autoSpaceDN w:val="0"/>
        <w:adjustRightInd w:val="0"/>
        <w:spacing w:after="0" w:line="240" w:lineRule="auto"/>
        <w:rPr>
          <w:rFonts w:cs="Arial"/>
          <w:sz w:val="20"/>
          <w:szCs w:val="20"/>
        </w:rPr>
      </w:pPr>
      <w:r w:rsidRPr="00594CCB">
        <w:rPr>
          <w:rStyle w:val="FootnoteReference"/>
          <w:sz w:val="20"/>
          <w:szCs w:val="20"/>
        </w:rPr>
        <w:footnoteRef/>
      </w:r>
      <w:r w:rsidRPr="00594CCB">
        <w:rPr>
          <w:sz w:val="20"/>
          <w:szCs w:val="20"/>
        </w:rPr>
        <w:t xml:space="preserve"> </w:t>
      </w:r>
      <w:r w:rsidRPr="00594CCB">
        <w:rPr>
          <w:rFonts w:cs="Arial"/>
          <w:i/>
          <w:iCs/>
          <w:sz w:val="20"/>
          <w:szCs w:val="20"/>
        </w:rPr>
        <w:t xml:space="preserve">Results of Audits for Entities with other than 30 June 2008 Balance Dates, </w:t>
      </w:r>
      <w:proofErr w:type="spellStart"/>
      <w:r w:rsidRPr="00594CCB">
        <w:rPr>
          <w:rFonts w:cs="Arial"/>
          <w:i/>
          <w:iCs/>
          <w:sz w:val="20"/>
          <w:szCs w:val="20"/>
        </w:rPr>
        <w:t>pp37</w:t>
      </w:r>
      <w:proofErr w:type="spellEnd"/>
      <w:r w:rsidRPr="00594CCB">
        <w:rPr>
          <w:rFonts w:cs="Arial"/>
          <w:i/>
          <w:iCs/>
          <w:sz w:val="20"/>
          <w:szCs w:val="20"/>
        </w:rPr>
        <w:t xml:space="preserve">-38. </w:t>
      </w:r>
      <w:proofErr w:type="spellStart"/>
      <w:r w:rsidRPr="00594CCB">
        <w:rPr>
          <w:rFonts w:cs="Arial"/>
          <w:iCs/>
          <w:sz w:val="20"/>
          <w:szCs w:val="20"/>
        </w:rPr>
        <w:t>VAGO</w:t>
      </w:r>
      <w:proofErr w:type="spellEnd"/>
      <w:r w:rsidRPr="00594CCB">
        <w:rPr>
          <w:rFonts w:cs="Arial"/>
          <w:iCs/>
          <w:sz w:val="20"/>
          <w:szCs w:val="20"/>
        </w:rPr>
        <w:t>.</w:t>
      </w:r>
    </w:p>
  </w:footnote>
  <w:footnote w:id="2">
    <w:p w14:paraId="1CAB46FA" w14:textId="77777777" w:rsidR="00170DEA" w:rsidRPr="006D189F" w:rsidRDefault="00170DEA" w:rsidP="00170DEA">
      <w:pPr>
        <w:rPr>
          <w:sz w:val="20"/>
          <w:szCs w:val="20"/>
        </w:rPr>
      </w:pPr>
      <w:r w:rsidRPr="00E0621E">
        <w:rPr>
          <w:rStyle w:val="FootnoteReference"/>
          <w:sz w:val="20"/>
          <w:szCs w:val="20"/>
        </w:rPr>
        <w:footnoteRef/>
      </w:r>
      <w:r w:rsidRPr="00E0621E">
        <w:rPr>
          <w:sz w:val="20"/>
          <w:szCs w:val="20"/>
        </w:rPr>
        <w:t xml:space="preserve"> Source: Victorian Training Market Quarterly Report, Full Year 2011. Skills Victoria, </w:t>
      </w:r>
      <w:proofErr w:type="spellStart"/>
      <w:r w:rsidRPr="00E0621E">
        <w:rPr>
          <w:sz w:val="20"/>
          <w:szCs w:val="20"/>
        </w:rPr>
        <w:t>DEECD</w:t>
      </w:r>
      <w:proofErr w:type="spellEnd"/>
      <w:r w:rsidRPr="00E0621E">
        <w:rPr>
          <w:sz w:val="20"/>
          <w:szCs w:val="20"/>
        </w:rPr>
        <w:t>. (</w:t>
      </w:r>
      <w:proofErr w:type="spellStart"/>
      <w:r w:rsidRPr="00E0621E">
        <w:rPr>
          <w:sz w:val="20"/>
          <w:szCs w:val="20"/>
        </w:rPr>
        <w:t>p.7</w:t>
      </w:r>
      <w:proofErr w:type="spellEnd"/>
      <w:r w:rsidRPr="00E0621E">
        <w:rPr>
          <w:sz w:val="20"/>
          <w:szCs w:val="20"/>
        </w:rPr>
        <w:t>)</w:t>
      </w:r>
    </w:p>
  </w:footnote>
  <w:footnote w:id="3">
    <w:p w14:paraId="21BD5EDB" w14:textId="77777777" w:rsidR="00170DEA" w:rsidRPr="00E0621E" w:rsidRDefault="00170DEA" w:rsidP="00170DEA">
      <w:pPr>
        <w:pStyle w:val="FootnoteText"/>
      </w:pPr>
      <w:r w:rsidRPr="00E0621E">
        <w:rPr>
          <w:rStyle w:val="FootnoteReference"/>
        </w:rPr>
        <w:footnoteRef/>
      </w:r>
      <w:r w:rsidRPr="00E0621E">
        <w:t xml:space="preserve"> </w:t>
      </w:r>
      <w:r>
        <w:t>$</w:t>
      </w:r>
      <w:proofErr w:type="spellStart"/>
      <w:r>
        <w:t>270m</w:t>
      </w:r>
      <w:proofErr w:type="spellEnd"/>
      <w:r>
        <w:t xml:space="preserve"> according to </w:t>
      </w:r>
      <w:r w:rsidRPr="00404D6A">
        <w:rPr>
          <w:i/>
        </w:rPr>
        <w:t>VET Funding Review – Issues Paper.</w:t>
      </w:r>
      <w:r>
        <w:t xml:space="preserve"> July 2015, Victorian Government; nearly $</w:t>
      </w:r>
      <w:proofErr w:type="spellStart"/>
      <w:r>
        <w:t>300m</w:t>
      </w:r>
      <w:proofErr w:type="spellEnd"/>
      <w:r>
        <w:t xml:space="preserve"> according to </w:t>
      </w:r>
      <w:r w:rsidRPr="00404D6A">
        <w:rPr>
          <w:i/>
        </w:rPr>
        <w:t>The Sydney Morning Herald</w:t>
      </w:r>
      <w:r w:rsidRPr="00E0621E">
        <w:t>, May 8 2012.</w:t>
      </w:r>
    </w:p>
  </w:footnote>
  <w:footnote w:id="4">
    <w:p w14:paraId="2CDCEDC0" w14:textId="77777777" w:rsidR="00170DEA" w:rsidRPr="00E0621E" w:rsidRDefault="00170DEA" w:rsidP="00170DEA">
      <w:pPr>
        <w:pStyle w:val="FootnoteText"/>
      </w:pPr>
      <w:r w:rsidRPr="00E0621E">
        <w:rPr>
          <w:rStyle w:val="FootnoteReference"/>
        </w:rPr>
        <w:footnoteRef/>
      </w:r>
      <w:r w:rsidRPr="00E0621E">
        <w:t xml:space="preserve"> </w:t>
      </w:r>
      <w:r w:rsidRPr="00E0621E">
        <w:rPr>
          <w:rFonts w:cs="Arial"/>
          <w:i/>
          <w:iCs/>
        </w:rPr>
        <w:t>Tertiary Education and Other Entities: Results of the 2012 Audits. Victorian Auditor-General’s Office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EF355D"/>
    <w:multiLevelType w:val="hybridMultilevel"/>
    <w:tmpl w:val="CBB2FC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6E0B"/>
    <w:rsid w:val="000915A2"/>
    <w:rsid w:val="00170DEA"/>
    <w:rsid w:val="001852E1"/>
    <w:rsid w:val="0022100A"/>
    <w:rsid w:val="002A704B"/>
    <w:rsid w:val="00436776"/>
    <w:rsid w:val="005379E4"/>
    <w:rsid w:val="007A4560"/>
    <w:rsid w:val="0080189E"/>
    <w:rsid w:val="00886F46"/>
    <w:rsid w:val="009A6E0B"/>
    <w:rsid w:val="00B0227B"/>
    <w:rsid w:val="00C876E1"/>
    <w:rsid w:val="00D120A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DE28A"/>
  <w15:chartTrackingRefBased/>
  <w15:docId w15:val="{B456BF4D-2EB3-4D5F-88ED-F19C4B3A4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0DEA"/>
    <w:pPr>
      <w:spacing w:after="200" w:line="276" w:lineRule="auto"/>
      <w:ind w:left="720"/>
      <w:contextualSpacing/>
    </w:pPr>
  </w:style>
  <w:style w:type="paragraph" w:styleId="FootnoteText">
    <w:name w:val="footnote text"/>
    <w:basedOn w:val="Normal"/>
    <w:link w:val="FootnoteTextChar"/>
    <w:uiPriority w:val="99"/>
    <w:unhideWhenUsed/>
    <w:rsid w:val="00170DEA"/>
    <w:pPr>
      <w:spacing w:after="0" w:line="240" w:lineRule="auto"/>
    </w:pPr>
    <w:rPr>
      <w:sz w:val="20"/>
      <w:szCs w:val="20"/>
    </w:rPr>
  </w:style>
  <w:style w:type="character" w:customStyle="1" w:styleId="FootnoteTextChar">
    <w:name w:val="Footnote Text Char"/>
    <w:basedOn w:val="DefaultParagraphFont"/>
    <w:link w:val="FootnoteText"/>
    <w:uiPriority w:val="99"/>
    <w:rsid w:val="00170DEA"/>
    <w:rPr>
      <w:sz w:val="20"/>
      <w:szCs w:val="20"/>
    </w:rPr>
  </w:style>
  <w:style w:type="character" w:styleId="FootnoteReference">
    <w:name w:val="footnote reference"/>
    <w:basedOn w:val="DefaultParagraphFont"/>
    <w:uiPriority w:val="99"/>
    <w:unhideWhenUsed/>
    <w:rsid w:val="00170DEA"/>
    <w:rPr>
      <w:vertAlign w:val="superscript"/>
    </w:rPr>
  </w:style>
  <w:style w:type="table" w:styleId="TableGrid">
    <w:name w:val="Table Grid"/>
    <w:basedOn w:val="TableNormal"/>
    <w:rsid w:val="00170D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022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227B"/>
  </w:style>
  <w:style w:type="paragraph" w:styleId="Footer">
    <w:name w:val="footer"/>
    <w:basedOn w:val="Normal"/>
    <w:link w:val="FooterChar"/>
    <w:uiPriority w:val="99"/>
    <w:unhideWhenUsed/>
    <w:rsid w:val="00B022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2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2012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3</Pages>
  <Words>1180</Words>
  <Characters>6729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Feldman</dc:creator>
  <cp:keywords/>
  <dc:description/>
  <cp:lastModifiedBy>Ottaway, Ingrid</cp:lastModifiedBy>
  <cp:revision>4</cp:revision>
  <dcterms:created xsi:type="dcterms:W3CDTF">2020-07-16T00:53:00Z</dcterms:created>
  <dcterms:modified xsi:type="dcterms:W3CDTF">2020-07-16T05:42:00Z</dcterms:modified>
</cp:coreProperties>
</file>