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12"/>
      </w:tblGrid>
      <w:tr w:rsidR="007C74A6" w:rsidRPr="0012277A" w14:paraId="473F9AC1" w14:textId="77777777" w:rsidTr="007C74A6">
        <w:trPr>
          <w:trHeight w:val="851"/>
        </w:trPr>
        <w:tc>
          <w:tcPr>
            <w:tcW w:w="4508" w:type="dxa"/>
          </w:tcPr>
          <w:p w14:paraId="1E937123" w14:textId="77777777" w:rsidR="007C74A6" w:rsidRPr="0012277A" w:rsidRDefault="007C74A6" w:rsidP="00D839AE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512" w:type="dxa"/>
          </w:tcPr>
          <w:p w14:paraId="19680975" w14:textId="77777777" w:rsidR="007C74A6" w:rsidRPr="0012277A" w:rsidRDefault="007C74A6" w:rsidP="00D839AE">
            <w:pPr>
              <w:spacing w:line="276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EB953FC" w14:textId="538D5C8D" w:rsidR="00FC09D7" w:rsidRDefault="00AF41B2" w:rsidP="00D839AE">
      <w:p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>1</w:t>
      </w:r>
      <w:r w:rsidR="00764FE5">
        <w:rPr>
          <w:rFonts w:cs="Arial"/>
          <w:szCs w:val="20"/>
        </w:rPr>
        <w:t>8</w:t>
      </w:r>
      <w:r>
        <w:rPr>
          <w:rFonts w:cs="Arial"/>
          <w:szCs w:val="20"/>
        </w:rPr>
        <w:t xml:space="preserve"> August 2020</w:t>
      </w:r>
    </w:p>
    <w:p w14:paraId="5BD6C6AA" w14:textId="599046EA" w:rsidR="00AF41B2" w:rsidRDefault="00AF41B2" w:rsidP="00D839AE">
      <w:pPr>
        <w:spacing w:line="276" w:lineRule="auto"/>
        <w:rPr>
          <w:rFonts w:cs="Arial"/>
          <w:szCs w:val="20"/>
        </w:rPr>
      </w:pPr>
    </w:p>
    <w:p w14:paraId="0EFD7313" w14:textId="77777777" w:rsidR="00AF41B2" w:rsidRPr="00F071FD" w:rsidRDefault="00AF41B2" w:rsidP="00D839AE">
      <w:pPr>
        <w:spacing w:line="276" w:lineRule="auto"/>
        <w:rPr>
          <w:rFonts w:cs="Arial"/>
          <w:szCs w:val="20"/>
        </w:rPr>
      </w:pPr>
    </w:p>
    <w:p w14:paraId="31AF4427" w14:textId="425ACF00" w:rsidR="00AF41B2" w:rsidRDefault="00764FE5" w:rsidP="00D839AE">
      <w:pPr>
        <w:spacing w:line="276" w:lineRule="auto"/>
      </w:pPr>
      <w:r w:rsidRPr="00167A86">
        <w:t>National Water Reform 2020</w:t>
      </w:r>
      <w:r>
        <w:br/>
        <w:t>Productivity Commission</w:t>
      </w:r>
      <w:r>
        <w:br/>
      </w:r>
      <w:r w:rsidRPr="00167A86">
        <w:t xml:space="preserve">Locked Bag 2, Collins St East </w:t>
      </w:r>
      <w:r>
        <w:br/>
      </w:r>
      <w:r w:rsidRPr="00167A86">
        <w:t>Melbourne</w:t>
      </w:r>
      <w:r>
        <w:t xml:space="preserve"> </w:t>
      </w:r>
      <w:r w:rsidRPr="00167A86">
        <w:t xml:space="preserve"> </w:t>
      </w:r>
      <w:r>
        <w:t xml:space="preserve"> </w:t>
      </w:r>
      <w:r w:rsidRPr="00167A86">
        <w:t xml:space="preserve">VIC </w:t>
      </w:r>
      <w:r>
        <w:t xml:space="preserve">  </w:t>
      </w:r>
      <w:r w:rsidRPr="00167A86">
        <w:t>8003</w:t>
      </w:r>
    </w:p>
    <w:p w14:paraId="6506A5D5" w14:textId="77777777" w:rsidR="00764FE5" w:rsidRDefault="00764FE5" w:rsidP="00D839AE">
      <w:pPr>
        <w:spacing w:line="276" w:lineRule="auto"/>
      </w:pPr>
    </w:p>
    <w:p w14:paraId="708349FB" w14:textId="77777777" w:rsidR="00AF41B2" w:rsidRPr="006D6B78" w:rsidRDefault="00AF41B2" w:rsidP="00D839AE">
      <w:pPr>
        <w:spacing w:line="276" w:lineRule="auto"/>
        <w:rPr>
          <w:rFonts w:cs="Arial"/>
          <w:szCs w:val="20"/>
        </w:rPr>
      </w:pPr>
    </w:p>
    <w:p w14:paraId="39351497" w14:textId="2A19B2D3" w:rsidR="00AF41B2" w:rsidRPr="006309E3" w:rsidRDefault="006309E3" w:rsidP="00D839AE">
      <w:pPr>
        <w:spacing w:line="276" w:lineRule="auto"/>
        <w:rPr>
          <w:b/>
          <w:bCs/>
        </w:rPr>
      </w:pPr>
      <w:r w:rsidRPr="006309E3">
        <w:rPr>
          <w:b/>
          <w:bCs/>
        </w:rPr>
        <w:t>Productivity Commission Inquiry into the Reform of the Australian Water Resources Sector</w:t>
      </w:r>
    </w:p>
    <w:p w14:paraId="36EE0379" w14:textId="77777777" w:rsidR="006309E3" w:rsidRPr="006D6B78" w:rsidRDefault="006309E3" w:rsidP="00D839AE">
      <w:pPr>
        <w:spacing w:line="276" w:lineRule="auto"/>
        <w:rPr>
          <w:rFonts w:cs="Arial"/>
          <w:i/>
          <w:szCs w:val="20"/>
        </w:rPr>
      </w:pPr>
    </w:p>
    <w:p w14:paraId="30F83879" w14:textId="2D67C60B" w:rsidR="00AF41B2" w:rsidRPr="006D6B78" w:rsidRDefault="00AF41B2" w:rsidP="00D839AE">
      <w:pPr>
        <w:spacing w:line="276" w:lineRule="auto"/>
        <w:rPr>
          <w:rFonts w:cs="Arial"/>
          <w:iCs/>
          <w:szCs w:val="20"/>
        </w:rPr>
      </w:pPr>
      <w:r w:rsidRPr="006D6B78">
        <w:rPr>
          <w:rFonts w:cs="Arial"/>
          <w:iCs/>
          <w:szCs w:val="20"/>
        </w:rPr>
        <w:t xml:space="preserve">Dear </w:t>
      </w:r>
      <w:r w:rsidR="00764FE5">
        <w:rPr>
          <w:rFonts w:cs="Arial"/>
          <w:iCs/>
          <w:szCs w:val="20"/>
        </w:rPr>
        <w:t>Co</w:t>
      </w:r>
      <w:r w:rsidR="006309E3">
        <w:rPr>
          <w:rFonts w:cs="Arial"/>
          <w:iCs/>
          <w:szCs w:val="20"/>
        </w:rPr>
        <w:t>mmissioners</w:t>
      </w:r>
    </w:p>
    <w:p w14:paraId="388C7E59" w14:textId="77777777" w:rsidR="00176C27" w:rsidRDefault="00176C27" w:rsidP="00D839AE">
      <w:pPr>
        <w:spacing w:line="276" w:lineRule="auto"/>
      </w:pPr>
    </w:p>
    <w:p w14:paraId="2F9900E0" w14:textId="01E84406" w:rsidR="006309E3" w:rsidRDefault="006309E3" w:rsidP="00D839AE">
      <w:pPr>
        <w:spacing w:line="276" w:lineRule="auto"/>
        <w:rPr>
          <w:rStyle w:val="fontstyle01"/>
        </w:rPr>
      </w:pPr>
      <w:r>
        <w:rPr>
          <w:rStyle w:val="fontstyle01"/>
        </w:rPr>
        <w:t xml:space="preserve">There remain concerns amongst stakeholders about whether </w:t>
      </w:r>
      <w:r w:rsidR="007F334C">
        <w:rPr>
          <w:rStyle w:val="fontstyle01"/>
        </w:rPr>
        <w:t>the NWI principles are being sufficiently applied in respect of the River Murray System. In our opinion, t</w:t>
      </w:r>
      <w:r>
        <w:rPr>
          <w:rStyle w:val="fontstyle01"/>
        </w:rPr>
        <w:t>oo much water is being lost in the</w:t>
      </w:r>
      <w:r>
        <w:rPr>
          <w:rFonts w:cs="Arial"/>
          <w:color w:val="000000"/>
          <w:szCs w:val="20"/>
        </w:rPr>
        <w:br/>
      </w:r>
      <w:r>
        <w:rPr>
          <w:rStyle w:val="fontstyle01"/>
        </w:rPr>
        <w:t>operation of the River Murray system. However, it appears that there are established arrangements</w:t>
      </w:r>
      <w:r>
        <w:rPr>
          <w:rFonts w:cs="Arial"/>
          <w:color w:val="000000"/>
          <w:szCs w:val="20"/>
        </w:rPr>
        <w:br/>
      </w:r>
      <w:r>
        <w:rPr>
          <w:rStyle w:val="fontstyle01"/>
        </w:rPr>
        <w:t>and processes in place to help the system’s efficient operation and hold those who benefit</w:t>
      </w:r>
      <w:r>
        <w:rPr>
          <w:rFonts w:cs="Arial"/>
          <w:color w:val="000000"/>
          <w:szCs w:val="20"/>
        </w:rPr>
        <w:br/>
      </w:r>
      <w:r>
        <w:rPr>
          <w:rStyle w:val="fontstyle01"/>
        </w:rPr>
        <w:t>accountable.</w:t>
      </w:r>
    </w:p>
    <w:p w14:paraId="2382432E" w14:textId="7F2620D3" w:rsidR="007F334C" w:rsidRDefault="007F334C" w:rsidP="00D839AE">
      <w:pPr>
        <w:spacing w:line="276" w:lineRule="auto"/>
        <w:rPr>
          <w:rStyle w:val="fontstyle01"/>
        </w:rPr>
      </w:pPr>
    </w:p>
    <w:p w14:paraId="7BDA78D8" w14:textId="287E8863" w:rsidR="00176C27" w:rsidRDefault="007F334C" w:rsidP="00D839AE">
      <w:pPr>
        <w:spacing w:line="276" w:lineRule="auto"/>
        <w:rPr>
          <w:rStyle w:val="fontstyle01"/>
        </w:rPr>
      </w:pPr>
      <w:r>
        <w:rPr>
          <w:rStyle w:val="fontstyle01"/>
        </w:rPr>
        <w:t xml:space="preserve">We hope that the NWI will </w:t>
      </w:r>
      <w:r w:rsidR="006309E3">
        <w:rPr>
          <w:rStyle w:val="fontstyle01"/>
        </w:rPr>
        <w:t>improve transparency on river operations—and further work to investigate the impact of</w:t>
      </w:r>
      <w:r>
        <w:rPr>
          <w:rStyle w:val="fontstyle01"/>
        </w:rPr>
        <w:t xml:space="preserve"> </w:t>
      </w:r>
      <w:r w:rsidR="006309E3">
        <w:rPr>
          <w:rStyle w:val="fontstyle01"/>
        </w:rPr>
        <w:t>pressures such as expanding horticultural development downstream—must be delivered quickly to</w:t>
      </w:r>
      <w:r>
        <w:rPr>
          <w:rStyle w:val="fontstyle01"/>
        </w:rPr>
        <w:t xml:space="preserve"> </w:t>
      </w:r>
      <w:r w:rsidR="006309E3">
        <w:rPr>
          <w:rStyle w:val="fontstyle01"/>
        </w:rPr>
        <w:t>give greater confidence for the future</w:t>
      </w:r>
      <w:r>
        <w:rPr>
          <w:rStyle w:val="fontstyle01"/>
        </w:rPr>
        <w:t xml:space="preserve">.  Furthermore, we believe there must be an </w:t>
      </w:r>
      <w:r>
        <w:t>assessment of a diverse range of both supply-side options (e.g. desalination, recycled water, inter-regional transfers) and demand-side measures (e.g. public education programs, voluntary and then mandatory water use restrictions, water efficiency measures and inclining block tariffs).</w:t>
      </w:r>
    </w:p>
    <w:p w14:paraId="112D071B" w14:textId="07765DC5" w:rsidR="007F334C" w:rsidRDefault="007F334C" w:rsidP="00D839AE">
      <w:pPr>
        <w:spacing w:line="276" w:lineRule="auto"/>
        <w:rPr>
          <w:rStyle w:val="fontstyle01"/>
        </w:rPr>
      </w:pPr>
    </w:p>
    <w:p w14:paraId="2DAE7D25" w14:textId="77777777" w:rsidR="007F334C" w:rsidRDefault="007F334C" w:rsidP="00D839AE">
      <w:pPr>
        <w:spacing w:line="276" w:lineRule="auto"/>
      </w:pPr>
      <w:r>
        <w:t xml:space="preserve">Further consideration also ought to be given to irrigation, without which a significant proportion of Australia’s agricultural industries would either not exist or be greatly diminished. </w:t>
      </w:r>
    </w:p>
    <w:p w14:paraId="1CDCEB0D" w14:textId="77777777" w:rsidR="007F334C" w:rsidRDefault="007F334C" w:rsidP="00D839AE">
      <w:pPr>
        <w:spacing w:line="276" w:lineRule="auto"/>
      </w:pPr>
    </w:p>
    <w:p w14:paraId="470BFF54" w14:textId="6B9F2D38" w:rsidR="00FC09D7" w:rsidRDefault="00AF41B2" w:rsidP="00D839A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Yours sincerely,</w:t>
      </w:r>
    </w:p>
    <w:p w14:paraId="4A44704C" w14:textId="2C9F9647" w:rsidR="00FC09D7" w:rsidRDefault="00FC09D7" w:rsidP="00D839A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noProof/>
          <w:szCs w:val="20"/>
          <w:lang w:val="en-US" w:eastAsia="en-US"/>
        </w:rPr>
      </w:pPr>
    </w:p>
    <w:p w14:paraId="0154DC64" w14:textId="12EE5746" w:rsidR="00347137" w:rsidRDefault="00347137" w:rsidP="00D839A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Cs w:val="20"/>
        </w:rPr>
      </w:pPr>
    </w:p>
    <w:p w14:paraId="7B398503" w14:textId="2A68EC41" w:rsidR="009E52A3" w:rsidRDefault="00FC09D7" w:rsidP="00D839AE">
      <w:pPr>
        <w:pStyle w:val="NormalWeb"/>
        <w:spacing w:before="0" w:beforeAutospacing="0" w:after="0" w:afterAutospacing="0" w:line="276" w:lineRule="auto"/>
        <w:rPr>
          <w:rFonts w:ascii="Arial" w:hAnsi="Arial" w:cs="Arial"/>
          <w:szCs w:val="20"/>
        </w:rPr>
      </w:pPr>
      <w:r w:rsidRPr="00FC09D7">
        <w:rPr>
          <w:rFonts w:ascii="Arial" w:hAnsi="Arial" w:cs="Arial"/>
          <w:b/>
          <w:szCs w:val="20"/>
        </w:rPr>
        <w:t>Rosalyn Gladwin</w:t>
      </w:r>
      <w:r w:rsidR="00D553C1">
        <w:rPr>
          <w:rFonts w:ascii="Arial" w:hAnsi="Arial" w:cs="Arial"/>
          <w:b/>
          <w:szCs w:val="20"/>
        </w:rPr>
        <w:softHyphen/>
      </w:r>
      <w:r w:rsidR="00155C6D">
        <w:rPr>
          <w:rFonts w:ascii="Arial" w:hAnsi="Arial" w:cs="Arial"/>
          <w:b/>
          <w:szCs w:val="20"/>
        </w:rPr>
        <w:br/>
      </w:r>
      <w:r>
        <w:rPr>
          <w:rFonts w:ascii="Arial" w:hAnsi="Arial" w:cs="Arial"/>
          <w:szCs w:val="20"/>
        </w:rPr>
        <w:t>Princip</w:t>
      </w:r>
      <w:r w:rsidR="00FA725B">
        <w:rPr>
          <w:rFonts w:ascii="Arial" w:hAnsi="Arial" w:cs="Arial"/>
          <w:szCs w:val="20"/>
        </w:rPr>
        <w:t>al</w:t>
      </w:r>
      <w:r w:rsidR="00FA725B">
        <w:rPr>
          <w:rFonts w:ascii="Arial" w:hAnsi="Arial" w:cs="Arial"/>
          <w:szCs w:val="20"/>
        </w:rPr>
        <w:br/>
        <w:t xml:space="preserve">Gladwin Legal </w:t>
      </w:r>
    </w:p>
    <w:p w14:paraId="163C34F6" w14:textId="630BE4CA" w:rsidR="00AF41B2" w:rsidRDefault="003D528E" w:rsidP="00D839AE">
      <w:pPr>
        <w:pStyle w:val="NormalWeb"/>
        <w:spacing w:before="0" w:beforeAutospacing="0" w:after="0" w:afterAutospacing="0" w:line="276" w:lineRule="auto"/>
        <w:rPr>
          <w:rFonts w:ascii="Arial" w:hAnsi="Arial" w:cs="Arial"/>
          <w:szCs w:val="20"/>
        </w:rPr>
      </w:pPr>
      <w:hyperlink r:id="rId11" w:history="1">
        <w:r w:rsidR="00AF41B2" w:rsidRPr="00B16DB0">
          <w:rPr>
            <w:rStyle w:val="Hyperlink"/>
            <w:rFonts w:ascii="Arial" w:hAnsi="Arial" w:cs="Arial"/>
            <w:szCs w:val="20"/>
          </w:rPr>
          <w:t>www.gladwinlegal.com.au</w:t>
        </w:r>
      </w:hyperlink>
    </w:p>
    <w:p w14:paraId="1E8DE4EA" w14:textId="6DDF26D0" w:rsidR="00FA725B" w:rsidRDefault="00F9685C" w:rsidP="009E52A3">
      <w:pPr>
        <w:rPr>
          <w:rFonts w:eastAsia="Times New Roman" w:cs="Arial"/>
          <w:szCs w:val="20"/>
          <w:lang w:eastAsia="en-AU"/>
        </w:rPr>
      </w:pPr>
      <w:r>
        <w:rPr>
          <w:rFonts w:eastAsia="Times New Roman" w:cs="Arial"/>
          <w:szCs w:val="20"/>
          <w:lang w:eastAsia="en-AU"/>
        </w:rPr>
        <w:softHyphen/>
      </w:r>
    </w:p>
    <w:p w14:paraId="47356A43" w14:textId="60A41CB6" w:rsidR="0053643E" w:rsidRDefault="0053643E" w:rsidP="00FE16E0">
      <w:pPr>
        <w:rPr>
          <w:rFonts w:eastAsia="Times New Roman" w:cs="Arial"/>
          <w:szCs w:val="20"/>
          <w:lang w:eastAsia="en-AU"/>
        </w:rPr>
      </w:pPr>
    </w:p>
    <w:sectPr w:rsidR="0053643E" w:rsidSect="0053643E">
      <w:headerReference w:type="even" r:id="rId12"/>
      <w:footerReference w:type="default" r:id="rId13"/>
      <w:headerReference w:type="first" r:id="rId14"/>
      <w:pgSz w:w="11900" w:h="16840"/>
      <w:pgMar w:top="1701" w:right="1440" w:bottom="1843" w:left="1440" w:header="708" w:footer="5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1132A" w14:textId="77777777" w:rsidR="003D528E" w:rsidRDefault="003D528E" w:rsidP="005C46FF">
      <w:r>
        <w:separator/>
      </w:r>
    </w:p>
  </w:endnote>
  <w:endnote w:type="continuationSeparator" w:id="0">
    <w:p w14:paraId="4F74E354" w14:textId="77777777" w:rsidR="003D528E" w:rsidRDefault="003D528E" w:rsidP="005C46FF">
      <w:r>
        <w:continuationSeparator/>
      </w:r>
    </w:p>
  </w:endnote>
  <w:endnote w:type="continuationNotice" w:id="1">
    <w:p w14:paraId="472CCA85" w14:textId="77777777" w:rsidR="003D528E" w:rsidRDefault="003D52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F0A6C" w14:textId="75FB3D8A" w:rsidR="00FC09D7" w:rsidRPr="002E112B" w:rsidRDefault="003D528E" w:rsidP="00B31C78">
    <w:pPr>
      <w:pStyle w:val="Footer"/>
      <w:rPr>
        <w:sz w:val="16"/>
        <w:szCs w:val="16"/>
      </w:rPr>
    </w:pPr>
    <w:hyperlink r:id="rId1" w:history="1">
      <w:r w:rsidR="0028122D" w:rsidRPr="00B16DB0">
        <w:rPr>
          <w:rStyle w:val="Hyperlink"/>
          <w:sz w:val="16"/>
          <w:szCs w:val="16"/>
        </w:rPr>
        <w:t>www.gladwinlegal.com.au</w:t>
      </w:r>
    </w:hyperlink>
    <w:r w:rsidR="0028122D">
      <w:rPr>
        <w:sz w:val="16"/>
        <w:szCs w:val="16"/>
      </w:rPr>
      <w:t xml:space="preserve"> </w:t>
    </w:r>
    <w:sdt>
      <w:sdtPr>
        <w:rPr>
          <w:sz w:val="16"/>
          <w:szCs w:val="16"/>
        </w:rPr>
        <w:id w:val="-10194613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sdt>
          <w:sdtPr>
            <w:rPr>
              <w:sz w:val="16"/>
              <w:szCs w:val="16"/>
            </w:rPr>
            <w:id w:val="574177997"/>
            <w:docPartObj>
              <w:docPartGallery w:val="Page Numbers (Top of Page)"/>
              <w:docPartUnique/>
            </w:docPartObj>
          </w:sdtPr>
          <w:sdtEndPr/>
          <w:sdtContent>
            <w:r w:rsidR="00B31C78" w:rsidRPr="002E112B">
              <w:rPr>
                <w:sz w:val="16"/>
                <w:szCs w:val="16"/>
              </w:rPr>
              <w:t xml:space="preserve">Page </w:t>
            </w:r>
            <w:r w:rsidR="00B31C78" w:rsidRPr="002E112B">
              <w:rPr>
                <w:b/>
                <w:bCs/>
                <w:sz w:val="16"/>
                <w:szCs w:val="16"/>
              </w:rPr>
              <w:fldChar w:fldCharType="begin"/>
            </w:r>
            <w:r w:rsidR="00B31C78" w:rsidRPr="002E112B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B31C78" w:rsidRPr="002E112B">
              <w:rPr>
                <w:b/>
                <w:bCs/>
                <w:sz w:val="16"/>
                <w:szCs w:val="16"/>
              </w:rPr>
              <w:fldChar w:fldCharType="separate"/>
            </w:r>
            <w:r w:rsidR="00092123">
              <w:rPr>
                <w:b/>
                <w:bCs/>
                <w:noProof/>
                <w:sz w:val="16"/>
                <w:szCs w:val="16"/>
              </w:rPr>
              <w:t>2</w:t>
            </w:r>
            <w:r w:rsidR="00B31C78" w:rsidRPr="002E112B">
              <w:rPr>
                <w:b/>
                <w:bCs/>
                <w:sz w:val="16"/>
                <w:szCs w:val="16"/>
              </w:rPr>
              <w:fldChar w:fldCharType="end"/>
            </w:r>
            <w:r w:rsidR="00B31C78" w:rsidRPr="002E112B">
              <w:rPr>
                <w:sz w:val="16"/>
                <w:szCs w:val="16"/>
              </w:rPr>
              <w:t xml:space="preserve"> of </w:t>
            </w:r>
            <w:r w:rsidR="00B31C78" w:rsidRPr="002E112B">
              <w:rPr>
                <w:b/>
                <w:bCs/>
                <w:sz w:val="16"/>
                <w:szCs w:val="16"/>
              </w:rPr>
              <w:fldChar w:fldCharType="begin"/>
            </w:r>
            <w:r w:rsidR="00B31C78" w:rsidRPr="002E112B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B31C78" w:rsidRPr="002E112B">
              <w:rPr>
                <w:b/>
                <w:bCs/>
                <w:sz w:val="16"/>
                <w:szCs w:val="16"/>
              </w:rPr>
              <w:fldChar w:fldCharType="separate"/>
            </w:r>
            <w:r w:rsidR="00092123">
              <w:rPr>
                <w:b/>
                <w:bCs/>
                <w:noProof/>
                <w:sz w:val="16"/>
                <w:szCs w:val="16"/>
              </w:rPr>
              <w:t>2</w:t>
            </w:r>
            <w:r w:rsidR="00B31C78" w:rsidRPr="002E112B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  <w:r w:rsidR="00B31C78" w:rsidRPr="002E112B">
          <w:rPr>
            <w:sz w:val="16"/>
            <w:szCs w:val="16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135AC" w14:textId="77777777" w:rsidR="003D528E" w:rsidRDefault="003D528E" w:rsidP="005C46FF">
      <w:r>
        <w:separator/>
      </w:r>
    </w:p>
  </w:footnote>
  <w:footnote w:type="continuationSeparator" w:id="0">
    <w:p w14:paraId="7F4DC619" w14:textId="77777777" w:rsidR="003D528E" w:rsidRDefault="003D528E" w:rsidP="005C46FF">
      <w:r>
        <w:continuationSeparator/>
      </w:r>
    </w:p>
  </w:footnote>
  <w:footnote w:type="continuationNotice" w:id="1">
    <w:p w14:paraId="05F39933" w14:textId="77777777" w:rsidR="003D528E" w:rsidRDefault="003D52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75A48" w14:textId="77777777" w:rsidR="00FC09D7" w:rsidRDefault="003D528E">
    <w:pPr>
      <w:pStyle w:val="Header"/>
    </w:pPr>
    <w:r>
      <w:rPr>
        <w:noProof/>
        <w:lang w:val="en-US"/>
      </w:rPr>
      <w:pict w14:anchorId="69B75A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95.2pt;height:841.7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GladwinLegal_Letterhead"/>
          <w10:wrap anchorx="margin" anchory="margin"/>
        </v:shape>
      </w:pict>
    </w:r>
  </w:p>
  <w:p w14:paraId="6B587509" w14:textId="77777777" w:rsidR="00FC09D7" w:rsidRDefault="00FC09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CFDBC" w14:textId="3B93707E" w:rsidR="00FC09D7" w:rsidRDefault="00837CDA" w:rsidP="00837CDA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224F749B" wp14:editId="5D444D10">
          <wp:simplePos x="0" y="0"/>
          <wp:positionH relativeFrom="page">
            <wp:posOffset>7620</wp:posOffset>
          </wp:positionH>
          <wp:positionV relativeFrom="page">
            <wp:posOffset>27940</wp:posOffset>
          </wp:positionV>
          <wp:extent cx="7537983" cy="10662598"/>
          <wp:effectExtent l="0" t="0" r="6350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ladwin Legal Letterhead-PrintVersion-Final - 8 April 2019v2 for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983" cy="10662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53C1">
      <w:rPr>
        <w:noProof/>
      </w:rPr>
      <w:softHyphen/>
    </w:r>
    <w:r w:rsidR="00D553C1">
      <w:rPr>
        <w:noProof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D78F5"/>
    <w:multiLevelType w:val="hybridMultilevel"/>
    <w:tmpl w:val="564E70DA"/>
    <w:lvl w:ilvl="0" w:tplc="50621E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A65BF"/>
    <w:multiLevelType w:val="hybridMultilevel"/>
    <w:tmpl w:val="1668E9C6"/>
    <w:lvl w:ilvl="0" w:tplc="038EAC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C7789"/>
    <w:multiLevelType w:val="hybridMultilevel"/>
    <w:tmpl w:val="3134FE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23475"/>
    <w:multiLevelType w:val="hybridMultilevel"/>
    <w:tmpl w:val="60064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FF"/>
    <w:rsid w:val="00000830"/>
    <w:rsid w:val="000702CE"/>
    <w:rsid w:val="00092123"/>
    <w:rsid w:val="000A2B43"/>
    <w:rsid w:val="000C0204"/>
    <w:rsid w:val="00105008"/>
    <w:rsid w:val="0012277A"/>
    <w:rsid w:val="00143E60"/>
    <w:rsid w:val="00155C6D"/>
    <w:rsid w:val="00176C27"/>
    <w:rsid w:val="001D6587"/>
    <w:rsid w:val="001E3890"/>
    <w:rsid w:val="00236964"/>
    <w:rsid w:val="0025620D"/>
    <w:rsid w:val="0026273F"/>
    <w:rsid w:val="0028122D"/>
    <w:rsid w:val="002D71DE"/>
    <w:rsid w:val="002E112B"/>
    <w:rsid w:val="003016E5"/>
    <w:rsid w:val="003315D4"/>
    <w:rsid w:val="0033703D"/>
    <w:rsid w:val="00347137"/>
    <w:rsid w:val="00373019"/>
    <w:rsid w:val="00385750"/>
    <w:rsid w:val="00395B15"/>
    <w:rsid w:val="003D528E"/>
    <w:rsid w:val="004736C9"/>
    <w:rsid w:val="004757B6"/>
    <w:rsid w:val="004C4EB8"/>
    <w:rsid w:val="0053643E"/>
    <w:rsid w:val="0054233B"/>
    <w:rsid w:val="005B3B5B"/>
    <w:rsid w:val="005C46FF"/>
    <w:rsid w:val="006106EE"/>
    <w:rsid w:val="006309E3"/>
    <w:rsid w:val="006614FD"/>
    <w:rsid w:val="006634C2"/>
    <w:rsid w:val="006C4C8B"/>
    <w:rsid w:val="006D6B78"/>
    <w:rsid w:val="006D7431"/>
    <w:rsid w:val="007629D4"/>
    <w:rsid w:val="00764920"/>
    <w:rsid w:val="00764FE5"/>
    <w:rsid w:val="007B5996"/>
    <w:rsid w:val="007C74A6"/>
    <w:rsid w:val="007E2CAB"/>
    <w:rsid w:val="007E7D0B"/>
    <w:rsid w:val="007F334C"/>
    <w:rsid w:val="00837CDA"/>
    <w:rsid w:val="00895B6D"/>
    <w:rsid w:val="008B2F55"/>
    <w:rsid w:val="00924476"/>
    <w:rsid w:val="00972F30"/>
    <w:rsid w:val="0098616D"/>
    <w:rsid w:val="009A7564"/>
    <w:rsid w:val="009C0516"/>
    <w:rsid w:val="009C367C"/>
    <w:rsid w:val="009E52A3"/>
    <w:rsid w:val="00A35D62"/>
    <w:rsid w:val="00A67B3A"/>
    <w:rsid w:val="00AA72F7"/>
    <w:rsid w:val="00AC232D"/>
    <w:rsid w:val="00AD5C18"/>
    <w:rsid w:val="00AF41B2"/>
    <w:rsid w:val="00B04FE8"/>
    <w:rsid w:val="00B31C78"/>
    <w:rsid w:val="00B427A0"/>
    <w:rsid w:val="00B44DEB"/>
    <w:rsid w:val="00B80CAB"/>
    <w:rsid w:val="00B97CB5"/>
    <w:rsid w:val="00C075DD"/>
    <w:rsid w:val="00C51BF3"/>
    <w:rsid w:val="00C72E4B"/>
    <w:rsid w:val="00CA43EB"/>
    <w:rsid w:val="00CC522F"/>
    <w:rsid w:val="00D141EF"/>
    <w:rsid w:val="00D553C1"/>
    <w:rsid w:val="00D839AE"/>
    <w:rsid w:val="00D9045F"/>
    <w:rsid w:val="00D938C8"/>
    <w:rsid w:val="00DA0992"/>
    <w:rsid w:val="00DD2EC0"/>
    <w:rsid w:val="00E07C75"/>
    <w:rsid w:val="00E07CC8"/>
    <w:rsid w:val="00E516D9"/>
    <w:rsid w:val="00EE2B03"/>
    <w:rsid w:val="00EE5531"/>
    <w:rsid w:val="00EF5EEF"/>
    <w:rsid w:val="00F071FD"/>
    <w:rsid w:val="00F3194D"/>
    <w:rsid w:val="00F60770"/>
    <w:rsid w:val="00F8588B"/>
    <w:rsid w:val="00F870DF"/>
    <w:rsid w:val="00F9685C"/>
    <w:rsid w:val="00F96EC9"/>
    <w:rsid w:val="00FA2164"/>
    <w:rsid w:val="00FA725B"/>
    <w:rsid w:val="00FC09D7"/>
    <w:rsid w:val="00FE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9B75A43"/>
  <w14:defaultImageDpi w14:val="300"/>
  <w15:docId w15:val="{FD285C79-8877-4B9B-96CE-87E4E0AD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9AE"/>
    <w:rPr>
      <w:rFonts w:ascii="Arial" w:hAnsi="Arial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6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6FF"/>
  </w:style>
  <w:style w:type="paragraph" w:styleId="Footer">
    <w:name w:val="footer"/>
    <w:basedOn w:val="Normal"/>
    <w:link w:val="FooterChar"/>
    <w:uiPriority w:val="99"/>
    <w:unhideWhenUsed/>
    <w:rsid w:val="005C46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6FF"/>
  </w:style>
  <w:style w:type="character" w:styleId="Hyperlink">
    <w:name w:val="Hyperlink"/>
    <w:basedOn w:val="DefaultParagraphFont"/>
    <w:uiPriority w:val="99"/>
    <w:unhideWhenUsed/>
    <w:rsid w:val="00C72E4B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106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06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6EE"/>
    <w:rPr>
      <w:rFonts w:ascii="Segoe UI" w:hAnsi="Segoe UI" w:cs="Segoe UI"/>
      <w:sz w:val="18"/>
      <w:szCs w:val="18"/>
      <w:lang w:val="en-AU" w:eastAsia="en-US"/>
    </w:rPr>
  </w:style>
  <w:style w:type="table" w:styleId="TableGrid">
    <w:name w:val="Table Grid"/>
    <w:basedOn w:val="TableNormal"/>
    <w:uiPriority w:val="59"/>
    <w:rsid w:val="00FC09D7"/>
    <w:rPr>
      <w:rFonts w:asciiTheme="minorHAnsi" w:eastAsiaTheme="minorHAnsi" w:hAnsiTheme="minorHAnsi" w:cstheme="minorBid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C09D7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232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F41B2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309E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1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ladwinlegal.com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ladwinlegal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28B84D890E2C41B0AE8D91FB7CDC2A" ma:contentTypeVersion="5" ma:contentTypeDescription="Create a new document." ma:contentTypeScope="" ma:versionID="1f3c5986e6c1a5a43aea6834fd02dda6">
  <xsd:schema xmlns:xsd="http://www.w3.org/2001/XMLSchema" xmlns:xs="http://www.w3.org/2001/XMLSchema" xmlns:p="http://schemas.microsoft.com/office/2006/metadata/properties" xmlns:ns2="45ae105d-6282-4b60-816b-1c1723515184" xmlns:ns3="c641fc04-2f1a-449a-8954-e5cccd603f57" targetNamespace="http://schemas.microsoft.com/office/2006/metadata/properties" ma:root="true" ma:fieldsID="e2f9222095de71a8a7ee1c8c7cb7d0e8" ns2:_="" ns3:_="">
    <xsd:import namespace="45ae105d-6282-4b60-816b-1c1723515184"/>
    <xsd:import namespace="c641fc04-2f1a-449a-8954-e5cccd603f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e105d-6282-4b60-816b-1c17235151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fc04-2f1a-449a-8954-e5cccd603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032F19-A511-46C4-B695-1108CC809B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C958E3-41F0-4752-93F3-E860E6798F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284CEC-DF17-4F69-951D-2DB55FEE2A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E66D0-16F6-41E7-AEA9-B8C727657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e105d-6282-4b60-816b-1c1723515184"/>
    <ds:schemaRef ds:uri="c641fc04-2f1a-449a-8954-e5cccd603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1260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Gladwin Legal</Company>
  <LinksUpToDate>false</LinksUpToDate>
  <CharactersWithSpaces>1464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12 - Gladwin Legal - National Water Reform - Public inquiry</dc:title>
  <dc:subject/>
  <dc:creator>Gladwin Legal</dc:creator>
  <cp:keywords/>
  <dc:description/>
  <cp:lastModifiedBy>Pimperl, Mark</cp:lastModifiedBy>
  <cp:revision>5</cp:revision>
  <cp:lastPrinted>2020-08-13T06:48:00Z</cp:lastPrinted>
  <dcterms:created xsi:type="dcterms:W3CDTF">2020-08-18T09:58:00Z</dcterms:created>
  <dcterms:modified xsi:type="dcterms:W3CDTF">2020-08-21T05:06:00Z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0x010100E828B84D890E2C41B0AE8D91FB7CDC2A</vt:lpwstr>
  </property>
</Properties>
</file>