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5921" w14:textId="77777777" w:rsidR="00DE53B8" w:rsidRPr="002857A7" w:rsidRDefault="00DE53B8">
      <w:pPr>
        <w:jc w:val="center"/>
        <w:rPr>
          <w:rFonts w:ascii="Arial" w:hAnsi="Arial" w:cs="Arial"/>
          <w:b/>
          <w:sz w:val="32"/>
          <w:szCs w:val="32"/>
          <w:u w:val="single"/>
        </w:rPr>
      </w:pPr>
    </w:p>
    <w:p w14:paraId="2E5F4B9D" w14:textId="77777777" w:rsidR="00DE53B8" w:rsidRPr="002857A7" w:rsidRDefault="00DE53B8">
      <w:pPr>
        <w:jc w:val="center"/>
        <w:rPr>
          <w:rFonts w:ascii="Arial" w:hAnsi="Arial" w:cs="Arial"/>
          <w:b/>
          <w:sz w:val="32"/>
          <w:szCs w:val="32"/>
          <w:u w:val="single"/>
        </w:rPr>
      </w:pPr>
    </w:p>
    <w:p w14:paraId="18E48CFF" w14:textId="77777777" w:rsidR="00DE53B8" w:rsidRPr="002857A7" w:rsidRDefault="00DE53B8">
      <w:pPr>
        <w:jc w:val="center"/>
        <w:rPr>
          <w:rFonts w:ascii="Arial" w:hAnsi="Arial" w:cs="Arial"/>
          <w:b/>
          <w:sz w:val="32"/>
          <w:szCs w:val="32"/>
          <w:u w:val="single"/>
        </w:rPr>
      </w:pPr>
    </w:p>
    <w:p w14:paraId="1301C6A4" w14:textId="77777777" w:rsidR="00DE53B8" w:rsidRPr="002857A7" w:rsidRDefault="006B6027">
      <w:pPr>
        <w:jc w:val="center"/>
        <w:rPr>
          <w:rFonts w:ascii="Arial" w:hAnsi="Arial" w:cs="Arial"/>
          <w:b/>
          <w:sz w:val="32"/>
          <w:szCs w:val="32"/>
          <w:u w:val="single"/>
        </w:rPr>
      </w:pPr>
      <w:r w:rsidRPr="002857A7">
        <w:rPr>
          <w:rFonts w:ascii="Arial" w:hAnsi="Arial" w:cs="Arial"/>
          <w:b/>
          <w:noProof/>
          <w:sz w:val="52"/>
          <w:szCs w:val="52"/>
          <w:lang w:val="en-AU" w:eastAsia="en-AU"/>
        </w:rPr>
        <w:object w:dxaOrig="12555" w:dyaOrig="7350" w14:anchorId="66222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Community Housing Limited Group of Companies" style="position:absolute;left:0;text-align:left;margin-left:115.65pt;margin-top:16.45pt;width:174.05pt;height:176.35pt;z-index:251657728">
            <v:imagedata r:id="rId8" o:title=""/>
          </v:shape>
          <o:OLEObject Type="Embed" ProgID="Visio.Drawing.11" ShapeID="_x0000_s1053" DrawAspect="Content" ObjectID="_1706342060" r:id="rId9"/>
        </w:object>
      </w:r>
    </w:p>
    <w:p w14:paraId="462E374D" w14:textId="77777777" w:rsidR="00DE53B8" w:rsidRPr="002857A7" w:rsidRDefault="00DE53B8">
      <w:pPr>
        <w:jc w:val="center"/>
        <w:rPr>
          <w:rFonts w:ascii="Arial" w:hAnsi="Arial" w:cs="Arial"/>
          <w:b/>
          <w:sz w:val="72"/>
          <w:szCs w:val="72"/>
        </w:rPr>
      </w:pPr>
    </w:p>
    <w:p w14:paraId="760C67E0" w14:textId="77777777" w:rsidR="00DE53B8" w:rsidRPr="002857A7" w:rsidRDefault="00DE53B8">
      <w:pPr>
        <w:jc w:val="center"/>
        <w:rPr>
          <w:rFonts w:ascii="Arial" w:hAnsi="Arial" w:cs="Arial"/>
          <w:b/>
          <w:sz w:val="96"/>
          <w:szCs w:val="96"/>
        </w:rPr>
      </w:pPr>
    </w:p>
    <w:p w14:paraId="54F9F396" w14:textId="77777777" w:rsidR="00D427DC" w:rsidRPr="002857A7" w:rsidRDefault="00D427DC">
      <w:pPr>
        <w:jc w:val="center"/>
        <w:rPr>
          <w:rFonts w:ascii="Arial" w:hAnsi="Arial" w:cs="Arial"/>
          <w:b/>
          <w:sz w:val="96"/>
          <w:szCs w:val="96"/>
        </w:rPr>
      </w:pPr>
    </w:p>
    <w:p w14:paraId="14029B09" w14:textId="77777777" w:rsidR="006B6027" w:rsidRPr="002857A7" w:rsidRDefault="006B6027" w:rsidP="00556116">
      <w:pPr>
        <w:jc w:val="center"/>
        <w:rPr>
          <w:rFonts w:ascii="Arial" w:hAnsi="Arial" w:cs="Arial"/>
          <w:b/>
          <w:sz w:val="22"/>
          <w:szCs w:val="22"/>
        </w:rPr>
      </w:pPr>
    </w:p>
    <w:p w14:paraId="43025E11" w14:textId="77777777" w:rsidR="00B926F4" w:rsidRPr="002857A7" w:rsidRDefault="00B926F4" w:rsidP="00556116">
      <w:pPr>
        <w:jc w:val="center"/>
        <w:rPr>
          <w:rFonts w:ascii="Arial" w:hAnsi="Arial" w:cs="Arial"/>
          <w:b/>
          <w:sz w:val="96"/>
          <w:szCs w:val="96"/>
        </w:rPr>
      </w:pPr>
    </w:p>
    <w:p w14:paraId="4CDF9C0D" w14:textId="77777777" w:rsidR="00DE53B8" w:rsidRPr="002857A7" w:rsidRDefault="00DE53B8" w:rsidP="00556116">
      <w:pPr>
        <w:jc w:val="center"/>
        <w:rPr>
          <w:rFonts w:ascii="Arial" w:hAnsi="Arial" w:cs="Arial"/>
          <w:b/>
          <w:sz w:val="96"/>
          <w:szCs w:val="96"/>
        </w:rPr>
      </w:pPr>
      <w:r w:rsidRPr="002857A7">
        <w:rPr>
          <w:rFonts w:ascii="Arial" w:hAnsi="Arial" w:cs="Arial"/>
          <w:b/>
          <w:sz w:val="96"/>
          <w:szCs w:val="96"/>
        </w:rPr>
        <w:t>CHL Group</w:t>
      </w:r>
    </w:p>
    <w:p w14:paraId="39726B73" w14:textId="77777777" w:rsidR="00DE53B8" w:rsidRPr="002857A7" w:rsidRDefault="00B926F4" w:rsidP="00556116">
      <w:pPr>
        <w:jc w:val="center"/>
        <w:rPr>
          <w:rFonts w:ascii="Arial" w:hAnsi="Arial" w:cs="Arial"/>
          <w:b/>
          <w:sz w:val="22"/>
          <w:szCs w:val="22"/>
        </w:rPr>
      </w:pPr>
      <w:r w:rsidRPr="002857A7">
        <w:rPr>
          <w:rFonts w:ascii="Arial" w:hAnsi="Arial" w:cs="Arial"/>
          <w:b/>
          <w:sz w:val="22"/>
          <w:szCs w:val="22"/>
        </w:rPr>
        <w:t>ABN 11 062 802 797</w:t>
      </w:r>
    </w:p>
    <w:p w14:paraId="7590F49D" w14:textId="77777777" w:rsidR="00DE53B8" w:rsidRPr="002857A7" w:rsidRDefault="000001F5" w:rsidP="00556116">
      <w:pPr>
        <w:jc w:val="center"/>
        <w:rPr>
          <w:rFonts w:ascii="Arial" w:hAnsi="Arial" w:cs="Arial"/>
          <w:b/>
          <w:sz w:val="72"/>
          <w:szCs w:val="72"/>
        </w:rPr>
      </w:pPr>
      <w:r>
        <w:rPr>
          <w:rFonts w:ascii="Arial" w:hAnsi="Arial" w:cs="Arial"/>
          <w:b/>
          <w:sz w:val="72"/>
          <w:szCs w:val="72"/>
        </w:rPr>
        <w:t>Housing and Homelessness Review</w:t>
      </w:r>
      <w:r w:rsidR="00DD6ED8">
        <w:rPr>
          <w:rFonts w:ascii="Arial" w:hAnsi="Arial" w:cs="Arial"/>
          <w:b/>
          <w:sz w:val="72"/>
          <w:szCs w:val="72"/>
        </w:rPr>
        <w:t xml:space="preserve"> Submission</w:t>
      </w:r>
    </w:p>
    <w:p w14:paraId="55052312" w14:textId="77777777" w:rsidR="00DE53B8" w:rsidRPr="002857A7" w:rsidRDefault="00DE53B8" w:rsidP="00556116">
      <w:pPr>
        <w:jc w:val="center"/>
        <w:rPr>
          <w:rFonts w:ascii="Arial" w:hAnsi="Arial" w:cs="Arial"/>
          <w:b/>
          <w:sz w:val="52"/>
          <w:szCs w:val="52"/>
        </w:rPr>
      </w:pPr>
    </w:p>
    <w:p w14:paraId="411F4314" w14:textId="77777777" w:rsidR="00DE53B8" w:rsidRPr="002857A7" w:rsidRDefault="004E38CA" w:rsidP="00556116">
      <w:pPr>
        <w:jc w:val="center"/>
        <w:rPr>
          <w:rFonts w:ascii="Arial" w:hAnsi="Arial" w:cs="Arial"/>
          <w:b/>
          <w:sz w:val="52"/>
          <w:szCs w:val="52"/>
        </w:rPr>
      </w:pPr>
      <w:r>
        <w:rPr>
          <w:rFonts w:ascii="Arial" w:hAnsi="Arial" w:cs="Arial"/>
          <w:b/>
          <w:sz w:val="52"/>
          <w:szCs w:val="52"/>
        </w:rPr>
        <w:t>20</w:t>
      </w:r>
      <w:r w:rsidR="00F70BBD">
        <w:rPr>
          <w:rFonts w:ascii="Arial" w:hAnsi="Arial" w:cs="Arial"/>
          <w:b/>
          <w:sz w:val="52"/>
          <w:szCs w:val="52"/>
        </w:rPr>
        <w:t>2</w:t>
      </w:r>
      <w:r w:rsidR="00DD6ED8">
        <w:rPr>
          <w:rFonts w:ascii="Arial" w:hAnsi="Arial" w:cs="Arial"/>
          <w:b/>
          <w:sz w:val="52"/>
          <w:szCs w:val="52"/>
        </w:rPr>
        <w:t>2</w:t>
      </w:r>
    </w:p>
    <w:p w14:paraId="675D326D" w14:textId="77777777" w:rsidR="0022411F" w:rsidRPr="002857A7" w:rsidRDefault="0022411F" w:rsidP="00556116">
      <w:pPr>
        <w:jc w:val="center"/>
        <w:rPr>
          <w:rFonts w:ascii="Arial" w:hAnsi="Arial" w:cs="Arial"/>
          <w:b/>
          <w:sz w:val="52"/>
          <w:szCs w:val="52"/>
        </w:rPr>
      </w:pPr>
    </w:p>
    <w:p w14:paraId="7D646978" w14:textId="77777777" w:rsidR="0022411F" w:rsidRPr="002857A7" w:rsidRDefault="0022411F">
      <w:pPr>
        <w:jc w:val="center"/>
        <w:rPr>
          <w:rFonts w:ascii="Arial" w:hAnsi="Arial" w:cs="Arial"/>
          <w:b/>
          <w:sz w:val="52"/>
          <w:szCs w:val="52"/>
        </w:rPr>
      </w:pPr>
    </w:p>
    <w:p w14:paraId="102F13B0" w14:textId="77777777" w:rsidR="00DE53B8" w:rsidRPr="002857A7" w:rsidRDefault="00DE53B8">
      <w:pPr>
        <w:jc w:val="center"/>
        <w:rPr>
          <w:rFonts w:ascii="Arial" w:hAnsi="Arial" w:cs="Arial"/>
          <w:b/>
          <w:sz w:val="52"/>
          <w:szCs w:val="52"/>
        </w:rPr>
      </w:pPr>
    </w:p>
    <w:p w14:paraId="7912FA69" w14:textId="77777777" w:rsidR="00DE53B8" w:rsidRPr="002857A7" w:rsidRDefault="00DE53B8">
      <w:pPr>
        <w:jc w:val="center"/>
        <w:rPr>
          <w:rFonts w:ascii="Arial" w:hAnsi="Arial" w:cs="Arial"/>
          <w:b/>
          <w:sz w:val="52"/>
          <w:szCs w:val="52"/>
        </w:rPr>
      </w:pPr>
    </w:p>
    <w:p w14:paraId="681D862D" w14:textId="77777777" w:rsidR="00DE53B8" w:rsidRPr="002857A7" w:rsidRDefault="00DE53B8">
      <w:pPr>
        <w:jc w:val="center"/>
        <w:rPr>
          <w:rFonts w:ascii="Arial" w:hAnsi="Arial" w:cs="Arial"/>
          <w:b/>
          <w:sz w:val="32"/>
          <w:szCs w:val="32"/>
          <w:u w:val="single"/>
        </w:rPr>
      </w:pPr>
    </w:p>
    <w:p w14:paraId="4FB16C40" w14:textId="77777777" w:rsidR="00DE53B8" w:rsidRPr="002857A7" w:rsidRDefault="00DE53B8">
      <w:pPr>
        <w:jc w:val="center"/>
        <w:rPr>
          <w:rFonts w:ascii="Arial" w:hAnsi="Arial" w:cs="Arial"/>
          <w:b/>
          <w:sz w:val="32"/>
          <w:szCs w:val="32"/>
          <w:u w:val="single"/>
        </w:rPr>
      </w:pPr>
    </w:p>
    <w:p w14:paraId="6492AF69" w14:textId="77777777" w:rsidR="00DE53B8" w:rsidRPr="002857A7" w:rsidRDefault="00DE53B8">
      <w:pPr>
        <w:jc w:val="center"/>
        <w:rPr>
          <w:rFonts w:ascii="Arial" w:hAnsi="Arial" w:cs="Arial"/>
          <w:b/>
          <w:sz w:val="32"/>
          <w:szCs w:val="32"/>
          <w:u w:val="single"/>
        </w:rPr>
      </w:pPr>
    </w:p>
    <w:p w14:paraId="6A603904" w14:textId="77777777" w:rsidR="00DE53B8" w:rsidRPr="002857A7" w:rsidRDefault="00DE53B8">
      <w:pPr>
        <w:jc w:val="center"/>
        <w:rPr>
          <w:rFonts w:ascii="Arial" w:hAnsi="Arial" w:cs="Arial"/>
          <w:b/>
          <w:sz w:val="32"/>
          <w:szCs w:val="32"/>
          <w:u w:val="single"/>
        </w:rPr>
      </w:pPr>
    </w:p>
    <w:p w14:paraId="0878418C" w14:textId="77777777" w:rsidR="00DE53B8" w:rsidRPr="002857A7" w:rsidRDefault="00DE53B8">
      <w:pPr>
        <w:jc w:val="center"/>
        <w:rPr>
          <w:rFonts w:ascii="Arial" w:hAnsi="Arial" w:cs="Arial"/>
          <w:b/>
          <w:sz w:val="32"/>
          <w:szCs w:val="32"/>
          <w:u w:val="single"/>
        </w:rPr>
      </w:pPr>
    </w:p>
    <w:p w14:paraId="08774B57" w14:textId="77777777" w:rsidR="00320E54" w:rsidRPr="002857A7" w:rsidRDefault="00320E54">
      <w:pPr>
        <w:rPr>
          <w:rFonts w:ascii="Arial" w:hAnsi="Arial" w:cs="Arial"/>
          <w:b/>
          <w:sz w:val="32"/>
          <w:szCs w:val="32"/>
        </w:rPr>
      </w:pPr>
    </w:p>
    <w:p w14:paraId="6391F3EA" w14:textId="77777777" w:rsidR="00FF4D99" w:rsidRPr="00F258D8" w:rsidRDefault="00FF4D99" w:rsidP="00FF4D99">
      <w:pPr>
        <w:rPr>
          <w:rFonts w:ascii="Arial" w:hAnsi="Arial" w:cs="Arial"/>
          <w:b/>
          <w:color w:val="1F3864"/>
        </w:rPr>
      </w:pPr>
      <w:r w:rsidRPr="00F258D8">
        <w:rPr>
          <w:rFonts w:ascii="Arial" w:hAnsi="Arial" w:cs="Arial"/>
          <w:b/>
          <w:color w:val="1F3864"/>
        </w:rPr>
        <w:t>CONTENTS</w:t>
      </w:r>
    </w:p>
    <w:p w14:paraId="71473165" w14:textId="77777777" w:rsidR="00FF4D99" w:rsidRPr="00FF4D99" w:rsidRDefault="00FF4D99" w:rsidP="00FF4D99">
      <w:pPr>
        <w:rPr>
          <w:rFonts w:ascii="Arial" w:hAnsi="Arial" w:cs="Arial"/>
          <w:b/>
          <w:sz w:val="22"/>
          <w:szCs w:val="22"/>
        </w:rPr>
      </w:pPr>
    </w:p>
    <w:p w14:paraId="533EE447" w14:textId="77777777" w:rsidR="00051633" w:rsidRPr="00051633" w:rsidRDefault="00051633" w:rsidP="00051633">
      <w:pPr>
        <w:numPr>
          <w:ilvl w:val="0"/>
          <w:numId w:val="26"/>
        </w:numPr>
        <w:ind w:left="720" w:hanging="720"/>
        <w:rPr>
          <w:rFonts w:ascii="Arial" w:hAnsi="Arial" w:cs="Arial"/>
          <w:b/>
          <w:sz w:val="22"/>
          <w:szCs w:val="22"/>
        </w:rPr>
      </w:pPr>
      <w:r>
        <w:rPr>
          <w:rFonts w:ascii="Arial" w:hAnsi="Arial" w:cs="Arial"/>
          <w:b/>
          <w:color w:val="1F3864"/>
          <w:sz w:val="22"/>
          <w:szCs w:val="22"/>
        </w:rPr>
        <w:t>EXECUTIVE SUMMARY</w:t>
      </w:r>
    </w:p>
    <w:p w14:paraId="2EC869E9" w14:textId="77777777" w:rsidR="00FF4D99" w:rsidRDefault="00FF4D99" w:rsidP="00F258D8">
      <w:pPr>
        <w:numPr>
          <w:ilvl w:val="0"/>
          <w:numId w:val="26"/>
        </w:numPr>
        <w:ind w:left="720" w:hanging="720"/>
        <w:rPr>
          <w:rFonts w:ascii="Arial" w:hAnsi="Arial" w:cs="Arial"/>
          <w:b/>
          <w:sz w:val="22"/>
          <w:szCs w:val="22"/>
        </w:rPr>
      </w:pPr>
      <w:bookmarkStart w:id="0" w:name="_Hlk90375060"/>
      <w:r w:rsidRPr="00F258D8">
        <w:rPr>
          <w:rFonts w:ascii="Arial" w:hAnsi="Arial" w:cs="Arial"/>
          <w:b/>
          <w:color w:val="1F3864"/>
          <w:sz w:val="22"/>
          <w:szCs w:val="22"/>
        </w:rPr>
        <w:t>MISSION STATEMENT</w:t>
      </w:r>
    </w:p>
    <w:bookmarkEnd w:id="0"/>
    <w:p w14:paraId="5993DB9F" w14:textId="77777777" w:rsidR="00DA29CD" w:rsidRDefault="00A23EAA" w:rsidP="00DA29CD">
      <w:pPr>
        <w:rPr>
          <w:rFonts w:ascii="Arial" w:hAnsi="Arial" w:cs="Arial"/>
          <w:bCs/>
          <w:sz w:val="22"/>
          <w:szCs w:val="22"/>
        </w:rPr>
      </w:pPr>
      <w:r>
        <w:rPr>
          <w:rFonts w:ascii="Arial" w:hAnsi="Arial" w:cs="Arial"/>
          <w:bCs/>
          <w:sz w:val="22"/>
          <w:szCs w:val="22"/>
        </w:rPr>
        <w:t>2</w:t>
      </w:r>
      <w:r w:rsidR="00DA29CD">
        <w:rPr>
          <w:rFonts w:ascii="Arial" w:hAnsi="Arial" w:cs="Arial"/>
          <w:bCs/>
          <w:sz w:val="22"/>
          <w:szCs w:val="22"/>
        </w:rPr>
        <w:t>.1</w:t>
      </w:r>
      <w:r w:rsidR="00DA29CD">
        <w:rPr>
          <w:rFonts w:ascii="Arial" w:hAnsi="Arial" w:cs="Arial"/>
          <w:bCs/>
          <w:sz w:val="22"/>
          <w:szCs w:val="22"/>
        </w:rPr>
        <w:tab/>
        <w:t>Vision</w:t>
      </w:r>
    </w:p>
    <w:p w14:paraId="185D43A6" w14:textId="77777777" w:rsidR="00DA29CD" w:rsidRDefault="00A23EAA" w:rsidP="00DA29CD">
      <w:pPr>
        <w:rPr>
          <w:rFonts w:ascii="Arial" w:hAnsi="Arial" w:cs="Arial"/>
          <w:bCs/>
          <w:sz w:val="22"/>
          <w:szCs w:val="22"/>
        </w:rPr>
      </w:pPr>
      <w:r>
        <w:rPr>
          <w:rFonts w:ascii="Arial" w:hAnsi="Arial" w:cs="Arial"/>
          <w:bCs/>
          <w:sz w:val="22"/>
          <w:szCs w:val="22"/>
        </w:rPr>
        <w:t>2</w:t>
      </w:r>
      <w:r w:rsidR="00DA29CD">
        <w:rPr>
          <w:rFonts w:ascii="Arial" w:hAnsi="Arial" w:cs="Arial"/>
          <w:bCs/>
          <w:sz w:val="22"/>
          <w:szCs w:val="22"/>
        </w:rPr>
        <w:t>.2</w:t>
      </w:r>
      <w:r w:rsidR="00DA29CD">
        <w:rPr>
          <w:rFonts w:ascii="Arial" w:hAnsi="Arial" w:cs="Arial"/>
          <w:bCs/>
          <w:sz w:val="22"/>
          <w:szCs w:val="22"/>
        </w:rPr>
        <w:tab/>
        <w:t>Mission</w:t>
      </w:r>
    </w:p>
    <w:p w14:paraId="4CF8E576" w14:textId="77777777" w:rsidR="00DA29CD" w:rsidRDefault="00A23EAA" w:rsidP="00DA29CD">
      <w:pPr>
        <w:rPr>
          <w:rFonts w:ascii="Arial" w:hAnsi="Arial" w:cs="Arial"/>
          <w:bCs/>
          <w:sz w:val="22"/>
          <w:szCs w:val="22"/>
        </w:rPr>
      </w:pPr>
      <w:r>
        <w:rPr>
          <w:rFonts w:ascii="Arial" w:hAnsi="Arial" w:cs="Arial"/>
          <w:bCs/>
          <w:sz w:val="22"/>
          <w:szCs w:val="22"/>
        </w:rPr>
        <w:t>2</w:t>
      </w:r>
      <w:r w:rsidR="00DA29CD">
        <w:rPr>
          <w:rFonts w:ascii="Arial" w:hAnsi="Arial" w:cs="Arial"/>
          <w:bCs/>
          <w:sz w:val="22"/>
          <w:szCs w:val="22"/>
        </w:rPr>
        <w:t>.3</w:t>
      </w:r>
      <w:r w:rsidR="00DA29CD">
        <w:rPr>
          <w:rFonts w:ascii="Arial" w:hAnsi="Arial" w:cs="Arial"/>
          <w:bCs/>
          <w:sz w:val="22"/>
          <w:szCs w:val="22"/>
        </w:rPr>
        <w:tab/>
        <w:t>Our Clients</w:t>
      </w:r>
    </w:p>
    <w:p w14:paraId="0387B584" w14:textId="77777777" w:rsidR="00DA29CD" w:rsidRPr="00DA29CD" w:rsidRDefault="00A23EAA" w:rsidP="00DA29CD">
      <w:pPr>
        <w:rPr>
          <w:rFonts w:ascii="Arial" w:hAnsi="Arial" w:cs="Arial"/>
          <w:bCs/>
          <w:sz w:val="22"/>
          <w:szCs w:val="22"/>
        </w:rPr>
      </w:pPr>
      <w:r>
        <w:rPr>
          <w:rFonts w:ascii="Arial" w:hAnsi="Arial" w:cs="Arial"/>
          <w:bCs/>
          <w:sz w:val="22"/>
          <w:szCs w:val="22"/>
        </w:rPr>
        <w:t>2</w:t>
      </w:r>
      <w:r w:rsidR="00DA29CD">
        <w:rPr>
          <w:rFonts w:ascii="Arial" w:hAnsi="Arial" w:cs="Arial"/>
          <w:bCs/>
          <w:sz w:val="22"/>
          <w:szCs w:val="22"/>
        </w:rPr>
        <w:t>.4</w:t>
      </w:r>
      <w:r w:rsidR="00DA29CD">
        <w:rPr>
          <w:rFonts w:ascii="Arial" w:hAnsi="Arial" w:cs="Arial"/>
          <w:bCs/>
          <w:sz w:val="22"/>
          <w:szCs w:val="22"/>
        </w:rPr>
        <w:tab/>
        <w:t>Our Reach</w:t>
      </w:r>
    </w:p>
    <w:p w14:paraId="084B2DAC" w14:textId="77777777" w:rsidR="00A23EAA" w:rsidRDefault="00A23EAA" w:rsidP="00FF4D99">
      <w:pPr>
        <w:rPr>
          <w:rFonts w:ascii="Arial" w:hAnsi="Arial" w:cs="Arial"/>
          <w:b/>
          <w:color w:val="1F3864"/>
          <w:sz w:val="22"/>
          <w:szCs w:val="22"/>
        </w:rPr>
      </w:pPr>
      <w:r>
        <w:rPr>
          <w:rFonts w:ascii="Arial" w:hAnsi="Arial" w:cs="Arial"/>
          <w:bCs/>
          <w:sz w:val="22"/>
          <w:szCs w:val="22"/>
        </w:rPr>
        <w:t>3</w:t>
      </w:r>
      <w:r w:rsidR="00A33B13">
        <w:rPr>
          <w:rFonts w:ascii="Arial" w:hAnsi="Arial" w:cs="Arial"/>
          <w:bCs/>
          <w:sz w:val="22"/>
          <w:szCs w:val="22"/>
        </w:rPr>
        <w:t>.0</w:t>
      </w:r>
      <w:r w:rsidR="00FF4D99" w:rsidRPr="00FF4D99">
        <w:rPr>
          <w:rFonts w:ascii="Arial" w:hAnsi="Arial" w:cs="Arial"/>
          <w:b/>
          <w:sz w:val="22"/>
          <w:szCs w:val="22"/>
        </w:rPr>
        <w:tab/>
      </w:r>
      <w:r w:rsidR="00DA29CD" w:rsidRPr="00F258D8">
        <w:rPr>
          <w:rFonts w:ascii="Arial" w:hAnsi="Arial" w:cs="Arial"/>
          <w:b/>
          <w:color w:val="1F3864"/>
          <w:sz w:val="22"/>
          <w:szCs w:val="22"/>
        </w:rPr>
        <w:t>COMPANY SERVICES</w:t>
      </w:r>
    </w:p>
    <w:p w14:paraId="4723D31C" w14:textId="77777777" w:rsidR="00DA29CD" w:rsidRPr="00DA29CD" w:rsidRDefault="00A23EAA" w:rsidP="00FF4D99">
      <w:pPr>
        <w:rPr>
          <w:rFonts w:ascii="Arial" w:hAnsi="Arial" w:cs="Arial"/>
          <w:bCs/>
          <w:sz w:val="22"/>
          <w:szCs w:val="22"/>
        </w:rPr>
      </w:pPr>
      <w:r>
        <w:rPr>
          <w:rFonts w:ascii="Arial" w:hAnsi="Arial" w:cs="Arial"/>
          <w:bCs/>
          <w:sz w:val="22"/>
          <w:szCs w:val="22"/>
        </w:rPr>
        <w:t>4.0</w:t>
      </w:r>
      <w:r>
        <w:rPr>
          <w:rFonts w:ascii="Arial" w:hAnsi="Arial" w:cs="Arial"/>
          <w:bCs/>
          <w:sz w:val="22"/>
          <w:szCs w:val="22"/>
        </w:rPr>
        <w:tab/>
      </w:r>
      <w:r w:rsidRPr="00526DEE">
        <w:rPr>
          <w:rFonts w:ascii="Arial" w:hAnsi="Arial" w:cs="Arial"/>
          <w:b/>
          <w:color w:val="1F3864"/>
          <w:sz w:val="22"/>
          <w:szCs w:val="22"/>
        </w:rPr>
        <w:t>C</w:t>
      </w:r>
      <w:r>
        <w:rPr>
          <w:rFonts w:ascii="Arial" w:hAnsi="Arial" w:cs="Arial"/>
          <w:b/>
          <w:color w:val="1F3864"/>
          <w:sz w:val="22"/>
          <w:szCs w:val="22"/>
        </w:rPr>
        <w:t xml:space="preserve">HL’S CONTRIBUTION TO HOUSING PROVISION IN AUSTRALIA </w:t>
      </w:r>
      <w:r w:rsidRPr="002857A7">
        <w:rPr>
          <w:rFonts w:ascii="Arial" w:hAnsi="Arial" w:cs="Arial"/>
          <w:b/>
          <w:sz w:val="22"/>
          <w:szCs w:val="22"/>
          <w:u w:val="single"/>
        </w:rPr>
        <w:t xml:space="preserve">  </w:t>
      </w:r>
      <w:r w:rsidRPr="002857A7">
        <w:rPr>
          <w:rFonts w:ascii="Arial" w:hAnsi="Arial" w:cs="Arial"/>
          <w:sz w:val="22"/>
          <w:szCs w:val="22"/>
        </w:rPr>
        <w:t xml:space="preserve"> </w:t>
      </w:r>
    </w:p>
    <w:p w14:paraId="4466B8C8" w14:textId="77777777" w:rsidR="00FF4D99" w:rsidRPr="00FF4D99" w:rsidRDefault="00A33B13" w:rsidP="00FF4D99">
      <w:pPr>
        <w:rPr>
          <w:rFonts w:ascii="Arial" w:hAnsi="Arial" w:cs="Arial"/>
          <w:b/>
          <w:sz w:val="22"/>
          <w:szCs w:val="22"/>
        </w:rPr>
      </w:pPr>
      <w:r>
        <w:rPr>
          <w:rFonts w:ascii="Arial" w:hAnsi="Arial" w:cs="Arial"/>
          <w:bCs/>
          <w:sz w:val="22"/>
          <w:szCs w:val="22"/>
        </w:rPr>
        <w:t>5.0</w:t>
      </w:r>
      <w:r w:rsidR="00FF4D99" w:rsidRPr="00FF4D99">
        <w:rPr>
          <w:rFonts w:ascii="Arial" w:hAnsi="Arial" w:cs="Arial"/>
          <w:b/>
          <w:sz w:val="22"/>
          <w:szCs w:val="22"/>
        </w:rPr>
        <w:tab/>
      </w:r>
      <w:r w:rsidR="00FF4D99" w:rsidRPr="00F258D8">
        <w:rPr>
          <w:rFonts w:ascii="Arial" w:hAnsi="Arial" w:cs="Arial"/>
          <w:b/>
          <w:color w:val="1F3864"/>
          <w:sz w:val="22"/>
          <w:szCs w:val="22"/>
        </w:rPr>
        <w:t xml:space="preserve">CURRENT </w:t>
      </w:r>
      <w:r w:rsidR="00A23EAA">
        <w:rPr>
          <w:rFonts w:ascii="Arial" w:hAnsi="Arial" w:cs="Arial"/>
          <w:b/>
          <w:color w:val="1F3864"/>
          <w:sz w:val="22"/>
          <w:szCs w:val="22"/>
        </w:rPr>
        <w:t>FEDERAL HOUSING ASSISTANCE</w:t>
      </w:r>
    </w:p>
    <w:p w14:paraId="33CBA1CE" w14:textId="77777777" w:rsidR="00FF4D99" w:rsidRPr="00FF4D99" w:rsidRDefault="00FF4D99" w:rsidP="00FF4D99">
      <w:pPr>
        <w:rPr>
          <w:rFonts w:ascii="Arial" w:hAnsi="Arial" w:cs="Arial"/>
          <w:sz w:val="22"/>
          <w:szCs w:val="22"/>
        </w:rPr>
      </w:pPr>
      <w:r w:rsidRPr="00FF4D99">
        <w:rPr>
          <w:rFonts w:ascii="Arial" w:hAnsi="Arial" w:cs="Arial"/>
          <w:sz w:val="22"/>
          <w:szCs w:val="22"/>
        </w:rPr>
        <w:t>6.</w:t>
      </w:r>
      <w:r w:rsidR="0085038E">
        <w:rPr>
          <w:rFonts w:ascii="Arial" w:hAnsi="Arial" w:cs="Arial"/>
          <w:sz w:val="22"/>
          <w:szCs w:val="22"/>
        </w:rPr>
        <w:t>0</w:t>
      </w:r>
      <w:r w:rsidRPr="00FF4D99">
        <w:rPr>
          <w:rFonts w:ascii="Arial" w:hAnsi="Arial" w:cs="Arial"/>
          <w:sz w:val="22"/>
          <w:szCs w:val="22"/>
        </w:rPr>
        <w:tab/>
      </w:r>
      <w:r w:rsidR="0085038E">
        <w:rPr>
          <w:rFonts w:ascii="Arial" w:hAnsi="Arial" w:cs="Arial"/>
          <w:b/>
          <w:color w:val="1F3864"/>
        </w:rPr>
        <w:t>HOUSING AFFORDABILITY IN AUSTRALIA</w:t>
      </w:r>
    </w:p>
    <w:p w14:paraId="260B2AD0" w14:textId="77777777" w:rsidR="00FF4D99" w:rsidRDefault="00FF4D99" w:rsidP="00FF4D99">
      <w:pPr>
        <w:rPr>
          <w:rFonts w:ascii="Arial" w:hAnsi="Arial" w:cs="Arial"/>
          <w:sz w:val="22"/>
          <w:szCs w:val="22"/>
        </w:rPr>
      </w:pPr>
      <w:r w:rsidRPr="00FF4D99">
        <w:rPr>
          <w:rFonts w:ascii="Arial" w:hAnsi="Arial" w:cs="Arial"/>
          <w:sz w:val="22"/>
          <w:szCs w:val="22"/>
        </w:rPr>
        <w:t>6.</w:t>
      </w:r>
      <w:r w:rsidR="0085038E">
        <w:rPr>
          <w:rFonts w:ascii="Arial" w:hAnsi="Arial" w:cs="Arial"/>
          <w:sz w:val="22"/>
          <w:szCs w:val="22"/>
        </w:rPr>
        <w:t>1</w:t>
      </w:r>
      <w:r w:rsidRPr="00FF4D99">
        <w:rPr>
          <w:rFonts w:ascii="Arial" w:hAnsi="Arial" w:cs="Arial"/>
          <w:sz w:val="22"/>
          <w:szCs w:val="22"/>
        </w:rPr>
        <w:tab/>
      </w:r>
      <w:r w:rsidRPr="00FF4D99">
        <w:rPr>
          <w:rFonts w:ascii="Arial" w:hAnsi="Arial" w:cs="Arial"/>
          <w:sz w:val="22"/>
          <w:szCs w:val="22"/>
        </w:rPr>
        <w:tab/>
      </w:r>
      <w:r w:rsidR="00914965" w:rsidRPr="00914965">
        <w:rPr>
          <w:rFonts w:ascii="Arial" w:hAnsi="Arial" w:cs="Arial"/>
          <w:bCs/>
        </w:rPr>
        <w:t>Residential property prices</w:t>
      </w:r>
      <w:r w:rsidR="00914965">
        <w:rPr>
          <w:rFonts w:ascii="Arial" w:hAnsi="Arial" w:cs="Arial"/>
          <w:sz w:val="22"/>
          <w:szCs w:val="22"/>
        </w:rPr>
        <w:t xml:space="preserve"> </w:t>
      </w:r>
    </w:p>
    <w:p w14:paraId="15763246" w14:textId="77777777" w:rsidR="003743E3" w:rsidRPr="00FF4D99" w:rsidRDefault="003743E3" w:rsidP="00FF4D99">
      <w:pPr>
        <w:rPr>
          <w:rFonts w:ascii="Arial" w:hAnsi="Arial" w:cs="Arial"/>
          <w:sz w:val="22"/>
          <w:szCs w:val="22"/>
        </w:rPr>
      </w:pPr>
      <w:r>
        <w:rPr>
          <w:rFonts w:ascii="Arial" w:hAnsi="Arial" w:cs="Arial"/>
          <w:sz w:val="22"/>
          <w:szCs w:val="22"/>
        </w:rPr>
        <w:t>6.</w:t>
      </w:r>
      <w:r w:rsidR="00914965">
        <w:rPr>
          <w:rFonts w:ascii="Arial" w:hAnsi="Arial" w:cs="Arial"/>
          <w:sz w:val="22"/>
          <w:szCs w:val="22"/>
        </w:rPr>
        <w:t>2</w:t>
      </w:r>
      <w:r>
        <w:rPr>
          <w:rFonts w:ascii="Arial" w:hAnsi="Arial" w:cs="Arial"/>
          <w:sz w:val="22"/>
          <w:szCs w:val="22"/>
        </w:rPr>
        <w:tab/>
      </w:r>
      <w:r>
        <w:rPr>
          <w:rFonts w:ascii="Arial" w:hAnsi="Arial" w:cs="Arial"/>
          <w:sz w:val="22"/>
          <w:szCs w:val="22"/>
        </w:rPr>
        <w:tab/>
      </w:r>
      <w:r w:rsidR="00914965" w:rsidRPr="00914965">
        <w:rPr>
          <w:rFonts w:ascii="Arial" w:hAnsi="Arial" w:cs="Arial"/>
          <w:bCs/>
        </w:rPr>
        <w:t>Housing ownership in Australia</w:t>
      </w:r>
    </w:p>
    <w:p w14:paraId="7273708F" w14:textId="77777777" w:rsidR="00891DB1" w:rsidRDefault="00FF4D99" w:rsidP="00FF4D99">
      <w:pPr>
        <w:rPr>
          <w:rFonts w:ascii="Arial" w:hAnsi="Arial" w:cs="Arial"/>
          <w:sz w:val="22"/>
          <w:szCs w:val="22"/>
        </w:rPr>
      </w:pPr>
      <w:r w:rsidRPr="00FF4D99">
        <w:rPr>
          <w:rFonts w:ascii="Arial" w:hAnsi="Arial" w:cs="Arial"/>
          <w:sz w:val="22"/>
          <w:szCs w:val="22"/>
        </w:rPr>
        <w:t>6.</w:t>
      </w:r>
      <w:r w:rsidR="00891DB1">
        <w:rPr>
          <w:rFonts w:ascii="Arial" w:hAnsi="Arial" w:cs="Arial"/>
          <w:sz w:val="22"/>
          <w:szCs w:val="22"/>
        </w:rPr>
        <w:t>3</w:t>
      </w:r>
      <w:r w:rsidRPr="00FF4D99">
        <w:rPr>
          <w:rFonts w:ascii="Arial" w:hAnsi="Arial" w:cs="Arial"/>
          <w:sz w:val="22"/>
          <w:szCs w:val="22"/>
        </w:rPr>
        <w:tab/>
      </w:r>
      <w:r w:rsidRPr="00FF4D99">
        <w:rPr>
          <w:rFonts w:ascii="Arial" w:hAnsi="Arial" w:cs="Arial"/>
          <w:sz w:val="22"/>
          <w:szCs w:val="22"/>
        </w:rPr>
        <w:tab/>
      </w:r>
      <w:r w:rsidR="00891DB1" w:rsidRPr="00891DB1">
        <w:rPr>
          <w:rFonts w:ascii="Arial" w:hAnsi="Arial" w:cs="Arial"/>
          <w:sz w:val="22"/>
          <w:szCs w:val="22"/>
        </w:rPr>
        <w:t xml:space="preserve">Social and Community Rental Housing </w:t>
      </w:r>
    </w:p>
    <w:p w14:paraId="51B20294" w14:textId="77777777" w:rsidR="00891DB1" w:rsidRDefault="00785E11" w:rsidP="00FF4D99">
      <w:pPr>
        <w:rPr>
          <w:rFonts w:ascii="Arial" w:hAnsi="Arial" w:cs="Arial"/>
          <w:sz w:val="22"/>
          <w:szCs w:val="22"/>
        </w:rPr>
      </w:pPr>
      <w:r>
        <w:rPr>
          <w:rFonts w:ascii="Arial" w:hAnsi="Arial" w:cs="Arial"/>
          <w:sz w:val="22"/>
          <w:szCs w:val="22"/>
        </w:rPr>
        <w:t>6.</w:t>
      </w:r>
      <w:r w:rsidR="00891DB1">
        <w:rPr>
          <w:rFonts w:ascii="Arial" w:hAnsi="Arial" w:cs="Arial"/>
          <w:sz w:val="22"/>
          <w:szCs w:val="22"/>
        </w:rPr>
        <w:t>4</w:t>
      </w:r>
      <w:r>
        <w:rPr>
          <w:rFonts w:ascii="Arial" w:hAnsi="Arial" w:cs="Arial"/>
          <w:sz w:val="22"/>
          <w:szCs w:val="22"/>
        </w:rPr>
        <w:tab/>
      </w:r>
      <w:r>
        <w:rPr>
          <w:rFonts w:ascii="Arial" w:hAnsi="Arial" w:cs="Arial"/>
          <w:sz w:val="22"/>
          <w:szCs w:val="22"/>
        </w:rPr>
        <w:tab/>
      </w:r>
      <w:r w:rsidR="00891DB1" w:rsidRPr="00891DB1">
        <w:rPr>
          <w:rFonts w:ascii="Arial" w:hAnsi="Arial" w:cs="Arial"/>
          <w:sz w:val="22"/>
          <w:szCs w:val="22"/>
        </w:rPr>
        <w:t xml:space="preserve">Overall need for Social and Community Rental Housing </w:t>
      </w:r>
    </w:p>
    <w:p w14:paraId="3519BF82" w14:textId="77777777" w:rsidR="004E6976" w:rsidRDefault="00891DB1" w:rsidP="00FF4D99">
      <w:pPr>
        <w:rPr>
          <w:rFonts w:ascii="Arial" w:hAnsi="Arial" w:cs="Arial"/>
          <w:sz w:val="22"/>
          <w:szCs w:val="22"/>
        </w:rPr>
      </w:pPr>
      <w:r>
        <w:rPr>
          <w:rFonts w:ascii="Arial" w:hAnsi="Arial" w:cs="Arial"/>
          <w:sz w:val="22"/>
          <w:szCs w:val="22"/>
        </w:rPr>
        <w:t>7.0</w:t>
      </w:r>
      <w:r>
        <w:rPr>
          <w:rFonts w:ascii="Arial" w:hAnsi="Arial" w:cs="Arial"/>
          <w:sz w:val="22"/>
          <w:szCs w:val="22"/>
        </w:rPr>
        <w:tab/>
      </w:r>
      <w:r w:rsidRPr="00526DEE">
        <w:rPr>
          <w:rFonts w:ascii="Arial" w:hAnsi="Arial" w:cs="Arial"/>
          <w:b/>
          <w:color w:val="1F3864"/>
          <w:sz w:val="22"/>
          <w:szCs w:val="22"/>
        </w:rPr>
        <w:t>P</w:t>
      </w:r>
      <w:r>
        <w:rPr>
          <w:rFonts w:ascii="Arial" w:hAnsi="Arial" w:cs="Arial"/>
          <w:b/>
          <w:color w:val="1F3864"/>
          <w:sz w:val="22"/>
          <w:szCs w:val="22"/>
        </w:rPr>
        <w:t>OLICY ON SOCIAL AND COMMUNITY HOUSING</w:t>
      </w:r>
    </w:p>
    <w:p w14:paraId="37D4AC9A" w14:textId="77777777" w:rsidR="004415EF" w:rsidRDefault="00891DB1" w:rsidP="00FF4D99">
      <w:pPr>
        <w:rPr>
          <w:rFonts w:ascii="Arial" w:hAnsi="Arial" w:cs="Arial"/>
          <w:sz w:val="22"/>
          <w:szCs w:val="22"/>
        </w:rPr>
      </w:pPr>
      <w:r>
        <w:rPr>
          <w:rFonts w:ascii="Arial" w:hAnsi="Arial" w:cs="Arial"/>
          <w:sz w:val="22"/>
          <w:szCs w:val="22"/>
        </w:rPr>
        <w:t>7.1</w:t>
      </w:r>
      <w:r w:rsidR="004415EF">
        <w:rPr>
          <w:rFonts w:ascii="Arial" w:hAnsi="Arial" w:cs="Arial"/>
          <w:sz w:val="22"/>
          <w:szCs w:val="22"/>
        </w:rPr>
        <w:tab/>
      </w:r>
      <w:r w:rsidR="004415EF">
        <w:rPr>
          <w:rFonts w:ascii="Arial" w:hAnsi="Arial" w:cs="Arial"/>
          <w:sz w:val="22"/>
          <w:szCs w:val="22"/>
        </w:rPr>
        <w:tab/>
      </w:r>
      <w:r w:rsidR="009A77DE" w:rsidRPr="009A77DE">
        <w:rPr>
          <w:rFonts w:ascii="Arial" w:hAnsi="Arial" w:cs="Arial"/>
          <w:sz w:val="22"/>
          <w:szCs w:val="22"/>
        </w:rPr>
        <w:t>Reducing levels of public housing stock transfer</w:t>
      </w:r>
    </w:p>
    <w:p w14:paraId="74EE69A2" w14:textId="77777777" w:rsidR="004415EF" w:rsidRDefault="00891DB1" w:rsidP="00FF4D99">
      <w:pPr>
        <w:rPr>
          <w:rFonts w:ascii="Arial" w:hAnsi="Arial" w:cs="Arial"/>
          <w:sz w:val="22"/>
          <w:szCs w:val="22"/>
        </w:rPr>
      </w:pPr>
      <w:r>
        <w:rPr>
          <w:rFonts w:ascii="Arial" w:hAnsi="Arial" w:cs="Arial"/>
          <w:sz w:val="22"/>
          <w:szCs w:val="22"/>
        </w:rPr>
        <w:t>7.2</w:t>
      </w:r>
      <w:r w:rsidR="004415EF">
        <w:rPr>
          <w:rFonts w:ascii="Arial" w:hAnsi="Arial" w:cs="Arial"/>
          <w:sz w:val="22"/>
          <w:szCs w:val="22"/>
        </w:rPr>
        <w:tab/>
      </w:r>
      <w:r w:rsidR="004415EF">
        <w:rPr>
          <w:rFonts w:ascii="Arial" w:hAnsi="Arial" w:cs="Arial"/>
          <w:sz w:val="22"/>
          <w:szCs w:val="22"/>
        </w:rPr>
        <w:tab/>
      </w:r>
      <w:r w:rsidR="008A261C" w:rsidRPr="008A261C">
        <w:rPr>
          <w:rFonts w:ascii="Arial" w:hAnsi="Arial" w:cs="Arial"/>
          <w:sz w:val="22"/>
          <w:szCs w:val="22"/>
        </w:rPr>
        <w:t>Social housing stimulus</w:t>
      </w:r>
    </w:p>
    <w:p w14:paraId="795755F2" w14:textId="77777777" w:rsidR="008A261C" w:rsidRDefault="008A261C" w:rsidP="00FF4D99">
      <w:pPr>
        <w:rPr>
          <w:rFonts w:ascii="Arial" w:hAnsi="Arial" w:cs="Arial"/>
          <w:sz w:val="22"/>
          <w:szCs w:val="22"/>
        </w:rPr>
      </w:pPr>
      <w:r>
        <w:rPr>
          <w:rFonts w:ascii="Arial" w:hAnsi="Arial" w:cs="Arial"/>
          <w:sz w:val="22"/>
          <w:szCs w:val="22"/>
        </w:rPr>
        <w:t>7.3</w:t>
      </w:r>
      <w:r w:rsidRPr="008A261C">
        <w:t xml:space="preserve"> </w:t>
      </w:r>
      <w:r>
        <w:tab/>
      </w:r>
      <w:r>
        <w:tab/>
      </w:r>
      <w:r w:rsidRPr="008A261C">
        <w:rPr>
          <w:rFonts w:ascii="Arial" w:hAnsi="Arial" w:cs="Arial"/>
          <w:sz w:val="22"/>
          <w:szCs w:val="22"/>
        </w:rPr>
        <w:t>Specialist Disability Accommodation (SDA)</w:t>
      </w:r>
    </w:p>
    <w:p w14:paraId="26892CE9" w14:textId="77777777" w:rsidR="008A261C" w:rsidRDefault="008A261C" w:rsidP="00FF4D99">
      <w:pPr>
        <w:rPr>
          <w:rFonts w:ascii="Arial" w:hAnsi="Arial" w:cs="Arial"/>
          <w:sz w:val="22"/>
          <w:szCs w:val="22"/>
        </w:rPr>
      </w:pPr>
      <w:r>
        <w:rPr>
          <w:rFonts w:ascii="Arial" w:hAnsi="Arial" w:cs="Arial"/>
          <w:sz w:val="22"/>
          <w:szCs w:val="22"/>
        </w:rPr>
        <w:t>7.4</w:t>
      </w:r>
      <w:r>
        <w:rPr>
          <w:rFonts w:ascii="Arial" w:hAnsi="Arial" w:cs="Arial"/>
          <w:sz w:val="22"/>
          <w:szCs w:val="22"/>
        </w:rPr>
        <w:tab/>
      </w:r>
      <w:r>
        <w:rPr>
          <w:rFonts w:ascii="Arial" w:hAnsi="Arial" w:cs="Arial"/>
          <w:sz w:val="22"/>
          <w:szCs w:val="22"/>
        </w:rPr>
        <w:tab/>
      </w:r>
      <w:r w:rsidRPr="008A261C">
        <w:rPr>
          <w:rFonts w:ascii="Arial" w:hAnsi="Arial" w:cs="Arial"/>
          <w:sz w:val="22"/>
          <w:szCs w:val="22"/>
        </w:rPr>
        <w:t>Public housing estate renewal</w:t>
      </w:r>
    </w:p>
    <w:p w14:paraId="778CB431" w14:textId="77777777" w:rsidR="008A261C" w:rsidRDefault="008A261C" w:rsidP="00FF4D99">
      <w:pPr>
        <w:rPr>
          <w:rFonts w:ascii="Arial" w:hAnsi="Arial" w:cs="Arial"/>
          <w:sz w:val="22"/>
          <w:szCs w:val="22"/>
        </w:rPr>
      </w:pPr>
      <w:r>
        <w:rPr>
          <w:rFonts w:ascii="Arial" w:hAnsi="Arial" w:cs="Arial"/>
          <w:sz w:val="22"/>
          <w:szCs w:val="22"/>
        </w:rPr>
        <w:t>7.5</w:t>
      </w:r>
      <w:r>
        <w:rPr>
          <w:rFonts w:ascii="Arial" w:hAnsi="Arial" w:cs="Arial"/>
          <w:sz w:val="22"/>
          <w:szCs w:val="22"/>
        </w:rPr>
        <w:tab/>
      </w:r>
      <w:r>
        <w:rPr>
          <w:rFonts w:ascii="Arial" w:hAnsi="Arial" w:cs="Arial"/>
          <w:sz w:val="22"/>
          <w:szCs w:val="22"/>
        </w:rPr>
        <w:tab/>
      </w:r>
      <w:r w:rsidR="00EB119E" w:rsidRPr="00EB119E">
        <w:rPr>
          <w:rFonts w:ascii="Arial" w:hAnsi="Arial" w:cs="Arial"/>
          <w:sz w:val="22"/>
          <w:szCs w:val="22"/>
        </w:rPr>
        <w:t xml:space="preserve">National Rental Affordability </w:t>
      </w:r>
      <w:r w:rsidR="003D223E" w:rsidRPr="00EB119E">
        <w:rPr>
          <w:rFonts w:ascii="Arial" w:hAnsi="Arial" w:cs="Arial"/>
          <w:sz w:val="22"/>
          <w:szCs w:val="22"/>
        </w:rPr>
        <w:t>Scheme (</w:t>
      </w:r>
      <w:r w:rsidR="00EB119E" w:rsidRPr="00EB119E">
        <w:rPr>
          <w:rFonts w:ascii="Arial" w:hAnsi="Arial" w:cs="Arial"/>
          <w:sz w:val="22"/>
          <w:szCs w:val="22"/>
        </w:rPr>
        <w:t>NRAS)</w:t>
      </w:r>
    </w:p>
    <w:p w14:paraId="6BE9BBED" w14:textId="77777777" w:rsidR="00EB119E" w:rsidRDefault="00EB119E" w:rsidP="00FF4D99">
      <w:pPr>
        <w:rPr>
          <w:rFonts w:ascii="Arial" w:hAnsi="Arial" w:cs="Arial"/>
          <w:sz w:val="22"/>
          <w:szCs w:val="22"/>
        </w:rPr>
      </w:pPr>
      <w:r>
        <w:rPr>
          <w:rFonts w:ascii="Arial" w:hAnsi="Arial" w:cs="Arial"/>
          <w:sz w:val="22"/>
          <w:szCs w:val="22"/>
        </w:rPr>
        <w:t>7.6</w:t>
      </w:r>
      <w:r>
        <w:rPr>
          <w:rFonts w:ascii="Arial" w:hAnsi="Arial" w:cs="Arial"/>
          <w:sz w:val="22"/>
          <w:szCs w:val="22"/>
        </w:rPr>
        <w:tab/>
      </w:r>
      <w:r>
        <w:rPr>
          <w:rFonts w:ascii="Arial" w:hAnsi="Arial" w:cs="Arial"/>
          <w:sz w:val="22"/>
          <w:szCs w:val="22"/>
        </w:rPr>
        <w:tab/>
        <w:t>Financing</w:t>
      </w:r>
    </w:p>
    <w:p w14:paraId="00DB6452" w14:textId="77777777" w:rsidR="00EB119E" w:rsidRDefault="00EB119E" w:rsidP="00FF4D99">
      <w:pPr>
        <w:rPr>
          <w:rFonts w:ascii="Arial" w:hAnsi="Arial" w:cs="Arial"/>
          <w:sz w:val="22"/>
          <w:szCs w:val="22"/>
        </w:rPr>
      </w:pPr>
      <w:r>
        <w:rPr>
          <w:rFonts w:ascii="Arial" w:hAnsi="Arial" w:cs="Arial"/>
          <w:sz w:val="22"/>
          <w:szCs w:val="22"/>
        </w:rPr>
        <w:t>7.7</w:t>
      </w:r>
      <w:r>
        <w:rPr>
          <w:rFonts w:ascii="Arial" w:hAnsi="Arial" w:cs="Arial"/>
          <w:sz w:val="22"/>
          <w:szCs w:val="22"/>
        </w:rPr>
        <w:tab/>
      </w:r>
      <w:r>
        <w:rPr>
          <w:rFonts w:ascii="Arial" w:hAnsi="Arial" w:cs="Arial"/>
          <w:sz w:val="22"/>
          <w:szCs w:val="22"/>
        </w:rPr>
        <w:tab/>
        <w:t xml:space="preserve">Community </w:t>
      </w:r>
      <w:r w:rsidR="00132163">
        <w:rPr>
          <w:rFonts w:ascii="Arial" w:hAnsi="Arial" w:cs="Arial"/>
          <w:sz w:val="22"/>
          <w:szCs w:val="22"/>
        </w:rPr>
        <w:t>Housing Regulation</w:t>
      </w:r>
    </w:p>
    <w:p w14:paraId="7BA43C95" w14:textId="77777777" w:rsidR="00132163" w:rsidRDefault="00132163" w:rsidP="00FF4D99">
      <w:pPr>
        <w:rPr>
          <w:rFonts w:ascii="Arial" w:hAnsi="Arial" w:cs="Arial"/>
          <w:sz w:val="22"/>
          <w:szCs w:val="22"/>
        </w:rPr>
      </w:pPr>
      <w:r>
        <w:rPr>
          <w:rFonts w:ascii="Arial" w:hAnsi="Arial" w:cs="Arial"/>
          <w:sz w:val="22"/>
          <w:szCs w:val="22"/>
        </w:rPr>
        <w:t>7.8</w:t>
      </w:r>
      <w:r>
        <w:rPr>
          <w:rFonts w:ascii="Arial" w:hAnsi="Arial" w:cs="Arial"/>
          <w:sz w:val="22"/>
          <w:szCs w:val="22"/>
        </w:rPr>
        <w:tab/>
      </w:r>
      <w:r>
        <w:rPr>
          <w:rFonts w:ascii="Arial" w:hAnsi="Arial" w:cs="Arial"/>
          <w:sz w:val="22"/>
          <w:szCs w:val="22"/>
        </w:rPr>
        <w:tab/>
        <w:t>Industry Development</w:t>
      </w:r>
    </w:p>
    <w:p w14:paraId="66B51311" w14:textId="77777777" w:rsidR="00132163" w:rsidRPr="00FF4D99" w:rsidRDefault="00132163" w:rsidP="00FF4D99">
      <w:pPr>
        <w:rPr>
          <w:rFonts w:ascii="Arial" w:hAnsi="Arial" w:cs="Arial"/>
          <w:sz w:val="22"/>
          <w:szCs w:val="22"/>
        </w:rPr>
      </w:pPr>
      <w:r>
        <w:rPr>
          <w:rFonts w:ascii="Arial" w:hAnsi="Arial" w:cs="Arial"/>
          <w:sz w:val="22"/>
          <w:szCs w:val="22"/>
        </w:rPr>
        <w:t>7.9</w:t>
      </w:r>
      <w:r>
        <w:rPr>
          <w:rFonts w:ascii="Arial" w:hAnsi="Arial" w:cs="Arial"/>
          <w:sz w:val="22"/>
          <w:szCs w:val="22"/>
        </w:rPr>
        <w:tab/>
      </w:r>
      <w:r>
        <w:rPr>
          <w:rFonts w:ascii="Arial" w:hAnsi="Arial" w:cs="Arial"/>
          <w:sz w:val="22"/>
          <w:szCs w:val="22"/>
        </w:rPr>
        <w:tab/>
        <w:t>Aboriginal and Torres Strait Islander Housing</w:t>
      </w:r>
    </w:p>
    <w:p w14:paraId="4BA970FB" w14:textId="77777777" w:rsidR="00FF4D99" w:rsidRPr="00FF4D99" w:rsidRDefault="008A261C" w:rsidP="004415EF">
      <w:pPr>
        <w:rPr>
          <w:rFonts w:ascii="Arial" w:hAnsi="Arial" w:cs="Arial"/>
          <w:sz w:val="22"/>
          <w:szCs w:val="22"/>
        </w:rPr>
      </w:pPr>
      <w:r>
        <w:rPr>
          <w:rFonts w:ascii="Arial" w:hAnsi="Arial" w:cs="Arial"/>
          <w:bCs/>
          <w:sz w:val="22"/>
          <w:szCs w:val="22"/>
        </w:rPr>
        <w:t>8</w:t>
      </w:r>
      <w:r w:rsidR="00A33B13">
        <w:rPr>
          <w:rFonts w:ascii="Arial" w:hAnsi="Arial" w:cs="Arial"/>
          <w:bCs/>
          <w:sz w:val="22"/>
          <w:szCs w:val="22"/>
        </w:rPr>
        <w:t>.0</w:t>
      </w:r>
      <w:r w:rsidR="00FF4D99" w:rsidRPr="00FF4D99">
        <w:rPr>
          <w:rFonts w:ascii="Arial" w:hAnsi="Arial" w:cs="Arial"/>
          <w:b/>
          <w:sz w:val="22"/>
          <w:szCs w:val="22"/>
        </w:rPr>
        <w:tab/>
      </w:r>
      <w:r w:rsidR="00A42476">
        <w:rPr>
          <w:rFonts w:ascii="Arial" w:hAnsi="Arial" w:cs="Arial"/>
          <w:b/>
          <w:color w:val="1F3864"/>
          <w:sz w:val="22"/>
          <w:szCs w:val="22"/>
        </w:rPr>
        <w:t>RESPONSE TO THE ISSUES PAPER</w:t>
      </w:r>
    </w:p>
    <w:p w14:paraId="3E60260D" w14:textId="77777777" w:rsidR="00FF4D99" w:rsidRPr="00FF4D99" w:rsidRDefault="00132163" w:rsidP="00FF4D99">
      <w:pPr>
        <w:rPr>
          <w:rFonts w:ascii="Arial" w:hAnsi="Arial" w:cs="Arial"/>
          <w:sz w:val="22"/>
          <w:szCs w:val="22"/>
        </w:rPr>
      </w:pPr>
      <w:r>
        <w:rPr>
          <w:rFonts w:ascii="Arial" w:hAnsi="Arial" w:cs="Arial"/>
          <w:sz w:val="22"/>
          <w:szCs w:val="22"/>
        </w:rPr>
        <w:t>8</w:t>
      </w:r>
      <w:r w:rsidR="00FF4D99" w:rsidRPr="00FF4D99">
        <w:rPr>
          <w:rFonts w:ascii="Arial" w:hAnsi="Arial" w:cs="Arial"/>
          <w:sz w:val="22"/>
          <w:szCs w:val="22"/>
        </w:rPr>
        <w:t>.1</w:t>
      </w:r>
      <w:r w:rsidR="00FF4D99" w:rsidRPr="00FF4D99">
        <w:rPr>
          <w:rFonts w:ascii="Arial" w:hAnsi="Arial" w:cs="Arial"/>
          <w:sz w:val="22"/>
          <w:szCs w:val="22"/>
        </w:rPr>
        <w:tab/>
      </w:r>
      <w:r w:rsidR="00FF4D99" w:rsidRPr="00FF4D99">
        <w:rPr>
          <w:rFonts w:ascii="Arial" w:hAnsi="Arial" w:cs="Arial"/>
          <w:sz w:val="22"/>
          <w:szCs w:val="22"/>
        </w:rPr>
        <w:tab/>
      </w:r>
      <w:r w:rsidR="00264EEC">
        <w:rPr>
          <w:rFonts w:ascii="Arial" w:hAnsi="Arial" w:cs="Arial"/>
          <w:sz w:val="22"/>
          <w:szCs w:val="22"/>
        </w:rPr>
        <w:t>Question in the Issues Paper</w:t>
      </w:r>
    </w:p>
    <w:p w14:paraId="09A08489" w14:textId="77777777" w:rsidR="00FF4D99" w:rsidRPr="00FF4D99" w:rsidRDefault="00132163" w:rsidP="00132163">
      <w:pPr>
        <w:rPr>
          <w:rFonts w:ascii="Arial" w:hAnsi="Arial" w:cs="Arial"/>
          <w:sz w:val="22"/>
          <w:szCs w:val="22"/>
        </w:rPr>
      </w:pPr>
      <w:r>
        <w:rPr>
          <w:rFonts w:ascii="Arial" w:hAnsi="Arial" w:cs="Arial"/>
          <w:sz w:val="22"/>
          <w:szCs w:val="22"/>
        </w:rPr>
        <w:t>8</w:t>
      </w:r>
      <w:r w:rsidR="00FF4D99" w:rsidRPr="00FF4D99">
        <w:rPr>
          <w:rFonts w:ascii="Arial" w:hAnsi="Arial" w:cs="Arial"/>
          <w:sz w:val="22"/>
          <w:szCs w:val="22"/>
        </w:rPr>
        <w:t>.2</w:t>
      </w:r>
      <w:r w:rsidR="00FF4D99" w:rsidRPr="00FF4D99">
        <w:rPr>
          <w:rFonts w:ascii="Arial" w:hAnsi="Arial" w:cs="Arial"/>
          <w:sz w:val="22"/>
          <w:szCs w:val="22"/>
        </w:rPr>
        <w:tab/>
      </w:r>
      <w:r w:rsidR="00FF4D99" w:rsidRPr="00FF4D99">
        <w:rPr>
          <w:rFonts w:ascii="Arial" w:hAnsi="Arial" w:cs="Arial"/>
          <w:sz w:val="22"/>
          <w:szCs w:val="22"/>
        </w:rPr>
        <w:tab/>
      </w:r>
      <w:r w:rsidRPr="00132163">
        <w:rPr>
          <w:rFonts w:ascii="Arial" w:hAnsi="Arial" w:cs="Arial"/>
          <w:sz w:val="22"/>
          <w:szCs w:val="22"/>
        </w:rPr>
        <w:t>Repurposing the NHHA to support growth of social and affordable housing</w:t>
      </w:r>
      <w:r w:rsidR="00FF4D99" w:rsidRPr="00FF4D99">
        <w:rPr>
          <w:rFonts w:ascii="Arial" w:hAnsi="Arial" w:cs="Arial"/>
          <w:sz w:val="22"/>
          <w:szCs w:val="22"/>
        </w:rPr>
        <w:t xml:space="preserve"> </w:t>
      </w:r>
    </w:p>
    <w:p w14:paraId="6E093E01" w14:textId="77777777" w:rsidR="00FF4D99" w:rsidRPr="00F258D8" w:rsidRDefault="00D71BD2" w:rsidP="00D71BD2">
      <w:pPr>
        <w:rPr>
          <w:rFonts w:ascii="Arial" w:hAnsi="Arial" w:cs="Arial"/>
          <w:color w:val="1F3864"/>
          <w:sz w:val="22"/>
          <w:szCs w:val="22"/>
        </w:rPr>
      </w:pPr>
      <w:r w:rsidRPr="00F258D8">
        <w:rPr>
          <w:rFonts w:ascii="Arial" w:hAnsi="Arial" w:cs="Arial"/>
          <w:bCs/>
          <w:color w:val="1F3864"/>
          <w:sz w:val="22"/>
          <w:szCs w:val="22"/>
        </w:rPr>
        <w:t>9.0</w:t>
      </w:r>
      <w:r w:rsidRPr="00F258D8">
        <w:rPr>
          <w:rFonts w:ascii="Arial" w:hAnsi="Arial" w:cs="Arial"/>
          <w:bCs/>
          <w:color w:val="1F3864"/>
          <w:sz w:val="22"/>
          <w:szCs w:val="22"/>
        </w:rPr>
        <w:tab/>
      </w:r>
      <w:r w:rsidR="00132163">
        <w:rPr>
          <w:rFonts w:ascii="Arial" w:hAnsi="Arial" w:cs="Arial"/>
          <w:b/>
          <w:color w:val="1F3864"/>
          <w:sz w:val="22"/>
          <w:szCs w:val="22"/>
        </w:rPr>
        <w:t>CONCLUSION</w:t>
      </w:r>
    </w:p>
    <w:p w14:paraId="739C9C14" w14:textId="77777777" w:rsidR="0006614C" w:rsidRDefault="0006614C" w:rsidP="002B6921">
      <w:pPr>
        <w:rPr>
          <w:rFonts w:ascii="Arial" w:hAnsi="Arial" w:cs="Arial"/>
          <w:sz w:val="22"/>
          <w:szCs w:val="22"/>
        </w:rPr>
      </w:pPr>
    </w:p>
    <w:p w14:paraId="5A1CA4DF" w14:textId="77777777" w:rsidR="00C36C5F" w:rsidRDefault="00C36C5F" w:rsidP="002B6921">
      <w:pPr>
        <w:rPr>
          <w:rFonts w:ascii="Arial" w:hAnsi="Arial" w:cs="Arial"/>
          <w:b/>
          <w:sz w:val="28"/>
          <w:szCs w:val="28"/>
        </w:rPr>
      </w:pPr>
    </w:p>
    <w:p w14:paraId="17EDF7B9" w14:textId="77777777" w:rsidR="00FF4D99" w:rsidRDefault="00FF4D99" w:rsidP="002B6921">
      <w:pPr>
        <w:rPr>
          <w:rFonts w:ascii="Arial" w:hAnsi="Arial" w:cs="Arial"/>
          <w:b/>
          <w:sz w:val="28"/>
          <w:szCs w:val="28"/>
        </w:rPr>
      </w:pPr>
    </w:p>
    <w:p w14:paraId="1F453F96" w14:textId="77777777" w:rsidR="00FF4D99" w:rsidRDefault="00FF4D99" w:rsidP="002B6921">
      <w:pPr>
        <w:rPr>
          <w:rFonts w:ascii="Arial" w:hAnsi="Arial" w:cs="Arial"/>
          <w:b/>
          <w:sz w:val="28"/>
          <w:szCs w:val="28"/>
        </w:rPr>
      </w:pPr>
    </w:p>
    <w:p w14:paraId="3EA52CFE" w14:textId="77777777" w:rsidR="00FF4D99" w:rsidRDefault="00FF4D99" w:rsidP="002B6921">
      <w:pPr>
        <w:rPr>
          <w:rFonts w:ascii="Arial" w:hAnsi="Arial" w:cs="Arial"/>
          <w:b/>
          <w:sz w:val="28"/>
          <w:szCs w:val="28"/>
        </w:rPr>
      </w:pPr>
    </w:p>
    <w:p w14:paraId="61BBDB65" w14:textId="77777777" w:rsidR="00FF4D99" w:rsidRDefault="00FF4D99" w:rsidP="002B6921">
      <w:pPr>
        <w:rPr>
          <w:rFonts w:ascii="Arial" w:hAnsi="Arial" w:cs="Arial"/>
          <w:b/>
          <w:sz w:val="28"/>
          <w:szCs w:val="28"/>
        </w:rPr>
      </w:pPr>
    </w:p>
    <w:p w14:paraId="7EDCAAB2" w14:textId="77777777" w:rsidR="004415EF" w:rsidRDefault="004415EF" w:rsidP="002B6921">
      <w:pPr>
        <w:rPr>
          <w:rFonts w:ascii="Arial" w:hAnsi="Arial" w:cs="Arial"/>
          <w:b/>
          <w:sz w:val="28"/>
          <w:szCs w:val="28"/>
        </w:rPr>
      </w:pPr>
    </w:p>
    <w:p w14:paraId="728D7C47" w14:textId="77777777" w:rsidR="00555D90" w:rsidRDefault="00555D90" w:rsidP="00720486">
      <w:pPr>
        <w:jc w:val="both"/>
        <w:rPr>
          <w:rFonts w:ascii="Arial" w:hAnsi="Arial" w:cs="Arial"/>
          <w:sz w:val="22"/>
          <w:szCs w:val="22"/>
        </w:rPr>
      </w:pPr>
      <w:bookmarkStart w:id="1" w:name="_Hlk78890452"/>
    </w:p>
    <w:p w14:paraId="38E59552" w14:textId="77777777" w:rsidR="00555D90" w:rsidRDefault="00555D90" w:rsidP="00720486">
      <w:pPr>
        <w:jc w:val="both"/>
        <w:rPr>
          <w:rFonts w:ascii="Arial" w:hAnsi="Arial" w:cs="Arial"/>
          <w:sz w:val="22"/>
          <w:szCs w:val="22"/>
        </w:rPr>
      </w:pPr>
    </w:p>
    <w:p w14:paraId="5A9E496C" w14:textId="77777777" w:rsidR="00C546A4" w:rsidRDefault="00C546A4" w:rsidP="00720486">
      <w:pPr>
        <w:jc w:val="both"/>
        <w:rPr>
          <w:rFonts w:ascii="Arial" w:hAnsi="Arial" w:cs="Arial"/>
          <w:sz w:val="22"/>
          <w:szCs w:val="22"/>
        </w:rPr>
      </w:pPr>
    </w:p>
    <w:p w14:paraId="05739DE3" w14:textId="77777777" w:rsidR="00C546A4" w:rsidRDefault="00C546A4" w:rsidP="00720486">
      <w:pPr>
        <w:jc w:val="both"/>
        <w:rPr>
          <w:rFonts w:ascii="Arial" w:hAnsi="Arial" w:cs="Arial"/>
          <w:sz w:val="22"/>
          <w:szCs w:val="22"/>
        </w:rPr>
      </w:pPr>
    </w:p>
    <w:p w14:paraId="3F7CC549" w14:textId="77777777" w:rsidR="00C546A4" w:rsidRDefault="00C546A4" w:rsidP="00720486">
      <w:pPr>
        <w:jc w:val="both"/>
        <w:rPr>
          <w:rFonts w:ascii="Arial" w:hAnsi="Arial" w:cs="Arial"/>
          <w:sz w:val="22"/>
          <w:szCs w:val="22"/>
        </w:rPr>
      </w:pPr>
    </w:p>
    <w:bookmarkEnd w:id="1"/>
    <w:p w14:paraId="30A967B9" w14:textId="77777777" w:rsidR="00132163" w:rsidRDefault="00132163" w:rsidP="00111919">
      <w:pPr>
        <w:jc w:val="both"/>
        <w:rPr>
          <w:rFonts w:ascii="Arial" w:hAnsi="Arial" w:cs="Arial"/>
          <w:sz w:val="22"/>
          <w:szCs w:val="22"/>
        </w:rPr>
      </w:pPr>
    </w:p>
    <w:p w14:paraId="6DFCF4C1" w14:textId="77777777" w:rsidR="0094729D" w:rsidRDefault="0094729D" w:rsidP="00111919">
      <w:pPr>
        <w:jc w:val="both"/>
        <w:rPr>
          <w:rFonts w:ascii="Arial" w:hAnsi="Arial" w:cs="Arial"/>
          <w:sz w:val="22"/>
          <w:szCs w:val="22"/>
        </w:rPr>
      </w:pPr>
    </w:p>
    <w:p w14:paraId="1C467412" w14:textId="77777777" w:rsidR="00132163" w:rsidRDefault="00132163" w:rsidP="00111919">
      <w:pPr>
        <w:jc w:val="both"/>
        <w:rPr>
          <w:rFonts w:ascii="Arial" w:hAnsi="Arial" w:cs="Arial"/>
          <w:sz w:val="22"/>
          <w:szCs w:val="22"/>
        </w:rPr>
      </w:pPr>
    </w:p>
    <w:p w14:paraId="55DF9601" w14:textId="77777777" w:rsidR="00051633" w:rsidRDefault="00051633" w:rsidP="00111919">
      <w:pPr>
        <w:numPr>
          <w:ilvl w:val="0"/>
          <w:numId w:val="32"/>
        </w:numPr>
        <w:jc w:val="both"/>
        <w:rPr>
          <w:rFonts w:ascii="Arial" w:hAnsi="Arial" w:cs="Arial"/>
          <w:b/>
          <w:color w:val="1F3864"/>
          <w:sz w:val="28"/>
          <w:szCs w:val="28"/>
        </w:rPr>
      </w:pPr>
      <w:r>
        <w:rPr>
          <w:rFonts w:ascii="Arial" w:hAnsi="Arial" w:cs="Arial"/>
          <w:b/>
          <w:color w:val="1F3864"/>
          <w:sz w:val="28"/>
          <w:szCs w:val="28"/>
        </w:rPr>
        <w:lastRenderedPageBreak/>
        <w:t>EXECUTIVE SUMMARY</w:t>
      </w:r>
    </w:p>
    <w:p w14:paraId="7D8A786E" w14:textId="77777777" w:rsidR="006A5CA8" w:rsidRDefault="006A5CA8" w:rsidP="006A5CA8">
      <w:pPr>
        <w:jc w:val="both"/>
        <w:rPr>
          <w:rFonts w:ascii="Arial" w:hAnsi="Arial" w:cs="Arial"/>
          <w:b/>
          <w:color w:val="1F3864"/>
          <w:sz w:val="28"/>
          <w:szCs w:val="28"/>
        </w:rPr>
      </w:pPr>
    </w:p>
    <w:p w14:paraId="443B0C85" w14:textId="77777777" w:rsidR="00051633" w:rsidRDefault="006A5CA8" w:rsidP="006A5CA8">
      <w:pPr>
        <w:ind w:left="720" w:hanging="720"/>
        <w:jc w:val="both"/>
        <w:rPr>
          <w:rFonts w:ascii="Arial" w:hAnsi="Arial" w:cs="Arial"/>
          <w:bCs/>
          <w:sz w:val="22"/>
          <w:szCs w:val="22"/>
        </w:rPr>
      </w:pPr>
      <w:r>
        <w:rPr>
          <w:rFonts w:ascii="Arial" w:hAnsi="Arial" w:cs="Arial"/>
          <w:bCs/>
          <w:sz w:val="22"/>
          <w:szCs w:val="22"/>
        </w:rPr>
        <w:t>1.1</w:t>
      </w:r>
      <w:r>
        <w:rPr>
          <w:rFonts w:ascii="Arial" w:hAnsi="Arial" w:cs="Arial"/>
          <w:bCs/>
          <w:sz w:val="22"/>
          <w:szCs w:val="22"/>
        </w:rPr>
        <w:tab/>
      </w:r>
      <w:r w:rsidR="00051633">
        <w:rPr>
          <w:rFonts w:ascii="Arial" w:hAnsi="Arial" w:cs="Arial"/>
          <w:bCs/>
          <w:sz w:val="22"/>
          <w:szCs w:val="22"/>
        </w:rPr>
        <w:t>Community Housing Limited has the largest reach of any community housing provider in Australia with</w:t>
      </w:r>
      <w:r w:rsidR="00BA1F56">
        <w:rPr>
          <w:rFonts w:ascii="Arial" w:hAnsi="Arial" w:cs="Arial"/>
          <w:bCs/>
          <w:sz w:val="22"/>
          <w:szCs w:val="22"/>
        </w:rPr>
        <w:t xml:space="preserve"> nearly</w:t>
      </w:r>
      <w:r w:rsidR="00051633">
        <w:rPr>
          <w:rFonts w:ascii="Arial" w:hAnsi="Arial" w:cs="Arial"/>
          <w:bCs/>
          <w:sz w:val="22"/>
          <w:szCs w:val="22"/>
        </w:rPr>
        <w:t xml:space="preserve"> 11,</w:t>
      </w:r>
      <w:r w:rsidR="00BA1F56">
        <w:rPr>
          <w:rFonts w:ascii="Arial" w:hAnsi="Arial" w:cs="Arial"/>
          <w:bCs/>
          <w:sz w:val="22"/>
          <w:szCs w:val="22"/>
        </w:rPr>
        <w:t>4</w:t>
      </w:r>
      <w:r w:rsidR="00051633">
        <w:rPr>
          <w:rFonts w:ascii="Arial" w:hAnsi="Arial" w:cs="Arial"/>
          <w:bCs/>
          <w:sz w:val="22"/>
          <w:szCs w:val="22"/>
        </w:rPr>
        <w:t xml:space="preserve">00 community rental housing homes under management and a current design and construction program of nearly 2,000 homes </w:t>
      </w:r>
      <w:r w:rsidR="002055D9">
        <w:rPr>
          <w:rFonts w:ascii="Arial" w:hAnsi="Arial" w:cs="Arial"/>
          <w:bCs/>
          <w:sz w:val="22"/>
          <w:szCs w:val="22"/>
        </w:rPr>
        <w:t>across six States.</w:t>
      </w:r>
    </w:p>
    <w:p w14:paraId="285C2E33" w14:textId="77777777" w:rsidR="002055D9" w:rsidRDefault="002055D9" w:rsidP="00051633">
      <w:pPr>
        <w:ind w:left="720"/>
        <w:jc w:val="both"/>
        <w:rPr>
          <w:rFonts w:ascii="Arial" w:hAnsi="Arial" w:cs="Arial"/>
          <w:bCs/>
          <w:sz w:val="22"/>
          <w:szCs w:val="22"/>
        </w:rPr>
      </w:pPr>
    </w:p>
    <w:p w14:paraId="736512DF" w14:textId="77777777" w:rsidR="00445A1B" w:rsidRDefault="006A5CA8" w:rsidP="006A5CA8">
      <w:pPr>
        <w:ind w:left="720" w:hanging="720"/>
        <w:jc w:val="both"/>
        <w:rPr>
          <w:rFonts w:ascii="Arial" w:hAnsi="Arial" w:cs="Arial"/>
          <w:bCs/>
          <w:sz w:val="22"/>
          <w:szCs w:val="22"/>
        </w:rPr>
      </w:pPr>
      <w:r>
        <w:rPr>
          <w:rFonts w:ascii="Arial" w:hAnsi="Arial" w:cs="Arial"/>
          <w:bCs/>
          <w:sz w:val="22"/>
          <w:szCs w:val="22"/>
        </w:rPr>
        <w:t>1.2</w:t>
      </w:r>
      <w:r>
        <w:rPr>
          <w:rFonts w:ascii="Arial" w:hAnsi="Arial" w:cs="Arial"/>
          <w:bCs/>
          <w:sz w:val="22"/>
          <w:szCs w:val="22"/>
        </w:rPr>
        <w:tab/>
      </w:r>
      <w:r w:rsidR="002055D9">
        <w:rPr>
          <w:rFonts w:ascii="Arial" w:hAnsi="Arial" w:cs="Arial"/>
          <w:bCs/>
          <w:sz w:val="22"/>
          <w:szCs w:val="22"/>
        </w:rPr>
        <w:t xml:space="preserve">There is a present need of more than </w:t>
      </w:r>
      <w:r w:rsidR="00BA1F56">
        <w:rPr>
          <w:rFonts w:ascii="Arial" w:hAnsi="Arial" w:cs="Arial"/>
          <w:bCs/>
          <w:sz w:val="22"/>
          <w:szCs w:val="22"/>
        </w:rPr>
        <w:t>6</w:t>
      </w:r>
      <w:r w:rsidR="00A83650">
        <w:rPr>
          <w:rFonts w:ascii="Arial" w:hAnsi="Arial" w:cs="Arial"/>
          <w:bCs/>
          <w:sz w:val="22"/>
          <w:szCs w:val="22"/>
        </w:rPr>
        <w:t>5</w:t>
      </w:r>
      <w:r w:rsidR="002055D9">
        <w:rPr>
          <w:rFonts w:ascii="Arial" w:hAnsi="Arial" w:cs="Arial"/>
          <w:bCs/>
          <w:sz w:val="22"/>
          <w:szCs w:val="22"/>
        </w:rPr>
        <w:t xml:space="preserve">0,000 social and affordable rental homes in Australia which is more than double current available stock to house those most in need. It is estimated </w:t>
      </w:r>
      <w:r w:rsidR="008921E7">
        <w:rPr>
          <w:rFonts w:ascii="Arial" w:hAnsi="Arial" w:cs="Arial"/>
          <w:bCs/>
          <w:sz w:val="22"/>
          <w:szCs w:val="22"/>
        </w:rPr>
        <w:t xml:space="preserve">that </w:t>
      </w:r>
      <w:r w:rsidR="002055D9">
        <w:rPr>
          <w:rFonts w:ascii="Arial" w:hAnsi="Arial" w:cs="Arial"/>
          <w:bCs/>
          <w:sz w:val="22"/>
          <w:szCs w:val="22"/>
        </w:rPr>
        <w:t xml:space="preserve">the shortfall will </w:t>
      </w:r>
      <w:r w:rsidR="00493ACE">
        <w:rPr>
          <w:rFonts w:ascii="Arial" w:hAnsi="Arial" w:cs="Arial"/>
          <w:bCs/>
          <w:sz w:val="22"/>
          <w:szCs w:val="22"/>
        </w:rPr>
        <w:t>further increase without action</w:t>
      </w:r>
      <w:r w:rsidR="002055D9">
        <w:rPr>
          <w:rFonts w:ascii="Arial" w:hAnsi="Arial" w:cs="Arial"/>
          <w:bCs/>
          <w:sz w:val="22"/>
          <w:szCs w:val="22"/>
        </w:rPr>
        <w:t xml:space="preserve"> in the next 15 years. Apart from the Nationbuilding and Economic Stimulus Package which contributed 20,000 new homes a decade ago and the National Rental Affordability Program over the past ten years which temporarily committed around 3</w:t>
      </w:r>
      <w:r w:rsidR="00BA1F56">
        <w:rPr>
          <w:rFonts w:ascii="Arial" w:hAnsi="Arial" w:cs="Arial"/>
          <w:bCs/>
          <w:sz w:val="22"/>
          <w:szCs w:val="22"/>
        </w:rPr>
        <w:t>6</w:t>
      </w:r>
      <w:r w:rsidR="002055D9">
        <w:rPr>
          <w:rFonts w:ascii="Arial" w:hAnsi="Arial" w:cs="Arial"/>
          <w:bCs/>
          <w:sz w:val="22"/>
          <w:szCs w:val="22"/>
        </w:rPr>
        <w:t xml:space="preserve">,000 additional affordable </w:t>
      </w:r>
      <w:r w:rsidR="003D223E">
        <w:rPr>
          <w:rFonts w:ascii="Arial" w:hAnsi="Arial" w:cs="Arial"/>
          <w:bCs/>
          <w:sz w:val="22"/>
          <w:szCs w:val="22"/>
        </w:rPr>
        <w:t>homes (</w:t>
      </w:r>
      <w:r w:rsidR="002055D9">
        <w:rPr>
          <w:rFonts w:ascii="Arial" w:hAnsi="Arial" w:cs="Arial"/>
          <w:bCs/>
          <w:sz w:val="22"/>
          <w:szCs w:val="22"/>
        </w:rPr>
        <w:t>noting that most will now be lost due to expiry of incentives</w:t>
      </w:r>
      <w:r w:rsidR="00BA1F56">
        <w:rPr>
          <w:rFonts w:ascii="Arial" w:hAnsi="Arial" w:cs="Arial"/>
          <w:bCs/>
          <w:sz w:val="22"/>
          <w:szCs w:val="22"/>
        </w:rPr>
        <w:t xml:space="preserve"> over the next five years</w:t>
      </w:r>
      <w:r w:rsidR="00445A1B">
        <w:rPr>
          <w:rFonts w:ascii="Arial" w:hAnsi="Arial" w:cs="Arial"/>
          <w:bCs/>
          <w:sz w:val="22"/>
          <w:szCs w:val="22"/>
        </w:rPr>
        <w:t>)</w:t>
      </w:r>
      <w:r w:rsidR="008921E7">
        <w:rPr>
          <w:rFonts w:ascii="Arial" w:hAnsi="Arial" w:cs="Arial"/>
          <w:bCs/>
          <w:sz w:val="22"/>
          <w:szCs w:val="22"/>
        </w:rPr>
        <w:t>,</w:t>
      </w:r>
      <w:r w:rsidR="00445A1B">
        <w:rPr>
          <w:rFonts w:ascii="Arial" w:hAnsi="Arial" w:cs="Arial"/>
          <w:bCs/>
          <w:sz w:val="22"/>
          <w:szCs w:val="22"/>
        </w:rPr>
        <w:t xml:space="preserve"> there have been no federal initiatives of any substance to address one of the major</w:t>
      </w:r>
      <w:r w:rsidR="00BA1F56">
        <w:rPr>
          <w:rFonts w:ascii="Arial" w:hAnsi="Arial" w:cs="Arial"/>
          <w:bCs/>
          <w:sz w:val="22"/>
          <w:szCs w:val="22"/>
        </w:rPr>
        <w:t xml:space="preserve"> social</w:t>
      </w:r>
      <w:r w:rsidR="00445A1B">
        <w:rPr>
          <w:rFonts w:ascii="Arial" w:hAnsi="Arial" w:cs="Arial"/>
          <w:bCs/>
          <w:sz w:val="22"/>
          <w:szCs w:val="22"/>
        </w:rPr>
        <w:t xml:space="preserve"> infrastructure deficits in the country over the past 25 years.</w:t>
      </w:r>
    </w:p>
    <w:p w14:paraId="0791E5A2" w14:textId="77777777" w:rsidR="00445A1B" w:rsidRDefault="00445A1B" w:rsidP="00051633">
      <w:pPr>
        <w:ind w:left="720"/>
        <w:jc w:val="both"/>
        <w:rPr>
          <w:rFonts w:ascii="Arial" w:hAnsi="Arial" w:cs="Arial"/>
          <w:bCs/>
          <w:sz w:val="22"/>
          <w:szCs w:val="22"/>
        </w:rPr>
      </w:pPr>
    </w:p>
    <w:p w14:paraId="03232BA2" w14:textId="77777777" w:rsidR="00445A1B" w:rsidRDefault="006A5CA8" w:rsidP="006A5CA8">
      <w:pPr>
        <w:ind w:left="720" w:hanging="720"/>
        <w:jc w:val="both"/>
        <w:rPr>
          <w:rFonts w:ascii="Arial" w:hAnsi="Arial" w:cs="Arial"/>
          <w:bCs/>
          <w:sz w:val="22"/>
          <w:szCs w:val="22"/>
        </w:rPr>
      </w:pPr>
      <w:r>
        <w:rPr>
          <w:rFonts w:ascii="Arial" w:hAnsi="Arial" w:cs="Arial"/>
          <w:bCs/>
          <w:sz w:val="22"/>
          <w:szCs w:val="22"/>
        </w:rPr>
        <w:t>1.3</w:t>
      </w:r>
      <w:r>
        <w:rPr>
          <w:rFonts w:ascii="Arial" w:hAnsi="Arial" w:cs="Arial"/>
          <w:bCs/>
          <w:sz w:val="22"/>
          <w:szCs w:val="22"/>
        </w:rPr>
        <w:tab/>
      </w:r>
      <w:r w:rsidR="00445A1B">
        <w:rPr>
          <w:rFonts w:ascii="Arial" w:hAnsi="Arial" w:cs="Arial"/>
          <w:bCs/>
          <w:sz w:val="22"/>
          <w:szCs w:val="22"/>
        </w:rPr>
        <w:t xml:space="preserve">The solution to this overwhelming problem is relatively simple and financially </w:t>
      </w:r>
      <w:r w:rsidR="00493ACE">
        <w:rPr>
          <w:rFonts w:ascii="Arial" w:hAnsi="Arial" w:cs="Arial"/>
          <w:bCs/>
          <w:sz w:val="22"/>
          <w:szCs w:val="22"/>
        </w:rPr>
        <w:t>achiev</w:t>
      </w:r>
      <w:r w:rsidR="00445A1B">
        <w:rPr>
          <w:rFonts w:ascii="Arial" w:hAnsi="Arial" w:cs="Arial"/>
          <w:bCs/>
          <w:sz w:val="22"/>
          <w:szCs w:val="22"/>
        </w:rPr>
        <w:t xml:space="preserve">able for any Federal </w:t>
      </w:r>
      <w:r w:rsidR="003D223E">
        <w:rPr>
          <w:rFonts w:ascii="Arial" w:hAnsi="Arial" w:cs="Arial"/>
          <w:bCs/>
          <w:sz w:val="22"/>
          <w:szCs w:val="22"/>
        </w:rPr>
        <w:t>Government: -</w:t>
      </w:r>
    </w:p>
    <w:p w14:paraId="774D86AB" w14:textId="77777777" w:rsidR="00445A1B" w:rsidRDefault="00445A1B" w:rsidP="00051633">
      <w:pPr>
        <w:ind w:left="720"/>
        <w:jc w:val="both"/>
        <w:rPr>
          <w:rFonts w:ascii="Arial" w:hAnsi="Arial" w:cs="Arial"/>
          <w:bCs/>
          <w:sz w:val="22"/>
          <w:szCs w:val="22"/>
        </w:rPr>
      </w:pPr>
    </w:p>
    <w:p w14:paraId="74343D64" w14:textId="77777777" w:rsidR="00445A1B" w:rsidRDefault="00445A1B" w:rsidP="00445A1B">
      <w:pPr>
        <w:numPr>
          <w:ilvl w:val="0"/>
          <w:numId w:val="31"/>
        </w:numPr>
        <w:jc w:val="both"/>
        <w:rPr>
          <w:rFonts w:ascii="Arial" w:hAnsi="Arial" w:cs="Arial"/>
          <w:bCs/>
          <w:sz w:val="22"/>
          <w:szCs w:val="22"/>
        </w:rPr>
      </w:pPr>
      <w:r>
        <w:rPr>
          <w:rFonts w:ascii="Arial" w:hAnsi="Arial" w:cs="Arial"/>
          <w:bCs/>
          <w:sz w:val="22"/>
          <w:szCs w:val="22"/>
        </w:rPr>
        <w:t>Convert</w:t>
      </w:r>
      <w:r w:rsidR="008921E7">
        <w:rPr>
          <w:rFonts w:ascii="Arial" w:hAnsi="Arial" w:cs="Arial"/>
          <w:bCs/>
          <w:sz w:val="22"/>
          <w:szCs w:val="22"/>
        </w:rPr>
        <w:t>,</w:t>
      </w:r>
      <w:r>
        <w:rPr>
          <w:rFonts w:ascii="Arial" w:hAnsi="Arial" w:cs="Arial"/>
          <w:bCs/>
          <w:sz w:val="22"/>
          <w:szCs w:val="22"/>
        </w:rPr>
        <w:t xml:space="preserve"> and steadily expand funding through the National Housing and Homelessness Agreement</w:t>
      </w:r>
      <w:r w:rsidR="00397710">
        <w:rPr>
          <w:rFonts w:ascii="Arial" w:hAnsi="Arial" w:cs="Arial"/>
          <w:bCs/>
          <w:sz w:val="22"/>
          <w:szCs w:val="22"/>
        </w:rPr>
        <w:t xml:space="preserve"> (NHHA)</w:t>
      </w:r>
      <w:r w:rsidR="008921E7">
        <w:rPr>
          <w:rFonts w:ascii="Arial" w:hAnsi="Arial" w:cs="Arial"/>
          <w:bCs/>
          <w:sz w:val="22"/>
          <w:szCs w:val="22"/>
        </w:rPr>
        <w:t>,</w:t>
      </w:r>
      <w:r>
        <w:rPr>
          <w:rFonts w:ascii="Arial" w:hAnsi="Arial" w:cs="Arial"/>
          <w:bCs/>
          <w:sz w:val="22"/>
          <w:szCs w:val="22"/>
        </w:rPr>
        <w:t xml:space="preserve"> into a program of availability </w:t>
      </w:r>
      <w:r w:rsidRPr="00397710">
        <w:rPr>
          <w:rFonts w:ascii="Arial" w:hAnsi="Arial" w:cs="Arial"/>
          <w:bCs/>
          <w:sz w:val="22"/>
          <w:szCs w:val="22"/>
        </w:rPr>
        <w:t>payments</w:t>
      </w:r>
      <w:r w:rsidR="00493ACE" w:rsidRPr="00397710">
        <w:rPr>
          <w:rFonts w:ascii="Arial" w:hAnsi="Arial" w:cs="Arial"/>
          <w:bCs/>
          <w:sz w:val="22"/>
          <w:szCs w:val="22"/>
        </w:rPr>
        <w:t xml:space="preserve"> to stimulate supply</w:t>
      </w:r>
      <w:r w:rsidRPr="00397710">
        <w:rPr>
          <w:rFonts w:ascii="Arial" w:hAnsi="Arial" w:cs="Arial"/>
          <w:bCs/>
          <w:sz w:val="22"/>
          <w:szCs w:val="22"/>
        </w:rPr>
        <w:t xml:space="preserve"> fund</w:t>
      </w:r>
      <w:r w:rsidR="00493ACE" w:rsidRPr="0015223B">
        <w:rPr>
          <w:rFonts w:ascii="Arial" w:hAnsi="Arial" w:cs="Arial"/>
          <w:bCs/>
          <w:sz w:val="22"/>
          <w:szCs w:val="22"/>
        </w:rPr>
        <w:t>ing</w:t>
      </w:r>
      <w:r w:rsidRPr="000E3AD0">
        <w:rPr>
          <w:rFonts w:ascii="Arial" w:hAnsi="Arial" w:cs="Arial"/>
          <w:bCs/>
          <w:sz w:val="22"/>
          <w:szCs w:val="22"/>
        </w:rPr>
        <w:t xml:space="preserve"> the gap between cost o</w:t>
      </w:r>
      <w:r w:rsidRPr="00D7706F">
        <w:rPr>
          <w:rFonts w:ascii="Arial" w:hAnsi="Arial" w:cs="Arial"/>
          <w:bCs/>
          <w:sz w:val="22"/>
          <w:szCs w:val="22"/>
        </w:rPr>
        <w:t>f</w:t>
      </w:r>
      <w:r>
        <w:rPr>
          <w:rFonts w:ascii="Arial" w:hAnsi="Arial" w:cs="Arial"/>
          <w:bCs/>
          <w:sz w:val="22"/>
          <w:szCs w:val="22"/>
        </w:rPr>
        <w:t xml:space="preserve"> finance</w:t>
      </w:r>
      <w:r w:rsidR="008921E7">
        <w:rPr>
          <w:rFonts w:ascii="Arial" w:hAnsi="Arial" w:cs="Arial"/>
          <w:bCs/>
          <w:sz w:val="22"/>
          <w:szCs w:val="22"/>
        </w:rPr>
        <w:t>/</w:t>
      </w:r>
      <w:r>
        <w:rPr>
          <w:rFonts w:ascii="Arial" w:hAnsi="Arial" w:cs="Arial"/>
          <w:bCs/>
          <w:sz w:val="22"/>
          <w:szCs w:val="22"/>
        </w:rPr>
        <w:t>operational costs and rental payments. A Program of availability payments of $1</w:t>
      </w:r>
      <w:r w:rsidR="0094729D">
        <w:rPr>
          <w:rFonts w:ascii="Arial" w:hAnsi="Arial" w:cs="Arial"/>
          <w:bCs/>
          <w:sz w:val="22"/>
          <w:szCs w:val="22"/>
        </w:rPr>
        <w:t>2</w:t>
      </w:r>
      <w:r>
        <w:rPr>
          <w:rFonts w:ascii="Arial" w:hAnsi="Arial" w:cs="Arial"/>
          <w:bCs/>
          <w:sz w:val="22"/>
          <w:szCs w:val="22"/>
        </w:rPr>
        <w:t xml:space="preserve">,000-$15,000 per unit per annum </w:t>
      </w:r>
      <w:r w:rsidR="00A83650">
        <w:rPr>
          <w:rFonts w:ascii="Arial" w:hAnsi="Arial" w:cs="Arial"/>
          <w:bCs/>
          <w:sz w:val="22"/>
          <w:szCs w:val="22"/>
        </w:rPr>
        <w:t>of</w:t>
      </w:r>
      <w:r>
        <w:rPr>
          <w:rFonts w:ascii="Arial" w:hAnsi="Arial" w:cs="Arial"/>
          <w:bCs/>
          <w:sz w:val="22"/>
          <w:szCs w:val="22"/>
        </w:rPr>
        <w:t xml:space="preserve"> between 20-40 years should suffice</w:t>
      </w:r>
      <w:r w:rsidR="00755AD5">
        <w:rPr>
          <w:rFonts w:ascii="Arial" w:hAnsi="Arial" w:cs="Arial"/>
          <w:bCs/>
          <w:sz w:val="22"/>
          <w:szCs w:val="22"/>
        </w:rPr>
        <w:t xml:space="preserve"> to create a pipeline of </w:t>
      </w:r>
      <w:r w:rsidR="00BA1F56">
        <w:rPr>
          <w:rFonts w:ascii="Arial" w:hAnsi="Arial" w:cs="Arial"/>
          <w:bCs/>
          <w:sz w:val="22"/>
          <w:szCs w:val="22"/>
        </w:rPr>
        <w:t xml:space="preserve">required </w:t>
      </w:r>
      <w:r w:rsidR="00755AD5">
        <w:rPr>
          <w:rFonts w:ascii="Arial" w:hAnsi="Arial" w:cs="Arial"/>
          <w:bCs/>
          <w:sz w:val="22"/>
          <w:szCs w:val="22"/>
        </w:rPr>
        <w:t>residential development</w:t>
      </w:r>
      <w:r w:rsidR="00BA1F56">
        <w:rPr>
          <w:rFonts w:ascii="Arial" w:hAnsi="Arial" w:cs="Arial"/>
          <w:bCs/>
          <w:sz w:val="22"/>
          <w:szCs w:val="22"/>
        </w:rPr>
        <w:t xml:space="preserve"> over the next 15 years to resolve need</w:t>
      </w:r>
      <w:r w:rsidR="00755AD5">
        <w:rPr>
          <w:rFonts w:ascii="Arial" w:hAnsi="Arial" w:cs="Arial"/>
          <w:bCs/>
          <w:sz w:val="22"/>
          <w:szCs w:val="22"/>
        </w:rPr>
        <w:t>.</w:t>
      </w:r>
    </w:p>
    <w:p w14:paraId="13240C0F" w14:textId="77777777" w:rsidR="00445A1B" w:rsidRDefault="00445A1B" w:rsidP="00445A1B">
      <w:pPr>
        <w:ind w:left="1440"/>
        <w:jc w:val="both"/>
        <w:rPr>
          <w:rFonts w:ascii="Arial" w:hAnsi="Arial" w:cs="Arial"/>
          <w:bCs/>
          <w:sz w:val="22"/>
          <w:szCs w:val="22"/>
        </w:rPr>
      </w:pPr>
    </w:p>
    <w:p w14:paraId="68EF501F" w14:textId="77777777" w:rsidR="00755AD5" w:rsidRDefault="00755AD5" w:rsidP="00445A1B">
      <w:pPr>
        <w:numPr>
          <w:ilvl w:val="0"/>
          <w:numId w:val="31"/>
        </w:numPr>
        <w:jc w:val="both"/>
        <w:rPr>
          <w:rFonts w:ascii="Arial" w:hAnsi="Arial" w:cs="Arial"/>
          <w:bCs/>
          <w:sz w:val="22"/>
          <w:szCs w:val="22"/>
        </w:rPr>
      </w:pPr>
      <w:r>
        <w:rPr>
          <w:rFonts w:ascii="Arial" w:hAnsi="Arial" w:cs="Arial"/>
          <w:bCs/>
          <w:sz w:val="22"/>
          <w:szCs w:val="22"/>
        </w:rPr>
        <w:t xml:space="preserve">Expand a range of guarantees to financiers such as </w:t>
      </w:r>
      <w:r w:rsidR="00397710">
        <w:rPr>
          <w:rFonts w:ascii="Arial" w:hAnsi="Arial" w:cs="Arial"/>
          <w:sz w:val="22"/>
          <w:szCs w:val="22"/>
        </w:rPr>
        <w:t>National Housing Finance and Investment Corporation (</w:t>
      </w:r>
      <w:r>
        <w:rPr>
          <w:rFonts w:ascii="Arial" w:hAnsi="Arial" w:cs="Arial"/>
          <w:bCs/>
          <w:sz w:val="22"/>
          <w:szCs w:val="22"/>
        </w:rPr>
        <w:t>NHFIC</w:t>
      </w:r>
      <w:r w:rsidR="00397710">
        <w:rPr>
          <w:rFonts w:ascii="Arial" w:hAnsi="Arial" w:cs="Arial"/>
          <w:bCs/>
          <w:sz w:val="22"/>
          <w:szCs w:val="22"/>
        </w:rPr>
        <w:t>)</w:t>
      </w:r>
      <w:r>
        <w:rPr>
          <w:rFonts w:ascii="Arial" w:hAnsi="Arial" w:cs="Arial"/>
          <w:bCs/>
          <w:sz w:val="22"/>
          <w:szCs w:val="22"/>
        </w:rPr>
        <w:t>, debt and equity providers to ensure a steady stream of capital investment is available.</w:t>
      </w:r>
    </w:p>
    <w:p w14:paraId="3FE1A9B3" w14:textId="77777777" w:rsidR="00755AD5" w:rsidRDefault="00755AD5" w:rsidP="00755AD5">
      <w:pPr>
        <w:pStyle w:val="ListParagraph"/>
        <w:rPr>
          <w:rFonts w:ascii="Arial" w:hAnsi="Arial" w:cs="Arial"/>
          <w:bCs/>
          <w:sz w:val="22"/>
          <w:szCs w:val="22"/>
        </w:rPr>
      </w:pPr>
    </w:p>
    <w:p w14:paraId="4F381C35" w14:textId="77777777" w:rsidR="00755AD5" w:rsidRDefault="007508BF" w:rsidP="00445A1B">
      <w:pPr>
        <w:numPr>
          <w:ilvl w:val="0"/>
          <w:numId w:val="31"/>
        </w:numPr>
        <w:jc w:val="both"/>
        <w:rPr>
          <w:rFonts w:ascii="Arial" w:hAnsi="Arial" w:cs="Arial"/>
          <w:bCs/>
          <w:sz w:val="22"/>
          <w:szCs w:val="22"/>
        </w:rPr>
      </w:pPr>
      <w:r>
        <w:rPr>
          <w:rFonts w:ascii="Arial" w:hAnsi="Arial" w:cs="Arial"/>
          <w:bCs/>
          <w:sz w:val="22"/>
          <w:szCs w:val="22"/>
        </w:rPr>
        <w:t>Develop</w:t>
      </w:r>
      <w:r w:rsidR="00755AD5">
        <w:rPr>
          <w:rFonts w:ascii="Arial" w:hAnsi="Arial" w:cs="Arial"/>
          <w:bCs/>
          <w:sz w:val="22"/>
          <w:szCs w:val="22"/>
        </w:rPr>
        <w:t xml:space="preserve"> the National Regulatory Scheme for Community Housing </w:t>
      </w:r>
      <w:r w:rsidR="009A0070">
        <w:rPr>
          <w:rFonts w:ascii="Arial" w:hAnsi="Arial" w:cs="Arial"/>
          <w:bCs/>
          <w:sz w:val="22"/>
          <w:szCs w:val="22"/>
        </w:rPr>
        <w:t xml:space="preserve">as </w:t>
      </w:r>
      <w:r w:rsidR="003D223E">
        <w:rPr>
          <w:rFonts w:ascii="Arial" w:hAnsi="Arial" w:cs="Arial"/>
          <w:bCs/>
          <w:sz w:val="22"/>
          <w:szCs w:val="22"/>
        </w:rPr>
        <w:t>an independent</w:t>
      </w:r>
      <w:r w:rsidR="009A0070">
        <w:rPr>
          <w:rFonts w:ascii="Arial" w:hAnsi="Arial" w:cs="Arial"/>
          <w:bCs/>
          <w:sz w:val="22"/>
          <w:szCs w:val="22"/>
        </w:rPr>
        <w:t xml:space="preserve"> </w:t>
      </w:r>
      <w:r>
        <w:rPr>
          <w:rFonts w:ascii="Arial" w:hAnsi="Arial" w:cs="Arial"/>
          <w:bCs/>
          <w:sz w:val="22"/>
          <w:szCs w:val="22"/>
        </w:rPr>
        <w:t>mechanism</w:t>
      </w:r>
      <w:r w:rsidR="00755AD5">
        <w:rPr>
          <w:rFonts w:ascii="Arial" w:hAnsi="Arial" w:cs="Arial"/>
          <w:bCs/>
          <w:sz w:val="22"/>
          <w:szCs w:val="22"/>
        </w:rPr>
        <w:t xml:space="preserve"> </w:t>
      </w:r>
      <w:r w:rsidR="009A0070">
        <w:rPr>
          <w:rFonts w:ascii="Arial" w:hAnsi="Arial" w:cs="Arial"/>
          <w:bCs/>
          <w:sz w:val="22"/>
          <w:szCs w:val="22"/>
        </w:rPr>
        <w:t>to</w:t>
      </w:r>
      <w:r w:rsidR="00755AD5">
        <w:rPr>
          <w:rFonts w:ascii="Arial" w:hAnsi="Arial" w:cs="Arial"/>
          <w:bCs/>
          <w:sz w:val="22"/>
          <w:szCs w:val="22"/>
        </w:rPr>
        <w:t xml:space="preserve"> perform the role of reporting on </w:t>
      </w:r>
      <w:r w:rsidR="009A0070">
        <w:rPr>
          <w:rFonts w:ascii="Arial" w:hAnsi="Arial" w:cs="Arial"/>
          <w:bCs/>
          <w:sz w:val="22"/>
          <w:szCs w:val="22"/>
        </w:rPr>
        <w:t xml:space="preserve">investment and </w:t>
      </w:r>
      <w:r w:rsidR="00755AD5">
        <w:rPr>
          <w:rFonts w:ascii="Arial" w:hAnsi="Arial" w:cs="Arial"/>
          <w:bCs/>
          <w:sz w:val="22"/>
          <w:szCs w:val="22"/>
        </w:rPr>
        <w:t>growth of community housing to Governments</w:t>
      </w:r>
      <w:r>
        <w:rPr>
          <w:rFonts w:ascii="Arial" w:hAnsi="Arial" w:cs="Arial"/>
          <w:bCs/>
          <w:sz w:val="22"/>
          <w:szCs w:val="22"/>
        </w:rPr>
        <w:t xml:space="preserve"> and the financial markets</w:t>
      </w:r>
      <w:r w:rsidR="00755AD5">
        <w:rPr>
          <w:rFonts w:ascii="Arial" w:hAnsi="Arial" w:cs="Arial"/>
          <w:bCs/>
          <w:sz w:val="22"/>
          <w:szCs w:val="22"/>
        </w:rPr>
        <w:t>.</w:t>
      </w:r>
    </w:p>
    <w:p w14:paraId="369EF179" w14:textId="77777777" w:rsidR="00755AD5" w:rsidRDefault="00755AD5" w:rsidP="00755AD5">
      <w:pPr>
        <w:pStyle w:val="ListParagraph"/>
        <w:rPr>
          <w:rFonts w:ascii="Arial" w:hAnsi="Arial" w:cs="Arial"/>
          <w:bCs/>
          <w:sz w:val="22"/>
          <w:szCs w:val="22"/>
        </w:rPr>
      </w:pPr>
    </w:p>
    <w:p w14:paraId="0AA28F18" w14:textId="77777777" w:rsidR="00C546A4" w:rsidRDefault="006A5CA8" w:rsidP="00914965">
      <w:pPr>
        <w:ind w:left="720" w:hanging="720"/>
        <w:jc w:val="both"/>
        <w:rPr>
          <w:rFonts w:ascii="Arial" w:hAnsi="Arial" w:cs="Arial"/>
          <w:sz w:val="22"/>
          <w:szCs w:val="22"/>
        </w:rPr>
      </w:pPr>
      <w:r>
        <w:rPr>
          <w:rFonts w:ascii="Arial" w:hAnsi="Arial" w:cs="Arial"/>
          <w:bCs/>
          <w:sz w:val="22"/>
          <w:szCs w:val="22"/>
        </w:rPr>
        <w:t>1.4</w:t>
      </w:r>
      <w:r>
        <w:rPr>
          <w:rFonts w:ascii="Arial" w:hAnsi="Arial" w:cs="Arial"/>
          <w:bCs/>
          <w:sz w:val="22"/>
          <w:szCs w:val="22"/>
        </w:rPr>
        <w:tab/>
      </w:r>
      <w:r w:rsidR="002A20A0">
        <w:rPr>
          <w:rFonts w:ascii="Arial" w:hAnsi="Arial" w:cs="Arial"/>
          <w:sz w:val="22"/>
          <w:szCs w:val="22"/>
        </w:rPr>
        <w:t xml:space="preserve">Australia’s current shortage </w:t>
      </w:r>
      <w:r w:rsidR="004C23D6">
        <w:rPr>
          <w:rFonts w:ascii="Arial" w:hAnsi="Arial" w:cs="Arial"/>
          <w:sz w:val="22"/>
          <w:szCs w:val="22"/>
        </w:rPr>
        <w:t xml:space="preserve">of </w:t>
      </w:r>
      <w:r w:rsidR="002A20A0" w:rsidRPr="00397710">
        <w:rPr>
          <w:rFonts w:ascii="Arial" w:hAnsi="Arial" w:cs="Arial"/>
          <w:sz w:val="22"/>
          <w:szCs w:val="22"/>
        </w:rPr>
        <w:t>6</w:t>
      </w:r>
      <w:r w:rsidR="0094729D" w:rsidRPr="00397710">
        <w:rPr>
          <w:rFonts w:ascii="Arial" w:hAnsi="Arial" w:cs="Arial"/>
          <w:sz w:val="22"/>
          <w:szCs w:val="22"/>
        </w:rPr>
        <w:t>5</w:t>
      </w:r>
      <w:r w:rsidR="002A20A0" w:rsidRPr="00397710">
        <w:rPr>
          <w:rFonts w:ascii="Arial" w:hAnsi="Arial" w:cs="Arial"/>
          <w:sz w:val="22"/>
          <w:szCs w:val="22"/>
        </w:rPr>
        <w:t>0</w:t>
      </w:r>
      <w:r w:rsidR="002A20A0" w:rsidRPr="0015223B">
        <w:rPr>
          <w:rFonts w:ascii="Arial" w:hAnsi="Arial" w:cs="Arial"/>
          <w:sz w:val="22"/>
          <w:szCs w:val="22"/>
        </w:rPr>
        <w:t>,000</w:t>
      </w:r>
      <w:r w:rsidR="002A20A0" w:rsidRPr="000E3AD0">
        <w:rPr>
          <w:rFonts w:ascii="Arial" w:hAnsi="Arial" w:cs="Arial"/>
          <w:sz w:val="22"/>
          <w:szCs w:val="22"/>
        </w:rPr>
        <w:t xml:space="preserve"> soc</w:t>
      </w:r>
      <w:r w:rsidR="002A20A0" w:rsidRPr="00D7706F">
        <w:rPr>
          <w:rFonts w:ascii="Arial" w:hAnsi="Arial" w:cs="Arial"/>
          <w:sz w:val="22"/>
          <w:szCs w:val="22"/>
        </w:rPr>
        <w:t>ial</w:t>
      </w:r>
      <w:r w:rsidR="002A20A0">
        <w:rPr>
          <w:rFonts w:ascii="Arial" w:hAnsi="Arial" w:cs="Arial"/>
          <w:sz w:val="22"/>
          <w:szCs w:val="22"/>
        </w:rPr>
        <w:t xml:space="preserve"> and affordable housing units will rise to over 1 million within 15 years unless urgent action is taken. The States/Territories do not have the resources to meet this deficit through current funding arrangements. The community housing sector has reached the level of maturity where it can attract non-government investment to meet the capital requirement to create a pipeline to meet this gap. </w:t>
      </w:r>
      <w:r w:rsidR="002A20A0">
        <w:rPr>
          <w:rFonts w:ascii="Arial" w:hAnsi="Arial" w:cs="Arial"/>
          <w:bCs/>
          <w:sz w:val="22"/>
          <w:szCs w:val="22"/>
        </w:rPr>
        <w:t>The current NHHA provides $1.466 billion per annum towards the provision of social housing by the States. Internal modelling and project examples delivered by CHL demonstrate that if this is repurposed into availability payments to fund social and affordable housing supply then</w:t>
      </w:r>
      <w:r w:rsidR="00CD7083">
        <w:rPr>
          <w:rFonts w:ascii="Arial" w:hAnsi="Arial" w:cs="Arial"/>
          <w:bCs/>
          <w:sz w:val="22"/>
          <w:szCs w:val="22"/>
        </w:rPr>
        <w:t xml:space="preserve"> around</w:t>
      </w:r>
      <w:r w:rsidR="002A20A0">
        <w:rPr>
          <w:rFonts w:ascii="Arial" w:hAnsi="Arial" w:cs="Arial"/>
          <w:bCs/>
          <w:sz w:val="22"/>
          <w:szCs w:val="22"/>
        </w:rPr>
        <w:t xml:space="preserve"> 11</w:t>
      </w:r>
      <w:r w:rsidR="00CD7083">
        <w:rPr>
          <w:rFonts w:ascii="Arial" w:hAnsi="Arial" w:cs="Arial"/>
          <w:bCs/>
          <w:sz w:val="22"/>
          <w:szCs w:val="22"/>
        </w:rPr>
        <w:t>0,0</w:t>
      </w:r>
      <w:r w:rsidR="002A20A0">
        <w:rPr>
          <w:rFonts w:ascii="Arial" w:hAnsi="Arial" w:cs="Arial"/>
          <w:bCs/>
          <w:sz w:val="22"/>
          <w:szCs w:val="22"/>
        </w:rPr>
        <w:t>00 homes could be constructed. This number could be increased steadily over the next 15 years by an additional $750 million per annum to meet current and projected shortfall. This would mean that the NHHA would reach an annual $13 billion per annum to deliver social and affordable housing infrastructure of 1.4 million homes in Australia by 2036 managed principally by the community housing sector.</w:t>
      </w:r>
    </w:p>
    <w:p w14:paraId="195840EC" w14:textId="77777777" w:rsidR="00C546A4" w:rsidRDefault="00C546A4" w:rsidP="00CA10D6">
      <w:pPr>
        <w:jc w:val="both"/>
        <w:rPr>
          <w:rFonts w:ascii="Arial" w:hAnsi="Arial" w:cs="Arial"/>
          <w:sz w:val="22"/>
          <w:szCs w:val="22"/>
        </w:rPr>
      </w:pPr>
    </w:p>
    <w:p w14:paraId="69BF4FDC" w14:textId="77777777" w:rsidR="005758E4" w:rsidRPr="00C36C5F" w:rsidRDefault="006A5CA8" w:rsidP="00CA10D6">
      <w:pPr>
        <w:jc w:val="both"/>
        <w:rPr>
          <w:rFonts w:ascii="Arial" w:hAnsi="Arial" w:cs="Arial"/>
          <w:sz w:val="22"/>
          <w:szCs w:val="22"/>
        </w:rPr>
      </w:pPr>
      <w:r>
        <w:rPr>
          <w:rFonts w:ascii="Arial" w:hAnsi="Arial" w:cs="Arial"/>
          <w:sz w:val="22"/>
          <w:szCs w:val="22"/>
        </w:rPr>
        <w:t>2</w:t>
      </w:r>
      <w:r w:rsidR="002B6921" w:rsidRPr="002857A7">
        <w:rPr>
          <w:rFonts w:ascii="Arial" w:hAnsi="Arial" w:cs="Arial"/>
          <w:sz w:val="22"/>
          <w:szCs w:val="22"/>
        </w:rPr>
        <w:t>.0</w:t>
      </w:r>
      <w:r w:rsidR="002B6921" w:rsidRPr="002857A7">
        <w:rPr>
          <w:rFonts w:ascii="Arial" w:hAnsi="Arial" w:cs="Arial"/>
          <w:sz w:val="22"/>
          <w:szCs w:val="22"/>
        </w:rPr>
        <w:tab/>
      </w:r>
      <w:bookmarkStart w:id="2" w:name="_Hlk90375148"/>
      <w:r w:rsidR="006E162F">
        <w:rPr>
          <w:rFonts w:ascii="Arial" w:hAnsi="Arial" w:cs="Arial"/>
          <w:b/>
          <w:color w:val="1F3864"/>
          <w:sz w:val="28"/>
          <w:szCs w:val="28"/>
        </w:rPr>
        <w:t>CHL M</w:t>
      </w:r>
      <w:r w:rsidR="005758E4" w:rsidRPr="009741C5">
        <w:rPr>
          <w:rFonts w:ascii="Arial" w:hAnsi="Arial" w:cs="Arial"/>
          <w:b/>
          <w:color w:val="1F3864"/>
          <w:sz w:val="28"/>
          <w:szCs w:val="28"/>
        </w:rPr>
        <w:t>ISSION</w:t>
      </w:r>
      <w:r w:rsidR="005C7C07" w:rsidRPr="009741C5">
        <w:rPr>
          <w:rFonts w:ascii="Arial" w:hAnsi="Arial" w:cs="Arial"/>
          <w:b/>
          <w:color w:val="1F3864"/>
          <w:sz w:val="28"/>
          <w:szCs w:val="28"/>
        </w:rPr>
        <w:t xml:space="preserve"> STATEMENT</w:t>
      </w:r>
      <w:bookmarkEnd w:id="2"/>
    </w:p>
    <w:p w14:paraId="6B67989D" w14:textId="77777777" w:rsidR="005758E4" w:rsidRPr="002857A7" w:rsidRDefault="005758E4" w:rsidP="002160E7">
      <w:pPr>
        <w:jc w:val="both"/>
        <w:rPr>
          <w:rFonts w:ascii="Arial" w:hAnsi="Arial" w:cs="Arial"/>
          <w:b/>
          <w:sz w:val="22"/>
          <w:szCs w:val="22"/>
          <w:u w:val="single"/>
        </w:rPr>
      </w:pPr>
    </w:p>
    <w:p w14:paraId="0056BC3F" w14:textId="77777777" w:rsidR="005758E4" w:rsidRPr="009741C5" w:rsidRDefault="006A5CA8" w:rsidP="002160E7">
      <w:pPr>
        <w:jc w:val="both"/>
        <w:rPr>
          <w:rFonts w:ascii="Arial" w:hAnsi="Arial" w:cs="Arial"/>
          <w:iCs/>
          <w:color w:val="1F3864"/>
          <w:sz w:val="22"/>
          <w:szCs w:val="22"/>
          <w:u w:val="single"/>
        </w:rPr>
      </w:pPr>
      <w:r>
        <w:rPr>
          <w:rFonts w:ascii="Arial" w:hAnsi="Arial" w:cs="Arial"/>
          <w:iCs/>
          <w:sz w:val="22"/>
          <w:szCs w:val="22"/>
        </w:rPr>
        <w:t>2</w:t>
      </w:r>
      <w:r w:rsidR="00555D90">
        <w:rPr>
          <w:rFonts w:ascii="Arial" w:hAnsi="Arial" w:cs="Arial"/>
          <w:iCs/>
          <w:sz w:val="22"/>
          <w:szCs w:val="22"/>
        </w:rPr>
        <w:t>.1</w:t>
      </w:r>
      <w:r w:rsidR="00555D90">
        <w:rPr>
          <w:rFonts w:ascii="Arial" w:hAnsi="Arial" w:cs="Arial"/>
          <w:iCs/>
          <w:sz w:val="22"/>
          <w:szCs w:val="22"/>
        </w:rPr>
        <w:tab/>
      </w:r>
      <w:r w:rsidR="005758E4" w:rsidRPr="009741C5">
        <w:rPr>
          <w:rFonts w:ascii="Arial" w:hAnsi="Arial" w:cs="Arial"/>
          <w:b/>
          <w:iCs/>
          <w:color w:val="1F3864"/>
          <w:sz w:val="22"/>
          <w:szCs w:val="22"/>
          <w:u w:val="single"/>
        </w:rPr>
        <w:t>Our Vision</w:t>
      </w:r>
    </w:p>
    <w:p w14:paraId="1A805E15" w14:textId="77777777" w:rsidR="005758E4" w:rsidRPr="002857A7" w:rsidRDefault="005758E4" w:rsidP="002160E7">
      <w:pPr>
        <w:ind w:firstLine="720"/>
        <w:jc w:val="both"/>
        <w:rPr>
          <w:rFonts w:ascii="Arial" w:hAnsi="Arial" w:cs="Arial"/>
          <w:iCs/>
          <w:sz w:val="22"/>
          <w:szCs w:val="22"/>
        </w:rPr>
      </w:pPr>
    </w:p>
    <w:p w14:paraId="49A61104" w14:textId="77777777" w:rsidR="005758E4" w:rsidRPr="002857A7" w:rsidRDefault="005758E4" w:rsidP="002160E7">
      <w:pPr>
        <w:ind w:firstLine="720"/>
        <w:jc w:val="both"/>
        <w:rPr>
          <w:rFonts w:ascii="Arial" w:hAnsi="Arial" w:cs="Arial"/>
          <w:iCs/>
          <w:sz w:val="22"/>
          <w:szCs w:val="22"/>
        </w:rPr>
      </w:pPr>
      <w:r w:rsidRPr="002857A7">
        <w:rPr>
          <w:rFonts w:ascii="Arial" w:hAnsi="Arial" w:cs="Arial"/>
          <w:iCs/>
          <w:sz w:val="22"/>
          <w:szCs w:val="22"/>
        </w:rPr>
        <w:t>A world without housing poverty</w:t>
      </w:r>
      <w:r w:rsidR="00787EED" w:rsidRPr="002857A7">
        <w:rPr>
          <w:rFonts w:ascii="Arial" w:hAnsi="Arial" w:cs="Arial"/>
          <w:iCs/>
          <w:sz w:val="22"/>
          <w:szCs w:val="22"/>
        </w:rPr>
        <w:t>.</w:t>
      </w:r>
    </w:p>
    <w:p w14:paraId="02E78FF1" w14:textId="77777777" w:rsidR="005758E4" w:rsidRPr="002857A7" w:rsidRDefault="005758E4" w:rsidP="002160E7">
      <w:pPr>
        <w:jc w:val="both"/>
        <w:rPr>
          <w:rFonts w:ascii="Arial" w:hAnsi="Arial" w:cs="Arial"/>
          <w:iCs/>
          <w:sz w:val="22"/>
          <w:szCs w:val="22"/>
        </w:rPr>
      </w:pPr>
    </w:p>
    <w:p w14:paraId="0889D32A" w14:textId="77777777" w:rsidR="005758E4" w:rsidRPr="009741C5" w:rsidRDefault="006A5CA8" w:rsidP="002160E7">
      <w:pPr>
        <w:jc w:val="both"/>
        <w:rPr>
          <w:rFonts w:ascii="Arial" w:hAnsi="Arial" w:cs="Arial"/>
          <w:iCs/>
          <w:color w:val="1F3864"/>
          <w:sz w:val="22"/>
          <w:szCs w:val="22"/>
        </w:rPr>
      </w:pPr>
      <w:r>
        <w:rPr>
          <w:rFonts w:ascii="Arial" w:hAnsi="Arial" w:cs="Arial"/>
          <w:iCs/>
          <w:sz w:val="22"/>
          <w:szCs w:val="22"/>
        </w:rPr>
        <w:t>2</w:t>
      </w:r>
      <w:r w:rsidR="00555D90">
        <w:rPr>
          <w:rFonts w:ascii="Arial" w:hAnsi="Arial" w:cs="Arial"/>
          <w:iCs/>
          <w:sz w:val="22"/>
          <w:szCs w:val="22"/>
        </w:rPr>
        <w:t>.2</w:t>
      </w:r>
      <w:r w:rsidR="00555D90">
        <w:rPr>
          <w:rFonts w:ascii="Arial" w:hAnsi="Arial" w:cs="Arial"/>
          <w:iCs/>
          <w:sz w:val="22"/>
          <w:szCs w:val="22"/>
        </w:rPr>
        <w:tab/>
      </w:r>
      <w:r w:rsidR="005758E4" w:rsidRPr="009741C5">
        <w:rPr>
          <w:rFonts w:ascii="Arial" w:hAnsi="Arial" w:cs="Arial"/>
          <w:b/>
          <w:iCs/>
          <w:color w:val="1F3864"/>
          <w:sz w:val="22"/>
          <w:szCs w:val="22"/>
          <w:u w:val="single"/>
        </w:rPr>
        <w:t>Our Mission</w:t>
      </w:r>
    </w:p>
    <w:p w14:paraId="2A76B818" w14:textId="77777777" w:rsidR="005758E4" w:rsidRPr="002857A7" w:rsidRDefault="005758E4" w:rsidP="002160E7">
      <w:pPr>
        <w:ind w:firstLine="720"/>
        <w:jc w:val="both"/>
        <w:rPr>
          <w:rFonts w:ascii="Arial" w:hAnsi="Arial" w:cs="Arial"/>
          <w:iCs/>
          <w:sz w:val="22"/>
          <w:szCs w:val="22"/>
        </w:rPr>
      </w:pPr>
    </w:p>
    <w:p w14:paraId="27814648" w14:textId="77777777" w:rsidR="00BF413B" w:rsidRPr="002857A7" w:rsidRDefault="00BF413B" w:rsidP="002160E7">
      <w:pPr>
        <w:ind w:left="720"/>
        <w:jc w:val="both"/>
        <w:rPr>
          <w:rFonts w:ascii="Arial" w:hAnsi="Arial" w:cs="Arial"/>
          <w:iCs/>
          <w:color w:val="000000"/>
          <w:sz w:val="22"/>
          <w:szCs w:val="22"/>
        </w:rPr>
      </w:pPr>
      <w:r w:rsidRPr="002857A7">
        <w:rPr>
          <w:rFonts w:ascii="Arial" w:hAnsi="Arial" w:cs="Arial"/>
          <w:iCs/>
          <w:color w:val="000000"/>
          <w:sz w:val="22"/>
          <w:szCs w:val="22"/>
        </w:rPr>
        <w:t xml:space="preserve">Working to ensure the provision of affordable and sustainable housing for all </w:t>
      </w:r>
      <w:r w:rsidR="003D223E" w:rsidRPr="002857A7">
        <w:rPr>
          <w:rFonts w:ascii="Arial" w:hAnsi="Arial" w:cs="Arial"/>
          <w:iCs/>
          <w:color w:val="000000"/>
          <w:sz w:val="22"/>
          <w:szCs w:val="22"/>
        </w:rPr>
        <w:t>by: -</w:t>
      </w:r>
    </w:p>
    <w:p w14:paraId="2571ED05" w14:textId="77777777" w:rsidR="00BF413B" w:rsidRPr="002857A7" w:rsidRDefault="00BF413B" w:rsidP="002160E7">
      <w:pPr>
        <w:ind w:left="720"/>
        <w:jc w:val="both"/>
        <w:rPr>
          <w:rFonts w:ascii="Arial" w:hAnsi="Arial" w:cs="Arial"/>
          <w:iCs/>
          <w:color w:val="000000"/>
          <w:sz w:val="22"/>
          <w:szCs w:val="22"/>
        </w:rPr>
      </w:pPr>
    </w:p>
    <w:p w14:paraId="1E9EA522" w14:textId="77777777" w:rsidR="00BF413B" w:rsidRPr="002857A7" w:rsidRDefault="00BF413B" w:rsidP="00F258D8">
      <w:pPr>
        <w:pStyle w:val="NormalWeb"/>
        <w:numPr>
          <w:ilvl w:val="0"/>
          <w:numId w:val="2"/>
        </w:numPr>
        <w:spacing w:before="0" w:beforeAutospacing="0" w:after="120" w:afterAutospacing="0"/>
        <w:jc w:val="both"/>
        <w:rPr>
          <w:rFonts w:ascii="Arial" w:hAnsi="Arial" w:cs="Arial"/>
          <w:color w:val="000000"/>
          <w:sz w:val="22"/>
          <w:szCs w:val="22"/>
        </w:rPr>
      </w:pPr>
      <w:r w:rsidRPr="002857A7">
        <w:rPr>
          <w:rFonts w:ascii="Arial" w:hAnsi="Arial" w:cs="Arial"/>
          <w:color w:val="000000"/>
          <w:sz w:val="22"/>
          <w:szCs w:val="22"/>
        </w:rPr>
        <w:t>Providing housing which</w:t>
      </w:r>
      <w:r w:rsidR="00CB04A1">
        <w:rPr>
          <w:rFonts w:ascii="Arial" w:hAnsi="Arial" w:cs="Arial"/>
          <w:color w:val="000000"/>
          <w:sz w:val="22"/>
          <w:szCs w:val="22"/>
        </w:rPr>
        <w:t xml:space="preserve"> is affordable, </w:t>
      </w:r>
      <w:r w:rsidR="00CB04A1" w:rsidRPr="006215F1">
        <w:rPr>
          <w:rFonts w:ascii="Arial" w:hAnsi="Arial" w:cs="Arial"/>
          <w:color w:val="000000"/>
          <w:sz w:val="22"/>
          <w:szCs w:val="22"/>
        </w:rPr>
        <w:t>has</w:t>
      </w:r>
      <w:r w:rsidR="00CB04A1">
        <w:rPr>
          <w:rFonts w:ascii="Arial" w:hAnsi="Arial" w:cs="Arial"/>
          <w:color w:val="000000"/>
          <w:sz w:val="22"/>
          <w:szCs w:val="22"/>
        </w:rPr>
        <w:t xml:space="preserve"> </w:t>
      </w:r>
      <w:r w:rsidRPr="002857A7">
        <w:rPr>
          <w:rFonts w:ascii="Arial" w:hAnsi="Arial" w:cs="Arial"/>
          <w:color w:val="000000"/>
          <w:sz w:val="22"/>
          <w:szCs w:val="22"/>
        </w:rPr>
        <w:t xml:space="preserve">long-term tenure and appropriate services to live </w:t>
      </w:r>
      <w:r w:rsidR="00E32D24" w:rsidRPr="002857A7">
        <w:rPr>
          <w:rFonts w:ascii="Arial" w:hAnsi="Arial" w:cs="Arial"/>
          <w:color w:val="000000"/>
          <w:sz w:val="22"/>
          <w:szCs w:val="22"/>
        </w:rPr>
        <w:t>comfortably</w:t>
      </w:r>
      <w:r w:rsidR="00E32D24">
        <w:rPr>
          <w:rFonts w:ascii="Arial" w:hAnsi="Arial" w:cs="Arial"/>
          <w:color w:val="000000"/>
          <w:sz w:val="22"/>
          <w:szCs w:val="22"/>
        </w:rPr>
        <w:t>.</w:t>
      </w:r>
      <w:r w:rsidR="00690841" w:rsidRPr="002857A7">
        <w:rPr>
          <w:rFonts w:ascii="Arial" w:hAnsi="Arial" w:cs="Arial"/>
          <w:color w:val="000000"/>
          <w:sz w:val="22"/>
          <w:szCs w:val="22"/>
        </w:rPr>
        <w:t xml:space="preserve"> </w:t>
      </w:r>
    </w:p>
    <w:p w14:paraId="4731D00C" w14:textId="77777777" w:rsidR="00BF413B" w:rsidRPr="003A4276" w:rsidRDefault="00BF413B" w:rsidP="00F258D8">
      <w:pPr>
        <w:pStyle w:val="NormalWeb"/>
        <w:numPr>
          <w:ilvl w:val="0"/>
          <w:numId w:val="2"/>
        </w:numPr>
        <w:spacing w:before="0" w:beforeAutospacing="0" w:after="120" w:afterAutospacing="0"/>
        <w:jc w:val="both"/>
        <w:rPr>
          <w:rFonts w:ascii="Arial" w:hAnsi="Arial" w:cs="Arial"/>
          <w:color w:val="000000"/>
          <w:sz w:val="22"/>
          <w:szCs w:val="22"/>
        </w:rPr>
      </w:pPr>
      <w:r w:rsidRPr="003A4276">
        <w:rPr>
          <w:rFonts w:ascii="Arial" w:hAnsi="Arial" w:cs="Arial"/>
          <w:color w:val="000000"/>
          <w:sz w:val="22"/>
          <w:szCs w:val="22"/>
        </w:rPr>
        <w:t xml:space="preserve">Assisting residents to access housing and to maintain links with their </w:t>
      </w:r>
      <w:r w:rsidR="00E32D24" w:rsidRPr="003A4276">
        <w:rPr>
          <w:rFonts w:ascii="Arial" w:hAnsi="Arial" w:cs="Arial"/>
          <w:color w:val="000000"/>
          <w:sz w:val="22"/>
          <w:szCs w:val="22"/>
        </w:rPr>
        <w:t>communities.</w:t>
      </w:r>
    </w:p>
    <w:p w14:paraId="5D073184" w14:textId="77777777" w:rsidR="00BF413B" w:rsidRPr="003A4276" w:rsidRDefault="00BF413B" w:rsidP="00F258D8">
      <w:pPr>
        <w:pStyle w:val="NormalWeb"/>
        <w:numPr>
          <w:ilvl w:val="0"/>
          <w:numId w:val="2"/>
        </w:numPr>
        <w:spacing w:before="0" w:beforeAutospacing="0" w:after="120" w:afterAutospacing="0"/>
        <w:jc w:val="both"/>
        <w:rPr>
          <w:rFonts w:ascii="Arial" w:hAnsi="Arial" w:cs="Arial"/>
          <w:color w:val="000000"/>
          <w:sz w:val="22"/>
          <w:szCs w:val="22"/>
        </w:rPr>
      </w:pPr>
      <w:r w:rsidRPr="003A4276">
        <w:rPr>
          <w:rFonts w:ascii="Arial" w:hAnsi="Arial" w:cs="Arial"/>
          <w:color w:val="000000"/>
          <w:sz w:val="22"/>
          <w:szCs w:val="22"/>
        </w:rPr>
        <w:t xml:space="preserve">Ensuring that the development of housing improves social, economic and environmental </w:t>
      </w:r>
      <w:r w:rsidR="00E32D24" w:rsidRPr="003A4276">
        <w:rPr>
          <w:rFonts w:ascii="Arial" w:hAnsi="Arial" w:cs="Arial"/>
          <w:color w:val="000000"/>
          <w:sz w:val="22"/>
          <w:szCs w:val="22"/>
        </w:rPr>
        <w:t>sustainability.</w:t>
      </w:r>
    </w:p>
    <w:p w14:paraId="78036C51" w14:textId="77777777" w:rsidR="00BF413B" w:rsidRPr="003A4276" w:rsidRDefault="00BF413B" w:rsidP="00F258D8">
      <w:pPr>
        <w:pStyle w:val="NormalWeb"/>
        <w:numPr>
          <w:ilvl w:val="0"/>
          <w:numId w:val="2"/>
        </w:numPr>
        <w:spacing w:before="0" w:beforeAutospacing="0" w:after="120" w:afterAutospacing="0"/>
        <w:jc w:val="both"/>
        <w:rPr>
          <w:rFonts w:ascii="Arial" w:hAnsi="Arial" w:cs="Arial"/>
          <w:color w:val="000000"/>
          <w:sz w:val="22"/>
          <w:szCs w:val="22"/>
        </w:rPr>
      </w:pPr>
      <w:r w:rsidRPr="003A4276">
        <w:rPr>
          <w:rFonts w:ascii="Arial" w:hAnsi="Arial" w:cs="Arial"/>
          <w:color w:val="000000"/>
          <w:sz w:val="22"/>
          <w:szCs w:val="22"/>
        </w:rPr>
        <w:t xml:space="preserve">Creating employment and training </w:t>
      </w:r>
      <w:r w:rsidR="00E32D24" w:rsidRPr="003A4276">
        <w:rPr>
          <w:rFonts w:ascii="Arial" w:hAnsi="Arial" w:cs="Arial"/>
          <w:color w:val="000000"/>
          <w:sz w:val="22"/>
          <w:szCs w:val="22"/>
        </w:rPr>
        <w:t>opportunities.</w:t>
      </w:r>
    </w:p>
    <w:p w14:paraId="365F57B0" w14:textId="77777777" w:rsidR="00071C5D" w:rsidRPr="003A4276" w:rsidRDefault="00071C5D" w:rsidP="00F258D8">
      <w:pPr>
        <w:pStyle w:val="NormalWeb"/>
        <w:numPr>
          <w:ilvl w:val="0"/>
          <w:numId w:val="2"/>
        </w:numPr>
        <w:spacing w:before="0" w:beforeAutospacing="0" w:after="120" w:afterAutospacing="0"/>
        <w:jc w:val="both"/>
        <w:rPr>
          <w:rFonts w:ascii="Arial" w:hAnsi="Arial" w:cs="Arial"/>
          <w:sz w:val="22"/>
          <w:szCs w:val="22"/>
        </w:rPr>
      </w:pPr>
      <w:r w:rsidRPr="003A4276">
        <w:rPr>
          <w:rFonts w:ascii="Arial" w:hAnsi="Arial" w:cs="Arial"/>
          <w:sz w:val="22"/>
          <w:szCs w:val="22"/>
        </w:rPr>
        <w:t>Assisting the development and sustainability of strong communities with social diversity by fostering community building initiatives</w:t>
      </w:r>
      <w:r w:rsidR="00541EBB" w:rsidRPr="003A4276">
        <w:rPr>
          <w:rFonts w:ascii="Arial" w:hAnsi="Arial" w:cs="Arial"/>
          <w:sz w:val="22"/>
          <w:szCs w:val="22"/>
        </w:rPr>
        <w:t xml:space="preserve"> to improve the health and wellbeing of disadvantaged people</w:t>
      </w:r>
      <w:r w:rsidRPr="003A4276">
        <w:rPr>
          <w:rFonts w:ascii="Arial" w:hAnsi="Arial" w:cs="Arial"/>
          <w:sz w:val="22"/>
          <w:szCs w:val="22"/>
        </w:rPr>
        <w:t>.</w:t>
      </w:r>
    </w:p>
    <w:p w14:paraId="02B3C2F3" w14:textId="77777777" w:rsidR="00720486" w:rsidRDefault="00720486" w:rsidP="008A13B3">
      <w:pPr>
        <w:ind w:firstLine="720"/>
        <w:jc w:val="both"/>
        <w:rPr>
          <w:rFonts w:ascii="Arial" w:hAnsi="Arial" w:cs="Arial"/>
          <w:b/>
          <w:color w:val="1F3864"/>
          <w:sz w:val="22"/>
          <w:szCs w:val="22"/>
          <w:u w:val="single"/>
        </w:rPr>
      </w:pPr>
    </w:p>
    <w:p w14:paraId="454A86BF" w14:textId="77777777" w:rsidR="00CA10D6" w:rsidRPr="009741C5" w:rsidRDefault="006A5CA8" w:rsidP="00555D90">
      <w:pPr>
        <w:jc w:val="both"/>
        <w:rPr>
          <w:rFonts w:ascii="Arial" w:hAnsi="Arial" w:cs="Arial"/>
          <w:color w:val="1F3864"/>
          <w:sz w:val="22"/>
          <w:szCs w:val="22"/>
        </w:rPr>
      </w:pPr>
      <w:r>
        <w:rPr>
          <w:rFonts w:ascii="Arial" w:hAnsi="Arial" w:cs="Arial"/>
          <w:bCs/>
          <w:color w:val="1F3864"/>
          <w:sz w:val="22"/>
          <w:szCs w:val="22"/>
        </w:rPr>
        <w:t>2</w:t>
      </w:r>
      <w:r w:rsidR="00555D90">
        <w:rPr>
          <w:rFonts w:ascii="Arial" w:hAnsi="Arial" w:cs="Arial"/>
          <w:bCs/>
          <w:color w:val="1F3864"/>
          <w:sz w:val="22"/>
          <w:szCs w:val="22"/>
        </w:rPr>
        <w:t>.3</w:t>
      </w:r>
      <w:r w:rsidR="00555D90">
        <w:rPr>
          <w:rFonts w:ascii="Arial" w:hAnsi="Arial" w:cs="Arial"/>
          <w:bCs/>
          <w:color w:val="1F3864"/>
          <w:sz w:val="22"/>
          <w:szCs w:val="22"/>
        </w:rPr>
        <w:tab/>
      </w:r>
      <w:r w:rsidR="00CA10D6" w:rsidRPr="009741C5">
        <w:rPr>
          <w:rFonts w:ascii="Arial" w:hAnsi="Arial" w:cs="Arial"/>
          <w:b/>
          <w:color w:val="1F3864"/>
          <w:sz w:val="22"/>
          <w:szCs w:val="22"/>
          <w:u w:val="single"/>
        </w:rPr>
        <w:t>Our Clients</w:t>
      </w:r>
    </w:p>
    <w:p w14:paraId="57201625" w14:textId="77777777" w:rsidR="00CA10D6" w:rsidRPr="002857A7" w:rsidRDefault="00CA10D6" w:rsidP="00CA10D6">
      <w:pPr>
        <w:ind w:left="720"/>
        <w:jc w:val="both"/>
        <w:rPr>
          <w:rFonts w:ascii="Arial" w:hAnsi="Arial" w:cs="Arial"/>
          <w:sz w:val="22"/>
          <w:szCs w:val="22"/>
        </w:rPr>
      </w:pPr>
    </w:p>
    <w:p w14:paraId="04FE623C" w14:textId="77777777" w:rsidR="00CA10D6" w:rsidRPr="002857A7" w:rsidRDefault="00CA10D6" w:rsidP="00CA10D6">
      <w:pPr>
        <w:ind w:left="720"/>
        <w:jc w:val="both"/>
        <w:rPr>
          <w:rFonts w:ascii="Arial" w:hAnsi="Arial" w:cs="Arial"/>
          <w:color w:val="000000"/>
          <w:sz w:val="22"/>
          <w:szCs w:val="22"/>
        </w:rPr>
      </w:pPr>
      <w:r w:rsidRPr="002857A7">
        <w:rPr>
          <w:rFonts w:ascii="Arial" w:hAnsi="Arial" w:cs="Arial"/>
          <w:color w:val="000000"/>
          <w:sz w:val="22"/>
          <w:szCs w:val="22"/>
        </w:rPr>
        <w:t xml:space="preserve">CHL develops housing strategies in partnership with communities and their </w:t>
      </w:r>
      <w:r w:rsidR="003D223E" w:rsidRPr="002857A7">
        <w:rPr>
          <w:rFonts w:ascii="Arial" w:hAnsi="Arial" w:cs="Arial"/>
          <w:color w:val="000000"/>
          <w:sz w:val="22"/>
          <w:szCs w:val="22"/>
        </w:rPr>
        <w:t>governments</w:t>
      </w:r>
      <w:r w:rsidRPr="002857A7">
        <w:rPr>
          <w:rFonts w:ascii="Arial" w:hAnsi="Arial" w:cs="Arial"/>
          <w:color w:val="000000"/>
          <w:sz w:val="22"/>
          <w:szCs w:val="22"/>
        </w:rPr>
        <w:t xml:space="preserve"> to </w:t>
      </w:r>
      <w:r w:rsidR="003D223E" w:rsidRPr="002857A7">
        <w:rPr>
          <w:rFonts w:ascii="Arial" w:hAnsi="Arial" w:cs="Arial"/>
          <w:color w:val="000000"/>
          <w:sz w:val="22"/>
          <w:szCs w:val="22"/>
        </w:rPr>
        <w:t>assist: -</w:t>
      </w:r>
    </w:p>
    <w:p w14:paraId="2E0B54A4" w14:textId="77777777" w:rsidR="00CA10D6" w:rsidRPr="002857A7" w:rsidRDefault="00CA10D6" w:rsidP="00CA10D6">
      <w:pPr>
        <w:ind w:left="720"/>
        <w:jc w:val="both"/>
        <w:rPr>
          <w:rFonts w:ascii="Arial" w:hAnsi="Arial" w:cs="Arial"/>
          <w:color w:val="000000"/>
          <w:sz w:val="22"/>
          <w:szCs w:val="22"/>
        </w:rPr>
      </w:pPr>
      <w:r w:rsidRPr="002857A7">
        <w:rPr>
          <w:rFonts w:ascii="Arial" w:hAnsi="Arial" w:cs="Arial"/>
          <w:color w:val="000000"/>
          <w:sz w:val="22"/>
          <w:szCs w:val="22"/>
        </w:rPr>
        <w:t xml:space="preserve"> </w:t>
      </w:r>
    </w:p>
    <w:p w14:paraId="03BADDF1" w14:textId="77777777" w:rsidR="00CA10D6" w:rsidRPr="002857A7" w:rsidRDefault="00CA10D6" w:rsidP="00F258D8">
      <w:pPr>
        <w:numPr>
          <w:ilvl w:val="0"/>
          <w:numId w:val="2"/>
        </w:numPr>
        <w:jc w:val="both"/>
        <w:rPr>
          <w:rFonts w:ascii="Arial" w:hAnsi="Arial" w:cs="Arial"/>
          <w:color w:val="000000"/>
          <w:sz w:val="22"/>
          <w:szCs w:val="22"/>
        </w:rPr>
      </w:pPr>
      <w:r w:rsidRPr="002857A7">
        <w:rPr>
          <w:rFonts w:ascii="Arial" w:hAnsi="Arial" w:cs="Arial"/>
          <w:color w:val="000000"/>
          <w:sz w:val="22"/>
          <w:szCs w:val="22"/>
        </w:rPr>
        <w:t xml:space="preserve">Low to moderate income people in metropolitan and regional Australia who are in highest housing need and/or have been disadvantaged by market failure on the path to securing long-term rental or home </w:t>
      </w:r>
      <w:r w:rsidR="00E32D24" w:rsidRPr="002857A7">
        <w:rPr>
          <w:rFonts w:ascii="Arial" w:hAnsi="Arial" w:cs="Arial"/>
          <w:color w:val="000000"/>
          <w:sz w:val="22"/>
          <w:szCs w:val="22"/>
        </w:rPr>
        <w:t>ownership</w:t>
      </w:r>
      <w:r w:rsidR="00E32D24">
        <w:rPr>
          <w:rFonts w:ascii="Arial" w:hAnsi="Arial" w:cs="Arial"/>
          <w:color w:val="000000"/>
          <w:sz w:val="22"/>
          <w:szCs w:val="22"/>
        </w:rPr>
        <w:t>.</w:t>
      </w:r>
    </w:p>
    <w:p w14:paraId="32E1092B" w14:textId="77777777" w:rsidR="00CA10D6" w:rsidRPr="002857A7" w:rsidRDefault="00CA10D6" w:rsidP="00CA10D6">
      <w:pPr>
        <w:ind w:left="720"/>
        <w:jc w:val="both"/>
        <w:rPr>
          <w:rFonts w:ascii="Arial" w:hAnsi="Arial" w:cs="Arial"/>
          <w:color w:val="000000"/>
          <w:sz w:val="22"/>
          <w:szCs w:val="22"/>
        </w:rPr>
      </w:pPr>
    </w:p>
    <w:p w14:paraId="7E298D4F" w14:textId="77777777" w:rsidR="00CA10D6" w:rsidRPr="002857A7" w:rsidRDefault="00CA10D6" w:rsidP="00F258D8">
      <w:pPr>
        <w:numPr>
          <w:ilvl w:val="0"/>
          <w:numId w:val="2"/>
        </w:numPr>
        <w:jc w:val="both"/>
        <w:rPr>
          <w:rFonts w:ascii="Arial" w:hAnsi="Arial" w:cs="Arial"/>
          <w:color w:val="000000"/>
          <w:sz w:val="22"/>
          <w:szCs w:val="22"/>
        </w:rPr>
      </w:pPr>
      <w:r w:rsidRPr="002857A7">
        <w:rPr>
          <w:rFonts w:ascii="Arial" w:hAnsi="Arial" w:cs="Arial"/>
          <w:color w:val="000000"/>
          <w:sz w:val="22"/>
          <w:szCs w:val="22"/>
        </w:rPr>
        <w:t>People who live in informal and slum housing in international locations</w:t>
      </w:r>
      <w:r>
        <w:rPr>
          <w:rFonts w:ascii="Arial" w:hAnsi="Arial" w:cs="Arial"/>
          <w:color w:val="000000"/>
          <w:sz w:val="22"/>
          <w:szCs w:val="22"/>
        </w:rPr>
        <w:t xml:space="preserve"> and/or low to moderate income people </w:t>
      </w:r>
      <w:r w:rsidRPr="002857A7">
        <w:rPr>
          <w:rFonts w:ascii="Arial" w:hAnsi="Arial" w:cs="Arial"/>
          <w:color w:val="000000"/>
          <w:sz w:val="22"/>
          <w:szCs w:val="22"/>
        </w:rPr>
        <w:t>who are unable to secure long-term affordable housing.</w:t>
      </w:r>
    </w:p>
    <w:p w14:paraId="1B1F15F9" w14:textId="77777777" w:rsidR="00CA10D6" w:rsidRPr="002857A7" w:rsidRDefault="00CA10D6" w:rsidP="00CA10D6">
      <w:pPr>
        <w:ind w:left="720"/>
        <w:jc w:val="both"/>
        <w:rPr>
          <w:rFonts w:ascii="Arial" w:hAnsi="Arial" w:cs="Arial"/>
          <w:sz w:val="22"/>
          <w:szCs w:val="22"/>
        </w:rPr>
      </w:pPr>
    </w:p>
    <w:p w14:paraId="129AB81E" w14:textId="77777777" w:rsidR="00CA10D6" w:rsidRPr="009741C5" w:rsidRDefault="006A5CA8" w:rsidP="00DA29CD">
      <w:pPr>
        <w:jc w:val="both"/>
        <w:rPr>
          <w:rFonts w:ascii="Arial" w:hAnsi="Arial" w:cs="Arial"/>
          <w:color w:val="1F3864"/>
          <w:sz w:val="22"/>
          <w:szCs w:val="22"/>
          <w:u w:val="single"/>
        </w:rPr>
      </w:pPr>
      <w:r>
        <w:rPr>
          <w:rFonts w:ascii="Arial" w:hAnsi="Arial" w:cs="Arial"/>
          <w:bCs/>
          <w:color w:val="1F3864"/>
          <w:sz w:val="22"/>
          <w:szCs w:val="22"/>
        </w:rPr>
        <w:t>2</w:t>
      </w:r>
      <w:r w:rsidR="00DA29CD">
        <w:rPr>
          <w:rFonts w:ascii="Arial" w:hAnsi="Arial" w:cs="Arial"/>
          <w:bCs/>
          <w:color w:val="1F3864"/>
          <w:sz w:val="22"/>
          <w:szCs w:val="22"/>
        </w:rPr>
        <w:t>.4</w:t>
      </w:r>
      <w:r w:rsidR="00DA29CD">
        <w:rPr>
          <w:rFonts w:ascii="Arial" w:hAnsi="Arial" w:cs="Arial"/>
          <w:bCs/>
          <w:color w:val="1F3864"/>
          <w:sz w:val="22"/>
          <w:szCs w:val="22"/>
        </w:rPr>
        <w:tab/>
      </w:r>
      <w:r w:rsidR="00CA10D6" w:rsidRPr="009741C5">
        <w:rPr>
          <w:rFonts w:ascii="Arial" w:hAnsi="Arial" w:cs="Arial"/>
          <w:b/>
          <w:color w:val="1F3864"/>
          <w:sz w:val="22"/>
          <w:szCs w:val="22"/>
          <w:u w:val="single"/>
        </w:rPr>
        <w:t>Our Reach</w:t>
      </w:r>
    </w:p>
    <w:p w14:paraId="54961563" w14:textId="77777777" w:rsidR="00CA10D6" w:rsidRPr="002857A7" w:rsidRDefault="00CA10D6" w:rsidP="00CA10D6">
      <w:pPr>
        <w:ind w:left="720"/>
        <w:jc w:val="both"/>
        <w:rPr>
          <w:rFonts w:ascii="Arial" w:hAnsi="Arial" w:cs="Arial"/>
          <w:sz w:val="22"/>
          <w:szCs w:val="22"/>
        </w:rPr>
      </w:pPr>
    </w:p>
    <w:p w14:paraId="1CBF638A" w14:textId="77777777" w:rsidR="00CA10D6" w:rsidRPr="002857A7" w:rsidRDefault="00CA10D6" w:rsidP="00CA10D6">
      <w:pPr>
        <w:tabs>
          <w:tab w:val="left" w:pos="567"/>
        </w:tabs>
        <w:ind w:left="720"/>
        <w:jc w:val="both"/>
        <w:rPr>
          <w:rFonts w:ascii="Arial" w:hAnsi="Arial" w:cs="Arial"/>
          <w:color w:val="000000"/>
          <w:sz w:val="22"/>
          <w:szCs w:val="22"/>
        </w:rPr>
      </w:pPr>
      <w:r w:rsidRPr="002857A7">
        <w:rPr>
          <w:rFonts w:ascii="Arial" w:hAnsi="Arial" w:cs="Arial"/>
          <w:color w:val="000000"/>
          <w:sz w:val="22"/>
          <w:szCs w:val="22"/>
        </w:rPr>
        <w:t>CHL is building a strong national presence across Australia and expanding its international footprint across those regions where extreme poverty remains pervasive.</w:t>
      </w:r>
    </w:p>
    <w:p w14:paraId="755A602C" w14:textId="77777777" w:rsidR="00CA10D6" w:rsidRPr="00725FB2" w:rsidRDefault="00CA10D6" w:rsidP="00CA10D6">
      <w:pPr>
        <w:pStyle w:val="NormalWeb"/>
        <w:spacing w:before="0" w:beforeAutospacing="0" w:after="120" w:afterAutospacing="0"/>
        <w:jc w:val="both"/>
        <w:rPr>
          <w:rFonts w:ascii="Arial" w:hAnsi="Arial" w:cs="Arial"/>
          <w:sz w:val="22"/>
          <w:szCs w:val="22"/>
        </w:rPr>
      </w:pPr>
    </w:p>
    <w:p w14:paraId="27287D49" w14:textId="77777777" w:rsidR="00DE53B8" w:rsidRPr="002857A7" w:rsidRDefault="006A5CA8" w:rsidP="002160E7">
      <w:pPr>
        <w:jc w:val="both"/>
        <w:rPr>
          <w:rFonts w:ascii="Arial" w:hAnsi="Arial" w:cs="Arial"/>
          <w:b/>
          <w:sz w:val="22"/>
          <w:szCs w:val="22"/>
          <w:u w:val="single"/>
        </w:rPr>
      </w:pPr>
      <w:r>
        <w:rPr>
          <w:rFonts w:ascii="Arial" w:hAnsi="Arial" w:cs="Arial"/>
          <w:sz w:val="22"/>
          <w:szCs w:val="22"/>
        </w:rPr>
        <w:t>3</w:t>
      </w:r>
      <w:r w:rsidR="00B3412B" w:rsidRPr="002857A7">
        <w:rPr>
          <w:rFonts w:ascii="Arial" w:hAnsi="Arial" w:cs="Arial"/>
          <w:sz w:val="22"/>
          <w:szCs w:val="22"/>
        </w:rPr>
        <w:t>.0</w:t>
      </w:r>
      <w:r w:rsidR="00B3412B" w:rsidRPr="002857A7">
        <w:rPr>
          <w:rFonts w:ascii="Arial" w:hAnsi="Arial" w:cs="Arial"/>
          <w:sz w:val="22"/>
          <w:szCs w:val="22"/>
        </w:rPr>
        <w:tab/>
      </w:r>
      <w:r w:rsidR="00DE53B8" w:rsidRPr="009741C5">
        <w:rPr>
          <w:rFonts w:ascii="Arial" w:hAnsi="Arial" w:cs="Arial"/>
          <w:b/>
          <w:color w:val="1F3864"/>
        </w:rPr>
        <w:t>COMPANY SERVICES</w:t>
      </w:r>
    </w:p>
    <w:p w14:paraId="575B1264" w14:textId="77777777" w:rsidR="00DE53B8" w:rsidRPr="002857A7" w:rsidRDefault="00DE53B8" w:rsidP="002160E7">
      <w:pPr>
        <w:jc w:val="both"/>
        <w:rPr>
          <w:rFonts w:ascii="Arial" w:hAnsi="Arial" w:cs="Arial"/>
          <w:b/>
          <w:sz w:val="22"/>
          <w:szCs w:val="22"/>
          <w:u w:val="single"/>
        </w:rPr>
      </w:pPr>
    </w:p>
    <w:p w14:paraId="5BDD5AFF" w14:textId="77777777" w:rsidR="00DE53B8" w:rsidRPr="002857A7" w:rsidRDefault="006A5CA8" w:rsidP="002160E7">
      <w:pPr>
        <w:ind w:left="720" w:hanging="720"/>
        <w:jc w:val="both"/>
        <w:rPr>
          <w:rFonts w:ascii="Arial" w:hAnsi="Arial" w:cs="Arial"/>
          <w:sz w:val="22"/>
          <w:szCs w:val="22"/>
        </w:rPr>
      </w:pPr>
      <w:r>
        <w:rPr>
          <w:rFonts w:ascii="Arial" w:hAnsi="Arial" w:cs="Arial"/>
          <w:sz w:val="22"/>
          <w:szCs w:val="22"/>
        </w:rPr>
        <w:t>3</w:t>
      </w:r>
      <w:r w:rsidR="00DE53B8" w:rsidRPr="002857A7">
        <w:rPr>
          <w:rFonts w:ascii="Arial" w:hAnsi="Arial" w:cs="Arial"/>
          <w:sz w:val="22"/>
          <w:szCs w:val="22"/>
        </w:rPr>
        <w:t>.1</w:t>
      </w:r>
      <w:r w:rsidR="00DE53B8" w:rsidRPr="002857A7">
        <w:rPr>
          <w:rFonts w:ascii="Arial" w:hAnsi="Arial" w:cs="Arial"/>
          <w:sz w:val="22"/>
          <w:szCs w:val="22"/>
        </w:rPr>
        <w:tab/>
        <w:t>The CHL Group</w:t>
      </w:r>
      <w:r w:rsidR="005610C9">
        <w:rPr>
          <w:rFonts w:ascii="Arial" w:hAnsi="Arial" w:cs="Arial"/>
          <w:sz w:val="22"/>
          <w:szCs w:val="22"/>
        </w:rPr>
        <w:t xml:space="preserve"> currently</w:t>
      </w:r>
      <w:r w:rsidR="00DE53B8" w:rsidRPr="002857A7">
        <w:rPr>
          <w:rFonts w:ascii="Arial" w:hAnsi="Arial" w:cs="Arial"/>
          <w:sz w:val="22"/>
          <w:szCs w:val="22"/>
        </w:rPr>
        <w:t xml:space="preserve"> has the following </w:t>
      </w:r>
      <w:r w:rsidR="003D223E" w:rsidRPr="002857A7">
        <w:rPr>
          <w:rFonts w:ascii="Arial" w:hAnsi="Arial" w:cs="Arial"/>
          <w:sz w:val="22"/>
          <w:szCs w:val="22"/>
        </w:rPr>
        <w:t>activities: -</w:t>
      </w:r>
    </w:p>
    <w:p w14:paraId="55F8CC37" w14:textId="77777777" w:rsidR="00DE53B8" w:rsidRPr="002857A7" w:rsidRDefault="00DE53B8" w:rsidP="002160E7">
      <w:pPr>
        <w:ind w:left="720" w:hanging="720"/>
        <w:jc w:val="both"/>
        <w:rPr>
          <w:rFonts w:ascii="Arial" w:hAnsi="Arial" w:cs="Arial"/>
          <w:sz w:val="22"/>
          <w:szCs w:val="22"/>
        </w:rPr>
      </w:pPr>
    </w:p>
    <w:p w14:paraId="44BF432E" w14:textId="77777777" w:rsidR="00DE53B8" w:rsidRDefault="00DE53B8" w:rsidP="002160E7">
      <w:pPr>
        <w:ind w:left="1440" w:hanging="720"/>
        <w:jc w:val="both"/>
        <w:rPr>
          <w:rFonts w:ascii="Arial" w:hAnsi="Arial" w:cs="Arial"/>
          <w:sz w:val="22"/>
          <w:szCs w:val="22"/>
          <w:u w:val="single"/>
        </w:rPr>
      </w:pPr>
      <w:r w:rsidRPr="002857A7">
        <w:rPr>
          <w:rFonts w:ascii="Arial" w:hAnsi="Arial" w:cs="Arial"/>
          <w:sz w:val="22"/>
          <w:szCs w:val="22"/>
        </w:rPr>
        <w:t>*</w:t>
      </w:r>
      <w:r w:rsidRPr="002857A7">
        <w:rPr>
          <w:rFonts w:ascii="Arial" w:hAnsi="Arial" w:cs="Arial"/>
          <w:sz w:val="22"/>
          <w:szCs w:val="22"/>
        </w:rPr>
        <w:tab/>
        <w:t xml:space="preserve">Management of </w:t>
      </w:r>
      <w:r w:rsidR="004A54A9" w:rsidRPr="002857A7">
        <w:rPr>
          <w:rFonts w:ascii="Arial" w:hAnsi="Arial" w:cs="Arial"/>
          <w:sz w:val="22"/>
          <w:szCs w:val="22"/>
        </w:rPr>
        <w:t>long-term</w:t>
      </w:r>
      <w:r w:rsidRPr="002857A7">
        <w:rPr>
          <w:rFonts w:ascii="Arial" w:hAnsi="Arial" w:cs="Arial"/>
          <w:sz w:val="22"/>
          <w:szCs w:val="22"/>
        </w:rPr>
        <w:t xml:space="preserve"> </w:t>
      </w:r>
      <w:r w:rsidR="00DD6ED8">
        <w:rPr>
          <w:rFonts w:ascii="Arial" w:hAnsi="Arial" w:cs="Arial"/>
          <w:sz w:val="22"/>
          <w:szCs w:val="22"/>
        </w:rPr>
        <w:t xml:space="preserve">community </w:t>
      </w:r>
      <w:r w:rsidRPr="002857A7">
        <w:rPr>
          <w:rFonts w:ascii="Arial" w:hAnsi="Arial" w:cs="Arial"/>
          <w:sz w:val="22"/>
          <w:szCs w:val="22"/>
        </w:rPr>
        <w:t>rental h</w:t>
      </w:r>
      <w:r w:rsidR="00B24AE0">
        <w:rPr>
          <w:rFonts w:ascii="Arial" w:hAnsi="Arial" w:cs="Arial"/>
          <w:sz w:val="22"/>
          <w:szCs w:val="22"/>
        </w:rPr>
        <w:t>ousing presently across six</w:t>
      </w:r>
      <w:r w:rsidR="00035D57" w:rsidRPr="002857A7">
        <w:rPr>
          <w:rFonts w:ascii="Arial" w:hAnsi="Arial" w:cs="Arial"/>
          <w:sz w:val="22"/>
          <w:szCs w:val="22"/>
        </w:rPr>
        <w:t xml:space="preserve"> states of Australia</w:t>
      </w:r>
      <w:r w:rsidR="00E2177C">
        <w:rPr>
          <w:rFonts w:ascii="Arial" w:hAnsi="Arial" w:cs="Arial"/>
          <w:sz w:val="22"/>
          <w:szCs w:val="22"/>
        </w:rPr>
        <w:t>.</w:t>
      </w:r>
      <w:r w:rsidRPr="002857A7">
        <w:rPr>
          <w:rFonts w:ascii="Arial" w:hAnsi="Arial" w:cs="Arial"/>
          <w:sz w:val="22"/>
          <w:szCs w:val="22"/>
          <w:u w:val="single"/>
        </w:rPr>
        <w:t xml:space="preserve"> </w:t>
      </w:r>
    </w:p>
    <w:p w14:paraId="78811672" w14:textId="77777777" w:rsidR="00DE53B8" w:rsidRPr="002857A7" w:rsidRDefault="00DE53B8" w:rsidP="0094729D">
      <w:pPr>
        <w:jc w:val="both"/>
        <w:rPr>
          <w:rFonts w:ascii="Arial" w:hAnsi="Arial" w:cs="Arial"/>
          <w:sz w:val="22"/>
          <w:szCs w:val="22"/>
          <w:u w:val="single"/>
        </w:rPr>
      </w:pPr>
    </w:p>
    <w:p w14:paraId="0B471259" w14:textId="77777777" w:rsidR="00DE53B8" w:rsidRPr="006215F1" w:rsidRDefault="00DE53B8" w:rsidP="002160E7">
      <w:pPr>
        <w:ind w:left="1440" w:hanging="720"/>
        <w:jc w:val="both"/>
        <w:rPr>
          <w:rFonts w:ascii="Arial" w:hAnsi="Arial" w:cs="Arial"/>
          <w:color w:val="000000"/>
          <w:sz w:val="22"/>
          <w:szCs w:val="22"/>
        </w:rPr>
      </w:pPr>
      <w:r w:rsidRPr="002857A7">
        <w:rPr>
          <w:rFonts w:ascii="Arial" w:hAnsi="Arial" w:cs="Arial"/>
          <w:sz w:val="22"/>
          <w:szCs w:val="22"/>
        </w:rPr>
        <w:t>*</w:t>
      </w:r>
      <w:r w:rsidRPr="002857A7">
        <w:rPr>
          <w:rFonts w:ascii="Arial" w:hAnsi="Arial" w:cs="Arial"/>
          <w:sz w:val="22"/>
          <w:szCs w:val="22"/>
        </w:rPr>
        <w:tab/>
      </w:r>
      <w:r w:rsidR="00035D57" w:rsidRPr="002857A7">
        <w:rPr>
          <w:rFonts w:ascii="Arial" w:hAnsi="Arial" w:cs="Arial"/>
          <w:sz w:val="22"/>
          <w:szCs w:val="22"/>
        </w:rPr>
        <w:t>Homelessness</w:t>
      </w:r>
      <w:r w:rsidRPr="002857A7">
        <w:rPr>
          <w:rFonts w:ascii="Arial" w:hAnsi="Arial" w:cs="Arial"/>
          <w:sz w:val="22"/>
          <w:szCs w:val="22"/>
        </w:rPr>
        <w:t xml:space="preserve"> Services </w:t>
      </w:r>
      <w:r w:rsidR="00DD6ED8">
        <w:rPr>
          <w:rFonts w:ascii="Arial" w:hAnsi="Arial" w:cs="Arial"/>
          <w:sz w:val="22"/>
          <w:szCs w:val="22"/>
        </w:rPr>
        <w:t>for those who are homeless or at risk of homelessness in Australia</w:t>
      </w:r>
      <w:r w:rsidR="00E2177C">
        <w:rPr>
          <w:rFonts w:ascii="Arial" w:hAnsi="Arial" w:cs="Arial"/>
          <w:color w:val="000000"/>
          <w:sz w:val="22"/>
          <w:szCs w:val="22"/>
        </w:rPr>
        <w:t>.</w:t>
      </w:r>
    </w:p>
    <w:p w14:paraId="4097886B" w14:textId="77777777" w:rsidR="00DE53B8" w:rsidRPr="002857A7" w:rsidRDefault="00DE53B8" w:rsidP="002160E7">
      <w:pPr>
        <w:ind w:left="1440" w:hanging="720"/>
        <w:jc w:val="both"/>
        <w:rPr>
          <w:rFonts w:ascii="Arial" w:hAnsi="Arial" w:cs="Arial"/>
          <w:sz w:val="22"/>
          <w:szCs w:val="22"/>
        </w:rPr>
      </w:pPr>
    </w:p>
    <w:p w14:paraId="10595188" w14:textId="77777777" w:rsidR="00DE53B8" w:rsidRPr="002857A7" w:rsidRDefault="00DE53B8" w:rsidP="002160E7">
      <w:pPr>
        <w:ind w:left="1440" w:hanging="720"/>
        <w:jc w:val="both"/>
        <w:rPr>
          <w:rFonts w:ascii="Arial" w:hAnsi="Arial" w:cs="Arial"/>
          <w:sz w:val="22"/>
          <w:szCs w:val="22"/>
        </w:rPr>
      </w:pPr>
      <w:r w:rsidRPr="002857A7">
        <w:rPr>
          <w:rFonts w:ascii="Arial" w:hAnsi="Arial" w:cs="Arial"/>
          <w:sz w:val="22"/>
          <w:szCs w:val="22"/>
        </w:rPr>
        <w:t>*</w:t>
      </w:r>
      <w:r w:rsidRPr="002857A7">
        <w:rPr>
          <w:rFonts w:ascii="Arial" w:hAnsi="Arial" w:cs="Arial"/>
          <w:sz w:val="22"/>
          <w:szCs w:val="22"/>
        </w:rPr>
        <w:tab/>
        <w:t>D</w:t>
      </w:r>
      <w:r w:rsidR="00074B3B" w:rsidRPr="002857A7">
        <w:rPr>
          <w:rFonts w:ascii="Arial" w:hAnsi="Arial" w:cs="Arial"/>
          <w:sz w:val="22"/>
          <w:szCs w:val="22"/>
        </w:rPr>
        <w:t xml:space="preserve">evelopment, </w:t>
      </w:r>
      <w:r w:rsidR="00E32D24" w:rsidRPr="002857A7">
        <w:rPr>
          <w:rFonts w:ascii="Arial" w:hAnsi="Arial" w:cs="Arial"/>
          <w:sz w:val="22"/>
          <w:szCs w:val="22"/>
        </w:rPr>
        <w:t>design,</w:t>
      </w:r>
      <w:r w:rsidRPr="002857A7">
        <w:rPr>
          <w:rFonts w:ascii="Arial" w:hAnsi="Arial" w:cs="Arial"/>
          <w:sz w:val="22"/>
          <w:szCs w:val="22"/>
        </w:rPr>
        <w:t xml:space="preserve"> and con</w:t>
      </w:r>
      <w:r w:rsidR="00F645EE">
        <w:rPr>
          <w:rFonts w:ascii="Arial" w:hAnsi="Arial" w:cs="Arial"/>
          <w:sz w:val="22"/>
          <w:szCs w:val="22"/>
        </w:rPr>
        <w:t>struction of</w:t>
      </w:r>
      <w:r w:rsidR="00035D57" w:rsidRPr="002857A7">
        <w:rPr>
          <w:rFonts w:ascii="Arial" w:hAnsi="Arial" w:cs="Arial"/>
          <w:sz w:val="22"/>
          <w:szCs w:val="22"/>
        </w:rPr>
        <w:t xml:space="preserve"> housing</w:t>
      </w:r>
      <w:r w:rsidR="00F645EE">
        <w:rPr>
          <w:rFonts w:ascii="Arial" w:hAnsi="Arial" w:cs="Arial"/>
          <w:sz w:val="22"/>
          <w:szCs w:val="22"/>
        </w:rPr>
        <w:t xml:space="preserve"> for people in need</w:t>
      </w:r>
      <w:r w:rsidR="00035D57" w:rsidRPr="002857A7">
        <w:rPr>
          <w:rFonts w:ascii="Arial" w:hAnsi="Arial" w:cs="Arial"/>
          <w:sz w:val="22"/>
          <w:szCs w:val="22"/>
        </w:rPr>
        <w:t xml:space="preserve"> in Australia</w:t>
      </w:r>
      <w:r w:rsidR="00E2177C">
        <w:rPr>
          <w:rFonts w:ascii="Arial" w:hAnsi="Arial" w:cs="Arial"/>
          <w:sz w:val="22"/>
          <w:szCs w:val="22"/>
        </w:rPr>
        <w:t>.</w:t>
      </w:r>
    </w:p>
    <w:p w14:paraId="4D998E05" w14:textId="77777777" w:rsidR="00035D57" w:rsidRPr="002857A7" w:rsidRDefault="00035D57" w:rsidP="002160E7">
      <w:pPr>
        <w:ind w:left="1440" w:hanging="720"/>
        <w:jc w:val="both"/>
        <w:rPr>
          <w:rFonts w:ascii="Arial" w:hAnsi="Arial" w:cs="Arial"/>
          <w:sz w:val="22"/>
          <w:szCs w:val="22"/>
        </w:rPr>
      </w:pPr>
    </w:p>
    <w:p w14:paraId="16EA37D3" w14:textId="77777777" w:rsidR="00035D57" w:rsidRDefault="00035D57" w:rsidP="00710500">
      <w:pPr>
        <w:ind w:left="1440" w:hanging="720"/>
        <w:jc w:val="both"/>
        <w:rPr>
          <w:rFonts w:ascii="Arial" w:hAnsi="Arial" w:cs="Arial"/>
          <w:sz w:val="22"/>
          <w:szCs w:val="22"/>
        </w:rPr>
      </w:pPr>
      <w:r w:rsidRPr="002857A7">
        <w:rPr>
          <w:rFonts w:ascii="Arial" w:hAnsi="Arial" w:cs="Arial"/>
          <w:sz w:val="22"/>
          <w:szCs w:val="22"/>
        </w:rPr>
        <w:t>*</w:t>
      </w:r>
      <w:r w:rsidRPr="002857A7">
        <w:rPr>
          <w:rFonts w:ascii="Arial" w:hAnsi="Arial" w:cs="Arial"/>
          <w:sz w:val="22"/>
          <w:szCs w:val="22"/>
        </w:rPr>
        <w:tab/>
      </w:r>
      <w:r w:rsidR="004A54A9" w:rsidRPr="002857A7">
        <w:rPr>
          <w:rFonts w:ascii="Arial" w:hAnsi="Arial" w:cs="Arial"/>
          <w:sz w:val="22"/>
          <w:szCs w:val="22"/>
        </w:rPr>
        <w:t>D</w:t>
      </w:r>
      <w:r w:rsidRPr="002857A7">
        <w:rPr>
          <w:rFonts w:ascii="Arial" w:hAnsi="Arial" w:cs="Arial"/>
          <w:sz w:val="22"/>
          <w:szCs w:val="22"/>
        </w:rPr>
        <w:t>evelopmen</w:t>
      </w:r>
      <w:r w:rsidR="00D93547">
        <w:rPr>
          <w:rFonts w:ascii="Arial" w:hAnsi="Arial" w:cs="Arial"/>
          <w:sz w:val="22"/>
          <w:szCs w:val="22"/>
        </w:rPr>
        <w:t>t of affordable housing</w:t>
      </w:r>
      <w:r w:rsidRPr="002857A7">
        <w:rPr>
          <w:rFonts w:ascii="Arial" w:hAnsi="Arial" w:cs="Arial"/>
          <w:sz w:val="22"/>
          <w:szCs w:val="22"/>
        </w:rPr>
        <w:t xml:space="preserve"> in </w:t>
      </w:r>
      <w:r w:rsidR="00E2177C">
        <w:rPr>
          <w:rFonts w:ascii="Arial" w:hAnsi="Arial" w:cs="Arial"/>
          <w:sz w:val="22"/>
          <w:szCs w:val="22"/>
        </w:rPr>
        <w:t xml:space="preserve">Chile, </w:t>
      </w:r>
      <w:r w:rsidRPr="002857A7">
        <w:rPr>
          <w:rFonts w:ascii="Arial" w:hAnsi="Arial" w:cs="Arial"/>
          <w:sz w:val="22"/>
          <w:szCs w:val="22"/>
        </w:rPr>
        <w:t>India,</w:t>
      </w:r>
      <w:r w:rsidR="00E2177C">
        <w:rPr>
          <w:rFonts w:ascii="Arial" w:hAnsi="Arial" w:cs="Arial"/>
          <w:sz w:val="22"/>
          <w:szCs w:val="22"/>
        </w:rPr>
        <w:t xml:space="preserve"> Indonesia</w:t>
      </w:r>
      <w:r w:rsidR="00B24AE0">
        <w:rPr>
          <w:rFonts w:ascii="Arial" w:hAnsi="Arial" w:cs="Arial"/>
          <w:sz w:val="22"/>
          <w:szCs w:val="22"/>
        </w:rPr>
        <w:t xml:space="preserve">, </w:t>
      </w:r>
      <w:r w:rsidR="00B24AE0" w:rsidRPr="006215F1">
        <w:rPr>
          <w:rFonts w:ascii="Arial" w:hAnsi="Arial" w:cs="Arial"/>
          <w:color w:val="000000"/>
          <w:sz w:val="22"/>
          <w:szCs w:val="22"/>
        </w:rPr>
        <w:t>PNG</w:t>
      </w:r>
      <w:r w:rsidR="005610C9" w:rsidRPr="006215F1">
        <w:rPr>
          <w:rFonts w:ascii="Arial" w:hAnsi="Arial" w:cs="Arial"/>
          <w:color w:val="000000"/>
          <w:sz w:val="22"/>
          <w:szCs w:val="22"/>
        </w:rPr>
        <w:t>, Peru</w:t>
      </w:r>
      <w:r w:rsidR="00E2177C">
        <w:rPr>
          <w:rFonts w:ascii="Arial" w:hAnsi="Arial" w:cs="Arial"/>
          <w:color w:val="000000"/>
          <w:sz w:val="22"/>
          <w:szCs w:val="22"/>
        </w:rPr>
        <w:t>, Rwanda</w:t>
      </w:r>
      <w:r w:rsidR="00E2177C">
        <w:rPr>
          <w:rFonts w:ascii="Arial" w:hAnsi="Arial" w:cs="Arial"/>
          <w:sz w:val="22"/>
          <w:szCs w:val="22"/>
        </w:rPr>
        <w:t xml:space="preserve"> and </w:t>
      </w:r>
      <w:r w:rsidRPr="002857A7">
        <w:rPr>
          <w:rFonts w:ascii="Arial" w:hAnsi="Arial" w:cs="Arial"/>
          <w:sz w:val="22"/>
          <w:szCs w:val="22"/>
        </w:rPr>
        <w:t>Timor</w:t>
      </w:r>
      <w:r w:rsidR="00E2177C">
        <w:rPr>
          <w:rFonts w:ascii="Arial" w:hAnsi="Arial" w:cs="Arial"/>
          <w:sz w:val="22"/>
          <w:szCs w:val="22"/>
        </w:rPr>
        <w:t xml:space="preserve"> Leste.</w:t>
      </w:r>
    </w:p>
    <w:p w14:paraId="326C639C" w14:textId="77777777" w:rsidR="005610C9" w:rsidRDefault="005610C9" w:rsidP="002160E7">
      <w:pPr>
        <w:ind w:left="1440" w:hanging="720"/>
        <w:jc w:val="both"/>
        <w:rPr>
          <w:rFonts w:ascii="Arial" w:hAnsi="Arial" w:cs="Arial"/>
          <w:sz w:val="22"/>
          <w:szCs w:val="22"/>
        </w:rPr>
      </w:pPr>
    </w:p>
    <w:p w14:paraId="033615DE" w14:textId="77777777" w:rsidR="005610C9" w:rsidRPr="00615407" w:rsidRDefault="005610C9" w:rsidP="002160E7">
      <w:pPr>
        <w:ind w:left="1440" w:hanging="720"/>
        <w:jc w:val="both"/>
        <w:rPr>
          <w:rFonts w:ascii="Arial" w:hAnsi="Arial" w:cs="Arial"/>
          <w:sz w:val="22"/>
          <w:szCs w:val="22"/>
        </w:rPr>
      </w:pPr>
      <w:r>
        <w:rPr>
          <w:rFonts w:ascii="Arial" w:hAnsi="Arial" w:cs="Arial"/>
          <w:sz w:val="22"/>
          <w:szCs w:val="22"/>
        </w:rPr>
        <w:t>*</w:t>
      </w:r>
      <w:r>
        <w:rPr>
          <w:rFonts w:ascii="Arial" w:hAnsi="Arial" w:cs="Arial"/>
          <w:sz w:val="22"/>
          <w:szCs w:val="22"/>
        </w:rPr>
        <w:tab/>
      </w:r>
      <w:r w:rsidRPr="00615407">
        <w:rPr>
          <w:rFonts w:ascii="Arial" w:hAnsi="Arial" w:cs="Arial"/>
          <w:sz w:val="22"/>
          <w:szCs w:val="22"/>
        </w:rPr>
        <w:t>Community development</w:t>
      </w:r>
      <w:r w:rsidR="00E2177C">
        <w:rPr>
          <w:rFonts w:ascii="Arial" w:hAnsi="Arial" w:cs="Arial"/>
          <w:sz w:val="22"/>
          <w:szCs w:val="22"/>
        </w:rPr>
        <w:t xml:space="preserve">, </w:t>
      </w:r>
      <w:r w:rsidR="00710500">
        <w:rPr>
          <w:rFonts w:ascii="Arial" w:hAnsi="Arial" w:cs="Arial"/>
          <w:sz w:val="22"/>
          <w:szCs w:val="22"/>
        </w:rPr>
        <w:t xml:space="preserve">training, </w:t>
      </w:r>
      <w:r w:rsidR="00E2177C">
        <w:rPr>
          <w:rFonts w:ascii="Arial" w:hAnsi="Arial" w:cs="Arial"/>
          <w:sz w:val="22"/>
          <w:szCs w:val="22"/>
        </w:rPr>
        <w:t>business development</w:t>
      </w:r>
      <w:r w:rsidRPr="00615407">
        <w:rPr>
          <w:rFonts w:ascii="Arial" w:hAnsi="Arial" w:cs="Arial"/>
          <w:sz w:val="22"/>
          <w:szCs w:val="22"/>
        </w:rPr>
        <w:t xml:space="preserve"> and employment creation activity in relation to some of the communities where it provides housing. </w:t>
      </w:r>
    </w:p>
    <w:p w14:paraId="4CF18FFC" w14:textId="77777777" w:rsidR="00DE53B8" w:rsidRPr="002857A7" w:rsidRDefault="00DE53B8" w:rsidP="002160E7">
      <w:pPr>
        <w:jc w:val="both"/>
        <w:rPr>
          <w:rFonts w:ascii="Arial" w:hAnsi="Arial" w:cs="Arial"/>
          <w:sz w:val="22"/>
          <w:szCs w:val="22"/>
        </w:rPr>
      </w:pPr>
    </w:p>
    <w:p w14:paraId="6A2D8213" w14:textId="77777777" w:rsidR="00035789" w:rsidRPr="002857A7" w:rsidRDefault="006A5CA8" w:rsidP="00035789">
      <w:pPr>
        <w:jc w:val="both"/>
        <w:rPr>
          <w:rFonts w:ascii="Arial" w:hAnsi="Arial" w:cs="Arial"/>
          <w:sz w:val="22"/>
          <w:szCs w:val="22"/>
        </w:rPr>
      </w:pPr>
      <w:r w:rsidRPr="00493ACE">
        <w:rPr>
          <w:rFonts w:ascii="Arial" w:hAnsi="Arial" w:cs="Arial"/>
          <w:bCs/>
          <w:sz w:val="22"/>
          <w:szCs w:val="22"/>
        </w:rPr>
        <w:t>4</w:t>
      </w:r>
      <w:r w:rsidR="00051633" w:rsidRPr="00493ACE">
        <w:rPr>
          <w:rFonts w:ascii="Arial" w:hAnsi="Arial" w:cs="Arial"/>
          <w:bCs/>
          <w:sz w:val="22"/>
          <w:szCs w:val="22"/>
        </w:rPr>
        <w:t>.0</w:t>
      </w:r>
      <w:r w:rsidR="00051633">
        <w:rPr>
          <w:rFonts w:ascii="Arial" w:hAnsi="Arial" w:cs="Arial"/>
          <w:bCs/>
        </w:rPr>
        <w:tab/>
      </w:r>
      <w:bookmarkStart w:id="3" w:name="_Hlk90546977"/>
      <w:r w:rsidR="00035789" w:rsidRPr="00526DEE">
        <w:rPr>
          <w:rFonts w:ascii="Arial" w:hAnsi="Arial" w:cs="Arial"/>
          <w:b/>
          <w:color w:val="1F3864"/>
          <w:sz w:val="22"/>
          <w:szCs w:val="22"/>
        </w:rPr>
        <w:t>C</w:t>
      </w:r>
      <w:r w:rsidR="00035789">
        <w:rPr>
          <w:rFonts w:ascii="Arial" w:hAnsi="Arial" w:cs="Arial"/>
          <w:b/>
          <w:color w:val="1F3864"/>
          <w:sz w:val="22"/>
          <w:szCs w:val="22"/>
        </w:rPr>
        <w:t xml:space="preserve">HL’S CONTRIBUTION TO HOUSING PROVISION IN AUSTRALIA </w:t>
      </w:r>
      <w:r w:rsidR="00035789" w:rsidRPr="002857A7">
        <w:rPr>
          <w:rFonts w:ascii="Arial" w:hAnsi="Arial" w:cs="Arial"/>
          <w:b/>
          <w:sz w:val="22"/>
          <w:szCs w:val="22"/>
          <w:u w:val="single"/>
        </w:rPr>
        <w:t xml:space="preserve">  </w:t>
      </w:r>
      <w:r w:rsidR="00035789" w:rsidRPr="002857A7">
        <w:rPr>
          <w:rFonts w:ascii="Arial" w:hAnsi="Arial" w:cs="Arial"/>
          <w:sz w:val="22"/>
          <w:szCs w:val="22"/>
        </w:rPr>
        <w:t xml:space="preserve"> </w:t>
      </w:r>
      <w:bookmarkEnd w:id="3"/>
    </w:p>
    <w:p w14:paraId="6EE40757" w14:textId="77777777" w:rsidR="00035789" w:rsidRPr="002857A7" w:rsidRDefault="00035789" w:rsidP="00035789">
      <w:pPr>
        <w:pStyle w:val="BodyTextIndent3"/>
        <w:ind w:left="0"/>
        <w:jc w:val="both"/>
        <w:rPr>
          <w:rFonts w:ascii="Arial" w:hAnsi="Arial" w:cs="Arial"/>
          <w:sz w:val="22"/>
          <w:szCs w:val="22"/>
        </w:rPr>
      </w:pPr>
    </w:p>
    <w:p w14:paraId="3CFA78C9" w14:textId="77777777" w:rsidR="00035789" w:rsidRPr="002857A7" w:rsidRDefault="00035789" w:rsidP="00035789">
      <w:pPr>
        <w:pStyle w:val="BodyTextIndent3"/>
        <w:ind w:hanging="720"/>
        <w:jc w:val="both"/>
        <w:rPr>
          <w:rFonts w:ascii="Arial" w:hAnsi="Arial" w:cs="Arial"/>
          <w:sz w:val="22"/>
          <w:szCs w:val="22"/>
        </w:rPr>
      </w:pPr>
      <w:r>
        <w:rPr>
          <w:rFonts w:ascii="Arial" w:hAnsi="Arial" w:cs="Arial"/>
          <w:sz w:val="22"/>
          <w:szCs w:val="22"/>
        </w:rPr>
        <w:t>4.1</w:t>
      </w:r>
      <w:r>
        <w:rPr>
          <w:rFonts w:ascii="Arial" w:hAnsi="Arial" w:cs="Arial"/>
          <w:sz w:val="22"/>
          <w:szCs w:val="22"/>
        </w:rPr>
        <w:tab/>
        <w:t xml:space="preserve">CHL is Australia’s leading, largest, and most geographically diverse community housing provider in </w:t>
      </w:r>
      <w:r w:rsidR="003D223E">
        <w:rPr>
          <w:rFonts w:ascii="Arial" w:hAnsi="Arial" w:cs="Arial"/>
          <w:sz w:val="22"/>
          <w:szCs w:val="22"/>
        </w:rPr>
        <w:t>Australia: -</w:t>
      </w:r>
    </w:p>
    <w:p w14:paraId="6FF88B50" w14:textId="77777777" w:rsidR="00035789" w:rsidRPr="002857A7" w:rsidRDefault="00035789" w:rsidP="00035789">
      <w:pPr>
        <w:pStyle w:val="BodyTextIndent3"/>
        <w:ind w:left="0"/>
        <w:jc w:val="both"/>
        <w:rPr>
          <w:rFonts w:ascii="Arial" w:hAnsi="Arial" w:cs="Arial"/>
          <w:sz w:val="22"/>
          <w:szCs w:val="22"/>
        </w:rPr>
      </w:pPr>
    </w:p>
    <w:p w14:paraId="2D05632A" w14:textId="77777777" w:rsidR="00035789" w:rsidRPr="002857A7" w:rsidRDefault="00035789" w:rsidP="00035789">
      <w:pPr>
        <w:pStyle w:val="BodyTextIndent3"/>
        <w:numPr>
          <w:ilvl w:val="0"/>
          <w:numId w:val="3"/>
        </w:numPr>
        <w:jc w:val="both"/>
        <w:rPr>
          <w:rFonts w:ascii="Arial" w:hAnsi="Arial" w:cs="Arial"/>
          <w:sz w:val="22"/>
          <w:szCs w:val="22"/>
        </w:rPr>
      </w:pPr>
      <w:r>
        <w:rPr>
          <w:rFonts w:ascii="Arial" w:hAnsi="Arial" w:cs="Arial"/>
          <w:sz w:val="22"/>
          <w:szCs w:val="22"/>
        </w:rPr>
        <w:t>Is the</w:t>
      </w:r>
      <w:r w:rsidRPr="002857A7">
        <w:rPr>
          <w:rFonts w:ascii="Arial" w:hAnsi="Arial" w:cs="Arial"/>
          <w:sz w:val="22"/>
          <w:szCs w:val="22"/>
        </w:rPr>
        <w:t xml:space="preserve"> only national Australian</w:t>
      </w:r>
      <w:r>
        <w:rPr>
          <w:rFonts w:ascii="Arial" w:hAnsi="Arial" w:cs="Arial"/>
          <w:sz w:val="22"/>
          <w:szCs w:val="22"/>
        </w:rPr>
        <w:t xml:space="preserve"> community housing provider having</w:t>
      </w:r>
      <w:r w:rsidRPr="002857A7">
        <w:rPr>
          <w:rFonts w:ascii="Arial" w:hAnsi="Arial" w:cs="Arial"/>
          <w:sz w:val="22"/>
          <w:szCs w:val="22"/>
        </w:rPr>
        <w:t xml:space="preserve"> housing</w:t>
      </w:r>
      <w:r>
        <w:rPr>
          <w:rFonts w:ascii="Arial" w:hAnsi="Arial" w:cs="Arial"/>
          <w:sz w:val="22"/>
          <w:szCs w:val="22"/>
        </w:rPr>
        <w:t xml:space="preserve"> management</w:t>
      </w:r>
      <w:r w:rsidR="00503836">
        <w:rPr>
          <w:rFonts w:ascii="Arial" w:hAnsi="Arial" w:cs="Arial"/>
          <w:sz w:val="22"/>
          <w:szCs w:val="22"/>
        </w:rPr>
        <w:t xml:space="preserve"> and development</w:t>
      </w:r>
      <w:r w:rsidRPr="002857A7">
        <w:rPr>
          <w:rFonts w:ascii="Arial" w:hAnsi="Arial" w:cs="Arial"/>
          <w:sz w:val="22"/>
          <w:szCs w:val="22"/>
        </w:rPr>
        <w:t xml:space="preserve"> operations</w:t>
      </w:r>
      <w:r>
        <w:rPr>
          <w:rFonts w:ascii="Arial" w:hAnsi="Arial" w:cs="Arial"/>
          <w:sz w:val="22"/>
          <w:szCs w:val="22"/>
        </w:rPr>
        <w:t xml:space="preserve"> in six</w:t>
      </w:r>
      <w:r w:rsidRPr="002857A7">
        <w:rPr>
          <w:rFonts w:ascii="Arial" w:hAnsi="Arial" w:cs="Arial"/>
          <w:sz w:val="22"/>
          <w:szCs w:val="22"/>
        </w:rPr>
        <w:t xml:space="preserve"> states</w:t>
      </w:r>
      <w:r>
        <w:rPr>
          <w:rFonts w:ascii="Arial" w:hAnsi="Arial" w:cs="Arial"/>
          <w:sz w:val="22"/>
          <w:szCs w:val="22"/>
        </w:rPr>
        <w:t>.</w:t>
      </w:r>
    </w:p>
    <w:p w14:paraId="42BA19B3" w14:textId="77777777" w:rsidR="00035789" w:rsidRPr="002857A7" w:rsidRDefault="00035789" w:rsidP="00035789">
      <w:pPr>
        <w:pStyle w:val="BodyTextIndent3"/>
        <w:ind w:left="1080"/>
        <w:jc w:val="both"/>
        <w:rPr>
          <w:rFonts w:ascii="Arial" w:hAnsi="Arial" w:cs="Arial"/>
          <w:sz w:val="22"/>
          <w:szCs w:val="22"/>
        </w:rPr>
      </w:pPr>
    </w:p>
    <w:p w14:paraId="7878C0E4" w14:textId="77777777" w:rsidR="00035789" w:rsidRPr="001B7C51" w:rsidRDefault="00503836" w:rsidP="00035789">
      <w:pPr>
        <w:pStyle w:val="BodyTextIndent3"/>
        <w:numPr>
          <w:ilvl w:val="0"/>
          <w:numId w:val="3"/>
        </w:numPr>
        <w:jc w:val="both"/>
        <w:rPr>
          <w:rFonts w:ascii="Arial" w:hAnsi="Arial" w:cs="Arial"/>
          <w:sz w:val="22"/>
          <w:szCs w:val="22"/>
        </w:rPr>
      </w:pPr>
      <w:r>
        <w:rPr>
          <w:rFonts w:ascii="Arial" w:hAnsi="Arial" w:cs="Arial"/>
          <w:sz w:val="22"/>
          <w:szCs w:val="22"/>
        </w:rPr>
        <w:t>Carries out d</w:t>
      </w:r>
      <w:r w:rsidR="00035789">
        <w:rPr>
          <w:rFonts w:ascii="Arial" w:hAnsi="Arial" w:cs="Arial"/>
          <w:sz w:val="22"/>
          <w:szCs w:val="22"/>
        </w:rPr>
        <w:t xml:space="preserve">esign and construction of housing projects for </w:t>
      </w:r>
      <w:r w:rsidR="003D223E">
        <w:rPr>
          <w:rFonts w:ascii="Arial" w:hAnsi="Arial" w:cs="Arial"/>
          <w:sz w:val="22"/>
          <w:szCs w:val="22"/>
        </w:rPr>
        <w:t>low-income</w:t>
      </w:r>
      <w:r w:rsidR="00035789">
        <w:rPr>
          <w:rFonts w:ascii="Arial" w:hAnsi="Arial" w:cs="Arial"/>
          <w:sz w:val="22"/>
          <w:szCs w:val="22"/>
        </w:rPr>
        <w:t xml:space="preserve"> people </w:t>
      </w:r>
      <w:r w:rsidR="00035789" w:rsidRPr="001B7C51">
        <w:rPr>
          <w:rFonts w:ascii="Arial" w:hAnsi="Arial" w:cs="Arial"/>
          <w:sz w:val="22"/>
          <w:szCs w:val="22"/>
        </w:rPr>
        <w:t>with</w:t>
      </w:r>
      <w:r w:rsidR="00035789">
        <w:rPr>
          <w:rFonts w:ascii="Arial" w:hAnsi="Arial" w:cs="Arial"/>
          <w:sz w:val="22"/>
          <w:szCs w:val="22"/>
        </w:rPr>
        <w:t xml:space="preserve"> around</w:t>
      </w:r>
      <w:r w:rsidR="00035789" w:rsidRPr="001B7C51">
        <w:rPr>
          <w:rFonts w:ascii="Arial" w:hAnsi="Arial" w:cs="Arial"/>
          <w:sz w:val="22"/>
          <w:szCs w:val="22"/>
        </w:rPr>
        <w:t xml:space="preserve"> 1</w:t>
      </w:r>
      <w:r w:rsidR="00035789">
        <w:rPr>
          <w:rFonts w:ascii="Arial" w:hAnsi="Arial" w:cs="Arial"/>
          <w:sz w:val="22"/>
          <w:szCs w:val="22"/>
        </w:rPr>
        <w:t>1,</w:t>
      </w:r>
      <w:r>
        <w:rPr>
          <w:rFonts w:ascii="Arial" w:hAnsi="Arial" w:cs="Arial"/>
          <w:sz w:val="22"/>
          <w:szCs w:val="22"/>
        </w:rPr>
        <w:t>4</w:t>
      </w:r>
      <w:r w:rsidR="00035789">
        <w:rPr>
          <w:rFonts w:ascii="Arial" w:hAnsi="Arial" w:cs="Arial"/>
          <w:sz w:val="22"/>
          <w:szCs w:val="22"/>
        </w:rPr>
        <w:t>0</w:t>
      </w:r>
      <w:r w:rsidR="00035789" w:rsidRPr="001B7C51">
        <w:rPr>
          <w:rFonts w:ascii="Arial" w:hAnsi="Arial" w:cs="Arial"/>
          <w:sz w:val="22"/>
          <w:szCs w:val="22"/>
        </w:rPr>
        <w:t>0 houses under management in Australia.</w:t>
      </w:r>
    </w:p>
    <w:p w14:paraId="4B8CD500" w14:textId="77777777" w:rsidR="00035789" w:rsidRPr="002857A7" w:rsidRDefault="00035789" w:rsidP="00035789">
      <w:pPr>
        <w:pStyle w:val="ListParagraph"/>
        <w:ind w:left="0"/>
        <w:jc w:val="both"/>
        <w:rPr>
          <w:rFonts w:ascii="Arial" w:hAnsi="Arial" w:cs="Arial"/>
          <w:sz w:val="22"/>
          <w:szCs w:val="22"/>
        </w:rPr>
      </w:pPr>
    </w:p>
    <w:p w14:paraId="74D449AC" w14:textId="77777777" w:rsidR="00035789" w:rsidRPr="002857A7" w:rsidRDefault="00035789" w:rsidP="00035789">
      <w:pPr>
        <w:pStyle w:val="BodyTextIndent3"/>
        <w:numPr>
          <w:ilvl w:val="0"/>
          <w:numId w:val="3"/>
        </w:numPr>
        <w:jc w:val="both"/>
        <w:rPr>
          <w:rFonts w:ascii="Arial" w:hAnsi="Arial" w:cs="Arial"/>
          <w:sz w:val="22"/>
          <w:szCs w:val="22"/>
        </w:rPr>
      </w:pPr>
      <w:r w:rsidRPr="002857A7">
        <w:rPr>
          <w:rFonts w:ascii="Arial" w:hAnsi="Arial" w:cs="Arial"/>
          <w:sz w:val="22"/>
          <w:szCs w:val="22"/>
        </w:rPr>
        <w:t>Ha</w:t>
      </w:r>
      <w:r>
        <w:rPr>
          <w:rFonts w:ascii="Arial" w:hAnsi="Arial" w:cs="Arial"/>
          <w:sz w:val="22"/>
          <w:szCs w:val="22"/>
        </w:rPr>
        <w:t>ving</w:t>
      </w:r>
      <w:r w:rsidRPr="002857A7">
        <w:rPr>
          <w:rFonts w:ascii="Arial" w:hAnsi="Arial" w:cs="Arial"/>
          <w:sz w:val="22"/>
          <w:szCs w:val="22"/>
        </w:rPr>
        <w:t xml:space="preserve"> a staff</w:t>
      </w:r>
      <w:r>
        <w:rPr>
          <w:rFonts w:ascii="Arial" w:hAnsi="Arial" w:cs="Arial"/>
          <w:sz w:val="22"/>
          <w:szCs w:val="22"/>
        </w:rPr>
        <w:t xml:space="preserve"> and operational network distributed all six states</w:t>
      </w:r>
      <w:r w:rsidRPr="002857A7">
        <w:rPr>
          <w:rFonts w:ascii="Arial" w:hAnsi="Arial" w:cs="Arial"/>
          <w:sz w:val="22"/>
          <w:szCs w:val="22"/>
        </w:rPr>
        <w:t xml:space="preserve"> providing local services through </w:t>
      </w:r>
      <w:r>
        <w:rPr>
          <w:rFonts w:ascii="Arial" w:hAnsi="Arial" w:cs="Arial"/>
          <w:sz w:val="22"/>
          <w:szCs w:val="22"/>
        </w:rPr>
        <w:t>22</w:t>
      </w:r>
      <w:r w:rsidRPr="002857A7">
        <w:rPr>
          <w:rFonts w:ascii="Arial" w:hAnsi="Arial" w:cs="Arial"/>
          <w:sz w:val="22"/>
          <w:szCs w:val="22"/>
        </w:rPr>
        <w:t xml:space="preserve"> locations to ensure responsive client service delivery</w:t>
      </w:r>
      <w:r>
        <w:rPr>
          <w:rFonts w:ascii="Arial" w:hAnsi="Arial" w:cs="Arial"/>
          <w:sz w:val="22"/>
          <w:szCs w:val="22"/>
        </w:rPr>
        <w:t>.</w:t>
      </w:r>
    </w:p>
    <w:p w14:paraId="0F1B422D" w14:textId="77777777" w:rsidR="00035789" w:rsidRPr="002857A7" w:rsidRDefault="00035789" w:rsidP="00035789">
      <w:pPr>
        <w:pStyle w:val="ListParagraph"/>
        <w:jc w:val="both"/>
        <w:rPr>
          <w:rFonts w:ascii="Arial" w:hAnsi="Arial" w:cs="Arial"/>
          <w:sz w:val="22"/>
          <w:szCs w:val="22"/>
        </w:rPr>
      </w:pPr>
    </w:p>
    <w:p w14:paraId="23C66109" w14:textId="77777777" w:rsidR="00035789" w:rsidRDefault="00035789" w:rsidP="00035789">
      <w:pPr>
        <w:pStyle w:val="BodyTextIndent3"/>
        <w:numPr>
          <w:ilvl w:val="0"/>
          <w:numId w:val="3"/>
        </w:numPr>
        <w:jc w:val="both"/>
        <w:rPr>
          <w:rFonts w:ascii="Arial" w:hAnsi="Arial" w:cs="Arial"/>
          <w:sz w:val="22"/>
          <w:szCs w:val="22"/>
        </w:rPr>
      </w:pPr>
      <w:r w:rsidRPr="002857A7">
        <w:rPr>
          <w:rFonts w:ascii="Arial" w:hAnsi="Arial" w:cs="Arial"/>
          <w:sz w:val="22"/>
          <w:szCs w:val="22"/>
        </w:rPr>
        <w:t xml:space="preserve">Is one of Australia’s larger providers of housing for </w:t>
      </w:r>
      <w:r>
        <w:rPr>
          <w:rFonts w:ascii="Arial" w:hAnsi="Arial" w:cs="Arial"/>
          <w:sz w:val="22"/>
          <w:szCs w:val="22"/>
        </w:rPr>
        <w:t>A</w:t>
      </w:r>
      <w:r w:rsidRPr="002857A7">
        <w:rPr>
          <w:rFonts w:ascii="Arial" w:hAnsi="Arial" w:cs="Arial"/>
          <w:sz w:val="22"/>
          <w:szCs w:val="22"/>
        </w:rPr>
        <w:t>boriginal people</w:t>
      </w:r>
      <w:r>
        <w:rPr>
          <w:rFonts w:ascii="Arial" w:hAnsi="Arial" w:cs="Arial"/>
          <w:sz w:val="22"/>
          <w:szCs w:val="22"/>
        </w:rPr>
        <w:t xml:space="preserve"> stock of around 1,30</w:t>
      </w:r>
      <w:r w:rsidRPr="002857A7">
        <w:rPr>
          <w:rFonts w:ascii="Arial" w:hAnsi="Arial" w:cs="Arial"/>
          <w:sz w:val="22"/>
          <w:szCs w:val="22"/>
        </w:rPr>
        <w:t>0 houses under management</w:t>
      </w:r>
      <w:r w:rsidR="00503836">
        <w:rPr>
          <w:rFonts w:ascii="Arial" w:hAnsi="Arial" w:cs="Arial"/>
          <w:sz w:val="22"/>
          <w:szCs w:val="22"/>
        </w:rPr>
        <w:t xml:space="preserve"> through a related entity, Aboriginal Community Housing Limited</w:t>
      </w:r>
      <w:r w:rsidRPr="002857A7">
        <w:rPr>
          <w:rFonts w:ascii="Arial" w:hAnsi="Arial" w:cs="Arial"/>
          <w:sz w:val="22"/>
          <w:szCs w:val="22"/>
        </w:rPr>
        <w:t>.</w:t>
      </w:r>
    </w:p>
    <w:p w14:paraId="0C8561F3" w14:textId="77777777" w:rsidR="00035789" w:rsidRDefault="00035789" w:rsidP="00035789">
      <w:pPr>
        <w:pStyle w:val="ListParagraph"/>
        <w:rPr>
          <w:rFonts w:ascii="Arial" w:hAnsi="Arial" w:cs="Arial"/>
          <w:sz w:val="22"/>
          <w:szCs w:val="22"/>
        </w:rPr>
      </w:pPr>
    </w:p>
    <w:p w14:paraId="740B6C49" w14:textId="77777777" w:rsidR="00035789" w:rsidRPr="00451462" w:rsidRDefault="00035789" w:rsidP="00035789">
      <w:pPr>
        <w:pStyle w:val="BodyTextIndent3"/>
        <w:numPr>
          <w:ilvl w:val="0"/>
          <w:numId w:val="3"/>
        </w:numPr>
        <w:jc w:val="both"/>
        <w:rPr>
          <w:rFonts w:ascii="Arial" w:hAnsi="Arial" w:cs="Arial"/>
          <w:sz w:val="22"/>
          <w:szCs w:val="22"/>
        </w:rPr>
      </w:pPr>
      <w:r>
        <w:rPr>
          <w:rFonts w:ascii="Arial" w:hAnsi="Arial" w:cs="Arial"/>
          <w:sz w:val="22"/>
          <w:szCs w:val="22"/>
        </w:rPr>
        <w:t>Has a present housing development and construction program of 1,905 homes in Australia.</w:t>
      </w:r>
    </w:p>
    <w:p w14:paraId="75461185" w14:textId="77777777" w:rsidR="00035789" w:rsidRDefault="00035789" w:rsidP="00051633">
      <w:pPr>
        <w:jc w:val="both"/>
        <w:rPr>
          <w:rFonts w:ascii="Arial" w:hAnsi="Arial" w:cs="Arial"/>
          <w:bCs/>
        </w:rPr>
      </w:pPr>
    </w:p>
    <w:p w14:paraId="1C1B15D4" w14:textId="77777777" w:rsidR="00DD6ED8" w:rsidRDefault="00035789" w:rsidP="00051633">
      <w:pPr>
        <w:jc w:val="both"/>
        <w:rPr>
          <w:rFonts w:ascii="Arial" w:hAnsi="Arial" w:cs="Arial"/>
          <w:sz w:val="22"/>
          <w:szCs w:val="22"/>
        </w:rPr>
      </w:pPr>
      <w:r>
        <w:rPr>
          <w:rFonts w:ascii="Arial" w:hAnsi="Arial" w:cs="Arial"/>
          <w:bCs/>
        </w:rPr>
        <w:t>5.0</w:t>
      </w:r>
      <w:r>
        <w:rPr>
          <w:rFonts w:ascii="Arial" w:hAnsi="Arial" w:cs="Arial"/>
          <w:bCs/>
        </w:rPr>
        <w:tab/>
      </w:r>
      <w:r w:rsidR="00EE671A" w:rsidRPr="009741C5">
        <w:rPr>
          <w:rFonts w:ascii="Arial" w:hAnsi="Arial" w:cs="Arial"/>
          <w:b/>
          <w:color w:val="1F3864"/>
        </w:rPr>
        <w:t>C</w:t>
      </w:r>
      <w:r w:rsidR="00EE671A">
        <w:rPr>
          <w:rFonts w:ascii="Arial" w:hAnsi="Arial" w:cs="Arial"/>
          <w:b/>
          <w:color w:val="1F3864"/>
        </w:rPr>
        <w:t xml:space="preserve">URRENT FEDERAL HOUSING ASSISTANCE </w:t>
      </w:r>
    </w:p>
    <w:p w14:paraId="562118E4" w14:textId="77777777" w:rsidR="00DD6ED8" w:rsidRDefault="00DD6ED8" w:rsidP="00DD6ED8">
      <w:pPr>
        <w:ind w:left="360"/>
        <w:jc w:val="both"/>
        <w:rPr>
          <w:rFonts w:ascii="Arial" w:hAnsi="Arial" w:cs="Arial"/>
          <w:sz w:val="22"/>
          <w:szCs w:val="22"/>
        </w:rPr>
      </w:pPr>
    </w:p>
    <w:p w14:paraId="4EC4C97B" w14:textId="77777777" w:rsidR="002E77F8" w:rsidRDefault="00035789" w:rsidP="00EE671A">
      <w:pPr>
        <w:ind w:left="720" w:hanging="720"/>
        <w:jc w:val="both"/>
        <w:rPr>
          <w:rFonts w:ascii="Arial" w:hAnsi="Arial" w:cs="Arial"/>
          <w:sz w:val="22"/>
          <w:szCs w:val="22"/>
        </w:rPr>
      </w:pPr>
      <w:r>
        <w:rPr>
          <w:rFonts w:ascii="Arial" w:hAnsi="Arial" w:cs="Arial"/>
          <w:sz w:val="22"/>
          <w:szCs w:val="22"/>
        </w:rPr>
        <w:t>5</w:t>
      </w:r>
      <w:r w:rsidR="00EE671A">
        <w:rPr>
          <w:rFonts w:ascii="Arial" w:hAnsi="Arial" w:cs="Arial"/>
          <w:sz w:val="22"/>
          <w:szCs w:val="22"/>
        </w:rPr>
        <w:t>.1</w:t>
      </w:r>
      <w:r w:rsidR="00EE671A">
        <w:rPr>
          <w:rFonts w:ascii="Arial" w:hAnsi="Arial" w:cs="Arial"/>
          <w:sz w:val="22"/>
          <w:szCs w:val="22"/>
        </w:rPr>
        <w:tab/>
      </w:r>
      <w:r w:rsidR="00C01A38">
        <w:rPr>
          <w:rFonts w:ascii="Arial" w:hAnsi="Arial" w:cs="Arial"/>
          <w:sz w:val="22"/>
          <w:szCs w:val="22"/>
        </w:rPr>
        <w:t xml:space="preserve">The Federal Government </w:t>
      </w:r>
      <w:r w:rsidR="0085142D">
        <w:rPr>
          <w:rFonts w:ascii="Arial" w:hAnsi="Arial" w:cs="Arial"/>
          <w:sz w:val="22"/>
          <w:szCs w:val="22"/>
        </w:rPr>
        <w:t xml:space="preserve">historically underpinned the national housing market through six decades of Commonwealth State Housing Agreements which ensured a steady growth of social and affordable housing until the 1990s when rising housing prices allied to a NHHA which didn’t add to supply constrained the growth of </w:t>
      </w:r>
      <w:r w:rsidR="00BB4F3D">
        <w:rPr>
          <w:rFonts w:ascii="Arial" w:hAnsi="Arial" w:cs="Arial"/>
          <w:sz w:val="22"/>
          <w:szCs w:val="22"/>
        </w:rPr>
        <w:t xml:space="preserve">this essential social infrastructure. The Federal Government </w:t>
      </w:r>
      <w:r w:rsidR="00C01A38">
        <w:rPr>
          <w:rFonts w:ascii="Arial" w:hAnsi="Arial" w:cs="Arial"/>
          <w:sz w:val="22"/>
          <w:szCs w:val="22"/>
        </w:rPr>
        <w:t>has not increased its role in the funding of housing supply</w:t>
      </w:r>
      <w:r w:rsidR="008346DC">
        <w:rPr>
          <w:rFonts w:ascii="Arial" w:hAnsi="Arial" w:cs="Arial"/>
          <w:sz w:val="22"/>
          <w:szCs w:val="22"/>
        </w:rPr>
        <w:t xml:space="preserve"> for those in high housing need</w:t>
      </w:r>
      <w:r w:rsidR="00CA5AA5">
        <w:rPr>
          <w:rFonts w:ascii="Arial" w:hAnsi="Arial" w:cs="Arial"/>
          <w:sz w:val="22"/>
          <w:szCs w:val="22"/>
        </w:rPr>
        <w:t xml:space="preserve"> to match population growth</w:t>
      </w:r>
      <w:r w:rsidR="004D35F4">
        <w:rPr>
          <w:rFonts w:ascii="Arial" w:hAnsi="Arial" w:cs="Arial"/>
          <w:sz w:val="22"/>
          <w:szCs w:val="22"/>
        </w:rPr>
        <w:t xml:space="preserve"> or those disadvantaged by the rise in housing costs ahead of incomes</w:t>
      </w:r>
      <w:r w:rsidR="00CA5AA5">
        <w:rPr>
          <w:rFonts w:ascii="Arial" w:hAnsi="Arial" w:cs="Arial"/>
          <w:sz w:val="22"/>
          <w:szCs w:val="22"/>
        </w:rPr>
        <w:t xml:space="preserve"> </w:t>
      </w:r>
      <w:r w:rsidR="00765D24">
        <w:rPr>
          <w:rFonts w:ascii="Arial" w:hAnsi="Arial" w:cs="Arial"/>
          <w:sz w:val="22"/>
          <w:szCs w:val="22"/>
        </w:rPr>
        <w:t>over</w:t>
      </w:r>
      <w:r w:rsidR="00CA5AA5">
        <w:rPr>
          <w:rFonts w:ascii="Arial" w:hAnsi="Arial" w:cs="Arial"/>
          <w:sz w:val="22"/>
          <w:szCs w:val="22"/>
        </w:rPr>
        <w:t xml:space="preserve"> the past 25 years</w:t>
      </w:r>
      <w:r w:rsidR="004D35F4">
        <w:rPr>
          <w:rFonts w:ascii="Arial" w:hAnsi="Arial" w:cs="Arial"/>
          <w:sz w:val="22"/>
          <w:szCs w:val="22"/>
        </w:rPr>
        <w:t>.</w:t>
      </w:r>
      <w:r w:rsidR="00CA5AA5">
        <w:rPr>
          <w:rFonts w:ascii="Arial" w:hAnsi="Arial" w:cs="Arial"/>
          <w:sz w:val="22"/>
          <w:szCs w:val="22"/>
        </w:rPr>
        <w:t xml:space="preserve"> </w:t>
      </w:r>
      <w:r w:rsidR="004D35F4">
        <w:rPr>
          <w:rFonts w:ascii="Arial" w:hAnsi="Arial" w:cs="Arial"/>
          <w:sz w:val="22"/>
          <w:szCs w:val="22"/>
        </w:rPr>
        <w:t>This</w:t>
      </w:r>
      <w:r w:rsidR="00BB4F3D">
        <w:rPr>
          <w:rFonts w:ascii="Arial" w:hAnsi="Arial" w:cs="Arial"/>
          <w:sz w:val="22"/>
          <w:szCs w:val="22"/>
        </w:rPr>
        <w:t xml:space="preserve"> is evident</w:t>
      </w:r>
      <w:r w:rsidR="004D35F4">
        <w:rPr>
          <w:rFonts w:ascii="Arial" w:hAnsi="Arial" w:cs="Arial"/>
          <w:sz w:val="22"/>
          <w:szCs w:val="22"/>
        </w:rPr>
        <w:t xml:space="preserve"> </w:t>
      </w:r>
      <w:r w:rsidR="00BB4F3D">
        <w:rPr>
          <w:rFonts w:ascii="Arial" w:hAnsi="Arial" w:cs="Arial"/>
          <w:sz w:val="22"/>
          <w:szCs w:val="22"/>
        </w:rPr>
        <w:t>despite</w:t>
      </w:r>
      <w:r w:rsidR="00CA5AA5">
        <w:rPr>
          <w:rFonts w:ascii="Arial" w:hAnsi="Arial" w:cs="Arial"/>
          <w:sz w:val="22"/>
          <w:szCs w:val="22"/>
        </w:rPr>
        <w:t xml:space="preserve"> notable initiatives such as the Nationbuilding and Economic Package to respond to the Global Financial Crisis and the National Rental Affordability Scheme</w:t>
      </w:r>
      <w:r w:rsidR="00BB4F3D">
        <w:rPr>
          <w:rFonts w:ascii="Arial" w:hAnsi="Arial" w:cs="Arial"/>
          <w:sz w:val="22"/>
          <w:szCs w:val="22"/>
        </w:rPr>
        <w:t xml:space="preserve"> (NRAS)</w:t>
      </w:r>
      <w:r w:rsidR="00CA5AA5">
        <w:rPr>
          <w:rFonts w:ascii="Arial" w:hAnsi="Arial" w:cs="Arial"/>
          <w:sz w:val="22"/>
          <w:szCs w:val="22"/>
        </w:rPr>
        <w:t xml:space="preserve"> which both delivered additional housing but were initiated more than 10 years ago. The Federal Government has</w:t>
      </w:r>
      <w:r w:rsidR="00C01A38">
        <w:rPr>
          <w:rFonts w:ascii="Arial" w:hAnsi="Arial" w:cs="Arial"/>
          <w:sz w:val="22"/>
          <w:szCs w:val="22"/>
        </w:rPr>
        <w:t xml:space="preserve"> continu</w:t>
      </w:r>
      <w:r w:rsidR="00CA5AA5">
        <w:rPr>
          <w:rFonts w:ascii="Arial" w:hAnsi="Arial" w:cs="Arial"/>
          <w:sz w:val="22"/>
          <w:szCs w:val="22"/>
        </w:rPr>
        <w:t>ed</w:t>
      </w:r>
      <w:r w:rsidR="00C01A38">
        <w:rPr>
          <w:rFonts w:ascii="Arial" w:hAnsi="Arial" w:cs="Arial"/>
          <w:sz w:val="22"/>
          <w:szCs w:val="22"/>
        </w:rPr>
        <w:t xml:space="preserve"> </w:t>
      </w:r>
      <w:r w:rsidR="00CA5AA5">
        <w:rPr>
          <w:rFonts w:ascii="Arial" w:hAnsi="Arial" w:cs="Arial"/>
          <w:sz w:val="22"/>
          <w:szCs w:val="22"/>
        </w:rPr>
        <w:t>but not expanded</w:t>
      </w:r>
      <w:r w:rsidR="00C01A38">
        <w:rPr>
          <w:rFonts w:ascii="Arial" w:hAnsi="Arial" w:cs="Arial"/>
          <w:sz w:val="22"/>
          <w:szCs w:val="22"/>
        </w:rPr>
        <w:t xml:space="preserve"> the N</w:t>
      </w:r>
      <w:r w:rsidR="002E77F8">
        <w:rPr>
          <w:rFonts w:ascii="Arial" w:hAnsi="Arial" w:cs="Arial"/>
          <w:sz w:val="22"/>
          <w:szCs w:val="22"/>
        </w:rPr>
        <w:t>H</w:t>
      </w:r>
      <w:r w:rsidR="00C01A38">
        <w:rPr>
          <w:rFonts w:ascii="Arial" w:hAnsi="Arial" w:cs="Arial"/>
          <w:sz w:val="22"/>
          <w:szCs w:val="22"/>
        </w:rPr>
        <w:t>HA which provides</w:t>
      </w:r>
      <w:r w:rsidR="004D35F4">
        <w:rPr>
          <w:rFonts w:ascii="Arial" w:hAnsi="Arial" w:cs="Arial"/>
          <w:sz w:val="22"/>
          <w:szCs w:val="22"/>
        </w:rPr>
        <w:t xml:space="preserve"> this year</w:t>
      </w:r>
      <w:r w:rsidR="00C01A38">
        <w:rPr>
          <w:rFonts w:ascii="Arial" w:hAnsi="Arial" w:cs="Arial"/>
          <w:sz w:val="22"/>
          <w:szCs w:val="22"/>
        </w:rPr>
        <w:t xml:space="preserve"> around $</w:t>
      </w:r>
      <w:r w:rsidR="002E77F8">
        <w:rPr>
          <w:rFonts w:ascii="Arial" w:hAnsi="Arial" w:cs="Arial"/>
          <w:sz w:val="22"/>
          <w:szCs w:val="22"/>
        </w:rPr>
        <w:t xml:space="preserve">1.595 billion for housing and homelessness assistance </w:t>
      </w:r>
      <w:r w:rsidR="003D223E">
        <w:rPr>
          <w:rFonts w:ascii="Arial" w:hAnsi="Arial" w:cs="Arial"/>
          <w:sz w:val="22"/>
          <w:szCs w:val="22"/>
        </w:rPr>
        <w:t>and</w:t>
      </w:r>
      <w:r w:rsidR="00CA5AA5">
        <w:rPr>
          <w:rFonts w:ascii="Arial" w:hAnsi="Arial" w:cs="Arial"/>
          <w:sz w:val="22"/>
          <w:szCs w:val="22"/>
        </w:rPr>
        <w:t xml:space="preserve"> provided </w:t>
      </w:r>
      <w:r w:rsidR="002E77F8">
        <w:rPr>
          <w:rFonts w:ascii="Arial" w:hAnsi="Arial" w:cs="Arial"/>
          <w:sz w:val="22"/>
          <w:szCs w:val="22"/>
        </w:rPr>
        <w:t xml:space="preserve">$237 million for remote Aboriginal and Torres Strait Housing largely in the Northern Territory (NT). Outside of this the Federal Government committed $980 million </w:t>
      </w:r>
      <w:r w:rsidR="00CA5AA5">
        <w:rPr>
          <w:rFonts w:ascii="Arial" w:hAnsi="Arial" w:cs="Arial"/>
          <w:sz w:val="22"/>
          <w:szCs w:val="22"/>
        </w:rPr>
        <w:t>to</w:t>
      </w:r>
      <w:r w:rsidR="002E77F8">
        <w:rPr>
          <w:rFonts w:ascii="Arial" w:hAnsi="Arial" w:cs="Arial"/>
          <w:sz w:val="22"/>
          <w:szCs w:val="22"/>
        </w:rPr>
        <w:t xml:space="preserve"> its Homebuilder home purchase assistance scheme.</w:t>
      </w:r>
      <w:r w:rsidR="000F268C">
        <w:rPr>
          <w:rFonts w:ascii="Arial" w:hAnsi="Arial" w:cs="Arial"/>
          <w:sz w:val="22"/>
          <w:szCs w:val="22"/>
        </w:rPr>
        <w:t xml:space="preserve"> </w:t>
      </w:r>
      <w:r w:rsidR="003D223E">
        <w:rPr>
          <w:rFonts w:ascii="Arial" w:hAnsi="Arial" w:cs="Arial"/>
          <w:sz w:val="22"/>
          <w:szCs w:val="22"/>
        </w:rPr>
        <w:t>Indeed,</w:t>
      </w:r>
      <w:r w:rsidR="00CA5AA5">
        <w:rPr>
          <w:rFonts w:ascii="Arial" w:hAnsi="Arial" w:cs="Arial"/>
          <w:sz w:val="22"/>
          <w:szCs w:val="22"/>
        </w:rPr>
        <w:t xml:space="preserve"> the</w:t>
      </w:r>
      <w:r w:rsidR="000F268C">
        <w:rPr>
          <w:rFonts w:ascii="Arial" w:hAnsi="Arial" w:cs="Arial"/>
          <w:sz w:val="22"/>
          <w:szCs w:val="22"/>
        </w:rPr>
        <w:t xml:space="preserve"> Federal Government has been reducing </w:t>
      </w:r>
      <w:r w:rsidR="00CA5AA5">
        <w:rPr>
          <w:rFonts w:ascii="Arial" w:hAnsi="Arial" w:cs="Arial"/>
          <w:sz w:val="22"/>
          <w:szCs w:val="22"/>
        </w:rPr>
        <w:t>the value of its</w:t>
      </w:r>
      <w:r w:rsidR="000F268C">
        <w:rPr>
          <w:rFonts w:ascii="Arial" w:hAnsi="Arial" w:cs="Arial"/>
          <w:sz w:val="22"/>
          <w:szCs w:val="22"/>
        </w:rPr>
        <w:t xml:space="preserve"> assistance to low</w:t>
      </w:r>
      <w:r w:rsidR="00CA5AA5">
        <w:rPr>
          <w:rFonts w:ascii="Arial" w:hAnsi="Arial" w:cs="Arial"/>
          <w:sz w:val="22"/>
          <w:szCs w:val="22"/>
        </w:rPr>
        <w:t>er</w:t>
      </w:r>
      <w:r w:rsidR="000F268C">
        <w:rPr>
          <w:rFonts w:ascii="Arial" w:hAnsi="Arial" w:cs="Arial"/>
          <w:sz w:val="22"/>
          <w:szCs w:val="22"/>
        </w:rPr>
        <w:t xml:space="preserve"> income renters </w:t>
      </w:r>
      <w:r w:rsidR="00BA1C34">
        <w:rPr>
          <w:rFonts w:ascii="Arial" w:hAnsi="Arial" w:cs="Arial"/>
          <w:sz w:val="22"/>
          <w:szCs w:val="22"/>
        </w:rPr>
        <w:t>through the</w:t>
      </w:r>
      <w:r w:rsidR="00BB4F3D">
        <w:rPr>
          <w:rFonts w:ascii="Arial" w:hAnsi="Arial" w:cs="Arial"/>
          <w:sz w:val="22"/>
          <w:szCs w:val="22"/>
        </w:rPr>
        <w:t xml:space="preserve"> winding down of</w:t>
      </w:r>
      <w:r w:rsidR="00BA1C34">
        <w:rPr>
          <w:rFonts w:ascii="Arial" w:hAnsi="Arial" w:cs="Arial"/>
          <w:sz w:val="22"/>
          <w:szCs w:val="22"/>
        </w:rPr>
        <w:t xml:space="preserve"> N</w:t>
      </w:r>
      <w:r w:rsidR="00BB4F3D">
        <w:rPr>
          <w:rFonts w:ascii="Arial" w:hAnsi="Arial" w:cs="Arial"/>
          <w:sz w:val="22"/>
          <w:szCs w:val="22"/>
        </w:rPr>
        <w:t>RAS</w:t>
      </w:r>
      <w:r w:rsidR="00BA1C34">
        <w:rPr>
          <w:rFonts w:ascii="Arial" w:hAnsi="Arial" w:cs="Arial"/>
          <w:sz w:val="22"/>
          <w:szCs w:val="22"/>
        </w:rPr>
        <w:t xml:space="preserve"> from around 36,000 to </w:t>
      </w:r>
      <w:r w:rsidR="00321E2C">
        <w:rPr>
          <w:rFonts w:ascii="Arial" w:hAnsi="Arial" w:cs="Arial"/>
          <w:sz w:val="22"/>
          <w:szCs w:val="22"/>
        </w:rPr>
        <w:t>29,000 by the end of 2022</w:t>
      </w:r>
      <w:r w:rsidR="000F268C">
        <w:rPr>
          <w:rFonts w:ascii="Arial" w:hAnsi="Arial" w:cs="Arial"/>
          <w:sz w:val="22"/>
          <w:szCs w:val="22"/>
        </w:rPr>
        <w:t>.</w:t>
      </w:r>
      <w:r w:rsidR="00AB6FF4">
        <w:rPr>
          <w:rFonts w:ascii="Arial" w:hAnsi="Arial" w:cs="Arial"/>
          <w:sz w:val="22"/>
          <w:szCs w:val="22"/>
        </w:rPr>
        <w:t xml:space="preserve"> </w:t>
      </w:r>
    </w:p>
    <w:p w14:paraId="6E7247AD" w14:textId="77777777" w:rsidR="002E77F8" w:rsidRDefault="002E77F8" w:rsidP="002E77F8">
      <w:pPr>
        <w:ind w:left="720"/>
        <w:jc w:val="both"/>
        <w:rPr>
          <w:rFonts w:ascii="Arial" w:hAnsi="Arial" w:cs="Arial"/>
          <w:sz w:val="22"/>
          <w:szCs w:val="22"/>
        </w:rPr>
      </w:pPr>
    </w:p>
    <w:p w14:paraId="3134A971" w14:textId="77777777" w:rsidR="009E6ACC" w:rsidRDefault="009E6ACC" w:rsidP="00BB4F3D">
      <w:pPr>
        <w:ind w:left="720" w:hanging="720"/>
        <w:jc w:val="both"/>
        <w:rPr>
          <w:rFonts w:ascii="Arial" w:hAnsi="Arial" w:cs="Arial"/>
          <w:sz w:val="22"/>
          <w:szCs w:val="22"/>
        </w:rPr>
      </w:pPr>
    </w:p>
    <w:p w14:paraId="4C55159D" w14:textId="77777777" w:rsidR="009E6ACC" w:rsidRDefault="009E6ACC" w:rsidP="00BB4F3D">
      <w:pPr>
        <w:ind w:left="720" w:hanging="720"/>
        <w:jc w:val="both"/>
        <w:rPr>
          <w:rFonts w:ascii="Arial" w:hAnsi="Arial" w:cs="Arial"/>
          <w:sz w:val="22"/>
          <w:szCs w:val="22"/>
        </w:rPr>
      </w:pPr>
    </w:p>
    <w:p w14:paraId="772AFF66" w14:textId="77777777" w:rsidR="009E6ACC" w:rsidRDefault="009E6ACC" w:rsidP="00BB4F3D">
      <w:pPr>
        <w:ind w:left="720" w:hanging="720"/>
        <w:jc w:val="both"/>
        <w:rPr>
          <w:rFonts w:ascii="Arial" w:hAnsi="Arial" w:cs="Arial"/>
          <w:sz w:val="22"/>
          <w:szCs w:val="22"/>
        </w:rPr>
      </w:pPr>
    </w:p>
    <w:p w14:paraId="4794E451" w14:textId="77777777" w:rsidR="00BA6D4A" w:rsidRDefault="00035789" w:rsidP="00BB4F3D">
      <w:pPr>
        <w:ind w:left="720" w:hanging="720"/>
        <w:jc w:val="both"/>
        <w:rPr>
          <w:rFonts w:ascii="Arial" w:hAnsi="Arial" w:cs="Arial"/>
          <w:sz w:val="22"/>
          <w:szCs w:val="22"/>
        </w:rPr>
      </w:pPr>
      <w:r>
        <w:rPr>
          <w:rFonts w:ascii="Arial" w:hAnsi="Arial" w:cs="Arial"/>
          <w:sz w:val="22"/>
          <w:szCs w:val="22"/>
        </w:rPr>
        <w:lastRenderedPageBreak/>
        <w:t>5</w:t>
      </w:r>
      <w:r w:rsidR="00C64CC7">
        <w:rPr>
          <w:rFonts w:ascii="Arial" w:hAnsi="Arial" w:cs="Arial"/>
          <w:sz w:val="22"/>
          <w:szCs w:val="22"/>
        </w:rPr>
        <w:t>.2</w:t>
      </w:r>
      <w:r w:rsidR="00C64CC7">
        <w:rPr>
          <w:rFonts w:ascii="Arial" w:hAnsi="Arial" w:cs="Arial"/>
          <w:sz w:val="22"/>
          <w:szCs w:val="22"/>
        </w:rPr>
        <w:tab/>
      </w:r>
      <w:r w:rsidR="002E77F8">
        <w:rPr>
          <w:rFonts w:ascii="Arial" w:hAnsi="Arial" w:cs="Arial"/>
          <w:sz w:val="22"/>
          <w:szCs w:val="22"/>
        </w:rPr>
        <w:t>The main contribution</w:t>
      </w:r>
      <w:r w:rsidR="00BA6D4A">
        <w:rPr>
          <w:rFonts w:ascii="Arial" w:hAnsi="Arial" w:cs="Arial"/>
          <w:sz w:val="22"/>
          <w:szCs w:val="22"/>
        </w:rPr>
        <w:t xml:space="preserve"> by the Federal Government</w:t>
      </w:r>
      <w:r w:rsidR="002E77F8">
        <w:rPr>
          <w:rFonts w:ascii="Arial" w:hAnsi="Arial" w:cs="Arial"/>
          <w:sz w:val="22"/>
          <w:szCs w:val="22"/>
        </w:rPr>
        <w:t xml:space="preserve"> to the development of</w:t>
      </w:r>
      <w:r w:rsidR="00EE671A">
        <w:rPr>
          <w:rFonts w:ascii="Arial" w:hAnsi="Arial" w:cs="Arial"/>
          <w:sz w:val="22"/>
          <w:szCs w:val="22"/>
        </w:rPr>
        <w:t xml:space="preserve"> housing supply</w:t>
      </w:r>
      <w:r>
        <w:rPr>
          <w:rFonts w:ascii="Arial" w:hAnsi="Arial" w:cs="Arial"/>
          <w:sz w:val="22"/>
          <w:szCs w:val="22"/>
        </w:rPr>
        <w:t xml:space="preserve"> in recent years</w:t>
      </w:r>
      <w:r w:rsidR="002E77F8">
        <w:rPr>
          <w:rFonts w:ascii="Arial" w:hAnsi="Arial" w:cs="Arial"/>
          <w:sz w:val="22"/>
          <w:szCs w:val="22"/>
        </w:rPr>
        <w:t xml:space="preserve"> has been growing</w:t>
      </w:r>
      <w:r>
        <w:rPr>
          <w:rFonts w:ascii="Arial" w:hAnsi="Arial" w:cs="Arial"/>
          <w:sz w:val="22"/>
          <w:szCs w:val="22"/>
        </w:rPr>
        <w:t xml:space="preserve"> the</w:t>
      </w:r>
      <w:r w:rsidR="002E77F8">
        <w:rPr>
          <w:rFonts w:ascii="Arial" w:hAnsi="Arial" w:cs="Arial"/>
          <w:sz w:val="22"/>
          <w:szCs w:val="22"/>
        </w:rPr>
        <w:t xml:space="preserve"> capacity of </w:t>
      </w:r>
      <w:r w:rsidR="00D24A70">
        <w:rPr>
          <w:rFonts w:ascii="Arial" w:hAnsi="Arial" w:cs="Arial"/>
          <w:sz w:val="22"/>
          <w:szCs w:val="22"/>
        </w:rPr>
        <w:t xml:space="preserve">the </w:t>
      </w:r>
      <w:r w:rsidR="00BB4F3D">
        <w:rPr>
          <w:rFonts w:ascii="Arial" w:hAnsi="Arial" w:cs="Arial"/>
          <w:sz w:val="22"/>
          <w:szCs w:val="22"/>
        </w:rPr>
        <w:t>NHFIC</w:t>
      </w:r>
      <w:r w:rsidR="00D24A70">
        <w:rPr>
          <w:rFonts w:ascii="Arial" w:hAnsi="Arial" w:cs="Arial"/>
          <w:sz w:val="22"/>
          <w:szCs w:val="22"/>
        </w:rPr>
        <w:t xml:space="preserve"> in having its bonds issued to the market guaranteed by the Federal Government up to a cap of $</w:t>
      </w:r>
      <w:r w:rsidR="001E612F">
        <w:rPr>
          <w:rFonts w:ascii="Arial" w:hAnsi="Arial" w:cs="Arial"/>
          <w:sz w:val="22"/>
          <w:szCs w:val="22"/>
        </w:rPr>
        <w:t>3</w:t>
      </w:r>
      <w:r w:rsidR="00D24A70">
        <w:rPr>
          <w:rFonts w:ascii="Arial" w:hAnsi="Arial" w:cs="Arial"/>
          <w:sz w:val="22"/>
          <w:szCs w:val="22"/>
        </w:rPr>
        <w:t xml:space="preserve"> billion</w:t>
      </w:r>
      <w:r w:rsidR="00765768">
        <w:rPr>
          <w:rFonts w:ascii="Arial" w:hAnsi="Arial" w:cs="Arial"/>
          <w:sz w:val="22"/>
          <w:szCs w:val="22"/>
        </w:rPr>
        <w:t>,</w:t>
      </w:r>
      <w:r>
        <w:rPr>
          <w:rFonts w:ascii="Arial" w:hAnsi="Arial" w:cs="Arial"/>
          <w:sz w:val="22"/>
          <w:szCs w:val="22"/>
        </w:rPr>
        <w:t xml:space="preserve"> recently increased to $3.5 billion</w:t>
      </w:r>
      <w:r w:rsidR="00D24A70">
        <w:rPr>
          <w:rFonts w:ascii="Arial" w:hAnsi="Arial" w:cs="Arial"/>
          <w:sz w:val="22"/>
          <w:szCs w:val="22"/>
        </w:rPr>
        <w:t xml:space="preserve">. </w:t>
      </w:r>
      <w:r w:rsidR="00E12A23">
        <w:rPr>
          <w:rFonts w:ascii="Arial" w:hAnsi="Arial" w:cs="Arial"/>
          <w:sz w:val="22"/>
          <w:szCs w:val="22"/>
        </w:rPr>
        <w:t xml:space="preserve">Another sector where </w:t>
      </w:r>
      <w:r w:rsidR="009804FE">
        <w:rPr>
          <w:rFonts w:ascii="Arial" w:hAnsi="Arial" w:cs="Arial"/>
          <w:sz w:val="22"/>
          <w:szCs w:val="22"/>
        </w:rPr>
        <w:t xml:space="preserve">the </w:t>
      </w:r>
      <w:r w:rsidR="00451462">
        <w:rPr>
          <w:rFonts w:ascii="Arial" w:hAnsi="Arial" w:cs="Arial"/>
          <w:sz w:val="22"/>
          <w:szCs w:val="22"/>
        </w:rPr>
        <w:t xml:space="preserve">Federal Government has been </w:t>
      </w:r>
      <w:r w:rsidR="00765768">
        <w:rPr>
          <w:rFonts w:ascii="Arial" w:hAnsi="Arial" w:cs="Arial"/>
          <w:sz w:val="22"/>
          <w:szCs w:val="22"/>
        </w:rPr>
        <w:t>funding increased</w:t>
      </w:r>
      <w:r w:rsidR="00451462">
        <w:rPr>
          <w:rFonts w:ascii="Arial" w:hAnsi="Arial" w:cs="Arial"/>
          <w:sz w:val="22"/>
          <w:szCs w:val="22"/>
        </w:rPr>
        <w:t xml:space="preserve"> accommodation options has been through the National Disability Insurance </w:t>
      </w:r>
      <w:r w:rsidR="003D223E">
        <w:rPr>
          <w:rFonts w:ascii="Arial" w:hAnsi="Arial" w:cs="Arial"/>
          <w:sz w:val="22"/>
          <w:szCs w:val="22"/>
        </w:rPr>
        <w:t>Scheme (</w:t>
      </w:r>
      <w:r w:rsidR="00451462">
        <w:rPr>
          <w:rFonts w:ascii="Arial" w:hAnsi="Arial" w:cs="Arial"/>
          <w:sz w:val="22"/>
          <w:szCs w:val="22"/>
        </w:rPr>
        <w:t>NDIS)</w:t>
      </w:r>
      <w:r w:rsidR="00EE671A">
        <w:rPr>
          <w:rFonts w:ascii="Arial" w:hAnsi="Arial" w:cs="Arial"/>
          <w:sz w:val="22"/>
          <w:szCs w:val="22"/>
        </w:rPr>
        <w:t xml:space="preserve"> special</w:t>
      </w:r>
      <w:r w:rsidR="006A6E5B">
        <w:rPr>
          <w:rFonts w:ascii="Arial" w:hAnsi="Arial" w:cs="Arial"/>
          <w:sz w:val="22"/>
          <w:szCs w:val="22"/>
        </w:rPr>
        <w:t>ist</w:t>
      </w:r>
      <w:r w:rsidR="00EE671A">
        <w:rPr>
          <w:rFonts w:ascii="Arial" w:hAnsi="Arial" w:cs="Arial"/>
          <w:sz w:val="22"/>
          <w:szCs w:val="22"/>
        </w:rPr>
        <w:t xml:space="preserve"> disability accommodation (SDA)</w:t>
      </w:r>
      <w:r w:rsidR="00451462">
        <w:rPr>
          <w:rFonts w:ascii="Arial" w:hAnsi="Arial" w:cs="Arial"/>
          <w:sz w:val="22"/>
          <w:szCs w:val="22"/>
        </w:rPr>
        <w:t xml:space="preserve">. </w:t>
      </w:r>
      <w:r w:rsidR="00483CB5">
        <w:rPr>
          <w:rFonts w:ascii="Arial" w:hAnsi="Arial" w:cs="Arial"/>
          <w:sz w:val="22"/>
          <w:szCs w:val="22"/>
        </w:rPr>
        <w:t>Up to the end 2021</w:t>
      </w:r>
      <w:r w:rsidR="00451462">
        <w:rPr>
          <w:rFonts w:ascii="Arial" w:hAnsi="Arial" w:cs="Arial"/>
          <w:sz w:val="22"/>
          <w:szCs w:val="22"/>
        </w:rPr>
        <w:t xml:space="preserve"> the number of beneficiaries who receive SDA </w:t>
      </w:r>
      <w:r w:rsidR="00483CB5">
        <w:rPr>
          <w:rFonts w:ascii="Arial" w:hAnsi="Arial" w:cs="Arial"/>
          <w:sz w:val="22"/>
          <w:szCs w:val="22"/>
        </w:rPr>
        <w:t>a</w:t>
      </w:r>
      <w:r w:rsidR="00451462">
        <w:rPr>
          <w:rFonts w:ascii="Arial" w:hAnsi="Arial" w:cs="Arial"/>
          <w:sz w:val="22"/>
          <w:szCs w:val="22"/>
        </w:rPr>
        <w:t xml:space="preserve">re </w:t>
      </w:r>
      <w:r w:rsidR="00483CB5">
        <w:rPr>
          <w:rFonts w:ascii="Arial" w:hAnsi="Arial" w:cs="Arial"/>
          <w:sz w:val="22"/>
          <w:szCs w:val="22"/>
        </w:rPr>
        <w:t>15,700</w:t>
      </w:r>
      <w:r w:rsidR="00451462">
        <w:rPr>
          <w:rFonts w:ascii="Arial" w:hAnsi="Arial" w:cs="Arial"/>
          <w:sz w:val="22"/>
          <w:szCs w:val="22"/>
        </w:rPr>
        <w:t>.</w:t>
      </w:r>
    </w:p>
    <w:p w14:paraId="3607BF6F" w14:textId="77777777" w:rsidR="00C546A4" w:rsidRDefault="00C546A4" w:rsidP="00C64CC7">
      <w:pPr>
        <w:ind w:left="720" w:hanging="720"/>
        <w:jc w:val="both"/>
        <w:rPr>
          <w:rFonts w:ascii="Arial" w:hAnsi="Arial" w:cs="Arial"/>
          <w:sz w:val="22"/>
          <w:szCs w:val="22"/>
        </w:rPr>
      </w:pPr>
    </w:p>
    <w:p w14:paraId="6247CE27" w14:textId="77777777" w:rsidR="00C546A4" w:rsidRDefault="00C546A4" w:rsidP="00C64CC7">
      <w:pPr>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t>The Federal Government also provide</w:t>
      </w:r>
      <w:r w:rsidR="0085038E">
        <w:rPr>
          <w:rFonts w:ascii="Arial" w:hAnsi="Arial" w:cs="Arial"/>
          <w:sz w:val="22"/>
          <w:szCs w:val="22"/>
        </w:rPr>
        <w:t>d</w:t>
      </w:r>
      <w:r>
        <w:rPr>
          <w:rFonts w:ascii="Arial" w:hAnsi="Arial" w:cs="Arial"/>
          <w:sz w:val="22"/>
          <w:szCs w:val="22"/>
        </w:rPr>
        <w:t xml:space="preserve"> Commonwealth </w:t>
      </w:r>
      <w:r w:rsidR="00ED1DC4">
        <w:rPr>
          <w:rFonts w:ascii="Arial" w:hAnsi="Arial" w:cs="Arial"/>
          <w:sz w:val="22"/>
          <w:szCs w:val="22"/>
        </w:rPr>
        <w:t>Rental</w:t>
      </w:r>
      <w:r>
        <w:rPr>
          <w:rFonts w:ascii="Arial" w:hAnsi="Arial" w:cs="Arial"/>
          <w:sz w:val="22"/>
          <w:szCs w:val="22"/>
        </w:rPr>
        <w:t xml:space="preserve"> Assistance</w:t>
      </w:r>
      <w:r w:rsidR="0085038E">
        <w:rPr>
          <w:rFonts w:ascii="Arial" w:hAnsi="Arial" w:cs="Arial"/>
          <w:sz w:val="22"/>
          <w:szCs w:val="22"/>
        </w:rPr>
        <w:t xml:space="preserve"> of $5.5 billion in 2020/21 nationally</w:t>
      </w:r>
      <w:r>
        <w:rPr>
          <w:rFonts w:ascii="Arial" w:hAnsi="Arial" w:cs="Arial"/>
          <w:sz w:val="22"/>
          <w:szCs w:val="22"/>
        </w:rPr>
        <w:t xml:space="preserve"> through a rental subsidy </w:t>
      </w:r>
      <w:r w:rsidR="00765768">
        <w:rPr>
          <w:rFonts w:ascii="Arial" w:hAnsi="Arial" w:cs="Arial"/>
          <w:sz w:val="22"/>
          <w:szCs w:val="22"/>
        </w:rPr>
        <w:t xml:space="preserve">of </w:t>
      </w:r>
      <w:r>
        <w:rPr>
          <w:rFonts w:ascii="Arial" w:hAnsi="Arial" w:cs="Arial"/>
          <w:sz w:val="22"/>
          <w:szCs w:val="22"/>
        </w:rPr>
        <w:t>between</w:t>
      </w:r>
      <w:r w:rsidR="00ED1DC4">
        <w:rPr>
          <w:rFonts w:ascii="Arial" w:hAnsi="Arial" w:cs="Arial"/>
          <w:sz w:val="22"/>
          <w:szCs w:val="22"/>
        </w:rPr>
        <w:t xml:space="preserve"> $98-$190 per fortnight dependent on the household size and level of rent charged</w:t>
      </w:r>
      <w:r w:rsidR="00765768" w:rsidRPr="00765768">
        <w:rPr>
          <w:rFonts w:ascii="Arial" w:hAnsi="Arial" w:cs="Arial"/>
          <w:sz w:val="22"/>
          <w:szCs w:val="22"/>
        </w:rPr>
        <w:t xml:space="preserve"> </w:t>
      </w:r>
      <w:r w:rsidR="00765768">
        <w:rPr>
          <w:rFonts w:ascii="Arial" w:hAnsi="Arial" w:cs="Arial"/>
          <w:sz w:val="22"/>
          <w:szCs w:val="22"/>
        </w:rPr>
        <w:t>for those in receipt of Centrelink benefits who are not in public housing and renting</w:t>
      </w:r>
      <w:r w:rsidR="00ED1DC4">
        <w:rPr>
          <w:rFonts w:ascii="Arial" w:hAnsi="Arial" w:cs="Arial"/>
          <w:sz w:val="22"/>
          <w:szCs w:val="22"/>
        </w:rPr>
        <w:t xml:space="preserve">. </w:t>
      </w:r>
    </w:p>
    <w:p w14:paraId="77BC9D49" w14:textId="77777777" w:rsidR="008E6FE2" w:rsidRPr="00FE17CF" w:rsidRDefault="008E6FE2" w:rsidP="00451462">
      <w:pPr>
        <w:jc w:val="both"/>
        <w:rPr>
          <w:rFonts w:ascii="Arial" w:hAnsi="Arial" w:cs="Arial"/>
          <w:sz w:val="22"/>
          <w:szCs w:val="22"/>
        </w:rPr>
      </w:pPr>
      <w:r>
        <w:rPr>
          <w:rFonts w:ascii="Arial" w:hAnsi="Arial" w:cs="Arial"/>
          <w:sz w:val="22"/>
          <w:szCs w:val="22"/>
        </w:rPr>
        <w:t xml:space="preserve"> </w:t>
      </w:r>
    </w:p>
    <w:p w14:paraId="19EAE1AC" w14:textId="77777777" w:rsidR="00434DF0" w:rsidRPr="002857A7" w:rsidRDefault="00C64CC7" w:rsidP="002160E7">
      <w:pPr>
        <w:pStyle w:val="BodyTextIndent3"/>
        <w:ind w:left="0"/>
        <w:jc w:val="both"/>
        <w:rPr>
          <w:rFonts w:ascii="Arial" w:hAnsi="Arial" w:cs="Arial"/>
          <w:b/>
          <w:sz w:val="22"/>
          <w:szCs w:val="22"/>
          <w:u w:val="single"/>
        </w:rPr>
      </w:pPr>
      <w:r>
        <w:rPr>
          <w:rFonts w:ascii="Arial" w:hAnsi="Arial" w:cs="Arial"/>
          <w:sz w:val="22"/>
          <w:szCs w:val="22"/>
        </w:rPr>
        <w:t>6</w:t>
      </w:r>
      <w:r w:rsidR="00434DF0" w:rsidRPr="002857A7">
        <w:rPr>
          <w:rFonts w:ascii="Arial" w:hAnsi="Arial" w:cs="Arial"/>
          <w:sz w:val="22"/>
          <w:szCs w:val="22"/>
        </w:rPr>
        <w:t>.0</w:t>
      </w:r>
      <w:r w:rsidR="00434DF0" w:rsidRPr="002857A7">
        <w:rPr>
          <w:rFonts w:ascii="Arial" w:hAnsi="Arial" w:cs="Arial"/>
          <w:sz w:val="22"/>
          <w:szCs w:val="22"/>
        </w:rPr>
        <w:tab/>
      </w:r>
      <w:bookmarkStart w:id="4" w:name="_Hlk90300496"/>
      <w:r w:rsidR="00D33D66">
        <w:rPr>
          <w:rFonts w:ascii="Arial" w:hAnsi="Arial" w:cs="Arial"/>
          <w:b/>
          <w:color w:val="1F3864"/>
        </w:rPr>
        <w:t>HOUSING AFFORDABILITY IN AUSTRALIA</w:t>
      </w:r>
      <w:bookmarkEnd w:id="4"/>
    </w:p>
    <w:p w14:paraId="62E0498A" w14:textId="77777777" w:rsidR="00434DF0" w:rsidRPr="00526DEE" w:rsidRDefault="00434DF0" w:rsidP="002160E7">
      <w:pPr>
        <w:pStyle w:val="BodyTextIndent3"/>
        <w:ind w:left="0"/>
        <w:jc w:val="both"/>
        <w:rPr>
          <w:rFonts w:ascii="Arial" w:hAnsi="Arial" w:cs="Arial"/>
          <w:b/>
          <w:sz w:val="22"/>
          <w:szCs w:val="22"/>
        </w:rPr>
      </w:pPr>
    </w:p>
    <w:p w14:paraId="51722CF7" w14:textId="77777777" w:rsidR="00290F3D" w:rsidRPr="00A7398A" w:rsidRDefault="00C64CC7" w:rsidP="00D33D66">
      <w:pPr>
        <w:pStyle w:val="BodyTextIndent3"/>
        <w:ind w:left="0"/>
        <w:jc w:val="both"/>
        <w:rPr>
          <w:rFonts w:ascii="Arial" w:hAnsi="Arial" w:cs="Arial"/>
          <w:b/>
          <w:bCs/>
          <w:color w:val="1F3864"/>
          <w:sz w:val="22"/>
          <w:szCs w:val="22"/>
        </w:rPr>
      </w:pPr>
      <w:r>
        <w:rPr>
          <w:rFonts w:ascii="Arial" w:hAnsi="Arial" w:cs="Arial"/>
          <w:sz w:val="22"/>
          <w:szCs w:val="22"/>
        </w:rPr>
        <w:t>6</w:t>
      </w:r>
      <w:r w:rsidR="006B586E" w:rsidRPr="00526DEE">
        <w:rPr>
          <w:rFonts w:ascii="Arial" w:hAnsi="Arial" w:cs="Arial"/>
          <w:sz w:val="22"/>
          <w:szCs w:val="22"/>
        </w:rPr>
        <w:t>.1</w:t>
      </w:r>
      <w:r w:rsidR="00943A00">
        <w:rPr>
          <w:rFonts w:ascii="Arial" w:hAnsi="Arial" w:cs="Arial"/>
          <w:sz w:val="22"/>
          <w:szCs w:val="22"/>
        </w:rPr>
        <w:tab/>
      </w:r>
      <w:bookmarkStart w:id="5" w:name="_Hlk90300614"/>
      <w:r w:rsidR="00943A00">
        <w:rPr>
          <w:rFonts w:ascii="Arial" w:hAnsi="Arial" w:cs="Arial"/>
          <w:b/>
          <w:color w:val="1F3864"/>
        </w:rPr>
        <w:t>Residential property prices</w:t>
      </w:r>
      <w:bookmarkEnd w:id="5"/>
      <w:r w:rsidR="006B586E" w:rsidRPr="00526DEE">
        <w:rPr>
          <w:rFonts w:ascii="Arial" w:hAnsi="Arial" w:cs="Arial"/>
          <w:sz w:val="22"/>
          <w:szCs w:val="22"/>
        </w:rPr>
        <w:tab/>
      </w:r>
    </w:p>
    <w:p w14:paraId="2433E6E9" w14:textId="77777777" w:rsidR="00290F3D" w:rsidRPr="00290F3D" w:rsidRDefault="00290F3D" w:rsidP="00943A00">
      <w:pPr>
        <w:spacing w:before="100" w:beforeAutospacing="1" w:after="100" w:afterAutospacing="1"/>
        <w:ind w:left="720"/>
        <w:rPr>
          <w:rFonts w:ascii="Arial" w:hAnsi="Arial" w:cs="Arial"/>
          <w:color w:val="222222"/>
          <w:sz w:val="22"/>
          <w:szCs w:val="22"/>
          <w:lang w:val="en-ID" w:eastAsia="en-ID"/>
        </w:rPr>
      </w:pPr>
      <w:r w:rsidRPr="00290F3D">
        <w:rPr>
          <w:rFonts w:ascii="Arial" w:hAnsi="Arial" w:cs="Arial"/>
          <w:color w:val="222222"/>
          <w:sz w:val="22"/>
          <w:szCs w:val="22"/>
          <w:lang w:val="en-ID" w:eastAsia="en-ID"/>
        </w:rPr>
        <w:t xml:space="preserve">As a multiple of average household disposable income per person aged 15 and over, average residential property prices rose from less than 6 times in the early 1990s to over </w:t>
      </w:r>
      <w:r w:rsidR="00252836">
        <w:rPr>
          <w:rFonts w:ascii="Arial" w:hAnsi="Arial" w:cs="Arial"/>
          <w:color w:val="222222"/>
          <w:sz w:val="22"/>
          <w:szCs w:val="22"/>
          <w:lang w:val="en-ID" w:eastAsia="en-ID"/>
        </w:rPr>
        <w:t>1</w:t>
      </w:r>
      <w:r w:rsidRPr="00290F3D">
        <w:rPr>
          <w:rFonts w:ascii="Arial" w:hAnsi="Arial" w:cs="Arial"/>
          <w:color w:val="222222"/>
          <w:sz w:val="22"/>
          <w:szCs w:val="22"/>
          <w:lang w:val="en-ID" w:eastAsia="en-ID"/>
        </w:rPr>
        <w:t>1 times by the end of 20</w:t>
      </w:r>
      <w:r w:rsidR="00252836">
        <w:rPr>
          <w:rFonts w:ascii="Arial" w:hAnsi="Arial" w:cs="Arial"/>
          <w:color w:val="222222"/>
          <w:sz w:val="22"/>
          <w:szCs w:val="22"/>
          <w:lang w:val="en-ID" w:eastAsia="en-ID"/>
        </w:rPr>
        <w:t>2</w:t>
      </w:r>
      <w:r w:rsidRPr="00290F3D">
        <w:rPr>
          <w:rFonts w:ascii="Arial" w:hAnsi="Arial" w:cs="Arial"/>
          <w:color w:val="222222"/>
          <w:sz w:val="22"/>
          <w:szCs w:val="22"/>
          <w:lang w:val="en-ID" w:eastAsia="en-ID"/>
        </w:rPr>
        <w:t>1 (Chart 1)</w:t>
      </w:r>
      <w:r w:rsidR="00A07B71">
        <w:rPr>
          <w:rFonts w:ascii="Arial" w:hAnsi="Arial" w:cs="Arial"/>
          <w:color w:val="222222"/>
          <w:sz w:val="22"/>
          <w:szCs w:val="22"/>
          <w:lang w:val="en-ID" w:eastAsia="en-ID"/>
        </w:rPr>
        <w:t xml:space="preserve"> from census data</w:t>
      </w:r>
      <w:r w:rsidRPr="00290F3D">
        <w:rPr>
          <w:rFonts w:ascii="Arial" w:hAnsi="Arial" w:cs="Arial"/>
          <w:color w:val="222222"/>
          <w:sz w:val="22"/>
          <w:szCs w:val="22"/>
          <w:lang w:val="en-ID" w:eastAsia="en-ID"/>
        </w:rPr>
        <w:t>.</w:t>
      </w:r>
    </w:p>
    <w:p w14:paraId="762E30B0" w14:textId="364CDEB5" w:rsidR="00290F3D" w:rsidRPr="00290F3D" w:rsidRDefault="00CF694D" w:rsidP="00290F3D">
      <w:pPr>
        <w:rPr>
          <w:lang w:val="en-ID" w:eastAsia="en-ID"/>
        </w:rPr>
      </w:pPr>
      <w:r w:rsidRPr="00290F3D">
        <w:rPr>
          <w:noProof/>
          <w:lang w:val="en-ID" w:eastAsia="en-ID"/>
        </w:rPr>
        <w:drawing>
          <wp:inline distT="0" distB="0" distL="0" distR="0" wp14:anchorId="1A02D0ED" wp14:editId="7EEBC761">
            <wp:extent cx="6191250" cy="3619500"/>
            <wp:effectExtent l="0" t="0" r="0" b="0"/>
            <wp:docPr id="1" name="Picture 3" descr="Median multi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n multi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3619500"/>
                    </a:xfrm>
                    <a:prstGeom prst="rect">
                      <a:avLst/>
                    </a:prstGeom>
                    <a:noFill/>
                    <a:ln>
                      <a:noFill/>
                    </a:ln>
                  </pic:spPr>
                </pic:pic>
              </a:graphicData>
            </a:graphic>
          </wp:inline>
        </w:drawing>
      </w:r>
    </w:p>
    <w:p w14:paraId="650ECB0B" w14:textId="77777777" w:rsidR="00765768" w:rsidRDefault="00765768" w:rsidP="00466029">
      <w:pPr>
        <w:spacing w:before="100" w:beforeAutospacing="1" w:after="100" w:afterAutospacing="1"/>
        <w:ind w:left="720" w:hanging="720"/>
        <w:rPr>
          <w:rFonts w:ascii="Arial" w:hAnsi="Arial" w:cs="Arial"/>
          <w:color w:val="222222"/>
          <w:sz w:val="22"/>
          <w:szCs w:val="22"/>
          <w:lang w:val="en-ID" w:eastAsia="en-ID"/>
        </w:rPr>
      </w:pPr>
    </w:p>
    <w:p w14:paraId="03904FA0" w14:textId="77777777" w:rsidR="00765768" w:rsidRDefault="00765768" w:rsidP="00466029">
      <w:pPr>
        <w:spacing w:before="100" w:beforeAutospacing="1" w:after="100" w:afterAutospacing="1"/>
        <w:ind w:left="720" w:hanging="720"/>
        <w:rPr>
          <w:rFonts w:ascii="Arial" w:hAnsi="Arial" w:cs="Arial"/>
          <w:color w:val="222222"/>
          <w:sz w:val="22"/>
          <w:szCs w:val="22"/>
          <w:lang w:val="en-ID" w:eastAsia="en-ID"/>
        </w:rPr>
      </w:pPr>
    </w:p>
    <w:p w14:paraId="524B4C72" w14:textId="77777777" w:rsidR="009E6ACC" w:rsidRDefault="009E6ACC" w:rsidP="00F57DF3">
      <w:pPr>
        <w:spacing w:before="100" w:beforeAutospacing="1" w:after="100" w:afterAutospacing="1"/>
        <w:rPr>
          <w:rFonts w:ascii="Arial" w:hAnsi="Arial" w:cs="Arial"/>
          <w:color w:val="222222"/>
          <w:sz w:val="22"/>
          <w:szCs w:val="22"/>
          <w:lang w:val="en-ID" w:eastAsia="en-ID"/>
        </w:rPr>
      </w:pPr>
    </w:p>
    <w:p w14:paraId="2DC08868" w14:textId="77777777" w:rsidR="00065D78" w:rsidRDefault="00065D78" w:rsidP="00F57DF3">
      <w:pPr>
        <w:spacing w:before="100" w:beforeAutospacing="1" w:after="100" w:afterAutospacing="1"/>
        <w:rPr>
          <w:rFonts w:ascii="Arial" w:hAnsi="Arial" w:cs="Arial"/>
          <w:color w:val="222222"/>
          <w:sz w:val="22"/>
          <w:szCs w:val="22"/>
          <w:lang w:val="en-ID" w:eastAsia="en-ID"/>
        </w:rPr>
      </w:pPr>
    </w:p>
    <w:p w14:paraId="4E3DD333" w14:textId="77777777" w:rsidR="00943A00" w:rsidRDefault="00943A00" w:rsidP="00F57DF3">
      <w:pPr>
        <w:spacing w:before="100" w:beforeAutospacing="1" w:after="100" w:afterAutospacing="1"/>
        <w:rPr>
          <w:rFonts w:ascii="Arial" w:hAnsi="Arial" w:cs="Arial"/>
          <w:color w:val="222222"/>
          <w:sz w:val="22"/>
          <w:szCs w:val="22"/>
          <w:lang w:val="en-ID" w:eastAsia="en-ID"/>
        </w:rPr>
      </w:pPr>
      <w:r>
        <w:rPr>
          <w:rFonts w:ascii="Arial" w:hAnsi="Arial" w:cs="Arial"/>
          <w:color w:val="222222"/>
          <w:sz w:val="22"/>
          <w:szCs w:val="22"/>
          <w:lang w:val="en-ID" w:eastAsia="en-ID"/>
        </w:rPr>
        <w:lastRenderedPageBreak/>
        <w:t>6.2</w:t>
      </w:r>
      <w:r>
        <w:rPr>
          <w:rFonts w:ascii="Arial" w:hAnsi="Arial" w:cs="Arial"/>
          <w:color w:val="222222"/>
          <w:sz w:val="22"/>
          <w:szCs w:val="22"/>
          <w:lang w:val="en-ID" w:eastAsia="en-ID"/>
        </w:rPr>
        <w:tab/>
      </w:r>
      <w:bookmarkStart w:id="6" w:name="_Hlk90555818"/>
      <w:r>
        <w:rPr>
          <w:rFonts w:ascii="Arial" w:hAnsi="Arial" w:cs="Arial"/>
          <w:b/>
          <w:color w:val="1F3864"/>
        </w:rPr>
        <w:t>Housing ownership in Australia</w:t>
      </w:r>
      <w:bookmarkEnd w:id="6"/>
    </w:p>
    <w:p w14:paraId="34DC2811" w14:textId="77777777" w:rsidR="00290F3D" w:rsidRPr="00290F3D" w:rsidRDefault="00B751CA" w:rsidP="00943A00">
      <w:pPr>
        <w:spacing w:before="100" w:beforeAutospacing="1" w:after="100" w:afterAutospacing="1"/>
        <w:ind w:left="720"/>
        <w:rPr>
          <w:rFonts w:ascii="Arial" w:hAnsi="Arial" w:cs="Arial"/>
          <w:color w:val="222222"/>
          <w:sz w:val="22"/>
          <w:szCs w:val="22"/>
          <w:lang w:val="en-ID" w:eastAsia="en-ID"/>
        </w:rPr>
      </w:pPr>
      <w:r>
        <w:rPr>
          <w:rFonts w:ascii="Arial" w:hAnsi="Arial" w:cs="Arial"/>
          <w:color w:val="222222"/>
          <w:sz w:val="22"/>
          <w:szCs w:val="22"/>
          <w:lang w:val="en-ID" w:eastAsia="en-ID"/>
        </w:rPr>
        <w:t xml:space="preserve">Since 1991, </w:t>
      </w:r>
      <w:r w:rsidR="00290F3D" w:rsidRPr="00290F3D">
        <w:rPr>
          <w:rFonts w:ascii="Arial" w:hAnsi="Arial" w:cs="Arial"/>
          <w:color w:val="222222"/>
          <w:sz w:val="22"/>
          <w:szCs w:val="22"/>
          <w:lang w:val="en-ID" w:eastAsia="en-ID"/>
        </w:rPr>
        <w:t xml:space="preserve">3.2 million Australian households (out of a total of almost 4.5 million) who own at least one property – and especially for the almost 750,000 Australians who owned at least one investment property – </w:t>
      </w:r>
      <w:r w:rsidR="00765768">
        <w:rPr>
          <w:rFonts w:ascii="Arial" w:hAnsi="Arial" w:cs="Arial"/>
          <w:color w:val="222222"/>
          <w:sz w:val="22"/>
          <w:szCs w:val="22"/>
          <w:lang w:val="en-ID" w:eastAsia="en-ID"/>
        </w:rPr>
        <w:t xml:space="preserve">benefited from </w:t>
      </w:r>
      <w:r w:rsidR="00290F3D" w:rsidRPr="00290F3D">
        <w:rPr>
          <w:rFonts w:ascii="Arial" w:hAnsi="Arial" w:cs="Arial"/>
          <w:color w:val="222222"/>
          <w:sz w:val="22"/>
          <w:szCs w:val="22"/>
          <w:lang w:val="en-ID" w:eastAsia="en-ID"/>
        </w:rPr>
        <w:t>th</w:t>
      </w:r>
      <w:r w:rsidR="00BC6993">
        <w:rPr>
          <w:rFonts w:ascii="Arial" w:hAnsi="Arial" w:cs="Arial"/>
          <w:color w:val="222222"/>
          <w:sz w:val="22"/>
          <w:szCs w:val="22"/>
          <w:lang w:val="en-ID" w:eastAsia="en-ID"/>
        </w:rPr>
        <w:t>e</w:t>
      </w:r>
      <w:r w:rsidR="00290F3D" w:rsidRPr="00290F3D">
        <w:rPr>
          <w:rFonts w:ascii="Arial" w:hAnsi="Arial" w:cs="Arial"/>
          <w:color w:val="222222"/>
          <w:sz w:val="22"/>
          <w:szCs w:val="22"/>
          <w:lang w:val="en-ID" w:eastAsia="en-ID"/>
        </w:rPr>
        <w:t xml:space="preserve"> dramatic escalation in residential property prices </w:t>
      </w:r>
      <w:r w:rsidR="00290F3D">
        <w:rPr>
          <w:rFonts w:ascii="Arial" w:hAnsi="Arial" w:cs="Arial"/>
          <w:color w:val="222222"/>
          <w:sz w:val="22"/>
          <w:szCs w:val="22"/>
          <w:lang w:val="en-ID" w:eastAsia="en-ID"/>
        </w:rPr>
        <w:t>g</w:t>
      </w:r>
      <w:r w:rsidR="00765768">
        <w:rPr>
          <w:rFonts w:ascii="Arial" w:hAnsi="Arial" w:cs="Arial"/>
          <w:color w:val="222222"/>
          <w:sz w:val="22"/>
          <w:szCs w:val="22"/>
          <w:lang w:val="en-ID" w:eastAsia="en-ID"/>
        </w:rPr>
        <w:t>iving</w:t>
      </w:r>
      <w:r w:rsidR="00290F3D">
        <w:rPr>
          <w:rFonts w:ascii="Arial" w:hAnsi="Arial" w:cs="Arial"/>
          <w:color w:val="222222"/>
          <w:sz w:val="22"/>
          <w:szCs w:val="22"/>
          <w:lang w:val="en-ID" w:eastAsia="en-ID"/>
        </w:rPr>
        <w:t xml:space="preserve"> them wealth</w:t>
      </w:r>
      <w:r>
        <w:rPr>
          <w:rFonts w:ascii="Arial" w:hAnsi="Arial" w:cs="Arial"/>
          <w:color w:val="222222"/>
          <w:sz w:val="22"/>
          <w:szCs w:val="22"/>
          <w:lang w:val="en-ID" w:eastAsia="en-ID"/>
        </w:rPr>
        <w:t xml:space="preserve"> at the beginning of the period</w:t>
      </w:r>
      <w:r w:rsidR="00290F3D">
        <w:rPr>
          <w:rFonts w:ascii="Arial" w:hAnsi="Arial" w:cs="Arial"/>
          <w:color w:val="222222"/>
          <w:sz w:val="22"/>
          <w:szCs w:val="22"/>
          <w:lang w:val="en-ID" w:eastAsia="en-ID"/>
        </w:rPr>
        <w:t>.</w:t>
      </w:r>
      <w:r w:rsidR="00466029">
        <w:rPr>
          <w:rFonts w:ascii="Arial" w:hAnsi="Arial" w:cs="Arial"/>
          <w:color w:val="222222"/>
          <w:sz w:val="22"/>
          <w:szCs w:val="22"/>
          <w:lang w:val="en-ID" w:eastAsia="en-ID"/>
        </w:rPr>
        <w:t xml:space="preserve"> </w:t>
      </w:r>
      <w:r w:rsidR="003D223E">
        <w:rPr>
          <w:rFonts w:ascii="Arial" w:hAnsi="Arial" w:cs="Arial"/>
          <w:color w:val="222222"/>
          <w:sz w:val="22"/>
          <w:szCs w:val="22"/>
          <w:lang w:val="en-ID" w:eastAsia="en-ID"/>
        </w:rPr>
        <w:t>However,</w:t>
      </w:r>
      <w:r w:rsidR="00290F3D" w:rsidRPr="00290F3D">
        <w:rPr>
          <w:rFonts w:ascii="Arial" w:hAnsi="Arial" w:cs="Arial"/>
          <w:color w:val="222222"/>
          <w:sz w:val="22"/>
          <w:szCs w:val="22"/>
          <w:lang w:val="en-ID" w:eastAsia="en-ID"/>
        </w:rPr>
        <w:t xml:space="preserve"> 1.1 million Australian households</w:t>
      </w:r>
      <w:r w:rsidR="00765768">
        <w:rPr>
          <w:rFonts w:ascii="Arial" w:hAnsi="Arial" w:cs="Arial"/>
          <w:color w:val="222222"/>
          <w:sz w:val="22"/>
          <w:szCs w:val="22"/>
          <w:lang w:val="en-ID" w:eastAsia="en-ID"/>
        </w:rPr>
        <w:t xml:space="preserve"> ha</w:t>
      </w:r>
      <w:r w:rsidR="00BB4F3D">
        <w:rPr>
          <w:rFonts w:ascii="Arial" w:hAnsi="Arial" w:cs="Arial"/>
          <w:color w:val="222222"/>
          <w:sz w:val="22"/>
          <w:szCs w:val="22"/>
          <w:lang w:val="en-ID" w:eastAsia="en-ID"/>
        </w:rPr>
        <w:t>ve</w:t>
      </w:r>
      <w:r>
        <w:rPr>
          <w:rFonts w:ascii="Arial" w:hAnsi="Arial" w:cs="Arial"/>
          <w:color w:val="222222"/>
          <w:sz w:val="22"/>
          <w:szCs w:val="22"/>
          <w:lang w:val="en-ID" w:eastAsia="en-ID"/>
        </w:rPr>
        <w:t xml:space="preserve"> had</w:t>
      </w:r>
      <w:r w:rsidR="00765768">
        <w:rPr>
          <w:rFonts w:ascii="Arial" w:hAnsi="Arial" w:cs="Arial"/>
          <w:color w:val="222222"/>
          <w:sz w:val="22"/>
          <w:szCs w:val="22"/>
          <w:lang w:val="en-ID" w:eastAsia="en-ID"/>
        </w:rPr>
        <w:t xml:space="preserve"> increased housing costs</w:t>
      </w:r>
      <w:r w:rsidR="00290F3D" w:rsidRPr="00290F3D">
        <w:rPr>
          <w:rFonts w:ascii="Arial" w:hAnsi="Arial" w:cs="Arial"/>
          <w:color w:val="222222"/>
          <w:sz w:val="22"/>
          <w:szCs w:val="22"/>
          <w:lang w:val="en-ID" w:eastAsia="en-ID"/>
        </w:rPr>
        <w:t xml:space="preserve"> (almost one-quarter of the total) wh</w:t>
      </w:r>
      <w:r w:rsidR="00765768">
        <w:rPr>
          <w:rFonts w:ascii="Arial" w:hAnsi="Arial" w:cs="Arial"/>
          <w:color w:val="222222"/>
          <w:sz w:val="22"/>
          <w:szCs w:val="22"/>
          <w:lang w:val="en-ID" w:eastAsia="en-ID"/>
        </w:rPr>
        <w:t>ilst</w:t>
      </w:r>
      <w:r w:rsidR="00290F3D" w:rsidRPr="00290F3D">
        <w:rPr>
          <w:rFonts w:ascii="Arial" w:hAnsi="Arial" w:cs="Arial"/>
          <w:color w:val="222222"/>
          <w:sz w:val="22"/>
          <w:szCs w:val="22"/>
          <w:lang w:val="en-ID" w:eastAsia="en-ID"/>
        </w:rPr>
        <w:t xml:space="preserve"> living in rent</w:t>
      </w:r>
      <w:r w:rsidR="00C64CC7">
        <w:rPr>
          <w:rFonts w:ascii="Arial" w:hAnsi="Arial" w:cs="Arial"/>
          <w:color w:val="222222"/>
          <w:sz w:val="22"/>
          <w:szCs w:val="22"/>
          <w:lang w:val="en-ID" w:eastAsia="en-ID"/>
        </w:rPr>
        <w:t>al</w:t>
      </w:r>
      <w:r w:rsidR="00290F3D" w:rsidRPr="00290F3D">
        <w:rPr>
          <w:rFonts w:ascii="Arial" w:hAnsi="Arial" w:cs="Arial"/>
          <w:color w:val="222222"/>
          <w:sz w:val="22"/>
          <w:szCs w:val="22"/>
          <w:lang w:val="en-ID" w:eastAsia="en-ID"/>
        </w:rPr>
        <w:t xml:space="preserve"> accommodation at the beginning which</w:t>
      </w:r>
      <w:r>
        <w:rPr>
          <w:rFonts w:ascii="Arial" w:hAnsi="Arial" w:cs="Arial"/>
          <w:color w:val="222222"/>
          <w:sz w:val="22"/>
          <w:szCs w:val="22"/>
          <w:lang w:val="en-ID" w:eastAsia="en-ID"/>
        </w:rPr>
        <w:t xml:space="preserve"> rose</w:t>
      </w:r>
      <w:r w:rsidR="00290F3D" w:rsidRPr="00290F3D">
        <w:rPr>
          <w:rFonts w:ascii="Arial" w:hAnsi="Arial" w:cs="Arial"/>
          <w:color w:val="222222"/>
          <w:sz w:val="22"/>
          <w:szCs w:val="22"/>
          <w:lang w:val="en-ID" w:eastAsia="en-ID"/>
        </w:rPr>
        <w:t xml:space="preserve"> by the time of the 2016 census to almost 2.6 million (or almost 31% of the total)</w:t>
      </w:r>
      <w:r w:rsidR="00466029">
        <w:rPr>
          <w:rFonts w:ascii="Arial" w:hAnsi="Arial" w:cs="Arial"/>
          <w:color w:val="222222"/>
          <w:sz w:val="22"/>
          <w:szCs w:val="22"/>
          <w:lang w:val="en-ID" w:eastAsia="en-ID"/>
        </w:rPr>
        <w:t>.</w:t>
      </w:r>
    </w:p>
    <w:p w14:paraId="7CF9D429" w14:textId="77777777" w:rsidR="00290F3D" w:rsidRPr="00290F3D" w:rsidRDefault="00290F3D" w:rsidP="00943A00">
      <w:pPr>
        <w:spacing w:before="100" w:beforeAutospacing="1" w:after="100" w:afterAutospacing="1"/>
        <w:ind w:left="720"/>
        <w:rPr>
          <w:rFonts w:ascii="Arial" w:hAnsi="Arial" w:cs="Arial"/>
          <w:color w:val="222222"/>
          <w:sz w:val="22"/>
          <w:szCs w:val="22"/>
          <w:lang w:val="en-ID" w:eastAsia="en-ID"/>
        </w:rPr>
      </w:pPr>
      <w:r w:rsidRPr="00290F3D">
        <w:rPr>
          <w:rFonts w:ascii="Arial" w:hAnsi="Arial" w:cs="Arial"/>
          <w:color w:val="222222"/>
          <w:sz w:val="22"/>
          <w:szCs w:val="22"/>
          <w:lang w:val="en-ID" w:eastAsia="en-ID"/>
        </w:rPr>
        <w:t>Between the 1991 and 2016 Censuses, Australia’s home ownership rate fell from 68.9% to 65.5% – the lowest it has been since the Census of 1954. But for people aged between 25 and 34, the home ownership rate dropped by 11 percentage points between 1991 and 2016, to a lower level than it had been in 1954, indeed to only 3 percentage points above where it had been in 1947 (Chart 2</w:t>
      </w:r>
      <w:r w:rsidR="00A1381C">
        <w:rPr>
          <w:rFonts w:ascii="Arial" w:hAnsi="Arial" w:cs="Arial"/>
          <w:color w:val="222222"/>
          <w:sz w:val="22"/>
          <w:szCs w:val="22"/>
          <w:lang w:val="en-ID" w:eastAsia="en-ID"/>
        </w:rPr>
        <w:t>)</w:t>
      </w:r>
      <w:r w:rsidR="00466029">
        <w:rPr>
          <w:rFonts w:ascii="Arial" w:hAnsi="Arial" w:cs="Arial"/>
          <w:color w:val="222222"/>
          <w:sz w:val="22"/>
          <w:szCs w:val="22"/>
          <w:lang w:val="en-ID" w:eastAsia="en-ID"/>
        </w:rPr>
        <w:t xml:space="preserve">. </w:t>
      </w:r>
      <w:r w:rsidR="00466029" w:rsidRPr="00290F3D">
        <w:rPr>
          <w:rFonts w:ascii="Arial" w:hAnsi="Arial" w:cs="Arial"/>
          <w:color w:val="222222"/>
          <w:sz w:val="22"/>
          <w:szCs w:val="22"/>
          <w:lang w:val="en-ID" w:eastAsia="en-ID"/>
        </w:rPr>
        <w:t>For people aged between 35 and 44, the home ownership rate dropped by 12 percentage points, to a level just 1 percentage point above where it had been in 195</w:t>
      </w:r>
      <w:r w:rsidR="00466029">
        <w:rPr>
          <w:rFonts w:ascii="Arial" w:hAnsi="Arial" w:cs="Arial"/>
          <w:color w:val="222222"/>
          <w:sz w:val="22"/>
          <w:szCs w:val="22"/>
          <w:lang w:val="en-ID" w:eastAsia="en-ID"/>
        </w:rPr>
        <w:t>4.</w:t>
      </w:r>
    </w:p>
    <w:p w14:paraId="174D2DBF" w14:textId="77B39D9F" w:rsidR="00290F3D" w:rsidRPr="00290F3D" w:rsidRDefault="00CF694D" w:rsidP="00290F3D">
      <w:pPr>
        <w:rPr>
          <w:lang w:val="en-ID" w:eastAsia="en-ID"/>
        </w:rPr>
      </w:pPr>
      <w:r w:rsidRPr="00290F3D">
        <w:rPr>
          <w:noProof/>
          <w:lang w:val="en-ID" w:eastAsia="en-ID"/>
        </w:rPr>
        <w:drawing>
          <wp:inline distT="0" distB="0" distL="0" distR="0" wp14:anchorId="7915E6D1" wp14:editId="7AADC6E1">
            <wp:extent cx="6181725" cy="3895725"/>
            <wp:effectExtent l="0" t="0" r="0" b="0"/>
            <wp:docPr id="2" name="Picture 4" descr="Home ownership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ownership r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3895725"/>
                    </a:xfrm>
                    <a:prstGeom prst="rect">
                      <a:avLst/>
                    </a:prstGeom>
                    <a:noFill/>
                    <a:ln>
                      <a:noFill/>
                    </a:ln>
                  </pic:spPr>
                </pic:pic>
              </a:graphicData>
            </a:graphic>
          </wp:inline>
        </w:drawing>
      </w:r>
    </w:p>
    <w:p w14:paraId="06E0ADD0" w14:textId="77777777" w:rsidR="00290F3D" w:rsidRPr="00A7398A" w:rsidRDefault="00290F3D" w:rsidP="00722B28">
      <w:pPr>
        <w:pStyle w:val="BodyTextIndent"/>
        <w:jc w:val="both"/>
        <w:rPr>
          <w:rFonts w:ascii="Arial" w:hAnsi="Arial" w:cs="Arial"/>
          <w:b/>
          <w:bCs/>
          <w:color w:val="1F3864"/>
          <w:sz w:val="22"/>
          <w:szCs w:val="22"/>
        </w:rPr>
      </w:pPr>
    </w:p>
    <w:p w14:paraId="7478CB97" w14:textId="77777777" w:rsidR="00466029" w:rsidRPr="00900FFD" w:rsidRDefault="00466029" w:rsidP="00722B28">
      <w:pPr>
        <w:pStyle w:val="BodyTextIndent"/>
        <w:jc w:val="both"/>
        <w:rPr>
          <w:rFonts w:ascii="Arial" w:hAnsi="Arial" w:cs="Arial"/>
          <w:sz w:val="22"/>
          <w:szCs w:val="22"/>
        </w:rPr>
      </w:pPr>
      <w:r w:rsidRPr="00A7398A">
        <w:rPr>
          <w:rFonts w:ascii="Arial" w:hAnsi="Arial" w:cs="Arial"/>
          <w:color w:val="1F3864"/>
          <w:sz w:val="22"/>
          <w:szCs w:val="22"/>
        </w:rPr>
        <w:tab/>
      </w:r>
      <w:r w:rsidRPr="00900FFD">
        <w:rPr>
          <w:rFonts w:ascii="Arial" w:hAnsi="Arial" w:cs="Arial"/>
          <w:sz w:val="22"/>
          <w:szCs w:val="22"/>
        </w:rPr>
        <w:t xml:space="preserve">The last decade has been characterized by historically low interest rates and high migration which has driven the rises in housing prices to its current level </w:t>
      </w:r>
      <w:r w:rsidR="00965184">
        <w:rPr>
          <w:rFonts w:ascii="Arial" w:hAnsi="Arial" w:cs="Arial"/>
          <w:sz w:val="22"/>
          <w:szCs w:val="22"/>
        </w:rPr>
        <w:t>of</w:t>
      </w:r>
      <w:r w:rsidRPr="00900FFD">
        <w:rPr>
          <w:rFonts w:ascii="Arial" w:hAnsi="Arial" w:cs="Arial"/>
          <w:sz w:val="22"/>
          <w:szCs w:val="22"/>
        </w:rPr>
        <w:t xml:space="preserve"> 12 times average incomes. Economic analysts are forecasting that the </w:t>
      </w:r>
      <w:r w:rsidR="003D223E" w:rsidRPr="00900FFD">
        <w:rPr>
          <w:rFonts w:ascii="Arial" w:hAnsi="Arial" w:cs="Arial"/>
          <w:sz w:val="22"/>
          <w:szCs w:val="22"/>
        </w:rPr>
        <w:t>long-term</w:t>
      </w:r>
      <w:r w:rsidRPr="00900FFD">
        <w:rPr>
          <w:rFonts w:ascii="Arial" w:hAnsi="Arial" w:cs="Arial"/>
          <w:sz w:val="22"/>
          <w:szCs w:val="22"/>
        </w:rPr>
        <w:t xml:space="preserve"> trend of low interest rates</w:t>
      </w:r>
      <w:r w:rsidR="00702430" w:rsidRPr="00900FFD">
        <w:rPr>
          <w:rFonts w:ascii="Arial" w:hAnsi="Arial" w:cs="Arial"/>
          <w:sz w:val="22"/>
          <w:szCs w:val="22"/>
        </w:rPr>
        <w:t xml:space="preserve"> </w:t>
      </w:r>
      <w:r w:rsidR="00B751CA">
        <w:rPr>
          <w:rFonts w:ascii="Arial" w:hAnsi="Arial" w:cs="Arial"/>
          <w:sz w:val="22"/>
          <w:szCs w:val="22"/>
        </w:rPr>
        <w:t>will</w:t>
      </w:r>
      <w:r w:rsidR="00702430" w:rsidRPr="00900FFD">
        <w:rPr>
          <w:rFonts w:ascii="Arial" w:hAnsi="Arial" w:cs="Arial"/>
          <w:sz w:val="22"/>
          <w:szCs w:val="22"/>
        </w:rPr>
        <w:t xml:space="preserve"> end in the coming years which could place economic pressures on households who have invested in high prices and need to maintain mortgages or rises in private rents for landlords who have invested and </w:t>
      </w:r>
      <w:r w:rsidR="003D223E" w:rsidRPr="00900FFD">
        <w:rPr>
          <w:rFonts w:ascii="Arial" w:hAnsi="Arial" w:cs="Arial"/>
          <w:sz w:val="22"/>
          <w:szCs w:val="22"/>
        </w:rPr>
        <w:t>must</w:t>
      </w:r>
      <w:r w:rsidR="00702430" w:rsidRPr="00900FFD">
        <w:rPr>
          <w:rFonts w:ascii="Arial" w:hAnsi="Arial" w:cs="Arial"/>
          <w:sz w:val="22"/>
          <w:szCs w:val="22"/>
        </w:rPr>
        <w:t xml:space="preserve"> pay higher interest costs.</w:t>
      </w:r>
      <w:r w:rsidRPr="00900FFD">
        <w:rPr>
          <w:rFonts w:ascii="Arial" w:hAnsi="Arial" w:cs="Arial"/>
          <w:sz w:val="22"/>
          <w:szCs w:val="22"/>
        </w:rPr>
        <w:t xml:space="preserve"> </w:t>
      </w:r>
    </w:p>
    <w:p w14:paraId="5927678D" w14:textId="77777777" w:rsidR="00290F3D" w:rsidRDefault="00290F3D" w:rsidP="00722B28">
      <w:pPr>
        <w:pStyle w:val="BodyTextIndent"/>
        <w:jc w:val="both"/>
        <w:rPr>
          <w:rFonts w:ascii="Arial" w:hAnsi="Arial" w:cs="Arial"/>
          <w:sz w:val="22"/>
          <w:szCs w:val="22"/>
        </w:rPr>
      </w:pPr>
    </w:p>
    <w:p w14:paraId="57BC6443" w14:textId="77777777" w:rsidR="00F57DF3" w:rsidRDefault="00F57DF3" w:rsidP="00290F3D">
      <w:pPr>
        <w:pStyle w:val="BodyTextIndent"/>
        <w:jc w:val="both"/>
        <w:rPr>
          <w:rFonts w:ascii="Arial" w:hAnsi="Arial" w:cs="Arial"/>
          <w:sz w:val="22"/>
          <w:szCs w:val="22"/>
        </w:rPr>
      </w:pPr>
    </w:p>
    <w:p w14:paraId="715F4896" w14:textId="77777777" w:rsidR="00F57DF3" w:rsidRDefault="00F57DF3" w:rsidP="00290F3D">
      <w:pPr>
        <w:pStyle w:val="BodyTextIndent"/>
        <w:jc w:val="both"/>
        <w:rPr>
          <w:rFonts w:ascii="Arial" w:hAnsi="Arial" w:cs="Arial"/>
          <w:sz w:val="22"/>
          <w:szCs w:val="22"/>
        </w:rPr>
      </w:pPr>
    </w:p>
    <w:p w14:paraId="6F70920F" w14:textId="77777777" w:rsidR="00722B28" w:rsidRPr="00722B28" w:rsidRDefault="00943A00" w:rsidP="00290F3D">
      <w:pPr>
        <w:pStyle w:val="BodyTextIndent"/>
        <w:jc w:val="both"/>
        <w:rPr>
          <w:rFonts w:ascii="Arial" w:eastAsia="Calibri" w:hAnsi="Arial" w:cs="Arial"/>
          <w:sz w:val="22"/>
          <w:szCs w:val="22"/>
          <w:lang w:val="en-AU"/>
        </w:rPr>
      </w:pPr>
      <w:r>
        <w:rPr>
          <w:rFonts w:ascii="Arial" w:hAnsi="Arial" w:cs="Arial"/>
          <w:sz w:val="22"/>
          <w:szCs w:val="22"/>
        </w:rPr>
        <w:t>6.3</w:t>
      </w:r>
      <w:r w:rsidR="00290F3D">
        <w:rPr>
          <w:rFonts w:ascii="Arial" w:hAnsi="Arial" w:cs="Arial"/>
          <w:sz w:val="22"/>
          <w:szCs w:val="22"/>
        </w:rPr>
        <w:tab/>
      </w:r>
      <w:bookmarkStart w:id="7" w:name="_Hlk90303018"/>
      <w:r w:rsidR="001E1BA3" w:rsidRPr="00F258D8">
        <w:rPr>
          <w:rFonts w:ascii="Arial" w:hAnsi="Arial" w:cs="Arial"/>
          <w:b/>
          <w:color w:val="1F3864"/>
          <w:sz w:val="22"/>
          <w:szCs w:val="22"/>
        </w:rPr>
        <w:t>Social and Community R</w:t>
      </w:r>
      <w:r w:rsidR="00A77FB7" w:rsidRPr="00F258D8">
        <w:rPr>
          <w:rFonts w:ascii="Arial" w:hAnsi="Arial" w:cs="Arial"/>
          <w:b/>
          <w:color w:val="1F3864"/>
          <w:sz w:val="22"/>
          <w:szCs w:val="22"/>
        </w:rPr>
        <w:t>ental</w:t>
      </w:r>
      <w:r w:rsidR="001E1BA3" w:rsidRPr="00F258D8">
        <w:rPr>
          <w:rFonts w:ascii="Arial" w:hAnsi="Arial" w:cs="Arial"/>
          <w:b/>
          <w:color w:val="1F3864"/>
          <w:sz w:val="22"/>
          <w:szCs w:val="22"/>
        </w:rPr>
        <w:t xml:space="preserve"> Housing</w:t>
      </w:r>
      <w:bookmarkEnd w:id="7"/>
    </w:p>
    <w:p w14:paraId="4CA0351F" w14:textId="77777777" w:rsidR="00702430" w:rsidRDefault="00722B28" w:rsidP="00722B28">
      <w:pPr>
        <w:pStyle w:val="BodyTextIndent"/>
        <w:jc w:val="both"/>
        <w:rPr>
          <w:rFonts w:ascii="Arial" w:hAnsi="Arial" w:cs="Arial"/>
          <w:color w:val="1F3864"/>
          <w:sz w:val="22"/>
          <w:szCs w:val="22"/>
        </w:rPr>
      </w:pPr>
      <w:r w:rsidRPr="00F258D8">
        <w:rPr>
          <w:rFonts w:ascii="Arial" w:hAnsi="Arial" w:cs="Arial"/>
          <w:color w:val="1F3864"/>
          <w:sz w:val="22"/>
          <w:szCs w:val="22"/>
        </w:rPr>
        <w:tab/>
      </w:r>
    </w:p>
    <w:p w14:paraId="3922C0DA" w14:textId="77777777" w:rsidR="00A5180C" w:rsidRDefault="00722B28" w:rsidP="00A5180C">
      <w:pPr>
        <w:pStyle w:val="BodyTextIndent"/>
        <w:ind w:firstLine="0"/>
        <w:jc w:val="both"/>
        <w:rPr>
          <w:rFonts w:ascii="Arial" w:eastAsia="Calibri" w:hAnsi="Arial" w:cs="Arial"/>
          <w:sz w:val="22"/>
          <w:szCs w:val="22"/>
          <w:lang w:val="en-AU"/>
        </w:rPr>
      </w:pPr>
      <w:r w:rsidRPr="00040A77">
        <w:rPr>
          <w:rFonts w:ascii="Arial" w:eastAsia="Calibri" w:hAnsi="Arial" w:cs="Arial"/>
          <w:sz w:val="22"/>
          <w:szCs w:val="22"/>
          <w:lang w:val="en-AU"/>
        </w:rPr>
        <w:t xml:space="preserve">The situation for </w:t>
      </w:r>
      <w:r w:rsidR="00F57DF3">
        <w:rPr>
          <w:rFonts w:ascii="Arial" w:eastAsia="Calibri" w:hAnsi="Arial" w:cs="Arial"/>
          <w:sz w:val="22"/>
          <w:szCs w:val="22"/>
          <w:lang w:val="en-AU"/>
        </w:rPr>
        <w:t>social</w:t>
      </w:r>
      <w:r>
        <w:rPr>
          <w:rFonts w:ascii="Arial" w:eastAsia="Calibri" w:hAnsi="Arial" w:cs="Arial"/>
          <w:sz w:val="22"/>
          <w:szCs w:val="22"/>
          <w:lang w:val="en-AU"/>
        </w:rPr>
        <w:t xml:space="preserve"> housing in Australia is one where community housing continues its trajectory of increasing stock under management compared to a declining public housing sector.</w:t>
      </w:r>
    </w:p>
    <w:p w14:paraId="054D35D4" w14:textId="77777777" w:rsidR="00722B28" w:rsidRPr="00A5180C" w:rsidRDefault="00A77FB7" w:rsidP="00A5180C">
      <w:pPr>
        <w:pStyle w:val="BodyTextIndent"/>
        <w:ind w:firstLine="0"/>
        <w:jc w:val="both"/>
        <w:rPr>
          <w:rFonts w:ascii="Arial" w:eastAsia="Calibri" w:hAnsi="Arial" w:cs="Arial"/>
          <w:sz w:val="22"/>
          <w:szCs w:val="22"/>
          <w:lang w:val="en-AU"/>
        </w:rPr>
      </w:pPr>
      <w:r w:rsidRPr="00F258D8">
        <w:rPr>
          <w:rFonts w:ascii="Arial" w:hAnsi="Arial" w:cs="Arial"/>
          <w:color w:val="1F3864"/>
          <w:sz w:val="22"/>
          <w:szCs w:val="22"/>
        </w:rPr>
        <w:t xml:space="preserve"> </w:t>
      </w:r>
      <w:r w:rsidRPr="00F258D8">
        <w:rPr>
          <w:rFonts w:ascii="Arial" w:hAnsi="Arial" w:cs="Arial"/>
          <w:b/>
          <w:color w:val="1F3864"/>
          <w:sz w:val="22"/>
          <w:szCs w:val="22"/>
        </w:rPr>
        <w:t xml:space="preserve"> </w:t>
      </w:r>
    </w:p>
    <w:p w14:paraId="7E16B631" w14:textId="77777777" w:rsidR="001B2DEF" w:rsidRPr="001B2DEF" w:rsidRDefault="001B2DEF" w:rsidP="002160E7">
      <w:pPr>
        <w:pStyle w:val="BodyTextIndent"/>
        <w:ind w:firstLine="0"/>
        <w:jc w:val="both"/>
        <w:rPr>
          <w:rFonts w:ascii="Arial" w:hAnsi="Arial" w:cs="Arial"/>
          <w:sz w:val="22"/>
          <w:szCs w:val="22"/>
          <w:lang w:val="en-AU"/>
        </w:rPr>
      </w:pPr>
      <w:r>
        <w:rPr>
          <w:rFonts w:ascii="Arial" w:hAnsi="Arial" w:cs="Arial"/>
          <w:sz w:val="22"/>
          <w:szCs w:val="22"/>
          <w:lang w:val="en-AU"/>
        </w:rPr>
        <w:t>Social and affordable</w:t>
      </w:r>
      <w:r w:rsidRPr="001B2DEF">
        <w:rPr>
          <w:rFonts w:ascii="Arial" w:hAnsi="Arial" w:cs="Arial"/>
          <w:sz w:val="22"/>
          <w:szCs w:val="22"/>
          <w:lang w:val="en-AU"/>
        </w:rPr>
        <w:t xml:space="preserve"> housing</w:t>
      </w:r>
      <w:r>
        <w:rPr>
          <w:rFonts w:ascii="Arial" w:hAnsi="Arial" w:cs="Arial"/>
          <w:sz w:val="22"/>
          <w:szCs w:val="22"/>
          <w:lang w:val="en-AU"/>
        </w:rPr>
        <w:t xml:space="preserve"> rental</w:t>
      </w:r>
    </w:p>
    <w:tbl>
      <w:tblPr>
        <w:tblW w:w="8984" w:type="dxa"/>
        <w:tblInd w:w="-10" w:type="dxa"/>
        <w:tblLook w:val="04A0" w:firstRow="1" w:lastRow="0" w:firstColumn="1" w:lastColumn="0" w:noHBand="0" w:noVBand="1"/>
      </w:tblPr>
      <w:tblGrid>
        <w:gridCol w:w="2049"/>
        <w:gridCol w:w="1739"/>
        <w:gridCol w:w="1732"/>
        <w:gridCol w:w="1732"/>
        <w:gridCol w:w="1732"/>
      </w:tblGrid>
      <w:tr w:rsidR="000A0F18" w:rsidRPr="001B2DEF" w14:paraId="1EE82D7F" w14:textId="77777777" w:rsidTr="00B91C66">
        <w:trPr>
          <w:trHeight w:val="315"/>
        </w:trPr>
        <w:tc>
          <w:tcPr>
            <w:tcW w:w="2049" w:type="dxa"/>
            <w:tcBorders>
              <w:top w:val="single" w:sz="4" w:space="0" w:color="auto"/>
              <w:left w:val="nil"/>
              <w:bottom w:val="nil"/>
              <w:right w:val="nil"/>
            </w:tcBorders>
            <w:vAlign w:val="center"/>
            <w:hideMark/>
          </w:tcPr>
          <w:p w14:paraId="48586E23"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rPr>
              <w:t> </w:t>
            </w:r>
          </w:p>
        </w:tc>
        <w:tc>
          <w:tcPr>
            <w:tcW w:w="1739" w:type="dxa"/>
            <w:tcBorders>
              <w:top w:val="single" w:sz="4" w:space="0" w:color="auto"/>
              <w:left w:val="nil"/>
              <w:bottom w:val="nil"/>
              <w:right w:val="nil"/>
            </w:tcBorders>
            <w:vAlign w:val="center"/>
            <w:hideMark/>
          </w:tcPr>
          <w:p w14:paraId="038603C5"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lang w:val="en-AU"/>
              </w:rPr>
              <w:t>2009</w:t>
            </w:r>
          </w:p>
        </w:tc>
        <w:tc>
          <w:tcPr>
            <w:tcW w:w="1732" w:type="dxa"/>
            <w:tcBorders>
              <w:top w:val="single" w:sz="4" w:space="0" w:color="auto"/>
              <w:left w:val="nil"/>
              <w:bottom w:val="nil"/>
              <w:right w:val="nil"/>
            </w:tcBorders>
            <w:vAlign w:val="center"/>
            <w:hideMark/>
          </w:tcPr>
          <w:p w14:paraId="474B41E1"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lang w:val="en-AU"/>
              </w:rPr>
              <w:t>2013</w:t>
            </w:r>
          </w:p>
        </w:tc>
        <w:tc>
          <w:tcPr>
            <w:tcW w:w="1732" w:type="dxa"/>
            <w:tcBorders>
              <w:top w:val="single" w:sz="4" w:space="0" w:color="auto"/>
              <w:left w:val="nil"/>
              <w:bottom w:val="nil"/>
              <w:right w:val="nil"/>
            </w:tcBorders>
            <w:vAlign w:val="center"/>
            <w:hideMark/>
          </w:tcPr>
          <w:p w14:paraId="2D2B401D"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lang w:val="en-AU"/>
              </w:rPr>
              <w:t>2017</w:t>
            </w:r>
          </w:p>
        </w:tc>
        <w:tc>
          <w:tcPr>
            <w:tcW w:w="1732" w:type="dxa"/>
            <w:tcBorders>
              <w:top w:val="single" w:sz="4" w:space="0" w:color="auto"/>
              <w:left w:val="nil"/>
              <w:bottom w:val="nil"/>
              <w:right w:val="nil"/>
            </w:tcBorders>
          </w:tcPr>
          <w:p w14:paraId="6F47572C" w14:textId="77777777" w:rsidR="000A0F18" w:rsidRPr="001B2DEF" w:rsidRDefault="000A0F18" w:rsidP="002160E7">
            <w:pPr>
              <w:pStyle w:val="BodyTextIndent"/>
              <w:ind w:firstLine="0"/>
              <w:jc w:val="both"/>
              <w:rPr>
                <w:rFonts w:ascii="Arial" w:hAnsi="Arial" w:cs="Arial"/>
                <w:sz w:val="22"/>
                <w:szCs w:val="22"/>
                <w:lang w:val="en-AU"/>
              </w:rPr>
            </w:pPr>
            <w:r>
              <w:rPr>
                <w:rFonts w:ascii="Arial" w:hAnsi="Arial" w:cs="Arial"/>
                <w:sz w:val="22"/>
                <w:szCs w:val="22"/>
                <w:lang w:val="en-AU"/>
              </w:rPr>
              <w:t>2019</w:t>
            </w:r>
          </w:p>
        </w:tc>
      </w:tr>
      <w:tr w:rsidR="000A0F18" w:rsidRPr="001B2DEF" w14:paraId="520AC91E" w14:textId="77777777" w:rsidTr="00B91C66">
        <w:trPr>
          <w:trHeight w:val="276"/>
        </w:trPr>
        <w:tc>
          <w:tcPr>
            <w:tcW w:w="2049" w:type="dxa"/>
            <w:tcBorders>
              <w:top w:val="nil"/>
              <w:left w:val="nil"/>
              <w:bottom w:val="single" w:sz="4" w:space="0" w:color="auto"/>
              <w:right w:val="nil"/>
            </w:tcBorders>
            <w:vAlign w:val="center"/>
            <w:hideMark/>
          </w:tcPr>
          <w:p w14:paraId="4C261403"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rPr>
              <w:t> </w:t>
            </w:r>
          </w:p>
        </w:tc>
        <w:tc>
          <w:tcPr>
            <w:tcW w:w="5203" w:type="dxa"/>
            <w:gridSpan w:val="3"/>
            <w:tcBorders>
              <w:top w:val="nil"/>
              <w:left w:val="nil"/>
              <w:bottom w:val="single" w:sz="4" w:space="0" w:color="auto"/>
              <w:right w:val="nil"/>
            </w:tcBorders>
            <w:vAlign w:val="center"/>
            <w:hideMark/>
          </w:tcPr>
          <w:p w14:paraId="6BDA9DBD" w14:textId="77777777" w:rsidR="000A0F18" w:rsidRPr="001B2DEF" w:rsidRDefault="000A0F18"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w:t>
            </w:r>
            <w:r w:rsidRPr="001B2DEF">
              <w:rPr>
                <w:rFonts w:ascii="Arial" w:hAnsi="Arial" w:cs="Arial"/>
                <w:sz w:val="22"/>
                <w:szCs w:val="22"/>
                <w:lang w:val="en-AU"/>
              </w:rPr>
              <w:t>Dwellings</w:t>
            </w:r>
          </w:p>
        </w:tc>
        <w:tc>
          <w:tcPr>
            <w:tcW w:w="1732" w:type="dxa"/>
            <w:tcBorders>
              <w:top w:val="nil"/>
              <w:left w:val="nil"/>
              <w:bottom w:val="single" w:sz="4" w:space="0" w:color="auto"/>
              <w:right w:val="nil"/>
            </w:tcBorders>
          </w:tcPr>
          <w:p w14:paraId="3CE25605" w14:textId="77777777" w:rsidR="000A0F18" w:rsidRDefault="000A0F18" w:rsidP="002160E7">
            <w:pPr>
              <w:pStyle w:val="BodyTextIndent"/>
              <w:ind w:firstLine="0"/>
              <w:jc w:val="both"/>
              <w:rPr>
                <w:rFonts w:ascii="Arial" w:hAnsi="Arial" w:cs="Arial"/>
                <w:sz w:val="22"/>
                <w:szCs w:val="22"/>
                <w:lang w:val="en-AU"/>
              </w:rPr>
            </w:pPr>
          </w:p>
        </w:tc>
      </w:tr>
      <w:tr w:rsidR="000A0F18" w:rsidRPr="001B2DEF" w14:paraId="5D240A56" w14:textId="77777777" w:rsidTr="00B91C66">
        <w:trPr>
          <w:trHeight w:val="315"/>
        </w:trPr>
        <w:tc>
          <w:tcPr>
            <w:tcW w:w="2049" w:type="dxa"/>
            <w:tcBorders>
              <w:top w:val="single" w:sz="4" w:space="0" w:color="auto"/>
              <w:left w:val="nil"/>
              <w:bottom w:val="nil"/>
              <w:right w:val="nil"/>
            </w:tcBorders>
            <w:vAlign w:val="center"/>
            <w:hideMark/>
          </w:tcPr>
          <w:p w14:paraId="02D272CC" w14:textId="77777777" w:rsidR="000A0F18" w:rsidRPr="00A5180C" w:rsidRDefault="000A0F18" w:rsidP="00A5180C">
            <w:pPr>
              <w:pStyle w:val="BodyTextIndent"/>
              <w:ind w:firstLine="0"/>
              <w:rPr>
                <w:rFonts w:ascii="Arial" w:hAnsi="Arial" w:cs="Arial"/>
                <w:sz w:val="22"/>
                <w:szCs w:val="22"/>
                <w:lang w:val="en-AU"/>
              </w:rPr>
            </w:pPr>
            <w:r w:rsidRPr="00A5180C">
              <w:rPr>
                <w:rFonts w:ascii="Arial" w:hAnsi="Arial" w:cs="Arial"/>
                <w:sz w:val="22"/>
                <w:szCs w:val="22"/>
                <w:lang w:val="en-AU"/>
              </w:rPr>
              <w:t>Public</w:t>
            </w:r>
            <w:r w:rsidR="00A5180C">
              <w:rPr>
                <w:rFonts w:ascii="Arial" w:hAnsi="Arial" w:cs="Arial"/>
                <w:sz w:val="22"/>
                <w:szCs w:val="22"/>
                <w:lang w:val="en-AU"/>
              </w:rPr>
              <w:t xml:space="preserve"> </w:t>
            </w:r>
            <w:r w:rsidRPr="00A5180C">
              <w:rPr>
                <w:rFonts w:ascii="Arial" w:hAnsi="Arial" w:cs="Arial"/>
                <w:sz w:val="22"/>
                <w:szCs w:val="22"/>
                <w:lang w:val="en-AU"/>
              </w:rPr>
              <w:t xml:space="preserve">housing </w:t>
            </w:r>
          </w:p>
        </w:tc>
        <w:tc>
          <w:tcPr>
            <w:tcW w:w="1739" w:type="dxa"/>
            <w:tcBorders>
              <w:top w:val="single" w:sz="4" w:space="0" w:color="auto"/>
              <w:left w:val="nil"/>
              <w:bottom w:val="nil"/>
              <w:right w:val="nil"/>
            </w:tcBorders>
            <w:noWrap/>
            <w:vAlign w:val="center"/>
            <w:hideMark/>
          </w:tcPr>
          <w:p w14:paraId="5E8AA8FD" w14:textId="77777777" w:rsidR="000A0F18" w:rsidRDefault="000A0F18" w:rsidP="002160E7">
            <w:pPr>
              <w:pStyle w:val="BodyTextIndent"/>
              <w:ind w:firstLine="0"/>
              <w:jc w:val="both"/>
              <w:rPr>
                <w:rFonts w:ascii="Arial" w:hAnsi="Arial" w:cs="Arial"/>
                <w:sz w:val="22"/>
                <w:szCs w:val="22"/>
              </w:rPr>
            </w:pPr>
          </w:p>
          <w:p w14:paraId="0881EA8D" w14:textId="77777777" w:rsidR="000A0F18" w:rsidRPr="001B2DEF" w:rsidRDefault="000A0F18" w:rsidP="002160E7">
            <w:pPr>
              <w:pStyle w:val="BodyTextIndent"/>
              <w:ind w:firstLine="0"/>
              <w:jc w:val="both"/>
              <w:rPr>
                <w:rFonts w:ascii="Arial" w:hAnsi="Arial" w:cs="Arial"/>
                <w:sz w:val="22"/>
                <w:szCs w:val="22"/>
                <w:lang w:val="en-AU"/>
              </w:rPr>
            </w:pPr>
            <w:r w:rsidRPr="001B2DEF">
              <w:rPr>
                <w:rFonts w:ascii="Arial" w:hAnsi="Arial" w:cs="Arial"/>
                <w:sz w:val="22"/>
                <w:szCs w:val="22"/>
              </w:rPr>
              <w:t>336</w:t>
            </w:r>
            <w:r>
              <w:rPr>
                <w:rFonts w:ascii="Arial" w:hAnsi="Arial" w:cs="Arial"/>
                <w:sz w:val="22"/>
                <w:szCs w:val="22"/>
              </w:rPr>
              <w:t>,</w:t>
            </w:r>
            <w:r w:rsidRPr="001B2DEF">
              <w:rPr>
                <w:rFonts w:ascii="Arial" w:hAnsi="Arial" w:cs="Arial"/>
                <w:sz w:val="22"/>
                <w:szCs w:val="22"/>
              </w:rPr>
              <w:t>464</w:t>
            </w:r>
          </w:p>
        </w:tc>
        <w:tc>
          <w:tcPr>
            <w:tcW w:w="1732" w:type="dxa"/>
            <w:tcBorders>
              <w:top w:val="single" w:sz="4" w:space="0" w:color="auto"/>
              <w:left w:val="nil"/>
              <w:bottom w:val="nil"/>
              <w:right w:val="nil"/>
            </w:tcBorders>
            <w:noWrap/>
            <w:vAlign w:val="center"/>
            <w:hideMark/>
          </w:tcPr>
          <w:p w14:paraId="7B0FD845" w14:textId="77777777" w:rsidR="000A0F18" w:rsidRDefault="000A0F18" w:rsidP="002160E7">
            <w:pPr>
              <w:pStyle w:val="BodyTextIndent"/>
              <w:jc w:val="both"/>
              <w:rPr>
                <w:rFonts w:ascii="Arial" w:hAnsi="Arial" w:cs="Arial"/>
                <w:sz w:val="22"/>
                <w:szCs w:val="22"/>
              </w:rPr>
            </w:pPr>
            <w:r>
              <w:rPr>
                <w:rFonts w:ascii="Arial" w:hAnsi="Arial" w:cs="Arial"/>
                <w:sz w:val="22"/>
                <w:szCs w:val="22"/>
              </w:rPr>
              <w:t xml:space="preserve">           </w:t>
            </w:r>
          </w:p>
          <w:p w14:paraId="29E8BFFC" w14:textId="77777777" w:rsidR="000A0F18" w:rsidRPr="001B2DEF" w:rsidRDefault="000A0F18" w:rsidP="003E2D34">
            <w:pPr>
              <w:pStyle w:val="BodyTextIndent"/>
              <w:jc w:val="right"/>
              <w:rPr>
                <w:rFonts w:ascii="Arial" w:hAnsi="Arial" w:cs="Arial"/>
                <w:sz w:val="22"/>
                <w:szCs w:val="22"/>
                <w:lang w:val="en-AU"/>
              </w:rPr>
            </w:pPr>
            <w:r w:rsidRPr="001B2DEF">
              <w:rPr>
                <w:rFonts w:ascii="Arial" w:hAnsi="Arial" w:cs="Arial"/>
                <w:sz w:val="22"/>
                <w:szCs w:val="22"/>
              </w:rPr>
              <w:t>328</w:t>
            </w:r>
            <w:r>
              <w:rPr>
                <w:rFonts w:ascii="Arial" w:hAnsi="Arial" w:cs="Arial"/>
                <w:sz w:val="22"/>
                <w:szCs w:val="22"/>
              </w:rPr>
              <w:t>,</w:t>
            </w:r>
            <w:r w:rsidRPr="001B2DEF">
              <w:rPr>
                <w:rFonts w:ascii="Arial" w:hAnsi="Arial" w:cs="Arial"/>
                <w:sz w:val="22"/>
                <w:szCs w:val="22"/>
              </w:rPr>
              <w:t>340</w:t>
            </w:r>
          </w:p>
        </w:tc>
        <w:tc>
          <w:tcPr>
            <w:tcW w:w="1732" w:type="dxa"/>
            <w:tcBorders>
              <w:top w:val="single" w:sz="4" w:space="0" w:color="auto"/>
              <w:left w:val="nil"/>
              <w:bottom w:val="nil"/>
              <w:right w:val="nil"/>
            </w:tcBorders>
            <w:noWrap/>
            <w:vAlign w:val="center"/>
            <w:hideMark/>
          </w:tcPr>
          <w:p w14:paraId="6119F632" w14:textId="77777777" w:rsidR="000A0F18" w:rsidRDefault="000A0F18" w:rsidP="002160E7">
            <w:pPr>
              <w:pStyle w:val="BodyTextIndent"/>
              <w:ind w:firstLine="0"/>
              <w:jc w:val="both"/>
              <w:rPr>
                <w:rFonts w:ascii="Arial" w:hAnsi="Arial" w:cs="Arial"/>
                <w:sz w:val="22"/>
                <w:szCs w:val="22"/>
                <w:lang w:val="en-AU"/>
              </w:rPr>
            </w:pPr>
          </w:p>
          <w:p w14:paraId="3C06B93A" w14:textId="77777777" w:rsidR="000A0F18" w:rsidRPr="001B2DEF" w:rsidRDefault="000A0F18" w:rsidP="000A0F18">
            <w:pPr>
              <w:pStyle w:val="BodyTextIndent"/>
              <w:ind w:firstLine="0"/>
              <w:jc w:val="center"/>
              <w:rPr>
                <w:rFonts w:ascii="Arial" w:hAnsi="Arial" w:cs="Arial"/>
                <w:sz w:val="22"/>
                <w:szCs w:val="22"/>
                <w:lang w:val="en-AU"/>
              </w:rPr>
            </w:pPr>
            <w:r w:rsidRPr="001B2DEF">
              <w:rPr>
                <w:rFonts w:ascii="Arial" w:hAnsi="Arial" w:cs="Arial"/>
                <w:sz w:val="22"/>
                <w:szCs w:val="22"/>
                <w:lang w:val="en-AU"/>
              </w:rPr>
              <w:t>319</w:t>
            </w:r>
            <w:r>
              <w:rPr>
                <w:rFonts w:ascii="Arial" w:hAnsi="Arial" w:cs="Arial"/>
                <w:sz w:val="22"/>
                <w:szCs w:val="22"/>
                <w:lang w:val="en-AU"/>
              </w:rPr>
              <w:t>,</w:t>
            </w:r>
            <w:r w:rsidRPr="001B2DEF">
              <w:rPr>
                <w:rFonts w:ascii="Arial" w:hAnsi="Arial" w:cs="Arial"/>
                <w:sz w:val="22"/>
                <w:szCs w:val="22"/>
                <w:lang w:val="en-AU"/>
              </w:rPr>
              <w:t>913</w:t>
            </w:r>
          </w:p>
        </w:tc>
        <w:tc>
          <w:tcPr>
            <w:tcW w:w="1732" w:type="dxa"/>
            <w:tcBorders>
              <w:top w:val="single" w:sz="4" w:space="0" w:color="auto"/>
              <w:left w:val="nil"/>
              <w:bottom w:val="nil"/>
              <w:right w:val="nil"/>
            </w:tcBorders>
          </w:tcPr>
          <w:p w14:paraId="68FCB079" w14:textId="77777777" w:rsidR="000A0F18" w:rsidRDefault="000A0F18" w:rsidP="002160E7">
            <w:pPr>
              <w:pStyle w:val="BodyTextIndent"/>
              <w:ind w:firstLine="0"/>
              <w:jc w:val="both"/>
              <w:rPr>
                <w:rFonts w:ascii="Arial" w:hAnsi="Arial" w:cs="Arial"/>
                <w:sz w:val="22"/>
                <w:szCs w:val="22"/>
                <w:lang w:val="en-AU"/>
              </w:rPr>
            </w:pPr>
          </w:p>
          <w:p w14:paraId="410AF9F5" w14:textId="77777777" w:rsidR="000A0F18" w:rsidRPr="001B2DEF" w:rsidRDefault="003E2D34" w:rsidP="003E2D34">
            <w:pPr>
              <w:pStyle w:val="BodyTextIndent"/>
              <w:jc w:val="right"/>
              <w:rPr>
                <w:rFonts w:ascii="Arial" w:hAnsi="Arial" w:cs="Arial"/>
                <w:sz w:val="22"/>
                <w:szCs w:val="22"/>
                <w:lang w:val="en-AU"/>
              </w:rPr>
            </w:pPr>
            <w:r>
              <w:rPr>
                <w:rFonts w:ascii="Arial" w:hAnsi="Arial" w:cs="Arial"/>
                <w:sz w:val="22"/>
                <w:szCs w:val="22"/>
                <w:lang w:val="en-AU"/>
              </w:rPr>
              <w:t xml:space="preserve"> 305,191</w:t>
            </w:r>
          </w:p>
        </w:tc>
      </w:tr>
      <w:tr w:rsidR="000A0F18" w:rsidRPr="001B2DEF" w14:paraId="523E94CC" w14:textId="77777777" w:rsidTr="00B91C66">
        <w:trPr>
          <w:trHeight w:val="315"/>
        </w:trPr>
        <w:tc>
          <w:tcPr>
            <w:tcW w:w="2049" w:type="dxa"/>
            <w:vAlign w:val="center"/>
            <w:hideMark/>
          </w:tcPr>
          <w:p w14:paraId="4AAD7961" w14:textId="77777777" w:rsidR="000A0F18" w:rsidRPr="00A5180C" w:rsidRDefault="000A0F18" w:rsidP="002160E7">
            <w:pPr>
              <w:pStyle w:val="BodyTextIndent"/>
              <w:ind w:firstLine="0"/>
              <w:jc w:val="both"/>
              <w:rPr>
                <w:rFonts w:ascii="Arial" w:hAnsi="Arial" w:cs="Arial"/>
                <w:sz w:val="22"/>
                <w:szCs w:val="22"/>
                <w:lang w:val="en-AU"/>
              </w:rPr>
            </w:pPr>
            <w:r w:rsidRPr="00A5180C">
              <w:rPr>
                <w:rFonts w:ascii="Arial" w:hAnsi="Arial" w:cs="Arial"/>
                <w:sz w:val="22"/>
                <w:szCs w:val="22"/>
                <w:lang w:val="en-AU"/>
              </w:rPr>
              <w:t>Community housing</w:t>
            </w:r>
          </w:p>
        </w:tc>
        <w:tc>
          <w:tcPr>
            <w:tcW w:w="1739" w:type="dxa"/>
            <w:noWrap/>
            <w:vAlign w:val="center"/>
            <w:hideMark/>
          </w:tcPr>
          <w:p w14:paraId="7C166CE7" w14:textId="77777777" w:rsidR="003E2D34" w:rsidRDefault="000A0F18" w:rsidP="002160E7">
            <w:pPr>
              <w:pStyle w:val="BodyTextIndent"/>
              <w:ind w:firstLine="0"/>
              <w:jc w:val="both"/>
              <w:rPr>
                <w:rFonts w:ascii="Arial" w:hAnsi="Arial" w:cs="Arial"/>
                <w:sz w:val="22"/>
                <w:szCs w:val="22"/>
              </w:rPr>
            </w:pPr>
            <w:r>
              <w:rPr>
                <w:rFonts w:ascii="Arial" w:hAnsi="Arial" w:cs="Arial"/>
                <w:sz w:val="22"/>
                <w:szCs w:val="22"/>
              </w:rPr>
              <w:t xml:space="preserve">  </w:t>
            </w:r>
          </w:p>
          <w:p w14:paraId="035CE4FD"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rPr>
              <w:t xml:space="preserve">  </w:t>
            </w:r>
            <w:r w:rsidR="000A0F18" w:rsidRPr="001B2DEF">
              <w:rPr>
                <w:rFonts w:ascii="Arial" w:hAnsi="Arial" w:cs="Arial"/>
                <w:sz w:val="22"/>
                <w:szCs w:val="22"/>
              </w:rPr>
              <w:t>39</w:t>
            </w:r>
            <w:r w:rsidR="000A0F18">
              <w:rPr>
                <w:rFonts w:ascii="Arial" w:hAnsi="Arial" w:cs="Arial"/>
                <w:sz w:val="22"/>
                <w:szCs w:val="22"/>
              </w:rPr>
              <w:t>,</w:t>
            </w:r>
            <w:r w:rsidR="000A0F18" w:rsidRPr="001B2DEF">
              <w:rPr>
                <w:rFonts w:ascii="Arial" w:hAnsi="Arial" w:cs="Arial"/>
                <w:sz w:val="22"/>
                <w:szCs w:val="22"/>
              </w:rPr>
              <w:t>770</w:t>
            </w:r>
          </w:p>
        </w:tc>
        <w:tc>
          <w:tcPr>
            <w:tcW w:w="1732" w:type="dxa"/>
            <w:noWrap/>
            <w:vAlign w:val="center"/>
            <w:hideMark/>
          </w:tcPr>
          <w:p w14:paraId="1DC9762F" w14:textId="77777777" w:rsidR="003E2D34" w:rsidRDefault="000A0F18" w:rsidP="002160E7">
            <w:pPr>
              <w:pStyle w:val="BodyTextIndent"/>
              <w:ind w:firstLine="0"/>
              <w:jc w:val="both"/>
              <w:rPr>
                <w:rFonts w:ascii="Arial" w:hAnsi="Arial" w:cs="Arial"/>
                <w:sz w:val="22"/>
                <w:szCs w:val="22"/>
              </w:rPr>
            </w:pPr>
            <w:r>
              <w:rPr>
                <w:rFonts w:ascii="Arial" w:hAnsi="Arial" w:cs="Arial"/>
                <w:sz w:val="22"/>
                <w:szCs w:val="22"/>
              </w:rPr>
              <w:t xml:space="preserve"> </w:t>
            </w:r>
          </w:p>
          <w:p w14:paraId="54C7AC5C"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rPr>
              <w:t xml:space="preserve">  </w:t>
            </w:r>
            <w:r w:rsidR="000A0F18" w:rsidRPr="001B2DEF">
              <w:rPr>
                <w:rFonts w:ascii="Arial" w:hAnsi="Arial" w:cs="Arial"/>
                <w:sz w:val="22"/>
                <w:szCs w:val="22"/>
              </w:rPr>
              <w:t>67</w:t>
            </w:r>
            <w:r w:rsidR="000A0F18">
              <w:rPr>
                <w:rFonts w:ascii="Arial" w:hAnsi="Arial" w:cs="Arial"/>
                <w:sz w:val="22"/>
                <w:szCs w:val="22"/>
              </w:rPr>
              <w:t>,</w:t>
            </w:r>
            <w:r w:rsidR="000A0F18" w:rsidRPr="001B2DEF">
              <w:rPr>
                <w:rFonts w:ascii="Arial" w:hAnsi="Arial" w:cs="Arial"/>
                <w:sz w:val="22"/>
                <w:szCs w:val="22"/>
              </w:rPr>
              <w:t>385</w:t>
            </w:r>
          </w:p>
        </w:tc>
        <w:tc>
          <w:tcPr>
            <w:tcW w:w="1732" w:type="dxa"/>
            <w:noWrap/>
            <w:vAlign w:val="center"/>
            <w:hideMark/>
          </w:tcPr>
          <w:p w14:paraId="0B2C239C" w14:textId="77777777" w:rsidR="003E2D34" w:rsidRDefault="000A0F18"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w:t>
            </w:r>
          </w:p>
          <w:p w14:paraId="375ED783"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w:t>
            </w:r>
            <w:r w:rsidR="000A0F18" w:rsidRPr="001B2DEF">
              <w:rPr>
                <w:rFonts w:ascii="Arial" w:hAnsi="Arial" w:cs="Arial"/>
                <w:sz w:val="22"/>
                <w:szCs w:val="22"/>
                <w:lang w:val="en-AU"/>
              </w:rPr>
              <w:t>82</w:t>
            </w:r>
            <w:r w:rsidR="000A0F18">
              <w:rPr>
                <w:rFonts w:ascii="Arial" w:hAnsi="Arial" w:cs="Arial"/>
                <w:sz w:val="22"/>
                <w:szCs w:val="22"/>
                <w:lang w:val="en-AU"/>
              </w:rPr>
              <w:t>,</w:t>
            </w:r>
            <w:r w:rsidR="000A0F18" w:rsidRPr="001B2DEF">
              <w:rPr>
                <w:rFonts w:ascii="Arial" w:hAnsi="Arial" w:cs="Arial"/>
                <w:sz w:val="22"/>
                <w:szCs w:val="22"/>
                <w:lang w:val="en-AU"/>
              </w:rPr>
              <w:t>902</w:t>
            </w:r>
          </w:p>
        </w:tc>
        <w:tc>
          <w:tcPr>
            <w:tcW w:w="1732" w:type="dxa"/>
          </w:tcPr>
          <w:p w14:paraId="4C7E8D23" w14:textId="77777777" w:rsidR="000A0F18" w:rsidRDefault="000A0F18" w:rsidP="002160E7">
            <w:pPr>
              <w:pStyle w:val="BodyTextIndent"/>
              <w:ind w:firstLine="0"/>
              <w:jc w:val="both"/>
              <w:rPr>
                <w:rFonts w:ascii="Arial" w:hAnsi="Arial" w:cs="Arial"/>
                <w:sz w:val="22"/>
                <w:szCs w:val="22"/>
                <w:lang w:val="en-AU"/>
              </w:rPr>
            </w:pPr>
          </w:p>
          <w:p w14:paraId="2DF95BAC" w14:textId="77777777" w:rsidR="003E2D34" w:rsidRDefault="003E2D34" w:rsidP="002160E7">
            <w:pPr>
              <w:pStyle w:val="BodyTextIndent"/>
              <w:ind w:firstLine="0"/>
              <w:jc w:val="both"/>
              <w:rPr>
                <w:rFonts w:ascii="Arial" w:hAnsi="Arial" w:cs="Arial"/>
                <w:sz w:val="22"/>
                <w:szCs w:val="22"/>
                <w:lang w:val="en-AU"/>
              </w:rPr>
            </w:pPr>
            <w:r>
              <w:rPr>
                <w:rFonts w:ascii="Arial" w:hAnsi="Arial" w:cs="Arial"/>
                <w:sz w:val="22"/>
                <w:szCs w:val="22"/>
                <w:lang w:val="en-AU"/>
              </w:rPr>
              <w:t>100,205</w:t>
            </w:r>
          </w:p>
        </w:tc>
      </w:tr>
      <w:tr w:rsidR="000A0F18" w:rsidRPr="001B2DEF" w14:paraId="520BE8B4" w14:textId="77777777" w:rsidTr="00B91C66">
        <w:trPr>
          <w:trHeight w:val="315"/>
        </w:trPr>
        <w:tc>
          <w:tcPr>
            <w:tcW w:w="2049" w:type="dxa"/>
            <w:vAlign w:val="center"/>
            <w:hideMark/>
          </w:tcPr>
          <w:p w14:paraId="45DF429B" w14:textId="77777777" w:rsidR="000A0F18" w:rsidRPr="00A5180C" w:rsidRDefault="000A0F18" w:rsidP="002160E7">
            <w:pPr>
              <w:pStyle w:val="BodyTextIndent"/>
              <w:ind w:firstLine="0"/>
              <w:jc w:val="both"/>
              <w:rPr>
                <w:rFonts w:ascii="Arial" w:hAnsi="Arial" w:cs="Arial"/>
                <w:sz w:val="22"/>
                <w:szCs w:val="22"/>
                <w:lang w:val="en-AU"/>
              </w:rPr>
            </w:pPr>
            <w:r w:rsidRPr="00A5180C">
              <w:rPr>
                <w:rFonts w:ascii="Arial" w:hAnsi="Arial" w:cs="Arial"/>
                <w:sz w:val="22"/>
                <w:szCs w:val="22"/>
                <w:lang w:val="en-AU"/>
              </w:rPr>
              <w:t>Aboriginal housing</w:t>
            </w:r>
          </w:p>
        </w:tc>
        <w:tc>
          <w:tcPr>
            <w:tcW w:w="1739" w:type="dxa"/>
            <w:noWrap/>
            <w:vAlign w:val="center"/>
            <w:hideMark/>
          </w:tcPr>
          <w:p w14:paraId="210B0EC0" w14:textId="77777777" w:rsidR="003E2D34" w:rsidRDefault="000A0F18" w:rsidP="002160E7">
            <w:pPr>
              <w:pStyle w:val="BodyTextIndent"/>
              <w:ind w:firstLine="0"/>
              <w:jc w:val="both"/>
              <w:rPr>
                <w:rFonts w:ascii="Arial" w:hAnsi="Arial" w:cs="Arial"/>
                <w:sz w:val="22"/>
                <w:szCs w:val="22"/>
              </w:rPr>
            </w:pPr>
            <w:r>
              <w:rPr>
                <w:rFonts w:ascii="Arial" w:hAnsi="Arial" w:cs="Arial"/>
                <w:sz w:val="22"/>
                <w:szCs w:val="22"/>
              </w:rPr>
              <w:t xml:space="preserve">  </w:t>
            </w:r>
          </w:p>
          <w:p w14:paraId="40419871"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rPr>
              <w:t xml:space="preserve">  32,288</w:t>
            </w:r>
          </w:p>
        </w:tc>
        <w:tc>
          <w:tcPr>
            <w:tcW w:w="1732" w:type="dxa"/>
            <w:noWrap/>
            <w:vAlign w:val="center"/>
            <w:hideMark/>
          </w:tcPr>
          <w:p w14:paraId="2F8205D6" w14:textId="77777777" w:rsidR="003E2D34" w:rsidRDefault="000A0F18" w:rsidP="002160E7">
            <w:pPr>
              <w:pStyle w:val="BodyTextIndent"/>
              <w:ind w:firstLine="0"/>
              <w:jc w:val="both"/>
              <w:rPr>
                <w:rFonts w:ascii="Arial" w:hAnsi="Arial" w:cs="Arial"/>
                <w:sz w:val="22"/>
                <w:szCs w:val="22"/>
              </w:rPr>
            </w:pPr>
            <w:r>
              <w:rPr>
                <w:rFonts w:ascii="Arial" w:hAnsi="Arial" w:cs="Arial"/>
                <w:sz w:val="22"/>
                <w:szCs w:val="22"/>
              </w:rPr>
              <w:t xml:space="preserve">   </w:t>
            </w:r>
            <w:r w:rsidR="003E2D34">
              <w:rPr>
                <w:rFonts w:ascii="Arial" w:hAnsi="Arial" w:cs="Arial"/>
                <w:sz w:val="22"/>
                <w:szCs w:val="22"/>
              </w:rPr>
              <w:t xml:space="preserve"> </w:t>
            </w:r>
          </w:p>
          <w:p w14:paraId="2A26B3F7"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rPr>
              <w:t xml:space="preserve">  27,249</w:t>
            </w:r>
          </w:p>
        </w:tc>
        <w:tc>
          <w:tcPr>
            <w:tcW w:w="1732" w:type="dxa"/>
            <w:noWrap/>
            <w:vAlign w:val="center"/>
            <w:hideMark/>
          </w:tcPr>
          <w:p w14:paraId="29D2E0AD" w14:textId="77777777" w:rsidR="003E2D34" w:rsidRDefault="000A0F18"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w:t>
            </w:r>
          </w:p>
          <w:p w14:paraId="1A020D70" w14:textId="77777777" w:rsidR="000A0F18" w:rsidRPr="001B2DEF" w:rsidRDefault="003E2D34"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w:t>
            </w:r>
            <w:r w:rsidR="00F67E4B">
              <w:rPr>
                <w:rFonts w:ascii="Arial" w:hAnsi="Arial" w:cs="Arial"/>
                <w:sz w:val="22"/>
                <w:szCs w:val="22"/>
                <w:lang w:val="en-AU"/>
              </w:rPr>
              <w:t>32,846</w:t>
            </w:r>
          </w:p>
        </w:tc>
        <w:tc>
          <w:tcPr>
            <w:tcW w:w="1732" w:type="dxa"/>
          </w:tcPr>
          <w:p w14:paraId="5BCA4B31" w14:textId="77777777" w:rsidR="000A0F18" w:rsidRDefault="000A0F18" w:rsidP="002160E7">
            <w:pPr>
              <w:pStyle w:val="BodyTextIndent"/>
              <w:ind w:firstLine="0"/>
              <w:jc w:val="both"/>
              <w:rPr>
                <w:rFonts w:ascii="Arial" w:hAnsi="Arial" w:cs="Arial"/>
                <w:sz w:val="22"/>
                <w:szCs w:val="22"/>
                <w:lang w:val="en-AU"/>
              </w:rPr>
            </w:pPr>
          </w:p>
          <w:p w14:paraId="7AB377E8" w14:textId="77777777" w:rsidR="00F67E4B" w:rsidRDefault="00F67E4B" w:rsidP="002160E7">
            <w:pPr>
              <w:pStyle w:val="BodyTextIndent"/>
              <w:ind w:firstLine="0"/>
              <w:jc w:val="both"/>
              <w:rPr>
                <w:rFonts w:ascii="Arial" w:hAnsi="Arial" w:cs="Arial"/>
                <w:sz w:val="22"/>
                <w:szCs w:val="22"/>
                <w:lang w:val="en-AU"/>
              </w:rPr>
            </w:pPr>
            <w:r>
              <w:rPr>
                <w:rFonts w:ascii="Arial" w:hAnsi="Arial" w:cs="Arial"/>
                <w:sz w:val="22"/>
                <w:szCs w:val="22"/>
                <w:lang w:val="en-AU"/>
              </w:rPr>
              <w:t xml:space="preserve">  32,322</w:t>
            </w:r>
          </w:p>
        </w:tc>
      </w:tr>
      <w:tr w:rsidR="000A0F18" w:rsidRPr="001B2DEF" w14:paraId="19C1CF4F" w14:textId="77777777" w:rsidTr="00B91C66">
        <w:trPr>
          <w:trHeight w:val="315"/>
        </w:trPr>
        <w:tc>
          <w:tcPr>
            <w:tcW w:w="2049" w:type="dxa"/>
            <w:vAlign w:val="center"/>
            <w:hideMark/>
          </w:tcPr>
          <w:p w14:paraId="2DEB311C" w14:textId="77777777" w:rsidR="000A0F18" w:rsidRPr="00A5180C" w:rsidRDefault="000A0F18" w:rsidP="002160E7">
            <w:pPr>
              <w:pStyle w:val="BodyTextIndent"/>
              <w:ind w:firstLine="0"/>
              <w:jc w:val="both"/>
              <w:rPr>
                <w:rFonts w:ascii="Arial" w:hAnsi="Arial" w:cs="Arial"/>
                <w:b/>
                <w:sz w:val="22"/>
                <w:szCs w:val="22"/>
                <w:lang w:val="en-AU"/>
              </w:rPr>
            </w:pPr>
            <w:r w:rsidRPr="00A5180C">
              <w:rPr>
                <w:rFonts w:ascii="Arial" w:hAnsi="Arial" w:cs="Arial"/>
                <w:b/>
                <w:sz w:val="22"/>
                <w:szCs w:val="22"/>
                <w:lang w:val="en-AU"/>
              </w:rPr>
              <w:t>Total</w:t>
            </w:r>
          </w:p>
        </w:tc>
        <w:tc>
          <w:tcPr>
            <w:tcW w:w="1739" w:type="dxa"/>
            <w:noWrap/>
            <w:vAlign w:val="center"/>
            <w:hideMark/>
          </w:tcPr>
          <w:p w14:paraId="32C7D258" w14:textId="77777777" w:rsidR="000A0F18" w:rsidRPr="001B2DEF" w:rsidRDefault="00F67E4B" w:rsidP="002160E7">
            <w:pPr>
              <w:pStyle w:val="BodyTextIndent"/>
              <w:ind w:firstLine="0"/>
              <w:jc w:val="both"/>
              <w:rPr>
                <w:rFonts w:ascii="Arial" w:hAnsi="Arial" w:cs="Arial"/>
                <w:b/>
                <w:sz w:val="22"/>
                <w:szCs w:val="22"/>
                <w:lang w:val="en-AU"/>
              </w:rPr>
            </w:pPr>
            <w:r>
              <w:rPr>
                <w:rFonts w:ascii="Arial" w:hAnsi="Arial" w:cs="Arial"/>
                <w:b/>
                <w:sz w:val="22"/>
                <w:szCs w:val="22"/>
                <w:lang w:val="en-AU"/>
              </w:rPr>
              <w:t>408,522</w:t>
            </w:r>
          </w:p>
        </w:tc>
        <w:tc>
          <w:tcPr>
            <w:tcW w:w="1732" w:type="dxa"/>
            <w:noWrap/>
            <w:vAlign w:val="center"/>
            <w:hideMark/>
          </w:tcPr>
          <w:p w14:paraId="36DD4546" w14:textId="77777777" w:rsidR="000A0F18" w:rsidRPr="001B2DEF" w:rsidRDefault="000A0F18" w:rsidP="002160E7">
            <w:pPr>
              <w:pStyle w:val="BodyTextIndent"/>
              <w:jc w:val="both"/>
              <w:rPr>
                <w:rFonts w:ascii="Arial" w:hAnsi="Arial" w:cs="Arial"/>
                <w:b/>
                <w:sz w:val="22"/>
                <w:szCs w:val="22"/>
                <w:lang w:val="en-AU"/>
              </w:rPr>
            </w:pPr>
            <w:r>
              <w:rPr>
                <w:rFonts w:ascii="Arial" w:hAnsi="Arial" w:cs="Arial"/>
                <w:b/>
                <w:sz w:val="22"/>
                <w:szCs w:val="22"/>
                <w:lang w:val="en-AU"/>
              </w:rPr>
              <w:t xml:space="preserve">           4</w:t>
            </w:r>
            <w:r w:rsidR="00F67E4B">
              <w:rPr>
                <w:rFonts w:ascii="Arial" w:hAnsi="Arial" w:cs="Arial"/>
                <w:b/>
                <w:sz w:val="22"/>
                <w:szCs w:val="22"/>
                <w:lang w:val="en-AU"/>
              </w:rPr>
              <w:t>22,974</w:t>
            </w:r>
          </w:p>
        </w:tc>
        <w:tc>
          <w:tcPr>
            <w:tcW w:w="1732" w:type="dxa"/>
            <w:noWrap/>
            <w:vAlign w:val="center"/>
            <w:hideMark/>
          </w:tcPr>
          <w:p w14:paraId="61B756F5" w14:textId="77777777" w:rsidR="000A0F18" w:rsidRPr="001B2DEF" w:rsidRDefault="000A0F18" w:rsidP="002160E7">
            <w:pPr>
              <w:pStyle w:val="BodyTextIndent"/>
              <w:ind w:firstLine="0"/>
              <w:jc w:val="both"/>
              <w:rPr>
                <w:rFonts w:ascii="Arial" w:hAnsi="Arial" w:cs="Arial"/>
                <w:b/>
                <w:sz w:val="22"/>
                <w:szCs w:val="22"/>
                <w:lang w:val="en-AU"/>
              </w:rPr>
            </w:pPr>
            <w:r>
              <w:rPr>
                <w:rFonts w:ascii="Arial" w:hAnsi="Arial" w:cs="Arial"/>
                <w:b/>
                <w:sz w:val="22"/>
                <w:szCs w:val="22"/>
                <w:lang w:val="en-AU"/>
              </w:rPr>
              <w:t>4</w:t>
            </w:r>
            <w:r w:rsidR="00F67E4B">
              <w:rPr>
                <w:rFonts w:ascii="Arial" w:hAnsi="Arial" w:cs="Arial"/>
                <w:b/>
                <w:sz w:val="22"/>
                <w:szCs w:val="22"/>
                <w:lang w:val="en-AU"/>
              </w:rPr>
              <w:t>35,661</w:t>
            </w:r>
          </w:p>
        </w:tc>
        <w:tc>
          <w:tcPr>
            <w:tcW w:w="1732" w:type="dxa"/>
          </w:tcPr>
          <w:p w14:paraId="518FEE9D" w14:textId="77777777" w:rsidR="00F67E4B" w:rsidRDefault="00F67E4B" w:rsidP="00A5180C">
            <w:pPr>
              <w:pStyle w:val="BodyTextIndent"/>
              <w:ind w:left="0" w:firstLine="0"/>
              <w:jc w:val="right"/>
              <w:rPr>
                <w:rFonts w:ascii="Arial" w:hAnsi="Arial" w:cs="Arial"/>
                <w:b/>
                <w:sz w:val="22"/>
                <w:szCs w:val="22"/>
                <w:lang w:val="en-AU"/>
              </w:rPr>
            </w:pPr>
            <w:r>
              <w:rPr>
                <w:rFonts w:ascii="Arial" w:hAnsi="Arial" w:cs="Arial"/>
                <w:b/>
                <w:sz w:val="22"/>
                <w:szCs w:val="22"/>
                <w:lang w:val="en-AU"/>
              </w:rPr>
              <w:t>437,318</w:t>
            </w:r>
          </w:p>
        </w:tc>
      </w:tr>
    </w:tbl>
    <w:p w14:paraId="3B3ACE1C" w14:textId="77777777" w:rsidR="00E663C7" w:rsidRDefault="001B2DEF" w:rsidP="002160E7">
      <w:pPr>
        <w:pStyle w:val="BodyTextIndent"/>
        <w:ind w:left="0" w:firstLine="720"/>
        <w:jc w:val="both"/>
        <w:rPr>
          <w:rFonts w:ascii="Arial" w:hAnsi="Arial" w:cs="Arial"/>
          <w:i/>
          <w:sz w:val="18"/>
          <w:szCs w:val="18"/>
          <w:lang w:val="en-AU"/>
        </w:rPr>
      </w:pPr>
      <w:r w:rsidRPr="00E663C7">
        <w:rPr>
          <w:rFonts w:ascii="Arial" w:hAnsi="Arial" w:cs="Arial"/>
          <w:i/>
          <w:sz w:val="18"/>
          <w:szCs w:val="18"/>
          <w:lang w:val="en-AU"/>
        </w:rPr>
        <w:t xml:space="preserve">Source: </w:t>
      </w:r>
      <w:r w:rsidR="00F67E4B">
        <w:rPr>
          <w:rFonts w:ascii="Arial" w:hAnsi="Arial" w:cs="Arial"/>
          <w:i/>
          <w:sz w:val="18"/>
          <w:szCs w:val="18"/>
          <w:lang w:val="en-AU"/>
        </w:rPr>
        <w:t>Australian Institute of Housing and Welfare 2020</w:t>
      </w:r>
    </w:p>
    <w:p w14:paraId="5A01DBCA" w14:textId="77777777" w:rsidR="00A5180C" w:rsidRPr="00F67E4B" w:rsidRDefault="001B2DEF" w:rsidP="00A5180C">
      <w:pPr>
        <w:pStyle w:val="BodyTextIndent"/>
        <w:ind w:firstLine="720"/>
        <w:jc w:val="both"/>
        <w:rPr>
          <w:rFonts w:ascii="Arial" w:hAnsi="Arial" w:cs="Arial"/>
          <w:sz w:val="22"/>
          <w:szCs w:val="22"/>
          <w:lang w:val="en-AU"/>
        </w:rPr>
      </w:pPr>
      <w:r w:rsidRPr="001B2DEF">
        <w:rPr>
          <w:rFonts w:ascii="Arial" w:hAnsi="Arial" w:cs="Arial"/>
          <w:sz w:val="22"/>
          <w:szCs w:val="22"/>
          <w:lang w:val="en-AU"/>
        </w:rPr>
        <w:t>.</w:t>
      </w:r>
    </w:p>
    <w:p w14:paraId="1459C980" w14:textId="77777777" w:rsidR="00702430" w:rsidRDefault="00B84E23" w:rsidP="002160E7">
      <w:pPr>
        <w:pStyle w:val="BodyTextIndent3"/>
        <w:ind w:left="0"/>
        <w:jc w:val="both"/>
        <w:rPr>
          <w:rFonts w:ascii="Arial" w:hAnsi="Arial" w:cs="Arial"/>
          <w:b/>
          <w:color w:val="1F3864"/>
          <w:sz w:val="22"/>
          <w:szCs w:val="22"/>
        </w:rPr>
      </w:pPr>
      <w:r>
        <w:rPr>
          <w:rFonts w:ascii="Arial" w:hAnsi="Arial" w:cs="Arial"/>
          <w:sz w:val="22"/>
          <w:szCs w:val="22"/>
        </w:rPr>
        <w:t>6.4</w:t>
      </w:r>
      <w:r>
        <w:rPr>
          <w:rFonts w:ascii="Arial" w:hAnsi="Arial" w:cs="Arial"/>
          <w:sz w:val="22"/>
          <w:szCs w:val="22"/>
        </w:rPr>
        <w:tab/>
      </w:r>
      <w:bookmarkStart w:id="8" w:name="_Hlk90555954"/>
      <w:r w:rsidR="0053727E">
        <w:rPr>
          <w:rFonts w:ascii="Arial" w:hAnsi="Arial" w:cs="Arial"/>
          <w:b/>
          <w:color w:val="1F3864"/>
          <w:sz w:val="22"/>
          <w:szCs w:val="22"/>
        </w:rPr>
        <w:t>Overall need for S</w:t>
      </w:r>
      <w:r w:rsidRPr="00F258D8">
        <w:rPr>
          <w:rFonts w:ascii="Arial" w:hAnsi="Arial" w:cs="Arial"/>
          <w:b/>
          <w:color w:val="1F3864"/>
          <w:sz w:val="22"/>
          <w:szCs w:val="22"/>
        </w:rPr>
        <w:t>ocial and Community Rental Housing</w:t>
      </w:r>
      <w:bookmarkEnd w:id="8"/>
    </w:p>
    <w:p w14:paraId="5393E34E" w14:textId="77777777" w:rsidR="0053727E" w:rsidRDefault="0053727E" w:rsidP="002160E7">
      <w:pPr>
        <w:pStyle w:val="BodyTextIndent3"/>
        <w:ind w:left="0"/>
        <w:jc w:val="both"/>
        <w:rPr>
          <w:rFonts w:ascii="Arial" w:hAnsi="Arial" w:cs="Arial"/>
          <w:b/>
          <w:color w:val="1F3864"/>
          <w:sz w:val="22"/>
          <w:szCs w:val="22"/>
        </w:rPr>
      </w:pPr>
    </w:p>
    <w:p w14:paraId="6B83FCD4" w14:textId="77777777" w:rsidR="000D4E57" w:rsidRPr="000D4E57" w:rsidRDefault="000D4E57" w:rsidP="000D4E57">
      <w:pPr>
        <w:pStyle w:val="BodyTextIndent3"/>
        <w:jc w:val="both"/>
        <w:rPr>
          <w:rFonts w:ascii="Arial" w:hAnsi="Arial" w:cs="Arial"/>
          <w:bCs/>
          <w:sz w:val="22"/>
          <w:szCs w:val="22"/>
        </w:rPr>
      </w:pPr>
      <w:r w:rsidRPr="000D4E57">
        <w:rPr>
          <w:rFonts w:ascii="Arial" w:hAnsi="Arial" w:cs="Arial"/>
          <w:bCs/>
          <w:sz w:val="22"/>
          <w:szCs w:val="22"/>
        </w:rPr>
        <w:t xml:space="preserve">Australia needs to build more than 1 million social and affordable homes by 2036 to arrest the shortfall caused by a lack of investment across decades and </w:t>
      </w:r>
      <w:r w:rsidR="00B751CA" w:rsidRPr="000D4E57">
        <w:rPr>
          <w:rFonts w:ascii="Arial" w:hAnsi="Arial" w:cs="Arial"/>
          <w:bCs/>
          <w:sz w:val="22"/>
          <w:szCs w:val="22"/>
        </w:rPr>
        <w:t>an</w:t>
      </w:r>
      <w:r w:rsidR="00B751CA">
        <w:rPr>
          <w:rFonts w:ascii="Arial" w:hAnsi="Arial" w:cs="Arial"/>
          <w:bCs/>
          <w:sz w:val="22"/>
          <w:szCs w:val="22"/>
        </w:rPr>
        <w:t>em</w:t>
      </w:r>
      <w:r w:rsidR="00B751CA" w:rsidRPr="000D4E57">
        <w:rPr>
          <w:rFonts w:ascii="Arial" w:hAnsi="Arial" w:cs="Arial"/>
          <w:bCs/>
          <w:sz w:val="22"/>
          <w:szCs w:val="22"/>
        </w:rPr>
        <w:t>ic</w:t>
      </w:r>
      <w:r w:rsidRPr="000D4E57">
        <w:rPr>
          <w:rFonts w:ascii="Arial" w:hAnsi="Arial" w:cs="Arial"/>
          <w:bCs/>
          <w:sz w:val="22"/>
          <w:szCs w:val="22"/>
        </w:rPr>
        <w:t xml:space="preserve"> wage growth.</w:t>
      </w:r>
    </w:p>
    <w:p w14:paraId="41873485" w14:textId="77777777" w:rsidR="000D4E57" w:rsidRPr="000D4E57" w:rsidRDefault="000D4E57" w:rsidP="000D4E57">
      <w:pPr>
        <w:pStyle w:val="BodyTextIndent3"/>
        <w:jc w:val="both"/>
        <w:rPr>
          <w:rFonts w:ascii="Arial" w:hAnsi="Arial" w:cs="Arial"/>
          <w:bCs/>
          <w:sz w:val="22"/>
          <w:szCs w:val="22"/>
        </w:rPr>
      </w:pPr>
    </w:p>
    <w:p w14:paraId="7AF6B48B" w14:textId="77777777" w:rsidR="000D4E57" w:rsidRDefault="000D4E57" w:rsidP="000D4E57">
      <w:pPr>
        <w:pStyle w:val="BodyTextIndent3"/>
        <w:jc w:val="both"/>
        <w:rPr>
          <w:rFonts w:ascii="Arial" w:hAnsi="Arial" w:cs="Arial"/>
          <w:bCs/>
          <w:sz w:val="22"/>
          <w:szCs w:val="22"/>
        </w:rPr>
      </w:pPr>
      <w:r w:rsidRPr="000D4E57">
        <w:rPr>
          <w:rFonts w:ascii="Arial" w:hAnsi="Arial" w:cs="Arial"/>
          <w:bCs/>
          <w:sz w:val="22"/>
          <w:szCs w:val="22"/>
        </w:rPr>
        <w:t>The existing deficit of 651,300 social and affordable homes will blow out to nearly 1,024,000 by 2036</w:t>
      </w:r>
      <w:r w:rsidR="00F57DF3">
        <w:rPr>
          <w:rFonts w:ascii="Arial" w:hAnsi="Arial" w:cs="Arial"/>
          <w:bCs/>
          <w:sz w:val="22"/>
          <w:szCs w:val="22"/>
        </w:rPr>
        <w:t xml:space="preserve"> unless a change in policy is introduced</w:t>
      </w:r>
      <w:r w:rsidRPr="000D4E57">
        <w:rPr>
          <w:rFonts w:ascii="Arial" w:hAnsi="Arial" w:cs="Arial"/>
          <w:bCs/>
          <w:sz w:val="22"/>
          <w:szCs w:val="22"/>
        </w:rPr>
        <w:t>, with nearly one-third of the shortfall occurring in NSW, a report to be published on Thursday by the UNSW City Futures Research Centre and Community Housing Industry Association (CHIA) NSW shows.</w:t>
      </w:r>
      <w:r w:rsidR="006E2A02">
        <w:rPr>
          <w:rFonts w:ascii="Arial" w:hAnsi="Arial" w:cs="Arial"/>
          <w:bCs/>
          <w:sz w:val="22"/>
          <w:szCs w:val="22"/>
        </w:rPr>
        <w:t xml:space="preserve"> Current </w:t>
      </w:r>
      <w:r w:rsidR="00B72B2A">
        <w:rPr>
          <w:rFonts w:ascii="Arial" w:hAnsi="Arial" w:cs="Arial"/>
          <w:bCs/>
          <w:sz w:val="22"/>
          <w:szCs w:val="22"/>
        </w:rPr>
        <w:t xml:space="preserve">rental stress in different communities is </w:t>
      </w:r>
      <w:r w:rsidR="008D4CBC">
        <w:rPr>
          <w:rFonts w:ascii="Arial" w:hAnsi="Arial" w:cs="Arial"/>
          <w:bCs/>
          <w:sz w:val="22"/>
          <w:szCs w:val="22"/>
        </w:rPr>
        <w:t xml:space="preserve">demonstrated by the </w:t>
      </w:r>
      <w:r w:rsidR="008D4CBC" w:rsidRPr="008D4CBC">
        <w:rPr>
          <w:rFonts w:ascii="Arial" w:hAnsi="Arial" w:cs="Arial"/>
          <w:bCs/>
          <w:i/>
          <w:iCs/>
          <w:sz w:val="22"/>
          <w:szCs w:val="22"/>
        </w:rPr>
        <w:t>National Cities Performance Framework 2019</w:t>
      </w:r>
      <w:r w:rsidR="008D4CBC">
        <w:rPr>
          <w:rFonts w:ascii="Arial" w:hAnsi="Arial" w:cs="Arial"/>
          <w:bCs/>
          <w:sz w:val="22"/>
          <w:szCs w:val="22"/>
        </w:rPr>
        <w:t xml:space="preserve"> is </w:t>
      </w:r>
      <w:r w:rsidR="00B72B2A">
        <w:rPr>
          <w:rFonts w:ascii="Arial" w:hAnsi="Arial" w:cs="Arial"/>
          <w:bCs/>
          <w:sz w:val="22"/>
          <w:szCs w:val="22"/>
        </w:rPr>
        <w:t xml:space="preserve">as </w:t>
      </w:r>
      <w:r w:rsidR="003D223E">
        <w:rPr>
          <w:rFonts w:ascii="Arial" w:hAnsi="Arial" w:cs="Arial"/>
          <w:bCs/>
          <w:sz w:val="22"/>
          <w:szCs w:val="22"/>
        </w:rPr>
        <w:t>follows: -</w:t>
      </w:r>
    </w:p>
    <w:p w14:paraId="65793DB7" w14:textId="77777777" w:rsidR="006E2A02" w:rsidRDefault="006E2A02" w:rsidP="000D4E57">
      <w:pPr>
        <w:pStyle w:val="BodyTextIndent3"/>
        <w:jc w:val="both"/>
        <w:rPr>
          <w:rFonts w:ascii="Arial" w:hAnsi="Arial" w:cs="Arial"/>
          <w:bCs/>
          <w:sz w:val="22"/>
          <w:szCs w:val="22"/>
        </w:rPr>
      </w:pPr>
    </w:p>
    <w:p w14:paraId="7741942E" w14:textId="6BAF69CB" w:rsidR="006E2A02" w:rsidRPr="000D4E57" w:rsidRDefault="00CF694D" w:rsidP="000D4E57">
      <w:pPr>
        <w:pStyle w:val="BodyTextIndent3"/>
        <w:jc w:val="both"/>
        <w:rPr>
          <w:rFonts w:ascii="Arial" w:hAnsi="Arial" w:cs="Arial"/>
          <w:bCs/>
          <w:sz w:val="22"/>
          <w:szCs w:val="22"/>
        </w:rPr>
      </w:pPr>
      <w:r w:rsidRPr="00597936">
        <w:rPr>
          <w:noProof/>
        </w:rPr>
        <w:drawing>
          <wp:inline distT="0" distB="0" distL="0" distR="0" wp14:anchorId="5844CE25" wp14:editId="6D2FADAB">
            <wp:extent cx="5504180" cy="2873375"/>
            <wp:effectExtent l="0" t="0" r="0" b="0"/>
            <wp:docPr id="3" name="Chart 14" descr="Chart showing rent stress as a percentage in 22 Australian citi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DEAED6" w14:textId="77777777" w:rsidR="0053727E" w:rsidRDefault="0053727E" w:rsidP="002160E7">
      <w:pPr>
        <w:pStyle w:val="BodyTextIndent3"/>
        <w:ind w:left="0"/>
        <w:jc w:val="both"/>
        <w:rPr>
          <w:rFonts w:ascii="Arial" w:hAnsi="Arial" w:cs="Arial"/>
          <w:sz w:val="22"/>
          <w:szCs w:val="22"/>
        </w:rPr>
      </w:pPr>
    </w:p>
    <w:p w14:paraId="5EE6009C" w14:textId="77777777" w:rsidR="00F57DF3" w:rsidRDefault="00B72B2A" w:rsidP="002160E7">
      <w:pPr>
        <w:pStyle w:val="BodyTextIndent3"/>
        <w:ind w:left="0"/>
        <w:jc w:val="both"/>
        <w:rPr>
          <w:rFonts w:ascii="Arial" w:hAnsi="Arial" w:cs="Arial"/>
          <w:sz w:val="22"/>
          <w:szCs w:val="22"/>
        </w:rPr>
      </w:pPr>
      <w:r>
        <w:rPr>
          <w:rFonts w:ascii="Arial" w:hAnsi="Arial" w:cs="Arial"/>
          <w:sz w:val="22"/>
          <w:szCs w:val="22"/>
        </w:rPr>
        <w:tab/>
      </w:r>
    </w:p>
    <w:p w14:paraId="38B25BB4" w14:textId="77777777" w:rsidR="00B72B2A" w:rsidRDefault="00B72B2A" w:rsidP="002160E7">
      <w:pPr>
        <w:pStyle w:val="BodyTextIndent3"/>
        <w:ind w:left="0"/>
        <w:jc w:val="both"/>
        <w:rPr>
          <w:rFonts w:ascii="Arial" w:hAnsi="Arial" w:cs="Arial"/>
          <w:sz w:val="22"/>
          <w:szCs w:val="22"/>
        </w:rPr>
      </w:pPr>
      <w:r>
        <w:rPr>
          <w:rFonts w:ascii="Arial" w:hAnsi="Arial" w:cs="Arial"/>
          <w:sz w:val="22"/>
          <w:szCs w:val="22"/>
        </w:rPr>
        <w:t xml:space="preserve">Available levels of social housing in Australian cities </w:t>
      </w:r>
      <w:r w:rsidR="003D223E">
        <w:rPr>
          <w:rFonts w:ascii="Arial" w:hAnsi="Arial" w:cs="Arial"/>
          <w:sz w:val="22"/>
          <w:szCs w:val="22"/>
        </w:rPr>
        <w:t>are</w:t>
      </w:r>
      <w:r>
        <w:rPr>
          <w:rFonts w:ascii="Arial" w:hAnsi="Arial" w:cs="Arial"/>
          <w:sz w:val="22"/>
          <w:szCs w:val="22"/>
        </w:rPr>
        <w:t xml:space="preserve"> as </w:t>
      </w:r>
      <w:r w:rsidR="003D223E">
        <w:rPr>
          <w:rFonts w:ascii="Arial" w:hAnsi="Arial" w:cs="Arial"/>
          <w:sz w:val="22"/>
          <w:szCs w:val="22"/>
        </w:rPr>
        <w:t>follows: -</w:t>
      </w:r>
    </w:p>
    <w:p w14:paraId="2D74EBF9" w14:textId="77777777" w:rsidR="00B72B2A" w:rsidRDefault="00B72B2A" w:rsidP="002160E7">
      <w:pPr>
        <w:pStyle w:val="BodyTextIndent3"/>
        <w:ind w:left="0"/>
        <w:jc w:val="both"/>
        <w:rPr>
          <w:rFonts w:ascii="Arial" w:hAnsi="Arial" w:cs="Arial"/>
          <w:sz w:val="22"/>
          <w:szCs w:val="22"/>
        </w:rPr>
      </w:pPr>
    </w:p>
    <w:p w14:paraId="798D724A" w14:textId="6FEFA164" w:rsidR="00B72B2A" w:rsidRDefault="00B72B2A" w:rsidP="002160E7">
      <w:pPr>
        <w:pStyle w:val="BodyTextIndent3"/>
        <w:ind w:left="0"/>
        <w:jc w:val="both"/>
        <w:rPr>
          <w:rFonts w:ascii="Arial" w:hAnsi="Arial" w:cs="Arial"/>
          <w:sz w:val="22"/>
          <w:szCs w:val="22"/>
        </w:rPr>
      </w:pPr>
      <w:r>
        <w:rPr>
          <w:rFonts w:ascii="Arial" w:hAnsi="Arial" w:cs="Arial"/>
          <w:sz w:val="22"/>
          <w:szCs w:val="22"/>
        </w:rPr>
        <w:lastRenderedPageBreak/>
        <w:tab/>
      </w:r>
      <w:r w:rsidR="00CF694D" w:rsidRPr="00597936">
        <w:rPr>
          <w:noProof/>
        </w:rPr>
        <w:drawing>
          <wp:inline distT="0" distB="0" distL="0" distR="0" wp14:anchorId="62A542C5" wp14:editId="4CA091E1">
            <wp:extent cx="5970270" cy="2874010"/>
            <wp:effectExtent l="0" t="0" r="0" b="0"/>
            <wp:docPr id="4" name="Chart 3" descr="Chart showing social housing as a percentage of all dwellings in 22 Australian citi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6681FC" w14:textId="77777777" w:rsidR="00B72B2A" w:rsidRDefault="00B72B2A" w:rsidP="002160E7">
      <w:pPr>
        <w:pStyle w:val="BodyTextIndent3"/>
        <w:ind w:left="0"/>
        <w:jc w:val="both"/>
        <w:rPr>
          <w:rFonts w:ascii="Arial" w:hAnsi="Arial" w:cs="Arial"/>
          <w:sz w:val="22"/>
          <w:szCs w:val="22"/>
        </w:rPr>
      </w:pPr>
    </w:p>
    <w:p w14:paraId="7195792F" w14:textId="77777777" w:rsidR="008336D5" w:rsidRDefault="008336D5" w:rsidP="002160E7">
      <w:pPr>
        <w:pStyle w:val="BodyTextIndent3"/>
        <w:ind w:left="0"/>
        <w:jc w:val="both"/>
        <w:rPr>
          <w:rFonts w:ascii="Arial" w:hAnsi="Arial" w:cs="Arial"/>
          <w:sz w:val="22"/>
          <w:szCs w:val="22"/>
        </w:rPr>
      </w:pPr>
    </w:p>
    <w:p w14:paraId="0E56FBB6" w14:textId="77777777" w:rsidR="006A6E5B" w:rsidRDefault="006A6E5B" w:rsidP="002160E7">
      <w:pPr>
        <w:pStyle w:val="BodyTextIndent3"/>
        <w:ind w:left="0"/>
        <w:jc w:val="both"/>
        <w:rPr>
          <w:rFonts w:ascii="Arial" w:hAnsi="Arial" w:cs="Arial"/>
          <w:sz w:val="22"/>
          <w:szCs w:val="22"/>
        </w:rPr>
      </w:pPr>
    </w:p>
    <w:p w14:paraId="3A031D81" w14:textId="77777777" w:rsidR="006A6E5B" w:rsidRDefault="006A6E5B" w:rsidP="002160E7">
      <w:pPr>
        <w:pStyle w:val="BodyTextIndent3"/>
        <w:ind w:left="0"/>
        <w:jc w:val="both"/>
        <w:rPr>
          <w:rFonts w:ascii="Arial" w:hAnsi="Arial" w:cs="Arial"/>
          <w:sz w:val="22"/>
          <w:szCs w:val="22"/>
        </w:rPr>
      </w:pPr>
    </w:p>
    <w:p w14:paraId="248FB408" w14:textId="77777777" w:rsidR="006A6E5B" w:rsidRDefault="006A6E5B" w:rsidP="002160E7">
      <w:pPr>
        <w:pStyle w:val="BodyTextIndent3"/>
        <w:ind w:left="0"/>
        <w:jc w:val="both"/>
        <w:rPr>
          <w:rFonts w:ascii="Arial" w:hAnsi="Arial" w:cs="Arial"/>
          <w:sz w:val="22"/>
          <w:szCs w:val="22"/>
        </w:rPr>
      </w:pPr>
    </w:p>
    <w:p w14:paraId="37FA6C66" w14:textId="7211DD0A" w:rsidR="008A261C" w:rsidRDefault="008A261C" w:rsidP="002160E7">
      <w:pPr>
        <w:pStyle w:val="BodyTextIndent3"/>
        <w:ind w:left="0"/>
        <w:jc w:val="both"/>
        <w:rPr>
          <w:rFonts w:ascii="Arial" w:hAnsi="Arial" w:cs="Arial"/>
          <w:sz w:val="22"/>
          <w:szCs w:val="22"/>
        </w:rPr>
      </w:pPr>
      <w:r w:rsidRPr="00DD211F">
        <w:rPr>
          <w:rFonts w:ascii="Arial" w:hAnsi="Arial" w:cs="Arial"/>
          <w:sz w:val="22"/>
          <w:szCs w:val="22"/>
        </w:rPr>
        <w:lastRenderedPageBreak/>
        <w:fldChar w:fldCharType="begin"/>
      </w:r>
      <w:r w:rsidRPr="00DD211F">
        <w:rPr>
          <w:rFonts w:ascii="Arial" w:hAnsi="Arial" w:cs="Arial"/>
          <w:sz w:val="22"/>
          <w:szCs w:val="22"/>
        </w:rPr>
        <w:instrText xml:space="preserve"> INCLUDEPICTURE "https://static.ffx.io/images/$width_620/t_resize_width%2Cq_88%2Cf_auto/e7bc466e452c8d366842fed5e3624b814e80029f" \* MERGEFORMATINET </w:instrText>
      </w:r>
      <w:r w:rsidRPr="00DD211F">
        <w:rPr>
          <w:rFonts w:ascii="Arial" w:hAnsi="Arial" w:cs="Arial"/>
          <w:sz w:val="22"/>
          <w:szCs w:val="22"/>
        </w:rPr>
        <w:fldChar w:fldCharType="separate"/>
      </w:r>
      <w:r w:rsidR="00FE516A" w:rsidRPr="00DD211F">
        <w:rPr>
          <w:rFonts w:ascii="Arial" w:hAnsi="Arial" w:cs="Arial"/>
          <w:sz w:val="22"/>
          <w:szCs w:val="22"/>
        </w:rPr>
        <w:pict w14:anchorId="78FF7DE4">
          <v:shape id="_x0000_i1038" type="#_x0000_t75" alt="Table - Need for social and affordable homes by state" style="width:465pt;height:465pt">
            <v:imagedata r:id="rId14" r:href="rId15"/>
          </v:shape>
        </w:pict>
      </w:r>
      <w:r w:rsidRPr="00DD211F">
        <w:rPr>
          <w:rFonts w:ascii="Arial" w:hAnsi="Arial" w:cs="Arial"/>
          <w:sz w:val="22"/>
          <w:szCs w:val="22"/>
        </w:rPr>
        <w:fldChar w:fldCharType="end"/>
      </w:r>
    </w:p>
    <w:p w14:paraId="1D1D6890" w14:textId="77777777" w:rsidR="00132163" w:rsidRDefault="00132163" w:rsidP="002160E7">
      <w:pPr>
        <w:pStyle w:val="BodyTextIndent3"/>
        <w:ind w:left="0"/>
        <w:jc w:val="both"/>
        <w:rPr>
          <w:rFonts w:ascii="Arial" w:hAnsi="Arial" w:cs="Arial"/>
          <w:sz w:val="22"/>
          <w:szCs w:val="22"/>
        </w:rPr>
      </w:pPr>
    </w:p>
    <w:p w14:paraId="0C41182F" w14:textId="77777777" w:rsidR="00434DF0" w:rsidRPr="002857A7" w:rsidRDefault="00A841BE" w:rsidP="002160E7">
      <w:pPr>
        <w:pStyle w:val="BodyTextIndent3"/>
        <w:ind w:left="0"/>
        <w:jc w:val="both"/>
        <w:rPr>
          <w:rFonts w:ascii="Arial" w:hAnsi="Arial" w:cs="Arial"/>
          <w:sz w:val="22"/>
          <w:szCs w:val="22"/>
          <w:u w:val="single"/>
        </w:rPr>
      </w:pPr>
      <w:r>
        <w:rPr>
          <w:rFonts w:ascii="Arial" w:hAnsi="Arial" w:cs="Arial"/>
          <w:sz w:val="22"/>
          <w:szCs w:val="22"/>
        </w:rPr>
        <w:t>7</w:t>
      </w:r>
      <w:r w:rsidR="00722B28">
        <w:rPr>
          <w:rFonts w:ascii="Arial" w:hAnsi="Arial" w:cs="Arial"/>
          <w:sz w:val="22"/>
          <w:szCs w:val="22"/>
        </w:rPr>
        <w:t>.0</w:t>
      </w:r>
      <w:r w:rsidR="00434DF0" w:rsidRPr="002857A7">
        <w:rPr>
          <w:rFonts w:ascii="Arial" w:hAnsi="Arial" w:cs="Arial"/>
          <w:sz w:val="22"/>
          <w:szCs w:val="22"/>
        </w:rPr>
        <w:tab/>
      </w:r>
      <w:bookmarkStart w:id="9" w:name="_Hlk90304449"/>
      <w:r w:rsidR="00434DF0" w:rsidRPr="00526DEE">
        <w:rPr>
          <w:rFonts w:ascii="Arial" w:hAnsi="Arial" w:cs="Arial"/>
          <w:b/>
          <w:color w:val="1F3864"/>
          <w:sz w:val="22"/>
          <w:szCs w:val="22"/>
        </w:rPr>
        <w:t>P</w:t>
      </w:r>
      <w:r w:rsidR="00891DB1">
        <w:rPr>
          <w:rFonts w:ascii="Arial" w:hAnsi="Arial" w:cs="Arial"/>
          <w:b/>
          <w:color w:val="1F3864"/>
          <w:sz w:val="22"/>
          <w:szCs w:val="22"/>
        </w:rPr>
        <w:t>OLICY ON SOCIAL AND COMMUNITY HOUSING</w:t>
      </w:r>
      <w:r w:rsidR="003E7D20" w:rsidRPr="002857A7">
        <w:rPr>
          <w:rFonts w:ascii="Arial" w:hAnsi="Arial" w:cs="Arial"/>
          <w:sz w:val="22"/>
          <w:szCs w:val="22"/>
          <w:u w:val="single"/>
        </w:rPr>
        <w:t xml:space="preserve"> </w:t>
      </w:r>
      <w:bookmarkEnd w:id="9"/>
    </w:p>
    <w:p w14:paraId="38497B92" w14:textId="77777777" w:rsidR="00434DF0" w:rsidRPr="002857A7" w:rsidRDefault="00434DF0" w:rsidP="002160E7">
      <w:pPr>
        <w:pStyle w:val="BodyTextIndent3"/>
        <w:ind w:left="0"/>
        <w:jc w:val="both"/>
        <w:rPr>
          <w:rFonts w:ascii="Arial" w:hAnsi="Arial" w:cs="Arial"/>
          <w:sz w:val="22"/>
          <w:szCs w:val="22"/>
          <w:u w:val="single"/>
        </w:rPr>
      </w:pPr>
    </w:p>
    <w:p w14:paraId="7616683A" w14:textId="77777777" w:rsidR="009A77DE" w:rsidRDefault="00A841BE" w:rsidP="00776D0A">
      <w:pPr>
        <w:pStyle w:val="BodyTextIndent3"/>
        <w:ind w:hanging="720"/>
        <w:jc w:val="both"/>
        <w:rPr>
          <w:rFonts w:ascii="Arial" w:hAnsi="Arial" w:cs="Arial"/>
          <w:sz w:val="22"/>
          <w:szCs w:val="22"/>
        </w:rPr>
      </w:pPr>
      <w:r>
        <w:rPr>
          <w:rFonts w:ascii="Arial" w:hAnsi="Arial" w:cs="Arial"/>
          <w:sz w:val="22"/>
          <w:szCs w:val="22"/>
        </w:rPr>
        <w:t>7</w:t>
      </w:r>
      <w:r w:rsidR="00A77FB7">
        <w:rPr>
          <w:rFonts w:ascii="Arial" w:hAnsi="Arial" w:cs="Arial"/>
          <w:sz w:val="22"/>
          <w:szCs w:val="22"/>
        </w:rPr>
        <w:t>.1</w:t>
      </w:r>
      <w:r w:rsidR="00DD05D4">
        <w:rPr>
          <w:rFonts w:ascii="Arial" w:hAnsi="Arial" w:cs="Arial"/>
          <w:sz w:val="22"/>
          <w:szCs w:val="22"/>
        </w:rPr>
        <w:tab/>
      </w:r>
      <w:bookmarkStart w:id="10" w:name="_Hlk90556461"/>
      <w:r w:rsidR="009A77DE">
        <w:rPr>
          <w:rFonts w:ascii="Arial" w:hAnsi="Arial" w:cs="Arial"/>
          <w:b/>
          <w:color w:val="1F3864"/>
          <w:sz w:val="22"/>
          <w:szCs w:val="22"/>
        </w:rPr>
        <w:t>Reducing levels of public housing stock transfer</w:t>
      </w:r>
      <w:bookmarkEnd w:id="10"/>
    </w:p>
    <w:p w14:paraId="54A97141" w14:textId="77777777" w:rsidR="009A77DE" w:rsidRDefault="009A77DE" w:rsidP="00776D0A">
      <w:pPr>
        <w:pStyle w:val="BodyTextIndent3"/>
        <w:ind w:hanging="720"/>
        <w:jc w:val="both"/>
        <w:rPr>
          <w:rFonts w:ascii="Arial" w:hAnsi="Arial" w:cs="Arial"/>
          <w:sz w:val="22"/>
          <w:szCs w:val="22"/>
        </w:rPr>
      </w:pPr>
    </w:p>
    <w:p w14:paraId="036AB1F2" w14:textId="77777777" w:rsidR="0024434C" w:rsidRPr="00526DEE" w:rsidRDefault="00BA6F3F" w:rsidP="009A77DE">
      <w:pPr>
        <w:pStyle w:val="BodyTextIndent3"/>
        <w:jc w:val="both"/>
        <w:rPr>
          <w:rFonts w:ascii="Arial" w:hAnsi="Arial" w:cs="Arial"/>
          <w:sz w:val="22"/>
          <w:szCs w:val="22"/>
        </w:rPr>
      </w:pPr>
      <w:r>
        <w:rPr>
          <w:rFonts w:ascii="Arial" w:hAnsi="Arial" w:cs="Arial"/>
          <w:sz w:val="22"/>
          <w:szCs w:val="22"/>
        </w:rPr>
        <w:t xml:space="preserve">The policy environment </w:t>
      </w:r>
      <w:r w:rsidR="00F57DF3">
        <w:rPr>
          <w:rFonts w:ascii="Arial" w:hAnsi="Arial" w:cs="Arial"/>
          <w:sz w:val="22"/>
          <w:szCs w:val="22"/>
        </w:rPr>
        <w:t>has</w:t>
      </w:r>
      <w:r w:rsidR="00965184">
        <w:rPr>
          <w:rFonts w:ascii="Arial" w:hAnsi="Arial" w:cs="Arial"/>
          <w:sz w:val="22"/>
          <w:szCs w:val="22"/>
        </w:rPr>
        <w:t xml:space="preserve"> </w:t>
      </w:r>
      <w:r w:rsidR="00776D0A">
        <w:rPr>
          <w:rFonts w:ascii="Arial" w:hAnsi="Arial" w:cs="Arial"/>
          <w:sz w:val="22"/>
          <w:szCs w:val="22"/>
        </w:rPr>
        <w:t>t</w:t>
      </w:r>
      <w:r>
        <w:rPr>
          <w:rFonts w:ascii="Arial" w:hAnsi="Arial" w:cs="Arial"/>
          <w:sz w:val="22"/>
          <w:szCs w:val="22"/>
        </w:rPr>
        <w:t>ransition</w:t>
      </w:r>
      <w:r w:rsidR="00F57DF3">
        <w:rPr>
          <w:rFonts w:ascii="Arial" w:hAnsi="Arial" w:cs="Arial"/>
          <w:sz w:val="22"/>
          <w:szCs w:val="22"/>
        </w:rPr>
        <w:t>ed</w:t>
      </w:r>
      <w:r>
        <w:rPr>
          <w:rFonts w:ascii="Arial" w:hAnsi="Arial" w:cs="Arial"/>
          <w:sz w:val="22"/>
          <w:szCs w:val="22"/>
        </w:rPr>
        <w:t xml:space="preserve"> from a period during the 2010s where the Tasmanian, SA and NSW Governments focused on </w:t>
      </w:r>
      <w:r w:rsidRPr="004D5A22">
        <w:rPr>
          <w:rFonts w:ascii="Arial" w:hAnsi="Arial" w:cs="Arial"/>
          <w:sz w:val="22"/>
          <w:szCs w:val="22"/>
        </w:rPr>
        <w:t>management transfer</w:t>
      </w:r>
      <w:r>
        <w:rPr>
          <w:rFonts w:ascii="Arial" w:hAnsi="Arial" w:cs="Arial"/>
          <w:sz w:val="22"/>
          <w:szCs w:val="22"/>
        </w:rPr>
        <w:t xml:space="preserve"> principally to assist in containing the increasing costs of managing public housing portfolios</w:t>
      </w:r>
      <w:r w:rsidR="00A3543D">
        <w:rPr>
          <w:rFonts w:ascii="Arial" w:hAnsi="Arial" w:cs="Arial"/>
          <w:sz w:val="22"/>
          <w:szCs w:val="22"/>
        </w:rPr>
        <w:t xml:space="preserve">. The only State Government </w:t>
      </w:r>
      <w:r w:rsidR="00E2198B">
        <w:rPr>
          <w:rFonts w:ascii="Arial" w:hAnsi="Arial" w:cs="Arial"/>
          <w:sz w:val="22"/>
          <w:szCs w:val="22"/>
        </w:rPr>
        <w:t xml:space="preserve">that has recently undertaken </w:t>
      </w:r>
      <w:r w:rsidR="00491D17">
        <w:rPr>
          <w:rFonts w:ascii="Arial" w:hAnsi="Arial" w:cs="Arial"/>
          <w:sz w:val="22"/>
          <w:szCs w:val="22"/>
        </w:rPr>
        <w:t xml:space="preserve">significant </w:t>
      </w:r>
      <w:r w:rsidR="00321E2C">
        <w:rPr>
          <w:rFonts w:ascii="Arial" w:hAnsi="Arial" w:cs="Arial"/>
          <w:sz w:val="22"/>
          <w:szCs w:val="22"/>
        </w:rPr>
        <w:t xml:space="preserve">further </w:t>
      </w:r>
      <w:r w:rsidR="00491D17">
        <w:rPr>
          <w:rFonts w:ascii="Arial" w:hAnsi="Arial" w:cs="Arial"/>
          <w:sz w:val="22"/>
          <w:szCs w:val="22"/>
        </w:rPr>
        <w:t xml:space="preserve">transfer of </w:t>
      </w:r>
      <w:r w:rsidR="00321E2C">
        <w:rPr>
          <w:rFonts w:ascii="Arial" w:hAnsi="Arial" w:cs="Arial"/>
          <w:sz w:val="22"/>
          <w:szCs w:val="22"/>
        </w:rPr>
        <w:t>public housing</w:t>
      </w:r>
      <w:r w:rsidR="00776D0A">
        <w:rPr>
          <w:rFonts w:ascii="Arial" w:hAnsi="Arial" w:cs="Arial"/>
          <w:sz w:val="22"/>
          <w:szCs w:val="22"/>
        </w:rPr>
        <w:t xml:space="preserve"> is</w:t>
      </w:r>
      <w:r w:rsidR="00491D17">
        <w:rPr>
          <w:rFonts w:ascii="Arial" w:hAnsi="Arial" w:cs="Arial"/>
          <w:sz w:val="22"/>
          <w:szCs w:val="22"/>
        </w:rPr>
        <w:t xml:space="preserve"> in Tasmania wh</w:t>
      </w:r>
      <w:r w:rsidR="00321E2C">
        <w:rPr>
          <w:rFonts w:ascii="Arial" w:hAnsi="Arial" w:cs="Arial"/>
          <w:sz w:val="22"/>
          <w:szCs w:val="22"/>
        </w:rPr>
        <w:t xml:space="preserve">ere it </w:t>
      </w:r>
      <w:r w:rsidR="00491D17">
        <w:rPr>
          <w:rFonts w:ascii="Arial" w:hAnsi="Arial" w:cs="Arial"/>
          <w:sz w:val="22"/>
          <w:szCs w:val="22"/>
        </w:rPr>
        <w:t>is transferring 2,000 homes</w:t>
      </w:r>
      <w:r w:rsidR="00E32D24">
        <w:rPr>
          <w:rFonts w:ascii="Arial" w:hAnsi="Arial" w:cs="Arial"/>
          <w:sz w:val="22"/>
          <w:szCs w:val="22"/>
        </w:rPr>
        <w:t>.</w:t>
      </w:r>
    </w:p>
    <w:p w14:paraId="2F393089" w14:textId="77777777" w:rsidR="0024434C" w:rsidRDefault="0024434C" w:rsidP="0006048A">
      <w:pPr>
        <w:pStyle w:val="BodyTextIndent3"/>
        <w:ind w:left="1080"/>
        <w:jc w:val="both"/>
        <w:rPr>
          <w:rFonts w:ascii="Arial" w:hAnsi="Arial" w:cs="Arial"/>
          <w:sz w:val="22"/>
          <w:szCs w:val="22"/>
        </w:rPr>
      </w:pPr>
    </w:p>
    <w:p w14:paraId="4007C446" w14:textId="77777777" w:rsidR="009A77DE" w:rsidRDefault="00A841BE" w:rsidP="00A841BE">
      <w:pPr>
        <w:pStyle w:val="BodyTextIndent3"/>
        <w:ind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bookmarkStart w:id="11" w:name="_Hlk90556507"/>
      <w:r w:rsidR="009A77DE">
        <w:rPr>
          <w:rFonts w:ascii="Arial" w:hAnsi="Arial" w:cs="Arial"/>
          <w:b/>
          <w:color w:val="1F3864"/>
          <w:sz w:val="22"/>
          <w:szCs w:val="22"/>
        </w:rPr>
        <w:t xml:space="preserve">Social housing stimulus </w:t>
      </w:r>
      <w:bookmarkEnd w:id="11"/>
    </w:p>
    <w:p w14:paraId="0501765E" w14:textId="77777777" w:rsidR="009A77DE" w:rsidRDefault="009A77DE" w:rsidP="00A841BE">
      <w:pPr>
        <w:pStyle w:val="BodyTextIndent3"/>
        <w:ind w:hanging="720"/>
        <w:jc w:val="both"/>
        <w:rPr>
          <w:rFonts w:ascii="Arial" w:hAnsi="Arial" w:cs="Arial"/>
          <w:sz w:val="22"/>
          <w:szCs w:val="22"/>
        </w:rPr>
      </w:pPr>
    </w:p>
    <w:p w14:paraId="2426ABD2" w14:textId="77777777" w:rsidR="0006048A" w:rsidRDefault="00E2198B" w:rsidP="009A77DE">
      <w:pPr>
        <w:pStyle w:val="BodyTextIndent3"/>
        <w:jc w:val="both"/>
        <w:rPr>
          <w:rFonts w:ascii="Arial" w:hAnsi="Arial" w:cs="Arial"/>
          <w:sz w:val="22"/>
          <w:szCs w:val="22"/>
        </w:rPr>
      </w:pPr>
      <w:r w:rsidRPr="00B84E23">
        <w:rPr>
          <w:rFonts w:ascii="Arial" w:hAnsi="Arial" w:cs="Arial"/>
          <w:sz w:val="22"/>
          <w:szCs w:val="22"/>
        </w:rPr>
        <w:t>There is now a</w:t>
      </w:r>
      <w:r w:rsidR="00BA6F3F" w:rsidRPr="00B84E23">
        <w:rPr>
          <w:rFonts w:ascii="Arial" w:hAnsi="Arial" w:cs="Arial"/>
          <w:sz w:val="22"/>
          <w:szCs w:val="22"/>
        </w:rPr>
        <w:t xml:space="preserve"> focus on </w:t>
      </w:r>
      <w:r w:rsidR="009A77DE">
        <w:rPr>
          <w:rFonts w:ascii="Arial" w:hAnsi="Arial" w:cs="Arial"/>
          <w:sz w:val="22"/>
          <w:szCs w:val="22"/>
        </w:rPr>
        <w:t xml:space="preserve">social </w:t>
      </w:r>
      <w:r w:rsidR="00BA6F3F" w:rsidRPr="00B84E23">
        <w:rPr>
          <w:rFonts w:ascii="Arial" w:hAnsi="Arial" w:cs="Arial"/>
          <w:sz w:val="22"/>
          <w:szCs w:val="22"/>
        </w:rPr>
        <w:t>housing development</w:t>
      </w:r>
      <w:r w:rsidR="0006048A" w:rsidRPr="00B84E23">
        <w:rPr>
          <w:rFonts w:ascii="Arial" w:hAnsi="Arial" w:cs="Arial"/>
          <w:sz w:val="22"/>
          <w:szCs w:val="22"/>
        </w:rPr>
        <w:t xml:space="preserve"> in some States</w:t>
      </w:r>
      <w:r w:rsidR="00BA6F3F" w:rsidRPr="00B84E23">
        <w:rPr>
          <w:rFonts w:ascii="Arial" w:hAnsi="Arial" w:cs="Arial"/>
          <w:sz w:val="22"/>
          <w:szCs w:val="22"/>
        </w:rPr>
        <w:t xml:space="preserve"> to assist housing those most in need who have been left behind by</w:t>
      </w:r>
      <w:r w:rsidR="0006048A" w:rsidRPr="00B84E23">
        <w:rPr>
          <w:rFonts w:ascii="Arial" w:hAnsi="Arial" w:cs="Arial"/>
          <w:sz w:val="22"/>
          <w:szCs w:val="22"/>
        </w:rPr>
        <w:t xml:space="preserve"> rising private rental levels and reducing vacancy rates in many States</w:t>
      </w:r>
      <w:r w:rsidR="00965184">
        <w:rPr>
          <w:rFonts w:ascii="Arial" w:hAnsi="Arial" w:cs="Arial"/>
          <w:sz w:val="22"/>
          <w:szCs w:val="22"/>
        </w:rPr>
        <w:t xml:space="preserve">. In </w:t>
      </w:r>
      <w:r w:rsidR="0006048A" w:rsidRPr="00B84E23">
        <w:rPr>
          <w:rFonts w:ascii="Arial" w:hAnsi="Arial" w:cs="Arial"/>
          <w:sz w:val="22"/>
          <w:szCs w:val="22"/>
        </w:rPr>
        <w:t>Tasmania</w:t>
      </w:r>
      <w:r w:rsidR="00A3543D" w:rsidRPr="00B84E23">
        <w:rPr>
          <w:rFonts w:ascii="Arial" w:hAnsi="Arial" w:cs="Arial"/>
          <w:sz w:val="22"/>
          <w:szCs w:val="22"/>
        </w:rPr>
        <w:t xml:space="preserve"> the Government is funding 1,</w:t>
      </w:r>
      <w:r w:rsidR="0013079C">
        <w:rPr>
          <w:rFonts w:ascii="Arial" w:hAnsi="Arial" w:cs="Arial"/>
          <w:sz w:val="22"/>
          <w:szCs w:val="22"/>
        </w:rPr>
        <w:t>0</w:t>
      </w:r>
      <w:r w:rsidR="00A3543D" w:rsidRPr="00B84E23">
        <w:rPr>
          <w:rFonts w:ascii="Arial" w:hAnsi="Arial" w:cs="Arial"/>
          <w:sz w:val="22"/>
          <w:szCs w:val="22"/>
        </w:rPr>
        <w:t>00 new units over the next two years</w:t>
      </w:r>
      <w:r w:rsidR="00776D0A" w:rsidRPr="00B84E23">
        <w:rPr>
          <w:rFonts w:ascii="Arial" w:hAnsi="Arial" w:cs="Arial"/>
          <w:sz w:val="22"/>
          <w:szCs w:val="22"/>
        </w:rPr>
        <w:t xml:space="preserve"> to be delivered by partners</w:t>
      </w:r>
      <w:r w:rsidR="00A3543D" w:rsidRPr="00B84E23">
        <w:rPr>
          <w:rFonts w:ascii="Arial" w:hAnsi="Arial" w:cs="Arial"/>
          <w:sz w:val="22"/>
          <w:szCs w:val="22"/>
        </w:rPr>
        <w:t>;</w:t>
      </w:r>
      <w:r w:rsidR="0006048A" w:rsidRPr="00B84E23">
        <w:rPr>
          <w:rFonts w:ascii="Arial" w:hAnsi="Arial" w:cs="Arial"/>
          <w:sz w:val="22"/>
          <w:szCs w:val="22"/>
        </w:rPr>
        <w:t xml:space="preserve"> </w:t>
      </w:r>
      <w:r w:rsidR="0006048A" w:rsidRPr="00B84E23">
        <w:rPr>
          <w:rFonts w:ascii="Arial" w:hAnsi="Arial" w:cs="Arial"/>
          <w:sz w:val="22"/>
          <w:szCs w:val="22"/>
        </w:rPr>
        <w:lastRenderedPageBreak/>
        <w:t>Queensland</w:t>
      </w:r>
      <w:r w:rsidR="00A3543D" w:rsidRPr="00B84E23">
        <w:rPr>
          <w:rFonts w:ascii="Arial" w:hAnsi="Arial" w:cs="Arial"/>
          <w:sz w:val="22"/>
          <w:szCs w:val="22"/>
        </w:rPr>
        <w:t xml:space="preserve"> has set a target of 6,000 additional units over the next four years</w:t>
      </w:r>
      <w:r w:rsidR="00965184">
        <w:rPr>
          <w:rFonts w:ascii="Arial" w:hAnsi="Arial" w:cs="Arial"/>
          <w:sz w:val="22"/>
          <w:szCs w:val="22"/>
        </w:rPr>
        <w:t>;</w:t>
      </w:r>
      <w:r w:rsidR="00A3543D" w:rsidRPr="00B84E23">
        <w:rPr>
          <w:rFonts w:ascii="Arial" w:hAnsi="Arial" w:cs="Arial"/>
          <w:sz w:val="22"/>
          <w:szCs w:val="22"/>
        </w:rPr>
        <w:t xml:space="preserve"> most significantly</w:t>
      </w:r>
      <w:r w:rsidR="0006048A" w:rsidRPr="00B84E23">
        <w:rPr>
          <w:rFonts w:ascii="Arial" w:hAnsi="Arial" w:cs="Arial"/>
          <w:sz w:val="22"/>
          <w:szCs w:val="22"/>
        </w:rPr>
        <w:t xml:space="preserve"> </w:t>
      </w:r>
      <w:r w:rsidR="00A3543D" w:rsidRPr="00B84E23">
        <w:rPr>
          <w:rFonts w:ascii="Arial" w:hAnsi="Arial" w:cs="Arial"/>
          <w:sz w:val="22"/>
          <w:szCs w:val="22"/>
        </w:rPr>
        <w:t>to address</w:t>
      </w:r>
      <w:r w:rsidR="0006048A" w:rsidRPr="00B84E23">
        <w:rPr>
          <w:rFonts w:ascii="Arial" w:hAnsi="Arial" w:cs="Arial"/>
          <w:sz w:val="22"/>
          <w:szCs w:val="22"/>
        </w:rPr>
        <w:t xml:space="preserve"> historical social and affordable rental housing deficits</w:t>
      </w:r>
      <w:r w:rsidR="00A3543D" w:rsidRPr="00B84E23">
        <w:rPr>
          <w:rFonts w:ascii="Arial" w:hAnsi="Arial" w:cs="Arial"/>
          <w:sz w:val="22"/>
          <w:szCs w:val="22"/>
        </w:rPr>
        <w:t>,</w:t>
      </w:r>
      <w:r w:rsidR="00776D0A" w:rsidRPr="00B84E23">
        <w:rPr>
          <w:rFonts w:ascii="Arial" w:hAnsi="Arial" w:cs="Arial"/>
          <w:sz w:val="22"/>
          <w:szCs w:val="22"/>
        </w:rPr>
        <w:t xml:space="preserve"> </w:t>
      </w:r>
      <w:r w:rsidR="0006048A" w:rsidRPr="00B84E23">
        <w:rPr>
          <w:rFonts w:ascii="Arial" w:hAnsi="Arial" w:cs="Arial"/>
          <w:sz w:val="22"/>
          <w:szCs w:val="22"/>
        </w:rPr>
        <w:t>Victoria</w:t>
      </w:r>
      <w:r w:rsidR="00A3543D" w:rsidRPr="00B84E23">
        <w:rPr>
          <w:rFonts w:ascii="Arial" w:hAnsi="Arial" w:cs="Arial"/>
          <w:sz w:val="22"/>
          <w:szCs w:val="22"/>
        </w:rPr>
        <w:t xml:space="preserve"> is planning 1</w:t>
      </w:r>
      <w:r w:rsidRPr="00B84E23">
        <w:rPr>
          <w:rFonts w:ascii="Arial" w:hAnsi="Arial" w:cs="Arial"/>
          <w:sz w:val="22"/>
          <w:szCs w:val="22"/>
        </w:rPr>
        <w:t>3,4</w:t>
      </w:r>
      <w:r w:rsidR="00A3543D" w:rsidRPr="00B84E23">
        <w:rPr>
          <w:rFonts w:ascii="Arial" w:hAnsi="Arial" w:cs="Arial"/>
          <w:sz w:val="22"/>
          <w:szCs w:val="22"/>
        </w:rPr>
        <w:t>00 additional units over four years</w:t>
      </w:r>
      <w:r w:rsidRPr="00B84E23">
        <w:rPr>
          <w:rFonts w:ascii="Arial" w:hAnsi="Arial" w:cs="Arial"/>
          <w:sz w:val="22"/>
          <w:szCs w:val="22"/>
        </w:rPr>
        <w:t xml:space="preserve"> all to be delivered or managed by the community housing sector; and </w:t>
      </w:r>
      <w:r w:rsidR="00B84E23" w:rsidRPr="00B84E23">
        <w:rPr>
          <w:rFonts w:ascii="Arial" w:hAnsi="Arial" w:cs="Arial"/>
          <w:sz w:val="22"/>
          <w:szCs w:val="22"/>
        </w:rPr>
        <w:t>WA which is planning 3,300 additional units over the next four years</w:t>
      </w:r>
      <w:r w:rsidR="0006048A" w:rsidRPr="00B84E23">
        <w:rPr>
          <w:rFonts w:ascii="Arial" w:hAnsi="Arial" w:cs="Arial"/>
          <w:sz w:val="22"/>
          <w:szCs w:val="22"/>
        </w:rPr>
        <w:t>. Th</w:t>
      </w:r>
      <w:r w:rsidR="00A3543D" w:rsidRPr="00B84E23">
        <w:rPr>
          <w:rFonts w:ascii="Arial" w:hAnsi="Arial" w:cs="Arial"/>
          <w:sz w:val="22"/>
          <w:szCs w:val="22"/>
        </w:rPr>
        <w:t>e rental deficit</w:t>
      </w:r>
      <w:r w:rsidR="0006048A" w:rsidRPr="00B84E23">
        <w:rPr>
          <w:rFonts w:ascii="Arial" w:hAnsi="Arial" w:cs="Arial"/>
          <w:sz w:val="22"/>
          <w:szCs w:val="22"/>
        </w:rPr>
        <w:t xml:space="preserve"> is also prevalent in NSW but there is</w:t>
      </w:r>
      <w:r w:rsidR="00A3543D" w:rsidRPr="00B84E23">
        <w:rPr>
          <w:rFonts w:ascii="Arial" w:hAnsi="Arial" w:cs="Arial"/>
          <w:sz w:val="22"/>
          <w:szCs w:val="22"/>
        </w:rPr>
        <w:t>,</w:t>
      </w:r>
      <w:r w:rsidR="0006048A" w:rsidRPr="00B84E23">
        <w:rPr>
          <w:rFonts w:ascii="Arial" w:hAnsi="Arial" w:cs="Arial"/>
          <w:sz w:val="22"/>
          <w:szCs w:val="22"/>
        </w:rPr>
        <w:t xml:space="preserve"> at </w:t>
      </w:r>
      <w:r w:rsidR="00A3543D" w:rsidRPr="00B84E23">
        <w:rPr>
          <w:rFonts w:ascii="Arial" w:hAnsi="Arial" w:cs="Arial"/>
          <w:sz w:val="22"/>
          <w:szCs w:val="22"/>
        </w:rPr>
        <w:t>the time of writing,</w:t>
      </w:r>
      <w:r w:rsidR="0006048A" w:rsidRPr="00B84E23">
        <w:rPr>
          <w:rFonts w:ascii="Arial" w:hAnsi="Arial" w:cs="Arial"/>
          <w:sz w:val="22"/>
          <w:szCs w:val="22"/>
        </w:rPr>
        <w:t xml:space="preserve"> no coherent State Government response at scale.</w:t>
      </w:r>
      <w:r w:rsidR="00B7304E" w:rsidRPr="00B84E23">
        <w:rPr>
          <w:rFonts w:ascii="Arial" w:hAnsi="Arial" w:cs="Arial"/>
          <w:sz w:val="22"/>
          <w:szCs w:val="22"/>
        </w:rPr>
        <w:t xml:space="preserve"> </w:t>
      </w:r>
      <w:r w:rsidR="0013079C">
        <w:rPr>
          <w:rFonts w:ascii="Arial" w:hAnsi="Arial" w:cs="Arial"/>
          <w:sz w:val="22"/>
          <w:szCs w:val="22"/>
        </w:rPr>
        <w:t>Despite these</w:t>
      </w:r>
      <w:r w:rsidR="004026B8">
        <w:rPr>
          <w:rFonts w:ascii="Arial" w:hAnsi="Arial" w:cs="Arial"/>
          <w:sz w:val="22"/>
          <w:szCs w:val="22"/>
        </w:rPr>
        <w:t xml:space="preserve"> significant initiatives they will only just increase available housing for those most in need by a small amount given the loss of NRAS accommodation over the next five years.</w:t>
      </w:r>
    </w:p>
    <w:p w14:paraId="7A9A6F8D" w14:textId="77777777" w:rsidR="00B84E23" w:rsidRPr="00B84E23" w:rsidRDefault="00B84E23" w:rsidP="00B84E23">
      <w:pPr>
        <w:pStyle w:val="BodyTextIndent3"/>
        <w:jc w:val="both"/>
        <w:rPr>
          <w:rFonts w:ascii="Arial" w:hAnsi="Arial" w:cs="Arial"/>
          <w:sz w:val="22"/>
          <w:szCs w:val="22"/>
        </w:rPr>
      </w:pPr>
    </w:p>
    <w:p w14:paraId="11B67361" w14:textId="77777777" w:rsidR="009A77DE" w:rsidRDefault="00A841BE" w:rsidP="00A841BE">
      <w:pPr>
        <w:pStyle w:val="BodyTextIndent3"/>
        <w:ind w:hanging="720"/>
        <w:jc w:val="both"/>
        <w:rPr>
          <w:rFonts w:ascii="Arial" w:hAnsi="Arial" w:cs="Arial"/>
          <w:sz w:val="22"/>
          <w:szCs w:val="22"/>
        </w:rPr>
      </w:pPr>
      <w:r>
        <w:rPr>
          <w:rFonts w:ascii="Arial" w:hAnsi="Arial" w:cs="Arial"/>
          <w:sz w:val="22"/>
          <w:szCs w:val="22"/>
        </w:rPr>
        <w:t>7.3</w:t>
      </w:r>
      <w:r>
        <w:rPr>
          <w:rFonts w:ascii="Arial" w:hAnsi="Arial" w:cs="Arial"/>
          <w:sz w:val="22"/>
          <w:szCs w:val="22"/>
        </w:rPr>
        <w:tab/>
      </w:r>
      <w:bookmarkStart w:id="12" w:name="_Hlk90556587"/>
      <w:r w:rsidR="009A77DE">
        <w:rPr>
          <w:rFonts w:ascii="Arial" w:hAnsi="Arial" w:cs="Arial"/>
          <w:b/>
          <w:color w:val="1F3864"/>
          <w:sz w:val="22"/>
          <w:szCs w:val="22"/>
        </w:rPr>
        <w:t>Specialist Disability Accommodation (SDA)</w:t>
      </w:r>
      <w:bookmarkEnd w:id="12"/>
    </w:p>
    <w:p w14:paraId="1F750D28" w14:textId="77777777" w:rsidR="009A77DE" w:rsidRDefault="009A77DE" w:rsidP="00A841BE">
      <w:pPr>
        <w:pStyle w:val="BodyTextIndent3"/>
        <w:ind w:hanging="720"/>
        <w:jc w:val="both"/>
        <w:rPr>
          <w:rFonts w:ascii="Arial" w:hAnsi="Arial" w:cs="Arial"/>
          <w:sz w:val="22"/>
          <w:szCs w:val="22"/>
        </w:rPr>
      </w:pPr>
    </w:p>
    <w:p w14:paraId="688684DB" w14:textId="77777777" w:rsidR="00AA6F01" w:rsidRDefault="0006048A" w:rsidP="009A77DE">
      <w:pPr>
        <w:pStyle w:val="BodyTextIndent3"/>
        <w:jc w:val="both"/>
        <w:rPr>
          <w:rFonts w:ascii="Arial" w:hAnsi="Arial" w:cs="Arial"/>
          <w:sz w:val="22"/>
          <w:szCs w:val="22"/>
        </w:rPr>
      </w:pPr>
      <w:r>
        <w:rPr>
          <w:rFonts w:ascii="Arial" w:hAnsi="Arial" w:cs="Arial"/>
          <w:sz w:val="22"/>
          <w:szCs w:val="22"/>
        </w:rPr>
        <w:t xml:space="preserve">The development </w:t>
      </w:r>
      <w:r w:rsidR="00A3543D">
        <w:rPr>
          <w:rFonts w:ascii="Arial" w:hAnsi="Arial" w:cs="Arial"/>
          <w:sz w:val="22"/>
          <w:szCs w:val="22"/>
        </w:rPr>
        <w:t xml:space="preserve">of SDA commencing as a pilot in 2013 has been growing and is likely to achieve maturity </w:t>
      </w:r>
      <w:r w:rsidR="00965184">
        <w:rPr>
          <w:rFonts w:ascii="Arial" w:hAnsi="Arial" w:cs="Arial"/>
          <w:sz w:val="22"/>
          <w:szCs w:val="22"/>
        </w:rPr>
        <w:t>over the next three years</w:t>
      </w:r>
      <w:r w:rsidR="00A3543D">
        <w:rPr>
          <w:rFonts w:ascii="Arial" w:hAnsi="Arial" w:cs="Arial"/>
          <w:sz w:val="22"/>
          <w:szCs w:val="22"/>
        </w:rPr>
        <w:t xml:space="preserve">. </w:t>
      </w:r>
      <w:r w:rsidR="00A3543D" w:rsidRPr="00A3543D">
        <w:rPr>
          <w:rFonts w:ascii="Arial" w:hAnsi="Arial" w:cs="Arial"/>
          <w:sz w:val="22"/>
          <w:szCs w:val="22"/>
        </w:rPr>
        <w:t>The NDIA considers 6%</w:t>
      </w:r>
      <w:r w:rsidR="00A3543D">
        <w:rPr>
          <w:rFonts w:ascii="Arial" w:hAnsi="Arial" w:cs="Arial"/>
          <w:sz w:val="22"/>
          <w:szCs w:val="22"/>
        </w:rPr>
        <w:t xml:space="preserve"> of </w:t>
      </w:r>
      <w:r w:rsidR="003D223E">
        <w:rPr>
          <w:rFonts w:ascii="Arial" w:hAnsi="Arial" w:cs="Arial"/>
          <w:sz w:val="22"/>
          <w:szCs w:val="22"/>
        </w:rPr>
        <w:t>beneficiaries</w:t>
      </w:r>
      <w:r w:rsidR="003D223E" w:rsidRPr="00A3543D">
        <w:rPr>
          <w:rFonts w:ascii="Arial" w:hAnsi="Arial" w:cs="Arial"/>
          <w:sz w:val="22"/>
          <w:szCs w:val="22"/>
        </w:rPr>
        <w:t xml:space="preserve"> (</w:t>
      </w:r>
      <w:r w:rsidR="00A3543D" w:rsidRPr="00A3543D">
        <w:rPr>
          <w:rFonts w:ascii="Arial" w:hAnsi="Arial" w:cs="Arial"/>
          <w:sz w:val="22"/>
          <w:szCs w:val="22"/>
        </w:rPr>
        <w:t xml:space="preserve">28,000) to be the best current estimate of the number of participants who will be found eligible for SDA funding under the NDIS.  It </w:t>
      </w:r>
      <w:r w:rsidR="00A3543D">
        <w:rPr>
          <w:rFonts w:ascii="Arial" w:hAnsi="Arial" w:cs="Arial"/>
          <w:sz w:val="22"/>
          <w:szCs w:val="22"/>
        </w:rPr>
        <w:t>i</w:t>
      </w:r>
      <w:r w:rsidR="00A3543D" w:rsidRPr="00A3543D">
        <w:rPr>
          <w:rFonts w:ascii="Arial" w:hAnsi="Arial" w:cs="Arial"/>
          <w:sz w:val="22"/>
          <w:szCs w:val="22"/>
        </w:rPr>
        <w:t xml:space="preserve">s estimated that there </w:t>
      </w:r>
      <w:r w:rsidR="00A3543D">
        <w:rPr>
          <w:rFonts w:ascii="Arial" w:hAnsi="Arial" w:cs="Arial"/>
          <w:sz w:val="22"/>
          <w:szCs w:val="22"/>
        </w:rPr>
        <w:t>i</w:t>
      </w:r>
      <w:r w:rsidR="00A3543D" w:rsidRPr="00A3543D">
        <w:rPr>
          <w:rFonts w:ascii="Arial" w:hAnsi="Arial" w:cs="Arial"/>
          <w:sz w:val="22"/>
          <w:szCs w:val="22"/>
        </w:rPr>
        <w:t>s existing specialist accommodation for 15,700 people, implying the need for new dwellings to accommodate an additional 12,300 participants.</w:t>
      </w:r>
      <w:r w:rsidR="00295677">
        <w:rPr>
          <w:rFonts w:ascii="Arial" w:hAnsi="Arial" w:cs="Arial"/>
          <w:sz w:val="22"/>
          <w:szCs w:val="22"/>
        </w:rPr>
        <w:t xml:space="preserve"> </w:t>
      </w:r>
    </w:p>
    <w:p w14:paraId="0BA3B0C9" w14:textId="77777777" w:rsidR="00881D65" w:rsidRPr="00702430" w:rsidRDefault="00881D65" w:rsidP="00A841BE">
      <w:pPr>
        <w:pStyle w:val="BodyTextIndent3"/>
        <w:ind w:hanging="720"/>
        <w:jc w:val="both"/>
        <w:rPr>
          <w:rFonts w:ascii="Arial" w:hAnsi="Arial" w:cs="Arial"/>
          <w:sz w:val="22"/>
          <w:szCs w:val="22"/>
        </w:rPr>
      </w:pPr>
    </w:p>
    <w:p w14:paraId="21C1BFBA" w14:textId="77777777" w:rsidR="009A77DE" w:rsidRDefault="00A841BE" w:rsidP="009A77DE">
      <w:pPr>
        <w:pStyle w:val="BodyTextIndent3"/>
        <w:ind w:left="0"/>
        <w:jc w:val="both"/>
        <w:rPr>
          <w:rFonts w:ascii="Arial" w:hAnsi="Arial" w:cs="Arial"/>
          <w:sz w:val="22"/>
          <w:szCs w:val="22"/>
        </w:rPr>
      </w:pPr>
      <w:r>
        <w:rPr>
          <w:rFonts w:ascii="Arial" w:hAnsi="Arial" w:cs="Arial"/>
          <w:sz w:val="22"/>
          <w:szCs w:val="22"/>
        </w:rPr>
        <w:t>7.4</w:t>
      </w:r>
      <w:r>
        <w:rPr>
          <w:rFonts w:ascii="Arial" w:hAnsi="Arial" w:cs="Arial"/>
          <w:sz w:val="22"/>
          <w:szCs w:val="22"/>
        </w:rPr>
        <w:tab/>
      </w:r>
      <w:bookmarkStart w:id="13" w:name="_Hlk90556672"/>
      <w:r w:rsidR="009A77DE" w:rsidRPr="00526DEE">
        <w:rPr>
          <w:rFonts w:ascii="Arial" w:hAnsi="Arial" w:cs="Arial"/>
          <w:b/>
          <w:color w:val="1F3864"/>
          <w:sz w:val="22"/>
          <w:szCs w:val="22"/>
        </w:rPr>
        <w:t>P</w:t>
      </w:r>
      <w:r w:rsidR="009A77DE">
        <w:rPr>
          <w:rFonts w:ascii="Arial" w:hAnsi="Arial" w:cs="Arial"/>
          <w:b/>
          <w:color w:val="1F3864"/>
          <w:sz w:val="22"/>
          <w:szCs w:val="22"/>
        </w:rPr>
        <w:t>ublic housing estate renewal</w:t>
      </w:r>
      <w:bookmarkEnd w:id="13"/>
    </w:p>
    <w:p w14:paraId="20E4F899" w14:textId="77777777" w:rsidR="009A77DE" w:rsidRDefault="009A77DE" w:rsidP="00A841BE">
      <w:pPr>
        <w:pStyle w:val="BodyTextIndent3"/>
        <w:ind w:hanging="720"/>
        <w:jc w:val="both"/>
        <w:rPr>
          <w:rFonts w:ascii="Arial" w:hAnsi="Arial" w:cs="Arial"/>
          <w:sz w:val="22"/>
          <w:szCs w:val="22"/>
        </w:rPr>
      </w:pPr>
    </w:p>
    <w:p w14:paraId="0B21B7A3" w14:textId="77777777" w:rsidR="00DD211F" w:rsidRPr="004E342A" w:rsidRDefault="00B7304E" w:rsidP="008A261C">
      <w:pPr>
        <w:pStyle w:val="BodyTextIndent3"/>
        <w:jc w:val="both"/>
        <w:rPr>
          <w:rFonts w:ascii="Arial" w:hAnsi="Arial" w:cs="Arial"/>
          <w:sz w:val="22"/>
          <w:szCs w:val="22"/>
        </w:rPr>
      </w:pPr>
      <w:r w:rsidRPr="004E342A">
        <w:rPr>
          <w:rFonts w:ascii="Arial" w:hAnsi="Arial" w:cs="Arial"/>
          <w:sz w:val="22"/>
          <w:szCs w:val="22"/>
        </w:rPr>
        <w:t>The prospective renewal projects that are now emerging in States such as Victoria, NSW</w:t>
      </w:r>
      <w:r w:rsidR="004E342A" w:rsidRPr="004E342A">
        <w:rPr>
          <w:rFonts w:ascii="Arial" w:hAnsi="Arial" w:cs="Arial"/>
          <w:sz w:val="22"/>
          <w:szCs w:val="22"/>
        </w:rPr>
        <w:t>, SA</w:t>
      </w:r>
      <w:r w:rsidRPr="004E342A">
        <w:rPr>
          <w:rFonts w:ascii="Arial" w:hAnsi="Arial" w:cs="Arial"/>
          <w:sz w:val="22"/>
          <w:szCs w:val="22"/>
        </w:rPr>
        <w:t xml:space="preserve"> and prospectively Queensland </w:t>
      </w:r>
      <w:r w:rsidR="00776D0A" w:rsidRPr="004E342A">
        <w:rPr>
          <w:rFonts w:ascii="Arial" w:hAnsi="Arial" w:cs="Arial"/>
          <w:sz w:val="22"/>
          <w:szCs w:val="22"/>
        </w:rPr>
        <w:t>provide</w:t>
      </w:r>
      <w:r w:rsidRPr="004E342A">
        <w:rPr>
          <w:rFonts w:ascii="Arial" w:hAnsi="Arial" w:cs="Arial"/>
          <w:sz w:val="22"/>
          <w:szCs w:val="22"/>
        </w:rPr>
        <w:t xml:space="preserve"> significant redevelopment opportunities for public housing estates</w:t>
      </w:r>
      <w:r w:rsidR="00776D0A" w:rsidRPr="004E342A">
        <w:rPr>
          <w:rFonts w:ascii="Arial" w:hAnsi="Arial" w:cs="Arial"/>
          <w:sz w:val="22"/>
          <w:szCs w:val="22"/>
        </w:rPr>
        <w:t xml:space="preserve">. These </w:t>
      </w:r>
      <w:r w:rsidRPr="004E342A">
        <w:rPr>
          <w:rFonts w:ascii="Arial" w:hAnsi="Arial" w:cs="Arial"/>
          <w:sz w:val="22"/>
          <w:szCs w:val="22"/>
        </w:rPr>
        <w:t xml:space="preserve">both generate additional housing for those in need and market “build to rent” housing </w:t>
      </w:r>
      <w:r w:rsidR="00776D0A" w:rsidRPr="004E342A">
        <w:rPr>
          <w:rFonts w:ascii="Arial" w:hAnsi="Arial" w:cs="Arial"/>
          <w:sz w:val="22"/>
          <w:szCs w:val="22"/>
        </w:rPr>
        <w:t>that</w:t>
      </w:r>
      <w:r w:rsidRPr="004E342A">
        <w:rPr>
          <w:rFonts w:ascii="Arial" w:hAnsi="Arial" w:cs="Arial"/>
          <w:sz w:val="22"/>
          <w:szCs w:val="22"/>
        </w:rPr>
        <w:t xml:space="preserve"> cross </w:t>
      </w:r>
      <w:r w:rsidR="003D223E" w:rsidRPr="004E342A">
        <w:rPr>
          <w:rFonts w:ascii="Arial" w:hAnsi="Arial" w:cs="Arial"/>
          <w:sz w:val="22"/>
          <w:szCs w:val="22"/>
        </w:rPr>
        <w:t>subsidi</w:t>
      </w:r>
      <w:r w:rsidR="003D223E">
        <w:rPr>
          <w:rFonts w:ascii="Arial" w:hAnsi="Arial" w:cs="Arial"/>
          <w:sz w:val="22"/>
          <w:szCs w:val="22"/>
        </w:rPr>
        <w:t>z</w:t>
      </w:r>
      <w:r w:rsidR="003D223E" w:rsidRPr="004E342A">
        <w:rPr>
          <w:rFonts w:ascii="Arial" w:hAnsi="Arial" w:cs="Arial"/>
          <w:sz w:val="22"/>
          <w:szCs w:val="22"/>
        </w:rPr>
        <w:t>es</w:t>
      </w:r>
      <w:r w:rsidRPr="004E342A">
        <w:rPr>
          <w:rFonts w:ascii="Arial" w:hAnsi="Arial" w:cs="Arial"/>
          <w:sz w:val="22"/>
          <w:szCs w:val="22"/>
        </w:rPr>
        <w:t xml:space="preserve"> lower rental properties </w:t>
      </w:r>
      <w:r w:rsidR="003D223E" w:rsidRPr="004E342A">
        <w:rPr>
          <w:rFonts w:ascii="Arial" w:hAnsi="Arial" w:cs="Arial"/>
          <w:sz w:val="22"/>
          <w:szCs w:val="22"/>
        </w:rPr>
        <w:t>and</w:t>
      </w:r>
      <w:r w:rsidRPr="004E342A">
        <w:rPr>
          <w:rFonts w:ascii="Arial" w:hAnsi="Arial" w:cs="Arial"/>
          <w:sz w:val="22"/>
          <w:szCs w:val="22"/>
        </w:rPr>
        <w:t xml:space="preserve"> creates the opportunities for more integrated communities.</w:t>
      </w:r>
      <w:r w:rsidR="00295677" w:rsidRPr="004E342A">
        <w:rPr>
          <w:rFonts w:ascii="Arial" w:hAnsi="Arial" w:cs="Arial"/>
          <w:sz w:val="22"/>
          <w:szCs w:val="22"/>
        </w:rPr>
        <w:t xml:space="preserve"> </w:t>
      </w:r>
    </w:p>
    <w:p w14:paraId="278EA894" w14:textId="77777777" w:rsidR="00A841BE" w:rsidRDefault="00A841BE" w:rsidP="00A841BE">
      <w:pPr>
        <w:pStyle w:val="BodyTextIndent3"/>
        <w:ind w:left="0"/>
        <w:jc w:val="both"/>
        <w:rPr>
          <w:rFonts w:ascii="Arial" w:hAnsi="Arial" w:cs="Arial"/>
          <w:sz w:val="22"/>
          <w:szCs w:val="22"/>
        </w:rPr>
      </w:pPr>
    </w:p>
    <w:p w14:paraId="26E610BB" w14:textId="77777777" w:rsidR="00A841BE" w:rsidRDefault="00A841BE" w:rsidP="00A841BE">
      <w:pPr>
        <w:pStyle w:val="BodyTextIndent3"/>
        <w:ind w:hanging="720"/>
        <w:jc w:val="both"/>
        <w:rPr>
          <w:rFonts w:ascii="Arial" w:hAnsi="Arial" w:cs="Arial"/>
          <w:sz w:val="22"/>
          <w:szCs w:val="22"/>
        </w:rPr>
      </w:pPr>
      <w:r>
        <w:rPr>
          <w:rFonts w:ascii="Arial" w:hAnsi="Arial" w:cs="Arial"/>
          <w:sz w:val="22"/>
          <w:szCs w:val="22"/>
        </w:rPr>
        <w:t>7.5</w:t>
      </w:r>
      <w:r>
        <w:rPr>
          <w:rFonts w:ascii="Arial" w:hAnsi="Arial" w:cs="Arial"/>
          <w:sz w:val="22"/>
          <w:szCs w:val="22"/>
        </w:rPr>
        <w:tab/>
      </w:r>
      <w:bookmarkStart w:id="14" w:name="_Hlk90556788"/>
      <w:r>
        <w:rPr>
          <w:rFonts w:ascii="Arial" w:hAnsi="Arial" w:cs="Arial"/>
          <w:b/>
          <w:color w:val="1F3864"/>
          <w:sz w:val="22"/>
          <w:szCs w:val="22"/>
        </w:rPr>
        <w:t xml:space="preserve">National Rental Affordability </w:t>
      </w:r>
      <w:r w:rsidR="003D223E">
        <w:rPr>
          <w:rFonts w:ascii="Arial" w:hAnsi="Arial" w:cs="Arial"/>
          <w:b/>
          <w:color w:val="1F3864"/>
          <w:sz w:val="22"/>
          <w:szCs w:val="22"/>
        </w:rPr>
        <w:t>Scheme (</w:t>
      </w:r>
      <w:r>
        <w:rPr>
          <w:rFonts w:ascii="Arial" w:hAnsi="Arial" w:cs="Arial"/>
          <w:b/>
          <w:color w:val="1F3864"/>
          <w:sz w:val="22"/>
          <w:szCs w:val="22"/>
        </w:rPr>
        <w:t>NRAS)</w:t>
      </w:r>
      <w:bookmarkEnd w:id="14"/>
    </w:p>
    <w:p w14:paraId="631C9D0A" w14:textId="77777777" w:rsidR="00A841BE" w:rsidRDefault="00A841BE" w:rsidP="00A841BE">
      <w:pPr>
        <w:pStyle w:val="BodyTextIndent3"/>
        <w:ind w:hanging="720"/>
        <w:jc w:val="both"/>
        <w:rPr>
          <w:rFonts w:ascii="Arial" w:hAnsi="Arial" w:cs="Arial"/>
          <w:sz w:val="22"/>
          <w:szCs w:val="22"/>
        </w:rPr>
      </w:pPr>
    </w:p>
    <w:p w14:paraId="5BC170EE" w14:textId="77777777" w:rsidR="00AE01E0" w:rsidRDefault="004E342A" w:rsidP="00A841BE">
      <w:pPr>
        <w:pStyle w:val="BodyTextIndent3"/>
        <w:jc w:val="both"/>
        <w:rPr>
          <w:rFonts w:ascii="Arial" w:hAnsi="Arial" w:cs="Arial"/>
          <w:sz w:val="22"/>
          <w:szCs w:val="22"/>
        </w:rPr>
      </w:pPr>
      <w:r w:rsidRPr="00DD211F">
        <w:rPr>
          <w:rFonts w:ascii="Arial" w:hAnsi="Arial" w:cs="Arial"/>
          <w:sz w:val="22"/>
          <w:szCs w:val="22"/>
        </w:rPr>
        <w:t xml:space="preserve">Despite the </w:t>
      </w:r>
      <w:r w:rsidR="00DD211F" w:rsidRPr="00DD211F">
        <w:rPr>
          <w:rFonts w:ascii="Arial" w:hAnsi="Arial" w:cs="Arial"/>
          <w:sz w:val="22"/>
          <w:szCs w:val="22"/>
        </w:rPr>
        <w:t xml:space="preserve">significant investment by Governments to develop more than 25,000 </w:t>
      </w:r>
      <w:r w:rsidR="00F57DF3">
        <w:rPr>
          <w:rFonts w:ascii="Arial" w:hAnsi="Arial" w:cs="Arial"/>
          <w:sz w:val="22"/>
          <w:szCs w:val="22"/>
        </w:rPr>
        <w:t xml:space="preserve">social and affordable housing units </w:t>
      </w:r>
      <w:r w:rsidR="00DD211F" w:rsidRPr="00DD211F">
        <w:rPr>
          <w:rFonts w:ascii="Arial" w:hAnsi="Arial" w:cs="Arial"/>
          <w:sz w:val="22"/>
          <w:szCs w:val="22"/>
        </w:rPr>
        <w:t>across Australia, c</w:t>
      </w:r>
      <w:r w:rsidR="00B7304E" w:rsidRPr="00DD211F">
        <w:rPr>
          <w:rFonts w:ascii="Arial" w:hAnsi="Arial" w:cs="Arial"/>
          <w:sz w:val="22"/>
          <w:szCs w:val="22"/>
        </w:rPr>
        <w:t xml:space="preserve">ontinuing expiry of NRAS incentives </w:t>
      </w:r>
      <w:r w:rsidR="00DD211F" w:rsidRPr="00DD211F">
        <w:rPr>
          <w:rFonts w:ascii="Arial" w:hAnsi="Arial" w:cs="Arial"/>
          <w:sz w:val="22"/>
          <w:szCs w:val="22"/>
        </w:rPr>
        <w:t>will</w:t>
      </w:r>
      <w:r w:rsidR="00B7304E" w:rsidRPr="00DD211F">
        <w:rPr>
          <w:rFonts w:ascii="Arial" w:hAnsi="Arial" w:cs="Arial"/>
          <w:sz w:val="22"/>
          <w:szCs w:val="22"/>
        </w:rPr>
        <w:t xml:space="preserve"> trigger sales </w:t>
      </w:r>
      <w:r w:rsidR="00012BD4">
        <w:rPr>
          <w:rFonts w:ascii="Arial" w:hAnsi="Arial" w:cs="Arial"/>
          <w:sz w:val="22"/>
          <w:szCs w:val="22"/>
        </w:rPr>
        <w:t>of</w:t>
      </w:r>
      <w:r w:rsidR="00B7304E" w:rsidRPr="00DD211F">
        <w:rPr>
          <w:rFonts w:ascii="Arial" w:hAnsi="Arial" w:cs="Arial"/>
          <w:sz w:val="22"/>
          <w:szCs w:val="22"/>
        </w:rPr>
        <w:t xml:space="preserve"> </w:t>
      </w:r>
      <w:r w:rsidR="003D223E" w:rsidRPr="00DD211F">
        <w:rPr>
          <w:rFonts w:ascii="Arial" w:hAnsi="Arial" w:cs="Arial"/>
          <w:sz w:val="22"/>
          <w:szCs w:val="22"/>
        </w:rPr>
        <w:t>investor-owned</w:t>
      </w:r>
      <w:r w:rsidR="00B7304E" w:rsidRPr="00DD211F">
        <w:rPr>
          <w:rFonts w:ascii="Arial" w:hAnsi="Arial" w:cs="Arial"/>
          <w:sz w:val="22"/>
          <w:szCs w:val="22"/>
        </w:rPr>
        <w:t xml:space="preserve"> accommodation. </w:t>
      </w:r>
      <w:r w:rsidR="00DF1C3B">
        <w:rPr>
          <w:rFonts w:ascii="Arial" w:hAnsi="Arial" w:cs="Arial"/>
          <w:sz w:val="22"/>
          <w:szCs w:val="22"/>
        </w:rPr>
        <w:t>Exp</w:t>
      </w:r>
      <w:r w:rsidR="00AE01E0">
        <w:rPr>
          <w:rFonts w:ascii="Arial" w:hAnsi="Arial" w:cs="Arial"/>
          <w:sz w:val="22"/>
          <w:szCs w:val="22"/>
        </w:rPr>
        <w:t xml:space="preserve">iry of NRAS will reduce incentives by </w:t>
      </w:r>
      <w:r w:rsidR="00520380" w:rsidRPr="0015223B">
        <w:rPr>
          <w:rFonts w:ascii="Arial" w:hAnsi="Arial" w:cs="Arial"/>
          <w:sz w:val="22"/>
          <w:szCs w:val="22"/>
        </w:rPr>
        <w:t>30,746 over</w:t>
      </w:r>
      <w:r w:rsidR="00520380" w:rsidRPr="00EE38C7">
        <w:rPr>
          <w:rFonts w:ascii="Arial" w:hAnsi="Arial" w:cs="Arial"/>
          <w:sz w:val="22"/>
          <w:szCs w:val="22"/>
        </w:rPr>
        <w:t xml:space="preserve"> the</w:t>
      </w:r>
      <w:r w:rsidR="00520380">
        <w:rPr>
          <w:rFonts w:ascii="Arial" w:hAnsi="Arial" w:cs="Arial"/>
          <w:sz w:val="22"/>
          <w:szCs w:val="22"/>
        </w:rPr>
        <w:t xml:space="preserve"> next five calendar years</w:t>
      </w:r>
      <w:r w:rsidR="00EC43AF">
        <w:rPr>
          <w:rFonts w:ascii="Arial" w:hAnsi="Arial" w:cs="Arial"/>
          <w:sz w:val="22"/>
          <w:szCs w:val="22"/>
        </w:rPr>
        <w:t xml:space="preserve"> of which it is expected up to 20,000 private </w:t>
      </w:r>
      <w:r w:rsidR="003D223E">
        <w:rPr>
          <w:rFonts w:ascii="Arial" w:hAnsi="Arial" w:cs="Arial"/>
          <w:sz w:val="22"/>
          <w:szCs w:val="22"/>
        </w:rPr>
        <w:t>investor-owned</w:t>
      </w:r>
      <w:r w:rsidR="00EC43AF">
        <w:rPr>
          <w:rFonts w:ascii="Arial" w:hAnsi="Arial" w:cs="Arial"/>
          <w:sz w:val="22"/>
          <w:szCs w:val="22"/>
        </w:rPr>
        <w:t xml:space="preserve"> homes will be sold into the market meaning that </w:t>
      </w:r>
      <w:r w:rsidR="003D223E">
        <w:rPr>
          <w:rFonts w:ascii="Arial" w:hAnsi="Arial" w:cs="Arial"/>
          <w:sz w:val="22"/>
          <w:szCs w:val="22"/>
        </w:rPr>
        <w:t>most of</w:t>
      </w:r>
      <w:r w:rsidR="00EC43AF">
        <w:rPr>
          <w:rFonts w:ascii="Arial" w:hAnsi="Arial" w:cs="Arial"/>
          <w:sz w:val="22"/>
          <w:szCs w:val="22"/>
        </w:rPr>
        <w:t xml:space="preserve"> the development funded by State Governments will principally cover the deficit created by NRAS expiry.</w:t>
      </w:r>
    </w:p>
    <w:p w14:paraId="271654AC" w14:textId="77777777" w:rsidR="00AE01E0" w:rsidRDefault="00AE01E0" w:rsidP="00A841BE">
      <w:pPr>
        <w:pStyle w:val="BodyTextIndent3"/>
        <w:jc w:val="both"/>
        <w:rPr>
          <w:rFonts w:ascii="Arial" w:hAnsi="Arial" w:cs="Arial"/>
          <w:sz w:val="22"/>
          <w:szCs w:val="22"/>
        </w:rPr>
      </w:pPr>
    </w:p>
    <w:p w14:paraId="1EBB07C7" w14:textId="77777777" w:rsidR="00696825" w:rsidRPr="006E162F" w:rsidRDefault="00EB119E" w:rsidP="006E162F">
      <w:pPr>
        <w:pStyle w:val="BodyTextIndent3"/>
        <w:ind w:left="0"/>
        <w:jc w:val="both"/>
        <w:rPr>
          <w:rFonts w:ascii="Arial" w:hAnsi="Arial" w:cs="Arial"/>
          <w:sz w:val="22"/>
          <w:szCs w:val="22"/>
        </w:rPr>
      </w:pPr>
      <w:r>
        <w:rPr>
          <w:rFonts w:ascii="Arial" w:hAnsi="Arial" w:cs="Arial"/>
          <w:sz w:val="22"/>
          <w:szCs w:val="22"/>
        </w:rPr>
        <w:t>7.6</w:t>
      </w:r>
      <w:r w:rsidR="008B4185">
        <w:rPr>
          <w:rFonts w:ascii="Arial" w:hAnsi="Arial" w:cs="Arial"/>
          <w:sz w:val="22"/>
          <w:szCs w:val="22"/>
        </w:rPr>
        <w:tab/>
      </w:r>
      <w:r w:rsidR="00696825" w:rsidRPr="00FD2B03">
        <w:rPr>
          <w:rFonts w:ascii="Arial" w:hAnsi="Arial" w:cs="Arial"/>
          <w:b/>
          <w:bCs/>
          <w:color w:val="1F3864"/>
          <w:sz w:val="22"/>
          <w:szCs w:val="22"/>
        </w:rPr>
        <w:t>Financing</w:t>
      </w:r>
      <w:r w:rsidR="00696825" w:rsidRPr="008F0CB3">
        <w:rPr>
          <w:rFonts w:ascii="Arial" w:hAnsi="Arial" w:cs="Arial"/>
          <w:b/>
          <w:bCs/>
          <w:color w:val="1F3864"/>
          <w:sz w:val="22"/>
          <w:szCs w:val="22"/>
          <w:u w:val="single"/>
        </w:rPr>
        <w:t xml:space="preserve"> </w:t>
      </w:r>
    </w:p>
    <w:p w14:paraId="0826271A" w14:textId="77777777" w:rsidR="00696825" w:rsidRDefault="00696825" w:rsidP="00696825">
      <w:pPr>
        <w:pStyle w:val="BodyTextIndent3"/>
        <w:ind w:hanging="720"/>
        <w:jc w:val="both"/>
        <w:rPr>
          <w:rFonts w:ascii="Arial" w:hAnsi="Arial" w:cs="Arial"/>
          <w:sz w:val="22"/>
          <w:szCs w:val="22"/>
        </w:rPr>
      </w:pPr>
    </w:p>
    <w:p w14:paraId="3AB6C0B3" w14:textId="77777777" w:rsidR="000305A8" w:rsidRDefault="00EC43AF" w:rsidP="00EC43AF">
      <w:pPr>
        <w:pStyle w:val="BodyTextIndent3"/>
        <w:ind w:hanging="720"/>
        <w:jc w:val="both"/>
        <w:rPr>
          <w:rFonts w:ascii="Arial" w:hAnsi="Arial" w:cs="Arial"/>
          <w:sz w:val="22"/>
          <w:szCs w:val="22"/>
        </w:rPr>
      </w:pPr>
      <w:r>
        <w:rPr>
          <w:rFonts w:ascii="Arial" w:hAnsi="Arial" w:cs="Arial"/>
          <w:sz w:val="22"/>
          <w:szCs w:val="22"/>
        </w:rPr>
        <w:tab/>
      </w:r>
      <w:r w:rsidR="0007030C">
        <w:rPr>
          <w:rFonts w:ascii="Arial" w:hAnsi="Arial" w:cs="Arial"/>
          <w:sz w:val="22"/>
          <w:szCs w:val="22"/>
        </w:rPr>
        <w:t xml:space="preserve">The chief positive development for the community housing sector over the period has been the maturing of the </w:t>
      </w:r>
      <w:r w:rsidR="00602894" w:rsidRPr="0007030C">
        <w:rPr>
          <w:rFonts w:ascii="Arial" w:hAnsi="Arial" w:cs="Arial"/>
          <w:sz w:val="22"/>
          <w:szCs w:val="22"/>
        </w:rPr>
        <w:t xml:space="preserve">National Housing </w:t>
      </w:r>
      <w:r w:rsidR="00DD4CC0" w:rsidRPr="0007030C">
        <w:rPr>
          <w:rFonts w:ascii="Arial" w:hAnsi="Arial" w:cs="Arial"/>
          <w:sz w:val="22"/>
          <w:szCs w:val="22"/>
        </w:rPr>
        <w:t xml:space="preserve">Finance </w:t>
      </w:r>
      <w:r w:rsidR="00602894" w:rsidRPr="0007030C">
        <w:rPr>
          <w:rFonts w:ascii="Arial" w:hAnsi="Arial" w:cs="Arial"/>
          <w:sz w:val="22"/>
          <w:szCs w:val="22"/>
        </w:rPr>
        <w:t>and Infr</w:t>
      </w:r>
      <w:r w:rsidR="00DD4CC0" w:rsidRPr="0007030C">
        <w:rPr>
          <w:rFonts w:ascii="Arial" w:hAnsi="Arial" w:cs="Arial"/>
          <w:sz w:val="22"/>
          <w:szCs w:val="22"/>
        </w:rPr>
        <w:t>a</w:t>
      </w:r>
      <w:r w:rsidR="00602894" w:rsidRPr="0007030C">
        <w:rPr>
          <w:rFonts w:ascii="Arial" w:hAnsi="Arial" w:cs="Arial"/>
          <w:sz w:val="22"/>
          <w:szCs w:val="22"/>
        </w:rPr>
        <w:t>structure</w:t>
      </w:r>
      <w:r w:rsidR="00DD4CC0" w:rsidRPr="0007030C">
        <w:rPr>
          <w:rFonts w:ascii="Arial" w:hAnsi="Arial" w:cs="Arial"/>
          <w:sz w:val="22"/>
          <w:szCs w:val="22"/>
        </w:rPr>
        <w:t xml:space="preserve"> Co</w:t>
      </w:r>
      <w:r w:rsidR="0007030C">
        <w:rPr>
          <w:rFonts w:ascii="Arial" w:hAnsi="Arial" w:cs="Arial"/>
          <w:sz w:val="22"/>
          <w:szCs w:val="22"/>
        </w:rPr>
        <w:t>rporation</w:t>
      </w:r>
      <w:r w:rsidR="00DD4CC0" w:rsidRPr="0007030C">
        <w:rPr>
          <w:rFonts w:ascii="Arial" w:hAnsi="Arial" w:cs="Arial"/>
          <w:sz w:val="22"/>
          <w:szCs w:val="22"/>
        </w:rPr>
        <w:t xml:space="preserve"> (NHFIC)</w:t>
      </w:r>
      <w:r w:rsidR="00602894" w:rsidRPr="0007030C">
        <w:rPr>
          <w:rFonts w:ascii="Arial" w:hAnsi="Arial" w:cs="Arial"/>
          <w:sz w:val="22"/>
          <w:szCs w:val="22"/>
        </w:rPr>
        <w:t xml:space="preserve"> </w:t>
      </w:r>
      <w:r w:rsidR="0007030C">
        <w:rPr>
          <w:rFonts w:ascii="Arial" w:hAnsi="Arial" w:cs="Arial"/>
          <w:sz w:val="22"/>
          <w:szCs w:val="22"/>
        </w:rPr>
        <w:t>which has expanded its initial $</w:t>
      </w:r>
      <w:r w:rsidR="007F6AB8">
        <w:rPr>
          <w:rFonts w:ascii="Arial" w:hAnsi="Arial" w:cs="Arial"/>
          <w:sz w:val="22"/>
          <w:szCs w:val="22"/>
        </w:rPr>
        <w:t>2</w:t>
      </w:r>
      <w:r w:rsidR="0007030C">
        <w:rPr>
          <w:rFonts w:ascii="Arial" w:hAnsi="Arial" w:cs="Arial"/>
          <w:sz w:val="22"/>
          <w:szCs w:val="22"/>
        </w:rPr>
        <w:t xml:space="preserve"> billion cap liability from the Federal Government to $</w:t>
      </w:r>
      <w:r w:rsidR="001E612F">
        <w:rPr>
          <w:rFonts w:ascii="Arial" w:hAnsi="Arial" w:cs="Arial"/>
          <w:sz w:val="22"/>
          <w:szCs w:val="22"/>
        </w:rPr>
        <w:t>3</w:t>
      </w:r>
      <w:r w:rsidR="00881D65">
        <w:rPr>
          <w:rFonts w:ascii="Arial" w:hAnsi="Arial" w:cs="Arial"/>
          <w:sz w:val="22"/>
          <w:szCs w:val="22"/>
        </w:rPr>
        <w:t>.5</w:t>
      </w:r>
      <w:r w:rsidR="0007030C">
        <w:rPr>
          <w:rFonts w:ascii="Arial" w:hAnsi="Arial" w:cs="Arial"/>
          <w:sz w:val="22"/>
          <w:szCs w:val="22"/>
        </w:rPr>
        <w:t xml:space="preserve"> billion. Of this figure </w:t>
      </w:r>
      <w:r w:rsidR="00063B30">
        <w:rPr>
          <w:rFonts w:ascii="Arial" w:hAnsi="Arial" w:cs="Arial"/>
          <w:sz w:val="22"/>
          <w:szCs w:val="22"/>
        </w:rPr>
        <w:t>more than</w:t>
      </w:r>
      <w:r w:rsidR="0007030C">
        <w:rPr>
          <w:rFonts w:ascii="Arial" w:hAnsi="Arial" w:cs="Arial"/>
          <w:sz w:val="22"/>
          <w:szCs w:val="22"/>
        </w:rPr>
        <w:t xml:space="preserve"> </w:t>
      </w:r>
      <w:r w:rsidR="001E612F">
        <w:rPr>
          <w:rFonts w:ascii="Arial" w:hAnsi="Arial" w:cs="Arial"/>
          <w:sz w:val="22"/>
          <w:szCs w:val="22"/>
        </w:rPr>
        <w:t>1</w:t>
      </w:r>
      <w:r w:rsidR="00063B30">
        <w:rPr>
          <w:rFonts w:ascii="Arial" w:hAnsi="Arial" w:cs="Arial"/>
          <w:sz w:val="22"/>
          <w:szCs w:val="22"/>
        </w:rPr>
        <w:t>6</w:t>
      </w:r>
      <w:r w:rsidR="001E612F">
        <w:rPr>
          <w:rFonts w:ascii="Arial" w:hAnsi="Arial" w:cs="Arial"/>
          <w:sz w:val="22"/>
          <w:szCs w:val="22"/>
        </w:rPr>
        <w:t>%</w:t>
      </w:r>
      <w:r w:rsidR="0007030C">
        <w:rPr>
          <w:rFonts w:ascii="Arial" w:hAnsi="Arial" w:cs="Arial"/>
          <w:sz w:val="22"/>
          <w:szCs w:val="22"/>
        </w:rPr>
        <w:t xml:space="preserve"> </w:t>
      </w:r>
      <w:r w:rsidR="00776D0A">
        <w:rPr>
          <w:rFonts w:ascii="Arial" w:hAnsi="Arial" w:cs="Arial"/>
          <w:sz w:val="22"/>
          <w:szCs w:val="22"/>
        </w:rPr>
        <w:t>is being</w:t>
      </w:r>
      <w:r w:rsidR="0007030C">
        <w:rPr>
          <w:rFonts w:ascii="Arial" w:hAnsi="Arial" w:cs="Arial"/>
          <w:sz w:val="22"/>
          <w:szCs w:val="22"/>
        </w:rPr>
        <w:t xml:space="preserve"> committed to projects developed by CHL. In addition to this CHL has managed to refinance debt and develop projects </w:t>
      </w:r>
      <w:r w:rsidR="00696825">
        <w:rPr>
          <w:rFonts w:ascii="Arial" w:hAnsi="Arial" w:cs="Arial"/>
          <w:sz w:val="22"/>
          <w:szCs w:val="22"/>
        </w:rPr>
        <w:t xml:space="preserve">in Victoria utilizing </w:t>
      </w:r>
      <w:r w:rsidR="003D223E">
        <w:rPr>
          <w:rFonts w:ascii="Arial" w:hAnsi="Arial" w:cs="Arial"/>
          <w:sz w:val="22"/>
          <w:szCs w:val="22"/>
        </w:rPr>
        <w:t>low-cost</w:t>
      </w:r>
      <w:r w:rsidR="00696825">
        <w:rPr>
          <w:rFonts w:ascii="Arial" w:hAnsi="Arial" w:cs="Arial"/>
          <w:sz w:val="22"/>
          <w:szCs w:val="22"/>
        </w:rPr>
        <w:t xml:space="preserve"> finance provided by Treasury Corporation Victoria (TCV). The increasing profile of CHL and the sector more generally has </w:t>
      </w:r>
      <w:r w:rsidR="00881D65">
        <w:rPr>
          <w:rFonts w:ascii="Arial" w:hAnsi="Arial" w:cs="Arial"/>
          <w:sz w:val="22"/>
          <w:szCs w:val="22"/>
        </w:rPr>
        <w:t>attract</w:t>
      </w:r>
      <w:r w:rsidR="00696825">
        <w:rPr>
          <w:rFonts w:ascii="Arial" w:hAnsi="Arial" w:cs="Arial"/>
          <w:sz w:val="22"/>
          <w:szCs w:val="22"/>
        </w:rPr>
        <w:t>ed equity financiers who are able to provide the necessary risk capital to complement senior debt</w:t>
      </w:r>
      <w:r w:rsidR="00881D65">
        <w:rPr>
          <w:rFonts w:ascii="Arial" w:hAnsi="Arial" w:cs="Arial"/>
          <w:sz w:val="22"/>
          <w:szCs w:val="22"/>
        </w:rPr>
        <w:t>. This has been</w:t>
      </w:r>
      <w:r w:rsidR="00696825">
        <w:rPr>
          <w:rFonts w:ascii="Arial" w:hAnsi="Arial" w:cs="Arial"/>
          <w:sz w:val="22"/>
          <w:szCs w:val="22"/>
        </w:rPr>
        <w:t xml:space="preserve"> provided through NHFIC and TCV</w:t>
      </w:r>
      <w:r w:rsidR="00702430">
        <w:rPr>
          <w:rFonts w:ascii="Arial" w:hAnsi="Arial" w:cs="Arial"/>
          <w:sz w:val="22"/>
          <w:szCs w:val="22"/>
        </w:rPr>
        <w:t xml:space="preserve"> which have been able to provide senior debt at fixed </w:t>
      </w:r>
      <w:r w:rsidR="003D223E">
        <w:rPr>
          <w:rFonts w:ascii="Arial" w:hAnsi="Arial" w:cs="Arial"/>
          <w:sz w:val="22"/>
          <w:szCs w:val="22"/>
        </w:rPr>
        <w:t>low-cost</w:t>
      </w:r>
      <w:r w:rsidR="00702430">
        <w:rPr>
          <w:rFonts w:ascii="Arial" w:hAnsi="Arial" w:cs="Arial"/>
          <w:sz w:val="22"/>
          <w:szCs w:val="22"/>
        </w:rPr>
        <w:t xml:space="preserve"> interest rates for terms between 10-30 years</w:t>
      </w:r>
      <w:r w:rsidR="00696825">
        <w:rPr>
          <w:rFonts w:ascii="Arial" w:hAnsi="Arial" w:cs="Arial"/>
          <w:sz w:val="22"/>
          <w:szCs w:val="22"/>
        </w:rPr>
        <w:t xml:space="preserve">. </w:t>
      </w:r>
    </w:p>
    <w:p w14:paraId="100B6BF8" w14:textId="77777777" w:rsidR="007E15ED" w:rsidRDefault="005C2444" w:rsidP="002160E7">
      <w:pPr>
        <w:pStyle w:val="BodyTextIndent3"/>
        <w:ind w:hanging="720"/>
        <w:jc w:val="both"/>
        <w:rPr>
          <w:rFonts w:ascii="Arial" w:hAnsi="Arial" w:cs="Arial"/>
          <w:sz w:val="22"/>
          <w:szCs w:val="22"/>
        </w:rPr>
      </w:pPr>
      <w:r>
        <w:rPr>
          <w:rFonts w:ascii="Arial" w:hAnsi="Arial" w:cs="Arial"/>
          <w:sz w:val="22"/>
          <w:szCs w:val="22"/>
        </w:rPr>
        <w:t xml:space="preserve"> </w:t>
      </w:r>
      <w:r w:rsidR="00DD4CC0">
        <w:rPr>
          <w:rFonts w:ascii="Arial" w:hAnsi="Arial" w:cs="Arial"/>
          <w:sz w:val="22"/>
          <w:szCs w:val="22"/>
        </w:rPr>
        <w:t xml:space="preserve"> </w:t>
      </w:r>
    </w:p>
    <w:p w14:paraId="2139D3E0" w14:textId="77777777" w:rsidR="00373057" w:rsidRDefault="00373057" w:rsidP="00526DEE">
      <w:pPr>
        <w:pStyle w:val="BodyTextIndent3"/>
        <w:ind w:left="0"/>
        <w:jc w:val="both"/>
        <w:rPr>
          <w:rFonts w:ascii="Arial" w:hAnsi="Arial" w:cs="Arial"/>
          <w:sz w:val="22"/>
          <w:szCs w:val="22"/>
        </w:rPr>
      </w:pPr>
    </w:p>
    <w:p w14:paraId="4281F67E" w14:textId="77777777" w:rsidR="00373057" w:rsidRDefault="00373057" w:rsidP="00526DEE">
      <w:pPr>
        <w:pStyle w:val="BodyTextIndent3"/>
        <w:ind w:left="0"/>
        <w:jc w:val="both"/>
        <w:rPr>
          <w:rFonts w:ascii="Arial" w:hAnsi="Arial" w:cs="Arial"/>
          <w:sz w:val="22"/>
          <w:szCs w:val="22"/>
        </w:rPr>
      </w:pPr>
    </w:p>
    <w:p w14:paraId="0EDA0982" w14:textId="77777777" w:rsidR="00373057" w:rsidRDefault="00373057" w:rsidP="00526DEE">
      <w:pPr>
        <w:pStyle w:val="BodyTextIndent3"/>
        <w:ind w:left="0"/>
        <w:jc w:val="both"/>
        <w:rPr>
          <w:rFonts w:ascii="Arial" w:hAnsi="Arial" w:cs="Arial"/>
          <w:sz w:val="22"/>
          <w:szCs w:val="22"/>
        </w:rPr>
      </w:pPr>
    </w:p>
    <w:p w14:paraId="5DAB6983" w14:textId="77777777" w:rsidR="00373057" w:rsidRDefault="00373057" w:rsidP="00526DEE">
      <w:pPr>
        <w:pStyle w:val="BodyTextIndent3"/>
        <w:ind w:left="0"/>
        <w:jc w:val="both"/>
        <w:rPr>
          <w:rFonts w:ascii="Arial" w:hAnsi="Arial" w:cs="Arial"/>
          <w:sz w:val="22"/>
          <w:szCs w:val="22"/>
        </w:rPr>
      </w:pPr>
    </w:p>
    <w:p w14:paraId="13FBA3A7" w14:textId="77777777" w:rsidR="00434DF0" w:rsidRPr="00DB65BF" w:rsidRDefault="00EB119E" w:rsidP="00526DEE">
      <w:pPr>
        <w:pStyle w:val="BodyTextIndent3"/>
        <w:ind w:left="0"/>
        <w:jc w:val="both"/>
        <w:rPr>
          <w:rFonts w:ascii="Arial" w:hAnsi="Arial" w:cs="Arial"/>
          <w:sz w:val="22"/>
          <w:szCs w:val="22"/>
        </w:rPr>
      </w:pPr>
      <w:r>
        <w:rPr>
          <w:rFonts w:ascii="Arial" w:hAnsi="Arial" w:cs="Arial"/>
          <w:sz w:val="22"/>
          <w:szCs w:val="22"/>
        </w:rPr>
        <w:lastRenderedPageBreak/>
        <w:t>7.7</w:t>
      </w:r>
      <w:r w:rsidR="00434DF0" w:rsidRPr="002857A7">
        <w:rPr>
          <w:rFonts w:ascii="Arial" w:hAnsi="Arial" w:cs="Arial"/>
          <w:sz w:val="22"/>
          <w:szCs w:val="22"/>
        </w:rPr>
        <w:tab/>
      </w:r>
      <w:r w:rsidR="003475D1" w:rsidRPr="00C36407">
        <w:rPr>
          <w:rFonts w:ascii="Arial" w:hAnsi="Arial" w:cs="Arial"/>
          <w:b/>
          <w:color w:val="1F3864"/>
          <w:sz w:val="22"/>
          <w:szCs w:val="22"/>
        </w:rPr>
        <w:t>Community Housing Regulation</w:t>
      </w:r>
    </w:p>
    <w:p w14:paraId="37C20813" w14:textId="77777777" w:rsidR="00434DF0" w:rsidRPr="002857A7" w:rsidRDefault="00434DF0" w:rsidP="002160E7">
      <w:pPr>
        <w:pStyle w:val="BodyTextIndent3"/>
        <w:ind w:left="0"/>
        <w:jc w:val="both"/>
        <w:rPr>
          <w:rFonts w:ascii="Arial" w:hAnsi="Arial" w:cs="Arial"/>
          <w:sz w:val="22"/>
          <w:szCs w:val="22"/>
        </w:rPr>
      </w:pPr>
    </w:p>
    <w:p w14:paraId="29BC828B" w14:textId="77777777" w:rsidR="002E2D7A" w:rsidRDefault="00434DF0" w:rsidP="00DD05D4">
      <w:pPr>
        <w:pStyle w:val="BodyTextIndent3"/>
        <w:jc w:val="both"/>
        <w:rPr>
          <w:rFonts w:ascii="Arial" w:hAnsi="Arial" w:cs="Arial"/>
          <w:sz w:val="22"/>
          <w:szCs w:val="22"/>
        </w:rPr>
      </w:pPr>
      <w:r w:rsidRPr="002857A7">
        <w:rPr>
          <w:rFonts w:ascii="Arial" w:hAnsi="Arial" w:cs="Arial"/>
          <w:sz w:val="22"/>
          <w:szCs w:val="22"/>
        </w:rPr>
        <w:t xml:space="preserve">The </w:t>
      </w:r>
      <w:r w:rsidR="00B96B86">
        <w:rPr>
          <w:rFonts w:ascii="Arial" w:hAnsi="Arial" w:cs="Arial"/>
          <w:sz w:val="22"/>
          <w:szCs w:val="22"/>
        </w:rPr>
        <w:t>National Regulatory System</w:t>
      </w:r>
      <w:r w:rsidR="003475D1">
        <w:rPr>
          <w:rFonts w:ascii="Arial" w:hAnsi="Arial" w:cs="Arial"/>
          <w:sz w:val="22"/>
          <w:szCs w:val="22"/>
        </w:rPr>
        <w:t xml:space="preserve"> for Community Housing</w:t>
      </w:r>
      <w:r w:rsidR="003A1FC6">
        <w:rPr>
          <w:rFonts w:ascii="Arial" w:hAnsi="Arial" w:cs="Arial"/>
          <w:sz w:val="22"/>
          <w:szCs w:val="22"/>
        </w:rPr>
        <w:t xml:space="preserve"> (NRS</w:t>
      </w:r>
      <w:r w:rsidR="003475D1">
        <w:rPr>
          <w:rFonts w:ascii="Arial" w:hAnsi="Arial" w:cs="Arial"/>
          <w:sz w:val="22"/>
          <w:szCs w:val="22"/>
        </w:rPr>
        <w:t>CH</w:t>
      </w:r>
      <w:r w:rsidR="003A1FC6">
        <w:rPr>
          <w:rFonts w:ascii="Arial" w:hAnsi="Arial" w:cs="Arial"/>
          <w:sz w:val="22"/>
          <w:szCs w:val="22"/>
        </w:rPr>
        <w:t>)</w:t>
      </w:r>
      <w:r w:rsidR="00B96B86">
        <w:rPr>
          <w:rFonts w:ascii="Arial" w:hAnsi="Arial" w:cs="Arial"/>
          <w:sz w:val="22"/>
          <w:szCs w:val="22"/>
        </w:rPr>
        <w:t xml:space="preserve"> </w:t>
      </w:r>
      <w:r w:rsidR="00696825">
        <w:rPr>
          <w:rFonts w:ascii="Arial" w:hAnsi="Arial" w:cs="Arial"/>
          <w:sz w:val="22"/>
          <w:szCs w:val="22"/>
        </w:rPr>
        <w:t xml:space="preserve">continues to be </w:t>
      </w:r>
      <w:r w:rsidR="00AA6F01">
        <w:rPr>
          <w:rFonts w:ascii="Arial" w:hAnsi="Arial" w:cs="Arial"/>
          <w:sz w:val="22"/>
          <w:szCs w:val="22"/>
        </w:rPr>
        <w:t>the principal</w:t>
      </w:r>
      <w:r w:rsidR="00696825">
        <w:rPr>
          <w:rFonts w:ascii="Arial" w:hAnsi="Arial" w:cs="Arial"/>
          <w:sz w:val="22"/>
          <w:szCs w:val="22"/>
        </w:rPr>
        <w:t xml:space="preserve"> regulat</w:t>
      </w:r>
      <w:r w:rsidR="0003614D">
        <w:rPr>
          <w:rFonts w:ascii="Arial" w:hAnsi="Arial" w:cs="Arial"/>
          <w:sz w:val="22"/>
          <w:szCs w:val="22"/>
        </w:rPr>
        <w:t>or</w:t>
      </w:r>
      <w:r w:rsidR="00AA6F01">
        <w:rPr>
          <w:rFonts w:ascii="Arial" w:hAnsi="Arial" w:cs="Arial"/>
          <w:sz w:val="22"/>
          <w:szCs w:val="22"/>
        </w:rPr>
        <w:t xml:space="preserve"> for the community housing sector</w:t>
      </w:r>
      <w:r w:rsidR="00696825">
        <w:rPr>
          <w:rFonts w:ascii="Arial" w:hAnsi="Arial" w:cs="Arial"/>
          <w:sz w:val="22"/>
          <w:szCs w:val="22"/>
        </w:rPr>
        <w:t xml:space="preserve"> in Australia. It was expected that</w:t>
      </w:r>
      <w:r w:rsidR="003475D1">
        <w:rPr>
          <w:rFonts w:ascii="Arial" w:hAnsi="Arial" w:cs="Arial"/>
          <w:sz w:val="22"/>
          <w:szCs w:val="22"/>
        </w:rPr>
        <w:t xml:space="preserve"> West</w:t>
      </w:r>
      <w:r w:rsidR="00835EAA">
        <w:rPr>
          <w:rFonts w:ascii="Arial" w:hAnsi="Arial" w:cs="Arial"/>
          <w:sz w:val="22"/>
          <w:szCs w:val="22"/>
        </w:rPr>
        <w:t>ern Australia and</w:t>
      </w:r>
      <w:r w:rsidR="00AA6F01">
        <w:rPr>
          <w:rFonts w:ascii="Arial" w:hAnsi="Arial" w:cs="Arial"/>
          <w:sz w:val="22"/>
          <w:szCs w:val="22"/>
        </w:rPr>
        <w:t xml:space="preserve"> </w:t>
      </w:r>
      <w:r w:rsidR="00835EAA">
        <w:rPr>
          <w:rFonts w:ascii="Arial" w:hAnsi="Arial" w:cs="Arial"/>
          <w:sz w:val="22"/>
          <w:szCs w:val="22"/>
        </w:rPr>
        <w:t>Victoria</w:t>
      </w:r>
      <w:r w:rsidR="003475D1">
        <w:rPr>
          <w:rFonts w:ascii="Arial" w:hAnsi="Arial" w:cs="Arial"/>
          <w:sz w:val="22"/>
          <w:szCs w:val="22"/>
        </w:rPr>
        <w:t xml:space="preserve"> would have </w:t>
      </w:r>
      <w:r w:rsidR="00696825">
        <w:rPr>
          <w:rFonts w:ascii="Arial" w:hAnsi="Arial" w:cs="Arial"/>
          <w:sz w:val="22"/>
          <w:szCs w:val="22"/>
        </w:rPr>
        <w:t>integrated</w:t>
      </w:r>
      <w:r w:rsidR="003475D1">
        <w:rPr>
          <w:rFonts w:ascii="Arial" w:hAnsi="Arial" w:cs="Arial"/>
          <w:sz w:val="22"/>
          <w:szCs w:val="22"/>
        </w:rPr>
        <w:t xml:space="preserve"> their</w:t>
      </w:r>
      <w:r w:rsidR="00696825">
        <w:rPr>
          <w:rFonts w:ascii="Arial" w:hAnsi="Arial" w:cs="Arial"/>
          <w:sz w:val="22"/>
          <w:szCs w:val="22"/>
        </w:rPr>
        <w:t xml:space="preserve"> regulatory</w:t>
      </w:r>
      <w:r w:rsidR="003475D1">
        <w:rPr>
          <w:rFonts w:ascii="Arial" w:hAnsi="Arial" w:cs="Arial"/>
          <w:sz w:val="22"/>
          <w:szCs w:val="22"/>
        </w:rPr>
        <w:t xml:space="preserve"> s</w:t>
      </w:r>
      <w:r w:rsidR="00C35327">
        <w:rPr>
          <w:rFonts w:ascii="Arial" w:hAnsi="Arial" w:cs="Arial"/>
          <w:sz w:val="22"/>
          <w:szCs w:val="22"/>
        </w:rPr>
        <w:t>ystems</w:t>
      </w:r>
      <w:r w:rsidR="00DF7D57">
        <w:rPr>
          <w:rFonts w:ascii="Arial" w:hAnsi="Arial" w:cs="Arial"/>
          <w:sz w:val="22"/>
          <w:szCs w:val="22"/>
        </w:rPr>
        <w:t xml:space="preserve"> with the NRSCH </w:t>
      </w:r>
      <w:r w:rsidR="00696825">
        <w:rPr>
          <w:rFonts w:ascii="Arial" w:hAnsi="Arial" w:cs="Arial"/>
          <w:sz w:val="22"/>
          <w:szCs w:val="22"/>
        </w:rPr>
        <w:t>over the period which did not occur and a Federal funded review of the NRSCH did not go further to resolve this issue. This continue</w:t>
      </w:r>
      <w:r w:rsidR="00DD05D4">
        <w:rPr>
          <w:rFonts w:ascii="Arial" w:hAnsi="Arial" w:cs="Arial"/>
          <w:sz w:val="22"/>
          <w:szCs w:val="22"/>
        </w:rPr>
        <w:t>s</w:t>
      </w:r>
      <w:r w:rsidR="00696825">
        <w:rPr>
          <w:rFonts w:ascii="Arial" w:hAnsi="Arial" w:cs="Arial"/>
          <w:sz w:val="22"/>
          <w:szCs w:val="22"/>
        </w:rPr>
        <w:t xml:space="preserve"> the complexity of regulatory compliance beyond </w:t>
      </w:r>
      <w:r w:rsidR="00EC43AF">
        <w:rPr>
          <w:rFonts w:ascii="Arial" w:hAnsi="Arial" w:cs="Arial"/>
          <w:sz w:val="22"/>
          <w:szCs w:val="22"/>
        </w:rPr>
        <w:t>that</w:t>
      </w:r>
      <w:r w:rsidR="00696825">
        <w:rPr>
          <w:rFonts w:ascii="Arial" w:hAnsi="Arial" w:cs="Arial"/>
          <w:sz w:val="22"/>
          <w:szCs w:val="22"/>
        </w:rPr>
        <w:t xml:space="preserve"> necessary for the community housing sector</w:t>
      </w:r>
      <w:r w:rsidR="00DD05D4">
        <w:rPr>
          <w:rFonts w:ascii="Arial" w:hAnsi="Arial" w:cs="Arial"/>
          <w:sz w:val="22"/>
          <w:szCs w:val="22"/>
        </w:rPr>
        <w:t xml:space="preserve"> and creates an extra administrative burden for national </w:t>
      </w:r>
      <w:r w:rsidR="00E32D24">
        <w:rPr>
          <w:rFonts w:ascii="Arial" w:hAnsi="Arial" w:cs="Arial"/>
          <w:sz w:val="22"/>
          <w:szCs w:val="22"/>
        </w:rPr>
        <w:t>organizations</w:t>
      </w:r>
      <w:r w:rsidR="00DD05D4">
        <w:rPr>
          <w:rFonts w:ascii="Arial" w:hAnsi="Arial" w:cs="Arial"/>
          <w:sz w:val="22"/>
          <w:szCs w:val="22"/>
        </w:rPr>
        <w:t xml:space="preserve"> such as CHL.</w:t>
      </w:r>
      <w:r w:rsidR="00F96BDF">
        <w:rPr>
          <w:rFonts w:ascii="Arial" w:hAnsi="Arial" w:cs="Arial"/>
          <w:sz w:val="22"/>
          <w:szCs w:val="22"/>
        </w:rPr>
        <w:t xml:space="preserve"> </w:t>
      </w:r>
      <w:r w:rsidR="00EC43AF">
        <w:rPr>
          <w:rFonts w:ascii="Arial" w:hAnsi="Arial" w:cs="Arial"/>
          <w:sz w:val="22"/>
          <w:szCs w:val="22"/>
        </w:rPr>
        <w:t xml:space="preserve">More to the point the Federal Government does not have an independent </w:t>
      </w:r>
      <w:r w:rsidR="004026B8">
        <w:rPr>
          <w:rFonts w:ascii="Arial" w:hAnsi="Arial" w:cs="Arial"/>
          <w:sz w:val="22"/>
          <w:szCs w:val="22"/>
        </w:rPr>
        <w:t>monitor</w:t>
      </w:r>
      <w:r w:rsidR="00EC43AF">
        <w:rPr>
          <w:rFonts w:ascii="Arial" w:hAnsi="Arial" w:cs="Arial"/>
          <w:sz w:val="22"/>
          <w:szCs w:val="22"/>
        </w:rPr>
        <w:t xml:space="preserve"> to evalu</w:t>
      </w:r>
      <w:r w:rsidR="000D234F">
        <w:rPr>
          <w:rFonts w:ascii="Arial" w:hAnsi="Arial" w:cs="Arial"/>
          <w:sz w:val="22"/>
          <w:szCs w:val="22"/>
        </w:rPr>
        <w:t xml:space="preserve">ate the allocation of public funds for social and affordable housing growth which a single national regulator would be able to </w:t>
      </w:r>
      <w:r w:rsidR="0003614D">
        <w:rPr>
          <w:rFonts w:ascii="Arial" w:hAnsi="Arial" w:cs="Arial"/>
          <w:sz w:val="22"/>
          <w:szCs w:val="22"/>
        </w:rPr>
        <w:t>undertake</w:t>
      </w:r>
      <w:r w:rsidR="000D234F">
        <w:rPr>
          <w:rFonts w:ascii="Arial" w:hAnsi="Arial" w:cs="Arial"/>
          <w:sz w:val="22"/>
          <w:szCs w:val="22"/>
        </w:rPr>
        <w:t>. It is the lack of a framework for monitorin</w:t>
      </w:r>
      <w:r w:rsidR="008336D5">
        <w:rPr>
          <w:rFonts w:ascii="Arial" w:hAnsi="Arial" w:cs="Arial"/>
          <w:sz w:val="22"/>
          <w:szCs w:val="22"/>
        </w:rPr>
        <w:t>g</w:t>
      </w:r>
      <w:r w:rsidR="000D234F">
        <w:rPr>
          <w:rFonts w:ascii="Arial" w:hAnsi="Arial" w:cs="Arial"/>
          <w:sz w:val="22"/>
          <w:szCs w:val="22"/>
        </w:rPr>
        <w:t xml:space="preserve"> the impact of Commonwealth funding of the N</w:t>
      </w:r>
      <w:r w:rsidR="00EE38C7">
        <w:rPr>
          <w:rFonts w:ascii="Arial" w:hAnsi="Arial" w:cs="Arial"/>
          <w:sz w:val="22"/>
          <w:szCs w:val="22"/>
        </w:rPr>
        <w:t>HHA</w:t>
      </w:r>
      <w:r w:rsidR="000D234F">
        <w:rPr>
          <w:rFonts w:ascii="Arial" w:hAnsi="Arial" w:cs="Arial"/>
          <w:sz w:val="22"/>
          <w:szCs w:val="22"/>
        </w:rPr>
        <w:t xml:space="preserve"> which has </w:t>
      </w:r>
      <w:r w:rsidR="00C36407">
        <w:rPr>
          <w:rFonts w:ascii="Arial" w:hAnsi="Arial" w:cs="Arial"/>
          <w:sz w:val="22"/>
          <w:szCs w:val="22"/>
        </w:rPr>
        <w:t xml:space="preserve">often </w:t>
      </w:r>
      <w:r w:rsidR="000D234F">
        <w:rPr>
          <w:rFonts w:ascii="Arial" w:hAnsi="Arial" w:cs="Arial"/>
          <w:sz w:val="22"/>
          <w:szCs w:val="22"/>
        </w:rPr>
        <w:t>been the cited reason for the lack of expansion of this important funding source</w:t>
      </w:r>
      <w:r w:rsidR="0003614D">
        <w:rPr>
          <w:rFonts w:ascii="Arial" w:hAnsi="Arial" w:cs="Arial"/>
          <w:sz w:val="22"/>
          <w:szCs w:val="22"/>
        </w:rPr>
        <w:t xml:space="preserve"> for social housing infrastructure</w:t>
      </w:r>
      <w:r w:rsidR="00012BD4">
        <w:rPr>
          <w:rFonts w:ascii="Arial" w:hAnsi="Arial" w:cs="Arial"/>
          <w:sz w:val="22"/>
          <w:szCs w:val="22"/>
        </w:rPr>
        <w:t xml:space="preserve"> by the Federal Government</w:t>
      </w:r>
      <w:r w:rsidR="000D234F">
        <w:rPr>
          <w:rFonts w:ascii="Arial" w:hAnsi="Arial" w:cs="Arial"/>
          <w:sz w:val="22"/>
          <w:szCs w:val="22"/>
        </w:rPr>
        <w:t>.</w:t>
      </w:r>
    </w:p>
    <w:p w14:paraId="3FE8C678" w14:textId="77777777" w:rsidR="00747DD4" w:rsidRDefault="002E2D7A" w:rsidP="00DD05D4">
      <w:pPr>
        <w:pStyle w:val="BodyTextIndent3"/>
        <w:ind w:hanging="720"/>
        <w:jc w:val="both"/>
        <w:rPr>
          <w:rFonts w:ascii="Arial" w:hAnsi="Arial" w:cs="Arial"/>
          <w:sz w:val="22"/>
          <w:szCs w:val="22"/>
        </w:rPr>
      </w:pPr>
      <w:r>
        <w:rPr>
          <w:rFonts w:ascii="Arial" w:hAnsi="Arial" w:cs="Arial"/>
          <w:sz w:val="22"/>
          <w:szCs w:val="22"/>
        </w:rPr>
        <w:t xml:space="preserve"> </w:t>
      </w:r>
      <w:r w:rsidR="003475D1">
        <w:rPr>
          <w:rFonts w:ascii="Arial" w:hAnsi="Arial" w:cs="Arial"/>
          <w:sz w:val="22"/>
          <w:szCs w:val="22"/>
        </w:rPr>
        <w:t xml:space="preserve"> </w:t>
      </w:r>
      <w:r w:rsidR="00434DF0" w:rsidRPr="002857A7">
        <w:rPr>
          <w:rFonts w:ascii="Arial" w:hAnsi="Arial" w:cs="Arial"/>
          <w:sz w:val="22"/>
          <w:szCs w:val="22"/>
        </w:rPr>
        <w:tab/>
      </w:r>
    </w:p>
    <w:p w14:paraId="6012B75E" w14:textId="77777777" w:rsidR="00434DF0" w:rsidRPr="005949DE" w:rsidRDefault="00EB119E" w:rsidP="002160E7">
      <w:pPr>
        <w:pStyle w:val="BodyTextIndent3"/>
        <w:ind w:left="0"/>
        <w:jc w:val="both"/>
        <w:rPr>
          <w:rFonts w:ascii="Arial" w:hAnsi="Arial" w:cs="Arial"/>
          <w:b/>
          <w:sz w:val="22"/>
          <w:szCs w:val="22"/>
          <w:u w:val="single"/>
        </w:rPr>
      </w:pPr>
      <w:r>
        <w:rPr>
          <w:rFonts w:ascii="Arial" w:hAnsi="Arial" w:cs="Arial"/>
          <w:sz w:val="22"/>
          <w:szCs w:val="22"/>
        </w:rPr>
        <w:t>7.8</w:t>
      </w:r>
      <w:r w:rsidR="00A322EF">
        <w:rPr>
          <w:rFonts w:ascii="Arial" w:hAnsi="Arial" w:cs="Arial"/>
          <w:sz w:val="22"/>
          <w:szCs w:val="22"/>
        </w:rPr>
        <w:tab/>
      </w:r>
      <w:r w:rsidR="00434DF0" w:rsidRPr="00C36407">
        <w:rPr>
          <w:rFonts w:ascii="Arial" w:hAnsi="Arial" w:cs="Arial"/>
          <w:b/>
          <w:color w:val="1F3864"/>
          <w:sz w:val="22"/>
          <w:szCs w:val="22"/>
        </w:rPr>
        <w:t xml:space="preserve">Industry </w:t>
      </w:r>
      <w:r w:rsidR="0003614D" w:rsidRPr="00C36407">
        <w:rPr>
          <w:rFonts w:ascii="Arial" w:hAnsi="Arial" w:cs="Arial"/>
          <w:b/>
          <w:color w:val="1F3864"/>
          <w:sz w:val="22"/>
          <w:szCs w:val="22"/>
        </w:rPr>
        <w:t>development</w:t>
      </w:r>
    </w:p>
    <w:p w14:paraId="49117FD1" w14:textId="77777777" w:rsidR="00434DF0" w:rsidRPr="005949DE" w:rsidRDefault="00434DF0" w:rsidP="002160E7">
      <w:pPr>
        <w:pStyle w:val="BodyTextIndent3"/>
        <w:ind w:hanging="720"/>
        <w:jc w:val="both"/>
        <w:rPr>
          <w:rFonts w:ascii="Arial" w:hAnsi="Arial" w:cs="Arial"/>
          <w:b/>
          <w:sz w:val="22"/>
          <w:szCs w:val="22"/>
        </w:rPr>
      </w:pPr>
    </w:p>
    <w:p w14:paraId="3F6159A1" w14:textId="77777777" w:rsidR="00EC6DC0" w:rsidRDefault="005C15F4" w:rsidP="00A322EF">
      <w:pPr>
        <w:pStyle w:val="BodyTextIndent3"/>
        <w:ind w:hanging="60"/>
        <w:jc w:val="both"/>
        <w:rPr>
          <w:rFonts w:ascii="Arial" w:hAnsi="Arial" w:cs="Arial"/>
          <w:sz w:val="22"/>
          <w:szCs w:val="22"/>
        </w:rPr>
      </w:pPr>
      <w:r>
        <w:rPr>
          <w:rFonts w:ascii="Arial" w:hAnsi="Arial" w:cs="Arial"/>
          <w:sz w:val="22"/>
          <w:szCs w:val="22"/>
        </w:rPr>
        <w:t xml:space="preserve">The development of </w:t>
      </w:r>
      <w:r w:rsidR="000328B2">
        <w:rPr>
          <w:rFonts w:ascii="Arial" w:hAnsi="Arial" w:cs="Arial"/>
          <w:sz w:val="22"/>
          <w:szCs w:val="22"/>
        </w:rPr>
        <w:t>a national ind</w:t>
      </w:r>
      <w:r w:rsidR="00A96081">
        <w:rPr>
          <w:rFonts w:ascii="Arial" w:hAnsi="Arial" w:cs="Arial"/>
          <w:sz w:val="22"/>
          <w:szCs w:val="22"/>
        </w:rPr>
        <w:t xml:space="preserve">ustry </w:t>
      </w:r>
      <w:r w:rsidR="00A322EF">
        <w:rPr>
          <w:rFonts w:ascii="Arial" w:hAnsi="Arial" w:cs="Arial"/>
          <w:sz w:val="22"/>
          <w:szCs w:val="22"/>
        </w:rPr>
        <w:t>continues its</w:t>
      </w:r>
      <w:r w:rsidR="000328B2">
        <w:rPr>
          <w:rFonts w:ascii="Arial" w:hAnsi="Arial" w:cs="Arial"/>
          <w:sz w:val="22"/>
          <w:szCs w:val="22"/>
        </w:rPr>
        <w:t xml:space="preserve"> momentum </w:t>
      </w:r>
      <w:r w:rsidR="00A322EF">
        <w:rPr>
          <w:rFonts w:ascii="Arial" w:hAnsi="Arial" w:cs="Arial"/>
          <w:sz w:val="22"/>
          <w:szCs w:val="22"/>
        </w:rPr>
        <w:t>a</w:t>
      </w:r>
      <w:r w:rsidR="00C36407">
        <w:rPr>
          <w:rFonts w:ascii="Arial" w:hAnsi="Arial" w:cs="Arial"/>
          <w:sz w:val="22"/>
          <w:szCs w:val="22"/>
        </w:rPr>
        <w:t xml:space="preserve">ssisted by the growing </w:t>
      </w:r>
      <w:r w:rsidR="00A96081">
        <w:rPr>
          <w:rFonts w:ascii="Arial" w:hAnsi="Arial" w:cs="Arial"/>
          <w:sz w:val="22"/>
          <w:szCs w:val="22"/>
        </w:rPr>
        <w:t>influence of</w:t>
      </w:r>
      <w:r w:rsidR="000328B2">
        <w:rPr>
          <w:rFonts w:ascii="Arial" w:hAnsi="Arial" w:cs="Arial"/>
          <w:sz w:val="22"/>
          <w:szCs w:val="22"/>
        </w:rPr>
        <w:t xml:space="preserve"> </w:t>
      </w:r>
      <w:r w:rsidR="00041A47">
        <w:rPr>
          <w:rFonts w:ascii="Arial" w:hAnsi="Arial" w:cs="Arial"/>
          <w:sz w:val="22"/>
          <w:szCs w:val="22"/>
        </w:rPr>
        <w:t>the</w:t>
      </w:r>
      <w:r w:rsidR="000328B2">
        <w:rPr>
          <w:rFonts w:ascii="Arial" w:hAnsi="Arial" w:cs="Arial"/>
          <w:sz w:val="22"/>
          <w:szCs w:val="22"/>
        </w:rPr>
        <w:t xml:space="preserve"> Community Housing Industry Association (CHIA)</w:t>
      </w:r>
      <w:r w:rsidR="00A322EF">
        <w:rPr>
          <w:rFonts w:ascii="Arial" w:hAnsi="Arial" w:cs="Arial"/>
          <w:sz w:val="22"/>
          <w:szCs w:val="22"/>
        </w:rPr>
        <w:t>. The NRSCH has a system of tiers of community housing providers where the highest tier is regulated to higher degree due to increased risk of development and financing. There are now 38 tier one community housing providers and housing associations in Australia. CHL remains the largest CHP in the country with nearly 11,</w:t>
      </w:r>
      <w:r w:rsidR="0052047E">
        <w:rPr>
          <w:rFonts w:ascii="Arial" w:hAnsi="Arial" w:cs="Arial"/>
          <w:sz w:val="22"/>
          <w:szCs w:val="22"/>
        </w:rPr>
        <w:t>4</w:t>
      </w:r>
      <w:r w:rsidR="00A322EF">
        <w:rPr>
          <w:rFonts w:ascii="Arial" w:hAnsi="Arial" w:cs="Arial"/>
          <w:sz w:val="22"/>
          <w:szCs w:val="22"/>
        </w:rPr>
        <w:t xml:space="preserve">00 units in six States under management followed by Housing Choices Australia with </w:t>
      </w:r>
      <w:r w:rsidR="00B84E23">
        <w:rPr>
          <w:rFonts w:ascii="Arial" w:hAnsi="Arial" w:cs="Arial"/>
          <w:sz w:val="22"/>
          <w:szCs w:val="22"/>
        </w:rPr>
        <w:t>8</w:t>
      </w:r>
      <w:r w:rsidR="00A322EF">
        <w:rPr>
          <w:rFonts w:ascii="Arial" w:hAnsi="Arial" w:cs="Arial"/>
          <w:sz w:val="22"/>
          <w:szCs w:val="22"/>
        </w:rPr>
        <w:t xml:space="preserve">,500 units in four States, Compass Housing </w:t>
      </w:r>
      <w:r w:rsidR="007B25AD">
        <w:rPr>
          <w:rFonts w:ascii="Arial" w:hAnsi="Arial" w:cs="Arial"/>
          <w:sz w:val="22"/>
          <w:szCs w:val="22"/>
        </w:rPr>
        <w:t xml:space="preserve">with 7,600 units </w:t>
      </w:r>
      <w:r w:rsidR="00A322EF">
        <w:rPr>
          <w:rFonts w:ascii="Arial" w:hAnsi="Arial" w:cs="Arial"/>
          <w:sz w:val="22"/>
          <w:szCs w:val="22"/>
        </w:rPr>
        <w:t xml:space="preserve">in two States, Link Wentworth and SGCH from NSW </w:t>
      </w:r>
      <w:r w:rsidR="00012BD4">
        <w:rPr>
          <w:rFonts w:ascii="Arial" w:hAnsi="Arial" w:cs="Arial"/>
          <w:sz w:val="22"/>
          <w:szCs w:val="22"/>
        </w:rPr>
        <w:t>each</w:t>
      </w:r>
      <w:r w:rsidR="00A322EF">
        <w:rPr>
          <w:rFonts w:ascii="Arial" w:hAnsi="Arial" w:cs="Arial"/>
          <w:sz w:val="22"/>
          <w:szCs w:val="22"/>
        </w:rPr>
        <w:t xml:space="preserve"> with </w:t>
      </w:r>
      <w:r w:rsidR="00FD2B03">
        <w:rPr>
          <w:rFonts w:ascii="Arial" w:hAnsi="Arial" w:cs="Arial"/>
          <w:sz w:val="22"/>
          <w:szCs w:val="22"/>
        </w:rPr>
        <w:t>6,500-</w:t>
      </w:r>
      <w:r w:rsidR="00A322EF">
        <w:rPr>
          <w:rFonts w:ascii="Arial" w:hAnsi="Arial" w:cs="Arial"/>
          <w:sz w:val="22"/>
          <w:szCs w:val="22"/>
        </w:rPr>
        <w:t>7,</w:t>
      </w:r>
      <w:r w:rsidR="00FD2B03">
        <w:rPr>
          <w:rFonts w:ascii="Arial" w:hAnsi="Arial" w:cs="Arial"/>
          <w:sz w:val="22"/>
          <w:szCs w:val="22"/>
        </w:rPr>
        <w:t>5</w:t>
      </w:r>
      <w:r w:rsidR="00A322EF">
        <w:rPr>
          <w:rFonts w:ascii="Arial" w:hAnsi="Arial" w:cs="Arial"/>
          <w:sz w:val="22"/>
          <w:szCs w:val="22"/>
        </w:rPr>
        <w:t xml:space="preserve">00 units under management. </w:t>
      </w:r>
      <w:r w:rsidR="008336D5">
        <w:rPr>
          <w:rFonts w:ascii="Arial" w:hAnsi="Arial" w:cs="Arial"/>
          <w:sz w:val="22"/>
          <w:szCs w:val="22"/>
        </w:rPr>
        <w:t xml:space="preserve">The community housing sector has demonstrated the success of the industry </w:t>
      </w:r>
      <w:r w:rsidR="00C36407">
        <w:rPr>
          <w:rFonts w:ascii="Arial" w:hAnsi="Arial" w:cs="Arial"/>
          <w:sz w:val="22"/>
          <w:szCs w:val="22"/>
        </w:rPr>
        <w:t>to</w:t>
      </w:r>
      <w:r w:rsidR="008336D5">
        <w:rPr>
          <w:rFonts w:ascii="Arial" w:hAnsi="Arial" w:cs="Arial"/>
          <w:sz w:val="22"/>
          <w:szCs w:val="22"/>
        </w:rPr>
        <w:t xml:space="preserve"> meet need; manag</w:t>
      </w:r>
      <w:r w:rsidR="00C36407">
        <w:rPr>
          <w:rFonts w:ascii="Arial" w:hAnsi="Arial" w:cs="Arial"/>
          <w:sz w:val="22"/>
          <w:szCs w:val="22"/>
        </w:rPr>
        <w:t>e</w:t>
      </w:r>
      <w:r w:rsidR="008336D5">
        <w:rPr>
          <w:rFonts w:ascii="Arial" w:hAnsi="Arial" w:cs="Arial"/>
          <w:sz w:val="22"/>
          <w:szCs w:val="22"/>
        </w:rPr>
        <w:t xml:space="preserve"> assets</w:t>
      </w:r>
      <w:r w:rsidR="00C36407">
        <w:rPr>
          <w:rFonts w:ascii="Arial" w:hAnsi="Arial" w:cs="Arial"/>
          <w:sz w:val="22"/>
          <w:szCs w:val="22"/>
        </w:rPr>
        <w:t xml:space="preserve"> and</w:t>
      </w:r>
      <w:r w:rsidR="008336D5">
        <w:rPr>
          <w:rFonts w:ascii="Arial" w:hAnsi="Arial" w:cs="Arial"/>
          <w:sz w:val="22"/>
          <w:szCs w:val="22"/>
        </w:rPr>
        <w:t xml:space="preserve"> housing development ensur</w:t>
      </w:r>
      <w:r w:rsidR="00C36407">
        <w:rPr>
          <w:rFonts w:ascii="Arial" w:hAnsi="Arial" w:cs="Arial"/>
          <w:sz w:val="22"/>
          <w:szCs w:val="22"/>
        </w:rPr>
        <w:t>ing</w:t>
      </w:r>
      <w:r w:rsidR="008336D5">
        <w:rPr>
          <w:rFonts w:ascii="Arial" w:hAnsi="Arial" w:cs="Arial"/>
          <w:sz w:val="22"/>
          <w:szCs w:val="22"/>
        </w:rPr>
        <w:t xml:space="preserve"> that there is an investable framework for growth</w:t>
      </w:r>
      <w:r w:rsidR="00C36407">
        <w:rPr>
          <w:rFonts w:ascii="Arial" w:hAnsi="Arial" w:cs="Arial"/>
          <w:sz w:val="22"/>
          <w:szCs w:val="22"/>
        </w:rPr>
        <w:t>. The long track record of 15 years of regulation provides a source of data on performance that is now encouraging large scale</w:t>
      </w:r>
      <w:r w:rsidR="00881D65">
        <w:rPr>
          <w:rFonts w:ascii="Arial" w:hAnsi="Arial" w:cs="Arial"/>
          <w:sz w:val="22"/>
          <w:szCs w:val="22"/>
        </w:rPr>
        <w:t xml:space="preserve"> non</w:t>
      </w:r>
      <w:r w:rsidR="00012BD4">
        <w:rPr>
          <w:rFonts w:ascii="Arial" w:hAnsi="Arial" w:cs="Arial"/>
          <w:sz w:val="22"/>
          <w:szCs w:val="22"/>
        </w:rPr>
        <w:t>-</w:t>
      </w:r>
      <w:r w:rsidR="00881D65">
        <w:rPr>
          <w:rFonts w:ascii="Arial" w:hAnsi="Arial" w:cs="Arial"/>
          <w:sz w:val="22"/>
          <w:szCs w:val="22"/>
        </w:rPr>
        <w:t>government</w:t>
      </w:r>
      <w:r w:rsidR="00012BD4">
        <w:rPr>
          <w:rFonts w:ascii="Arial" w:hAnsi="Arial" w:cs="Arial"/>
          <w:sz w:val="22"/>
          <w:szCs w:val="22"/>
        </w:rPr>
        <w:t xml:space="preserve"> capital</w:t>
      </w:r>
      <w:r w:rsidR="00C36407">
        <w:rPr>
          <w:rFonts w:ascii="Arial" w:hAnsi="Arial" w:cs="Arial"/>
          <w:sz w:val="22"/>
          <w:szCs w:val="22"/>
        </w:rPr>
        <w:t xml:space="preserve"> investment in the community housing sector</w:t>
      </w:r>
      <w:r w:rsidR="008336D5">
        <w:rPr>
          <w:rFonts w:ascii="Arial" w:hAnsi="Arial" w:cs="Arial"/>
          <w:sz w:val="22"/>
          <w:szCs w:val="22"/>
        </w:rPr>
        <w:t>.</w:t>
      </w:r>
    </w:p>
    <w:p w14:paraId="14B85420" w14:textId="77777777" w:rsidR="00EC6DC0" w:rsidRDefault="00EC6DC0" w:rsidP="002160E7">
      <w:pPr>
        <w:pStyle w:val="BodyTextIndent3"/>
        <w:ind w:hanging="720"/>
        <w:jc w:val="both"/>
        <w:rPr>
          <w:rFonts w:ascii="Arial" w:hAnsi="Arial" w:cs="Arial"/>
          <w:sz w:val="22"/>
          <w:szCs w:val="22"/>
        </w:rPr>
      </w:pPr>
    </w:p>
    <w:p w14:paraId="7E8012E8" w14:textId="77777777" w:rsidR="00434DF0" w:rsidRPr="004D5A22" w:rsidRDefault="00EB119E" w:rsidP="00526DEE">
      <w:pPr>
        <w:pStyle w:val="BodyTextIndent3"/>
        <w:ind w:left="0"/>
        <w:jc w:val="both"/>
        <w:rPr>
          <w:rFonts w:ascii="Arial" w:hAnsi="Arial" w:cs="Arial"/>
          <w:b/>
          <w:bCs/>
          <w:sz w:val="22"/>
          <w:szCs w:val="22"/>
          <w:u w:val="single"/>
        </w:rPr>
      </w:pPr>
      <w:r>
        <w:rPr>
          <w:rFonts w:ascii="Arial" w:hAnsi="Arial" w:cs="Arial"/>
          <w:sz w:val="22"/>
          <w:szCs w:val="22"/>
        </w:rPr>
        <w:t>7.9</w:t>
      </w:r>
      <w:r w:rsidR="00434DF0" w:rsidRPr="002857A7">
        <w:rPr>
          <w:rFonts w:ascii="Arial" w:hAnsi="Arial" w:cs="Arial"/>
          <w:sz w:val="22"/>
          <w:szCs w:val="22"/>
        </w:rPr>
        <w:tab/>
      </w:r>
      <w:bookmarkStart w:id="15" w:name="_Hlk90473702"/>
      <w:r w:rsidR="00434DF0" w:rsidRPr="00C36407">
        <w:rPr>
          <w:rFonts w:ascii="Arial" w:hAnsi="Arial" w:cs="Arial"/>
          <w:b/>
          <w:bCs/>
          <w:color w:val="1F3864"/>
          <w:sz w:val="22"/>
          <w:szCs w:val="22"/>
        </w:rPr>
        <w:t xml:space="preserve">Aboriginal </w:t>
      </w:r>
      <w:r w:rsidR="004D5A22" w:rsidRPr="00C36407">
        <w:rPr>
          <w:rFonts w:ascii="Arial" w:hAnsi="Arial" w:cs="Arial"/>
          <w:b/>
          <w:bCs/>
          <w:color w:val="1F3864"/>
          <w:sz w:val="22"/>
          <w:szCs w:val="22"/>
        </w:rPr>
        <w:t xml:space="preserve">and Torres Strait Islander </w:t>
      </w:r>
      <w:r w:rsidR="00434DF0" w:rsidRPr="00C36407">
        <w:rPr>
          <w:rFonts w:ascii="Arial" w:hAnsi="Arial" w:cs="Arial"/>
          <w:b/>
          <w:bCs/>
          <w:color w:val="1F3864"/>
          <w:sz w:val="22"/>
          <w:szCs w:val="22"/>
        </w:rPr>
        <w:t>housing</w:t>
      </w:r>
      <w:bookmarkEnd w:id="15"/>
    </w:p>
    <w:p w14:paraId="126252D5" w14:textId="77777777" w:rsidR="00434DF0" w:rsidRPr="004D5A22" w:rsidRDefault="00434DF0" w:rsidP="002160E7">
      <w:pPr>
        <w:pStyle w:val="BodyTextIndent3"/>
        <w:ind w:hanging="720"/>
        <w:jc w:val="both"/>
        <w:rPr>
          <w:rFonts w:ascii="Arial" w:hAnsi="Arial" w:cs="Arial"/>
          <w:b/>
          <w:bCs/>
          <w:sz w:val="22"/>
          <w:szCs w:val="22"/>
          <w:u w:val="single"/>
        </w:rPr>
      </w:pPr>
    </w:p>
    <w:p w14:paraId="6110754B" w14:textId="77777777" w:rsidR="00FE7376" w:rsidRDefault="00B53880" w:rsidP="002160E7">
      <w:pPr>
        <w:pStyle w:val="BodyTextIndent3"/>
        <w:ind w:hanging="720"/>
        <w:jc w:val="both"/>
        <w:rPr>
          <w:rFonts w:ascii="Arial" w:hAnsi="Arial" w:cs="Arial"/>
          <w:sz w:val="22"/>
          <w:szCs w:val="22"/>
        </w:rPr>
      </w:pPr>
      <w:r>
        <w:rPr>
          <w:rFonts w:ascii="Arial" w:hAnsi="Arial" w:cs="Arial"/>
          <w:sz w:val="22"/>
          <w:szCs w:val="22"/>
        </w:rPr>
        <w:tab/>
        <w:t xml:space="preserve">The number of homes occupied by Aboriginal and Torres Strait Islander people </w:t>
      </w:r>
      <w:r w:rsidR="00753A62">
        <w:rPr>
          <w:rFonts w:ascii="Arial" w:hAnsi="Arial" w:cs="Arial"/>
          <w:sz w:val="22"/>
          <w:szCs w:val="22"/>
        </w:rPr>
        <w:t>in housing managed</w:t>
      </w:r>
      <w:r>
        <w:rPr>
          <w:rFonts w:ascii="Arial" w:hAnsi="Arial" w:cs="Arial"/>
          <w:sz w:val="22"/>
          <w:szCs w:val="22"/>
        </w:rPr>
        <w:t xml:space="preserve"> Aboriginal corporations and State Governments</w:t>
      </w:r>
      <w:r w:rsidR="00753A62">
        <w:rPr>
          <w:rFonts w:ascii="Arial" w:hAnsi="Arial" w:cs="Arial"/>
          <w:sz w:val="22"/>
          <w:szCs w:val="22"/>
        </w:rPr>
        <w:t xml:space="preserve"> has marginally reduced across the country despite strong population growth. Unmet demand is characterized by</w:t>
      </w:r>
      <w:r w:rsidR="006E162F">
        <w:rPr>
          <w:rFonts w:ascii="Arial" w:hAnsi="Arial" w:cs="Arial"/>
          <w:sz w:val="22"/>
          <w:szCs w:val="22"/>
        </w:rPr>
        <w:t xml:space="preserve"> overcrowding of</w:t>
      </w:r>
      <w:r w:rsidR="00753A62">
        <w:rPr>
          <w:rFonts w:ascii="Arial" w:hAnsi="Arial" w:cs="Arial"/>
          <w:sz w:val="22"/>
          <w:szCs w:val="22"/>
        </w:rPr>
        <w:t xml:space="preserve"> housing for this cohort as well as those in high need across the general community. It should be however noted that data in relation to health, employment and homelessness indicate that a larger proportion of this cohort</w:t>
      </w:r>
      <w:r w:rsidR="00AA6F01">
        <w:rPr>
          <w:rFonts w:ascii="Arial" w:hAnsi="Arial" w:cs="Arial"/>
          <w:sz w:val="22"/>
          <w:szCs w:val="22"/>
        </w:rPr>
        <w:t xml:space="preserve"> than the general community</w:t>
      </w:r>
      <w:r w:rsidR="00753A62">
        <w:rPr>
          <w:rFonts w:ascii="Arial" w:hAnsi="Arial" w:cs="Arial"/>
          <w:sz w:val="22"/>
          <w:szCs w:val="22"/>
        </w:rPr>
        <w:t xml:space="preserve"> is affected by the lack of growth in </w:t>
      </w:r>
      <w:r w:rsidR="003D223E">
        <w:rPr>
          <w:rFonts w:ascii="Arial" w:hAnsi="Arial" w:cs="Arial"/>
          <w:sz w:val="22"/>
          <w:szCs w:val="22"/>
        </w:rPr>
        <w:t>low-cost</w:t>
      </w:r>
      <w:r w:rsidR="00753A62">
        <w:rPr>
          <w:rFonts w:ascii="Arial" w:hAnsi="Arial" w:cs="Arial"/>
          <w:sz w:val="22"/>
          <w:szCs w:val="22"/>
        </w:rPr>
        <w:t xml:space="preserve"> housing options. The Closing the Gap report 2021 </w:t>
      </w:r>
      <w:r w:rsidR="004177F6">
        <w:rPr>
          <w:rFonts w:ascii="Arial" w:hAnsi="Arial" w:cs="Arial"/>
          <w:sz w:val="22"/>
          <w:szCs w:val="22"/>
        </w:rPr>
        <w:t>advised</w:t>
      </w:r>
      <w:r w:rsidR="00753A62">
        <w:rPr>
          <w:rFonts w:ascii="Arial" w:hAnsi="Arial" w:cs="Arial"/>
          <w:sz w:val="22"/>
          <w:szCs w:val="22"/>
        </w:rPr>
        <w:t xml:space="preserve"> funding to reduce overcrowding by 1,950 bedrooms in housing in the NT</w:t>
      </w:r>
      <w:r w:rsidR="00AA6F01">
        <w:rPr>
          <w:rFonts w:ascii="Arial" w:hAnsi="Arial" w:cs="Arial"/>
          <w:sz w:val="22"/>
          <w:szCs w:val="22"/>
        </w:rPr>
        <w:t xml:space="preserve">. This is </w:t>
      </w:r>
      <w:r w:rsidR="00753A62">
        <w:rPr>
          <w:rFonts w:ascii="Arial" w:hAnsi="Arial" w:cs="Arial"/>
          <w:sz w:val="22"/>
          <w:szCs w:val="22"/>
        </w:rPr>
        <w:t xml:space="preserve">the equivalent to an additional </w:t>
      </w:r>
      <w:r w:rsidR="004177F6">
        <w:rPr>
          <w:rFonts w:ascii="Arial" w:hAnsi="Arial" w:cs="Arial"/>
          <w:sz w:val="22"/>
          <w:szCs w:val="22"/>
        </w:rPr>
        <w:t>6</w:t>
      </w:r>
      <w:r w:rsidR="00753A62">
        <w:rPr>
          <w:rFonts w:ascii="Arial" w:hAnsi="Arial" w:cs="Arial"/>
          <w:sz w:val="22"/>
          <w:szCs w:val="22"/>
        </w:rPr>
        <w:t xml:space="preserve">50 </w:t>
      </w:r>
      <w:r w:rsidR="003D223E">
        <w:rPr>
          <w:rFonts w:ascii="Arial" w:hAnsi="Arial" w:cs="Arial"/>
          <w:sz w:val="22"/>
          <w:szCs w:val="22"/>
        </w:rPr>
        <w:t>three-bedroom</w:t>
      </w:r>
      <w:r w:rsidR="00753A62">
        <w:rPr>
          <w:rFonts w:ascii="Arial" w:hAnsi="Arial" w:cs="Arial"/>
          <w:sz w:val="22"/>
          <w:szCs w:val="22"/>
        </w:rPr>
        <w:t xml:space="preserve"> homes</w:t>
      </w:r>
      <w:r w:rsidR="004177F6">
        <w:rPr>
          <w:rFonts w:ascii="Arial" w:hAnsi="Arial" w:cs="Arial"/>
          <w:sz w:val="22"/>
          <w:szCs w:val="22"/>
        </w:rPr>
        <w:t xml:space="preserve"> over the period from 2018-2023. Other States have announced a focus of attention on housing</w:t>
      </w:r>
      <w:r w:rsidR="00AA6F01">
        <w:rPr>
          <w:rFonts w:ascii="Arial" w:hAnsi="Arial" w:cs="Arial"/>
          <w:sz w:val="22"/>
          <w:szCs w:val="22"/>
        </w:rPr>
        <w:t xml:space="preserve"> for Aboriginal people</w:t>
      </w:r>
      <w:r w:rsidR="004177F6">
        <w:rPr>
          <w:rFonts w:ascii="Arial" w:hAnsi="Arial" w:cs="Arial"/>
          <w:sz w:val="22"/>
          <w:szCs w:val="22"/>
        </w:rPr>
        <w:t xml:space="preserve"> including Victoria which committed 10% of its </w:t>
      </w:r>
      <w:r w:rsidR="0024434C">
        <w:rPr>
          <w:rFonts w:ascii="Arial" w:hAnsi="Arial" w:cs="Arial"/>
          <w:sz w:val="22"/>
          <w:szCs w:val="22"/>
        </w:rPr>
        <w:t>Big Housing Build</w:t>
      </w:r>
      <w:r w:rsidR="004177F6">
        <w:rPr>
          <w:rFonts w:ascii="Arial" w:hAnsi="Arial" w:cs="Arial"/>
          <w:sz w:val="22"/>
          <w:szCs w:val="22"/>
        </w:rPr>
        <w:t xml:space="preserve"> </w:t>
      </w:r>
      <w:r w:rsidR="0024434C">
        <w:rPr>
          <w:rFonts w:ascii="Arial" w:hAnsi="Arial" w:cs="Arial"/>
          <w:sz w:val="22"/>
          <w:szCs w:val="22"/>
        </w:rPr>
        <w:t>stimulus</w:t>
      </w:r>
      <w:r w:rsidR="004177F6">
        <w:rPr>
          <w:rFonts w:ascii="Arial" w:hAnsi="Arial" w:cs="Arial"/>
          <w:sz w:val="22"/>
          <w:szCs w:val="22"/>
        </w:rPr>
        <w:t xml:space="preserve"> program</w:t>
      </w:r>
      <w:r w:rsidR="00170EB9">
        <w:rPr>
          <w:rFonts w:ascii="Arial" w:hAnsi="Arial" w:cs="Arial"/>
          <w:sz w:val="22"/>
          <w:szCs w:val="22"/>
        </w:rPr>
        <w:t xml:space="preserve"> to Aboriginal and Torres Strait Islander people in need</w:t>
      </w:r>
      <w:r w:rsidR="004177F6">
        <w:rPr>
          <w:rFonts w:ascii="Arial" w:hAnsi="Arial" w:cs="Arial"/>
          <w:sz w:val="22"/>
          <w:szCs w:val="22"/>
        </w:rPr>
        <w:t xml:space="preserve">. </w:t>
      </w:r>
    </w:p>
    <w:p w14:paraId="4F7095C3" w14:textId="77777777" w:rsidR="00FD2B03" w:rsidRDefault="00FD2B03" w:rsidP="002160E7">
      <w:pPr>
        <w:pStyle w:val="BodyTextIndent3"/>
        <w:ind w:hanging="720"/>
        <w:jc w:val="both"/>
        <w:rPr>
          <w:rFonts w:ascii="Arial" w:hAnsi="Arial" w:cs="Arial"/>
          <w:sz w:val="22"/>
          <w:szCs w:val="22"/>
        </w:rPr>
      </w:pPr>
    </w:p>
    <w:p w14:paraId="2D2E39AD" w14:textId="77777777" w:rsidR="00373057" w:rsidRDefault="00373057" w:rsidP="002160E7">
      <w:pPr>
        <w:pStyle w:val="BodyTextIndent3"/>
        <w:ind w:hanging="720"/>
        <w:jc w:val="both"/>
        <w:rPr>
          <w:rFonts w:ascii="Arial" w:hAnsi="Arial" w:cs="Arial"/>
          <w:sz w:val="22"/>
          <w:szCs w:val="22"/>
        </w:rPr>
      </w:pPr>
    </w:p>
    <w:p w14:paraId="61676189" w14:textId="77777777" w:rsidR="00373057" w:rsidRDefault="00373057" w:rsidP="002160E7">
      <w:pPr>
        <w:pStyle w:val="BodyTextIndent3"/>
        <w:ind w:hanging="720"/>
        <w:jc w:val="both"/>
        <w:rPr>
          <w:rFonts w:ascii="Arial" w:hAnsi="Arial" w:cs="Arial"/>
          <w:sz w:val="22"/>
          <w:szCs w:val="22"/>
        </w:rPr>
      </w:pPr>
    </w:p>
    <w:p w14:paraId="5615ADBE" w14:textId="77777777" w:rsidR="00373057" w:rsidRDefault="00373057" w:rsidP="002160E7">
      <w:pPr>
        <w:pStyle w:val="BodyTextIndent3"/>
        <w:ind w:hanging="720"/>
        <w:jc w:val="both"/>
        <w:rPr>
          <w:rFonts w:ascii="Arial" w:hAnsi="Arial" w:cs="Arial"/>
          <w:sz w:val="22"/>
          <w:szCs w:val="22"/>
        </w:rPr>
      </w:pPr>
    </w:p>
    <w:p w14:paraId="18B73E39" w14:textId="77777777" w:rsidR="00BD283E" w:rsidRDefault="00BD283E" w:rsidP="002160E7">
      <w:pPr>
        <w:pStyle w:val="BodyTextIndent3"/>
        <w:ind w:hanging="720"/>
        <w:jc w:val="both"/>
        <w:rPr>
          <w:rFonts w:ascii="Arial" w:hAnsi="Arial" w:cs="Arial"/>
          <w:sz w:val="22"/>
          <w:szCs w:val="22"/>
        </w:rPr>
      </w:pPr>
    </w:p>
    <w:p w14:paraId="48DACF46" w14:textId="77777777" w:rsidR="00BD283E" w:rsidRDefault="00BD283E" w:rsidP="002160E7">
      <w:pPr>
        <w:pStyle w:val="BodyTextIndent3"/>
        <w:ind w:hanging="720"/>
        <w:jc w:val="both"/>
        <w:rPr>
          <w:rFonts w:ascii="Arial" w:hAnsi="Arial" w:cs="Arial"/>
          <w:sz w:val="22"/>
          <w:szCs w:val="22"/>
        </w:rPr>
      </w:pPr>
    </w:p>
    <w:p w14:paraId="0D4E7D9C" w14:textId="77777777" w:rsidR="00BD283E" w:rsidRDefault="00BD283E" w:rsidP="002160E7">
      <w:pPr>
        <w:pStyle w:val="BodyTextIndent3"/>
        <w:ind w:hanging="720"/>
        <w:jc w:val="both"/>
        <w:rPr>
          <w:rFonts w:ascii="Arial" w:hAnsi="Arial" w:cs="Arial"/>
          <w:sz w:val="22"/>
          <w:szCs w:val="22"/>
        </w:rPr>
      </w:pPr>
    </w:p>
    <w:p w14:paraId="17358099" w14:textId="77777777" w:rsidR="00FD2B03" w:rsidRDefault="00AB7CF3" w:rsidP="002160E7">
      <w:pPr>
        <w:pStyle w:val="BodyTextIndent3"/>
        <w:ind w:hanging="720"/>
        <w:jc w:val="both"/>
        <w:rPr>
          <w:rFonts w:ascii="Arial" w:hAnsi="Arial" w:cs="Arial"/>
          <w:b/>
          <w:bCs/>
          <w:color w:val="1F3864"/>
          <w:sz w:val="22"/>
          <w:szCs w:val="22"/>
          <w:u w:val="single"/>
        </w:rPr>
      </w:pPr>
      <w:r>
        <w:rPr>
          <w:rFonts w:ascii="Arial" w:hAnsi="Arial" w:cs="Arial"/>
          <w:sz w:val="22"/>
          <w:szCs w:val="22"/>
        </w:rPr>
        <w:t>8</w:t>
      </w:r>
      <w:r w:rsidR="00FD2B03">
        <w:rPr>
          <w:rFonts w:ascii="Arial" w:hAnsi="Arial" w:cs="Arial"/>
          <w:sz w:val="22"/>
          <w:szCs w:val="22"/>
        </w:rPr>
        <w:t>.0</w:t>
      </w:r>
      <w:r w:rsidR="00FD2B03">
        <w:rPr>
          <w:rFonts w:ascii="Arial" w:hAnsi="Arial" w:cs="Arial"/>
          <w:sz w:val="22"/>
          <w:szCs w:val="22"/>
        </w:rPr>
        <w:tab/>
      </w:r>
      <w:r w:rsidR="00A42476">
        <w:rPr>
          <w:rFonts w:ascii="Arial" w:hAnsi="Arial" w:cs="Arial"/>
          <w:b/>
          <w:bCs/>
          <w:color w:val="1F3864"/>
          <w:sz w:val="22"/>
          <w:szCs w:val="22"/>
        </w:rPr>
        <w:t>RESPONSE TO THE ISSUES PAPER OF THE REVIEW</w:t>
      </w:r>
    </w:p>
    <w:p w14:paraId="7A932686" w14:textId="77777777" w:rsidR="00FD2B03" w:rsidRDefault="00FD2B03" w:rsidP="002160E7">
      <w:pPr>
        <w:pStyle w:val="BodyTextIndent3"/>
        <w:ind w:hanging="720"/>
        <w:jc w:val="both"/>
        <w:rPr>
          <w:rFonts w:ascii="Arial" w:hAnsi="Arial" w:cs="Arial"/>
          <w:sz w:val="22"/>
          <w:szCs w:val="22"/>
        </w:rPr>
      </w:pPr>
    </w:p>
    <w:p w14:paraId="7A39E4AD" w14:textId="77777777" w:rsidR="00B11F42" w:rsidRDefault="00AB7CF3" w:rsidP="00941FE1">
      <w:pPr>
        <w:pStyle w:val="BodyTextIndent3"/>
        <w:ind w:hanging="720"/>
        <w:jc w:val="both"/>
        <w:rPr>
          <w:rFonts w:ascii="Arial" w:hAnsi="Arial" w:cs="Arial"/>
          <w:b/>
          <w:bCs/>
          <w:color w:val="1F3864"/>
          <w:sz w:val="22"/>
          <w:szCs w:val="22"/>
        </w:rPr>
      </w:pPr>
      <w:r>
        <w:rPr>
          <w:rFonts w:ascii="Arial" w:hAnsi="Arial" w:cs="Arial"/>
          <w:sz w:val="22"/>
          <w:szCs w:val="22"/>
        </w:rPr>
        <w:t>8</w:t>
      </w:r>
      <w:r w:rsidR="00FD2B03">
        <w:rPr>
          <w:rFonts w:ascii="Arial" w:hAnsi="Arial" w:cs="Arial"/>
          <w:sz w:val="22"/>
          <w:szCs w:val="22"/>
        </w:rPr>
        <w:t>.1</w:t>
      </w:r>
      <w:r w:rsidR="00FD2B03">
        <w:rPr>
          <w:rFonts w:ascii="Arial" w:hAnsi="Arial" w:cs="Arial"/>
          <w:sz w:val="22"/>
          <w:szCs w:val="22"/>
        </w:rPr>
        <w:tab/>
      </w:r>
      <w:r w:rsidR="00A42476" w:rsidRPr="00A42476">
        <w:rPr>
          <w:rFonts w:ascii="Arial" w:hAnsi="Arial" w:cs="Arial"/>
          <w:b/>
          <w:bCs/>
          <w:color w:val="1F3864"/>
          <w:sz w:val="22"/>
          <w:szCs w:val="22"/>
        </w:rPr>
        <w:t>Questions</w:t>
      </w:r>
      <w:r w:rsidR="00E862B7">
        <w:rPr>
          <w:rFonts w:ascii="Arial" w:hAnsi="Arial" w:cs="Arial"/>
          <w:b/>
          <w:bCs/>
          <w:color w:val="1F3864"/>
          <w:sz w:val="22"/>
          <w:szCs w:val="22"/>
        </w:rPr>
        <w:t xml:space="preserve"> in the Issues Paper</w:t>
      </w:r>
    </w:p>
    <w:p w14:paraId="1A06C6BF" w14:textId="77777777" w:rsidR="00941FE1" w:rsidRDefault="00941FE1" w:rsidP="00941FE1">
      <w:pPr>
        <w:pStyle w:val="BodyTextIndent3"/>
        <w:ind w:hanging="720"/>
        <w:jc w:val="both"/>
        <w:rPr>
          <w:rFonts w:ascii="Arial" w:hAnsi="Arial" w:cs="Arial"/>
          <w:b/>
          <w:bCs/>
          <w:color w:val="1F3864"/>
          <w:sz w:val="22"/>
          <w:szCs w:val="22"/>
        </w:rPr>
      </w:pPr>
    </w:p>
    <w:p w14:paraId="110357A5" w14:textId="77777777" w:rsidR="00941FE1" w:rsidRPr="00941FE1" w:rsidRDefault="00941FE1" w:rsidP="00941FE1">
      <w:pPr>
        <w:pStyle w:val="BodyTextIndent3"/>
        <w:ind w:hanging="720"/>
        <w:jc w:val="both"/>
        <w:rPr>
          <w:rFonts w:ascii="Arial" w:hAnsi="Arial" w:cs="Arial"/>
          <w:sz w:val="22"/>
          <w:szCs w:val="22"/>
        </w:rPr>
      </w:pPr>
      <w:r>
        <w:rPr>
          <w:rFonts w:ascii="Arial" w:hAnsi="Arial" w:cs="Arial"/>
          <w:color w:val="1F3864"/>
          <w:sz w:val="22"/>
          <w:szCs w:val="22"/>
        </w:rPr>
        <w:tab/>
      </w:r>
      <w:r>
        <w:rPr>
          <w:rFonts w:ascii="Arial" w:hAnsi="Arial" w:cs="Arial"/>
          <w:sz w:val="22"/>
          <w:szCs w:val="22"/>
        </w:rPr>
        <w:t xml:space="preserve">The Issues Paper </w:t>
      </w:r>
      <w:r w:rsidR="009E6ACC">
        <w:rPr>
          <w:rFonts w:ascii="Arial" w:hAnsi="Arial" w:cs="Arial"/>
          <w:sz w:val="22"/>
          <w:szCs w:val="22"/>
        </w:rPr>
        <w:t>include</w:t>
      </w:r>
      <w:r>
        <w:rPr>
          <w:rFonts w:ascii="Arial" w:hAnsi="Arial" w:cs="Arial"/>
          <w:sz w:val="22"/>
          <w:szCs w:val="22"/>
        </w:rPr>
        <w:t xml:space="preserve">s many detailed questions which the writer </w:t>
      </w:r>
      <w:r w:rsidR="00A066B4">
        <w:rPr>
          <w:rFonts w:ascii="Arial" w:hAnsi="Arial" w:cs="Arial"/>
          <w:sz w:val="22"/>
          <w:szCs w:val="22"/>
        </w:rPr>
        <w:t>consider</w:t>
      </w:r>
      <w:r w:rsidR="009E6ACC">
        <w:rPr>
          <w:rFonts w:ascii="Arial" w:hAnsi="Arial" w:cs="Arial"/>
          <w:sz w:val="22"/>
          <w:szCs w:val="22"/>
        </w:rPr>
        <w:t>ed</w:t>
      </w:r>
      <w:r w:rsidR="00C31D03">
        <w:rPr>
          <w:rFonts w:ascii="Arial" w:hAnsi="Arial" w:cs="Arial"/>
          <w:sz w:val="22"/>
          <w:szCs w:val="22"/>
        </w:rPr>
        <w:t xml:space="preserve"> as secondary to the fundamental urgency of supply</w:t>
      </w:r>
      <w:r>
        <w:rPr>
          <w:rFonts w:ascii="Arial" w:hAnsi="Arial" w:cs="Arial"/>
          <w:sz w:val="22"/>
          <w:szCs w:val="22"/>
        </w:rPr>
        <w:t xml:space="preserve"> in the face of a current shortfall in social and affordable housing</w:t>
      </w:r>
      <w:r w:rsidR="00212668">
        <w:rPr>
          <w:rFonts w:ascii="Arial" w:hAnsi="Arial" w:cs="Arial"/>
          <w:sz w:val="22"/>
          <w:szCs w:val="22"/>
        </w:rPr>
        <w:t>. To discuss the distribution of nearly $1.6 billion (less than 0.75% of the current</w:t>
      </w:r>
      <w:r w:rsidR="00A066B4">
        <w:rPr>
          <w:rFonts w:ascii="Arial" w:hAnsi="Arial" w:cs="Arial"/>
          <w:sz w:val="22"/>
          <w:szCs w:val="22"/>
        </w:rPr>
        <w:t xml:space="preserve"> capital</w:t>
      </w:r>
      <w:r w:rsidR="00212668">
        <w:rPr>
          <w:rFonts w:ascii="Arial" w:hAnsi="Arial" w:cs="Arial"/>
          <w:sz w:val="22"/>
          <w:szCs w:val="22"/>
        </w:rPr>
        <w:t xml:space="preserve"> requirement) through a response to </w:t>
      </w:r>
      <w:r w:rsidR="009E6ACC">
        <w:rPr>
          <w:rFonts w:ascii="Arial" w:hAnsi="Arial" w:cs="Arial"/>
          <w:sz w:val="22"/>
          <w:szCs w:val="22"/>
        </w:rPr>
        <w:t xml:space="preserve">these </w:t>
      </w:r>
      <w:r w:rsidR="00212668">
        <w:rPr>
          <w:rFonts w:ascii="Arial" w:hAnsi="Arial" w:cs="Arial"/>
          <w:sz w:val="22"/>
          <w:szCs w:val="22"/>
        </w:rPr>
        <w:t xml:space="preserve">questions as stated </w:t>
      </w:r>
      <w:r w:rsidR="002D363A">
        <w:rPr>
          <w:rFonts w:ascii="Arial" w:hAnsi="Arial" w:cs="Arial"/>
          <w:sz w:val="22"/>
          <w:szCs w:val="22"/>
        </w:rPr>
        <w:t xml:space="preserve">is replaced </w:t>
      </w:r>
      <w:r w:rsidR="00C31D03">
        <w:rPr>
          <w:rFonts w:ascii="Arial" w:hAnsi="Arial" w:cs="Arial"/>
          <w:sz w:val="22"/>
          <w:szCs w:val="22"/>
        </w:rPr>
        <w:t xml:space="preserve">here </w:t>
      </w:r>
      <w:r w:rsidR="002D363A">
        <w:rPr>
          <w:rFonts w:ascii="Arial" w:hAnsi="Arial" w:cs="Arial"/>
          <w:sz w:val="22"/>
          <w:szCs w:val="22"/>
        </w:rPr>
        <w:t>by a proposal on how</w:t>
      </w:r>
      <w:r w:rsidR="00E862B7">
        <w:rPr>
          <w:rFonts w:ascii="Arial" w:hAnsi="Arial" w:cs="Arial"/>
          <w:sz w:val="22"/>
          <w:szCs w:val="22"/>
        </w:rPr>
        <w:t xml:space="preserve"> the current funding structure can lend itself to creating a system </w:t>
      </w:r>
      <w:r w:rsidR="00A066B4">
        <w:rPr>
          <w:rFonts w:ascii="Arial" w:hAnsi="Arial" w:cs="Arial"/>
          <w:sz w:val="22"/>
          <w:szCs w:val="22"/>
        </w:rPr>
        <w:t xml:space="preserve">that </w:t>
      </w:r>
      <w:r w:rsidR="00C31D03">
        <w:rPr>
          <w:rFonts w:ascii="Arial" w:hAnsi="Arial" w:cs="Arial"/>
          <w:sz w:val="22"/>
          <w:szCs w:val="22"/>
        </w:rPr>
        <w:t xml:space="preserve">starts to </w:t>
      </w:r>
      <w:r w:rsidR="00A066B4">
        <w:rPr>
          <w:rFonts w:ascii="Arial" w:hAnsi="Arial" w:cs="Arial"/>
          <w:sz w:val="22"/>
          <w:szCs w:val="22"/>
        </w:rPr>
        <w:t xml:space="preserve">resolve </w:t>
      </w:r>
      <w:r w:rsidR="00C31D03">
        <w:rPr>
          <w:rFonts w:ascii="Arial" w:hAnsi="Arial" w:cs="Arial"/>
          <w:sz w:val="22"/>
          <w:szCs w:val="22"/>
        </w:rPr>
        <w:t xml:space="preserve">housing </w:t>
      </w:r>
      <w:r w:rsidR="00A066B4">
        <w:rPr>
          <w:rFonts w:ascii="Arial" w:hAnsi="Arial" w:cs="Arial"/>
          <w:sz w:val="22"/>
          <w:szCs w:val="22"/>
        </w:rPr>
        <w:t>need</w:t>
      </w:r>
      <w:r w:rsidR="00C31D03">
        <w:rPr>
          <w:rFonts w:ascii="Arial" w:hAnsi="Arial" w:cs="Arial"/>
          <w:sz w:val="22"/>
          <w:szCs w:val="22"/>
        </w:rPr>
        <w:t xml:space="preserve"> for those least well off in Australia</w:t>
      </w:r>
      <w:r w:rsidR="00E862B7">
        <w:rPr>
          <w:rFonts w:ascii="Arial" w:hAnsi="Arial" w:cs="Arial"/>
          <w:sz w:val="22"/>
          <w:szCs w:val="22"/>
        </w:rPr>
        <w:t>.</w:t>
      </w:r>
      <w:r>
        <w:rPr>
          <w:rFonts w:ascii="Arial" w:hAnsi="Arial" w:cs="Arial"/>
          <w:sz w:val="22"/>
          <w:szCs w:val="22"/>
        </w:rPr>
        <w:t xml:space="preserve"> </w:t>
      </w:r>
    </w:p>
    <w:p w14:paraId="484608A4" w14:textId="77777777" w:rsidR="00A42476" w:rsidRDefault="00A42476" w:rsidP="00A42476">
      <w:pPr>
        <w:pStyle w:val="BodyTextIndent3"/>
        <w:ind w:firstLine="720"/>
        <w:jc w:val="both"/>
        <w:rPr>
          <w:rFonts w:ascii="Arial" w:hAnsi="Arial" w:cs="Arial"/>
          <w:b/>
          <w:bCs/>
          <w:color w:val="1F3864"/>
          <w:sz w:val="22"/>
          <w:szCs w:val="22"/>
        </w:rPr>
      </w:pPr>
    </w:p>
    <w:p w14:paraId="41C66228" w14:textId="77777777" w:rsidR="00E5662C" w:rsidRDefault="00E862B7" w:rsidP="004E5016">
      <w:pPr>
        <w:pStyle w:val="BodyTextIndent3"/>
        <w:ind w:hanging="720"/>
        <w:jc w:val="both"/>
        <w:rPr>
          <w:rFonts w:ascii="Arial" w:hAnsi="Arial" w:cs="Arial"/>
          <w:sz w:val="22"/>
          <w:szCs w:val="22"/>
        </w:rPr>
      </w:pPr>
      <w:r>
        <w:rPr>
          <w:rFonts w:ascii="Arial" w:hAnsi="Arial" w:cs="Arial"/>
          <w:sz w:val="22"/>
          <w:szCs w:val="22"/>
        </w:rPr>
        <w:t>8.2</w:t>
      </w:r>
      <w:r>
        <w:rPr>
          <w:rFonts w:ascii="Arial" w:hAnsi="Arial" w:cs="Arial"/>
          <w:sz w:val="22"/>
          <w:szCs w:val="22"/>
        </w:rPr>
        <w:tab/>
      </w:r>
      <w:r w:rsidR="00FD2B03">
        <w:rPr>
          <w:rFonts w:ascii="Arial" w:hAnsi="Arial" w:cs="Arial"/>
          <w:sz w:val="22"/>
          <w:szCs w:val="22"/>
        </w:rPr>
        <w:t>At present State and Territories have the assets and planning powers to designate land for social and affordable housing. The provision of large-scale capital</w:t>
      </w:r>
      <w:r w:rsidR="00A066B4">
        <w:rPr>
          <w:rFonts w:ascii="Arial" w:hAnsi="Arial" w:cs="Arial"/>
          <w:sz w:val="22"/>
          <w:szCs w:val="22"/>
        </w:rPr>
        <w:t xml:space="preserve"> funding</w:t>
      </w:r>
      <w:r w:rsidR="00FD2B03">
        <w:rPr>
          <w:rFonts w:ascii="Arial" w:hAnsi="Arial" w:cs="Arial"/>
          <w:sz w:val="22"/>
          <w:szCs w:val="22"/>
        </w:rPr>
        <w:t xml:space="preserve"> </w:t>
      </w:r>
      <w:r w:rsidR="00557DC5">
        <w:rPr>
          <w:rFonts w:ascii="Arial" w:hAnsi="Arial" w:cs="Arial"/>
          <w:sz w:val="22"/>
          <w:szCs w:val="22"/>
        </w:rPr>
        <w:t xml:space="preserve">is beyond the appetite of most State Governments despite the recent </w:t>
      </w:r>
      <w:r w:rsidR="00FF171B">
        <w:rPr>
          <w:rFonts w:ascii="Arial" w:hAnsi="Arial" w:cs="Arial"/>
          <w:sz w:val="22"/>
          <w:szCs w:val="22"/>
        </w:rPr>
        <w:t>commitment</w:t>
      </w:r>
      <w:r w:rsidR="00557DC5">
        <w:rPr>
          <w:rFonts w:ascii="Arial" w:hAnsi="Arial" w:cs="Arial"/>
          <w:sz w:val="22"/>
          <w:szCs w:val="22"/>
        </w:rPr>
        <w:t xml:space="preserve">s made by the Queensland, </w:t>
      </w:r>
      <w:r w:rsidR="00FF171B">
        <w:rPr>
          <w:rFonts w:ascii="Arial" w:hAnsi="Arial" w:cs="Arial"/>
          <w:sz w:val="22"/>
          <w:szCs w:val="22"/>
        </w:rPr>
        <w:t xml:space="preserve">Tasmanian, </w:t>
      </w:r>
      <w:r w:rsidR="00557DC5">
        <w:rPr>
          <w:rFonts w:ascii="Arial" w:hAnsi="Arial" w:cs="Arial"/>
          <w:sz w:val="22"/>
          <w:szCs w:val="22"/>
        </w:rPr>
        <w:t>Victorian and WA Governments in their 2021 budgets. What has occurred in the past decade across all State and Territory Governments is the commitment of NHHA funds</w:t>
      </w:r>
      <w:r w:rsidR="00A066B4">
        <w:rPr>
          <w:rFonts w:ascii="Arial" w:hAnsi="Arial" w:cs="Arial"/>
          <w:sz w:val="22"/>
          <w:szCs w:val="22"/>
        </w:rPr>
        <w:t xml:space="preserve"> by the States</w:t>
      </w:r>
      <w:r w:rsidR="00557DC5">
        <w:rPr>
          <w:rFonts w:ascii="Arial" w:hAnsi="Arial" w:cs="Arial"/>
          <w:sz w:val="22"/>
          <w:szCs w:val="22"/>
        </w:rPr>
        <w:t xml:space="preserve"> to cover the gap between rental revenue and operational costs whilst managing the declining asset of their public housing portfolios.</w:t>
      </w:r>
      <w:r w:rsidR="00E5662C">
        <w:rPr>
          <w:rFonts w:ascii="Arial" w:hAnsi="Arial" w:cs="Arial"/>
          <w:sz w:val="22"/>
          <w:szCs w:val="22"/>
        </w:rPr>
        <w:t xml:space="preserve"> It would be fair to say the principal motivation for transfer of management of public housing to the community housing sector in NSW, SA, and Tasmania </w:t>
      </w:r>
      <w:r>
        <w:rPr>
          <w:rFonts w:ascii="Arial" w:hAnsi="Arial" w:cs="Arial"/>
          <w:sz w:val="22"/>
          <w:szCs w:val="22"/>
        </w:rPr>
        <w:t>has been</w:t>
      </w:r>
      <w:r w:rsidR="00E5662C">
        <w:rPr>
          <w:rFonts w:ascii="Arial" w:hAnsi="Arial" w:cs="Arial"/>
          <w:sz w:val="22"/>
          <w:szCs w:val="22"/>
        </w:rPr>
        <w:t xml:space="preserve"> to transfer liability and to concentrate Commonwealth grant funds through the NHHA on </w:t>
      </w:r>
      <w:r w:rsidR="00A066B4">
        <w:rPr>
          <w:rFonts w:ascii="Arial" w:hAnsi="Arial" w:cs="Arial"/>
          <w:sz w:val="22"/>
          <w:szCs w:val="22"/>
        </w:rPr>
        <w:t>the remaining</w:t>
      </w:r>
      <w:r w:rsidR="00E5662C">
        <w:rPr>
          <w:rFonts w:ascii="Arial" w:hAnsi="Arial" w:cs="Arial"/>
          <w:sz w:val="22"/>
          <w:szCs w:val="22"/>
        </w:rPr>
        <w:t xml:space="preserve"> smaller proportion of housing stock under public housing management. At the same time the Commonwealth Government has been dissatisfied with the use of the NHHA grants for maintaining rather than expanding the pool of social and affordable housing.</w:t>
      </w:r>
    </w:p>
    <w:p w14:paraId="72B0658E" w14:textId="77777777" w:rsidR="00D40AA8" w:rsidRDefault="00D40AA8" w:rsidP="00E5662C">
      <w:pPr>
        <w:pStyle w:val="BodyTextIndent3"/>
        <w:jc w:val="both"/>
        <w:rPr>
          <w:rFonts w:ascii="Arial" w:hAnsi="Arial" w:cs="Arial"/>
          <w:sz w:val="22"/>
          <w:szCs w:val="22"/>
        </w:rPr>
      </w:pPr>
    </w:p>
    <w:p w14:paraId="7434EE4C" w14:textId="77777777" w:rsidR="00D40AA8" w:rsidRDefault="00E862B7" w:rsidP="00E862B7">
      <w:pPr>
        <w:pStyle w:val="BodyTextIndent3"/>
        <w:ind w:hanging="720"/>
        <w:jc w:val="both"/>
        <w:rPr>
          <w:rFonts w:ascii="Arial" w:hAnsi="Arial" w:cs="Arial"/>
          <w:sz w:val="22"/>
          <w:szCs w:val="22"/>
        </w:rPr>
      </w:pPr>
      <w:r>
        <w:rPr>
          <w:rFonts w:ascii="Arial" w:hAnsi="Arial" w:cs="Arial"/>
          <w:sz w:val="22"/>
          <w:szCs w:val="22"/>
        </w:rPr>
        <w:t>8.3</w:t>
      </w:r>
      <w:r>
        <w:rPr>
          <w:rFonts w:ascii="Arial" w:hAnsi="Arial" w:cs="Arial"/>
          <w:sz w:val="22"/>
          <w:szCs w:val="22"/>
        </w:rPr>
        <w:tab/>
      </w:r>
      <w:r w:rsidR="00D40AA8">
        <w:rPr>
          <w:rFonts w:ascii="Arial" w:hAnsi="Arial" w:cs="Arial"/>
          <w:sz w:val="22"/>
          <w:szCs w:val="22"/>
        </w:rPr>
        <w:t>The simple reality is if the NHHA is to stay at the same level without significant growth then it is really a very small contribution to the development of housing and housing services for Australians</w:t>
      </w:r>
      <w:r w:rsidR="00EB3D95">
        <w:rPr>
          <w:rFonts w:ascii="Arial" w:hAnsi="Arial" w:cs="Arial"/>
          <w:sz w:val="22"/>
          <w:szCs w:val="22"/>
        </w:rPr>
        <w:t xml:space="preserve"> in need</w:t>
      </w:r>
      <w:r w:rsidR="00D40AA8">
        <w:rPr>
          <w:rFonts w:ascii="Arial" w:hAnsi="Arial" w:cs="Arial"/>
          <w:sz w:val="22"/>
          <w:szCs w:val="22"/>
        </w:rPr>
        <w:t>. What should be occurring is for there to be:-</w:t>
      </w:r>
    </w:p>
    <w:p w14:paraId="2DA6C13D" w14:textId="77777777" w:rsidR="00D40AA8" w:rsidRDefault="00D40AA8" w:rsidP="00E5662C">
      <w:pPr>
        <w:pStyle w:val="BodyTextIndent3"/>
        <w:jc w:val="both"/>
        <w:rPr>
          <w:rFonts w:ascii="Arial" w:hAnsi="Arial" w:cs="Arial"/>
          <w:sz w:val="22"/>
          <w:szCs w:val="22"/>
        </w:rPr>
      </w:pPr>
    </w:p>
    <w:p w14:paraId="714FFCBA" w14:textId="77777777" w:rsidR="00D40AA8" w:rsidRDefault="00D40AA8" w:rsidP="00D40AA8">
      <w:pPr>
        <w:pStyle w:val="BodyTextIndent3"/>
        <w:numPr>
          <w:ilvl w:val="0"/>
          <w:numId w:val="33"/>
        </w:numPr>
        <w:jc w:val="both"/>
        <w:rPr>
          <w:rFonts w:ascii="Arial" w:hAnsi="Arial" w:cs="Arial"/>
          <w:sz w:val="22"/>
          <w:szCs w:val="22"/>
        </w:rPr>
      </w:pPr>
      <w:r>
        <w:rPr>
          <w:rFonts w:ascii="Arial" w:hAnsi="Arial" w:cs="Arial"/>
          <w:sz w:val="22"/>
          <w:szCs w:val="22"/>
        </w:rPr>
        <w:t>The development and funding of a National Housing Strategy that  Commonwealth, States/Territories commit to</w:t>
      </w:r>
      <w:r w:rsidR="00564195">
        <w:rPr>
          <w:rFonts w:ascii="Arial" w:hAnsi="Arial" w:cs="Arial"/>
          <w:sz w:val="22"/>
          <w:szCs w:val="22"/>
        </w:rPr>
        <w:t xml:space="preserve"> based on evidenced</w:t>
      </w:r>
      <w:r w:rsidR="00644936">
        <w:rPr>
          <w:rFonts w:ascii="Arial" w:hAnsi="Arial" w:cs="Arial"/>
          <w:sz w:val="22"/>
          <w:szCs w:val="22"/>
        </w:rPr>
        <w:t xml:space="preserve"> need</w:t>
      </w:r>
      <w:r>
        <w:rPr>
          <w:rFonts w:ascii="Arial" w:hAnsi="Arial" w:cs="Arial"/>
          <w:sz w:val="22"/>
          <w:szCs w:val="22"/>
        </w:rPr>
        <w:t>.</w:t>
      </w:r>
    </w:p>
    <w:p w14:paraId="249F54EC" w14:textId="77777777" w:rsidR="00564195" w:rsidRDefault="00564195" w:rsidP="00644936">
      <w:pPr>
        <w:pStyle w:val="ListParagraph"/>
        <w:ind w:left="0"/>
        <w:rPr>
          <w:rFonts w:ascii="Arial" w:hAnsi="Arial" w:cs="Arial"/>
          <w:sz w:val="22"/>
          <w:szCs w:val="22"/>
        </w:rPr>
      </w:pPr>
    </w:p>
    <w:p w14:paraId="0F89A433" w14:textId="77777777" w:rsidR="00D40AA8" w:rsidRPr="00644936" w:rsidRDefault="00564195" w:rsidP="00644936">
      <w:pPr>
        <w:pStyle w:val="BodyTextIndent3"/>
        <w:numPr>
          <w:ilvl w:val="0"/>
          <w:numId w:val="33"/>
        </w:numPr>
        <w:jc w:val="both"/>
        <w:rPr>
          <w:rFonts w:ascii="Arial" w:hAnsi="Arial" w:cs="Arial"/>
          <w:sz w:val="22"/>
          <w:szCs w:val="22"/>
        </w:rPr>
      </w:pPr>
      <w:r>
        <w:rPr>
          <w:rFonts w:ascii="Arial" w:hAnsi="Arial" w:cs="Arial"/>
          <w:sz w:val="22"/>
          <w:szCs w:val="22"/>
        </w:rPr>
        <w:t xml:space="preserve">That the current arrangements where the States simply receive a grant and be required to report no longer apply and that </w:t>
      </w:r>
      <w:r w:rsidR="00EB3D95">
        <w:rPr>
          <w:rFonts w:ascii="Arial" w:hAnsi="Arial" w:cs="Arial"/>
          <w:sz w:val="22"/>
          <w:szCs w:val="22"/>
        </w:rPr>
        <w:t>NHHA</w:t>
      </w:r>
      <w:r>
        <w:rPr>
          <w:rFonts w:ascii="Arial" w:hAnsi="Arial" w:cs="Arial"/>
          <w:sz w:val="22"/>
          <w:szCs w:val="22"/>
        </w:rPr>
        <w:t xml:space="preserve"> funds be directed to increasing the social and affordable housing portfolio.</w:t>
      </w:r>
      <w:r w:rsidR="00D40AA8">
        <w:rPr>
          <w:rFonts w:ascii="Arial" w:hAnsi="Arial" w:cs="Arial"/>
          <w:sz w:val="22"/>
          <w:szCs w:val="22"/>
        </w:rPr>
        <w:t xml:space="preserve"> </w:t>
      </w:r>
      <w:r w:rsidR="00644936">
        <w:rPr>
          <w:rFonts w:ascii="Arial" w:hAnsi="Arial" w:cs="Arial"/>
          <w:sz w:val="22"/>
          <w:szCs w:val="22"/>
        </w:rPr>
        <w:t xml:space="preserve">There should be a return to shared funding for social and affordable housing development where Commonwealth funding is the largest component complementing State funding </w:t>
      </w:r>
      <w:r w:rsidR="00EB3D95">
        <w:rPr>
          <w:rFonts w:ascii="Arial" w:hAnsi="Arial" w:cs="Arial"/>
          <w:sz w:val="22"/>
          <w:szCs w:val="22"/>
        </w:rPr>
        <w:t>of</w:t>
      </w:r>
      <w:r w:rsidR="00644936">
        <w:rPr>
          <w:rFonts w:ascii="Arial" w:hAnsi="Arial" w:cs="Arial"/>
          <w:sz w:val="22"/>
          <w:szCs w:val="22"/>
        </w:rPr>
        <w:t xml:space="preserve"> growth of supply.</w:t>
      </w:r>
      <w:r w:rsidR="00D40AA8" w:rsidRPr="00644936">
        <w:rPr>
          <w:rFonts w:ascii="Arial" w:hAnsi="Arial" w:cs="Arial"/>
          <w:sz w:val="22"/>
          <w:szCs w:val="22"/>
        </w:rPr>
        <w:t xml:space="preserve"> </w:t>
      </w:r>
    </w:p>
    <w:p w14:paraId="2E6CF06D" w14:textId="77777777" w:rsidR="00E5662C" w:rsidRDefault="00E5662C" w:rsidP="002160E7">
      <w:pPr>
        <w:pStyle w:val="BodyTextIndent3"/>
        <w:ind w:hanging="720"/>
        <w:jc w:val="both"/>
        <w:rPr>
          <w:rFonts w:ascii="Arial" w:hAnsi="Arial" w:cs="Arial"/>
          <w:sz w:val="22"/>
          <w:szCs w:val="22"/>
        </w:rPr>
      </w:pPr>
    </w:p>
    <w:p w14:paraId="24504C68" w14:textId="77777777" w:rsidR="00BD283E" w:rsidRDefault="00BD283E" w:rsidP="002160E7">
      <w:pPr>
        <w:pStyle w:val="BodyTextIndent3"/>
        <w:ind w:hanging="720"/>
        <w:jc w:val="both"/>
        <w:rPr>
          <w:rFonts w:ascii="Arial" w:hAnsi="Arial" w:cs="Arial"/>
          <w:sz w:val="22"/>
          <w:szCs w:val="22"/>
        </w:rPr>
      </w:pPr>
    </w:p>
    <w:p w14:paraId="378FFE35" w14:textId="77777777" w:rsidR="00BD283E" w:rsidRDefault="00BD283E" w:rsidP="002160E7">
      <w:pPr>
        <w:pStyle w:val="BodyTextIndent3"/>
        <w:ind w:hanging="720"/>
        <w:jc w:val="both"/>
        <w:rPr>
          <w:rFonts w:ascii="Arial" w:hAnsi="Arial" w:cs="Arial"/>
          <w:sz w:val="22"/>
          <w:szCs w:val="22"/>
        </w:rPr>
      </w:pPr>
    </w:p>
    <w:p w14:paraId="2A181B96" w14:textId="77777777" w:rsidR="00BD283E" w:rsidRDefault="00BD283E" w:rsidP="002160E7">
      <w:pPr>
        <w:pStyle w:val="BodyTextIndent3"/>
        <w:ind w:hanging="720"/>
        <w:jc w:val="both"/>
        <w:rPr>
          <w:rFonts w:ascii="Arial" w:hAnsi="Arial" w:cs="Arial"/>
          <w:sz w:val="22"/>
          <w:szCs w:val="22"/>
        </w:rPr>
      </w:pPr>
    </w:p>
    <w:p w14:paraId="79E70548" w14:textId="77777777" w:rsidR="00BD283E" w:rsidRDefault="00BD283E" w:rsidP="002160E7">
      <w:pPr>
        <w:pStyle w:val="BodyTextIndent3"/>
        <w:ind w:hanging="720"/>
        <w:jc w:val="both"/>
        <w:rPr>
          <w:rFonts w:ascii="Arial" w:hAnsi="Arial" w:cs="Arial"/>
          <w:sz w:val="22"/>
          <w:szCs w:val="22"/>
        </w:rPr>
      </w:pPr>
    </w:p>
    <w:p w14:paraId="2EC29969" w14:textId="77777777" w:rsidR="00BD283E" w:rsidRDefault="00BD283E" w:rsidP="002160E7">
      <w:pPr>
        <w:pStyle w:val="BodyTextIndent3"/>
        <w:ind w:hanging="720"/>
        <w:jc w:val="both"/>
        <w:rPr>
          <w:rFonts w:ascii="Arial" w:hAnsi="Arial" w:cs="Arial"/>
          <w:sz w:val="22"/>
          <w:szCs w:val="22"/>
        </w:rPr>
      </w:pPr>
    </w:p>
    <w:p w14:paraId="7A842D87" w14:textId="77777777" w:rsidR="00BD283E" w:rsidRDefault="00BD283E" w:rsidP="002160E7">
      <w:pPr>
        <w:pStyle w:val="BodyTextIndent3"/>
        <w:ind w:hanging="720"/>
        <w:jc w:val="both"/>
        <w:rPr>
          <w:rFonts w:ascii="Arial" w:hAnsi="Arial" w:cs="Arial"/>
          <w:sz w:val="22"/>
          <w:szCs w:val="22"/>
        </w:rPr>
      </w:pPr>
    </w:p>
    <w:p w14:paraId="3BD392D2" w14:textId="77777777" w:rsidR="00BD283E" w:rsidRDefault="00BD283E" w:rsidP="002160E7">
      <w:pPr>
        <w:pStyle w:val="BodyTextIndent3"/>
        <w:ind w:hanging="720"/>
        <w:jc w:val="both"/>
        <w:rPr>
          <w:rFonts w:ascii="Arial" w:hAnsi="Arial" w:cs="Arial"/>
          <w:sz w:val="22"/>
          <w:szCs w:val="22"/>
        </w:rPr>
      </w:pPr>
    </w:p>
    <w:p w14:paraId="3EB46904" w14:textId="77777777" w:rsidR="00BD283E" w:rsidRDefault="00BD283E" w:rsidP="002160E7">
      <w:pPr>
        <w:pStyle w:val="BodyTextIndent3"/>
        <w:ind w:hanging="720"/>
        <w:jc w:val="both"/>
        <w:rPr>
          <w:rFonts w:ascii="Arial" w:hAnsi="Arial" w:cs="Arial"/>
          <w:sz w:val="22"/>
          <w:szCs w:val="22"/>
        </w:rPr>
      </w:pPr>
    </w:p>
    <w:p w14:paraId="2A2D996B" w14:textId="77777777" w:rsidR="000A249C" w:rsidRDefault="00AB7CF3" w:rsidP="002160E7">
      <w:pPr>
        <w:pStyle w:val="BodyTextIndent3"/>
        <w:ind w:hanging="720"/>
        <w:jc w:val="both"/>
        <w:rPr>
          <w:rFonts w:ascii="Arial" w:hAnsi="Arial" w:cs="Arial"/>
          <w:b/>
          <w:bCs/>
          <w:color w:val="1F3864"/>
          <w:sz w:val="22"/>
          <w:szCs w:val="22"/>
          <w:u w:val="single"/>
        </w:rPr>
      </w:pPr>
      <w:r>
        <w:rPr>
          <w:rFonts w:ascii="Arial" w:hAnsi="Arial" w:cs="Arial"/>
          <w:sz w:val="22"/>
          <w:szCs w:val="22"/>
        </w:rPr>
        <w:t>8</w:t>
      </w:r>
      <w:r w:rsidR="00E5662C">
        <w:rPr>
          <w:rFonts w:ascii="Arial" w:hAnsi="Arial" w:cs="Arial"/>
          <w:sz w:val="22"/>
          <w:szCs w:val="22"/>
        </w:rPr>
        <w:t>.</w:t>
      </w:r>
      <w:r w:rsidR="00291F12">
        <w:rPr>
          <w:rFonts w:ascii="Arial" w:hAnsi="Arial" w:cs="Arial"/>
          <w:sz w:val="22"/>
          <w:szCs w:val="22"/>
        </w:rPr>
        <w:t>4</w:t>
      </w:r>
      <w:r w:rsidR="00E5662C">
        <w:rPr>
          <w:rFonts w:ascii="Arial" w:hAnsi="Arial" w:cs="Arial"/>
          <w:sz w:val="22"/>
          <w:szCs w:val="22"/>
        </w:rPr>
        <w:tab/>
      </w:r>
      <w:bookmarkStart w:id="16" w:name="_Hlk90555045"/>
      <w:r w:rsidR="000A249C" w:rsidRPr="00C36407">
        <w:rPr>
          <w:rFonts w:ascii="Arial" w:hAnsi="Arial" w:cs="Arial"/>
          <w:b/>
          <w:bCs/>
          <w:color w:val="1F3864"/>
          <w:sz w:val="22"/>
          <w:szCs w:val="22"/>
        </w:rPr>
        <w:t>Repurposing the NHHA to support growth of social and affordable housing</w:t>
      </w:r>
      <w:bookmarkEnd w:id="16"/>
    </w:p>
    <w:p w14:paraId="326364FB" w14:textId="77777777" w:rsidR="000A249C" w:rsidRDefault="000A249C" w:rsidP="002160E7">
      <w:pPr>
        <w:pStyle w:val="BodyTextIndent3"/>
        <w:ind w:hanging="720"/>
        <w:jc w:val="both"/>
        <w:rPr>
          <w:rFonts w:ascii="Arial" w:hAnsi="Arial" w:cs="Arial"/>
          <w:sz w:val="22"/>
          <w:szCs w:val="22"/>
        </w:rPr>
      </w:pPr>
    </w:p>
    <w:p w14:paraId="2A25B31F" w14:textId="77777777" w:rsidR="008A0C74" w:rsidRDefault="000A249C" w:rsidP="002160E7">
      <w:pPr>
        <w:pStyle w:val="BodyTextIndent3"/>
        <w:ind w:hanging="720"/>
        <w:jc w:val="both"/>
        <w:rPr>
          <w:rFonts w:ascii="Arial" w:hAnsi="Arial" w:cs="Arial"/>
          <w:sz w:val="22"/>
          <w:szCs w:val="22"/>
        </w:rPr>
      </w:pPr>
      <w:r>
        <w:rPr>
          <w:rFonts w:ascii="Arial" w:hAnsi="Arial" w:cs="Arial"/>
          <w:sz w:val="22"/>
          <w:szCs w:val="22"/>
        </w:rPr>
        <w:tab/>
        <w:t xml:space="preserve">The arrival of NHFIC provided a source of </w:t>
      </w:r>
      <w:r w:rsidR="003D223E">
        <w:rPr>
          <w:rFonts w:ascii="Arial" w:hAnsi="Arial" w:cs="Arial"/>
          <w:sz w:val="22"/>
          <w:szCs w:val="22"/>
        </w:rPr>
        <w:t>low-cost</w:t>
      </w:r>
      <w:r>
        <w:rPr>
          <w:rFonts w:ascii="Arial" w:hAnsi="Arial" w:cs="Arial"/>
          <w:sz w:val="22"/>
          <w:szCs w:val="22"/>
        </w:rPr>
        <w:t xml:space="preserve"> debt finance at a historical low cost and created an asset class through issuance of bonds to refinance current </w:t>
      </w:r>
      <w:r w:rsidR="00EB3D95">
        <w:rPr>
          <w:rFonts w:ascii="Arial" w:hAnsi="Arial" w:cs="Arial"/>
          <w:sz w:val="22"/>
          <w:szCs w:val="22"/>
        </w:rPr>
        <w:lastRenderedPageBreak/>
        <w:t xml:space="preserve">CHP </w:t>
      </w:r>
      <w:r>
        <w:rPr>
          <w:rFonts w:ascii="Arial" w:hAnsi="Arial" w:cs="Arial"/>
          <w:sz w:val="22"/>
          <w:szCs w:val="22"/>
        </w:rPr>
        <w:t>debt</w:t>
      </w:r>
      <w:r w:rsidR="00EB3D95">
        <w:rPr>
          <w:rFonts w:ascii="Arial" w:hAnsi="Arial" w:cs="Arial"/>
          <w:sz w:val="22"/>
          <w:szCs w:val="22"/>
        </w:rPr>
        <w:t xml:space="preserve"> and new debt financing</w:t>
      </w:r>
      <w:r>
        <w:rPr>
          <w:rFonts w:ascii="Arial" w:hAnsi="Arial" w:cs="Arial"/>
          <w:sz w:val="22"/>
          <w:szCs w:val="22"/>
        </w:rPr>
        <w:t xml:space="preserve"> </w:t>
      </w:r>
      <w:r w:rsidR="00EB3D95">
        <w:rPr>
          <w:rFonts w:ascii="Arial" w:hAnsi="Arial" w:cs="Arial"/>
          <w:sz w:val="22"/>
          <w:szCs w:val="22"/>
        </w:rPr>
        <w:t>to</w:t>
      </w:r>
      <w:r>
        <w:rPr>
          <w:rFonts w:ascii="Arial" w:hAnsi="Arial" w:cs="Arial"/>
          <w:sz w:val="22"/>
          <w:szCs w:val="22"/>
        </w:rPr>
        <w:t xml:space="preserve"> grow stock. The limitation of CHP balance sheets will inevitably constrain the current expansion</w:t>
      </w:r>
      <w:r w:rsidR="00644936">
        <w:rPr>
          <w:rFonts w:ascii="Arial" w:hAnsi="Arial" w:cs="Arial"/>
          <w:sz w:val="22"/>
          <w:szCs w:val="22"/>
        </w:rPr>
        <w:t xml:space="preserve"> of use</w:t>
      </w:r>
      <w:r>
        <w:rPr>
          <w:rFonts w:ascii="Arial" w:hAnsi="Arial" w:cs="Arial"/>
          <w:sz w:val="22"/>
          <w:szCs w:val="22"/>
        </w:rPr>
        <w:t xml:space="preserve"> of non</w:t>
      </w:r>
      <w:r w:rsidR="00170EB9">
        <w:rPr>
          <w:rFonts w:ascii="Arial" w:hAnsi="Arial" w:cs="Arial"/>
          <w:sz w:val="22"/>
          <w:szCs w:val="22"/>
        </w:rPr>
        <w:t>-</w:t>
      </w:r>
      <w:r>
        <w:rPr>
          <w:rFonts w:ascii="Arial" w:hAnsi="Arial" w:cs="Arial"/>
          <w:sz w:val="22"/>
          <w:szCs w:val="22"/>
        </w:rPr>
        <w:t xml:space="preserve">government senior debt. </w:t>
      </w:r>
      <w:r w:rsidR="003D223E">
        <w:rPr>
          <w:rFonts w:ascii="Arial" w:hAnsi="Arial" w:cs="Arial"/>
          <w:sz w:val="22"/>
          <w:szCs w:val="22"/>
        </w:rPr>
        <w:t>However,</w:t>
      </w:r>
      <w:r>
        <w:rPr>
          <w:rFonts w:ascii="Arial" w:hAnsi="Arial" w:cs="Arial"/>
          <w:sz w:val="22"/>
          <w:szCs w:val="22"/>
        </w:rPr>
        <w:t xml:space="preserve"> there is ample availability for equity funds</w:t>
      </w:r>
      <w:r w:rsidR="007A6E39">
        <w:rPr>
          <w:rFonts w:ascii="Arial" w:hAnsi="Arial" w:cs="Arial"/>
          <w:sz w:val="22"/>
          <w:szCs w:val="22"/>
        </w:rPr>
        <w:t xml:space="preserve"> at reasonable cost</w:t>
      </w:r>
      <w:r w:rsidR="0006392D">
        <w:rPr>
          <w:rFonts w:ascii="Arial" w:hAnsi="Arial" w:cs="Arial"/>
          <w:sz w:val="22"/>
          <w:szCs w:val="22"/>
        </w:rPr>
        <w:t xml:space="preserve"> </w:t>
      </w:r>
      <w:r w:rsidR="00644936">
        <w:rPr>
          <w:rFonts w:ascii="Arial" w:hAnsi="Arial" w:cs="Arial"/>
          <w:sz w:val="22"/>
          <w:szCs w:val="22"/>
        </w:rPr>
        <w:t xml:space="preserve">which </w:t>
      </w:r>
      <w:r w:rsidR="0006392D">
        <w:rPr>
          <w:rFonts w:ascii="Arial" w:hAnsi="Arial" w:cs="Arial"/>
          <w:sz w:val="22"/>
          <w:szCs w:val="22"/>
        </w:rPr>
        <w:t>matched to senior debt</w:t>
      </w:r>
      <w:r w:rsidR="007A6E39">
        <w:rPr>
          <w:rFonts w:ascii="Arial" w:hAnsi="Arial" w:cs="Arial"/>
          <w:sz w:val="22"/>
          <w:szCs w:val="22"/>
        </w:rPr>
        <w:t xml:space="preserve"> </w:t>
      </w:r>
      <w:r w:rsidR="00644936">
        <w:rPr>
          <w:rFonts w:ascii="Arial" w:hAnsi="Arial" w:cs="Arial"/>
          <w:sz w:val="22"/>
          <w:szCs w:val="22"/>
        </w:rPr>
        <w:t>can</w:t>
      </w:r>
      <w:r w:rsidR="007A6E39">
        <w:rPr>
          <w:rFonts w:ascii="Arial" w:hAnsi="Arial" w:cs="Arial"/>
          <w:sz w:val="22"/>
          <w:szCs w:val="22"/>
        </w:rPr>
        <w:t xml:space="preserve"> fill the capital requirement to ensure large portfolios of housing can be developed by the community housing sector. The level </w:t>
      </w:r>
      <w:r w:rsidR="00FF171B">
        <w:rPr>
          <w:rFonts w:ascii="Arial" w:hAnsi="Arial" w:cs="Arial"/>
          <w:sz w:val="22"/>
          <w:szCs w:val="22"/>
        </w:rPr>
        <w:t xml:space="preserve">of </w:t>
      </w:r>
      <w:r w:rsidR="007A6E39">
        <w:rPr>
          <w:rFonts w:ascii="Arial" w:hAnsi="Arial" w:cs="Arial"/>
          <w:sz w:val="22"/>
          <w:szCs w:val="22"/>
        </w:rPr>
        <w:t xml:space="preserve">social and affordable housing rents </w:t>
      </w:r>
      <w:r w:rsidR="003D223E">
        <w:rPr>
          <w:rFonts w:ascii="Arial" w:hAnsi="Arial" w:cs="Arial"/>
          <w:sz w:val="22"/>
          <w:szCs w:val="22"/>
        </w:rPr>
        <w:t>is</w:t>
      </w:r>
      <w:r w:rsidR="007A6E39">
        <w:rPr>
          <w:rFonts w:ascii="Arial" w:hAnsi="Arial" w:cs="Arial"/>
          <w:sz w:val="22"/>
          <w:szCs w:val="22"/>
        </w:rPr>
        <w:t xml:space="preserve"> however insufficient to pay the cost of finance; meet operating costs and maintain the asset. If the NHHA is repurposed into the provision of availability payments to cover the subsidy gap and then expanded to provide a pipeline of </w:t>
      </w:r>
      <w:r w:rsidR="003D223E">
        <w:rPr>
          <w:rFonts w:ascii="Arial" w:hAnsi="Arial" w:cs="Arial"/>
          <w:sz w:val="22"/>
          <w:szCs w:val="22"/>
        </w:rPr>
        <w:t>supply,</w:t>
      </w:r>
      <w:r w:rsidR="007A6E39">
        <w:rPr>
          <w:rFonts w:ascii="Arial" w:hAnsi="Arial" w:cs="Arial"/>
          <w:sz w:val="22"/>
          <w:szCs w:val="22"/>
        </w:rPr>
        <w:t xml:space="preserve"> then Australia’s shortage of social and affordable housing would be resolved.</w:t>
      </w:r>
      <w:r w:rsidR="00A51551">
        <w:rPr>
          <w:rFonts w:ascii="Arial" w:hAnsi="Arial" w:cs="Arial"/>
          <w:sz w:val="22"/>
          <w:szCs w:val="22"/>
        </w:rPr>
        <w:t xml:space="preserve"> The current level of the NHHA at $1</w:t>
      </w:r>
      <w:r w:rsidR="00CC3718">
        <w:rPr>
          <w:rFonts w:ascii="Arial" w:hAnsi="Arial" w:cs="Arial"/>
          <w:sz w:val="22"/>
          <w:szCs w:val="22"/>
        </w:rPr>
        <w:t>.</w:t>
      </w:r>
      <w:r w:rsidR="00A51551">
        <w:rPr>
          <w:rFonts w:ascii="Arial" w:hAnsi="Arial" w:cs="Arial"/>
          <w:sz w:val="22"/>
          <w:szCs w:val="22"/>
        </w:rPr>
        <w:t xml:space="preserve">595 billion per annum (noting that </w:t>
      </w:r>
      <w:r w:rsidR="00CC3718">
        <w:rPr>
          <w:rFonts w:ascii="Arial" w:hAnsi="Arial" w:cs="Arial"/>
          <w:sz w:val="22"/>
          <w:szCs w:val="22"/>
        </w:rPr>
        <w:t>$129 million</w:t>
      </w:r>
      <w:r w:rsidR="00A51551">
        <w:rPr>
          <w:rFonts w:ascii="Arial" w:hAnsi="Arial" w:cs="Arial"/>
          <w:sz w:val="22"/>
          <w:szCs w:val="22"/>
        </w:rPr>
        <w:t xml:space="preserve"> is used to support homelessness provision</w:t>
      </w:r>
      <w:r w:rsidR="00CC3718">
        <w:rPr>
          <w:rFonts w:ascii="Arial" w:hAnsi="Arial" w:cs="Arial"/>
          <w:sz w:val="22"/>
          <w:szCs w:val="22"/>
        </w:rPr>
        <w:t>)</w:t>
      </w:r>
      <w:r w:rsidR="00A51551">
        <w:rPr>
          <w:rFonts w:ascii="Arial" w:hAnsi="Arial" w:cs="Arial"/>
          <w:sz w:val="22"/>
          <w:szCs w:val="22"/>
        </w:rPr>
        <w:t xml:space="preserve"> </w:t>
      </w:r>
      <w:r w:rsidR="00CC3718">
        <w:rPr>
          <w:rFonts w:ascii="Arial" w:hAnsi="Arial" w:cs="Arial"/>
          <w:sz w:val="22"/>
          <w:szCs w:val="22"/>
        </w:rPr>
        <w:t>provid</w:t>
      </w:r>
      <w:r w:rsidR="00FF171B">
        <w:rPr>
          <w:rFonts w:ascii="Arial" w:hAnsi="Arial" w:cs="Arial"/>
          <w:sz w:val="22"/>
          <w:szCs w:val="22"/>
        </w:rPr>
        <w:t>es</w:t>
      </w:r>
      <w:r w:rsidR="00CC3718">
        <w:rPr>
          <w:rFonts w:ascii="Arial" w:hAnsi="Arial" w:cs="Arial"/>
          <w:sz w:val="22"/>
          <w:szCs w:val="22"/>
        </w:rPr>
        <w:t xml:space="preserve"> support of $1.466 billion to the States to administer social housing. If $1.466 billion is converted to availability payments of between $1</w:t>
      </w:r>
      <w:r w:rsidR="00EB3D95">
        <w:rPr>
          <w:rFonts w:ascii="Arial" w:hAnsi="Arial" w:cs="Arial"/>
          <w:sz w:val="22"/>
          <w:szCs w:val="22"/>
        </w:rPr>
        <w:t>2</w:t>
      </w:r>
      <w:r w:rsidR="00CC3718">
        <w:rPr>
          <w:rFonts w:ascii="Arial" w:hAnsi="Arial" w:cs="Arial"/>
          <w:sz w:val="22"/>
          <w:szCs w:val="22"/>
        </w:rPr>
        <w:t xml:space="preserve">,000-$15,000 </w:t>
      </w:r>
      <w:r w:rsidR="00291F12">
        <w:rPr>
          <w:rFonts w:ascii="Arial" w:hAnsi="Arial" w:cs="Arial"/>
          <w:sz w:val="22"/>
          <w:szCs w:val="22"/>
        </w:rPr>
        <w:t xml:space="preserve">per unit </w:t>
      </w:r>
      <w:r w:rsidR="00CC3718">
        <w:rPr>
          <w:rFonts w:ascii="Arial" w:hAnsi="Arial" w:cs="Arial"/>
          <w:sz w:val="22"/>
          <w:szCs w:val="22"/>
        </w:rPr>
        <w:t>per annum to secure access to equity and debt to develop more</w:t>
      </w:r>
      <w:r w:rsidR="00170EB9">
        <w:rPr>
          <w:rFonts w:ascii="Arial" w:hAnsi="Arial" w:cs="Arial"/>
          <w:sz w:val="22"/>
          <w:szCs w:val="22"/>
        </w:rPr>
        <w:t xml:space="preserve"> social and affordable</w:t>
      </w:r>
      <w:r w:rsidR="00CC3718">
        <w:rPr>
          <w:rFonts w:ascii="Arial" w:hAnsi="Arial" w:cs="Arial"/>
          <w:sz w:val="22"/>
          <w:szCs w:val="22"/>
        </w:rPr>
        <w:t xml:space="preserve"> </w:t>
      </w:r>
      <w:r w:rsidR="003D223E">
        <w:rPr>
          <w:rFonts w:ascii="Arial" w:hAnsi="Arial" w:cs="Arial"/>
          <w:sz w:val="22"/>
          <w:szCs w:val="22"/>
        </w:rPr>
        <w:t>housing,</w:t>
      </w:r>
      <w:r w:rsidR="00CC3718">
        <w:rPr>
          <w:rFonts w:ascii="Arial" w:hAnsi="Arial" w:cs="Arial"/>
          <w:sz w:val="22"/>
          <w:szCs w:val="22"/>
        </w:rPr>
        <w:t xml:space="preserve"> then a pipeline of </w:t>
      </w:r>
      <w:r w:rsidR="00CB4B15">
        <w:rPr>
          <w:rFonts w:ascii="Arial" w:hAnsi="Arial" w:cs="Arial"/>
          <w:sz w:val="22"/>
          <w:szCs w:val="22"/>
        </w:rPr>
        <w:t>11</w:t>
      </w:r>
      <w:r w:rsidR="00CD7083">
        <w:rPr>
          <w:rFonts w:ascii="Arial" w:hAnsi="Arial" w:cs="Arial"/>
          <w:sz w:val="22"/>
          <w:szCs w:val="22"/>
        </w:rPr>
        <w:t>0,00</w:t>
      </w:r>
      <w:r w:rsidR="00CB4B15">
        <w:rPr>
          <w:rFonts w:ascii="Arial" w:hAnsi="Arial" w:cs="Arial"/>
          <w:sz w:val="22"/>
          <w:szCs w:val="22"/>
        </w:rPr>
        <w:t>0 homes could be developed simply by repurposing current funds</w:t>
      </w:r>
      <w:r w:rsidR="00FF171B">
        <w:rPr>
          <w:rFonts w:ascii="Arial" w:hAnsi="Arial" w:cs="Arial"/>
          <w:sz w:val="22"/>
          <w:szCs w:val="22"/>
        </w:rPr>
        <w:t xml:space="preserve"> </w:t>
      </w:r>
      <w:r w:rsidR="00644936">
        <w:rPr>
          <w:rFonts w:ascii="Arial" w:hAnsi="Arial" w:cs="Arial"/>
          <w:sz w:val="22"/>
          <w:szCs w:val="22"/>
        </w:rPr>
        <w:t>and continuing payment</w:t>
      </w:r>
      <w:r w:rsidR="00EB3D95">
        <w:rPr>
          <w:rFonts w:ascii="Arial" w:hAnsi="Arial" w:cs="Arial"/>
          <w:sz w:val="22"/>
          <w:szCs w:val="22"/>
        </w:rPr>
        <w:t>s</w:t>
      </w:r>
      <w:r w:rsidR="00644936">
        <w:rPr>
          <w:rFonts w:ascii="Arial" w:hAnsi="Arial" w:cs="Arial"/>
          <w:sz w:val="22"/>
          <w:szCs w:val="22"/>
        </w:rPr>
        <w:t xml:space="preserve"> </w:t>
      </w:r>
      <w:r w:rsidR="00FF171B">
        <w:rPr>
          <w:rFonts w:ascii="Arial" w:hAnsi="Arial" w:cs="Arial"/>
          <w:sz w:val="22"/>
          <w:szCs w:val="22"/>
        </w:rPr>
        <w:t xml:space="preserve">over a </w:t>
      </w:r>
      <w:r w:rsidR="003D223E">
        <w:rPr>
          <w:rFonts w:ascii="Arial" w:hAnsi="Arial" w:cs="Arial"/>
          <w:sz w:val="22"/>
          <w:szCs w:val="22"/>
        </w:rPr>
        <w:t>20–40-year</w:t>
      </w:r>
      <w:r w:rsidR="00FF171B">
        <w:rPr>
          <w:rFonts w:ascii="Arial" w:hAnsi="Arial" w:cs="Arial"/>
          <w:sz w:val="22"/>
          <w:szCs w:val="22"/>
        </w:rPr>
        <w:t xml:space="preserve"> period</w:t>
      </w:r>
      <w:r w:rsidR="00CB4B15">
        <w:rPr>
          <w:rFonts w:ascii="Arial" w:hAnsi="Arial" w:cs="Arial"/>
          <w:sz w:val="22"/>
          <w:szCs w:val="22"/>
        </w:rPr>
        <w:t xml:space="preserve">. </w:t>
      </w:r>
      <w:r w:rsidR="00291F12">
        <w:rPr>
          <w:rFonts w:ascii="Arial" w:hAnsi="Arial" w:cs="Arial"/>
          <w:sz w:val="22"/>
          <w:szCs w:val="22"/>
        </w:rPr>
        <w:t xml:space="preserve">Using the current NHHA funding level as a pilot pipeline for such a reform </w:t>
      </w:r>
      <w:r w:rsidR="00EB3D95">
        <w:rPr>
          <w:rFonts w:ascii="Arial" w:hAnsi="Arial" w:cs="Arial"/>
          <w:sz w:val="22"/>
          <w:szCs w:val="22"/>
        </w:rPr>
        <w:t>c</w:t>
      </w:r>
      <w:r w:rsidR="00291F12">
        <w:rPr>
          <w:rFonts w:ascii="Arial" w:hAnsi="Arial" w:cs="Arial"/>
          <w:sz w:val="22"/>
          <w:szCs w:val="22"/>
        </w:rPr>
        <w:t>ould, once proven, allow e</w:t>
      </w:r>
      <w:r w:rsidR="00CB4B15">
        <w:rPr>
          <w:rFonts w:ascii="Arial" w:hAnsi="Arial" w:cs="Arial"/>
          <w:sz w:val="22"/>
          <w:szCs w:val="22"/>
        </w:rPr>
        <w:t>xpansion of the NHHA by $750 million per annum</w:t>
      </w:r>
      <w:r w:rsidR="00FF171B">
        <w:rPr>
          <w:rFonts w:ascii="Arial" w:hAnsi="Arial" w:cs="Arial"/>
          <w:sz w:val="22"/>
          <w:szCs w:val="22"/>
        </w:rPr>
        <w:t xml:space="preserve"> over the next 15 years</w:t>
      </w:r>
      <w:r w:rsidR="00CB4B15">
        <w:rPr>
          <w:rFonts w:ascii="Arial" w:hAnsi="Arial" w:cs="Arial"/>
          <w:sz w:val="22"/>
          <w:szCs w:val="22"/>
        </w:rPr>
        <w:t xml:space="preserve"> </w:t>
      </w:r>
      <w:r w:rsidR="00410DEE">
        <w:rPr>
          <w:rFonts w:ascii="Arial" w:hAnsi="Arial" w:cs="Arial"/>
          <w:sz w:val="22"/>
          <w:szCs w:val="22"/>
        </w:rPr>
        <w:t>to</w:t>
      </w:r>
      <w:r w:rsidR="00CB4B15">
        <w:rPr>
          <w:rFonts w:ascii="Arial" w:hAnsi="Arial" w:cs="Arial"/>
          <w:sz w:val="22"/>
          <w:szCs w:val="22"/>
        </w:rPr>
        <w:t xml:space="preserve"> provide a pipeline of 58,000-60,000 </w:t>
      </w:r>
      <w:r w:rsidR="008A0C74">
        <w:rPr>
          <w:rFonts w:ascii="Arial" w:hAnsi="Arial" w:cs="Arial"/>
          <w:sz w:val="22"/>
          <w:szCs w:val="22"/>
        </w:rPr>
        <w:t xml:space="preserve">additional </w:t>
      </w:r>
      <w:r w:rsidR="00CB4B15">
        <w:rPr>
          <w:rFonts w:ascii="Arial" w:hAnsi="Arial" w:cs="Arial"/>
          <w:sz w:val="22"/>
          <w:szCs w:val="22"/>
        </w:rPr>
        <w:t xml:space="preserve">social and affordable homes per annum meeting nearly </w:t>
      </w:r>
      <w:r w:rsidR="003D223E">
        <w:rPr>
          <w:rFonts w:ascii="Arial" w:hAnsi="Arial" w:cs="Arial"/>
          <w:sz w:val="22"/>
          <w:szCs w:val="22"/>
        </w:rPr>
        <w:t>all</w:t>
      </w:r>
      <w:r w:rsidR="00CB4B15">
        <w:rPr>
          <w:rFonts w:ascii="Arial" w:hAnsi="Arial" w:cs="Arial"/>
          <w:sz w:val="22"/>
          <w:szCs w:val="22"/>
        </w:rPr>
        <w:t xml:space="preserve"> the current and developing shortfall of stock</w:t>
      </w:r>
      <w:r w:rsidR="00EB3D95">
        <w:rPr>
          <w:rFonts w:ascii="Arial" w:hAnsi="Arial" w:cs="Arial"/>
          <w:sz w:val="22"/>
          <w:szCs w:val="22"/>
        </w:rPr>
        <w:t xml:space="preserve"> over time</w:t>
      </w:r>
      <w:r w:rsidR="00CB4B15">
        <w:rPr>
          <w:rFonts w:ascii="Arial" w:hAnsi="Arial" w:cs="Arial"/>
          <w:sz w:val="22"/>
          <w:szCs w:val="22"/>
        </w:rPr>
        <w:t xml:space="preserve">. By 2036 Australia would have sufficient </w:t>
      </w:r>
      <w:r w:rsidR="008A0C74">
        <w:rPr>
          <w:rFonts w:ascii="Arial" w:hAnsi="Arial" w:cs="Arial"/>
          <w:sz w:val="22"/>
          <w:szCs w:val="22"/>
        </w:rPr>
        <w:t>social and affordable housing to meet need at a cost under $13 billion per annum. Building such a program into the forward estimates would</w:t>
      </w:r>
      <w:r w:rsidR="00FF171B">
        <w:rPr>
          <w:rFonts w:ascii="Arial" w:hAnsi="Arial" w:cs="Arial"/>
          <w:sz w:val="22"/>
          <w:szCs w:val="22"/>
        </w:rPr>
        <w:t xml:space="preserve"> </w:t>
      </w:r>
      <w:r w:rsidR="008A0C74">
        <w:rPr>
          <w:rFonts w:ascii="Arial" w:hAnsi="Arial" w:cs="Arial"/>
          <w:sz w:val="22"/>
          <w:szCs w:val="22"/>
        </w:rPr>
        <w:t>provide this essential social infrastructure for the future.</w:t>
      </w:r>
      <w:r w:rsidR="00FF171B">
        <w:rPr>
          <w:rFonts w:ascii="Arial" w:hAnsi="Arial" w:cs="Arial"/>
          <w:sz w:val="22"/>
          <w:szCs w:val="22"/>
        </w:rPr>
        <w:t xml:space="preserve"> After 20-40 years the scale of funding could be wound back to </w:t>
      </w:r>
      <w:r w:rsidR="00526100">
        <w:rPr>
          <w:rFonts w:ascii="Arial" w:hAnsi="Arial" w:cs="Arial"/>
          <w:sz w:val="22"/>
          <w:szCs w:val="22"/>
        </w:rPr>
        <w:t>meet demand as it arises given that the portfolio would have been created, debt and equity paid down.</w:t>
      </w:r>
    </w:p>
    <w:p w14:paraId="0355801C" w14:textId="77777777" w:rsidR="00170EB9" w:rsidRDefault="00170EB9" w:rsidP="002160E7">
      <w:pPr>
        <w:pStyle w:val="BodyTextIndent3"/>
        <w:ind w:hanging="720"/>
        <w:jc w:val="both"/>
        <w:rPr>
          <w:rFonts w:ascii="Arial" w:hAnsi="Arial" w:cs="Arial"/>
          <w:sz w:val="22"/>
          <w:szCs w:val="22"/>
        </w:rPr>
      </w:pPr>
    </w:p>
    <w:p w14:paraId="02206F78" w14:textId="77777777" w:rsidR="00170EB9" w:rsidRDefault="00170EB9" w:rsidP="002160E7">
      <w:pPr>
        <w:pStyle w:val="BodyTextIndent3"/>
        <w:ind w:hanging="720"/>
        <w:jc w:val="both"/>
        <w:rPr>
          <w:rFonts w:ascii="Arial" w:hAnsi="Arial" w:cs="Arial"/>
          <w:sz w:val="22"/>
          <w:szCs w:val="22"/>
        </w:rPr>
      </w:pPr>
      <w:r>
        <w:rPr>
          <w:rFonts w:ascii="Arial" w:hAnsi="Arial" w:cs="Arial"/>
          <w:sz w:val="22"/>
          <w:szCs w:val="22"/>
        </w:rPr>
        <w:t>8.</w:t>
      </w:r>
      <w:r w:rsidR="00264EEC">
        <w:rPr>
          <w:rFonts w:ascii="Arial" w:hAnsi="Arial" w:cs="Arial"/>
          <w:sz w:val="22"/>
          <w:szCs w:val="22"/>
        </w:rPr>
        <w:t>5</w:t>
      </w:r>
      <w:r>
        <w:rPr>
          <w:rFonts w:ascii="Arial" w:hAnsi="Arial" w:cs="Arial"/>
          <w:sz w:val="22"/>
          <w:szCs w:val="22"/>
        </w:rPr>
        <w:tab/>
        <w:t xml:space="preserve">Delivery of such a Program would need to start </w:t>
      </w:r>
      <w:r w:rsidR="000273A9">
        <w:rPr>
          <w:rFonts w:ascii="Arial" w:hAnsi="Arial" w:cs="Arial"/>
          <w:sz w:val="22"/>
          <w:szCs w:val="22"/>
        </w:rPr>
        <w:t xml:space="preserve">at a small scale at around 10,000 homes per annum in Year One and rise to the level of 60,000+ homes per annum by 2036. An initial </w:t>
      </w:r>
      <w:r w:rsidR="003D223E">
        <w:rPr>
          <w:rFonts w:ascii="Arial" w:hAnsi="Arial" w:cs="Arial"/>
          <w:sz w:val="22"/>
          <w:szCs w:val="22"/>
        </w:rPr>
        <w:t>four-year</w:t>
      </w:r>
      <w:r w:rsidR="000273A9">
        <w:rPr>
          <w:rFonts w:ascii="Arial" w:hAnsi="Arial" w:cs="Arial"/>
          <w:sz w:val="22"/>
          <w:szCs w:val="22"/>
        </w:rPr>
        <w:t xml:space="preserve"> period transitioning current NHHA grants to stimulate supply of new social and affordable housing would allow the States to undertake the necessary</w:t>
      </w:r>
      <w:r w:rsidR="00BD283E">
        <w:rPr>
          <w:rFonts w:ascii="Arial" w:hAnsi="Arial" w:cs="Arial"/>
          <w:sz w:val="22"/>
          <w:szCs w:val="22"/>
        </w:rPr>
        <w:t xml:space="preserve"> review of</w:t>
      </w:r>
      <w:r w:rsidR="000273A9">
        <w:rPr>
          <w:rFonts w:ascii="Arial" w:hAnsi="Arial" w:cs="Arial"/>
          <w:sz w:val="22"/>
          <w:szCs w:val="22"/>
        </w:rPr>
        <w:t xml:space="preserve"> asset </w:t>
      </w:r>
      <w:r w:rsidR="004719CA">
        <w:rPr>
          <w:rFonts w:ascii="Arial" w:hAnsi="Arial" w:cs="Arial"/>
          <w:sz w:val="22"/>
          <w:szCs w:val="22"/>
        </w:rPr>
        <w:t>strategy</w:t>
      </w:r>
      <w:r w:rsidR="000273A9">
        <w:rPr>
          <w:rFonts w:ascii="Arial" w:hAnsi="Arial" w:cs="Arial"/>
          <w:sz w:val="22"/>
          <w:szCs w:val="22"/>
        </w:rPr>
        <w:t xml:space="preserve"> to designate housing for redevelopment </w:t>
      </w:r>
      <w:r w:rsidR="00BD283E">
        <w:rPr>
          <w:rFonts w:ascii="Arial" w:hAnsi="Arial" w:cs="Arial"/>
          <w:sz w:val="22"/>
          <w:szCs w:val="22"/>
        </w:rPr>
        <w:t>or disposal</w:t>
      </w:r>
      <w:r w:rsidR="000273A9">
        <w:rPr>
          <w:rFonts w:ascii="Arial" w:hAnsi="Arial" w:cs="Arial"/>
          <w:sz w:val="22"/>
          <w:szCs w:val="22"/>
        </w:rPr>
        <w:t xml:space="preserve"> and allow the construction sector to adjust to deliver an overall higher number of homes per annum in the nation.</w:t>
      </w:r>
      <w:r w:rsidR="00291F12">
        <w:rPr>
          <w:rFonts w:ascii="Arial" w:hAnsi="Arial" w:cs="Arial"/>
          <w:sz w:val="22"/>
          <w:szCs w:val="22"/>
        </w:rPr>
        <w:t xml:space="preserve"> It should be noted that CHL is presently redeveloping public housing</w:t>
      </w:r>
      <w:r w:rsidR="00BD283E">
        <w:rPr>
          <w:rFonts w:ascii="Arial" w:hAnsi="Arial" w:cs="Arial"/>
          <w:sz w:val="22"/>
          <w:szCs w:val="22"/>
        </w:rPr>
        <w:t xml:space="preserve"> in Victoria</w:t>
      </w:r>
      <w:r w:rsidR="00291F12">
        <w:rPr>
          <w:rFonts w:ascii="Arial" w:hAnsi="Arial" w:cs="Arial"/>
          <w:sz w:val="22"/>
          <w:szCs w:val="22"/>
        </w:rPr>
        <w:t xml:space="preserve"> </w:t>
      </w:r>
      <w:r w:rsidR="00F57D72">
        <w:rPr>
          <w:rFonts w:ascii="Arial" w:hAnsi="Arial" w:cs="Arial"/>
          <w:sz w:val="22"/>
          <w:szCs w:val="22"/>
        </w:rPr>
        <w:t>under a longterm lease to deliver 1,100 social, affordable, disability and market rental housing using the structure of an</w:t>
      </w:r>
      <w:r w:rsidR="00BD283E">
        <w:rPr>
          <w:rFonts w:ascii="Arial" w:hAnsi="Arial" w:cs="Arial"/>
          <w:sz w:val="22"/>
          <w:szCs w:val="22"/>
        </w:rPr>
        <w:t xml:space="preserve"> annual</w:t>
      </w:r>
      <w:r w:rsidR="00F57D72">
        <w:rPr>
          <w:rFonts w:ascii="Arial" w:hAnsi="Arial" w:cs="Arial"/>
          <w:sz w:val="22"/>
          <w:szCs w:val="22"/>
        </w:rPr>
        <w:t xml:space="preserve"> availability payment</w:t>
      </w:r>
      <w:r w:rsidR="00410DEE">
        <w:rPr>
          <w:rFonts w:ascii="Arial" w:hAnsi="Arial" w:cs="Arial"/>
          <w:sz w:val="22"/>
          <w:szCs w:val="22"/>
        </w:rPr>
        <w:t>.</w:t>
      </w:r>
      <w:r w:rsidR="00F57D72">
        <w:rPr>
          <w:rFonts w:ascii="Arial" w:hAnsi="Arial" w:cs="Arial"/>
          <w:sz w:val="22"/>
          <w:szCs w:val="22"/>
        </w:rPr>
        <w:t xml:space="preserve"> </w:t>
      </w:r>
      <w:r w:rsidR="00410DEE">
        <w:rPr>
          <w:rFonts w:ascii="Arial" w:hAnsi="Arial" w:cs="Arial"/>
          <w:sz w:val="22"/>
          <w:szCs w:val="22"/>
        </w:rPr>
        <w:t>This</w:t>
      </w:r>
      <w:r w:rsidR="00F57D72">
        <w:rPr>
          <w:rFonts w:ascii="Arial" w:hAnsi="Arial" w:cs="Arial"/>
          <w:sz w:val="22"/>
          <w:szCs w:val="22"/>
        </w:rPr>
        <w:t xml:space="preserve"> leverage</w:t>
      </w:r>
      <w:r w:rsidR="00410DEE">
        <w:rPr>
          <w:rFonts w:ascii="Arial" w:hAnsi="Arial" w:cs="Arial"/>
          <w:sz w:val="22"/>
          <w:szCs w:val="22"/>
        </w:rPr>
        <w:t>s</w:t>
      </w:r>
      <w:r w:rsidR="00F57D72">
        <w:rPr>
          <w:rFonts w:ascii="Arial" w:hAnsi="Arial" w:cs="Arial"/>
          <w:sz w:val="22"/>
          <w:szCs w:val="22"/>
        </w:rPr>
        <w:t xml:space="preserve"> $450 million in debt and equity to complement a $50 million State Government grant and longterm </w:t>
      </w:r>
      <w:r w:rsidR="00410DEE">
        <w:rPr>
          <w:rFonts w:ascii="Arial" w:hAnsi="Arial" w:cs="Arial"/>
          <w:sz w:val="22"/>
          <w:szCs w:val="22"/>
        </w:rPr>
        <w:t xml:space="preserve">peppercorn </w:t>
      </w:r>
      <w:r w:rsidR="00F57D72">
        <w:rPr>
          <w:rFonts w:ascii="Arial" w:hAnsi="Arial" w:cs="Arial"/>
          <w:sz w:val="22"/>
          <w:szCs w:val="22"/>
        </w:rPr>
        <w:t xml:space="preserve">lease of land. After 12 years the equity is paid down and the availability payment is utilized to double the housing made available over the </w:t>
      </w:r>
      <w:r w:rsidR="00410DEE">
        <w:rPr>
          <w:rFonts w:ascii="Arial" w:hAnsi="Arial" w:cs="Arial"/>
          <w:sz w:val="22"/>
          <w:szCs w:val="22"/>
        </w:rPr>
        <w:t>following</w:t>
      </w:r>
      <w:r w:rsidR="00F57D72">
        <w:rPr>
          <w:rFonts w:ascii="Arial" w:hAnsi="Arial" w:cs="Arial"/>
          <w:sz w:val="22"/>
          <w:szCs w:val="22"/>
        </w:rPr>
        <w:t xml:space="preserve"> 28 years. This approach can be replicated across Australia, both resolving current asset management challenges in State Government owned housing stock and the </w:t>
      </w:r>
      <w:r w:rsidR="00410DEE">
        <w:rPr>
          <w:rFonts w:ascii="Arial" w:hAnsi="Arial" w:cs="Arial"/>
          <w:sz w:val="22"/>
          <w:szCs w:val="22"/>
        </w:rPr>
        <w:t xml:space="preserve">need for </w:t>
      </w:r>
      <w:r w:rsidR="00F57D72">
        <w:rPr>
          <w:rFonts w:ascii="Arial" w:hAnsi="Arial" w:cs="Arial"/>
          <w:sz w:val="22"/>
          <w:szCs w:val="22"/>
        </w:rPr>
        <w:t>growth in</w:t>
      </w:r>
      <w:r w:rsidR="00410DEE">
        <w:rPr>
          <w:rFonts w:ascii="Arial" w:hAnsi="Arial" w:cs="Arial"/>
          <w:sz w:val="22"/>
          <w:szCs w:val="22"/>
        </w:rPr>
        <w:t xml:space="preserve"> social and affordable housing supply.</w:t>
      </w:r>
      <w:r w:rsidR="00F57D72">
        <w:rPr>
          <w:rFonts w:ascii="Arial" w:hAnsi="Arial" w:cs="Arial"/>
          <w:sz w:val="22"/>
          <w:szCs w:val="22"/>
        </w:rPr>
        <w:t xml:space="preserve">    </w:t>
      </w:r>
    </w:p>
    <w:p w14:paraId="3160F209" w14:textId="77777777" w:rsidR="008A0C74" w:rsidRDefault="008A0C74" w:rsidP="002160E7">
      <w:pPr>
        <w:pStyle w:val="BodyTextIndent3"/>
        <w:ind w:hanging="720"/>
        <w:jc w:val="both"/>
        <w:rPr>
          <w:rFonts w:ascii="Arial" w:hAnsi="Arial" w:cs="Arial"/>
          <w:sz w:val="22"/>
          <w:szCs w:val="22"/>
        </w:rPr>
      </w:pPr>
    </w:p>
    <w:p w14:paraId="6F3219E3" w14:textId="77777777" w:rsidR="00BD283E" w:rsidRDefault="00BD283E" w:rsidP="000273A9">
      <w:pPr>
        <w:pStyle w:val="BodyTextIndent3"/>
        <w:ind w:left="0"/>
        <w:jc w:val="both"/>
        <w:rPr>
          <w:rFonts w:ascii="Arial" w:hAnsi="Arial" w:cs="Arial"/>
          <w:sz w:val="22"/>
          <w:szCs w:val="22"/>
        </w:rPr>
      </w:pPr>
    </w:p>
    <w:p w14:paraId="70180968" w14:textId="77777777" w:rsidR="00BD283E" w:rsidRDefault="00BD283E" w:rsidP="000273A9">
      <w:pPr>
        <w:pStyle w:val="BodyTextIndent3"/>
        <w:ind w:left="0"/>
        <w:jc w:val="both"/>
        <w:rPr>
          <w:rFonts w:ascii="Arial" w:hAnsi="Arial" w:cs="Arial"/>
          <w:sz w:val="22"/>
          <w:szCs w:val="22"/>
        </w:rPr>
      </w:pPr>
    </w:p>
    <w:p w14:paraId="652DC301" w14:textId="77777777" w:rsidR="00BD283E" w:rsidRDefault="00BD283E" w:rsidP="000273A9">
      <w:pPr>
        <w:pStyle w:val="BodyTextIndent3"/>
        <w:ind w:left="0"/>
        <w:jc w:val="both"/>
        <w:rPr>
          <w:rFonts w:ascii="Arial" w:hAnsi="Arial" w:cs="Arial"/>
          <w:sz w:val="22"/>
          <w:szCs w:val="22"/>
        </w:rPr>
      </w:pPr>
    </w:p>
    <w:p w14:paraId="279EF0AE" w14:textId="77777777" w:rsidR="00BD283E" w:rsidRDefault="00BD283E" w:rsidP="000273A9">
      <w:pPr>
        <w:pStyle w:val="BodyTextIndent3"/>
        <w:ind w:left="0"/>
        <w:jc w:val="both"/>
        <w:rPr>
          <w:rFonts w:ascii="Arial" w:hAnsi="Arial" w:cs="Arial"/>
          <w:sz w:val="22"/>
          <w:szCs w:val="22"/>
        </w:rPr>
      </w:pPr>
    </w:p>
    <w:p w14:paraId="17840B98" w14:textId="77777777" w:rsidR="00BD283E" w:rsidRDefault="00BD283E" w:rsidP="000273A9">
      <w:pPr>
        <w:pStyle w:val="BodyTextIndent3"/>
        <w:ind w:left="0"/>
        <w:jc w:val="both"/>
        <w:rPr>
          <w:rFonts w:ascii="Arial" w:hAnsi="Arial" w:cs="Arial"/>
          <w:sz w:val="22"/>
          <w:szCs w:val="22"/>
        </w:rPr>
      </w:pPr>
    </w:p>
    <w:p w14:paraId="3FBD8B87" w14:textId="77777777" w:rsidR="00BD283E" w:rsidRDefault="00BD283E" w:rsidP="000273A9">
      <w:pPr>
        <w:pStyle w:val="BodyTextIndent3"/>
        <w:ind w:left="0"/>
        <w:jc w:val="both"/>
        <w:rPr>
          <w:rFonts w:ascii="Arial" w:hAnsi="Arial" w:cs="Arial"/>
          <w:sz w:val="22"/>
          <w:szCs w:val="22"/>
        </w:rPr>
      </w:pPr>
    </w:p>
    <w:p w14:paraId="659E948E" w14:textId="77777777" w:rsidR="004719CA" w:rsidRDefault="004719CA" w:rsidP="000273A9">
      <w:pPr>
        <w:pStyle w:val="BodyTextIndent3"/>
        <w:ind w:left="0"/>
        <w:jc w:val="both"/>
        <w:rPr>
          <w:rFonts w:ascii="Arial" w:hAnsi="Arial" w:cs="Arial"/>
          <w:sz w:val="22"/>
          <w:szCs w:val="22"/>
        </w:rPr>
      </w:pPr>
    </w:p>
    <w:p w14:paraId="0FB5F59D" w14:textId="77777777" w:rsidR="004719CA" w:rsidRDefault="004719CA" w:rsidP="000273A9">
      <w:pPr>
        <w:pStyle w:val="BodyTextIndent3"/>
        <w:ind w:left="0"/>
        <w:jc w:val="both"/>
        <w:rPr>
          <w:rFonts w:ascii="Arial" w:hAnsi="Arial" w:cs="Arial"/>
          <w:sz w:val="22"/>
          <w:szCs w:val="22"/>
        </w:rPr>
      </w:pPr>
    </w:p>
    <w:p w14:paraId="529C3C56" w14:textId="77777777" w:rsidR="00526100" w:rsidRDefault="00AB7CF3" w:rsidP="000273A9">
      <w:pPr>
        <w:pStyle w:val="BodyTextIndent3"/>
        <w:ind w:left="0"/>
        <w:jc w:val="both"/>
        <w:rPr>
          <w:rFonts w:ascii="Arial" w:hAnsi="Arial" w:cs="Arial"/>
          <w:b/>
          <w:bCs/>
          <w:color w:val="1F3864"/>
          <w:sz w:val="22"/>
          <w:szCs w:val="22"/>
        </w:rPr>
      </w:pPr>
      <w:r>
        <w:rPr>
          <w:rFonts w:ascii="Arial" w:hAnsi="Arial" w:cs="Arial"/>
          <w:sz w:val="22"/>
          <w:szCs w:val="22"/>
        </w:rPr>
        <w:t>9</w:t>
      </w:r>
      <w:r w:rsidR="00526100">
        <w:rPr>
          <w:rFonts w:ascii="Arial" w:hAnsi="Arial" w:cs="Arial"/>
          <w:sz w:val="22"/>
          <w:szCs w:val="22"/>
        </w:rPr>
        <w:t>.0</w:t>
      </w:r>
      <w:r w:rsidR="00526100">
        <w:rPr>
          <w:rFonts w:ascii="Arial" w:hAnsi="Arial" w:cs="Arial"/>
          <w:sz w:val="22"/>
          <w:szCs w:val="22"/>
        </w:rPr>
        <w:tab/>
      </w:r>
      <w:r w:rsidR="00526100">
        <w:rPr>
          <w:rFonts w:ascii="Arial" w:hAnsi="Arial" w:cs="Arial"/>
          <w:b/>
          <w:bCs/>
          <w:color w:val="1F3864"/>
          <w:sz w:val="22"/>
          <w:szCs w:val="22"/>
        </w:rPr>
        <w:t>C</w:t>
      </w:r>
      <w:r w:rsidR="00373057">
        <w:rPr>
          <w:rFonts w:ascii="Arial" w:hAnsi="Arial" w:cs="Arial"/>
          <w:b/>
          <w:bCs/>
          <w:color w:val="1F3864"/>
          <w:sz w:val="22"/>
          <w:szCs w:val="22"/>
        </w:rPr>
        <w:t>ONCLUSION</w:t>
      </w:r>
    </w:p>
    <w:p w14:paraId="4EC380D7" w14:textId="77777777" w:rsidR="00526100" w:rsidRDefault="00526100" w:rsidP="002160E7">
      <w:pPr>
        <w:pStyle w:val="BodyTextIndent3"/>
        <w:ind w:hanging="720"/>
        <w:jc w:val="both"/>
        <w:rPr>
          <w:rFonts w:ascii="Arial" w:hAnsi="Arial" w:cs="Arial"/>
          <w:sz w:val="22"/>
          <w:szCs w:val="22"/>
        </w:rPr>
      </w:pPr>
    </w:p>
    <w:p w14:paraId="3D328A87" w14:textId="77777777" w:rsidR="00A07B71" w:rsidRDefault="00AB7CF3" w:rsidP="00525F9D">
      <w:pPr>
        <w:ind w:left="720" w:hanging="720"/>
        <w:jc w:val="both"/>
        <w:rPr>
          <w:rFonts w:ascii="Arial" w:hAnsi="Arial" w:cs="Arial"/>
          <w:bCs/>
          <w:sz w:val="22"/>
          <w:szCs w:val="22"/>
        </w:rPr>
      </w:pPr>
      <w:r>
        <w:rPr>
          <w:rFonts w:ascii="Arial" w:hAnsi="Arial" w:cs="Arial"/>
          <w:sz w:val="22"/>
          <w:szCs w:val="22"/>
        </w:rPr>
        <w:lastRenderedPageBreak/>
        <w:t>9</w:t>
      </w:r>
      <w:r w:rsidR="00526100">
        <w:rPr>
          <w:rFonts w:ascii="Arial" w:hAnsi="Arial" w:cs="Arial"/>
          <w:sz w:val="22"/>
          <w:szCs w:val="22"/>
        </w:rPr>
        <w:t>.1</w:t>
      </w:r>
      <w:r w:rsidR="00526100">
        <w:rPr>
          <w:rFonts w:ascii="Arial" w:hAnsi="Arial" w:cs="Arial"/>
          <w:sz w:val="22"/>
          <w:szCs w:val="22"/>
        </w:rPr>
        <w:tab/>
      </w:r>
      <w:bookmarkStart w:id="17" w:name="_Hlk90575112"/>
      <w:r w:rsidR="008774B0">
        <w:rPr>
          <w:rFonts w:ascii="Arial" w:hAnsi="Arial" w:cs="Arial"/>
          <w:sz w:val="22"/>
          <w:szCs w:val="22"/>
        </w:rPr>
        <w:t>Australia’s current shortage o</w:t>
      </w:r>
      <w:r w:rsidR="00410DEE">
        <w:rPr>
          <w:rFonts w:ascii="Arial" w:hAnsi="Arial" w:cs="Arial"/>
          <w:sz w:val="22"/>
          <w:szCs w:val="22"/>
        </w:rPr>
        <w:t>f</w:t>
      </w:r>
      <w:r w:rsidR="008774B0">
        <w:rPr>
          <w:rFonts w:ascii="Arial" w:hAnsi="Arial" w:cs="Arial"/>
          <w:sz w:val="22"/>
          <w:szCs w:val="22"/>
        </w:rPr>
        <w:t xml:space="preserve"> 6</w:t>
      </w:r>
      <w:r w:rsidR="00410DEE">
        <w:rPr>
          <w:rFonts w:ascii="Arial" w:hAnsi="Arial" w:cs="Arial"/>
          <w:sz w:val="22"/>
          <w:szCs w:val="22"/>
        </w:rPr>
        <w:t>5</w:t>
      </w:r>
      <w:r w:rsidR="008774B0">
        <w:rPr>
          <w:rFonts w:ascii="Arial" w:hAnsi="Arial" w:cs="Arial"/>
          <w:sz w:val="22"/>
          <w:szCs w:val="22"/>
        </w:rPr>
        <w:t xml:space="preserve">0,000 social and affordable housing units will rise to over 1 million within 15 years unless urgent action is taken. The States/Territories do not have the resources to meet this deficit through current funding arrangements. The community housing sector has reached the level of maturity where it can attract non-government investment to meet the capital requirement to create a pipeline to meet this gap. </w:t>
      </w:r>
      <w:r w:rsidR="008774B0">
        <w:rPr>
          <w:rFonts w:ascii="Arial" w:hAnsi="Arial" w:cs="Arial"/>
          <w:bCs/>
          <w:sz w:val="22"/>
          <w:szCs w:val="22"/>
        </w:rPr>
        <w:t>The current NHHA provides $1.466 billion per annum towards the provision of social housing by the States. Internal modelling and project examples</w:t>
      </w:r>
      <w:r>
        <w:rPr>
          <w:rFonts w:ascii="Arial" w:hAnsi="Arial" w:cs="Arial"/>
          <w:bCs/>
          <w:sz w:val="22"/>
          <w:szCs w:val="22"/>
        </w:rPr>
        <w:t xml:space="preserve"> delivered by CHL</w:t>
      </w:r>
      <w:r w:rsidR="00410DEE">
        <w:rPr>
          <w:rFonts w:ascii="Arial" w:hAnsi="Arial" w:cs="Arial"/>
          <w:bCs/>
          <w:sz w:val="22"/>
          <w:szCs w:val="22"/>
        </w:rPr>
        <w:t>,</w:t>
      </w:r>
      <w:r w:rsidR="008774B0">
        <w:rPr>
          <w:rFonts w:ascii="Arial" w:hAnsi="Arial" w:cs="Arial"/>
          <w:bCs/>
          <w:sz w:val="22"/>
          <w:szCs w:val="22"/>
        </w:rPr>
        <w:t xml:space="preserve"> driven by </w:t>
      </w:r>
      <w:r>
        <w:rPr>
          <w:rFonts w:ascii="Arial" w:hAnsi="Arial" w:cs="Arial"/>
          <w:bCs/>
          <w:sz w:val="22"/>
          <w:szCs w:val="22"/>
        </w:rPr>
        <w:t>pricing</w:t>
      </w:r>
      <w:r w:rsidR="008774B0">
        <w:rPr>
          <w:rFonts w:ascii="Arial" w:hAnsi="Arial" w:cs="Arial"/>
          <w:bCs/>
          <w:sz w:val="22"/>
          <w:szCs w:val="22"/>
        </w:rPr>
        <w:t xml:space="preserve"> o</w:t>
      </w:r>
      <w:r w:rsidR="002A20A0">
        <w:rPr>
          <w:rFonts w:ascii="Arial" w:hAnsi="Arial" w:cs="Arial"/>
          <w:bCs/>
          <w:sz w:val="22"/>
          <w:szCs w:val="22"/>
        </w:rPr>
        <w:t>f</w:t>
      </w:r>
      <w:r w:rsidR="008774B0">
        <w:rPr>
          <w:rFonts w:ascii="Arial" w:hAnsi="Arial" w:cs="Arial"/>
          <w:bCs/>
          <w:sz w:val="22"/>
          <w:szCs w:val="22"/>
        </w:rPr>
        <w:t xml:space="preserve"> available </w:t>
      </w:r>
      <w:r w:rsidR="003D223E">
        <w:rPr>
          <w:rFonts w:ascii="Arial" w:hAnsi="Arial" w:cs="Arial"/>
          <w:bCs/>
          <w:sz w:val="22"/>
          <w:szCs w:val="22"/>
        </w:rPr>
        <w:t>low-cost</w:t>
      </w:r>
      <w:r w:rsidR="008774B0">
        <w:rPr>
          <w:rFonts w:ascii="Arial" w:hAnsi="Arial" w:cs="Arial"/>
          <w:bCs/>
          <w:sz w:val="22"/>
          <w:szCs w:val="22"/>
        </w:rPr>
        <w:t xml:space="preserve"> equity allied to senior debt coupled with the Government guarantee of the availability payment</w:t>
      </w:r>
      <w:r w:rsidR="00410DEE">
        <w:rPr>
          <w:rFonts w:ascii="Arial" w:hAnsi="Arial" w:cs="Arial"/>
          <w:bCs/>
          <w:sz w:val="22"/>
          <w:szCs w:val="22"/>
        </w:rPr>
        <w:t>,</w:t>
      </w:r>
      <w:r w:rsidR="00065D78">
        <w:rPr>
          <w:rFonts w:ascii="Arial" w:hAnsi="Arial" w:cs="Arial"/>
          <w:bCs/>
          <w:sz w:val="22"/>
          <w:szCs w:val="22"/>
        </w:rPr>
        <w:t xml:space="preserve"> can fund supply.</w:t>
      </w:r>
      <w:r w:rsidR="008774B0">
        <w:rPr>
          <w:rFonts w:ascii="Arial" w:hAnsi="Arial" w:cs="Arial"/>
          <w:bCs/>
          <w:sz w:val="22"/>
          <w:szCs w:val="22"/>
        </w:rPr>
        <w:t xml:space="preserve"> </w:t>
      </w:r>
      <w:r w:rsidR="00065D78">
        <w:rPr>
          <w:rFonts w:ascii="Arial" w:hAnsi="Arial" w:cs="Arial"/>
          <w:bCs/>
          <w:sz w:val="22"/>
          <w:szCs w:val="22"/>
        </w:rPr>
        <w:t>Such a fund if</w:t>
      </w:r>
      <w:r w:rsidR="008774B0">
        <w:rPr>
          <w:rFonts w:ascii="Arial" w:hAnsi="Arial" w:cs="Arial"/>
          <w:bCs/>
          <w:sz w:val="22"/>
          <w:szCs w:val="22"/>
        </w:rPr>
        <w:t xml:space="preserve"> repurposed into availability payments to fund</w:t>
      </w:r>
      <w:r w:rsidR="00A07B71">
        <w:rPr>
          <w:rFonts w:ascii="Arial" w:hAnsi="Arial" w:cs="Arial"/>
          <w:bCs/>
          <w:sz w:val="22"/>
          <w:szCs w:val="22"/>
        </w:rPr>
        <w:t xml:space="preserve"> additional</w:t>
      </w:r>
      <w:r w:rsidR="008774B0">
        <w:rPr>
          <w:rFonts w:ascii="Arial" w:hAnsi="Arial" w:cs="Arial"/>
          <w:bCs/>
          <w:sz w:val="22"/>
          <w:szCs w:val="22"/>
        </w:rPr>
        <w:t xml:space="preserve"> social and affordable housing supply </w:t>
      </w:r>
      <w:r w:rsidR="00065D78">
        <w:rPr>
          <w:rFonts w:ascii="Arial" w:hAnsi="Arial" w:cs="Arial"/>
          <w:bCs/>
          <w:sz w:val="22"/>
          <w:szCs w:val="22"/>
        </w:rPr>
        <w:t>would mean a</w:t>
      </w:r>
      <w:r w:rsidR="00CD7083">
        <w:rPr>
          <w:rFonts w:ascii="Arial" w:hAnsi="Arial" w:cs="Arial"/>
          <w:bCs/>
          <w:sz w:val="22"/>
          <w:szCs w:val="22"/>
        </w:rPr>
        <w:t>round</w:t>
      </w:r>
      <w:r w:rsidR="008774B0">
        <w:rPr>
          <w:rFonts w:ascii="Arial" w:hAnsi="Arial" w:cs="Arial"/>
          <w:bCs/>
          <w:sz w:val="22"/>
          <w:szCs w:val="22"/>
        </w:rPr>
        <w:t xml:space="preserve"> 11</w:t>
      </w:r>
      <w:r w:rsidR="00CD7083">
        <w:rPr>
          <w:rFonts w:ascii="Arial" w:hAnsi="Arial" w:cs="Arial"/>
          <w:bCs/>
          <w:sz w:val="22"/>
          <w:szCs w:val="22"/>
        </w:rPr>
        <w:t>0,000</w:t>
      </w:r>
      <w:r w:rsidR="00065D78">
        <w:rPr>
          <w:rFonts w:ascii="Arial" w:hAnsi="Arial" w:cs="Arial"/>
          <w:bCs/>
          <w:sz w:val="22"/>
          <w:szCs w:val="22"/>
        </w:rPr>
        <w:t xml:space="preserve"> social and affordable</w:t>
      </w:r>
      <w:r w:rsidR="008774B0">
        <w:rPr>
          <w:rFonts w:ascii="Arial" w:hAnsi="Arial" w:cs="Arial"/>
          <w:bCs/>
          <w:sz w:val="22"/>
          <w:szCs w:val="22"/>
        </w:rPr>
        <w:t xml:space="preserve"> homes could be constructed</w:t>
      </w:r>
      <w:r w:rsidR="00F71AAD">
        <w:rPr>
          <w:rFonts w:ascii="Arial" w:hAnsi="Arial" w:cs="Arial"/>
          <w:bCs/>
          <w:sz w:val="22"/>
          <w:szCs w:val="22"/>
        </w:rPr>
        <w:t xml:space="preserve"> as long as such a payment was continued over the next 25-30 years</w:t>
      </w:r>
      <w:r w:rsidR="008774B0">
        <w:rPr>
          <w:rFonts w:ascii="Arial" w:hAnsi="Arial" w:cs="Arial"/>
          <w:bCs/>
          <w:sz w:val="22"/>
          <w:szCs w:val="22"/>
        </w:rPr>
        <w:t xml:space="preserve">. This number could be increased steadily over the next 15 years by an additional $750 million per annum to meet </w:t>
      </w:r>
      <w:r w:rsidR="004E5016">
        <w:rPr>
          <w:rFonts w:ascii="Arial" w:hAnsi="Arial" w:cs="Arial"/>
          <w:bCs/>
          <w:sz w:val="22"/>
          <w:szCs w:val="22"/>
        </w:rPr>
        <w:t xml:space="preserve">the </w:t>
      </w:r>
      <w:r w:rsidR="008774B0">
        <w:rPr>
          <w:rFonts w:ascii="Arial" w:hAnsi="Arial" w:cs="Arial"/>
          <w:bCs/>
          <w:sz w:val="22"/>
          <w:szCs w:val="22"/>
        </w:rPr>
        <w:t xml:space="preserve">current and projected shortfall. This would mean that the NHHA would reach an annual $13 billion per annum to deliver social and affordable housing infrastructure of 1.4 million homes in Australia by 2036 managed principally </w:t>
      </w:r>
      <w:r w:rsidR="004E5016">
        <w:rPr>
          <w:rFonts w:ascii="Arial" w:hAnsi="Arial" w:cs="Arial"/>
          <w:bCs/>
          <w:sz w:val="22"/>
          <w:szCs w:val="22"/>
        </w:rPr>
        <w:t>through</w:t>
      </w:r>
      <w:r w:rsidR="008774B0">
        <w:rPr>
          <w:rFonts w:ascii="Arial" w:hAnsi="Arial" w:cs="Arial"/>
          <w:bCs/>
          <w:sz w:val="22"/>
          <w:szCs w:val="22"/>
        </w:rPr>
        <w:t xml:space="preserve"> the community housing sector.</w:t>
      </w:r>
      <w:bookmarkEnd w:id="17"/>
      <w:r w:rsidR="00A07B71">
        <w:rPr>
          <w:rFonts w:ascii="Arial" w:hAnsi="Arial" w:cs="Arial"/>
          <w:bCs/>
          <w:sz w:val="22"/>
          <w:szCs w:val="22"/>
        </w:rPr>
        <w:t xml:space="preserve"> </w:t>
      </w:r>
    </w:p>
    <w:p w14:paraId="56F92F63" w14:textId="77777777" w:rsidR="00A07B71" w:rsidRDefault="00A07B71" w:rsidP="00525F9D">
      <w:pPr>
        <w:ind w:left="720" w:hanging="720"/>
        <w:jc w:val="both"/>
        <w:rPr>
          <w:rFonts w:ascii="Arial" w:hAnsi="Arial" w:cs="Arial"/>
          <w:bCs/>
          <w:sz w:val="22"/>
          <w:szCs w:val="22"/>
        </w:rPr>
      </w:pPr>
    </w:p>
    <w:p w14:paraId="309BDAB5" w14:textId="77777777" w:rsidR="00FD2B03" w:rsidRDefault="008A0C74" w:rsidP="00A07B71">
      <w:pPr>
        <w:ind w:left="720"/>
        <w:jc w:val="both"/>
        <w:rPr>
          <w:rFonts w:ascii="Arial" w:hAnsi="Arial" w:cs="Arial"/>
          <w:sz w:val="22"/>
          <w:szCs w:val="22"/>
        </w:rPr>
      </w:pPr>
      <w:r>
        <w:rPr>
          <w:rFonts w:ascii="Arial" w:hAnsi="Arial" w:cs="Arial"/>
          <w:sz w:val="22"/>
          <w:szCs w:val="22"/>
        </w:rPr>
        <w:tab/>
        <w:t xml:space="preserve"> </w:t>
      </w:r>
      <w:r w:rsidR="00A51551">
        <w:rPr>
          <w:rFonts w:ascii="Arial" w:hAnsi="Arial" w:cs="Arial"/>
          <w:sz w:val="22"/>
          <w:szCs w:val="22"/>
        </w:rPr>
        <w:t xml:space="preserve"> </w:t>
      </w:r>
      <w:r w:rsidR="007A6E39">
        <w:rPr>
          <w:rFonts w:ascii="Arial" w:hAnsi="Arial" w:cs="Arial"/>
          <w:sz w:val="22"/>
          <w:szCs w:val="22"/>
        </w:rPr>
        <w:t xml:space="preserve"> </w:t>
      </w:r>
      <w:r w:rsidR="000A249C">
        <w:rPr>
          <w:rFonts w:ascii="Arial" w:hAnsi="Arial" w:cs="Arial"/>
          <w:sz w:val="22"/>
          <w:szCs w:val="22"/>
        </w:rPr>
        <w:t xml:space="preserve"> </w:t>
      </w:r>
      <w:r w:rsidR="00E5662C">
        <w:rPr>
          <w:rFonts w:ascii="Arial" w:hAnsi="Arial" w:cs="Arial"/>
          <w:sz w:val="22"/>
          <w:szCs w:val="22"/>
        </w:rPr>
        <w:t xml:space="preserve"> </w:t>
      </w:r>
    </w:p>
    <w:sectPr w:rsidR="00FD2B03" w:rsidSect="00C2715B">
      <w:pgSz w:w="11906" w:h="16838" w:code="9"/>
      <w:pgMar w:top="1440" w:right="1797" w:bottom="1440" w:left="1418" w:header="709" w:footer="709" w:gutter="0"/>
      <w:pgBorders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29E6" w14:textId="77777777" w:rsidR="00AA58AF" w:rsidRDefault="00AA58AF">
      <w:r>
        <w:separator/>
      </w:r>
    </w:p>
  </w:endnote>
  <w:endnote w:type="continuationSeparator" w:id="0">
    <w:p w14:paraId="246A3A80" w14:textId="77777777" w:rsidR="00AA58AF" w:rsidRDefault="00AA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B408" w14:textId="77777777" w:rsidR="00AA58AF" w:rsidRDefault="00AA58AF">
      <w:r>
        <w:separator/>
      </w:r>
    </w:p>
  </w:footnote>
  <w:footnote w:type="continuationSeparator" w:id="0">
    <w:p w14:paraId="65C1287D" w14:textId="77777777" w:rsidR="00AA58AF" w:rsidRDefault="00AA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EC7"/>
    <w:multiLevelType w:val="hybridMultilevel"/>
    <w:tmpl w:val="D812AC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6E41402"/>
    <w:multiLevelType w:val="hybridMultilevel"/>
    <w:tmpl w:val="717CFC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A0C2352"/>
    <w:multiLevelType w:val="hybridMultilevel"/>
    <w:tmpl w:val="7004D45E"/>
    <w:lvl w:ilvl="0" w:tplc="C596C4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1125C"/>
    <w:multiLevelType w:val="hybridMultilevel"/>
    <w:tmpl w:val="5AFCE5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B8F2103"/>
    <w:multiLevelType w:val="hybridMultilevel"/>
    <w:tmpl w:val="CAE0671E"/>
    <w:lvl w:ilvl="0" w:tplc="D846A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96EE9"/>
    <w:multiLevelType w:val="hybridMultilevel"/>
    <w:tmpl w:val="41D4D17A"/>
    <w:lvl w:ilvl="0" w:tplc="EA8222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1C4D62"/>
    <w:multiLevelType w:val="hybridMultilevel"/>
    <w:tmpl w:val="7CD21B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A35752"/>
    <w:multiLevelType w:val="multilevel"/>
    <w:tmpl w:val="7220D30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E5022A"/>
    <w:multiLevelType w:val="hybridMultilevel"/>
    <w:tmpl w:val="6BFE58B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2911251A"/>
    <w:multiLevelType w:val="hybridMultilevel"/>
    <w:tmpl w:val="4580930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D87DE5"/>
    <w:multiLevelType w:val="hybridMultilevel"/>
    <w:tmpl w:val="3E1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26EE0"/>
    <w:multiLevelType w:val="hybridMultilevel"/>
    <w:tmpl w:val="711CCB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46C55AA"/>
    <w:multiLevelType w:val="hybridMultilevel"/>
    <w:tmpl w:val="995AAA9C"/>
    <w:lvl w:ilvl="0" w:tplc="A7889EBE">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327CF"/>
    <w:multiLevelType w:val="hybridMultilevel"/>
    <w:tmpl w:val="EEA4C1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08A3EBC"/>
    <w:multiLevelType w:val="hybridMultilevel"/>
    <w:tmpl w:val="316080C0"/>
    <w:lvl w:ilvl="0" w:tplc="0D1C62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28B21C0"/>
    <w:multiLevelType w:val="multilevel"/>
    <w:tmpl w:val="308248AE"/>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D1405"/>
    <w:multiLevelType w:val="multilevel"/>
    <w:tmpl w:val="6996FF42"/>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C03895"/>
    <w:multiLevelType w:val="hybridMultilevel"/>
    <w:tmpl w:val="A6684E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DC65975"/>
    <w:multiLevelType w:val="hybridMultilevel"/>
    <w:tmpl w:val="4C3C2F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0D30226"/>
    <w:multiLevelType w:val="multilevel"/>
    <w:tmpl w:val="3E62AFA4"/>
    <w:lvl w:ilvl="0">
      <w:start w:val="1"/>
      <w:numFmt w:val="decimal"/>
      <w:lvlText w:val="%1.0"/>
      <w:lvlJc w:val="left"/>
      <w:pPr>
        <w:ind w:left="720" w:hanging="720"/>
      </w:pPr>
      <w:rPr>
        <w:rFonts w:hint="default"/>
        <w:b w:val="0"/>
        <w:color w:val="auto"/>
        <w:sz w:val="22"/>
      </w:rPr>
    </w:lvl>
    <w:lvl w:ilvl="1">
      <w:start w:val="1"/>
      <w:numFmt w:val="decimal"/>
      <w:lvlText w:val="%1.%2"/>
      <w:lvlJc w:val="left"/>
      <w:pPr>
        <w:ind w:left="1440" w:hanging="720"/>
      </w:pPr>
      <w:rPr>
        <w:rFonts w:hint="default"/>
        <w:b w:val="0"/>
        <w:color w:val="auto"/>
        <w:sz w:val="22"/>
      </w:rPr>
    </w:lvl>
    <w:lvl w:ilvl="2">
      <w:start w:val="1"/>
      <w:numFmt w:val="decimal"/>
      <w:lvlText w:val="%1.%2.%3"/>
      <w:lvlJc w:val="left"/>
      <w:pPr>
        <w:ind w:left="2160" w:hanging="720"/>
      </w:pPr>
      <w:rPr>
        <w:rFonts w:hint="default"/>
        <w:b w:val="0"/>
        <w:color w:val="auto"/>
        <w:sz w:val="22"/>
      </w:rPr>
    </w:lvl>
    <w:lvl w:ilvl="3">
      <w:start w:val="1"/>
      <w:numFmt w:val="decimal"/>
      <w:lvlText w:val="%1.%2.%3.%4"/>
      <w:lvlJc w:val="left"/>
      <w:pPr>
        <w:ind w:left="2880" w:hanging="720"/>
      </w:pPr>
      <w:rPr>
        <w:rFonts w:hint="default"/>
        <w:b w:val="0"/>
        <w:color w:val="auto"/>
        <w:sz w:val="22"/>
      </w:rPr>
    </w:lvl>
    <w:lvl w:ilvl="4">
      <w:start w:val="1"/>
      <w:numFmt w:val="decimal"/>
      <w:lvlText w:val="%1.%2.%3.%4.%5"/>
      <w:lvlJc w:val="left"/>
      <w:pPr>
        <w:ind w:left="3960" w:hanging="1080"/>
      </w:pPr>
      <w:rPr>
        <w:rFonts w:hint="default"/>
        <w:b w:val="0"/>
        <w:color w:val="auto"/>
        <w:sz w:val="22"/>
      </w:rPr>
    </w:lvl>
    <w:lvl w:ilvl="5">
      <w:start w:val="1"/>
      <w:numFmt w:val="decimal"/>
      <w:lvlText w:val="%1.%2.%3.%4.%5.%6"/>
      <w:lvlJc w:val="left"/>
      <w:pPr>
        <w:ind w:left="4680" w:hanging="1080"/>
      </w:pPr>
      <w:rPr>
        <w:rFonts w:hint="default"/>
        <w:b w:val="0"/>
        <w:color w:val="auto"/>
        <w:sz w:val="22"/>
      </w:rPr>
    </w:lvl>
    <w:lvl w:ilvl="6">
      <w:start w:val="1"/>
      <w:numFmt w:val="decimal"/>
      <w:lvlText w:val="%1.%2.%3.%4.%5.%6.%7"/>
      <w:lvlJc w:val="left"/>
      <w:pPr>
        <w:ind w:left="5760" w:hanging="1440"/>
      </w:pPr>
      <w:rPr>
        <w:rFonts w:hint="default"/>
        <w:b w:val="0"/>
        <w:color w:val="auto"/>
        <w:sz w:val="22"/>
      </w:rPr>
    </w:lvl>
    <w:lvl w:ilvl="7">
      <w:start w:val="1"/>
      <w:numFmt w:val="decimal"/>
      <w:lvlText w:val="%1.%2.%3.%4.%5.%6.%7.%8"/>
      <w:lvlJc w:val="left"/>
      <w:pPr>
        <w:ind w:left="6480" w:hanging="1440"/>
      </w:pPr>
      <w:rPr>
        <w:rFonts w:hint="default"/>
        <w:b w:val="0"/>
        <w:color w:val="auto"/>
        <w:sz w:val="22"/>
      </w:rPr>
    </w:lvl>
    <w:lvl w:ilvl="8">
      <w:start w:val="1"/>
      <w:numFmt w:val="decimal"/>
      <w:lvlText w:val="%1.%2.%3.%4.%5.%6.%7.%8.%9"/>
      <w:lvlJc w:val="left"/>
      <w:pPr>
        <w:ind w:left="7560" w:hanging="1800"/>
      </w:pPr>
      <w:rPr>
        <w:rFonts w:hint="default"/>
        <w:b w:val="0"/>
        <w:color w:val="auto"/>
        <w:sz w:val="22"/>
      </w:rPr>
    </w:lvl>
  </w:abstractNum>
  <w:abstractNum w:abstractNumId="20" w15:restartNumberingAfterBreak="0">
    <w:nsid w:val="52B35CFD"/>
    <w:multiLevelType w:val="hybridMultilevel"/>
    <w:tmpl w:val="9AA079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5043521"/>
    <w:multiLevelType w:val="hybridMultilevel"/>
    <w:tmpl w:val="D298C0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BEF1DC8"/>
    <w:multiLevelType w:val="multilevel"/>
    <w:tmpl w:val="7E02B81C"/>
    <w:lvl w:ilvl="0">
      <w:start w:val="1"/>
      <w:numFmt w:val="decimal"/>
      <w:lvlText w:val="%1.0"/>
      <w:lvlJc w:val="left"/>
      <w:pPr>
        <w:ind w:left="720" w:hanging="720"/>
      </w:pPr>
      <w:rPr>
        <w:rFonts w:hint="default"/>
        <w:b w:val="0"/>
        <w:color w:val="auto"/>
        <w:sz w:val="22"/>
      </w:rPr>
    </w:lvl>
    <w:lvl w:ilvl="1">
      <w:start w:val="1"/>
      <w:numFmt w:val="decimal"/>
      <w:lvlText w:val="%1.%2"/>
      <w:lvlJc w:val="left"/>
      <w:pPr>
        <w:ind w:left="1440" w:hanging="720"/>
      </w:pPr>
      <w:rPr>
        <w:rFonts w:hint="default"/>
        <w:b w:val="0"/>
        <w:color w:val="auto"/>
        <w:sz w:val="22"/>
      </w:rPr>
    </w:lvl>
    <w:lvl w:ilvl="2">
      <w:start w:val="1"/>
      <w:numFmt w:val="decimal"/>
      <w:lvlText w:val="%1.%2.%3"/>
      <w:lvlJc w:val="left"/>
      <w:pPr>
        <w:ind w:left="2160" w:hanging="720"/>
      </w:pPr>
      <w:rPr>
        <w:rFonts w:hint="default"/>
        <w:b w:val="0"/>
        <w:color w:val="auto"/>
        <w:sz w:val="22"/>
      </w:rPr>
    </w:lvl>
    <w:lvl w:ilvl="3">
      <w:start w:val="1"/>
      <w:numFmt w:val="decimal"/>
      <w:lvlText w:val="%1.%2.%3.%4"/>
      <w:lvlJc w:val="left"/>
      <w:pPr>
        <w:ind w:left="3240" w:hanging="1080"/>
      </w:pPr>
      <w:rPr>
        <w:rFonts w:hint="default"/>
        <w:b w:val="0"/>
        <w:color w:val="auto"/>
        <w:sz w:val="22"/>
      </w:rPr>
    </w:lvl>
    <w:lvl w:ilvl="4">
      <w:start w:val="1"/>
      <w:numFmt w:val="decimal"/>
      <w:lvlText w:val="%1.%2.%3.%4.%5"/>
      <w:lvlJc w:val="left"/>
      <w:pPr>
        <w:ind w:left="4320" w:hanging="1440"/>
      </w:pPr>
      <w:rPr>
        <w:rFonts w:hint="default"/>
        <w:b w:val="0"/>
        <w:color w:val="auto"/>
        <w:sz w:val="22"/>
      </w:rPr>
    </w:lvl>
    <w:lvl w:ilvl="5">
      <w:start w:val="1"/>
      <w:numFmt w:val="decimal"/>
      <w:lvlText w:val="%1.%2.%3.%4.%5.%6"/>
      <w:lvlJc w:val="left"/>
      <w:pPr>
        <w:ind w:left="5040" w:hanging="1440"/>
      </w:pPr>
      <w:rPr>
        <w:rFonts w:hint="default"/>
        <w:b w:val="0"/>
        <w:color w:val="auto"/>
        <w:sz w:val="22"/>
      </w:rPr>
    </w:lvl>
    <w:lvl w:ilvl="6">
      <w:start w:val="1"/>
      <w:numFmt w:val="decimal"/>
      <w:lvlText w:val="%1.%2.%3.%4.%5.%6.%7"/>
      <w:lvlJc w:val="left"/>
      <w:pPr>
        <w:ind w:left="6120" w:hanging="1800"/>
      </w:pPr>
      <w:rPr>
        <w:rFonts w:hint="default"/>
        <w:b w:val="0"/>
        <w:color w:val="auto"/>
        <w:sz w:val="22"/>
      </w:rPr>
    </w:lvl>
    <w:lvl w:ilvl="7">
      <w:start w:val="1"/>
      <w:numFmt w:val="decimal"/>
      <w:lvlText w:val="%1.%2.%3.%4.%5.%6.%7.%8"/>
      <w:lvlJc w:val="left"/>
      <w:pPr>
        <w:ind w:left="6840" w:hanging="1800"/>
      </w:pPr>
      <w:rPr>
        <w:rFonts w:hint="default"/>
        <w:b w:val="0"/>
        <w:color w:val="auto"/>
        <w:sz w:val="22"/>
      </w:rPr>
    </w:lvl>
    <w:lvl w:ilvl="8">
      <w:start w:val="1"/>
      <w:numFmt w:val="decimal"/>
      <w:lvlText w:val="%1.%2.%3.%4.%5.%6.%7.%8.%9"/>
      <w:lvlJc w:val="left"/>
      <w:pPr>
        <w:ind w:left="7920" w:hanging="2160"/>
      </w:pPr>
      <w:rPr>
        <w:rFonts w:hint="default"/>
        <w:b w:val="0"/>
        <w:color w:val="auto"/>
        <w:sz w:val="22"/>
      </w:rPr>
    </w:lvl>
  </w:abstractNum>
  <w:abstractNum w:abstractNumId="23" w15:restartNumberingAfterBreak="0">
    <w:nsid w:val="5BF81559"/>
    <w:multiLevelType w:val="hybridMultilevel"/>
    <w:tmpl w:val="68F4D30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60F60304"/>
    <w:multiLevelType w:val="multilevel"/>
    <w:tmpl w:val="C4E6362A"/>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6EE068F1"/>
    <w:multiLevelType w:val="multilevel"/>
    <w:tmpl w:val="8060590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8A4138"/>
    <w:multiLevelType w:val="hybridMultilevel"/>
    <w:tmpl w:val="A52C33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0AD5D85"/>
    <w:multiLevelType w:val="multilevel"/>
    <w:tmpl w:val="F39086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28726E"/>
    <w:multiLevelType w:val="hybridMultilevel"/>
    <w:tmpl w:val="21D44C94"/>
    <w:lvl w:ilvl="0" w:tplc="4B7C6488">
      <w:start w:val="8"/>
      <w:numFmt w:val="bullet"/>
      <w:lvlText w:val=""/>
      <w:lvlJc w:val="left"/>
      <w:pPr>
        <w:tabs>
          <w:tab w:val="num" w:pos="1080"/>
        </w:tabs>
        <w:ind w:left="1080" w:hanging="360"/>
      </w:pPr>
      <w:rPr>
        <w:rFonts w:ascii="Symbol" w:eastAsia="Times New Roman" w:hAnsi="Symbol"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7F0A96"/>
    <w:multiLevelType w:val="multilevel"/>
    <w:tmpl w:val="8C52A25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9C2AB1"/>
    <w:multiLevelType w:val="hybridMultilevel"/>
    <w:tmpl w:val="9CEC7318"/>
    <w:lvl w:ilvl="0" w:tplc="A9968D8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9AE4947"/>
    <w:multiLevelType w:val="hybridMultilevel"/>
    <w:tmpl w:val="CDBC37F0"/>
    <w:lvl w:ilvl="0" w:tplc="276CDD3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F147658"/>
    <w:multiLevelType w:val="hybridMultilevel"/>
    <w:tmpl w:val="818E85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31"/>
  </w:num>
  <w:num w:numId="4">
    <w:abstractNumId w:val="30"/>
  </w:num>
  <w:num w:numId="5">
    <w:abstractNumId w:val="5"/>
  </w:num>
  <w:num w:numId="6">
    <w:abstractNumId w:val="6"/>
  </w:num>
  <w:num w:numId="7">
    <w:abstractNumId w:val="18"/>
  </w:num>
  <w:num w:numId="8">
    <w:abstractNumId w:val="12"/>
  </w:num>
  <w:num w:numId="9">
    <w:abstractNumId w:val="10"/>
  </w:num>
  <w:num w:numId="10">
    <w:abstractNumId w:val="23"/>
    <w:lvlOverride w:ilvl="0"/>
    <w:lvlOverride w:ilvl="1"/>
    <w:lvlOverride w:ilvl="2"/>
    <w:lvlOverride w:ilvl="3"/>
    <w:lvlOverride w:ilvl="4"/>
    <w:lvlOverride w:ilvl="5"/>
    <w:lvlOverride w:ilvl="6"/>
    <w:lvlOverride w:ilvl="7"/>
    <w:lvlOverride w:ilvl="8"/>
  </w:num>
  <w:num w:numId="11">
    <w:abstractNumId w:val="1"/>
  </w:num>
  <w:num w:numId="12">
    <w:abstractNumId w:val="20"/>
  </w:num>
  <w:num w:numId="13">
    <w:abstractNumId w:val="3"/>
  </w:num>
  <w:num w:numId="14">
    <w:abstractNumId w:val="17"/>
  </w:num>
  <w:num w:numId="15">
    <w:abstractNumId w:val="0"/>
  </w:num>
  <w:num w:numId="16">
    <w:abstractNumId w:val="32"/>
  </w:num>
  <w:num w:numId="17">
    <w:abstractNumId w:val="13"/>
  </w:num>
  <w:num w:numId="18">
    <w:abstractNumId w:val="21"/>
  </w:num>
  <w:num w:numId="19">
    <w:abstractNumId w:val="11"/>
  </w:num>
  <w:num w:numId="20">
    <w:abstractNumId w:val="8"/>
  </w:num>
  <w:num w:numId="21">
    <w:abstractNumId w:val="14"/>
  </w:num>
  <w:num w:numId="22">
    <w:abstractNumId w:val="26"/>
  </w:num>
  <w:num w:numId="23">
    <w:abstractNumId w:val="25"/>
  </w:num>
  <w:num w:numId="24">
    <w:abstractNumId w:val="16"/>
  </w:num>
  <w:num w:numId="25">
    <w:abstractNumId w:val="29"/>
  </w:num>
  <w:num w:numId="26">
    <w:abstractNumId w:val="24"/>
  </w:num>
  <w:num w:numId="27">
    <w:abstractNumId w:val="15"/>
  </w:num>
  <w:num w:numId="28">
    <w:abstractNumId w:val="7"/>
  </w:num>
  <w:num w:numId="29">
    <w:abstractNumId w:val="27"/>
  </w:num>
  <w:num w:numId="30">
    <w:abstractNumId w:val="19"/>
  </w:num>
  <w:num w:numId="31">
    <w:abstractNumId w:val="2"/>
  </w:num>
  <w:num w:numId="32">
    <w:abstractNumId w:val="22"/>
  </w:num>
  <w:num w:numId="3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E0"/>
    <w:rsid w:val="000001F5"/>
    <w:rsid w:val="00000BEF"/>
    <w:rsid w:val="0000224F"/>
    <w:rsid w:val="00002BD8"/>
    <w:rsid w:val="0000489E"/>
    <w:rsid w:val="0000767A"/>
    <w:rsid w:val="000106D2"/>
    <w:rsid w:val="00010FB3"/>
    <w:rsid w:val="000113D9"/>
    <w:rsid w:val="0001170C"/>
    <w:rsid w:val="00012BD4"/>
    <w:rsid w:val="00014EAC"/>
    <w:rsid w:val="00017759"/>
    <w:rsid w:val="00021B94"/>
    <w:rsid w:val="000264BC"/>
    <w:rsid w:val="000264F5"/>
    <w:rsid w:val="0002698D"/>
    <w:rsid w:val="000273A9"/>
    <w:rsid w:val="000305A8"/>
    <w:rsid w:val="00030DDD"/>
    <w:rsid w:val="000328B2"/>
    <w:rsid w:val="00034421"/>
    <w:rsid w:val="00035789"/>
    <w:rsid w:val="00035D57"/>
    <w:rsid w:val="0003614D"/>
    <w:rsid w:val="0003720D"/>
    <w:rsid w:val="00037796"/>
    <w:rsid w:val="0003790C"/>
    <w:rsid w:val="00040A77"/>
    <w:rsid w:val="00041A47"/>
    <w:rsid w:val="00041FA6"/>
    <w:rsid w:val="00043D91"/>
    <w:rsid w:val="000449A6"/>
    <w:rsid w:val="00044F77"/>
    <w:rsid w:val="00045051"/>
    <w:rsid w:val="00045C0E"/>
    <w:rsid w:val="0005051C"/>
    <w:rsid w:val="000514A1"/>
    <w:rsid w:val="0005157B"/>
    <w:rsid w:val="00051633"/>
    <w:rsid w:val="00052B50"/>
    <w:rsid w:val="000541F6"/>
    <w:rsid w:val="00054B69"/>
    <w:rsid w:val="00055FDE"/>
    <w:rsid w:val="000602A9"/>
    <w:rsid w:val="0006048A"/>
    <w:rsid w:val="0006107C"/>
    <w:rsid w:val="0006352D"/>
    <w:rsid w:val="0006392D"/>
    <w:rsid w:val="00063B30"/>
    <w:rsid w:val="00065D78"/>
    <w:rsid w:val="0006614C"/>
    <w:rsid w:val="0007030C"/>
    <w:rsid w:val="00071C5D"/>
    <w:rsid w:val="0007232B"/>
    <w:rsid w:val="000723A5"/>
    <w:rsid w:val="00072C37"/>
    <w:rsid w:val="0007305B"/>
    <w:rsid w:val="00073775"/>
    <w:rsid w:val="00074B3B"/>
    <w:rsid w:val="00075674"/>
    <w:rsid w:val="00077877"/>
    <w:rsid w:val="00077FA7"/>
    <w:rsid w:val="0008020C"/>
    <w:rsid w:val="00080E84"/>
    <w:rsid w:val="00083091"/>
    <w:rsid w:val="0008325D"/>
    <w:rsid w:val="00083ABF"/>
    <w:rsid w:val="000855BB"/>
    <w:rsid w:val="00086A18"/>
    <w:rsid w:val="0009315A"/>
    <w:rsid w:val="00093E8B"/>
    <w:rsid w:val="000957D9"/>
    <w:rsid w:val="000970D4"/>
    <w:rsid w:val="000972FB"/>
    <w:rsid w:val="000978BC"/>
    <w:rsid w:val="000A0F18"/>
    <w:rsid w:val="000A1047"/>
    <w:rsid w:val="000A22C2"/>
    <w:rsid w:val="000A249C"/>
    <w:rsid w:val="000A4D27"/>
    <w:rsid w:val="000B2CE1"/>
    <w:rsid w:val="000B307B"/>
    <w:rsid w:val="000B3CC9"/>
    <w:rsid w:val="000B3D48"/>
    <w:rsid w:val="000B54A7"/>
    <w:rsid w:val="000B588E"/>
    <w:rsid w:val="000B590A"/>
    <w:rsid w:val="000B7404"/>
    <w:rsid w:val="000B74E0"/>
    <w:rsid w:val="000C2505"/>
    <w:rsid w:val="000C2F84"/>
    <w:rsid w:val="000C5168"/>
    <w:rsid w:val="000C6357"/>
    <w:rsid w:val="000C7C80"/>
    <w:rsid w:val="000D0EE8"/>
    <w:rsid w:val="000D234F"/>
    <w:rsid w:val="000D2802"/>
    <w:rsid w:val="000D2AC4"/>
    <w:rsid w:val="000D4121"/>
    <w:rsid w:val="000D4E57"/>
    <w:rsid w:val="000D4F26"/>
    <w:rsid w:val="000D60D9"/>
    <w:rsid w:val="000D7D0D"/>
    <w:rsid w:val="000D7DE4"/>
    <w:rsid w:val="000D7E81"/>
    <w:rsid w:val="000E1CFF"/>
    <w:rsid w:val="000E2D1A"/>
    <w:rsid w:val="000E2FEE"/>
    <w:rsid w:val="000E3AD0"/>
    <w:rsid w:val="000E47F0"/>
    <w:rsid w:val="000F0C13"/>
    <w:rsid w:val="000F16B2"/>
    <w:rsid w:val="000F268C"/>
    <w:rsid w:val="000F26D2"/>
    <w:rsid w:val="000F2934"/>
    <w:rsid w:val="000F53B4"/>
    <w:rsid w:val="000F5C9D"/>
    <w:rsid w:val="000F5D6C"/>
    <w:rsid w:val="000F7FFD"/>
    <w:rsid w:val="00100AA7"/>
    <w:rsid w:val="00101DF5"/>
    <w:rsid w:val="0010467D"/>
    <w:rsid w:val="00105DAD"/>
    <w:rsid w:val="001066DE"/>
    <w:rsid w:val="00107453"/>
    <w:rsid w:val="00107F54"/>
    <w:rsid w:val="00110F40"/>
    <w:rsid w:val="00111415"/>
    <w:rsid w:val="00111919"/>
    <w:rsid w:val="00111A8F"/>
    <w:rsid w:val="00112A2C"/>
    <w:rsid w:val="00113CC3"/>
    <w:rsid w:val="00113EE2"/>
    <w:rsid w:val="00115E1A"/>
    <w:rsid w:val="00116338"/>
    <w:rsid w:val="001166FE"/>
    <w:rsid w:val="00117A13"/>
    <w:rsid w:val="00117D6F"/>
    <w:rsid w:val="001210BE"/>
    <w:rsid w:val="001219E3"/>
    <w:rsid w:val="00125560"/>
    <w:rsid w:val="00125780"/>
    <w:rsid w:val="0012603B"/>
    <w:rsid w:val="001271BE"/>
    <w:rsid w:val="0013079C"/>
    <w:rsid w:val="00130C3F"/>
    <w:rsid w:val="001319C9"/>
    <w:rsid w:val="00132163"/>
    <w:rsid w:val="0013223B"/>
    <w:rsid w:val="00133DB1"/>
    <w:rsid w:val="0014242A"/>
    <w:rsid w:val="00142BC8"/>
    <w:rsid w:val="00143C49"/>
    <w:rsid w:val="00147053"/>
    <w:rsid w:val="0015223B"/>
    <w:rsid w:val="00153265"/>
    <w:rsid w:val="001625F2"/>
    <w:rsid w:val="00162692"/>
    <w:rsid w:val="00162BC7"/>
    <w:rsid w:val="00164715"/>
    <w:rsid w:val="001659C1"/>
    <w:rsid w:val="001661B4"/>
    <w:rsid w:val="00170CFF"/>
    <w:rsid w:val="00170EB9"/>
    <w:rsid w:val="00173DF2"/>
    <w:rsid w:val="00174E91"/>
    <w:rsid w:val="0017681A"/>
    <w:rsid w:val="00180568"/>
    <w:rsid w:val="001806C7"/>
    <w:rsid w:val="00184CB7"/>
    <w:rsid w:val="00191B91"/>
    <w:rsid w:val="00193F10"/>
    <w:rsid w:val="00194235"/>
    <w:rsid w:val="001944B7"/>
    <w:rsid w:val="001A06FA"/>
    <w:rsid w:val="001A0AF5"/>
    <w:rsid w:val="001A25B1"/>
    <w:rsid w:val="001A37EE"/>
    <w:rsid w:val="001A7A5F"/>
    <w:rsid w:val="001A7ECA"/>
    <w:rsid w:val="001B0155"/>
    <w:rsid w:val="001B0356"/>
    <w:rsid w:val="001B0A6E"/>
    <w:rsid w:val="001B127B"/>
    <w:rsid w:val="001B2C20"/>
    <w:rsid w:val="001B2DEF"/>
    <w:rsid w:val="001B525A"/>
    <w:rsid w:val="001B688B"/>
    <w:rsid w:val="001B6960"/>
    <w:rsid w:val="001B7C51"/>
    <w:rsid w:val="001C5E00"/>
    <w:rsid w:val="001C6827"/>
    <w:rsid w:val="001C7E4A"/>
    <w:rsid w:val="001D4B80"/>
    <w:rsid w:val="001D546F"/>
    <w:rsid w:val="001D6755"/>
    <w:rsid w:val="001D7603"/>
    <w:rsid w:val="001E1BA3"/>
    <w:rsid w:val="001E1F98"/>
    <w:rsid w:val="001E1FA2"/>
    <w:rsid w:val="001E26E1"/>
    <w:rsid w:val="001E4F1A"/>
    <w:rsid w:val="001E612F"/>
    <w:rsid w:val="001E7380"/>
    <w:rsid w:val="001E7681"/>
    <w:rsid w:val="001F0B45"/>
    <w:rsid w:val="001F0BA3"/>
    <w:rsid w:val="001F1149"/>
    <w:rsid w:val="001F1EC5"/>
    <w:rsid w:val="001F29AF"/>
    <w:rsid w:val="00200C9A"/>
    <w:rsid w:val="00202B5E"/>
    <w:rsid w:val="00203273"/>
    <w:rsid w:val="002055D9"/>
    <w:rsid w:val="00212668"/>
    <w:rsid w:val="00212E24"/>
    <w:rsid w:val="00214509"/>
    <w:rsid w:val="00215495"/>
    <w:rsid w:val="0021557F"/>
    <w:rsid w:val="002160E7"/>
    <w:rsid w:val="00221AC1"/>
    <w:rsid w:val="00222A71"/>
    <w:rsid w:val="0022411F"/>
    <w:rsid w:val="0022486C"/>
    <w:rsid w:val="002249FD"/>
    <w:rsid w:val="002255E1"/>
    <w:rsid w:val="0022619D"/>
    <w:rsid w:val="00226497"/>
    <w:rsid w:val="00226DDF"/>
    <w:rsid w:val="00227895"/>
    <w:rsid w:val="00227F6C"/>
    <w:rsid w:val="0023586F"/>
    <w:rsid w:val="00236000"/>
    <w:rsid w:val="00236A56"/>
    <w:rsid w:val="00236CDB"/>
    <w:rsid w:val="00242E0E"/>
    <w:rsid w:val="002439AE"/>
    <w:rsid w:val="0024434C"/>
    <w:rsid w:val="00246F4D"/>
    <w:rsid w:val="00247BEA"/>
    <w:rsid w:val="00250B9C"/>
    <w:rsid w:val="00252836"/>
    <w:rsid w:val="00252CD4"/>
    <w:rsid w:val="00253749"/>
    <w:rsid w:val="0025413D"/>
    <w:rsid w:val="002559C6"/>
    <w:rsid w:val="00256706"/>
    <w:rsid w:val="00257F67"/>
    <w:rsid w:val="002624FF"/>
    <w:rsid w:val="002629DB"/>
    <w:rsid w:val="00262C66"/>
    <w:rsid w:val="00264EEC"/>
    <w:rsid w:val="00270EE3"/>
    <w:rsid w:val="00271D83"/>
    <w:rsid w:val="00275C0E"/>
    <w:rsid w:val="00275DE2"/>
    <w:rsid w:val="00276908"/>
    <w:rsid w:val="00276A4F"/>
    <w:rsid w:val="00280889"/>
    <w:rsid w:val="00281BD4"/>
    <w:rsid w:val="00283A29"/>
    <w:rsid w:val="00284516"/>
    <w:rsid w:val="002855C5"/>
    <w:rsid w:val="002857A7"/>
    <w:rsid w:val="00290F3D"/>
    <w:rsid w:val="00291F12"/>
    <w:rsid w:val="002937DB"/>
    <w:rsid w:val="00293DD9"/>
    <w:rsid w:val="00295677"/>
    <w:rsid w:val="002A1E8A"/>
    <w:rsid w:val="002A20A0"/>
    <w:rsid w:val="002A4483"/>
    <w:rsid w:val="002A5F4F"/>
    <w:rsid w:val="002A6B72"/>
    <w:rsid w:val="002B0B19"/>
    <w:rsid w:val="002B1349"/>
    <w:rsid w:val="002B5977"/>
    <w:rsid w:val="002B6671"/>
    <w:rsid w:val="002B6921"/>
    <w:rsid w:val="002C073D"/>
    <w:rsid w:val="002C2C34"/>
    <w:rsid w:val="002C759C"/>
    <w:rsid w:val="002D00D4"/>
    <w:rsid w:val="002D0139"/>
    <w:rsid w:val="002D0DD1"/>
    <w:rsid w:val="002D1465"/>
    <w:rsid w:val="002D363A"/>
    <w:rsid w:val="002D673F"/>
    <w:rsid w:val="002D753E"/>
    <w:rsid w:val="002E0BCD"/>
    <w:rsid w:val="002E23F6"/>
    <w:rsid w:val="002E2D7A"/>
    <w:rsid w:val="002E3E8F"/>
    <w:rsid w:val="002E485D"/>
    <w:rsid w:val="002E6256"/>
    <w:rsid w:val="002E77F8"/>
    <w:rsid w:val="002F3013"/>
    <w:rsid w:val="002F36D2"/>
    <w:rsid w:val="002F5973"/>
    <w:rsid w:val="002F6F82"/>
    <w:rsid w:val="00300F60"/>
    <w:rsid w:val="00303444"/>
    <w:rsid w:val="00304374"/>
    <w:rsid w:val="00306075"/>
    <w:rsid w:val="003111AF"/>
    <w:rsid w:val="0031189B"/>
    <w:rsid w:val="00313518"/>
    <w:rsid w:val="0031519F"/>
    <w:rsid w:val="00316F17"/>
    <w:rsid w:val="00317159"/>
    <w:rsid w:val="00317B51"/>
    <w:rsid w:val="00317B8E"/>
    <w:rsid w:val="00320E54"/>
    <w:rsid w:val="00321E2C"/>
    <w:rsid w:val="00323865"/>
    <w:rsid w:val="00325C55"/>
    <w:rsid w:val="00326185"/>
    <w:rsid w:val="00326FA6"/>
    <w:rsid w:val="00332149"/>
    <w:rsid w:val="003332F0"/>
    <w:rsid w:val="00336756"/>
    <w:rsid w:val="003415CB"/>
    <w:rsid w:val="00346E41"/>
    <w:rsid w:val="003475D1"/>
    <w:rsid w:val="00350459"/>
    <w:rsid w:val="00351291"/>
    <w:rsid w:val="0035337D"/>
    <w:rsid w:val="00353799"/>
    <w:rsid w:val="00353CDA"/>
    <w:rsid w:val="00353FA7"/>
    <w:rsid w:val="003542BE"/>
    <w:rsid w:val="003561FB"/>
    <w:rsid w:val="00363A1A"/>
    <w:rsid w:val="003648FD"/>
    <w:rsid w:val="0036571B"/>
    <w:rsid w:val="00367084"/>
    <w:rsid w:val="00373057"/>
    <w:rsid w:val="003743E3"/>
    <w:rsid w:val="00375599"/>
    <w:rsid w:val="00376BE9"/>
    <w:rsid w:val="003778F2"/>
    <w:rsid w:val="0038153D"/>
    <w:rsid w:val="00381F1A"/>
    <w:rsid w:val="003821AB"/>
    <w:rsid w:val="00385552"/>
    <w:rsid w:val="00390E3D"/>
    <w:rsid w:val="00391182"/>
    <w:rsid w:val="003911FE"/>
    <w:rsid w:val="0039330E"/>
    <w:rsid w:val="003938A0"/>
    <w:rsid w:val="003939D9"/>
    <w:rsid w:val="0039421A"/>
    <w:rsid w:val="00397710"/>
    <w:rsid w:val="003A1FC6"/>
    <w:rsid w:val="003A4276"/>
    <w:rsid w:val="003A5A18"/>
    <w:rsid w:val="003A7CB2"/>
    <w:rsid w:val="003B01C8"/>
    <w:rsid w:val="003B02ED"/>
    <w:rsid w:val="003B0D16"/>
    <w:rsid w:val="003B2BCC"/>
    <w:rsid w:val="003B4E75"/>
    <w:rsid w:val="003B55AB"/>
    <w:rsid w:val="003B5816"/>
    <w:rsid w:val="003B7A9F"/>
    <w:rsid w:val="003C17BC"/>
    <w:rsid w:val="003C475C"/>
    <w:rsid w:val="003C5270"/>
    <w:rsid w:val="003C58AF"/>
    <w:rsid w:val="003C6F03"/>
    <w:rsid w:val="003D1958"/>
    <w:rsid w:val="003D223E"/>
    <w:rsid w:val="003D585D"/>
    <w:rsid w:val="003D5939"/>
    <w:rsid w:val="003D629C"/>
    <w:rsid w:val="003D64AD"/>
    <w:rsid w:val="003E095B"/>
    <w:rsid w:val="003E2CA1"/>
    <w:rsid w:val="003E2D34"/>
    <w:rsid w:val="003E3174"/>
    <w:rsid w:val="003E4EF5"/>
    <w:rsid w:val="003E6FDA"/>
    <w:rsid w:val="003E7D20"/>
    <w:rsid w:val="003F04AA"/>
    <w:rsid w:val="003F0EDF"/>
    <w:rsid w:val="003F11BD"/>
    <w:rsid w:val="003F164C"/>
    <w:rsid w:val="003F1ABA"/>
    <w:rsid w:val="003F2339"/>
    <w:rsid w:val="003F6725"/>
    <w:rsid w:val="00401C29"/>
    <w:rsid w:val="004026B8"/>
    <w:rsid w:val="004050E9"/>
    <w:rsid w:val="00405241"/>
    <w:rsid w:val="00410DEE"/>
    <w:rsid w:val="00411496"/>
    <w:rsid w:val="0041296A"/>
    <w:rsid w:val="0041348C"/>
    <w:rsid w:val="004170ED"/>
    <w:rsid w:val="004177F6"/>
    <w:rsid w:val="004201C5"/>
    <w:rsid w:val="004230B7"/>
    <w:rsid w:val="00427784"/>
    <w:rsid w:val="00434DF0"/>
    <w:rsid w:val="00434F15"/>
    <w:rsid w:val="00435438"/>
    <w:rsid w:val="00435FE7"/>
    <w:rsid w:val="00436AF7"/>
    <w:rsid w:val="004415EF"/>
    <w:rsid w:val="00444A66"/>
    <w:rsid w:val="004450D7"/>
    <w:rsid w:val="00445494"/>
    <w:rsid w:val="00445A1B"/>
    <w:rsid w:val="00446842"/>
    <w:rsid w:val="004469FB"/>
    <w:rsid w:val="00447E5D"/>
    <w:rsid w:val="00450BB7"/>
    <w:rsid w:val="00451462"/>
    <w:rsid w:val="00453049"/>
    <w:rsid w:val="004546CF"/>
    <w:rsid w:val="00455144"/>
    <w:rsid w:val="00455CAB"/>
    <w:rsid w:val="00460F94"/>
    <w:rsid w:val="00463FE9"/>
    <w:rsid w:val="0046589F"/>
    <w:rsid w:val="00466029"/>
    <w:rsid w:val="004664F7"/>
    <w:rsid w:val="004679F4"/>
    <w:rsid w:val="004719CA"/>
    <w:rsid w:val="00474DC5"/>
    <w:rsid w:val="00475181"/>
    <w:rsid w:val="00475786"/>
    <w:rsid w:val="00476FF7"/>
    <w:rsid w:val="004819F6"/>
    <w:rsid w:val="00483B35"/>
    <w:rsid w:val="00483CB5"/>
    <w:rsid w:val="0048506B"/>
    <w:rsid w:val="00485374"/>
    <w:rsid w:val="00485980"/>
    <w:rsid w:val="00490F32"/>
    <w:rsid w:val="00491555"/>
    <w:rsid w:val="00491D17"/>
    <w:rsid w:val="00493ACE"/>
    <w:rsid w:val="00493D5C"/>
    <w:rsid w:val="004A09CD"/>
    <w:rsid w:val="004A367E"/>
    <w:rsid w:val="004A39D9"/>
    <w:rsid w:val="004A45FD"/>
    <w:rsid w:val="004A462F"/>
    <w:rsid w:val="004A499B"/>
    <w:rsid w:val="004A4BB9"/>
    <w:rsid w:val="004A54A9"/>
    <w:rsid w:val="004A590F"/>
    <w:rsid w:val="004B0C31"/>
    <w:rsid w:val="004B1C4D"/>
    <w:rsid w:val="004B64F1"/>
    <w:rsid w:val="004B719C"/>
    <w:rsid w:val="004C0B48"/>
    <w:rsid w:val="004C114A"/>
    <w:rsid w:val="004C137A"/>
    <w:rsid w:val="004C23D6"/>
    <w:rsid w:val="004C2B93"/>
    <w:rsid w:val="004C69D4"/>
    <w:rsid w:val="004C7F0F"/>
    <w:rsid w:val="004D0346"/>
    <w:rsid w:val="004D0C1F"/>
    <w:rsid w:val="004D0FF5"/>
    <w:rsid w:val="004D35F4"/>
    <w:rsid w:val="004D3D5C"/>
    <w:rsid w:val="004D42FF"/>
    <w:rsid w:val="004D59B4"/>
    <w:rsid w:val="004D5A22"/>
    <w:rsid w:val="004D6B27"/>
    <w:rsid w:val="004E06AD"/>
    <w:rsid w:val="004E342A"/>
    <w:rsid w:val="004E346D"/>
    <w:rsid w:val="004E38CA"/>
    <w:rsid w:val="004E39F0"/>
    <w:rsid w:val="004E5016"/>
    <w:rsid w:val="004E6976"/>
    <w:rsid w:val="004E76DB"/>
    <w:rsid w:val="004E78C7"/>
    <w:rsid w:val="004F0B9E"/>
    <w:rsid w:val="004F14C6"/>
    <w:rsid w:val="004F26FD"/>
    <w:rsid w:val="004F5C04"/>
    <w:rsid w:val="004F6BE0"/>
    <w:rsid w:val="00502070"/>
    <w:rsid w:val="0050280A"/>
    <w:rsid w:val="00502FDB"/>
    <w:rsid w:val="00503596"/>
    <w:rsid w:val="00503836"/>
    <w:rsid w:val="005049AD"/>
    <w:rsid w:val="00505036"/>
    <w:rsid w:val="005051B4"/>
    <w:rsid w:val="00506949"/>
    <w:rsid w:val="005070EB"/>
    <w:rsid w:val="00511D55"/>
    <w:rsid w:val="00511D57"/>
    <w:rsid w:val="00512D62"/>
    <w:rsid w:val="00512F0C"/>
    <w:rsid w:val="0051788A"/>
    <w:rsid w:val="00517A4E"/>
    <w:rsid w:val="00517FED"/>
    <w:rsid w:val="00520380"/>
    <w:rsid w:val="0052047E"/>
    <w:rsid w:val="00520C39"/>
    <w:rsid w:val="005219AD"/>
    <w:rsid w:val="00522036"/>
    <w:rsid w:val="00525F9D"/>
    <w:rsid w:val="00526100"/>
    <w:rsid w:val="0052658D"/>
    <w:rsid w:val="00526DEE"/>
    <w:rsid w:val="005271FD"/>
    <w:rsid w:val="0052796B"/>
    <w:rsid w:val="0053727E"/>
    <w:rsid w:val="00540F17"/>
    <w:rsid w:val="00541EBB"/>
    <w:rsid w:val="00544424"/>
    <w:rsid w:val="005446EF"/>
    <w:rsid w:val="005459A1"/>
    <w:rsid w:val="00546B07"/>
    <w:rsid w:val="005471CF"/>
    <w:rsid w:val="00547528"/>
    <w:rsid w:val="00552C85"/>
    <w:rsid w:val="00555D90"/>
    <w:rsid w:val="00556116"/>
    <w:rsid w:val="00557DC5"/>
    <w:rsid w:val="0056038A"/>
    <w:rsid w:val="005610C9"/>
    <w:rsid w:val="00561AA3"/>
    <w:rsid w:val="00564195"/>
    <w:rsid w:val="00564237"/>
    <w:rsid w:val="005647EA"/>
    <w:rsid w:val="0056597C"/>
    <w:rsid w:val="005659B3"/>
    <w:rsid w:val="00566511"/>
    <w:rsid w:val="00567789"/>
    <w:rsid w:val="00573C59"/>
    <w:rsid w:val="00573FFD"/>
    <w:rsid w:val="00575147"/>
    <w:rsid w:val="005758E4"/>
    <w:rsid w:val="005819B7"/>
    <w:rsid w:val="0058211D"/>
    <w:rsid w:val="005837A4"/>
    <w:rsid w:val="00583E82"/>
    <w:rsid w:val="0058410F"/>
    <w:rsid w:val="005844BA"/>
    <w:rsid w:val="00584919"/>
    <w:rsid w:val="0058500C"/>
    <w:rsid w:val="00587D4F"/>
    <w:rsid w:val="00591146"/>
    <w:rsid w:val="00594277"/>
    <w:rsid w:val="005949DE"/>
    <w:rsid w:val="005A0D3E"/>
    <w:rsid w:val="005A1542"/>
    <w:rsid w:val="005A61F3"/>
    <w:rsid w:val="005A693C"/>
    <w:rsid w:val="005A695A"/>
    <w:rsid w:val="005A6C23"/>
    <w:rsid w:val="005A757A"/>
    <w:rsid w:val="005A7AB8"/>
    <w:rsid w:val="005B03AD"/>
    <w:rsid w:val="005B343B"/>
    <w:rsid w:val="005B7A39"/>
    <w:rsid w:val="005C0E4D"/>
    <w:rsid w:val="005C15F4"/>
    <w:rsid w:val="005C2444"/>
    <w:rsid w:val="005C4B59"/>
    <w:rsid w:val="005C5FFB"/>
    <w:rsid w:val="005C7C07"/>
    <w:rsid w:val="005D0BF6"/>
    <w:rsid w:val="005D0DA5"/>
    <w:rsid w:val="005D32DC"/>
    <w:rsid w:val="005D40DE"/>
    <w:rsid w:val="005D45B0"/>
    <w:rsid w:val="005D79A2"/>
    <w:rsid w:val="005E0009"/>
    <w:rsid w:val="005E08B2"/>
    <w:rsid w:val="005E3785"/>
    <w:rsid w:val="005E7A2B"/>
    <w:rsid w:val="005F56DA"/>
    <w:rsid w:val="005F57D2"/>
    <w:rsid w:val="00602894"/>
    <w:rsid w:val="006029FB"/>
    <w:rsid w:val="00602D43"/>
    <w:rsid w:val="0060509E"/>
    <w:rsid w:val="00605558"/>
    <w:rsid w:val="00606861"/>
    <w:rsid w:val="00612FF6"/>
    <w:rsid w:val="00614C55"/>
    <w:rsid w:val="00615407"/>
    <w:rsid w:val="00617945"/>
    <w:rsid w:val="00617E16"/>
    <w:rsid w:val="0062121D"/>
    <w:rsid w:val="006215F1"/>
    <w:rsid w:val="00621704"/>
    <w:rsid w:val="00622799"/>
    <w:rsid w:val="006244D3"/>
    <w:rsid w:val="0062486C"/>
    <w:rsid w:val="0062710D"/>
    <w:rsid w:val="006308E9"/>
    <w:rsid w:val="00631B98"/>
    <w:rsid w:val="00631C13"/>
    <w:rsid w:val="006344BE"/>
    <w:rsid w:val="00634DE7"/>
    <w:rsid w:val="006363EF"/>
    <w:rsid w:val="006425E5"/>
    <w:rsid w:val="006436DF"/>
    <w:rsid w:val="00644936"/>
    <w:rsid w:val="00646996"/>
    <w:rsid w:val="00646A44"/>
    <w:rsid w:val="00647EC0"/>
    <w:rsid w:val="00651456"/>
    <w:rsid w:val="006529A0"/>
    <w:rsid w:val="006536D1"/>
    <w:rsid w:val="0065435A"/>
    <w:rsid w:val="00657A74"/>
    <w:rsid w:val="00660696"/>
    <w:rsid w:val="006609CB"/>
    <w:rsid w:val="00660ACA"/>
    <w:rsid w:val="00661764"/>
    <w:rsid w:val="00661DF1"/>
    <w:rsid w:val="0066215F"/>
    <w:rsid w:val="006648E2"/>
    <w:rsid w:val="006653DF"/>
    <w:rsid w:val="006654E7"/>
    <w:rsid w:val="00666A2B"/>
    <w:rsid w:val="00672F52"/>
    <w:rsid w:val="00673F80"/>
    <w:rsid w:val="00675307"/>
    <w:rsid w:val="00675CF6"/>
    <w:rsid w:val="00676C2B"/>
    <w:rsid w:val="006773FA"/>
    <w:rsid w:val="00677868"/>
    <w:rsid w:val="00677B18"/>
    <w:rsid w:val="0068211F"/>
    <w:rsid w:val="00682F58"/>
    <w:rsid w:val="00683DA9"/>
    <w:rsid w:val="00683F8C"/>
    <w:rsid w:val="0068426F"/>
    <w:rsid w:val="00684591"/>
    <w:rsid w:val="00685103"/>
    <w:rsid w:val="0068534C"/>
    <w:rsid w:val="00685505"/>
    <w:rsid w:val="00690841"/>
    <w:rsid w:val="00691054"/>
    <w:rsid w:val="00692FC8"/>
    <w:rsid w:val="00696825"/>
    <w:rsid w:val="00696B44"/>
    <w:rsid w:val="006A2422"/>
    <w:rsid w:val="006A370F"/>
    <w:rsid w:val="006A5CA8"/>
    <w:rsid w:val="006A5F66"/>
    <w:rsid w:val="006A6E5B"/>
    <w:rsid w:val="006A6EDB"/>
    <w:rsid w:val="006A7A47"/>
    <w:rsid w:val="006B0573"/>
    <w:rsid w:val="006B586E"/>
    <w:rsid w:val="006B6027"/>
    <w:rsid w:val="006B7700"/>
    <w:rsid w:val="006C05A4"/>
    <w:rsid w:val="006C0A3D"/>
    <w:rsid w:val="006C64DC"/>
    <w:rsid w:val="006D0593"/>
    <w:rsid w:val="006D194B"/>
    <w:rsid w:val="006D25BE"/>
    <w:rsid w:val="006D4969"/>
    <w:rsid w:val="006D7658"/>
    <w:rsid w:val="006D7DD3"/>
    <w:rsid w:val="006E162F"/>
    <w:rsid w:val="006E2A02"/>
    <w:rsid w:val="006E2B15"/>
    <w:rsid w:val="006E5835"/>
    <w:rsid w:val="006E7C58"/>
    <w:rsid w:val="006F0C2B"/>
    <w:rsid w:val="006F0D89"/>
    <w:rsid w:val="006F3F23"/>
    <w:rsid w:val="006F665B"/>
    <w:rsid w:val="006F6CF8"/>
    <w:rsid w:val="006F6FDD"/>
    <w:rsid w:val="006F7AD7"/>
    <w:rsid w:val="0070020C"/>
    <w:rsid w:val="00700CCE"/>
    <w:rsid w:val="0070124C"/>
    <w:rsid w:val="00701BD0"/>
    <w:rsid w:val="00702430"/>
    <w:rsid w:val="0070393F"/>
    <w:rsid w:val="007055F6"/>
    <w:rsid w:val="00706679"/>
    <w:rsid w:val="007066D5"/>
    <w:rsid w:val="00707ECD"/>
    <w:rsid w:val="00710500"/>
    <w:rsid w:val="007119E3"/>
    <w:rsid w:val="00720486"/>
    <w:rsid w:val="00722B28"/>
    <w:rsid w:val="007236CB"/>
    <w:rsid w:val="0072545D"/>
    <w:rsid w:val="00725FB2"/>
    <w:rsid w:val="007279EB"/>
    <w:rsid w:val="007307C3"/>
    <w:rsid w:val="0073153B"/>
    <w:rsid w:val="007317B6"/>
    <w:rsid w:val="00736091"/>
    <w:rsid w:val="00741182"/>
    <w:rsid w:val="00742DB7"/>
    <w:rsid w:val="00743926"/>
    <w:rsid w:val="007449B0"/>
    <w:rsid w:val="00745446"/>
    <w:rsid w:val="00747DD4"/>
    <w:rsid w:val="00750348"/>
    <w:rsid w:val="007508BF"/>
    <w:rsid w:val="007520A6"/>
    <w:rsid w:val="00753A62"/>
    <w:rsid w:val="00754535"/>
    <w:rsid w:val="00755AD5"/>
    <w:rsid w:val="00757CFB"/>
    <w:rsid w:val="00763EB8"/>
    <w:rsid w:val="00763F3B"/>
    <w:rsid w:val="007640A8"/>
    <w:rsid w:val="0076479C"/>
    <w:rsid w:val="00765768"/>
    <w:rsid w:val="00765D24"/>
    <w:rsid w:val="007664CD"/>
    <w:rsid w:val="00770867"/>
    <w:rsid w:val="007729D3"/>
    <w:rsid w:val="00774E36"/>
    <w:rsid w:val="00776D0A"/>
    <w:rsid w:val="007773F5"/>
    <w:rsid w:val="0078063E"/>
    <w:rsid w:val="00782587"/>
    <w:rsid w:val="00784718"/>
    <w:rsid w:val="00785E11"/>
    <w:rsid w:val="007864D1"/>
    <w:rsid w:val="00787E64"/>
    <w:rsid w:val="00787EED"/>
    <w:rsid w:val="007907C3"/>
    <w:rsid w:val="00791743"/>
    <w:rsid w:val="00794B01"/>
    <w:rsid w:val="007957C0"/>
    <w:rsid w:val="007A004C"/>
    <w:rsid w:val="007A2EBC"/>
    <w:rsid w:val="007A5BCE"/>
    <w:rsid w:val="007A6E39"/>
    <w:rsid w:val="007B196B"/>
    <w:rsid w:val="007B25AD"/>
    <w:rsid w:val="007B2A98"/>
    <w:rsid w:val="007B5063"/>
    <w:rsid w:val="007B68C5"/>
    <w:rsid w:val="007B72AC"/>
    <w:rsid w:val="007C13B4"/>
    <w:rsid w:val="007C2F1E"/>
    <w:rsid w:val="007C3080"/>
    <w:rsid w:val="007C734E"/>
    <w:rsid w:val="007D01CE"/>
    <w:rsid w:val="007D02A2"/>
    <w:rsid w:val="007D16A1"/>
    <w:rsid w:val="007D3116"/>
    <w:rsid w:val="007D3B4C"/>
    <w:rsid w:val="007D48E6"/>
    <w:rsid w:val="007D66D2"/>
    <w:rsid w:val="007E0488"/>
    <w:rsid w:val="007E15ED"/>
    <w:rsid w:val="007E1C3F"/>
    <w:rsid w:val="007E250E"/>
    <w:rsid w:val="007E5FA4"/>
    <w:rsid w:val="007F3E2C"/>
    <w:rsid w:val="007F4053"/>
    <w:rsid w:val="007F6AB8"/>
    <w:rsid w:val="007F6C2F"/>
    <w:rsid w:val="007F6D17"/>
    <w:rsid w:val="007F722F"/>
    <w:rsid w:val="00801995"/>
    <w:rsid w:val="00803A3B"/>
    <w:rsid w:val="00803A47"/>
    <w:rsid w:val="00804624"/>
    <w:rsid w:val="00807719"/>
    <w:rsid w:val="00812B63"/>
    <w:rsid w:val="0081534D"/>
    <w:rsid w:val="008220B2"/>
    <w:rsid w:val="00822ADE"/>
    <w:rsid w:val="00822D8F"/>
    <w:rsid w:val="00823673"/>
    <w:rsid w:val="00823818"/>
    <w:rsid w:val="008250E7"/>
    <w:rsid w:val="00825914"/>
    <w:rsid w:val="00826322"/>
    <w:rsid w:val="00826D86"/>
    <w:rsid w:val="00826E47"/>
    <w:rsid w:val="00832135"/>
    <w:rsid w:val="008336D5"/>
    <w:rsid w:val="0083403F"/>
    <w:rsid w:val="008346DC"/>
    <w:rsid w:val="00835EAA"/>
    <w:rsid w:val="008402D7"/>
    <w:rsid w:val="00840BE1"/>
    <w:rsid w:val="00844CEC"/>
    <w:rsid w:val="0084646D"/>
    <w:rsid w:val="008469E8"/>
    <w:rsid w:val="00847E01"/>
    <w:rsid w:val="0085038E"/>
    <w:rsid w:val="008512E9"/>
    <w:rsid w:val="0085142D"/>
    <w:rsid w:val="00851B24"/>
    <w:rsid w:val="008546CE"/>
    <w:rsid w:val="00854E94"/>
    <w:rsid w:val="0086171A"/>
    <w:rsid w:val="008622BD"/>
    <w:rsid w:val="008626A2"/>
    <w:rsid w:val="008631E9"/>
    <w:rsid w:val="00863813"/>
    <w:rsid w:val="00867E86"/>
    <w:rsid w:val="00871B9A"/>
    <w:rsid w:val="008739B4"/>
    <w:rsid w:val="00873B2A"/>
    <w:rsid w:val="008774B0"/>
    <w:rsid w:val="00880917"/>
    <w:rsid w:val="00881165"/>
    <w:rsid w:val="008811F7"/>
    <w:rsid w:val="00881D65"/>
    <w:rsid w:val="00882BCF"/>
    <w:rsid w:val="00882FE0"/>
    <w:rsid w:val="00885AC8"/>
    <w:rsid w:val="008872BE"/>
    <w:rsid w:val="0089097F"/>
    <w:rsid w:val="00891C72"/>
    <w:rsid w:val="00891DB1"/>
    <w:rsid w:val="008921E7"/>
    <w:rsid w:val="0089345B"/>
    <w:rsid w:val="008A0C67"/>
    <w:rsid w:val="008A0C74"/>
    <w:rsid w:val="008A13B3"/>
    <w:rsid w:val="008A14B6"/>
    <w:rsid w:val="008A261C"/>
    <w:rsid w:val="008A3315"/>
    <w:rsid w:val="008A4FC8"/>
    <w:rsid w:val="008A5AF8"/>
    <w:rsid w:val="008B0268"/>
    <w:rsid w:val="008B0BFC"/>
    <w:rsid w:val="008B3903"/>
    <w:rsid w:val="008B4185"/>
    <w:rsid w:val="008B47F9"/>
    <w:rsid w:val="008B79A8"/>
    <w:rsid w:val="008C1C01"/>
    <w:rsid w:val="008C4EE6"/>
    <w:rsid w:val="008C58CB"/>
    <w:rsid w:val="008C7641"/>
    <w:rsid w:val="008C7694"/>
    <w:rsid w:val="008D06ED"/>
    <w:rsid w:val="008D2710"/>
    <w:rsid w:val="008D3D61"/>
    <w:rsid w:val="008D415B"/>
    <w:rsid w:val="008D4CBC"/>
    <w:rsid w:val="008D4D90"/>
    <w:rsid w:val="008D4ED1"/>
    <w:rsid w:val="008D5803"/>
    <w:rsid w:val="008D705B"/>
    <w:rsid w:val="008E38D5"/>
    <w:rsid w:val="008E3CE4"/>
    <w:rsid w:val="008E3FE1"/>
    <w:rsid w:val="008E4043"/>
    <w:rsid w:val="008E411C"/>
    <w:rsid w:val="008E65FA"/>
    <w:rsid w:val="008E6FE2"/>
    <w:rsid w:val="008E7270"/>
    <w:rsid w:val="008F0CB3"/>
    <w:rsid w:val="008F198C"/>
    <w:rsid w:val="008F2A9B"/>
    <w:rsid w:val="008F39DE"/>
    <w:rsid w:val="008F505D"/>
    <w:rsid w:val="008F5986"/>
    <w:rsid w:val="008F5DC7"/>
    <w:rsid w:val="008F682D"/>
    <w:rsid w:val="008F7AAB"/>
    <w:rsid w:val="009002C9"/>
    <w:rsid w:val="00900FFD"/>
    <w:rsid w:val="0090526C"/>
    <w:rsid w:val="00913D7C"/>
    <w:rsid w:val="00914965"/>
    <w:rsid w:val="00916A29"/>
    <w:rsid w:val="00921020"/>
    <w:rsid w:val="00921039"/>
    <w:rsid w:val="00921805"/>
    <w:rsid w:val="009232F5"/>
    <w:rsid w:val="00924D27"/>
    <w:rsid w:val="009255A1"/>
    <w:rsid w:val="00925884"/>
    <w:rsid w:val="009259D6"/>
    <w:rsid w:val="00927ED9"/>
    <w:rsid w:val="00927F4D"/>
    <w:rsid w:val="00930000"/>
    <w:rsid w:val="00931B87"/>
    <w:rsid w:val="009324A2"/>
    <w:rsid w:val="00934A8E"/>
    <w:rsid w:val="00940BE9"/>
    <w:rsid w:val="00941FE1"/>
    <w:rsid w:val="00942212"/>
    <w:rsid w:val="00943A00"/>
    <w:rsid w:val="00945E3B"/>
    <w:rsid w:val="0094729D"/>
    <w:rsid w:val="00951B39"/>
    <w:rsid w:val="00952691"/>
    <w:rsid w:val="00953D98"/>
    <w:rsid w:val="009572C9"/>
    <w:rsid w:val="009602CD"/>
    <w:rsid w:val="00960C75"/>
    <w:rsid w:val="00960EBE"/>
    <w:rsid w:val="00960FB5"/>
    <w:rsid w:val="00962525"/>
    <w:rsid w:val="00963545"/>
    <w:rsid w:val="009636EF"/>
    <w:rsid w:val="009639E8"/>
    <w:rsid w:val="00964F38"/>
    <w:rsid w:val="00965184"/>
    <w:rsid w:val="00967C20"/>
    <w:rsid w:val="00967DAD"/>
    <w:rsid w:val="009700C5"/>
    <w:rsid w:val="009741C5"/>
    <w:rsid w:val="00974388"/>
    <w:rsid w:val="00975658"/>
    <w:rsid w:val="009804FE"/>
    <w:rsid w:val="00980BF4"/>
    <w:rsid w:val="00980E44"/>
    <w:rsid w:val="009846AE"/>
    <w:rsid w:val="00984CB0"/>
    <w:rsid w:val="00986F2E"/>
    <w:rsid w:val="00993551"/>
    <w:rsid w:val="00993E51"/>
    <w:rsid w:val="009948BA"/>
    <w:rsid w:val="00994A44"/>
    <w:rsid w:val="00996068"/>
    <w:rsid w:val="0099777D"/>
    <w:rsid w:val="009A0070"/>
    <w:rsid w:val="009A21BC"/>
    <w:rsid w:val="009A42F1"/>
    <w:rsid w:val="009A77DE"/>
    <w:rsid w:val="009B0FEB"/>
    <w:rsid w:val="009B34FC"/>
    <w:rsid w:val="009B466E"/>
    <w:rsid w:val="009B4B8C"/>
    <w:rsid w:val="009B52AF"/>
    <w:rsid w:val="009B5F20"/>
    <w:rsid w:val="009C03AF"/>
    <w:rsid w:val="009C0A22"/>
    <w:rsid w:val="009C1A8C"/>
    <w:rsid w:val="009C4D9D"/>
    <w:rsid w:val="009D126E"/>
    <w:rsid w:val="009D1351"/>
    <w:rsid w:val="009D3145"/>
    <w:rsid w:val="009D491E"/>
    <w:rsid w:val="009D4FC4"/>
    <w:rsid w:val="009D6DD2"/>
    <w:rsid w:val="009D7398"/>
    <w:rsid w:val="009E09E1"/>
    <w:rsid w:val="009E4859"/>
    <w:rsid w:val="009E6ACC"/>
    <w:rsid w:val="00A01771"/>
    <w:rsid w:val="00A051E7"/>
    <w:rsid w:val="00A066B4"/>
    <w:rsid w:val="00A07B71"/>
    <w:rsid w:val="00A07ECE"/>
    <w:rsid w:val="00A118BF"/>
    <w:rsid w:val="00A1381C"/>
    <w:rsid w:val="00A140EC"/>
    <w:rsid w:val="00A14D36"/>
    <w:rsid w:val="00A20952"/>
    <w:rsid w:val="00A21F9B"/>
    <w:rsid w:val="00A22110"/>
    <w:rsid w:val="00A222DC"/>
    <w:rsid w:val="00A22415"/>
    <w:rsid w:val="00A224D2"/>
    <w:rsid w:val="00A23EAA"/>
    <w:rsid w:val="00A24463"/>
    <w:rsid w:val="00A25002"/>
    <w:rsid w:val="00A27026"/>
    <w:rsid w:val="00A270C5"/>
    <w:rsid w:val="00A30CA4"/>
    <w:rsid w:val="00A322EF"/>
    <w:rsid w:val="00A32B9A"/>
    <w:rsid w:val="00A32D55"/>
    <w:rsid w:val="00A33B13"/>
    <w:rsid w:val="00A34616"/>
    <w:rsid w:val="00A3543D"/>
    <w:rsid w:val="00A35834"/>
    <w:rsid w:val="00A3759B"/>
    <w:rsid w:val="00A407B3"/>
    <w:rsid w:val="00A40D62"/>
    <w:rsid w:val="00A42287"/>
    <w:rsid w:val="00A42476"/>
    <w:rsid w:val="00A42F0E"/>
    <w:rsid w:val="00A454B5"/>
    <w:rsid w:val="00A45FC7"/>
    <w:rsid w:val="00A460B9"/>
    <w:rsid w:val="00A46777"/>
    <w:rsid w:val="00A51551"/>
    <w:rsid w:val="00A5180C"/>
    <w:rsid w:val="00A53382"/>
    <w:rsid w:val="00A534B8"/>
    <w:rsid w:val="00A53BB5"/>
    <w:rsid w:val="00A5625E"/>
    <w:rsid w:val="00A56554"/>
    <w:rsid w:val="00A5682F"/>
    <w:rsid w:val="00A56F1F"/>
    <w:rsid w:val="00A61405"/>
    <w:rsid w:val="00A6362A"/>
    <w:rsid w:val="00A63A26"/>
    <w:rsid w:val="00A66835"/>
    <w:rsid w:val="00A67CB3"/>
    <w:rsid w:val="00A67E3A"/>
    <w:rsid w:val="00A735AB"/>
    <w:rsid w:val="00A7398A"/>
    <w:rsid w:val="00A76057"/>
    <w:rsid w:val="00A77FB7"/>
    <w:rsid w:val="00A80096"/>
    <w:rsid w:val="00A8065F"/>
    <w:rsid w:val="00A81114"/>
    <w:rsid w:val="00A8272C"/>
    <w:rsid w:val="00A83650"/>
    <w:rsid w:val="00A841BE"/>
    <w:rsid w:val="00A84615"/>
    <w:rsid w:val="00A84C6B"/>
    <w:rsid w:val="00A858FE"/>
    <w:rsid w:val="00A91A49"/>
    <w:rsid w:val="00A9272E"/>
    <w:rsid w:val="00A93340"/>
    <w:rsid w:val="00A9433C"/>
    <w:rsid w:val="00A96081"/>
    <w:rsid w:val="00A96846"/>
    <w:rsid w:val="00AA1A8F"/>
    <w:rsid w:val="00AA20FA"/>
    <w:rsid w:val="00AA2A43"/>
    <w:rsid w:val="00AA4FEF"/>
    <w:rsid w:val="00AA58AF"/>
    <w:rsid w:val="00AA6027"/>
    <w:rsid w:val="00AA630B"/>
    <w:rsid w:val="00AA6F01"/>
    <w:rsid w:val="00AB0C1C"/>
    <w:rsid w:val="00AB0C9C"/>
    <w:rsid w:val="00AB165F"/>
    <w:rsid w:val="00AB1F5B"/>
    <w:rsid w:val="00AB1FD3"/>
    <w:rsid w:val="00AB2D17"/>
    <w:rsid w:val="00AB6CE3"/>
    <w:rsid w:val="00AB6FF4"/>
    <w:rsid w:val="00AB7CF3"/>
    <w:rsid w:val="00AB7DBB"/>
    <w:rsid w:val="00AC0E62"/>
    <w:rsid w:val="00AC1FB5"/>
    <w:rsid w:val="00AC3936"/>
    <w:rsid w:val="00AC6A6C"/>
    <w:rsid w:val="00AD2017"/>
    <w:rsid w:val="00AD3456"/>
    <w:rsid w:val="00AD431C"/>
    <w:rsid w:val="00AD5003"/>
    <w:rsid w:val="00AD566A"/>
    <w:rsid w:val="00AD663F"/>
    <w:rsid w:val="00AE01E0"/>
    <w:rsid w:val="00AE049D"/>
    <w:rsid w:val="00AE1264"/>
    <w:rsid w:val="00AE2800"/>
    <w:rsid w:val="00AE5EB0"/>
    <w:rsid w:val="00AE6C80"/>
    <w:rsid w:val="00AF00D7"/>
    <w:rsid w:val="00AF319B"/>
    <w:rsid w:val="00AF5472"/>
    <w:rsid w:val="00AF5698"/>
    <w:rsid w:val="00AF758D"/>
    <w:rsid w:val="00B0220B"/>
    <w:rsid w:val="00B02420"/>
    <w:rsid w:val="00B03EFC"/>
    <w:rsid w:val="00B048E0"/>
    <w:rsid w:val="00B074AD"/>
    <w:rsid w:val="00B07F4F"/>
    <w:rsid w:val="00B10646"/>
    <w:rsid w:val="00B10D78"/>
    <w:rsid w:val="00B10FD3"/>
    <w:rsid w:val="00B11644"/>
    <w:rsid w:val="00B11F42"/>
    <w:rsid w:val="00B13BE6"/>
    <w:rsid w:val="00B17F5F"/>
    <w:rsid w:val="00B2211F"/>
    <w:rsid w:val="00B22E9C"/>
    <w:rsid w:val="00B233A6"/>
    <w:rsid w:val="00B24AE0"/>
    <w:rsid w:val="00B2547F"/>
    <w:rsid w:val="00B2671E"/>
    <w:rsid w:val="00B32925"/>
    <w:rsid w:val="00B330CF"/>
    <w:rsid w:val="00B336B9"/>
    <w:rsid w:val="00B33EA0"/>
    <w:rsid w:val="00B33FCA"/>
    <w:rsid w:val="00B3412B"/>
    <w:rsid w:val="00B369C9"/>
    <w:rsid w:val="00B40D35"/>
    <w:rsid w:val="00B41592"/>
    <w:rsid w:val="00B43182"/>
    <w:rsid w:val="00B43ECA"/>
    <w:rsid w:val="00B43F0C"/>
    <w:rsid w:val="00B4574A"/>
    <w:rsid w:val="00B45A67"/>
    <w:rsid w:val="00B46563"/>
    <w:rsid w:val="00B53033"/>
    <w:rsid w:val="00B530E6"/>
    <w:rsid w:val="00B5319E"/>
    <w:rsid w:val="00B53880"/>
    <w:rsid w:val="00B55071"/>
    <w:rsid w:val="00B567CC"/>
    <w:rsid w:val="00B57205"/>
    <w:rsid w:val="00B62D40"/>
    <w:rsid w:val="00B649B1"/>
    <w:rsid w:val="00B64C61"/>
    <w:rsid w:val="00B66C79"/>
    <w:rsid w:val="00B66CBB"/>
    <w:rsid w:val="00B675F5"/>
    <w:rsid w:val="00B713B2"/>
    <w:rsid w:val="00B71D54"/>
    <w:rsid w:val="00B72B2A"/>
    <w:rsid w:val="00B7304E"/>
    <w:rsid w:val="00B751CA"/>
    <w:rsid w:val="00B75766"/>
    <w:rsid w:val="00B75A7F"/>
    <w:rsid w:val="00B80286"/>
    <w:rsid w:val="00B805D1"/>
    <w:rsid w:val="00B810A4"/>
    <w:rsid w:val="00B81392"/>
    <w:rsid w:val="00B825CF"/>
    <w:rsid w:val="00B84E23"/>
    <w:rsid w:val="00B84ECC"/>
    <w:rsid w:val="00B85312"/>
    <w:rsid w:val="00B85569"/>
    <w:rsid w:val="00B859F0"/>
    <w:rsid w:val="00B87006"/>
    <w:rsid w:val="00B9149E"/>
    <w:rsid w:val="00B91C66"/>
    <w:rsid w:val="00B91D08"/>
    <w:rsid w:val="00B926F4"/>
    <w:rsid w:val="00B92AEA"/>
    <w:rsid w:val="00B9495C"/>
    <w:rsid w:val="00B96B86"/>
    <w:rsid w:val="00B9730B"/>
    <w:rsid w:val="00BA0057"/>
    <w:rsid w:val="00BA0357"/>
    <w:rsid w:val="00BA19E3"/>
    <w:rsid w:val="00BA1C34"/>
    <w:rsid w:val="00BA1F56"/>
    <w:rsid w:val="00BA2395"/>
    <w:rsid w:val="00BA3139"/>
    <w:rsid w:val="00BA380F"/>
    <w:rsid w:val="00BA46BA"/>
    <w:rsid w:val="00BA4822"/>
    <w:rsid w:val="00BA4854"/>
    <w:rsid w:val="00BA4BCE"/>
    <w:rsid w:val="00BA5DC8"/>
    <w:rsid w:val="00BA6D4A"/>
    <w:rsid w:val="00BA6F3F"/>
    <w:rsid w:val="00BA7BF8"/>
    <w:rsid w:val="00BB20E3"/>
    <w:rsid w:val="00BB4F3D"/>
    <w:rsid w:val="00BB5F6F"/>
    <w:rsid w:val="00BC01A6"/>
    <w:rsid w:val="00BC029B"/>
    <w:rsid w:val="00BC1036"/>
    <w:rsid w:val="00BC30FA"/>
    <w:rsid w:val="00BC401F"/>
    <w:rsid w:val="00BC4DD9"/>
    <w:rsid w:val="00BC5C16"/>
    <w:rsid w:val="00BC6993"/>
    <w:rsid w:val="00BC7466"/>
    <w:rsid w:val="00BD1EF0"/>
    <w:rsid w:val="00BD2339"/>
    <w:rsid w:val="00BD283E"/>
    <w:rsid w:val="00BD37C7"/>
    <w:rsid w:val="00BD4D78"/>
    <w:rsid w:val="00BD74E1"/>
    <w:rsid w:val="00BD775D"/>
    <w:rsid w:val="00BE1571"/>
    <w:rsid w:val="00BE21C1"/>
    <w:rsid w:val="00BE38E7"/>
    <w:rsid w:val="00BE54B9"/>
    <w:rsid w:val="00BF128E"/>
    <w:rsid w:val="00BF2B13"/>
    <w:rsid w:val="00BF3452"/>
    <w:rsid w:val="00BF3D6E"/>
    <w:rsid w:val="00BF413B"/>
    <w:rsid w:val="00BF451A"/>
    <w:rsid w:val="00BF7869"/>
    <w:rsid w:val="00C00D94"/>
    <w:rsid w:val="00C01A38"/>
    <w:rsid w:val="00C04AC5"/>
    <w:rsid w:val="00C076B9"/>
    <w:rsid w:val="00C10CCF"/>
    <w:rsid w:val="00C142B7"/>
    <w:rsid w:val="00C16558"/>
    <w:rsid w:val="00C2210F"/>
    <w:rsid w:val="00C2434C"/>
    <w:rsid w:val="00C253EB"/>
    <w:rsid w:val="00C27134"/>
    <w:rsid w:val="00C2715B"/>
    <w:rsid w:val="00C303BB"/>
    <w:rsid w:val="00C3196A"/>
    <w:rsid w:val="00C31B90"/>
    <w:rsid w:val="00C31D03"/>
    <w:rsid w:val="00C31E75"/>
    <w:rsid w:val="00C35327"/>
    <w:rsid w:val="00C36407"/>
    <w:rsid w:val="00C36C5F"/>
    <w:rsid w:val="00C36D93"/>
    <w:rsid w:val="00C40B70"/>
    <w:rsid w:val="00C41B52"/>
    <w:rsid w:val="00C42C7E"/>
    <w:rsid w:val="00C43BB3"/>
    <w:rsid w:val="00C43D7F"/>
    <w:rsid w:val="00C47135"/>
    <w:rsid w:val="00C52AEA"/>
    <w:rsid w:val="00C545AC"/>
    <w:rsid w:val="00C546A4"/>
    <w:rsid w:val="00C54843"/>
    <w:rsid w:val="00C60AA8"/>
    <w:rsid w:val="00C60D9A"/>
    <w:rsid w:val="00C63EA4"/>
    <w:rsid w:val="00C64CC7"/>
    <w:rsid w:val="00C64EDE"/>
    <w:rsid w:val="00C65E2E"/>
    <w:rsid w:val="00C65F68"/>
    <w:rsid w:val="00C70720"/>
    <w:rsid w:val="00C717C5"/>
    <w:rsid w:val="00C71ABA"/>
    <w:rsid w:val="00C74FB5"/>
    <w:rsid w:val="00C766CD"/>
    <w:rsid w:val="00C866A2"/>
    <w:rsid w:val="00C9139F"/>
    <w:rsid w:val="00C91570"/>
    <w:rsid w:val="00C91FD6"/>
    <w:rsid w:val="00C927BB"/>
    <w:rsid w:val="00C930FB"/>
    <w:rsid w:val="00CA0283"/>
    <w:rsid w:val="00CA05D2"/>
    <w:rsid w:val="00CA0668"/>
    <w:rsid w:val="00CA0BE4"/>
    <w:rsid w:val="00CA10D6"/>
    <w:rsid w:val="00CA112B"/>
    <w:rsid w:val="00CA14F5"/>
    <w:rsid w:val="00CA1B83"/>
    <w:rsid w:val="00CA1BFA"/>
    <w:rsid w:val="00CA3066"/>
    <w:rsid w:val="00CA41A3"/>
    <w:rsid w:val="00CA55F2"/>
    <w:rsid w:val="00CA5AA5"/>
    <w:rsid w:val="00CA5E07"/>
    <w:rsid w:val="00CA7E70"/>
    <w:rsid w:val="00CB03C0"/>
    <w:rsid w:val="00CB04A1"/>
    <w:rsid w:val="00CB1752"/>
    <w:rsid w:val="00CB245D"/>
    <w:rsid w:val="00CB27A9"/>
    <w:rsid w:val="00CB3E31"/>
    <w:rsid w:val="00CB4B15"/>
    <w:rsid w:val="00CB67E9"/>
    <w:rsid w:val="00CB687A"/>
    <w:rsid w:val="00CC1141"/>
    <w:rsid w:val="00CC1A40"/>
    <w:rsid w:val="00CC3718"/>
    <w:rsid w:val="00CC4581"/>
    <w:rsid w:val="00CC6851"/>
    <w:rsid w:val="00CC75B5"/>
    <w:rsid w:val="00CC77DE"/>
    <w:rsid w:val="00CC7CC5"/>
    <w:rsid w:val="00CD0D16"/>
    <w:rsid w:val="00CD1543"/>
    <w:rsid w:val="00CD1CC7"/>
    <w:rsid w:val="00CD3784"/>
    <w:rsid w:val="00CD4568"/>
    <w:rsid w:val="00CD5B00"/>
    <w:rsid w:val="00CD5D9A"/>
    <w:rsid w:val="00CD6EC8"/>
    <w:rsid w:val="00CD7083"/>
    <w:rsid w:val="00CD7B30"/>
    <w:rsid w:val="00CE1F2E"/>
    <w:rsid w:val="00CE4712"/>
    <w:rsid w:val="00CE5B6E"/>
    <w:rsid w:val="00CE6438"/>
    <w:rsid w:val="00CE7494"/>
    <w:rsid w:val="00CE777F"/>
    <w:rsid w:val="00CE7A42"/>
    <w:rsid w:val="00CF0F1B"/>
    <w:rsid w:val="00CF1DE0"/>
    <w:rsid w:val="00CF2496"/>
    <w:rsid w:val="00CF44B3"/>
    <w:rsid w:val="00CF694D"/>
    <w:rsid w:val="00CF6E3A"/>
    <w:rsid w:val="00CF7DEC"/>
    <w:rsid w:val="00D0055F"/>
    <w:rsid w:val="00D03EE8"/>
    <w:rsid w:val="00D0421E"/>
    <w:rsid w:val="00D05173"/>
    <w:rsid w:val="00D06074"/>
    <w:rsid w:val="00D064FC"/>
    <w:rsid w:val="00D065B5"/>
    <w:rsid w:val="00D11F5E"/>
    <w:rsid w:val="00D166A6"/>
    <w:rsid w:val="00D17EB0"/>
    <w:rsid w:val="00D217FA"/>
    <w:rsid w:val="00D24A70"/>
    <w:rsid w:val="00D252F1"/>
    <w:rsid w:val="00D25DB9"/>
    <w:rsid w:val="00D30BF7"/>
    <w:rsid w:val="00D32300"/>
    <w:rsid w:val="00D33D66"/>
    <w:rsid w:val="00D3401C"/>
    <w:rsid w:val="00D35A68"/>
    <w:rsid w:val="00D3614F"/>
    <w:rsid w:val="00D37314"/>
    <w:rsid w:val="00D40349"/>
    <w:rsid w:val="00D40AA8"/>
    <w:rsid w:val="00D40DC0"/>
    <w:rsid w:val="00D427DC"/>
    <w:rsid w:val="00D44920"/>
    <w:rsid w:val="00D454FC"/>
    <w:rsid w:val="00D52247"/>
    <w:rsid w:val="00D52F53"/>
    <w:rsid w:val="00D606F1"/>
    <w:rsid w:val="00D60A4E"/>
    <w:rsid w:val="00D6232E"/>
    <w:rsid w:val="00D62503"/>
    <w:rsid w:val="00D62B62"/>
    <w:rsid w:val="00D63664"/>
    <w:rsid w:val="00D6462E"/>
    <w:rsid w:val="00D64E45"/>
    <w:rsid w:val="00D66DE8"/>
    <w:rsid w:val="00D677C7"/>
    <w:rsid w:val="00D7130D"/>
    <w:rsid w:val="00D71BD2"/>
    <w:rsid w:val="00D71EF4"/>
    <w:rsid w:val="00D7706F"/>
    <w:rsid w:val="00D80676"/>
    <w:rsid w:val="00D80C17"/>
    <w:rsid w:val="00D85718"/>
    <w:rsid w:val="00D90C3A"/>
    <w:rsid w:val="00D93547"/>
    <w:rsid w:val="00D93BFB"/>
    <w:rsid w:val="00D95F0D"/>
    <w:rsid w:val="00DA01D3"/>
    <w:rsid w:val="00DA060D"/>
    <w:rsid w:val="00DA1825"/>
    <w:rsid w:val="00DA29CD"/>
    <w:rsid w:val="00DA39C2"/>
    <w:rsid w:val="00DA4625"/>
    <w:rsid w:val="00DA53EE"/>
    <w:rsid w:val="00DB5389"/>
    <w:rsid w:val="00DB587C"/>
    <w:rsid w:val="00DB65BF"/>
    <w:rsid w:val="00DB6CA2"/>
    <w:rsid w:val="00DC2C20"/>
    <w:rsid w:val="00DC4B83"/>
    <w:rsid w:val="00DD05D4"/>
    <w:rsid w:val="00DD0B83"/>
    <w:rsid w:val="00DD1A16"/>
    <w:rsid w:val="00DD211F"/>
    <w:rsid w:val="00DD3569"/>
    <w:rsid w:val="00DD4CC0"/>
    <w:rsid w:val="00DD6B29"/>
    <w:rsid w:val="00DD6ED8"/>
    <w:rsid w:val="00DE241D"/>
    <w:rsid w:val="00DE26F3"/>
    <w:rsid w:val="00DE3949"/>
    <w:rsid w:val="00DE42E3"/>
    <w:rsid w:val="00DE53B8"/>
    <w:rsid w:val="00DE5E14"/>
    <w:rsid w:val="00DE6CC5"/>
    <w:rsid w:val="00DF0803"/>
    <w:rsid w:val="00DF1C3B"/>
    <w:rsid w:val="00DF25A9"/>
    <w:rsid w:val="00DF38E7"/>
    <w:rsid w:val="00DF60D8"/>
    <w:rsid w:val="00DF6D53"/>
    <w:rsid w:val="00DF7D57"/>
    <w:rsid w:val="00E00D3B"/>
    <w:rsid w:val="00E03DB6"/>
    <w:rsid w:val="00E03EE9"/>
    <w:rsid w:val="00E1038D"/>
    <w:rsid w:val="00E10C6B"/>
    <w:rsid w:val="00E12A23"/>
    <w:rsid w:val="00E13EAA"/>
    <w:rsid w:val="00E14A99"/>
    <w:rsid w:val="00E14EA0"/>
    <w:rsid w:val="00E169CD"/>
    <w:rsid w:val="00E20782"/>
    <w:rsid w:val="00E2177C"/>
    <w:rsid w:val="00E2198B"/>
    <w:rsid w:val="00E22D58"/>
    <w:rsid w:val="00E24F42"/>
    <w:rsid w:val="00E26AD6"/>
    <w:rsid w:val="00E26F5E"/>
    <w:rsid w:val="00E3001E"/>
    <w:rsid w:val="00E30924"/>
    <w:rsid w:val="00E31F63"/>
    <w:rsid w:val="00E321FC"/>
    <w:rsid w:val="00E32D24"/>
    <w:rsid w:val="00E33164"/>
    <w:rsid w:val="00E3343C"/>
    <w:rsid w:val="00E3573B"/>
    <w:rsid w:val="00E37112"/>
    <w:rsid w:val="00E508BD"/>
    <w:rsid w:val="00E51C88"/>
    <w:rsid w:val="00E5423C"/>
    <w:rsid w:val="00E549ED"/>
    <w:rsid w:val="00E5662C"/>
    <w:rsid w:val="00E57714"/>
    <w:rsid w:val="00E57CA1"/>
    <w:rsid w:val="00E57FA0"/>
    <w:rsid w:val="00E63F51"/>
    <w:rsid w:val="00E663C7"/>
    <w:rsid w:val="00E663DD"/>
    <w:rsid w:val="00E71F57"/>
    <w:rsid w:val="00E72F84"/>
    <w:rsid w:val="00E73040"/>
    <w:rsid w:val="00E76EDA"/>
    <w:rsid w:val="00E772F5"/>
    <w:rsid w:val="00E77BBB"/>
    <w:rsid w:val="00E848B6"/>
    <w:rsid w:val="00E84FD6"/>
    <w:rsid w:val="00E85179"/>
    <w:rsid w:val="00E862B7"/>
    <w:rsid w:val="00E87B65"/>
    <w:rsid w:val="00E92DE3"/>
    <w:rsid w:val="00E94FE4"/>
    <w:rsid w:val="00E9687C"/>
    <w:rsid w:val="00E97C63"/>
    <w:rsid w:val="00EA06E6"/>
    <w:rsid w:val="00EA44B0"/>
    <w:rsid w:val="00EA4F8E"/>
    <w:rsid w:val="00EA571C"/>
    <w:rsid w:val="00EA62C7"/>
    <w:rsid w:val="00EB119E"/>
    <w:rsid w:val="00EB2CF6"/>
    <w:rsid w:val="00EB3C48"/>
    <w:rsid w:val="00EB3D95"/>
    <w:rsid w:val="00EB4573"/>
    <w:rsid w:val="00EB475F"/>
    <w:rsid w:val="00EB500B"/>
    <w:rsid w:val="00EB5039"/>
    <w:rsid w:val="00EB5B7B"/>
    <w:rsid w:val="00EB6449"/>
    <w:rsid w:val="00EB68E5"/>
    <w:rsid w:val="00EC3BF8"/>
    <w:rsid w:val="00EC41D2"/>
    <w:rsid w:val="00EC43AF"/>
    <w:rsid w:val="00EC4435"/>
    <w:rsid w:val="00EC59F3"/>
    <w:rsid w:val="00EC5F4E"/>
    <w:rsid w:val="00EC6DC0"/>
    <w:rsid w:val="00ED0200"/>
    <w:rsid w:val="00ED08EB"/>
    <w:rsid w:val="00ED1DC4"/>
    <w:rsid w:val="00ED2AE9"/>
    <w:rsid w:val="00ED4674"/>
    <w:rsid w:val="00ED4F34"/>
    <w:rsid w:val="00ED59C1"/>
    <w:rsid w:val="00ED6026"/>
    <w:rsid w:val="00ED614C"/>
    <w:rsid w:val="00ED73FA"/>
    <w:rsid w:val="00EE0CF8"/>
    <w:rsid w:val="00EE38C7"/>
    <w:rsid w:val="00EE5146"/>
    <w:rsid w:val="00EE671A"/>
    <w:rsid w:val="00EE6DB6"/>
    <w:rsid w:val="00EE7248"/>
    <w:rsid w:val="00EF000F"/>
    <w:rsid w:val="00EF061C"/>
    <w:rsid w:val="00EF0D65"/>
    <w:rsid w:val="00EF704C"/>
    <w:rsid w:val="00F05225"/>
    <w:rsid w:val="00F05329"/>
    <w:rsid w:val="00F06AD1"/>
    <w:rsid w:val="00F1031B"/>
    <w:rsid w:val="00F121A1"/>
    <w:rsid w:val="00F12A71"/>
    <w:rsid w:val="00F24173"/>
    <w:rsid w:val="00F2552D"/>
    <w:rsid w:val="00F25828"/>
    <w:rsid w:val="00F258D8"/>
    <w:rsid w:val="00F30E30"/>
    <w:rsid w:val="00F30FFC"/>
    <w:rsid w:val="00F33AB7"/>
    <w:rsid w:val="00F34174"/>
    <w:rsid w:val="00F3767E"/>
    <w:rsid w:val="00F41AEB"/>
    <w:rsid w:val="00F473D7"/>
    <w:rsid w:val="00F474DE"/>
    <w:rsid w:val="00F531AB"/>
    <w:rsid w:val="00F54BA4"/>
    <w:rsid w:val="00F56958"/>
    <w:rsid w:val="00F574EE"/>
    <w:rsid w:val="00F57D72"/>
    <w:rsid w:val="00F57DF3"/>
    <w:rsid w:val="00F601C3"/>
    <w:rsid w:val="00F61322"/>
    <w:rsid w:val="00F61696"/>
    <w:rsid w:val="00F62065"/>
    <w:rsid w:val="00F645EE"/>
    <w:rsid w:val="00F6740D"/>
    <w:rsid w:val="00F67E4B"/>
    <w:rsid w:val="00F70B78"/>
    <w:rsid w:val="00F70BBD"/>
    <w:rsid w:val="00F71AAD"/>
    <w:rsid w:val="00F72FCC"/>
    <w:rsid w:val="00F765EA"/>
    <w:rsid w:val="00F80384"/>
    <w:rsid w:val="00F80D12"/>
    <w:rsid w:val="00F81969"/>
    <w:rsid w:val="00F83B78"/>
    <w:rsid w:val="00F84203"/>
    <w:rsid w:val="00F90BFE"/>
    <w:rsid w:val="00F924FC"/>
    <w:rsid w:val="00F94966"/>
    <w:rsid w:val="00F94D56"/>
    <w:rsid w:val="00F96B60"/>
    <w:rsid w:val="00F96BDF"/>
    <w:rsid w:val="00F97E84"/>
    <w:rsid w:val="00F97FB5"/>
    <w:rsid w:val="00FA0190"/>
    <w:rsid w:val="00FA1410"/>
    <w:rsid w:val="00FA1883"/>
    <w:rsid w:val="00FA6CB2"/>
    <w:rsid w:val="00FA781B"/>
    <w:rsid w:val="00FB1390"/>
    <w:rsid w:val="00FB4911"/>
    <w:rsid w:val="00FC0B85"/>
    <w:rsid w:val="00FD117B"/>
    <w:rsid w:val="00FD2B03"/>
    <w:rsid w:val="00FD3F4B"/>
    <w:rsid w:val="00FD45B9"/>
    <w:rsid w:val="00FD4E19"/>
    <w:rsid w:val="00FE17CF"/>
    <w:rsid w:val="00FE516A"/>
    <w:rsid w:val="00FE56FE"/>
    <w:rsid w:val="00FE63C2"/>
    <w:rsid w:val="00FE67D0"/>
    <w:rsid w:val="00FE7376"/>
    <w:rsid w:val="00FF171B"/>
    <w:rsid w:val="00FF3529"/>
    <w:rsid w:val="00FF35FD"/>
    <w:rsid w:val="00FF4555"/>
    <w:rsid w:val="00FF4D99"/>
    <w:rsid w:val="00FF5963"/>
    <w:rsid w:val="00FF5A09"/>
    <w:rsid w:val="00FF5C50"/>
    <w:rsid w:val="00FF6E3F"/>
    <w:rsid w:val="00FF7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1054A321"/>
  <w15:docId w15:val="{8A207B97-7127-4123-9FA1-CBCD3ABA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DEE"/>
    <w:rPr>
      <w:sz w:val="24"/>
      <w:szCs w:val="24"/>
      <w:lang w:val="en-US" w:eastAsia="en-US"/>
    </w:rPr>
  </w:style>
  <w:style w:type="paragraph" w:styleId="Heading1">
    <w:name w:val="heading 1"/>
    <w:basedOn w:val="Normal"/>
    <w:next w:val="Normal"/>
    <w:link w:val="Heading1Char"/>
    <w:qFormat/>
    <w:pPr>
      <w:keepNext/>
      <w:ind w:left="720"/>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720"/>
      <w:outlineLvl w:val="2"/>
    </w:pPr>
    <w:rPr>
      <w:b/>
      <w:bCs/>
      <w:u w:val="single"/>
    </w:rPr>
  </w:style>
  <w:style w:type="paragraph" w:styleId="Heading7">
    <w:name w:val="heading 7"/>
    <w:basedOn w:val="Normal"/>
    <w:next w:val="Normal"/>
    <w:qFormat/>
    <w:pPr>
      <w:spacing w:before="240" w:after="60"/>
      <w:outlineLvl w:val="6"/>
    </w:pPr>
    <w:rPr>
      <w:lang w:val="en-AU"/>
    </w:rPr>
  </w:style>
  <w:style w:type="paragraph" w:styleId="Heading9">
    <w:name w:val="heading 9"/>
    <w:basedOn w:val="Normal"/>
    <w:next w:val="Normal"/>
    <w:qFormat/>
    <w:pPr>
      <w:spacing w:before="240" w:after="60"/>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style>
  <w:style w:type="paragraph" w:styleId="Title">
    <w:name w:val="Title"/>
    <w:basedOn w:val="Normal"/>
    <w:qFormat/>
    <w:pPr>
      <w:jc w:val="center"/>
    </w:pPr>
    <w:rPr>
      <w:b/>
      <w:sz w:val="48"/>
      <w:szCs w:val="20"/>
      <w:lang w:val="en-AU"/>
    </w:rPr>
  </w:style>
  <w:style w:type="paragraph" w:styleId="BodyTextIndent2">
    <w:name w:val="Body Text Indent 2"/>
    <w:basedOn w:val="Normal"/>
    <w:pPr>
      <w:ind w:left="720" w:hanging="720"/>
    </w:pPr>
    <w:rPr>
      <w:szCs w:val="20"/>
      <w:lang w:val="en-AU"/>
    </w:rPr>
  </w:style>
  <w:style w:type="paragraph" w:styleId="BodyTextIndent3">
    <w:name w:val="Body Text Indent 3"/>
    <w:basedOn w:val="Normal"/>
    <w:pPr>
      <w:ind w:left="7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AU"/>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153"/>
        <w:tab w:val="right" w:pos="8306"/>
      </w:tabs>
    </w:pPr>
    <w:rPr>
      <w:szCs w:val="20"/>
      <w:lang w:val="en-AU"/>
    </w:rPr>
  </w:style>
  <w:style w:type="paragraph" w:customStyle="1" w:styleId="ELIZHEAD12BOLD">
    <w:name w:val="ELIZ_HEAD_12BOLD"/>
    <w:basedOn w:val="Normal"/>
    <w:pPr>
      <w:keepNext/>
      <w:spacing w:before="240" w:after="60"/>
      <w:outlineLvl w:val="1"/>
    </w:pPr>
    <w:rPr>
      <w:rFonts w:ascii="Arial" w:hAnsi="Arial" w:cs="Arial"/>
      <w:b/>
      <w:bCs/>
      <w:caps/>
      <w:sz w:val="28"/>
      <w:szCs w:val="28"/>
      <w:lang w:val="en-AU"/>
    </w:rPr>
  </w:style>
  <w:style w:type="paragraph" w:styleId="BodyText">
    <w:name w:val="Body Text"/>
    <w:basedOn w:val="Normal"/>
    <w:pPr>
      <w:jc w:val="center"/>
    </w:pPr>
    <w:rPr>
      <w:rFonts w:ascii="Arial" w:hAnsi="Arial" w:cs="Arial"/>
      <w:sz w:val="96"/>
      <w:szCs w:val="20"/>
      <w:lang w:val="en-AU"/>
    </w:rPr>
  </w:style>
  <w:style w:type="table" w:styleId="TableGrid">
    <w:name w:val="Table Grid"/>
    <w:basedOn w:val="TableNormal"/>
    <w:uiPriority w:val="39"/>
    <w:rsid w:val="00011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27026"/>
    <w:pPr>
      <w:spacing w:after="120"/>
    </w:pPr>
    <w:rPr>
      <w:sz w:val="20"/>
      <w:szCs w:val="20"/>
      <w:lang w:val="en-AU"/>
    </w:rPr>
  </w:style>
  <w:style w:type="character" w:styleId="FootnoteReference">
    <w:name w:val="footnote reference"/>
    <w:semiHidden/>
    <w:rsid w:val="00A27026"/>
    <w:rPr>
      <w:vertAlign w:val="superscript"/>
    </w:rPr>
  </w:style>
  <w:style w:type="paragraph" w:styleId="ListParagraph">
    <w:name w:val="List Paragraph"/>
    <w:basedOn w:val="Normal"/>
    <w:uiPriority w:val="34"/>
    <w:qFormat/>
    <w:rsid w:val="00675CF6"/>
    <w:pPr>
      <w:ind w:left="720"/>
    </w:pPr>
  </w:style>
  <w:style w:type="character" w:customStyle="1" w:styleId="FooterChar">
    <w:name w:val="Footer Char"/>
    <w:link w:val="Footer"/>
    <w:uiPriority w:val="99"/>
    <w:rsid w:val="0022411F"/>
    <w:rPr>
      <w:sz w:val="24"/>
      <w:szCs w:val="24"/>
      <w:lang w:val="en-US" w:eastAsia="en-US"/>
    </w:rPr>
  </w:style>
  <w:style w:type="paragraph" w:styleId="BalloonText">
    <w:name w:val="Balloon Text"/>
    <w:basedOn w:val="Normal"/>
    <w:link w:val="BalloonTextChar"/>
    <w:rsid w:val="0022411F"/>
    <w:rPr>
      <w:rFonts w:ascii="Tahoma" w:hAnsi="Tahoma" w:cs="Tahoma"/>
      <w:sz w:val="16"/>
      <w:szCs w:val="16"/>
    </w:rPr>
  </w:style>
  <w:style w:type="character" w:customStyle="1" w:styleId="BalloonTextChar">
    <w:name w:val="Balloon Text Char"/>
    <w:link w:val="BalloonText"/>
    <w:rsid w:val="0022411F"/>
    <w:rPr>
      <w:rFonts w:ascii="Tahoma" w:hAnsi="Tahoma" w:cs="Tahoma"/>
      <w:sz w:val="16"/>
      <w:szCs w:val="16"/>
      <w:lang w:val="en-US" w:eastAsia="en-US"/>
    </w:rPr>
  </w:style>
  <w:style w:type="character" w:styleId="CommentReference">
    <w:name w:val="annotation reference"/>
    <w:uiPriority w:val="99"/>
    <w:rsid w:val="004A54A9"/>
    <w:rPr>
      <w:sz w:val="16"/>
      <w:szCs w:val="16"/>
    </w:rPr>
  </w:style>
  <w:style w:type="paragraph" w:styleId="CommentText">
    <w:name w:val="annotation text"/>
    <w:basedOn w:val="Normal"/>
    <w:link w:val="CommentTextChar"/>
    <w:rsid w:val="004A54A9"/>
    <w:rPr>
      <w:sz w:val="20"/>
      <w:szCs w:val="20"/>
    </w:rPr>
  </w:style>
  <w:style w:type="character" w:customStyle="1" w:styleId="CommentTextChar">
    <w:name w:val="Comment Text Char"/>
    <w:link w:val="CommentText"/>
    <w:rsid w:val="004A54A9"/>
    <w:rPr>
      <w:lang w:val="en-US" w:eastAsia="en-US"/>
    </w:rPr>
  </w:style>
  <w:style w:type="paragraph" w:styleId="CommentSubject">
    <w:name w:val="annotation subject"/>
    <w:basedOn w:val="CommentText"/>
    <w:next w:val="CommentText"/>
    <w:link w:val="CommentSubjectChar"/>
    <w:rsid w:val="004A54A9"/>
    <w:rPr>
      <w:b/>
      <w:bCs/>
    </w:rPr>
  </w:style>
  <w:style w:type="character" w:customStyle="1" w:styleId="CommentSubjectChar">
    <w:name w:val="Comment Subject Char"/>
    <w:link w:val="CommentSubject"/>
    <w:rsid w:val="004A54A9"/>
    <w:rPr>
      <w:b/>
      <w:bCs/>
      <w:lang w:val="en-US" w:eastAsia="en-US"/>
    </w:rPr>
  </w:style>
  <w:style w:type="character" w:styleId="Strong">
    <w:name w:val="Strong"/>
    <w:uiPriority w:val="22"/>
    <w:qFormat/>
    <w:rsid w:val="00ED4F34"/>
    <w:rPr>
      <w:b/>
      <w:bCs/>
    </w:rPr>
  </w:style>
  <w:style w:type="character" w:customStyle="1" w:styleId="attribution">
    <w:name w:val="attribution"/>
    <w:rsid w:val="00ED4F34"/>
  </w:style>
  <w:style w:type="character" w:styleId="Hyperlink">
    <w:name w:val="Hyperlink"/>
    <w:uiPriority w:val="99"/>
    <w:unhideWhenUsed/>
    <w:rsid w:val="00ED4F34"/>
    <w:rPr>
      <w:color w:val="0000FF"/>
      <w:u w:val="single"/>
    </w:rPr>
  </w:style>
  <w:style w:type="character" w:styleId="Emphasis">
    <w:name w:val="Emphasis"/>
    <w:qFormat/>
    <w:rsid w:val="003A1FC6"/>
    <w:rPr>
      <w:i/>
      <w:iCs/>
    </w:rPr>
  </w:style>
  <w:style w:type="character" w:customStyle="1" w:styleId="Heading1Char">
    <w:name w:val="Heading 1 Char"/>
    <w:link w:val="Heading1"/>
    <w:rsid w:val="004A499B"/>
    <w:rPr>
      <w:sz w:val="24"/>
      <w:szCs w:val="24"/>
      <w:u w:val="single"/>
      <w:lang w:val="en-US" w:eastAsia="en-US"/>
    </w:rPr>
  </w:style>
  <w:style w:type="table" w:customStyle="1" w:styleId="TableGrid1">
    <w:name w:val="Table Grid1"/>
    <w:basedOn w:val="TableNormal"/>
    <w:next w:val="TableGrid"/>
    <w:uiPriority w:val="39"/>
    <w:rsid w:val="00F2582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next w:val="GridTable1Light-Accent3"/>
    <w:uiPriority w:val="46"/>
    <w:rsid w:val="00CA10D6"/>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A10D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Revision">
    <w:name w:val="Revision"/>
    <w:hidden/>
    <w:uiPriority w:val="99"/>
    <w:semiHidden/>
    <w:rsid w:val="00D7706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43">
      <w:bodyDiv w:val="1"/>
      <w:marLeft w:val="0"/>
      <w:marRight w:val="0"/>
      <w:marTop w:val="0"/>
      <w:marBottom w:val="0"/>
      <w:divBdr>
        <w:top w:val="none" w:sz="0" w:space="0" w:color="auto"/>
        <w:left w:val="none" w:sz="0" w:space="0" w:color="auto"/>
        <w:bottom w:val="none" w:sz="0" w:space="0" w:color="auto"/>
        <w:right w:val="none" w:sz="0" w:space="0" w:color="auto"/>
      </w:divBdr>
    </w:div>
    <w:div w:id="49114225">
      <w:bodyDiv w:val="1"/>
      <w:marLeft w:val="0"/>
      <w:marRight w:val="0"/>
      <w:marTop w:val="0"/>
      <w:marBottom w:val="0"/>
      <w:divBdr>
        <w:top w:val="none" w:sz="0" w:space="0" w:color="auto"/>
        <w:left w:val="none" w:sz="0" w:space="0" w:color="auto"/>
        <w:bottom w:val="none" w:sz="0" w:space="0" w:color="auto"/>
        <w:right w:val="none" w:sz="0" w:space="0" w:color="auto"/>
      </w:divBdr>
    </w:div>
    <w:div w:id="67846886">
      <w:bodyDiv w:val="1"/>
      <w:marLeft w:val="0"/>
      <w:marRight w:val="0"/>
      <w:marTop w:val="0"/>
      <w:marBottom w:val="0"/>
      <w:divBdr>
        <w:top w:val="none" w:sz="0" w:space="0" w:color="auto"/>
        <w:left w:val="none" w:sz="0" w:space="0" w:color="auto"/>
        <w:bottom w:val="none" w:sz="0" w:space="0" w:color="auto"/>
        <w:right w:val="none" w:sz="0" w:space="0" w:color="auto"/>
      </w:divBdr>
    </w:div>
    <w:div w:id="103963271">
      <w:bodyDiv w:val="1"/>
      <w:marLeft w:val="0"/>
      <w:marRight w:val="0"/>
      <w:marTop w:val="0"/>
      <w:marBottom w:val="0"/>
      <w:divBdr>
        <w:top w:val="none" w:sz="0" w:space="0" w:color="auto"/>
        <w:left w:val="none" w:sz="0" w:space="0" w:color="auto"/>
        <w:bottom w:val="none" w:sz="0" w:space="0" w:color="auto"/>
        <w:right w:val="none" w:sz="0" w:space="0" w:color="auto"/>
      </w:divBdr>
    </w:div>
    <w:div w:id="140584895">
      <w:bodyDiv w:val="1"/>
      <w:marLeft w:val="0"/>
      <w:marRight w:val="0"/>
      <w:marTop w:val="0"/>
      <w:marBottom w:val="0"/>
      <w:divBdr>
        <w:top w:val="none" w:sz="0" w:space="0" w:color="auto"/>
        <w:left w:val="none" w:sz="0" w:space="0" w:color="auto"/>
        <w:bottom w:val="none" w:sz="0" w:space="0" w:color="auto"/>
        <w:right w:val="none" w:sz="0" w:space="0" w:color="auto"/>
      </w:divBdr>
    </w:div>
    <w:div w:id="177745006">
      <w:bodyDiv w:val="1"/>
      <w:marLeft w:val="75"/>
      <w:marRight w:val="75"/>
      <w:marTop w:val="0"/>
      <w:marBottom w:val="0"/>
      <w:divBdr>
        <w:top w:val="none" w:sz="0" w:space="0" w:color="auto"/>
        <w:left w:val="none" w:sz="0" w:space="0" w:color="auto"/>
        <w:bottom w:val="none" w:sz="0" w:space="0" w:color="auto"/>
        <w:right w:val="none" w:sz="0" w:space="0" w:color="auto"/>
      </w:divBdr>
      <w:divsChild>
        <w:div w:id="1290627920">
          <w:marLeft w:val="0"/>
          <w:marRight w:val="0"/>
          <w:marTop w:val="0"/>
          <w:marBottom w:val="0"/>
          <w:divBdr>
            <w:top w:val="none" w:sz="0" w:space="0" w:color="auto"/>
            <w:left w:val="none" w:sz="0" w:space="0" w:color="auto"/>
            <w:bottom w:val="none" w:sz="0" w:space="0" w:color="auto"/>
            <w:right w:val="none" w:sz="0" w:space="0" w:color="auto"/>
          </w:divBdr>
        </w:div>
        <w:div w:id="1354068737">
          <w:marLeft w:val="0"/>
          <w:marRight w:val="0"/>
          <w:marTop w:val="150"/>
          <w:marBottom w:val="0"/>
          <w:divBdr>
            <w:top w:val="none" w:sz="0" w:space="0" w:color="auto"/>
            <w:left w:val="none" w:sz="0" w:space="0" w:color="auto"/>
            <w:bottom w:val="none" w:sz="0" w:space="0" w:color="auto"/>
            <w:right w:val="none" w:sz="0" w:space="0" w:color="auto"/>
          </w:divBdr>
          <w:divsChild>
            <w:div w:id="2333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1284">
      <w:bodyDiv w:val="1"/>
      <w:marLeft w:val="0"/>
      <w:marRight w:val="0"/>
      <w:marTop w:val="0"/>
      <w:marBottom w:val="0"/>
      <w:divBdr>
        <w:top w:val="none" w:sz="0" w:space="0" w:color="auto"/>
        <w:left w:val="none" w:sz="0" w:space="0" w:color="auto"/>
        <w:bottom w:val="none" w:sz="0" w:space="0" w:color="auto"/>
        <w:right w:val="none" w:sz="0" w:space="0" w:color="auto"/>
      </w:divBdr>
    </w:div>
    <w:div w:id="195192809">
      <w:bodyDiv w:val="1"/>
      <w:marLeft w:val="0"/>
      <w:marRight w:val="0"/>
      <w:marTop w:val="0"/>
      <w:marBottom w:val="0"/>
      <w:divBdr>
        <w:top w:val="none" w:sz="0" w:space="0" w:color="auto"/>
        <w:left w:val="none" w:sz="0" w:space="0" w:color="auto"/>
        <w:bottom w:val="none" w:sz="0" w:space="0" w:color="auto"/>
        <w:right w:val="none" w:sz="0" w:space="0" w:color="auto"/>
      </w:divBdr>
    </w:div>
    <w:div w:id="224410793">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2670802">
      <w:bodyDiv w:val="1"/>
      <w:marLeft w:val="0"/>
      <w:marRight w:val="0"/>
      <w:marTop w:val="0"/>
      <w:marBottom w:val="0"/>
      <w:divBdr>
        <w:top w:val="none" w:sz="0" w:space="0" w:color="auto"/>
        <w:left w:val="none" w:sz="0" w:space="0" w:color="auto"/>
        <w:bottom w:val="none" w:sz="0" w:space="0" w:color="auto"/>
        <w:right w:val="none" w:sz="0" w:space="0" w:color="auto"/>
      </w:divBdr>
    </w:div>
    <w:div w:id="342249064">
      <w:bodyDiv w:val="1"/>
      <w:marLeft w:val="0"/>
      <w:marRight w:val="0"/>
      <w:marTop w:val="0"/>
      <w:marBottom w:val="0"/>
      <w:divBdr>
        <w:top w:val="none" w:sz="0" w:space="0" w:color="auto"/>
        <w:left w:val="none" w:sz="0" w:space="0" w:color="auto"/>
        <w:bottom w:val="none" w:sz="0" w:space="0" w:color="auto"/>
        <w:right w:val="none" w:sz="0" w:space="0" w:color="auto"/>
      </w:divBdr>
      <w:divsChild>
        <w:div w:id="619914767">
          <w:marLeft w:val="0"/>
          <w:marRight w:val="0"/>
          <w:marTop w:val="0"/>
          <w:marBottom w:val="0"/>
          <w:divBdr>
            <w:top w:val="none" w:sz="0" w:space="0" w:color="auto"/>
            <w:left w:val="none" w:sz="0" w:space="0" w:color="auto"/>
            <w:bottom w:val="none" w:sz="0" w:space="0" w:color="auto"/>
            <w:right w:val="none" w:sz="0" w:space="0" w:color="auto"/>
          </w:divBdr>
          <w:divsChild>
            <w:div w:id="724912968">
              <w:marLeft w:val="0"/>
              <w:marRight w:val="0"/>
              <w:marTop w:val="0"/>
              <w:marBottom w:val="0"/>
              <w:divBdr>
                <w:top w:val="none" w:sz="0" w:space="0" w:color="auto"/>
                <w:left w:val="none" w:sz="0" w:space="0" w:color="auto"/>
                <w:bottom w:val="none" w:sz="0" w:space="0" w:color="auto"/>
                <w:right w:val="none" w:sz="0" w:space="0" w:color="auto"/>
              </w:divBdr>
              <w:divsChild>
                <w:div w:id="1519612987">
                  <w:marLeft w:val="0"/>
                  <w:marRight w:val="0"/>
                  <w:marTop w:val="0"/>
                  <w:marBottom w:val="0"/>
                  <w:divBdr>
                    <w:top w:val="none" w:sz="0" w:space="0" w:color="auto"/>
                    <w:left w:val="none" w:sz="0" w:space="0" w:color="auto"/>
                    <w:bottom w:val="none" w:sz="0" w:space="0" w:color="auto"/>
                    <w:right w:val="none" w:sz="0" w:space="0" w:color="auto"/>
                  </w:divBdr>
                  <w:divsChild>
                    <w:div w:id="971323812">
                      <w:marLeft w:val="0"/>
                      <w:marRight w:val="0"/>
                      <w:marTop w:val="0"/>
                      <w:marBottom w:val="0"/>
                      <w:divBdr>
                        <w:top w:val="none" w:sz="0" w:space="0" w:color="auto"/>
                        <w:left w:val="none" w:sz="0" w:space="0" w:color="auto"/>
                        <w:bottom w:val="none" w:sz="0" w:space="0" w:color="auto"/>
                        <w:right w:val="none" w:sz="0" w:space="0" w:color="auto"/>
                      </w:divBdr>
                      <w:divsChild>
                        <w:div w:id="55206040">
                          <w:marLeft w:val="0"/>
                          <w:marRight w:val="0"/>
                          <w:marTop w:val="0"/>
                          <w:marBottom w:val="0"/>
                          <w:divBdr>
                            <w:top w:val="none" w:sz="0" w:space="0" w:color="auto"/>
                            <w:left w:val="none" w:sz="0" w:space="0" w:color="auto"/>
                            <w:bottom w:val="none" w:sz="0" w:space="0" w:color="auto"/>
                            <w:right w:val="none" w:sz="0" w:space="0" w:color="auto"/>
                          </w:divBdr>
                          <w:divsChild>
                            <w:div w:id="1843886449">
                              <w:marLeft w:val="0"/>
                              <w:marRight w:val="0"/>
                              <w:marTop w:val="0"/>
                              <w:marBottom w:val="0"/>
                              <w:divBdr>
                                <w:top w:val="none" w:sz="0" w:space="0" w:color="auto"/>
                                <w:left w:val="none" w:sz="0" w:space="0" w:color="auto"/>
                                <w:bottom w:val="none" w:sz="0" w:space="0" w:color="auto"/>
                                <w:right w:val="none" w:sz="0" w:space="0" w:color="auto"/>
                              </w:divBdr>
                              <w:divsChild>
                                <w:div w:id="6929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737461">
      <w:bodyDiv w:val="1"/>
      <w:marLeft w:val="0"/>
      <w:marRight w:val="0"/>
      <w:marTop w:val="0"/>
      <w:marBottom w:val="0"/>
      <w:divBdr>
        <w:top w:val="single" w:sz="2" w:space="0" w:color="000000"/>
        <w:left w:val="none" w:sz="0" w:space="0" w:color="auto"/>
        <w:bottom w:val="none" w:sz="0" w:space="0" w:color="auto"/>
        <w:right w:val="none" w:sz="0" w:space="0" w:color="auto"/>
      </w:divBdr>
      <w:divsChild>
        <w:div w:id="593364703">
          <w:marLeft w:val="0"/>
          <w:marRight w:val="0"/>
          <w:marTop w:val="300"/>
          <w:marBottom w:val="300"/>
          <w:divBdr>
            <w:top w:val="none" w:sz="0" w:space="0" w:color="auto"/>
            <w:left w:val="none" w:sz="0" w:space="0" w:color="auto"/>
            <w:bottom w:val="none" w:sz="0" w:space="0" w:color="auto"/>
            <w:right w:val="none" w:sz="0" w:space="0" w:color="auto"/>
          </w:divBdr>
          <w:divsChild>
            <w:div w:id="1170749942">
              <w:marLeft w:val="0"/>
              <w:marRight w:val="0"/>
              <w:marTop w:val="0"/>
              <w:marBottom w:val="0"/>
              <w:divBdr>
                <w:top w:val="none" w:sz="0" w:space="0" w:color="auto"/>
                <w:left w:val="none" w:sz="0" w:space="0" w:color="auto"/>
                <w:bottom w:val="none" w:sz="0" w:space="0" w:color="auto"/>
                <w:right w:val="none" w:sz="0" w:space="0" w:color="auto"/>
              </w:divBdr>
              <w:divsChild>
                <w:div w:id="816337260">
                  <w:marLeft w:val="0"/>
                  <w:marRight w:val="0"/>
                  <w:marTop w:val="0"/>
                  <w:marBottom w:val="0"/>
                  <w:divBdr>
                    <w:top w:val="none" w:sz="0" w:space="0" w:color="auto"/>
                    <w:left w:val="none" w:sz="0" w:space="0" w:color="auto"/>
                    <w:bottom w:val="none" w:sz="0" w:space="0" w:color="auto"/>
                    <w:right w:val="none" w:sz="0" w:space="0" w:color="auto"/>
                  </w:divBdr>
                  <w:divsChild>
                    <w:div w:id="1863935231">
                      <w:marLeft w:val="0"/>
                      <w:marRight w:val="0"/>
                      <w:marTop w:val="0"/>
                      <w:marBottom w:val="0"/>
                      <w:divBdr>
                        <w:top w:val="none" w:sz="0" w:space="0" w:color="auto"/>
                        <w:left w:val="none" w:sz="0" w:space="0" w:color="auto"/>
                        <w:bottom w:val="none" w:sz="0" w:space="0" w:color="auto"/>
                        <w:right w:val="none" w:sz="0" w:space="0" w:color="auto"/>
                      </w:divBdr>
                      <w:divsChild>
                        <w:div w:id="2137946921">
                          <w:marLeft w:val="0"/>
                          <w:marRight w:val="0"/>
                          <w:marTop w:val="0"/>
                          <w:marBottom w:val="0"/>
                          <w:divBdr>
                            <w:top w:val="none" w:sz="0" w:space="0" w:color="auto"/>
                            <w:left w:val="none" w:sz="0" w:space="0" w:color="auto"/>
                            <w:bottom w:val="none" w:sz="0" w:space="0" w:color="auto"/>
                            <w:right w:val="none" w:sz="0" w:space="0" w:color="auto"/>
                          </w:divBdr>
                          <w:divsChild>
                            <w:div w:id="2051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5813">
      <w:bodyDiv w:val="1"/>
      <w:marLeft w:val="0"/>
      <w:marRight w:val="0"/>
      <w:marTop w:val="0"/>
      <w:marBottom w:val="0"/>
      <w:divBdr>
        <w:top w:val="none" w:sz="0" w:space="0" w:color="auto"/>
        <w:left w:val="none" w:sz="0" w:space="0" w:color="auto"/>
        <w:bottom w:val="none" w:sz="0" w:space="0" w:color="auto"/>
        <w:right w:val="none" w:sz="0" w:space="0" w:color="auto"/>
      </w:divBdr>
    </w:div>
    <w:div w:id="428044834">
      <w:bodyDiv w:val="1"/>
      <w:marLeft w:val="0"/>
      <w:marRight w:val="0"/>
      <w:marTop w:val="0"/>
      <w:marBottom w:val="0"/>
      <w:divBdr>
        <w:top w:val="none" w:sz="0" w:space="0" w:color="auto"/>
        <w:left w:val="none" w:sz="0" w:space="0" w:color="auto"/>
        <w:bottom w:val="none" w:sz="0" w:space="0" w:color="auto"/>
        <w:right w:val="none" w:sz="0" w:space="0" w:color="auto"/>
      </w:divBdr>
    </w:div>
    <w:div w:id="433674472">
      <w:bodyDiv w:val="1"/>
      <w:marLeft w:val="0"/>
      <w:marRight w:val="0"/>
      <w:marTop w:val="0"/>
      <w:marBottom w:val="0"/>
      <w:divBdr>
        <w:top w:val="none" w:sz="0" w:space="0" w:color="auto"/>
        <w:left w:val="none" w:sz="0" w:space="0" w:color="auto"/>
        <w:bottom w:val="none" w:sz="0" w:space="0" w:color="auto"/>
        <w:right w:val="none" w:sz="0" w:space="0" w:color="auto"/>
      </w:divBdr>
    </w:div>
    <w:div w:id="451943404">
      <w:bodyDiv w:val="1"/>
      <w:marLeft w:val="0"/>
      <w:marRight w:val="0"/>
      <w:marTop w:val="0"/>
      <w:marBottom w:val="0"/>
      <w:divBdr>
        <w:top w:val="none" w:sz="0" w:space="0" w:color="auto"/>
        <w:left w:val="none" w:sz="0" w:space="0" w:color="auto"/>
        <w:bottom w:val="none" w:sz="0" w:space="0" w:color="auto"/>
        <w:right w:val="none" w:sz="0" w:space="0" w:color="auto"/>
      </w:divBdr>
    </w:div>
    <w:div w:id="468210538">
      <w:bodyDiv w:val="1"/>
      <w:marLeft w:val="0"/>
      <w:marRight w:val="0"/>
      <w:marTop w:val="0"/>
      <w:marBottom w:val="0"/>
      <w:divBdr>
        <w:top w:val="none" w:sz="0" w:space="0" w:color="auto"/>
        <w:left w:val="none" w:sz="0" w:space="0" w:color="auto"/>
        <w:bottom w:val="none" w:sz="0" w:space="0" w:color="auto"/>
        <w:right w:val="none" w:sz="0" w:space="0" w:color="auto"/>
      </w:divBdr>
    </w:div>
    <w:div w:id="553195727">
      <w:bodyDiv w:val="1"/>
      <w:marLeft w:val="0"/>
      <w:marRight w:val="0"/>
      <w:marTop w:val="0"/>
      <w:marBottom w:val="0"/>
      <w:divBdr>
        <w:top w:val="none" w:sz="0" w:space="0" w:color="auto"/>
        <w:left w:val="none" w:sz="0" w:space="0" w:color="auto"/>
        <w:bottom w:val="none" w:sz="0" w:space="0" w:color="auto"/>
        <w:right w:val="none" w:sz="0" w:space="0" w:color="auto"/>
      </w:divBdr>
    </w:div>
    <w:div w:id="578056187">
      <w:bodyDiv w:val="1"/>
      <w:marLeft w:val="0"/>
      <w:marRight w:val="0"/>
      <w:marTop w:val="0"/>
      <w:marBottom w:val="0"/>
      <w:divBdr>
        <w:top w:val="none" w:sz="0" w:space="0" w:color="auto"/>
        <w:left w:val="none" w:sz="0" w:space="0" w:color="auto"/>
        <w:bottom w:val="none" w:sz="0" w:space="0" w:color="auto"/>
        <w:right w:val="none" w:sz="0" w:space="0" w:color="auto"/>
      </w:divBdr>
    </w:div>
    <w:div w:id="589697369">
      <w:bodyDiv w:val="1"/>
      <w:marLeft w:val="0"/>
      <w:marRight w:val="0"/>
      <w:marTop w:val="0"/>
      <w:marBottom w:val="0"/>
      <w:divBdr>
        <w:top w:val="none" w:sz="0" w:space="0" w:color="auto"/>
        <w:left w:val="none" w:sz="0" w:space="0" w:color="auto"/>
        <w:bottom w:val="none" w:sz="0" w:space="0" w:color="auto"/>
        <w:right w:val="none" w:sz="0" w:space="0" w:color="auto"/>
      </w:divBdr>
      <w:divsChild>
        <w:div w:id="1102997045">
          <w:marLeft w:val="0"/>
          <w:marRight w:val="0"/>
          <w:marTop w:val="0"/>
          <w:marBottom w:val="0"/>
          <w:divBdr>
            <w:top w:val="none" w:sz="0" w:space="0" w:color="auto"/>
            <w:left w:val="none" w:sz="0" w:space="0" w:color="auto"/>
            <w:bottom w:val="none" w:sz="0" w:space="0" w:color="auto"/>
            <w:right w:val="none" w:sz="0" w:space="0" w:color="auto"/>
          </w:divBdr>
          <w:divsChild>
            <w:div w:id="1999571864">
              <w:marLeft w:val="0"/>
              <w:marRight w:val="0"/>
              <w:marTop w:val="0"/>
              <w:marBottom w:val="0"/>
              <w:divBdr>
                <w:top w:val="none" w:sz="0" w:space="0" w:color="auto"/>
                <w:left w:val="none" w:sz="0" w:space="0" w:color="auto"/>
                <w:bottom w:val="none" w:sz="0" w:space="0" w:color="auto"/>
                <w:right w:val="none" w:sz="0" w:space="0" w:color="auto"/>
              </w:divBdr>
              <w:divsChild>
                <w:div w:id="1844007885">
                  <w:marLeft w:val="0"/>
                  <w:marRight w:val="0"/>
                  <w:marTop w:val="0"/>
                  <w:marBottom w:val="0"/>
                  <w:divBdr>
                    <w:top w:val="none" w:sz="0" w:space="0" w:color="auto"/>
                    <w:left w:val="none" w:sz="0" w:space="0" w:color="auto"/>
                    <w:bottom w:val="none" w:sz="0" w:space="0" w:color="auto"/>
                    <w:right w:val="none" w:sz="0" w:space="0" w:color="auto"/>
                  </w:divBdr>
                  <w:divsChild>
                    <w:div w:id="691033283">
                      <w:marLeft w:val="0"/>
                      <w:marRight w:val="0"/>
                      <w:marTop w:val="0"/>
                      <w:marBottom w:val="0"/>
                      <w:divBdr>
                        <w:top w:val="none" w:sz="0" w:space="0" w:color="auto"/>
                        <w:left w:val="none" w:sz="0" w:space="0" w:color="auto"/>
                        <w:bottom w:val="none" w:sz="0" w:space="0" w:color="auto"/>
                        <w:right w:val="none" w:sz="0" w:space="0" w:color="auto"/>
                      </w:divBdr>
                      <w:divsChild>
                        <w:div w:id="1314406802">
                          <w:marLeft w:val="0"/>
                          <w:marRight w:val="0"/>
                          <w:marTop w:val="0"/>
                          <w:marBottom w:val="0"/>
                          <w:divBdr>
                            <w:top w:val="none" w:sz="0" w:space="0" w:color="auto"/>
                            <w:left w:val="none" w:sz="0" w:space="0" w:color="auto"/>
                            <w:bottom w:val="none" w:sz="0" w:space="0" w:color="auto"/>
                            <w:right w:val="none" w:sz="0" w:space="0" w:color="auto"/>
                          </w:divBdr>
                          <w:divsChild>
                            <w:div w:id="12148284">
                              <w:marLeft w:val="0"/>
                              <w:marRight w:val="0"/>
                              <w:marTop w:val="0"/>
                              <w:marBottom w:val="0"/>
                              <w:divBdr>
                                <w:top w:val="none" w:sz="0" w:space="0" w:color="auto"/>
                                <w:left w:val="none" w:sz="0" w:space="0" w:color="auto"/>
                                <w:bottom w:val="none" w:sz="0" w:space="0" w:color="auto"/>
                                <w:right w:val="none" w:sz="0" w:space="0" w:color="auto"/>
                              </w:divBdr>
                              <w:divsChild>
                                <w:div w:id="19514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930308">
      <w:bodyDiv w:val="1"/>
      <w:marLeft w:val="0"/>
      <w:marRight w:val="0"/>
      <w:marTop w:val="0"/>
      <w:marBottom w:val="0"/>
      <w:divBdr>
        <w:top w:val="none" w:sz="0" w:space="0" w:color="auto"/>
        <w:left w:val="none" w:sz="0" w:space="0" w:color="auto"/>
        <w:bottom w:val="none" w:sz="0" w:space="0" w:color="auto"/>
        <w:right w:val="none" w:sz="0" w:space="0" w:color="auto"/>
      </w:divBdr>
    </w:div>
    <w:div w:id="665014939">
      <w:bodyDiv w:val="1"/>
      <w:marLeft w:val="0"/>
      <w:marRight w:val="0"/>
      <w:marTop w:val="0"/>
      <w:marBottom w:val="0"/>
      <w:divBdr>
        <w:top w:val="none" w:sz="0" w:space="0" w:color="auto"/>
        <w:left w:val="none" w:sz="0" w:space="0" w:color="auto"/>
        <w:bottom w:val="none" w:sz="0" w:space="0" w:color="auto"/>
        <w:right w:val="none" w:sz="0" w:space="0" w:color="auto"/>
      </w:divBdr>
    </w:div>
    <w:div w:id="686636667">
      <w:bodyDiv w:val="1"/>
      <w:marLeft w:val="0"/>
      <w:marRight w:val="0"/>
      <w:marTop w:val="0"/>
      <w:marBottom w:val="0"/>
      <w:divBdr>
        <w:top w:val="none" w:sz="0" w:space="0" w:color="auto"/>
        <w:left w:val="none" w:sz="0" w:space="0" w:color="auto"/>
        <w:bottom w:val="none" w:sz="0" w:space="0" w:color="auto"/>
        <w:right w:val="none" w:sz="0" w:space="0" w:color="auto"/>
      </w:divBdr>
    </w:div>
    <w:div w:id="691615733">
      <w:bodyDiv w:val="1"/>
      <w:marLeft w:val="0"/>
      <w:marRight w:val="0"/>
      <w:marTop w:val="0"/>
      <w:marBottom w:val="0"/>
      <w:divBdr>
        <w:top w:val="none" w:sz="0" w:space="0" w:color="auto"/>
        <w:left w:val="none" w:sz="0" w:space="0" w:color="auto"/>
        <w:bottom w:val="none" w:sz="0" w:space="0" w:color="auto"/>
        <w:right w:val="none" w:sz="0" w:space="0" w:color="auto"/>
      </w:divBdr>
    </w:div>
    <w:div w:id="710421622">
      <w:bodyDiv w:val="1"/>
      <w:marLeft w:val="0"/>
      <w:marRight w:val="0"/>
      <w:marTop w:val="0"/>
      <w:marBottom w:val="0"/>
      <w:divBdr>
        <w:top w:val="none" w:sz="0" w:space="0" w:color="auto"/>
        <w:left w:val="none" w:sz="0" w:space="0" w:color="auto"/>
        <w:bottom w:val="none" w:sz="0" w:space="0" w:color="auto"/>
        <w:right w:val="none" w:sz="0" w:space="0" w:color="auto"/>
      </w:divBdr>
    </w:div>
    <w:div w:id="723718367">
      <w:bodyDiv w:val="1"/>
      <w:marLeft w:val="0"/>
      <w:marRight w:val="0"/>
      <w:marTop w:val="0"/>
      <w:marBottom w:val="0"/>
      <w:divBdr>
        <w:top w:val="none" w:sz="0" w:space="0" w:color="auto"/>
        <w:left w:val="none" w:sz="0" w:space="0" w:color="auto"/>
        <w:bottom w:val="none" w:sz="0" w:space="0" w:color="auto"/>
        <w:right w:val="none" w:sz="0" w:space="0" w:color="auto"/>
      </w:divBdr>
    </w:div>
    <w:div w:id="724453153">
      <w:bodyDiv w:val="1"/>
      <w:marLeft w:val="0"/>
      <w:marRight w:val="0"/>
      <w:marTop w:val="0"/>
      <w:marBottom w:val="0"/>
      <w:divBdr>
        <w:top w:val="none" w:sz="0" w:space="0" w:color="auto"/>
        <w:left w:val="none" w:sz="0" w:space="0" w:color="auto"/>
        <w:bottom w:val="none" w:sz="0" w:space="0" w:color="auto"/>
        <w:right w:val="none" w:sz="0" w:space="0" w:color="auto"/>
      </w:divBdr>
    </w:div>
    <w:div w:id="818770832">
      <w:bodyDiv w:val="1"/>
      <w:marLeft w:val="0"/>
      <w:marRight w:val="0"/>
      <w:marTop w:val="0"/>
      <w:marBottom w:val="0"/>
      <w:divBdr>
        <w:top w:val="none" w:sz="0" w:space="0" w:color="auto"/>
        <w:left w:val="none" w:sz="0" w:space="0" w:color="auto"/>
        <w:bottom w:val="none" w:sz="0" w:space="0" w:color="auto"/>
        <w:right w:val="none" w:sz="0" w:space="0" w:color="auto"/>
      </w:divBdr>
    </w:div>
    <w:div w:id="892617063">
      <w:bodyDiv w:val="1"/>
      <w:marLeft w:val="0"/>
      <w:marRight w:val="0"/>
      <w:marTop w:val="0"/>
      <w:marBottom w:val="0"/>
      <w:divBdr>
        <w:top w:val="none" w:sz="0" w:space="0" w:color="auto"/>
        <w:left w:val="none" w:sz="0" w:space="0" w:color="auto"/>
        <w:bottom w:val="none" w:sz="0" w:space="0" w:color="auto"/>
        <w:right w:val="none" w:sz="0" w:space="0" w:color="auto"/>
      </w:divBdr>
    </w:div>
    <w:div w:id="1020278570">
      <w:bodyDiv w:val="1"/>
      <w:marLeft w:val="0"/>
      <w:marRight w:val="0"/>
      <w:marTop w:val="0"/>
      <w:marBottom w:val="0"/>
      <w:divBdr>
        <w:top w:val="none" w:sz="0" w:space="0" w:color="auto"/>
        <w:left w:val="none" w:sz="0" w:space="0" w:color="auto"/>
        <w:bottom w:val="none" w:sz="0" w:space="0" w:color="auto"/>
        <w:right w:val="none" w:sz="0" w:space="0" w:color="auto"/>
      </w:divBdr>
    </w:div>
    <w:div w:id="1025328284">
      <w:bodyDiv w:val="1"/>
      <w:marLeft w:val="0"/>
      <w:marRight w:val="0"/>
      <w:marTop w:val="0"/>
      <w:marBottom w:val="0"/>
      <w:divBdr>
        <w:top w:val="none" w:sz="0" w:space="0" w:color="auto"/>
        <w:left w:val="none" w:sz="0" w:space="0" w:color="auto"/>
        <w:bottom w:val="none" w:sz="0" w:space="0" w:color="auto"/>
        <w:right w:val="none" w:sz="0" w:space="0" w:color="auto"/>
      </w:divBdr>
    </w:div>
    <w:div w:id="1103261326">
      <w:bodyDiv w:val="1"/>
      <w:marLeft w:val="0"/>
      <w:marRight w:val="0"/>
      <w:marTop w:val="0"/>
      <w:marBottom w:val="0"/>
      <w:divBdr>
        <w:top w:val="none" w:sz="0" w:space="0" w:color="auto"/>
        <w:left w:val="none" w:sz="0" w:space="0" w:color="auto"/>
        <w:bottom w:val="none" w:sz="0" w:space="0" w:color="auto"/>
        <w:right w:val="none" w:sz="0" w:space="0" w:color="auto"/>
      </w:divBdr>
    </w:div>
    <w:div w:id="1105882447">
      <w:bodyDiv w:val="1"/>
      <w:marLeft w:val="0"/>
      <w:marRight w:val="0"/>
      <w:marTop w:val="0"/>
      <w:marBottom w:val="0"/>
      <w:divBdr>
        <w:top w:val="none" w:sz="0" w:space="0" w:color="auto"/>
        <w:left w:val="none" w:sz="0" w:space="0" w:color="auto"/>
        <w:bottom w:val="none" w:sz="0" w:space="0" w:color="auto"/>
        <w:right w:val="none" w:sz="0" w:space="0" w:color="auto"/>
      </w:divBdr>
    </w:div>
    <w:div w:id="1267613642">
      <w:bodyDiv w:val="1"/>
      <w:marLeft w:val="0"/>
      <w:marRight w:val="0"/>
      <w:marTop w:val="0"/>
      <w:marBottom w:val="0"/>
      <w:divBdr>
        <w:top w:val="none" w:sz="0" w:space="0" w:color="auto"/>
        <w:left w:val="none" w:sz="0" w:space="0" w:color="auto"/>
        <w:bottom w:val="none" w:sz="0" w:space="0" w:color="auto"/>
        <w:right w:val="none" w:sz="0" w:space="0" w:color="auto"/>
      </w:divBdr>
    </w:div>
    <w:div w:id="1411662577">
      <w:bodyDiv w:val="1"/>
      <w:marLeft w:val="0"/>
      <w:marRight w:val="0"/>
      <w:marTop w:val="0"/>
      <w:marBottom w:val="0"/>
      <w:divBdr>
        <w:top w:val="none" w:sz="0" w:space="0" w:color="auto"/>
        <w:left w:val="none" w:sz="0" w:space="0" w:color="auto"/>
        <w:bottom w:val="none" w:sz="0" w:space="0" w:color="auto"/>
        <w:right w:val="none" w:sz="0" w:space="0" w:color="auto"/>
      </w:divBdr>
    </w:div>
    <w:div w:id="1435128187">
      <w:bodyDiv w:val="1"/>
      <w:marLeft w:val="0"/>
      <w:marRight w:val="0"/>
      <w:marTop w:val="0"/>
      <w:marBottom w:val="0"/>
      <w:divBdr>
        <w:top w:val="none" w:sz="0" w:space="0" w:color="auto"/>
        <w:left w:val="none" w:sz="0" w:space="0" w:color="auto"/>
        <w:bottom w:val="none" w:sz="0" w:space="0" w:color="auto"/>
        <w:right w:val="none" w:sz="0" w:space="0" w:color="auto"/>
      </w:divBdr>
    </w:div>
    <w:div w:id="1455563601">
      <w:bodyDiv w:val="1"/>
      <w:marLeft w:val="0"/>
      <w:marRight w:val="0"/>
      <w:marTop w:val="0"/>
      <w:marBottom w:val="0"/>
      <w:divBdr>
        <w:top w:val="none" w:sz="0" w:space="0" w:color="auto"/>
        <w:left w:val="none" w:sz="0" w:space="0" w:color="auto"/>
        <w:bottom w:val="none" w:sz="0" w:space="0" w:color="auto"/>
        <w:right w:val="none" w:sz="0" w:space="0" w:color="auto"/>
      </w:divBdr>
    </w:div>
    <w:div w:id="1467964358">
      <w:bodyDiv w:val="1"/>
      <w:marLeft w:val="0"/>
      <w:marRight w:val="0"/>
      <w:marTop w:val="0"/>
      <w:marBottom w:val="0"/>
      <w:divBdr>
        <w:top w:val="none" w:sz="0" w:space="0" w:color="auto"/>
        <w:left w:val="none" w:sz="0" w:space="0" w:color="auto"/>
        <w:bottom w:val="none" w:sz="0" w:space="0" w:color="auto"/>
        <w:right w:val="none" w:sz="0" w:space="0" w:color="auto"/>
      </w:divBdr>
    </w:div>
    <w:div w:id="1501889649">
      <w:bodyDiv w:val="1"/>
      <w:marLeft w:val="0"/>
      <w:marRight w:val="0"/>
      <w:marTop w:val="0"/>
      <w:marBottom w:val="0"/>
      <w:divBdr>
        <w:top w:val="single" w:sz="2" w:space="0" w:color="000000"/>
        <w:left w:val="none" w:sz="0" w:space="0" w:color="auto"/>
        <w:bottom w:val="none" w:sz="0" w:space="0" w:color="auto"/>
        <w:right w:val="none" w:sz="0" w:space="0" w:color="auto"/>
      </w:divBdr>
      <w:divsChild>
        <w:div w:id="1978143604">
          <w:marLeft w:val="0"/>
          <w:marRight w:val="0"/>
          <w:marTop w:val="300"/>
          <w:marBottom w:val="300"/>
          <w:divBdr>
            <w:top w:val="none" w:sz="0" w:space="0" w:color="auto"/>
            <w:left w:val="none" w:sz="0" w:space="0" w:color="auto"/>
            <w:bottom w:val="none" w:sz="0" w:space="0" w:color="auto"/>
            <w:right w:val="none" w:sz="0" w:space="0" w:color="auto"/>
          </w:divBdr>
          <w:divsChild>
            <w:div w:id="438531427">
              <w:marLeft w:val="0"/>
              <w:marRight w:val="0"/>
              <w:marTop w:val="0"/>
              <w:marBottom w:val="0"/>
              <w:divBdr>
                <w:top w:val="none" w:sz="0" w:space="0" w:color="auto"/>
                <w:left w:val="none" w:sz="0" w:space="0" w:color="auto"/>
                <w:bottom w:val="none" w:sz="0" w:space="0" w:color="auto"/>
                <w:right w:val="none" w:sz="0" w:space="0" w:color="auto"/>
              </w:divBdr>
              <w:divsChild>
                <w:div w:id="1451630138">
                  <w:marLeft w:val="0"/>
                  <w:marRight w:val="0"/>
                  <w:marTop w:val="0"/>
                  <w:marBottom w:val="0"/>
                  <w:divBdr>
                    <w:top w:val="none" w:sz="0" w:space="0" w:color="auto"/>
                    <w:left w:val="none" w:sz="0" w:space="0" w:color="auto"/>
                    <w:bottom w:val="none" w:sz="0" w:space="0" w:color="auto"/>
                    <w:right w:val="none" w:sz="0" w:space="0" w:color="auto"/>
                  </w:divBdr>
                  <w:divsChild>
                    <w:div w:id="1880431660">
                      <w:marLeft w:val="0"/>
                      <w:marRight w:val="0"/>
                      <w:marTop w:val="0"/>
                      <w:marBottom w:val="0"/>
                      <w:divBdr>
                        <w:top w:val="none" w:sz="0" w:space="0" w:color="auto"/>
                        <w:left w:val="none" w:sz="0" w:space="0" w:color="auto"/>
                        <w:bottom w:val="none" w:sz="0" w:space="0" w:color="auto"/>
                        <w:right w:val="none" w:sz="0" w:space="0" w:color="auto"/>
                      </w:divBdr>
                      <w:divsChild>
                        <w:div w:id="169488734">
                          <w:marLeft w:val="0"/>
                          <w:marRight w:val="0"/>
                          <w:marTop w:val="0"/>
                          <w:marBottom w:val="0"/>
                          <w:divBdr>
                            <w:top w:val="none" w:sz="0" w:space="0" w:color="auto"/>
                            <w:left w:val="none" w:sz="0" w:space="0" w:color="auto"/>
                            <w:bottom w:val="none" w:sz="0" w:space="0" w:color="auto"/>
                            <w:right w:val="none" w:sz="0" w:space="0" w:color="auto"/>
                          </w:divBdr>
                          <w:divsChild>
                            <w:div w:id="7329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55356">
      <w:bodyDiv w:val="1"/>
      <w:marLeft w:val="0"/>
      <w:marRight w:val="0"/>
      <w:marTop w:val="0"/>
      <w:marBottom w:val="0"/>
      <w:divBdr>
        <w:top w:val="none" w:sz="0" w:space="0" w:color="auto"/>
        <w:left w:val="none" w:sz="0" w:space="0" w:color="auto"/>
        <w:bottom w:val="none" w:sz="0" w:space="0" w:color="auto"/>
        <w:right w:val="none" w:sz="0" w:space="0" w:color="auto"/>
      </w:divBdr>
    </w:div>
    <w:div w:id="1594977117">
      <w:bodyDiv w:val="1"/>
      <w:marLeft w:val="0"/>
      <w:marRight w:val="0"/>
      <w:marTop w:val="0"/>
      <w:marBottom w:val="0"/>
      <w:divBdr>
        <w:top w:val="none" w:sz="0" w:space="0" w:color="auto"/>
        <w:left w:val="none" w:sz="0" w:space="0" w:color="auto"/>
        <w:bottom w:val="none" w:sz="0" w:space="0" w:color="auto"/>
        <w:right w:val="none" w:sz="0" w:space="0" w:color="auto"/>
      </w:divBdr>
    </w:div>
    <w:div w:id="1640652291">
      <w:bodyDiv w:val="1"/>
      <w:marLeft w:val="0"/>
      <w:marRight w:val="0"/>
      <w:marTop w:val="0"/>
      <w:marBottom w:val="0"/>
      <w:divBdr>
        <w:top w:val="none" w:sz="0" w:space="0" w:color="auto"/>
        <w:left w:val="none" w:sz="0" w:space="0" w:color="auto"/>
        <w:bottom w:val="none" w:sz="0" w:space="0" w:color="auto"/>
        <w:right w:val="none" w:sz="0" w:space="0" w:color="auto"/>
      </w:divBdr>
    </w:div>
    <w:div w:id="1654528896">
      <w:bodyDiv w:val="1"/>
      <w:marLeft w:val="0"/>
      <w:marRight w:val="0"/>
      <w:marTop w:val="0"/>
      <w:marBottom w:val="0"/>
      <w:divBdr>
        <w:top w:val="none" w:sz="0" w:space="0" w:color="auto"/>
        <w:left w:val="none" w:sz="0" w:space="0" w:color="auto"/>
        <w:bottom w:val="none" w:sz="0" w:space="0" w:color="auto"/>
        <w:right w:val="none" w:sz="0" w:space="0" w:color="auto"/>
      </w:divBdr>
    </w:div>
    <w:div w:id="1766728941">
      <w:bodyDiv w:val="1"/>
      <w:marLeft w:val="0"/>
      <w:marRight w:val="0"/>
      <w:marTop w:val="0"/>
      <w:marBottom w:val="0"/>
      <w:divBdr>
        <w:top w:val="none" w:sz="0" w:space="0" w:color="auto"/>
        <w:left w:val="none" w:sz="0" w:space="0" w:color="auto"/>
        <w:bottom w:val="none" w:sz="0" w:space="0" w:color="auto"/>
        <w:right w:val="none" w:sz="0" w:space="0" w:color="auto"/>
      </w:divBdr>
    </w:div>
    <w:div w:id="1971353579">
      <w:bodyDiv w:val="1"/>
      <w:marLeft w:val="0"/>
      <w:marRight w:val="0"/>
      <w:marTop w:val="0"/>
      <w:marBottom w:val="0"/>
      <w:divBdr>
        <w:top w:val="none" w:sz="0" w:space="0" w:color="auto"/>
        <w:left w:val="none" w:sz="0" w:space="0" w:color="auto"/>
        <w:bottom w:val="none" w:sz="0" w:space="0" w:color="auto"/>
        <w:right w:val="none" w:sz="0" w:space="0" w:color="auto"/>
      </w:divBdr>
    </w:div>
    <w:div w:id="1991517631">
      <w:bodyDiv w:val="1"/>
      <w:marLeft w:val="0"/>
      <w:marRight w:val="0"/>
      <w:marTop w:val="0"/>
      <w:marBottom w:val="0"/>
      <w:divBdr>
        <w:top w:val="none" w:sz="0" w:space="0" w:color="auto"/>
        <w:left w:val="none" w:sz="0" w:space="0" w:color="auto"/>
        <w:bottom w:val="none" w:sz="0" w:space="0" w:color="auto"/>
        <w:right w:val="none" w:sz="0" w:space="0" w:color="auto"/>
      </w:divBdr>
    </w:div>
    <w:div w:id="204613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s://static.ffx.io/images/$width_620/t_resize_width%2Cq_88%2Cf_auto/e7bc466e452c8d366842fed5e3624b814e80029f"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2bdc\Data\rm%20Knowledge%20Management\Housing%20Policy,%20Research,%20Reference\Smarter%20Cities%202021\Smart%20Cities%20Graphs%20202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2bdc\Data\rm%20Knowledge%20Management\Housing%20Policy,%20Research,%20Reference\Smarter%20Cities%202021\Smart%20Cities%20Graphs%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t>Rent</a:t>
            </a:r>
            <a:r>
              <a:rPr lang="en-US" baseline="0" dirty="0"/>
              <a:t> S</a:t>
            </a:r>
            <a:r>
              <a:rPr lang="en-US" dirty="0"/>
              <a:t>tress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'Rent Stress'!$B$1</c:f>
              <c:strCache>
                <c:ptCount val="1"/>
                <c:pt idx="0">
                  <c:v>rent_stress</c:v>
                </c:pt>
              </c:strCache>
            </c:strRef>
          </c:tx>
          <c:spPr>
            <a:solidFill>
              <a:schemeClr val="accent1"/>
            </a:solidFill>
            <a:ln>
              <a:noFill/>
            </a:ln>
            <a:effectLst/>
          </c:spPr>
          <c:invertIfNegative val="0"/>
          <c:dPt>
            <c:idx val="7"/>
            <c:invertIfNegative val="0"/>
            <c:bubble3D val="0"/>
            <c:spPr>
              <a:solidFill>
                <a:srgbClr val="C00000"/>
              </a:solidFill>
              <a:ln>
                <a:noFill/>
              </a:ln>
              <a:effectLst/>
            </c:spPr>
            <c:extLst>
              <c:ext xmlns:c16="http://schemas.microsoft.com/office/drawing/2014/chart" uri="{C3380CC4-5D6E-409C-BE32-E72D297353CC}">
                <c16:uniqueId val="{00000001-D92B-4304-83F2-0A4C41BAFA81}"/>
              </c:ext>
            </c:extLst>
          </c:dPt>
          <c:dPt>
            <c:idx val="12"/>
            <c:invertIfNegative val="0"/>
            <c:bubble3D val="0"/>
            <c:spPr>
              <a:solidFill>
                <a:srgbClr val="C00000"/>
              </a:solidFill>
              <a:ln>
                <a:noFill/>
              </a:ln>
              <a:effectLst/>
            </c:spPr>
            <c:extLst>
              <c:ext xmlns:c16="http://schemas.microsoft.com/office/drawing/2014/chart" uri="{C3380CC4-5D6E-409C-BE32-E72D297353CC}">
                <c16:uniqueId val="{00000003-D92B-4304-83F2-0A4C41BAFA81}"/>
              </c:ext>
            </c:extLst>
          </c:dPt>
          <c:dPt>
            <c:idx val="16"/>
            <c:invertIfNegative val="0"/>
            <c:bubble3D val="0"/>
            <c:spPr>
              <a:solidFill>
                <a:srgbClr val="C00000"/>
              </a:solidFill>
              <a:ln>
                <a:noFill/>
              </a:ln>
              <a:effectLst/>
            </c:spPr>
            <c:extLst>
              <c:ext xmlns:c16="http://schemas.microsoft.com/office/drawing/2014/chart" uri="{C3380CC4-5D6E-409C-BE32-E72D297353CC}">
                <c16:uniqueId val="{00000005-D92B-4304-83F2-0A4C41BAFA81}"/>
              </c:ext>
            </c:extLst>
          </c:dPt>
          <c:dPt>
            <c:idx val="17"/>
            <c:invertIfNegative val="0"/>
            <c:bubble3D val="0"/>
            <c:spPr>
              <a:solidFill>
                <a:srgbClr val="C00000"/>
              </a:solidFill>
              <a:ln>
                <a:noFill/>
              </a:ln>
              <a:effectLst/>
            </c:spPr>
            <c:extLst>
              <c:ext xmlns:c16="http://schemas.microsoft.com/office/drawing/2014/chart" uri="{C3380CC4-5D6E-409C-BE32-E72D297353CC}">
                <c16:uniqueId val="{00000007-D92B-4304-83F2-0A4C41BAFA81}"/>
              </c:ext>
            </c:extLst>
          </c:dPt>
          <c:dPt>
            <c:idx val="18"/>
            <c:invertIfNegative val="0"/>
            <c:bubble3D val="0"/>
            <c:spPr>
              <a:solidFill>
                <a:srgbClr val="C00000"/>
              </a:solidFill>
              <a:ln>
                <a:noFill/>
              </a:ln>
              <a:effectLst/>
            </c:spPr>
            <c:extLst>
              <c:ext xmlns:c16="http://schemas.microsoft.com/office/drawing/2014/chart" uri="{C3380CC4-5D6E-409C-BE32-E72D297353CC}">
                <c16:uniqueId val="{00000009-D92B-4304-83F2-0A4C41BAFA81}"/>
              </c:ext>
            </c:extLst>
          </c:dPt>
          <c:dPt>
            <c:idx val="20"/>
            <c:invertIfNegative val="0"/>
            <c:bubble3D val="0"/>
            <c:spPr>
              <a:solidFill>
                <a:srgbClr val="C00000"/>
              </a:solidFill>
              <a:ln>
                <a:noFill/>
              </a:ln>
              <a:effectLst/>
            </c:spPr>
            <c:extLst>
              <c:ext xmlns:c16="http://schemas.microsoft.com/office/drawing/2014/chart" uri="{C3380CC4-5D6E-409C-BE32-E72D297353CC}">
                <c16:uniqueId val="{0000000B-D92B-4304-83F2-0A4C41BAFA81}"/>
              </c:ext>
            </c:extLst>
          </c:dPt>
          <c:dPt>
            <c:idx val="21"/>
            <c:invertIfNegative val="0"/>
            <c:bubble3D val="0"/>
            <c:spPr>
              <a:solidFill>
                <a:srgbClr val="C00000"/>
              </a:solidFill>
              <a:ln>
                <a:noFill/>
              </a:ln>
              <a:effectLst/>
            </c:spPr>
            <c:extLst>
              <c:ext xmlns:c16="http://schemas.microsoft.com/office/drawing/2014/chart" uri="{C3380CC4-5D6E-409C-BE32-E72D297353CC}">
                <c16:uniqueId val="{0000000D-D92B-4304-83F2-0A4C41BAFA81}"/>
              </c:ext>
            </c:extLst>
          </c:dPt>
          <c:cat>
            <c:strRef>
              <c:f>'Rent Stress'!$A$2:$A$23</c:f>
              <c:strCache>
                <c:ptCount val="22"/>
                <c:pt idx="0">
                  <c:v>Canberra</c:v>
                </c:pt>
                <c:pt idx="1">
                  <c:v>Perth</c:v>
                </c:pt>
                <c:pt idx="2">
                  <c:v>Darwin</c:v>
                </c:pt>
                <c:pt idx="3">
                  <c:v>Geelong</c:v>
                </c:pt>
                <c:pt idx="4">
                  <c:v>Adelaide</c:v>
                </c:pt>
                <c:pt idx="5">
                  <c:v>Hobart</c:v>
                </c:pt>
                <c:pt idx="6">
                  <c:v>Melbourne</c:v>
                </c:pt>
                <c:pt idx="7">
                  <c:v>Mackay</c:v>
                </c:pt>
                <c:pt idx="8">
                  <c:v>Newcastle</c:v>
                </c:pt>
                <c:pt idx="9">
                  <c:v>Ballarat</c:v>
                </c:pt>
                <c:pt idx="10">
                  <c:v>Bendigo</c:v>
                </c:pt>
                <c:pt idx="11">
                  <c:v>Albury - Wodonga</c:v>
                </c:pt>
                <c:pt idx="12">
                  <c:v>Toowoomba</c:v>
                </c:pt>
                <c:pt idx="13">
                  <c:v>Wollongong</c:v>
                </c:pt>
                <c:pt idx="14">
                  <c:v>Launceston</c:v>
                </c:pt>
                <c:pt idx="15">
                  <c:v>Western Sydney</c:v>
                </c:pt>
                <c:pt idx="16">
                  <c:v>Brisbane</c:v>
                </c:pt>
                <c:pt idx="17">
                  <c:v>Townsville</c:v>
                </c:pt>
                <c:pt idx="18">
                  <c:v>Sunshine Coast</c:v>
                </c:pt>
                <c:pt idx="19">
                  <c:v>Sydney</c:v>
                </c:pt>
                <c:pt idx="20">
                  <c:v>Cairns</c:v>
                </c:pt>
                <c:pt idx="21">
                  <c:v>Gold Coast - Tweed</c:v>
                </c:pt>
              </c:strCache>
            </c:strRef>
          </c:cat>
          <c:val>
            <c:numRef>
              <c:f>'Rent Stress'!$B$2:$B$23</c:f>
              <c:numCache>
                <c:formatCode>General</c:formatCode>
                <c:ptCount val="22"/>
                <c:pt idx="0">
                  <c:v>8.1000000000000003E-2</c:v>
                </c:pt>
                <c:pt idx="1">
                  <c:v>9.9000000000000005E-2</c:v>
                </c:pt>
                <c:pt idx="2">
                  <c:v>0.1</c:v>
                </c:pt>
                <c:pt idx="3">
                  <c:v>0.10299999999999999</c:v>
                </c:pt>
                <c:pt idx="4">
                  <c:v>0.109</c:v>
                </c:pt>
                <c:pt idx="5">
                  <c:v>0.109</c:v>
                </c:pt>
                <c:pt idx="6">
                  <c:v>0.11</c:v>
                </c:pt>
                <c:pt idx="7">
                  <c:v>0.111</c:v>
                </c:pt>
                <c:pt idx="8">
                  <c:v>0.11899999999999999</c:v>
                </c:pt>
                <c:pt idx="9">
                  <c:v>0.11899999999999999</c:v>
                </c:pt>
                <c:pt idx="10">
                  <c:v>0.11899999999999999</c:v>
                </c:pt>
                <c:pt idx="11">
                  <c:v>0.12</c:v>
                </c:pt>
                <c:pt idx="12">
                  <c:v>0.12</c:v>
                </c:pt>
                <c:pt idx="13">
                  <c:v>0.124</c:v>
                </c:pt>
                <c:pt idx="14">
                  <c:v>0.126</c:v>
                </c:pt>
                <c:pt idx="15">
                  <c:v>0.126</c:v>
                </c:pt>
                <c:pt idx="16">
                  <c:v>0.129</c:v>
                </c:pt>
                <c:pt idx="17">
                  <c:v>0.13500000000000001</c:v>
                </c:pt>
                <c:pt idx="18">
                  <c:v>0.13800000000000001</c:v>
                </c:pt>
                <c:pt idx="19">
                  <c:v>0.14199999999999999</c:v>
                </c:pt>
                <c:pt idx="20">
                  <c:v>0.155</c:v>
                </c:pt>
                <c:pt idx="21">
                  <c:v>0.16500000000000001</c:v>
                </c:pt>
              </c:numCache>
            </c:numRef>
          </c:val>
          <c:extLst>
            <c:ext xmlns:c16="http://schemas.microsoft.com/office/drawing/2014/chart" uri="{C3380CC4-5D6E-409C-BE32-E72D297353CC}">
              <c16:uniqueId val="{0000000E-D92B-4304-83F2-0A4C41BAFA81}"/>
            </c:ext>
          </c:extLst>
        </c:ser>
        <c:dLbls>
          <c:showLegendKey val="0"/>
          <c:showVal val="0"/>
          <c:showCatName val="0"/>
          <c:showSerName val="0"/>
          <c:showPercent val="0"/>
          <c:showBubbleSize val="0"/>
        </c:dLbls>
        <c:gapWidth val="219"/>
        <c:overlap val="-27"/>
        <c:axId val="712945832"/>
        <c:axId val="712947144"/>
      </c:barChart>
      <c:catAx>
        <c:axId val="71294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947144"/>
        <c:crosses val="autoZero"/>
        <c:auto val="1"/>
        <c:lblAlgn val="ctr"/>
        <c:lblOffset val="100"/>
        <c:noMultiLvlLbl val="0"/>
      </c:catAx>
      <c:valAx>
        <c:axId val="71294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945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t>Social</a:t>
            </a:r>
            <a:r>
              <a:rPr lang="en-US" baseline="0" dirty="0"/>
              <a:t> Housing as % of all dwellings </a:t>
            </a:r>
            <a:endParaRPr lang="en-US" dirty="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'Public Housing'!$B$1</c:f>
              <c:strCache>
                <c:ptCount val="1"/>
                <c:pt idx="0">
                  <c:v>public_housing</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D961-40F6-8137-9C814B902F7F}"/>
              </c:ext>
            </c:extLst>
          </c:dPt>
          <c:dPt>
            <c:idx val="1"/>
            <c:invertIfNegative val="0"/>
            <c:bubble3D val="0"/>
            <c:spPr>
              <a:solidFill>
                <a:srgbClr val="C00000"/>
              </a:solidFill>
              <a:ln>
                <a:noFill/>
              </a:ln>
              <a:effectLst/>
            </c:spPr>
            <c:extLst>
              <c:ext xmlns:c16="http://schemas.microsoft.com/office/drawing/2014/chart" uri="{C3380CC4-5D6E-409C-BE32-E72D297353CC}">
                <c16:uniqueId val="{00000003-D961-40F6-8137-9C814B902F7F}"/>
              </c:ext>
            </c:extLst>
          </c:dPt>
          <c:dPt>
            <c:idx val="3"/>
            <c:invertIfNegative val="0"/>
            <c:bubble3D val="0"/>
            <c:spPr>
              <a:solidFill>
                <a:srgbClr val="C00000"/>
              </a:solidFill>
              <a:ln>
                <a:noFill/>
              </a:ln>
              <a:effectLst/>
            </c:spPr>
            <c:extLst>
              <c:ext xmlns:c16="http://schemas.microsoft.com/office/drawing/2014/chart" uri="{C3380CC4-5D6E-409C-BE32-E72D297353CC}">
                <c16:uniqueId val="{00000005-D961-40F6-8137-9C814B902F7F}"/>
              </c:ext>
            </c:extLst>
          </c:dPt>
          <c:dPt>
            <c:idx val="6"/>
            <c:invertIfNegative val="0"/>
            <c:bubble3D val="0"/>
            <c:spPr>
              <a:solidFill>
                <a:srgbClr val="C00000"/>
              </a:solidFill>
              <a:ln>
                <a:noFill/>
              </a:ln>
              <a:effectLst/>
            </c:spPr>
            <c:extLst>
              <c:ext xmlns:c16="http://schemas.microsoft.com/office/drawing/2014/chart" uri="{C3380CC4-5D6E-409C-BE32-E72D297353CC}">
                <c16:uniqueId val="{00000007-D961-40F6-8137-9C814B902F7F}"/>
              </c:ext>
            </c:extLst>
          </c:dPt>
          <c:dPt>
            <c:idx val="7"/>
            <c:invertIfNegative val="0"/>
            <c:bubble3D val="0"/>
            <c:spPr>
              <a:solidFill>
                <a:srgbClr val="C00000"/>
              </a:solidFill>
              <a:ln>
                <a:noFill/>
              </a:ln>
              <a:effectLst/>
            </c:spPr>
            <c:extLst>
              <c:ext xmlns:c16="http://schemas.microsoft.com/office/drawing/2014/chart" uri="{C3380CC4-5D6E-409C-BE32-E72D297353CC}">
                <c16:uniqueId val="{00000009-D961-40F6-8137-9C814B902F7F}"/>
              </c:ext>
            </c:extLst>
          </c:dPt>
          <c:dPt>
            <c:idx val="9"/>
            <c:invertIfNegative val="0"/>
            <c:bubble3D val="0"/>
            <c:spPr>
              <a:solidFill>
                <a:srgbClr val="C00000"/>
              </a:solidFill>
              <a:ln>
                <a:noFill/>
              </a:ln>
              <a:effectLst/>
            </c:spPr>
            <c:extLst>
              <c:ext xmlns:c16="http://schemas.microsoft.com/office/drawing/2014/chart" uri="{C3380CC4-5D6E-409C-BE32-E72D297353CC}">
                <c16:uniqueId val="{0000000B-D961-40F6-8137-9C814B902F7F}"/>
              </c:ext>
            </c:extLst>
          </c:dPt>
          <c:dPt>
            <c:idx val="12"/>
            <c:invertIfNegative val="0"/>
            <c:bubble3D val="0"/>
            <c:spPr>
              <a:solidFill>
                <a:srgbClr val="C00000"/>
              </a:solidFill>
              <a:ln>
                <a:noFill/>
              </a:ln>
              <a:effectLst/>
            </c:spPr>
            <c:extLst>
              <c:ext xmlns:c16="http://schemas.microsoft.com/office/drawing/2014/chart" uri="{C3380CC4-5D6E-409C-BE32-E72D297353CC}">
                <c16:uniqueId val="{0000000D-D961-40F6-8137-9C814B902F7F}"/>
              </c:ext>
            </c:extLst>
          </c:dPt>
          <c:cat>
            <c:strRef>
              <c:f>'Public Housing'!$A$2:$A$23</c:f>
              <c:strCache>
                <c:ptCount val="22"/>
                <c:pt idx="0">
                  <c:v>Gold Coast - Tweed</c:v>
                </c:pt>
                <c:pt idx="1">
                  <c:v>Sunshine Coast</c:v>
                </c:pt>
                <c:pt idx="2">
                  <c:v>Melbourne</c:v>
                </c:pt>
                <c:pt idx="3">
                  <c:v>Toowoomba</c:v>
                </c:pt>
                <c:pt idx="4">
                  <c:v>Perth</c:v>
                </c:pt>
                <c:pt idx="5">
                  <c:v>Geelong</c:v>
                </c:pt>
                <c:pt idx="6">
                  <c:v>Brisbane</c:v>
                </c:pt>
                <c:pt idx="7">
                  <c:v>Cairns</c:v>
                </c:pt>
                <c:pt idx="8">
                  <c:v>Bendigo</c:v>
                </c:pt>
                <c:pt idx="9">
                  <c:v>Townsville</c:v>
                </c:pt>
                <c:pt idx="10">
                  <c:v>Ballarat</c:v>
                </c:pt>
                <c:pt idx="11">
                  <c:v>Sydney</c:v>
                </c:pt>
                <c:pt idx="12">
                  <c:v>Mackay</c:v>
                </c:pt>
                <c:pt idx="13">
                  <c:v>Albury - Wodonga</c:v>
                </c:pt>
                <c:pt idx="14">
                  <c:v>Darwin</c:v>
                </c:pt>
                <c:pt idx="15">
                  <c:v>Newcastle</c:v>
                </c:pt>
                <c:pt idx="16">
                  <c:v>Western Sydney</c:v>
                </c:pt>
                <c:pt idx="17">
                  <c:v>Hobart</c:v>
                </c:pt>
                <c:pt idx="18">
                  <c:v>Adelaide</c:v>
                </c:pt>
                <c:pt idx="19">
                  <c:v>Canberra</c:v>
                </c:pt>
                <c:pt idx="20">
                  <c:v>Launceston</c:v>
                </c:pt>
                <c:pt idx="21">
                  <c:v>Wollongong</c:v>
                </c:pt>
              </c:strCache>
            </c:strRef>
          </c:cat>
          <c:val>
            <c:numRef>
              <c:f>'Public Housing'!$B$2:$B$23</c:f>
              <c:numCache>
                <c:formatCode>0.00%</c:formatCode>
                <c:ptCount val="22"/>
                <c:pt idx="0">
                  <c:v>2.2118243999999999E-2</c:v>
                </c:pt>
                <c:pt idx="1">
                  <c:v>2.3015583999999999E-2</c:v>
                </c:pt>
                <c:pt idx="2">
                  <c:v>2.5780063999999998E-2</c:v>
                </c:pt>
                <c:pt idx="3">
                  <c:v>2.9211834999999998E-2</c:v>
                </c:pt>
                <c:pt idx="4">
                  <c:v>3.1097280000000001E-2</c:v>
                </c:pt>
                <c:pt idx="5">
                  <c:v>3.4395738000000002E-2</c:v>
                </c:pt>
                <c:pt idx="6">
                  <c:v>3.6070357999999997E-2</c:v>
                </c:pt>
                <c:pt idx="7">
                  <c:v>4.0459114999999997E-2</c:v>
                </c:pt>
                <c:pt idx="8">
                  <c:v>4.4758726999999998E-2</c:v>
                </c:pt>
                <c:pt idx="9">
                  <c:v>4.4774067000000001E-2</c:v>
                </c:pt>
                <c:pt idx="10">
                  <c:v>4.5446578000000001E-2</c:v>
                </c:pt>
                <c:pt idx="11">
                  <c:v>4.5792848999999997E-2</c:v>
                </c:pt>
                <c:pt idx="12">
                  <c:v>4.6089018000000002E-2</c:v>
                </c:pt>
                <c:pt idx="13">
                  <c:v>4.9592352999999999E-2</c:v>
                </c:pt>
                <c:pt idx="14">
                  <c:v>5.5453979E-2</c:v>
                </c:pt>
                <c:pt idx="15">
                  <c:v>5.6372809000000003E-2</c:v>
                </c:pt>
                <c:pt idx="16">
                  <c:v>5.8117970999999997E-2</c:v>
                </c:pt>
                <c:pt idx="17">
                  <c:v>5.8975468000000003E-2</c:v>
                </c:pt>
                <c:pt idx="18">
                  <c:v>6.1850883000000002E-2</c:v>
                </c:pt>
                <c:pt idx="19">
                  <c:v>6.1898632000000002E-2</c:v>
                </c:pt>
                <c:pt idx="20">
                  <c:v>6.2404299000000003E-2</c:v>
                </c:pt>
                <c:pt idx="21">
                  <c:v>6.9553586000000001E-2</c:v>
                </c:pt>
              </c:numCache>
            </c:numRef>
          </c:val>
          <c:extLst>
            <c:ext xmlns:c16="http://schemas.microsoft.com/office/drawing/2014/chart" uri="{C3380CC4-5D6E-409C-BE32-E72D297353CC}">
              <c16:uniqueId val="{0000000E-D961-40F6-8137-9C814B902F7F}"/>
            </c:ext>
          </c:extLst>
        </c:ser>
        <c:dLbls>
          <c:showLegendKey val="0"/>
          <c:showVal val="0"/>
          <c:showCatName val="0"/>
          <c:showSerName val="0"/>
          <c:showPercent val="0"/>
          <c:showBubbleSize val="0"/>
        </c:dLbls>
        <c:gapWidth val="219"/>
        <c:overlap val="-27"/>
        <c:axId val="423630016"/>
        <c:axId val="423631328"/>
      </c:barChart>
      <c:catAx>
        <c:axId val="42363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631328"/>
        <c:crosses val="autoZero"/>
        <c:auto val="1"/>
        <c:lblAlgn val="ctr"/>
        <c:lblOffset val="100"/>
        <c:noMultiLvlLbl val="0"/>
      </c:catAx>
      <c:valAx>
        <c:axId val="42363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630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0.04898</cdr:x>
      <cdr:y>0.34114</cdr:y>
    </cdr:from>
    <cdr:to>
      <cdr:x>1</cdr:x>
      <cdr:y>0.34114</cdr:y>
    </cdr:to>
    <cdr:cxnSp macro="">
      <cdr:nvCxnSpPr>
        <cdr:cNvPr id="2" name="Straight Connector 1">
          <a:extLst xmlns:a="http://schemas.openxmlformats.org/drawingml/2006/main">
            <a:ext uri="{FF2B5EF4-FFF2-40B4-BE49-F238E27FC236}">
              <a16:creationId xmlns:a16="http://schemas.microsoft.com/office/drawing/2014/main" id="{DF16462B-6186-4EDA-BAFD-296FC028F870}"/>
            </a:ext>
          </a:extLst>
        </cdr:cNvPr>
        <cdr:cNvCxnSpPr/>
      </cdr:nvCxnSpPr>
      <cdr:spPr>
        <a:xfrm xmlns:a="http://schemas.openxmlformats.org/drawingml/2006/main">
          <a:off x="363301" y="1320983"/>
          <a:ext cx="7053523" cy="0"/>
        </a:xfrm>
        <a:prstGeom xmlns:a="http://schemas.openxmlformats.org/drawingml/2006/main" prst="line">
          <a:avLst/>
        </a:prstGeom>
        <a:ln xmlns:a="http://schemas.openxmlformats.org/drawingml/2006/main" w="28575">
          <a:solidFill>
            <a:srgbClr val="C0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0.09618</cdr:x>
      <cdr:y>0.40063</cdr:y>
    </cdr:from>
    <cdr:to>
      <cdr:x>0.99025</cdr:x>
      <cdr:y>0.40063</cdr:y>
    </cdr:to>
    <cdr:cxnSp macro="">
      <cdr:nvCxnSpPr>
        <cdr:cNvPr id="2" name="Straight Connector 1">
          <a:extLst xmlns:a="http://schemas.openxmlformats.org/drawingml/2006/main">
            <a:ext uri="{FF2B5EF4-FFF2-40B4-BE49-F238E27FC236}">
              <a16:creationId xmlns:a16="http://schemas.microsoft.com/office/drawing/2014/main" id="{6EE17281-90D0-41C0-80E1-F9F1E4FC7D61}"/>
            </a:ext>
          </a:extLst>
        </cdr:cNvPr>
        <cdr:cNvCxnSpPr/>
      </cdr:nvCxnSpPr>
      <cdr:spPr>
        <a:xfrm xmlns:a="http://schemas.openxmlformats.org/drawingml/2006/main">
          <a:off x="678407" y="1481702"/>
          <a:ext cx="6306369" cy="0"/>
        </a:xfrm>
        <a:prstGeom xmlns:a="http://schemas.openxmlformats.org/drawingml/2006/main" prst="line">
          <a:avLst/>
        </a:prstGeom>
        <a:ln xmlns:a="http://schemas.openxmlformats.org/drawingml/2006/main" w="28575">
          <a:solidFill>
            <a:srgbClr val="C0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C4DC-1E47-4BA3-A979-29829C21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Submission 5 - Community Housing Limited (CHL) - Housing and Homelessness Agreement - Commissioned study</vt:lpstr>
    </vt:vector>
  </TitlesOfParts>
  <Company>Community Housing Limited (CHL)</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Community Housing Limited (CHL) - Housing and Homelessness Agreement - Commissioned study</dc:title>
  <dc:subject/>
  <dc:creator>Community Housing Limited (CHL)</dc:creator>
  <cp:keywords/>
  <dc:description/>
  <cp:lastModifiedBy>Dobson, Bianca</cp:lastModifiedBy>
  <cp:revision>14</cp:revision>
  <cp:lastPrinted>2022-02-13T23:59:00Z</cp:lastPrinted>
  <dcterms:created xsi:type="dcterms:W3CDTF">2022-02-13T23:35:00Z</dcterms:created>
  <dcterms:modified xsi:type="dcterms:W3CDTF">2022-02-14T00:08:00Z</dcterms:modified>
</cp:coreProperties>
</file>