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4A608" w14:textId="4D7A4F51" w:rsidR="0026144F" w:rsidRPr="00E01104" w:rsidRDefault="0026144F" w:rsidP="0026144F">
      <w:pPr>
        <w:pStyle w:val="Heading1"/>
        <w:jc w:val="center"/>
        <w:rPr>
          <w:rFonts w:asciiTheme="minorHAnsi" w:hAnsiTheme="minorHAnsi" w:cstheme="minorHAnsi"/>
        </w:rPr>
      </w:pPr>
      <w:r w:rsidRPr="00E01104">
        <w:rPr>
          <w:rFonts w:asciiTheme="minorHAnsi" w:hAnsiTheme="minorHAnsi" w:cstheme="minorHAnsi"/>
        </w:rPr>
        <w:t>Productivity Commission: Philanthropy inquiry</w:t>
      </w:r>
    </w:p>
    <w:p w14:paraId="3F526932" w14:textId="0BA1D577" w:rsidR="0020399F" w:rsidRPr="007357F6" w:rsidRDefault="0026144F" w:rsidP="007357F6">
      <w:pPr>
        <w:pStyle w:val="Subtitle"/>
        <w:jc w:val="center"/>
        <w:rPr>
          <w:rFonts w:asciiTheme="minorHAnsi" w:hAnsiTheme="minorHAnsi" w:cstheme="minorHAnsi"/>
        </w:rPr>
      </w:pPr>
      <w:bookmarkStart w:id="0" w:name="_i5lvld5mhoct" w:colFirst="0" w:colLast="0"/>
      <w:bookmarkEnd w:id="0"/>
      <w:r w:rsidRPr="00E01104">
        <w:rPr>
          <w:rFonts w:asciiTheme="minorHAnsi" w:hAnsiTheme="minorHAnsi" w:cstheme="minorHAnsi"/>
        </w:rPr>
        <w:t xml:space="preserve">Submission from </w:t>
      </w:r>
      <w:r w:rsidR="00846F86">
        <w:rPr>
          <w:rFonts w:asciiTheme="minorHAnsi" w:hAnsiTheme="minorHAnsi" w:cstheme="minorHAnsi"/>
        </w:rPr>
        <w:t xml:space="preserve">GoodCompany Enterprises and </w:t>
      </w:r>
      <w:r w:rsidR="00846F86">
        <w:rPr>
          <w:rFonts w:asciiTheme="minorHAnsi" w:hAnsiTheme="minorHAnsi" w:cstheme="minorHAnsi"/>
        </w:rPr>
        <w:br/>
        <w:t>the GoodCompany Foundation</w:t>
      </w:r>
      <w:r w:rsidRPr="00E01104">
        <w:rPr>
          <w:rFonts w:asciiTheme="minorHAnsi" w:hAnsiTheme="minorHAnsi" w:cstheme="minorHAnsi"/>
        </w:rPr>
        <w:br/>
      </w:r>
      <w:r w:rsidR="008A4BB8">
        <w:rPr>
          <w:rFonts w:asciiTheme="minorHAnsi" w:hAnsiTheme="minorHAnsi" w:cstheme="minorHAnsi"/>
        </w:rPr>
        <w:t>Thursday 4</w:t>
      </w:r>
      <w:r w:rsidR="008A4BB8" w:rsidRPr="008A4BB8">
        <w:rPr>
          <w:rFonts w:asciiTheme="minorHAnsi" w:hAnsiTheme="minorHAnsi" w:cstheme="minorHAnsi"/>
          <w:vertAlign w:val="superscript"/>
        </w:rPr>
        <w:t>th</w:t>
      </w:r>
      <w:r w:rsidR="008A4BB8">
        <w:rPr>
          <w:rFonts w:asciiTheme="minorHAnsi" w:hAnsiTheme="minorHAnsi" w:cstheme="minorHAnsi"/>
        </w:rPr>
        <w:t xml:space="preserve"> </w:t>
      </w:r>
      <w:r w:rsidR="00846F86">
        <w:rPr>
          <w:rFonts w:asciiTheme="minorHAnsi" w:hAnsiTheme="minorHAnsi" w:cstheme="minorHAnsi"/>
        </w:rPr>
        <w:t>May</w:t>
      </w:r>
      <w:r w:rsidRPr="00E01104">
        <w:rPr>
          <w:rFonts w:asciiTheme="minorHAnsi" w:hAnsiTheme="minorHAnsi" w:cstheme="minorHAnsi"/>
        </w:rPr>
        <w:t xml:space="preserve"> 2023</w:t>
      </w:r>
    </w:p>
    <w:p w14:paraId="3CDA4C9D" w14:textId="4BCE2AF2" w:rsidR="0026144F" w:rsidRPr="00E01104" w:rsidRDefault="0020399F" w:rsidP="00401512">
      <w:pPr>
        <w:pStyle w:val="Heading3"/>
        <w:shd w:val="clear" w:color="auto" w:fill="FFFFFF"/>
        <w:rPr>
          <w:rFonts w:asciiTheme="minorHAnsi" w:hAnsiTheme="minorHAnsi" w:cstheme="minorHAnsi"/>
          <w:b/>
          <w:bCs/>
          <w:color w:val="2C2C2C"/>
          <w:spacing w:val="7"/>
        </w:rPr>
      </w:pPr>
      <w:r w:rsidRPr="00E01104">
        <w:rPr>
          <w:rFonts w:asciiTheme="minorHAnsi" w:hAnsiTheme="minorHAnsi" w:cstheme="minorHAnsi"/>
          <w:b/>
          <w:bCs/>
          <w:color w:val="2C2C2C"/>
          <w:spacing w:val="7"/>
        </w:rPr>
        <w:t>Introduction</w:t>
      </w:r>
    </w:p>
    <w:p w14:paraId="4A241741" w14:textId="77777777" w:rsidR="00401512" w:rsidRPr="00E01104" w:rsidRDefault="00401512" w:rsidP="0026144F">
      <w:pPr>
        <w:rPr>
          <w:rFonts w:cstheme="minorHAnsi"/>
          <w:lang w:val="en-GB" w:eastAsia="en-AU"/>
        </w:rPr>
      </w:pPr>
    </w:p>
    <w:p w14:paraId="1950BBF8" w14:textId="3C761385" w:rsidR="00401512" w:rsidRPr="00E01104" w:rsidRDefault="00401512" w:rsidP="0026144F">
      <w:pPr>
        <w:rPr>
          <w:rFonts w:cstheme="minorHAnsi"/>
          <w:lang w:val="en-GB" w:eastAsia="en-AU"/>
        </w:rPr>
      </w:pPr>
      <w:r w:rsidRPr="00E01104">
        <w:rPr>
          <w:rFonts w:cstheme="minorHAnsi"/>
          <w:lang w:val="en-GB" w:eastAsia="en-AU"/>
        </w:rPr>
        <w:t xml:space="preserve">My name is </w:t>
      </w:r>
      <w:r w:rsidR="00846F86">
        <w:rPr>
          <w:rFonts w:cstheme="minorHAnsi"/>
          <w:lang w:val="en-GB" w:eastAsia="en-AU"/>
        </w:rPr>
        <w:t>Ash Rosshandler</w:t>
      </w:r>
      <w:r w:rsidRPr="00E01104">
        <w:rPr>
          <w:rFonts w:cstheme="minorHAnsi"/>
          <w:lang w:val="en-GB" w:eastAsia="en-AU"/>
        </w:rPr>
        <w:t>. I</w:t>
      </w:r>
      <w:r w:rsidR="007357F6">
        <w:rPr>
          <w:rFonts w:cstheme="minorHAnsi"/>
          <w:lang w:val="en-GB" w:eastAsia="en-AU"/>
        </w:rPr>
        <w:t>’</w:t>
      </w:r>
      <w:r w:rsidRPr="00E01104">
        <w:rPr>
          <w:rFonts w:cstheme="minorHAnsi"/>
          <w:lang w:val="en-GB" w:eastAsia="en-AU"/>
        </w:rPr>
        <w:t xml:space="preserve">m the </w:t>
      </w:r>
      <w:r w:rsidR="00846F86">
        <w:rPr>
          <w:rFonts w:cstheme="minorHAnsi"/>
          <w:lang w:val="en-GB" w:eastAsia="en-AU"/>
        </w:rPr>
        <w:t>Founder and CEO of GoodCompany</w:t>
      </w:r>
      <w:r w:rsidRPr="00E01104">
        <w:rPr>
          <w:rFonts w:cstheme="minorHAnsi"/>
          <w:lang w:val="en-GB" w:eastAsia="en-AU"/>
        </w:rPr>
        <w:t>, which comprises two entities:</w:t>
      </w:r>
    </w:p>
    <w:p w14:paraId="61F0152D" w14:textId="77777777" w:rsidR="00401512" w:rsidRPr="00E01104" w:rsidRDefault="00401512" w:rsidP="0026144F">
      <w:pPr>
        <w:rPr>
          <w:rFonts w:cstheme="minorHAnsi"/>
          <w:lang w:val="en-GB" w:eastAsia="en-AU"/>
        </w:rPr>
      </w:pPr>
    </w:p>
    <w:p w14:paraId="19185E66" w14:textId="088025EF" w:rsidR="00846F86" w:rsidRDefault="00846F86" w:rsidP="00846F86">
      <w:pPr>
        <w:pStyle w:val="ListParagraph"/>
        <w:numPr>
          <w:ilvl w:val="0"/>
          <w:numId w:val="2"/>
        </w:numPr>
        <w:rPr>
          <w:rFonts w:cstheme="minorHAnsi"/>
          <w:lang w:val="en-GB" w:eastAsia="en-AU"/>
        </w:rPr>
      </w:pPr>
      <w:r>
        <w:rPr>
          <w:rFonts w:cstheme="minorHAnsi"/>
          <w:lang w:val="en-GB" w:eastAsia="en-AU"/>
        </w:rPr>
        <w:t>GoodCompany</w:t>
      </w:r>
      <w:r w:rsidRPr="00E01104">
        <w:rPr>
          <w:rFonts w:cstheme="minorHAnsi"/>
          <w:lang w:val="en-GB" w:eastAsia="en-AU"/>
        </w:rPr>
        <w:t xml:space="preserve"> </w:t>
      </w:r>
      <w:r>
        <w:rPr>
          <w:rFonts w:cstheme="minorHAnsi"/>
          <w:lang w:val="en-GB" w:eastAsia="en-AU"/>
        </w:rPr>
        <w:t xml:space="preserve">Enterprises </w:t>
      </w:r>
      <w:r w:rsidRPr="00E01104">
        <w:rPr>
          <w:rFonts w:cstheme="minorHAnsi"/>
          <w:lang w:val="en-GB" w:eastAsia="en-AU"/>
        </w:rPr>
        <w:t>(a</w:t>
      </w:r>
      <w:r>
        <w:rPr>
          <w:rFonts w:cstheme="minorHAnsi"/>
          <w:lang w:val="en-GB" w:eastAsia="en-AU"/>
        </w:rPr>
        <w:t xml:space="preserve"> social enterprise</w:t>
      </w:r>
      <w:r w:rsidRPr="00E01104">
        <w:rPr>
          <w:rFonts w:cstheme="minorHAnsi"/>
          <w:lang w:val="en-GB" w:eastAsia="en-AU"/>
        </w:rPr>
        <w:t>).</w:t>
      </w:r>
    </w:p>
    <w:p w14:paraId="5310A6AA" w14:textId="499BB016" w:rsidR="00401512" w:rsidRPr="00846F86" w:rsidRDefault="00846F86" w:rsidP="00846F86">
      <w:pPr>
        <w:pStyle w:val="ListParagraph"/>
        <w:numPr>
          <w:ilvl w:val="0"/>
          <w:numId w:val="2"/>
        </w:numPr>
        <w:rPr>
          <w:rFonts w:cstheme="minorHAnsi"/>
          <w:lang w:val="en-GB" w:eastAsia="en-AU"/>
        </w:rPr>
      </w:pPr>
      <w:r w:rsidRPr="00846F86">
        <w:rPr>
          <w:rFonts w:cstheme="minorHAnsi"/>
          <w:lang w:val="en-GB" w:eastAsia="en-AU"/>
        </w:rPr>
        <w:t>GoodCompany</w:t>
      </w:r>
      <w:r w:rsidR="00401512" w:rsidRPr="00846F86">
        <w:rPr>
          <w:rFonts w:cstheme="minorHAnsi"/>
          <w:lang w:val="en-GB" w:eastAsia="en-AU"/>
        </w:rPr>
        <w:t xml:space="preserve"> Foundation (</w:t>
      </w:r>
      <w:r w:rsidR="00AC020B" w:rsidRPr="00846F86">
        <w:rPr>
          <w:rFonts w:cstheme="minorHAnsi"/>
          <w:lang w:val="en-GB" w:eastAsia="en-AU"/>
        </w:rPr>
        <w:t>a</w:t>
      </w:r>
      <w:r w:rsidR="00E01104" w:rsidRPr="00846F86">
        <w:rPr>
          <w:rFonts w:cstheme="minorHAnsi"/>
          <w:lang w:val="en-GB" w:eastAsia="en-AU"/>
        </w:rPr>
        <w:t>n Australian</w:t>
      </w:r>
      <w:r w:rsidR="00AC020B" w:rsidRPr="00846F86">
        <w:rPr>
          <w:rFonts w:cstheme="minorHAnsi"/>
          <w:lang w:val="en-GB" w:eastAsia="en-AU"/>
        </w:rPr>
        <w:t xml:space="preserve"> DGR registered P</w:t>
      </w:r>
      <w:r w:rsidRPr="00846F86">
        <w:rPr>
          <w:rFonts w:cstheme="minorHAnsi"/>
          <w:lang w:val="en-GB" w:eastAsia="en-AU"/>
        </w:rPr>
        <w:t>ublic</w:t>
      </w:r>
      <w:r w:rsidR="00AC020B" w:rsidRPr="00846F86">
        <w:rPr>
          <w:rFonts w:cstheme="minorHAnsi"/>
          <w:lang w:val="en-GB" w:eastAsia="en-AU"/>
        </w:rPr>
        <w:t xml:space="preserve"> Ancillary Fund</w:t>
      </w:r>
      <w:r>
        <w:rPr>
          <w:rFonts w:cstheme="minorHAnsi"/>
          <w:lang w:val="en-GB" w:eastAsia="en-AU"/>
        </w:rPr>
        <w:t xml:space="preserve"> </w:t>
      </w:r>
      <w:r w:rsidR="007357F6">
        <w:rPr>
          <w:rFonts w:cstheme="minorHAnsi"/>
          <w:lang w:val="en-GB" w:eastAsia="en-AU"/>
        </w:rPr>
        <w:t>(</w:t>
      </w:r>
      <w:r>
        <w:rPr>
          <w:rFonts w:cstheme="minorHAnsi"/>
          <w:lang w:val="en-GB" w:eastAsia="en-AU"/>
        </w:rPr>
        <w:t>formally known as the Karma Currency Foundation</w:t>
      </w:r>
      <w:r w:rsidR="00AC020B" w:rsidRPr="00846F86">
        <w:rPr>
          <w:rFonts w:cstheme="minorHAnsi"/>
          <w:lang w:val="en-GB" w:eastAsia="en-AU"/>
        </w:rPr>
        <w:t>)</w:t>
      </w:r>
      <w:r w:rsidR="00401512" w:rsidRPr="00846F86">
        <w:rPr>
          <w:rFonts w:cstheme="minorHAnsi"/>
          <w:lang w:val="en-GB" w:eastAsia="en-AU"/>
        </w:rPr>
        <w:t>; and</w:t>
      </w:r>
    </w:p>
    <w:p w14:paraId="1A96A19F" w14:textId="77777777" w:rsidR="00401512" w:rsidRPr="00E01104" w:rsidRDefault="00401512" w:rsidP="00401512">
      <w:pPr>
        <w:pStyle w:val="ListParagraph"/>
        <w:ind w:left="0"/>
        <w:rPr>
          <w:rFonts w:cstheme="minorHAnsi"/>
          <w:lang w:val="en-GB" w:eastAsia="en-AU"/>
        </w:rPr>
      </w:pPr>
    </w:p>
    <w:p w14:paraId="199D11C8" w14:textId="0F94063C" w:rsidR="00401512" w:rsidRPr="00E01104" w:rsidRDefault="008A4BB8" w:rsidP="00401512">
      <w:pPr>
        <w:pStyle w:val="ListParagraph"/>
        <w:ind w:left="0"/>
        <w:rPr>
          <w:rFonts w:cstheme="minorHAnsi"/>
          <w:lang w:val="en-GB" w:eastAsia="en-AU"/>
        </w:rPr>
      </w:pPr>
      <w:r>
        <w:rPr>
          <w:rFonts w:cstheme="minorHAnsi"/>
          <w:lang w:val="en-GB" w:eastAsia="en-AU"/>
        </w:rPr>
        <w:t>t</w:t>
      </w:r>
      <w:r w:rsidR="00401512" w:rsidRPr="00E01104">
        <w:rPr>
          <w:rFonts w:cstheme="minorHAnsi"/>
          <w:lang w:val="en-GB" w:eastAsia="en-AU"/>
        </w:rPr>
        <w:t>his submission is made on behalf of both</w:t>
      </w:r>
      <w:r w:rsidR="00846F86">
        <w:rPr>
          <w:rFonts w:cstheme="minorHAnsi"/>
          <w:lang w:val="en-GB" w:eastAsia="en-AU"/>
        </w:rPr>
        <w:t xml:space="preserve"> GoodCompany and the GoodCompany Foundation</w:t>
      </w:r>
      <w:r>
        <w:rPr>
          <w:rFonts w:cstheme="minorHAnsi"/>
          <w:lang w:val="en-GB" w:eastAsia="en-AU"/>
        </w:rPr>
        <w:t>.</w:t>
      </w:r>
    </w:p>
    <w:p w14:paraId="55F6086D" w14:textId="1B54C40E" w:rsidR="007357F6" w:rsidRDefault="007357F6" w:rsidP="007357F6">
      <w:pPr>
        <w:rPr>
          <w:rFonts w:cstheme="minorHAnsi"/>
        </w:rPr>
      </w:pPr>
      <w:r>
        <w:rPr>
          <w:rFonts w:cstheme="minorHAnsi"/>
        </w:rPr>
        <w:br/>
        <w:t xml:space="preserve">The </w:t>
      </w:r>
      <w:r w:rsidR="00846F86" w:rsidRPr="007357F6">
        <w:rPr>
          <w:rFonts w:cstheme="minorHAnsi"/>
        </w:rPr>
        <w:t>GoodCompany mission is </w:t>
      </w:r>
      <w:r w:rsidR="00846F86" w:rsidRPr="008A4BB8">
        <w:rPr>
          <w:rFonts w:cstheme="minorHAnsi"/>
          <w:i/>
          <w:iCs/>
        </w:rPr>
        <w:t>to connect those who can give</w:t>
      </w:r>
      <w:r w:rsidR="008A4BB8" w:rsidRPr="008A4BB8">
        <w:rPr>
          <w:rFonts w:cstheme="minorHAnsi"/>
          <w:i/>
          <w:iCs/>
        </w:rPr>
        <w:t>;</w:t>
      </w:r>
      <w:r w:rsidR="00846F86" w:rsidRPr="008A4BB8">
        <w:rPr>
          <w:rFonts w:cstheme="minorHAnsi"/>
          <w:i/>
          <w:iCs/>
        </w:rPr>
        <w:t xml:space="preserve"> with those in need</w:t>
      </w:r>
      <w:r w:rsidR="008A4BB8" w:rsidRPr="008A4BB8">
        <w:rPr>
          <w:rFonts w:cstheme="minorHAnsi"/>
          <w:i/>
          <w:iCs/>
        </w:rPr>
        <w:t xml:space="preserve"> -</w:t>
      </w:r>
      <w:r w:rsidR="00846F86" w:rsidRPr="008A4BB8">
        <w:rPr>
          <w:rFonts w:cstheme="minorHAnsi"/>
          <w:i/>
          <w:iCs/>
        </w:rPr>
        <w:t xml:space="preserve"> to bring out the best in everyone.</w:t>
      </w:r>
      <w:r w:rsidR="00846F86" w:rsidRPr="007357F6">
        <w:rPr>
          <w:rFonts w:cstheme="minorHAnsi"/>
        </w:rPr>
        <w:t xml:space="preserve"> To achieve this, GoodCompany has built Australia</w:t>
      </w:r>
      <w:r w:rsidR="00416BF6">
        <w:rPr>
          <w:rFonts w:cstheme="minorHAnsi"/>
        </w:rPr>
        <w:t>’s</w:t>
      </w:r>
      <w:r w:rsidR="00846F86" w:rsidRPr="007357F6">
        <w:rPr>
          <w:rFonts w:cstheme="minorHAnsi"/>
        </w:rPr>
        <w:t xml:space="preserve"> largest SaaS Workplace Giving Platform designed to enable companies and staff to donate, volunteer and fundraise for the charities closest to their heart. GoodCompany partners with some of Australia’s largest companies like ANZ, Optus, Origin Energy, CSL, Mirvac and Medibank, connecting them to over 1800 of Australia</w:t>
      </w:r>
      <w:r w:rsidR="00416BF6">
        <w:rPr>
          <w:rFonts w:cstheme="minorHAnsi"/>
        </w:rPr>
        <w:t>’s</w:t>
      </w:r>
      <w:r w:rsidR="00846F86" w:rsidRPr="007357F6">
        <w:rPr>
          <w:rFonts w:cstheme="minorHAnsi"/>
        </w:rPr>
        <w:t xml:space="preserve"> </w:t>
      </w:r>
      <w:r w:rsidR="00416BF6">
        <w:rPr>
          <w:rFonts w:cstheme="minorHAnsi"/>
        </w:rPr>
        <w:t>most renowned and</w:t>
      </w:r>
      <w:r w:rsidR="00416BF6" w:rsidRPr="007357F6">
        <w:rPr>
          <w:rFonts w:cstheme="minorHAnsi"/>
        </w:rPr>
        <w:t xml:space="preserve"> </w:t>
      </w:r>
      <w:r w:rsidR="00846F86" w:rsidRPr="007357F6">
        <w:rPr>
          <w:rFonts w:cstheme="minorHAnsi"/>
        </w:rPr>
        <w:t>loved charities.</w:t>
      </w:r>
      <w:r>
        <w:rPr>
          <w:rFonts w:cstheme="minorHAnsi"/>
        </w:rPr>
        <w:br/>
      </w:r>
      <w:r>
        <w:rPr>
          <w:rFonts w:cstheme="minorHAnsi"/>
        </w:rPr>
        <w:br/>
      </w:r>
      <w:r w:rsidRPr="00E01104">
        <w:rPr>
          <w:rFonts w:cstheme="minorHAnsi"/>
        </w:rPr>
        <w:t>Since being established in 20</w:t>
      </w:r>
      <w:r>
        <w:rPr>
          <w:rFonts w:cstheme="minorHAnsi"/>
        </w:rPr>
        <w:t>00</w:t>
      </w:r>
      <w:r w:rsidR="00416BF6">
        <w:rPr>
          <w:rFonts w:cstheme="minorHAnsi"/>
        </w:rPr>
        <w:t>,</w:t>
      </w:r>
      <w:r>
        <w:rPr>
          <w:rFonts w:cstheme="minorHAnsi"/>
        </w:rPr>
        <w:t xml:space="preserve"> GoodCompany has helped facilitate over $40m in donations and </w:t>
      </w:r>
      <w:r w:rsidR="00416BF6">
        <w:rPr>
          <w:rFonts w:cstheme="minorHAnsi"/>
        </w:rPr>
        <w:t xml:space="preserve">over </w:t>
      </w:r>
      <w:r>
        <w:rPr>
          <w:rFonts w:cstheme="minorHAnsi"/>
        </w:rPr>
        <w:t>250,000 hours of volunteering.</w:t>
      </w:r>
      <w:r w:rsidR="008A4BB8">
        <w:rPr>
          <w:rFonts w:cstheme="minorHAnsi"/>
        </w:rPr>
        <w:t xml:space="preserve"> More i</w:t>
      </w:r>
      <w:r>
        <w:rPr>
          <w:rFonts w:cstheme="minorHAnsi"/>
        </w:rPr>
        <w:t>nformation on GoodCompany</w:t>
      </w:r>
      <w:r w:rsidR="00416BF6">
        <w:rPr>
          <w:rFonts w:cstheme="minorHAnsi"/>
        </w:rPr>
        <w:t>,</w:t>
      </w:r>
      <w:r>
        <w:rPr>
          <w:rFonts w:cstheme="minorHAnsi"/>
        </w:rPr>
        <w:t xml:space="preserve"> and the GoodCompany foundation</w:t>
      </w:r>
      <w:r w:rsidR="00416BF6">
        <w:rPr>
          <w:rFonts w:cstheme="minorHAnsi"/>
        </w:rPr>
        <w:t>,</w:t>
      </w:r>
      <w:r>
        <w:rPr>
          <w:rFonts w:cstheme="minorHAnsi"/>
        </w:rPr>
        <w:t xml:space="preserve"> ca</w:t>
      </w:r>
      <w:r w:rsidR="008A4BB8">
        <w:rPr>
          <w:rFonts w:cstheme="minorHAnsi"/>
        </w:rPr>
        <w:t>n</w:t>
      </w:r>
      <w:r>
        <w:rPr>
          <w:rFonts w:cstheme="minorHAnsi"/>
        </w:rPr>
        <w:t xml:space="preserve"> be found on the </w:t>
      </w:r>
      <w:hyperlink r:id="rId11" w:history="1">
        <w:r w:rsidRPr="00846F86">
          <w:rPr>
            <w:rStyle w:val="Hyperlink"/>
            <w:rFonts w:cstheme="minorHAnsi"/>
          </w:rPr>
          <w:t>GoodCompany website</w:t>
        </w:r>
      </w:hyperlink>
      <w:r>
        <w:rPr>
          <w:rFonts w:cstheme="minorHAnsi"/>
        </w:rPr>
        <w:t>.</w:t>
      </w:r>
    </w:p>
    <w:p w14:paraId="01D63F6F" w14:textId="77777777" w:rsidR="007357F6" w:rsidRDefault="007357F6" w:rsidP="007357F6">
      <w:pPr>
        <w:rPr>
          <w:rFonts w:cstheme="minorHAnsi"/>
        </w:rPr>
      </w:pPr>
    </w:p>
    <w:p w14:paraId="276C9789" w14:textId="723F89C2" w:rsidR="008A4BB8" w:rsidRDefault="008A4BB8" w:rsidP="007357F6">
      <w:pPr>
        <w:rPr>
          <w:rFonts w:cstheme="minorHAnsi"/>
        </w:rPr>
      </w:pPr>
      <w:r>
        <w:rPr>
          <w:rFonts w:cstheme="minorHAnsi"/>
        </w:rPr>
        <w:t>As a leader in the social sector o</w:t>
      </w:r>
      <w:r w:rsidR="007357F6">
        <w:rPr>
          <w:rFonts w:cstheme="minorHAnsi"/>
        </w:rPr>
        <w:t xml:space="preserve">ur innovations include Australia’s first Charity Gift Card and Australia’s first online Workplace Giving Platform. </w:t>
      </w:r>
      <w:r w:rsidR="00B20758">
        <w:rPr>
          <w:rFonts w:cstheme="minorHAnsi"/>
        </w:rPr>
        <w:t xml:space="preserve">Plus GoodCompany is home to the largest charitable gift registry in the </w:t>
      </w:r>
      <w:r w:rsidR="00CC1509">
        <w:rPr>
          <w:rFonts w:cstheme="minorHAnsi"/>
        </w:rPr>
        <w:t xml:space="preserve">Southern Hemisphere listing over </w:t>
      </w:r>
      <w:hyperlink r:id="rId12" w:history="1">
        <w:r w:rsidR="00CC1509" w:rsidRPr="00CC1509">
          <w:rPr>
            <w:rStyle w:val="Hyperlink"/>
            <w:rFonts w:cstheme="minorHAnsi"/>
          </w:rPr>
          <w:t>3890 project</w:t>
        </w:r>
      </w:hyperlink>
      <w:r w:rsidR="00CC1509">
        <w:rPr>
          <w:rFonts w:cstheme="minorHAnsi"/>
        </w:rPr>
        <w:t xml:space="preserve">. </w:t>
      </w:r>
      <w:r w:rsidR="00B20758">
        <w:rPr>
          <w:rFonts w:cstheme="minorHAnsi"/>
        </w:rPr>
        <w:t xml:space="preserve"> </w:t>
      </w:r>
    </w:p>
    <w:p w14:paraId="30881F74" w14:textId="77777777" w:rsidR="008A4BB8" w:rsidRDefault="008A4BB8" w:rsidP="007357F6">
      <w:pPr>
        <w:rPr>
          <w:rFonts w:cstheme="minorHAnsi"/>
        </w:rPr>
      </w:pPr>
    </w:p>
    <w:p w14:paraId="2224C3B8" w14:textId="0BFE296E" w:rsidR="007357F6" w:rsidRPr="00E01104" w:rsidRDefault="008A4BB8" w:rsidP="007357F6">
      <w:pPr>
        <w:rPr>
          <w:rFonts w:cstheme="minorHAnsi"/>
        </w:rPr>
      </w:pPr>
      <w:r>
        <w:rPr>
          <w:rFonts w:cstheme="minorHAnsi"/>
        </w:rPr>
        <w:t>O</w:t>
      </w:r>
      <w:r w:rsidR="007357F6">
        <w:rPr>
          <w:rFonts w:cstheme="minorHAnsi"/>
        </w:rPr>
        <w:t xml:space="preserve">ur tagline is GoodCompany ‘Giving Solutions’ hence it is with great joy that we share the following ‘giving solutions’ </w:t>
      </w:r>
      <w:r>
        <w:rPr>
          <w:rFonts w:cstheme="minorHAnsi"/>
        </w:rPr>
        <w:t xml:space="preserve">so that </w:t>
      </w:r>
      <w:r w:rsidR="007357F6">
        <w:rPr>
          <w:rFonts w:cstheme="minorHAnsi"/>
        </w:rPr>
        <w:t xml:space="preserve">they may </w:t>
      </w:r>
      <w:r>
        <w:rPr>
          <w:rFonts w:cstheme="minorHAnsi"/>
        </w:rPr>
        <w:t>help towards the goal of</w:t>
      </w:r>
      <w:r w:rsidR="007357F6">
        <w:rPr>
          <w:rFonts w:cstheme="minorHAnsi"/>
        </w:rPr>
        <w:t xml:space="preserve"> doubl</w:t>
      </w:r>
      <w:r>
        <w:rPr>
          <w:rFonts w:cstheme="minorHAnsi"/>
        </w:rPr>
        <w:t xml:space="preserve">ing </w:t>
      </w:r>
      <w:r w:rsidR="007357F6">
        <w:rPr>
          <w:rFonts w:cstheme="minorHAnsi"/>
        </w:rPr>
        <w:t>philanthropy by 2030.</w:t>
      </w:r>
    </w:p>
    <w:p w14:paraId="0690C30C" w14:textId="42482421" w:rsidR="001059A1" w:rsidRPr="001059A1" w:rsidRDefault="007357F6" w:rsidP="001059A1">
      <w:pPr>
        <w:rPr>
          <w:rFonts w:cstheme="minorHAnsi"/>
          <w:b/>
          <w:bCs/>
          <w:color w:val="2C2C2C"/>
          <w:spacing w:val="7"/>
        </w:rPr>
      </w:pPr>
      <w:r>
        <w:rPr>
          <w:rFonts w:cstheme="minorHAnsi"/>
        </w:rPr>
        <w:br/>
      </w:r>
    </w:p>
    <w:p w14:paraId="7A97661E" w14:textId="77777777" w:rsidR="001059A1" w:rsidRDefault="001059A1" w:rsidP="001059A1">
      <w:pPr>
        <w:rPr>
          <w:rFonts w:cstheme="minorHAnsi"/>
          <w:b/>
          <w:bCs/>
          <w:color w:val="2C2C2C"/>
          <w:spacing w:val="7"/>
        </w:rPr>
      </w:pPr>
    </w:p>
    <w:p w14:paraId="29F6EC52" w14:textId="77777777" w:rsidR="008A4BB8" w:rsidRDefault="008A4BB8" w:rsidP="001059A1">
      <w:pPr>
        <w:rPr>
          <w:rFonts w:cstheme="minorHAnsi"/>
          <w:b/>
          <w:bCs/>
          <w:color w:val="2C2C2C"/>
          <w:spacing w:val="7"/>
        </w:rPr>
      </w:pPr>
    </w:p>
    <w:p w14:paraId="7D77E47D" w14:textId="77777777" w:rsidR="008A4BB8" w:rsidRDefault="008A4BB8" w:rsidP="001059A1">
      <w:pPr>
        <w:rPr>
          <w:rFonts w:cstheme="minorHAnsi"/>
          <w:b/>
          <w:bCs/>
          <w:color w:val="2C2C2C"/>
          <w:spacing w:val="7"/>
        </w:rPr>
      </w:pPr>
    </w:p>
    <w:p w14:paraId="29C216BE" w14:textId="77777777" w:rsidR="008A4BB8" w:rsidRDefault="008A4BB8" w:rsidP="001059A1">
      <w:pPr>
        <w:rPr>
          <w:rFonts w:cstheme="minorHAnsi"/>
          <w:b/>
          <w:bCs/>
          <w:color w:val="2C2C2C"/>
          <w:spacing w:val="7"/>
        </w:rPr>
      </w:pPr>
    </w:p>
    <w:p w14:paraId="1401B961" w14:textId="77777777" w:rsidR="008A4BB8" w:rsidRDefault="008A4BB8" w:rsidP="001059A1">
      <w:pPr>
        <w:rPr>
          <w:rFonts w:cstheme="minorHAnsi"/>
          <w:b/>
          <w:bCs/>
          <w:color w:val="2C2C2C"/>
          <w:spacing w:val="7"/>
        </w:rPr>
      </w:pPr>
    </w:p>
    <w:p w14:paraId="4FA3C325" w14:textId="77777777" w:rsidR="008A4BB8" w:rsidRPr="001059A1" w:rsidRDefault="008A4BB8" w:rsidP="001059A1">
      <w:pPr>
        <w:rPr>
          <w:rFonts w:cstheme="minorHAnsi"/>
          <w:b/>
          <w:bCs/>
          <w:color w:val="2C2C2C"/>
          <w:spacing w:val="7"/>
        </w:rPr>
      </w:pPr>
    </w:p>
    <w:p w14:paraId="3E1116A7" w14:textId="4600E543" w:rsidR="001059A1" w:rsidRPr="008A4BB8" w:rsidRDefault="001059A1" w:rsidP="001059A1">
      <w:pPr>
        <w:rPr>
          <w:rFonts w:cstheme="minorHAnsi"/>
          <w:b/>
          <w:bCs/>
        </w:rPr>
      </w:pPr>
      <w:r w:rsidRPr="001059A1">
        <w:rPr>
          <w:rFonts w:cstheme="minorHAnsi"/>
          <w:b/>
          <w:bCs/>
        </w:rPr>
        <w:t>Subject: Submission to the Inquiry into Philanthropic Giving in Australia</w:t>
      </w:r>
    </w:p>
    <w:p w14:paraId="020DA4C8" w14:textId="77777777" w:rsidR="001059A1" w:rsidRPr="001059A1" w:rsidRDefault="001059A1" w:rsidP="001059A1">
      <w:pPr>
        <w:rPr>
          <w:rFonts w:cstheme="minorHAnsi"/>
        </w:rPr>
      </w:pPr>
    </w:p>
    <w:p w14:paraId="309EE94C" w14:textId="4A684083" w:rsidR="001059A1" w:rsidRPr="001059A1" w:rsidRDefault="001059A1" w:rsidP="001059A1">
      <w:pPr>
        <w:numPr>
          <w:ilvl w:val="0"/>
          <w:numId w:val="11"/>
        </w:numPr>
        <w:rPr>
          <w:rFonts w:cstheme="minorHAnsi"/>
        </w:rPr>
      </w:pPr>
      <w:r w:rsidRPr="001059A1">
        <w:rPr>
          <w:rFonts w:cstheme="minorHAnsi"/>
          <w:b/>
          <w:bCs/>
        </w:rPr>
        <w:t>Tendencies and motivations for Australians' charitable giving</w:t>
      </w:r>
      <w:r w:rsidR="008A4BB8">
        <w:rPr>
          <w:rFonts w:cstheme="minorHAnsi"/>
          <w:b/>
          <w:bCs/>
        </w:rPr>
        <w:br/>
      </w:r>
    </w:p>
    <w:p w14:paraId="2FEFD1B0" w14:textId="2545F2E6" w:rsidR="008A4BB8" w:rsidRPr="00CC1509" w:rsidRDefault="001059A1" w:rsidP="00CC1509">
      <w:pPr>
        <w:numPr>
          <w:ilvl w:val="1"/>
          <w:numId w:val="11"/>
        </w:numPr>
        <w:rPr>
          <w:rFonts w:cstheme="minorHAnsi"/>
        </w:rPr>
      </w:pPr>
      <w:r w:rsidRPr="001059A1">
        <w:rPr>
          <w:rFonts w:cstheme="minorHAnsi"/>
        </w:rPr>
        <w:t xml:space="preserve">GoodCompany, as an organisation committed to fostering philanthropic culture, has observed a strong willingness among </w:t>
      </w:r>
      <w:r w:rsidR="008A4BB8">
        <w:rPr>
          <w:rFonts w:cstheme="minorHAnsi"/>
        </w:rPr>
        <w:t>Corporate Australia to invest in Workplace Giving Platforms to make Payroll Giving, Matched donation</w:t>
      </w:r>
      <w:r w:rsidR="005D3C83">
        <w:rPr>
          <w:rFonts w:cstheme="minorHAnsi"/>
        </w:rPr>
        <w:t>s</w:t>
      </w:r>
      <w:r w:rsidR="008A4BB8">
        <w:rPr>
          <w:rFonts w:cstheme="minorHAnsi"/>
        </w:rPr>
        <w:t>, Volunteering, Fundraising and Rewards easy. Studies show that companies who support the community are better able to attract, retain and engage staff, customers and stakeholders and outperform the market.</w:t>
      </w:r>
      <w:r w:rsidR="00B20758">
        <w:rPr>
          <w:rFonts w:cstheme="minorHAnsi"/>
        </w:rPr>
        <w:t xml:space="preserve"> </w:t>
      </w:r>
      <w:r w:rsidR="00B20758" w:rsidRPr="00B20758">
        <w:rPr>
          <w:rFonts w:cstheme="minorHAnsi"/>
          <w:shd w:val="clear" w:color="auto" w:fill="FFFFFF"/>
        </w:rPr>
        <w:t xml:space="preserve">Companies with workplace giving programs are 3.5 times more likely to have a strong supply chain management system, reducing waste and inefficiency (CECP, 2019). </w:t>
      </w:r>
      <w:r w:rsidR="00B20758" w:rsidRPr="00B20758">
        <w:rPr>
          <w:rFonts w:cstheme="minorHAnsi"/>
        </w:rPr>
        <w:t>88% of consumers are more loyal to companies that support social and environmental issues (Cone Communications, 2017)</w:t>
      </w:r>
      <w:r w:rsidR="00B20758">
        <w:rPr>
          <w:rFonts w:cstheme="minorHAnsi"/>
        </w:rPr>
        <w:t xml:space="preserve"> </w:t>
      </w:r>
      <w:r w:rsidR="00B20758" w:rsidRPr="00B20758">
        <w:rPr>
          <w:rFonts w:cstheme="minorHAnsi"/>
        </w:rPr>
        <w:t>A study by the Australian Centre for Corporate Social Responsibility (ACCSR) found that organizations with well-implemented corporate social responsibility (CSR) programs, including workplace giving, enjoyed a higher level of employee engagement and commitment.</w:t>
      </w:r>
      <w:r w:rsidR="00B20758">
        <w:rPr>
          <w:rFonts w:cstheme="minorHAnsi"/>
        </w:rPr>
        <w:t xml:space="preserve"> </w:t>
      </w:r>
      <w:r w:rsidR="00B20758" w:rsidRPr="00B20758">
        <w:rPr>
          <w:rFonts w:cstheme="minorHAnsi"/>
          <w:b/>
          <w:bCs/>
        </w:rPr>
        <w:t>Reference</w:t>
      </w:r>
      <w:r w:rsidR="00B20758" w:rsidRPr="00B20758">
        <w:rPr>
          <w:rFonts w:cstheme="minorHAnsi"/>
        </w:rPr>
        <w:t>: Maignan, I., Ferrell, O. C., &amp; Hult, G. T. M. (1999). Corporate citizenship: Cultural antecedents and business benefits. Journal of the Academy of Marketing Science, 27(4), 455-469.</w:t>
      </w:r>
      <w:r w:rsidR="00B20758">
        <w:rPr>
          <w:rFonts w:cstheme="minorHAnsi"/>
        </w:rPr>
        <w:t xml:space="preserve"> </w:t>
      </w:r>
      <w:r w:rsidR="00B20758" w:rsidRPr="00B20758">
        <w:rPr>
          <w:rFonts w:cstheme="minorHAnsi"/>
        </w:rPr>
        <w:t>The Macquarie Graduate School of Management (MGSM) published a study in 2014 that indicated a positive relationship between employee engagement and participation in workplace giving programs. The research found that employees who participated in such programs were more likely to be engaged, committed, and satisfied with their workplace.</w:t>
      </w:r>
      <w:r w:rsidR="00B20758">
        <w:rPr>
          <w:rFonts w:cstheme="minorHAnsi"/>
        </w:rPr>
        <w:t xml:space="preserve"> </w:t>
      </w:r>
      <w:r w:rsidR="00B20758" w:rsidRPr="00B20758">
        <w:rPr>
          <w:rFonts w:cstheme="minorHAnsi"/>
          <w:b/>
          <w:bCs/>
        </w:rPr>
        <w:t>Reference</w:t>
      </w:r>
      <w:r w:rsidR="00B20758" w:rsidRPr="00B20758">
        <w:rPr>
          <w:rFonts w:cstheme="minorHAnsi"/>
        </w:rPr>
        <w:t>: "Workplace Giving: Leveraging the Power of Payroll Deductions to Support Australian Charities". Macquarie Graduate School of Management (MGSM). 2014.</w:t>
      </w:r>
      <w:r w:rsidR="008A4BB8" w:rsidRPr="00CC1509">
        <w:rPr>
          <w:rFonts w:cstheme="minorHAnsi"/>
        </w:rPr>
        <w:br/>
      </w:r>
    </w:p>
    <w:p w14:paraId="6B23BE2F" w14:textId="2E8D180F" w:rsidR="008A4BB8" w:rsidRPr="00CC1509" w:rsidRDefault="008A4BB8" w:rsidP="00CC1509">
      <w:pPr>
        <w:numPr>
          <w:ilvl w:val="1"/>
          <w:numId w:val="11"/>
        </w:numPr>
        <w:rPr>
          <w:rFonts w:cstheme="minorHAnsi"/>
        </w:rPr>
      </w:pPr>
      <w:r>
        <w:rPr>
          <w:rFonts w:cstheme="minorHAnsi"/>
        </w:rPr>
        <w:t>An increased focus from the investment community on ESG (Environment, Social and Governance) further motivates companies to invest in Workplace Giving solutions as it helps meet their Social and Governance reporting requirements.</w:t>
      </w:r>
      <w:r w:rsidR="001C0653">
        <w:rPr>
          <w:rFonts w:cstheme="minorHAnsi"/>
        </w:rPr>
        <w:t xml:space="preserve"> </w:t>
      </w:r>
      <w:r w:rsidR="00B20758">
        <w:rPr>
          <w:rFonts w:cstheme="minorHAnsi"/>
        </w:rPr>
        <w:br/>
      </w:r>
    </w:p>
    <w:p w14:paraId="05284C04" w14:textId="62560108" w:rsidR="008A4BB8" w:rsidRDefault="008A4BB8" w:rsidP="00B20758">
      <w:pPr>
        <w:numPr>
          <w:ilvl w:val="1"/>
          <w:numId w:val="11"/>
        </w:numPr>
        <w:rPr>
          <w:rFonts w:cstheme="minorHAnsi"/>
        </w:rPr>
      </w:pPr>
      <w:r>
        <w:rPr>
          <w:rFonts w:cstheme="minorHAnsi"/>
        </w:rPr>
        <w:t xml:space="preserve">Companies and government agencies that include ESG and CSR (Corporate Social Responsibility) data, as part of their </w:t>
      </w:r>
      <w:r w:rsidR="00B4015F">
        <w:rPr>
          <w:rFonts w:cstheme="minorHAnsi"/>
        </w:rPr>
        <w:t xml:space="preserve">procurement and </w:t>
      </w:r>
      <w:r>
        <w:rPr>
          <w:rFonts w:cstheme="minorHAnsi"/>
        </w:rPr>
        <w:t xml:space="preserve">tendering process, is a powerful motivator for Australian companies </w:t>
      </w:r>
      <w:r w:rsidR="00B4015F">
        <w:rPr>
          <w:rFonts w:cstheme="minorHAnsi"/>
        </w:rPr>
        <w:t xml:space="preserve">looking to win business </w:t>
      </w:r>
      <w:r>
        <w:rPr>
          <w:rFonts w:cstheme="minorHAnsi"/>
        </w:rPr>
        <w:t>to invest in the community and Workplace Giving Platforms that can track, measure and report on all giving.</w:t>
      </w:r>
      <w:r w:rsidR="001C0653">
        <w:rPr>
          <w:rFonts w:cstheme="minorHAnsi"/>
        </w:rPr>
        <w:t xml:space="preserve"> </w:t>
      </w:r>
      <w:r>
        <w:rPr>
          <w:rFonts w:cstheme="minorHAnsi"/>
        </w:rPr>
        <w:br/>
      </w:r>
    </w:p>
    <w:p w14:paraId="675D9788" w14:textId="2B1E5891" w:rsidR="008A4BB8" w:rsidRDefault="008A4BB8" w:rsidP="001059A1">
      <w:pPr>
        <w:numPr>
          <w:ilvl w:val="1"/>
          <w:numId w:val="11"/>
        </w:numPr>
        <w:rPr>
          <w:rFonts w:cstheme="minorHAnsi"/>
        </w:rPr>
      </w:pPr>
      <w:r>
        <w:rPr>
          <w:rFonts w:cstheme="minorHAnsi"/>
        </w:rPr>
        <w:t xml:space="preserve">Certification like our “GoodCompany Certified” logo also motivates companies to give back as it is an easy way to demonstrate to other companies that they </w:t>
      </w:r>
      <w:r w:rsidR="001C0653">
        <w:rPr>
          <w:rFonts w:cstheme="minorHAnsi"/>
        </w:rPr>
        <w:t>are committed to investing in</w:t>
      </w:r>
      <w:r>
        <w:rPr>
          <w:rFonts w:cstheme="minorHAnsi"/>
        </w:rPr>
        <w:t xml:space="preserve"> philanthropy</w:t>
      </w:r>
      <w:r w:rsidR="001C0653">
        <w:rPr>
          <w:rFonts w:cstheme="minorHAnsi"/>
        </w:rPr>
        <w:t>,</w:t>
      </w:r>
      <w:r>
        <w:rPr>
          <w:rFonts w:cstheme="minorHAnsi"/>
        </w:rPr>
        <w:t xml:space="preserve"> volunteering, donating and fundraising.</w:t>
      </w:r>
      <w:r>
        <w:rPr>
          <w:rFonts w:cstheme="minorHAnsi"/>
        </w:rPr>
        <w:br/>
      </w:r>
    </w:p>
    <w:p w14:paraId="5A44C9AA" w14:textId="095EA3EF" w:rsidR="00B20758" w:rsidRPr="00B20758" w:rsidRDefault="008A4BB8" w:rsidP="00CC1509">
      <w:pPr>
        <w:numPr>
          <w:ilvl w:val="1"/>
          <w:numId w:val="11"/>
        </w:numPr>
        <w:rPr>
          <w:rFonts w:cstheme="minorHAnsi"/>
          <w:vanish/>
        </w:rPr>
      </w:pPr>
      <w:r>
        <w:rPr>
          <w:rFonts w:cstheme="minorHAnsi"/>
        </w:rPr>
        <w:lastRenderedPageBreak/>
        <w:t xml:space="preserve">The Best Workplace to Give Back Award also motivates hundreds of companies across Australia to lift their volunteering leave, matched giving budgets, fundraising targets and other pro social behaviours each year. For more information please see </w:t>
      </w:r>
      <w:hyperlink r:id="rId13" w:history="1">
        <w:r w:rsidRPr="008A4BB8">
          <w:rPr>
            <w:rStyle w:val="Hyperlink"/>
            <w:rFonts w:cstheme="minorHAnsi"/>
          </w:rPr>
          <w:t>The Best Workplace to Give Back Award</w:t>
        </w:r>
      </w:hyperlink>
      <w:r>
        <w:rPr>
          <w:rFonts w:cstheme="minorHAnsi"/>
        </w:rPr>
        <w:t xml:space="preserve">.  </w:t>
      </w:r>
      <w:r w:rsidR="00B20758">
        <w:rPr>
          <w:rFonts w:cstheme="minorHAnsi"/>
        </w:rPr>
        <w:br/>
      </w:r>
      <w:r w:rsidR="00B20758" w:rsidRPr="00B20758">
        <w:rPr>
          <w:rFonts w:cstheme="minorHAnsi"/>
          <w:vanish/>
        </w:rPr>
        <w:t>Bottom of Form</w:t>
      </w:r>
    </w:p>
    <w:p w14:paraId="5B68E046" w14:textId="07D834EC" w:rsidR="001059A1" w:rsidRPr="00B20758" w:rsidRDefault="008A4BB8" w:rsidP="00B20758">
      <w:pPr>
        <w:numPr>
          <w:ilvl w:val="1"/>
          <w:numId w:val="11"/>
        </w:numPr>
        <w:rPr>
          <w:rFonts w:cstheme="minorHAnsi"/>
        </w:rPr>
      </w:pPr>
      <w:r w:rsidRPr="00B20758">
        <w:rPr>
          <w:rFonts w:cstheme="minorHAnsi"/>
        </w:rPr>
        <w:br/>
      </w:r>
    </w:p>
    <w:p w14:paraId="7B077E71" w14:textId="26670C4E" w:rsidR="00C04B5C" w:rsidRPr="00C04B5C" w:rsidRDefault="001059A1" w:rsidP="00C04B5C">
      <w:pPr>
        <w:numPr>
          <w:ilvl w:val="0"/>
          <w:numId w:val="11"/>
        </w:numPr>
        <w:rPr>
          <w:rFonts w:cstheme="minorHAnsi"/>
        </w:rPr>
      </w:pPr>
      <w:r w:rsidRPr="001059A1">
        <w:rPr>
          <w:rFonts w:cstheme="minorHAnsi"/>
          <w:b/>
          <w:bCs/>
        </w:rPr>
        <w:t>Opportunities to increase philanthropic giving</w:t>
      </w:r>
      <w:r w:rsidR="008A4BB8">
        <w:rPr>
          <w:rFonts w:cstheme="minorHAnsi"/>
          <w:b/>
          <w:bCs/>
        </w:rPr>
        <w:br/>
      </w:r>
    </w:p>
    <w:p w14:paraId="12DDBDA2" w14:textId="08D991BC" w:rsidR="00C04B5C" w:rsidRDefault="00C04B5C" w:rsidP="00C04B5C">
      <w:pPr>
        <w:numPr>
          <w:ilvl w:val="1"/>
          <w:numId w:val="11"/>
        </w:numPr>
        <w:rPr>
          <w:rFonts w:cstheme="minorHAnsi"/>
        </w:rPr>
      </w:pPr>
      <w:r>
        <w:rPr>
          <w:rFonts w:cstheme="minorHAnsi"/>
        </w:rPr>
        <w:t xml:space="preserve">In 2007 the National Australia Bank made a $40,000 seed investment in </w:t>
      </w:r>
      <w:r w:rsidR="000F1E69">
        <w:rPr>
          <w:rFonts w:cstheme="minorHAnsi"/>
        </w:rPr>
        <w:t>The GoodCompany</w:t>
      </w:r>
      <w:r>
        <w:rPr>
          <w:rFonts w:cstheme="minorHAnsi"/>
        </w:rPr>
        <w:t xml:space="preserve"> </w:t>
      </w:r>
      <w:r w:rsidR="000F1E69">
        <w:rPr>
          <w:rFonts w:cstheme="minorHAnsi"/>
        </w:rPr>
        <w:t>F</w:t>
      </w:r>
      <w:r>
        <w:rPr>
          <w:rFonts w:cstheme="minorHAnsi"/>
        </w:rPr>
        <w:t>oundation to help create Australia’s first charity gift card. This investment has now generated over $40m in donations to charities across Australia. We model that if the</w:t>
      </w:r>
      <w:r w:rsidRPr="00C04B5C">
        <w:rPr>
          <w:rFonts w:cstheme="minorHAnsi"/>
        </w:rPr>
        <w:t xml:space="preserve"> Government were to invest </w:t>
      </w:r>
      <w:r>
        <w:rPr>
          <w:rFonts w:cstheme="minorHAnsi"/>
        </w:rPr>
        <w:t xml:space="preserve">$1 million into GoodCompany, we could grow Workplace Giving </w:t>
      </w:r>
      <w:r w:rsidR="000F1E69">
        <w:rPr>
          <w:rFonts w:cstheme="minorHAnsi"/>
        </w:rPr>
        <w:t xml:space="preserve">and </w:t>
      </w:r>
      <w:r>
        <w:rPr>
          <w:rFonts w:cstheme="minorHAnsi"/>
        </w:rPr>
        <w:t>facilitat</w:t>
      </w:r>
      <w:r w:rsidR="000F1E69">
        <w:rPr>
          <w:rFonts w:cstheme="minorHAnsi"/>
        </w:rPr>
        <w:t>e</w:t>
      </w:r>
      <w:r>
        <w:rPr>
          <w:rFonts w:cstheme="minorHAnsi"/>
        </w:rPr>
        <w:t xml:space="preserve"> over $500 million in donations by 2030</w:t>
      </w:r>
      <w:r w:rsidR="000F1E69">
        <w:rPr>
          <w:rFonts w:cstheme="minorHAnsi"/>
        </w:rPr>
        <w:t xml:space="preserve">, giving the Government a 500% SROI (social return on investment).  </w:t>
      </w:r>
      <w:r>
        <w:rPr>
          <w:rFonts w:cstheme="minorHAnsi"/>
        </w:rPr>
        <w:t xml:space="preserve"> </w:t>
      </w:r>
    </w:p>
    <w:p w14:paraId="7C77887D" w14:textId="77777777" w:rsidR="00C04B5C" w:rsidRDefault="00C04B5C" w:rsidP="00C04B5C">
      <w:pPr>
        <w:ind w:left="1440"/>
        <w:rPr>
          <w:rFonts w:cstheme="minorHAnsi"/>
        </w:rPr>
      </w:pPr>
    </w:p>
    <w:p w14:paraId="6CE71916" w14:textId="147B7FB7" w:rsidR="00C04B5C" w:rsidRPr="00C04B5C" w:rsidRDefault="00C04B5C" w:rsidP="00C04B5C">
      <w:pPr>
        <w:numPr>
          <w:ilvl w:val="1"/>
          <w:numId w:val="11"/>
        </w:numPr>
        <w:rPr>
          <w:rFonts w:cstheme="minorHAnsi"/>
        </w:rPr>
      </w:pPr>
      <w:r>
        <w:rPr>
          <w:rFonts w:cstheme="minorHAnsi"/>
        </w:rPr>
        <w:t xml:space="preserve">Additionally we would like to see </w:t>
      </w:r>
      <w:r w:rsidRPr="00C04B5C">
        <w:rPr>
          <w:rFonts w:eastAsia="Times New Roman"/>
        </w:rPr>
        <w:t xml:space="preserve">Treasury and </w:t>
      </w:r>
      <w:r>
        <w:rPr>
          <w:rFonts w:eastAsia="Times New Roman"/>
        </w:rPr>
        <w:t xml:space="preserve">all </w:t>
      </w:r>
      <w:r w:rsidRPr="00C04B5C">
        <w:rPr>
          <w:rFonts w:eastAsia="Times New Roman"/>
        </w:rPr>
        <w:t>other Government departments implementing a modern Australian Workplace Giving Platform</w:t>
      </w:r>
      <w:r>
        <w:rPr>
          <w:rFonts w:eastAsia="Times New Roman"/>
        </w:rPr>
        <w:t xml:space="preserve"> that offers volunteering, donating, fundraising and charity gift cards</w:t>
      </w:r>
      <w:r w:rsidRPr="00C04B5C">
        <w:rPr>
          <w:rFonts w:eastAsia="Times New Roman"/>
        </w:rPr>
        <w:t xml:space="preserve">. </w:t>
      </w:r>
    </w:p>
    <w:p w14:paraId="02AC561B" w14:textId="77777777" w:rsidR="00C04B5C" w:rsidRDefault="00C04B5C" w:rsidP="00C04B5C">
      <w:pPr>
        <w:ind w:left="1440"/>
        <w:rPr>
          <w:rFonts w:cstheme="minorHAnsi"/>
        </w:rPr>
      </w:pPr>
    </w:p>
    <w:p w14:paraId="742EDE49" w14:textId="7E1686D9" w:rsidR="000F1E69" w:rsidRPr="000F1E69" w:rsidRDefault="000F1E69" w:rsidP="000F1E69">
      <w:pPr>
        <w:numPr>
          <w:ilvl w:val="1"/>
          <w:numId w:val="11"/>
        </w:numPr>
        <w:rPr>
          <w:rFonts w:cstheme="minorHAnsi"/>
        </w:rPr>
      </w:pPr>
      <w:r>
        <w:rPr>
          <w:rFonts w:cstheme="minorHAnsi"/>
        </w:rPr>
        <w:t>We encourage Government to include philanthropic donations and pro bono hours when tendering new work</w:t>
      </w:r>
      <w:r w:rsidR="001C0653">
        <w:rPr>
          <w:rFonts w:cstheme="minorHAnsi"/>
        </w:rPr>
        <w:t>,</w:t>
      </w:r>
      <w:r>
        <w:rPr>
          <w:rFonts w:cstheme="minorHAnsi"/>
        </w:rPr>
        <w:t xml:space="preserve"> as has been the case with the legal firms for more than a decade. This would give </w:t>
      </w:r>
      <w:r w:rsidR="001C0653">
        <w:rPr>
          <w:rFonts w:cstheme="minorHAnsi"/>
        </w:rPr>
        <w:t xml:space="preserve">significant motivation </w:t>
      </w:r>
      <w:r>
        <w:rPr>
          <w:rFonts w:cstheme="minorHAnsi"/>
        </w:rPr>
        <w:t>and incentive for more companies to dedicate more resources to pro bono</w:t>
      </w:r>
      <w:r w:rsidR="001C0653">
        <w:rPr>
          <w:rFonts w:cstheme="minorHAnsi"/>
        </w:rPr>
        <w:t xml:space="preserve"> work</w:t>
      </w:r>
      <w:r>
        <w:rPr>
          <w:rFonts w:cstheme="minorHAnsi"/>
        </w:rPr>
        <w:t xml:space="preserve">, volunteering, donating and fundraising. However, such policies must include accountability and reporting as highlighted by this interesting piece </w:t>
      </w:r>
      <w:hyperlink r:id="rId14" w:history="1">
        <w:r w:rsidRPr="00AF2DA4">
          <w:rPr>
            <w:rStyle w:val="Hyperlink"/>
            <w:rFonts w:cstheme="minorHAnsi"/>
          </w:rPr>
          <w:t>https://www.linkedin.com/pulse/australias-government-law-firms-continue-pro-bono-pretence-burns/</w:t>
        </w:r>
      </w:hyperlink>
      <w:r w:rsidRPr="000F1E69">
        <w:rPr>
          <w:rFonts w:cstheme="minorHAnsi"/>
        </w:rPr>
        <w:t xml:space="preserve"> </w:t>
      </w:r>
    </w:p>
    <w:p w14:paraId="6F0E00C6" w14:textId="77777777" w:rsidR="000F1E69" w:rsidRDefault="000F1E69" w:rsidP="000F1E69">
      <w:pPr>
        <w:pStyle w:val="ListParagraph"/>
        <w:rPr>
          <w:rFonts w:cstheme="minorHAnsi"/>
        </w:rPr>
      </w:pPr>
    </w:p>
    <w:p w14:paraId="6D56792E" w14:textId="4D18EB66" w:rsidR="001059A1" w:rsidRPr="001059A1" w:rsidRDefault="00C04B5C" w:rsidP="00C04B5C">
      <w:pPr>
        <w:numPr>
          <w:ilvl w:val="1"/>
          <w:numId w:val="11"/>
        </w:numPr>
        <w:rPr>
          <w:rFonts w:cstheme="minorHAnsi"/>
        </w:rPr>
      </w:pPr>
      <w:r>
        <w:rPr>
          <w:rFonts w:cstheme="minorHAnsi"/>
        </w:rPr>
        <w:t xml:space="preserve">We also believe that if the Government were to invest in </w:t>
      </w:r>
      <w:r w:rsidR="000F1E69">
        <w:rPr>
          <w:rFonts w:cstheme="minorHAnsi"/>
        </w:rPr>
        <w:t>“</w:t>
      </w:r>
      <w:r>
        <w:rPr>
          <w:rFonts w:cstheme="minorHAnsi"/>
        </w:rPr>
        <w:t>The Best Workplace to Give Back Award</w:t>
      </w:r>
      <w:r w:rsidR="000F1E69">
        <w:rPr>
          <w:rFonts w:cstheme="minorHAnsi"/>
        </w:rPr>
        <w:t>” and other such awards,</w:t>
      </w:r>
      <w:r>
        <w:rPr>
          <w:rFonts w:cstheme="minorHAnsi"/>
        </w:rPr>
        <w:t xml:space="preserve"> this would motivate thousands of companies across Australia to lift their volunteering leave, matched giving budgets, fundraising targets and other pro social behaviours each year. For more information please see </w:t>
      </w:r>
      <w:hyperlink r:id="rId15" w:history="1">
        <w:r w:rsidRPr="008A4BB8">
          <w:rPr>
            <w:rStyle w:val="Hyperlink"/>
            <w:rFonts w:cstheme="minorHAnsi"/>
          </w:rPr>
          <w:t>The Best Workplace to Give Back Award</w:t>
        </w:r>
      </w:hyperlink>
      <w:r>
        <w:rPr>
          <w:rFonts w:cstheme="minorHAnsi"/>
        </w:rPr>
        <w:t xml:space="preserve">.  </w:t>
      </w:r>
      <w:r w:rsidRPr="00C04B5C">
        <w:rPr>
          <w:rFonts w:cstheme="minorHAnsi"/>
        </w:rPr>
        <w:br/>
      </w:r>
    </w:p>
    <w:p w14:paraId="404A619C" w14:textId="51F6235A" w:rsidR="00C04B5C" w:rsidRDefault="001059A1" w:rsidP="001059A1">
      <w:pPr>
        <w:numPr>
          <w:ilvl w:val="1"/>
          <w:numId w:val="11"/>
        </w:numPr>
        <w:rPr>
          <w:rFonts w:cstheme="minorHAnsi"/>
        </w:rPr>
      </w:pPr>
      <w:r w:rsidRPr="001059A1">
        <w:rPr>
          <w:rFonts w:cstheme="minorHAnsi"/>
        </w:rPr>
        <w:t xml:space="preserve">We also see potential in the 'breakage' of gift cards. </w:t>
      </w:r>
      <w:r w:rsidR="00C04B5C">
        <w:rPr>
          <w:rFonts w:cstheme="minorHAnsi"/>
        </w:rPr>
        <w:t xml:space="preserve">In many states in the US, gift cards that expire must go to charity.  </w:t>
      </w:r>
      <w:r w:rsidRPr="001059A1">
        <w:rPr>
          <w:rFonts w:cstheme="minorHAnsi"/>
        </w:rPr>
        <w:t xml:space="preserve">A program allowing customers to donate the value of unused or expired gift cards to a designated charity could generate </w:t>
      </w:r>
      <w:r w:rsidR="00C04B5C">
        <w:rPr>
          <w:rFonts w:cstheme="minorHAnsi"/>
        </w:rPr>
        <w:t>over $1B annually</w:t>
      </w:r>
      <w:r w:rsidRPr="001059A1">
        <w:rPr>
          <w:rFonts w:cstheme="minorHAnsi"/>
        </w:rPr>
        <w:t>. This could represent a substantial annual contribution to Australia's charitable sector</w:t>
      </w:r>
      <w:r w:rsidR="001C0653">
        <w:rPr>
          <w:rFonts w:cstheme="minorHAnsi"/>
        </w:rPr>
        <w:t xml:space="preserve"> that we know needs help now more than ever.</w:t>
      </w:r>
      <w:r w:rsidR="00C04B5C">
        <w:rPr>
          <w:rFonts w:cstheme="minorHAnsi"/>
        </w:rPr>
        <w:br/>
      </w:r>
    </w:p>
    <w:p w14:paraId="7AC13682" w14:textId="25242B20" w:rsidR="00C04B5C" w:rsidRDefault="00C04B5C" w:rsidP="00C04B5C">
      <w:pPr>
        <w:numPr>
          <w:ilvl w:val="1"/>
          <w:numId w:val="11"/>
        </w:numPr>
        <w:rPr>
          <w:rFonts w:cstheme="minorHAnsi"/>
        </w:rPr>
      </w:pPr>
      <w:r w:rsidRPr="00C04B5C">
        <w:rPr>
          <w:rFonts w:cstheme="minorHAnsi"/>
        </w:rPr>
        <w:t xml:space="preserve">We </w:t>
      </w:r>
      <w:r>
        <w:rPr>
          <w:rFonts w:cstheme="minorHAnsi"/>
        </w:rPr>
        <w:t>encourage</w:t>
      </w:r>
      <w:r w:rsidRPr="00C04B5C">
        <w:rPr>
          <w:rFonts w:cstheme="minorHAnsi"/>
        </w:rPr>
        <w:t xml:space="preserve"> Government make an amendment to the gifts and benefits policy to allow public service members to accept charity gift cards up to the value of $200. This would incentivise and encourage greater uptake of Charity </w:t>
      </w:r>
      <w:r w:rsidRPr="00C04B5C">
        <w:rPr>
          <w:rFonts w:cstheme="minorHAnsi"/>
        </w:rPr>
        <w:lastRenderedPageBreak/>
        <w:t>Gift Cards benefitting all DGR Type 1 charities.</w:t>
      </w:r>
      <w:r>
        <w:rPr>
          <w:rFonts w:cstheme="minorHAnsi"/>
        </w:rPr>
        <w:br/>
      </w:r>
    </w:p>
    <w:p w14:paraId="24AECA3A" w14:textId="0D119294" w:rsidR="00C04B5C" w:rsidRPr="000F1E69" w:rsidRDefault="00C04B5C" w:rsidP="000F1E69">
      <w:pPr>
        <w:numPr>
          <w:ilvl w:val="1"/>
          <w:numId w:val="11"/>
        </w:numPr>
        <w:rPr>
          <w:rFonts w:cstheme="minorHAnsi"/>
        </w:rPr>
      </w:pPr>
      <w:r w:rsidRPr="00B4015F">
        <w:rPr>
          <w:rFonts w:cstheme="minorHAnsi"/>
        </w:rPr>
        <w:t xml:space="preserve">We would like to see a Whole of Government approach to embracing Charity Gift cards as an ethical and eco-friendly gift / reward. We can create a platform that allows staff to gift and redeem vouchers and track the positive impact. </w:t>
      </w:r>
      <w:r w:rsidR="00B4015F" w:rsidRPr="000F1E69">
        <w:rPr>
          <w:rFonts w:cstheme="minorHAnsi"/>
        </w:rPr>
        <w:br/>
      </w:r>
    </w:p>
    <w:p w14:paraId="6944CBE6" w14:textId="5DDBEF96" w:rsidR="00C04B5C" w:rsidRPr="00C04B5C" w:rsidRDefault="00C04B5C" w:rsidP="00C04B5C">
      <w:pPr>
        <w:numPr>
          <w:ilvl w:val="1"/>
          <w:numId w:val="11"/>
        </w:numPr>
        <w:rPr>
          <w:rFonts w:cstheme="minorHAnsi"/>
        </w:rPr>
      </w:pPr>
      <w:r>
        <w:rPr>
          <w:rFonts w:cstheme="minorHAnsi"/>
        </w:rPr>
        <w:t>Finally, w</w:t>
      </w:r>
      <w:r w:rsidRPr="001059A1">
        <w:rPr>
          <w:rFonts w:cstheme="minorHAnsi"/>
        </w:rPr>
        <w:t>e believe that an inheritance tax could be another avenue to increase philanthropic giving. While Australia has not had an inheritance tax since 1979, most OECD countries do. An inheritance tax would still add considerable resources to the charitable sector. We calculate a 5% tax with a $10 million net wealth threshold (excluding owner-occupied housing equity) would raise between $2.3 and $3 billion annually for a national fund for charities.</w:t>
      </w:r>
    </w:p>
    <w:p w14:paraId="57ED0430" w14:textId="77777777" w:rsidR="000F1E69" w:rsidRDefault="000F1E69" w:rsidP="00C04B5C">
      <w:pPr>
        <w:ind w:left="1080"/>
        <w:rPr>
          <w:rFonts w:cstheme="minorHAnsi"/>
        </w:rPr>
      </w:pPr>
    </w:p>
    <w:p w14:paraId="6BD6FAEB" w14:textId="77777777" w:rsidR="000F1E69" w:rsidRDefault="000F1E69" w:rsidP="00C04B5C">
      <w:pPr>
        <w:ind w:left="1080"/>
        <w:rPr>
          <w:rFonts w:cstheme="minorHAnsi"/>
        </w:rPr>
      </w:pPr>
    </w:p>
    <w:p w14:paraId="2973D100" w14:textId="300D8C65" w:rsidR="001059A1" w:rsidRPr="001059A1" w:rsidRDefault="008A4BB8" w:rsidP="00B20758">
      <w:pPr>
        <w:rPr>
          <w:rFonts w:cstheme="minorHAnsi"/>
        </w:rPr>
      </w:pPr>
      <w:r>
        <w:rPr>
          <w:rFonts w:cstheme="minorHAnsi"/>
        </w:rPr>
        <w:br/>
      </w:r>
    </w:p>
    <w:p w14:paraId="62BD782A" w14:textId="14BF8278" w:rsidR="000F1E69" w:rsidRPr="004B265B" w:rsidRDefault="001059A1" w:rsidP="004B265B">
      <w:pPr>
        <w:numPr>
          <w:ilvl w:val="0"/>
          <w:numId w:val="11"/>
        </w:numPr>
        <w:rPr>
          <w:rFonts w:cstheme="minorHAnsi"/>
        </w:rPr>
      </w:pPr>
      <w:r w:rsidRPr="001059A1">
        <w:rPr>
          <w:rFonts w:cstheme="minorHAnsi"/>
          <w:b/>
          <w:bCs/>
        </w:rPr>
        <w:t>Barriers to philanthropic giving</w:t>
      </w:r>
      <w:r w:rsidR="00C04B5C">
        <w:rPr>
          <w:rFonts w:cstheme="minorHAnsi"/>
          <w:b/>
          <w:bCs/>
        </w:rPr>
        <w:br/>
      </w:r>
      <w:r w:rsidR="00B4015F" w:rsidRPr="000F1E69">
        <w:rPr>
          <w:rFonts w:cstheme="minorHAnsi"/>
        </w:rPr>
        <w:br/>
      </w:r>
    </w:p>
    <w:p w14:paraId="4F93B17D" w14:textId="3B46D765" w:rsidR="000F1E69" w:rsidRPr="004B265B" w:rsidRDefault="004B265B" w:rsidP="004B265B">
      <w:pPr>
        <w:numPr>
          <w:ilvl w:val="1"/>
          <w:numId w:val="11"/>
        </w:numPr>
        <w:rPr>
          <w:rFonts w:cstheme="minorHAnsi"/>
        </w:rPr>
      </w:pPr>
      <w:r>
        <w:rPr>
          <w:rFonts w:cstheme="minorHAnsi"/>
        </w:rPr>
        <w:t>We have found t</w:t>
      </w:r>
      <w:r w:rsidR="000F1E69">
        <w:rPr>
          <w:rFonts w:cstheme="minorHAnsi"/>
        </w:rPr>
        <w:t xml:space="preserve">he barrier to </w:t>
      </w:r>
      <w:r>
        <w:rPr>
          <w:rFonts w:cstheme="minorHAnsi"/>
        </w:rPr>
        <w:t>C</w:t>
      </w:r>
      <w:r w:rsidR="000F1E69">
        <w:rPr>
          <w:rFonts w:cstheme="minorHAnsi"/>
        </w:rPr>
        <w:t xml:space="preserve">orporate </w:t>
      </w:r>
      <w:r>
        <w:rPr>
          <w:rFonts w:cstheme="minorHAnsi"/>
        </w:rPr>
        <w:t>T</w:t>
      </w:r>
      <w:r w:rsidR="000F1E69">
        <w:rPr>
          <w:rFonts w:cstheme="minorHAnsi"/>
        </w:rPr>
        <w:t xml:space="preserve">eam </w:t>
      </w:r>
      <w:r>
        <w:rPr>
          <w:rFonts w:cstheme="minorHAnsi"/>
        </w:rPr>
        <w:t>V</w:t>
      </w:r>
      <w:r w:rsidR="000F1E69">
        <w:rPr>
          <w:rFonts w:cstheme="minorHAnsi"/>
        </w:rPr>
        <w:t>olunteering include</w:t>
      </w:r>
      <w:r>
        <w:rPr>
          <w:rFonts w:cstheme="minorHAnsi"/>
        </w:rPr>
        <w:t>s:</w:t>
      </w:r>
      <w:r w:rsidR="000F1E69">
        <w:rPr>
          <w:rFonts w:cstheme="minorHAnsi"/>
        </w:rPr>
        <w:t xml:space="preserve"> agreeing on the charity, the date, the number of staff, transport, food, insurance</w:t>
      </w:r>
      <w:r w:rsidR="001C0653">
        <w:rPr>
          <w:rFonts w:cstheme="minorHAnsi"/>
        </w:rPr>
        <w:t>, staff capacity</w:t>
      </w:r>
      <w:r w:rsidR="000F1E69">
        <w:rPr>
          <w:rFonts w:cstheme="minorHAnsi"/>
        </w:rPr>
        <w:t xml:space="preserve"> and costs. To address these challenges GoodCompany launched the </w:t>
      </w:r>
      <w:hyperlink r:id="rId16" w:history="1">
        <w:r w:rsidR="000F1E69" w:rsidRPr="004B265B">
          <w:rPr>
            <w:rStyle w:val="Hyperlink"/>
            <w:rFonts w:cstheme="minorHAnsi"/>
          </w:rPr>
          <w:t>GoodCompany Volunteer Mystery Bus</w:t>
        </w:r>
      </w:hyperlink>
      <w:r w:rsidR="000F1E69">
        <w:rPr>
          <w:rFonts w:cstheme="minorHAnsi"/>
        </w:rPr>
        <w:t xml:space="preserve"> which jumps all the corporate team volunteering hurdles. We encourage Government to give it a go and </w:t>
      </w:r>
      <w:r w:rsidR="001C0653">
        <w:rPr>
          <w:rFonts w:cstheme="minorHAnsi"/>
        </w:rPr>
        <w:t xml:space="preserve">observe </w:t>
      </w:r>
      <w:r w:rsidR="000F1E69">
        <w:rPr>
          <w:rFonts w:cstheme="minorHAnsi"/>
        </w:rPr>
        <w:t>if together</w:t>
      </w:r>
      <w:r w:rsidR="001C0653">
        <w:rPr>
          <w:rFonts w:cstheme="minorHAnsi"/>
        </w:rPr>
        <w:t>,</w:t>
      </w:r>
      <w:r w:rsidR="000F1E69">
        <w:rPr>
          <w:rFonts w:cstheme="minorHAnsi"/>
        </w:rPr>
        <w:t xml:space="preserve"> we can drive more volunteering</w:t>
      </w:r>
      <w:r w:rsidR="001C0653">
        <w:rPr>
          <w:rFonts w:cstheme="minorHAnsi"/>
        </w:rPr>
        <w:t xml:space="preserve"> in Australia</w:t>
      </w:r>
      <w:r w:rsidR="000F1E69">
        <w:rPr>
          <w:rFonts w:cstheme="minorHAnsi"/>
        </w:rPr>
        <w:t xml:space="preserve">. </w:t>
      </w:r>
    </w:p>
    <w:p w14:paraId="6B17606D" w14:textId="3005C24F" w:rsidR="000F1E69" w:rsidRPr="000F1E69" w:rsidRDefault="000F1E69" w:rsidP="000F1E69">
      <w:pPr>
        <w:ind w:left="1440"/>
        <w:rPr>
          <w:rFonts w:cstheme="minorHAnsi"/>
        </w:rPr>
      </w:pPr>
      <w:r w:rsidRPr="000F1E69">
        <w:rPr>
          <w:rFonts w:cstheme="minorHAnsi"/>
        </w:rPr>
        <w:t xml:space="preserve"> </w:t>
      </w:r>
    </w:p>
    <w:p w14:paraId="312770C6" w14:textId="489083A6" w:rsidR="001059A1" w:rsidRPr="001059A1" w:rsidRDefault="00B4015F" w:rsidP="00B4015F">
      <w:pPr>
        <w:numPr>
          <w:ilvl w:val="1"/>
          <w:numId w:val="11"/>
        </w:numPr>
        <w:rPr>
          <w:color w:val="44546A" w:themeColor="text2"/>
        </w:rPr>
      </w:pPr>
      <w:r>
        <w:t>Based on the PAF Consultation on Policy Changes paper </w:t>
      </w:r>
      <w:hyperlink r:id="rId17" w:history="1">
        <w:r>
          <w:rPr>
            <w:rStyle w:val="Hyperlink"/>
          </w:rPr>
          <w:t>https://treasury.gov.au/sites/default/files/2022-03/c2022-259124-cp.pdf</w:t>
        </w:r>
      </w:hyperlink>
      <w:r>
        <w:t xml:space="preserve">  </w:t>
      </w:r>
      <w:r w:rsidRPr="00B4015F">
        <w:rPr>
          <w:rFonts w:cstheme="minorHAnsi"/>
        </w:rPr>
        <w:t xml:space="preserve">and recommend that Ancillary Fund Guideline changes to allow a PuAF to donate “through” rather than “to” another PuAF in order that the funds reach a DGR tpe 1 charity in full within a 12 month period. And that strict penalties will be enforced if the donation does not reach a DGR within the time period. </w:t>
      </w:r>
      <w:r w:rsidRPr="00B4015F">
        <w:rPr>
          <w:rFonts w:cstheme="minorHAnsi"/>
        </w:rPr>
        <w:br/>
      </w:r>
      <w:r w:rsidR="008A4BB8" w:rsidRPr="00B4015F">
        <w:rPr>
          <w:rFonts w:cstheme="minorHAnsi"/>
        </w:rPr>
        <w:br/>
      </w:r>
      <w:r w:rsidR="001059A1" w:rsidRPr="00B4015F">
        <w:rPr>
          <w:rFonts w:cstheme="minorHAnsi"/>
        </w:rPr>
        <w:br/>
      </w:r>
    </w:p>
    <w:p w14:paraId="511E1DB7" w14:textId="75E2A6FA" w:rsidR="001059A1" w:rsidRPr="001059A1" w:rsidRDefault="001059A1" w:rsidP="001059A1">
      <w:pPr>
        <w:numPr>
          <w:ilvl w:val="0"/>
          <w:numId w:val="11"/>
        </w:numPr>
        <w:rPr>
          <w:rFonts w:cstheme="minorHAnsi"/>
        </w:rPr>
      </w:pPr>
      <w:r w:rsidRPr="001059A1">
        <w:rPr>
          <w:rFonts w:cstheme="minorHAnsi"/>
          <w:b/>
          <w:bCs/>
        </w:rPr>
        <w:t>Tax expenditure framework</w:t>
      </w:r>
      <w:r w:rsidR="004B265B">
        <w:rPr>
          <w:rFonts w:cstheme="minorHAnsi"/>
          <w:b/>
          <w:bCs/>
        </w:rPr>
        <w:t xml:space="preserve"> and </w:t>
      </w:r>
      <w:r w:rsidR="004B265B" w:rsidRPr="001059A1">
        <w:rPr>
          <w:rFonts w:cstheme="minorHAnsi"/>
          <w:b/>
          <w:bCs/>
        </w:rPr>
        <w:t>Reforms to increase philanthropy</w:t>
      </w:r>
      <w:r w:rsidR="00C04B5C">
        <w:rPr>
          <w:rFonts w:cstheme="minorHAnsi"/>
          <w:b/>
          <w:bCs/>
        </w:rPr>
        <w:br/>
      </w:r>
    </w:p>
    <w:p w14:paraId="0CE96A6E" w14:textId="5E820C7B" w:rsidR="00B4015F" w:rsidRDefault="001059A1" w:rsidP="001059A1">
      <w:pPr>
        <w:numPr>
          <w:ilvl w:val="1"/>
          <w:numId w:val="11"/>
        </w:numPr>
        <w:rPr>
          <w:rFonts w:cstheme="minorHAnsi"/>
        </w:rPr>
      </w:pPr>
      <w:r w:rsidRPr="001059A1">
        <w:rPr>
          <w:rFonts w:cstheme="minorHAnsi"/>
        </w:rPr>
        <w:t xml:space="preserve">We recommend greater flexibility in PAF to PAF transfers. This will allow Company Foundations to draw matched funds from their PAF, pass them on to another PAF to </w:t>
      </w:r>
      <w:r w:rsidR="008A4BB8">
        <w:rPr>
          <w:rFonts w:cstheme="minorHAnsi"/>
        </w:rPr>
        <w:t xml:space="preserve">be efficiently passed onto </w:t>
      </w:r>
      <w:r w:rsidRPr="001059A1">
        <w:rPr>
          <w:rFonts w:cstheme="minorHAnsi"/>
        </w:rPr>
        <w:t>Deductible Gift Recipient (DGR 1) organisations.</w:t>
      </w:r>
      <w:r w:rsidR="00B4015F">
        <w:rPr>
          <w:rFonts w:cstheme="minorHAnsi"/>
        </w:rPr>
        <w:br/>
      </w:r>
    </w:p>
    <w:p w14:paraId="6AA26307" w14:textId="77777777" w:rsidR="00B4015F" w:rsidRPr="00B4015F" w:rsidRDefault="00B4015F" w:rsidP="00B4015F">
      <w:pPr>
        <w:numPr>
          <w:ilvl w:val="1"/>
          <w:numId w:val="12"/>
        </w:numPr>
        <w:rPr>
          <w:rFonts w:cstheme="minorHAnsi"/>
        </w:rPr>
      </w:pPr>
      <w:r>
        <w:rPr>
          <w:rFonts w:cstheme="minorHAnsi"/>
        </w:rPr>
        <w:lastRenderedPageBreak/>
        <w:t xml:space="preserve">We believe that FBT and other benefits afforded to DGR Type 1 charities should be afforded to DGR Type 2 (PAF) charities. Both entities are struggling in a tight employment market, and we see no logic behind denying PAF’s these employee benefits. </w:t>
      </w:r>
      <w:r>
        <w:rPr>
          <w:rFonts w:cstheme="minorHAnsi"/>
        </w:rPr>
        <w:br/>
      </w:r>
    </w:p>
    <w:p w14:paraId="20DEE6D6" w14:textId="15207FDD" w:rsidR="001059A1" w:rsidRPr="001059A1" w:rsidRDefault="00B4015F" w:rsidP="004B265B">
      <w:pPr>
        <w:numPr>
          <w:ilvl w:val="1"/>
          <w:numId w:val="12"/>
        </w:numPr>
        <w:rPr>
          <w:rFonts w:cstheme="minorHAnsi"/>
        </w:rPr>
      </w:pPr>
      <w:r>
        <w:rPr>
          <w:rFonts w:eastAsia="Times New Roman"/>
        </w:rPr>
        <w:t>To grow skilled volunteering, we encourage a policy whereby the p</w:t>
      </w:r>
      <w:r w:rsidRPr="008A4BB8">
        <w:rPr>
          <w:rFonts w:eastAsia="Times New Roman"/>
        </w:rPr>
        <w:t xml:space="preserve">ublic can apply for a tax deduction up to $500 </w:t>
      </w:r>
      <w:r>
        <w:rPr>
          <w:rFonts w:eastAsia="Times New Roman"/>
        </w:rPr>
        <w:t xml:space="preserve">p.a. </w:t>
      </w:r>
      <w:r w:rsidRPr="008A4BB8">
        <w:rPr>
          <w:rFonts w:eastAsia="Times New Roman"/>
        </w:rPr>
        <w:t>if they can prove they have undertaken $500</w:t>
      </w:r>
      <w:r>
        <w:rPr>
          <w:rFonts w:eastAsia="Times New Roman"/>
        </w:rPr>
        <w:t>0</w:t>
      </w:r>
      <w:r w:rsidRPr="008A4BB8">
        <w:rPr>
          <w:rFonts w:eastAsia="Times New Roman"/>
        </w:rPr>
        <w:t xml:space="preserve"> of skilled volunteering within the last tax year. </w:t>
      </w:r>
      <w:r w:rsidRPr="004B265B">
        <w:rPr>
          <w:rFonts w:cstheme="minorHAnsi"/>
          <w:b/>
          <w:bCs/>
        </w:rPr>
        <w:br/>
      </w:r>
    </w:p>
    <w:p w14:paraId="224A765D" w14:textId="5C0705AF" w:rsidR="001059A1" w:rsidRPr="001059A1" w:rsidRDefault="001059A1" w:rsidP="001059A1">
      <w:pPr>
        <w:numPr>
          <w:ilvl w:val="1"/>
          <w:numId w:val="12"/>
        </w:numPr>
        <w:rPr>
          <w:rFonts w:cstheme="minorHAnsi"/>
        </w:rPr>
      </w:pPr>
      <w:r w:rsidRPr="001059A1">
        <w:rPr>
          <w:rFonts w:cstheme="minorHAnsi"/>
        </w:rPr>
        <w:t>Any reforms should consider the integrity of the taxation system, the benefits to not-for-profits from existing programs, and the potential benefits from increased philanthropy.</w:t>
      </w:r>
      <w:r w:rsidR="00B4015F">
        <w:rPr>
          <w:rFonts w:cstheme="minorHAnsi"/>
        </w:rPr>
        <w:br/>
      </w:r>
    </w:p>
    <w:p w14:paraId="158347F2" w14:textId="686BDD11" w:rsidR="00B4015F" w:rsidRDefault="001059A1" w:rsidP="001059A1">
      <w:pPr>
        <w:numPr>
          <w:ilvl w:val="1"/>
          <w:numId w:val="12"/>
        </w:numPr>
        <w:rPr>
          <w:rFonts w:cstheme="minorHAnsi"/>
        </w:rPr>
      </w:pPr>
      <w:r w:rsidRPr="001059A1">
        <w:rPr>
          <w:rFonts w:cstheme="minorHAnsi"/>
        </w:rPr>
        <w:t xml:space="preserve">We recommend the commission to consider tax incentives, simplification of the regulatory framework, and enhanced transparency and impact evaluation as priority areas for reform. </w:t>
      </w:r>
      <w:r w:rsidR="00B4015F">
        <w:rPr>
          <w:rFonts w:cstheme="minorHAnsi"/>
        </w:rPr>
        <w:br/>
      </w:r>
    </w:p>
    <w:p w14:paraId="1DAB805D" w14:textId="026C72F8" w:rsidR="001059A1" w:rsidRPr="001059A1" w:rsidRDefault="001059A1" w:rsidP="001059A1">
      <w:pPr>
        <w:numPr>
          <w:ilvl w:val="1"/>
          <w:numId w:val="12"/>
        </w:numPr>
        <w:rPr>
          <w:rFonts w:cstheme="minorHAnsi"/>
        </w:rPr>
      </w:pPr>
      <w:r w:rsidRPr="001059A1">
        <w:rPr>
          <w:rFonts w:cstheme="minorHAnsi"/>
        </w:rPr>
        <w:t>We urge the Government to support innovative initiatives like GoodCompany's Volunteer Mystery Bus, which aims to drive more volunteering by making it an engaging and exciting activity.</w:t>
      </w:r>
      <w:r w:rsidR="00B4015F">
        <w:rPr>
          <w:rFonts w:cstheme="minorHAnsi"/>
        </w:rPr>
        <w:br/>
      </w:r>
    </w:p>
    <w:p w14:paraId="57683A90" w14:textId="77777777" w:rsidR="001059A1" w:rsidRDefault="001059A1" w:rsidP="001059A1">
      <w:pPr>
        <w:numPr>
          <w:ilvl w:val="1"/>
          <w:numId w:val="12"/>
        </w:numPr>
        <w:rPr>
          <w:rFonts w:cstheme="minorHAnsi"/>
        </w:rPr>
      </w:pPr>
      <w:r w:rsidRPr="001059A1">
        <w:rPr>
          <w:rFonts w:cstheme="minorHAnsi"/>
        </w:rPr>
        <w:t>Inheritance tax and breakage of gift cards should also be considered as potential sources of funds for the charitable sector. These initiatives, if implemented properly, could significantly contribute to philanthropy in Australia.</w:t>
      </w:r>
    </w:p>
    <w:p w14:paraId="75418DCB" w14:textId="77777777" w:rsidR="001059A1" w:rsidRPr="001059A1" w:rsidRDefault="001059A1" w:rsidP="008A4BB8">
      <w:pPr>
        <w:ind w:left="1440"/>
        <w:rPr>
          <w:rFonts w:cstheme="minorHAnsi"/>
        </w:rPr>
      </w:pPr>
    </w:p>
    <w:p w14:paraId="549B8ACA" w14:textId="226DF6C2" w:rsidR="001059A1" w:rsidRPr="001059A1" w:rsidRDefault="008A4BB8" w:rsidP="001059A1">
      <w:pPr>
        <w:rPr>
          <w:rFonts w:cstheme="minorHAnsi"/>
        </w:rPr>
      </w:pPr>
      <w:r>
        <w:rPr>
          <w:rFonts w:cstheme="minorHAnsi"/>
        </w:rPr>
        <w:t xml:space="preserve">In summary, we agree that </w:t>
      </w:r>
      <w:r w:rsidRPr="001059A1">
        <w:rPr>
          <w:rFonts w:cstheme="minorHAnsi"/>
        </w:rPr>
        <w:t xml:space="preserve">Workplace giving, as highlighted by Assistant Minister for Competition, Charities and Treasury, Andrew Leigh, has great potential to be a major source of donations for Australia's charities. </w:t>
      </w:r>
      <w:r w:rsidR="004B265B">
        <w:rPr>
          <w:rFonts w:cstheme="minorHAnsi"/>
        </w:rPr>
        <w:br/>
      </w:r>
      <w:r w:rsidR="004B265B">
        <w:rPr>
          <w:rFonts w:cstheme="minorHAnsi"/>
        </w:rPr>
        <w:br/>
        <w:t>Workplace Giving</w:t>
      </w:r>
      <w:r w:rsidRPr="001059A1">
        <w:rPr>
          <w:rFonts w:cstheme="minorHAnsi"/>
        </w:rPr>
        <w:t xml:space="preserve"> can help the government reach its goal of doubling philanthropy by 2030.</w:t>
      </w:r>
      <w:r w:rsidR="004B265B">
        <w:rPr>
          <w:rFonts w:cstheme="minorHAnsi"/>
        </w:rPr>
        <w:br/>
      </w:r>
      <w:r w:rsidR="004B265B">
        <w:rPr>
          <w:rFonts w:cstheme="minorHAnsi"/>
        </w:rPr>
        <w:br/>
      </w:r>
      <w:r w:rsidRPr="001059A1">
        <w:rPr>
          <w:rFonts w:cstheme="minorHAnsi"/>
        </w:rPr>
        <w:t xml:space="preserve">Leigh's ideas on the role of management in fostering </w:t>
      </w:r>
      <w:r w:rsidR="00750C4C">
        <w:rPr>
          <w:rFonts w:cstheme="minorHAnsi"/>
        </w:rPr>
        <w:t>W</w:t>
      </w:r>
      <w:r w:rsidRPr="001059A1">
        <w:rPr>
          <w:rFonts w:cstheme="minorHAnsi"/>
        </w:rPr>
        <w:t xml:space="preserve">orkplace </w:t>
      </w:r>
      <w:r w:rsidR="00750C4C">
        <w:rPr>
          <w:rFonts w:cstheme="minorHAnsi"/>
        </w:rPr>
        <w:t>G</w:t>
      </w:r>
      <w:r w:rsidRPr="001059A1">
        <w:rPr>
          <w:rFonts w:cstheme="minorHAnsi"/>
        </w:rPr>
        <w:t xml:space="preserve">iving, its connection with corporate volunteering, and making it easy for employees to sign up to giving programs </w:t>
      </w:r>
      <w:r>
        <w:rPr>
          <w:rFonts w:cstheme="minorHAnsi"/>
        </w:rPr>
        <w:t xml:space="preserve">are all </w:t>
      </w:r>
      <w:r w:rsidR="004B265B">
        <w:rPr>
          <w:rFonts w:cstheme="minorHAnsi"/>
        </w:rPr>
        <w:t xml:space="preserve">baked into </w:t>
      </w:r>
      <w:r>
        <w:rPr>
          <w:rFonts w:cstheme="minorHAnsi"/>
        </w:rPr>
        <w:t>the GoodCompany Platform</w:t>
      </w:r>
      <w:r w:rsidR="004B265B">
        <w:rPr>
          <w:rFonts w:cstheme="minorHAnsi"/>
        </w:rPr>
        <w:t xml:space="preserve"> - a fully Australian built and owned social enterprise. </w:t>
      </w:r>
      <w:r>
        <w:rPr>
          <w:rFonts w:cstheme="minorHAnsi"/>
        </w:rPr>
        <w:br/>
      </w:r>
      <w:r>
        <w:rPr>
          <w:rFonts w:cstheme="minorHAnsi"/>
        </w:rPr>
        <w:br/>
      </w:r>
      <w:r w:rsidR="001059A1" w:rsidRPr="001059A1">
        <w:rPr>
          <w:rFonts w:cstheme="minorHAnsi"/>
        </w:rPr>
        <w:t>GoodCompany is committed to working with the Commission, the Government, and other stakeholders to enhance philanthropic giving in Australia</w:t>
      </w:r>
      <w:r w:rsidR="00750C4C">
        <w:rPr>
          <w:rFonts w:cstheme="minorHAnsi"/>
        </w:rPr>
        <w:t>, to bring out the best in everyone</w:t>
      </w:r>
      <w:r w:rsidR="001059A1" w:rsidRPr="001059A1">
        <w:rPr>
          <w:rFonts w:cstheme="minorHAnsi"/>
        </w:rPr>
        <w:t>. We would be happy to provide further information or clarification on any points raised in this submission.</w:t>
      </w:r>
      <w:r w:rsidR="004B265B">
        <w:rPr>
          <w:rFonts w:cstheme="minorHAnsi"/>
        </w:rPr>
        <w:br/>
      </w:r>
    </w:p>
    <w:p w14:paraId="6E285779" w14:textId="1055566A" w:rsidR="001059A1" w:rsidRPr="001059A1" w:rsidRDefault="001059A1" w:rsidP="001059A1">
      <w:pPr>
        <w:rPr>
          <w:rFonts w:cstheme="minorHAnsi"/>
        </w:rPr>
      </w:pPr>
      <w:r w:rsidRPr="001059A1">
        <w:rPr>
          <w:rFonts w:cstheme="minorHAnsi"/>
        </w:rPr>
        <w:t xml:space="preserve">By fostering a culture of </w:t>
      </w:r>
      <w:r w:rsidR="00750C4C">
        <w:rPr>
          <w:rFonts w:cstheme="minorHAnsi"/>
        </w:rPr>
        <w:t>W</w:t>
      </w:r>
      <w:r w:rsidRPr="001059A1">
        <w:rPr>
          <w:rFonts w:cstheme="minorHAnsi"/>
        </w:rPr>
        <w:t xml:space="preserve">orkplace </w:t>
      </w:r>
      <w:r w:rsidR="00750C4C">
        <w:rPr>
          <w:rFonts w:cstheme="minorHAnsi"/>
        </w:rPr>
        <w:t>G</w:t>
      </w:r>
      <w:r w:rsidRPr="001059A1">
        <w:rPr>
          <w:rFonts w:cstheme="minorHAnsi"/>
        </w:rPr>
        <w:t>iving and making it easier for employees to contribute, we can build a stronger, more connected Australia. With the right policies and support from businesses, we believe we can reach the goal of doubling philanthropy by 2030.</w:t>
      </w:r>
    </w:p>
    <w:p w14:paraId="1CB0B2F9" w14:textId="5EC145D4" w:rsidR="001059A1" w:rsidRPr="001059A1" w:rsidRDefault="001059A1" w:rsidP="001059A1">
      <w:pPr>
        <w:rPr>
          <w:rFonts w:cstheme="minorHAnsi"/>
        </w:rPr>
      </w:pPr>
      <w:r w:rsidRPr="001059A1">
        <w:rPr>
          <w:rFonts w:cstheme="minorHAnsi"/>
        </w:rPr>
        <w:lastRenderedPageBreak/>
        <w:t>Thank you for considering our views.</w:t>
      </w:r>
      <w:r w:rsidR="008A4BB8">
        <w:rPr>
          <w:rFonts w:cstheme="minorHAnsi"/>
        </w:rPr>
        <w:br/>
      </w:r>
    </w:p>
    <w:p w14:paraId="41CEB13B" w14:textId="77777777" w:rsidR="001059A1" w:rsidRPr="001059A1" w:rsidRDefault="001059A1" w:rsidP="001059A1">
      <w:pPr>
        <w:rPr>
          <w:rFonts w:cstheme="minorHAnsi"/>
        </w:rPr>
      </w:pPr>
      <w:r w:rsidRPr="001059A1">
        <w:rPr>
          <w:rFonts w:cstheme="minorHAnsi"/>
        </w:rPr>
        <w:t>Yours sincerely,</w:t>
      </w:r>
    </w:p>
    <w:p w14:paraId="4BEE4E14" w14:textId="77777777" w:rsidR="001059A1" w:rsidRDefault="001059A1" w:rsidP="001059A1">
      <w:pPr>
        <w:rPr>
          <w:rFonts w:cstheme="minorHAnsi"/>
        </w:rPr>
      </w:pPr>
    </w:p>
    <w:p w14:paraId="5E320963" w14:textId="77777777" w:rsidR="004B265B" w:rsidRDefault="004B265B" w:rsidP="004B265B">
      <w:pPr>
        <w:rPr>
          <w:rFonts w:ascii="Arial" w:eastAsiaTheme="minorEastAsia" w:hAnsi="Arial" w:cs="Arial"/>
          <w:b/>
          <w:bCs/>
          <w:noProof/>
          <w:kern w:val="0"/>
          <w:sz w:val="18"/>
          <w:szCs w:val="18"/>
          <w:lang w:eastAsia="en-AU"/>
          <w14:ligatures w14:val="none"/>
        </w:rPr>
      </w:pPr>
      <w:bookmarkStart w:id="1" w:name="_MailAutoSig"/>
      <w:r>
        <w:rPr>
          <w:rFonts w:ascii="Arial" w:eastAsiaTheme="minorEastAsia" w:hAnsi="Arial" w:cs="Arial"/>
          <w:b/>
          <w:bCs/>
          <w:noProof/>
          <w:kern w:val="0"/>
          <w:sz w:val="18"/>
          <w:szCs w:val="18"/>
          <w:lang w:eastAsia="en-AU"/>
          <w14:ligatures w14:val="none"/>
        </w:rPr>
        <w:t xml:space="preserve">Ash Rosshandler </w:t>
      </w:r>
    </w:p>
    <w:p w14:paraId="409EF7E0" w14:textId="77777777" w:rsidR="004B265B" w:rsidRDefault="004B265B" w:rsidP="004B265B">
      <w:pPr>
        <w:rPr>
          <w:rFonts w:ascii="Calibri" w:eastAsiaTheme="minorEastAsia" w:hAnsi="Calibri" w:cs="Calibri"/>
          <w:noProof/>
          <w:color w:val="1F497D"/>
          <w:kern w:val="0"/>
          <w:sz w:val="18"/>
          <w:szCs w:val="18"/>
          <w:lang w:eastAsia="en-AU"/>
          <w14:ligatures w14:val="none"/>
        </w:rPr>
      </w:pPr>
    </w:p>
    <w:p w14:paraId="2D982F35" w14:textId="77777777" w:rsidR="004B265B" w:rsidRDefault="004B265B" w:rsidP="004B265B">
      <w:pPr>
        <w:rPr>
          <w:rFonts w:ascii="Arial" w:eastAsiaTheme="minorEastAsia" w:hAnsi="Arial" w:cs="Arial"/>
          <w:b/>
          <w:bCs/>
          <w:noProof/>
          <w:color w:val="000000"/>
          <w:kern w:val="0"/>
          <w:sz w:val="18"/>
          <w:szCs w:val="18"/>
          <w:lang w:eastAsia="en-AU"/>
          <w14:ligatures w14:val="none"/>
        </w:rPr>
      </w:pPr>
      <w:r>
        <w:rPr>
          <w:rFonts w:ascii="Arial" w:eastAsiaTheme="minorEastAsia" w:hAnsi="Arial" w:cs="Arial"/>
          <w:b/>
          <w:bCs/>
          <w:noProof/>
          <w:color w:val="000000"/>
          <w:kern w:val="0"/>
          <w:sz w:val="18"/>
          <w:szCs w:val="18"/>
          <w:lang w:eastAsia="en-AU"/>
          <w14:ligatures w14:val="none"/>
        </w:rPr>
        <w:t>CEO GoodCompany Australia and New Zealand</w:t>
      </w:r>
      <w:r>
        <w:rPr>
          <w:rFonts w:ascii="Calibri" w:eastAsiaTheme="minorEastAsia" w:hAnsi="Calibri" w:cs="Calibri"/>
          <w:noProof/>
          <w:color w:val="000000"/>
          <w:kern w:val="0"/>
          <w:sz w:val="18"/>
          <w:szCs w:val="18"/>
          <w:lang w:eastAsia="en-AU"/>
          <w14:ligatures w14:val="none"/>
        </w:rPr>
        <w:br/>
      </w:r>
      <w:r>
        <w:rPr>
          <w:rFonts w:ascii="Arial" w:eastAsiaTheme="minorEastAsia" w:hAnsi="Arial" w:cs="Arial"/>
          <w:b/>
          <w:bCs/>
          <w:noProof/>
          <w:color w:val="000000"/>
          <w:kern w:val="0"/>
          <w:sz w:val="18"/>
          <w:szCs w:val="18"/>
          <w:lang w:eastAsia="en-AU"/>
          <w14:ligatures w14:val="none"/>
        </w:rPr>
        <w:t xml:space="preserve">101 Moray St South Melbourne VIC 3205 </w:t>
      </w:r>
    </w:p>
    <w:p w14:paraId="4257CE22" w14:textId="06365EC7" w:rsidR="004B265B" w:rsidRDefault="004B265B" w:rsidP="004B265B">
      <w:pPr>
        <w:rPr>
          <w:rFonts w:ascii="Arial" w:eastAsiaTheme="minorEastAsia" w:hAnsi="Arial" w:cs="Arial"/>
          <w:b/>
          <w:bCs/>
          <w:noProof/>
          <w:color w:val="000000"/>
          <w:kern w:val="0"/>
          <w:sz w:val="18"/>
          <w:szCs w:val="18"/>
          <w:lang w:eastAsia="en-AU"/>
          <w14:ligatures w14:val="none"/>
        </w:rPr>
      </w:pPr>
      <w:r>
        <w:rPr>
          <w:rFonts w:ascii="Arial" w:eastAsiaTheme="minorEastAsia" w:hAnsi="Arial" w:cs="Arial"/>
          <w:b/>
          <w:bCs/>
          <w:noProof/>
          <w:color w:val="000000"/>
          <w:kern w:val="0"/>
          <w:sz w:val="18"/>
          <w:szCs w:val="18"/>
          <w:lang w:eastAsia="en-AU"/>
          <w14:ligatures w14:val="none"/>
        </w:rPr>
        <w:t xml:space="preserve">d: 0395956700   </w:t>
      </w:r>
    </w:p>
    <w:p w14:paraId="3D8BCBF0" w14:textId="77777777" w:rsidR="004B265B" w:rsidRDefault="00000000" w:rsidP="004B265B">
      <w:pPr>
        <w:rPr>
          <w:rFonts w:ascii="Times New Roman" w:eastAsiaTheme="minorEastAsia" w:hAnsi="Times New Roman" w:cs="Times New Roman"/>
          <w:noProof/>
          <w:color w:val="1F497D"/>
          <w:kern w:val="0"/>
          <w:sz w:val="18"/>
          <w:szCs w:val="18"/>
          <w:lang w:eastAsia="en-AU"/>
          <w14:ligatures w14:val="none"/>
        </w:rPr>
      </w:pPr>
      <w:hyperlink r:id="rId18" w:history="1">
        <w:r w:rsidR="004B265B">
          <w:rPr>
            <w:rStyle w:val="Hyperlink"/>
            <w:rFonts w:ascii="Segoe UI" w:eastAsiaTheme="minorEastAsia" w:hAnsi="Segoe UI" w:cs="Segoe UI"/>
            <w:noProof/>
            <w:color w:val="0563C1"/>
            <w:sz w:val="18"/>
            <w:szCs w:val="18"/>
          </w:rPr>
          <w:t>www.goodcompany.org</w:t>
        </w:r>
      </w:hyperlink>
      <w:r w:rsidR="004B265B">
        <w:rPr>
          <w:rFonts w:ascii="Segoe UI" w:eastAsiaTheme="minorEastAsia" w:hAnsi="Segoe UI" w:cs="Segoe UI"/>
          <w:noProof/>
          <w:color w:val="1F497D"/>
          <w:kern w:val="0"/>
          <w:sz w:val="18"/>
          <w:szCs w:val="18"/>
          <w:lang w:eastAsia="en-AU"/>
          <w14:ligatures w14:val="none"/>
        </w:rPr>
        <w:t xml:space="preserve"> </w:t>
      </w:r>
      <w:r w:rsidR="004B265B">
        <w:rPr>
          <w:rFonts w:ascii="Segoe UI" w:eastAsiaTheme="minorEastAsia" w:hAnsi="Segoe UI" w:cs="Segoe UI"/>
          <w:b/>
          <w:bCs/>
          <w:noProof/>
          <w:color w:val="1F497D"/>
          <w:kern w:val="0"/>
          <w:sz w:val="18"/>
          <w:szCs w:val="18"/>
          <w:lang w:eastAsia="en-AU"/>
          <w14:ligatures w14:val="none"/>
        </w:rPr>
        <w:t> </w:t>
      </w:r>
    </w:p>
    <w:p w14:paraId="371B8B02" w14:textId="77777777" w:rsidR="004B265B" w:rsidRDefault="004B265B" w:rsidP="004B265B">
      <w:pPr>
        <w:rPr>
          <w:rFonts w:eastAsiaTheme="minorEastAsia"/>
          <w:noProof/>
          <w:kern w:val="0"/>
          <w:sz w:val="22"/>
          <w:szCs w:val="22"/>
          <w:lang w:eastAsia="en-AU"/>
          <w14:ligatures w14:val="none"/>
        </w:rPr>
      </w:pPr>
    </w:p>
    <w:p w14:paraId="36B096E1" w14:textId="7D9EEE79" w:rsidR="004B265B" w:rsidRDefault="004B265B" w:rsidP="004B265B">
      <w:pPr>
        <w:shd w:val="clear" w:color="auto" w:fill="FFFFFF"/>
        <w:rPr>
          <w:rFonts w:eastAsiaTheme="minorEastAsia"/>
          <w:noProof/>
          <w:color w:val="000000"/>
          <w:kern w:val="0"/>
          <w:lang w:eastAsia="en-AU"/>
          <w14:ligatures w14:val="none"/>
        </w:rPr>
      </w:pPr>
      <w:r>
        <w:rPr>
          <w:rFonts w:eastAsiaTheme="minorEastAsia"/>
          <w:noProof/>
          <w:kern w:val="0"/>
          <w:lang w:eastAsia="en-AU"/>
        </w:rPr>
        <w:drawing>
          <wp:inline distT="0" distB="0" distL="0" distR="0" wp14:anchorId="25418903" wp14:editId="68050E09">
            <wp:extent cx="2115185" cy="914400"/>
            <wp:effectExtent l="0" t="0" r="0" b="0"/>
            <wp:docPr id="808483212"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483212" name="Picture 1" descr="Logo, company name&#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15185" cy="914400"/>
                    </a:xfrm>
                    <a:prstGeom prst="rect">
                      <a:avLst/>
                    </a:prstGeom>
                    <a:noFill/>
                    <a:ln>
                      <a:noFill/>
                    </a:ln>
                  </pic:spPr>
                </pic:pic>
              </a:graphicData>
            </a:graphic>
          </wp:inline>
        </w:drawing>
      </w:r>
      <w:r>
        <w:rPr>
          <w:rFonts w:eastAsiaTheme="minorEastAsia"/>
          <w:noProof/>
          <w:kern w:val="0"/>
          <w:lang w:eastAsia="en-AU"/>
          <w14:ligatures w14:val="none"/>
        </w:rPr>
        <w:br/>
      </w:r>
      <w:r>
        <w:rPr>
          <w:rFonts w:ascii="Verdana" w:eastAsiaTheme="minorEastAsia" w:hAnsi="Verdana"/>
          <w:b/>
          <w:bCs/>
          <w:noProof/>
          <w:color w:val="343434"/>
          <w:kern w:val="0"/>
          <w:sz w:val="15"/>
          <w:szCs w:val="15"/>
          <w:lang w:eastAsia="en-AU"/>
          <w14:ligatures w14:val="none"/>
        </w:rPr>
        <w:t>We acknowledge the traditional custodians of the land on which we meet, work and live.  We acknowledge the Elders past and present and the care and traditions they have given this country.</w:t>
      </w:r>
    </w:p>
    <w:p w14:paraId="2F9916B2" w14:textId="77777777" w:rsidR="004B265B" w:rsidRDefault="004B265B" w:rsidP="004B265B">
      <w:pPr>
        <w:rPr>
          <w:rFonts w:eastAsiaTheme="minorEastAsia"/>
          <w:noProof/>
          <w:kern w:val="0"/>
          <w:sz w:val="22"/>
          <w:szCs w:val="22"/>
          <w:lang w:eastAsia="en-AU"/>
          <w14:ligatures w14:val="none"/>
        </w:rPr>
      </w:pPr>
    </w:p>
    <w:bookmarkEnd w:id="1"/>
    <w:p w14:paraId="1F088627" w14:textId="77777777" w:rsidR="004B265B" w:rsidRDefault="004B265B" w:rsidP="004B265B"/>
    <w:p w14:paraId="2A6A7786" w14:textId="77777777" w:rsidR="004B265B" w:rsidRPr="001059A1" w:rsidRDefault="004B265B" w:rsidP="001059A1">
      <w:pPr>
        <w:rPr>
          <w:rFonts w:cstheme="minorHAnsi"/>
        </w:rPr>
      </w:pPr>
    </w:p>
    <w:p w14:paraId="5B1BC40E" w14:textId="18753279" w:rsidR="001059A1" w:rsidRPr="001059A1" w:rsidRDefault="001059A1" w:rsidP="001059A1">
      <w:pPr>
        <w:rPr>
          <w:rFonts w:cstheme="minorHAnsi"/>
        </w:rPr>
      </w:pPr>
    </w:p>
    <w:p w14:paraId="6B532C0B" w14:textId="77777777" w:rsidR="001059A1" w:rsidRPr="001059A1" w:rsidRDefault="001059A1" w:rsidP="001059A1">
      <w:pPr>
        <w:rPr>
          <w:rFonts w:cstheme="minorHAnsi"/>
        </w:rPr>
      </w:pPr>
    </w:p>
    <w:sectPr w:rsidR="001059A1" w:rsidRPr="001059A1" w:rsidSect="0020399F">
      <w:headerReference w:type="default" r:id="rId20"/>
      <w:footerReference w:type="even" r:id="rId21"/>
      <w:footerReference w:type="default" r:id="rId22"/>
      <w:pgSz w:w="11906" w:h="16838"/>
      <w:pgMar w:top="992" w:right="1440" w:bottom="86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43BE1" w14:textId="77777777" w:rsidR="004D6A92" w:rsidRDefault="004D6A92" w:rsidP="001B0A2F">
      <w:r>
        <w:separator/>
      </w:r>
    </w:p>
  </w:endnote>
  <w:endnote w:type="continuationSeparator" w:id="0">
    <w:p w14:paraId="534EFB21" w14:textId="77777777" w:rsidR="004D6A92" w:rsidRDefault="004D6A92" w:rsidP="001B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1582593"/>
      <w:docPartObj>
        <w:docPartGallery w:val="Page Numbers (Bottom of Page)"/>
        <w:docPartUnique/>
      </w:docPartObj>
    </w:sdtPr>
    <w:sdtContent>
      <w:p w14:paraId="6BB5DD31" w14:textId="1218282D" w:rsidR="001B0A2F" w:rsidRDefault="001B0A2F" w:rsidP="001B0A2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2C85D73" w14:textId="77777777" w:rsidR="001B0A2F" w:rsidRDefault="001B0A2F" w:rsidP="001B0A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1062498"/>
      <w:docPartObj>
        <w:docPartGallery w:val="Page Numbers (Bottom of Page)"/>
        <w:docPartUnique/>
      </w:docPartObj>
    </w:sdtPr>
    <w:sdtEndPr>
      <w:rPr>
        <w:rStyle w:val="PageNumber"/>
        <w:sz w:val="20"/>
        <w:szCs w:val="20"/>
      </w:rPr>
    </w:sdtEndPr>
    <w:sdtContent>
      <w:p w14:paraId="38F486AE" w14:textId="1376F684" w:rsidR="001B0A2F" w:rsidRDefault="001B0A2F" w:rsidP="00684305">
        <w:pPr>
          <w:pStyle w:val="Footer"/>
          <w:framePr w:wrap="none" w:vAnchor="text" w:hAnchor="margin" w:xAlign="right" w:y="1"/>
          <w:rPr>
            <w:rStyle w:val="PageNumber"/>
          </w:rPr>
        </w:pPr>
        <w:r w:rsidRPr="0020399F">
          <w:rPr>
            <w:rStyle w:val="PageNumber"/>
            <w:sz w:val="18"/>
            <w:szCs w:val="18"/>
          </w:rPr>
          <w:fldChar w:fldCharType="begin"/>
        </w:r>
        <w:r w:rsidRPr="0020399F">
          <w:rPr>
            <w:rStyle w:val="PageNumber"/>
            <w:sz w:val="18"/>
            <w:szCs w:val="18"/>
          </w:rPr>
          <w:instrText xml:space="preserve"> PAGE </w:instrText>
        </w:r>
        <w:r w:rsidRPr="0020399F">
          <w:rPr>
            <w:rStyle w:val="PageNumber"/>
            <w:sz w:val="18"/>
            <w:szCs w:val="18"/>
          </w:rPr>
          <w:fldChar w:fldCharType="separate"/>
        </w:r>
        <w:r w:rsidRPr="0020399F">
          <w:rPr>
            <w:rStyle w:val="PageNumber"/>
            <w:noProof/>
            <w:sz w:val="18"/>
            <w:szCs w:val="18"/>
          </w:rPr>
          <w:t>2</w:t>
        </w:r>
        <w:r w:rsidRPr="0020399F">
          <w:rPr>
            <w:rStyle w:val="PageNumber"/>
            <w:sz w:val="18"/>
            <w:szCs w:val="18"/>
          </w:rPr>
          <w:fldChar w:fldCharType="end"/>
        </w:r>
      </w:p>
    </w:sdtContent>
  </w:sdt>
  <w:p w14:paraId="3942F4E0" w14:textId="77777777" w:rsidR="001B0A2F" w:rsidRDefault="001B0A2F" w:rsidP="001B0A2F">
    <w:pPr>
      <w:pStyle w:val="Footer"/>
      <w:ind w:right="360"/>
    </w:pPr>
  </w:p>
  <w:p w14:paraId="3391432B" w14:textId="77777777" w:rsidR="001B0A2F" w:rsidRDefault="001B0A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A6DD3" w14:textId="77777777" w:rsidR="004D6A92" w:rsidRDefault="004D6A92" w:rsidP="001B0A2F">
      <w:r>
        <w:separator/>
      </w:r>
    </w:p>
  </w:footnote>
  <w:footnote w:type="continuationSeparator" w:id="0">
    <w:p w14:paraId="6E2E90AA" w14:textId="77777777" w:rsidR="004D6A92" w:rsidRDefault="004D6A92" w:rsidP="001B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EFBDA" w14:textId="3240BF4B" w:rsidR="008A4BB8" w:rsidRDefault="008A4BB8" w:rsidP="008A4BB8">
    <w:pPr>
      <w:pStyle w:val="Header"/>
      <w:jc w:val="center"/>
    </w:pPr>
    <w:r>
      <w:rPr>
        <w:noProof/>
      </w:rPr>
      <w:drawing>
        <wp:inline distT="0" distB="0" distL="0" distR="0" wp14:anchorId="78F771C4" wp14:editId="47D47506">
          <wp:extent cx="1880416" cy="813153"/>
          <wp:effectExtent l="0" t="0" r="5715" b="6350"/>
          <wp:docPr id="72416983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169839"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98885" cy="8211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F2003"/>
    <w:multiLevelType w:val="multilevel"/>
    <w:tmpl w:val="7A64E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F57DD"/>
    <w:multiLevelType w:val="multilevel"/>
    <w:tmpl w:val="0C3EEDEA"/>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500FAE"/>
    <w:multiLevelType w:val="multilevel"/>
    <w:tmpl w:val="8C66969C"/>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4702A1"/>
    <w:multiLevelType w:val="multilevel"/>
    <w:tmpl w:val="0E46F9EA"/>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FC450D"/>
    <w:multiLevelType w:val="multilevel"/>
    <w:tmpl w:val="712280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3CDC78E5"/>
    <w:multiLevelType w:val="multilevel"/>
    <w:tmpl w:val="7D5CB770"/>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D806E5"/>
    <w:multiLevelType w:val="hybridMultilevel"/>
    <w:tmpl w:val="46D4A0F6"/>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7" w15:restartNumberingAfterBreak="0">
    <w:nsid w:val="44BB6D8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88B512A"/>
    <w:multiLevelType w:val="hybridMultilevel"/>
    <w:tmpl w:val="0C0EC036"/>
    <w:lvl w:ilvl="0" w:tplc="8AFC783C">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57034FBC"/>
    <w:multiLevelType w:val="multilevel"/>
    <w:tmpl w:val="3C5889FE"/>
    <w:lvl w:ilvl="0">
      <w:start w:val="1"/>
      <w:numFmt w:val="lowerRoman"/>
      <w:lvlText w:val="%1."/>
      <w:lvlJc w:val="left"/>
      <w:pPr>
        <w:tabs>
          <w:tab w:val="num" w:pos="720"/>
        </w:tabs>
        <w:ind w:left="720" w:hanging="360"/>
      </w:pPr>
      <w:rPr>
        <w:rFonts w:ascii="Open Sans" w:eastAsia="Times New Roman" w:hAnsi="Open Sans" w:cs="Open Sans"/>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623211B"/>
    <w:multiLevelType w:val="multilevel"/>
    <w:tmpl w:val="0C3EEDEA"/>
    <w:lvl w:ilvl="0">
      <w:start w:val="1"/>
      <w:numFmt w:val="decimal"/>
      <w:lvlText w:val="%1."/>
      <w:lvlJc w:val="left"/>
      <w:pPr>
        <w:tabs>
          <w:tab w:val="num" w:pos="644"/>
        </w:tabs>
        <w:ind w:left="644" w:hanging="360"/>
      </w:pPr>
    </w:lvl>
    <w:lvl w:ilvl="1">
      <w:start w:val="1"/>
      <w:numFmt w:val="lowerRoman"/>
      <w:lvlText w:val="%2."/>
      <w:lvlJc w:val="righ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15:restartNumberingAfterBreak="0">
    <w:nsid w:val="664E7D58"/>
    <w:multiLevelType w:val="multilevel"/>
    <w:tmpl w:val="BAD653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0B1390"/>
    <w:multiLevelType w:val="multilevel"/>
    <w:tmpl w:val="5EF2D854"/>
    <w:lvl w:ilvl="0">
      <w:start w:val="1"/>
      <w:numFmt w:val="upperRoman"/>
      <w:lvlText w:val="%1."/>
      <w:lvlJc w:val="right"/>
      <w:pPr>
        <w:ind w:left="1004" w:hanging="360"/>
      </w:pPr>
    </w:lvl>
    <w:lvl w:ilvl="1">
      <w:start w:val="1"/>
      <w:numFmt w:val="lowerRoman"/>
      <w:lvlText w:val="%2."/>
      <w:lvlJc w:val="right"/>
      <w:pPr>
        <w:tabs>
          <w:tab w:val="num" w:pos="1724"/>
        </w:tabs>
        <w:ind w:left="1724" w:hanging="360"/>
      </w:pPr>
    </w:lvl>
    <w:lvl w:ilvl="2" w:tentative="1">
      <w:start w:val="1"/>
      <w:numFmt w:val="decimal"/>
      <w:lvlText w:val="%3."/>
      <w:lvlJc w:val="left"/>
      <w:pPr>
        <w:tabs>
          <w:tab w:val="num" w:pos="2444"/>
        </w:tabs>
        <w:ind w:left="2444" w:hanging="360"/>
      </w:pPr>
    </w:lvl>
    <w:lvl w:ilvl="3" w:tentative="1">
      <w:start w:val="1"/>
      <w:numFmt w:val="decimal"/>
      <w:lvlText w:val="%4."/>
      <w:lvlJc w:val="left"/>
      <w:pPr>
        <w:tabs>
          <w:tab w:val="num" w:pos="3164"/>
        </w:tabs>
        <w:ind w:left="3164" w:hanging="360"/>
      </w:pPr>
    </w:lvl>
    <w:lvl w:ilvl="4" w:tentative="1">
      <w:start w:val="1"/>
      <w:numFmt w:val="decimal"/>
      <w:lvlText w:val="%5."/>
      <w:lvlJc w:val="left"/>
      <w:pPr>
        <w:tabs>
          <w:tab w:val="num" w:pos="3884"/>
        </w:tabs>
        <w:ind w:left="3884" w:hanging="360"/>
      </w:pPr>
    </w:lvl>
    <w:lvl w:ilvl="5" w:tentative="1">
      <w:start w:val="1"/>
      <w:numFmt w:val="decimal"/>
      <w:lvlText w:val="%6."/>
      <w:lvlJc w:val="left"/>
      <w:pPr>
        <w:tabs>
          <w:tab w:val="num" w:pos="4604"/>
        </w:tabs>
        <w:ind w:left="4604" w:hanging="360"/>
      </w:pPr>
    </w:lvl>
    <w:lvl w:ilvl="6" w:tentative="1">
      <w:start w:val="1"/>
      <w:numFmt w:val="decimal"/>
      <w:lvlText w:val="%7."/>
      <w:lvlJc w:val="left"/>
      <w:pPr>
        <w:tabs>
          <w:tab w:val="num" w:pos="5324"/>
        </w:tabs>
        <w:ind w:left="5324" w:hanging="360"/>
      </w:pPr>
    </w:lvl>
    <w:lvl w:ilvl="7" w:tentative="1">
      <w:start w:val="1"/>
      <w:numFmt w:val="decimal"/>
      <w:lvlText w:val="%8."/>
      <w:lvlJc w:val="left"/>
      <w:pPr>
        <w:tabs>
          <w:tab w:val="num" w:pos="6044"/>
        </w:tabs>
        <w:ind w:left="6044" w:hanging="360"/>
      </w:pPr>
    </w:lvl>
    <w:lvl w:ilvl="8" w:tentative="1">
      <w:start w:val="1"/>
      <w:numFmt w:val="decimal"/>
      <w:lvlText w:val="%9."/>
      <w:lvlJc w:val="left"/>
      <w:pPr>
        <w:tabs>
          <w:tab w:val="num" w:pos="6764"/>
        </w:tabs>
        <w:ind w:left="6764" w:hanging="360"/>
      </w:pPr>
    </w:lvl>
  </w:abstractNum>
  <w:num w:numId="1" w16cid:durableId="396172285">
    <w:abstractNumId w:val="1"/>
  </w:num>
  <w:num w:numId="2" w16cid:durableId="387344465">
    <w:abstractNumId w:val="6"/>
  </w:num>
  <w:num w:numId="3" w16cid:durableId="676158411">
    <w:abstractNumId w:val="9"/>
  </w:num>
  <w:num w:numId="4" w16cid:durableId="272323783">
    <w:abstractNumId w:val="4"/>
  </w:num>
  <w:num w:numId="5" w16cid:durableId="1736734727">
    <w:abstractNumId w:val="5"/>
  </w:num>
  <w:num w:numId="6" w16cid:durableId="1249970950">
    <w:abstractNumId w:val="10"/>
  </w:num>
  <w:num w:numId="7" w16cid:durableId="1082752513">
    <w:abstractNumId w:val="12"/>
  </w:num>
  <w:num w:numId="8" w16cid:durableId="1882355719">
    <w:abstractNumId w:val="7"/>
  </w:num>
  <w:num w:numId="9" w16cid:durableId="462693980">
    <w:abstractNumId w:val="8"/>
  </w:num>
  <w:num w:numId="10" w16cid:durableId="584843393">
    <w:abstractNumId w:val="2"/>
  </w:num>
  <w:num w:numId="11" w16cid:durableId="241523506">
    <w:abstractNumId w:val="11"/>
  </w:num>
  <w:num w:numId="12" w16cid:durableId="1268007359">
    <w:abstractNumId w:val="3"/>
  </w:num>
  <w:num w:numId="13" w16cid:durableId="1421218385">
    <w:abstractNumId w:val="8"/>
  </w:num>
  <w:num w:numId="14" w16cid:durableId="505747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44F"/>
    <w:rsid w:val="0003702D"/>
    <w:rsid w:val="00077E48"/>
    <w:rsid w:val="000F1E69"/>
    <w:rsid w:val="001059A1"/>
    <w:rsid w:val="00173CF3"/>
    <w:rsid w:val="001B0A2F"/>
    <w:rsid w:val="001C0653"/>
    <w:rsid w:val="001F45CD"/>
    <w:rsid w:val="00200D2E"/>
    <w:rsid w:val="0020399F"/>
    <w:rsid w:val="00251200"/>
    <w:rsid w:val="0026144F"/>
    <w:rsid w:val="003C29C6"/>
    <w:rsid w:val="00401512"/>
    <w:rsid w:val="00416BF6"/>
    <w:rsid w:val="004A30A1"/>
    <w:rsid w:val="004B265B"/>
    <w:rsid w:val="004D6A92"/>
    <w:rsid w:val="004E1D67"/>
    <w:rsid w:val="0054100D"/>
    <w:rsid w:val="005D3C83"/>
    <w:rsid w:val="00600793"/>
    <w:rsid w:val="00687EDA"/>
    <w:rsid w:val="0070336E"/>
    <w:rsid w:val="007100A3"/>
    <w:rsid w:val="007357F6"/>
    <w:rsid w:val="00750C4C"/>
    <w:rsid w:val="007F1339"/>
    <w:rsid w:val="00827046"/>
    <w:rsid w:val="00846F86"/>
    <w:rsid w:val="00857293"/>
    <w:rsid w:val="008A4BB8"/>
    <w:rsid w:val="009C7DFF"/>
    <w:rsid w:val="00AB1F0B"/>
    <w:rsid w:val="00AC020B"/>
    <w:rsid w:val="00AE187A"/>
    <w:rsid w:val="00B20758"/>
    <w:rsid w:val="00B4015F"/>
    <w:rsid w:val="00B9266B"/>
    <w:rsid w:val="00C04B5C"/>
    <w:rsid w:val="00CC1509"/>
    <w:rsid w:val="00D37F7F"/>
    <w:rsid w:val="00D577E1"/>
    <w:rsid w:val="00E01104"/>
    <w:rsid w:val="00F01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7148C"/>
  <w15:chartTrackingRefBased/>
  <w15:docId w15:val="{B1D75F71-AADD-8A44-B96D-1D4EB749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144F"/>
    <w:pPr>
      <w:keepNext/>
      <w:keepLines/>
      <w:spacing w:before="400" w:after="120" w:line="276" w:lineRule="auto"/>
      <w:outlineLvl w:val="0"/>
    </w:pPr>
    <w:rPr>
      <w:rFonts w:ascii="Arial" w:eastAsia="Arial" w:hAnsi="Arial" w:cs="Arial"/>
      <w:kern w:val="0"/>
      <w:sz w:val="40"/>
      <w:szCs w:val="40"/>
      <w:lang w:val="en-GB" w:eastAsia="en-AU"/>
      <w14:ligatures w14:val="none"/>
    </w:rPr>
  </w:style>
  <w:style w:type="paragraph" w:styleId="Heading3">
    <w:name w:val="heading 3"/>
    <w:basedOn w:val="Normal"/>
    <w:next w:val="Normal"/>
    <w:link w:val="Heading3Char"/>
    <w:uiPriority w:val="9"/>
    <w:semiHidden/>
    <w:unhideWhenUsed/>
    <w:qFormat/>
    <w:rsid w:val="00401512"/>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44F"/>
    <w:rPr>
      <w:rFonts w:ascii="Arial" w:eastAsia="Arial" w:hAnsi="Arial" w:cs="Arial"/>
      <w:kern w:val="0"/>
      <w:sz w:val="40"/>
      <w:szCs w:val="40"/>
      <w:lang w:val="en-GB" w:eastAsia="en-AU"/>
      <w14:ligatures w14:val="none"/>
    </w:rPr>
  </w:style>
  <w:style w:type="paragraph" w:styleId="Subtitle">
    <w:name w:val="Subtitle"/>
    <w:basedOn w:val="Normal"/>
    <w:next w:val="Normal"/>
    <w:link w:val="SubtitleChar"/>
    <w:uiPriority w:val="11"/>
    <w:qFormat/>
    <w:rsid w:val="0026144F"/>
    <w:pPr>
      <w:keepNext/>
      <w:keepLines/>
      <w:spacing w:after="320" w:line="276" w:lineRule="auto"/>
    </w:pPr>
    <w:rPr>
      <w:rFonts w:ascii="Arial" w:eastAsia="Arial" w:hAnsi="Arial" w:cs="Arial"/>
      <w:color w:val="666666"/>
      <w:kern w:val="0"/>
      <w:sz w:val="30"/>
      <w:szCs w:val="30"/>
      <w:lang w:val="en-GB" w:eastAsia="en-AU"/>
      <w14:ligatures w14:val="none"/>
    </w:rPr>
  </w:style>
  <w:style w:type="character" w:customStyle="1" w:styleId="SubtitleChar">
    <w:name w:val="Subtitle Char"/>
    <w:basedOn w:val="DefaultParagraphFont"/>
    <w:link w:val="Subtitle"/>
    <w:uiPriority w:val="11"/>
    <w:rsid w:val="0026144F"/>
    <w:rPr>
      <w:rFonts w:ascii="Arial" w:eastAsia="Arial" w:hAnsi="Arial" w:cs="Arial"/>
      <w:color w:val="666666"/>
      <w:kern w:val="0"/>
      <w:sz w:val="30"/>
      <w:szCs w:val="30"/>
      <w:lang w:val="en-GB" w:eastAsia="en-AU"/>
      <w14:ligatures w14:val="none"/>
    </w:rPr>
  </w:style>
  <w:style w:type="character" w:customStyle="1" w:styleId="Heading3Char">
    <w:name w:val="Heading 3 Char"/>
    <w:basedOn w:val="DefaultParagraphFont"/>
    <w:link w:val="Heading3"/>
    <w:uiPriority w:val="9"/>
    <w:semiHidden/>
    <w:rsid w:val="00401512"/>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401512"/>
    <w:pPr>
      <w:spacing w:before="100" w:beforeAutospacing="1" w:after="100" w:afterAutospacing="1"/>
    </w:pPr>
    <w:rPr>
      <w:rFonts w:ascii="Times New Roman" w:eastAsia="Times New Roman" w:hAnsi="Times New Roman" w:cs="Times New Roman"/>
      <w:kern w:val="0"/>
      <w:lang w:eastAsia="en-GB"/>
      <w14:ligatures w14:val="none"/>
    </w:rPr>
  </w:style>
  <w:style w:type="paragraph" w:styleId="ListParagraph">
    <w:name w:val="List Paragraph"/>
    <w:basedOn w:val="Normal"/>
    <w:uiPriority w:val="34"/>
    <w:qFormat/>
    <w:rsid w:val="00401512"/>
    <w:pPr>
      <w:ind w:left="720"/>
      <w:contextualSpacing/>
    </w:pPr>
  </w:style>
  <w:style w:type="character" w:styleId="Hyperlink">
    <w:name w:val="Hyperlink"/>
    <w:basedOn w:val="DefaultParagraphFont"/>
    <w:uiPriority w:val="99"/>
    <w:unhideWhenUsed/>
    <w:rsid w:val="001B0A2F"/>
    <w:rPr>
      <w:color w:val="0563C1" w:themeColor="hyperlink"/>
      <w:u w:val="single"/>
    </w:rPr>
  </w:style>
  <w:style w:type="paragraph" w:styleId="Footer">
    <w:name w:val="footer"/>
    <w:basedOn w:val="Normal"/>
    <w:link w:val="FooterChar"/>
    <w:uiPriority w:val="99"/>
    <w:unhideWhenUsed/>
    <w:rsid w:val="001B0A2F"/>
    <w:pPr>
      <w:tabs>
        <w:tab w:val="center" w:pos="4513"/>
        <w:tab w:val="right" w:pos="9026"/>
      </w:tabs>
    </w:pPr>
  </w:style>
  <w:style w:type="character" w:customStyle="1" w:styleId="FooterChar">
    <w:name w:val="Footer Char"/>
    <w:basedOn w:val="DefaultParagraphFont"/>
    <w:link w:val="Footer"/>
    <w:uiPriority w:val="99"/>
    <w:rsid w:val="001B0A2F"/>
  </w:style>
  <w:style w:type="character" w:styleId="PageNumber">
    <w:name w:val="page number"/>
    <w:basedOn w:val="DefaultParagraphFont"/>
    <w:uiPriority w:val="99"/>
    <w:semiHidden/>
    <w:unhideWhenUsed/>
    <w:rsid w:val="001B0A2F"/>
  </w:style>
  <w:style w:type="paragraph" w:styleId="Header">
    <w:name w:val="header"/>
    <w:basedOn w:val="Normal"/>
    <w:link w:val="HeaderChar"/>
    <w:uiPriority w:val="99"/>
    <w:unhideWhenUsed/>
    <w:rsid w:val="001B0A2F"/>
    <w:pPr>
      <w:tabs>
        <w:tab w:val="center" w:pos="4513"/>
        <w:tab w:val="right" w:pos="9026"/>
      </w:tabs>
    </w:pPr>
  </w:style>
  <w:style w:type="character" w:customStyle="1" w:styleId="HeaderChar">
    <w:name w:val="Header Char"/>
    <w:basedOn w:val="DefaultParagraphFont"/>
    <w:link w:val="Header"/>
    <w:uiPriority w:val="99"/>
    <w:rsid w:val="001B0A2F"/>
  </w:style>
  <w:style w:type="character" w:styleId="FollowedHyperlink">
    <w:name w:val="FollowedHyperlink"/>
    <w:basedOn w:val="DefaultParagraphFont"/>
    <w:uiPriority w:val="99"/>
    <w:semiHidden/>
    <w:unhideWhenUsed/>
    <w:rsid w:val="0020399F"/>
    <w:rPr>
      <w:color w:val="954F72" w:themeColor="followedHyperlink"/>
      <w:u w:val="single"/>
    </w:rPr>
  </w:style>
  <w:style w:type="character" w:styleId="UnresolvedMention">
    <w:name w:val="Unresolved Mention"/>
    <w:basedOn w:val="DefaultParagraphFont"/>
    <w:uiPriority w:val="99"/>
    <w:semiHidden/>
    <w:unhideWhenUsed/>
    <w:rsid w:val="00200D2E"/>
    <w:rPr>
      <w:color w:val="605E5C"/>
      <w:shd w:val="clear" w:color="auto" w:fill="E1DFDD"/>
    </w:rPr>
  </w:style>
  <w:style w:type="paragraph" w:styleId="Revision">
    <w:name w:val="Revision"/>
    <w:hidden/>
    <w:uiPriority w:val="99"/>
    <w:semiHidden/>
    <w:rsid w:val="00416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09189">
      <w:bodyDiv w:val="1"/>
      <w:marLeft w:val="0"/>
      <w:marRight w:val="0"/>
      <w:marTop w:val="0"/>
      <w:marBottom w:val="0"/>
      <w:divBdr>
        <w:top w:val="none" w:sz="0" w:space="0" w:color="auto"/>
        <w:left w:val="none" w:sz="0" w:space="0" w:color="auto"/>
        <w:bottom w:val="none" w:sz="0" w:space="0" w:color="auto"/>
        <w:right w:val="none" w:sz="0" w:space="0" w:color="auto"/>
      </w:divBdr>
    </w:div>
    <w:div w:id="162819755">
      <w:bodyDiv w:val="1"/>
      <w:marLeft w:val="0"/>
      <w:marRight w:val="0"/>
      <w:marTop w:val="0"/>
      <w:marBottom w:val="0"/>
      <w:divBdr>
        <w:top w:val="none" w:sz="0" w:space="0" w:color="auto"/>
        <w:left w:val="none" w:sz="0" w:space="0" w:color="auto"/>
        <w:bottom w:val="none" w:sz="0" w:space="0" w:color="auto"/>
        <w:right w:val="none" w:sz="0" w:space="0" w:color="auto"/>
      </w:divBdr>
      <w:divsChild>
        <w:div w:id="994839426">
          <w:marLeft w:val="0"/>
          <w:marRight w:val="0"/>
          <w:marTop w:val="0"/>
          <w:marBottom w:val="0"/>
          <w:divBdr>
            <w:top w:val="none" w:sz="0" w:space="0" w:color="auto"/>
            <w:left w:val="none" w:sz="0" w:space="0" w:color="auto"/>
            <w:bottom w:val="none" w:sz="0" w:space="0" w:color="auto"/>
            <w:right w:val="none" w:sz="0" w:space="0" w:color="auto"/>
          </w:divBdr>
          <w:divsChild>
            <w:div w:id="1265845421">
              <w:marLeft w:val="0"/>
              <w:marRight w:val="0"/>
              <w:marTop w:val="0"/>
              <w:marBottom w:val="0"/>
              <w:divBdr>
                <w:top w:val="none" w:sz="0" w:space="0" w:color="auto"/>
                <w:left w:val="none" w:sz="0" w:space="0" w:color="auto"/>
                <w:bottom w:val="none" w:sz="0" w:space="0" w:color="auto"/>
                <w:right w:val="none" w:sz="0" w:space="0" w:color="auto"/>
              </w:divBdr>
              <w:divsChild>
                <w:div w:id="79367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48273">
      <w:bodyDiv w:val="1"/>
      <w:marLeft w:val="0"/>
      <w:marRight w:val="0"/>
      <w:marTop w:val="0"/>
      <w:marBottom w:val="0"/>
      <w:divBdr>
        <w:top w:val="none" w:sz="0" w:space="0" w:color="auto"/>
        <w:left w:val="none" w:sz="0" w:space="0" w:color="auto"/>
        <w:bottom w:val="none" w:sz="0" w:space="0" w:color="auto"/>
        <w:right w:val="none" w:sz="0" w:space="0" w:color="auto"/>
      </w:divBdr>
    </w:div>
    <w:div w:id="338047921">
      <w:bodyDiv w:val="1"/>
      <w:marLeft w:val="0"/>
      <w:marRight w:val="0"/>
      <w:marTop w:val="0"/>
      <w:marBottom w:val="0"/>
      <w:divBdr>
        <w:top w:val="none" w:sz="0" w:space="0" w:color="auto"/>
        <w:left w:val="none" w:sz="0" w:space="0" w:color="auto"/>
        <w:bottom w:val="none" w:sz="0" w:space="0" w:color="auto"/>
        <w:right w:val="none" w:sz="0" w:space="0" w:color="auto"/>
      </w:divBdr>
    </w:div>
    <w:div w:id="485822136">
      <w:bodyDiv w:val="1"/>
      <w:marLeft w:val="0"/>
      <w:marRight w:val="0"/>
      <w:marTop w:val="0"/>
      <w:marBottom w:val="0"/>
      <w:divBdr>
        <w:top w:val="none" w:sz="0" w:space="0" w:color="auto"/>
        <w:left w:val="none" w:sz="0" w:space="0" w:color="auto"/>
        <w:bottom w:val="none" w:sz="0" w:space="0" w:color="auto"/>
        <w:right w:val="none" w:sz="0" w:space="0" w:color="auto"/>
      </w:divBdr>
    </w:div>
    <w:div w:id="591276135">
      <w:bodyDiv w:val="1"/>
      <w:marLeft w:val="0"/>
      <w:marRight w:val="0"/>
      <w:marTop w:val="0"/>
      <w:marBottom w:val="0"/>
      <w:divBdr>
        <w:top w:val="none" w:sz="0" w:space="0" w:color="auto"/>
        <w:left w:val="none" w:sz="0" w:space="0" w:color="auto"/>
        <w:bottom w:val="none" w:sz="0" w:space="0" w:color="auto"/>
        <w:right w:val="none" w:sz="0" w:space="0" w:color="auto"/>
      </w:divBdr>
      <w:divsChild>
        <w:div w:id="1792280792">
          <w:marLeft w:val="0"/>
          <w:marRight w:val="0"/>
          <w:marTop w:val="0"/>
          <w:marBottom w:val="0"/>
          <w:divBdr>
            <w:top w:val="single" w:sz="2" w:space="0" w:color="D9D9E3"/>
            <w:left w:val="single" w:sz="2" w:space="0" w:color="D9D9E3"/>
            <w:bottom w:val="single" w:sz="2" w:space="0" w:color="D9D9E3"/>
            <w:right w:val="single" w:sz="2" w:space="0" w:color="D9D9E3"/>
          </w:divBdr>
          <w:divsChild>
            <w:div w:id="831869036">
              <w:marLeft w:val="0"/>
              <w:marRight w:val="0"/>
              <w:marTop w:val="0"/>
              <w:marBottom w:val="0"/>
              <w:divBdr>
                <w:top w:val="single" w:sz="2" w:space="0" w:color="D9D9E3"/>
                <w:left w:val="single" w:sz="2" w:space="0" w:color="D9D9E3"/>
                <w:bottom w:val="single" w:sz="2" w:space="0" w:color="D9D9E3"/>
                <w:right w:val="single" w:sz="2" w:space="0" w:color="D9D9E3"/>
              </w:divBdr>
              <w:divsChild>
                <w:div w:id="1011491140">
                  <w:marLeft w:val="0"/>
                  <w:marRight w:val="0"/>
                  <w:marTop w:val="0"/>
                  <w:marBottom w:val="0"/>
                  <w:divBdr>
                    <w:top w:val="single" w:sz="2" w:space="0" w:color="D9D9E3"/>
                    <w:left w:val="single" w:sz="2" w:space="0" w:color="D9D9E3"/>
                    <w:bottom w:val="single" w:sz="2" w:space="0" w:color="D9D9E3"/>
                    <w:right w:val="single" w:sz="2" w:space="0" w:color="D9D9E3"/>
                  </w:divBdr>
                  <w:divsChild>
                    <w:div w:id="831944991">
                      <w:marLeft w:val="0"/>
                      <w:marRight w:val="0"/>
                      <w:marTop w:val="0"/>
                      <w:marBottom w:val="0"/>
                      <w:divBdr>
                        <w:top w:val="single" w:sz="2" w:space="0" w:color="D9D9E3"/>
                        <w:left w:val="single" w:sz="2" w:space="0" w:color="D9D9E3"/>
                        <w:bottom w:val="single" w:sz="2" w:space="0" w:color="D9D9E3"/>
                        <w:right w:val="single" w:sz="2" w:space="0" w:color="D9D9E3"/>
                      </w:divBdr>
                      <w:divsChild>
                        <w:div w:id="1126123379">
                          <w:marLeft w:val="0"/>
                          <w:marRight w:val="0"/>
                          <w:marTop w:val="0"/>
                          <w:marBottom w:val="0"/>
                          <w:divBdr>
                            <w:top w:val="single" w:sz="2" w:space="0" w:color="auto"/>
                            <w:left w:val="single" w:sz="2" w:space="0" w:color="auto"/>
                            <w:bottom w:val="single" w:sz="6" w:space="0" w:color="auto"/>
                            <w:right w:val="single" w:sz="2" w:space="0" w:color="auto"/>
                          </w:divBdr>
                          <w:divsChild>
                            <w:div w:id="2032873060">
                              <w:marLeft w:val="0"/>
                              <w:marRight w:val="0"/>
                              <w:marTop w:val="100"/>
                              <w:marBottom w:val="100"/>
                              <w:divBdr>
                                <w:top w:val="single" w:sz="2" w:space="0" w:color="D9D9E3"/>
                                <w:left w:val="single" w:sz="2" w:space="0" w:color="D9D9E3"/>
                                <w:bottom w:val="single" w:sz="2" w:space="0" w:color="D9D9E3"/>
                                <w:right w:val="single" w:sz="2" w:space="0" w:color="D9D9E3"/>
                              </w:divBdr>
                              <w:divsChild>
                                <w:div w:id="2118593692">
                                  <w:marLeft w:val="0"/>
                                  <w:marRight w:val="0"/>
                                  <w:marTop w:val="0"/>
                                  <w:marBottom w:val="0"/>
                                  <w:divBdr>
                                    <w:top w:val="single" w:sz="2" w:space="0" w:color="D9D9E3"/>
                                    <w:left w:val="single" w:sz="2" w:space="0" w:color="D9D9E3"/>
                                    <w:bottom w:val="single" w:sz="2" w:space="0" w:color="D9D9E3"/>
                                    <w:right w:val="single" w:sz="2" w:space="0" w:color="D9D9E3"/>
                                  </w:divBdr>
                                  <w:divsChild>
                                    <w:div w:id="182792297">
                                      <w:marLeft w:val="0"/>
                                      <w:marRight w:val="0"/>
                                      <w:marTop w:val="0"/>
                                      <w:marBottom w:val="0"/>
                                      <w:divBdr>
                                        <w:top w:val="single" w:sz="2" w:space="0" w:color="D9D9E3"/>
                                        <w:left w:val="single" w:sz="2" w:space="0" w:color="D9D9E3"/>
                                        <w:bottom w:val="single" w:sz="2" w:space="0" w:color="D9D9E3"/>
                                        <w:right w:val="single" w:sz="2" w:space="0" w:color="D9D9E3"/>
                                      </w:divBdr>
                                      <w:divsChild>
                                        <w:div w:id="500781973">
                                          <w:marLeft w:val="0"/>
                                          <w:marRight w:val="0"/>
                                          <w:marTop w:val="0"/>
                                          <w:marBottom w:val="0"/>
                                          <w:divBdr>
                                            <w:top w:val="single" w:sz="2" w:space="0" w:color="D9D9E3"/>
                                            <w:left w:val="single" w:sz="2" w:space="0" w:color="D9D9E3"/>
                                            <w:bottom w:val="single" w:sz="2" w:space="0" w:color="D9D9E3"/>
                                            <w:right w:val="single" w:sz="2" w:space="0" w:color="D9D9E3"/>
                                          </w:divBdr>
                                          <w:divsChild>
                                            <w:div w:id="18606574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4726397">
                                      <w:marLeft w:val="0"/>
                                      <w:marRight w:val="0"/>
                                      <w:marTop w:val="0"/>
                                      <w:marBottom w:val="0"/>
                                      <w:divBdr>
                                        <w:top w:val="single" w:sz="2" w:space="0" w:color="D9D9E3"/>
                                        <w:left w:val="single" w:sz="2" w:space="0" w:color="D9D9E3"/>
                                        <w:bottom w:val="single" w:sz="2" w:space="0" w:color="D9D9E3"/>
                                        <w:right w:val="single" w:sz="2" w:space="0" w:color="D9D9E3"/>
                                      </w:divBdr>
                                      <w:divsChild>
                                        <w:div w:id="6518368">
                                          <w:marLeft w:val="0"/>
                                          <w:marRight w:val="0"/>
                                          <w:marTop w:val="0"/>
                                          <w:marBottom w:val="0"/>
                                          <w:divBdr>
                                            <w:top w:val="single" w:sz="2" w:space="0" w:color="D9D9E3"/>
                                            <w:left w:val="single" w:sz="2" w:space="0" w:color="D9D9E3"/>
                                            <w:bottom w:val="single" w:sz="2" w:space="0" w:color="D9D9E3"/>
                                            <w:right w:val="single" w:sz="2" w:space="0" w:color="D9D9E3"/>
                                          </w:divBdr>
                                          <w:divsChild>
                                            <w:div w:id="13398914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107000507">
          <w:marLeft w:val="0"/>
          <w:marRight w:val="0"/>
          <w:marTop w:val="0"/>
          <w:marBottom w:val="0"/>
          <w:divBdr>
            <w:top w:val="none" w:sz="0" w:space="0" w:color="auto"/>
            <w:left w:val="none" w:sz="0" w:space="0" w:color="auto"/>
            <w:bottom w:val="none" w:sz="0" w:space="0" w:color="auto"/>
            <w:right w:val="none" w:sz="0" w:space="0" w:color="auto"/>
          </w:divBdr>
          <w:divsChild>
            <w:div w:id="1957590725">
              <w:marLeft w:val="0"/>
              <w:marRight w:val="0"/>
              <w:marTop w:val="0"/>
              <w:marBottom w:val="0"/>
              <w:divBdr>
                <w:top w:val="single" w:sz="2" w:space="0" w:color="D9D9E3"/>
                <w:left w:val="single" w:sz="2" w:space="0" w:color="D9D9E3"/>
                <w:bottom w:val="single" w:sz="2" w:space="0" w:color="D9D9E3"/>
                <w:right w:val="single" w:sz="2" w:space="0" w:color="D9D9E3"/>
              </w:divBdr>
              <w:divsChild>
                <w:div w:id="1750536967">
                  <w:marLeft w:val="0"/>
                  <w:marRight w:val="0"/>
                  <w:marTop w:val="0"/>
                  <w:marBottom w:val="0"/>
                  <w:divBdr>
                    <w:top w:val="single" w:sz="2" w:space="0" w:color="D9D9E3"/>
                    <w:left w:val="single" w:sz="2" w:space="0" w:color="D9D9E3"/>
                    <w:bottom w:val="single" w:sz="2" w:space="0" w:color="D9D9E3"/>
                    <w:right w:val="single" w:sz="2" w:space="0" w:color="D9D9E3"/>
                  </w:divBdr>
                  <w:divsChild>
                    <w:div w:id="1908883623">
                      <w:marLeft w:val="0"/>
                      <w:marRight w:val="0"/>
                      <w:marTop w:val="0"/>
                      <w:marBottom w:val="0"/>
                      <w:divBdr>
                        <w:top w:val="single" w:sz="2" w:space="0" w:color="D9D9E3"/>
                        <w:left w:val="single" w:sz="2" w:space="0" w:color="D9D9E3"/>
                        <w:bottom w:val="single" w:sz="2" w:space="0" w:color="D9D9E3"/>
                        <w:right w:val="single" w:sz="2" w:space="0" w:color="D9D9E3"/>
                      </w:divBdr>
                      <w:divsChild>
                        <w:div w:id="10910489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595481442">
      <w:bodyDiv w:val="1"/>
      <w:marLeft w:val="0"/>
      <w:marRight w:val="0"/>
      <w:marTop w:val="0"/>
      <w:marBottom w:val="0"/>
      <w:divBdr>
        <w:top w:val="none" w:sz="0" w:space="0" w:color="auto"/>
        <w:left w:val="none" w:sz="0" w:space="0" w:color="auto"/>
        <w:bottom w:val="none" w:sz="0" w:space="0" w:color="auto"/>
        <w:right w:val="none" w:sz="0" w:space="0" w:color="auto"/>
      </w:divBdr>
    </w:div>
    <w:div w:id="712967233">
      <w:bodyDiv w:val="1"/>
      <w:marLeft w:val="0"/>
      <w:marRight w:val="0"/>
      <w:marTop w:val="0"/>
      <w:marBottom w:val="0"/>
      <w:divBdr>
        <w:top w:val="none" w:sz="0" w:space="0" w:color="auto"/>
        <w:left w:val="none" w:sz="0" w:space="0" w:color="auto"/>
        <w:bottom w:val="none" w:sz="0" w:space="0" w:color="auto"/>
        <w:right w:val="none" w:sz="0" w:space="0" w:color="auto"/>
      </w:divBdr>
    </w:div>
    <w:div w:id="786318731">
      <w:bodyDiv w:val="1"/>
      <w:marLeft w:val="0"/>
      <w:marRight w:val="0"/>
      <w:marTop w:val="0"/>
      <w:marBottom w:val="0"/>
      <w:divBdr>
        <w:top w:val="none" w:sz="0" w:space="0" w:color="auto"/>
        <w:left w:val="none" w:sz="0" w:space="0" w:color="auto"/>
        <w:bottom w:val="none" w:sz="0" w:space="0" w:color="auto"/>
        <w:right w:val="none" w:sz="0" w:space="0" w:color="auto"/>
      </w:divBdr>
    </w:div>
    <w:div w:id="1294097066">
      <w:bodyDiv w:val="1"/>
      <w:marLeft w:val="0"/>
      <w:marRight w:val="0"/>
      <w:marTop w:val="0"/>
      <w:marBottom w:val="0"/>
      <w:divBdr>
        <w:top w:val="none" w:sz="0" w:space="0" w:color="auto"/>
        <w:left w:val="none" w:sz="0" w:space="0" w:color="auto"/>
        <w:bottom w:val="none" w:sz="0" w:space="0" w:color="auto"/>
        <w:right w:val="none" w:sz="0" w:space="0" w:color="auto"/>
      </w:divBdr>
    </w:div>
    <w:div w:id="1371340904">
      <w:bodyDiv w:val="1"/>
      <w:marLeft w:val="0"/>
      <w:marRight w:val="0"/>
      <w:marTop w:val="0"/>
      <w:marBottom w:val="0"/>
      <w:divBdr>
        <w:top w:val="none" w:sz="0" w:space="0" w:color="auto"/>
        <w:left w:val="none" w:sz="0" w:space="0" w:color="auto"/>
        <w:bottom w:val="none" w:sz="0" w:space="0" w:color="auto"/>
        <w:right w:val="none" w:sz="0" w:space="0" w:color="auto"/>
      </w:divBdr>
    </w:div>
    <w:div w:id="1481382859">
      <w:bodyDiv w:val="1"/>
      <w:marLeft w:val="0"/>
      <w:marRight w:val="0"/>
      <w:marTop w:val="0"/>
      <w:marBottom w:val="0"/>
      <w:divBdr>
        <w:top w:val="none" w:sz="0" w:space="0" w:color="auto"/>
        <w:left w:val="none" w:sz="0" w:space="0" w:color="auto"/>
        <w:bottom w:val="none" w:sz="0" w:space="0" w:color="auto"/>
        <w:right w:val="none" w:sz="0" w:space="0" w:color="auto"/>
      </w:divBdr>
      <w:divsChild>
        <w:div w:id="1158881945">
          <w:marLeft w:val="0"/>
          <w:marRight w:val="0"/>
          <w:marTop w:val="0"/>
          <w:marBottom w:val="0"/>
          <w:divBdr>
            <w:top w:val="single" w:sz="2" w:space="0" w:color="D9D9E3"/>
            <w:left w:val="single" w:sz="2" w:space="0" w:color="D9D9E3"/>
            <w:bottom w:val="single" w:sz="2" w:space="0" w:color="D9D9E3"/>
            <w:right w:val="single" w:sz="2" w:space="0" w:color="D9D9E3"/>
          </w:divBdr>
          <w:divsChild>
            <w:div w:id="2123255738">
              <w:marLeft w:val="0"/>
              <w:marRight w:val="0"/>
              <w:marTop w:val="0"/>
              <w:marBottom w:val="0"/>
              <w:divBdr>
                <w:top w:val="single" w:sz="2" w:space="0" w:color="D9D9E3"/>
                <w:left w:val="single" w:sz="2" w:space="0" w:color="D9D9E3"/>
                <w:bottom w:val="single" w:sz="2" w:space="0" w:color="D9D9E3"/>
                <w:right w:val="single" w:sz="2" w:space="0" w:color="D9D9E3"/>
              </w:divBdr>
              <w:divsChild>
                <w:div w:id="1357779375">
                  <w:marLeft w:val="0"/>
                  <w:marRight w:val="0"/>
                  <w:marTop w:val="0"/>
                  <w:marBottom w:val="0"/>
                  <w:divBdr>
                    <w:top w:val="single" w:sz="2" w:space="0" w:color="D9D9E3"/>
                    <w:left w:val="single" w:sz="2" w:space="0" w:color="D9D9E3"/>
                    <w:bottom w:val="single" w:sz="2" w:space="0" w:color="D9D9E3"/>
                    <w:right w:val="single" w:sz="2" w:space="0" w:color="D9D9E3"/>
                  </w:divBdr>
                  <w:divsChild>
                    <w:div w:id="511845424">
                      <w:marLeft w:val="0"/>
                      <w:marRight w:val="0"/>
                      <w:marTop w:val="0"/>
                      <w:marBottom w:val="0"/>
                      <w:divBdr>
                        <w:top w:val="single" w:sz="2" w:space="0" w:color="D9D9E3"/>
                        <w:left w:val="single" w:sz="2" w:space="0" w:color="D9D9E3"/>
                        <w:bottom w:val="single" w:sz="2" w:space="0" w:color="D9D9E3"/>
                        <w:right w:val="single" w:sz="2" w:space="0" w:color="D9D9E3"/>
                      </w:divBdr>
                      <w:divsChild>
                        <w:div w:id="441389221">
                          <w:marLeft w:val="0"/>
                          <w:marRight w:val="0"/>
                          <w:marTop w:val="0"/>
                          <w:marBottom w:val="0"/>
                          <w:divBdr>
                            <w:top w:val="single" w:sz="2" w:space="0" w:color="auto"/>
                            <w:left w:val="single" w:sz="2" w:space="0" w:color="auto"/>
                            <w:bottom w:val="single" w:sz="6" w:space="0" w:color="auto"/>
                            <w:right w:val="single" w:sz="2" w:space="0" w:color="auto"/>
                          </w:divBdr>
                          <w:divsChild>
                            <w:div w:id="1389763810">
                              <w:marLeft w:val="0"/>
                              <w:marRight w:val="0"/>
                              <w:marTop w:val="100"/>
                              <w:marBottom w:val="100"/>
                              <w:divBdr>
                                <w:top w:val="single" w:sz="2" w:space="0" w:color="D9D9E3"/>
                                <w:left w:val="single" w:sz="2" w:space="0" w:color="D9D9E3"/>
                                <w:bottom w:val="single" w:sz="2" w:space="0" w:color="D9D9E3"/>
                                <w:right w:val="single" w:sz="2" w:space="0" w:color="D9D9E3"/>
                              </w:divBdr>
                              <w:divsChild>
                                <w:div w:id="1735160549">
                                  <w:marLeft w:val="0"/>
                                  <w:marRight w:val="0"/>
                                  <w:marTop w:val="0"/>
                                  <w:marBottom w:val="0"/>
                                  <w:divBdr>
                                    <w:top w:val="single" w:sz="2" w:space="0" w:color="D9D9E3"/>
                                    <w:left w:val="single" w:sz="2" w:space="0" w:color="D9D9E3"/>
                                    <w:bottom w:val="single" w:sz="2" w:space="0" w:color="D9D9E3"/>
                                    <w:right w:val="single" w:sz="2" w:space="0" w:color="D9D9E3"/>
                                  </w:divBdr>
                                  <w:divsChild>
                                    <w:div w:id="841238076">
                                      <w:marLeft w:val="0"/>
                                      <w:marRight w:val="0"/>
                                      <w:marTop w:val="0"/>
                                      <w:marBottom w:val="0"/>
                                      <w:divBdr>
                                        <w:top w:val="single" w:sz="2" w:space="0" w:color="D9D9E3"/>
                                        <w:left w:val="single" w:sz="2" w:space="0" w:color="D9D9E3"/>
                                        <w:bottom w:val="single" w:sz="2" w:space="0" w:color="D9D9E3"/>
                                        <w:right w:val="single" w:sz="2" w:space="0" w:color="D9D9E3"/>
                                      </w:divBdr>
                                      <w:divsChild>
                                        <w:div w:id="1994412262">
                                          <w:marLeft w:val="0"/>
                                          <w:marRight w:val="0"/>
                                          <w:marTop w:val="0"/>
                                          <w:marBottom w:val="0"/>
                                          <w:divBdr>
                                            <w:top w:val="single" w:sz="2" w:space="0" w:color="D9D9E3"/>
                                            <w:left w:val="single" w:sz="2" w:space="0" w:color="D9D9E3"/>
                                            <w:bottom w:val="single" w:sz="2" w:space="0" w:color="D9D9E3"/>
                                            <w:right w:val="single" w:sz="2" w:space="0" w:color="D9D9E3"/>
                                          </w:divBdr>
                                          <w:divsChild>
                                            <w:div w:id="7606877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93718033">
                                      <w:marLeft w:val="0"/>
                                      <w:marRight w:val="0"/>
                                      <w:marTop w:val="0"/>
                                      <w:marBottom w:val="0"/>
                                      <w:divBdr>
                                        <w:top w:val="single" w:sz="2" w:space="0" w:color="D9D9E3"/>
                                        <w:left w:val="single" w:sz="2" w:space="0" w:color="D9D9E3"/>
                                        <w:bottom w:val="single" w:sz="2" w:space="0" w:color="D9D9E3"/>
                                        <w:right w:val="single" w:sz="2" w:space="0" w:color="D9D9E3"/>
                                      </w:divBdr>
                                      <w:divsChild>
                                        <w:div w:id="1374302716">
                                          <w:marLeft w:val="0"/>
                                          <w:marRight w:val="0"/>
                                          <w:marTop w:val="0"/>
                                          <w:marBottom w:val="0"/>
                                          <w:divBdr>
                                            <w:top w:val="single" w:sz="2" w:space="0" w:color="D9D9E3"/>
                                            <w:left w:val="single" w:sz="2" w:space="0" w:color="D9D9E3"/>
                                            <w:bottom w:val="single" w:sz="2" w:space="0" w:color="D9D9E3"/>
                                            <w:right w:val="single" w:sz="2" w:space="0" w:color="D9D9E3"/>
                                          </w:divBdr>
                                          <w:divsChild>
                                            <w:div w:id="156696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649359547">
          <w:marLeft w:val="0"/>
          <w:marRight w:val="0"/>
          <w:marTop w:val="0"/>
          <w:marBottom w:val="0"/>
          <w:divBdr>
            <w:top w:val="none" w:sz="0" w:space="0" w:color="auto"/>
            <w:left w:val="none" w:sz="0" w:space="0" w:color="auto"/>
            <w:bottom w:val="none" w:sz="0" w:space="0" w:color="auto"/>
            <w:right w:val="none" w:sz="0" w:space="0" w:color="auto"/>
          </w:divBdr>
          <w:divsChild>
            <w:div w:id="1052579185">
              <w:marLeft w:val="0"/>
              <w:marRight w:val="0"/>
              <w:marTop w:val="0"/>
              <w:marBottom w:val="0"/>
              <w:divBdr>
                <w:top w:val="single" w:sz="2" w:space="0" w:color="D9D9E3"/>
                <w:left w:val="single" w:sz="2" w:space="0" w:color="D9D9E3"/>
                <w:bottom w:val="single" w:sz="2" w:space="0" w:color="D9D9E3"/>
                <w:right w:val="single" w:sz="2" w:space="0" w:color="D9D9E3"/>
              </w:divBdr>
              <w:divsChild>
                <w:div w:id="3938848">
                  <w:marLeft w:val="0"/>
                  <w:marRight w:val="0"/>
                  <w:marTop w:val="0"/>
                  <w:marBottom w:val="0"/>
                  <w:divBdr>
                    <w:top w:val="single" w:sz="2" w:space="0" w:color="D9D9E3"/>
                    <w:left w:val="single" w:sz="2" w:space="0" w:color="D9D9E3"/>
                    <w:bottom w:val="single" w:sz="2" w:space="0" w:color="D9D9E3"/>
                    <w:right w:val="single" w:sz="2" w:space="0" w:color="D9D9E3"/>
                  </w:divBdr>
                  <w:divsChild>
                    <w:div w:id="1791391812">
                      <w:marLeft w:val="0"/>
                      <w:marRight w:val="0"/>
                      <w:marTop w:val="0"/>
                      <w:marBottom w:val="0"/>
                      <w:divBdr>
                        <w:top w:val="single" w:sz="2" w:space="0" w:color="D9D9E3"/>
                        <w:left w:val="single" w:sz="2" w:space="0" w:color="D9D9E3"/>
                        <w:bottom w:val="single" w:sz="2" w:space="0" w:color="D9D9E3"/>
                        <w:right w:val="single" w:sz="2" w:space="0" w:color="D9D9E3"/>
                      </w:divBdr>
                      <w:divsChild>
                        <w:div w:id="17533527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615400535">
      <w:bodyDiv w:val="1"/>
      <w:marLeft w:val="0"/>
      <w:marRight w:val="0"/>
      <w:marTop w:val="0"/>
      <w:marBottom w:val="0"/>
      <w:divBdr>
        <w:top w:val="none" w:sz="0" w:space="0" w:color="auto"/>
        <w:left w:val="none" w:sz="0" w:space="0" w:color="auto"/>
        <w:bottom w:val="none" w:sz="0" w:space="0" w:color="auto"/>
        <w:right w:val="none" w:sz="0" w:space="0" w:color="auto"/>
      </w:divBdr>
    </w:div>
    <w:div w:id="1813205661">
      <w:bodyDiv w:val="1"/>
      <w:marLeft w:val="0"/>
      <w:marRight w:val="0"/>
      <w:marTop w:val="0"/>
      <w:marBottom w:val="0"/>
      <w:divBdr>
        <w:top w:val="none" w:sz="0" w:space="0" w:color="auto"/>
        <w:left w:val="none" w:sz="0" w:space="0" w:color="auto"/>
        <w:bottom w:val="none" w:sz="0" w:space="0" w:color="auto"/>
        <w:right w:val="none" w:sz="0" w:space="0" w:color="auto"/>
      </w:divBdr>
    </w:div>
    <w:div w:id="1850560599">
      <w:bodyDiv w:val="1"/>
      <w:marLeft w:val="0"/>
      <w:marRight w:val="0"/>
      <w:marTop w:val="0"/>
      <w:marBottom w:val="0"/>
      <w:divBdr>
        <w:top w:val="none" w:sz="0" w:space="0" w:color="auto"/>
        <w:left w:val="none" w:sz="0" w:space="0" w:color="auto"/>
        <w:bottom w:val="none" w:sz="0" w:space="0" w:color="auto"/>
        <w:right w:val="none" w:sz="0" w:space="0" w:color="auto"/>
      </w:divBdr>
    </w:div>
    <w:div w:id="192973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stplacetogiveback.com.au/" TargetMode="External"/><Relationship Id="rId18" Type="http://schemas.openxmlformats.org/officeDocument/2006/relationships/hyperlink" Target="https://urldefense.proofpoint.com/v2/url?u=http-3A__www.goodcompany.org_&amp;d=DwMFAg&amp;c=8bHjhITO0F85Cmi91C_4TA&amp;r=l4GTXubiX8Eh4XYIeKsIRsyK-oa4Syw3lER9oJLF6N4&amp;m=mmV6-TP78WWT1B0SLXsiOONNQrOK3nkcbS1Xm-SwICI&amp;s=mmMtSVT0dLAW6b_C8F79pEq1HE0i6jIysjqGm316p7s&amp;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odcompany.com.au/au/donating?filters%5B0%5D%5Bidentifier%5D=_index&amp;filters%5B0%5D%5Bvalue%5D=charitygifts-v2&amp;size=24" TargetMode="External"/><Relationship Id="rId17" Type="http://schemas.openxmlformats.org/officeDocument/2006/relationships/hyperlink" Target="https://treasury.gov.au/sites/default/files/2022-03/c2022-259124-cp.pdf" TargetMode="External"/><Relationship Id="rId2" Type="http://schemas.openxmlformats.org/officeDocument/2006/relationships/customXml" Target="../customXml/item2.xml"/><Relationship Id="rId16" Type="http://schemas.openxmlformats.org/officeDocument/2006/relationships/hyperlink" Target="https://www.goodcompany.org/goodcompany-volunteer-mystery-bu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dcompany.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bestplacetogiveback.com.a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nkedin.com/pulse/australias-government-law-firms-continue-pro-bono-pretence-burns/"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b29ec0179c5e37db1f96945cd8cc2a05">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f205e27e9b3df1d2e61e2472bb0300b6"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6FCB7-37EC-4D47-96B9-DF34A15C1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7E778-6A86-402F-B0A4-3A1650F6C70A}">
  <ds:schemaRefs>
    <ds:schemaRef ds:uri="http://schemas.microsoft.com/sharepoint/v3/contenttype/forms"/>
  </ds:schemaRefs>
</ds:datastoreItem>
</file>

<file path=customXml/itemProps3.xml><?xml version="1.0" encoding="utf-8"?>
<ds:datastoreItem xmlns:ds="http://schemas.openxmlformats.org/officeDocument/2006/customXml" ds:itemID="{9D70FAC5-423D-4C4B-AFB4-42E3AB7A9CEA}">
  <ds:schemaRefs>
    <ds:schemaRef ds:uri="http://schemas.microsoft.com/office/2006/metadata/properties"/>
    <ds:schemaRef ds:uri="http://schemas.microsoft.com/office/infopath/2007/PartnerControls"/>
    <ds:schemaRef ds:uri="e98515d3-35d1-48c7-98b0-9361f3d04ddf"/>
  </ds:schemaRefs>
</ds:datastoreItem>
</file>

<file path=customXml/itemProps4.xml><?xml version="1.0" encoding="utf-8"?>
<ds:datastoreItem xmlns:ds="http://schemas.openxmlformats.org/officeDocument/2006/customXml" ds:itemID="{FF228D4C-0089-4387-97AF-2ADEC77E2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1862</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Submission 84 - GoodCompany - Philanthropy - Public inquiry</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84 - GoodCompany - Philanthropy - Public inquiry</dc:title>
  <dc:subject/>
  <dc:creator>GoodCompany</dc:creator>
  <cp:keywords/>
  <dc:description/>
  <cp:lastModifiedBy>Bianca Dobson</cp:lastModifiedBy>
  <cp:revision>5</cp:revision>
  <dcterms:created xsi:type="dcterms:W3CDTF">2023-05-04T01:35:00Z</dcterms:created>
  <dcterms:modified xsi:type="dcterms:W3CDTF">2023-05-09T07:56:00Z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