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1AAE" w14:textId="77777777" w:rsidR="00A23A2F" w:rsidRPr="00A23A2F" w:rsidRDefault="00A23A2F" w:rsidP="00A23A2F">
      <w:pPr>
        <w:rPr>
          <w:rFonts w:ascii="Open Sans" w:hAnsi="Open Sans" w:cs="Open Sans"/>
          <w:b/>
          <w:bCs/>
          <w:color w:val="333333"/>
          <w:spacing w:val="6"/>
          <w:sz w:val="21"/>
          <w:szCs w:val="21"/>
          <w:shd w:val="clear" w:color="auto" w:fill="FFFFFF"/>
        </w:rPr>
      </w:pPr>
    </w:p>
    <w:p w14:paraId="33F155C3" w14:textId="77777777" w:rsidR="00A23A2F" w:rsidRPr="00A23A2F" w:rsidRDefault="00A23A2F" w:rsidP="00A23A2F">
      <w:pPr>
        <w:rPr>
          <w:rFonts w:ascii="Open Sans" w:hAnsi="Open Sans" w:cs="Open Sans"/>
          <w:b/>
          <w:bCs/>
          <w:color w:val="333333"/>
          <w:spacing w:val="6"/>
          <w:sz w:val="21"/>
          <w:szCs w:val="21"/>
          <w:shd w:val="clear" w:color="auto" w:fill="FFFFFF"/>
        </w:rPr>
      </w:pPr>
      <w:r w:rsidRPr="00A23A2F">
        <w:rPr>
          <w:rFonts w:ascii="Open Sans" w:hAnsi="Open Sans" w:cs="Open Sans"/>
          <w:b/>
          <w:bCs/>
          <w:color w:val="333333"/>
          <w:spacing w:val="6"/>
          <w:sz w:val="21"/>
          <w:szCs w:val="21"/>
          <w:shd w:val="clear" w:color="auto" w:fill="FFFFFF"/>
        </w:rPr>
        <w:t>SUBMISSION TO MURRAY DARLING BASIN PLAN INTERIM REPORT ON IMPLEMENTATION REVIEW 2023</w:t>
      </w:r>
    </w:p>
    <w:p w14:paraId="4C73D76E" w14:textId="77777777" w:rsidR="00A23A2F" w:rsidRDefault="00A23A2F" w:rsidP="00A23A2F">
      <w:pPr>
        <w:rPr>
          <w:rFonts w:ascii="Open Sans" w:hAnsi="Open Sans" w:cs="Open Sans"/>
          <w:color w:val="333333"/>
          <w:spacing w:val="6"/>
          <w:sz w:val="21"/>
          <w:szCs w:val="21"/>
          <w:shd w:val="clear" w:color="auto" w:fill="FFFFFF"/>
        </w:rPr>
      </w:pPr>
    </w:p>
    <w:p w14:paraId="131C7CA4" w14:textId="5735C935"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FROM: Jan Beer</w:t>
      </w:r>
    </w:p>
    <w:p w14:paraId="46E665B6" w14:textId="77777777" w:rsidR="00A23A2F" w:rsidRDefault="00A23A2F" w:rsidP="00A23A2F">
      <w:pPr>
        <w:rPr>
          <w:rFonts w:ascii="Open Sans" w:hAnsi="Open Sans" w:cs="Open Sans"/>
          <w:color w:val="333333"/>
          <w:spacing w:val="6"/>
          <w:sz w:val="21"/>
          <w:szCs w:val="21"/>
          <w:shd w:val="clear" w:color="auto" w:fill="FFFFFF"/>
        </w:rPr>
      </w:pPr>
    </w:p>
    <w:p w14:paraId="0FD8D18F" w14:textId="77777777"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The Constraints Management Strategy devised by the MDBA IN 2013 was flawed from the beginning.</w:t>
      </w:r>
    </w:p>
    <w:p w14:paraId="0BEC17A5" w14:textId="77777777"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The MDBA charged the basin states with implementation of “relaxation of constraints”.</w:t>
      </w:r>
    </w:p>
    <w:p w14:paraId="7B53CD5C" w14:textId="77777777"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The myriad of natural obstacles, chokes, configuration of the winding, low gradient rivers as the 4 major river systems wind their way to the sea make it a sheer impossibility to deliver the proposed environmental flows down the Murray, to the South Australian border and out the Murray Mouth.</w:t>
      </w:r>
    </w:p>
    <w:p w14:paraId="58FA3A02" w14:textId="77777777"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 xml:space="preserve">The only way to achieve the “enhanced environmental outcomes” is to create man-made manipulated environmental floods of the calibre of the 2016 floods. </w:t>
      </w:r>
    </w:p>
    <w:p w14:paraId="129034AC" w14:textId="77777777"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 xml:space="preserve">This flood replicated exactly the proposed environmental flow to the SA border of 60,000-80,000ML/day for 5 weeks. But the economic and environmental impacts were felt </w:t>
      </w:r>
      <w:proofErr w:type="spellStart"/>
      <w:r>
        <w:rPr>
          <w:rFonts w:ascii="Open Sans" w:hAnsi="Open Sans" w:cs="Open Sans"/>
          <w:color w:val="333333"/>
          <w:spacing w:val="6"/>
          <w:sz w:val="21"/>
          <w:szCs w:val="21"/>
          <w:shd w:val="clear" w:color="auto" w:fill="FFFFFF"/>
        </w:rPr>
        <w:t>al</w:t>
      </w:r>
      <w:proofErr w:type="spellEnd"/>
      <w:r>
        <w:rPr>
          <w:rFonts w:ascii="Open Sans" w:hAnsi="Open Sans" w:cs="Open Sans"/>
          <w:color w:val="333333"/>
          <w:spacing w:val="6"/>
          <w:sz w:val="21"/>
          <w:szCs w:val="21"/>
          <w:shd w:val="clear" w:color="auto" w:fill="FFFFFF"/>
        </w:rPr>
        <w:t xml:space="preserve"> the way down the river systems; 204,000ML/day flowed past Tocumwal with less than half that flow arriving at the SA border due to attenuation and evaporation</w:t>
      </w:r>
    </w:p>
    <w:p w14:paraId="41416B13" w14:textId="77777777" w:rsidR="00A23A2F" w:rsidRDefault="00A23A2F" w:rsidP="00A23A2F">
      <w:pPr>
        <w:rPr>
          <w:rFonts w:ascii="Open Sans" w:hAnsi="Open Sans" w:cs="Open Sans"/>
          <w:color w:val="333333"/>
          <w:spacing w:val="6"/>
          <w:sz w:val="21"/>
          <w:szCs w:val="21"/>
          <w:shd w:val="clear" w:color="auto" w:fill="FFFFFF"/>
        </w:rPr>
      </w:pPr>
    </w:p>
    <w:p w14:paraId="05B58169" w14:textId="77777777" w:rsidR="00A23A2F" w:rsidRDefault="00A23A2F" w:rsidP="00A23A2F">
      <w:pPr>
        <w:rPr>
          <w:rFonts w:ascii="Open Sans" w:hAnsi="Open Sans" w:cs="Open Sans"/>
          <w:color w:val="333333"/>
          <w:spacing w:val="6"/>
          <w:sz w:val="21"/>
          <w:szCs w:val="21"/>
        </w:rPr>
      </w:pPr>
      <w:r>
        <w:rPr>
          <w:rStyle w:val="Strong"/>
          <w:rFonts w:ascii="Open Sans" w:hAnsi="Open Sans" w:cs="Open Sans"/>
          <w:color w:val="333333"/>
          <w:spacing w:val="6"/>
          <w:sz w:val="21"/>
          <w:szCs w:val="21"/>
        </w:rPr>
        <w:t>“Constraints-easing</w:t>
      </w:r>
      <w:r>
        <w:rPr>
          <w:rFonts w:ascii="Open Sans" w:hAnsi="Open Sans" w:cs="Open Sans"/>
          <w:color w:val="333333"/>
          <w:spacing w:val="6"/>
          <w:sz w:val="21"/>
          <w:szCs w:val="21"/>
        </w:rPr>
        <w:t> is critical to the success of the Basin Plan – governments should implement these projects through a </w:t>
      </w:r>
      <w:r>
        <w:rPr>
          <w:rStyle w:val="Strong"/>
          <w:rFonts w:ascii="Open Sans" w:hAnsi="Open Sans" w:cs="Open Sans"/>
          <w:color w:val="333333"/>
          <w:spacing w:val="6"/>
          <w:sz w:val="21"/>
          <w:szCs w:val="21"/>
        </w:rPr>
        <w:t>dedicated, standalone program</w:t>
      </w:r>
      <w:r>
        <w:rPr>
          <w:rFonts w:ascii="Open Sans" w:hAnsi="Open Sans" w:cs="Open Sans"/>
          <w:color w:val="333333"/>
          <w:spacing w:val="6"/>
          <w:sz w:val="21"/>
          <w:szCs w:val="21"/>
        </w:rPr>
        <w:t>.”</w:t>
      </w:r>
    </w:p>
    <w:p w14:paraId="1F3253E4" w14:textId="77777777" w:rsidR="00A23A2F" w:rsidRDefault="00A23A2F" w:rsidP="00A23A2F">
      <w:pPr>
        <w:rPr>
          <w:rFonts w:ascii="Open Sans" w:hAnsi="Open Sans" w:cs="Open Sans"/>
          <w:color w:val="333333"/>
          <w:spacing w:val="6"/>
          <w:sz w:val="21"/>
          <w:szCs w:val="21"/>
        </w:rPr>
      </w:pPr>
    </w:p>
    <w:p w14:paraId="68C914E3" w14:textId="144AB4CA" w:rsidR="00A23A2F" w:rsidRDefault="00A23A2F" w:rsidP="00A23A2F">
      <w:pPr>
        <w:rPr>
          <w:rFonts w:ascii="Open Sans" w:hAnsi="Open Sans" w:cs="Open Sans"/>
          <w:color w:val="333333"/>
          <w:spacing w:val="6"/>
          <w:sz w:val="21"/>
          <w:szCs w:val="21"/>
          <w:shd w:val="clear" w:color="auto" w:fill="FFFFFF"/>
        </w:rPr>
      </w:pPr>
      <w:r>
        <w:rPr>
          <w:rFonts w:ascii="Open Sans" w:hAnsi="Open Sans" w:cs="Open Sans"/>
          <w:color w:val="333333"/>
          <w:spacing w:val="6"/>
          <w:sz w:val="21"/>
          <w:szCs w:val="21"/>
          <w:shd w:val="clear" w:color="auto" w:fill="FFFFFF"/>
        </w:rPr>
        <w:t xml:space="preserve">This statement </w:t>
      </w:r>
      <w:r w:rsidR="002577E9">
        <w:rPr>
          <w:rFonts w:ascii="Open Sans" w:hAnsi="Open Sans" w:cs="Open Sans"/>
          <w:color w:val="333333"/>
          <w:spacing w:val="6"/>
          <w:sz w:val="21"/>
          <w:szCs w:val="21"/>
          <w:shd w:val="clear" w:color="auto" w:fill="FFFFFF"/>
        </w:rPr>
        <w:t>above in</w:t>
      </w:r>
      <w:r>
        <w:rPr>
          <w:rFonts w:ascii="Open Sans" w:hAnsi="Open Sans" w:cs="Open Sans"/>
          <w:color w:val="333333"/>
          <w:spacing w:val="6"/>
          <w:sz w:val="21"/>
          <w:szCs w:val="21"/>
          <w:shd w:val="clear" w:color="auto" w:fill="FFFFFF"/>
        </w:rPr>
        <w:t xml:space="preserve"> the Interim Report is absolute rubbish. The constraints “relaxation” theory was an aspirational assumption that was never feasible and in fact </w:t>
      </w:r>
      <w:r>
        <w:rPr>
          <w:color w:val="000000"/>
          <w:sz w:val="24"/>
          <w:szCs w:val="24"/>
        </w:rPr>
        <w:t xml:space="preserve">the decision to proceed with a Constraint Management Strategy in order to deliver greater volumes of environmental water downstream </w:t>
      </w:r>
      <w:r>
        <w:rPr>
          <w:color w:val="000000"/>
          <w:sz w:val="24"/>
          <w:szCs w:val="24"/>
          <w:highlight w:val="yellow"/>
        </w:rPr>
        <w:t>was based on no evidence whatsoever that the channel restrictions</w:t>
      </w:r>
      <w:r>
        <w:rPr>
          <w:color w:val="000000"/>
          <w:sz w:val="24"/>
          <w:szCs w:val="24"/>
        </w:rPr>
        <w:t xml:space="preserve"> in the 4 major river systems or the multitude of other constraints throughout the basin could, in actual fact, be ‘relaxed’ and the proposed flows actually delivered. </w:t>
      </w:r>
    </w:p>
    <w:p w14:paraId="0533381D" w14:textId="77777777" w:rsidR="00A23A2F" w:rsidRDefault="00A23A2F" w:rsidP="00A23A2F">
      <w:pPr>
        <w:autoSpaceDE w:val="0"/>
        <w:autoSpaceDN w:val="0"/>
        <w:rPr>
          <w:color w:val="000000"/>
          <w:sz w:val="24"/>
          <w:szCs w:val="24"/>
        </w:rPr>
      </w:pPr>
      <w:r>
        <w:rPr>
          <w:color w:val="000000"/>
          <w:sz w:val="24"/>
          <w:szCs w:val="24"/>
        </w:rPr>
        <w:t xml:space="preserve">The Hydrologic Modelling of Relaxation of Operational Constraints in the Southern Connected System P. xiii states: </w:t>
      </w:r>
    </w:p>
    <w:p w14:paraId="18FC5660" w14:textId="77777777" w:rsidR="00A23A2F" w:rsidRDefault="00A23A2F" w:rsidP="00A23A2F">
      <w:pPr>
        <w:rPr>
          <w:color w:val="FF0000"/>
          <w:sz w:val="24"/>
          <w:szCs w:val="24"/>
        </w:rPr>
      </w:pPr>
      <w:proofErr w:type="gramStart"/>
      <w:r>
        <w:rPr>
          <w:i/>
          <w:iCs/>
          <w:color w:val="FF0000"/>
          <w:sz w:val="24"/>
          <w:szCs w:val="24"/>
        </w:rPr>
        <w:t>“ Undertaking</w:t>
      </w:r>
      <w:proofErr w:type="gramEnd"/>
      <w:r>
        <w:rPr>
          <w:i/>
          <w:iCs/>
          <w:color w:val="FF0000"/>
          <w:sz w:val="24"/>
          <w:szCs w:val="24"/>
        </w:rPr>
        <w:t xml:space="preserve"> detailed assessments an analysis to identify whether any of the constraints tested in this study could actually be relaxed was not within the scope of this report</w:t>
      </w:r>
      <w:r>
        <w:rPr>
          <w:color w:val="FF0000"/>
          <w:sz w:val="24"/>
          <w:szCs w:val="24"/>
        </w:rPr>
        <w:t>”</w:t>
      </w:r>
    </w:p>
    <w:p w14:paraId="238A704D" w14:textId="77777777" w:rsidR="00A23A2F" w:rsidRDefault="00A23A2F" w:rsidP="00A23A2F">
      <w:pPr>
        <w:rPr>
          <w:color w:val="FF0000"/>
          <w:sz w:val="24"/>
          <w:szCs w:val="24"/>
        </w:rPr>
      </w:pPr>
    </w:p>
    <w:p w14:paraId="11030222" w14:textId="77777777" w:rsidR="00A23A2F" w:rsidRDefault="00A23A2F" w:rsidP="00A23A2F">
      <w:pPr>
        <w:rPr>
          <w:color w:val="000000"/>
          <w:sz w:val="24"/>
          <w:szCs w:val="24"/>
        </w:rPr>
      </w:pPr>
      <w:r>
        <w:rPr>
          <w:color w:val="000000"/>
          <w:sz w:val="24"/>
          <w:szCs w:val="24"/>
        </w:rPr>
        <w:t>The Interim Report states-</w:t>
      </w:r>
    </w:p>
    <w:p w14:paraId="3B7582C1" w14:textId="77777777" w:rsidR="00A23A2F" w:rsidRDefault="00A23A2F" w:rsidP="00A23A2F">
      <w:r>
        <w:t>“While there are legitimate concerns, in some cases, landholder objections can resemble a ‘holdout problem’, where the need for all affected parties to agree gives a small number of people an outsized ability to slow delivery of a project with community</w:t>
      </w:r>
      <w:r>
        <w:noBreakHyphen/>
        <w:t>wide benefits.”</w:t>
      </w:r>
    </w:p>
    <w:p w14:paraId="26260CFE" w14:textId="77777777" w:rsidR="00A23A2F" w:rsidRDefault="00A23A2F" w:rsidP="00A23A2F"/>
    <w:p w14:paraId="1CCD2ED0" w14:textId="77777777" w:rsidR="00A23A2F" w:rsidRDefault="00A23A2F" w:rsidP="00A23A2F">
      <w:r>
        <w:t>This statement completely undermines the enormous impacts that the increased volumes, duration, frequency and timing of proposed environmental overbank flows will have 7 years out of every 10 on the landowners along the upper Goulburn River and its tributaries.</w:t>
      </w:r>
    </w:p>
    <w:p w14:paraId="0689A06E" w14:textId="77777777" w:rsidR="00A23A2F" w:rsidRDefault="00A23A2F" w:rsidP="00A23A2F">
      <w:r>
        <w:t xml:space="preserve">The Productivity Commission Interim </w:t>
      </w:r>
      <w:proofErr w:type="gramStart"/>
      <w:r>
        <w:t>Report ,for</w:t>
      </w:r>
      <w:proofErr w:type="gramEnd"/>
      <w:r>
        <w:t xml:space="preserve"> whatever reason, totally under-estimates the impacts on the upstream environment, people’s livelihoods,  businesses and devaluation of property, which based on latest real estate sales is valued at $50,000 per hectare.</w:t>
      </w:r>
    </w:p>
    <w:p w14:paraId="68DC5EA5" w14:textId="77777777" w:rsidR="00A23A2F" w:rsidRDefault="00A23A2F" w:rsidP="00A23A2F">
      <w:r>
        <w:t>How can mitigation of one-off, up-front payments possibly compensate people for their lifetime work on business and farms?</w:t>
      </w:r>
    </w:p>
    <w:p w14:paraId="6927D31B" w14:textId="77777777" w:rsidR="00A23A2F" w:rsidRDefault="00A23A2F" w:rsidP="00A23A2F"/>
    <w:p w14:paraId="37DA939E" w14:textId="77777777" w:rsidR="00A23A2F" w:rsidRDefault="00A23A2F" w:rsidP="00A23A2F">
      <w:pPr>
        <w:rPr>
          <w:b/>
          <w:bCs/>
          <w:sz w:val="24"/>
          <w:szCs w:val="24"/>
        </w:rPr>
      </w:pPr>
      <w:r>
        <w:rPr>
          <w:sz w:val="24"/>
          <w:szCs w:val="24"/>
        </w:rPr>
        <w:lastRenderedPageBreak/>
        <w:t xml:space="preserve">Once again the Interim Report fails to acknowledge the </w:t>
      </w:r>
      <w:proofErr w:type="gramStart"/>
      <w:r>
        <w:rPr>
          <w:sz w:val="24"/>
          <w:szCs w:val="24"/>
        </w:rPr>
        <w:t>fact  that</w:t>
      </w:r>
      <w:proofErr w:type="gramEnd"/>
      <w:r>
        <w:rPr>
          <w:sz w:val="24"/>
          <w:szCs w:val="24"/>
        </w:rPr>
        <w:t xml:space="preserve"> flows which are proposed to achieve ’enhanced environmental outcomes’ </w:t>
      </w:r>
      <w:r>
        <w:rPr>
          <w:b/>
          <w:bCs/>
          <w:sz w:val="24"/>
          <w:szCs w:val="24"/>
        </w:rPr>
        <w:t>CANNOT BE DELIVERED</w:t>
      </w:r>
    </w:p>
    <w:p w14:paraId="575DE1F3" w14:textId="77777777" w:rsidR="00A23A2F" w:rsidRDefault="00A23A2F" w:rsidP="00A23A2F">
      <w:pPr>
        <w:rPr>
          <w:b/>
          <w:bCs/>
        </w:rPr>
      </w:pPr>
      <w:r>
        <w:rPr>
          <w:b/>
          <w:bCs/>
        </w:rPr>
        <w:t xml:space="preserve">The latest hydrological modelling by the </w:t>
      </w:r>
      <w:proofErr w:type="gramStart"/>
      <w:r>
        <w:rPr>
          <w:b/>
          <w:bCs/>
        </w:rPr>
        <w:t>MDBA  shows</w:t>
      </w:r>
      <w:proofErr w:type="gramEnd"/>
      <w:r>
        <w:rPr>
          <w:b/>
          <w:bCs/>
        </w:rPr>
        <w:t xml:space="preserve"> ‘relaxed’ constraints in the Goulburn River-</w:t>
      </w:r>
    </w:p>
    <w:p w14:paraId="47B2010B" w14:textId="77777777" w:rsidR="00A23A2F" w:rsidRDefault="00A23A2F" w:rsidP="00A23A2F">
      <w:pPr>
        <w:pStyle w:val="Default"/>
        <w:numPr>
          <w:ilvl w:val="0"/>
          <w:numId w:val="1"/>
        </w:numPr>
        <w:rPr>
          <w:rFonts w:eastAsia="Times New Roman"/>
        </w:rPr>
      </w:pPr>
      <w:r>
        <w:rPr>
          <w:rFonts w:eastAsia="Times New Roman"/>
        </w:rPr>
        <w:t xml:space="preserve">have no influence on flows below </w:t>
      </w:r>
      <w:proofErr w:type="gramStart"/>
      <w:r>
        <w:rPr>
          <w:rFonts w:eastAsia="Times New Roman"/>
        </w:rPr>
        <w:t>Torrumbarry;</w:t>
      </w:r>
      <w:proofErr w:type="gramEnd"/>
      <w:r>
        <w:rPr>
          <w:rFonts w:eastAsia="Times New Roman"/>
        </w:rPr>
        <w:t xml:space="preserve"> </w:t>
      </w:r>
    </w:p>
    <w:p w14:paraId="12DECDB4" w14:textId="77777777" w:rsidR="00A23A2F" w:rsidRDefault="00A23A2F" w:rsidP="00A23A2F">
      <w:pPr>
        <w:pStyle w:val="Default"/>
        <w:numPr>
          <w:ilvl w:val="0"/>
          <w:numId w:val="1"/>
        </w:numPr>
        <w:rPr>
          <w:rFonts w:eastAsia="Times New Roman"/>
        </w:rPr>
      </w:pPr>
      <w:r>
        <w:rPr>
          <w:rFonts w:eastAsia="Times New Roman"/>
        </w:rPr>
        <w:t xml:space="preserve">cannot achieve 80,000ML/day at SA </w:t>
      </w:r>
      <w:proofErr w:type="gramStart"/>
      <w:r>
        <w:rPr>
          <w:rFonts w:eastAsia="Times New Roman"/>
        </w:rPr>
        <w:t>border;</w:t>
      </w:r>
      <w:proofErr w:type="gramEnd"/>
      <w:r>
        <w:rPr>
          <w:rFonts w:eastAsia="Times New Roman"/>
        </w:rPr>
        <w:t xml:space="preserve"> </w:t>
      </w:r>
    </w:p>
    <w:p w14:paraId="0886298B" w14:textId="77777777" w:rsidR="00A23A2F" w:rsidRDefault="00A23A2F" w:rsidP="00A23A2F">
      <w:pPr>
        <w:pStyle w:val="Default"/>
        <w:numPr>
          <w:ilvl w:val="0"/>
          <w:numId w:val="1"/>
        </w:numPr>
        <w:rPr>
          <w:rFonts w:eastAsia="Times New Roman"/>
        </w:rPr>
      </w:pPr>
      <w:r>
        <w:rPr>
          <w:rFonts w:eastAsia="Times New Roman"/>
        </w:rPr>
        <w:t xml:space="preserve">cannot keep the Murray Mouth open 95% of time without </w:t>
      </w:r>
      <w:proofErr w:type="gramStart"/>
      <w:r>
        <w:rPr>
          <w:rFonts w:eastAsia="Times New Roman"/>
        </w:rPr>
        <w:t>dredging .</w:t>
      </w:r>
      <w:proofErr w:type="gramEnd"/>
    </w:p>
    <w:p w14:paraId="1DF460FC" w14:textId="77777777" w:rsidR="00A23A2F" w:rsidRDefault="00A23A2F" w:rsidP="00A23A2F">
      <w:pPr>
        <w:pStyle w:val="Default"/>
        <w:numPr>
          <w:ilvl w:val="0"/>
          <w:numId w:val="1"/>
        </w:numPr>
        <w:rPr>
          <w:rFonts w:eastAsia="Times New Roman"/>
        </w:rPr>
      </w:pPr>
      <w:r>
        <w:rPr>
          <w:rFonts w:eastAsia="Times New Roman"/>
        </w:rPr>
        <w:t xml:space="preserve">beneficial impact </w:t>
      </w:r>
      <w:proofErr w:type="gramStart"/>
      <w:r>
        <w:rPr>
          <w:rFonts w:eastAsia="Times New Roman"/>
        </w:rPr>
        <w:t>of  all</w:t>
      </w:r>
      <w:proofErr w:type="gramEnd"/>
      <w:r>
        <w:rPr>
          <w:rFonts w:eastAsia="Times New Roman"/>
        </w:rPr>
        <w:t xml:space="preserve"> relaxed constraints  scenarios decreases as flow moves downstream,</w:t>
      </w:r>
    </w:p>
    <w:p w14:paraId="433972D2" w14:textId="77777777" w:rsidR="00A23A2F" w:rsidRDefault="00A23A2F" w:rsidP="00A23A2F">
      <w:pPr>
        <w:pStyle w:val="Default"/>
        <w:numPr>
          <w:ilvl w:val="0"/>
          <w:numId w:val="1"/>
        </w:numPr>
        <w:rPr>
          <w:rFonts w:eastAsia="Times New Roman"/>
        </w:rPr>
      </w:pPr>
      <w:r>
        <w:rPr>
          <w:rFonts w:eastAsia="Times New Roman"/>
        </w:rPr>
        <w:t xml:space="preserve">cannot ‘enhance environmental outcomes’ as proposed, for example inundate an extra 35,000ha of </w:t>
      </w:r>
      <w:proofErr w:type="gramStart"/>
      <w:r>
        <w:rPr>
          <w:rFonts w:eastAsia="Times New Roman"/>
        </w:rPr>
        <w:t>high level</w:t>
      </w:r>
      <w:proofErr w:type="gramEnd"/>
      <w:r>
        <w:rPr>
          <w:rFonts w:eastAsia="Times New Roman"/>
        </w:rPr>
        <w:t xml:space="preserve"> floodplain</w:t>
      </w:r>
    </w:p>
    <w:p w14:paraId="0DF6C2E0" w14:textId="77777777" w:rsidR="00A23A2F" w:rsidRDefault="00A23A2F" w:rsidP="00A23A2F">
      <w:pPr>
        <w:pStyle w:val="ListParagraph"/>
        <w:ind w:left="410"/>
        <w:rPr>
          <w:color w:val="000000"/>
          <w:sz w:val="24"/>
          <w:szCs w:val="24"/>
        </w:rPr>
      </w:pPr>
    </w:p>
    <w:p w14:paraId="4E9EC405" w14:textId="77777777" w:rsidR="00A23A2F" w:rsidRDefault="00A23A2F" w:rsidP="00A23A2F">
      <w:pPr>
        <w:pStyle w:val="Default"/>
        <w:rPr>
          <w:b/>
          <w:bCs/>
        </w:rPr>
      </w:pPr>
      <w:r>
        <w:rPr>
          <w:b/>
          <w:bCs/>
        </w:rPr>
        <w:t xml:space="preserve">OTHER REASONS WHY 450GL OR PROPOSED FLOWS TO SA CANNOT </w:t>
      </w:r>
      <w:proofErr w:type="gramStart"/>
      <w:r>
        <w:rPr>
          <w:b/>
          <w:bCs/>
        </w:rPr>
        <w:t>BE  DELIVERED</w:t>
      </w:r>
      <w:proofErr w:type="gramEnd"/>
    </w:p>
    <w:p w14:paraId="3BD2D9F2" w14:textId="77777777" w:rsidR="00A23A2F" w:rsidRDefault="00A23A2F" w:rsidP="00A23A2F"/>
    <w:p w14:paraId="22FFE27F" w14:textId="77777777" w:rsidR="00A23A2F" w:rsidRDefault="00A23A2F" w:rsidP="00A23A2F">
      <w:pPr>
        <w:pStyle w:val="Default"/>
        <w:rPr>
          <w:color w:val="auto"/>
          <w:sz w:val="22"/>
          <w:szCs w:val="22"/>
        </w:rPr>
      </w:pPr>
      <w:r>
        <w:rPr>
          <w:color w:val="auto"/>
          <w:sz w:val="22"/>
          <w:szCs w:val="22"/>
        </w:rPr>
        <w:t xml:space="preserve">MDA CONSTRAINTS MODELLING </w:t>
      </w:r>
      <w:hyperlink r:id="rId10" w:history="1">
        <w:r>
          <w:rPr>
            <w:rStyle w:val="Hyperlink"/>
            <w:sz w:val="22"/>
            <w:szCs w:val="22"/>
          </w:rPr>
          <w:t>https://www.water.vic.gov.au/__data/assets/pdf_file/0027/670464/murray-darling-basin-contraints-modelling-independent-expert-panel.pdf</w:t>
        </w:r>
      </w:hyperlink>
    </w:p>
    <w:p w14:paraId="4DA0E3D9" w14:textId="77777777" w:rsidR="00A23A2F" w:rsidRDefault="00A23A2F" w:rsidP="00A23A2F">
      <w:pPr>
        <w:pStyle w:val="Default"/>
        <w:rPr>
          <w:color w:val="auto"/>
          <w:sz w:val="22"/>
          <w:szCs w:val="22"/>
        </w:rPr>
      </w:pPr>
    </w:p>
    <w:p w14:paraId="3051E123" w14:textId="77777777" w:rsidR="00A23A2F" w:rsidRDefault="00A23A2F" w:rsidP="00A23A2F">
      <w:pPr>
        <w:pStyle w:val="Default"/>
        <w:rPr>
          <w:color w:val="auto"/>
          <w:sz w:val="22"/>
          <w:szCs w:val="22"/>
        </w:rPr>
      </w:pPr>
      <w:r>
        <w:t xml:space="preserve">Report by the NSW and Victorian Ministers’ Independent Expert Panel Report prepared for the Victorian and New South Wales Governments 16 December 2019 </w:t>
      </w:r>
      <w:proofErr w:type="gramStart"/>
      <w:r>
        <w:t>( WILSON</w:t>
      </w:r>
      <w:proofErr w:type="gramEnd"/>
      <w:r>
        <w:t xml:space="preserve"> REPORT)</w:t>
      </w:r>
    </w:p>
    <w:p w14:paraId="5036C55E" w14:textId="77777777" w:rsidR="00A23A2F" w:rsidRDefault="00A23A2F" w:rsidP="00A23A2F">
      <w:pPr>
        <w:pStyle w:val="Default"/>
        <w:rPr>
          <w:color w:val="auto"/>
          <w:sz w:val="22"/>
          <w:szCs w:val="22"/>
        </w:rPr>
      </w:pPr>
      <w:r>
        <w:rPr>
          <w:color w:val="auto"/>
          <w:sz w:val="22"/>
          <w:szCs w:val="22"/>
        </w:rPr>
        <w:t>Page 4</w:t>
      </w:r>
    </w:p>
    <w:p w14:paraId="603E9631" w14:textId="77777777" w:rsidR="00A23A2F" w:rsidRDefault="00A23A2F" w:rsidP="00A23A2F">
      <w:pPr>
        <w:pStyle w:val="Default"/>
      </w:pPr>
      <w:r>
        <w:t>The Panel has been advised that given these uncertainties, flows of 80,000ML/d at the South Australian border will occur when there is a coincidence of large rainfall and ‘natural’ flow events in the Murray or its key tributaries</w:t>
      </w:r>
      <w:r>
        <w:rPr>
          <w:color w:val="FF0000"/>
        </w:rPr>
        <w:t>, but river operators will not be creating ‘managed’ 80,000 ML/d flows at the South Australian border.</w:t>
      </w:r>
    </w:p>
    <w:p w14:paraId="5C14B6FB" w14:textId="77777777" w:rsidR="00A23A2F" w:rsidRDefault="00A23A2F" w:rsidP="00A23A2F">
      <w:pPr>
        <w:pStyle w:val="Default"/>
      </w:pPr>
    </w:p>
    <w:p w14:paraId="21BCAB94" w14:textId="77777777" w:rsidR="00A23A2F" w:rsidRDefault="00A23A2F" w:rsidP="00A23A2F">
      <w:pPr>
        <w:autoSpaceDE w:val="0"/>
        <w:autoSpaceDN w:val="0"/>
        <w:rPr>
          <w:rFonts w:ascii="Arial" w:hAnsi="Arial" w:cs="Arial"/>
          <w:color w:val="000000"/>
          <w:sz w:val="24"/>
          <w:szCs w:val="24"/>
          <w:lang w:eastAsia="en-AU"/>
          <w14:ligatures w14:val="none"/>
        </w:rPr>
      </w:pPr>
      <w:r>
        <w:rPr>
          <w:rFonts w:ascii="Arial" w:hAnsi="Arial" w:cs="Arial"/>
          <w:color w:val="000000"/>
          <w:sz w:val="24"/>
          <w:szCs w:val="24"/>
          <w:lang w:eastAsia="en-AU"/>
          <w14:ligatures w14:val="none"/>
        </w:rPr>
        <w:t xml:space="preserve">The </w:t>
      </w:r>
      <w:r>
        <w:rPr>
          <w:rFonts w:ascii="Arial" w:hAnsi="Arial" w:cs="Arial"/>
          <w:b/>
          <w:bCs/>
          <w:color w:val="000000"/>
          <w:sz w:val="24"/>
          <w:szCs w:val="24"/>
          <w:lang w:eastAsia="en-AU"/>
          <w14:ligatures w14:val="none"/>
        </w:rPr>
        <w:t xml:space="preserve">Murray–Darling Basin Authority Review of the Environmental Watering Plan March 2021 </w:t>
      </w:r>
      <w:hyperlink r:id="rId11" w:history="1">
        <w:r>
          <w:rPr>
            <w:rStyle w:val="Hyperlink"/>
            <w:rFonts w:ascii="Arial" w:hAnsi="Arial" w:cs="Arial"/>
            <w:sz w:val="24"/>
            <w:szCs w:val="24"/>
            <w:lang w:eastAsia="en-AU"/>
            <w14:ligatures w14:val="none"/>
          </w:rPr>
          <w:t>https://www.mdba.gov.au/sites/default/files/pubs/review-of-environmental-watering-plan-march-2021_0.PDF</w:t>
        </w:r>
      </w:hyperlink>
      <w:r>
        <w:rPr>
          <w:rFonts w:ascii="Arial" w:hAnsi="Arial" w:cs="Arial"/>
          <w:color w:val="0562C1"/>
          <w:sz w:val="24"/>
          <w:szCs w:val="24"/>
          <w:lang w:eastAsia="en-AU"/>
          <w14:ligatures w14:val="none"/>
        </w:rPr>
        <w:t xml:space="preserve"> </w:t>
      </w:r>
      <w:r>
        <w:rPr>
          <w:rFonts w:ascii="Arial" w:hAnsi="Arial" w:cs="Arial"/>
          <w:color w:val="000000"/>
          <w:sz w:val="24"/>
          <w:szCs w:val="24"/>
          <w:lang w:eastAsia="en-AU"/>
          <w14:ligatures w14:val="none"/>
        </w:rPr>
        <w:t>PAGE 17 states-</w:t>
      </w:r>
    </w:p>
    <w:p w14:paraId="5E0F11EC" w14:textId="77777777" w:rsidR="00A23A2F" w:rsidRDefault="00A23A2F" w:rsidP="00A23A2F">
      <w:pPr>
        <w:autoSpaceDE w:val="0"/>
        <w:autoSpaceDN w:val="0"/>
        <w:rPr>
          <w:rFonts w:ascii="Arial" w:hAnsi="Arial" w:cs="Arial"/>
          <w:i/>
          <w:iCs/>
          <w:color w:val="FF0000"/>
          <w:sz w:val="24"/>
          <w:szCs w:val="24"/>
          <w:lang w:eastAsia="en-AU"/>
          <w14:ligatures w14:val="none"/>
        </w:rPr>
      </w:pPr>
      <w:r>
        <w:rPr>
          <w:rFonts w:ascii="Arial" w:hAnsi="Arial" w:cs="Arial"/>
          <w:color w:val="000000"/>
          <w:sz w:val="24"/>
          <w:szCs w:val="24"/>
          <w:lang w:eastAsia="en-AU"/>
          <w14:ligatures w14:val="none"/>
        </w:rPr>
        <w:t xml:space="preserve"> (2)(d) </w:t>
      </w:r>
      <w:r>
        <w:rPr>
          <w:rFonts w:ascii="Arial" w:hAnsi="Arial" w:cs="Arial"/>
          <w:i/>
          <w:iCs/>
          <w:color w:val="006FC0"/>
          <w:sz w:val="24"/>
          <w:szCs w:val="24"/>
          <w:lang w:eastAsia="en-AU"/>
          <w14:ligatures w14:val="none"/>
        </w:rPr>
        <w:t xml:space="preserve">condition of the Coorong and Lower Lakes ecosystems and Murray Mouth opening regime. </w:t>
      </w:r>
      <w:r>
        <w:rPr>
          <w:rFonts w:ascii="Arial" w:hAnsi="Arial" w:cs="Arial"/>
          <w:i/>
          <w:iCs/>
          <w:color w:val="FF0000"/>
          <w:sz w:val="24"/>
          <w:szCs w:val="24"/>
          <w:lang w:eastAsia="en-AU"/>
          <w14:ligatures w14:val="none"/>
        </w:rPr>
        <w:t xml:space="preserve">Murray Mouth and Coorong targets being met through Basin Plan mechanisms alone was flagged as potentially unachievable under a changing climate. </w:t>
      </w:r>
    </w:p>
    <w:p w14:paraId="032F7DAE" w14:textId="77777777" w:rsidR="00A23A2F" w:rsidRDefault="00A23A2F" w:rsidP="00A23A2F">
      <w:pPr>
        <w:autoSpaceDE w:val="0"/>
        <w:autoSpaceDN w:val="0"/>
        <w:rPr>
          <w:i/>
          <w:iCs/>
          <w:color w:val="FF0000"/>
          <w:lang w:eastAsia="en-AU"/>
          <w14:ligatures w14:val="none"/>
        </w:rPr>
      </w:pPr>
    </w:p>
    <w:p w14:paraId="4FF521C0" w14:textId="77777777" w:rsidR="00A23A2F" w:rsidRDefault="00A23A2F" w:rsidP="00A23A2F">
      <w:pPr>
        <w:autoSpaceDE w:val="0"/>
        <w:autoSpaceDN w:val="0"/>
        <w:rPr>
          <w:b/>
          <w:bCs/>
          <w:i/>
          <w:iCs/>
          <w:color w:val="FF0000"/>
          <w:lang w:eastAsia="en-AU"/>
          <w14:ligatures w14:val="none"/>
        </w:rPr>
      </w:pPr>
      <w:r>
        <w:rPr>
          <w:b/>
          <w:bCs/>
        </w:rPr>
        <w:t>AUSTRALIA’S NATURAL PHYSICAL LANDSCAPE PREVENTS DELIVERABILITY OF PROPOSED ENVIRONMENTAL FLOWS</w:t>
      </w:r>
    </w:p>
    <w:p w14:paraId="0A1C9CAB" w14:textId="77777777" w:rsidR="00A23A2F" w:rsidRDefault="00A23A2F" w:rsidP="00A23A2F">
      <w:pPr>
        <w:pStyle w:val="Default"/>
        <w:rPr>
          <w:sz w:val="22"/>
          <w:szCs w:val="22"/>
        </w:rPr>
      </w:pPr>
      <w:r>
        <w:rPr>
          <w:sz w:val="22"/>
          <w:szCs w:val="22"/>
        </w:rPr>
        <w:t>We are the flattest, driest inhabited continent on earth, meaning there are massive attenuation and evaporation losses as flows so slowly wend their way towards the Murray Mouth and Southern Ocean.  There is no manner of mitigating these losses in our hot, arid, flat land.</w:t>
      </w:r>
    </w:p>
    <w:p w14:paraId="06B31568" w14:textId="77777777" w:rsidR="00A23A2F" w:rsidRDefault="00A23A2F" w:rsidP="00A23A2F">
      <w:pPr>
        <w:pStyle w:val="Default"/>
        <w:rPr>
          <w:sz w:val="22"/>
          <w:szCs w:val="22"/>
        </w:rPr>
      </w:pPr>
      <w:r>
        <w:rPr>
          <w:sz w:val="22"/>
          <w:szCs w:val="22"/>
        </w:rPr>
        <w:t> </w:t>
      </w:r>
      <w:proofErr w:type="gramStart"/>
      <w:r>
        <w:rPr>
          <w:sz w:val="22"/>
          <w:szCs w:val="22"/>
        </w:rPr>
        <w:t>All tributaries worthy of naming,</w:t>
      </w:r>
      <w:proofErr w:type="gramEnd"/>
      <w:r>
        <w:rPr>
          <w:sz w:val="22"/>
          <w:szCs w:val="22"/>
        </w:rPr>
        <w:t xml:space="preserve"> are in the upper reaches of our main rivers.</w:t>
      </w:r>
    </w:p>
    <w:p w14:paraId="1F48DC9F" w14:textId="77777777" w:rsidR="00A23A2F" w:rsidRDefault="00A23A2F" w:rsidP="00A23A2F">
      <w:pPr>
        <w:pStyle w:val="Default"/>
        <w:rPr>
          <w:sz w:val="22"/>
          <w:szCs w:val="22"/>
        </w:rPr>
      </w:pPr>
      <w:r>
        <w:rPr>
          <w:sz w:val="22"/>
          <w:szCs w:val="22"/>
        </w:rPr>
        <w:t xml:space="preserve">The Darling once it leaves Queensland has virtually no tributaries. </w:t>
      </w:r>
    </w:p>
    <w:p w14:paraId="49448F2F" w14:textId="77777777" w:rsidR="00A23A2F" w:rsidRDefault="00A23A2F" w:rsidP="00A23A2F">
      <w:pPr>
        <w:pStyle w:val="Default"/>
        <w:rPr>
          <w:sz w:val="22"/>
          <w:szCs w:val="22"/>
        </w:rPr>
      </w:pPr>
      <w:r>
        <w:rPr>
          <w:sz w:val="22"/>
          <w:szCs w:val="22"/>
        </w:rPr>
        <w:t>The Murray from the point of confluence of the Darling has no tributaries.</w:t>
      </w:r>
    </w:p>
    <w:p w14:paraId="6635EC97" w14:textId="77777777" w:rsidR="00A23A2F" w:rsidRDefault="00A23A2F" w:rsidP="00A23A2F">
      <w:pPr>
        <w:pStyle w:val="Default"/>
        <w:rPr>
          <w:sz w:val="22"/>
          <w:szCs w:val="22"/>
        </w:rPr>
      </w:pPr>
      <w:r>
        <w:rPr>
          <w:sz w:val="22"/>
          <w:szCs w:val="22"/>
        </w:rPr>
        <w:t>The Goulburn below Shepparton has virtually no tributaries.</w:t>
      </w:r>
    </w:p>
    <w:p w14:paraId="3DC259FC" w14:textId="77777777" w:rsidR="00A23A2F" w:rsidRDefault="00A23A2F" w:rsidP="00A23A2F">
      <w:pPr>
        <w:pStyle w:val="Default"/>
        <w:rPr>
          <w:sz w:val="22"/>
          <w:szCs w:val="22"/>
        </w:rPr>
      </w:pPr>
      <w:r>
        <w:rPr>
          <w:sz w:val="22"/>
          <w:szCs w:val="22"/>
        </w:rPr>
        <w:t xml:space="preserve">The Murray at the confluence with the Goulburn River is 1992 kms. from the Murray Mouth and a mere 124.9 metres above sea level. </w:t>
      </w:r>
    </w:p>
    <w:p w14:paraId="6402FF6C" w14:textId="77777777" w:rsidR="00A23A2F" w:rsidRDefault="00A23A2F" w:rsidP="00A23A2F">
      <w:pPr>
        <w:pStyle w:val="Default"/>
        <w:rPr>
          <w:sz w:val="22"/>
          <w:szCs w:val="22"/>
        </w:rPr>
      </w:pPr>
      <w:r>
        <w:rPr>
          <w:sz w:val="22"/>
          <w:szCs w:val="22"/>
        </w:rPr>
        <w:t xml:space="preserve">Mildura is still 878kms from the Murray Mouth but only 34.5 metres above sea level. </w:t>
      </w:r>
    </w:p>
    <w:p w14:paraId="620DBB22" w14:textId="77777777" w:rsidR="00A23A2F" w:rsidRDefault="00A23A2F" w:rsidP="00A23A2F">
      <w:pPr>
        <w:pStyle w:val="Default"/>
        <w:rPr>
          <w:sz w:val="22"/>
          <w:szCs w:val="22"/>
        </w:rPr>
      </w:pPr>
      <w:r>
        <w:rPr>
          <w:sz w:val="22"/>
          <w:szCs w:val="22"/>
        </w:rPr>
        <w:t xml:space="preserve">The Darling River at the Queensland border is about 3,218 river kilometres from the sea and only 500 metres above sea level. </w:t>
      </w:r>
    </w:p>
    <w:p w14:paraId="43D0EC94" w14:textId="77777777" w:rsidR="00A23A2F" w:rsidRDefault="00A23A2F" w:rsidP="00A23A2F">
      <w:pPr>
        <w:pStyle w:val="Default"/>
        <w:rPr>
          <w:sz w:val="22"/>
          <w:szCs w:val="22"/>
        </w:rPr>
      </w:pPr>
      <w:r>
        <w:rPr>
          <w:sz w:val="22"/>
          <w:szCs w:val="22"/>
        </w:rPr>
        <w:t>Once the Murray and Darling Rivers leave the Great Dividing Range their stream bed gradients are so low that their waters flow at a phenomenally low rate.</w:t>
      </w:r>
    </w:p>
    <w:p w14:paraId="4110D2D1" w14:textId="6FF6EFAF" w:rsidR="00A23A2F" w:rsidRDefault="00A23A2F" w:rsidP="00A23A2F">
      <w:pPr>
        <w:pStyle w:val="Default"/>
        <w:rPr>
          <w:sz w:val="22"/>
          <w:szCs w:val="22"/>
        </w:rPr>
      </w:pPr>
      <w:r>
        <w:rPr>
          <w:sz w:val="22"/>
          <w:szCs w:val="22"/>
        </w:rPr>
        <w:lastRenderedPageBreak/>
        <w:t xml:space="preserve">After wandering 1350 river miles to Wentworth, the Darling River flows into the Murray at 100 feet above sea level. Throughout that distance it falls only 3 and </w:t>
      </w:r>
      <w:r>
        <w:rPr>
          <w:rFonts w:ascii="Times New Roman" w:hAnsi="Times New Roman" w:cs="Times New Roman"/>
          <w:sz w:val="22"/>
          <w:szCs w:val="22"/>
        </w:rPr>
        <w:t xml:space="preserve">½ </w:t>
      </w:r>
      <w:r>
        <w:rPr>
          <w:sz w:val="22"/>
          <w:szCs w:val="22"/>
        </w:rPr>
        <w:t xml:space="preserve">inches (90mm) to the mile. </w:t>
      </w:r>
    </w:p>
    <w:p w14:paraId="3D7468BA" w14:textId="77777777" w:rsidR="00A23A2F" w:rsidRDefault="00A23A2F" w:rsidP="00A23A2F">
      <w:pPr>
        <w:pStyle w:val="Default"/>
        <w:rPr>
          <w:i/>
          <w:iCs/>
          <w:color w:val="006FC0"/>
          <w:sz w:val="22"/>
          <w:szCs w:val="22"/>
        </w:rPr>
      </w:pPr>
      <w:r>
        <w:rPr>
          <w:sz w:val="22"/>
          <w:szCs w:val="22"/>
        </w:rPr>
        <w:t xml:space="preserve">Wentworth, which is a mere 33 metres above sea </w:t>
      </w:r>
      <w:proofErr w:type="gramStart"/>
      <w:r>
        <w:rPr>
          <w:sz w:val="22"/>
          <w:szCs w:val="22"/>
        </w:rPr>
        <w:t>level  and</w:t>
      </w:r>
      <w:proofErr w:type="gramEnd"/>
      <w:r>
        <w:rPr>
          <w:sz w:val="22"/>
          <w:szCs w:val="22"/>
        </w:rPr>
        <w:t xml:space="preserve"> for the last 100 kms. in South Australia, the stream gradient is only 12mm./km (1/2in.) </w:t>
      </w:r>
      <w:r>
        <w:rPr>
          <w:i/>
          <w:iCs/>
          <w:color w:val="006FC0"/>
          <w:sz w:val="22"/>
          <w:szCs w:val="22"/>
        </w:rPr>
        <w:t>- (Rivers of History)</w:t>
      </w:r>
    </w:p>
    <w:p w14:paraId="30CDF7F4" w14:textId="77777777" w:rsidR="00A23A2F" w:rsidRDefault="00A23A2F" w:rsidP="00A23A2F">
      <w:pPr>
        <w:pStyle w:val="Default"/>
        <w:rPr>
          <w:i/>
          <w:iCs/>
          <w:color w:val="006FC0"/>
          <w:sz w:val="22"/>
          <w:szCs w:val="22"/>
        </w:rPr>
      </w:pPr>
    </w:p>
    <w:p w14:paraId="538EE0EC" w14:textId="23D25FC1" w:rsidR="00A23A2F" w:rsidRDefault="00A23A2F" w:rsidP="00A23A2F">
      <w:pPr>
        <w:pStyle w:val="Default"/>
        <w:rPr>
          <w:sz w:val="22"/>
          <w:szCs w:val="22"/>
        </w:rPr>
      </w:pPr>
      <w:r>
        <w:rPr>
          <w:sz w:val="22"/>
          <w:szCs w:val="22"/>
        </w:rPr>
        <w:t xml:space="preserve">The failure of politicians, the MDBA </w:t>
      </w:r>
      <w:proofErr w:type="gramStart"/>
      <w:r>
        <w:rPr>
          <w:sz w:val="22"/>
          <w:szCs w:val="22"/>
        </w:rPr>
        <w:t>and  Productivity</w:t>
      </w:r>
      <w:proofErr w:type="gramEnd"/>
      <w:r>
        <w:rPr>
          <w:sz w:val="22"/>
          <w:szCs w:val="22"/>
        </w:rPr>
        <w:t xml:space="preserve"> Commission to acknowledge that the proposed ‘enhanced environmental outcomes’ cannot be achieved as  envisaged with the buyback of 450GL and ‘relaxed constraints’  will prove to be very costly to the Australian tax-payer.</w:t>
      </w:r>
    </w:p>
    <w:p w14:paraId="60A0B62B" w14:textId="77777777" w:rsidR="007953FE" w:rsidRDefault="007953FE" w:rsidP="00A23A2F">
      <w:pPr>
        <w:pStyle w:val="Default"/>
        <w:rPr>
          <w:sz w:val="22"/>
          <w:szCs w:val="22"/>
        </w:rPr>
      </w:pPr>
    </w:p>
    <w:p w14:paraId="1DC28A93" w14:textId="7CE1B4F7" w:rsidR="007953FE" w:rsidRDefault="007953FE" w:rsidP="00A23A2F">
      <w:pPr>
        <w:pStyle w:val="Default"/>
        <w:rPr>
          <w:sz w:val="22"/>
          <w:szCs w:val="22"/>
        </w:rPr>
      </w:pPr>
      <w:r>
        <w:rPr>
          <w:sz w:val="22"/>
          <w:szCs w:val="22"/>
        </w:rPr>
        <w:t>END OF SUBMISSION</w:t>
      </w:r>
    </w:p>
    <w:p w14:paraId="00A02E2C" w14:textId="748317DD" w:rsidR="007953FE" w:rsidRDefault="007953FE" w:rsidP="00A23A2F">
      <w:pPr>
        <w:pStyle w:val="Default"/>
        <w:rPr>
          <w:sz w:val="22"/>
          <w:szCs w:val="22"/>
        </w:rPr>
      </w:pPr>
      <w:r>
        <w:rPr>
          <w:sz w:val="22"/>
          <w:szCs w:val="22"/>
        </w:rPr>
        <w:t>____________________________________________________________________________-</w:t>
      </w:r>
    </w:p>
    <w:p w14:paraId="35E28861" w14:textId="24EC5AA3" w:rsidR="00A23A2F" w:rsidRDefault="00A23A2F" w:rsidP="00A23A2F">
      <w:pPr>
        <w:pStyle w:val="Default"/>
        <w:rPr>
          <w:i/>
          <w:iCs/>
          <w:color w:val="006FC0"/>
          <w:sz w:val="22"/>
          <w:szCs w:val="22"/>
        </w:rPr>
      </w:pPr>
      <w:r>
        <w:rPr>
          <w:sz w:val="22"/>
          <w:szCs w:val="22"/>
        </w:rPr>
        <w:t xml:space="preserve"> </w:t>
      </w:r>
    </w:p>
    <w:p w14:paraId="4E96BECA" w14:textId="77777777" w:rsidR="00A23A2F" w:rsidRDefault="00A23A2F" w:rsidP="00A23A2F">
      <w:pPr>
        <w:pStyle w:val="Default"/>
        <w:rPr>
          <w:color w:val="FF0000"/>
          <w:sz w:val="22"/>
          <w:szCs w:val="22"/>
        </w:rPr>
      </w:pPr>
    </w:p>
    <w:p w14:paraId="08222527" w14:textId="77777777" w:rsidR="00A23A2F" w:rsidRDefault="00A23A2F" w:rsidP="00A23A2F">
      <w:pPr>
        <w:rPr>
          <w:rFonts w:ascii="Open Sans" w:hAnsi="Open Sans" w:cs="Open Sans"/>
          <w:color w:val="333333"/>
          <w:spacing w:val="6"/>
          <w:sz w:val="21"/>
          <w:szCs w:val="21"/>
          <w:shd w:val="clear" w:color="auto" w:fill="FFFFFF"/>
        </w:rPr>
      </w:pPr>
    </w:p>
    <w:p w14:paraId="20F7ED83" w14:textId="77777777" w:rsidR="00A23A2F" w:rsidRDefault="00A23A2F" w:rsidP="00A23A2F">
      <w:pPr>
        <w:rPr>
          <w:rFonts w:ascii="Open Sans" w:hAnsi="Open Sans" w:cs="Open Sans"/>
          <w:color w:val="333333"/>
          <w:spacing w:val="6"/>
          <w:sz w:val="21"/>
          <w:szCs w:val="21"/>
          <w:shd w:val="clear" w:color="auto" w:fill="FFFFFF"/>
        </w:rPr>
      </w:pPr>
    </w:p>
    <w:p w14:paraId="622BA2B3" w14:textId="77777777" w:rsidR="0088405D" w:rsidRPr="00A23A2F" w:rsidRDefault="0088405D" w:rsidP="00A23A2F"/>
    <w:sectPr w:rsidR="0088405D" w:rsidRPr="00A23A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E8C4" w14:textId="77777777" w:rsidR="00EA7CF0" w:rsidRDefault="00EA7CF0" w:rsidP="007953FE">
      <w:r>
        <w:separator/>
      </w:r>
    </w:p>
  </w:endnote>
  <w:endnote w:type="continuationSeparator" w:id="0">
    <w:p w14:paraId="5B857BED" w14:textId="77777777" w:rsidR="00EA7CF0" w:rsidRDefault="00EA7CF0" w:rsidP="0079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9810" w14:textId="77777777" w:rsidR="007953FE" w:rsidRDefault="0079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979145"/>
      <w:docPartObj>
        <w:docPartGallery w:val="Page Numbers (Bottom of Page)"/>
        <w:docPartUnique/>
      </w:docPartObj>
    </w:sdtPr>
    <w:sdtEndPr>
      <w:rPr>
        <w:noProof/>
      </w:rPr>
    </w:sdtEndPr>
    <w:sdtContent>
      <w:p w14:paraId="5E1D026E" w14:textId="5AEF6266" w:rsidR="007953FE" w:rsidRDefault="007953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C3CD7" w14:textId="77777777" w:rsidR="007953FE" w:rsidRDefault="00795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D855" w14:textId="77777777" w:rsidR="007953FE" w:rsidRDefault="0079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5E54" w14:textId="77777777" w:rsidR="00EA7CF0" w:rsidRDefault="00EA7CF0" w:rsidP="007953FE">
      <w:r>
        <w:separator/>
      </w:r>
    </w:p>
  </w:footnote>
  <w:footnote w:type="continuationSeparator" w:id="0">
    <w:p w14:paraId="7CC8DAEE" w14:textId="77777777" w:rsidR="00EA7CF0" w:rsidRDefault="00EA7CF0" w:rsidP="0079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991" w14:textId="77777777" w:rsidR="007953FE" w:rsidRDefault="0079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C92D" w14:textId="77777777" w:rsidR="007953FE" w:rsidRDefault="0079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D25" w14:textId="77777777" w:rsidR="007953FE" w:rsidRDefault="0079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857"/>
    <w:multiLevelType w:val="hybridMultilevel"/>
    <w:tmpl w:val="EED8953C"/>
    <w:lvl w:ilvl="0" w:tplc="AD0ADA1C">
      <w:numFmt w:val="bullet"/>
      <w:lvlText w:val=""/>
      <w:lvlJc w:val="left"/>
      <w:pPr>
        <w:ind w:left="410" w:hanging="360"/>
      </w:pPr>
      <w:rPr>
        <w:rFonts w:ascii="Symbol" w:eastAsiaTheme="minorHAnsi" w:hAnsi="Symbol" w:cstheme="minorBidi" w:hint="default"/>
        <w:b/>
        <w:color w:val="auto"/>
        <w:sz w:val="22"/>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num w:numId="1" w16cid:durableId="211189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2F"/>
    <w:rsid w:val="002577E9"/>
    <w:rsid w:val="0043762F"/>
    <w:rsid w:val="007953FE"/>
    <w:rsid w:val="007E35A7"/>
    <w:rsid w:val="0088405D"/>
    <w:rsid w:val="00A23A2F"/>
    <w:rsid w:val="00EA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DE4D"/>
  <w15:chartTrackingRefBased/>
  <w15:docId w15:val="{B4555B7F-63E3-435F-93C3-721D668A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A2F"/>
    <w:rPr>
      <w:color w:val="0563C1" w:themeColor="hyperlink"/>
      <w:u w:val="single"/>
    </w:rPr>
  </w:style>
  <w:style w:type="paragraph" w:styleId="ListParagraph">
    <w:name w:val="List Paragraph"/>
    <w:basedOn w:val="Normal"/>
    <w:uiPriority w:val="34"/>
    <w:qFormat/>
    <w:rsid w:val="00A23A2F"/>
    <w:pPr>
      <w:ind w:left="720"/>
    </w:pPr>
  </w:style>
  <w:style w:type="paragraph" w:customStyle="1" w:styleId="Default">
    <w:name w:val="Default"/>
    <w:basedOn w:val="Normal"/>
    <w:rsid w:val="00A23A2F"/>
    <w:pPr>
      <w:autoSpaceDE w:val="0"/>
      <w:autoSpaceDN w:val="0"/>
    </w:pPr>
    <w:rPr>
      <w:rFonts w:ascii="Arial" w:hAnsi="Arial" w:cs="Arial"/>
      <w:color w:val="000000"/>
      <w:kern w:val="0"/>
      <w:sz w:val="24"/>
      <w:szCs w:val="24"/>
    </w:rPr>
  </w:style>
  <w:style w:type="character" w:styleId="Strong">
    <w:name w:val="Strong"/>
    <w:basedOn w:val="DefaultParagraphFont"/>
    <w:uiPriority w:val="22"/>
    <w:qFormat/>
    <w:rsid w:val="00A23A2F"/>
    <w:rPr>
      <w:b/>
      <w:bCs/>
    </w:rPr>
  </w:style>
  <w:style w:type="paragraph" w:styleId="Header">
    <w:name w:val="header"/>
    <w:basedOn w:val="Normal"/>
    <w:link w:val="HeaderChar"/>
    <w:uiPriority w:val="99"/>
    <w:unhideWhenUsed/>
    <w:rsid w:val="007953FE"/>
    <w:pPr>
      <w:tabs>
        <w:tab w:val="center" w:pos="4513"/>
        <w:tab w:val="right" w:pos="9026"/>
      </w:tabs>
    </w:pPr>
  </w:style>
  <w:style w:type="character" w:customStyle="1" w:styleId="HeaderChar">
    <w:name w:val="Header Char"/>
    <w:basedOn w:val="DefaultParagraphFont"/>
    <w:link w:val="Header"/>
    <w:uiPriority w:val="99"/>
    <w:rsid w:val="007953FE"/>
  </w:style>
  <w:style w:type="paragraph" w:styleId="Footer">
    <w:name w:val="footer"/>
    <w:basedOn w:val="Normal"/>
    <w:link w:val="FooterChar"/>
    <w:uiPriority w:val="99"/>
    <w:unhideWhenUsed/>
    <w:rsid w:val="007953FE"/>
    <w:pPr>
      <w:tabs>
        <w:tab w:val="center" w:pos="4513"/>
        <w:tab w:val="right" w:pos="9026"/>
      </w:tabs>
    </w:pPr>
  </w:style>
  <w:style w:type="character" w:customStyle="1" w:styleId="FooterChar">
    <w:name w:val="Footer Char"/>
    <w:basedOn w:val="DefaultParagraphFont"/>
    <w:link w:val="Footer"/>
    <w:uiPriority w:val="99"/>
    <w:rsid w:val="0079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7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ba.gov.au/sites/default/files/pubs/review-of-environmental-watering-plan-march-2021_0.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ater.vic.gov.au/__data/assets/pdf_file/0027/670464/murray-darling-basin-contraints-modelling-independent-expert-pane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464883987714f3b5ea0fcf1b76c327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f5b371930779569edbce8ef66ea0bc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1A9FB-02B7-41FC-BDD5-E6E81BCB410E}">
  <ds:schemaRefs>
    <ds:schemaRef ds:uri="http://schemas.microsoft.com/sharepoint/v3/contenttype/forms"/>
  </ds:schemaRefs>
</ds:datastoreItem>
</file>

<file path=customXml/itemProps2.xml><?xml version="1.0" encoding="utf-8"?>
<ds:datastoreItem xmlns:ds="http://schemas.openxmlformats.org/officeDocument/2006/customXml" ds:itemID="{784EBC24-C453-4A8F-B8A2-992E31B4BF20}">
  <ds:schemaRefs>
    <ds:schemaRef ds:uri="http://schemas.microsoft.com/sharepoint/events"/>
  </ds:schemaRefs>
</ds:datastoreItem>
</file>

<file path=customXml/itemProps3.xml><?xml version="1.0" encoding="utf-8"?>
<ds:datastoreItem xmlns:ds="http://schemas.openxmlformats.org/officeDocument/2006/customXml" ds:itemID="{AEF0686A-2BFB-4081-84C4-BDDAD166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108 - Jan Beer - Murray-Darling Basin Plan: Implementation review 2023 - Public inquiry</vt:lpstr>
    </vt:vector>
  </TitlesOfParts>
  <Company>Jan Beer</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108 - Jan Beer - Murray-Darling Basin Plan: Implementation review 2023 - Public inquiry</dc:title>
  <dc:subject/>
  <dc:creator>Jan Beer</dc:creator>
  <cp:keywords/>
  <dc:description/>
  <cp:lastModifiedBy>Chris Alston</cp:lastModifiedBy>
  <cp:revision>4</cp:revision>
  <dcterms:created xsi:type="dcterms:W3CDTF">2023-11-19T03:22:00Z</dcterms:created>
  <dcterms:modified xsi:type="dcterms:W3CDTF">2023-11-20T03:20:00Z</dcterms:modified>
</cp:coreProperties>
</file>