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A7CB" w14:textId="77777777" w:rsidR="001C0649" w:rsidRDefault="001C0649" w:rsidP="00862998"/>
    <w:p w14:paraId="5A2A794B" w14:textId="1C2DC3D9" w:rsidR="00862998" w:rsidRPr="00AF7C09" w:rsidRDefault="00D54175" w:rsidP="00862998">
      <w:pPr>
        <w:rPr>
          <w:b/>
          <w:bCs/>
          <w:sz w:val="28"/>
          <w:szCs w:val="28"/>
        </w:rPr>
      </w:pPr>
      <w:r w:rsidRPr="00AF7C09">
        <w:rPr>
          <w:b/>
          <w:bCs/>
          <w:sz w:val="28"/>
          <w:szCs w:val="28"/>
        </w:rPr>
        <w:t>National Water Initiative Submission</w:t>
      </w:r>
    </w:p>
    <w:p w14:paraId="15EC24AF" w14:textId="2FF690A4" w:rsidR="00D54175" w:rsidRPr="00AF7C09" w:rsidRDefault="00D54175" w:rsidP="00862998">
      <w:pPr>
        <w:rPr>
          <w:b/>
          <w:bCs/>
        </w:rPr>
      </w:pPr>
      <w:r w:rsidRPr="00AF7C09">
        <w:rPr>
          <w:b/>
          <w:bCs/>
        </w:rPr>
        <w:t>2</w:t>
      </w:r>
      <w:r w:rsidRPr="00AF7C09">
        <w:rPr>
          <w:b/>
          <w:bCs/>
          <w:vertAlign w:val="superscript"/>
        </w:rPr>
        <w:t>nd</w:t>
      </w:r>
      <w:r w:rsidRPr="00AF7C09">
        <w:rPr>
          <w:b/>
          <w:bCs/>
        </w:rPr>
        <w:t xml:space="preserve"> February 2024</w:t>
      </w:r>
    </w:p>
    <w:p w14:paraId="000051AF" w14:textId="489E9D3C" w:rsidR="008219FA" w:rsidRDefault="001C0649" w:rsidP="001C0649">
      <w:r>
        <w:t xml:space="preserve">There has never </w:t>
      </w:r>
      <w:r w:rsidR="00D73DF8">
        <w:t>b</w:t>
      </w:r>
      <w:r>
        <w:t>ee</w:t>
      </w:r>
      <w:r w:rsidR="00D73DF8">
        <w:t>n</w:t>
      </w:r>
      <w:r>
        <w:t xml:space="preserve"> a more important time to ensure pro</w:t>
      </w:r>
      <w:r w:rsidR="00D73DF8">
        <w:t>t</w:t>
      </w:r>
      <w:r>
        <w:t>e</w:t>
      </w:r>
      <w:r w:rsidR="00D73DF8">
        <w:t>ction of water through a truly national approach to water management for environment fir</w:t>
      </w:r>
      <w:r w:rsidR="009D3BCE">
        <w:t>s</w:t>
      </w:r>
      <w:r w:rsidR="00D73DF8">
        <w:t>t and develo</w:t>
      </w:r>
      <w:r w:rsidR="009D3BCE">
        <w:t xml:space="preserve">pment second. I live in the Northern Territory, where both community and national expert concern for water resources are ignored by the NT government. </w:t>
      </w:r>
      <w:r w:rsidR="000658BB">
        <w:t>A protective framework for water</w:t>
      </w:r>
      <w:r w:rsidR="000C7233">
        <w:t xml:space="preserve"> that ensures equitable input by all parties</w:t>
      </w:r>
      <w:r w:rsidR="00A463EE">
        <w:t>; government, industry, agriculture, fisheries and the community,</w:t>
      </w:r>
      <w:r w:rsidR="000658BB">
        <w:t xml:space="preserve"> is urgently needed.</w:t>
      </w:r>
    </w:p>
    <w:p w14:paraId="7C91E293" w14:textId="4502417A" w:rsidR="003E0FD8" w:rsidRDefault="00E52EB8" w:rsidP="001C0649">
      <w:r>
        <w:t>T</w:t>
      </w:r>
      <w:r w:rsidR="009D3BCE">
        <w:t xml:space="preserve">he NT Supreme Court </w:t>
      </w:r>
      <w:r>
        <w:t xml:space="preserve">yesterday </w:t>
      </w:r>
      <w:r w:rsidR="009D3BCE">
        <w:t xml:space="preserve">dismissed </w:t>
      </w:r>
      <w:r w:rsidR="00C23EBD">
        <w:t xml:space="preserve">a legal challenge to </w:t>
      </w:r>
      <w:r w:rsidR="00123D6D">
        <w:t xml:space="preserve">the </w:t>
      </w:r>
      <w:r w:rsidR="00C23EBD">
        <w:t xml:space="preserve">massive </w:t>
      </w:r>
      <w:r w:rsidR="00123D6D">
        <w:t xml:space="preserve">Singleton Station </w:t>
      </w:r>
      <w:r w:rsidR="00C23EBD">
        <w:t>water allocation</w:t>
      </w:r>
      <w:r w:rsidR="003A2B5D">
        <w:t xml:space="preserve"> </w:t>
      </w:r>
      <w:r w:rsidR="002B002A">
        <w:t>mounted by Arid Lands E</w:t>
      </w:r>
      <w:r w:rsidR="00BF6F61">
        <w:t xml:space="preserve">nvironment Centre (ALEC). The judge dismissed the case because the </w:t>
      </w:r>
      <w:r w:rsidR="00213D01">
        <w:t xml:space="preserve">NT </w:t>
      </w:r>
      <w:r w:rsidR="00BF6F61">
        <w:t xml:space="preserve">Water </w:t>
      </w:r>
      <w:r w:rsidR="009D70FE">
        <w:t>Act</w:t>
      </w:r>
      <w:r w:rsidR="00BF6F61">
        <w:t xml:space="preserve"> </w:t>
      </w:r>
      <w:r w:rsidR="00AB668A">
        <w:t xml:space="preserve">legislation </w:t>
      </w:r>
      <w:r w:rsidR="009D70FE">
        <w:t xml:space="preserve">and water allocation planning process </w:t>
      </w:r>
      <w:r w:rsidR="00AB668A">
        <w:t xml:space="preserve">which </w:t>
      </w:r>
      <w:r w:rsidR="00CF60D9">
        <w:t xml:space="preserve">exists to protect groundwater-dependent ecosystems, </w:t>
      </w:r>
      <w:r w:rsidR="00CE72E3" w:rsidRPr="003808A2">
        <w:rPr>
          <w:b/>
          <w:bCs/>
        </w:rPr>
        <w:t xml:space="preserve">provides </w:t>
      </w:r>
      <w:r w:rsidR="00AB7153" w:rsidRPr="003808A2">
        <w:rPr>
          <w:b/>
          <w:bCs/>
        </w:rPr>
        <w:t>only “guidance</w:t>
      </w:r>
      <w:r w:rsidR="00CE72E3" w:rsidRPr="003808A2">
        <w:rPr>
          <w:b/>
          <w:bCs/>
        </w:rPr>
        <w:t xml:space="preserve">” NOT a requirement to </w:t>
      </w:r>
      <w:r w:rsidR="00B23647">
        <w:rPr>
          <w:b/>
          <w:bCs/>
        </w:rPr>
        <w:t xml:space="preserve">be </w:t>
      </w:r>
      <w:r w:rsidR="00CE72E3" w:rsidRPr="003808A2">
        <w:rPr>
          <w:b/>
          <w:bCs/>
        </w:rPr>
        <w:t>adhered to</w:t>
      </w:r>
      <w:r w:rsidR="00CE72E3">
        <w:t>.</w:t>
      </w:r>
      <w:r w:rsidR="00D25D1C">
        <w:t xml:space="preserve"> </w:t>
      </w:r>
      <w:r w:rsidR="002A369A">
        <w:t xml:space="preserve">Justice Barr determined that the </w:t>
      </w:r>
      <w:r w:rsidR="007C47BD">
        <w:t>“</w:t>
      </w:r>
      <w:r w:rsidR="00D25D1C">
        <w:t>use of the word ‘should’</w:t>
      </w:r>
      <w:r w:rsidR="002A369A">
        <w:t xml:space="preserve"> </w:t>
      </w:r>
      <w:r w:rsidR="000D5E36">
        <w:t>rather than ‘must’ denotes a non-regulatory standard which is clearly not mandatory</w:t>
      </w:r>
      <w:r w:rsidR="002A369A">
        <w:t>.”</w:t>
      </w:r>
      <w:r w:rsidR="007C47BD">
        <w:t xml:space="preserve"> </w:t>
      </w:r>
    </w:p>
    <w:p w14:paraId="1E67C25C" w14:textId="56224A86" w:rsidR="00D25D1C" w:rsidRDefault="007C47BD" w:rsidP="001C0649">
      <w:r>
        <w:t>(</w:t>
      </w:r>
      <w:hyperlink r:id="rId9" w:history="1">
        <w:r w:rsidR="003E0FD8" w:rsidRPr="000A4F90">
          <w:rPr>
            <w:rStyle w:val="Hyperlink"/>
          </w:rPr>
          <w:t>https://www.abc.net.au/news/2024-01-31/nt-supreme-court-dismisses-singleton-station-water-licence-case/103408138?utm_campaign=abc_news_web&amp;utm_content=link&amp;utm_medium=content_shared&amp;utm_source=abc_news_web</w:t>
        </w:r>
      </w:hyperlink>
      <w:r w:rsidR="003E0FD8">
        <w:t>)</w:t>
      </w:r>
    </w:p>
    <w:p w14:paraId="62ADD171" w14:textId="22D6B2C1" w:rsidR="001C0649" w:rsidRDefault="001C0649" w:rsidP="001C0649">
      <w:r>
        <w:t xml:space="preserve">It is unfortunately, painfully obvious that </w:t>
      </w:r>
      <w:r w:rsidR="00C95B9C">
        <w:t xml:space="preserve">water regulation is failing </w:t>
      </w:r>
      <w:r>
        <w:t>the NT community</w:t>
      </w:r>
      <w:r w:rsidR="00C95B9C">
        <w:t xml:space="preserve">. </w:t>
      </w:r>
      <w:r w:rsidR="004C4100">
        <w:t>Th</w:t>
      </w:r>
      <w:r w:rsidR="00C95B9C">
        <w:t>e above</w:t>
      </w:r>
      <w:r w:rsidR="004C4100">
        <w:t xml:space="preserve"> determination </w:t>
      </w:r>
      <w:r w:rsidR="00C95B9C">
        <w:t>demonstrates</w:t>
      </w:r>
      <w:r w:rsidR="004C4100">
        <w:t xml:space="preserve"> how water management</w:t>
      </w:r>
      <w:r w:rsidR="00D33E0F">
        <w:t xml:space="preserve"> regulation</w:t>
      </w:r>
      <w:r w:rsidR="004C4100">
        <w:t xml:space="preserve"> is not worth the paper it is written on. </w:t>
      </w:r>
      <w:r w:rsidR="00037CFF">
        <w:t>There are very re</w:t>
      </w:r>
      <w:r w:rsidR="00A469CA">
        <w:t>a</w:t>
      </w:r>
      <w:r w:rsidR="00037CFF">
        <w:t xml:space="preserve">l risks of water overallocation, mining </w:t>
      </w:r>
      <w:r w:rsidR="00F30537">
        <w:t xml:space="preserve">of </w:t>
      </w:r>
      <w:r w:rsidR="00037CFF">
        <w:t>aquifers and contamination of aquifers</w:t>
      </w:r>
      <w:r w:rsidR="00A469CA">
        <w:t xml:space="preserve"> and rivers</w:t>
      </w:r>
      <w:r w:rsidR="00037CFF">
        <w:t xml:space="preserve"> that sustain life in our desert areas and across the Top End.</w:t>
      </w:r>
      <w:r w:rsidR="00F30537" w:rsidRPr="00F30537">
        <w:t xml:space="preserve"> </w:t>
      </w:r>
      <w:r w:rsidR="00F30537">
        <w:t>While the right-wing media scream that environmentalists are anti-development, there are many well-meaning, well-informed concerned citizens who desperately need to be able to have confidence in our government water regulation.</w:t>
      </w:r>
    </w:p>
    <w:p w14:paraId="4248E249" w14:textId="0E72C71D" w:rsidR="00652AD4" w:rsidRDefault="00652AD4" w:rsidP="001C0649">
      <w:r>
        <w:t>Water is a</w:t>
      </w:r>
      <w:r w:rsidR="00A45FE2">
        <w:t>n essential</w:t>
      </w:r>
      <w:r>
        <w:t xml:space="preserve"> universal good, required for all of us</w:t>
      </w:r>
      <w:r w:rsidR="005E0743">
        <w:t xml:space="preserve"> to survive</w:t>
      </w:r>
      <w:r>
        <w:t xml:space="preserve"> into the future. Yet in the NT, massive volumes of water never before considered, are being allocated for agricultural development and mining. This </w:t>
      </w:r>
      <w:r w:rsidR="00F00EED">
        <w:t xml:space="preserve">is </w:t>
      </w:r>
      <w:r>
        <w:t>while Aboriginal communities in the NT still do not have drinking water that meets national standards.</w:t>
      </w:r>
      <w:r w:rsidR="000D7B34">
        <w:t xml:space="preserve"> </w:t>
      </w:r>
    </w:p>
    <w:p w14:paraId="1BE0AC80" w14:textId="44BA0EB0" w:rsidR="00BF5CCD" w:rsidRDefault="00BF5CCD" w:rsidP="001C0649">
      <w:r>
        <w:t xml:space="preserve">Last year, </w:t>
      </w:r>
      <w:r w:rsidR="00C31E6E">
        <w:t>eighteen</w:t>
      </w:r>
      <w:r>
        <w:t xml:space="preserve"> water experts from around Australia wrote to the NT Chief Minister to condemn the draft</w:t>
      </w:r>
      <w:r w:rsidR="00912AD3">
        <w:t xml:space="preserve"> water</w:t>
      </w:r>
      <w:r>
        <w:t xml:space="preserve"> allocation for the Betaloo Basin</w:t>
      </w:r>
      <w:r w:rsidR="00494ADB">
        <w:t xml:space="preserve">, </w:t>
      </w:r>
      <w:r w:rsidR="00912AD3">
        <w:t>the proposed</w:t>
      </w:r>
      <w:r w:rsidR="00494ADB">
        <w:t xml:space="preserve"> fracked gas mining project.</w:t>
      </w:r>
      <w:r w:rsidR="00F312DD">
        <w:t xml:space="preserve"> They pointed out how this draft plan fail</w:t>
      </w:r>
      <w:r w:rsidR="00E6179C">
        <w:t>s</w:t>
      </w:r>
      <w:r w:rsidR="00F312DD">
        <w:t xml:space="preserve"> requirements in the National Water Initiative</w:t>
      </w:r>
      <w:r w:rsidR="00AF4B98">
        <w:t xml:space="preserve"> (NWI)</w:t>
      </w:r>
      <w:r w:rsidR="00F312DD">
        <w:t xml:space="preserve"> and</w:t>
      </w:r>
      <w:r w:rsidR="007D1680">
        <w:t xml:space="preserve"> that it</w:t>
      </w:r>
      <w:r w:rsidR="008037F3">
        <w:t xml:space="preserve"> was developed</w:t>
      </w:r>
      <w:r w:rsidR="00F312DD">
        <w:t xml:space="preserve"> without input from a water advisory committee.</w:t>
      </w:r>
      <w:r w:rsidR="00417686">
        <w:t xml:space="preserve"> These experts outlined the</w:t>
      </w:r>
      <w:r w:rsidR="00912AD3">
        <w:t xml:space="preserve"> scientific</w:t>
      </w:r>
      <w:r w:rsidR="00417686">
        <w:t xml:space="preserve"> risks</w:t>
      </w:r>
      <w:r w:rsidR="0001761D">
        <w:t xml:space="preserve"> </w:t>
      </w:r>
      <w:r w:rsidR="00417686">
        <w:t>of over allocation and where the draft plan was inconsistent with water gove</w:t>
      </w:r>
      <w:r w:rsidR="0001761D">
        <w:t>rnance in a</w:t>
      </w:r>
      <w:r w:rsidR="00613CF4">
        <w:t>n increasingly</w:t>
      </w:r>
      <w:r w:rsidR="0001761D">
        <w:t xml:space="preserve"> uncertain climate.</w:t>
      </w:r>
      <w:r w:rsidR="00635FCD">
        <w:t xml:space="preserve"> (</w:t>
      </w:r>
      <w:hyperlink r:id="rId10" w:history="1">
        <w:r w:rsidR="003E0FD8" w:rsidRPr="000A4F90">
          <w:rPr>
            <w:rStyle w:val="Hyperlink"/>
          </w:rPr>
          <w:t>https://www.abc.net.au/news/2022-11-25/university-academics-warn-of-poor-nt-water planning/101692608?utm_campaign=abc_news_web&amp;utm_content=link&amp;utm_medium=content_shared&amp;utm_source=abc_news_web</w:t>
        </w:r>
      </w:hyperlink>
      <w:r w:rsidR="00635FCD">
        <w:t>)</w:t>
      </w:r>
    </w:p>
    <w:p w14:paraId="2E278650" w14:textId="7FA426BB" w:rsidR="0001761D" w:rsidRDefault="0001761D" w:rsidP="001C0649">
      <w:r>
        <w:t xml:space="preserve">The community needs to have confidence in </w:t>
      </w:r>
      <w:r w:rsidR="007A32D8">
        <w:t xml:space="preserve">transparent </w:t>
      </w:r>
      <w:r>
        <w:t>water management and regul</w:t>
      </w:r>
      <w:r w:rsidR="00DC2389">
        <w:t>ation.</w:t>
      </w:r>
      <w:r w:rsidR="00137210">
        <w:t xml:space="preserve"> </w:t>
      </w:r>
      <w:r w:rsidR="00AF4B98">
        <w:t xml:space="preserve">A </w:t>
      </w:r>
      <w:r w:rsidR="00C15AF9">
        <w:t>robust</w:t>
      </w:r>
      <w:r w:rsidR="00613CF4">
        <w:t xml:space="preserve"> </w:t>
      </w:r>
      <w:r w:rsidR="00AF4B98">
        <w:t>NWI coul</w:t>
      </w:r>
      <w:r w:rsidR="00137210">
        <w:t>d provide the certainty to give us confidence</w:t>
      </w:r>
      <w:r w:rsidR="00AF4B98">
        <w:t xml:space="preserve"> that water resources will be well managed for all into the future</w:t>
      </w:r>
      <w:r w:rsidR="000163F0">
        <w:t>.</w:t>
      </w:r>
      <w:r w:rsidR="000163F0" w:rsidRPr="000163F0">
        <w:t xml:space="preserve"> </w:t>
      </w:r>
      <w:r w:rsidR="000163F0">
        <w:t>Clearly, the word ‘MUST’ must be used, not ‘should’.</w:t>
      </w:r>
    </w:p>
    <w:p w14:paraId="5A5DB415" w14:textId="401A921D" w:rsidR="004C2D30" w:rsidRDefault="004C2D30" w:rsidP="001C0649">
      <w:r>
        <w:lastRenderedPageBreak/>
        <w:t>The guiding principles must be</w:t>
      </w:r>
      <w:r w:rsidR="00AE37E6">
        <w:t xml:space="preserve"> based on</w:t>
      </w:r>
      <w:r>
        <w:t xml:space="preserve"> survival of all species first</w:t>
      </w:r>
      <w:r w:rsidR="00E05054">
        <w:t xml:space="preserve"> and economic development last since none of us will survive without clean, safe water.</w:t>
      </w:r>
    </w:p>
    <w:p w14:paraId="494B3E1F" w14:textId="1B20AED7" w:rsidR="000163F0" w:rsidRDefault="000163F0" w:rsidP="001C0649">
      <w:r>
        <w:t>The NWI must:</w:t>
      </w:r>
      <w:r w:rsidRPr="000163F0">
        <w:t xml:space="preserve"> </w:t>
      </w:r>
    </w:p>
    <w:p w14:paraId="12C32ED9" w14:textId="56868E49" w:rsidR="000163F0" w:rsidRDefault="000163F0" w:rsidP="000163F0">
      <w:pPr>
        <w:pStyle w:val="ListParagraph"/>
        <w:numPr>
          <w:ilvl w:val="0"/>
          <w:numId w:val="2"/>
        </w:numPr>
      </w:pPr>
      <w:r>
        <w:t>E</w:t>
      </w:r>
      <w:r w:rsidR="00613CF4">
        <w:t>n</w:t>
      </w:r>
      <w:r w:rsidR="00AE37E6">
        <w:t>sure that</w:t>
      </w:r>
      <w:r w:rsidR="00613CF4">
        <w:t xml:space="preserve"> states and territories </w:t>
      </w:r>
      <w:r w:rsidR="00AE37E6">
        <w:t xml:space="preserve">are </w:t>
      </w:r>
      <w:r w:rsidR="00613CF4">
        <w:t>accountable for water management</w:t>
      </w:r>
      <w:r w:rsidR="0067388D">
        <w:t xml:space="preserve"> policy </w:t>
      </w:r>
      <w:r w:rsidR="002010BB">
        <w:t xml:space="preserve">and </w:t>
      </w:r>
      <w:r w:rsidR="002F0762">
        <w:t>implementation.</w:t>
      </w:r>
    </w:p>
    <w:p w14:paraId="06331CA2" w14:textId="421AAAAB" w:rsidR="00AF4B98" w:rsidRDefault="000163F0" w:rsidP="000163F0">
      <w:pPr>
        <w:pStyle w:val="ListParagraph"/>
        <w:numPr>
          <w:ilvl w:val="0"/>
          <w:numId w:val="2"/>
        </w:numPr>
      </w:pPr>
      <w:r>
        <w:t>E</w:t>
      </w:r>
      <w:r w:rsidR="00613CF4">
        <w:t>nsure that a precautionary approach to water allocation is employed</w:t>
      </w:r>
      <w:r w:rsidR="002F0762">
        <w:t>.</w:t>
      </w:r>
    </w:p>
    <w:p w14:paraId="26B35A96" w14:textId="14122C4E" w:rsidR="001C4C32" w:rsidRDefault="000163F0" w:rsidP="001C0649">
      <w:pPr>
        <w:pStyle w:val="ListParagraph"/>
        <w:numPr>
          <w:ilvl w:val="0"/>
          <w:numId w:val="2"/>
        </w:numPr>
      </w:pPr>
      <w:r>
        <w:t>Ensure independent, expert, evidence informed decision</w:t>
      </w:r>
      <w:r w:rsidR="000A0D5E">
        <w:t>-</w:t>
      </w:r>
      <w:r>
        <w:t>making</w:t>
      </w:r>
      <w:r w:rsidR="002F0762">
        <w:t>.</w:t>
      </w:r>
    </w:p>
    <w:p w14:paraId="2A6B89FD" w14:textId="5DE39CCF" w:rsidR="007D1680" w:rsidRDefault="007D1680" w:rsidP="007D1680">
      <w:pPr>
        <w:pStyle w:val="ListParagraph"/>
        <w:numPr>
          <w:ilvl w:val="0"/>
          <w:numId w:val="2"/>
        </w:numPr>
      </w:pPr>
      <w:r>
        <w:t>List environmental impacts and water protection as the first priority.</w:t>
      </w:r>
    </w:p>
    <w:p w14:paraId="1D07FBF4" w14:textId="5986FB82" w:rsidR="00AE37E6" w:rsidRDefault="00AE37E6" w:rsidP="007D1680">
      <w:pPr>
        <w:pStyle w:val="ListParagraph"/>
        <w:numPr>
          <w:ilvl w:val="0"/>
          <w:numId w:val="2"/>
        </w:numPr>
      </w:pPr>
      <w:r>
        <w:t>Protect water resources from contamination</w:t>
      </w:r>
      <w:r w:rsidR="007A1C8A">
        <w:t xml:space="preserve"> and require remediation should it occur</w:t>
      </w:r>
      <w:r w:rsidR="002F0762">
        <w:t>.</w:t>
      </w:r>
    </w:p>
    <w:p w14:paraId="5562FDDA" w14:textId="71CA15A1" w:rsidR="0048252A" w:rsidRDefault="001C4C32" w:rsidP="001C0649">
      <w:pPr>
        <w:pStyle w:val="ListParagraph"/>
        <w:numPr>
          <w:ilvl w:val="0"/>
          <w:numId w:val="2"/>
        </w:numPr>
      </w:pPr>
      <w:r>
        <w:t xml:space="preserve">Include </w:t>
      </w:r>
      <w:r w:rsidR="0048252A">
        <w:t>First Nations people’s knowledge and expertise</w:t>
      </w:r>
      <w:r>
        <w:t>,</w:t>
      </w:r>
      <w:r w:rsidR="0048252A">
        <w:t xml:space="preserve"> including </w:t>
      </w:r>
      <w:r w:rsidR="000163F0">
        <w:t>cultural values and objectives.</w:t>
      </w:r>
    </w:p>
    <w:p w14:paraId="2D814135" w14:textId="3926B59A" w:rsidR="001C4C32" w:rsidRDefault="001C4C32" w:rsidP="001C0649">
      <w:pPr>
        <w:pStyle w:val="ListParagraph"/>
        <w:numPr>
          <w:ilvl w:val="0"/>
          <w:numId w:val="2"/>
        </w:numPr>
      </w:pPr>
      <w:r>
        <w:t xml:space="preserve">Ensure adequate and appropriate engagement and consultation </w:t>
      </w:r>
      <w:r w:rsidR="00A37BF4">
        <w:t>regarding water</w:t>
      </w:r>
      <w:r w:rsidR="002F0762">
        <w:t xml:space="preserve">  </w:t>
      </w:r>
      <w:r w:rsidR="00A37BF4">
        <w:t xml:space="preserve">management </w:t>
      </w:r>
      <w:r>
        <w:t>with the community, including First Nation’s peoples</w:t>
      </w:r>
      <w:r w:rsidR="002F0762">
        <w:t>.</w:t>
      </w:r>
      <w:r>
        <w:t xml:space="preserve"> </w:t>
      </w:r>
    </w:p>
    <w:p w14:paraId="5F5B4FCC" w14:textId="6419E205" w:rsidR="001C4C32" w:rsidRDefault="00D33425" w:rsidP="001C0649">
      <w:pPr>
        <w:pStyle w:val="ListParagraph"/>
        <w:numPr>
          <w:ilvl w:val="0"/>
          <w:numId w:val="2"/>
        </w:numPr>
      </w:pPr>
      <w:r>
        <w:t xml:space="preserve">In the NT, ensure secure and safe drinking water is available for all in remote </w:t>
      </w:r>
      <w:r w:rsidR="002F0762">
        <w:t>communities.</w:t>
      </w:r>
    </w:p>
    <w:p w14:paraId="0C2F52A6" w14:textId="4C363ACE" w:rsidR="00D33425" w:rsidRDefault="0084746A" w:rsidP="001C0649">
      <w:pPr>
        <w:pStyle w:val="ListParagraph"/>
        <w:numPr>
          <w:ilvl w:val="0"/>
          <w:numId w:val="2"/>
        </w:numPr>
      </w:pPr>
      <w:r>
        <w:t xml:space="preserve">Ensure that a “whole of system” analysis is required, </w:t>
      </w:r>
      <w:r w:rsidR="00830735">
        <w:t>so that</w:t>
      </w:r>
      <w:r>
        <w:t xml:space="preserve"> water allocation is</w:t>
      </w:r>
      <w:r w:rsidR="00CC015D">
        <w:t xml:space="preserve"> </w:t>
      </w:r>
      <w:r>
        <w:t xml:space="preserve">considered </w:t>
      </w:r>
      <w:r w:rsidR="00CC015D">
        <w:t>in conjunction with already allocated water</w:t>
      </w:r>
      <w:r w:rsidR="002F0762">
        <w:t>.</w:t>
      </w:r>
    </w:p>
    <w:p w14:paraId="71F9AF52" w14:textId="4B4008EB" w:rsidR="00CA52A3" w:rsidRDefault="004C2D30" w:rsidP="00334FB5">
      <w:pPr>
        <w:pStyle w:val="ListParagraph"/>
        <w:numPr>
          <w:ilvl w:val="0"/>
          <w:numId w:val="2"/>
        </w:numPr>
      </w:pPr>
      <w:r>
        <w:t xml:space="preserve">Encourage development that is NOT water </w:t>
      </w:r>
      <w:r w:rsidR="00CA52A3">
        <w:t>intensive</w:t>
      </w:r>
      <w:r w:rsidR="002F0762">
        <w:t>.</w:t>
      </w:r>
      <w:r w:rsidR="00CA52A3">
        <w:t xml:space="preserve"> </w:t>
      </w:r>
    </w:p>
    <w:p w14:paraId="3A96FCA4" w14:textId="72A30C64" w:rsidR="00FD4C01" w:rsidRDefault="00CA52A3" w:rsidP="00334FB5">
      <w:pPr>
        <w:pStyle w:val="ListParagraph"/>
        <w:numPr>
          <w:ilvl w:val="0"/>
          <w:numId w:val="2"/>
        </w:numPr>
      </w:pPr>
      <w:r>
        <w:t>Prevent</w:t>
      </w:r>
      <w:r w:rsidR="00FD4C01">
        <w:t xml:space="preserve"> draining or ‘mining’ of aquifers</w:t>
      </w:r>
      <w:r w:rsidR="002F0762">
        <w:t>.</w:t>
      </w:r>
    </w:p>
    <w:p w14:paraId="0F353A8F" w14:textId="741F3D2E" w:rsidR="00FD4C01" w:rsidRDefault="00712A68" w:rsidP="001C0649">
      <w:pPr>
        <w:pStyle w:val="ListParagraph"/>
        <w:numPr>
          <w:ilvl w:val="0"/>
          <w:numId w:val="2"/>
        </w:numPr>
      </w:pPr>
      <w:r>
        <w:t>Ban the practice of flood plain or surface water harvesting</w:t>
      </w:r>
      <w:r w:rsidR="00EA7A62">
        <w:t xml:space="preserve"> in the NT</w:t>
      </w:r>
      <w:r w:rsidR="002F0762">
        <w:t>.</w:t>
      </w:r>
    </w:p>
    <w:p w14:paraId="3491A724" w14:textId="6D7AFA6E" w:rsidR="00A45FE2" w:rsidRDefault="00A45FE2" w:rsidP="001C0649">
      <w:pPr>
        <w:pStyle w:val="ListParagraph"/>
        <w:numPr>
          <w:ilvl w:val="0"/>
          <w:numId w:val="2"/>
        </w:numPr>
      </w:pPr>
      <w:r>
        <w:t>Prevent the commoditisation of water</w:t>
      </w:r>
      <w:r w:rsidR="002F0762">
        <w:t>.</w:t>
      </w:r>
    </w:p>
    <w:p w14:paraId="51257004" w14:textId="21E63D62" w:rsidR="008658F1" w:rsidRDefault="008658F1" w:rsidP="001C0649">
      <w:pPr>
        <w:pStyle w:val="ListParagraph"/>
        <w:numPr>
          <w:ilvl w:val="0"/>
          <w:numId w:val="2"/>
        </w:numPr>
      </w:pPr>
      <w:r>
        <w:t>Prevent trading of water licenses</w:t>
      </w:r>
      <w:r w:rsidR="002F0762">
        <w:t>.</w:t>
      </w:r>
    </w:p>
    <w:p w14:paraId="6F7E501B" w14:textId="241A1C1C" w:rsidR="00CF1587" w:rsidRDefault="00CF1587" w:rsidP="001C0649">
      <w:pPr>
        <w:pStyle w:val="ListParagraph"/>
        <w:numPr>
          <w:ilvl w:val="0"/>
          <w:numId w:val="2"/>
        </w:numPr>
      </w:pPr>
      <w:r>
        <w:t xml:space="preserve">Build policy initiatives to encourage efficient use of water </w:t>
      </w:r>
    </w:p>
    <w:p w14:paraId="3152C149" w14:textId="7D01C070" w:rsidR="00D74D92" w:rsidRDefault="00D74D92" w:rsidP="00D74D92">
      <w:r>
        <w:t xml:space="preserve">All Australians have seen the desecration of the Murray-Darling basin due to overallocation of water and poor governance over many years. The NT </w:t>
      </w:r>
      <w:r w:rsidR="00EB529E">
        <w:t>rivers are among</w:t>
      </w:r>
      <w:r>
        <w:t xml:space="preserve"> the </w:t>
      </w:r>
      <w:r w:rsidR="00EB529E">
        <w:t xml:space="preserve">last </w:t>
      </w:r>
      <w:r>
        <w:t>remaining</w:t>
      </w:r>
      <w:r w:rsidR="00EB529E">
        <w:t xml:space="preserve"> free-flowing</w:t>
      </w:r>
      <w:r>
        <w:t xml:space="preserve"> river systems in the world</w:t>
      </w:r>
      <w:r w:rsidR="00EB529E">
        <w:t>. These rivers s</w:t>
      </w:r>
      <w:r>
        <w:t xml:space="preserve">upport </w:t>
      </w:r>
      <w:r w:rsidR="00EB529E">
        <w:t xml:space="preserve">tourism, fishing, </w:t>
      </w:r>
      <w:r w:rsidR="00B06D87">
        <w:t xml:space="preserve">remote </w:t>
      </w:r>
      <w:r w:rsidR="00EB529E">
        <w:t>Aboriginal communities and urban centres. They contain incredible natural wonders including water</w:t>
      </w:r>
      <w:r w:rsidR="00B06D87">
        <w:t>f</w:t>
      </w:r>
      <w:r w:rsidR="00EB529E">
        <w:t xml:space="preserve">alls, </w:t>
      </w:r>
      <w:r w:rsidR="00EB4098">
        <w:t>freshwater</w:t>
      </w:r>
      <w:r w:rsidR="00EB529E">
        <w:t xml:space="preserve"> springs, desert ghost gums and wildlife, hot springs and water carved gorges such as Nitmiluk</w:t>
      </w:r>
      <w:r w:rsidR="00D96CDB">
        <w:t xml:space="preserve"> which have been with us for millennia. The NWI MUST protect these urgently for </w:t>
      </w:r>
      <w:r w:rsidR="005D121E">
        <w:t xml:space="preserve">us, for </w:t>
      </w:r>
      <w:r w:rsidR="00D96CDB">
        <w:t>our children and their children into the future.</w:t>
      </w:r>
    </w:p>
    <w:p w14:paraId="1D2E37EB" w14:textId="72B1FAE6" w:rsidR="001601DA" w:rsidRDefault="001601DA" w:rsidP="00D74D92">
      <w:r>
        <w:t xml:space="preserve">Thank </w:t>
      </w:r>
      <w:r w:rsidR="002F0762">
        <w:t>you.</w:t>
      </w:r>
    </w:p>
    <w:p w14:paraId="6B142478" w14:textId="77777777" w:rsidR="004C2D30" w:rsidRDefault="004C2D30" w:rsidP="004C2D30"/>
    <w:p w14:paraId="0B23EE34" w14:textId="77777777" w:rsidR="0048252A" w:rsidRDefault="0048252A" w:rsidP="001C0649"/>
    <w:p w14:paraId="679B048E" w14:textId="77777777" w:rsidR="00BF5CCD" w:rsidRPr="004540E1" w:rsidRDefault="00BF5CCD" w:rsidP="001C0649"/>
    <w:sectPr w:rsidR="00BF5CCD" w:rsidRPr="004540E1" w:rsidSect="003441A6">
      <w:pgSz w:w="11906" w:h="16838" w:code="9"/>
      <w:pgMar w:top="1440" w:right="1797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E472D"/>
    <w:multiLevelType w:val="multilevel"/>
    <w:tmpl w:val="88E0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6A6A64"/>
    <w:multiLevelType w:val="hybridMultilevel"/>
    <w:tmpl w:val="B84CD8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446966">
    <w:abstractNumId w:val="0"/>
  </w:num>
  <w:num w:numId="2" w16cid:durableId="1830946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E1"/>
    <w:rsid w:val="000163F0"/>
    <w:rsid w:val="0001761D"/>
    <w:rsid w:val="00037CFF"/>
    <w:rsid w:val="00055F8D"/>
    <w:rsid w:val="000658BB"/>
    <w:rsid w:val="00093B0F"/>
    <w:rsid w:val="000A0D5E"/>
    <w:rsid w:val="000A42F1"/>
    <w:rsid w:val="000B1201"/>
    <w:rsid w:val="000C7233"/>
    <w:rsid w:val="000D5E36"/>
    <w:rsid w:val="000D7B34"/>
    <w:rsid w:val="000F4AF9"/>
    <w:rsid w:val="00123D6D"/>
    <w:rsid w:val="00137210"/>
    <w:rsid w:val="001601DA"/>
    <w:rsid w:val="001B3A47"/>
    <w:rsid w:val="001C0649"/>
    <w:rsid w:val="001C4C32"/>
    <w:rsid w:val="002010BB"/>
    <w:rsid w:val="00213D01"/>
    <w:rsid w:val="002A369A"/>
    <w:rsid w:val="002B002A"/>
    <w:rsid w:val="002F0762"/>
    <w:rsid w:val="003075E7"/>
    <w:rsid w:val="003166A5"/>
    <w:rsid w:val="003441A6"/>
    <w:rsid w:val="003808A2"/>
    <w:rsid w:val="00390E4A"/>
    <w:rsid w:val="003A2B5D"/>
    <w:rsid w:val="003E0FD8"/>
    <w:rsid w:val="00417686"/>
    <w:rsid w:val="004540E1"/>
    <w:rsid w:val="0048252A"/>
    <w:rsid w:val="00494ADB"/>
    <w:rsid w:val="004C2D30"/>
    <w:rsid w:val="004C4100"/>
    <w:rsid w:val="004D2D15"/>
    <w:rsid w:val="00562153"/>
    <w:rsid w:val="0057478B"/>
    <w:rsid w:val="005D121E"/>
    <w:rsid w:val="005E0743"/>
    <w:rsid w:val="005E3089"/>
    <w:rsid w:val="00602829"/>
    <w:rsid w:val="00613CF4"/>
    <w:rsid w:val="00635FCD"/>
    <w:rsid w:val="00652AD4"/>
    <w:rsid w:val="0067388D"/>
    <w:rsid w:val="00675E95"/>
    <w:rsid w:val="00682221"/>
    <w:rsid w:val="00712A68"/>
    <w:rsid w:val="00736279"/>
    <w:rsid w:val="007A1C8A"/>
    <w:rsid w:val="007A32D8"/>
    <w:rsid w:val="007C47BD"/>
    <w:rsid w:val="007D1680"/>
    <w:rsid w:val="008037F3"/>
    <w:rsid w:val="008219FA"/>
    <w:rsid w:val="00830735"/>
    <w:rsid w:val="0084746A"/>
    <w:rsid w:val="00862998"/>
    <w:rsid w:val="008658F1"/>
    <w:rsid w:val="00912AD3"/>
    <w:rsid w:val="009D3BCE"/>
    <w:rsid w:val="009D70FE"/>
    <w:rsid w:val="00A37BF4"/>
    <w:rsid w:val="00A45FE2"/>
    <w:rsid w:val="00A463EE"/>
    <w:rsid w:val="00A469CA"/>
    <w:rsid w:val="00AB668A"/>
    <w:rsid w:val="00AB7153"/>
    <w:rsid w:val="00AE37E6"/>
    <w:rsid w:val="00AF4B98"/>
    <w:rsid w:val="00AF7C09"/>
    <w:rsid w:val="00B06D87"/>
    <w:rsid w:val="00B23647"/>
    <w:rsid w:val="00BF5CCD"/>
    <w:rsid w:val="00BF6F61"/>
    <w:rsid w:val="00C15AF9"/>
    <w:rsid w:val="00C23EBD"/>
    <w:rsid w:val="00C31E6E"/>
    <w:rsid w:val="00C95B9C"/>
    <w:rsid w:val="00CA52A3"/>
    <w:rsid w:val="00CC015D"/>
    <w:rsid w:val="00CE72E3"/>
    <w:rsid w:val="00CF1587"/>
    <w:rsid w:val="00CF60D9"/>
    <w:rsid w:val="00D15586"/>
    <w:rsid w:val="00D25D1C"/>
    <w:rsid w:val="00D33425"/>
    <w:rsid w:val="00D33E0F"/>
    <w:rsid w:val="00D54175"/>
    <w:rsid w:val="00D73D22"/>
    <w:rsid w:val="00D73DF8"/>
    <w:rsid w:val="00D74D92"/>
    <w:rsid w:val="00D96CDB"/>
    <w:rsid w:val="00DC2389"/>
    <w:rsid w:val="00E05054"/>
    <w:rsid w:val="00E52EB8"/>
    <w:rsid w:val="00E6179C"/>
    <w:rsid w:val="00EA7A62"/>
    <w:rsid w:val="00EB4098"/>
    <w:rsid w:val="00EB529E"/>
    <w:rsid w:val="00F00EED"/>
    <w:rsid w:val="00F03731"/>
    <w:rsid w:val="00F30288"/>
    <w:rsid w:val="00F30537"/>
    <w:rsid w:val="00F312DD"/>
    <w:rsid w:val="00FD4C01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E4D9E"/>
  <w15:chartTrackingRefBased/>
  <w15:docId w15:val="{DA49F27B-C372-4190-B5F6-90628E34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0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0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0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0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0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0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0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0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0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0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0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0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0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0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0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0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0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4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40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0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40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0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0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5C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CCD"/>
    <w:rPr>
      <w:color w:val="605E5C"/>
      <w:shd w:val="clear" w:color="auto" w:fill="E1DFDD"/>
    </w:rPr>
  </w:style>
  <w:style w:type="paragraph" w:customStyle="1" w:styleId="paragraphparagraphqitb">
    <w:name w:val="paragraph_paragraph___qitb"/>
    <w:basedOn w:val="Normal"/>
    <w:rsid w:val="00F31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E0FD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abc.net.au/news/2022-11-25/university-academics-warn-of-poor-nt-water%20planning/101692608?utm_campaign=abc_news_web&amp;utm_content=link&amp;utm_medium=content_shared&amp;utm_source=abc_news_web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abc.net.au/news/2024-01-31/nt-supreme-court-dismisses-singleton-station-water-licence-case/103408138?utm_campaign=abc_news_web&amp;utm_content=link&amp;utm_medium=content_shared&amp;utm_source=abc_news_we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17719828e14e38e5a5fbdb8ca034654c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8cab9f33a6f52f34e4e128b0f7867ff7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0485-17BA-41B4-8641-C71DF24D5B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8DDEDB4-21E8-4A75-97F0-DDED13BA9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0A9D39-A6BB-44BF-B9B3-C0C0A6CBCF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3BB3FA-16A7-4343-9666-1B55D8F7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826</Words>
  <Characters>4743</Characters>
  <Application>Microsoft Office Word</Application>
  <DocSecurity>0</DocSecurity>
  <Lines>96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19 - Heather Ferguson and Carl Stephens - National Water Reform 2024 - Public inquiry</vt:lpstr>
    </vt:vector>
  </TitlesOfParts>
  <Company>Heather Ferguson and Carl Stephens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19 - Heather Ferguson and Carl Stephens - National Water Reform 2024 - Public inquiry</dc:title>
  <dc:subject/>
  <dc:creator>Heather Ferguson and Carl Stephens</dc:creator>
  <cp:keywords/>
  <dc:description/>
  <cp:lastModifiedBy>Bianca Dobson</cp:lastModifiedBy>
  <cp:revision>105</cp:revision>
  <dcterms:created xsi:type="dcterms:W3CDTF">2024-01-30T07:22:00Z</dcterms:created>
  <dcterms:modified xsi:type="dcterms:W3CDTF">2024-02-12T04:43:00Z</dcterms:modified>
</cp:coreProperties>
</file>