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CABB" w14:textId="77777777" w:rsidR="00032A9A" w:rsidRPr="00634F31" w:rsidRDefault="00542850" w:rsidP="001B5836">
      <w:pPr>
        <w:pStyle w:val="Heading"/>
        <w:numPr>
          <w:ilvl w:val="0"/>
          <w:numId w:val="0"/>
        </w:numPr>
        <w:spacing w:before="120" w:after="120"/>
        <w:ind w:left="357" w:hanging="357"/>
        <w:jc w:val="center"/>
        <w:rPr>
          <w:rFonts w:ascii="Verdana" w:hAnsi="Verdana"/>
        </w:rPr>
      </w:pPr>
      <w:r w:rsidRPr="00634F31">
        <w:rPr>
          <w:rFonts w:ascii="Verdana" w:hAnsi="Verdana"/>
        </w:rPr>
        <w:t xml:space="preserve">SUBMISSION in response to the </w:t>
      </w:r>
    </w:p>
    <w:p w14:paraId="3DFC47CB" w14:textId="77777777" w:rsidR="00032A9A" w:rsidRDefault="00E9087C" w:rsidP="001B5836">
      <w:pPr>
        <w:pStyle w:val="Heading"/>
        <w:numPr>
          <w:ilvl w:val="0"/>
          <w:numId w:val="0"/>
        </w:numPr>
        <w:spacing w:before="120" w:after="120"/>
        <w:ind w:left="357" w:hanging="357"/>
        <w:jc w:val="center"/>
        <w:rPr>
          <w:rFonts w:ascii="Verdana" w:hAnsi="Verdana"/>
          <w:sz w:val="28"/>
          <w:szCs w:val="28"/>
        </w:rPr>
      </w:pPr>
      <w:r w:rsidRPr="00D21A4F">
        <w:rPr>
          <w:rFonts w:ascii="Verdana" w:hAnsi="Verdana"/>
          <w:sz w:val="28"/>
          <w:szCs w:val="28"/>
        </w:rPr>
        <w:t>Productivity Commi</w:t>
      </w:r>
      <w:r w:rsidR="00A32EFA" w:rsidRPr="00D21A4F">
        <w:rPr>
          <w:rFonts w:ascii="Verdana" w:hAnsi="Verdana"/>
          <w:sz w:val="28"/>
          <w:szCs w:val="28"/>
        </w:rPr>
        <w:t xml:space="preserve">ssion Philanthropy Inquiry </w:t>
      </w:r>
    </w:p>
    <w:p w14:paraId="01FBAE7D" w14:textId="1D14B1F8" w:rsidR="00542850" w:rsidRPr="00634F31" w:rsidRDefault="00A32EFA" w:rsidP="001B5836">
      <w:pPr>
        <w:pStyle w:val="Heading"/>
        <w:numPr>
          <w:ilvl w:val="0"/>
          <w:numId w:val="0"/>
        </w:numPr>
        <w:spacing w:before="120" w:after="120"/>
        <w:ind w:left="357" w:hanging="357"/>
        <w:jc w:val="center"/>
        <w:rPr>
          <w:rFonts w:ascii="Verdana" w:hAnsi="Verdana"/>
          <w:szCs w:val="24"/>
        </w:rPr>
      </w:pPr>
      <w:r w:rsidRPr="00634F31">
        <w:rPr>
          <w:rFonts w:ascii="Verdana" w:hAnsi="Verdana"/>
          <w:szCs w:val="24"/>
        </w:rPr>
        <w:t>Draft Report</w:t>
      </w:r>
    </w:p>
    <w:p w14:paraId="2F619E72" w14:textId="77777777" w:rsidR="00542850" w:rsidRPr="00F854F3" w:rsidRDefault="00542850" w:rsidP="00542850">
      <w:pPr>
        <w:jc w:val="center"/>
        <w:rPr>
          <w:rFonts w:ascii="Verdana" w:hAnsi="Verdana"/>
        </w:rPr>
      </w:pPr>
      <w:r w:rsidRPr="00F854F3">
        <w:rPr>
          <w:rFonts w:ascii="Verdana" w:hAnsi="Verdana"/>
        </w:rPr>
        <w:t>from</w:t>
      </w:r>
    </w:p>
    <w:p w14:paraId="4F083543" w14:textId="77777777" w:rsidR="00542850" w:rsidRPr="003C554A" w:rsidRDefault="00542850" w:rsidP="00542850">
      <w:pPr>
        <w:jc w:val="center"/>
        <w:rPr>
          <w:rFonts w:ascii="Verdana" w:hAnsi="Verdana"/>
          <w:sz w:val="24"/>
          <w:szCs w:val="24"/>
        </w:rPr>
      </w:pPr>
      <w:r w:rsidRPr="003C554A">
        <w:rPr>
          <w:rFonts w:ascii="Verdana" w:hAnsi="Verdana"/>
          <w:sz w:val="24"/>
          <w:szCs w:val="24"/>
        </w:rPr>
        <w:t>Barbara Preston</w:t>
      </w:r>
    </w:p>
    <w:p w14:paraId="08F01E84" w14:textId="69396BD1" w:rsidR="00542850" w:rsidRPr="00F854F3" w:rsidRDefault="003B1FAA" w:rsidP="00BD6535">
      <w:pPr>
        <w:pBdr>
          <w:bottom w:val="single" w:sz="4" w:space="1" w:color="auto"/>
        </w:pBdr>
        <w:jc w:val="center"/>
        <w:rPr>
          <w:rFonts w:ascii="Verdana" w:hAnsi="Verdana"/>
          <w:sz w:val="18"/>
          <w:szCs w:val="18"/>
        </w:rPr>
      </w:pPr>
      <w:r>
        <w:rPr>
          <w:rFonts w:ascii="Verdana" w:hAnsi="Verdana"/>
          <w:sz w:val="18"/>
          <w:szCs w:val="18"/>
        </w:rPr>
        <w:t>February 2024</w:t>
      </w:r>
    </w:p>
    <w:p w14:paraId="450466B7" w14:textId="47C53405" w:rsidR="007A2376" w:rsidRDefault="007A2376">
      <w:r>
        <w:t xml:space="preserve">I welcome this opportunity to make a submission in response to </w:t>
      </w:r>
      <w:r w:rsidR="009C1BE7">
        <w:t xml:space="preserve">the </w:t>
      </w:r>
      <w:r w:rsidRPr="007A2376">
        <w:t>Productivity Commission</w:t>
      </w:r>
      <w:r w:rsidR="009C1BE7">
        <w:t>’s</w:t>
      </w:r>
      <w:r w:rsidRPr="007A2376">
        <w:t xml:space="preserve"> Philanthropy Inquiry Draft Report</w:t>
      </w:r>
      <w:r w:rsidR="005A4668">
        <w:t xml:space="preserve"> </w:t>
      </w:r>
      <w:r w:rsidR="005A4668">
        <w:fldChar w:fldCharType="begin"/>
      </w:r>
      <w:r w:rsidR="005A4668">
        <w:instrText xml:space="preserve"> ADDIN EN.CITE &lt;EndNote&gt;&lt;Cite&gt;&lt;Author&gt;Productivity Commission&lt;/Author&gt;&lt;Year&gt;2023&lt;/Year&gt;&lt;RecNum&gt;146&lt;/RecNum&gt;&lt;DisplayText&gt;(Productivity Commission, 2023)&lt;/DisplayText&gt;&lt;record&gt;&lt;rec-number&gt;146&lt;/rec-number&gt;&lt;foreign-keys&gt;&lt;key app="EN" db-id="fapfz2x0i5trfoeepazpwvvo0dttxxawxdfw" timestamp="1707472376"&gt;146&lt;/key&gt;&lt;/foreign-keys&gt;&lt;ref-type name="Web Page"&gt;12&lt;/ref-type&gt;&lt;contributors&gt;&lt;authors&gt;&lt;author&gt;Productivity Commission,&lt;/author&gt;&lt;/authors&gt;&lt;/contributors&gt;&lt;titles&gt;&lt;title&gt;Philanthropy Inquiry Draft Report&lt;/title&gt;&lt;/titles&gt;&lt;dates&gt;&lt;year&gt;2023&lt;/year&gt;&lt;/dates&gt;&lt;pub-location&gt;Canberra&lt;/pub-location&gt;&lt;publisher&gt;Productivity Commission&lt;/publisher&gt;&lt;urls&gt;&lt;related-urls&gt;&lt;url&gt;https://www.pc.gov.au/inquiries/current/philanthropy/draft&lt;/url&gt;&lt;/related-urls&gt;&lt;/urls&gt;&lt;/record&gt;&lt;/Cite&gt;&lt;/EndNote&gt;</w:instrText>
      </w:r>
      <w:r w:rsidR="005A4668">
        <w:fldChar w:fldCharType="separate"/>
      </w:r>
      <w:r w:rsidR="005A4668">
        <w:rPr>
          <w:noProof/>
        </w:rPr>
        <w:t>(Productivity Commission, 2023)</w:t>
      </w:r>
      <w:r w:rsidR="005A4668">
        <w:fldChar w:fldCharType="end"/>
      </w:r>
      <w:r w:rsidR="009C1BE7">
        <w:t xml:space="preserve">. </w:t>
      </w:r>
      <w:r w:rsidR="001B5836">
        <w:t xml:space="preserve"> </w:t>
      </w:r>
      <w:r w:rsidR="005E1085">
        <w:t xml:space="preserve">I have </w:t>
      </w:r>
      <w:r w:rsidR="001B5836">
        <w:t>more than</w:t>
      </w:r>
      <w:r w:rsidR="005E1085">
        <w:t xml:space="preserve"> 45 years of experience in research and policy analysis </w:t>
      </w:r>
      <w:r w:rsidR="003C71C2">
        <w:t xml:space="preserve">in education, health and </w:t>
      </w:r>
      <w:r w:rsidR="00611233">
        <w:t xml:space="preserve">other social fields for </w:t>
      </w:r>
      <w:r w:rsidR="001F4985">
        <w:t xml:space="preserve">professional associations, </w:t>
      </w:r>
      <w:r w:rsidR="009B182D">
        <w:t xml:space="preserve">other </w:t>
      </w:r>
      <w:proofErr w:type="gramStart"/>
      <w:r w:rsidR="009B182D">
        <w:t>organisations</w:t>
      </w:r>
      <w:proofErr w:type="gramEnd"/>
      <w:r w:rsidR="00853A53">
        <w:t xml:space="preserve"> and government agencies</w:t>
      </w:r>
      <w:r w:rsidR="009B182D">
        <w:t>.</w:t>
      </w:r>
    </w:p>
    <w:p w14:paraId="402EBFC3" w14:textId="103E0E1D" w:rsidR="00305CA6" w:rsidRDefault="00950D55" w:rsidP="00953F82">
      <w:pPr>
        <w:pStyle w:val="Heading"/>
        <w:numPr>
          <w:ilvl w:val="0"/>
          <w:numId w:val="0"/>
        </w:numPr>
        <w:ind w:left="357" w:hanging="357"/>
      </w:pPr>
      <w:r>
        <w:t>Submission assumptions</w:t>
      </w:r>
      <w:r w:rsidR="00841371">
        <w:t xml:space="preserve"> and focus</w:t>
      </w:r>
    </w:p>
    <w:p w14:paraId="2FE4F7C6" w14:textId="7EEC883B" w:rsidR="00300FA3" w:rsidRDefault="00140610">
      <w:r>
        <w:t>I</w:t>
      </w:r>
      <w:r w:rsidR="00DF335D">
        <w:t>n this submission</w:t>
      </w:r>
      <w:r w:rsidR="0016061F">
        <w:t>,</w:t>
      </w:r>
      <w:r w:rsidR="004452A4">
        <w:t xml:space="preserve"> I take account </w:t>
      </w:r>
      <w:r w:rsidR="00BD6535">
        <w:t xml:space="preserve">of </w:t>
      </w:r>
      <w:r w:rsidR="004452A4">
        <w:t xml:space="preserve">and agree with the </w:t>
      </w:r>
      <w:r w:rsidR="00A44D87">
        <w:t xml:space="preserve">Treasurer’s </w:t>
      </w:r>
      <w:r w:rsidR="00300FA3">
        <w:t xml:space="preserve">first sentence in his Background to the </w:t>
      </w:r>
      <w:r w:rsidR="0075113F">
        <w:t>t</w:t>
      </w:r>
      <w:r w:rsidR="00300FA3">
        <w:t xml:space="preserve">erms of </w:t>
      </w:r>
      <w:r w:rsidR="0075113F">
        <w:t>r</w:t>
      </w:r>
      <w:r w:rsidR="00300FA3">
        <w:t>eference:</w:t>
      </w:r>
    </w:p>
    <w:p w14:paraId="6F4864DE" w14:textId="488A4183" w:rsidR="00BD2ED3" w:rsidRDefault="00C80D73" w:rsidP="00300FA3">
      <w:pPr>
        <w:ind w:left="720"/>
      </w:pPr>
      <w:r w:rsidRPr="00C80D73">
        <w:t>Philanthropic giving underpins the crucial efforts of charities, not-for-profit organisations and community groups to support vulnerable Australians and build social capital and connectedness in Australian communities.</w:t>
      </w:r>
      <w:r w:rsidR="00ED1781">
        <w:t xml:space="preserve"> </w:t>
      </w:r>
      <w:r w:rsidR="00307782">
        <w:fldChar w:fldCharType="begin"/>
      </w:r>
      <w:r w:rsidR="00EF54C1">
        <w:instrText xml:space="preserve"> ADDIN EN.CITE &lt;EndNote&gt;&lt;Cite&gt;&lt;Author&gt;Productivity Commission&lt;/Author&gt;&lt;Year&gt;2023&lt;/Year&gt;&lt;RecNum&gt;146&lt;/RecNum&gt;&lt;Pages&gt;iv&lt;/Pages&gt;&lt;DisplayText&gt;(Productivity Commission, 2023, p. iv)&lt;/DisplayText&gt;&lt;record&gt;&lt;rec-number&gt;146&lt;/rec-number&gt;&lt;foreign-keys&gt;&lt;key app="EN" db-id="fapfz2x0i5trfoeepazpwvvo0dttxxawxdfw" timestamp="1707472376"&gt;146&lt;/key&gt;&lt;/foreign-keys&gt;&lt;ref-type name="Web Page"&gt;12&lt;/ref-type&gt;&lt;contributors&gt;&lt;authors&gt;&lt;author&gt;Productivity Commission,&lt;/author&gt;&lt;/authors&gt;&lt;/contributors&gt;&lt;titles&gt;&lt;title&gt;Philanthropy Inquiry Draft Report&lt;/title&gt;&lt;/titles&gt;&lt;dates&gt;&lt;year&gt;2023&lt;/year&gt;&lt;/dates&gt;&lt;pub-location&gt;Canberra&lt;/pub-location&gt;&lt;publisher&gt;Productivity Commission&lt;/publisher&gt;&lt;urls&gt;&lt;related-urls&gt;&lt;url&gt;https://www.pc.gov.au/inquiries/current/philanthropy/draft&lt;/url&gt;&lt;/related-urls&gt;&lt;/urls&gt;&lt;/record&gt;&lt;/Cite&gt;&lt;/EndNote&gt;</w:instrText>
      </w:r>
      <w:r w:rsidR="00307782">
        <w:fldChar w:fldCharType="separate"/>
      </w:r>
      <w:r w:rsidR="00EF54C1">
        <w:rPr>
          <w:noProof/>
        </w:rPr>
        <w:t>(Productivity Commission, 2023, p. iv)</w:t>
      </w:r>
      <w:r w:rsidR="00307782">
        <w:fldChar w:fldCharType="end"/>
      </w:r>
    </w:p>
    <w:p w14:paraId="6F24BA61" w14:textId="52C37E91" w:rsidR="00F61A54" w:rsidRDefault="0029765C">
      <w:r>
        <w:t xml:space="preserve">I make two </w:t>
      </w:r>
      <w:r w:rsidR="00881863">
        <w:t xml:space="preserve">assumptions </w:t>
      </w:r>
      <w:r w:rsidR="003C6E0C">
        <w:t>in</w:t>
      </w:r>
      <w:r w:rsidR="00881863">
        <w:t xml:space="preserve"> </w:t>
      </w:r>
      <w:r w:rsidR="00EC456D">
        <w:t>my analysis and recommendations</w:t>
      </w:r>
      <w:r w:rsidR="005902D6">
        <w:t>, which are expanded on further below</w:t>
      </w:r>
      <w:r w:rsidR="00EC456D">
        <w:t>:</w:t>
      </w:r>
    </w:p>
    <w:p w14:paraId="77CCF53A" w14:textId="143EC7D0" w:rsidR="009372E8" w:rsidRDefault="009372E8" w:rsidP="00EC456D">
      <w:pPr>
        <w:pStyle w:val="ListParagraph"/>
        <w:numPr>
          <w:ilvl w:val="0"/>
          <w:numId w:val="27"/>
        </w:numPr>
      </w:pPr>
      <w:proofErr w:type="gramStart"/>
      <w:r>
        <w:t>That taxation</w:t>
      </w:r>
      <w:proofErr w:type="gramEnd"/>
      <w:r>
        <w:t xml:space="preserve"> expenditures should</w:t>
      </w:r>
      <w:r w:rsidR="005E0E8D">
        <w:t xml:space="preserve"> be treated </w:t>
      </w:r>
      <w:r w:rsidR="00887B05">
        <w:t xml:space="preserve">by this inquiry </w:t>
      </w:r>
      <w:r w:rsidR="005E0E8D">
        <w:t>similarly to government direct expenditures</w:t>
      </w:r>
      <w:r w:rsidR="00417044">
        <w:t xml:space="preserve"> in their impact and opportunity costs. </w:t>
      </w:r>
      <w:r w:rsidR="004319BF">
        <w:t xml:space="preserve">Donations for </w:t>
      </w:r>
      <w:proofErr w:type="spellStart"/>
      <w:r w:rsidR="00CB0EC7">
        <w:t>recognised</w:t>
      </w:r>
      <w:proofErr w:type="spellEnd"/>
      <w:r w:rsidR="00CB0EC7">
        <w:t xml:space="preserve"> </w:t>
      </w:r>
      <w:r w:rsidR="004319BF">
        <w:t>charitable purposes</w:t>
      </w:r>
      <w:r w:rsidR="00CB0EC7">
        <w:t xml:space="preserve"> are </w:t>
      </w:r>
      <w:r w:rsidR="00F87895">
        <w:t xml:space="preserve">fundamentally </w:t>
      </w:r>
      <w:r w:rsidR="00CB0EC7">
        <w:t>different from work-related expenses</w:t>
      </w:r>
      <w:r w:rsidR="004631AD">
        <w:t>, and the logic of tax deductions for work-related expenses</w:t>
      </w:r>
      <w:r w:rsidR="00B524ED">
        <w:t xml:space="preserve"> does not apply to charitable giving. </w:t>
      </w:r>
    </w:p>
    <w:p w14:paraId="4CA8753D" w14:textId="5C8F12B1" w:rsidR="00EC456D" w:rsidRDefault="00EC456D" w:rsidP="00EC456D">
      <w:pPr>
        <w:pStyle w:val="ListParagraph"/>
        <w:numPr>
          <w:ilvl w:val="0"/>
          <w:numId w:val="27"/>
        </w:numPr>
      </w:pPr>
      <w:r>
        <w:t xml:space="preserve">That externalities </w:t>
      </w:r>
      <w:r w:rsidR="00456ADD">
        <w:t xml:space="preserve">and unintended consequences </w:t>
      </w:r>
      <w:r>
        <w:t>matter</w:t>
      </w:r>
      <w:r w:rsidR="009372E8">
        <w:t>. They</w:t>
      </w:r>
      <w:r w:rsidR="00456ADD">
        <w:t xml:space="preserve"> should be anticipated and </w:t>
      </w:r>
      <w:proofErr w:type="gramStart"/>
      <w:r w:rsidR="00456ADD">
        <w:t>taken into account</w:t>
      </w:r>
      <w:proofErr w:type="gramEnd"/>
      <w:r w:rsidR="00456ADD">
        <w:t xml:space="preserve"> </w:t>
      </w:r>
      <w:r w:rsidR="00591D5A">
        <w:t xml:space="preserve">in the recommendations </w:t>
      </w:r>
      <w:r w:rsidR="00143EC5">
        <w:t xml:space="preserve">of this inquiry </w:t>
      </w:r>
      <w:r w:rsidR="00591D5A">
        <w:t xml:space="preserve">and in evaluations of </w:t>
      </w:r>
      <w:r w:rsidR="009372E8">
        <w:t>philanthropic</w:t>
      </w:r>
      <w:r w:rsidR="00591D5A">
        <w:t xml:space="preserve"> activities</w:t>
      </w:r>
      <w:r>
        <w:t xml:space="preserve">. </w:t>
      </w:r>
    </w:p>
    <w:p w14:paraId="67376E5D" w14:textId="6B2DEC49" w:rsidR="00354B67" w:rsidRDefault="0031234F" w:rsidP="00354B67">
      <w:r>
        <w:t>I</w:t>
      </w:r>
      <w:r w:rsidR="00F33853">
        <w:t xml:space="preserve"> agree with the Commission’s approach </w:t>
      </w:r>
      <w:r w:rsidR="006176A9">
        <w:t xml:space="preserve">of drawing on </w:t>
      </w:r>
      <w:r w:rsidR="00713617">
        <w:t xml:space="preserve">the </w:t>
      </w:r>
      <w:r w:rsidR="00653860">
        <w:t>established</w:t>
      </w:r>
      <w:r w:rsidR="006176A9">
        <w:t xml:space="preserve"> </w:t>
      </w:r>
      <w:r w:rsidR="00713617">
        <w:t>principles</w:t>
      </w:r>
      <w:r w:rsidR="00653860">
        <w:t xml:space="preserve"> of ‘efficiency, equity, simplicity, </w:t>
      </w:r>
      <w:proofErr w:type="gramStart"/>
      <w:r w:rsidR="00653860">
        <w:t>accountability</w:t>
      </w:r>
      <w:proofErr w:type="gramEnd"/>
      <w:r w:rsidR="00653860">
        <w:t xml:space="preserve"> and transparency’</w:t>
      </w:r>
      <w:r w:rsidR="007779B5">
        <w:t xml:space="preserve"> (p. </w:t>
      </w:r>
      <w:r w:rsidR="00314E84">
        <w:t>86)</w:t>
      </w:r>
      <w:r w:rsidR="008F2A10">
        <w:t>. However, as I argue below (</w:t>
      </w:r>
      <w:r w:rsidR="005D7C5E">
        <w:t xml:space="preserve">especially </w:t>
      </w:r>
      <w:r w:rsidR="008F2A10">
        <w:t>Section</w:t>
      </w:r>
      <w:r w:rsidR="005D7C5E">
        <w:t xml:space="preserve"> 2), </w:t>
      </w:r>
      <w:r w:rsidR="00EE440F">
        <w:t>some</w:t>
      </w:r>
      <w:r w:rsidR="00DB7001">
        <w:t xml:space="preserve"> of</w:t>
      </w:r>
      <w:r w:rsidR="00EE440F">
        <w:t xml:space="preserve"> </w:t>
      </w:r>
      <w:r w:rsidR="005D7C5E">
        <w:t xml:space="preserve">the </w:t>
      </w:r>
      <w:r w:rsidR="00CA5149">
        <w:t xml:space="preserve">analyses and </w:t>
      </w:r>
      <w:r w:rsidR="005D7C5E">
        <w:t>recommendation</w:t>
      </w:r>
      <w:r w:rsidR="00104FA6">
        <w:t xml:space="preserve">s in the </w:t>
      </w:r>
      <w:r w:rsidR="006120AF">
        <w:t>Draft Report</w:t>
      </w:r>
      <w:r w:rsidR="00A14F99">
        <w:t xml:space="preserve"> are, either implicitly or </w:t>
      </w:r>
      <w:r w:rsidR="00DB7001">
        <w:t>explicitly</w:t>
      </w:r>
      <w:r w:rsidR="00A14F99">
        <w:t>, contrary to these principles.</w:t>
      </w:r>
      <w:r w:rsidR="005D7C5E">
        <w:t xml:space="preserve"> </w:t>
      </w:r>
    </w:p>
    <w:p w14:paraId="421C8E06" w14:textId="6732B7A4" w:rsidR="001B5C4B" w:rsidRDefault="001B5C4B" w:rsidP="001B5C4B">
      <w:r>
        <w:t>Finally, I</w:t>
      </w:r>
      <w:r w:rsidR="00F90CAA">
        <w:t xml:space="preserve"> largely</w:t>
      </w:r>
      <w:r>
        <w:t xml:space="preserve"> focus on the inquiry’s fifth term of reference:</w:t>
      </w:r>
    </w:p>
    <w:p w14:paraId="34C95EA8" w14:textId="6EA8A119" w:rsidR="00297DB6" w:rsidRDefault="001B5C4B" w:rsidP="00103893">
      <w:pPr>
        <w:ind w:left="720"/>
      </w:pPr>
      <w:r w:rsidRPr="00B876C8">
        <w:t xml:space="preserve">Examine the tax expenditure framework that applies to charities. </w:t>
      </w:r>
      <w:proofErr w:type="gramStart"/>
      <w:r w:rsidRPr="00B876C8">
        <w:t>In particular, assess</w:t>
      </w:r>
      <w:proofErr w:type="gramEnd"/>
      <w:r w:rsidRPr="00B876C8">
        <w:t xml:space="preserve"> the effectiveness and fairness of the deductible gift recipient framework and how it aligns with public policy objectives and the priorities of the broader community.</w:t>
      </w:r>
      <w:r w:rsidR="00E46A7C">
        <w:t xml:space="preserve"> (p. </w:t>
      </w:r>
      <w:r w:rsidR="007779B5">
        <w:t>v)</w:t>
      </w:r>
    </w:p>
    <w:p w14:paraId="37262A6D" w14:textId="57E848F3" w:rsidR="005A79EA" w:rsidRDefault="00A21040" w:rsidP="00103893">
      <w:pPr>
        <w:pStyle w:val="Heading"/>
      </w:pPr>
      <w:r w:rsidRPr="00A21040">
        <w:lastRenderedPageBreak/>
        <w:t>Deductible Gift Recipient status of school building</w:t>
      </w:r>
      <w:r w:rsidR="00AE0577">
        <w:t xml:space="preserve"> and similar</w:t>
      </w:r>
      <w:r w:rsidRPr="00A21040">
        <w:t xml:space="preserve"> funds </w:t>
      </w:r>
      <w:r w:rsidR="0086462D">
        <w:t xml:space="preserve">              </w:t>
      </w:r>
    </w:p>
    <w:p w14:paraId="600143D6" w14:textId="24DF37F2" w:rsidR="002E73F9" w:rsidRDefault="002E73F9">
      <w:r>
        <w:t xml:space="preserve">I strongly support the </w:t>
      </w:r>
      <w:r w:rsidRPr="002E73F9">
        <w:t>Commission’s draft recommendation</w:t>
      </w:r>
      <w:r w:rsidR="007C4461">
        <w:t xml:space="preserve"> (6.1)</w:t>
      </w:r>
      <w:r w:rsidRPr="002E73F9">
        <w:t xml:space="preserve"> to end the Deductible Gift Recipient (DGR) status of school building funds</w:t>
      </w:r>
      <w:r w:rsidR="00DC642E">
        <w:t xml:space="preserve"> and related funds</w:t>
      </w:r>
      <w:r w:rsidR="007850B6">
        <w:t>, including many school-based library and scholarship funds</w:t>
      </w:r>
      <w:r w:rsidR="009478A8">
        <w:rPr>
          <w:rStyle w:val="FootnoteReference"/>
        </w:rPr>
        <w:footnoteReference w:id="1"/>
      </w:r>
      <w:r w:rsidRPr="002E73F9">
        <w:t>.</w:t>
      </w:r>
    </w:p>
    <w:p w14:paraId="6E210796" w14:textId="77777777" w:rsidR="00D27A07" w:rsidRDefault="00D27A07" w:rsidP="003967A6">
      <w:pPr>
        <w:pStyle w:val="Recommendation"/>
      </w:pPr>
    </w:p>
    <w:p w14:paraId="13E306AC" w14:textId="4852F081" w:rsidR="00A536E5" w:rsidRDefault="003967A6" w:rsidP="007B3D96">
      <w:pPr>
        <w:pStyle w:val="ListParagraph"/>
        <w:numPr>
          <w:ilvl w:val="0"/>
          <w:numId w:val="32"/>
        </w:numPr>
        <w:rPr>
          <w:rFonts w:ascii="Garamond" w:hAnsi="Garamond"/>
          <w:sz w:val="24"/>
          <w:szCs w:val="24"/>
        </w:rPr>
      </w:pPr>
      <w:r w:rsidRPr="007B3D96">
        <w:rPr>
          <w:rFonts w:ascii="Garamond" w:hAnsi="Garamond"/>
          <w:sz w:val="24"/>
          <w:szCs w:val="24"/>
        </w:rPr>
        <w:t xml:space="preserve">That tax </w:t>
      </w:r>
      <w:r w:rsidR="0002771B" w:rsidRPr="007B3D96">
        <w:rPr>
          <w:rFonts w:ascii="Garamond" w:hAnsi="Garamond"/>
          <w:sz w:val="24"/>
          <w:szCs w:val="24"/>
        </w:rPr>
        <w:t>deductibility</w:t>
      </w:r>
      <w:r w:rsidRPr="007B3D96">
        <w:rPr>
          <w:rFonts w:ascii="Garamond" w:hAnsi="Garamond"/>
          <w:sz w:val="24"/>
          <w:szCs w:val="24"/>
        </w:rPr>
        <w:t xml:space="preserve"> or tax credits</w:t>
      </w:r>
      <w:r w:rsidR="00D27A07" w:rsidRPr="007B3D96">
        <w:rPr>
          <w:rFonts w:ascii="Garamond" w:hAnsi="Garamond"/>
          <w:sz w:val="24"/>
          <w:szCs w:val="24"/>
        </w:rPr>
        <w:t xml:space="preserve"> </w:t>
      </w:r>
      <w:r w:rsidR="00CB00D7">
        <w:rPr>
          <w:rFonts w:ascii="Garamond" w:hAnsi="Garamond"/>
          <w:sz w:val="24"/>
          <w:szCs w:val="24"/>
        </w:rPr>
        <w:t>be</w:t>
      </w:r>
      <w:r w:rsidR="00747C0B" w:rsidRPr="007B3D96">
        <w:rPr>
          <w:rFonts w:ascii="Garamond" w:hAnsi="Garamond"/>
          <w:sz w:val="24"/>
          <w:szCs w:val="24"/>
        </w:rPr>
        <w:t xml:space="preserve"> no longer</w:t>
      </w:r>
      <w:r w:rsidR="0002771B" w:rsidRPr="007B3D96">
        <w:rPr>
          <w:rFonts w:ascii="Garamond" w:hAnsi="Garamond"/>
          <w:sz w:val="24"/>
          <w:szCs w:val="24"/>
        </w:rPr>
        <w:t xml:space="preserve"> available for donations to school building funds</w:t>
      </w:r>
      <w:r w:rsidR="00796B0F">
        <w:rPr>
          <w:rFonts w:ascii="Garamond" w:hAnsi="Garamond"/>
          <w:sz w:val="24"/>
          <w:szCs w:val="24"/>
        </w:rPr>
        <w:t xml:space="preserve"> or other funds such as school-based library and scholarship funds</w:t>
      </w:r>
      <w:r w:rsidR="0002771B" w:rsidRPr="007B3D96">
        <w:rPr>
          <w:rFonts w:ascii="Garamond" w:hAnsi="Garamond"/>
          <w:sz w:val="24"/>
          <w:szCs w:val="24"/>
        </w:rPr>
        <w:t xml:space="preserve">. </w:t>
      </w:r>
    </w:p>
    <w:p w14:paraId="4F5574C5" w14:textId="5C19D510" w:rsidR="00357411" w:rsidRDefault="0002771B" w:rsidP="007B3D96">
      <w:pPr>
        <w:pStyle w:val="ListParagraph"/>
        <w:numPr>
          <w:ilvl w:val="0"/>
          <w:numId w:val="32"/>
        </w:numPr>
        <w:rPr>
          <w:rFonts w:ascii="Garamond" w:hAnsi="Garamond"/>
          <w:sz w:val="24"/>
          <w:szCs w:val="24"/>
        </w:rPr>
      </w:pPr>
      <w:r w:rsidRPr="007B3D96">
        <w:rPr>
          <w:rFonts w:ascii="Garamond" w:hAnsi="Garamond"/>
          <w:sz w:val="24"/>
          <w:szCs w:val="24"/>
        </w:rPr>
        <w:t xml:space="preserve">That this be implemented as soon as possible. </w:t>
      </w:r>
      <w:r w:rsidR="00AB628B">
        <w:rPr>
          <w:rFonts w:ascii="Garamond" w:hAnsi="Garamond"/>
          <w:sz w:val="24"/>
          <w:szCs w:val="24"/>
        </w:rPr>
        <w:t>U</w:t>
      </w:r>
      <w:r w:rsidR="005C09D4">
        <w:rPr>
          <w:rFonts w:ascii="Garamond" w:hAnsi="Garamond"/>
          <w:sz w:val="24"/>
          <w:szCs w:val="24"/>
        </w:rPr>
        <w:t>ntil that time</w:t>
      </w:r>
      <w:r w:rsidR="00AB628B">
        <w:rPr>
          <w:rFonts w:ascii="Garamond" w:hAnsi="Garamond"/>
          <w:sz w:val="24"/>
          <w:szCs w:val="24"/>
        </w:rPr>
        <w:t xml:space="preserve">, </w:t>
      </w:r>
      <w:r w:rsidR="005917E3" w:rsidRPr="007B3D96">
        <w:rPr>
          <w:rFonts w:ascii="Garamond" w:hAnsi="Garamond"/>
          <w:sz w:val="24"/>
          <w:szCs w:val="24"/>
        </w:rPr>
        <w:t>that public fu</w:t>
      </w:r>
      <w:r w:rsidR="00812A30" w:rsidRPr="007B3D96">
        <w:rPr>
          <w:rFonts w:ascii="Garamond" w:hAnsi="Garamond"/>
          <w:sz w:val="24"/>
          <w:szCs w:val="24"/>
        </w:rPr>
        <w:t>n</w:t>
      </w:r>
      <w:r w:rsidR="005917E3" w:rsidRPr="007B3D96">
        <w:rPr>
          <w:rFonts w:ascii="Garamond" w:hAnsi="Garamond"/>
          <w:sz w:val="24"/>
          <w:szCs w:val="24"/>
        </w:rPr>
        <w:t>ding through tax expenditures</w:t>
      </w:r>
      <w:r w:rsidR="00812A30" w:rsidRPr="007B3D96">
        <w:rPr>
          <w:rFonts w:ascii="Garamond" w:hAnsi="Garamond"/>
          <w:sz w:val="24"/>
          <w:szCs w:val="24"/>
        </w:rPr>
        <w:t xml:space="preserve"> </w:t>
      </w:r>
      <w:r w:rsidR="00A04FD5" w:rsidRPr="007B3D96">
        <w:rPr>
          <w:rFonts w:ascii="Garamond" w:hAnsi="Garamond"/>
          <w:sz w:val="24"/>
          <w:szCs w:val="24"/>
        </w:rPr>
        <w:t xml:space="preserve">be reported on the My School website and other appropriate places of </w:t>
      </w:r>
      <w:proofErr w:type="gramStart"/>
      <w:r w:rsidR="00A04FD5" w:rsidRPr="007B3D96">
        <w:rPr>
          <w:rFonts w:ascii="Garamond" w:hAnsi="Garamond"/>
          <w:sz w:val="24"/>
          <w:szCs w:val="24"/>
        </w:rPr>
        <w:t>record</w:t>
      </w:r>
      <w:r w:rsidR="007F33B3">
        <w:rPr>
          <w:rFonts w:ascii="Garamond" w:hAnsi="Garamond"/>
          <w:sz w:val="24"/>
          <w:szCs w:val="24"/>
        </w:rPr>
        <w:t>,</w:t>
      </w:r>
      <w:r w:rsidR="00A04FD5" w:rsidRPr="007B3D96">
        <w:rPr>
          <w:rFonts w:ascii="Garamond" w:hAnsi="Garamond"/>
          <w:sz w:val="24"/>
          <w:szCs w:val="24"/>
        </w:rPr>
        <w:t xml:space="preserve"> </w:t>
      </w:r>
      <w:r w:rsidR="00A04FD5">
        <w:rPr>
          <w:rFonts w:ascii="Garamond" w:hAnsi="Garamond"/>
          <w:sz w:val="24"/>
          <w:szCs w:val="24"/>
        </w:rPr>
        <w:t>and</w:t>
      </w:r>
      <w:proofErr w:type="gramEnd"/>
      <w:r w:rsidR="00A04FD5">
        <w:rPr>
          <w:rFonts w:ascii="Garamond" w:hAnsi="Garamond"/>
          <w:sz w:val="24"/>
          <w:szCs w:val="24"/>
        </w:rPr>
        <w:t xml:space="preserve"> </w:t>
      </w:r>
      <w:r w:rsidR="00812A30" w:rsidRPr="007B3D96">
        <w:rPr>
          <w:rFonts w:ascii="Garamond" w:hAnsi="Garamond"/>
          <w:sz w:val="24"/>
          <w:szCs w:val="24"/>
        </w:rPr>
        <w:t xml:space="preserve">be accounted for in </w:t>
      </w:r>
      <w:r w:rsidR="007B14F5" w:rsidRPr="007B3D96">
        <w:rPr>
          <w:rFonts w:ascii="Garamond" w:hAnsi="Garamond"/>
          <w:sz w:val="24"/>
          <w:szCs w:val="24"/>
        </w:rPr>
        <w:t xml:space="preserve">the assessment of </w:t>
      </w:r>
      <w:r w:rsidR="00234CC2" w:rsidRPr="007B3D96">
        <w:rPr>
          <w:rFonts w:ascii="Garamond" w:hAnsi="Garamond"/>
          <w:sz w:val="24"/>
          <w:szCs w:val="24"/>
        </w:rPr>
        <w:t xml:space="preserve">the </w:t>
      </w:r>
      <w:r w:rsidR="005E58D3">
        <w:rPr>
          <w:rFonts w:ascii="Garamond" w:hAnsi="Garamond"/>
          <w:sz w:val="24"/>
          <w:szCs w:val="24"/>
        </w:rPr>
        <w:t>entitlements of the schools</w:t>
      </w:r>
      <w:r w:rsidR="00234CC2" w:rsidRPr="007B3D96">
        <w:rPr>
          <w:rFonts w:ascii="Garamond" w:hAnsi="Garamond"/>
          <w:sz w:val="24"/>
          <w:szCs w:val="24"/>
        </w:rPr>
        <w:t xml:space="preserve"> for additional public funding</w:t>
      </w:r>
      <w:r w:rsidR="00B67127" w:rsidRPr="007B3D96">
        <w:rPr>
          <w:rFonts w:ascii="Garamond" w:hAnsi="Garamond"/>
          <w:sz w:val="24"/>
          <w:szCs w:val="24"/>
        </w:rPr>
        <w:t>.</w:t>
      </w:r>
    </w:p>
    <w:p w14:paraId="764EABCF" w14:textId="50AA4F2F" w:rsidR="002E73F9" w:rsidRDefault="00810181" w:rsidP="0051316F">
      <w:pPr>
        <w:pStyle w:val="Heading"/>
      </w:pPr>
      <w:r>
        <w:t>Information request 4.2</w:t>
      </w:r>
      <w:r w:rsidR="00480391">
        <w:t xml:space="preserve">: </w:t>
      </w:r>
      <w:r w:rsidR="00AB1464">
        <w:t xml:space="preserve">Tax deductions </w:t>
      </w:r>
      <w:r w:rsidR="005D5229">
        <w:t>or tax credits</w:t>
      </w:r>
      <w:r w:rsidR="001A6786">
        <w:t>?</w:t>
      </w:r>
    </w:p>
    <w:p w14:paraId="4A0EC0D3" w14:textId="693422EA" w:rsidR="00297684" w:rsidRDefault="008228E3" w:rsidP="00B33566">
      <w:pPr>
        <w:rPr>
          <w:lang w:val="en-AU"/>
        </w:rPr>
      </w:pPr>
      <w:r>
        <w:rPr>
          <w:lang w:val="en-AU"/>
        </w:rPr>
        <w:t xml:space="preserve">The Commission’s discussion of tax deductions versus tax credits is very weak. It </w:t>
      </w:r>
      <w:r w:rsidR="00157A88">
        <w:rPr>
          <w:lang w:val="en-AU"/>
        </w:rPr>
        <w:t xml:space="preserve">focuses only on what will achieve the highest level of total </w:t>
      </w:r>
      <w:r w:rsidR="00456956">
        <w:rPr>
          <w:lang w:val="en-AU"/>
        </w:rPr>
        <w:t>d</w:t>
      </w:r>
      <w:r w:rsidR="00157A88">
        <w:rPr>
          <w:lang w:val="en-AU"/>
        </w:rPr>
        <w:t>onations</w:t>
      </w:r>
      <w:r w:rsidR="00831B10">
        <w:rPr>
          <w:lang w:val="en-AU"/>
        </w:rPr>
        <w:t xml:space="preserve">, rather than </w:t>
      </w:r>
      <w:r w:rsidR="0095566D">
        <w:rPr>
          <w:lang w:val="en-AU"/>
        </w:rPr>
        <w:t>appropriate</w:t>
      </w:r>
      <w:r w:rsidR="00831B10">
        <w:rPr>
          <w:lang w:val="en-AU"/>
        </w:rPr>
        <w:t xml:space="preserve"> principle</w:t>
      </w:r>
      <w:r w:rsidR="002255DE">
        <w:rPr>
          <w:lang w:val="en-AU"/>
        </w:rPr>
        <w:t xml:space="preserve">s and </w:t>
      </w:r>
      <w:r w:rsidR="00480391">
        <w:rPr>
          <w:lang w:val="en-AU"/>
        </w:rPr>
        <w:t xml:space="preserve">the </w:t>
      </w:r>
      <w:r w:rsidR="002255DE">
        <w:rPr>
          <w:lang w:val="en-AU"/>
        </w:rPr>
        <w:t>social outcomes o</w:t>
      </w:r>
      <w:r w:rsidR="00F254EA">
        <w:rPr>
          <w:lang w:val="en-AU"/>
        </w:rPr>
        <w:t>f</w:t>
      </w:r>
      <w:r w:rsidR="002255DE">
        <w:rPr>
          <w:lang w:val="en-AU"/>
        </w:rPr>
        <w:t xml:space="preserve"> the two different types of public</w:t>
      </w:r>
      <w:r w:rsidR="00831B10">
        <w:rPr>
          <w:lang w:val="en-AU"/>
        </w:rPr>
        <w:t xml:space="preserve"> subsidy </w:t>
      </w:r>
      <w:r w:rsidR="0046105D">
        <w:rPr>
          <w:lang w:val="en-AU"/>
        </w:rPr>
        <w:t>of donations</w:t>
      </w:r>
      <w:r w:rsidR="00101D5A">
        <w:rPr>
          <w:lang w:val="en-AU"/>
        </w:rPr>
        <w:t>.</w:t>
      </w:r>
      <w:r w:rsidR="000B606E">
        <w:rPr>
          <w:lang w:val="en-AU"/>
        </w:rPr>
        <w:t xml:space="preserve"> </w:t>
      </w:r>
    </w:p>
    <w:p w14:paraId="339EDF58" w14:textId="621FB49B" w:rsidR="00D44B2B" w:rsidRDefault="001A6786" w:rsidP="00B33566">
      <w:pPr>
        <w:rPr>
          <w:lang w:val="en-AU"/>
        </w:rPr>
      </w:pPr>
      <w:r w:rsidRPr="00D20BE8">
        <w:rPr>
          <w:b/>
          <w:bCs/>
          <w:lang w:val="en-AU"/>
        </w:rPr>
        <w:t>T</w:t>
      </w:r>
      <w:r w:rsidR="009F3961" w:rsidRPr="00D20BE8">
        <w:rPr>
          <w:b/>
          <w:bCs/>
          <w:lang w:val="en-AU"/>
        </w:rPr>
        <w:t xml:space="preserve">ax deductions </w:t>
      </w:r>
      <w:r w:rsidR="00FB4599" w:rsidRPr="00D20BE8">
        <w:rPr>
          <w:b/>
          <w:bCs/>
          <w:lang w:val="en-AU"/>
        </w:rPr>
        <w:t xml:space="preserve">for donations </w:t>
      </w:r>
      <w:r w:rsidR="009F3961" w:rsidRPr="00D20BE8">
        <w:rPr>
          <w:b/>
          <w:bCs/>
          <w:lang w:val="en-AU"/>
        </w:rPr>
        <w:t>are inherently</w:t>
      </w:r>
      <w:r w:rsidR="000051C1">
        <w:rPr>
          <w:b/>
          <w:bCs/>
          <w:lang w:val="en-AU"/>
        </w:rPr>
        <w:t xml:space="preserve"> inequitable and</w:t>
      </w:r>
      <w:r w:rsidR="009F3961" w:rsidRPr="00D20BE8">
        <w:rPr>
          <w:b/>
          <w:bCs/>
          <w:lang w:val="en-AU"/>
        </w:rPr>
        <w:t xml:space="preserve"> undemocratic</w:t>
      </w:r>
      <w:r w:rsidR="00EC7322" w:rsidRPr="00D20BE8">
        <w:rPr>
          <w:b/>
          <w:bCs/>
          <w:lang w:val="en-AU"/>
        </w:rPr>
        <w:t xml:space="preserve"> relative to tax credits. </w:t>
      </w:r>
      <w:r w:rsidR="00297684">
        <w:rPr>
          <w:lang w:val="en-AU"/>
        </w:rPr>
        <w:t xml:space="preserve">Tax deductions for donations are </w:t>
      </w:r>
      <w:r w:rsidR="00DF6CBD">
        <w:rPr>
          <w:lang w:val="en-AU"/>
        </w:rPr>
        <w:t>different from tax deductions for work</w:t>
      </w:r>
      <w:r w:rsidR="0053628E">
        <w:rPr>
          <w:lang w:val="en-AU"/>
        </w:rPr>
        <w:t>-</w:t>
      </w:r>
      <w:r w:rsidR="00DF6CBD">
        <w:rPr>
          <w:lang w:val="en-AU"/>
        </w:rPr>
        <w:t xml:space="preserve">related expenses. </w:t>
      </w:r>
      <w:r w:rsidR="009E3CF5">
        <w:rPr>
          <w:lang w:val="en-AU"/>
        </w:rPr>
        <w:t xml:space="preserve">A tax deduction for a donation is a </w:t>
      </w:r>
      <w:r w:rsidR="00331210">
        <w:rPr>
          <w:lang w:val="en-AU"/>
        </w:rPr>
        <w:t xml:space="preserve">(tax) expenditure from all citizens (through government) to the </w:t>
      </w:r>
      <w:r w:rsidR="0072577C">
        <w:rPr>
          <w:lang w:val="en-AU"/>
        </w:rPr>
        <w:t>recipient</w:t>
      </w:r>
      <w:r w:rsidR="00331210">
        <w:rPr>
          <w:lang w:val="en-AU"/>
        </w:rPr>
        <w:t xml:space="preserve"> </w:t>
      </w:r>
      <w:r w:rsidR="001D67FB">
        <w:rPr>
          <w:lang w:val="en-AU"/>
        </w:rPr>
        <w:t xml:space="preserve">organisation </w:t>
      </w:r>
      <w:r w:rsidR="00331210">
        <w:rPr>
          <w:lang w:val="en-AU"/>
        </w:rPr>
        <w:t>chosen by the donor.</w:t>
      </w:r>
      <w:r w:rsidR="0072577C">
        <w:rPr>
          <w:lang w:val="en-AU"/>
        </w:rPr>
        <w:t xml:space="preserve"> Therefore</w:t>
      </w:r>
      <w:r w:rsidR="00E04D93">
        <w:rPr>
          <w:lang w:val="en-AU"/>
        </w:rPr>
        <w:t>,</w:t>
      </w:r>
      <w:r w:rsidR="0072577C">
        <w:rPr>
          <w:lang w:val="en-AU"/>
        </w:rPr>
        <w:t xml:space="preserve"> </w:t>
      </w:r>
      <w:r w:rsidR="007E131B">
        <w:rPr>
          <w:lang w:val="en-AU"/>
        </w:rPr>
        <w:t xml:space="preserve">through tax deduction, </w:t>
      </w:r>
      <w:r w:rsidR="008741AC">
        <w:rPr>
          <w:lang w:val="en-AU"/>
        </w:rPr>
        <w:t xml:space="preserve">Australian </w:t>
      </w:r>
      <w:r w:rsidR="0072577C">
        <w:rPr>
          <w:lang w:val="en-AU"/>
        </w:rPr>
        <w:t xml:space="preserve">citizens provide higher levels of funding </w:t>
      </w:r>
      <w:r w:rsidR="00094094">
        <w:rPr>
          <w:lang w:val="en-AU"/>
        </w:rPr>
        <w:t>to higher income donors’ chosen recipient</w:t>
      </w:r>
      <w:r w:rsidR="005E4F0C">
        <w:rPr>
          <w:lang w:val="en-AU"/>
        </w:rPr>
        <w:t xml:space="preserve"> organisations or activities</w:t>
      </w:r>
      <w:r w:rsidR="00094094">
        <w:rPr>
          <w:lang w:val="en-AU"/>
        </w:rPr>
        <w:t xml:space="preserve"> than </w:t>
      </w:r>
      <w:r w:rsidR="00001E6C">
        <w:rPr>
          <w:lang w:val="en-AU"/>
        </w:rPr>
        <w:t>to those chosen by lower income donors</w:t>
      </w:r>
      <w:r w:rsidR="003D790A">
        <w:rPr>
          <w:lang w:val="en-AU"/>
        </w:rPr>
        <w:t>, whatever their choices</w:t>
      </w:r>
      <w:r w:rsidR="00001E6C">
        <w:rPr>
          <w:lang w:val="en-AU"/>
        </w:rPr>
        <w:t xml:space="preserve">. </w:t>
      </w:r>
    </w:p>
    <w:p w14:paraId="4F919ABA" w14:textId="2DCF0B1E" w:rsidR="00385508" w:rsidRDefault="00BF3B88" w:rsidP="00B33566">
      <w:r w:rsidRPr="001140FB">
        <w:rPr>
          <w:b/>
          <w:bCs/>
          <w:lang w:val="en-AU"/>
        </w:rPr>
        <w:t xml:space="preserve">Tax deductions for donations are </w:t>
      </w:r>
      <w:r w:rsidR="003D790A" w:rsidRPr="001140FB">
        <w:rPr>
          <w:b/>
          <w:bCs/>
          <w:lang w:val="en-AU"/>
        </w:rPr>
        <w:t xml:space="preserve">more likely </w:t>
      </w:r>
      <w:r w:rsidR="00F47759" w:rsidRPr="001140FB">
        <w:rPr>
          <w:b/>
          <w:bCs/>
          <w:lang w:val="en-AU"/>
        </w:rPr>
        <w:t xml:space="preserve">to result in </w:t>
      </w:r>
      <w:r w:rsidR="008E226E" w:rsidRPr="001140FB">
        <w:rPr>
          <w:b/>
          <w:bCs/>
          <w:lang w:val="en-AU"/>
        </w:rPr>
        <w:t>citizens subsidising a high</w:t>
      </w:r>
      <w:r w:rsidR="00885E89" w:rsidRPr="001140FB">
        <w:rPr>
          <w:b/>
          <w:bCs/>
          <w:lang w:val="en-AU"/>
        </w:rPr>
        <w:t>er</w:t>
      </w:r>
      <w:r w:rsidR="008E226E" w:rsidRPr="001140FB">
        <w:rPr>
          <w:b/>
          <w:bCs/>
          <w:lang w:val="en-AU"/>
        </w:rPr>
        <w:t xml:space="preserve"> proportion of organisations and activities that </w:t>
      </w:r>
      <w:r w:rsidR="00282BB1" w:rsidRPr="001140FB">
        <w:rPr>
          <w:b/>
          <w:bCs/>
          <w:lang w:val="en-AU"/>
        </w:rPr>
        <w:t>do not ‘support vulnerable Australians and build social capital and connectedness in Australian communities’</w:t>
      </w:r>
      <w:r w:rsidR="003D790A" w:rsidRPr="001140FB">
        <w:rPr>
          <w:b/>
          <w:bCs/>
          <w:lang w:val="en-AU"/>
        </w:rPr>
        <w:t xml:space="preserve"> </w:t>
      </w:r>
      <w:r w:rsidR="00885E89" w:rsidRPr="001140FB">
        <w:rPr>
          <w:b/>
          <w:bCs/>
          <w:lang w:val="en-AU"/>
        </w:rPr>
        <w:t xml:space="preserve">than </w:t>
      </w:r>
      <w:r w:rsidR="00436339" w:rsidRPr="001140FB">
        <w:rPr>
          <w:b/>
          <w:bCs/>
          <w:lang w:val="en-AU"/>
        </w:rPr>
        <w:t>those that do</w:t>
      </w:r>
      <w:r w:rsidRPr="001140FB">
        <w:rPr>
          <w:b/>
          <w:bCs/>
          <w:lang w:val="en-AU"/>
        </w:rPr>
        <w:t>.</w:t>
      </w:r>
      <w:r w:rsidR="009F57DA" w:rsidRPr="009F57DA">
        <w:rPr>
          <w:lang w:val="en-AU"/>
        </w:rPr>
        <w:t xml:space="preserve"> </w:t>
      </w:r>
      <w:r w:rsidR="009F57DA">
        <w:rPr>
          <w:lang w:val="en-AU"/>
        </w:rPr>
        <w:t xml:space="preserve">The Australian public is not only disproportionately supporting through tax expenditures the choices of </w:t>
      </w:r>
      <w:proofErr w:type="gramStart"/>
      <w:r w:rsidR="009F57DA">
        <w:rPr>
          <w:lang w:val="en-AU"/>
        </w:rPr>
        <w:t>high income</w:t>
      </w:r>
      <w:proofErr w:type="gramEnd"/>
      <w:r w:rsidR="009F57DA">
        <w:rPr>
          <w:lang w:val="en-AU"/>
        </w:rPr>
        <w:t xml:space="preserve"> individuals over the choices of those of lower income individuals, but in general the recipients selected by high income individuals, while they might be worthy, are less likely </w:t>
      </w:r>
      <w:r w:rsidR="009F57DA" w:rsidRPr="00C80D73">
        <w:t xml:space="preserve">to </w:t>
      </w:r>
      <w:r w:rsidR="009F57DA">
        <w:t>‘</w:t>
      </w:r>
      <w:r w:rsidR="009F57DA" w:rsidRPr="00C80D73">
        <w:t>support vulnerable Australians and build social capital and connectedness in Australian communities</w:t>
      </w:r>
      <w:r w:rsidR="009F57DA">
        <w:t>’ than those of most other Australians, and thus not align with Government priorities.</w:t>
      </w:r>
      <w:r w:rsidR="00E10781">
        <w:t xml:space="preserve"> Box 1 provides significant </w:t>
      </w:r>
      <w:proofErr w:type="gramStart"/>
      <w:r w:rsidR="00E10781">
        <w:t>example</w:t>
      </w:r>
      <w:proofErr w:type="gramEnd"/>
      <w:r w:rsidR="00E10781">
        <w:t xml:space="preserve"> </w:t>
      </w:r>
      <w:r w:rsidR="00A03617">
        <w:t>in major fields.</w:t>
      </w:r>
    </w:p>
    <w:p w14:paraId="21CEFE82" w14:textId="212E31DF" w:rsidR="00983622" w:rsidRPr="00D46BF1" w:rsidRDefault="0015617E" w:rsidP="00D46BF1">
      <w:pPr>
        <w:rPr>
          <w:lang w:val="en-AU"/>
        </w:rPr>
      </w:pPr>
      <w:r w:rsidRPr="00596BDD">
        <w:rPr>
          <w:b/>
          <w:bCs/>
          <w:lang w:val="en-AU"/>
        </w:rPr>
        <w:t>Tax deductions</w:t>
      </w:r>
      <w:r w:rsidR="00DB17FA" w:rsidRPr="00596BDD">
        <w:rPr>
          <w:b/>
          <w:bCs/>
          <w:lang w:val="en-AU"/>
        </w:rPr>
        <w:t xml:space="preserve"> are thus</w:t>
      </w:r>
      <w:r w:rsidRPr="00596BDD">
        <w:rPr>
          <w:b/>
          <w:bCs/>
          <w:lang w:val="en-AU"/>
        </w:rPr>
        <w:t xml:space="preserve"> contrary to established tax principles: </w:t>
      </w:r>
      <w:r w:rsidR="00DB17FA" w:rsidRPr="00596BDD">
        <w:rPr>
          <w:lang w:val="en-AU"/>
        </w:rPr>
        <w:t>they are</w:t>
      </w:r>
      <w:r w:rsidRPr="00596BDD">
        <w:rPr>
          <w:lang w:val="en-AU"/>
        </w:rPr>
        <w:t xml:space="preserve"> patently </w:t>
      </w:r>
      <w:r w:rsidRPr="00596BDD">
        <w:rPr>
          <w:b/>
          <w:bCs/>
          <w:lang w:val="en-AU"/>
        </w:rPr>
        <w:t>inequitable</w:t>
      </w:r>
      <w:r w:rsidRPr="00596BDD">
        <w:rPr>
          <w:lang w:val="en-AU"/>
        </w:rPr>
        <w:t xml:space="preserve"> as higher income individuals receive a proportionally higher public subsidy of their donation than do lower income individuals</w:t>
      </w:r>
      <w:r w:rsidR="00550513">
        <w:rPr>
          <w:lang w:val="en-AU"/>
        </w:rPr>
        <w:t xml:space="preserve">, and they are generally inequitable </w:t>
      </w:r>
      <w:r w:rsidR="00DE31BA">
        <w:rPr>
          <w:lang w:val="en-AU"/>
        </w:rPr>
        <w:t>in that higher income individuals are</w:t>
      </w:r>
      <w:r w:rsidR="005848FE">
        <w:rPr>
          <w:lang w:val="en-AU"/>
        </w:rPr>
        <w:t xml:space="preserve"> often (but not always) more likely to donate to </w:t>
      </w:r>
      <w:r w:rsidR="002F003A">
        <w:rPr>
          <w:lang w:val="en-AU"/>
        </w:rPr>
        <w:t>recipien</w:t>
      </w:r>
      <w:r w:rsidR="00E80398">
        <w:rPr>
          <w:lang w:val="en-AU"/>
        </w:rPr>
        <w:t>ts</w:t>
      </w:r>
      <w:r w:rsidR="002F003A">
        <w:rPr>
          <w:lang w:val="en-AU"/>
        </w:rPr>
        <w:t xml:space="preserve"> that benefit higher income </w:t>
      </w:r>
      <w:r w:rsidR="009443E2">
        <w:rPr>
          <w:lang w:val="en-AU"/>
        </w:rPr>
        <w:t>communities</w:t>
      </w:r>
      <w:r w:rsidR="002F003A">
        <w:rPr>
          <w:lang w:val="en-AU"/>
        </w:rPr>
        <w:t xml:space="preserve"> </w:t>
      </w:r>
      <w:r w:rsidR="00E80398">
        <w:rPr>
          <w:lang w:val="en-AU"/>
        </w:rPr>
        <w:t xml:space="preserve">and/or </w:t>
      </w:r>
      <w:r w:rsidR="002F003A">
        <w:rPr>
          <w:lang w:val="en-AU"/>
        </w:rPr>
        <w:t>have externalities that damage</w:t>
      </w:r>
      <w:r w:rsidR="009443E2">
        <w:rPr>
          <w:lang w:val="en-AU"/>
        </w:rPr>
        <w:t xml:space="preserve"> disadvantaged individuals and communities.</w:t>
      </w:r>
      <w:r w:rsidR="00D46BF1">
        <w:rPr>
          <w:lang w:val="en-AU"/>
        </w:rPr>
        <w:t xml:space="preserve"> </w:t>
      </w:r>
      <w:r w:rsidR="001E4D2F">
        <w:rPr>
          <w:lang w:val="en-AU"/>
        </w:rPr>
        <w:t>Tax deductions</w:t>
      </w:r>
      <w:r w:rsidR="00EF1231">
        <w:rPr>
          <w:lang w:val="en-AU"/>
        </w:rPr>
        <w:t xml:space="preserve"> are also </w:t>
      </w:r>
      <w:r w:rsidR="00EF1231" w:rsidRPr="005449E0">
        <w:rPr>
          <w:b/>
          <w:bCs/>
          <w:lang w:val="en-AU"/>
        </w:rPr>
        <w:t xml:space="preserve">not </w:t>
      </w:r>
      <w:r w:rsidR="00EC5C94" w:rsidRPr="005449E0">
        <w:rPr>
          <w:b/>
          <w:bCs/>
          <w:lang w:val="en-AU"/>
        </w:rPr>
        <w:t>accountable or transparent</w:t>
      </w:r>
      <w:r w:rsidR="00EC5C94">
        <w:rPr>
          <w:lang w:val="en-AU"/>
        </w:rPr>
        <w:t xml:space="preserve"> in that </w:t>
      </w:r>
      <w:r w:rsidR="00EC5C94">
        <w:rPr>
          <w:lang w:val="en-AU"/>
        </w:rPr>
        <w:lastRenderedPageBreak/>
        <w:t xml:space="preserve">there is no clear reporting to the public that the public </w:t>
      </w:r>
      <w:r w:rsidR="00D25151">
        <w:rPr>
          <w:lang w:val="en-AU"/>
        </w:rPr>
        <w:t xml:space="preserve">funds a larger proportion of donations to the recipients chosen by high income individuals (such as </w:t>
      </w:r>
      <w:r w:rsidR="00EE6007">
        <w:rPr>
          <w:lang w:val="en-AU"/>
        </w:rPr>
        <w:t xml:space="preserve">performance </w:t>
      </w:r>
      <w:r w:rsidR="00047C7F">
        <w:rPr>
          <w:lang w:val="en-AU"/>
        </w:rPr>
        <w:t xml:space="preserve">arts </w:t>
      </w:r>
      <w:r w:rsidR="00EE6007">
        <w:rPr>
          <w:lang w:val="en-AU"/>
        </w:rPr>
        <w:t xml:space="preserve">companies with high ticket prices) than </w:t>
      </w:r>
      <w:r w:rsidR="00534F08">
        <w:rPr>
          <w:lang w:val="en-AU"/>
        </w:rPr>
        <w:t xml:space="preserve">recipients chosen by </w:t>
      </w:r>
      <w:proofErr w:type="gramStart"/>
      <w:r w:rsidR="00534F08">
        <w:rPr>
          <w:lang w:val="en-AU"/>
        </w:rPr>
        <w:t>middle or low income</w:t>
      </w:r>
      <w:proofErr w:type="gramEnd"/>
      <w:r w:rsidR="00534F08">
        <w:rPr>
          <w:lang w:val="en-AU"/>
        </w:rPr>
        <w:t xml:space="preserve"> donors. </w:t>
      </w:r>
    </w:p>
    <w:tbl>
      <w:tblPr>
        <w:tblStyle w:val="TableGrid"/>
        <w:tblW w:w="0" w:type="auto"/>
        <w:tblLook w:val="04A0" w:firstRow="1" w:lastRow="0" w:firstColumn="1" w:lastColumn="0" w:noHBand="0" w:noVBand="1"/>
      </w:tblPr>
      <w:tblGrid>
        <w:gridCol w:w="9016"/>
      </w:tblGrid>
      <w:tr w:rsidR="00385508" w14:paraId="2EA67C21" w14:textId="77777777" w:rsidTr="009F5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left w:val="single" w:sz="4" w:space="0" w:color="auto"/>
              <w:bottom w:val="single" w:sz="4" w:space="0" w:color="auto"/>
              <w:right w:val="single" w:sz="4" w:space="0" w:color="auto"/>
            </w:tcBorders>
            <w:shd w:val="clear" w:color="auto" w:fill="auto"/>
          </w:tcPr>
          <w:p w14:paraId="426D23D8" w14:textId="72F68E86" w:rsidR="0051326D" w:rsidRPr="0030302C" w:rsidRDefault="00BB376F" w:rsidP="00BF7A40">
            <w:pPr>
              <w:spacing w:before="60" w:after="60" w:line="240" w:lineRule="auto"/>
              <w:ind w:left="284" w:right="284"/>
              <w:contextualSpacing w:val="0"/>
              <w:rPr>
                <w:rFonts w:cs="Calibri"/>
                <w:lang w:val="en-AU"/>
              </w:rPr>
            </w:pPr>
            <w:r>
              <w:rPr>
                <w:rFonts w:cs="Calibri"/>
                <w:lang w:val="en-AU"/>
              </w:rPr>
              <w:t xml:space="preserve">BOX 1. </w:t>
            </w:r>
            <w:r w:rsidR="006D22B7">
              <w:rPr>
                <w:rFonts w:cs="Calibri"/>
                <w:lang w:val="en-AU"/>
              </w:rPr>
              <w:t>Examples</w:t>
            </w:r>
            <w:r w:rsidR="008750E7" w:rsidRPr="0030302C">
              <w:rPr>
                <w:rFonts w:cs="Calibri"/>
                <w:lang w:val="en-AU"/>
              </w:rPr>
              <w:t xml:space="preserve"> of </w:t>
            </w:r>
            <w:r w:rsidR="0051326D" w:rsidRPr="0030302C">
              <w:rPr>
                <w:rFonts w:cs="Calibri"/>
                <w:lang w:val="en-AU"/>
              </w:rPr>
              <w:t xml:space="preserve">the principles and social outcomes involved in </w:t>
            </w:r>
            <w:r w:rsidR="00A56961" w:rsidRPr="0030302C">
              <w:rPr>
                <w:rFonts w:cs="Calibri"/>
                <w:lang w:val="en-AU"/>
              </w:rPr>
              <w:t xml:space="preserve">tax </w:t>
            </w:r>
            <w:proofErr w:type="gramStart"/>
            <w:r w:rsidR="00A56961" w:rsidRPr="0030302C">
              <w:rPr>
                <w:rFonts w:cs="Calibri"/>
                <w:lang w:val="en-AU"/>
              </w:rPr>
              <w:t>deductions</w:t>
            </w:r>
            <w:proofErr w:type="gramEnd"/>
            <w:r w:rsidR="00A56961" w:rsidRPr="0030302C">
              <w:rPr>
                <w:rFonts w:cs="Calibri"/>
                <w:lang w:val="en-AU"/>
              </w:rPr>
              <w:t xml:space="preserve"> </w:t>
            </w:r>
          </w:p>
          <w:p w14:paraId="087F94DC" w14:textId="449D182E" w:rsidR="006268BD" w:rsidRDefault="004B3DA5" w:rsidP="00BF7A40">
            <w:pPr>
              <w:spacing w:before="60" w:after="60" w:line="240" w:lineRule="auto"/>
              <w:ind w:left="284" w:right="284"/>
              <w:contextualSpacing w:val="0"/>
              <w:rPr>
                <w:rFonts w:ascii="Garamond" w:hAnsi="Garamond"/>
                <w:bCs/>
                <w:lang w:val="en-AU"/>
              </w:rPr>
            </w:pPr>
            <w:r>
              <w:rPr>
                <w:rFonts w:ascii="Garamond" w:hAnsi="Garamond"/>
                <w:b w:val="0"/>
                <w:bCs/>
                <w:lang w:val="en-AU"/>
              </w:rPr>
              <w:t xml:space="preserve">In each example, higher income individuals are more likely to be associated </w:t>
            </w:r>
            <w:r w:rsidR="00807678">
              <w:rPr>
                <w:rFonts w:ascii="Garamond" w:hAnsi="Garamond"/>
                <w:b w:val="0"/>
                <w:bCs/>
                <w:lang w:val="en-AU"/>
              </w:rPr>
              <w:t>with t</w:t>
            </w:r>
            <w:r w:rsidR="008757B5" w:rsidRPr="006268BD">
              <w:rPr>
                <w:rFonts w:ascii="Garamond" w:hAnsi="Garamond"/>
                <w:b w:val="0"/>
                <w:bCs/>
                <w:lang w:val="en-AU"/>
              </w:rPr>
              <w:t xml:space="preserve">he first </w:t>
            </w:r>
            <w:r w:rsidR="006268BD" w:rsidRPr="006268BD">
              <w:rPr>
                <w:rFonts w:ascii="Garamond" w:hAnsi="Garamond"/>
                <w:b w:val="0"/>
                <w:bCs/>
                <w:lang w:val="en-AU"/>
              </w:rPr>
              <w:t xml:space="preserve">recipient type </w:t>
            </w:r>
            <w:r w:rsidR="00807678">
              <w:rPr>
                <w:rFonts w:ascii="Garamond" w:hAnsi="Garamond"/>
                <w:b w:val="0"/>
                <w:bCs/>
                <w:lang w:val="en-AU"/>
              </w:rPr>
              <w:t>than the second.</w:t>
            </w:r>
            <w:r w:rsidR="00040CD9">
              <w:rPr>
                <w:rFonts w:ascii="Garamond" w:hAnsi="Garamond"/>
                <w:b w:val="0"/>
                <w:bCs/>
                <w:lang w:val="en-AU"/>
              </w:rPr>
              <w:t xml:space="preserve"> It could also be argued that </w:t>
            </w:r>
            <w:r w:rsidR="008F6ECD">
              <w:rPr>
                <w:rFonts w:ascii="Garamond" w:hAnsi="Garamond"/>
                <w:b w:val="0"/>
                <w:bCs/>
                <w:lang w:val="en-AU"/>
              </w:rPr>
              <w:t>the first recipient types are less likely than the second to</w:t>
            </w:r>
            <w:r w:rsidR="005E53CE">
              <w:rPr>
                <w:rFonts w:ascii="Garamond" w:hAnsi="Garamond"/>
                <w:b w:val="0"/>
                <w:bCs/>
                <w:lang w:val="en-AU"/>
              </w:rPr>
              <w:t xml:space="preserve"> have ‘net community-wide benefits</w:t>
            </w:r>
            <w:r w:rsidR="00E65EFE">
              <w:rPr>
                <w:rFonts w:ascii="Garamond" w:hAnsi="Garamond"/>
                <w:b w:val="0"/>
                <w:bCs/>
                <w:lang w:val="en-AU"/>
              </w:rPr>
              <w:t>’</w:t>
            </w:r>
            <w:r w:rsidR="005E53CE">
              <w:rPr>
                <w:rFonts w:ascii="Garamond" w:hAnsi="Garamond"/>
                <w:b w:val="0"/>
                <w:bCs/>
                <w:lang w:val="en-AU"/>
              </w:rPr>
              <w:t xml:space="preserve"> </w:t>
            </w:r>
            <w:r w:rsidR="00CC58F0">
              <w:rPr>
                <w:rFonts w:ascii="Garamond" w:hAnsi="Garamond"/>
                <w:b w:val="0"/>
                <w:bCs/>
                <w:lang w:val="en-AU"/>
              </w:rPr>
              <w:t xml:space="preserve">and </w:t>
            </w:r>
            <w:r w:rsidR="00E65EFE">
              <w:rPr>
                <w:rFonts w:ascii="Garamond" w:hAnsi="Garamond"/>
                <w:b w:val="0"/>
                <w:bCs/>
                <w:lang w:val="en-AU"/>
              </w:rPr>
              <w:t>to</w:t>
            </w:r>
            <w:r w:rsidR="006268BD" w:rsidRPr="006268BD">
              <w:rPr>
                <w:rFonts w:ascii="Garamond" w:hAnsi="Garamond"/>
                <w:b w:val="0"/>
                <w:bCs/>
                <w:lang w:val="en-AU"/>
              </w:rPr>
              <w:t xml:space="preserve"> </w:t>
            </w:r>
            <w:r w:rsidR="00CC58F0" w:rsidRPr="00CC58F0">
              <w:rPr>
                <w:rFonts w:ascii="Garamond" w:hAnsi="Garamond"/>
                <w:b w:val="0"/>
                <w:bCs/>
                <w:lang w:val="en-AU"/>
              </w:rPr>
              <w:t xml:space="preserve">‘support vulnerable Australians and build social capital and connectedness in Australian </w:t>
            </w:r>
            <w:proofErr w:type="gramStart"/>
            <w:r w:rsidR="00CC58F0" w:rsidRPr="00CC58F0">
              <w:rPr>
                <w:rFonts w:ascii="Garamond" w:hAnsi="Garamond"/>
                <w:b w:val="0"/>
                <w:bCs/>
                <w:lang w:val="en-AU"/>
              </w:rPr>
              <w:t>communities’</w:t>
            </w:r>
            <w:proofErr w:type="gramEnd"/>
            <w:r w:rsidR="00E65EFE">
              <w:rPr>
                <w:rFonts w:ascii="Garamond" w:hAnsi="Garamond"/>
                <w:b w:val="0"/>
                <w:bCs/>
                <w:lang w:val="en-AU"/>
              </w:rPr>
              <w:t>.</w:t>
            </w:r>
          </w:p>
          <w:p w14:paraId="2103A68F" w14:textId="6F89593D" w:rsidR="0000035A" w:rsidRDefault="00AD156E" w:rsidP="00BF7A40">
            <w:pPr>
              <w:spacing w:before="60" w:after="60" w:line="240" w:lineRule="auto"/>
              <w:ind w:left="284" w:right="284"/>
              <w:contextualSpacing w:val="0"/>
              <w:rPr>
                <w:rFonts w:ascii="Garamond" w:hAnsi="Garamond"/>
                <w:bCs/>
                <w:lang w:val="en-AU"/>
              </w:rPr>
            </w:pPr>
            <w:r w:rsidRPr="00150755">
              <w:rPr>
                <w:rFonts w:ascii="Garamond" w:hAnsi="Garamond"/>
                <w:lang w:val="en-AU"/>
              </w:rPr>
              <w:t>Donations to school building funds</w:t>
            </w:r>
            <w:r w:rsidRPr="008750E7">
              <w:rPr>
                <w:rFonts w:ascii="Garamond" w:hAnsi="Garamond"/>
                <w:b w:val="0"/>
                <w:bCs/>
                <w:lang w:val="en-AU"/>
              </w:rPr>
              <w:t xml:space="preserve"> (note that I agree with the draft report that such tax deductions should be ended)</w:t>
            </w:r>
            <w:r w:rsidR="00784663">
              <w:rPr>
                <w:rFonts w:ascii="Garamond" w:hAnsi="Garamond"/>
                <w:b w:val="0"/>
                <w:bCs/>
                <w:lang w:val="en-AU"/>
              </w:rPr>
              <w:t>:</w:t>
            </w:r>
            <w:r w:rsidRPr="008750E7">
              <w:rPr>
                <w:rFonts w:ascii="Garamond" w:hAnsi="Garamond"/>
                <w:b w:val="0"/>
                <w:bCs/>
                <w:lang w:val="en-AU"/>
              </w:rPr>
              <w:t xml:space="preserve"> The Australian public, through </w:t>
            </w:r>
            <w:r w:rsidR="0026685E">
              <w:rPr>
                <w:rFonts w:ascii="Garamond" w:hAnsi="Garamond"/>
                <w:b w:val="0"/>
                <w:bCs/>
                <w:lang w:val="en-AU"/>
              </w:rPr>
              <w:t>tax expenditures</w:t>
            </w:r>
            <w:r w:rsidRPr="008750E7">
              <w:rPr>
                <w:rFonts w:ascii="Garamond" w:hAnsi="Garamond"/>
                <w:b w:val="0"/>
                <w:bCs/>
                <w:lang w:val="en-AU"/>
              </w:rPr>
              <w:t xml:space="preserve">, </w:t>
            </w:r>
            <w:r w:rsidR="0087307D">
              <w:rPr>
                <w:rFonts w:ascii="Garamond" w:hAnsi="Garamond"/>
                <w:b w:val="0"/>
                <w:bCs/>
                <w:lang w:val="en-AU"/>
              </w:rPr>
              <w:t>funds</w:t>
            </w:r>
            <w:r w:rsidRPr="008750E7">
              <w:rPr>
                <w:rFonts w:ascii="Garamond" w:hAnsi="Garamond"/>
                <w:b w:val="0"/>
                <w:bCs/>
                <w:lang w:val="en-AU"/>
              </w:rPr>
              <w:t xml:space="preserve"> a higher </w:t>
            </w:r>
            <w:r w:rsidRPr="008750E7">
              <w:rPr>
                <w:rFonts w:ascii="Garamond" w:hAnsi="Garamond"/>
                <w:b w:val="0"/>
                <w:bCs/>
                <w:i/>
                <w:iCs/>
                <w:lang w:val="en-AU"/>
              </w:rPr>
              <w:t>proportion</w:t>
            </w:r>
            <w:r w:rsidRPr="008750E7">
              <w:rPr>
                <w:rFonts w:ascii="Garamond" w:hAnsi="Garamond"/>
                <w:b w:val="0"/>
                <w:bCs/>
                <w:lang w:val="en-AU"/>
              </w:rPr>
              <w:t xml:space="preserve"> of every dollar donated to the building funds of high fee independent schools in metropolitan centres than of every dollar donated to the building funds of low fee Catholic or independent schools in rural towns.</w:t>
            </w:r>
          </w:p>
          <w:p w14:paraId="62C06842" w14:textId="77CA076C" w:rsidR="0000035A" w:rsidRDefault="0098397A" w:rsidP="00BF7A40">
            <w:pPr>
              <w:spacing w:before="60" w:after="60" w:line="240" w:lineRule="auto"/>
              <w:ind w:left="284" w:right="284"/>
              <w:contextualSpacing w:val="0"/>
              <w:rPr>
                <w:rFonts w:ascii="Garamond" w:hAnsi="Garamond"/>
                <w:bCs/>
                <w:lang w:val="en-AU"/>
              </w:rPr>
            </w:pPr>
            <w:r>
              <w:rPr>
                <w:rFonts w:ascii="Garamond" w:hAnsi="Garamond"/>
                <w:lang w:val="en-AU"/>
              </w:rPr>
              <w:t>D</w:t>
            </w:r>
            <w:r w:rsidR="00AD156E" w:rsidRPr="00150755">
              <w:rPr>
                <w:rFonts w:ascii="Garamond" w:hAnsi="Garamond"/>
                <w:lang w:val="en-AU"/>
              </w:rPr>
              <w:t>onations to arts organisations</w:t>
            </w:r>
            <w:r w:rsidR="00AD156E" w:rsidRPr="008750E7">
              <w:rPr>
                <w:rFonts w:ascii="Garamond" w:hAnsi="Garamond"/>
                <w:b w:val="0"/>
                <w:bCs/>
                <w:lang w:val="en-AU"/>
              </w:rPr>
              <w:t xml:space="preserve">: the Australian public funds a higher </w:t>
            </w:r>
            <w:r w:rsidR="00AD156E" w:rsidRPr="008750E7">
              <w:rPr>
                <w:rFonts w:ascii="Garamond" w:hAnsi="Garamond"/>
                <w:b w:val="0"/>
                <w:bCs/>
                <w:i/>
                <w:iCs/>
                <w:lang w:val="en-AU"/>
              </w:rPr>
              <w:t>proportion</w:t>
            </w:r>
            <w:r w:rsidR="00AD156E" w:rsidRPr="008750E7">
              <w:rPr>
                <w:rFonts w:ascii="Garamond" w:hAnsi="Garamond"/>
                <w:b w:val="0"/>
                <w:bCs/>
                <w:lang w:val="en-AU"/>
              </w:rPr>
              <w:t xml:space="preserve"> of every dollar donated to arts organisations in capital cities with high ticket prices, compared with more accessible institutions in the suburbs and country towns. </w:t>
            </w:r>
          </w:p>
          <w:p w14:paraId="28C87E6A" w14:textId="543B6EDE" w:rsidR="00385508" w:rsidRDefault="00AD156E" w:rsidP="00BF7A40">
            <w:pPr>
              <w:spacing w:before="60" w:after="60" w:line="240" w:lineRule="auto"/>
              <w:ind w:left="284" w:right="284"/>
              <w:contextualSpacing w:val="0"/>
              <w:rPr>
                <w:lang w:val="en-AU"/>
              </w:rPr>
            </w:pPr>
            <w:r w:rsidRPr="00150755">
              <w:rPr>
                <w:rFonts w:ascii="Garamond" w:hAnsi="Garamond"/>
                <w:lang w:val="en-AU"/>
              </w:rPr>
              <w:t>Programs to support disadvantaged school students</w:t>
            </w:r>
            <w:r w:rsidRPr="008750E7">
              <w:rPr>
                <w:rFonts w:ascii="Garamond" w:hAnsi="Garamond"/>
                <w:b w:val="0"/>
                <w:bCs/>
                <w:lang w:val="en-AU"/>
              </w:rPr>
              <w:t xml:space="preserve">: </w:t>
            </w:r>
            <w:r w:rsidR="008A0FD5">
              <w:rPr>
                <w:rFonts w:ascii="Garamond" w:hAnsi="Garamond"/>
                <w:b w:val="0"/>
                <w:bCs/>
                <w:lang w:val="en-AU"/>
              </w:rPr>
              <w:t>T</w:t>
            </w:r>
            <w:r w:rsidRPr="008750E7">
              <w:rPr>
                <w:rFonts w:ascii="Garamond" w:hAnsi="Garamond"/>
                <w:b w:val="0"/>
                <w:bCs/>
                <w:lang w:val="en-AU"/>
              </w:rPr>
              <w:t xml:space="preserve">he Australian public funds a higher </w:t>
            </w:r>
            <w:r w:rsidRPr="008750E7">
              <w:rPr>
                <w:rFonts w:ascii="Garamond" w:hAnsi="Garamond"/>
                <w:b w:val="0"/>
                <w:bCs/>
                <w:i/>
                <w:iCs/>
                <w:lang w:val="en-AU"/>
              </w:rPr>
              <w:t>proportion</w:t>
            </w:r>
            <w:r w:rsidRPr="008750E7">
              <w:rPr>
                <w:rFonts w:ascii="Garamond" w:hAnsi="Garamond"/>
                <w:b w:val="0"/>
                <w:bCs/>
                <w:lang w:val="en-AU"/>
              </w:rPr>
              <w:t xml:space="preserve"> of every dollar donated to programs providing scholarships for disadvantaged students to attend high fee independent schools (at high cost and with often substantial negative externalities discussed</w:t>
            </w:r>
            <w:r w:rsidR="0047732C">
              <w:rPr>
                <w:rFonts w:ascii="Garamond" w:hAnsi="Garamond"/>
                <w:b w:val="0"/>
                <w:bCs/>
                <w:lang w:val="en-AU"/>
              </w:rPr>
              <w:t xml:space="preserve"> in Section 3</w:t>
            </w:r>
            <w:r w:rsidRPr="008750E7">
              <w:rPr>
                <w:rFonts w:ascii="Garamond" w:hAnsi="Garamond"/>
                <w:b w:val="0"/>
                <w:bCs/>
                <w:lang w:val="en-AU"/>
              </w:rPr>
              <w:t xml:space="preserve"> </w:t>
            </w:r>
            <w:r w:rsidRPr="00644F72">
              <w:rPr>
                <w:rFonts w:ascii="Garamond" w:hAnsi="Garamond"/>
                <w:b w:val="0"/>
                <w:bCs/>
                <w:lang w:val="en-AU"/>
              </w:rPr>
              <w:t>below</w:t>
            </w:r>
            <w:r w:rsidRPr="008750E7">
              <w:rPr>
                <w:rFonts w:ascii="Garamond" w:hAnsi="Garamond"/>
                <w:b w:val="0"/>
                <w:bCs/>
                <w:lang w:val="en-AU"/>
              </w:rPr>
              <w:t xml:space="preserve">), compared with programs that do not take students out of their school community, and either support the whole disadvantaged school or particularly disadvantaged individuals or cohorts.  </w:t>
            </w:r>
          </w:p>
        </w:tc>
      </w:tr>
    </w:tbl>
    <w:p w14:paraId="246FBF67" w14:textId="53D9DCD1" w:rsidR="002B4716" w:rsidRDefault="007F356E" w:rsidP="00B33566">
      <w:pPr>
        <w:rPr>
          <w:lang w:val="en-AU"/>
        </w:rPr>
      </w:pPr>
      <w:r>
        <w:rPr>
          <w:lang w:val="en-AU"/>
        </w:rPr>
        <w:t>W</w:t>
      </w:r>
      <w:r w:rsidR="002B4716">
        <w:rPr>
          <w:lang w:val="en-AU"/>
        </w:rPr>
        <w:t xml:space="preserve">hether or not a </w:t>
      </w:r>
      <w:r w:rsidR="00C03875">
        <w:rPr>
          <w:lang w:val="en-AU"/>
        </w:rPr>
        <w:t>more</w:t>
      </w:r>
      <w:r w:rsidR="002B4716">
        <w:rPr>
          <w:lang w:val="en-AU"/>
        </w:rPr>
        <w:t xml:space="preserve"> total donations is incentivised </w:t>
      </w:r>
      <w:r w:rsidR="00676136">
        <w:rPr>
          <w:lang w:val="en-AU"/>
        </w:rPr>
        <w:t>is of lesser importance than whether</w:t>
      </w:r>
      <w:r w:rsidR="00113F52">
        <w:rPr>
          <w:lang w:val="en-AU"/>
        </w:rPr>
        <w:t xml:space="preserve"> </w:t>
      </w:r>
      <w:r w:rsidR="006F3FB4">
        <w:rPr>
          <w:lang w:val="en-AU"/>
        </w:rPr>
        <w:t xml:space="preserve">(a) </w:t>
      </w:r>
      <w:r w:rsidR="00B025D2">
        <w:rPr>
          <w:lang w:val="en-AU"/>
        </w:rPr>
        <w:t xml:space="preserve">the </w:t>
      </w:r>
      <w:r w:rsidR="00A92A17">
        <w:rPr>
          <w:lang w:val="en-AU"/>
        </w:rPr>
        <w:t xml:space="preserve">net </w:t>
      </w:r>
      <w:r w:rsidR="00B025D2" w:rsidRPr="00EC16AA">
        <w:rPr>
          <w:i/>
          <w:iCs/>
          <w:lang w:val="en-AU"/>
        </w:rPr>
        <w:t xml:space="preserve">outcomes </w:t>
      </w:r>
      <w:r w:rsidR="00B025D2">
        <w:rPr>
          <w:lang w:val="en-AU"/>
        </w:rPr>
        <w:t>are consistent</w:t>
      </w:r>
      <w:r w:rsidR="00A92A17">
        <w:rPr>
          <w:lang w:val="en-AU"/>
        </w:rPr>
        <w:t xml:space="preserve"> </w:t>
      </w:r>
      <w:r w:rsidR="00B025D2">
        <w:rPr>
          <w:lang w:val="en-AU"/>
        </w:rPr>
        <w:t xml:space="preserve">with the overall objectives </w:t>
      </w:r>
      <w:r w:rsidR="00A7243C">
        <w:rPr>
          <w:lang w:val="en-AU"/>
        </w:rPr>
        <w:t>of policy</w:t>
      </w:r>
      <w:r w:rsidR="00FE2EFD">
        <w:rPr>
          <w:lang w:val="en-AU"/>
        </w:rPr>
        <w:t>,</w:t>
      </w:r>
      <w:r w:rsidR="00A7243C">
        <w:rPr>
          <w:lang w:val="en-AU"/>
        </w:rPr>
        <w:t xml:space="preserve"> and </w:t>
      </w:r>
      <w:r w:rsidR="009D29AC">
        <w:rPr>
          <w:lang w:val="en-AU"/>
        </w:rPr>
        <w:t xml:space="preserve">(b) </w:t>
      </w:r>
      <w:r w:rsidR="008F2DA8">
        <w:rPr>
          <w:lang w:val="en-AU"/>
        </w:rPr>
        <w:t xml:space="preserve">the system </w:t>
      </w:r>
      <w:r w:rsidR="00A7243C">
        <w:rPr>
          <w:lang w:val="en-AU"/>
        </w:rPr>
        <w:t xml:space="preserve">treats the </w:t>
      </w:r>
      <w:r w:rsidR="008F2DA8">
        <w:rPr>
          <w:lang w:val="en-AU"/>
        </w:rPr>
        <w:t xml:space="preserve">choices of </w:t>
      </w:r>
      <w:proofErr w:type="gramStart"/>
      <w:r w:rsidR="008F2DA8">
        <w:rPr>
          <w:lang w:val="en-AU"/>
        </w:rPr>
        <w:t>high income</w:t>
      </w:r>
      <w:proofErr w:type="gramEnd"/>
      <w:r w:rsidR="008F2DA8">
        <w:rPr>
          <w:lang w:val="en-AU"/>
        </w:rPr>
        <w:t xml:space="preserve"> individuals no more advantageously than those of low income individuals. Consequently, I make the following recommendation:</w:t>
      </w:r>
    </w:p>
    <w:p w14:paraId="4D36A9CA" w14:textId="77777777" w:rsidR="00B242E6" w:rsidRDefault="00B242E6" w:rsidP="009B11B9">
      <w:pPr>
        <w:pStyle w:val="Recommendation"/>
      </w:pPr>
    </w:p>
    <w:p w14:paraId="3209033E" w14:textId="26C31669" w:rsidR="00B242E6" w:rsidRPr="00025099" w:rsidRDefault="006D2D3A" w:rsidP="00C8132C">
      <w:pPr>
        <w:pStyle w:val="ListParagraph"/>
        <w:numPr>
          <w:ilvl w:val="0"/>
          <w:numId w:val="34"/>
        </w:numPr>
      </w:pPr>
      <w:r w:rsidRPr="00C8132C">
        <w:rPr>
          <w:rFonts w:ascii="Garamond" w:hAnsi="Garamond"/>
          <w:sz w:val="24"/>
          <w:szCs w:val="24"/>
        </w:rPr>
        <w:t xml:space="preserve">That the </w:t>
      </w:r>
      <w:r w:rsidR="00AE71FD" w:rsidRPr="00C8132C">
        <w:rPr>
          <w:rFonts w:ascii="Garamond" w:hAnsi="Garamond"/>
          <w:sz w:val="24"/>
          <w:szCs w:val="24"/>
        </w:rPr>
        <w:t xml:space="preserve">Commission recommend that tax credits replace </w:t>
      </w:r>
      <w:r w:rsidR="0042792C" w:rsidRPr="00C8132C">
        <w:rPr>
          <w:rFonts w:ascii="Garamond" w:hAnsi="Garamond"/>
          <w:sz w:val="24"/>
          <w:szCs w:val="24"/>
        </w:rPr>
        <w:t xml:space="preserve">tax deductions for donations </w:t>
      </w:r>
      <w:r w:rsidR="0070171E" w:rsidRPr="00C8132C">
        <w:rPr>
          <w:rFonts w:ascii="Garamond" w:hAnsi="Garamond"/>
          <w:sz w:val="24"/>
          <w:szCs w:val="24"/>
        </w:rPr>
        <w:t xml:space="preserve">made </w:t>
      </w:r>
      <w:r w:rsidR="0042792C" w:rsidRPr="00C8132C">
        <w:rPr>
          <w:rFonts w:ascii="Garamond" w:hAnsi="Garamond"/>
          <w:sz w:val="24"/>
          <w:szCs w:val="24"/>
        </w:rPr>
        <w:t xml:space="preserve">for </w:t>
      </w:r>
      <w:proofErr w:type="spellStart"/>
      <w:r w:rsidR="0042792C" w:rsidRPr="00C8132C">
        <w:rPr>
          <w:rFonts w:ascii="Garamond" w:hAnsi="Garamond"/>
          <w:sz w:val="24"/>
          <w:szCs w:val="24"/>
        </w:rPr>
        <w:t>recognised</w:t>
      </w:r>
      <w:proofErr w:type="spellEnd"/>
      <w:r w:rsidR="0042792C" w:rsidRPr="00C8132C">
        <w:rPr>
          <w:rFonts w:ascii="Garamond" w:hAnsi="Garamond"/>
          <w:sz w:val="24"/>
          <w:szCs w:val="24"/>
        </w:rPr>
        <w:t xml:space="preserve"> charitable purposes</w:t>
      </w:r>
      <w:r w:rsidR="00EC16AA" w:rsidRPr="00C8132C">
        <w:rPr>
          <w:rFonts w:ascii="Garamond" w:hAnsi="Garamond"/>
          <w:sz w:val="24"/>
          <w:szCs w:val="24"/>
        </w:rPr>
        <w:t>.</w:t>
      </w:r>
    </w:p>
    <w:p w14:paraId="191B33F3" w14:textId="3815F987" w:rsidR="00025099" w:rsidRPr="00C8132C" w:rsidRDefault="00025099" w:rsidP="00C8132C">
      <w:pPr>
        <w:pStyle w:val="ListParagraph"/>
        <w:numPr>
          <w:ilvl w:val="0"/>
          <w:numId w:val="34"/>
        </w:numPr>
      </w:pPr>
      <w:r w:rsidRPr="00025099">
        <w:rPr>
          <w:lang w:val="en-AU"/>
        </w:rPr>
        <w:t xml:space="preserve">‘Matched giving’ must be rejected – it would provide public (tax) expenditure supporting the choices of </w:t>
      </w:r>
      <w:proofErr w:type="gramStart"/>
      <w:r w:rsidRPr="00025099">
        <w:rPr>
          <w:lang w:val="en-AU"/>
        </w:rPr>
        <w:t>high income</w:t>
      </w:r>
      <w:proofErr w:type="gramEnd"/>
      <w:r w:rsidRPr="00025099">
        <w:rPr>
          <w:lang w:val="en-AU"/>
        </w:rPr>
        <w:t xml:space="preserve"> individuals over those of low income individuals to an even greater extent than do tax deductions.</w:t>
      </w:r>
    </w:p>
    <w:p w14:paraId="023A2D2C" w14:textId="6ECE5F34" w:rsidR="00E73678" w:rsidRDefault="003F0279" w:rsidP="003F0279">
      <w:pPr>
        <w:pStyle w:val="Heading"/>
      </w:pPr>
      <w:r>
        <w:t xml:space="preserve">Support for </w:t>
      </w:r>
      <w:r w:rsidR="0098146C">
        <w:t xml:space="preserve">the </w:t>
      </w:r>
      <w:r w:rsidR="003072F6">
        <w:t xml:space="preserve">school education of disadvantaged students and </w:t>
      </w:r>
      <w:proofErr w:type="gramStart"/>
      <w:r w:rsidR="003072F6">
        <w:t>communities</w:t>
      </w:r>
      <w:proofErr w:type="gramEnd"/>
    </w:p>
    <w:p w14:paraId="7CA33B22" w14:textId="22F3D98D" w:rsidR="003F0279" w:rsidRDefault="00644995" w:rsidP="00B33566">
      <w:pPr>
        <w:rPr>
          <w:lang w:val="en-AU"/>
        </w:rPr>
      </w:pPr>
      <w:r>
        <w:rPr>
          <w:lang w:val="en-AU"/>
        </w:rPr>
        <w:t>T</w:t>
      </w:r>
      <w:r w:rsidR="00617328">
        <w:rPr>
          <w:lang w:val="en-AU"/>
        </w:rPr>
        <w:t xml:space="preserve">he issues discussed in this section </w:t>
      </w:r>
      <w:r>
        <w:rPr>
          <w:lang w:val="en-AU"/>
        </w:rPr>
        <w:t xml:space="preserve">concern school education, </w:t>
      </w:r>
      <w:r w:rsidR="00617328">
        <w:rPr>
          <w:lang w:val="en-AU"/>
        </w:rPr>
        <w:t>may well apply in health, welfare</w:t>
      </w:r>
      <w:r w:rsidR="006129CE">
        <w:rPr>
          <w:lang w:val="en-AU"/>
        </w:rPr>
        <w:t xml:space="preserve">, the </w:t>
      </w:r>
      <w:proofErr w:type="gramStart"/>
      <w:r w:rsidR="006129CE">
        <w:rPr>
          <w:lang w:val="en-AU"/>
        </w:rPr>
        <w:t>arts</w:t>
      </w:r>
      <w:proofErr w:type="gramEnd"/>
      <w:r w:rsidR="006129CE">
        <w:rPr>
          <w:lang w:val="en-AU"/>
        </w:rPr>
        <w:t xml:space="preserve"> and other fields supported by </w:t>
      </w:r>
      <w:r>
        <w:rPr>
          <w:lang w:val="en-AU"/>
        </w:rPr>
        <w:t>donations</w:t>
      </w:r>
      <w:r w:rsidR="00C74C8E">
        <w:rPr>
          <w:lang w:val="en-AU"/>
        </w:rPr>
        <w:t xml:space="preserve"> and tax expenditures. </w:t>
      </w:r>
    </w:p>
    <w:p w14:paraId="17F5015C" w14:textId="4CAB7FFA" w:rsidR="00C74C8E" w:rsidRDefault="00C126B0" w:rsidP="00C74C8E">
      <w:r>
        <w:t>Externalities and unintended consequences particularly matter</w:t>
      </w:r>
      <w:r w:rsidR="000900D5">
        <w:t xml:space="preserve"> for</w:t>
      </w:r>
      <w:r>
        <w:t xml:space="preserve"> </w:t>
      </w:r>
      <w:r w:rsidR="00BB59E5">
        <w:t>philanthropic programs</w:t>
      </w:r>
      <w:r w:rsidR="00CA2288">
        <w:t xml:space="preserve"> for the </w:t>
      </w:r>
      <w:r w:rsidR="00CA2288" w:rsidRPr="008734CC">
        <w:rPr>
          <w:b/>
          <w:bCs/>
        </w:rPr>
        <w:t>school education</w:t>
      </w:r>
      <w:r w:rsidR="00CA2288">
        <w:t xml:space="preserve"> of disadvantaged students</w:t>
      </w:r>
      <w:r>
        <w:t>.</w:t>
      </w:r>
      <w:r w:rsidR="00C74C8E">
        <w:t xml:space="preserve"> They should be anticipated and </w:t>
      </w:r>
      <w:proofErr w:type="gramStart"/>
      <w:r w:rsidR="00C74C8E">
        <w:t>taken into account</w:t>
      </w:r>
      <w:proofErr w:type="gramEnd"/>
      <w:r w:rsidR="00C74C8E">
        <w:t xml:space="preserve"> in the recommendations of this inquiry and in evaluations of philanthropic activities.</w:t>
      </w:r>
      <w:r w:rsidR="00821866">
        <w:t xml:space="preserve"> </w:t>
      </w:r>
      <w:r w:rsidR="00C74C8E">
        <w:t xml:space="preserve"> </w:t>
      </w:r>
    </w:p>
    <w:p w14:paraId="561F071C" w14:textId="45102FB8" w:rsidR="007560B2" w:rsidRDefault="00E52CB2" w:rsidP="00734F9F">
      <w:r>
        <w:t xml:space="preserve">The major philanthropic programs that support Indigenous </w:t>
      </w:r>
      <w:r w:rsidR="00E64371">
        <w:t xml:space="preserve">students and students from other equity groups are </w:t>
      </w:r>
      <w:r w:rsidR="00DB1E93">
        <w:t xml:space="preserve">either </w:t>
      </w:r>
      <w:r w:rsidR="00DB1E93" w:rsidRPr="00FF447A">
        <w:rPr>
          <w:b/>
          <w:bCs/>
        </w:rPr>
        <w:t>scholarship programs</w:t>
      </w:r>
      <w:r w:rsidR="00DB1E93">
        <w:t xml:space="preserve"> that take student</w:t>
      </w:r>
      <w:r w:rsidR="00FF447A">
        <w:t>s</w:t>
      </w:r>
      <w:r w:rsidR="00DB1E93">
        <w:t xml:space="preserve"> from </w:t>
      </w:r>
      <w:r w:rsidR="00FF447A">
        <w:t>their</w:t>
      </w:r>
      <w:r w:rsidR="00DB1E93">
        <w:t xml:space="preserve"> communit</w:t>
      </w:r>
      <w:r w:rsidR="00FF447A">
        <w:t>ies</w:t>
      </w:r>
      <w:r w:rsidR="00DB1E93">
        <w:t xml:space="preserve"> and </w:t>
      </w:r>
      <w:r w:rsidR="00FF447A">
        <w:t xml:space="preserve">the school they would have otherwise attended, or </w:t>
      </w:r>
      <w:r w:rsidR="00FF447A" w:rsidRPr="00F2478E">
        <w:rPr>
          <w:b/>
          <w:bCs/>
        </w:rPr>
        <w:t>place</w:t>
      </w:r>
      <w:r w:rsidR="00267145" w:rsidRPr="00F2478E">
        <w:rPr>
          <w:b/>
          <w:bCs/>
        </w:rPr>
        <w:t>-</w:t>
      </w:r>
      <w:r w:rsidR="00FF447A" w:rsidRPr="00F2478E">
        <w:rPr>
          <w:b/>
          <w:bCs/>
        </w:rPr>
        <w:t>based programs</w:t>
      </w:r>
      <w:r w:rsidR="00FF447A">
        <w:t xml:space="preserve">, where </w:t>
      </w:r>
      <w:r w:rsidR="001328C6">
        <w:t>students remain in the communities and usually atten</w:t>
      </w:r>
      <w:r w:rsidR="00C10144">
        <w:t>d the school they would have attended if not involved in the program.</w:t>
      </w:r>
      <w:r w:rsidR="00FD1005">
        <w:t xml:space="preserve"> (Scholarship programs </w:t>
      </w:r>
      <w:r w:rsidR="00610BD3">
        <w:t xml:space="preserve">can be place-based </w:t>
      </w:r>
      <w:r w:rsidR="008870C6">
        <w:lastRenderedPageBreak/>
        <w:t>when</w:t>
      </w:r>
      <w:r w:rsidR="00610BD3">
        <w:t xml:space="preserve"> they fund education</w:t>
      </w:r>
      <w:r w:rsidR="001752FF">
        <w:t xml:space="preserve"> and activities</w:t>
      </w:r>
      <w:r w:rsidR="00610BD3">
        <w:t xml:space="preserve"> at the school the student would attend</w:t>
      </w:r>
      <w:r w:rsidR="00EC1C1C">
        <w:t xml:space="preserve"> </w:t>
      </w:r>
      <w:r w:rsidR="009D28F4">
        <w:t>if they had not received a scholarship</w:t>
      </w:r>
      <w:r w:rsidR="00EC1C1C">
        <w:t>. Here I am concerned with scholarship programs</w:t>
      </w:r>
      <w:r w:rsidR="001752FF">
        <w:t xml:space="preserve"> that take the student </w:t>
      </w:r>
      <w:r w:rsidR="008870C6">
        <w:t>a</w:t>
      </w:r>
      <w:r w:rsidR="001752FF">
        <w:t xml:space="preserve">way from the school they would </w:t>
      </w:r>
      <w:r w:rsidR="0045487C">
        <w:t>otherwise attend.)</w:t>
      </w:r>
      <w:r w:rsidR="00EC1C1C">
        <w:t xml:space="preserve"> </w:t>
      </w:r>
      <w:r w:rsidR="00C10144">
        <w:t xml:space="preserve"> </w:t>
      </w:r>
    </w:p>
    <w:p w14:paraId="3EB209A8" w14:textId="1A0E4E3D" w:rsidR="007B7906" w:rsidRDefault="00AB7967" w:rsidP="00734F9F">
      <w:r>
        <w:rPr>
          <w:b/>
          <w:bCs/>
        </w:rPr>
        <w:t>Major s</w:t>
      </w:r>
      <w:r w:rsidR="00C10144" w:rsidRPr="00F2478E">
        <w:rPr>
          <w:b/>
          <w:bCs/>
        </w:rPr>
        <w:t>cholarship programs</w:t>
      </w:r>
      <w:r w:rsidR="00C10144">
        <w:t xml:space="preserve"> usually</w:t>
      </w:r>
      <w:r w:rsidR="006D792F">
        <w:t xml:space="preserve"> involve </w:t>
      </w:r>
      <w:r w:rsidR="00E821FE">
        <w:t>s</w:t>
      </w:r>
      <w:r w:rsidR="006D792F">
        <w:t xml:space="preserve">tudents </w:t>
      </w:r>
      <w:r w:rsidR="00E821FE">
        <w:t xml:space="preserve">boarding </w:t>
      </w:r>
      <w:r w:rsidR="00A80119">
        <w:t>at</w:t>
      </w:r>
      <w:r w:rsidR="006D792F">
        <w:t xml:space="preserve"> high fee </w:t>
      </w:r>
      <w:r w:rsidR="00E821FE">
        <w:t>independent schools</w:t>
      </w:r>
      <w:r w:rsidR="00A80119">
        <w:t xml:space="preserve">. The program </w:t>
      </w:r>
      <w:r w:rsidR="0052790C">
        <w:t xml:space="preserve">boards </w:t>
      </w:r>
      <w:r w:rsidR="009156F7">
        <w:t xml:space="preserve">and committees </w:t>
      </w:r>
      <w:r w:rsidR="0037261E">
        <w:t xml:space="preserve">usually include individuals associated with </w:t>
      </w:r>
      <w:r w:rsidR="009156F7">
        <w:t xml:space="preserve">such schools, and the programs </w:t>
      </w:r>
      <w:r w:rsidR="00267145">
        <w:t>are important in the schools’ public relations.</w:t>
      </w:r>
      <w:r w:rsidR="007560B2">
        <w:t xml:space="preserve"> </w:t>
      </w:r>
      <w:r w:rsidR="002614AD">
        <w:t xml:space="preserve">Donors are, again, usually associated with the schools involved, or </w:t>
      </w:r>
      <w:r w:rsidR="00CB4486">
        <w:t xml:space="preserve">are </w:t>
      </w:r>
      <w:r w:rsidR="002614AD">
        <w:t>corporate donors</w:t>
      </w:r>
      <w:r w:rsidR="00A215BD">
        <w:t xml:space="preserve">. There is no doubt </w:t>
      </w:r>
      <w:r w:rsidR="00C141CD">
        <w:t>that</w:t>
      </w:r>
      <w:r w:rsidR="00CB4486">
        <w:t>,</w:t>
      </w:r>
      <w:r w:rsidR="00C141CD">
        <w:t xml:space="preserve"> for </w:t>
      </w:r>
      <w:r w:rsidR="00A215BD">
        <w:t>many partic</w:t>
      </w:r>
      <w:r w:rsidR="00C141CD">
        <w:t xml:space="preserve">ipants, </w:t>
      </w:r>
      <w:r w:rsidR="007840FE">
        <w:t>their experiences are richly rewarding and can transform their lives</w:t>
      </w:r>
      <w:r w:rsidR="00AD4ACB">
        <w:t xml:space="preserve">. However, </w:t>
      </w:r>
      <w:r w:rsidR="009A5C6D">
        <w:t>for others it can be an alienating and even damaging experience</w:t>
      </w:r>
      <w:r w:rsidR="00981D2E">
        <w:t xml:space="preserve"> to leave their familiar community and be with peers </w:t>
      </w:r>
      <w:r w:rsidR="00EA0070">
        <w:t xml:space="preserve">of high socio-economic status and the </w:t>
      </w:r>
      <w:r w:rsidR="00087663">
        <w:t xml:space="preserve">common associated (unconscious) </w:t>
      </w:r>
      <w:r w:rsidR="002159D8">
        <w:t xml:space="preserve">assumptions of entitlement and superiority </w:t>
      </w:r>
      <w:r w:rsidR="00075991">
        <w:t>(as I am personally aware o</w:t>
      </w:r>
      <w:r w:rsidR="00AD4ACB">
        <w:t>f)</w:t>
      </w:r>
      <w:r w:rsidR="00075991">
        <w:t>.</w:t>
      </w:r>
      <w:r w:rsidR="00D669DB">
        <w:t xml:space="preserve"> </w:t>
      </w:r>
      <w:r w:rsidR="007D566D">
        <w:t xml:space="preserve">To mitigate such problems, the </w:t>
      </w:r>
      <w:r w:rsidR="008F4D2B">
        <w:t xml:space="preserve">programs </w:t>
      </w:r>
      <w:r w:rsidR="001812B0">
        <w:t>can provide high levels of support</w:t>
      </w:r>
      <w:r w:rsidR="00521408">
        <w:t xml:space="preserve"> and pastoral care – which add to the cost</w:t>
      </w:r>
      <w:r w:rsidR="00B93AB8">
        <w:t xml:space="preserve"> per participant</w:t>
      </w:r>
      <w:r w:rsidR="00521408">
        <w:t>.</w:t>
      </w:r>
      <w:r w:rsidR="00C347FA">
        <w:t xml:space="preserve"> </w:t>
      </w:r>
      <w:r w:rsidR="00DB4713">
        <w:t>I estimate that t</w:t>
      </w:r>
      <w:r w:rsidR="00B93AB8">
        <w:t xml:space="preserve">he total cost per participating student </w:t>
      </w:r>
      <w:r w:rsidR="00DB4713">
        <w:t>is</w:t>
      </w:r>
      <w:r w:rsidR="00B93AB8">
        <w:t xml:space="preserve"> in the order of </w:t>
      </w:r>
      <w:r w:rsidR="006A43A0">
        <w:t xml:space="preserve">over </w:t>
      </w:r>
      <w:r w:rsidR="00B93AB8">
        <w:t>$100,000</w:t>
      </w:r>
      <w:r w:rsidR="0010682D">
        <w:t xml:space="preserve">, including tuition and boarding fees </w:t>
      </w:r>
      <w:r w:rsidR="00D1184C">
        <w:t>(</w:t>
      </w:r>
      <w:r w:rsidR="0010682D">
        <w:t>forgone</w:t>
      </w:r>
      <w:r w:rsidR="00D1184C">
        <w:t xml:space="preserve"> by the school, if not covered by the program)</w:t>
      </w:r>
      <w:r w:rsidR="0010682D">
        <w:t>, expenses normally covered by parents of students at such schools</w:t>
      </w:r>
      <w:r w:rsidR="007D67E4">
        <w:t xml:space="preserve"> (for</w:t>
      </w:r>
      <w:r w:rsidR="002A6A40">
        <w:t xml:space="preserve"> uniforms and fashionable </w:t>
      </w:r>
      <w:r w:rsidR="007D67E4">
        <w:t xml:space="preserve">clothes, </w:t>
      </w:r>
      <w:r w:rsidR="006E5E1F">
        <w:t>devices</w:t>
      </w:r>
      <w:r w:rsidR="00F53D52">
        <w:t>,</w:t>
      </w:r>
      <w:r w:rsidR="007D67E4">
        <w:t xml:space="preserve"> excursions, social activities</w:t>
      </w:r>
      <w:r w:rsidR="00983481">
        <w:t xml:space="preserve"> and entertainment, extra-curricular activities, travel</w:t>
      </w:r>
      <w:r w:rsidR="00160592">
        <w:t>, and so on</w:t>
      </w:r>
      <w:r w:rsidR="006E5E1F">
        <w:t>)</w:t>
      </w:r>
      <w:r w:rsidR="00F53D52">
        <w:t xml:space="preserve"> </w:t>
      </w:r>
      <w:r w:rsidR="005E4217">
        <w:t xml:space="preserve">and </w:t>
      </w:r>
      <w:r w:rsidR="008D7965">
        <w:t>support and pastoral care</w:t>
      </w:r>
      <w:r w:rsidR="005E4217">
        <w:t>.</w:t>
      </w:r>
      <w:r w:rsidR="00D71AA9">
        <w:t xml:space="preserve"> Such an amount per s</w:t>
      </w:r>
      <w:r w:rsidR="007A2107">
        <w:t>t</w:t>
      </w:r>
      <w:r w:rsidR="00D71AA9">
        <w:t>udent</w:t>
      </w:r>
      <w:r w:rsidR="007A2107">
        <w:t xml:space="preserve"> would make an extraordinary difference for </w:t>
      </w:r>
      <w:r w:rsidR="00C9476E">
        <w:t xml:space="preserve">very disadvantaged </w:t>
      </w:r>
      <w:r w:rsidR="00FB2FA6">
        <w:t xml:space="preserve">schools and </w:t>
      </w:r>
      <w:r w:rsidR="007A2107">
        <w:t>students</w:t>
      </w:r>
      <w:r w:rsidR="00C9476E">
        <w:t xml:space="preserve"> </w:t>
      </w:r>
      <w:r w:rsidR="007A2107">
        <w:t xml:space="preserve">in </w:t>
      </w:r>
      <w:r w:rsidR="00C9476E">
        <w:t>disadvantaged localities</w:t>
      </w:r>
      <w:r w:rsidR="00FB2FA6">
        <w:t>.</w:t>
      </w:r>
      <w:r w:rsidR="00943EA3">
        <w:t xml:space="preserve"> For example, according to the My School website, </w:t>
      </w:r>
      <w:proofErr w:type="spellStart"/>
      <w:r w:rsidR="00943EA3">
        <w:t>Walgett</w:t>
      </w:r>
      <w:proofErr w:type="spellEnd"/>
      <w:r w:rsidR="00943EA3">
        <w:t xml:space="preserve"> Community College (Secondary), has an</w:t>
      </w:r>
      <w:r w:rsidR="001C3765">
        <w:t xml:space="preserve"> ICSEA value of 669 and over 90% of its students </w:t>
      </w:r>
      <w:r w:rsidR="00EE5079">
        <w:t xml:space="preserve">are in the bottom ICSEA quartile, yet it </w:t>
      </w:r>
      <w:r w:rsidR="00355A3B">
        <w:t xml:space="preserve">receives less </w:t>
      </w:r>
      <w:r w:rsidR="00F74B0E">
        <w:t>than</w:t>
      </w:r>
      <w:r w:rsidR="00355A3B">
        <w:t xml:space="preserve"> $60,000 per student per annum.</w:t>
      </w:r>
      <w:r w:rsidR="00943EA3">
        <w:t xml:space="preserve"> </w:t>
      </w:r>
      <w:r w:rsidR="00D71AA9">
        <w:t xml:space="preserve"> </w:t>
      </w:r>
      <w:r w:rsidR="00075991">
        <w:t xml:space="preserve"> </w:t>
      </w:r>
      <w:r w:rsidR="00EA0070">
        <w:t xml:space="preserve"> </w:t>
      </w:r>
    </w:p>
    <w:p w14:paraId="7C0F310E" w14:textId="43467965" w:rsidR="00C10144" w:rsidRDefault="00D40744" w:rsidP="00734F9F">
      <w:r>
        <w:t xml:space="preserve">While </w:t>
      </w:r>
      <w:r w:rsidR="00D8525D">
        <w:t>participants, the school</w:t>
      </w:r>
      <w:r w:rsidR="009216F3">
        <w:t>s</w:t>
      </w:r>
      <w:r w:rsidR="00D8525D">
        <w:t xml:space="preserve"> and donors benefit</w:t>
      </w:r>
      <w:r w:rsidR="00F74B0E">
        <w:t xml:space="preserve"> from </w:t>
      </w:r>
      <w:r w:rsidR="00ED4F7F">
        <w:t xml:space="preserve">such </w:t>
      </w:r>
      <w:r w:rsidR="00F74B0E">
        <w:t xml:space="preserve">scholarship </w:t>
      </w:r>
      <w:r w:rsidR="00ED4F7F">
        <w:t>programs</w:t>
      </w:r>
      <w:r w:rsidR="00D8525D">
        <w:t xml:space="preserve">, </w:t>
      </w:r>
      <w:r w:rsidR="008D2B00">
        <w:t>t</w:t>
      </w:r>
      <w:r w:rsidR="002622F3">
        <w:t xml:space="preserve">here can be very substantial </w:t>
      </w:r>
      <w:r w:rsidR="009216F3">
        <w:t xml:space="preserve">detrimental </w:t>
      </w:r>
      <w:r w:rsidR="00ED4F7F">
        <w:t xml:space="preserve">externalities. </w:t>
      </w:r>
      <w:r w:rsidR="008D2B00">
        <w:t>If</w:t>
      </w:r>
      <w:r w:rsidR="00931CC8">
        <w:t xml:space="preserve"> </w:t>
      </w:r>
      <w:r w:rsidR="00E028CB">
        <w:t xml:space="preserve">disadvantaged </w:t>
      </w:r>
      <w:r w:rsidR="00931CC8">
        <w:t xml:space="preserve">rural, </w:t>
      </w:r>
      <w:proofErr w:type="gramStart"/>
      <w:r w:rsidR="00931CC8">
        <w:t>remote</w:t>
      </w:r>
      <w:proofErr w:type="gramEnd"/>
      <w:r w:rsidR="00931CC8">
        <w:t xml:space="preserve"> or urban </w:t>
      </w:r>
      <w:r w:rsidR="00481276">
        <w:t>schools are depleted of educationally aspiring and already achieving students</w:t>
      </w:r>
      <w:r w:rsidR="00C9467D">
        <w:t xml:space="preserve">, the quality of education of the rest of the cohort remaining can be </w:t>
      </w:r>
      <w:r w:rsidR="00BB4FAB">
        <w:t>damaged.</w:t>
      </w:r>
      <w:r w:rsidR="00C141CD">
        <w:t xml:space="preserve"> </w:t>
      </w:r>
      <w:r w:rsidR="00406E45">
        <w:t xml:space="preserve">The negative impact increases with any increase in </w:t>
      </w:r>
      <w:r w:rsidR="008B0058">
        <w:t xml:space="preserve">the </w:t>
      </w:r>
      <w:r w:rsidR="00406E45">
        <w:t>number</w:t>
      </w:r>
      <w:r w:rsidR="008B0058">
        <w:t xml:space="preserve"> (and proportion) of students leaving with scholarships</w:t>
      </w:r>
      <w:r w:rsidR="0037789D">
        <w:t xml:space="preserve">. </w:t>
      </w:r>
      <w:r w:rsidR="00962025">
        <w:t>Not only is</w:t>
      </w:r>
      <w:r w:rsidR="00124B2C">
        <w:t xml:space="preserve"> the peer group affected by the loss of educationally keen role models, but the school may lose staff, especially in important </w:t>
      </w:r>
      <w:proofErr w:type="spellStart"/>
      <w:r w:rsidR="00124B2C">
        <w:t>specialisations</w:t>
      </w:r>
      <w:proofErr w:type="spellEnd"/>
      <w:r w:rsidR="00124B2C">
        <w:t xml:space="preserve"> such as </w:t>
      </w:r>
      <w:proofErr w:type="spellStart"/>
      <w:r w:rsidR="00124B2C">
        <w:t>maths</w:t>
      </w:r>
      <w:proofErr w:type="spellEnd"/>
      <w:r w:rsidR="00124B2C">
        <w:t>.</w:t>
      </w:r>
      <w:r w:rsidR="00892367">
        <w:t xml:space="preserve"> The school is also likely to lose the </w:t>
      </w:r>
      <w:r w:rsidR="00EB6547">
        <w:t xml:space="preserve">support and advocacy of the families of the scholarship recipients (who have already shown their support for education </w:t>
      </w:r>
      <w:r w:rsidR="00004E1A">
        <w:t>b</w:t>
      </w:r>
      <w:r w:rsidR="00EB6547">
        <w:t>y su</w:t>
      </w:r>
      <w:r w:rsidR="00004E1A">
        <w:t xml:space="preserve">pporting their child’s application for the scholarship). </w:t>
      </w:r>
      <w:r w:rsidR="00004E1A" w:rsidRPr="00562D1D">
        <w:rPr>
          <w:b/>
          <w:bCs/>
        </w:rPr>
        <w:t>Scholarship programs</w:t>
      </w:r>
      <w:r w:rsidR="009F2C6F" w:rsidRPr="00562D1D">
        <w:rPr>
          <w:b/>
          <w:bCs/>
        </w:rPr>
        <w:t xml:space="preserve"> can seriously </w:t>
      </w:r>
      <w:proofErr w:type="spellStart"/>
      <w:r w:rsidR="009F2C6F" w:rsidRPr="00562D1D">
        <w:rPr>
          <w:b/>
          <w:bCs/>
        </w:rPr>
        <w:t>residualise</w:t>
      </w:r>
      <w:proofErr w:type="spellEnd"/>
      <w:r w:rsidR="009F2C6F" w:rsidRPr="00562D1D">
        <w:rPr>
          <w:b/>
          <w:bCs/>
        </w:rPr>
        <w:t xml:space="preserve"> </w:t>
      </w:r>
      <w:r w:rsidR="00562D1D" w:rsidRPr="00562D1D">
        <w:rPr>
          <w:b/>
          <w:bCs/>
        </w:rPr>
        <w:t>schools in disadvantaged communities</w:t>
      </w:r>
      <w:r w:rsidR="00004E1A">
        <w:t xml:space="preserve">, especially </w:t>
      </w:r>
      <w:r w:rsidR="009F2C6F">
        <w:t>if large numbers from relatively small communities are involved</w:t>
      </w:r>
      <w:r w:rsidR="00562D1D">
        <w:t>.</w:t>
      </w:r>
      <w:r w:rsidR="00EB6547">
        <w:t xml:space="preserve"> </w:t>
      </w:r>
      <w:r w:rsidR="00892367">
        <w:t xml:space="preserve"> </w:t>
      </w:r>
      <w:r w:rsidR="00E028CB">
        <w:t xml:space="preserve"> </w:t>
      </w:r>
      <w:r w:rsidR="00267145">
        <w:t xml:space="preserve">  </w:t>
      </w:r>
      <w:r w:rsidR="009156F7">
        <w:t xml:space="preserve"> </w:t>
      </w:r>
      <w:r w:rsidR="00A80119">
        <w:t xml:space="preserve"> </w:t>
      </w:r>
      <w:r w:rsidR="00E821FE">
        <w:t xml:space="preserve"> </w:t>
      </w:r>
    </w:p>
    <w:p w14:paraId="5D7842E0" w14:textId="19AA1A13" w:rsidR="00E972DC" w:rsidRPr="00CA124A" w:rsidRDefault="000F19D7" w:rsidP="00E972DC">
      <w:r>
        <w:t>My experience</w:t>
      </w:r>
      <w:r w:rsidR="00196464">
        <w:t>, detailed in the footnote</w:t>
      </w:r>
      <w:r>
        <w:rPr>
          <w:rStyle w:val="FootnoteReference"/>
        </w:rPr>
        <w:footnoteReference w:id="2"/>
      </w:r>
      <w:r w:rsidR="00FF7C28">
        <w:t>, provi</w:t>
      </w:r>
      <w:r w:rsidR="002A2CFD">
        <w:t>d</w:t>
      </w:r>
      <w:r w:rsidR="00FF7C28">
        <w:t>es an example of the i</w:t>
      </w:r>
      <w:r w:rsidR="002A2CFD">
        <w:t>m</w:t>
      </w:r>
      <w:r w:rsidR="00FF7C28">
        <w:t xml:space="preserve">pact of depleting </w:t>
      </w:r>
      <w:r w:rsidR="002A2CFD">
        <w:t xml:space="preserve">local schools of </w:t>
      </w:r>
      <w:r w:rsidR="00FE5F51">
        <w:t xml:space="preserve">secondary students </w:t>
      </w:r>
      <w:r w:rsidR="00346F26">
        <w:t>who are</w:t>
      </w:r>
      <w:r w:rsidR="00FE5F51">
        <w:t xml:space="preserve"> </w:t>
      </w:r>
      <w:r w:rsidR="00D110F8">
        <w:t xml:space="preserve">educationally aspiring and higher achieving </w:t>
      </w:r>
      <w:r w:rsidR="00F20ED0">
        <w:t xml:space="preserve">- </w:t>
      </w:r>
      <w:r w:rsidR="00D110F8">
        <w:t>or just from higher income families</w:t>
      </w:r>
      <w:r w:rsidR="00F20ED0">
        <w:t>.</w:t>
      </w:r>
      <w:r w:rsidR="002A2CFD">
        <w:t xml:space="preserve"> </w:t>
      </w:r>
    </w:p>
    <w:p w14:paraId="69AA6968" w14:textId="77777777" w:rsidR="00E972DC" w:rsidRDefault="00E972DC" w:rsidP="00E972DC">
      <w:pPr>
        <w:pStyle w:val="Recommendation"/>
      </w:pPr>
      <w:r>
        <w:lastRenderedPageBreak/>
        <w:t xml:space="preserve">  </w:t>
      </w:r>
    </w:p>
    <w:p w14:paraId="16D2522F" w14:textId="6FA6BE28" w:rsidR="002B6406" w:rsidRPr="00440D24" w:rsidRDefault="00E972DC" w:rsidP="00440D24">
      <w:pPr>
        <w:pStyle w:val="ListParagraph"/>
        <w:numPr>
          <w:ilvl w:val="0"/>
          <w:numId w:val="31"/>
        </w:numPr>
        <w:rPr>
          <w:rFonts w:ascii="Garamond" w:hAnsi="Garamond"/>
        </w:rPr>
      </w:pPr>
      <w:r w:rsidRPr="00440D24">
        <w:rPr>
          <w:rFonts w:ascii="Garamond" w:hAnsi="Garamond"/>
        </w:rPr>
        <w:t xml:space="preserve">That the Commission </w:t>
      </w:r>
      <w:r w:rsidR="00FF2DE4" w:rsidRPr="00440D24">
        <w:rPr>
          <w:rFonts w:ascii="Garamond" w:hAnsi="Garamond"/>
        </w:rPr>
        <w:t>ensure</w:t>
      </w:r>
      <w:r w:rsidR="00496562" w:rsidRPr="00440D24">
        <w:rPr>
          <w:rFonts w:ascii="Garamond" w:hAnsi="Garamond"/>
        </w:rPr>
        <w:t>s</w:t>
      </w:r>
      <w:r w:rsidR="00FF2DE4" w:rsidRPr="00440D24">
        <w:rPr>
          <w:rFonts w:ascii="Garamond" w:hAnsi="Garamond"/>
        </w:rPr>
        <w:t xml:space="preserve"> that e</w:t>
      </w:r>
      <w:r w:rsidR="00DC2B04" w:rsidRPr="00440D24">
        <w:rPr>
          <w:rFonts w:ascii="Garamond" w:hAnsi="Garamond"/>
        </w:rPr>
        <w:t xml:space="preserve">xternalities and unintended consequences </w:t>
      </w:r>
      <w:r w:rsidR="00FF2DE4" w:rsidRPr="00440D24">
        <w:rPr>
          <w:rFonts w:ascii="Garamond" w:hAnsi="Garamond"/>
        </w:rPr>
        <w:t>are</w:t>
      </w:r>
      <w:r w:rsidR="00DC2B04" w:rsidRPr="00440D24">
        <w:rPr>
          <w:rFonts w:ascii="Garamond" w:hAnsi="Garamond"/>
        </w:rPr>
        <w:t xml:space="preserve"> anticipated and </w:t>
      </w:r>
      <w:proofErr w:type="gramStart"/>
      <w:r w:rsidR="00DC2B04" w:rsidRPr="00440D24">
        <w:rPr>
          <w:rFonts w:ascii="Garamond" w:hAnsi="Garamond"/>
        </w:rPr>
        <w:t>taken into account</w:t>
      </w:r>
      <w:proofErr w:type="gramEnd"/>
      <w:r w:rsidR="00DC2B04" w:rsidRPr="00440D24">
        <w:rPr>
          <w:rFonts w:ascii="Garamond" w:hAnsi="Garamond"/>
        </w:rPr>
        <w:t xml:space="preserve"> in </w:t>
      </w:r>
      <w:r w:rsidR="00440D24" w:rsidRPr="00440D24">
        <w:rPr>
          <w:rFonts w:ascii="Garamond" w:hAnsi="Garamond"/>
        </w:rPr>
        <w:t>its</w:t>
      </w:r>
      <w:r w:rsidR="00DC2B04" w:rsidRPr="00440D24">
        <w:rPr>
          <w:rFonts w:ascii="Garamond" w:hAnsi="Garamond"/>
        </w:rPr>
        <w:t xml:space="preserve"> </w:t>
      </w:r>
      <w:r w:rsidR="00E61174">
        <w:rPr>
          <w:rFonts w:ascii="Garamond" w:hAnsi="Garamond"/>
        </w:rPr>
        <w:t xml:space="preserve">analysis and </w:t>
      </w:r>
      <w:r w:rsidR="00DC2B04" w:rsidRPr="00440D24">
        <w:rPr>
          <w:rFonts w:ascii="Garamond" w:hAnsi="Garamond"/>
        </w:rPr>
        <w:t>recommendations</w:t>
      </w:r>
      <w:r w:rsidR="002B6406" w:rsidRPr="00440D24">
        <w:rPr>
          <w:rFonts w:ascii="Garamond" w:hAnsi="Garamond"/>
        </w:rPr>
        <w:t xml:space="preserve">. </w:t>
      </w:r>
      <w:r w:rsidR="003D2D15">
        <w:rPr>
          <w:rFonts w:ascii="Garamond" w:hAnsi="Garamond"/>
        </w:rPr>
        <w:t>For example, in the final draft of the Commission’s report, that the content of Box 9.1 (or similar)</w:t>
      </w:r>
      <w:r w:rsidR="000E1753">
        <w:rPr>
          <w:rFonts w:ascii="Garamond" w:hAnsi="Garamond"/>
        </w:rPr>
        <w:t xml:space="preserve"> explicitly</w:t>
      </w:r>
      <w:r w:rsidR="003D2D15">
        <w:rPr>
          <w:rFonts w:ascii="Garamond" w:hAnsi="Garamond"/>
        </w:rPr>
        <w:t xml:space="preserve"> </w:t>
      </w:r>
      <w:proofErr w:type="gramStart"/>
      <w:r w:rsidR="00471B5A">
        <w:rPr>
          <w:rFonts w:ascii="Garamond" w:hAnsi="Garamond"/>
        </w:rPr>
        <w:t>include</w:t>
      </w:r>
      <w:proofErr w:type="gramEnd"/>
      <w:r w:rsidR="00471B5A">
        <w:rPr>
          <w:rFonts w:ascii="Garamond" w:hAnsi="Garamond"/>
        </w:rPr>
        <w:t xml:space="preserve"> externalities and unintended consequences </w:t>
      </w:r>
      <w:r w:rsidR="00E61174">
        <w:rPr>
          <w:rFonts w:ascii="Garamond" w:hAnsi="Garamond"/>
        </w:rPr>
        <w:t>as Outcomes.</w:t>
      </w:r>
    </w:p>
    <w:p w14:paraId="4FC7C9EF" w14:textId="76DA3E5E" w:rsidR="00E972DC" w:rsidRPr="00E33F22" w:rsidRDefault="002B6406" w:rsidP="00E972DC">
      <w:pPr>
        <w:pStyle w:val="ListParagraph"/>
        <w:numPr>
          <w:ilvl w:val="0"/>
          <w:numId w:val="31"/>
        </w:numPr>
        <w:rPr>
          <w:lang w:val="en-AU"/>
        </w:rPr>
      </w:pPr>
      <w:r w:rsidRPr="00E33F22">
        <w:rPr>
          <w:rFonts w:ascii="Garamond" w:hAnsi="Garamond"/>
        </w:rPr>
        <w:t xml:space="preserve">That </w:t>
      </w:r>
      <w:r w:rsidR="00440D24" w:rsidRPr="00E33F22">
        <w:rPr>
          <w:rFonts w:ascii="Garamond" w:hAnsi="Garamond"/>
        </w:rPr>
        <w:t xml:space="preserve">the Commission recommends </w:t>
      </w:r>
      <w:r w:rsidR="00DC1430" w:rsidRPr="00E33F22">
        <w:rPr>
          <w:rFonts w:ascii="Garamond" w:hAnsi="Garamond"/>
        </w:rPr>
        <w:t>that philanthropic organisations undertake periodic</w:t>
      </w:r>
      <w:r w:rsidR="00A50D35" w:rsidRPr="00E33F22">
        <w:rPr>
          <w:rFonts w:ascii="Garamond" w:hAnsi="Garamond"/>
        </w:rPr>
        <w:t>, rigorous</w:t>
      </w:r>
      <w:r w:rsidR="00DC1430" w:rsidRPr="00E33F22">
        <w:rPr>
          <w:rFonts w:ascii="Garamond" w:hAnsi="Garamond"/>
        </w:rPr>
        <w:t xml:space="preserve"> external evaluations of their </w:t>
      </w:r>
      <w:r w:rsidR="00A50D35" w:rsidRPr="00E33F22">
        <w:rPr>
          <w:rFonts w:ascii="Garamond" w:hAnsi="Garamond"/>
        </w:rPr>
        <w:t>programs</w:t>
      </w:r>
      <w:r w:rsidR="00AB0DE7">
        <w:rPr>
          <w:rFonts w:ascii="Garamond" w:hAnsi="Garamond"/>
        </w:rPr>
        <w:t>,</w:t>
      </w:r>
      <w:r w:rsidR="00A50D35" w:rsidRPr="00E33F22">
        <w:rPr>
          <w:rFonts w:ascii="Garamond" w:hAnsi="Garamond"/>
        </w:rPr>
        <w:t xml:space="preserve"> and that those evaluations include </w:t>
      </w:r>
      <w:r w:rsidR="00E33F22" w:rsidRPr="00E33F22">
        <w:rPr>
          <w:rFonts w:ascii="Garamond" w:hAnsi="Garamond"/>
        </w:rPr>
        <w:t xml:space="preserve">externalities and unintended consequences </w:t>
      </w:r>
      <w:r w:rsidR="00355CF2">
        <w:rPr>
          <w:rFonts w:ascii="Garamond" w:hAnsi="Garamond"/>
        </w:rPr>
        <w:t>among</w:t>
      </w:r>
      <w:r w:rsidR="00E33F22" w:rsidRPr="00E33F22">
        <w:rPr>
          <w:rFonts w:ascii="Garamond" w:hAnsi="Garamond"/>
        </w:rPr>
        <w:t xml:space="preserve"> in their criteria. </w:t>
      </w:r>
    </w:p>
    <w:p w14:paraId="2EEB67AC" w14:textId="29F93664" w:rsidR="00C74C8E" w:rsidRDefault="00E8067C" w:rsidP="00B615A9">
      <w:pPr>
        <w:pStyle w:val="Heading"/>
      </w:pPr>
      <w:r>
        <w:t xml:space="preserve">Concern with commitment to double philanthropic giving by </w:t>
      </w:r>
      <w:r w:rsidR="00583E7C">
        <w:t>2030</w:t>
      </w:r>
    </w:p>
    <w:p w14:paraId="01971B76" w14:textId="74859CC1" w:rsidR="00E414C1" w:rsidRDefault="00F7417F" w:rsidP="00E414C1">
      <w:pPr>
        <w:rPr>
          <w:lang w:val="en-AU"/>
        </w:rPr>
      </w:pPr>
      <w:r>
        <w:rPr>
          <w:lang w:val="en-AU"/>
        </w:rPr>
        <w:t xml:space="preserve">I am concerned that the Government’s </w:t>
      </w:r>
      <w:r w:rsidR="000921DF">
        <w:rPr>
          <w:lang w:val="en-AU"/>
        </w:rPr>
        <w:t>co</w:t>
      </w:r>
      <w:r w:rsidR="00E1132E">
        <w:rPr>
          <w:lang w:val="en-AU"/>
        </w:rPr>
        <w:t>mmitment to ‘double philanthropic giving by 20</w:t>
      </w:r>
      <w:r w:rsidR="00770BB6">
        <w:rPr>
          <w:lang w:val="en-AU"/>
        </w:rPr>
        <w:t xml:space="preserve">30’ might </w:t>
      </w:r>
      <w:r w:rsidR="00A03326">
        <w:rPr>
          <w:lang w:val="en-AU"/>
        </w:rPr>
        <w:t>come at the expense of</w:t>
      </w:r>
      <w:r w:rsidR="00F44897">
        <w:rPr>
          <w:lang w:val="en-AU"/>
        </w:rPr>
        <w:t xml:space="preserve"> the objectives of philanth</w:t>
      </w:r>
      <w:r w:rsidR="001D75FE">
        <w:rPr>
          <w:lang w:val="en-AU"/>
        </w:rPr>
        <w:t>r</w:t>
      </w:r>
      <w:r w:rsidR="00F44897">
        <w:rPr>
          <w:lang w:val="en-AU"/>
        </w:rPr>
        <w:t>opy</w:t>
      </w:r>
      <w:r w:rsidR="00893F92">
        <w:rPr>
          <w:lang w:val="en-AU"/>
        </w:rPr>
        <w:t xml:space="preserve">, and the integrity and democratic fairness of the </w:t>
      </w:r>
      <w:proofErr w:type="gramStart"/>
      <w:r w:rsidR="00893F92">
        <w:rPr>
          <w:lang w:val="en-AU"/>
        </w:rPr>
        <w:t>system as a whole</w:t>
      </w:r>
      <w:proofErr w:type="gramEnd"/>
      <w:r w:rsidR="00893F92">
        <w:rPr>
          <w:lang w:val="en-AU"/>
        </w:rPr>
        <w:t>.</w:t>
      </w:r>
      <w:r w:rsidR="00B201A0">
        <w:rPr>
          <w:lang w:val="en-AU"/>
        </w:rPr>
        <w:t xml:space="preserve"> </w:t>
      </w:r>
    </w:p>
    <w:p w14:paraId="4AC3DF58" w14:textId="681F1686" w:rsidR="00576EA9" w:rsidRPr="00E414C1" w:rsidRDefault="00576EA9" w:rsidP="00E414C1">
      <w:pPr>
        <w:rPr>
          <w:lang w:val="en-AU"/>
        </w:rPr>
      </w:pPr>
      <w:r>
        <w:rPr>
          <w:lang w:val="en-AU"/>
        </w:rPr>
        <w:t xml:space="preserve">I am also concerned that </w:t>
      </w:r>
      <w:r w:rsidR="001B494F">
        <w:rPr>
          <w:lang w:val="en-AU"/>
        </w:rPr>
        <w:t>governments (this and subsequent governments at all levels)</w:t>
      </w:r>
      <w:r w:rsidR="00237E97">
        <w:rPr>
          <w:lang w:val="en-AU"/>
        </w:rPr>
        <w:t xml:space="preserve"> might</w:t>
      </w:r>
      <w:r w:rsidR="00484339">
        <w:rPr>
          <w:lang w:val="en-AU"/>
        </w:rPr>
        <w:t xml:space="preserve"> with</w:t>
      </w:r>
      <w:r w:rsidR="00C018B4">
        <w:rPr>
          <w:lang w:val="en-AU"/>
        </w:rPr>
        <w:t>d</w:t>
      </w:r>
      <w:r w:rsidR="00484339">
        <w:rPr>
          <w:lang w:val="en-AU"/>
        </w:rPr>
        <w:t xml:space="preserve">raw from responsibilities that are rightly those of government in the hope that philanthropy will cover the need. </w:t>
      </w:r>
    </w:p>
    <w:p w14:paraId="7A61D54C" w14:textId="0A06CB3E" w:rsidR="00F60539" w:rsidRDefault="0002201A" w:rsidP="0049581E">
      <w:pPr>
        <w:pStyle w:val="Recommendation"/>
      </w:pPr>
      <w:r>
        <w:t xml:space="preserve">  </w:t>
      </w:r>
    </w:p>
    <w:p w14:paraId="10879CEE" w14:textId="665FF38F" w:rsidR="0002201A" w:rsidRDefault="0002201A" w:rsidP="0002201A">
      <w:pPr>
        <w:ind w:left="357"/>
        <w:rPr>
          <w:rFonts w:ascii="Garamond" w:hAnsi="Garamond"/>
        </w:rPr>
      </w:pPr>
      <w:r>
        <w:rPr>
          <w:rFonts w:ascii="Garamond" w:hAnsi="Garamond"/>
        </w:rPr>
        <w:t xml:space="preserve">That the </w:t>
      </w:r>
      <w:r w:rsidR="00D669B4">
        <w:rPr>
          <w:rFonts w:ascii="Garamond" w:hAnsi="Garamond"/>
        </w:rPr>
        <w:t xml:space="preserve">Commission recommend that the Government give lesser priority to its goal of </w:t>
      </w:r>
      <w:r w:rsidR="006236B4">
        <w:rPr>
          <w:rFonts w:ascii="Garamond" w:hAnsi="Garamond"/>
        </w:rPr>
        <w:t xml:space="preserve">doubling philanthropic giving by </w:t>
      </w:r>
      <w:r w:rsidR="00CB7400">
        <w:rPr>
          <w:rFonts w:ascii="Garamond" w:hAnsi="Garamond"/>
        </w:rPr>
        <w:t>2030 than ensuring that the philanthropic system</w:t>
      </w:r>
      <w:r w:rsidR="00693B43">
        <w:rPr>
          <w:rFonts w:ascii="Garamond" w:hAnsi="Garamond"/>
        </w:rPr>
        <w:t xml:space="preserve"> is meeting </w:t>
      </w:r>
      <w:r w:rsidR="00081835">
        <w:rPr>
          <w:rFonts w:ascii="Garamond" w:hAnsi="Garamond"/>
        </w:rPr>
        <w:t>explicit</w:t>
      </w:r>
      <w:r w:rsidR="00693B43">
        <w:rPr>
          <w:rFonts w:ascii="Garamond" w:hAnsi="Garamond"/>
        </w:rPr>
        <w:t xml:space="preserve"> objectives, </w:t>
      </w:r>
      <w:r w:rsidR="00081835">
        <w:rPr>
          <w:rFonts w:ascii="Garamond" w:hAnsi="Garamond"/>
        </w:rPr>
        <w:t xml:space="preserve">does not have unintended negative outcomes, </w:t>
      </w:r>
      <w:r w:rsidR="009D111F">
        <w:rPr>
          <w:rFonts w:ascii="Garamond" w:hAnsi="Garamond"/>
        </w:rPr>
        <w:t xml:space="preserve">is fair, </w:t>
      </w:r>
      <w:r w:rsidR="00081835">
        <w:rPr>
          <w:rFonts w:ascii="Garamond" w:hAnsi="Garamond"/>
        </w:rPr>
        <w:t>and</w:t>
      </w:r>
      <w:r w:rsidR="00CB7400">
        <w:rPr>
          <w:rFonts w:ascii="Garamond" w:hAnsi="Garamond"/>
        </w:rPr>
        <w:t xml:space="preserve"> </w:t>
      </w:r>
      <w:r w:rsidR="00693B43">
        <w:rPr>
          <w:rFonts w:ascii="Garamond" w:hAnsi="Garamond"/>
        </w:rPr>
        <w:t>has integrity</w:t>
      </w:r>
      <w:r w:rsidR="00230EEC">
        <w:rPr>
          <w:rFonts w:ascii="Garamond" w:hAnsi="Garamond"/>
        </w:rPr>
        <w:t>.</w:t>
      </w:r>
      <w:r w:rsidR="00693B43">
        <w:rPr>
          <w:rFonts w:ascii="Garamond" w:hAnsi="Garamond"/>
        </w:rPr>
        <w:t xml:space="preserve"> </w:t>
      </w:r>
    </w:p>
    <w:p w14:paraId="7F780377" w14:textId="2B2EBC10" w:rsidR="007E0ECD" w:rsidRPr="0002201A" w:rsidRDefault="009C6133" w:rsidP="007E0ECD">
      <w:pPr>
        <w:ind w:left="357"/>
        <w:rPr>
          <w:rFonts w:ascii="Garamond" w:hAnsi="Garamond"/>
        </w:rPr>
      </w:pPr>
      <w:r>
        <w:rPr>
          <w:rFonts w:ascii="Garamond" w:hAnsi="Garamond"/>
        </w:rPr>
        <w:t xml:space="preserve">That the Commission recommend </w:t>
      </w:r>
      <w:r w:rsidR="00502917">
        <w:rPr>
          <w:rFonts w:ascii="Garamond" w:hAnsi="Garamond"/>
        </w:rPr>
        <w:t xml:space="preserve">that the Government ensure that it is not transferring </w:t>
      </w:r>
      <w:r w:rsidR="00316D41">
        <w:rPr>
          <w:rFonts w:ascii="Garamond" w:hAnsi="Garamond"/>
        </w:rPr>
        <w:t xml:space="preserve">to philanthropic organisations </w:t>
      </w:r>
      <w:r w:rsidR="00502917">
        <w:rPr>
          <w:rFonts w:ascii="Garamond" w:hAnsi="Garamond"/>
        </w:rPr>
        <w:t>what are rightly government responsibilities</w:t>
      </w:r>
      <w:r w:rsidR="00576EA9">
        <w:rPr>
          <w:rFonts w:ascii="Garamond" w:hAnsi="Garamond"/>
        </w:rPr>
        <w:t xml:space="preserve"> </w:t>
      </w:r>
    </w:p>
    <w:p w14:paraId="3A3509F5" w14:textId="1357DA90" w:rsidR="007E0ECD" w:rsidRDefault="00C96278" w:rsidP="00611BE7">
      <w:pPr>
        <w:pStyle w:val="Heading"/>
      </w:pPr>
      <w:r>
        <w:t xml:space="preserve">Tax expenditures </w:t>
      </w:r>
      <w:r w:rsidR="00066458">
        <w:t xml:space="preserve">and other subsidies </w:t>
      </w:r>
      <w:r>
        <w:t xml:space="preserve">at other levels of </w:t>
      </w:r>
      <w:proofErr w:type="gramStart"/>
      <w:r>
        <w:t>government</w:t>
      </w:r>
      <w:proofErr w:type="gramEnd"/>
    </w:p>
    <w:p w14:paraId="22040324" w14:textId="7CC07FA2" w:rsidR="002B42EA" w:rsidRDefault="00D832A3" w:rsidP="002B42EA">
      <w:r>
        <w:rPr>
          <w:lang w:val="en-AU"/>
        </w:rPr>
        <w:t>As noted in the draft report</w:t>
      </w:r>
      <w:r w:rsidR="00E8708F">
        <w:rPr>
          <w:lang w:val="en-AU"/>
        </w:rPr>
        <w:t>, as well as</w:t>
      </w:r>
      <w:r w:rsidR="005612F3">
        <w:rPr>
          <w:lang w:val="en-AU"/>
        </w:rPr>
        <w:t xml:space="preserve"> government</w:t>
      </w:r>
      <w:r w:rsidR="00EB5F97">
        <w:rPr>
          <w:lang w:val="en-AU"/>
        </w:rPr>
        <w:t>-</w:t>
      </w:r>
      <w:r w:rsidR="005612F3">
        <w:rPr>
          <w:lang w:val="en-AU"/>
        </w:rPr>
        <w:t>subsidised donations, Australian, s</w:t>
      </w:r>
      <w:proofErr w:type="spellStart"/>
      <w:r w:rsidR="00A1072C">
        <w:t>tate</w:t>
      </w:r>
      <w:proofErr w:type="spellEnd"/>
      <w:r w:rsidR="00A1072C">
        <w:t xml:space="preserve">, territory and local governments may offer </w:t>
      </w:r>
      <w:r w:rsidR="005612F3">
        <w:t xml:space="preserve">other tax </w:t>
      </w:r>
      <w:r w:rsidR="00A1072C">
        <w:t>concessions</w:t>
      </w:r>
      <w:r w:rsidR="003466CF">
        <w:t xml:space="preserve"> and support</w:t>
      </w:r>
      <w:r w:rsidR="00A1072C">
        <w:t xml:space="preserve"> to charities</w:t>
      </w:r>
      <w:r w:rsidR="003466CF">
        <w:t xml:space="preserve">, including </w:t>
      </w:r>
      <w:r w:rsidR="00EB5F97">
        <w:t xml:space="preserve">concessions </w:t>
      </w:r>
      <w:r w:rsidR="00A1072C">
        <w:t>on stamp duty, payroll tax</w:t>
      </w:r>
      <w:r w:rsidR="002B42EA">
        <w:t>,</w:t>
      </w:r>
      <w:r w:rsidR="00A1072C">
        <w:t xml:space="preserve"> land tax</w:t>
      </w:r>
      <w:r w:rsidR="002B42EA">
        <w:t>, and local government rates.</w:t>
      </w:r>
    </w:p>
    <w:p w14:paraId="7E3B7E42" w14:textId="77777777" w:rsidR="00E836B6" w:rsidRDefault="00E836B6" w:rsidP="00E836B6">
      <w:pPr>
        <w:pStyle w:val="Recommendation"/>
      </w:pPr>
      <w:r>
        <w:t xml:space="preserve">  </w:t>
      </w:r>
    </w:p>
    <w:p w14:paraId="22F6082E" w14:textId="265BAB68" w:rsidR="00A1072C" w:rsidRPr="006C4A02" w:rsidRDefault="00E836B6" w:rsidP="00E836B6">
      <w:pPr>
        <w:pStyle w:val="Recommendation"/>
        <w:numPr>
          <w:ilvl w:val="0"/>
          <w:numId w:val="0"/>
        </w:numPr>
        <w:ind w:left="360"/>
        <w:rPr>
          <w:b w:val="0"/>
          <w:bCs w:val="0"/>
        </w:rPr>
      </w:pPr>
      <w:r w:rsidRPr="006C4A02">
        <w:rPr>
          <w:rFonts w:ascii="Garamond" w:hAnsi="Garamond"/>
          <w:b w:val="0"/>
          <w:bCs w:val="0"/>
        </w:rPr>
        <w:t>That</w:t>
      </w:r>
      <w:r w:rsidR="006C4A02">
        <w:rPr>
          <w:rFonts w:ascii="Garamond" w:hAnsi="Garamond"/>
          <w:b w:val="0"/>
          <w:bCs w:val="0"/>
        </w:rPr>
        <w:t xml:space="preserve"> the Commission recommend that all levels or government </w:t>
      </w:r>
      <w:r w:rsidR="008D42E7">
        <w:rPr>
          <w:rFonts w:ascii="Garamond" w:hAnsi="Garamond"/>
          <w:b w:val="0"/>
          <w:bCs w:val="0"/>
        </w:rPr>
        <w:t>adhere to appropriate princip</w:t>
      </w:r>
      <w:r w:rsidR="00D45E3A">
        <w:rPr>
          <w:rFonts w:ascii="Garamond" w:hAnsi="Garamond"/>
          <w:b w:val="0"/>
          <w:bCs w:val="0"/>
        </w:rPr>
        <w:t>l</w:t>
      </w:r>
      <w:r w:rsidR="008D42E7">
        <w:rPr>
          <w:rFonts w:ascii="Garamond" w:hAnsi="Garamond"/>
          <w:b w:val="0"/>
          <w:bCs w:val="0"/>
        </w:rPr>
        <w:t>e</w:t>
      </w:r>
      <w:r w:rsidR="00D45E3A">
        <w:rPr>
          <w:rFonts w:ascii="Garamond" w:hAnsi="Garamond"/>
          <w:b w:val="0"/>
          <w:bCs w:val="0"/>
        </w:rPr>
        <w:t>s</w:t>
      </w:r>
      <w:r w:rsidR="008D42E7">
        <w:rPr>
          <w:rFonts w:ascii="Garamond" w:hAnsi="Garamond"/>
          <w:b w:val="0"/>
          <w:bCs w:val="0"/>
        </w:rPr>
        <w:t xml:space="preserve"> in their support for </w:t>
      </w:r>
      <w:r w:rsidR="00D45E3A">
        <w:rPr>
          <w:rFonts w:ascii="Garamond" w:hAnsi="Garamond"/>
          <w:b w:val="0"/>
          <w:bCs w:val="0"/>
        </w:rPr>
        <w:t>philanthropic</w:t>
      </w:r>
      <w:r w:rsidR="008D42E7">
        <w:rPr>
          <w:rFonts w:ascii="Garamond" w:hAnsi="Garamond"/>
          <w:b w:val="0"/>
          <w:bCs w:val="0"/>
        </w:rPr>
        <w:t xml:space="preserve"> activities</w:t>
      </w:r>
      <w:r w:rsidR="00D45E3A">
        <w:rPr>
          <w:rFonts w:ascii="Garamond" w:hAnsi="Garamond"/>
          <w:b w:val="0"/>
          <w:bCs w:val="0"/>
        </w:rPr>
        <w:t xml:space="preserve">. This includes </w:t>
      </w:r>
      <w:r w:rsidR="0041072F">
        <w:rPr>
          <w:rFonts w:ascii="Garamond" w:hAnsi="Garamond"/>
          <w:b w:val="0"/>
          <w:bCs w:val="0"/>
        </w:rPr>
        <w:t>phasing out current support that is not consistent with appropriate philanthropic principles</w:t>
      </w:r>
      <w:r w:rsidR="00267153">
        <w:rPr>
          <w:rFonts w:ascii="Garamond" w:hAnsi="Garamond"/>
          <w:b w:val="0"/>
          <w:bCs w:val="0"/>
        </w:rPr>
        <w:t>.</w:t>
      </w:r>
      <w:r w:rsidR="008D42E7">
        <w:rPr>
          <w:rFonts w:ascii="Garamond" w:hAnsi="Garamond"/>
          <w:b w:val="0"/>
          <w:bCs w:val="0"/>
        </w:rPr>
        <w:t xml:space="preserve"> </w:t>
      </w:r>
    </w:p>
    <w:p w14:paraId="4EDF24E5" w14:textId="0D275D5A" w:rsidR="00F60539" w:rsidRDefault="00017D67" w:rsidP="00611BE7">
      <w:pPr>
        <w:pStyle w:val="Heading"/>
      </w:pPr>
      <w:r>
        <w:t>Not claiming a tax deduction</w:t>
      </w:r>
      <w:r w:rsidR="006E4033">
        <w:t>: Information request 4.1</w:t>
      </w:r>
    </w:p>
    <w:p w14:paraId="3619D4A1" w14:textId="77777777" w:rsidR="0020220D" w:rsidRDefault="006468A6" w:rsidP="00B33566">
      <w:pPr>
        <w:rPr>
          <w:lang w:val="en-AU"/>
        </w:rPr>
      </w:pPr>
      <w:r>
        <w:rPr>
          <w:lang w:val="en-AU"/>
        </w:rPr>
        <w:t xml:space="preserve">I donate several thousand dollars a year to organisations with </w:t>
      </w:r>
      <w:r w:rsidR="00A37860">
        <w:rPr>
          <w:lang w:val="en-AU"/>
        </w:rPr>
        <w:t xml:space="preserve">DGR as regular and one-off payments. I have been doing so for decades. </w:t>
      </w:r>
    </w:p>
    <w:p w14:paraId="334BA554" w14:textId="7C0A66E2" w:rsidR="006E4033" w:rsidRDefault="002B3076" w:rsidP="00B33566">
      <w:pPr>
        <w:rPr>
          <w:lang w:val="en-AU"/>
        </w:rPr>
      </w:pPr>
      <w:r>
        <w:rPr>
          <w:lang w:val="en-AU"/>
        </w:rPr>
        <w:t xml:space="preserve">I have seldom claimed tax deductions because I feel that the donation is my choice, and I should not require all Australians </w:t>
      </w:r>
      <w:r w:rsidR="00FD3BE8">
        <w:rPr>
          <w:lang w:val="en-AU"/>
        </w:rPr>
        <w:t xml:space="preserve">to subsidise my choice. </w:t>
      </w:r>
    </w:p>
    <w:p w14:paraId="28EED68A" w14:textId="24BC2A1F" w:rsidR="0020220D" w:rsidRDefault="0020220D" w:rsidP="00B33566">
      <w:pPr>
        <w:rPr>
          <w:lang w:val="en-AU"/>
        </w:rPr>
      </w:pPr>
      <w:r>
        <w:rPr>
          <w:lang w:val="en-AU"/>
        </w:rPr>
        <w:t>When I have claimed</w:t>
      </w:r>
      <w:r w:rsidR="00B25A85">
        <w:rPr>
          <w:lang w:val="en-AU"/>
        </w:rPr>
        <w:t>,</w:t>
      </w:r>
      <w:r>
        <w:rPr>
          <w:lang w:val="en-AU"/>
        </w:rPr>
        <w:t xml:space="preserve"> it is because I felt that the </w:t>
      </w:r>
      <w:r w:rsidR="00D41EF3">
        <w:rPr>
          <w:lang w:val="en-AU"/>
        </w:rPr>
        <w:t>needs that my donations suppor</w:t>
      </w:r>
      <w:r w:rsidR="00E2272A">
        <w:rPr>
          <w:lang w:val="en-AU"/>
        </w:rPr>
        <w:t>ted</w:t>
      </w:r>
      <w:r w:rsidR="00D41EF3">
        <w:rPr>
          <w:lang w:val="en-AU"/>
        </w:rPr>
        <w:t xml:space="preserve"> should</w:t>
      </w:r>
      <w:r w:rsidR="00B1038C">
        <w:rPr>
          <w:lang w:val="en-AU"/>
        </w:rPr>
        <w:t xml:space="preserve"> be supported through government direct expenditures</w:t>
      </w:r>
      <w:r w:rsidR="005003A9">
        <w:rPr>
          <w:lang w:val="en-AU"/>
        </w:rPr>
        <w:t xml:space="preserve"> – for example</w:t>
      </w:r>
      <w:r w:rsidR="00D83095">
        <w:rPr>
          <w:lang w:val="en-AU"/>
        </w:rPr>
        <w:t xml:space="preserve"> </w:t>
      </w:r>
      <w:r w:rsidR="002106FE">
        <w:rPr>
          <w:lang w:val="en-AU"/>
        </w:rPr>
        <w:t>when I</w:t>
      </w:r>
      <w:r w:rsidR="00BC43D9">
        <w:rPr>
          <w:lang w:val="en-AU"/>
        </w:rPr>
        <w:t xml:space="preserve"> have donated to food banks </w:t>
      </w:r>
      <w:r w:rsidR="008F7CFE">
        <w:rPr>
          <w:lang w:val="en-AU"/>
        </w:rPr>
        <w:t xml:space="preserve">providing meals </w:t>
      </w:r>
      <w:r w:rsidR="002106FE">
        <w:rPr>
          <w:lang w:val="en-AU"/>
        </w:rPr>
        <w:lastRenderedPageBreak/>
        <w:t>in everyday circumstances</w:t>
      </w:r>
      <w:r w:rsidR="009E3BFF">
        <w:rPr>
          <w:lang w:val="en-AU"/>
        </w:rPr>
        <w:t xml:space="preserve"> (</w:t>
      </w:r>
      <w:r w:rsidR="00C86422">
        <w:rPr>
          <w:lang w:val="en-AU"/>
        </w:rPr>
        <w:t xml:space="preserve">not in extraordinary emergency </w:t>
      </w:r>
      <w:r w:rsidR="00D47900">
        <w:rPr>
          <w:lang w:val="en-AU"/>
        </w:rPr>
        <w:t>situations</w:t>
      </w:r>
      <w:r w:rsidR="00026B3E">
        <w:rPr>
          <w:lang w:val="en-AU"/>
        </w:rPr>
        <w:t xml:space="preserve">) </w:t>
      </w:r>
      <w:r w:rsidR="00C86422">
        <w:rPr>
          <w:lang w:val="en-AU"/>
        </w:rPr>
        <w:t>to people on basic benefits or</w:t>
      </w:r>
      <w:r w:rsidR="00D47900">
        <w:rPr>
          <w:lang w:val="en-AU"/>
        </w:rPr>
        <w:t xml:space="preserve"> in intermittent employment.</w:t>
      </w:r>
    </w:p>
    <w:p w14:paraId="7486CDB8" w14:textId="7428ADF8" w:rsidR="006E4033" w:rsidRDefault="002C074B" w:rsidP="002C074B">
      <w:pPr>
        <w:pStyle w:val="Heading"/>
      </w:pPr>
      <w:r>
        <w:t>Principles for public information</w:t>
      </w:r>
    </w:p>
    <w:p w14:paraId="63A74720" w14:textId="6CB4139E" w:rsidR="00675F7E" w:rsidRDefault="00675F7E" w:rsidP="00B33566">
      <w:pPr>
        <w:rPr>
          <w:lang w:val="en-AU"/>
        </w:rPr>
      </w:pPr>
      <w:r>
        <w:rPr>
          <w:lang w:val="en-AU"/>
        </w:rPr>
        <w:t>It is less important for the public to be informed about donations that are not subsidised by tax expenditures than those that are because public funds are not involved</w:t>
      </w:r>
      <w:r w:rsidR="00A224DC">
        <w:rPr>
          <w:lang w:val="en-AU"/>
        </w:rPr>
        <w:t xml:space="preserve">. However, </w:t>
      </w:r>
      <w:r>
        <w:rPr>
          <w:lang w:val="en-AU"/>
        </w:rPr>
        <w:t>for research and policy purposes information about all donations and charitable activities should be available.</w:t>
      </w:r>
      <w:r w:rsidR="00B6061B">
        <w:rPr>
          <w:lang w:val="en-AU"/>
        </w:rPr>
        <w:t xml:space="preserve"> </w:t>
      </w:r>
      <w:r w:rsidR="00C34729">
        <w:rPr>
          <w:lang w:val="en-AU"/>
        </w:rPr>
        <w:t>In addition</w:t>
      </w:r>
      <w:r w:rsidR="00B6061B">
        <w:rPr>
          <w:lang w:val="en-AU"/>
        </w:rPr>
        <w:t xml:space="preserve">, it is important </w:t>
      </w:r>
      <w:r w:rsidR="00C34729">
        <w:rPr>
          <w:lang w:val="en-AU"/>
        </w:rPr>
        <w:t>that</w:t>
      </w:r>
      <w:r w:rsidR="00B6061B">
        <w:rPr>
          <w:lang w:val="en-AU"/>
        </w:rPr>
        <w:t xml:space="preserve"> the Commission </w:t>
      </w:r>
      <w:r w:rsidR="00C34729">
        <w:rPr>
          <w:lang w:val="en-AU"/>
        </w:rPr>
        <w:t>is</w:t>
      </w:r>
      <w:r w:rsidR="00B6061B">
        <w:rPr>
          <w:lang w:val="en-AU"/>
        </w:rPr>
        <w:t xml:space="preserve"> clear in providing dat</w:t>
      </w:r>
      <w:r w:rsidR="00DB5C96">
        <w:rPr>
          <w:lang w:val="en-AU"/>
        </w:rPr>
        <w:t xml:space="preserve">a that, for example, ATO data is </w:t>
      </w:r>
      <w:r w:rsidR="00C21F5F">
        <w:rPr>
          <w:lang w:val="en-AU"/>
        </w:rPr>
        <w:t xml:space="preserve">restricted to those claiming </w:t>
      </w:r>
      <w:r w:rsidR="00414E49">
        <w:rPr>
          <w:lang w:val="en-AU"/>
        </w:rPr>
        <w:t>deductions</w:t>
      </w:r>
      <w:r w:rsidR="00C21F5F">
        <w:rPr>
          <w:lang w:val="en-AU"/>
        </w:rPr>
        <w:t xml:space="preserve"> (or, in the future, credits)</w:t>
      </w:r>
      <w:r w:rsidR="00414E49">
        <w:rPr>
          <w:lang w:val="en-AU"/>
        </w:rPr>
        <w:t>, and not all donations.</w:t>
      </w:r>
    </w:p>
    <w:sectPr w:rsidR="00675F7E" w:rsidSect="00B75332">
      <w:footerReference w:type="default" r:id="rId12"/>
      <w:pgSz w:w="11906" w:h="16838"/>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E36A" w14:textId="77777777" w:rsidR="00B75332" w:rsidRDefault="00B75332" w:rsidP="000F19D7">
      <w:pPr>
        <w:spacing w:before="0" w:after="0" w:line="240" w:lineRule="auto"/>
      </w:pPr>
      <w:r>
        <w:separator/>
      </w:r>
    </w:p>
  </w:endnote>
  <w:endnote w:type="continuationSeparator" w:id="0">
    <w:p w14:paraId="19E0C3B3" w14:textId="77777777" w:rsidR="00B75332" w:rsidRDefault="00B75332" w:rsidP="000F1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22098"/>
      <w:docPartObj>
        <w:docPartGallery w:val="Page Numbers (Bottom of Page)"/>
        <w:docPartUnique/>
      </w:docPartObj>
    </w:sdtPr>
    <w:sdtEndPr>
      <w:rPr>
        <w:noProof/>
      </w:rPr>
    </w:sdtEndPr>
    <w:sdtContent>
      <w:p w14:paraId="135F5CF0" w14:textId="092EDFEC" w:rsidR="002F263A" w:rsidRDefault="002F26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28D2D" w14:textId="77777777" w:rsidR="002F263A" w:rsidRDefault="002F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85D5" w14:textId="77777777" w:rsidR="00B75332" w:rsidRDefault="00B75332" w:rsidP="000F19D7">
      <w:pPr>
        <w:spacing w:before="0" w:after="0" w:line="240" w:lineRule="auto"/>
      </w:pPr>
      <w:r>
        <w:separator/>
      </w:r>
    </w:p>
  </w:footnote>
  <w:footnote w:type="continuationSeparator" w:id="0">
    <w:p w14:paraId="088BCE75" w14:textId="77777777" w:rsidR="00B75332" w:rsidRDefault="00B75332" w:rsidP="000F19D7">
      <w:pPr>
        <w:spacing w:before="0" w:after="0" w:line="240" w:lineRule="auto"/>
      </w:pPr>
      <w:r>
        <w:continuationSeparator/>
      </w:r>
    </w:p>
  </w:footnote>
  <w:footnote w:id="1">
    <w:p w14:paraId="2271F564" w14:textId="2622EA29" w:rsidR="009478A8" w:rsidRPr="009478A8" w:rsidRDefault="009478A8">
      <w:pPr>
        <w:pStyle w:val="FootnoteText"/>
        <w:rPr>
          <w:lang w:val="en-GB"/>
        </w:rPr>
      </w:pPr>
      <w:r>
        <w:rPr>
          <w:rStyle w:val="FootnoteReference"/>
        </w:rPr>
        <w:footnoteRef/>
      </w:r>
      <w:r w:rsidR="00E069B4">
        <w:t xml:space="preserve"> A relevant personal experience:</w:t>
      </w:r>
      <w:r>
        <w:t xml:space="preserve"> </w:t>
      </w:r>
      <w:r>
        <w:rPr>
          <w:lang w:val="en-GB"/>
        </w:rPr>
        <w:t>I received a</w:t>
      </w:r>
      <w:r w:rsidR="001C27FD">
        <w:rPr>
          <w:lang w:val="en-GB"/>
        </w:rPr>
        <w:t xml:space="preserve"> </w:t>
      </w:r>
      <w:r>
        <w:rPr>
          <w:lang w:val="en-GB"/>
        </w:rPr>
        <w:t>scho</w:t>
      </w:r>
      <w:r w:rsidR="00A51163">
        <w:rPr>
          <w:lang w:val="en-GB"/>
        </w:rPr>
        <w:t xml:space="preserve">larship to a high fee independent school (which I would have </w:t>
      </w:r>
      <w:r w:rsidR="00E069B4">
        <w:rPr>
          <w:lang w:val="en-GB"/>
        </w:rPr>
        <w:t>attended without the scholarship)</w:t>
      </w:r>
      <w:r w:rsidR="00506172">
        <w:rPr>
          <w:lang w:val="en-GB"/>
        </w:rPr>
        <w:t>. My father was displeased when he subsequently received a letter from the school inviting</w:t>
      </w:r>
      <w:r w:rsidR="007C2827">
        <w:rPr>
          <w:lang w:val="en-GB"/>
        </w:rPr>
        <w:t xml:space="preserve"> him to make a </w:t>
      </w:r>
      <w:r w:rsidR="0017118E">
        <w:rPr>
          <w:lang w:val="en-GB"/>
        </w:rPr>
        <w:t>substantia</w:t>
      </w:r>
      <w:r w:rsidR="007409AC">
        <w:rPr>
          <w:lang w:val="en-GB"/>
        </w:rPr>
        <w:t xml:space="preserve">l </w:t>
      </w:r>
      <w:r w:rsidR="007C2827">
        <w:rPr>
          <w:lang w:val="en-GB"/>
        </w:rPr>
        <w:t xml:space="preserve">donation to the school. </w:t>
      </w:r>
      <w:r w:rsidR="00FF3CDD">
        <w:rPr>
          <w:lang w:val="en-GB"/>
        </w:rPr>
        <w:t xml:space="preserve">If he had done so, and claimed a tax deduction, there might well have been public </w:t>
      </w:r>
      <w:r w:rsidR="00D20BC7">
        <w:rPr>
          <w:lang w:val="en-GB"/>
        </w:rPr>
        <w:t xml:space="preserve">subsidy of the scholarship through tax </w:t>
      </w:r>
      <w:r w:rsidR="002216F4">
        <w:rPr>
          <w:lang w:val="en-GB"/>
        </w:rPr>
        <w:t>expenditures</w:t>
      </w:r>
      <w:r w:rsidR="00D20BC7">
        <w:rPr>
          <w:lang w:val="en-GB"/>
        </w:rPr>
        <w:t xml:space="preserve"> to the</w:t>
      </w:r>
      <w:r w:rsidR="004A3178">
        <w:rPr>
          <w:lang w:val="en-GB"/>
        </w:rPr>
        <w:t xml:space="preserve"> scholarship</w:t>
      </w:r>
      <w:r w:rsidR="00D20BC7">
        <w:rPr>
          <w:lang w:val="en-GB"/>
        </w:rPr>
        <w:t xml:space="preserve"> fund, a</w:t>
      </w:r>
      <w:r w:rsidR="000C3760">
        <w:rPr>
          <w:lang w:val="en-GB"/>
        </w:rPr>
        <w:t>s well as public subsidy of the claimed amount of my father’s donation</w:t>
      </w:r>
      <w:r w:rsidR="00945332">
        <w:rPr>
          <w:lang w:val="en-GB"/>
        </w:rPr>
        <w:t xml:space="preserve"> – effectively</w:t>
      </w:r>
      <w:r w:rsidR="004D5999">
        <w:rPr>
          <w:lang w:val="en-GB"/>
        </w:rPr>
        <w:t xml:space="preserve"> substantial</w:t>
      </w:r>
      <w:r w:rsidR="00945332">
        <w:rPr>
          <w:lang w:val="en-GB"/>
        </w:rPr>
        <w:t xml:space="preserve"> public subsidy of my tuition</w:t>
      </w:r>
      <w:r w:rsidR="000C3760">
        <w:rPr>
          <w:lang w:val="en-GB"/>
        </w:rPr>
        <w:t xml:space="preserve">. This occurred at a time when </w:t>
      </w:r>
      <w:r w:rsidR="00014158">
        <w:rPr>
          <w:lang w:val="en-GB"/>
        </w:rPr>
        <w:t>independent schools</w:t>
      </w:r>
      <w:r w:rsidR="007C0F64">
        <w:rPr>
          <w:lang w:val="en-GB"/>
        </w:rPr>
        <w:t xml:space="preserve">, </w:t>
      </w:r>
      <w:r w:rsidR="00014158">
        <w:rPr>
          <w:lang w:val="en-GB"/>
        </w:rPr>
        <w:t xml:space="preserve">through </w:t>
      </w:r>
      <w:r w:rsidR="003513E1">
        <w:rPr>
          <w:lang w:val="en-GB"/>
        </w:rPr>
        <w:t>h</w:t>
      </w:r>
      <w:r w:rsidR="00014158">
        <w:rPr>
          <w:lang w:val="en-GB"/>
        </w:rPr>
        <w:t>eadmasters</w:t>
      </w:r>
      <w:r w:rsidR="003513E1">
        <w:rPr>
          <w:lang w:val="en-GB"/>
        </w:rPr>
        <w:t>’</w:t>
      </w:r>
      <w:r w:rsidR="00AA05F9">
        <w:rPr>
          <w:lang w:val="en-GB"/>
        </w:rPr>
        <w:t xml:space="preserve"> </w:t>
      </w:r>
      <w:r w:rsidR="003513E1">
        <w:rPr>
          <w:lang w:val="en-GB"/>
        </w:rPr>
        <w:t>and headmistresses’</w:t>
      </w:r>
      <w:r w:rsidR="00AA05F9">
        <w:rPr>
          <w:lang w:val="en-GB"/>
        </w:rPr>
        <w:t xml:space="preserve"> associations</w:t>
      </w:r>
      <w:r w:rsidR="00626693">
        <w:rPr>
          <w:lang w:val="en-GB"/>
        </w:rPr>
        <w:t xml:space="preserve">, and, for Sydney Anglican schools, the </w:t>
      </w:r>
      <w:r w:rsidR="00347687">
        <w:rPr>
          <w:lang w:val="en-GB"/>
        </w:rPr>
        <w:t>Archdiocese</w:t>
      </w:r>
      <w:r w:rsidR="00B87993">
        <w:rPr>
          <w:lang w:val="en-GB"/>
        </w:rPr>
        <w:t>,</w:t>
      </w:r>
      <w:r w:rsidR="00014158">
        <w:rPr>
          <w:lang w:val="en-GB"/>
        </w:rPr>
        <w:t xml:space="preserve"> had policy opposing</w:t>
      </w:r>
      <w:r w:rsidR="00347687">
        <w:rPr>
          <w:lang w:val="en-GB"/>
        </w:rPr>
        <w:t xml:space="preserve"> (direct)</w:t>
      </w:r>
      <w:r w:rsidR="00014158">
        <w:rPr>
          <w:lang w:val="en-GB"/>
        </w:rPr>
        <w:t xml:space="preserve"> ‘state aid’ to private schools.</w:t>
      </w:r>
    </w:p>
  </w:footnote>
  <w:footnote w:id="2">
    <w:p w14:paraId="2C0ECD37" w14:textId="7AE8797C" w:rsidR="00995055" w:rsidRDefault="000F19D7">
      <w:pPr>
        <w:pStyle w:val="FootnoteText"/>
        <w:rPr>
          <w:lang w:val="en-GB"/>
        </w:rPr>
      </w:pPr>
      <w:r>
        <w:rPr>
          <w:rStyle w:val="FootnoteReference"/>
        </w:rPr>
        <w:footnoteRef/>
      </w:r>
      <w:r>
        <w:t xml:space="preserve"> </w:t>
      </w:r>
      <w:r>
        <w:rPr>
          <w:lang w:val="en-GB"/>
        </w:rPr>
        <w:t>I gre</w:t>
      </w:r>
      <w:r w:rsidR="00EA6D6C">
        <w:rPr>
          <w:lang w:val="en-GB"/>
        </w:rPr>
        <w:t>w</w:t>
      </w:r>
      <w:r>
        <w:rPr>
          <w:lang w:val="en-GB"/>
        </w:rPr>
        <w:t xml:space="preserve"> up in the central west of NSW, </w:t>
      </w:r>
      <w:r w:rsidR="009F655D">
        <w:rPr>
          <w:lang w:val="en-GB"/>
        </w:rPr>
        <w:t>near where</w:t>
      </w:r>
      <w:r w:rsidR="00E97B7D">
        <w:rPr>
          <w:lang w:val="en-GB"/>
        </w:rPr>
        <w:t xml:space="preserve"> my mother</w:t>
      </w:r>
      <w:r w:rsidR="00DA2825">
        <w:rPr>
          <w:lang w:val="en-GB"/>
        </w:rPr>
        <w:t>’s family had lived since the 18</w:t>
      </w:r>
      <w:r w:rsidR="00A84E64">
        <w:rPr>
          <w:lang w:val="en-GB"/>
        </w:rPr>
        <w:t xml:space="preserve">80s as successful </w:t>
      </w:r>
      <w:r w:rsidR="001726BC">
        <w:rPr>
          <w:lang w:val="en-GB"/>
        </w:rPr>
        <w:t>pastoralists.</w:t>
      </w:r>
      <w:r w:rsidR="0048698E">
        <w:rPr>
          <w:lang w:val="en-GB"/>
        </w:rPr>
        <w:t xml:space="preserve"> </w:t>
      </w:r>
      <w:r w:rsidR="001726BC">
        <w:rPr>
          <w:lang w:val="en-GB"/>
        </w:rPr>
        <w:t xml:space="preserve">Her family, like other successful broad-acre farmers and </w:t>
      </w:r>
      <w:r w:rsidR="0048698E">
        <w:rPr>
          <w:lang w:val="en-GB"/>
        </w:rPr>
        <w:t>pastoralists</w:t>
      </w:r>
      <w:r w:rsidR="001726BC">
        <w:rPr>
          <w:lang w:val="en-GB"/>
        </w:rPr>
        <w:t xml:space="preserve"> </w:t>
      </w:r>
      <w:r w:rsidR="00BB7EF6">
        <w:rPr>
          <w:lang w:val="en-GB"/>
        </w:rPr>
        <w:t>in the locality</w:t>
      </w:r>
      <w:r w:rsidR="0018021A">
        <w:rPr>
          <w:lang w:val="en-GB"/>
        </w:rPr>
        <w:t xml:space="preserve">, sent their children away </w:t>
      </w:r>
      <w:r w:rsidR="0051791A">
        <w:rPr>
          <w:lang w:val="en-GB"/>
        </w:rPr>
        <w:t>f</w:t>
      </w:r>
      <w:r w:rsidR="0018021A">
        <w:rPr>
          <w:lang w:val="en-GB"/>
        </w:rPr>
        <w:t>o</w:t>
      </w:r>
      <w:r w:rsidR="0051791A">
        <w:rPr>
          <w:lang w:val="en-GB"/>
        </w:rPr>
        <w:t>r</w:t>
      </w:r>
      <w:r w:rsidR="0018021A">
        <w:rPr>
          <w:lang w:val="en-GB"/>
        </w:rPr>
        <w:t xml:space="preserve"> secondary education at </w:t>
      </w:r>
      <w:r w:rsidR="009573E8">
        <w:rPr>
          <w:lang w:val="en-GB"/>
        </w:rPr>
        <w:t>city boarding schools</w:t>
      </w:r>
      <w:r w:rsidR="00EB3D89">
        <w:rPr>
          <w:lang w:val="en-GB"/>
        </w:rPr>
        <w:t xml:space="preserve"> for generations</w:t>
      </w:r>
      <w:r w:rsidR="009573E8">
        <w:rPr>
          <w:lang w:val="en-GB"/>
        </w:rPr>
        <w:t xml:space="preserve">. With </w:t>
      </w:r>
      <w:r w:rsidR="003E2755">
        <w:rPr>
          <w:lang w:val="en-GB"/>
        </w:rPr>
        <w:t>the depletion of sec</w:t>
      </w:r>
      <w:r w:rsidR="000E5AC0">
        <w:rPr>
          <w:lang w:val="en-GB"/>
        </w:rPr>
        <w:t>ondary school age students (especially those</w:t>
      </w:r>
      <w:r w:rsidR="009573E8">
        <w:rPr>
          <w:lang w:val="en-GB"/>
        </w:rPr>
        <w:t xml:space="preserve"> educationally support</w:t>
      </w:r>
      <w:r w:rsidR="005272DB">
        <w:rPr>
          <w:lang w:val="en-GB"/>
        </w:rPr>
        <w:t>ed and aspiring</w:t>
      </w:r>
      <w:r w:rsidR="00822F76">
        <w:rPr>
          <w:lang w:val="en-GB"/>
        </w:rPr>
        <w:t>)</w:t>
      </w:r>
      <w:r w:rsidR="005272DB">
        <w:rPr>
          <w:lang w:val="en-GB"/>
        </w:rPr>
        <w:t xml:space="preserve">, no </w:t>
      </w:r>
      <w:r w:rsidR="00110215">
        <w:rPr>
          <w:lang w:val="en-GB"/>
        </w:rPr>
        <w:t xml:space="preserve">accessible </w:t>
      </w:r>
      <w:r w:rsidR="001F4902">
        <w:rPr>
          <w:lang w:val="en-GB"/>
        </w:rPr>
        <w:t xml:space="preserve">public </w:t>
      </w:r>
      <w:r w:rsidR="00D16E70">
        <w:rPr>
          <w:lang w:val="en-GB"/>
        </w:rPr>
        <w:t xml:space="preserve">full </w:t>
      </w:r>
      <w:r w:rsidR="00110215">
        <w:rPr>
          <w:lang w:val="en-GB"/>
        </w:rPr>
        <w:t xml:space="preserve">secondary schooling was </w:t>
      </w:r>
      <w:r w:rsidR="001F4902">
        <w:rPr>
          <w:lang w:val="en-GB"/>
        </w:rPr>
        <w:t>provided</w:t>
      </w:r>
      <w:r w:rsidR="00207648">
        <w:rPr>
          <w:lang w:val="en-GB"/>
        </w:rPr>
        <w:t>.</w:t>
      </w:r>
      <w:r w:rsidR="00110215">
        <w:rPr>
          <w:lang w:val="en-GB"/>
        </w:rPr>
        <w:t xml:space="preserve"> </w:t>
      </w:r>
      <w:r w:rsidR="00521A60">
        <w:rPr>
          <w:lang w:val="en-GB"/>
        </w:rPr>
        <w:t>The next town had a secondary school</w:t>
      </w:r>
      <w:r w:rsidR="00EC465C">
        <w:rPr>
          <w:lang w:val="en-GB"/>
        </w:rPr>
        <w:t xml:space="preserve"> that did not </w:t>
      </w:r>
      <w:r w:rsidR="00A054D1">
        <w:rPr>
          <w:lang w:val="en-GB"/>
        </w:rPr>
        <w:t>go beyond</w:t>
      </w:r>
      <w:r w:rsidR="001C4618">
        <w:rPr>
          <w:lang w:val="en-GB"/>
        </w:rPr>
        <w:t xml:space="preserve"> Intermediate</w:t>
      </w:r>
      <w:r w:rsidR="00EC465C">
        <w:rPr>
          <w:lang w:val="en-GB"/>
        </w:rPr>
        <w:t>/Year 1</w:t>
      </w:r>
      <w:r w:rsidR="001C4618">
        <w:rPr>
          <w:lang w:val="en-GB"/>
        </w:rPr>
        <w:t>0</w:t>
      </w:r>
      <w:r w:rsidR="00EC465C">
        <w:rPr>
          <w:lang w:val="en-GB"/>
        </w:rPr>
        <w:t>, and there was no bus</w:t>
      </w:r>
      <w:r w:rsidR="00A054D1">
        <w:rPr>
          <w:lang w:val="en-GB"/>
        </w:rPr>
        <w:t>.</w:t>
      </w:r>
      <w:r w:rsidR="006A0B54">
        <w:rPr>
          <w:lang w:val="en-GB"/>
        </w:rPr>
        <w:t xml:space="preserve"> </w:t>
      </w:r>
      <w:r w:rsidR="004A3B1A">
        <w:rPr>
          <w:lang w:val="en-GB"/>
        </w:rPr>
        <w:t xml:space="preserve">My siblings and I went away to the Syndey boarding schools my mother and </w:t>
      </w:r>
      <w:r w:rsidR="003949EE">
        <w:rPr>
          <w:lang w:val="en-GB"/>
        </w:rPr>
        <w:t>uncles had attended</w:t>
      </w:r>
      <w:r w:rsidR="00623954">
        <w:rPr>
          <w:lang w:val="en-GB"/>
        </w:rPr>
        <w:t xml:space="preserve"> – contributing to the continuation of </w:t>
      </w:r>
      <w:r w:rsidR="003B3212">
        <w:rPr>
          <w:lang w:val="en-GB"/>
        </w:rPr>
        <w:t xml:space="preserve">local </w:t>
      </w:r>
      <w:r w:rsidR="00083BAF">
        <w:rPr>
          <w:lang w:val="en-GB"/>
        </w:rPr>
        <w:t>secondary student depletion</w:t>
      </w:r>
      <w:r w:rsidR="003D5CF6">
        <w:rPr>
          <w:lang w:val="en-GB"/>
        </w:rPr>
        <w:t>.</w:t>
      </w:r>
      <w:r w:rsidR="00422C07">
        <w:rPr>
          <w:lang w:val="en-GB"/>
        </w:rPr>
        <w:t xml:space="preserve"> Th</w:t>
      </w:r>
      <w:r w:rsidR="00366BE6">
        <w:rPr>
          <w:lang w:val="en-GB"/>
        </w:rPr>
        <w:t xml:space="preserve">e only option for </w:t>
      </w:r>
      <w:r w:rsidR="007E11C2">
        <w:rPr>
          <w:lang w:val="en-GB"/>
        </w:rPr>
        <w:t xml:space="preserve">those students who did not go away </w:t>
      </w:r>
      <w:r w:rsidR="00EE0CBB">
        <w:rPr>
          <w:lang w:val="en-GB"/>
        </w:rPr>
        <w:t xml:space="preserve">and could not access the nearest </w:t>
      </w:r>
      <w:r w:rsidR="009B7B8D">
        <w:rPr>
          <w:lang w:val="en-GB"/>
        </w:rPr>
        <w:t>secondary</w:t>
      </w:r>
      <w:r w:rsidR="00EE0CBB">
        <w:rPr>
          <w:lang w:val="en-GB"/>
        </w:rPr>
        <w:t xml:space="preserve"> school was </w:t>
      </w:r>
      <w:r w:rsidR="00DF5507">
        <w:rPr>
          <w:lang w:val="en-GB"/>
        </w:rPr>
        <w:t xml:space="preserve">post-primary correspondence classes as the back of the </w:t>
      </w:r>
      <w:r w:rsidR="00AE7EFA">
        <w:rPr>
          <w:lang w:val="en-GB"/>
        </w:rPr>
        <w:t>year six classroom until they were old enough to leave school.</w:t>
      </w:r>
      <w:r w:rsidR="00884F35">
        <w:rPr>
          <w:lang w:val="en-GB"/>
        </w:rPr>
        <w:t xml:space="preserve"> Secondary schooling in the area had been d</w:t>
      </w:r>
      <w:r w:rsidR="0041412B">
        <w:rPr>
          <w:lang w:val="en-GB"/>
        </w:rPr>
        <w:t xml:space="preserve">epleted </w:t>
      </w:r>
      <w:r w:rsidR="00D53645">
        <w:rPr>
          <w:lang w:val="en-GB"/>
        </w:rPr>
        <w:t xml:space="preserve">and </w:t>
      </w:r>
      <w:proofErr w:type="spellStart"/>
      <w:r w:rsidR="00884F35">
        <w:rPr>
          <w:lang w:val="en-GB"/>
        </w:rPr>
        <w:t>residualised</w:t>
      </w:r>
      <w:proofErr w:type="spellEnd"/>
      <w:r w:rsidR="00884F35">
        <w:rPr>
          <w:lang w:val="en-GB"/>
        </w:rPr>
        <w:t xml:space="preserve"> over generations</w:t>
      </w:r>
      <w:r w:rsidR="00372855">
        <w:rPr>
          <w:lang w:val="en-GB"/>
        </w:rPr>
        <w:t>.</w:t>
      </w:r>
      <w:r w:rsidR="00AE7EFA">
        <w:rPr>
          <w:lang w:val="en-GB"/>
        </w:rPr>
        <w:t xml:space="preserve"> </w:t>
      </w:r>
      <w:r w:rsidR="00A8594A">
        <w:rPr>
          <w:lang w:val="en-GB"/>
        </w:rPr>
        <w:t xml:space="preserve"> </w:t>
      </w:r>
      <w:r w:rsidR="00E111BF">
        <w:rPr>
          <w:lang w:val="en-GB"/>
        </w:rPr>
        <w:t xml:space="preserve"> </w:t>
      </w:r>
      <w:r w:rsidR="00995055">
        <w:rPr>
          <w:lang w:val="en-GB"/>
        </w:rPr>
        <w:t xml:space="preserve"> </w:t>
      </w:r>
    </w:p>
    <w:p w14:paraId="63D03821" w14:textId="62DE1206" w:rsidR="000F19D7" w:rsidRPr="000F19D7" w:rsidRDefault="00D97775">
      <w:pPr>
        <w:pStyle w:val="FootnoteText"/>
        <w:rPr>
          <w:lang w:val="en-GB"/>
        </w:rPr>
      </w:pPr>
      <w:r>
        <w:rPr>
          <w:lang w:val="en-GB"/>
        </w:rPr>
        <w:t>A few hundred kilometres away</w:t>
      </w:r>
      <w:r w:rsidR="0008447D">
        <w:rPr>
          <w:lang w:val="en-GB"/>
        </w:rPr>
        <w:t xml:space="preserve"> </w:t>
      </w:r>
      <w:r w:rsidR="0045216E">
        <w:rPr>
          <w:lang w:val="en-GB"/>
        </w:rPr>
        <w:t xml:space="preserve">the demographics of population density and </w:t>
      </w:r>
      <w:r w:rsidR="00492615">
        <w:rPr>
          <w:lang w:val="en-GB"/>
        </w:rPr>
        <w:t xml:space="preserve">socio-economic status had been similar since </w:t>
      </w:r>
      <w:r w:rsidR="00163109">
        <w:rPr>
          <w:lang w:val="en-GB"/>
        </w:rPr>
        <w:t xml:space="preserve">the 1940s. </w:t>
      </w:r>
      <w:r w:rsidR="00595028">
        <w:rPr>
          <w:lang w:val="en-GB"/>
        </w:rPr>
        <w:t>However, t</w:t>
      </w:r>
      <w:r w:rsidR="00163109">
        <w:rPr>
          <w:lang w:val="en-GB"/>
        </w:rPr>
        <w:t>here was no</w:t>
      </w:r>
      <w:r w:rsidR="009A3152">
        <w:rPr>
          <w:lang w:val="en-GB"/>
        </w:rPr>
        <w:t xml:space="preserve"> strong</w:t>
      </w:r>
      <w:r w:rsidR="00097495">
        <w:rPr>
          <w:lang w:val="en-GB"/>
        </w:rPr>
        <w:t xml:space="preserve"> </w:t>
      </w:r>
      <w:r w:rsidR="0045216E">
        <w:rPr>
          <w:lang w:val="en-GB"/>
        </w:rPr>
        <w:t>tradition</w:t>
      </w:r>
      <w:r w:rsidR="00097495">
        <w:rPr>
          <w:lang w:val="en-GB"/>
        </w:rPr>
        <w:t xml:space="preserve"> of going away </w:t>
      </w:r>
      <w:r w:rsidR="009A3152">
        <w:rPr>
          <w:lang w:val="en-GB"/>
        </w:rPr>
        <w:t>for secondary schooling</w:t>
      </w:r>
      <w:r w:rsidR="00595028">
        <w:rPr>
          <w:lang w:val="en-GB"/>
        </w:rPr>
        <w:t>. Consequently</w:t>
      </w:r>
      <w:r w:rsidR="007C4B6E">
        <w:rPr>
          <w:lang w:val="en-GB"/>
        </w:rPr>
        <w:t>,</w:t>
      </w:r>
      <w:r w:rsidR="009A3152">
        <w:rPr>
          <w:lang w:val="en-GB"/>
        </w:rPr>
        <w:t xml:space="preserve"> there was a thriving public secondary school, </w:t>
      </w:r>
      <w:r w:rsidR="00A77892">
        <w:rPr>
          <w:lang w:val="en-GB"/>
        </w:rPr>
        <w:t xml:space="preserve">with </w:t>
      </w:r>
      <w:r w:rsidR="009A3152">
        <w:rPr>
          <w:lang w:val="en-GB"/>
        </w:rPr>
        <w:t xml:space="preserve">a </w:t>
      </w:r>
      <w:r w:rsidR="00632A80">
        <w:rPr>
          <w:lang w:val="en-GB"/>
        </w:rPr>
        <w:t xml:space="preserve">high rate of retention to Leaving/Year 12, and a high rate of transition to university. </w:t>
      </w:r>
      <w:r w:rsidR="009A3152">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30A740"/>
    <w:lvl w:ilvl="0">
      <w:start w:val="1"/>
      <w:numFmt w:val="bullet"/>
      <w:pStyle w:val="ListBullet"/>
      <w:lvlText w:val=""/>
      <w:lvlJc w:val="left"/>
      <w:pPr>
        <w:tabs>
          <w:tab w:val="num" w:pos="8995"/>
        </w:tabs>
        <w:ind w:left="8995" w:hanging="360"/>
      </w:pPr>
      <w:rPr>
        <w:rFonts w:ascii="Symbol" w:hAnsi="Symbol" w:hint="default"/>
      </w:rPr>
    </w:lvl>
  </w:abstractNum>
  <w:abstractNum w:abstractNumId="1" w15:restartNumberingAfterBreak="0">
    <w:nsid w:val="036A1EAA"/>
    <w:multiLevelType w:val="multilevel"/>
    <w:tmpl w:val="805A5A54"/>
    <w:lvl w:ilvl="0">
      <w:start w:val="1"/>
      <w:numFmt w:val="decimal"/>
      <w:pStyle w:val="HeadingTable"/>
      <w:lvlText w:val="Table %1"/>
      <w:lvlJc w:val="left"/>
      <w:pPr>
        <w:tabs>
          <w:tab w:val="num" w:pos="1984"/>
        </w:tabs>
        <w:ind w:left="1984" w:hanging="1559"/>
      </w:pPr>
      <w:rPr>
        <w:rFonts w:ascii="Verdana" w:hAnsi="Verdana" w:hint="default"/>
        <w:sz w:val="20"/>
        <w:szCs w:val="20"/>
      </w:rPr>
    </w:lvl>
    <w:lvl w:ilvl="1">
      <w:start w:val="1"/>
      <w:numFmt w:val="decimal"/>
      <w:lvlText w:val="Table %1.%2"/>
      <w:lvlJc w:val="left"/>
      <w:pPr>
        <w:tabs>
          <w:tab w:val="num" w:pos="1701"/>
        </w:tabs>
        <w:ind w:left="1701" w:hanging="1559"/>
      </w:pPr>
      <w:rPr>
        <w:rFonts w:hint="default"/>
      </w:rPr>
    </w:lvl>
    <w:lvl w:ilvl="2">
      <w:start w:val="1"/>
      <w:numFmt w:val="decimal"/>
      <w:lvlText w:val="Table %1.%2.%3"/>
      <w:lvlJc w:val="left"/>
      <w:pPr>
        <w:tabs>
          <w:tab w:val="num" w:pos="1701"/>
        </w:tabs>
        <w:ind w:left="1701" w:hanging="1559"/>
      </w:pPr>
      <w:rPr>
        <w:rFonts w:hint="default"/>
      </w:rPr>
    </w:lvl>
    <w:lvl w:ilvl="3">
      <w:start w:val="1"/>
      <w:numFmt w:val="decimal"/>
      <w:lvlText w:val="Table %1.%2.%3.%4"/>
      <w:lvlJc w:val="left"/>
      <w:pPr>
        <w:tabs>
          <w:tab w:val="num" w:pos="1701"/>
        </w:tabs>
        <w:ind w:left="1701" w:hanging="1559"/>
      </w:pPr>
      <w:rPr>
        <w:rFonts w:hint="default"/>
      </w:rPr>
    </w:lvl>
    <w:lvl w:ilvl="4">
      <w:start w:val="1"/>
      <w:numFmt w:val="decimal"/>
      <w:lvlText w:val="Table %1.%2.%3.%4.%5"/>
      <w:lvlJc w:val="left"/>
      <w:pPr>
        <w:tabs>
          <w:tab w:val="num" w:pos="1701"/>
        </w:tabs>
        <w:ind w:left="1701" w:hanging="1559"/>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15:restartNumberingAfterBreak="0">
    <w:nsid w:val="053F7631"/>
    <w:multiLevelType w:val="hybridMultilevel"/>
    <w:tmpl w:val="795C337C"/>
    <w:lvl w:ilvl="0" w:tplc="74A663DE">
      <w:start w:val="1"/>
      <w:numFmt w:val="decimal"/>
      <w:pStyle w:val="Table1"/>
      <w:lvlText w:val="Table %1."/>
      <w:lvlJc w:val="left"/>
      <w:pPr>
        <w:ind w:left="360" w:hanging="360"/>
      </w:pPr>
      <w:rPr>
        <w:rFonts w:asciiTheme="minorHAnsi" w:hAnsiTheme="minorHAnsi" w:cstheme="minorHAnsi" w:hint="default"/>
        <w:sz w:val="22"/>
        <w:szCs w:val="22"/>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 w15:restartNumberingAfterBreak="0">
    <w:nsid w:val="09485193"/>
    <w:multiLevelType w:val="hybridMultilevel"/>
    <w:tmpl w:val="68BA0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36E65"/>
    <w:multiLevelType w:val="hybridMultilevel"/>
    <w:tmpl w:val="A3823E68"/>
    <w:lvl w:ilvl="0" w:tplc="A9F25E46">
      <w:start w:val="1"/>
      <w:numFmt w:val="decimal"/>
      <w:pStyle w:val="TableAppendix"/>
      <w:lvlText w:val="Table A%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D3096"/>
    <w:multiLevelType w:val="hybridMultilevel"/>
    <w:tmpl w:val="44B2F022"/>
    <w:lvl w:ilvl="0" w:tplc="FF482DAE">
      <w:start w:val="1"/>
      <w:numFmt w:val="decimal"/>
      <w:pStyle w:val="Heading2S4"/>
      <w:lvlText w:val="4.%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0C0434AD"/>
    <w:multiLevelType w:val="hybridMultilevel"/>
    <w:tmpl w:val="3A4E3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C3540"/>
    <w:multiLevelType w:val="hybridMultilevel"/>
    <w:tmpl w:val="4672DC02"/>
    <w:lvl w:ilvl="0" w:tplc="EB3CE30E">
      <w:start w:val="1"/>
      <w:numFmt w:val="decimal"/>
      <w:pStyle w:val="Box"/>
      <w:lvlText w:val="Box %1."/>
      <w:lvlJc w:val="left"/>
      <w:pPr>
        <w:ind w:left="2172" w:hanging="360"/>
      </w:pPr>
      <w:rPr>
        <w:rFonts w:hint="default"/>
      </w:rPr>
    </w:lvl>
    <w:lvl w:ilvl="1" w:tplc="0C090019">
      <w:start w:val="1"/>
      <w:numFmt w:val="lowerLetter"/>
      <w:lvlText w:val="%2."/>
      <w:lvlJc w:val="left"/>
      <w:pPr>
        <w:ind w:left="2892" w:hanging="360"/>
      </w:pPr>
    </w:lvl>
    <w:lvl w:ilvl="2" w:tplc="0C09001B" w:tentative="1">
      <w:start w:val="1"/>
      <w:numFmt w:val="lowerRoman"/>
      <w:lvlText w:val="%3."/>
      <w:lvlJc w:val="right"/>
      <w:pPr>
        <w:ind w:left="3612" w:hanging="180"/>
      </w:pPr>
    </w:lvl>
    <w:lvl w:ilvl="3" w:tplc="0C09000F" w:tentative="1">
      <w:start w:val="1"/>
      <w:numFmt w:val="decimal"/>
      <w:lvlText w:val="%4."/>
      <w:lvlJc w:val="left"/>
      <w:pPr>
        <w:ind w:left="4332" w:hanging="360"/>
      </w:pPr>
    </w:lvl>
    <w:lvl w:ilvl="4" w:tplc="0C090019" w:tentative="1">
      <w:start w:val="1"/>
      <w:numFmt w:val="lowerLetter"/>
      <w:lvlText w:val="%5."/>
      <w:lvlJc w:val="left"/>
      <w:pPr>
        <w:ind w:left="5052" w:hanging="360"/>
      </w:pPr>
    </w:lvl>
    <w:lvl w:ilvl="5" w:tplc="0C09001B" w:tentative="1">
      <w:start w:val="1"/>
      <w:numFmt w:val="lowerRoman"/>
      <w:lvlText w:val="%6."/>
      <w:lvlJc w:val="right"/>
      <w:pPr>
        <w:ind w:left="5772" w:hanging="180"/>
      </w:pPr>
    </w:lvl>
    <w:lvl w:ilvl="6" w:tplc="0C09000F" w:tentative="1">
      <w:start w:val="1"/>
      <w:numFmt w:val="decimal"/>
      <w:lvlText w:val="%7."/>
      <w:lvlJc w:val="left"/>
      <w:pPr>
        <w:ind w:left="6492" w:hanging="360"/>
      </w:pPr>
    </w:lvl>
    <w:lvl w:ilvl="7" w:tplc="0C090019" w:tentative="1">
      <w:start w:val="1"/>
      <w:numFmt w:val="lowerLetter"/>
      <w:lvlText w:val="%8."/>
      <w:lvlJc w:val="left"/>
      <w:pPr>
        <w:ind w:left="7212" w:hanging="360"/>
      </w:pPr>
    </w:lvl>
    <w:lvl w:ilvl="8" w:tplc="0C09001B" w:tentative="1">
      <w:start w:val="1"/>
      <w:numFmt w:val="lowerRoman"/>
      <w:lvlText w:val="%9."/>
      <w:lvlJc w:val="right"/>
      <w:pPr>
        <w:ind w:left="7932" w:hanging="180"/>
      </w:pPr>
    </w:lvl>
  </w:abstractNum>
  <w:abstractNum w:abstractNumId="8" w15:restartNumberingAfterBreak="0">
    <w:nsid w:val="1BCB6AB9"/>
    <w:multiLevelType w:val="hybridMultilevel"/>
    <w:tmpl w:val="0114A012"/>
    <w:lvl w:ilvl="0" w:tplc="6C8496AC">
      <w:start w:val="1"/>
      <w:numFmt w:val="decimal"/>
      <w:pStyle w:val="SubheadingA"/>
      <w:lvlText w:val="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8D1263"/>
    <w:multiLevelType w:val="hybridMultilevel"/>
    <w:tmpl w:val="16F40B12"/>
    <w:lvl w:ilvl="0" w:tplc="BCAEF13C">
      <w:start w:val="1"/>
      <w:numFmt w:val="decimal"/>
      <w:pStyle w:val="BoxTA"/>
      <w:lvlText w:val="Box TA. %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0" w15:restartNumberingAfterBreak="0">
    <w:nsid w:val="230F3B22"/>
    <w:multiLevelType w:val="hybridMultilevel"/>
    <w:tmpl w:val="8656F724"/>
    <w:lvl w:ilvl="0" w:tplc="B37ABEEE">
      <w:start w:val="1"/>
      <w:numFmt w:val="decimal"/>
      <w:pStyle w:val="Heading2S5"/>
      <w:lvlText w:val="5.%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25101339"/>
    <w:multiLevelType w:val="hybridMultilevel"/>
    <w:tmpl w:val="45345580"/>
    <w:lvl w:ilvl="0" w:tplc="4C68B592">
      <w:start w:val="1"/>
      <w:numFmt w:val="decimal"/>
      <w:pStyle w:val="Recommendation"/>
      <w:lvlText w:val="Recommendation %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B70DBB"/>
    <w:multiLevelType w:val="hybridMultilevel"/>
    <w:tmpl w:val="0352C4BC"/>
    <w:lvl w:ilvl="0" w:tplc="EE4EB256">
      <w:start w:val="1"/>
      <w:numFmt w:val="decimal"/>
      <w:pStyle w:val="TablesAppendix"/>
      <w:lvlText w:val="Table A. %1."/>
      <w:lvlJc w:val="left"/>
      <w:pPr>
        <w:ind w:left="2061" w:hanging="360"/>
      </w:pPr>
      <w:rPr>
        <w:rFonts w:ascii="Calibri" w:hAnsi="Calibri" w:hint="default"/>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D40F6"/>
    <w:multiLevelType w:val="hybridMultilevel"/>
    <w:tmpl w:val="572CAADA"/>
    <w:lvl w:ilvl="0" w:tplc="126E708E">
      <w:start w:val="1"/>
      <w:numFmt w:val="decimal"/>
      <w:pStyle w:val="Headnig2S2"/>
      <w:lvlText w:val="2.%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EBD4C68"/>
    <w:multiLevelType w:val="multilevel"/>
    <w:tmpl w:val="375C400C"/>
    <w:lvl w:ilvl="0">
      <w:start w:val="1"/>
      <w:numFmt w:val="decimal"/>
      <w:pStyle w:val="Heading1"/>
      <w:lvlText w:val="%1."/>
      <w:lvlJc w:val="left"/>
      <w:pPr>
        <w:ind w:left="361" w:hanging="360"/>
      </w:pPr>
      <w:rPr>
        <w:lang w:val="en-AU"/>
      </w:rPr>
    </w:lvl>
    <w:lvl w:ilvl="1">
      <w:start w:val="1"/>
      <w:numFmt w:val="decimal"/>
      <w:pStyle w:val="Heading2"/>
      <w:lvlText w:val="%1.%2."/>
      <w:legacy w:legacy="1" w:legacySpace="0" w:legacyIndent="708"/>
      <w:lvlJc w:val="left"/>
      <w:pPr>
        <w:ind w:left="708" w:hanging="708"/>
      </w:pPr>
    </w:lvl>
    <w:lvl w:ilvl="2">
      <w:start w:val="1"/>
      <w:numFmt w:val="decimal"/>
      <w:pStyle w:val="Heading3"/>
      <w:lvlText w:val="%1.%2.%3."/>
      <w:legacy w:legacy="1" w:legacySpace="0" w:legacyIndent="708"/>
      <w:lvlJc w:val="left"/>
      <w:pPr>
        <w:ind w:left="709" w:hanging="708"/>
      </w:pPr>
    </w:lvl>
    <w:lvl w:ilvl="3">
      <w:start w:val="1"/>
      <w:numFmt w:val="decimal"/>
      <w:pStyle w:val="Heading4"/>
      <w:lvlText w:val="%1.%2.%3.%4."/>
      <w:legacy w:legacy="1" w:legacySpace="0" w:legacyIndent="708"/>
      <w:lvlJc w:val="left"/>
      <w:pPr>
        <w:ind w:left="1701" w:hanging="708"/>
      </w:pPr>
    </w:lvl>
    <w:lvl w:ilvl="4">
      <w:start w:val="1"/>
      <w:numFmt w:val="decimal"/>
      <w:lvlText w:val="%1.%2.%3.%4.%5."/>
      <w:legacy w:legacy="1" w:legacySpace="0" w:legacyIndent="708"/>
      <w:lvlJc w:val="left"/>
      <w:pPr>
        <w:ind w:left="1418" w:hanging="708"/>
      </w:pPr>
    </w:lvl>
    <w:lvl w:ilvl="5">
      <w:start w:val="1"/>
      <w:numFmt w:val="decimal"/>
      <w:pStyle w:val="Heading6"/>
      <w:lvlText w:val="%1.%2.%3.%4.%5.%6."/>
      <w:legacy w:legacy="1" w:legacySpace="0" w:legacyIndent="708"/>
      <w:lvlJc w:val="left"/>
      <w:pPr>
        <w:ind w:left="1418" w:hanging="708"/>
      </w:pPr>
    </w:lvl>
    <w:lvl w:ilvl="6">
      <w:start w:val="1"/>
      <w:numFmt w:val="decimal"/>
      <w:pStyle w:val="Heading7"/>
      <w:lvlText w:val="%1.%2.%3.%4.%5.%6.%7."/>
      <w:legacy w:legacy="1" w:legacySpace="0" w:legacyIndent="708"/>
      <w:lvlJc w:val="left"/>
      <w:pPr>
        <w:ind w:left="1418" w:hanging="708"/>
      </w:pPr>
    </w:lvl>
    <w:lvl w:ilvl="7">
      <w:start w:val="1"/>
      <w:numFmt w:val="decimal"/>
      <w:pStyle w:val="Heading8"/>
      <w:lvlText w:val="%1.%2.%3.%4.%5.%6.%7.%8."/>
      <w:legacy w:legacy="1" w:legacySpace="0" w:legacyIndent="708"/>
      <w:lvlJc w:val="left"/>
      <w:pPr>
        <w:ind w:left="1418" w:hanging="708"/>
      </w:pPr>
    </w:lvl>
    <w:lvl w:ilvl="8">
      <w:start w:val="1"/>
      <w:numFmt w:val="decimal"/>
      <w:pStyle w:val="Heading9"/>
      <w:lvlText w:val="%1.%2.%3.%4.%5.%6.%7.%8.%9."/>
      <w:legacy w:legacy="1" w:legacySpace="0" w:legacyIndent="708"/>
      <w:lvlJc w:val="left"/>
      <w:pPr>
        <w:ind w:left="1418" w:hanging="708"/>
      </w:pPr>
    </w:lvl>
  </w:abstractNum>
  <w:abstractNum w:abstractNumId="15" w15:restartNumberingAfterBreak="0">
    <w:nsid w:val="302A031F"/>
    <w:multiLevelType w:val="hybridMultilevel"/>
    <w:tmpl w:val="BD9A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42F32"/>
    <w:multiLevelType w:val="hybridMultilevel"/>
    <w:tmpl w:val="CC5A5816"/>
    <w:lvl w:ilvl="0" w:tplc="B4B28098">
      <w:start w:val="1"/>
      <w:numFmt w:val="bullet"/>
      <w:pStyle w:val="Table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4CF23C7"/>
    <w:multiLevelType w:val="hybridMultilevel"/>
    <w:tmpl w:val="B96E2EC4"/>
    <w:lvl w:ilvl="0" w:tplc="0FBC253A">
      <w:start w:val="1"/>
      <w:numFmt w:val="decimal"/>
      <w:pStyle w:val="TableStatAnnex"/>
      <w:lvlText w:val="Table SA. %1."/>
      <w:lvlJc w:val="left"/>
      <w:pPr>
        <w:ind w:left="36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7765864"/>
    <w:multiLevelType w:val="hybridMultilevel"/>
    <w:tmpl w:val="2F6EE872"/>
    <w:lvl w:ilvl="0" w:tplc="2090917A">
      <w:start w:val="1"/>
      <w:numFmt w:val="decimal"/>
      <w:pStyle w:val="Figure"/>
      <w:lvlText w:val="Figure %1."/>
      <w:lvlJc w:val="left"/>
      <w:pPr>
        <w:ind w:left="1211"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67627C"/>
    <w:multiLevelType w:val="hybridMultilevel"/>
    <w:tmpl w:val="B55ACD84"/>
    <w:lvl w:ilvl="0" w:tplc="A8A8DA50">
      <w:start w:val="1"/>
      <w:numFmt w:val="decimal"/>
      <w:pStyle w:val="Heading2S2"/>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96C10D6"/>
    <w:multiLevelType w:val="hybridMultilevel"/>
    <w:tmpl w:val="EC2E362A"/>
    <w:lvl w:ilvl="0" w:tplc="4A7006E2">
      <w:start w:val="1"/>
      <w:numFmt w:val="decimal"/>
      <w:pStyle w:val="TableAppendix0"/>
      <w:lvlText w:val="Table 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FA54AC"/>
    <w:multiLevelType w:val="hybridMultilevel"/>
    <w:tmpl w:val="3A4E3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4261C7"/>
    <w:multiLevelType w:val="hybridMultilevel"/>
    <w:tmpl w:val="C8ACED6C"/>
    <w:lvl w:ilvl="0" w:tplc="F5C87DFC">
      <w:start w:val="1"/>
      <w:numFmt w:val="decimal"/>
      <w:pStyle w:val="A1Heading"/>
      <w:lvlText w:val="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811992"/>
    <w:multiLevelType w:val="hybridMultilevel"/>
    <w:tmpl w:val="A91AF7EE"/>
    <w:lvl w:ilvl="0" w:tplc="5FD60A7C">
      <w:start w:val="1"/>
      <w:numFmt w:val="lowerLetter"/>
      <w:lvlText w:val="(%1)"/>
      <w:lvlJc w:val="left"/>
      <w:pPr>
        <w:ind w:left="1080" w:hanging="360"/>
      </w:pPr>
      <w:rPr>
        <w:rFonts w:ascii="Garamond" w:hAnsi="Garamond"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5B515C0"/>
    <w:multiLevelType w:val="hybridMultilevel"/>
    <w:tmpl w:val="B7282F6A"/>
    <w:lvl w:ilvl="0" w:tplc="8AA416D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15:restartNumberingAfterBreak="0">
    <w:nsid w:val="66F0588E"/>
    <w:multiLevelType w:val="hybridMultilevel"/>
    <w:tmpl w:val="45EA95A8"/>
    <w:lvl w:ilvl="0" w:tplc="A6AA4F1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6" w15:restartNumberingAfterBreak="0">
    <w:nsid w:val="67852DB2"/>
    <w:multiLevelType w:val="hybridMultilevel"/>
    <w:tmpl w:val="7BA6363E"/>
    <w:lvl w:ilvl="0" w:tplc="04C0A920">
      <w:start w:val="1"/>
      <w:numFmt w:val="decimal"/>
      <w:pStyle w:val="Tabletechnicalnotes"/>
      <w:lvlText w:val="Table TA. %1."/>
      <w:lvlJc w:val="left"/>
      <w:pPr>
        <w:ind w:left="720" w:hanging="360"/>
      </w:pPr>
      <w:rPr>
        <w:rFonts w:ascii="Calibri" w:hAnsi="Calibri"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BF4209"/>
    <w:multiLevelType w:val="multilevel"/>
    <w:tmpl w:val="9F3C6EDC"/>
    <w:lvl w:ilvl="0">
      <w:start w:val="1"/>
      <w:numFmt w:val="decimal"/>
      <w:pStyle w:val="HeadingFigure"/>
      <w:lvlText w:val="Figure %1"/>
      <w:lvlJc w:val="left"/>
      <w:pPr>
        <w:tabs>
          <w:tab w:val="num" w:pos="1843"/>
        </w:tabs>
        <w:ind w:left="1843" w:hanging="1559"/>
      </w:pPr>
      <w:rPr>
        <w:rFonts w:hint="default"/>
        <w:sz w:val="20"/>
        <w:szCs w:val="20"/>
      </w:rPr>
    </w:lvl>
    <w:lvl w:ilvl="1">
      <w:start w:val="1"/>
      <w:numFmt w:val="decimal"/>
      <w:lvlText w:val="Figure %1.%2"/>
      <w:lvlJc w:val="left"/>
      <w:pPr>
        <w:tabs>
          <w:tab w:val="num" w:pos="141"/>
        </w:tabs>
        <w:ind w:left="141" w:hanging="1559"/>
      </w:pPr>
      <w:rPr>
        <w:rFonts w:hint="default"/>
      </w:rPr>
    </w:lvl>
    <w:lvl w:ilvl="2">
      <w:start w:val="1"/>
      <w:numFmt w:val="decimal"/>
      <w:lvlText w:val="Figure %1.%2.%3"/>
      <w:lvlJc w:val="left"/>
      <w:pPr>
        <w:tabs>
          <w:tab w:val="num" w:pos="141"/>
        </w:tabs>
        <w:ind w:left="141" w:hanging="1559"/>
      </w:pPr>
      <w:rPr>
        <w:rFonts w:hint="default"/>
      </w:rPr>
    </w:lvl>
    <w:lvl w:ilvl="3">
      <w:start w:val="1"/>
      <w:numFmt w:val="decimal"/>
      <w:lvlText w:val="Figure %1.%2.%3.%4"/>
      <w:lvlJc w:val="left"/>
      <w:pPr>
        <w:tabs>
          <w:tab w:val="num" w:pos="141"/>
        </w:tabs>
        <w:ind w:left="141" w:hanging="1559"/>
      </w:pPr>
      <w:rPr>
        <w:rFonts w:hint="default"/>
      </w:rPr>
    </w:lvl>
    <w:lvl w:ilvl="4">
      <w:start w:val="1"/>
      <w:numFmt w:val="decimal"/>
      <w:lvlText w:val="Figure %1.%2.%3.%4.%5"/>
      <w:lvlJc w:val="left"/>
      <w:pPr>
        <w:tabs>
          <w:tab w:val="num" w:pos="141"/>
        </w:tabs>
        <w:ind w:left="141" w:hanging="1559"/>
      </w:pPr>
      <w:rPr>
        <w:rFonts w:hint="default"/>
      </w:rPr>
    </w:lvl>
    <w:lvl w:ilvl="5">
      <w:start w:val="1"/>
      <w:numFmt w:val="decimal"/>
      <w:lvlText w:val="%1.%2.%3.%4.%5.%6"/>
      <w:lvlJc w:val="left"/>
      <w:pPr>
        <w:tabs>
          <w:tab w:val="num" w:pos="-266"/>
        </w:tabs>
        <w:ind w:left="-266" w:hanging="1152"/>
      </w:pPr>
      <w:rPr>
        <w:rFonts w:hint="default"/>
      </w:rPr>
    </w:lvl>
    <w:lvl w:ilvl="6">
      <w:start w:val="1"/>
      <w:numFmt w:val="decimal"/>
      <w:lvlText w:val="%1.%2.%3.%4.%5.%6.%7"/>
      <w:lvlJc w:val="left"/>
      <w:pPr>
        <w:tabs>
          <w:tab w:val="num" w:pos="-122"/>
        </w:tabs>
        <w:ind w:left="-122" w:hanging="1296"/>
      </w:pPr>
      <w:rPr>
        <w:rFonts w:hint="default"/>
      </w:rPr>
    </w:lvl>
    <w:lvl w:ilvl="7">
      <w:start w:val="1"/>
      <w:numFmt w:val="decimal"/>
      <w:lvlText w:val="%1.%2.%3.%4.%5.%6.%7.%8"/>
      <w:lvlJc w:val="left"/>
      <w:pPr>
        <w:tabs>
          <w:tab w:val="num" w:pos="22"/>
        </w:tabs>
        <w:ind w:left="22" w:hanging="1440"/>
      </w:pPr>
      <w:rPr>
        <w:rFonts w:hint="default"/>
      </w:rPr>
    </w:lvl>
    <w:lvl w:ilvl="8">
      <w:start w:val="1"/>
      <w:numFmt w:val="decimal"/>
      <w:lvlText w:val="%1.%2.%3.%4.%5.%6.%7.%8.%9"/>
      <w:lvlJc w:val="left"/>
      <w:pPr>
        <w:tabs>
          <w:tab w:val="num" w:pos="166"/>
        </w:tabs>
        <w:ind w:left="166" w:hanging="1584"/>
      </w:pPr>
      <w:rPr>
        <w:rFonts w:hint="default"/>
      </w:rPr>
    </w:lvl>
  </w:abstractNum>
  <w:abstractNum w:abstractNumId="28" w15:restartNumberingAfterBreak="0">
    <w:nsid w:val="6B4F7CB9"/>
    <w:multiLevelType w:val="hybridMultilevel"/>
    <w:tmpl w:val="3FDA0EAA"/>
    <w:lvl w:ilvl="0" w:tplc="4DDC590A">
      <w:start w:val="1"/>
      <w:numFmt w:val="decimal"/>
      <w:pStyle w:val="SubheadingAppendix"/>
      <w:lvlText w:val="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8472A"/>
    <w:multiLevelType w:val="hybridMultilevel"/>
    <w:tmpl w:val="CDD02EA2"/>
    <w:lvl w:ilvl="0" w:tplc="7BD07D2E">
      <w:start w:val="1"/>
      <w:numFmt w:val="decimal"/>
      <w:pStyle w:val="FiguresAppendix"/>
      <w:lvlText w:val="Figure 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E628AB"/>
    <w:multiLevelType w:val="multilevel"/>
    <w:tmpl w:val="523ADAF2"/>
    <w:lvl w:ilvl="0">
      <w:start w:val="1"/>
      <w:numFmt w:val="decimal"/>
      <w:pStyle w:val="Heading"/>
      <w:lvlText w:val="%1."/>
      <w:lvlJc w:val="left"/>
      <w:pPr>
        <w:ind w:left="720" w:hanging="360"/>
      </w:pPr>
    </w:lvl>
    <w:lvl w:ilvl="1">
      <w:start w:val="2"/>
      <w:numFmt w:val="decimal"/>
      <w:isLgl/>
      <w:lvlText w:val="%1.%2"/>
      <w:lvlJc w:val="left"/>
      <w:pPr>
        <w:ind w:left="1208" w:hanging="848"/>
      </w:pPr>
      <w:rPr>
        <w:rFonts w:hint="default"/>
      </w:rPr>
    </w:lvl>
    <w:lvl w:ilvl="2">
      <w:start w:val="1"/>
      <w:numFmt w:val="decimal"/>
      <w:isLgl/>
      <w:lvlText w:val="%1.%2.%3"/>
      <w:lvlJc w:val="left"/>
      <w:pPr>
        <w:ind w:left="1208" w:hanging="84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210D67"/>
    <w:multiLevelType w:val="hybridMultilevel"/>
    <w:tmpl w:val="AE08F56E"/>
    <w:lvl w:ilvl="0" w:tplc="138C468A">
      <w:start w:val="1"/>
      <w:numFmt w:val="decimal"/>
      <w:pStyle w:val="Heading2S1"/>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4B7640C"/>
    <w:multiLevelType w:val="hybridMultilevel"/>
    <w:tmpl w:val="3B6CEBAA"/>
    <w:lvl w:ilvl="0" w:tplc="88721482">
      <w:start w:val="1"/>
      <w:numFmt w:val="decimal"/>
      <w:pStyle w:val="Heading2S3"/>
      <w:lvlText w:val="5.%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96F79C5"/>
    <w:multiLevelType w:val="hybridMultilevel"/>
    <w:tmpl w:val="C2A49AAE"/>
    <w:lvl w:ilvl="0" w:tplc="D7126176">
      <w:start w:val="1"/>
      <w:numFmt w:val="decimal"/>
      <w:pStyle w:val="TABLEAppendix1"/>
      <w:lvlText w:val="Table A%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7147026">
    <w:abstractNumId w:val="0"/>
  </w:num>
  <w:num w:numId="2" w16cid:durableId="776556473">
    <w:abstractNumId w:val="14"/>
  </w:num>
  <w:num w:numId="3" w16cid:durableId="534584213">
    <w:abstractNumId w:val="16"/>
  </w:num>
  <w:num w:numId="4" w16cid:durableId="1630431716">
    <w:abstractNumId w:val="2"/>
  </w:num>
  <w:num w:numId="5" w16cid:durableId="395007545">
    <w:abstractNumId w:val="7"/>
  </w:num>
  <w:num w:numId="6" w16cid:durableId="367334949">
    <w:abstractNumId w:val="12"/>
  </w:num>
  <w:num w:numId="7" w16cid:durableId="1295941530">
    <w:abstractNumId w:val="18"/>
  </w:num>
  <w:num w:numId="8" w16cid:durableId="60757924">
    <w:abstractNumId w:val="1"/>
  </w:num>
  <w:num w:numId="9" w16cid:durableId="333072509">
    <w:abstractNumId w:val="26"/>
  </w:num>
  <w:num w:numId="10" w16cid:durableId="670790325">
    <w:abstractNumId w:val="29"/>
  </w:num>
  <w:num w:numId="11" w16cid:durableId="1703363049">
    <w:abstractNumId w:val="9"/>
  </w:num>
  <w:num w:numId="12" w16cid:durableId="870191522">
    <w:abstractNumId w:val="30"/>
  </w:num>
  <w:num w:numId="13" w16cid:durableId="676538489">
    <w:abstractNumId w:val="27"/>
  </w:num>
  <w:num w:numId="14" w16cid:durableId="1803421060">
    <w:abstractNumId w:val="31"/>
  </w:num>
  <w:num w:numId="15" w16cid:durableId="940839972">
    <w:abstractNumId w:val="13"/>
  </w:num>
  <w:num w:numId="16" w16cid:durableId="1386248633">
    <w:abstractNumId w:val="32"/>
  </w:num>
  <w:num w:numId="17" w16cid:durableId="46799817">
    <w:abstractNumId w:val="5"/>
  </w:num>
  <w:num w:numId="18" w16cid:durableId="855732221">
    <w:abstractNumId w:val="10"/>
  </w:num>
  <w:num w:numId="19" w16cid:durableId="285475477">
    <w:abstractNumId w:val="19"/>
  </w:num>
  <w:num w:numId="20" w16cid:durableId="843592859">
    <w:abstractNumId w:val="20"/>
  </w:num>
  <w:num w:numId="21" w16cid:durableId="1275139186">
    <w:abstractNumId w:val="17"/>
  </w:num>
  <w:num w:numId="22" w16cid:durableId="103379593">
    <w:abstractNumId w:val="28"/>
  </w:num>
  <w:num w:numId="23" w16cid:durableId="792674623">
    <w:abstractNumId w:val="33"/>
  </w:num>
  <w:num w:numId="24" w16cid:durableId="1248464178">
    <w:abstractNumId w:val="4"/>
  </w:num>
  <w:num w:numId="25" w16cid:durableId="1961494920">
    <w:abstractNumId w:val="8"/>
  </w:num>
  <w:num w:numId="26" w16cid:durableId="1668096457">
    <w:abstractNumId w:val="22"/>
  </w:num>
  <w:num w:numId="27" w16cid:durableId="346949930">
    <w:abstractNumId w:val="21"/>
  </w:num>
  <w:num w:numId="28" w16cid:durableId="837959581">
    <w:abstractNumId w:val="15"/>
  </w:num>
  <w:num w:numId="29" w16cid:durableId="334262637">
    <w:abstractNumId w:val="11"/>
  </w:num>
  <w:num w:numId="30" w16cid:durableId="330959866">
    <w:abstractNumId w:val="6"/>
  </w:num>
  <w:num w:numId="31" w16cid:durableId="1207451640">
    <w:abstractNumId w:val="25"/>
  </w:num>
  <w:num w:numId="32" w16cid:durableId="1681815588">
    <w:abstractNumId w:val="24"/>
  </w:num>
  <w:num w:numId="33" w16cid:durableId="46998019">
    <w:abstractNumId w:val="3"/>
  </w:num>
  <w:num w:numId="34" w16cid:durableId="80697143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BP edi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pfz2x0i5trfoeepazpwvvo0dttxxawxdfw&quot;&gt;My EndNote Library&lt;record-ids&gt;&lt;item&gt;146&lt;/item&gt;&lt;/record-ids&gt;&lt;/item&gt;&lt;/Libraries&gt;"/>
  </w:docVars>
  <w:rsids>
    <w:rsidRoot w:val="00773321"/>
    <w:rsid w:val="0000035A"/>
    <w:rsid w:val="00001E6C"/>
    <w:rsid w:val="000039D6"/>
    <w:rsid w:val="00004E1A"/>
    <w:rsid w:val="000051C1"/>
    <w:rsid w:val="00005504"/>
    <w:rsid w:val="00014158"/>
    <w:rsid w:val="0001788D"/>
    <w:rsid w:val="00017D67"/>
    <w:rsid w:val="0002201A"/>
    <w:rsid w:val="000242D3"/>
    <w:rsid w:val="00025099"/>
    <w:rsid w:val="00026B3E"/>
    <w:rsid w:val="0002771B"/>
    <w:rsid w:val="00032A9A"/>
    <w:rsid w:val="00040CD9"/>
    <w:rsid w:val="00047C7F"/>
    <w:rsid w:val="00066458"/>
    <w:rsid w:val="000674B6"/>
    <w:rsid w:val="0007069C"/>
    <w:rsid w:val="000747C7"/>
    <w:rsid w:val="00075991"/>
    <w:rsid w:val="00080A6E"/>
    <w:rsid w:val="00081835"/>
    <w:rsid w:val="00083BAF"/>
    <w:rsid w:val="0008447D"/>
    <w:rsid w:val="00087663"/>
    <w:rsid w:val="000900D5"/>
    <w:rsid w:val="000921DF"/>
    <w:rsid w:val="00094094"/>
    <w:rsid w:val="00094FAF"/>
    <w:rsid w:val="0009717B"/>
    <w:rsid w:val="00097495"/>
    <w:rsid w:val="000A08DF"/>
    <w:rsid w:val="000A63AD"/>
    <w:rsid w:val="000B3D6B"/>
    <w:rsid w:val="000B425C"/>
    <w:rsid w:val="000B606E"/>
    <w:rsid w:val="000C3760"/>
    <w:rsid w:val="000D0E9C"/>
    <w:rsid w:val="000D3873"/>
    <w:rsid w:val="000E1753"/>
    <w:rsid w:val="000E5AC0"/>
    <w:rsid w:val="000F19D7"/>
    <w:rsid w:val="000F33F9"/>
    <w:rsid w:val="00101D5A"/>
    <w:rsid w:val="00102F8E"/>
    <w:rsid w:val="00103456"/>
    <w:rsid w:val="00103893"/>
    <w:rsid w:val="00104FA6"/>
    <w:rsid w:val="0010682D"/>
    <w:rsid w:val="00110215"/>
    <w:rsid w:val="00113F52"/>
    <w:rsid w:val="001140FB"/>
    <w:rsid w:val="001145B5"/>
    <w:rsid w:val="001156D8"/>
    <w:rsid w:val="00123C52"/>
    <w:rsid w:val="00124B2C"/>
    <w:rsid w:val="00125173"/>
    <w:rsid w:val="00125760"/>
    <w:rsid w:val="001328C6"/>
    <w:rsid w:val="001363F6"/>
    <w:rsid w:val="00140610"/>
    <w:rsid w:val="00143EC5"/>
    <w:rsid w:val="00150755"/>
    <w:rsid w:val="00150F97"/>
    <w:rsid w:val="001532D4"/>
    <w:rsid w:val="0015617E"/>
    <w:rsid w:val="00157A88"/>
    <w:rsid w:val="00160592"/>
    <w:rsid w:val="0016061F"/>
    <w:rsid w:val="00163109"/>
    <w:rsid w:val="0017118E"/>
    <w:rsid w:val="001726BC"/>
    <w:rsid w:val="00173486"/>
    <w:rsid w:val="001752FF"/>
    <w:rsid w:val="001779EB"/>
    <w:rsid w:val="0018021A"/>
    <w:rsid w:val="001812B0"/>
    <w:rsid w:val="00191FFC"/>
    <w:rsid w:val="00196464"/>
    <w:rsid w:val="00197C3C"/>
    <w:rsid w:val="001A6786"/>
    <w:rsid w:val="001B494F"/>
    <w:rsid w:val="001B5836"/>
    <w:rsid w:val="001B5C4B"/>
    <w:rsid w:val="001C27FD"/>
    <w:rsid w:val="001C3765"/>
    <w:rsid w:val="001C4618"/>
    <w:rsid w:val="001C4862"/>
    <w:rsid w:val="001C5DCD"/>
    <w:rsid w:val="001D4938"/>
    <w:rsid w:val="001D67FB"/>
    <w:rsid w:val="001D75FE"/>
    <w:rsid w:val="001E0D7E"/>
    <w:rsid w:val="001E4D2F"/>
    <w:rsid w:val="001E708A"/>
    <w:rsid w:val="001F3291"/>
    <w:rsid w:val="001F4895"/>
    <w:rsid w:val="001F4902"/>
    <w:rsid w:val="001F4985"/>
    <w:rsid w:val="0020220D"/>
    <w:rsid w:val="00203F9E"/>
    <w:rsid w:val="00207648"/>
    <w:rsid w:val="002106FE"/>
    <w:rsid w:val="00212B83"/>
    <w:rsid w:val="002159D8"/>
    <w:rsid w:val="002216F4"/>
    <w:rsid w:val="002255DE"/>
    <w:rsid w:val="00230EEC"/>
    <w:rsid w:val="0023315C"/>
    <w:rsid w:val="00234CC2"/>
    <w:rsid w:val="00237E97"/>
    <w:rsid w:val="0025028A"/>
    <w:rsid w:val="00256E06"/>
    <w:rsid w:val="00257EF7"/>
    <w:rsid w:val="002614AD"/>
    <w:rsid w:val="002622F3"/>
    <w:rsid w:val="0026685E"/>
    <w:rsid w:val="00267145"/>
    <w:rsid w:val="00267153"/>
    <w:rsid w:val="00267758"/>
    <w:rsid w:val="00282BB1"/>
    <w:rsid w:val="002971F7"/>
    <w:rsid w:val="0029765C"/>
    <w:rsid w:val="00297684"/>
    <w:rsid w:val="00297DB6"/>
    <w:rsid w:val="002A2CFD"/>
    <w:rsid w:val="002A5322"/>
    <w:rsid w:val="002A6A40"/>
    <w:rsid w:val="002B3076"/>
    <w:rsid w:val="002B3098"/>
    <w:rsid w:val="002B38EA"/>
    <w:rsid w:val="002B41A6"/>
    <w:rsid w:val="002B42EA"/>
    <w:rsid w:val="002B4716"/>
    <w:rsid w:val="002B6406"/>
    <w:rsid w:val="002C074B"/>
    <w:rsid w:val="002E2DAF"/>
    <w:rsid w:val="002E73F9"/>
    <w:rsid w:val="002F003A"/>
    <w:rsid w:val="002F2582"/>
    <w:rsid w:val="002F263A"/>
    <w:rsid w:val="002F5DA5"/>
    <w:rsid w:val="00300FA3"/>
    <w:rsid w:val="0030302C"/>
    <w:rsid w:val="00305CA6"/>
    <w:rsid w:val="003072F6"/>
    <w:rsid w:val="00307782"/>
    <w:rsid w:val="0031234F"/>
    <w:rsid w:val="00313AAC"/>
    <w:rsid w:val="00314E84"/>
    <w:rsid w:val="00315962"/>
    <w:rsid w:val="00315E7D"/>
    <w:rsid w:val="00316D41"/>
    <w:rsid w:val="00317A89"/>
    <w:rsid w:val="00320699"/>
    <w:rsid w:val="00331210"/>
    <w:rsid w:val="0033425C"/>
    <w:rsid w:val="003466CF"/>
    <w:rsid w:val="00346F26"/>
    <w:rsid w:val="00347687"/>
    <w:rsid w:val="003513E1"/>
    <w:rsid w:val="00354B67"/>
    <w:rsid w:val="00355A3B"/>
    <w:rsid w:val="00355CF2"/>
    <w:rsid w:val="00357411"/>
    <w:rsid w:val="00366BE6"/>
    <w:rsid w:val="0037261E"/>
    <w:rsid w:val="00372855"/>
    <w:rsid w:val="00373C27"/>
    <w:rsid w:val="0037789D"/>
    <w:rsid w:val="00382F69"/>
    <w:rsid w:val="00385508"/>
    <w:rsid w:val="00391A08"/>
    <w:rsid w:val="0039201F"/>
    <w:rsid w:val="003927E8"/>
    <w:rsid w:val="003948F2"/>
    <w:rsid w:val="003949EE"/>
    <w:rsid w:val="003967A6"/>
    <w:rsid w:val="003A0B9E"/>
    <w:rsid w:val="003A355C"/>
    <w:rsid w:val="003B1FAA"/>
    <w:rsid w:val="003B3212"/>
    <w:rsid w:val="003B7830"/>
    <w:rsid w:val="003C39DC"/>
    <w:rsid w:val="003C6E0C"/>
    <w:rsid w:val="003C71C2"/>
    <w:rsid w:val="003D2D15"/>
    <w:rsid w:val="003D5CF6"/>
    <w:rsid w:val="003D790A"/>
    <w:rsid w:val="003E2755"/>
    <w:rsid w:val="003E4FED"/>
    <w:rsid w:val="003F0279"/>
    <w:rsid w:val="003F3094"/>
    <w:rsid w:val="003F7D40"/>
    <w:rsid w:val="00405243"/>
    <w:rsid w:val="00406E45"/>
    <w:rsid w:val="0041072F"/>
    <w:rsid w:val="004121D2"/>
    <w:rsid w:val="00413D63"/>
    <w:rsid w:val="0041412B"/>
    <w:rsid w:val="00414E49"/>
    <w:rsid w:val="00417044"/>
    <w:rsid w:val="00422C07"/>
    <w:rsid w:val="0042792C"/>
    <w:rsid w:val="004319BF"/>
    <w:rsid w:val="00434AC6"/>
    <w:rsid w:val="00436339"/>
    <w:rsid w:val="00440D24"/>
    <w:rsid w:val="004452A4"/>
    <w:rsid w:val="0044680C"/>
    <w:rsid w:val="00446E71"/>
    <w:rsid w:val="0045216E"/>
    <w:rsid w:val="0045487C"/>
    <w:rsid w:val="00456956"/>
    <w:rsid w:val="00456ADD"/>
    <w:rsid w:val="004604C4"/>
    <w:rsid w:val="0046105D"/>
    <w:rsid w:val="0046236E"/>
    <w:rsid w:val="004631AD"/>
    <w:rsid w:val="00471B5A"/>
    <w:rsid w:val="00475BD9"/>
    <w:rsid w:val="0047732C"/>
    <w:rsid w:val="00480391"/>
    <w:rsid w:val="00481276"/>
    <w:rsid w:val="004833F4"/>
    <w:rsid w:val="00484339"/>
    <w:rsid w:val="00484A5A"/>
    <w:rsid w:val="0048698E"/>
    <w:rsid w:val="00490C2A"/>
    <w:rsid w:val="00492615"/>
    <w:rsid w:val="0049581E"/>
    <w:rsid w:val="00496562"/>
    <w:rsid w:val="00497DE9"/>
    <w:rsid w:val="004A3178"/>
    <w:rsid w:val="004A3B1A"/>
    <w:rsid w:val="004A7390"/>
    <w:rsid w:val="004B3DA5"/>
    <w:rsid w:val="004C4A3A"/>
    <w:rsid w:val="004C6089"/>
    <w:rsid w:val="004D5999"/>
    <w:rsid w:val="004E06F2"/>
    <w:rsid w:val="005003A9"/>
    <w:rsid w:val="00502917"/>
    <w:rsid w:val="00506172"/>
    <w:rsid w:val="005103CF"/>
    <w:rsid w:val="0051316F"/>
    <w:rsid w:val="0051326D"/>
    <w:rsid w:val="0051791A"/>
    <w:rsid w:val="00521408"/>
    <w:rsid w:val="00521A60"/>
    <w:rsid w:val="00523D1A"/>
    <w:rsid w:val="005272DB"/>
    <w:rsid w:val="0052790C"/>
    <w:rsid w:val="00534F08"/>
    <w:rsid w:val="0053628E"/>
    <w:rsid w:val="00536498"/>
    <w:rsid w:val="00542850"/>
    <w:rsid w:val="005449E0"/>
    <w:rsid w:val="005463E9"/>
    <w:rsid w:val="005466AE"/>
    <w:rsid w:val="00550513"/>
    <w:rsid w:val="0055177B"/>
    <w:rsid w:val="0055310B"/>
    <w:rsid w:val="0055446C"/>
    <w:rsid w:val="00556FB0"/>
    <w:rsid w:val="005612F3"/>
    <w:rsid w:val="00562D1D"/>
    <w:rsid w:val="00572F58"/>
    <w:rsid w:val="00576EA9"/>
    <w:rsid w:val="00583E7C"/>
    <w:rsid w:val="005848FE"/>
    <w:rsid w:val="00585835"/>
    <w:rsid w:val="005902D6"/>
    <w:rsid w:val="005917E3"/>
    <w:rsid w:val="00591D5A"/>
    <w:rsid w:val="00595028"/>
    <w:rsid w:val="00596BDD"/>
    <w:rsid w:val="005A4668"/>
    <w:rsid w:val="005A4919"/>
    <w:rsid w:val="005A79EA"/>
    <w:rsid w:val="005B7451"/>
    <w:rsid w:val="005C09D4"/>
    <w:rsid w:val="005C1772"/>
    <w:rsid w:val="005D5229"/>
    <w:rsid w:val="005D7C5E"/>
    <w:rsid w:val="005E0E8D"/>
    <w:rsid w:val="005E1085"/>
    <w:rsid w:val="005E1CD6"/>
    <w:rsid w:val="005E4217"/>
    <w:rsid w:val="005E4F0C"/>
    <w:rsid w:val="005E53CE"/>
    <w:rsid w:val="005E58D3"/>
    <w:rsid w:val="005E7152"/>
    <w:rsid w:val="005E7F34"/>
    <w:rsid w:val="005F67D6"/>
    <w:rsid w:val="00607451"/>
    <w:rsid w:val="006102C0"/>
    <w:rsid w:val="00610BD3"/>
    <w:rsid w:val="00611233"/>
    <w:rsid w:val="00611BE7"/>
    <w:rsid w:val="006120AF"/>
    <w:rsid w:val="006129CE"/>
    <w:rsid w:val="00617328"/>
    <w:rsid w:val="006176A9"/>
    <w:rsid w:val="006236B4"/>
    <w:rsid w:val="00623954"/>
    <w:rsid w:val="0062478C"/>
    <w:rsid w:val="00626693"/>
    <w:rsid w:val="006268BD"/>
    <w:rsid w:val="00632A80"/>
    <w:rsid w:val="00634F31"/>
    <w:rsid w:val="00636F6B"/>
    <w:rsid w:val="006410F6"/>
    <w:rsid w:val="00644995"/>
    <w:rsid w:val="00644F72"/>
    <w:rsid w:val="006468A6"/>
    <w:rsid w:val="006476A5"/>
    <w:rsid w:val="00653860"/>
    <w:rsid w:val="00660C37"/>
    <w:rsid w:val="00675F7E"/>
    <w:rsid w:val="00676136"/>
    <w:rsid w:val="00686E75"/>
    <w:rsid w:val="00693B43"/>
    <w:rsid w:val="006A0B54"/>
    <w:rsid w:val="006A26EB"/>
    <w:rsid w:val="006A43A0"/>
    <w:rsid w:val="006C0CC9"/>
    <w:rsid w:val="006C4A02"/>
    <w:rsid w:val="006C505E"/>
    <w:rsid w:val="006D182D"/>
    <w:rsid w:val="006D22B7"/>
    <w:rsid w:val="006D2D3A"/>
    <w:rsid w:val="006D3CE6"/>
    <w:rsid w:val="006D5070"/>
    <w:rsid w:val="006D792F"/>
    <w:rsid w:val="006E191D"/>
    <w:rsid w:val="006E4033"/>
    <w:rsid w:val="006E5E1F"/>
    <w:rsid w:val="006F0EA2"/>
    <w:rsid w:val="006F3FB4"/>
    <w:rsid w:val="006F4CB4"/>
    <w:rsid w:val="0070171E"/>
    <w:rsid w:val="0070217A"/>
    <w:rsid w:val="00713617"/>
    <w:rsid w:val="0072577C"/>
    <w:rsid w:val="00733779"/>
    <w:rsid w:val="00734F9F"/>
    <w:rsid w:val="0073725F"/>
    <w:rsid w:val="007409AC"/>
    <w:rsid w:val="00747C0B"/>
    <w:rsid w:val="0075113F"/>
    <w:rsid w:val="0075340B"/>
    <w:rsid w:val="007560B2"/>
    <w:rsid w:val="00770BB6"/>
    <w:rsid w:val="00773321"/>
    <w:rsid w:val="007779B5"/>
    <w:rsid w:val="007840FE"/>
    <w:rsid w:val="00784663"/>
    <w:rsid w:val="007850B6"/>
    <w:rsid w:val="00796B0F"/>
    <w:rsid w:val="007A2107"/>
    <w:rsid w:val="007A2376"/>
    <w:rsid w:val="007B14F5"/>
    <w:rsid w:val="007B3D96"/>
    <w:rsid w:val="007B5AFD"/>
    <w:rsid w:val="007B7906"/>
    <w:rsid w:val="007C0513"/>
    <w:rsid w:val="007C0F64"/>
    <w:rsid w:val="007C2827"/>
    <w:rsid w:val="007C4461"/>
    <w:rsid w:val="007C4B6E"/>
    <w:rsid w:val="007C5947"/>
    <w:rsid w:val="007D4966"/>
    <w:rsid w:val="007D4A24"/>
    <w:rsid w:val="007D566D"/>
    <w:rsid w:val="007D67E4"/>
    <w:rsid w:val="007E0ECD"/>
    <w:rsid w:val="007E11C2"/>
    <w:rsid w:val="007E131B"/>
    <w:rsid w:val="007F33B3"/>
    <w:rsid w:val="007F356E"/>
    <w:rsid w:val="007F4D4C"/>
    <w:rsid w:val="00800DF1"/>
    <w:rsid w:val="00807678"/>
    <w:rsid w:val="00810181"/>
    <w:rsid w:val="00812A30"/>
    <w:rsid w:val="00821866"/>
    <w:rsid w:val="008228E3"/>
    <w:rsid w:val="00822F76"/>
    <w:rsid w:val="00831B10"/>
    <w:rsid w:val="00833BD8"/>
    <w:rsid w:val="00841371"/>
    <w:rsid w:val="00842D4A"/>
    <w:rsid w:val="00843C06"/>
    <w:rsid w:val="00851D90"/>
    <w:rsid w:val="00853A53"/>
    <w:rsid w:val="0085512F"/>
    <w:rsid w:val="0086462D"/>
    <w:rsid w:val="00867874"/>
    <w:rsid w:val="0087307D"/>
    <w:rsid w:val="008734CC"/>
    <w:rsid w:val="008741AC"/>
    <w:rsid w:val="00874D26"/>
    <w:rsid w:val="008750E7"/>
    <w:rsid w:val="008757B5"/>
    <w:rsid w:val="00881863"/>
    <w:rsid w:val="00884F35"/>
    <w:rsid w:val="00885E89"/>
    <w:rsid w:val="008870C6"/>
    <w:rsid w:val="00887B05"/>
    <w:rsid w:val="00892367"/>
    <w:rsid w:val="00893F92"/>
    <w:rsid w:val="0089740D"/>
    <w:rsid w:val="008A0FD5"/>
    <w:rsid w:val="008A4977"/>
    <w:rsid w:val="008B0058"/>
    <w:rsid w:val="008B03E6"/>
    <w:rsid w:val="008B2A65"/>
    <w:rsid w:val="008C0C26"/>
    <w:rsid w:val="008C30B7"/>
    <w:rsid w:val="008C58D3"/>
    <w:rsid w:val="008D2B00"/>
    <w:rsid w:val="008D42E7"/>
    <w:rsid w:val="008D7965"/>
    <w:rsid w:val="008E226E"/>
    <w:rsid w:val="008E7D5F"/>
    <w:rsid w:val="008F2A10"/>
    <w:rsid w:val="008F2DA8"/>
    <w:rsid w:val="008F3736"/>
    <w:rsid w:val="008F4D2B"/>
    <w:rsid w:val="008F6ECD"/>
    <w:rsid w:val="008F7BC8"/>
    <w:rsid w:val="008F7CFE"/>
    <w:rsid w:val="00902E65"/>
    <w:rsid w:val="00910D78"/>
    <w:rsid w:val="00913716"/>
    <w:rsid w:val="009156F7"/>
    <w:rsid w:val="00915BDE"/>
    <w:rsid w:val="00916C70"/>
    <w:rsid w:val="009216F3"/>
    <w:rsid w:val="00931CC8"/>
    <w:rsid w:val="009372E8"/>
    <w:rsid w:val="00943EA3"/>
    <w:rsid w:val="009443E2"/>
    <w:rsid w:val="00945332"/>
    <w:rsid w:val="00945E94"/>
    <w:rsid w:val="009478A8"/>
    <w:rsid w:val="00947E42"/>
    <w:rsid w:val="00950D55"/>
    <w:rsid w:val="00953F82"/>
    <w:rsid w:val="0095566D"/>
    <w:rsid w:val="009573E8"/>
    <w:rsid w:val="00962025"/>
    <w:rsid w:val="00967FAA"/>
    <w:rsid w:val="0097235C"/>
    <w:rsid w:val="0098146C"/>
    <w:rsid w:val="00981880"/>
    <w:rsid w:val="00981D2E"/>
    <w:rsid w:val="00983481"/>
    <w:rsid w:val="00983622"/>
    <w:rsid w:val="0098397A"/>
    <w:rsid w:val="00983A22"/>
    <w:rsid w:val="009854BA"/>
    <w:rsid w:val="0099132C"/>
    <w:rsid w:val="00994AF4"/>
    <w:rsid w:val="00995055"/>
    <w:rsid w:val="0099702A"/>
    <w:rsid w:val="0099764F"/>
    <w:rsid w:val="009A3152"/>
    <w:rsid w:val="009A4A13"/>
    <w:rsid w:val="009A5C6D"/>
    <w:rsid w:val="009B11B9"/>
    <w:rsid w:val="009B182D"/>
    <w:rsid w:val="009B50F4"/>
    <w:rsid w:val="009B7B8D"/>
    <w:rsid w:val="009C1BE7"/>
    <w:rsid w:val="009C53E4"/>
    <w:rsid w:val="009C6133"/>
    <w:rsid w:val="009D111F"/>
    <w:rsid w:val="009D28F4"/>
    <w:rsid w:val="009D29AC"/>
    <w:rsid w:val="009E3BFF"/>
    <w:rsid w:val="009E3CF5"/>
    <w:rsid w:val="009E6179"/>
    <w:rsid w:val="009F2C6F"/>
    <w:rsid w:val="009F3961"/>
    <w:rsid w:val="009F57DA"/>
    <w:rsid w:val="009F655D"/>
    <w:rsid w:val="00A03326"/>
    <w:rsid w:val="00A03617"/>
    <w:rsid w:val="00A04FD5"/>
    <w:rsid w:val="00A054D1"/>
    <w:rsid w:val="00A1072C"/>
    <w:rsid w:val="00A14A12"/>
    <w:rsid w:val="00A14F99"/>
    <w:rsid w:val="00A178A9"/>
    <w:rsid w:val="00A21040"/>
    <w:rsid w:val="00A215BD"/>
    <w:rsid w:val="00A224DC"/>
    <w:rsid w:val="00A32EFA"/>
    <w:rsid w:val="00A37860"/>
    <w:rsid w:val="00A40ACD"/>
    <w:rsid w:val="00A44D87"/>
    <w:rsid w:val="00A50AAA"/>
    <w:rsid w:val="00A50D35"/>
    <w:rsid w:val="00A51163"/>
    <w:rsid w:val="00A536E5"/>
    <w:rsid w:val="00A54C3D"/>
    <w:rsid w:val="00A56961"/>
    <w:rsid w:val="00A7243C"/>
    <w:rsid w:val="00A77892"/>
    <w:rsid w:val="00A80119"/>
    <w:rsid w:val="00A829A9"/>
    <w:rsid w:val="00A8334B"/>
    <w:rsid w:val="00A8484F"/>
    <w:rsid w:val="00A84E64"/>
    <w:rsid w:val="00A8594A"/>
    <w:rsid w:val="00A92A17"/>
    <w:rsid w:val="00A967C9"/>
    <w:rsid w:val="00AA05F9"/>
    <w:rsid w:val="00AA3F5E"/>
    <w:rsid w:val="00AA54E0"/>
    <w:rsid w:val="00AA60AD"/>
    <w:rsid w:val="00AB0DE7"/>
    <w:rsid w:val="00AB1464"/>
    <w:rsid w:val="00AB628B"/>
    <w:rsid w:val="00AB7967"/>
    <w:rsid w:val="00AC3C18"/>
    <w:rsid w:val="00AD0B32"/>
    <w:rsid w:val="00AD156E"/>
    <w:rsid w:val="00AD4ACB"/>
    <w:rsid w:val="00AE0577"/>
    <w:rsid w:val="00AE15CF"/>
    <w:rsid w:val="00AE1D4E"/>
    <w:rsid w:val="00AE4FC3"/>
    <w:rsid w:val="00AE71FD"/>
    <w:rsid w:val="00AE7EFA"/>
    <w:rsid w:val="00B014DE"/>
    <w:rsid w:val="00B025D2"/>
    <w:rsid w:val="00B045C8"/>
    <w:rsid w:val="00B1038C"/>
    <w:rsid w:val="00B16FAB"/>
    <w:rsid w:val="00B201A0"/>
    <w:rsid w:val="00B21738"/>
    <w:rsid w:val="00B242E6"/>
    <w:rsid w:val="00B25A85"/>
    <w:rsid w:val="00B26258"/>
    <w:rsid w:val="00B271E4"/>
    <w:rsid w:val="00B33566"/>
    <w:rsid w:val="00B343A1"/>
    <w:rsid w:val="00B524ED"/>
    <w:rsid w:val="00B574EB"/>
    <w:rsid w:val="00B6061B"/>
    <w:rsid w:val="00B615A9"/>
    <w:rsid w:val="00B64269"/>
    <w:rsid w:val="00B67127"/>
    <w:rsid w:val="00B75332"/>
    <w:rsid w:val="00B876C8"/>
    <w:rsid w:val="00B87993"/>
    <w:rsid w:val="00B9294E"/>
    <w:rsid w:val="00B93AB8"/>
    <w:rsid w:val="00BA3E5F"/>
    <w:rsid w:val="00BA4168"/>
    <w:rsid w:val="00BB224E"/>
    <w:rsid w:val="00BB376F"/>
    <w:rsid w:val="00BB4FAB"/>
    <w:rsid w:val="00BB59E5"/>
    <w:rsid w:val="00BB7EF6"/>
    <w:rsid w:val="00BC43D9"/>
    <w:rsid w:val="00BD2ED3"/>
    <w:rsid w:val="00BD4255"/>
    <w:rsid w:val="00BD6535"/>
    <w:rsid w:val="00BD6E16"/>
    <w:rsid w:val="00BF0666"/>
    <w:rsid w:val="00BF3B88"/>
    <w:rsid w:val="00BF7A40"/>
    <w:rsid w:val="00C018B4"/>
    <w:rsid w:val="00C01E1D"/>
    <w:rsid w:val="00C03875"/>
    <w:rsid w:val="00C10144"/>
    <w:rsid w:val="00C12037"/>
    <w:rsid w:val="00C126B0"/>
    <w:rsid w:val="00C141CD"/>
    <w:rsid w:val="00C21F5F"/>
    <w:rsid w:val="00C27B1D"/>
    <w:rsid w:val="00C34729"/>
    <w:rsid w:val="00C347FA"/>
    <w:rsid w:val="00C3703A"/>
    <w:rsid w:val="00C43843"/>
    <w:rsid w:val="00C5457B"/>
    <w:rsid w:val="00C6478C"/>
    <w:rsid w:val="00C74091"/>
    <w:rsid w:val="00C74C8E"/>
    <w:rsid w:val="00C76ECA"/>
    <w:rsid w:val="00C7789F"/>
    <w:rsid w:val="00C80D73"/>
    <w:rsid w:val="00C8132C"/>
    <w:rsid w:val="00C86422"/>
    <w:rsid w:val="00C9467D"/>
    <w:rsid w:val="00C9476E"/>
    <w:rsid w:val="00C96278"/>
    <w:rsid w:val="00CA124A"/>
    <w:rsid w:val="00CA2288"/>
    <w:rsid w:val="00CA4372"/>
    <w:rsid w:val="00CA5149"/>
    <w:rsid w:val="00CB00D7"/>
    <w:rsid w:val="00CB0EC7"/>
    <w:rsid w:val="00CB4486"/>
    <w:rsid w:val="00CB59CD"/>
    <w:rsid w:val="00CB7400"/>
    <w:rsid w:val="00CB7C37"/>
    <w:rsid w:val="00CC58F0"/>
    <w:rsid w:val="00CC5F2F"/>
    <w:rsid w:val="00CC7891"/>
    <w:rsid w:val="00CD67E5"/>
    <w:rsid w:val="00CE0759"/>
    <w:rsid w:val="00CE1BE4"/>
    <w:rsid w:val="00CF14C5"/>
    <w:rsid w:val="00CF3480"/>
    <w:rsid w:val="00CF5C95"/>
    <w:rsid w:val="00D110F8"/>
    <w:rsid w:val="00D1184C"/>
    <w:rsid w:val="00D119F9"/>
    <w:rsid w:val="00D15215"/>
    <w:rsid w:val="00D16E70"/>
    <w:rsid w:val="00D20BC7"/>
    <w:rsid w:val="00D20BE8"/>
    <w:rsid w:val="00D21A4F"/>
    <w:rsid w:val="00D25151"/>
    <w:rsid w:val="00D25817"/>
    <w:rsid w:val="00D27A07"/>
    <w:rsid w:val="00D37E04"/>
    <w:rsid w:val="00D40744"/>
    <w:rsid w:val="00D41762"/>
    <w:rsid w:val="00D41EF3"/>
    <w:rsid w:val="00D44B2B"/>
    <w:rsid w:val="00D45E3A"/>
    <w:rsid w:val="00D46BF1"/>
    <w:rsid w:val="00D470DF"/>
    <w:rsid w:val="00D47900"/>
    <w:rsid w:val="00D507DC"/>
    <w:rsid w:val="00D53645"/>
    <w:rsid w:val="00D6039A"/>
    <w:rsid w:val="00D669B4"/>
    <w:rsid w:val="00D669DB"/>
    <w:rsid w:val="00D71AA9"/>
    <w:rsid w:val="00D76459"/>
    <w:rsid w:val="00D83095"/>
    <w:rsid w:val="00D832A3"/>
    <w:rsid w:val="00D8333C"/>
    <w:rsid w:val="00D8525D"/>
    <w:rsid w:val="00D97775"/>
    <w:rsid w:val="00DA2825"/>
    <w:rsid w:val="00DA7D9F"/>
    <w:rsid w:val="00DB17FA"/>
    <w:rsid w:val="00DB1E93"/>
    <w:rsid w:val="00DB2800"/>
    <w:rsid w:val="00DB3D5E"/>
    <w:rsid w:val="00DB4713"/>
    <w:rsid w:val="00DB5C96"/>
    <w:rsid w:val="00DB7001"/>
    <w:rsid w:val="00DC1430"/>
    <w:rsid w:val="00DC2B04"/>
    <w:rsid w:val="00DC642E"/>
    <w:rsid w:val="00DD343E"/>
    <w:rsid w:val="00DE31BA"/>
    <w:rsid w:val="00DE41AC"/>
    <w:rsid w:val="00DF335D"/>
    <w:rsid w:val="00DF3C5C"/>
    <w:rsid w:val="00DF5507"/>
    <w:rsid w:val="00DF6CBD"/>
    <w:rsid w:val="00E002A9"/>
    <w:rsid w:val="00E028CB"/>
    <w:rsid w:val="00E03C94"/>
    <w:rsid w:val="00E04D93"/>
    <w:rsid w:val="00E05A53"/>
    <w:rsid w:val="00E069B4"/>
    <w:rsid w:val="00E10781"/>
    <w:rsid w:val="00E111BF"/>
    <w:rsid w:val="00E1132E"/>
    <w:rsid w:val="00E2272A"/>
    <w:rsid w:val="00E22F8B"/>
    <w:rsid w:val="00E24FEB"/>
    <w:rsid w:val="00E30675"/>
    <w:rsid w:val="00E32450"/>
    <w:rsid w:val="00E33F22"/>
    <w:rsid w:val="00E3739C"/>
    <w:rsid w:val="00E414C1"/>
    <w:rsid w:val="00E42070"/>
    <w:rsid w:val="00E46A7C"/>
    <w:rsid w:val="00E51D51"/>
    <w:rsid w:val="00E52CB2"/>
    <w:rsid w:val="00E561FD"/>
    <w:rsid w:val="00E61174"/>
    <w:rsid w:val="00E64371"/>
    <w:rsid w:val="00E65EFE"/>
    <w:rsid w:val="00E73678"/>
    <w:rsid w:val="00E759D9"/>
    <w:rsid w:val="00E77444"/>
    <w:rsid w:val="00E80398"/>
    <w:rsid w:val="00E8067C"/>
    <w:rsid w:val="00E821FE"/>
    <w:rsid w:val="00E836B6"/>
    <w:rsid w:val="00E845AD"/>
    <w:rsid w:val="00E87078"/>
    <w:rsid w:val="00E8708F"/>
    <w:rsid w:val="00E9087C"/>
    <w:rsid w:val="00E95E78"/>
    <w:rsid w:val="00E972DC"/>
    <w:rsid w:val="00E97B7D"/>
    <w:rsid w:val="00EA0070"/>
    <w:rsid w:val="00EA6D6C"/>
    <w:rsid w:val="00EB1147"/>
    <w:rsid w:val="00EB3D89"/>
    <w:rsid w:val="00EB5F97"/>
    <w:rsid w:val="00EB6547"/>
    <w:rsid w:val="00EC16AA"/>
    <w:rsid w:val="00EC1C1C"/>
    <w:rsid w:val="00EC2AA4"/>
    <w:rsid w:val="00EC314B"/>
    <w:rsid w:val="00EC456D"/>
    <w:rsid w:val="00EC465C"/>
    <w:rsid w:val="00EC5C94"/>
    <w:rsid w:val="00EC7322"/>
    <w:rsid w:val="00ED1781"/>
    <w:rsid w:val="00ED4F7F"/>
    <w:rsid w:val="00EE0CBB"/>
    <w:rsid w:val="00EE440F"/>
    <w:rsid w:val="00EE5079"/>
    <w:rsid w:val="00EE6007"/>
    <w:rsid w:val="00EF1231"/>
    <w:rsid w:val="00EF26DB"/>
    <w:rsid w:val="00EF54C1"/>
    <w:rsid w:val="00EF6659"/>
    <w:rsid w:val="00EF74AE"/>
    <w:rsid w:val="00F1770F"/>
    <w:rsid w:val="00F20ED0"/>
    <w:rsid w:val="00F2478E"/>
    <w:rsid w:val="00F254EA"/>
    <w:rsid w:val="00F32C1F"/>
    <w:rsid w:val="00F33853"/>
    <w:rsid w:val="00F44897"/>
    <w:rsid w:val="00F47759"/>
    <w:rsid w:val="00F53D06"/>
    <w:rsid w:val="00F53D52"/>
    <w:rsid w:val="00F60539"/>
    <w:rsid w:val="00F616A4"/>
    <w:rsid w:val="00F61A54"/>
    <w:rsid w:val="00F65736"/>
    <w:rsid w:val="00F65D92"/>
    <w:rsid w:val="00F66920"/>
    <w:rsid w:val="00F73D33"/>
    <w:rsid w:val="00F7417F"/>
    <w:rsid w:val="00F74B0E"/>
    <w:rsid w:val="00F87895"/>
    <w:rsid w:val="00F90333"/>
    <w:rsid w:val="00F90708"/>
    <w:rsid w:val="00F90CAA"/>
    <w:rsid w:val="00FA7E98"/>
    <w:rsid w:val="00FB1CB3"/>
    <w:rsid w:val="00FB2FA6"/>
    <w:rsid w:val="00FB4599"/>
    <w:rsid w:val="00FC5CF8"/>
    <w:rsid w:val="00FD1005"/>
    <w:rsid w:val="00FD342E"/>
    <w:rsid w:val="00FD3BE8"/>
    <w:rsid w:val="00FE2EFD"/>
    <w:rsid w:val="00FE5F51"/>
    <w:rsid w:val="00FF2DE4"/>
    <w:rsid w:val="00FF3CDD"/>
    <w:rsid w:val="00FF3DB0"/>
    <w:rsid w:val="00FF447A"/>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CD593"/>
  <w15:chartTrackingRefBased/>
  <w15:docId w15:val="{8A7F3E24-C5D2-4374-8B04-8ACFAB4D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lang w:val="en-AU" w:eastAsia="en-US" w:bidi="ar-SA"/>
        <w14:ligatures w14:val="standardContextual"/>
      </w:rPr>
    </w:rPrDefault>
    <w:pPrDefault>
      <w:pPr>
        <w:spacing w:before="20" w:after="20" w:line="360" w:lineRule="auto"/>
        <w:ind w:left="397"/>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333"/>
    <w:pPr>
      <w:spacing w:before="120" w:after="120" w:line="276" w:lineRule="auto"/>
      <w:ind w:left="0"/>
      <w:jc w:val="both"/>
    </w:pPr>
    <w:rPr>
      <w:kern w:val="0"/>
      <w:sz w:val="22"/>
      <w:lang w:val="en-US" w:bidi="en-US"/>
      <w14:ligatures w14:val="none"/>
    </w:rPr>
  </w:style>
  <w:style w:type="paragraph" w:styleId="Heading1">
    <w:name w:val="heading 1"/>
    <w:next w:val="Normal"/>
    <w:link w:val="Heading1Char"/>
    <w:uiPriority w:val="9"/>
    <w:qFormat/>
    <w:rsid w:val="007C5947"/>
    <w:pPr>
      <w:pageBreakBefore/>
      <w:numPr>
        <w:numId w:val="2"/>
      </w:numPr>
      <w:pBdr>
        <w:top w:val="single" w:sz="24" w:space="0" w:color="4F81BD"/>
        <w:left w:val="single" w:sz="24" w:space="0" w:color="4F81BD"/>
        <w:bottom w:val="single" w:sz="24" w:space="0" w:color="4F81BD"/>
        <w:right w:val="single" w:sz="24" w:space="0" w:color="4F81BD"/>
      </w:pBdr>
      <w:shd w:val="clear" w:color="auto" w:fill="4F81BD"/>
      <w:outlineLvl w:val="0"/>
    </w:pPr>
    <w:rPr>
      <w:rFonts w:eastAsiaTheme="majorEastAsia" w:cstheme="majorBidi"/>
      <w:b/>
      <w:bCs/>
      <w:caps/>
      <w:color w:val="FFFFFF"/>
      <w:spacing w:val="15"/>
      <w:kern w:val="0"/>
      <w:sz w:val="22"/>
      <w:szCs w:val="22"/>
      <w:lang w:val="en-US" w:bidi="en-US"/>
      <w14:ligatures w14:val="none"/>
    </w:rPr>
  </w:style>
  <w:style w:type="paragraph" w:styleId="Heading2">
    <w:name w:val="heading 2"/>
    <w:basedOn w:val="Heading1"/>
    <w:next w:val="Normal"/>
    <w:link w:val="Heading2Char"/>
    <w:autoRedefine/>
    <w:uiPriority w:val="9"/>
    <w:qFormat/>
    <w:rsid w:val="007C5947"/>
    <w:pPr>
      <w:keepNext/>
      <w:pageBreakBefore w:val="0"/>
      <w:numPr>
        <w:ilvl w:val="1"/>
      </w:numPr>
      <w:pBdr>
        <w:top w:val="single" w:sz="24" w:space="0" w:color="DBE5F1"/>
        <w:left w:val="single" w:sz="24" w:space="0" w:color="DBE5F1"/>
        <w:bottom w:val="single" w:sz="24" w:space="0" w:color="DBE5F1"/>
        <w:right w:val="single" w:sz="24" w:space="0" w:color="DBE5F1"/>
      </w:pBdr>
      <w:shd w:val="clear" w:color="auto" w:fill="DBE5F1"/>
      <w:spacing w:before="240"/>
      <w:outlineLvl w:val="1"/>
    </w:pPr>
    <w:rPr>
      <w:caps w:val="0"/>
      <w:color w:val="595959"/>
      <w:lang w:val="en-AU"/>
    </w:rPr>
  </w:style>
  <w:style w:type="paragraph" w:styleId="Heading3">
    <w:name w:val="heading 3"/>
    <w:basedOn w:val="Normal"/>
    <w:next w:val="Normal"/>
    <w:link w:val="Heading3Char"/>
    <w:autoRedefine/>
    <w:qFormat/>
    <w:rsid w:val="007C5947"/>
    <w:pPr>
      <w:numPr>
        <w:ilvl w:val="2"/>
        <w:numId w:val="2"/>
      </w:numPr>
      <w:pBdr>
        <w:top w:val="single" w:sz="6" w:space="2" w:color="4F81BD"/>
      </w:pBdr>
      <w:spacing w:before="300" w:after="0"/>
      <w:jc w:val="left"/>
      <w:outlineLvl w:val="2"/>
    </w:pPr>
    <w:rPr>
      <w:rFonts w:eastAsiaTheme="majorEastAsia" w:cstheme="majorBidi"/>
      <w:color w:val="071320" w:themeColor="text2" w:themeShade="80"/>
      <w:spacing w:val="15"/>
      <w:szCs w:val="22"/>
    </w:rPr>
  </w:style>
  <w:style w:type="paragraph" w:styleId="Heading4">
    <w:name w:val="heading 4"/>
    <w:basedOn w:val="Normal"/>
    <w:next w:val="Normal"/>
    <w:link w:val="Heading4Char"/>
    <w:uiPriority w:val="9"/>
    <w:qFormat/>
    <w:rsid w:val="007C5947"/>
    <w:pPr>
      <w:numPr>
        <w:ilvl w:val="3"/>
        <w:numId w:val="2"/>
      </w:numPr>
      <w:pBdr>
        <w:top w:val="dotted" w:sz="6" w:space="2" w:color="4F81BD"/>
        <w:left w:val="dotted" w:sz="6" w:space="2" w:color="4F81BD"/>
      </w:pBdr>
      <w:spacing w:before="300" w:after="0"/>
      <w:outlineLvl w:val="3"/>
    </w:pPr>
    <w:rPr>
      <w:caps/>
      <w:color w:val="365F91"/>
      <w:spacing w:val="10"/>
      <w:szCs w:val="22"/>
    </w:rPr>
  </w:style>
  <w:style w:type="paragraph" w:styleId="Heading5">
    <w:name w:val="heading 5"/>
    <w:basedOn w:val="Normal"/>
    <w:next w:val="Normal"/>
    <w:link w:val="Heading5Char"/>
    <w:uiPriority w:val="9"/>
    <w:qFormat/>
    <w:rsid w:val="007C5947"/>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
    <w:qFormat/>
    <w:rsid w:val="007C5947"/>
    <w:pPr>
      <w:numPr>
        <w:ilvl w:val="5"/>
        <w:numId w:val="2"/>
      </w:num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
    <w:qFormat/>
    <w:rsid w:val="007C5947"/>
    <w:pPr>
      <w:numPr>
        <w:ilvl w:val="6"/>
        <w:numId w:val="2"/>
      </w:numPr>
      <w:spacing w:before="300" w:after="0"/>
      <w:outlineLvl w:val="6"/>
    </w:pPr>
    <w:rPr>
      <w:rFonts w:eastAsiaTheme="majorEastAsia" w:cstheme="majorBidi"/>
      <w:caps/>
      <w:color w:val="365F91"/>
      <w:spacing w:val="10"/>
      <w:szCs w:val="22"/>
    </w:rPr>
  </w:style>
  <w:style w:type="paragraph" w:styleId="Heading8">
    <w:name w:val="heading 8"/>
    <w:basedOn w:val="Normal"/>
    <w:next w:val="Normal"/>
    <w:link w:val="Heading8Char"/>
    <w:uiPriority w:val="9"/>
    <w:qFormat/>
    <w:rsid w:val="007C5947"/>
    <w:pPr>
      <w:numPr>
        <w:ilvl w:val="7"/>
        <w:numId w:val="2"/>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7C5947"/>
    <w:pPr>
      <w:numPr>
        <w:ilvl w:val="8"/>
        <w:numId w:val="2"/>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A829A9"/>
  </w:style>
  <w:style w:type="character" w:customStyle="1" w:styleId="spelle">
    <w:name w:val="spelle"/>
    <w:basedOn w:val="DefaultParagraphFont"/>
    <w:rsid w:val="00A829A9"/>
  </w:style>
  <w:style w:type="character" w:customStyle="1" w:styleId="Heading1Char">
    <w:name w:val="Heading 1 Char"/>
    <w:basedOn w:val="DefaultParagraphFont"/>
    <w:link w:val="Heading1"/>
    <w:uiPriority w:val="9"/>
    <w:rsid w:val="007C5947"/>
    <w:rPr>
      <w:rFonts w:eastAsiaTheme="majorEastAsia" w:cstheme="majorBidi"/>
      <w:b/>
      <w:bCs/>
      <w:caps/>
      <w:color w:val="FFFFFF"/>
      <w:spacing w:val="15"/>
      <w:kern w:val="0"/>
      <w:sz w:val="22"/>
      <w:szCs w:val="22"/>
      <w:shd w:val="clear" w:color="auto" w:fill="4F81BD"/>
      <w:lang w:val="en-US" w:bidi="en-US"/>
      <w14:ligatures w14:val="none"/>
    </w:rPr>
  </w:style>
  <w:style w:type="character" w:styleId="Hyperlink">
    <w:name w:val="Hyperlink"/>
    <w:basedOn w:val="DefaultParagraphFont"/>
    <w:uiPriority w:val="99"/>
    <w:rsid w:val="007C5947"/>
    <w:rPr>
      <w:color w:val="0000FF"/>
      <w:u w:val="single"/>
    </w:rPr>
  </w:style>
  <w:style w:type="character" w:styleId="UnresolvedMention">
    <w:name w:val="Unresolved Mention"/>
    <w:basedOn w:val="DefaultParagraphFont"/>
    <w:uiPriority w:val="99"/>
    <w:semiHidden/>
    <w:unhideWhenUsed/>
    <w:rsid w:val="007C5947"/>
    <w:rPr>
      <w:color w:val="605E5C"/>
      <w:shd w:val="clear" w:color="auto" w:fill="E1DFDD"/>
    </w:rPr>
  </w:style>
  <w:style w:type="paragraph" w:customStyle="1" w:styleId="Table1">
    <w:name w:val="Table #1"/>
    <w:basedOn w:val="Heading1"/>
    <w:next w:val="Normal"/>
    <w:qFormat/>
    <w:rsid w:val="007C5947"/>
    <w:pPr>
      <w:pageBreakBefore w:val="0"/>
      <w:numPr>
        <w:numId w:val="4"/>
      </w:numPr>
      <w:pBdr>
        <w:top w:val="none" w:sz="0" w:space="0" w:color="auto"/>
        <w:left w:val="none" w:sz="0" w:space="0" w:color="auto"/>
        <w:bottom w:val="none" w:sz="0" w:space="0" w:color="auto"/>
        <w:right w:val="none" w:sz="0" w:space="0" w:color="auto"/>
      </w:pBdr>
      <w:shd w:val="clear" w:color="auto" w:fill="auto"/>
      <w:spacing w:before="120" w:after="120" w:line="240" w:lineRule="auto"/>
    </w:pPr>
    <w:rPr>
      <w:rFonts w:eastAsia="Times New Roman" w:cs="Times New Roman"/>
      <w:caps w:val="0"/>
      <w:color w:val="000000" w:themeColor="text1"/>
      <w:lang w:val="en-AU"/>
    </w:rPr>
  </w:style>
  <w:style w:type="character" w:customStyle="1" w:styleId="a">
    <w:name w:val="a"/>
    <w:basedOn w:val="DefaultParagraphFont"/>
    <w:rsid w:val="007C5947"/>
  </w:style>
  <w:style w:type="paragraph" w:customStyle="1" w:styleId="NoSpacing1">
    <w:name w:val="No Spacing1"/>
    <w:basedOn w:val="Normal"/>
    <w:link w:val="NoSpacingChar"/>
    <w:uiPriority w:val="1"/>
    <w:qFormat/>
    <w:rsid w:val="007C5947"/>
    <w:pPr>
      <w:spacing w:before="0" w:after="0" w:line="240" w:lineRule="auto"/>
    </w:pPr>
  </w:style>
  <w:style w:type="character" w:customStyle="1" w:styleId="NoSpacingChar">
    <w:name w:val="No Spacing Char"/>
    <w:basedOn w:val="DefaultParagraphFont"/>
    <w:link w:val="NoSpacing1"/>
    <w:uiPriority w:val="1"/>
    <w:rsid w:val="007C5947"/>
    <w:rPr>
      <w:kern w:val="0"/>
      <w:sz w:val="22"/>
      <w:lang w:val="en-US" w:bidi="en-US"/>
      <w14:ligatures w14:val="none"/>
    </w:rPr>
  </w:style>
  <w:style w:type="paragraph" w:customStyle="1" w:styleId="ColorfulList-Accent11">
    <w:name w:val="Colorful List - Accent 11"/>
    <w:basedOn w:val="Normal"/>
    <w:uiPriority w:val="34"/>
    <w:qFormat/>
    <w:rsid w:val="007C5947"/>
    <w:pPr>
      <w:ind w:left="720"/>
      <w:contextualSpacing/>
    </w:pPr>
  </w:style>
  <w:style w:type="paragraph" w:customStyle="1" w:styleId="ColorfulGrid-Accent11">
    <w:name w:val="Colorful Grid - Accent 11"/>
    <w:basedOn w:val="Normal"/>
    <w:next w:val="Normal"/>
    <w:link w:val="ColorfulGrid-Accent1Char"/>
    <w:uiPriority w:val="29"/>
    <w:qFormat/>
    <w:rsid w:val="007C5947"/>
    <w:rPr>
      <w:i/>
      <w:iCs/>
    </w:rPr>
  </w:style>
  <w:style w:type="character" w:customStyle="1" w:styleId="ColorfulGrid-Accent1Char">
    <w:name w:val="Colorful Grid - Accent 1 Char"/>
    <w:basedOn w:val="DefaultParagraphFont"/>
    <w:link w:val="ColorfulGrid-Accent11"/>
    <w:uiPriority w:val="29"/>
    <w:rsid w:val="007C5947"/>
    <w:rPr>
      <w:i/>
      <w:iCs/>
      <w:kern w:val="0"/>
      <w:sz w:val="22"/>
      <w:lang w:val="en-US" w:bidi="en-US"/>
      <w14:ligatures w14:val="none"/>
    </w:rPr>
  </w:style>
  <w:style w:type="paragraph" w:customStyle="1" w:styleId="LightShading-Accent21">
    <w:name w:val="Light Shading - Accent 21"/>
    <w:basedOn w:val="Normal"/>
    <w:next w:val="Normal"/>
    <w:link w:val="LightShading-Accent2Char"/>
    <w:uiPriority w:val="30"/>
    <w:qFormat/>
    <w:rsid w:val="007C5947"/>
    <w:pPr>
      <w:pBdr>
        <w:top w:val="single" w:sz="4" w:space="10" w:color="4F81BD"/>
        <w:left w:val="single" w:sz="4" w:space="10" w:color="4F81BD"/>
      </w:pBdr>
      <w:spacing w:after="0"/>
      <w:ind w:left="1296" w:right="1152"/>
    </w:pPr>
    <w:rPr>
      <w:i/>
      <w:iCs/>
      <w:color w:val="4F81BD"/>
    </w:rPr>
  </w:style>
  <w:style w:type="character" w:customStyle="1" w:styleId="LightShading-Accent2Char">
    <w:name w:val="Light Shading - Accent 2 Char"/>
    <w:basedOn w:val="DefaultParagraphFont"/>
    <w:link w:val="LightShading-Accent21"/>
    <w:uiPriority w:val="30"/>
    <w:rsid w:val="007C5947"/>
    <w:rPr>
      <w:i/>
      <w:iCs/>
      <w:color w:val="4F81BD"/>
      <w:kern w:val="0"/>
      <w:sz w:val="22"/>
      <w:lang w:val="en-US" w:bidi="en-US"/>
      <w14:ligatures w14:val="none"/>
    </w:rPr>
  </w:style>
  <w:style w:type="character" w:customStyle="1" w:styleId="SubtleEmphasis1">
    <w:name w:val="Subtle Emphasis1"/>
    <w:uiPriority w:val="19"/>
    <w:qFormat/>
    <w:rsid w:val="007C5947"/>
    <w:rPr>
      <w:i/>
      <w:iCs/>
      <w:color w:val="243F60"/>
    </w:rPr>
  </w:style>
  <w:style w:type="character" w:customStyle="1" w:styleId="IntenseEmphasis1">
    <w:name w:val="Intense Emphasis1"/>
    <w:uiPriority w:val="21"/>
    <w:qFormat/>
    <w:rsid w:val="007C5947"/>
    <w:rPr>
      <w:b/>
      <w:bCs/>
      <w:caps/>
      <w:color w:val="243F60"/>
      <w:spacing w:val="10"/>
    </w:rPr>
  </w:style>
  <w:style w:type="character" w:customStyle="1" w:styleId="SubtleReference1">
    <w:name w:val="Subtle Reference1"/>
    <w:uiPriority w:val="31"/>
    <w:qFormat/>
    <w:rsid w:val="007C5947"/>
    <w:rPr>
      <w:b/>
      <w:bCs/>
      <w:color w:val="4F81BD"/>
    </w:rPr>
  </w:style>
  <w:style w:type="character" w:customStyle="1" w:styleId="IntenseReference1">
    <w:name w:val="Intense Reference1"/>
    <w:uiPriority w:val="32"/>
    <w:qFormat/>
    <w:rsid w:val="007C5947"/>
    <w:rPr>
      <w:b/>
      <w:bCs/>
      <w:i/>
      <w:iCs/>
      <w:caps/>
      <w:color w:val="4F81BD"/>
    </w:rPr>
  </w:style>
  <w:style w:type="character" w:customStyle="1" w:styleId="BookTitle1">
    <w:name w:val="Book Title1"/>
    <w:uiPriority w:val="33"/>
    <w:qFormat/>
    <w:rsid w:val="007C5947"/>
    <w:rPr>
      <w:b/>
      <w:bCs/>
      <w:i/>
      <w:iCs/>
      <w:spacing w:val="9"/>
    </w:rPr>
  </w:style>
  <w:style w:type="paragraph" w:customStyle="1" w:styleId="TOCHeading1">
    <w:name w:val="TOC Heading1"/>
    <w:basedOn w:val="Heading1"/>
    <w:next w:val="Normal"/>
    <w:uiPriority w:val="39"/>
    <w:rsid w:val="007C5947"/>
    <w:pPr>
      <w:outlineLvl w:val="9"/>
    </w:pPr>
    <w:rPr>
      <w:rFonts w:eastAsia="Times New Roman" w:cs="Times New Roman"/>
    </w:rPr>
  </w:style>
  <w:style w:type="paragraph" w:customStyle="1" w:styleId="TableBullet">
    <w:name w:val="Table Bullet"/>
    <w:basedOn w:val="ListBullet"/>
    <w:link w:val="TableBulletChar"/>
    <w:qFormat/>
    <w:rsid w:val="007C5947"/>
    <w:pPr>
      <w:widowControl w:val="0"/>
      <w:numPr>
        <w:numId w:val="3"/>
      </w:numPr>
      <w:suppressAutoHyphens/>
      <w:spacing w:before="0" w:after="0" w:line="240" w:lineRule="auto"/>
    </w:pPr>
    <w:rPr>
      <w:rFonts w:eastAsia="Tahoma"/>
    </w:rPr>
  </w:style>
  <w:style w:type="character" w:customStyle="1" w:styleId="TableBulletChar">
    <w:name w:val="Table Bullet Char"/>
    <w:basedOn w:val="DefaultParagraphFont"/>
    <w:link w:val="TableBullet"/>
    <w:rsid w:val="007C5947"/>
    <w:rPr>
      <w:rFonts w:eastAsia="Tahoma"/>
      <w:kern w:val="0"/>
      <w:sz w:val="22"/>
      <w:lang w:val="en-US" w:bidi="en-US"/>
      <w14:ligatures w14:val="none"/>
    </w:rPr>
  </w:style>
  <w:style w:type="paragraph" w:styleId="ListBullet">
    <w:name w:val="List Bullet"/>
    <w:basedOn w:val="Normal"/>
    <w:uiPriority w:val="99"/>
    <w:semiHidden/>
    <w:unhideWhenUsed/>
    <w:rsid w:val="007C5947"/>
    <w:pPr>
      <w:numPr>
        <w:numId w:val="1"/>
      </w:numPr>
      <w:contextualSpacing/>
    </w:pPr>
  </w:style>
  <w:style w:type="paragraph" w:customStyle="1" w:styleId="Heading21">
    <w:name w:val="Heading 21"/>
    <w:basedOn w:val="Heading1"/>
    <w:next w:val="Normal"/>
    <w:uiPriority w:val="9"/>
    <w:unhideWhenUsed/>
    <w:rsid w:val="007C5947"/>
    <w:pPr>
      <w:keepNext/>
      <w:pageBreakBefore w:val="0"/>
      <w:numPr>
        <w:numId w:val="0"/>
      </w:numPr>
      <w:pBdr>
        <w:top w:val="single" w:sz="24" w:space="0" w:color="DBE5F1"/>
        <w:left w:val="single" w:sz="24" w:space="0" w:color="DBE5F1"/>
        <w:bottom w:val="single" w:sz="24" w:space="0" w:color="DBE5F1"/>
        <w:right w:val="single" w:sz="24" w:space="0" w:color="DBE5F1"/>
      </w:pBdr>
      <w:shd w:val="clear" w:color="auto" w:fill="DBE5F1"/>
      <w:outlineLvl w:val="1"/>
    </w:pPr>
    <w:rPr>
      <w:rFonts w:eastAsia="Times New Roman" w:cs="Times New Roman"/>
      <w:caps w:val="0"/>
    </w:rPr>
  </w:style>
  <w:style w:type="paragraph" w:customStyle="1" w:styleId="Normal-tableChar">
    <w:name w:val="Normal - table Char"/>
    <w:basedOn w:val="Normal"/>
    <w:link w:val="Normal-tableCharChar"/>
    <w:rsid w:val="007C5947"/>
    <w:pPr>
      <w:spacing w:beforeLines="40" w:afterLines="40" w:line="360" w:lineRule="auto"/>
      <w:ind w:left="74"/>
    </w:pPr>
    <w:rPr>
      <w:rFonts w:ascii="Verdana" w:hAnsi="Verdana"/>
      <w:sz w:val="16"/>
      <w:szCs w:val="16"/>
      <w:lang w:val="en-AU" w:eastAsia="en-AU" w:bidi="ar-SA"/>
    </w:rPr>
  </w:style>
  <w:style w:type="character" w:customStyle="1" w:styleId="Normal-tableCharChar">
    <w:name w:val="Normal - table Char Char"/>
    <w:basedOn w:val="DefaultParagraphFont"/>
    <w:link w:val="Normal-tableChar"/>
    <w:rsid w:val="007C5947"/>
    <w:rPr>
      <w:rFonts w:ascii="Verdana" w:hAnsi="Verdana"/>
      <w:kern w:val="0"/>
      <w:sz w:val="16"/>
      <w:szCs w:val="16"/>
      <w:lang w:eastAsia="en-AU"/>
      <w14:ligatures w14:val="none"/>
    </w:rPr>
  </w:style>
  <w:style w:type="paragraph" w:customStyle="1" w:styleId="CharCharChar">
    <w:name w:val="Char Char Char"/>
    <w:basedOn w:val="Normal"/>
    <w:rsid w:val="007C5947"/>
    <w:pPr>
      <w:spacing w:before="0" w:after="0" w:line="240" w:lineRule="auto"/>
    </w:pPr>
    <w:rPr>
      <w:rFonts w:ascii="Arial" w:hAnsi="Arial" w:cs="Arial"/>
      <w:szCs w:val="22"/>
      <w:lang w:val="en-AU" w:bidi="ar-SA"/>
    </w:rPr>
  </w:style>
  <w:style w:type="paragraph" w:customStyle="1" w:styleId="Normal-table">
    <w:name w:val="Normal - table"/>
    <w:basedOn w:val="Normal"/>
    <w:rsid w:val="007C5947"/>
    <w:pPr>
      <w:spacing w:beforeLines="40" w:afterLines="40" w:line="360" w:lineRule="auto"/>
      <w:ind w:left="74"/>
    </w:pPr>
    <w:rPr>
      <w:rFonts w:ascii="Verdana" w:hAnsi="Verdana"/>
      <w:sz w:val="16"/>
      <w:szCs w:val="16"/>
      <w:lang w:val="en-AU" w:eastAsia="en-AU" w:bidi="ar-SA"/>
    </w:rPr>
  </w:style>
  <w:style w:type="paragraph" w:customStyle="1" w:styleId="TableTextCharCharCharChar">
    <w:name w:val="Table Text Char Char Char Char"/>
    <w:basedOn w:val="Normal"/>
    <w:link w:val="TableTextCharCharCharCharChar"/>
    <w:rsid w:val="007C5947"/>
    <w:pPr>
      <w:suppressAutoHyphens/>
      <w:spacing w:before="40" w:after="40" w:line="240" w:lineRule="auto"/>
    </w:pPr>
    <w:rPr>
      <w:rFonts w:ascii="Verdana" w:hAnsi="Verdana"/>
      <w:sz w:val="18"/>
      <w:szCs w:val="22"/>
      <w:lang w:eastAsia="en-AU" w:bidi="ar-SA"/>
    </w:rPr>
  </w:style>
  <w:style w:type="character" w:customStyle="1" w:styleId="TableTextCharCharCharCharChar">
    <w:name w:val="Table Text Char Char Char Char Char"/>
    <w:basedOn w:val="DefaultParagraphFont"/>
    <w:link w:val="TableTextCharCharCharChar"/>
    <w:rsid w:val="007C5947"/>
    <w:rPr>
      <w:rFonts w:ascii="Verdana" w:hAnsi="Verdana"/>
      <w:kern w:val="0"/>
      <w:sz w:val="18"/>
      <w:szCs w:val="22"/>
      <w:lang w:val="en-US" w:eastAsia="en-AU"/>
      <w14:ligatures w14:val="none"/>
    </w:rPr>
  </w:style>
  <w:style w:type="paragraph" w:customStyle="1" w:styleId="TableText">
    <w:name w:val="Table Text"/>
    <w:basedOn w:val="Normal"/>
    <w:rsid w:val="007C5947"/>
    <w:pPr>
      <w:spacing w:before="80" w:after="80" w:line="360" w:lineRule="auto"/>
    </w:pPr>
    <w:rPr>
      <w:rFonts w:ascii="Arial" w:hAnsi="Arial"/>
      <w:sz w:val="18"/>
      <w:lang w:val="en-AU" w:eastAsia="en-AU" w:bidi="ar-SA"/>
    </w:rPr>
  </w:style>
  <w:style w:type="paragraph" w:customStyle="1" w:styleId="Heading2nonumber">
    <w:name w:val="Heading 2 no number"/>
    <w:basedOn w:val="Heading2"/>
    <w:qFormat/>
    <w:rsid w:val="007C5947"/>
    <w:pPr>
      <w:numPr>
        <w:ilvl w:val="0"/>
        <w:numId w:val="0"/>
      </w:numPr>
      <w:pBdr>
        <w:top w:val="single" w:sz="24" w:space="5" w:color="DBE5F1"/>
      </w:pBdr>
      <w:spacing w:line="240" w:lineRule="auto"/>
    </w:pPr>
    <w:rPr>
      <w:rFonts w:eastAsia="Times New Roman" w:cs="Times New Roman"/>
      <w:color w:val="auto"/>
      <w:sz w:val="24"/>
    </w:rPr>
  </w:style>
  <w:style w:type="character" w:customStyle="1" w:styleId="Heading2Char">
    <w:name w:val="Heading 2 Char"/>
    <w:basedOn w:val="DefaultParagraphFont"/>
    <w:link w:val="Heading2"/>
    <w:uiPriority w:val="9"/>
    <w:rsid w:val="007C5947"/>
    <w:rPr>
      <w:rFonts w:eastAsiaTheme="majorEastAsia" w:cstheme="majorBidi"/>
      <w:b/>
      <w:bCs/>
      <w:color w:val="595959"/>
      <w:spacing w:val="15"/>
      <w:kern w:val="0"/>
      <w:sz w:val="22"/>
      <w:szCs w:val="22"/>
      <w:shd w:val="clear" w:color="auto" w:fill="DBE5F1"/>
      <w:lang w:bidi="en-US"/>
      <w14:ligatures w14:val="none"/>
    </w:rPr>
  </w:style>
  <w:style w:type="paragraph" w:customStyle="1" w:styleId="Heading1nonumber">
    <w:name w:val="Heading 1 no number"/>
    <w:basedOn w:val="Heading1"/>
    <w:qFormat/>
    <w:rsid w:val="007C5947"/>
    <w:pPr>
      <w:numPr>
        <w:numId w:val="0"/>
      </w:numPr>
      <w:pBdr>
        <w:top w:val="single" w:sz="24" w:space="0" w:color="45B0E1" w:themeColor="accent1" w:themeTint="99"/>
        <w:left w:val="single" w:sz="24" w:space="0" w:color="45B0E1" w:themeColor="accent1" w:themeTint="99"/>
        <w:bottom w:val="single" w:sz="24" w:space="0" w:color="45B0E1" w:themeColor="accent1" w:themeTint="99"/>
        <w:right w:val="single" w:sz="24" w:space="0" w:color="45B0E1" w:themeColor="accent1" w:themeTint="99"/>
      </w:pBdr>
    </w:pPr>
    <w:rPr>
      <w:rFonts w:eastAsia="Times New Roman" w:cs="Times New Roman"/>
      <w:caps w:val="0"/>
      <w:lang w:val="en-AU"/>
    </w:rPr>
  </w:style>
  <w:style w:type="paragraph" w:customStyle="1" w:styleId="Box">
    <w:name w:val="Box #"/>
    <w:basedOn w:val="Table1"/>
    <w:qFormat/>
    <w:rsid w:val="007C5947"/>
    <w:pPr>
      <w:widowControl w:val="0"/>
      <w:numPr>
        <w:numId w:val="5"/>
      </w:numPr>
      <w:suppressAutoHyphens/>
      <w:contextualSpacing/>
      <w:outlineLvl w:val="9"/>
    </w:pPr>
    <w:rPr>
      <w:rFonts w:eastAsia="Tahoma"/>
    </w:rPr>
  </w:style>
  <w:style w:type="paragraph" w:customStyle="1" w:styleId="indentquote">
    <w:name w:val="indent quote"/>
    <w:basedOn w:val="Normal"/>
    <w:qFormat/>
    <w:rsid w:val="007C5947"/>
    <w:pPr>
      <w:ind w:left="851" w:right="851"/>
    </w:pPr>
    <w:rPr>
      <w:lang w:val="en-AU"/>
    </w:rPr>
  </w:style>
  <w:style w:type="paragraph" w:customStyle="1" w:styleId="subheading">
    <w:name w:val="subheading"/>
    <w:basedOn w:val="Normal"/>
    <w:next w:val="Normal"/>
    <w:qFormat/>
    <w:rsid w:val="007C5947"/>
    <w:pPr>
      <w:widowControl w:val="0"/>
      <w:suppressAutoHyphens/>
      <w:spacing w:before="60" w:after="0" w:line="240" w:lineRule="auto"/>
      <w:ind w:left="720" w:hanging="720"/>
      <w:contextualSpacing/>
    </w:pPr>
    <w:rPr>
      <w:rFonts w:eastAsia="Tahoma"/>
      <w:b/>
      <w:bCs/>
      <w:lang w:val="en-AU"/>
    </w:rPr>
  </w:style>
  <w:style w:type="paragraph" w:customStyle="1" w:styleId="TablesAppendix">
    <w:name w:val="Tables # Appendix"/>
    <w:basedOn w:val="Table1"/>
    <w:next w:val="Normal"/>
    <w:qFormat/>
    <w:rsid w:val="007C5947"/>
    <w:pPr>
      <w:numPr>
        <w:numId w:val="6"/>
      </w:numPr>
      <w:spacing w:before="0"/>
    </w:pPr>
  </w:style>
  <w:style w:type="paragraph" w:customStyle="1" w:styleId="Heading3nonumber">
    <w:name w:val="Heading 3 no number"/>
    <w:basedOn w:val="Heading3"/>
    <w:qFormat/>
    <w:rsid w:val="007C5947"/>
    <w:pPr>
      <w:numPr>
        <w:ilvl w:val="0"/>
        <w:numId w:val="0"/>
      </w:numPr>
      <w:spacing w:after="120"/>
    </w:pPr>
    <w:rPr>
      <w:rFonts w:eastAsia="Times New Roman" w:cs="Times New Roman"/>
      <w:lang w:val="en-AU"/>
    </w:rPr>
  </w:style>
  <w:style w:type="character" w:customStyle="1" w:styleId="Heading3Char">
    <w:name w:val="Heading 3 Char"/>
    <w:basedOn w:val="DefaultParagraphFont"/>
    <w:link w:val="Heading3"/>
    <w:rsid w:val="007C5947"/>
    <w:rPr>
      <w:rFonts w:eastAsiaTheme="majorEastAsia" w:cstheme="majorBidi"/>
      <w:color w:val="071320" w:themeColor="text2" w:themeShade="80"/>
      <w:spacing w:val="15"/>
      <w:kern w:val="0"/>
      <w:sz w:val="22"/>
      <w:szCs w:val="22"/>
      <w:lang w:val="en-US" w:bidi="en-US"/>
      <w14:ligatures w14:val="none"/>
    </w:rPr>
  </w:style>
  <w:style w:type="paragraph" w:customStyle="1" w:styleId="Figure">
    <w:name w:val="Figure #"/>
    <w:basedOn w:val="Table1"/>
    <w:qFormat/>
    <w:rsid w:val="007C5947"/>
    <w:pPr>
      <w:numPr>
        <w:numId w:val="7"/>
      </w:numPr>
      <w:spacing w:before="240"/>
    </w:pPr>
  </w:style>
  <w:style w:type="paragraph" w:customStyle="1" w:styleId="Default">
    <w:name w:val="Default"/>
    <w:rsid w:val="007C5947"/>
    <w:pPr>
      <w:autoSpaceDE w:val="0"/>
      <w:autoSpaceDN w:val="0"/>
      <w:adjustRightInd w:val="0"/>
    </w:pPr>
    <w:rPr>
      <w:rFonts w:ascii="Times New Roman" w:hAnsi="Times New Roman"/>
      <w:color w:val="000000"/>
      <w:kern w:val="0"/>
      <w:sz w:val="24"/>
      <w:szCs w:val="24"/>
      <w:lang w:eastAsia="en-AU"/>
      <w14:ligatures w14:val="none"/>
    </w:rPr>
  </w:style>
  <w:style w:type="paragraph" w:customStyle="1" w:styleId="HeadingTable">
    <w:name w:val="Heading Table #"/>
    <w:basedOn w:val="Heading7"/>
    <w:next w:val="Normal"/>
    <w:link w:val="HeadingTableChar"/>
    <w:rsid w:val="007C5947"/>
    <w:pPr>
      <w:keepNext/>
      <w:numPr>
        <w:ilvl w:val="0"/>
        <w:numId w:val="8"/>
      </w:numPr>
      <w:tabs>
        <w:tab w:val="clear" w:pos="1984"/>
        <w:tab w:val="num" w:pos="1985"/>
      </w:tabs>
      <w:spacing w:before="240" w:after="60" w:line="240" w:lineRule="auto"/>
      <w:jc w:val="left"/>
    </w:pPr>
    <w:rPr>
      <w:rFonts w:ascii="Verdana" w:eastAsia="Times New Roman" w:hAnsi="Verdana" w:cs="Times New Roman"/>
      <w:b/>
      <w:caps w:val="0"/>
      <w:color w:val="auto"/>
      <w:spacing w:val="0"/>
      <w:sz w:val="20"/>
      <w:szCs w:val="28"/>
      <w:lang w:val="en-GB" w:bidi="ar-SA"/>
    </w:rPr>
  </w:style>
  <w:style w:type="character" w:customStyle="1" w:styleId="HeadingTableChar">
    <w:name w:val="Heading Table # Char"/>
    <w:basedOn w:val="DefaultParagraphFont"/>
    <w:link w:val="HeadingTable"/>
    <w:rsid w:val="007C5947"/>
    <w:rPr>
      <w:rFonts w:ascii="Verdana" w:hAnsi="Verdana"/>
      <w:b/>
      <w:kern w:val="0"/>
      <w:szCs w:val="28"/>
      <w:lang w:val="en-GB"/>
      <w14:ligatures w14:val="none"/>
    </w:rPr>
  </w:style>
  <w:style w:type="character" w:customStyle="1" w:styleId="Heading7Char">
    <w:name w:val="Heading 7 Char"/>
    <w:basedOn w:val="DefaultParagraphFont"/>
    <w:link w:val="Heading7"/>
    <w:uiPriority w:val="9"/>
    <w:rsid w:val="007C5947"/>
    <w:rPr>
      <w:rFonts w:eastAsiaTheme="majorEastAsia" w:cstheme="majorBidi"/>
      <w:caps/>
      <w:color w:val="365F91"/>
      <w:spacing w:val="10"/>
      <w:kern w:val="0"/>
      <w:sz w:val="22"/>
      <w:szCs w:val="22"/>
      <w:lang w:val="en-US" w:bidi="en-US"/>
      <w14:ligatures w14:val="none"/>
    </w:rPr>
  </w:style>
  <w:style w:type="paragraph" w:customStyle="1" w:styleId="Tabletechnicalnotes">
    <w:name w:val="Table # technical notes"/>
    <w:basedOn w:val="TablesAppendix"/>
    <w:qFormat/>
    <w:rsid w:val="007C5947"/>
    <w:pPr>
      <w:numPr>
        <w:numId w:val="9"/>
      </w:numPr>
    </w:pPr>
    <w:rPr>
      <w:color w:val="auto"/>
    </w:rPr>
  </w:style>
  <w:style w:type="paragraph" w:customStyle="1" w:styleId="FiguresAppendix">
    <w:name w:val="Figures # Appendix"/>
    <w:basedOn w:val="TablesAppendix"/>
    <w:qFormat/>
    <w:rsid w:val="007C5947"/>
    <w:pPr>
      <w:numPr>
        <w:numId w:val="10"/>
      </w:numPr>
    </w:pPr>
  </w:style>
  <w:style w:type="paragraph" w:customStyle="1" w:styleId="FootnoteText1">
    <w:name w:val="Footnote Text1"/>
    <w:basedOn w:val="FootnoteText"/>
    <w:qFormat/>
    <w:rsid w:val="007C5947"/>
    <w:pPr>
      <w:spacing w:before="60" w:after="0"/>
    </w:pPr>
    <w:rPr>
      <w:lang w:val="en-AU"/>
    </w:rPr>
  </w:style>
  <w:style w:type="paragraph" w:styleId="FootnoteText">
    <w:name w:val="footnote text"/>
    <w:basedOn w:val="Normal"/>
    <w:link w:val="FootnoteTextChar"/>
    <w:uiPriority w:val="99"/>
    <w:semiHidden/>
    <w:unhideWhenUsed/>
    <w:rsid w:val="007C5947"/>
    <w:pPr>
      <w:spacing w:line="240" w:lineRule="auto"/>
    </w:pPr>
    <w:rPr>
      <w:sz w:val="20"/>
    </w:rPr>
  </w:style>
  <w:style w:type="character" w:customStyle="1" w:styleId="FootnoteTextChar">
    <w:name w:val="Footnote Text Char"/>
    <w:basedOn w:val="DefaultParagraphFont"/>
    <w:link w:val="FootnoteText"/>
    <w:uiPriority w:val="99"/>
    <w:semiHidden/>
    <w:rsid w:val="007C5947"/>
    <w:rPr>
      <w:kern w:val="0"/>
      <w:lang w:val="en-US" w:bidi="en-US"/>
      <w14:ligatures w14:val="none"/>
    </w:rPr>
  </w:style>
  <w:style w:type="paragraph" w:customStyle="1" w:styleId="BoxTA">
    <w:name w:val="Box TA #"/>
    <w:basedOn w:val="Box"/>
    <w:qFormat/>
    <w:rsid w:val="007C5947"/>
    <w:pPr>
      <w:numPr>
        <w:numId w:val="11"/>
      </w:numPr>
      <w:spacing w:before="0" w:after="0"/>
    </w:pPr>
    <w:rPr>
      <w:b w:val="0"/>
    </w:rPr>
  </w:style>
  <w:style w:type="character" w:customStyle="1" w:styleId="UnresolvedMention1">
    <w:name w:val="Unresolved Mention1"/>
    <w:basedOn w:val="DefaultParagraphFont"/>
    <w:uiPriority w:val="99"/>
    <w:semiHidden/>
    <w:unhideWhenUsed/>
    <w:rsid w:val="007C5947"/>
    <w:rPr>
      <w:color w:val="605E5C"/>
      <w:shd w:val="clear" w:color="auto" w:fill="E1DFDD"/>
    </w:rPr>
  </w:style>
  <w:style w:type="paragraph" w:customStyle="1" w:styleId="Heading">
    <w:name w:val="Heading #"/>
    <w:basedOn w:val="Heading2nonumber"/>
    <w:next w:val="Normal"/>
    <w:qFormat/>
    <w:rsid w:val="00A40ACD"/>
    <w:pPr>
      <w:numPr>
        <w:numId w:val="12"/>
      </w:numPr>
      <w:spacing w:after="240"/>
      <w:ind w:left="357" w:hanging="357"/>
    </w:pPr>
  </w:style>
  <w:style w:type="paragraph" w:customStyle="1" w:styleId="Style1">
    <w:name w:val="Style1"/>
    <w:basedOn w:val="Heading"/>
    <w:qFormat/>
    <w:rsid w:val="007C5947"/>
  </w:style>
  <w:style w:type="paragraph" w:customStyle="1" w:styleId="TableFigureNOTE">
    <w:name w:val="Table Figure NOTE"/>
    <w:basedOn w:val="Normal"/>
    <w:qFormat/>
    <w:rsid w:val="007C5947"/>
    <w:pPr>
      <w:spacing w:before="60" w:after="60" w:line="240" w:lineRule="auto"/>
      <w:ind w:left="1134"/>
    </w:pPr>
    <w:rPr>
      <w:sz w:val="18"/>
    </w:rPr>
  </w:style>
  <w:style w:type="paragraph" w:customStyle="1" w:styleId="HeadingFigure">
    <w:name w:val="Heading Figure #"/>
    <w:basedOn w:val="HeadingTable"/>
    <w:next w:val="Normal"/>
    <w:link w:val="HeadingFigureChar"/>
    <w:rsid w:val="007C5947"/>
    <w:pPr>
      <w:numPr>
        <w:numId w:val="13"/>
      </w:numPr>
      <w:spacing w:after="120"/>
    </w:pPr>
    <w:rPr>
      <w:rFonts w:cstheme="majorBidi"/>
    </w:rPr>
  </w:style>
  <w:style w:type="character" w:customStyle="1" w:styleId="HeadingFigureChar">
    <w:name w:val="Heading Figure # Char"/>
    <w:basedOn w:val="HeadingTableChar"/>
    <w:link w:val="HeadingFigure"/>
    <w:rsid w:val="007C5947"/>
    <w:rPr>
      <w:rFonts w:ascii="Verdana" w:hAnsi="Verdana" w:cstheme="majorBidi"/>
      <w:b/>
      <w:kern w:val="0"/>
      <w:szCs w:val="28"/>
      <w:lang w:val="en-GB"/>
      <w14:ligatures w14:val="none"/>
    </w:rPr>
  </w:style>
  <w:style w:type="paragraph" w:customStyle="1" w:styleId="Heading2S1">
    <w:name w:val="Heading 2# S1"/>
    <w:basedOn w:val="Heading"/>
    <w:qFormat/>
    <w:rsid w:val="007C5947"/>
    <w:pPr>
      <w:numPr>
        <w:numId w:val="14"/>
      </w:numPr>
      <w:pBdr>
        <w:top w:val="none" w:sz="0" w:space="0" w:color="auto"/>
        <w:left w:val="none" w:sz="0" w:space="0" w:color="auto"/>
        <w:bottom w:val="none" w:sz="0" w:space="0" w:color="auto"/>
        <w:right w:val="none" w:sz="0" w:space="0" w:color="auto"/>
      </w:pBdr>
      <w:shd w:val="clear" w:color="auto" w:fill="auto"/>
      <w:spacing w:before="120" w:after="120"/>
    </w:pPr>
  </w:style>
  <w:style w:type="paragraph" w:customStyle="1" w:styleId="Headnig2S2">
    <w:name w:val="Headnig 2# S2"/>
    <w:basedOn w:val="Heading2S1"/>
    <w:qFormat/>
    <w:rsid w:val="007C5947"/>
    <w:pPr>
      <w:numPr>
        <w:numId w:val="15"/>
      </w:numPr>
    </w:pPr>
  </w:style>
  <w:style w:type="paragraph" w:customStyle="1" w:styleId="Heading2S3">
    <w:name w:val="Heading 2# S3"/>
    <w:basedOn w:val="Headnig2S2"/>
    <w:qFormat/>
    <w:rsid w:val="007C5947"/>
    <w:pPr>
      <w:numPr>
        <w:numId w:val="16"/>
      </w:numPr>
    </w:pPr>
  </w:style>
  <w:style w:type="paragraph" w:customStyle="1" w:styleId="Heading2S4">
    <w:name w:val="Heading 2# S4"/>
    <w:basedOn w:val="Headnig2S2"/>
    <w:qFormat/>
    <w:rsid w:val="007C5947"/>
    <w:pPr>
      <w:numPr>
        <w:numId w:val="17"/>
      </w:numPr>
    </w:pPr>
  </w:style>
  <w:style w:type="paragraph" w:customStyle="1" w:styleId="Heading2S5">
    <w:name w:val="Heading 2# S5"/>
    <w:basedOn w:val="Heading2S4"/>
    <w:qFormat/>
    <w:rsid w:val="007C5947"/>
    <w:pPr>
      <w:numPr>
        <w:numId w:val="18"/>
      </w:numPr>
    </w:pPr>
  </w:style>
  <w:style w:type="paragraph" w:customStyle="1" w:styleId="Heading2S2">
    <w:name w:val="Heading 2# S2"/>
    <w:basedOn w:val="Heading2S1"/>
    <w:qFormat/>
    <w:rsid w:val="007C5947"/>
    <w:pPr>
      <w:numPr>
        <w:numId w:val="19"/>
      </w:numPr>
    </w:pPr>
  </w:style>
  <w:style w:type="paragraph" w:customStyle="1" w:styleId="EndNoteBibliographyTitle">
    <w:name w:val="EndNote Bibliography Title"/>
    <w:basedOn w:val="Normal"/>
    <w:link w:val="EndNoteBibliographyTitleChar"/>
    <w:rsid w:val="007C5947"/>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7C5947"/>
    <w:rPr>
      <w:rFonts w:cs="Calibri"/>
      <w:noProof/>
      <w:kern w:val="0"/>
      <w:sz w:val="22"/>
      <w:lang w:val="en-US" w:bidi="en-US"/>
      <w14:ligatures w14:val="none"/>
    </w:rPr>
  </w:style>
  <w:style w:type="paragraph" w:customStyle="1" w:styleId="EndNoteBibliography">
    <w:name w:val="EndNote Bibliography"/>
    <w:basedOn w:val="Normal"/>
    <w:link w:val="EndNoteBibliographyChar"/>
    <w:rsid w:val="007C5947"/>
    <w:pPr>
      <w:spacing w:line="240" w:lineRule="auto"/>
      <w:jc w:val="left"/>
    </w:pPr>
    <w:rPr>
      <w:rFonts w:cs="Calibri"/>
      <w:noProof/>
    </w:rPr>
  </w:style>
  <w:style w:type="character" w:customStyle="1" w:styleId="EndNoteBibliographyChar">
    <w:name w:val="EndNote Bibliography Char"/>
    <w:basedOn w:val="DefaultParagraphFont"/>
    <w:link w:val="EndNoteBibliography"/>
    <w:rsid w:val="007C5947"/>
    <w:rPr>
      <w:rFonts w:cs="Calibri"/>
      <w:noProof/>
      <w:kern w:val="0"/>
      <w:sz w:val="22"/>
      <w:lang w:val="en-US" w:bidi="en-US"/>
      <w14:ligatures w14:val="none"/>
    </w:rPr>
  </w:style>
  <w:style w:type="paragraph" w:customStyle="1" w:styleId="TableAppendix0">
    <w:name w:val="Table Appendix #"/>
    <w:basedOn w:val="Table1"/>
    <w:next w:val="Normal"/>
    <w:qFormat/>
    <w:rsid w:val="007C5947"/>
    <w:pPr>
      <w:numPr>
        <w:numId w:val="20"/>
      </w:numPr>
    </w:pPr>
  </w:style>
  <w:style w:type="paragraph" w:customStyle="1" w:styleId="TableStatAnnex">
    <w:name w:val="Table Stat Annex #"/>
    <w:basedOn w:val="TableAppendix0"/>
    <w:qFormat/>
    <w:rsid w:val="007C5947"/>
    <w:pPr>
      <w:numPr>
        <w:numId w:val="21"/>
      </w:numPr>
    </w:pPr>
  </w:style>
  <w:style w:type="paragraph" w:customStyle="1" w:styleId="SubheadingAppendix">
    <w:name w:val="Subheading Appendix #"/>
    <w:basedOn w:val="subheading"/>
    <w:next w:val="Normal"/>
    <w:qFormat/>
    <w:rsid w:val="007C5947"/>
    <w:pPr>
      <w:numPr>
        <w:numId w:val="22"/>
      </w:numPr>
      <w:spacing w:after="120"/>
    </w:pPr>
    <w:rPr>
      <w:sz w:val="28"/>
    </w:rPr>
  </w:style>
  <w:style w:type="paragraph" w:customStyle="1" w:styleId="Subheading0">
    <w:name w:val="Subheading"/>
    <w:basedOn w:val="subheading"/>
    <w:next w:val="Normal"/>
    <w:rsid w:val="007C5947"/>
    <w:pPr>
      <w:spacing w:before="120" w:after="120"/>
      <w:ind w:left="0" w:firstLine="0"/>
      <w:jc w:val="left"/>
    </w:pPr>
  </w:style>
  <w:style w:type="paragraph" w:customStyle="1" w:styleId="Quoteindented">
    <w:name w:val="Quote indented"/>
    <w:basedOn w:val="Normal"/>
    <w:next w:val="Normal"/>
    <w:qFormat/>
    <w:rsid w:val="007C5947"/>
    <w:pPr>
      <w:spacing w:line="240" w:lineRule="auto"/>
      <w:ind w:left="567" w:right="567"/>
    </w:pPr>
    <w:rPr>
      <w:lang w:val="en-AU"/>
    </w:rPr>
  </w:style>
  <w:style w:type="paragraph" w:customStyle="1" w:styleId="TABLEAppendix1">
    <w:name w:val="TABLE # Appendix"/>
    <w:basedOn w:val="Table1"/>
    <w:next w:val="Normal"/>
    <w:qFormat/>
    <w:rsid w:val="007C5947"/>
    <w:pPr>
      <w:numPr>
        <w:numId w:val="23"/>
      </w:numPr>
    </w:pPr>
  </w:style>
  <w:style w:type="paragraph" w:customStyle="1" w:styleId="TableAppendix">
    <w:name w:val="Table # Appendix"/>
    <w:basedOn w:val="Table1"/>
    <w:qFormat/>
    <w:rsid w:val="007C5947"/>
    <w:pPr>
      <w:numPr>
        <w:numId w:val="24"/>
      </w:numPr>
    </w:pPr>
  </w:style>
  <w:style w:type="paragraph" w:customStyle="1" w:styleId="HEADINGnonumber">
    <w:name w:val="HEADING no number"/>
    <w:basedOn w:val="Heading"/>
    <w:qFormat/>
    <w:rsid w:val="007C5947"/>
    <w:pPr>
      <w:numPr>
        <w:numId w:val="0"/>
      </w:numPr>
    </w:pPr>
  </w:style>
  <w:style w:type="paragraph" w:customStyle="1" w:styleId="SubheadingA">
    <w:name w:val="Subheading A#"/>
    <w:basedOn w:val="Subheading0"/>
    <w:qFormat/>
    <w:rsid w:val="007C5947"/>
    <w:pPr>
      <w:numPr>
        <w:numId w:val="25"/>
      </w:numPr>
    </w:pPr>
  </w:style>
  <w:style w:type="paragraph" w:customStyle="1" w:styleId="xxxxmsonormal">
    <w:name w:val="x_xxxmsonormal"/>
    <w:basedOn w:val="Normal"/>
    <w:rsid w:val="007C5947"/>
    <w:pPr>
      <w:spacing w:before="0" w:after="0" w:line="240" w:lineRule="auto"/>
      <w:jc w:val="left"/>
    </w:pPr>
    <w:rPr>
      <w:rFonts w:eastAsiaTheme="minorHAnsi" w:cs="Calibri"/>
      <w:szCs w:val="22"/>
      <w:lang w:val="en-AU" w:eastAsia="en-AU" w:bidi="ar-SA"/>
    </w:rPr>
  </w:style>
  <w:style w:type="paragraph" w:customStyle="1" w:styleId="A1Heading">
    <w:name w:val="A. 1. Heading"/>
    <w:basedOn w:val="Heading2S1"/>
    <w:qFormat/>
    <w:rsid w:val="007C5947"/>
    <w:pPr>
      <w:numPr>
        <w:numId w:val="26"/>
      </w:numPr>
    </w:pPr>
  </w:style>
  <w:style w:type="paragraph" w:customStyle="1" w:styleId="Indentedquote">
    <w:name w:val="Indented quote"/>
    <w:basedOn w:val="Normal"/>
    <w:qFormat/>
    <w:rsid w:val="007C5947"/>
    <w:pPr>
      <w:ind w:left="720"/>
    </w:pPr>
    <w:rPr>
      <w:sz w:val="20"/>
      <w:szCs w:val="22"/>
    </w:rPr>
  </w:style>
  <w:style w:type="character" w:customStyle="1" w:styleId="Heading4Char">
    <w:name w:val="Heading 4 Char"/>
    <w:basedOn w:val="DefaultParagraphFont"/>
    <w:link w:val="Heading4"/>
    <w:uiPriority w:val="9"/>
    <w:rsid w:val="007C5947"/>
    <w:rPr>
      <w:caps/>
      <w:color w:val="365F91"/>
      <w:spacing w:val="10"/>
      <w:kern w:val="0"/>
      <w:sz w:val="22"/>
      <w:szCs w:val="22"/>
      <w:lang w:val="en-US" w:bidi="en-US"/>
      <w14:ligatures w14:val="none"/>
    </w:rPr>
  </w:style>
  <w:style w:type="character" w:customStyle="1" w:styleId="Heading5Char">
    <w:name w:val="Heading 5 Char"/>
    <w:basedOn w:val="DefaultParagraphFont"/>
    <w:link w:val="Heading5"/>
    <w:uiPriority w:val="9"/>
    <w:rsid w:val="007C5947"/>
    <w:rPr>
      <w:caps/>
      <w:color w:val="365F91"/>
      <w:spacing w:val="10"/>
      <w:kern w:val="0"/>
      <w:sz w:val="22"/>
      <w:szCs w:val="22"/>
      <w:lang w:val="en-US" w:bidi="en-US"/>
      <w14:ligatures w14:val="none"/>
    </w:rPr>
  </w:style>
  <w:style w:type="character" w:customStyle="1" w:styleId="Heading6Char">
    <w:name w:val="Heading 6 Char"/>
    <w:basedOn w:val="DefaultParagraphFont"/>
    <w:link w:val="Heading6"/>
    <w:uiPriority w:val="9"/>
    <w:rsid w:val="007C5947"/>
    <w:rPr>
      <w:caps/>
      <w:color w:val="365F91"/>
      <w:spacing w:val="10"/>
      <w:kern w:val="0"/>
      <w:sz w:val="22"/>
      <w:szCs w:val="22"/>
      <w:lang w:val="en-US" w:bidi="en-US"/>
      <w14:ligatures w14:val="none"/>
    </w:rPr>
  </w:style>
  <w:style w:type="character" w:customStyle="1" w:styleId="Heading8Char">
    <w:name w:val="Heading 8 Char"/>
    <w:basedOn w:val="DefaultParagraphFont"/>
    <w:link w:val="Heading8"/>
    <w:uiPriority w:val="9"/>
    <w:rsid w:val="007C5947"/>
    <w:rPr>
      <w:caps/>
      <w:spacing w:val="10"/>
      <w:kern w:val="0"/>
      <w:sz w:val="18"/>
      <w:szCs w:val="18"/>
      <w:lang w:val="en-US" w:bidi="en-US"/>
      <w14:ligatures w14:val="none"/>
    </w:rPr>
  </w:style>
  <w:style w:type="character" w:customStyle="1" w:styleId="Heading9Char">
    <w:name w:val="Heading 9 Char"/>
    <w:basedOn w:val="DefaultParagraphFont"/>
    <w:link w:val="Heading9"/>
    <w:uiPriority w:val="9"/>
    <w:rsid w:val="007C5947"/>
    <w:rPr>
      <w:i/>
      <w:caps/>
      <w:spacing w:val="10"/>
      <w:kern w:val="0"/>
      <w:sz w:val="18"/>
      <w:szCs w:val="18"/>
      <w:lang w:val="en-US" w:bidi="en-US"/>
      <w14:ligatures w14:val="none"/>
    </w:rPr>
  </w:style>
  <w:style w:type="paragraph" w:styleId="TOC1">
    <w:name w:val="toc 1"/>
    <w:basedOn w:val="Normal"/>
    <w:next w:val="Normal"/>
    <w:autoRedefine/>
    <w:uiPriority w:val="39"/>
    <w:qFormat/>
    <w:rsid w:val="007C5947"/>
    <w:pPr>
      <w:tabs>
        <w:tab w:val="left" w:pos="660"/>
        <w:tab w:val="right" w:leader="dot" w:pos="9351"/>
      </w:tabs>
      <w:spacing w:before="60" w:line="240" w:lineRule="auto"/>
      <w:ind w:left="1276" w:hanging="1276"/>
    </w:pPr>
    <w:rPr>
      <w:b/>
      <w:noProof/>
      <w:sz w:val="20"/>
      <w:szCs w:val="22"/>
    </w:rPr>
  </w:style>
  <w:style w:type="paragraph" w:styleId="TOC2">
    <w:name w:val="toc 2"/>
    <w:basedOn w:val="TOC1"/>
    <w:next w:val="Normal"/>
    <w:autoRedefine/>
    <w:uiPriority w:val="39"/>
    <w:rsid w:val="007C5947"/>
    <w:pPr>
      <w:tabs>
        <w:tab w:val="clear" w:pos="9351"/>
        <w:tab w:val="right" w:leader="dot" w:pos="9356"/>
      </w:tabs>
      <w:ind w:firstLine="0"/>
    </w:pPr>
  </w:style>
  <w:style w:type="paragraph" w:styleId="TOC3">
    <w:name w:val="toc 3"/>
    <w:basedOn w:val="Normal"/>
    <w:next w:val="Normal"/>
    <w:autoRedefine/>
    <w:uiPriority w:val="39"/>
    <w:rsid w:val="007C5947"/>
    <w:pPr>
      <w:tabs>
        <w:tab w:val="right" w:leader="dot" w:pos="658"/>
        <w:tab w:val="left" w:pos="1320"/>
        <w:tab w:val="right" w:pos="9350"/>
      </w:tabs>
      <w:spacing w:before="60" w:line="240" w:lineRule="auto"/>
      <w:ind w:left="1134" w:hanging="1134"/>
      <w:jc w:val="left"/>
    </w:pPr>
    <w:rPr>
      <w:noProof/>
      <w:sz w:val="20"/>
      <w:szCs w:val="24"/>
    </w:rPr>
  </w:style>
  <w:style w:type="paragraph" w:styleId="TOC4">
    <w:name w:val="toc 4"/>
    <w:basedOn w:val="Normal"/>
    <w:next w:val="Normal"/>
    <w:autoRedefine/>
    <w:uiPriority w:val="39"/>
    <w:unhideWhenUsed/>
    <w:rsid w:val="007C5947"/>
    <w:pPr>
      <w:spacing w:before="0" w:after="100"/>
      <w:ind w:left="660"/>
      <w:jc w:val="left"/>
    </w:pPr>
    <w:rPr>
      <w:rFonts w:asciiTheme="minorHAnsi" w:eastAsiaTheme="minorEastAsia" w:hAnsiTheme="minorHAnsi" w:cstheme="minorBidi"/>
      <w:szCs w:val="22"/>
      <w:lang w:val="en-AU" w:eastAsia="en-AU" w:bidi="ar-SA"/>
    </w:rPr>
  </w:style>
  <w:style w:type="paragraph" w:styleId="TOC5">
    <w:name w:val="toc 5"/>
    <w:basedOn w:val="Normal"/>
    <w:next w:val="Normal"/>
    <w:autoRedefine/>
    <w:uiPriority w:val="39"/>
    <w:unhideWhenUsed/>
    <w:rsid w:val="007C5947"/>
    <w:pPr>
      <w:spacing w:before="0" w:after="100"/>
      <w:ind w:left="880"/>
      <w:jc w:val="left"/>
    </w:pPr>
    <w:rPr>
      <w:rFonts w:asciiTheme="minorHAnsi" w:eastAsiaTheme="minorEastAsia" w:hAnsiTheme="minorHAnsi" w:cstheme="minorBidi"/>
      <w:szCs w:val="22"/>
      <w:lang w:val="en-AU" w:eastAsia="en-AU" w:bidi="ar-SA"/>
    </w:rPr>
  </w:style>
  <w:style w:type="paragraph" w:styleId="TOC6">
    <w:name w:val="toc 6"/>
    <w:basedOn w:val="Normal"/>
    <w:next w:val="Normal"/>
    <w:autoRedefine/>
    <w:uiPriority w:val="39"/>
    <w:unhideWhenUsed/>
    <w:rsid w:val="007C5947"/>
    <w:pPr>
      <w:spacing w:before="0" w:after="100"/>
      <w:ind w:left="1100"/>
      <w:jc w:val="left"/>
    </w:pPr>
    <w:rPr>
      <w:rFonts w:asciiTheme="minorHAnsi" w:eastAsiaTheme="minorEastAsia" w:hAnsiTheme="minorHAnsi" w:cstheme="minorBidi"/>
      <w:szCs w:val="22"/>
      <w:lang w:val="en-AU" w:eastAsia="en-AU" w:bidi="ar-SA"/>
    </w:rPr>
  </w:style>
  <w:style w:type="paragraph" w:styleId="TOC7">
    <w:name w:val="toc 7"/>
    <w:basedOn w:val="Normal"/>
    <w:next w:val="Normal"/>
    <w:autoRedefine/>
    <w:uiPriority w:val="39"/>
    <w:unhideWhenUsed/>
    <w:rsid w:val="007C5947"/>
    <w:pPr>
      <w:spacing w:before="0" w:after="100"/>
      <w:ind w:left="1320"/>
      <w:jc w:val="left"/>
    </w:pPr>
    <w:rPr>
      <w:rFonts w:asciiTheme="minorHAnsi" w:eastAsiaTheme="minorEastAsia" w:hAnsiTheme="minorHAnsi" w:cstheme="minorBidi"/>
      <w:szCs w:val="22"/>
      <w:lang w:val="en-AU" w:eastAsia="en-AU" w:bidi="ar-SA"/>
    </w:rPr>
  </w:style>
  <w:style w:type="paragraph" w:styleId="TOC8">
    <w:name w:val="toc 8"/>
    <w:basedOn w:val="Normal"/>
    <w:next w:val="Normal"/>
    <w:autoRedefine/>
    <w:uiPriority w:val="39"/>
    <w:unhideWhenUsed/>
    <w:rsid w:val="007C5947"/>
    <w:pPr>
      <w:spacing w:before="0" w:after="100"/>
      <w:ind w:left="1540"/>
      <w:jc w:val="left"/>
    </w:pPr>
    <w:rPr>
      <w:rFonts w:asciiTheme="minorHAnsi" w:eastAsiaTheme="minorEastAsia" w:hAnsiTheme="minorHAnsi" w:cstheme="minorBidi"/>
      <w:szCs w:val="22"/>
      <w:lang w:val="en-AU" w:eastAsia="en-AU" w:bidi="ar-SA"/>
    </w:rPr>
  </w:style>
  <w:style w:type="paragraph" w:styleId="TOC9">
    <w:name w:val="toc 9"/>
    <w:basedOn w:val="Normal"/>
    <w:next w:val="Normal"/>
    <w:autoRedefine/>
    <w:uiPriority w:val="39"/>
    <w:rsid w:val="007C5947"/>
    <w:pPr>
      <w:ind w:left="1600"/>
    </w:pPr>
  </w:style>
  <w:style w:type="paragraph" w:styleId="CommentText">
    <w:name w:val="annotation text"/>
    <w:basedOn w:val="Normal"/>
    <w:link w:val="CommentTextChar"/>
    <w:semiHidden/>
    <w:rsid w:val="007C5947"/>
  </w:style>
  <w:style w:type="character" w:customStyle="1" w:styleId="CommentTextChar">
    <w:name w:val="Comment Text Char"/>
    <w:basedOn w:val="DefaultParagraphFont"/>
    <w:link w:val="CommentText"/>
    <w:semiHidden/>
    <w:rsid w:val="007C5947"/>
    <w:rPr>
      <w:kern w:val="0"/>
      <w:sz w:val="22"/>
      <w:lang w:val="en-US" w:bidi="en-US"/>
      <w14:ligatures w14:val="none"/>
    </w:rPr>
  </w:style>
  <w:style w:type="paragraph" w:styleId="Header">
    <w:name w:val="header"/>
    <w:basedOn w:val="Normal"/>
    <w:link w:val="HeaderChar"/>
    <w:uiPriority w:val="99"/>
    <w:rsid w:val="007C5947"/>
    <w:pPr>
      <w:tabs>
        <w:tab w:val="center" w:pos="4153"/>
        <w:tab w:val="right" w:pos="8306"/>
      </w:tabs>
    </w:pPr>
  </w:style>
  <w:style w:type="character" w:customStyle="1" w:styleId="HeaderChar">
    <w:name w:val="Header Char"/>
    <w:basedOn w:val="DefaultParagraphFont"/>
    <w:link w:val="Header"/>
    <w:uiPriority w:val="99"/>
    <w:rsid w:val="007C5947"/>
    <w:rPr>
      <w:kern w:val="0"/>
      <w:sz w:val="22"/>
      <w:lang w:val="en-US" w:bidi="en-US"/>
      <w14:ligatures w14:val="none"/>
    </w:rPr>
  </w:style>
  <w:style w:type="paragraph" w:styleId="Footer">
    <w:name w:val="footer"/>
    <w:basedOn w:val="Normal"/>
    <w:link w:val="FooterChar"/>
    <w:uiPriority w:val="99"/>
    <w:rsid w:val="007C5947"/>
    <w:pPr>
      <w:tabs>
        <w:tab w:val="center" w:pos="4153"/>
        <w:tab w:val="right" w:pos="8306"/>
      </w:tabs>
    </w:pPr>
    <w:rPr>
      <w:rFonts w:ascii="Verdana" w:hAnsi="Verdana"/>
      <w:sz w:val="16"/>
    </w:rPr>
  </w:style>
  <w:style w:type="character" w:customStyle="1" w:styleId="FooterChar">
    <w:name w:val="Footer Char"/>
    <w:basedOn w:val="DefaultParagraphFont"/>
    <w:link w:val="Footer"/>
    <w:uiPriority w:val="99"/>
    <w:rsid w:val="007C5947"/>
    <w:rPr>
      <w:rFonts w:ascii="Verdana" w:hAnsi="Verdana"/>
      <w:kern w:val="0"/>
      <w:sz w:val="16"/>
      <w:lang w:val="en-US" w:bidi="en-US"/>
      <w14:ligatures w14:val="none"/>
    </w:rPr>
  </w:style>
  <w:style w:type="paragraph" w:styleId="Caption">
    <w:name w:val="caption"/>
    <w:basedOn w:val="Normal"/>
    <w:next w:val="Normal"/>
    <w:uiPriority w:val="35"/>
    <w:qFormat/>
    <w:rsid w:val="007C5947"/>
    <w:rPr>
      <w:b/>
      <w:bCs/>
    </w:rPr>
  </w:style>
  <w:style w:type="paragraph" w:styleId="TableofFigures">
    <w:name w:val="table of figures"/>
    <w:basedOn w:val="Normal"/>
    <w:next w:val="Normal"/>
    <w:uiPriority w:val="99"/>
    <w:unhideWhenUsed/>
    <w:rsid w:val="007C5947"/>
    <w:pPr>
      <w:spacing w:line="240" w:lineRule="auto"/>
      <w:ind w:left="851" w:hanging="851"/>
    </w:pPr>
    <w:rPr>
      <w:sz w:val="20"/>
    </w:rPr>
  </w:style>
  <w:style w:type="character" w:styleId="FootnoteReference">
    <w:name w:val="footnote reference"/>
    <w:basedOn w:val="DefaultParagraphFont"/>
    <w:uiPriority w:val="99"/>
    <w:semiHidden/>
    <w:unhideWhenUsed/>
    <w:rsid w:val="007C5947"/>
    <w:rPr>
      <w:vertAlign w:val="superscript"/>
    </w:rPr>
  </w:style>
  <w:style w:type="character" w:styleId="CommentReference">
    <w:name w:val="annotation reference"/>
    <w:basedOn w:val="DefaultParagraphFont"/>
    <w:semiHidden/>
    <w:rsid w:val="007C5947"/>
    <w:rPr>
      <w:sz w:val="16"/>
      <w:szCs w:val="16"/>
    </w:rPr>
  </w:style>
  <w:style w:type="character" w:styleId="PageNumber">
    <w:name w:val="page number"/>
    <w:basedOn w:val="DefaultParagraphFont"/>
    <w:rsid w:val="007C5947"/>
  </w:style>
  <w:style w:type="character" w:styleId="EndnoteReference">
    <w:name w:val="endnote reference"/>
    <w:basedOn w:val="DefaultParagraphFont"/>
    <w:semiHidden/>
    <w:unhideWhenUsed/>
    <w:rsid w:val="007C5947"/>
    <w:rPr>
      <w:vertAlign w:val="superscript"/>
    </w:rPr>
  </w:style>
  <w:style w:type="paragraph" w:styleId="EndnoteText">
    <w:name w:val="endnote text"/>
    <w:basedOn w:val="Normal"/>
    <w:link w:val="EndnoteTextChar"/>
    <w:semiHidden/>
    <w:unhideWhenUsed/>
    <w:rsid w:val="007C5947"/>
    <w:pPr>
      <w:spacing w:before="0" w:after="0" w:line="240" w:lineRule="auto"/>
    </w:pPr>
    <w:rPr>
      <w:sz w:val="20"/>
    </w:rPr>
  </w:style>
  <w:style w:type="character" w:customStyle="1" w:styleId="EndnoteTextChar">
    <w:name w:val="Endnote Text Char"/>
    <w:basedOn w:val="DefaultParagraphFont"/>
    <w:link w:val="EndnoteText"/>
    <w:semiHidden/>
    <w:rsid w:val="007C5947"/>
    <w:rPr>
      <w:kern w:val="0"/>
      <w:lang w:val="en-US" w:bidi="en-US"/>
      <w14:ligatures w14:val="none"/>
    </w:rPr>
  </w:style>
  <w:style w:type="paragraph" w:styleId="Title">
    <w:name w:val="Title"/>
    <w:basedOn w:val="Normal"/>
    <w:next w:val="Normal"/>
    <w:link w:val="TitleChar"/>
    <w:uiPriority w:val="10"/>
    <w:qFormat/>
    <w:rsid w:val="007C5947"/>
    <w:pPr>
      <w:spacing w:before="360" w:after="0"/>
      <w:ind w:left="1440"/>
    </w:pPr>
    <w:rPr>
      <w:spacing w:val="10"/>
      <w:kern w:val="28"/>
      <w:sz w:val="44"/>
      <w:szCs w:val="52"/>
    </w:rPr>
  </w:style>
  <w:style w:type="character" w:customStyle="1" w:styleId="TitleChar">
    <w:name w:val="Title Char"/>
    <w:basedOn w:val="DefaultParagraphFont"/>
    <w:link w:val="Title"/>
    <w:uiPriority w:val="10"/>
    <w:rsid w:val="007C5947"/>
    <w:rPr>
      <w:spacing w:val="10"/>
      <w:kern w:val="28"/>
      <w:sz w:val="44"/>
      <w:szCs w:val="52"/>
      <w:lang w:val="en-US" w:bidi="en-US"/>
      <w14:ligatures w14:val="none"/>
    </w:rPr>
  </w:style>
  <w:style w:type="paragraph" w:styleId="Subtitle">
    <w:name w:val="Subtitle"/>
    <w:basedOn w:val="Normal"/>
    <w:next w:val="Normal"/>
    <w:link w:val="SubtitleChar"/>
    <w:uiPriority w:val="11"/>
    <w:qFormat/>
    <w:rsid w:val="007C5947"/>
    <w:pPr>
      <w:pageBreakBefore/>
      <w:spacing w:before="0" w:after="360" w:line="240" w:lineRule="auto"/>
    </w:pPr>
    <w:rPr>
      <w:color w:val="1F497D"/>
      <w:spacing w:val="10"/>
      <w:sz w:val="40"/>
      <w:szCs w:val="24"/>
    </w:rPr>
  </w:style>
  <w:style w:type="character" w:customStyle="1" w:styleId="SubtitleChar">
    <w:name w:val="Subtitle Char"/>
    <w:basedOn w:val="DefaultParagraphFont"/>
    <w:link w:val="Subtitle"/>
    <w:uiPriority w:val="11"/>
    <w:rsid w:val="007C5947"/>
    <w:rPr>
      <w:color w:val="1F497D"/>
      <w:spacing w:val="10"/>
      <w:kern w:val="0"/>
      <w:sz w:val="40"/>
      <w:szCs w:val="24"/>
      <w:lang w:val="en-US" w:bidi="en-US"/>
      <w14:ligatures w14:val="none"/>
    </w:rPr>
  </w:style>
  <w:style w:type="character" w:styleId="FollowedHyperlink">
    <w:name w:val="FollowedHyperlink"/>
    <w:basedOn w:val="DefaultParagraphFont"/>
    <w:uiPriority w:val="99"/>
    <w:rsid w:val="007C5947"/>
    <w:rPr>
      <w:color w:val="96607D" w:themeColor="followedHyperlink"/>
      <w:u w:val="single"/>
    </w:rPr>
  </w:style>
  <w:style w:type="character" w:styleId="Strong">
    <w:name w:val="Strong"/>
    <w:uiPriority w:val="22"/>
    <w:qFormat/>
    <w:rsid w:val="007C5947"/>
    <w:rPr>
      <w:b/>
      <w:bCs/>
    </w:rPr>
  </w:style>
  <w:style w:type="character" w:styleId="Emphasis">
    <w:name w:val="Emphasis"/>
    <w:uiPriority w:val="20"/>
    <w:qFormat/>
    <w:rsid w:val="007C5947"/>
    <w:rPr>
      <w:caps/>
      <w:color w:val="243F60"/>
      <w:spacing w:val="5"/>
    </w:rPr>
  </w:style>
  <w:style w:type="paragraph" w:styleId="CommentSubject">
    <w:name w:val="annotation subject"/>
    <w:basedOn w:val="CommentText"/>
    <w:next w:val="CommentText"/>
    <w:link w:val="CommentSubjectChar"/>
    <w:semiHidden/>
    <w:rsid w:val="007C5947"/>
    <w:rPr>
      <w:b/>
      <w:bCs/>
    </w:rPr>
  </w:style>
  <w:style w:type="character" w:customStyle="1" w:styleId="CommentSubjectChar">
    <w:name w:val="Comment Subject Char"/>
    <w:basedOn w:val="CommentTextChar"/>
    <w:link w:val="CommentSubject"/>
    <w:semiHidden/>
    <w:rsid w:val="007C5947"/>
    <w:rPr>
      <w:b/>
      <w:bCs/>
      <w:kern w:val="0"/>
      <w:sz w:val="22"/>
      <w:lang w:val="en-US" w:bidi="en-US"/>
      <w14:ligatures w14:val="none"/>
    </w:rPr>
  </w:style>
  <w:style w:type="paragraph" w:styleId="BalloonText">
    <w:name w:val="Balloon Text"/>
    <w:basedOn w:val="Normal"/>
    <w:link w:val="BalloonTextChar"/>
    <w:semiHidden/>
    <w:rsid w:val="007C5947"/>
    <w:rPr>
      <w:rFonts w:ascii="Tahoma" w:hAnsi="Tahoma" w:cs="Tahoma"/>
      <w:sz w:val="16"/>
      <w:szCs w:val="16"/>
    </w:rPr>
  </w:style>
  <w:style w:type="character" w:customStyle="1" w:styleId="BalloonTextChar">
    <w:name w:val="Balloon Text Char"/>
    <w:basedOn w:val="DefaultParagraphFont"/>
    <w:link w:val="BalloonText"/>
    <w:semiHidden/>
    <w:rsid w:val="007C5947"/>
    <w:rPr>
      <w:rFonts w:ascii="Tahoma" w:hAnsi="Tahoma" w:cs="Tahoma"/>
      <w:kern w:val="0"/>
      <w:sz w:val="16"/>
      <w:szCs w:val="16"/>
      <w:lang w:val="en-US" w:bidi="en-US"/>
      <w14:ligatures w14:val="none"/>
    </w:rPr>
  </w:style>
  <w:style w:type="table" w:styleId="TableGrid">
    <w:name w:val="Table Grid"/>
    <w:basedOn w:val="TableNormal"/>
    <w:rsid w:val="007C5947"/>
    <w:pPr>
      <w:widowControl w:val="0"/>
      <w:suppressAutoHyphens/>
      <w:spacing w:after="120"/>
      <w:contextualSpacing/>
    </w:pPr>
    <w:rPr>
      <w:rFonts w:eastAsia="Tahoma"/>
      <w:kern w:val="0"/>
      <w:lang w:eastAsia="en-AU"/>
      <w14:ligatures w14:val="none"/>
    </w:rPr>
    <w:tblP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bottom w:w="57" w:type="dxa"/>
      </w:tblCellMar>
    </w:tblPr>
    <w:tcPr>
      <w:shd w:val="clear" w:color="auto" w:fill="auto"/>
      <w:vAlign w:val="center"/>
    </w:tcPr>
    <w:tblStylePr w:type="firstRow">
      <w:rPr>
        <w:b/>
      </w:rPr>
      <w:tblPr/>
      <w:tcPr>
        <w:shd w:val="clear" w:color="auto" w:fill="EAEAEA"/>
      </w:tcPr>
    </w:tblStylePr>
    <w:tblStylePr w:type="lastRow">
      <w:rPr>
        <w:b/>
      </w:rPr>
    </w:tblStylePr>
    <w:tblStylePr w:type="firstCol">
      <w:rPr>
        <w:b/>
      </w:rPr>
      <w:tblPr/>
      <w:tcPr>
        <w:shd w:val="clear" w:color="auto" w:fill="EAEAEA"/>
      </w:tcPr>
    </w:tblStylePr>
  </w:style>
  <w:style w:type="character" w:styleId="PlaceholderText">
    <w:name w:val="Placeholder Text"/>
    <w:basedOn w:val="DefaultParagraphFont"/>
    <w:uiPriority w:val="99"/>
    <w:semiHidden/>
    <w:rsid w:val="007C5947"/>
    <w:rPr>
      <w:color w:val="808080"/>
    </w:rPr>
  </w:style>
  <w:style w:type="paragraph" w:styleId="ListParagraph">
    <w:name w:val="List Paragraph"/>
    <w:basedOn w:val="Normal"/>
    <w:uiPriority w:val="34"/>
    <w:qFormat/>
    <w:rsid w:val="007C5947"/>
    <w:pPr>
      <w:ind w:left="720"/>
      <w:contextualSpacing/>
    </w:pPr>
  </w:style>
  <w:style w:type="paragraph" w:styleId="TOCHeading">
    <w:name w:val="TOC Heading"/>
    <w:basedOn w:val="Heading1"/>
    <w:next w:val="Normal"/>
    <w:uiPriority w:val="39"/>
    <w:unhideWhenUsed/>
    <w:qFormat/>
    <w:rsid w:val="007C5947"/>
    <w:pPr>
      <w:keepNext/>
      <w:keepLines/>
      <w:pageBreakBefore w:val="0"/>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b w:val="0"/>
      <w:bCs w:val="0"/>
      <w:caps w:val="0"/>
      <w:color w:val="0F4761" w:themeColor="accent1" w:themeShade="BF"/>
      <w:spacing w:val="0"/>
      <w:sz w:val="32"/>
      <w:szCs w:val="32"/>
      <w:lang w:bidi="ar-SA"/>
    </w:rPr>
  </w:style>
  <w:style w:type="table" w:styleId="TableGridLight">
    <w:name w:val="Grid Table Light"/>
    <w:basedOn w:val="TableNormal"/>
    <w:uiPriority w:val="40"/>
    <w:rsid w:val="007C5947"/>
    <w:pPr>
      <w:spacing w:after="0" w:line="240" w:lineRule="auto"/>
    </w:pPr>
    <w:rPr>
      <w:kern w:val="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7733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3321"/>
    <w:rPr>
      <w:i/>
      <w:iCs/>
      <w:color w:val="404040" w:themeColor="text1" w:themeTint="BF"/>
      <w:kern w:val="0"/>
      <w:sz w:val="22"/>
      <w:lang w:val="en-US" w:bidi="en-US"/>
      <w14:ligatures w14:val="none"/>
    </w:rPr>
  </w:style>
  <w:style w:type="character" w:styleId="IntenseEmphasis">
    <w:name w:val="Intense Emphasis"/>
    <w:basedOn w:val="DefaultParagraphFont"/>
    <w:uiPriority w:val="21"/>
    <w:qFormat/>
    <w:rsid w:val="00773321"/>
    <w:rPr>
      <w:i/>
      <w:iCs/>
      <w:color w:val="0F4761" w:themeColor="accent1" w:themeShade="BF"/>
    </w:rPr>
  </w:style>
  <w:style w:type="paragraph" w:styleId="IntenseQuote">
    <w:name w:val="Intense Quote"/>
    <w:basedOn w:val="Normal"/>
    <w:next w:val="Normal"/>
    <w:link w:val="IntenseQuoteChar"/>
    <w:uiPriority w:val="30"/>
    <w:qFormat/>
    <w:rsid w:val="00773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21"/>
    <w:rPr>
      <w:i/>
      <w:iCs/>
      <w:color w:val="0F4761" w:themeColor="accent1" w:themeShade="BF"/>
      <w:kern w:val="0"/>
      <w:sz w:val="22"/>
      <w:lang w:val="en-US" w:bidi="en-US"/>
      <w14:ligatures w14:val="none"/>
    </w:rPr>
  </w:style>
  <w:style w:type="character" w:styleId="IntenseReference">
    <w:name w:val="Intense Reference"/>
    <w:basedOn w:val="DefaultParagraphFont"/>
    <w:uiPriority w:val="32"/>
    <w:qFormat/>
    <w:rsid w:val="00773321"/>
    <w:rPr>
      <w:b/>
      <w:bCs/>
      <w:smallCaps/>
      <w:color w:val="0F4761" w:themeColor="accent1" w:themeShade="BF"/>
      <w:spacing w:val="5"/>
    </w:rPr>
  </w:style>
  <w:style w:type="paragraph" w:customStyle="1" w:styleId="Recommendation">
    <w:name w:val="Recommendation"/>
    <w:basedOn w:val="Table1"/>
    <w:qFormat/>
    <w:rsid w:val="00F90333"/>
    <w:pPr>
      <w:numPr>
        <w:numId w:val="29"/>
      </w:numPr>
      <w:ind w:left="357" w:hanging="357"/>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MPWT-2140667901-60158</_dlc_DocId>
    <_dlc_DocIdUrl xmlns="20393cdf-440a-4521-8f19-00ba43423d00">
      <Url>https://pcgov.sharepoint.com/sites/sceteam/_layouts/15/DocIdRedir.aspx?ID=MPWT-2140667901-60158</Url>
      <Description>MPWT-2140667901-60158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F4D2F-F43C-4914-A96E-14D7382C34A5}">
  <ds:schemaRefs>
    <ds:schemaRef ds:uri="http://schemas.microsoft.com/sharepoint/events"/>
  </ds:schemaRefs>
</ds:datastoreItem>
</file>

<file path=customXml/itemProps2.xml><?xml version="1.0" encoding="utf-8"?>
<ds:datastoreItem xmlns:ds="http://schemas.openxmlformats.org/officeDocument/2006/customXml" ds:itemID="{DB6B2E77-9B1B-4008-AA92-F8B3B99BC4E6}">
  <ds:schemaRefs>
    <ds:schemaRef ds:uri="http://purl.org/dc/elements/1.1/"/>
    <ds:schemaRef ds:uri="http://schemas.openxmlformats.org/package/2006/metadata/core-properties"/>
    <ds:schemaRef ds:uri="20393cdf-440a-4521-8f19-00ba43423d00"/>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d385984-9344-419b-a80b-49c06a2bdab8"/>
    <ds:schemaRef ds:uri="http://purl.org/dc/dcmitype/"/>
  </ds:schemaRefs>
</ds:datastoreItem>
</file>

<file path=customXml/itemProps3.xml><?xml version="1.0" encoding="utf-8"?>
<ds:datastoreItem xmlns:ds="http://schemas.openxmlformats.org/officeDocument/2006/customXml" ds:itemID="{66C421AA-E6FF-4509-88E3-F38673C897B2}">
  <ds:schemaRefs>
    <ds:schemaRef ds:uri="http://schemas.microsoft.com/sharepoint/v3/contenttype/forms"/>
  </ds:schemaRefs>
</ds:datastoreItem>
</file>

<file path=customXml/itemProps4.xml><?xml version="1.0" encoding="utf-8"?>
<ds:datastoreItem xmlns:ds="http://schemas.openxmlformats.org/officeDocument/2006/customXml" ds:itemID="{A12AF320-BADC-4CF1-94D9-7F97CB8E656B}">
  <ds:schemaRefs>
    <ds:schemaRef ds:uri="http://schemas.openxmlformats.org/officeDocument/2006/bibliography"/>
  </ds:schemaRefs>
</ds:datastoreItem>
</file>

<file path=customXml/itemProps5.xml><?xml version="1.0" encoding="utf-8"?>
<ds:datastoreItem xmlns:ds="http://schemas.openxmlformats.org/officeDocument/2006/customXml" ds:itemID="{F834CC43-7C4A-43BA-A048-0737C46C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6259</TotalTime>
  <Pages>6</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469 - Barbara Preston - Philanthropy - Public inquiry</vt:lpstr>
    </vt:vector>
  </TitlesOfParts>
  <Company>Barbara Preston</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469 - Barbara Preston - Philanthropy - Public inquiry</dc:title>
  <dc:subject/>
  <dc:creator>Barbara Preston</dc:creator>
  <cp:keywords/>
  <dc:description/>
  <cp:lastModifiedBy>Chris Alston</cp:lastModifiedBy>
  <cp:revision>765</cp:revision>
  <dcterms:created xsi:type="dcterms:W3CDTF">2024-01-12T07:23:00Z</dcterms:created>
  <dcterms:modified xsi:type="dcterms:W3CDTF">2024-02-21T04:59:00Z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cab31449-46fd-4077-9f40-1bf4b1b2c18a</vt:lpwstr>
  </property>
</Properties>
</file>