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3CDCB" w14:textId="77777777" w:rsidR="00232D88" w:rsidRDefault="002648EE" w:rsidP="00232D88">
      <w:pPr>
        <w:spacing w:after="0"/>
        <w:rPr>
          <w:szCs w:val="20"/>
        </w:rPr>
      </w:pPr>
      <w:bookmarkStart w:id="0" w:name="_GoBack"/>
      <w:bookmarkEnd w:id="0"/>
      <w:r>
        <w:rPr>
          <w:szCs w:val="20"/>
        </w:rPr>
        <w:t>27 February 2015</w:t>
      </w:r>
    </w:p>
    <w:p w14:paraId="3D2AC52E" w14:textId="77777777" w:rsidR="002648EE" w:rsidRPr="00D6665E" w:rsidRDefault="002648EE" w:rsidP="00232D88">
      <w:pPr>
        <w:spacing w:after="0"/>
        <w:rPr>
          <w:szCs w:val="20"/>
        </w:rPr>
      </w:pPr>
    </w:p>
    <w:p w14:paraId="2CDB46DC" w14:textId="77777777" w:rsidR="00232D88" w:rsidRPr="00D6665E" w:rsidRDefault="005E2363" w:rsidP="00232D88">
      <w:pPr>
        <w:spacing w:after="0"/>
        <w:rPr>
          <w:szCs w:val="20"/>
        </w:rPr>
      </w:pPr>
      <w:r>
        <w:t>Mutual Recognition Schemes Study</w:t>
      </w:r>
    </w:p>
    <w:p w14:paraId="733A34E5" w14:textId="77777777" w:rsidR="00232D88" w:rsidRDefault="005E2363" w:rsidP="00232D88">
      <w:pPr>
        <w:spacing w:after="0"/>
        <w:rPr>
          <w:szCs w:val="20"/>
        </w:rPr>
      </w:pPr>
      <w:r>
        <w:t>Productivity Commission</w:t>
      </w:r>
    </w:p>
    <w:p w14:paraId="1B0C2044" w14:textId="77777777" w:rsidR="00232D88" w:rsidRDefault="005E2363" w:rsidP="00232D88">
      <w:pPr>
        <w:spacing w:after="0"/>
      </w:pPr>
      <w:r>
        <w:t>Locked Bag 2, Collins Street East</w:t>
      </w:r>
    </w:p>
    <w:p w14:paraId="3B3E99E9" w14:textId="77777777" w:rsidR="00232D88" w:rsidRPr="00D6665E" w:rsidRDefault="005E2363" w:rsidP="00232D88">
      <w:pPr>
        <w:spacing w:after="0"/>
        <w:rPr>
          <w:szCs w:val="20"/>
        </w:rPr>
      </w:pPr>
      <w:r>
        <w:t>Melbourne VIC 8003</w:t>
      </w:r>
    </w:p>
    <w:p w14:paraId="6BA344E0" w14:textId="77777777" w:rsidR="00232D88" w:rsidRPr="00D6665E" w:rsidRDefault="00232D88" w:rsidP="00232D88">
      <w:pPr>
        <w:spacing w:after="0"/>
        <w:rPr>
          <w:szCs w:val="20"/>
        </w:rPr>
      </w:pPr>
    </w:p>
    <w:p w14:paraId="71963F48" w14:textId="77777777" w:rsidR="00232D88" w:rsidRPr="00D6665E" w:rsidRDefault="00232D88" w:rsidP="00232D88">
      <w:pPr>
        <w:spacing w:after="120"/>
        <w:rPr>
          <w:szCs w:val="20"/>
        </w:rPr>
      </w:pPr>
      <w:r w:rsidRPr="00D6665E">
        <w:rPr>
          <w:szCs w:val="20"/>
        </w:rPr>
        <w:t>Dear Sir/Madam</w:t>
      </w:r>
    </w:p>
    <w:p w14:paraId="2C069B61" w14:textId="77777777" w:rsidR="00232D88" w:rsidRPr="005E2363" w:rsidRDefault="005E2363" w:rsidP="00232D88">
      <w:pPr>
        <w:spacing w:after="120"/>
        <w:rPr>
          <w:b/>
          <w:szCs w:val="20"/>
        </w:rPr>
      </w:pPr>
      <w:r w:rsidRPr="005E2363">
        <w:rPr>
          <w:b/>
        </w:rPr>
        <w:t>MUTUAL RECOG</w:t>
      </w:r>
      <w:r w:rsidR="000813E4">
        <w:rPr>
          <w:b/>
        </w:rPr>
        <w:t>N</w:t>
      </w:r>
      <w:r w:rsidRPr="005E2363">
        <w:rPr>
          <w:b/>
        </w:rPr>
        <w:t>ITION SCHEMES</w:t>
      </w:r>
    </w:p>
    <w:p w14:paraId="14839336" w14:textId="77777777" w:rsidR="00232D88" w:rsidRPr="0067142C" w:rsidRDefault="00232D88" w:rsidP="00232D88">
      <w:pPr>
        <w:spacing w:after="120"/>
        <w:rPr>
          <w:szCs w:val="20"/>
        </w:rPr>
      </w:pPr>
      <w:r w:rsidRPr="00D6665E">
        <w:rPr>
          <w:szCs w:val="20"/>
        </w:rPr>
        <w:t xml:space="preserve">Thank you for the opportunity to provide a submission </w:t>
      </w:r>
      <w:r w:rsidR="00AE4D4A">
        <w:rPr>
          <w:szCs w:val="20"/>
        </w:rPr>
        <w:t xml:space="preserve">to the Productivity Commission </w:t>
      </w:r>
      <w:r>
        <w:rPr>
          <w:szCs w:val="20"/>
        </w:rPr>
        <w:t>regarding</w:t>
      </w:r>
      <w:r w:rsidRPr="00D6665E">
        <w:rPr>
          <w:szCs w:val="20"/>
        </w:rPr>
        <w:t xml:space="preserve"> the </w:t>
      </w:r>
      <w:r w:rsidR="005E2363">
        <w:rPr>
          <w:szCs w:val="20"/>
        </w:rPr>
        <w:t>Mutual Recognition Schemes Study</w:t>
      </w:r>
      <w:r w:rsidRPr="00D6665E">
        <w:rPr>
          <w:i/>
          <w:szCs w:val="20"/>
        </w:rPr>
        <w:t>.</w:t>
      </w:r>
      <w:r w:rsidRPr="0067142C">
        <w:rPr>
          <w:szCs w:val="20"/>
        </w:rPr>
        <w:t xml:space="preserve"> </w:t>
      </w:r>
      <w:r w:rsidR="007B0709" w:rsidRPr="007B0709">
        <w:rPr>
          <w:szCs w:val="20"/>
        </w:rPr>
        <w:t xml:space="preserve">As a consequence of the abandoned National Occupational Licensing Scheme, </w:t>
      </w:r>
      <w:r w:rsidR="007B0709">
        <w:rPr>
          <w:szCs w:val="20"/>
        </w:rPr>
        <w:t xml:space="preserve">the AMCA views </w:t>
      </w:r>
      <w:r w:rsidR="007B0709" w:rsidRPr="007B0709">
        <w:rPr>
          <w:szCs w:val="20"/>
        </w:rPr>
        <w:t xml:space="preserve">mutual recognition schemes </w:t>
      </w:r>
      <w:r w:rsidR="007B0709">
        <w:rPr>
          <w:szCs w:val="20"/>
        </w:rPr>
        <w:t>as</w:t>
      </w:r>
      <w:r w:rsidR="007B0709" w:rsidRPr="007B0709">
        <w:rPr>
          <w:szCs w:val="20"/>
        </w:rPr>
        <w:t xml:space="preserve"> a workable, low cost and effective alternative.</w:t>
      </w:r>
    </w:p>
    <w:p w14:paraId="16B33039" w14:textId="77777777" w:rsidR="00570DE0" w:rsidRPr="00570DE0" w:rsidRDefault="00232D88" w:rsidP="00AF4814">
      <w:pPr>
        <w:spacing w:after="120"/>
        <w:jc w:val="both"/>
        <w:rPr>
          <w:rFonts w:cs="Arial"/>
          <w:szCs w:val="20"/>
        </w:rPr>
      </w:pPr>
      <w:r w:rsidRPr="00D6665E">
        <w:rPr>
          <w:rFonts w:cs="Arial"/>
          <w:szCs w:val="20"/>
        </w:rPr>
        <w:t xml:space="preserve">The Air Conditioning and Mechanical Contractors’ Association (AMCA) is the national peak trade association for member companies operating in the commercial and industrial air conditioning and mechanical services industry. Our members are highly skilled commercial operators with expertise in the design, manufacture and installation of air conditioning and specialised ventilation systems, as well as the ongoing service and maintenance of plant, equipment and infrastructure.  </w:t>
      </w:r>
      <w:r w:rsidR="00570DE0" w:rsidRPr="00570DE0">
        <w:rPr>
          <w:rFonts w:cs="Arial"/>
          <w:szCs w:val="20"/>
        </w:rPr>
        <w:t xml:space="preserve">The industry employs a diverse and highly skilled workforce that includes mechanical engineers, mechanical service plumbers, refrigeration and air conditioning technicians, as well as a range of project management and administrational staff. </w:t>
      </w:r>
    </w:p>
    <w:p w14:paraId="734DB79F" w14:textId="77777777" w:rsidR="00232D88" w:rsidRPr="003D1BC2" w:rsidRDefault="00232D88" w:rsidP="00232D88">
      <w:pPr>
        <w:pStyle w:val="Heading2"/>
        <w:spacing w:after="120"/>
        <w:rPr>
          <w:rFonts w:asciiTheme="minorHAnsi" w:hAnsiTheme="minorHAnsi" w:cs="Arial"/>
          <w:color w:val="auto"/>
          <w:sz w:val="20"/>
          <w:szCs w:val="20"/>
        </w:rPr>
      </w:pPr>
      <w:r w:rsidRPr="003D1BC2">
        <w:rPr>
          <w:rFonts w:asciiTheme="minorHAnsi" w:hAnsiTheme="minorHAnsi" w:cs="Arial"/>
          <w:color w:val="auto"/>
          <w:sz w:val="20"/>
          <w:szCs w:val="20"/>
        </w:rPr>
        <w:t>Industry profile</w:t>
      </w:r>
    </w:p>
    <w:p w14:paraId="078A4274" w14:textId="77777777" w:rsidR="00AF4814" w:rsidRDefault="00AF4814" w:rsidP="00570DE0">
      <w:pPr>
        <w:spacing w:after="120"/>
        <w:jc w:val="both"/>
        <w:rPr>
          <w:rFonts w:cs="Arial"/>
          <w:szCs w:val="20"/>
        </w:rPr>
      </w:pPr>
      <w:r w:rsidRPr="005449A9">
        <w:rPr>
          <w:rFonts w:cs="Arial"/>
          <w:szCs w:val="20"/>
        </w:rPr>
        <w:t xml:space="preserve">The </w:t>
      </w:r>
      <w:r>
        <w:rPr>
          <w:rFonts w:cs="Arial"/>
          <w:szCs w:val="20"/>
        </w:rPr>
        <w:t xml:space="preserve">direct </w:t>
      </w:r>
      <w:r w:rsidRPr="005449A9">
        <w:rPr>
          <w:rFonts w:cs="Arial"/>
          <w:szCs w:val="20"/>
        </w:rPr>
        <w:t xml:space="preserve">contribution of the refrigeration and air conditioning industry to the national economy is </w:t>
      </w:r>
      <w:r>
        <w:rPr>
          <w:rFonts w:cs="Arial"/>
          <w:szCs w:val="20"/>
        </w:rPr>
        <w:t>evident</w:t>
      </w:r>
      <w:r w:rsidRPr="005449A9">
        <w:rPr>
          <w:rFonts w:cs="Arial"/>
          <w:szCs w:val="20"/>
        </w:rPr>
        <w:t xml:space="preserve"> by the 20,000 businesses that contribute 1.7% of GDP and employ 173,000 people across Australia.</w:t>
      </w:r>
      <w:r>
        <w:rPr>
          <w:rFonts w:cs="Arial"/>
          <w:szCs w:val="20"/>
        </w:rPr>
        <w:t xml:space="preserve"> However, the indirect contribution of the industry is exemplified by the fact that b</w:t>
      </w:r>
      <w:r w:rsidR="00570DE0" w:rsidRPr="00570DE0">
        <w:rPr>
          <w:rFonts w:cs="Arial"/>
          <w:szCs w:val="20"/>
        </w:rPr>
        <w:t xml:space="preserve">uilding services such as heating, ventilation, air conditioning and refrigeration (HVAC&amp;R) are indispensable components of modern society by providing safe, comfortable and productive environments for building occupants. </w:t>
      </w:r>
    </w:p>
    <w:p w14:paraId="5E242100" w14:textId="77777777" w:rsidR="00232D88" w:rsidRDefault="00570DE0" w:rsidP="00570DE0">
      <w:pPr>
        <w:spacing w:after="120"/>
        <w:jc w:val="both"/>
        <w:rPr>
          <w:rFonts w:cs="Arial"/>
          <w:szCs w:val="20"/>
        </w:rPr>
      </w:pPr>
      <w:r w:rsidRPr="00570DE0">
        <w:rPr>
          <w:rFonts w:cs="Arial"/>
          <w:szCs w:val="20"/>
        </w:rPr>
        <w:t>Integrating a wide variety of plant and equipment technologies, they are also the largest contributors to building energy consumption</w:t>
      </w:r>
      <w:r>
        <w:rPr>
          <w:rFonts w:cs="Arial"/>
          <w:szCs w:val="20"/>
        </w:rPr>
        <w:t xml:space="preserve">, </w:t>
      </w:r>
      <w:r w:rsidR="00232D88" w:rsidRPr="00D6665E">
        <w:rPr>
          <w:rFonts w:cs="Arial"/>
          <w:szCs w:val="20"/>
        </w:rPr>
        <w:t>account</w:t>
      </w:r>
      <w:r w:rsidR="00AF4814">
        <w:rPr>
          <w:rFonts w:cs="Arial"/>
          <w:szCs w:val="20"/>
        </w:rPr>
        <w:t>ing</w:t>
      </w:r>
      <w:r w:rsidR="00232D88" w:rsidRPr="00D6665E">
        <w:rPr>
          <w:rFonts w:cs="Arial"/>
          <w:szCs w:val="20"/>
        </w:rPr>
        <w:t xml:space="preserve"> for approximately 50% of a building’s energy</w:t>
      </w:r>
      <w:r w:rsidR="00232D88">
        <w:rPr>
          <w:rFonts w:cs="Arial"/>
          <w:szCs w:val="20"/>
        </w:rPr>
        <w:t xml:space="preserve"> consumption</w:t>
      </w:r>
      <w:r w:rsidR="00232D88" w:rsidRPr="00D6665E">
        <w:rPr>
          <w:rFonts w:cs="Arial"/>
          <w:szCs w:val="20"/>
        </w:rPr>
        <w:t xml:space="preserve">.  </w:t>
      </w:r>
      <w:r w:rsidR="00AE4D4A">
        <w:rPr>
          <w:rFonts w:cs="Arial"/>
          <w:szCs w:val="20"/>
        </w:rPr>
        <w:t>For</w:t>
      </w:r>
      <w:r w:rsidR="00232D88" w:rsidRPr="00D6665E">
        <w:rPr>
          <w:rFonts w:cs="Arial"/>
          <w:szCs w:val="20"/>
        </w:rPr>
        <w:t xml:space="preserve"> buildings with older or less efficient systems, HVAC can account for upwards of 75% of total energy usage.  </w:t>
      </w:r>
    </w:p>
    <w:p w14:paraId="2B12D411" w14:textId="77777777" w:rsidR="00232D88" w:rsidRPr="005449A9" w:rsidRDefault="00232D88" w:rsidP="00232D88">
      <w:pPr>
        <w:spacing w:after="0"/>
        <w:jc w:val="both"/>
        <w:rPr>
          <w:rFonts w:cs="Arial"/>
          <w:szCs w:val="20"/>
        </w:rPr>
      </w:pPr>
    </w:p>
    <w:tbl>
      <w:tblPr>
        <w:tblStyle w:val="TableGrid"/>
        <w:tblW w:w="0" w:type="auto"/>
        <w:tblLook w:val="04A0" w:firstRow="1" w:lastRow="0" w:firstColumn="1" w:lastColumn="0" w:noHBand="0" w:noVBand="1"/>
      </w:tblPr>
      <w:tblGrid>
        <w:gridCol w:w="4219"/>
        <w:gridCol w:w="4637"/>
      </w:tblGrid>
      <w:tr w:rsidR="00232D88" w:rsidRPr="00312849" w14:paraId="1D77A8BB" w14:textId="77777777" w:rsidTr="00570DE0">
        <w:tc>
          <w:tcPr>
            <w:tcW w:w="8856" w:type="dxa"/>
            <w:gridSpan w:val="2"/>
            <w:tcBorders>
              <w:top w:val="nil"/>
              <w:left w:val="nil"/>
              <w:bottom w:val="single" w:sz="4" w:space="0" w:color="auto"/>
              <w:right w:val="nil"/>
            </w:tcBorders>
          </w:tcPr>
          <w:p w14:paraId="0C5E6C91" w14:textId="77777777" w:rsidR="00232D88" w:rsidRPr="00312849" w:rsidRDefault="00232D88" w:rsidP="003A1C11">
            <w:pPr>
              <w:spacing w:before="120"/>
              <w:rPr>
                <w:rFonts w:cs="Arial"/>
                <w:szCs w:val="20"/>
              </w:rPr>
            </w:pPr>
            <w:r w:rsidRPr="00312849">
              <w:rPr>
                <w:rFonts w:cs="Arial"/>
                <w:szCs w:val="20"/>
              </w:rPr>
              <w:t xml:space="preserve">Table 1   </w:t>
            </w:r>
            <w:r w:rsidRPr="00312849">
              <w:rPr>
                <w:rFonts w:cs="Arial"/>
                <w:b/>
                <w:szCs w:val="20"/>
              </w:rPr>
              <w:t>Size and shape of the refrigeration and air conditioning industry</w:t>
            </w:r>
          </w:p>
        </w:tc>
      </w:tr>
      <w:tr w:rsidR="00232D88" w:rsidRPr="00570DE0" w14:paraId="39ED1283" w14:textId="77777777" w:rsidTr="00570DE0">
        <w:tc>
          <w:tcPr>
            <w:tcW w:w="4219" w:type="dxa"/>
            <w:tcBorders>
              <w:top w:val="nil"/>
              <w:left w:val="nil"/>
              <w:bottom w:val="nil"/>
              <w:right w:val="nil"/>
            </w:tcBorders>
          </w:tcPr>
          <w:p w14:paraId="1290CE4D" w14:textId="77777777" w:rsidR="00232D88" w:rsidRPr="00570DE0" w:rsidRDefault="00232D88" w:rsidP="003A1C11">
            <w:pPr>
              <w:spacing w:before="120"/>
              <w:rPr>
                <w:rFonts w:cs="Arial"/>
                <w:szCs w:val="20"/>
              </w:rPr>
            </w:pPr>
            <w:r w:rsidRPr="00570DE0">
              <w:rPr>
                <w:rFonts w:cs="Arial"/>
                <w:szCs w:val="20"/>
              </w:rPr>
              <w:t xml:space="preserve">173,000 people employed </w:t>
            </w:r>
          </w:p>
        </w:tc>
        <w:tc>
          <w:tcPr>
            <w:tcW w:w="4637" w:type="dxa"/>
            <w:tcBorders>
              <w:top w:val="nil"/>
              <w:left w:val="nil"/>
              <w:bottom w:val="nil"/>
              <w:right w:val="nil"/>
            </w:tcBorders>
          </w:tcPr>
          <w:p w14:paraId="58471492" w14:textId="77777777" w:rsidR="00232D88" w:rsidRPr="00570DE0" w:rsidRDefault="00232D88" w:rsidP="003A1C11">
            <w:pPr>
              <w:spacing w:before="120"/>
              <w:rPr>
                <w:rFonts w:cs="Arial"/>
                <w:szCs w:val="20"/>
              </w:rPr>
            </w:pPr>
            <w:r w:rsidRPr="00570DE0">
              <w:rPr>
                <w:rFonts w:cs="Arial"/>
                <w:szCs w:val="20"/>
              </w:rPr>
              <w:t>$5.9 billion expenditure on new equipment (2012)</w:t>
            </w:r>
          </w:p>
        </w:tc>
      </w:tr>
      <w:tr w:rsidR="00232D88" w:rsidRPr="00570DE0" w14:paraId="1E7B131F" w14:textId="77777777" w:rsidTr="00570DE0">
        <w:tc>
          <w:tcPr>
            <w:tcW w:w="4219" w:type="dxa"/>
            <w:tcBorders>
              <w:top w:val="nil"/>
              <w:left w:val="nil"/>
              <w:bottom w:val="nil"/>
              <w:right w:val="nil"/>
            </w:tcBorders>
          </w:tcPr>
          <w:p w14:paraId="56EBED87" w14:textId="77777777" w:rsidR="00232D88" w:rsidRPr="00570DE0" w:rsidRDefault="00232D88" w:rsidP="003A1C11">
            <w:pPr>
              <w:spacing w:before="120"/>
              <w:rPr>
                <w:rFonts w:cs="Arial"/>
                <w:szCs w:val="20"/>
              </w:rPr>
            </w:pPr>
            <w:r w:rsidRPr="00570DE0">
              <w:rPr>
                <w:rFonts w:cs="Arial"/>
                <w:szCs w:val="20"/>
              </w:rPr>
              <w:t>20,000 businesses in operation</w:t>
            </w:r>
          </w:p>
        </w:tc>
        <w:tc>
          <w:tcPr>
            <w:tcW w:w="4637" w:type="dxa"/>
            <w:tcBorders>
              <w:top w:val="nil"/>
              <w:left w:val="nil"/>
              <w:bottom w:val="nil"/>
              <w:right w:val="nil"/>
            </w:tcBorders>
          </w:tcPr>
          <w:p w14:paraId="340427E4" w14:textId="77777777" w:rsidR="00232D88" w:rsidRPr="00570DE0" w:rsidRDefault="00232D88" w:rsidP="003A1C11">
            <w:pPr>
              <w:spacing w:before="120"/>
              <w:rPr>
                <w:rFonts w:cs="Arial"/>
                <w:szCs w:val="20"/>
              </w:rPr>
            </w:pPr>
            <w:r w:rsidRPr="00570DE0">
              <w:rPr>
                <w:rFonts w:cs="Arial"/>
                <w:szCs w:val="20"/>
              </w:rPr>
              <w:t>$533 million spent on refrigerant gas</w:t>
            </w:r>
          </w:p>
        </w:tc>
      </w:tr>
      <w:tr w:rsidR="00232D88" w:rsidRPr="00570DE0" w14:paraId="113064B0" w14:textId="77777777" w:rsidTr="00570DE0">
        <w:tc>
          <w:tcPr>
            <w:tcW w:w="4219" w:type="dxa"/>
            <w:tcBorders>
              <w:top w:val="nil"/>
              <w:left w:val="nil"/>
              <w:bottom w:val="nil"/>
              <w:right w:val="nil"/>
            </w:tcBorders>
          </w:tcPr>
          <w:p w14:paraId="72995610" w14:textId="77777777" w:rsidR="00232D88" w:rsidRPr="00570DE0" w:rsidRDefault="00232D88" w:rsidP="003A1C11">
            <w:pPr>
              <w:spacing w:before="120"/>
              <w:rPr>
                <w:rFonts w:cs="Arial"/>
                <w:szCs w:val="20"/>
              </w:rPr>
            </w:pPr>
            <w:r w:rsidRPr="00570DE0">
              <w:rPr>
                <w:rFonts w:cs="Arial"/>
                <w:szCs w:val="20"/>
              </w:rPr>
              <w:t>$13.3 billion in wages per annum</w:t>
            </w:r>
          </w:p>
        </w:tc>
        <w:tc>
          <w:tcPr>
            <w:tcW w:w="4637" w:type="dxa"/>
            <w:tcBorders>
              <w:top w:val="nil"/>
              <w:left w:val="nil"/>
              <w:bottom w:val="nil"/>
              <w:right w:val="nil"/>
            </w:tcBorders>
          </w:tcPr>
          <w:p w14:paraId="7F87A0CA" w14:textId="77777777" w:rsidR="00232D88" w:rsidRPr="00570DE0" w:rsidRDefault="00232D88" w:rsidP="003A1C11">
            <w:pPr>
              <w:spacing w:before="120"/>
              <w:rPr>
                <w:rFonts w:cs="Arial"/>
                <w:szCs w:val="20"/>
              </w:rPr>
            </w:pPr>
            <w:r w:rsidRPr="00570DE0">
              <w:rPr>
                <w:rFonts w:cs="Arial"/>
                <w:szCs w:val="20"/>
              </w:rPr>
              <w:t>$26.2 billion in total expenditure per annum</w:t>
            </w:r>
          </w:p>
        </w:tc>
      </w:tr>
      <w:tr w:rsidR="00232D88" w:rsidRPr="00570DE0" w14:paraId="04D10EFE" w14:textId="77777777" w:rsidTr="00570DE0">
        <w:tc>
          <w:tcPr>
            <w:tcW w:w="4219" w:type="dxa"/>
            <w:tcBorders>
              <w:top w:val="nil"/>
              <w:left w:val="nil"/>
              <w:bottom w:val="single" w:sz="4" w:space="0" w:color="auto"/>
              <w:right w:val="nil"/>
            </w:tcBorders>
          </w:tcPr>
          <w:p w14:paraId="08937ECB" w14:textId="77777777" w:rsidR="00232D88" w:rsidRPr="00570DE0" w:rsidRDefault="00232D88" w:rsidP="003A1C11">
            <w:pPr>
              <w:spacing w:before="120"/>
              <w:rPr>
                <w:rFonts w:cs="Arial"/>
                <w:szCs w:val="20"/>
              </w:rPr>
            </w:pPr>
            <w:r w:rsidRPr="00570DE0">
              <w:rPr>
                <w:rFonts w:cs="Arial"/>
                <w:szCs w:val="20"/>
              </w:rPr>
              <w:t>1.7% of GDP</w:t>
            </w:r>
          </w:p>
        </w:tc>
        <w:tc>
          <w:tcPr>
            <w:tcW w:w="4637" w:type="dxa"/>
            <w:tcBorders>
              <w:top w:val="nil"/>
              <w:left w:val="nil"/>
              <w:bottom w:val="single" w:sz="4" w:space="0" w:color="auto"/>
              <w:right w:val="nil"/>
            </w:tcBorders>
          </w:tcPr>
          <w:p w14:paraId="1D73F6D5" w14:textId="77777777" w:rsidR="00232D88" w:rsidRPr="00570DE0" w:rsidRDefault="00232D88" w:rsidP="003A1C11">
            <w:pPr>
              <w:spacing w:before="120"/>
              <w:rPr>
                <w:rFonts w:cs="Arial"/>
                <w:szCs w:val="20"/>
              </w:rPr>
            </w:pPr>
            <w:r w:rsidRPr="00570DE0">
              <w:rPr>
                <w:rFonts w:cs="Arial"/>
                <w:szCs w:val="20"/>
              </w:rPr>
              <w:t xml:space="preserve">Air conditioning to 140 million square </w:t>
            </w:r>
            <w:r w:rsidRPr="00570DE0">
              <w:rPr>
                <w:rFonts w:cs="Arial"/>
                <w:szCs w:val="20"/>
                <w:lang w:val="en-AU"/>
              </w:rPr>
              <w:t>metres</w:t>
            </w:r>
            <w:r w:rsidRPr="00570DE0">
              <w:rPr>
                <w:rFonts w:cs="Arial"/>
                <w:szCs w:val="20"/>
              </w:rPr>
              <w:t xml:space="preserve"> of non-residential buildings</w:t>
            </w:r>
          </w:p>
        </w:tc>
      </w:tr>
      <w:tr w:rsidR="00232D88" w:rsidRPr="00312849" w14:paraId="158DDD5E" w14:textId="77777777" w:rsidTr="00570DE0">
        <w:tc>
          <w:tcPr>
            <w:tcW w:w="8856" w:type="dxa"/>
            <w:gridSpan w:val="2"/>
            <w:tcBorders>
              <w:top w:val="single" w:sz="4" w:space="0" w:color="auto"/>
              <w:left w:val="nil"/>
              <w:bottom w:val="nil"/>
              <w:right w:val="nil"/>
            </w:tcBorders>
          </w:tcPr>
          <w:p w14:paraId="6338CFEF" w14:textId="77777777" w:rsidR="00232D88" w:rsidRPr="00312849" w:rsidRDefault="00232D88" w:rsidP="003A1C11">
            <w:pPr>
              <w:spacing w:before="120" w:after="120"/>
              <w:rPr>
                <w:rFonts w:cs="Arial"/>
                <w:szCs w:val="20"/>
              </w:rPr>
            </w:pPr>
            <w:r w:rsidRPr="00312849">
              <w:rPr>
                <w:rFonts w:cs="Arial"/>
                <w:szCs w:val="20"/>
              </w:rPr>
              <w:t xml:space="preserve">Source   </w:t>
            </w:r>
            <w:r w:rsidRPr="00312849">
              <w:rPr>
                <w:rFonts w:cs="Arial"/>
                <w:b/>
                <w:i/>
                <w:szCs w:val="20"/>
              </w:rPr>
              <w:t>Cold Hard Facts 2 (2013)</w:t>
            </w:r>
          </w:p>
        </w:tc>
      </w:tr>
    </w:tbl>
    <w:p w14:paraId="7E7214F2" w14:textId="77777777" w:rsidR="003D1BC2" w:rsidRDefault="003D1BC2" w:rsidP="003D1BC2">
      <w:pPr>
        <w:rPr>
          <w:b/>
          <w:i/>
          <w:szCs w:val="20"/>
        </w:rPr>
        <w:sectPr w:rsidR="003D1BC2" w:rsidSect="008C576E">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noEndnote/>
        </w:sectPr>
      </w:pPr>
    </w:p>
    <w:p w14:paraId="799A71C9" w14:textId="77777777" w:rsidR="00270E1C" w:rsidRPr="003D1BC2" w:rsidRDefault="00270E1C" w:rsidP="003D1BC2">
      <w:pPr>
        <w:rPr>
          <w:b/>
          <w:szCs w:val="20"/>
        </w:rPr>
      </w:pPr>
      <w:r w:rsidRPr="003D1BC2">
        <w:rPr>
          <w:b/>
          <w:szCs w:val="20"/>
        </w:rPr>
        <w:lastRenderedPageBreak/>
        <w:t>Terms of Reference and the structure of this submission</w:t>
      </w:r>
    </w:p>
    <w:p w14:paraId="350C1F2F" w14:textId="77777777" w:rsidR="00570DE0" w:rsidRDefault="003D5AD4" w:rsidP="00270E1C">
      <w:r>
        <w:t>T</w:t>
      </w:r>
      <w:r w:rsidR="00270E1C">
        <w:t>he AMCA submission primarily addresses</w:t>
      </w:r>
      <w:r w:rsidR="00A5585D">
        <w:t xml:space="preserve"> </w:t>
      </w:r>
      <w:r w:rsidR="00270E1C">
        <w:t>the</w:t>
      </w:r>
      <w:r w:rsidR="00A5585D">
        <w:t xml:space="preserve"> Terms of Reference focusing on</w:t>
      </w:r>
      <w:r w:rsidR="00270E1C">
        <w:t xml:space="preserve"> inter-jurisdictional movement of skilled workers</w:t>
      </w:r>
      <w:r w:rsidR="00A5585D">
        <w:t xml:space="preserve">. </w:t>
      </w:r>
    </w:p>
    <w:p w14:paraId="2D152EF5" w14:textId="77777777" w:rsidR="00270E1C" w:rsidRPr="003D1BC2" w:rsidRDefault="00270E1C" w:rsidP="00270E1C">
      <w:pPr>
        <w:rPr>
          <w:b/>
          <w:i/>
          <w:szCs w:val="20"/>
        </w:rPr>
      </w:pPr>
      <w:r w:rsidRPr="003D1BC2">
        <w:rPr>
          <w:b/>
          <w:i/>
          <w:szCs w:val="20"/>
        </w:rPr>
        <w:t>Mutual recognition of occupations</w:t>
      </w:r>
    </w:p>
    <w:p w14:paraId="20B74186" w14:textId="77777777" w:rsidR="00270E1C" w:rsidRDefault="00312849" w:rsidP="00270E1C">
      <w:pPr>
        <w:rPr>
          <w:szCs w:val="20"/>
        </w:rPr>
      </w:pPr>
      <w:r w:rsidRPr="00270E1C">
        <w:rPr>
          <w:szCs w:val="20"/>
        </w:rPr>
        <w:t xml:space="preserve">The AMCA </w:t>
      </w:r>
      <w:r w:rsidRPr="00270E1C">
        <w:rPr>
          <w:szCs w:val="20"/>
          <w:lang w:val="en-AU"/>
        </w:rPr>
        <w:t>recognises</w:t>
      </w:r>
      <w:r w:rsidRPr="00270E1C">
        <w:rPr>
          <w:szCs w:val="20"/>
        </w:rPr>
        <w:t xml:space="preserve"> that the number of those impacted by the MRA and TTMRA schemes is relatively small as a proportion of the overall workforce in the mechanical services industry, being in the vicinity of 4 percent nationally.</w:t>
      </w:r>
      <w:r>
        <w:rPr>
          <w:szCs w:val="20"/>
        </w:rPr>
        <w:t xml:space="preserve"> However, f</w:t>
      </w:r>
      <w:r w:rsidR="00270E1C" w:rsidRPr="00270E1C">
        <w:rPr>
          <w:szCs w:val="20"/>
        </w:rPr>
        <w:t xml:space="preserve">actors underpinning the rational for mutual recognition – such as compliance costs, difficulties attracting quality workers, and duplication of regulation – continue to be an issue for </w:t>
      </w:r>
      <w:r w:rsidR="00D43D0F">
        <w:rPr>
          <w:szCs w:val="20"/>
        </w:rPr>
        <w:t xml:space="preserve">mechanical, air conditioning and refrigeration </w:t>
      </w:r>
      <w:r w:rsidR="00D43D0F" w:rsidRPr="00270E1C">
        <w:rPr>
          <w:szCs w:val="20"/>
        </w:rPr>
        <w:t>enterprises</w:t>
      </w:r>
      <w:r w:rsidR="00270E1C" w:rsidRPr="00270E1C">
        <w:rPr>
          <w:szCs w:val="20"/>
        </w:rPr>
        <w:t xml:space="preserve"> across Australia; therefore, as a statement of principle, the AMCA and its members are supportive of the MRA and TTMRA.  The enactment of both the MRA and TTMRA is viewed as a constructive development for both individuals wishing to relocate, either for professional opportunities or personal reasons, and commercial enterprises seeking increased flexibility in their workforce.</w:t>
      </w:r>
    </w:p>
    <w:p w14:paraId="31598753" w14:textId="77777777" w:rsidR="00D83588" w:rsidRPr="00270E1C" w:rsidRDefault="00270E1C" w:rsidP="00270E1C">
      <w:pPr>
        <w:rPr>
          <w:szCs w:val="20"/>
        </w:rPr>
      </w:pPr>
      <w:r w:rsidRPr="00270E1C">
        <w:rPr>
          <w:szCs w:val="20"/>
        </w:rPr>
        <w:t xml:space="preserve">It is important to recognize that a dynamic and flexible Mutual Recognition Scheme should respond appropriately to the different </w:t>
      </w:r>
      <w:r w:rsidR="00A5585D">
        <w:rPr>
          <w:szCs w:val="20"/>
        </w:rPr>
        <w:t>drivers of</w:t>
      </w:r>
      <w:r w:rsidRPr="00270E1C">
        <w:rPr>
          <w:szCs w:val="20"/>
        </w:rPr>
        <w:t xml:space="preserve"> worker mobility. For example, the appropriate requirements for recognition of individuals permanently relocating to another jurisdiction are likely to be different to the occupational requirements of workers redeployed temporarily by a firm for a project of a specified scope and duration.</w:t>
      </w:r>
    </w:p>
    <w:p w14:paraId="52A9463B" w14:textId="77777777" w:rsidR="00270E1C" w:rsidRPr="003D1BC2" w:rsidRDefault="00270E1C" w:rsidP="00270E1C">
      <w:pPr>
        <w:rPr>
          <w:b/>
          <w:i/>
          <w:szCs w:val="20"/>
        </w:rPr>
      </w:pPr>
      <w:r w:rsidRPr="003D1BC2">
        <w:rPr>
          <w:b/>
          <w:i/>
          <w:szCs w:val="20"/>
        </w:rPr>
        <w:t>Requirements for manner of carrying on an occupation</w:t>
      </w:r>
    </w:p>
    <w:p w14:paraId="42F81F6C" w14:textId="77777777" w:rsidR="00270E1C" w:rsidRDefault="00270E1C" w:rsidP="00270E1C">
      <w:pPr>
        <w:rPr>
          <w:szCs w:val="20"/>
        </w:rPr>
      </w:pPr>
      <w:r w:rsidRPr="00270E1C">
        <w:rPr>
          <w:szCs w:val="20"/>
        </w:rPr>
        <w:t>Inter-jurisdictional differences i</w:t>
      </w:r>
      <w:r w:rsidR="00312849">
        <w:rPr>
          <w:szCs w:val="20"/>
        </w:rPr>
        <w:t>n</w:t>
      </w:r>
      <w:r w:rsidRPr="00270E1C">
        <w:rPr>
          <w:szCs w:val="20"/>
        </w:rPr>
        <w:t xml:space="preserve"> laws and regulations have the potential to impede </w:t>
      </w:r>
      <w:r w:rsidRPr="00312849">
        <w:rPr>
          <w:szCs w:val="20"/>
          <w:lang w:val="en-AU"/>
        </w:rPr>
        <w:t>labour</w:t>
      </w:r>
      <w:r w:rsidRPr="00270E1C">
        <w:rPr>
          <w:szCs w:val="20"/>
        </w:rPr>
        <w:t xml:space="preserve"> mobility in some cases; particularly where individuals are required to register, with associated costs, in multiple jurisdictions.</w:t>
      </w:r>
      <w:r>
        <w:rPr>
          <w:szCs w:val="20"/>
        </w:rPr>
        <w:t xml:space="preserve"> </w:t>
      </w:r>
      <w:r w:rsidRPr="00270E1C">
        <w:rPr>
          <w:szCs w:val="20"/>
        </w:rPr>
        <w:t xml:space="preserve">Such disincentives can result in businesses and individuals being unable to respond to market opportunities and skills shortages, acting as an artificial barrier to competition.  </w:t>
      </w:r>
    </w:p>
    <w:p w14:paraId="43DA51D8" w14:textId="77777777" w:rsidR="00A5585D" w:rsidRDefault="00270E1C" w:rsidP="00270E1C">
      <w:pPr>
        <w:rPr>
          <w:szCs w:val="20"/>
        </w:rPr>
      </w:pPr>
      <w:r w:rsidRPr="00270E1C">
        <w:rPr>
          <w:szCs w:val="20"/>
        </w:rPr>
        <w:t>Notwithstanding the above, the AMCA acknowledges the importance of ensuring that building and plumbing practitioners have a thorough understanding of the risks and conditions specific to certain jurisdictions. Although the performance requirements of the National Construction Code</w:t>
      </w:r>
      <w:r w:rsidR="00312849">
        <w:rPr>
          <w:szCs w:val="20"/>
        </w:rPr>
        <w:t xml:space="preserve"> and related s</w:t>
      </w:r>
      <w:r w:rsidR="00312849" w:rsidRPr="00270E1C">
        <w:rPr>
          <w:szCs w:val="20"/>
        </w:rPr>
        <w:t>tandards</w:t>
      </w:r>
      <w:r w:rsidRPr="00270E1C">
        <w:rPr>
          <w:szCs w:val="20"/>
        </w:rPr>
        <w:t xml:space="preserve"> vary across jurisdictions, the national framework means that this is not likely to act as an impediment to </w:t>
      </w:r>
      <w:r w:rsidRPr="00312849">
        <w:rPr>
          <w:szCs w:val="20"/>
          <w:lang w:val="en-AU"/>
        </w:rPr>
        <w:t>labour</w:t>
      </w:r>
      <w:r w:rsidRPr="00270E1C">
        <w:rPr>
          <w:szCs w:val="20"/>
        </w:rPr>
        <w:t xml:space="preserve"> mobility.  </w:t>
      </w:r>
      <w:r w:rsidR="00312849">
        <w:rPr>
          <w:szCs w:val="20"/>
        </w:rPr>
        <w:t xml:space="preserve">Additionally, </w:t>
      </w:r>
      <w:r w:rsidRPr="00270E1C">
        <w:rPr>
          <w:szCs w:val="20"/>
        </w:rPr>
        <w:t xml:space="preserve">efforts towards the </w:t>
      </w:r>
      <w:r w:rsidRPr="00270E1C">
        <w:rPr>
          <w:szCs w:val="20"/>
          <w:lang w:val="en-AU"/>
        </w:rPr>
        <w:t>harmonisation</w:t>
      </w:r>
      <w:r w:rsidRPr="00270E1C">
        <w:rPr>
          <w:szCs w:val="20"/>
        </w:rPr>
        <w:t xml:space="preserve"> of workplace health and safety laws, as well as laws pertaining to the storage, handling and transport of dangerous goods, are also likely to have reduced barriers to </w:t>
      </w:r>
      <w:r w:rsidRPr="00270E1C">
        <w:rPr>
          <w:szCs w:val="20"/>
          <w:lang w:val="en-AU"/>
        </w:rPr>
        <w:t>labour</w:t>
      </w:r>
      <w:r w:rsidRPr="00270E1C">
        <w:rPr>
          <w:szCs w:val="20"/>
        </w:rPr>
        <w:t xml:space="preserve"> mobility.</w:t>
      </w:r>
      <w:r w:rsidR="00A5585D">
        <w:rPr>
          <w:szCs w:val="20"/>
        </w:rPr>
        <w:t xml:space="preserve"> </w:t>
      </w:r>
    </w:p>
    <w:p w14:paraId="29829C9E" w14:textId="77777777" w:rsidR="00270E1C" w:rsidRPr="003D1BC2" w:rsidRDefault="00270E1C" w:rsidP="00270E1C">
      <w:pPr>
        <w:rPr>
          <w:b/>
          <w:i/>
          <w:szCs w:val="20"/>
        </w:rPr>
      </w:pPr>
      <w:r w:rsidRPr="003D1BC2">
        <w:rPr>
          <w:b/>
          <w:i/>
          <w:szCs w:val="20"/>
        </w:rPr>
        <w:t>Occupational equivalence, conditions and standards</w:t>
      </w:r>
    </w:p>
    <w:p w14:paraId="12BF2860" w14:textId="77777777" w:rsidR="00270E1C" w:rsidRDefault="00270E1C" w:rsidP="00270E1C">
      <w:r w:rsidRPr="00270E1C">
        <w:t xml:space="preserve">The AMCA and its members were pleased with the inclusion of </w:t>
      </w:r>
      <w:r w:rsidR="00A5585D">
        <w:t>p</w:t>
      </w:r>
      <w:r w:rsidRPr="00270E1C">
        <w:t xml:space="preserve">lumbing </w:t>
      </w:r>
      <w:r w:rsidR="00A5585D">
        <w:t>o</w:t>
      </w:r>
      <w:r w:rsidRPr="00270E1C">
        <w:t xml:space="preserve">ccupations and </w:t>
      </w:r>
      <w:r w:rsidR="00A5585D">
        <w:t>a</w:t>
      </w:r>
      <w:r w:rsidRPr="00270E1C">
        <w:t xml:space="preserve">ir-conditioning and </w:t>
      </w:r>
      <w:r w:rsidR="00A5585D">
        <w:t>r</w:t>
      </w:r>
      <w:r w:rsidRPr="00270E1C">
        <w:t xml:space="preserve">efrigeration </w:t>
      </w:r>
      <w:r w:rsidR="00A5585D">
        <w:t>m</w:t>
      </w:r>
      <w:r w:rsidRPr="00270E1C">
        <w:t>echanics in Section 32 of the Ministerial Declaration facilitating the mutual recognition of occupations.  However, the AMCA has concerns about the currency of the Ministerial Declarations, citing the fact that the Ministerial Declarations have not been updated since 2007, while state-based licensing legislation has been amended</w:t>
      </w:r>
    </w:p>
    <w:p w14:paraId="4A7CAF95" w14:textId="77777777" w:rsidR="00270E1C" w:rsidRDefault="00270E1C" w:rsidP="00270E1C">
      <w:r w:rsidRPr="00270E1C">
        <w:t xml:space="preserve">The </w:t>
      </w:r>
      <w:r w:rsidRPr="00270E1C">
        <w:rPr>
          <w:i/>
        </w:rPr>
        <w:t>licencerecognition.gov.au</w:t>
      </w:r>
      <w:r w:rsidRPr="00270E1C">
        <w:t xml:space="preserve"> website has been a positive initiative; however, as discussed in the issues paper, maintaining the currency of information is vital, and the AMCA has been alerted to </w:t>
      </w:r>
      <w:r w:rsidRPr="00270E1C">
        <w:lastRenderedPageBreak/>
        <w:t>instances where website links have been outdated and Codes of Scopes of Work have been incomplete.</w:t>
      </w:r>
    </w:p>
    <w:p w14:paraId="2C68D6A0" w14:textId="77777777" w:rsidR="00270E1C" w:rsidRPr="003D1BC2" w:rsidRDefault="00270E1C" w:rsidP="00270E1C">
      <w:pPr>
        <w:rPr>
          <w:b/>
          <w:i/>
          <w:szCs w:val="20"/>
        </w:rPr>
      </w:pPr>
      <w:r w:rsidRPr="003D1BC2">
        <w:rPr>
          <w:b/>
          <w:i/>
          <w:szCs w:val="20"/>
        </w:rPr>
        <w:t>Conditions</w:t>
      </w:r>
    </w:p>
    <w:p w14:paraId="4CFE7664" w14:textId="77777777" w:rsidR="00270E1C" w:rsidRDefault="00270E1C" w:rsidP="00270E1C">
      <w:r w:rsidRPr="00270E1C">
        <w:t>Placing conditions on individuals seeking registration in another jurisdiction can be a significant deterrent to labour mobility. Of primary concern is the enforcement of conditions on individuals for work that they are unlikely to undertake.  Furthermore, applying conditions largely eliminates any benefit a firm may derive from temporarily redeploying workers to projects in other jurisdictions due to the time and cost associated with meeting such conditions.</w:t>
      </w:r>
    </w:p>
    <w:p w14:paraId="5910B1FE" w14:textId="77777777" w:rsidR="00270E1C" w:rsidRPr="003D1BC2" w:rsidRDefault="00270E1C" w:rsidP="00270E1C">
      <w:pPr>
        <w:rPr>
          <w:b/>
          <w:i/>
          <w:szCs w:val="20"/>
        </w:rPr>
      </w:pPr>
      <w:r w:rsidRPr="003D1BC2">
        <w:rPr>
          <w:b/>
          <w:i/>
          <w:szCs w:val="20"/>
        </w:rPr>
        <w:t>Requirements for continued registration of occupations</w:t>
      </w:r>
    </w:p>
    <w:p w14:paraId="70894B0A" w14:textId="77777777" w:rsidR="00270E1C" w:rsidRDefault="00270E1C" w:rsidP="00270E1C">
      <w:pPr>
        <w:rPr>
          <w:rFonts w:cstheme="majorHAnsi"/>
        </w:rPr>
      </w:pPr>
      <w:r>
        <w:rPr>
          <w:rFonts w:cstheme="majorHAnsi"/>
        </w:rPr>
        <w:t xml:space="preserve">In the interest of equity, individuals registered under mutual recognition should be subject to the same ongoing requirements as other </w:t>
      </w:r>
      <w:r w:rsidRPr="00870C4E">
        <w:rPr>
          <w:rFonts w:cstheme="majorHAnsi"/>
          <w:lang w:val="en-AU"/>
        </w:rPr>
        <w:t>licence</w:t>
      </w:r>
      <w:r>
        <w:rPr>
          <w:rFonts w:cstheme="majorHAnsi"/>
        </w:rPr>
        <w:t xml:space="preserve"> holders in a jurisdiction. As identified in the C</w:t>
      </w:r>
      <w:r w:rsidR="00A5585D">
        <w:rPr>
          <w:rFonts w:cstheme="majorHAnsi"/>
        </w:rPr>
        <w:t xml:space="preserve">ross </w:t>
      </w:r>
      <w:r>
        <w:rPr>
          <w:rFonts w:cstheme="majorHAnsi"/>
        </w:rPr>
        <w:t>J</w:t>
      </w:r>
      <w:r w:rsidR="00A5585D">
        <w:rPr>
          <w:rFonts w:cstheme="majorHAnsi"/>
        </w:rPr>
        <w:t xml:space="preserve">urisdictional </w:t>
      </w:r>
      <w:r>
        <w:rPr>
          <w:rFonts w:cstheme="majorHAnsi"/>
        </w:rPr>
        <w:t>R</w:t>
      </w:r>
      <w:r w:rsidR="00A5585D">
        <w:rPr>
          <w:rFonts w:cstheme="majorHAnsi"/>
        </w:rPr>
        <w:t xml:space="preserve">eview </w:t>
      </w:r>
      <w:r>
        <w:rPr>
          <w:rFonts w:cstheme="majorHAnsi"/>
        </w:rPr>
        <w:t>F</w:t>
      </w:r>
      <w:r w:rsidR="00A5585D">
        <w:rPr>
          <w:rFonts w:cstheme="majorHAnsi"/>
        </w:rPr>
        <w:t xml:space="preserve">orum </w:t>
      </w:r>
      <w:r>
        <w:rPr>
          <w:rFonts w:cstheme="majorHAnsi"/>
        </w:rPr>
        <w:t>2014 report, such requirements have the potential to result in duplicate training requirements; however, rather than serving as justification for eliminating ongoing requirements, the AMCA submits that such circumstances warrant closer collaboration between regulators for the recognition of ongoing requirements in other jurisdictions.</w:t>
      </w:r>
    </w:p>
    <w:p w14:paraId="5E10C2CE" w14:textId="77777777" w:rsidR="00270E1C" w:rsidRDefault="00270E1C" w:rsidP="00270E1C">
      <w:pPr>
        <w:rPr>
          <w:rFonts w:cstheme="majorHAnsi"/>
        </w:rPr>
      </w:pPr>
      <w:r>
        <w:rPr>
          <w:rFonts w:cstheme="majorHAnsi"/>
        </w:rPr>
        <w:t>A caveat to the above, however, would be in circumstances where individuals are made to comply with certain requirements that are not in line with the scope of work they intend to undertake. Again, the costs associated with such requirements are likely to be a barrier for firms seeking to redeploy workers for a set duration.</w:t>
      </w:r>
    </w:p>
    <w:p w14:paraId="440E428F" w14:textId="77777777" w:rsidR="00270E1C" w:rsidRPr="003D1BC2" w:rsidRDefault="00270E1C" w:rsidP="00270E1C">
      <w:pPr>
        <w:rPr>
          <w:b/>
          <w:i/>
          <w:szCs w:val="20"/>
        </w:rPr>
      </w:pPr>
      <w:r w:rsidRPr="003D1BC2">
        <w:rPr>
          <w:b/>
          <w:i/>
          <w:szCs w:val="20"/>
        </w:rPr>
        <w:t>Differences in occupational standards across jurisdictions</w:t>
      </w:r>
    </w:p>
    <w:p w14:paraId="721C4D1A" w14:textId="77777777" w:rsidR="00270E1C" w:rsidRDefault="00270E1C" w:rsidP="00270E1C">
      <w:pPr>
        <w:rPr>
          <w:rFonts w:cstheme="majorHAnsi"/>
        </w:rPr>
      </w:pPr>
      <w:r>
        <w:rPr>
          <w:rFonts w:cstheme="majorHAnsi"/>
        </w:rPr>
        <w:t xml:space="preserve">Although differences in occupational standards are a key element of the current schemes, the standard of work done also needs to remain front of mind. However, occupational standards are able to be addressed in other ways, </w:t>
      </w:r>
      <w:r w:rsidR="00312849">
        <w:rPr>
          <w:rFonts w:cstheme="majorHAnsi"/>
        </w:rPr>
        <w:t xml:space="preserve">not least of which includes adequate </w:t>
      </w:r>
      <w:r>
        <w:rPr>
          <w:rFonts w:cstheme="majorHAnsi"/>
        </w:rPr>
        <w:t>regulatory oversight and enforcement measures.</w:t>
      </w:r>
    </w:p>
    <w:p w14:paraId="42C6C087" w14:textId="77777777" w:rsidR="00270E1C" w:rsidRPr="003D1BC2" w:rsidRDefault="00270E1C" w:rsidP="00270E1C">
      <w:pPr>
        <w:rPr>
          <w:b/>
          <w:i/>
          <w:szCs w:val="20"/>
        </w:rPr>
      </w:pPr>
      <w:r w:rsidRPr="003D1BC2">
        <w:rPr>
          <w:b/>
          <w:i/>
          <w:szCs w:val="20"/>
        </w:rPr>
        <w:t>Automatic mutual recognition of occupations</w:t>
      </w:r>
    </w:p>
    <w:p w14:paraId="5DD4CC0A" w14:textId="77777777" w:rsidR="003D1BC2" w:rsidRDefault="00270E1C" w:rsidP="003D1BC2">
      <w:r w:rsidRPr="00270E1C">
        <w:t xml:space="preserve">The AMCA supports further investigation of automatic mutual recognition; but highlights the importance of a thorough comparison of the alternative models. A concern of the AMCA is that automatic mutual recognition will increase the risk of employers that take on inter-jurisdictional workers in the event that they exceed their scope of work.  While the ‘external license’ model applied to electrical workers in Queensland makes it clear that workers must not exceed their original </w:t>
      </w:r>
      <w:r w:rsidRPr="00F32B58">
        <w:rPr>
          <w:lang w:val="en-AU"/>
        </w:rPr>
        <w:t>licence</w:t>
      </w:r>
      <w:r w:rsidRPr="00270E1C">
        <w:t xml:space="preserve"> scope of work, it is unclear to what extent an employer will be at risk should they do so.</w:t>
      </w:r>
    </w:p>
    <w:p w14:paraId="47A48309" w14:textId="77777777" w:rsidR="002648EE" w:rsidRPr="002648EE" w:rsidRDefault="002648EE" w:rsidP="003D1BC2">
      <w:pPr>
        <w:rPr>
          <w:rFonts w:cs="Arial"/>
          <w:b/>
          <w:i/>
          <w:szCs w:val="20"/>
        </w:rPr>
      </w:pPr>
      <w:r w:rsidRPr="002648EE">
        <w:rPr>
          <w:rFonts w:cs="Arial"/>
          <w:b/>
          <w:i/>
          <w:szCs w:val="20"/>
        </w:rPr>
        <w:t>Mutual recognition governance arrangements</w:t>
      </w:r>
    </w:p>
    <w:p w14:paraId="0D43BD39" w14:textId="77777777" w:rsidR="002648EE" w:rsidRDefault="00044827" w:rsidP="002648EE">
      <w:r>
        <w:t>The decentralized approach to governance arrangements for mutual recognition is complex and can pose issues for worker mobility – both from the individual and enterprise perspective</w:t>
      </w:r>
      <w:r w:rsidR="00E94FED">
        <w:t xml:space="preserve"> - due to inconsistencies between the way regulators approach shared issues</w:t>
      </w:r>
      <w:r>
        <w:t xml:space="preserve">. </w:t>
      </w:r>
    </w:p>
    <w:p w14:paraId="7ABEFC16" w14:textId="77777777" w:rsidR="00E94FED" w:rsidRPr="000F298C" w:rsidRDefault="00044827" w:rsidP="003D1BC2">
      <w:pPr>
        <w:rPr>
          <w:rFonts w:cs="Arial"/>
          <w:szCs w:val="20"/>
        </w:rPr>
      </w:pPr>
      <w:r w:rsidRPr="00044827">
        <w:rPr>
          <w:rFonts w:cs="Arial"/>
          <w:szCs w:val="20"/>
        </w:rPr>
        <w:t xml:space="preserve">An example might be where a Refrigeration and Air Conditioning technicians from Victoria intends on relocating to Queensland. In such a circumstance, the technician </w:t>
      </w:r>
      <w:r>
        <w:rPr>
          <w:rFonts w:cs="Arial"/>
          <w:szCs w:val="20"/>
        </w:rPr>
        <w:t xml:space="preserve">is likely to have completed a </w:t>
      </w:r>
      <w:r>
        <w:rPr>
          <w:rFonts w:cs="Arial"/>
          <w:szCs w:val="20"/>
        </w:rPr>
        <w:lastRenderedPageBreak/>
        <w:t>Certificate III in Refrigeration and Air Conditioning</w:t>
      </w:r>
      <w:r w:rsidR="005851F0">
        <w:rPr>
          <w:rFonts w:cs="Arial"/>
          <w:szCs w:val="20"/>
        </w:rPr>
        <w:t xml:space="preserve"> (RAC)</w:t>
      </w:r>
      <w:r w:rsidR="00E94FED">
        <w:rPr>
          <w:rFonts w:cs="Arial"/>
          <w:szCs w:val="20"/>
        </w:rPr>
        <w:t xml:space="preserve">, which is </w:t>
      </w:r>
      <w:r w:rsidR="00E94FED" w:rsidRPr="000F298C">
        <w:rPr>
          <w:rFonts w:cs="Arial"/>
          <w:szCs w:val="20"/>
          <w:lang w:val="en-AU"/>
        </w:rPr>
        <w:t>recogni</w:t>
      </w:r>
      <w:r w:rsidR="000F298C" w:rsidRPr="000F298C">
        <w:rPr>
          <w:rFonts w:cs="Arial"/>
          <w:szCs w:val="20"/>
          <w:lang w:val="en-AU"/>
        </w:rPr>
        <w:t>s</w:t>
      </w:r>
      <w:r w:rsidR="00E94FED" w:rsidRPr="000F298C">
        <w:rPr>
          <w:rFonts w:cs="Arial"/>
          <w:szCs w:val="20"/>
          <w:lang w:val="en-AU"/>
        </w:rPr>
        <w:t>ed</w:t>
      </w:r>
      <w:r w:rsidR="00E94FED">
        <w:rPr>
          <w:rFonts w:cs="Arial"/>
          <w:szCs w:val="20"/>
        </w:rPr>
        <w:t xml:space="preserve"> in both Victoria and Queensland. However, working with hydrocarbons in Queensland r</w:t>
      </w:r>
      <w:r w:rsidRPr="00044827">
        <w:rPr>
          <w:rFonts w:cs="Arial"/>
          <w:szCs w:val="20"/>
        </w:rPr>
        <w:t>equire</w:t>
      </w:r>
      <w:r w:rsidR="00E94FED">
        <w:rPr>
          <w:rFonts w:cs="Arial"/>
          <w:szCs w:val="20"/>
        </w:rPr>
        <w:t>s an individual</w:t>
      </w:r>
      <w:r w:rsidRPr="00044827">
        <w:rPr>
          <w:rFonts w:cs="Arial"/>
          <w:szCs w:val="20"/>
        </w:rPr>
        <w:t xml:space="preserve"> to obtain an occupational gasworks </w:t>
      </w:r>
      <w:r w:rsidRPr="00E94FED">
        <w:rPr>
          <w:rFonts w:cs="Arial"/>
          <w:szCs w:val="20"/>
          <w:lang w:val="en-AU"/>
        </w:rPr>
        <w:t>licence</w:t>
      </w:r>
      <w:r w:rsidRPr="00044827">
        <w:rPr>
          <w:rFonts w:cs="Arial"/>
          <w:szCs w:val="20"/>
        </w:rPr>
        <w:t xml:space="preserve"> (hydrocarbons)</w:t>
      </w:r>
      <w:r w:rsidR="00E94FED">
        <w:rPr>
          <w:rFonts w:cs="Arial"/>
          <w:szCs w:val="20"/>
        </w:rPr>
        <w:t xml:space="preserve">, which is not a requirement in Victoria, meaning hydrocarbons would feature as </w:t>
      </w:r>
      <w:proofErr w:type="gramStart"/>
      <w:r w:rsidR="00E94FED">
        <w:rPr>
          <w:rFonts w:cs="Arial"/>
          <w:szCs w:val="20"/>
        </w:rPr>
        <w:t>an exclusion</w:t>
      </w:r>
      <w:proofErr w:type="gramEnd"/>
      <w:r w:rsidR="00E94FED">
        <w:rPr>
          <w:rFonts w:cs="Arial"/>
          <w:szCs w:val="20"/>
        </w:rPr>
        <w:t xml:space="preserve">.  </w:t>
      </w:r>
      <w:r w:rsidR="005851F0">
        <w:rPr>
          <w:rFonts w:cs="Arial"/>
          <w:szCs w:val="20"/>
        </w:rPr>
        <w:t>Furthermore, there is additional confusion</w:t>
      </w:r>
      <w:r w:rsidR="001A5EEC">
        <w:rPr>
          <w:rFonts w:cs="Arial"/>
          <w:szCs w:val="20"/>
        </w:rPr>
        <w:t xml:space="preserve"> surrounding </w:t>
      </w:r>
      <w:r w:rsidR="00F14A00">
        <w:rPr>
          <w:rFonts w:cs="Arial"/>
          <w:szCs w:val="20"/>
        </w:rPr>
        <w:t xml:space="preserve">the mutual recognition process for individuals who </w:t>
      </w:r>
      <w:r w:rsidR="001A5EEC">
        <w:rPr>
          <w:rFonts w:cs="Arial"/>
          <w:szCs w:val="20"/>
        </w:rPr>
        <w:t xml:space="preserve">may only be </w:t>
      </w:r>
      <w:r w:rsidR="005851F0">
        <w:rPr>
          <w:rFonts w:cs="Arial"/>
          <w:szCs w:val="20"/>
        </w:rPr>
        <w:t>registered in Victoria</w:t>
      </w:r>
      <w:r w:rsidR="001A5EEC">
        <w:rPr>
          <w:rFonts w:cs="Arial"/>
          <w:szCs w:val="20"/>
        </w:rPr>
        <w:t xml:space="preserve">, not licensed. </w:t>
      </w:r>
      <w:r w:rsidRPr="00044827">
        <w:rPr>
          <w:rFonts w:cs="Arial"/>
          <w:szCs w:val="20"/>
        </w:rPr>
        <w:t xml:space="preserve">  </w:t>
      </w:r>
      <w:r w:rsidR="000F298C">
        <w:rPr>
          <w:rFonts w:cs="Arial"/>
          <w:szCs w:val="20"/>
        </w:rPr>
        <w:t xml:space="preserve">These issues are inadequately addressed by the </w:t>
      </w:r>
      <w:r w:rsidR="000F298C" w:rsidRPr="00270E1C">
        <w:rPr>
          <w:i/>
        </w:rPr>
        <w:t>licencerecognition.gov.au</w:t>
      </w:r>
      <w:r w:rsidR="000F298C">
        <w:t xml:space="preserve"> website and add to the compliance and administrative costs to industry</w:t>
      </w:r>
      <w:r w:rsidR="00876351">
        <w:t>.</w:t>
      </w:r>
    </w:p>
    <w:p w14:paraId="0BD9C3AB" w14:textId="77777777" w:rsidR="00232D88" w:rsidRPr="003D1BC2" w:rsidRDefault="00232D88" w:rsidP="003D1BC2">
      <w:pPr>
        <w:rPr>
          <w:rFonts w:cs="Arial"/>
          <w:b/>
          <w:szCs w:val="20"/>
        </w:rPr>
      </w:pPr>
      <w:r w:rsidRPr="003D1BC2">
        <w:rPr>
          <w:rFonts w:cs="Arial"/>
          <w:b/>
          <w:szCs w:val="20"/>
        </w:rPr>
        <w:t xml:space="preserve">Further </w:t>
      </w:r>
      <w:r w:rsidR="003B29B2" w:rsidRPr="003D1BC2">
        <w:rPr>
          <w:rFonts w:cs="Arial"/>
          <w:b/>
          <w:szCs w:val="20"/>
        </w:rPr>
        <w:t>c</w:t>
      </w:r>
      <w:r w:rsidRPr="003D1BC2">
        <w:rPr>
          <w:rFonts w:cs="Arial"/>
          <w:b/>
          <w:szCs w:val="20"/>
        </w:rPr>
        <w:t>onsultation</w:t>
      </w:r>
    </w:p>
    <w:p w14:paraId="3C342B59" w14:textId="77777777" w:rsidR="00232D88" w:rsidRDefault="00232D88" w:rsidP="00232D88">
      <w:pPr>
        <w:rPr>
          <w:szCs w:val="20"/>
        </w:rPr>
      </w:pPr>
      <w:r w:rsidRPr="00785184">
        <w:rPr>
          <w:szCs w:val="20"/>
        </w:rPr>
        <w:t xml:space="preserve">The AMCA would welcome the opportunity to </w:t>
      </w:r>
      <w:r>
        <w:rPr>
          <w:szCs w:val="20"/>
        </w:rPr>
        <w:t xml:space="preserve">consult further </w:t>
      </w:r>
      <w:r w:rsidRPr="00785184">
        <w:rPr>
          <w:szCs w:val="20"/>
        </w:rPr>
        <w:t>with</w:t>
      </w:r>
      <w:r>
        <w:rPr>
          <w:szCs w:val="20"/>
        </w:rPr>
        <w:t xml:space="preserve"> the </w:t>
      </w:r>
      <w:r w:rsidR="00634EA9">
        <w:rPr>
          <w:szCs w:val="20"/>
        </w:rPr>
        <w:t xml:space="preserve">Productivity Commission </w:t>
      </w:r>
      <w:r>
        <w:rPr>
          <w:szCs w:val="20"/>
        </w:rPr>
        <w:t xml:space="preserve">regarding the </w:t>
      </w:r>
      <w:r w:rsidR="00634EA9">
        <w:rPr>
          <w:szCs w:val="20"/>
        </w:rPr>
        <w:t>Mutual Recognition Schemes</w:t>
      </w:r>
      <w:r w:rsidRPr="00785184">
        <w:rPr>
          <w:szCs w:val="20"/>
        </w:rPr>
        <w:t xml:space="preserve">. </w:t>
      </w:r>
    </w:p>
    <w:p w14:paraId="386FBFF6" w14:textId="11DC1DB6" w:rsidR="00232D88" w:rsidRPr="00785184" w:rsidRDefault="00B838F6" w:rsidP="00232D88">
      <w:pPr>
        <w:rPr>
          <w:szCs w:val="20"/>
        </w:rPr>
      </w:pPr>
      <w:r w:rsidRPr="00B838F6">
        <w:rPr>
          <w:szCs w:val="20"/>
        </w:rPr>
        <w:t xml:space="preserve">Should you wish to discuss any of the issues raised in this submission please contact AMCA Policy Analyst, Ben Hawkins, in the first instance </w:t>
      </w:r>
    </w:p>
    <w:p w14:paraId="322416E9" w14:textId="77777777" w:rsidR="00232D88" w:rsidRPr="00785184" w:rsidRDefault="00232D88" w:rsidP="00232D88">
      <w:pPr>
        <w:rPr>
          <w:szCs w:val="20"/>
        </w:rPr>
      </w:pPr>
      <w:r w:rsidRPr="00785184">
        <w:rPr>
          <w:szCs w:val="20"/>
        </w:rPr>
        <w:t>Yours Sincerely</w:t>
      </w:r>
    </w:p>
    <w:p w14:paraId="2D8FBA9E" w14:textId="77777777" w:rsidR="00232D88" w:rsidRPr="00785184" w:rsidRDefault="005412C0" w:rsidP="00232D88">
      <w:pPr>
        <w:spacing w:after="0"/>
        <w:rPr>
          <w:szCs w:val="20"/>
        </w:rPr>
      </w:pPr>
      <w:r>
        <w:rPr>
          <w:szCs w:val="20"/>
        </w:rPr>
        <w:t>Christopher Rankin</w:t>
      </w:r>
    </w:p>
    <w:p w14:paraId="7DF70E4B" w14:textId="77777777" w:rsidR="00232D88" w:rsidRDefault="00232D88" w:rsidP="00232D88">
      <w:pPr>
        <w:spacing w:after="0"/>
        <w:rPr>
          <w:szCs w:val="20"/>
        </w:rPr>
      </w:pPr>
      <w:r w:rsidRPr="00785184">
        <w:rPr>
          <w:szCs w:val="20"/>
        </w:rPr>
        <w:t>Executive Director</w:t>
      </w:r>
    </w:p>
    <w:p w14:paraId="09EC5DB8" w14:textId="77777777" w:rsidR="005412C0" w:rsidRDefault="005412C0" w:rsidP="00232D88">
      <w:pPr>
        <w:spacing w:after="0"/>
        <w:rPr>
          <w:szCs w:val="20"/>
        </w:rPr>
      </w:pPr>
      <w:r>
        <w:rPr>
          <w:szCs w:val="20"/>
        </w:rPr>
        <w:t>AMCA National</w:t>
      </w:r>
    </w:p>
    <w:sectPr w:rsidR="005412C0" w:rsidSect="008C576E">
      <w:headerReference w:type="even" r:id="rId20"/>
      <w:headerReference w:type="default" r:id="rId21"/>
      <w:footerReference w:type="default" r:id="rId22"/>
      <w:headerReference w:type="first" r:id="rId2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178A7" w14:textId="77777777" w:rsidR="002267E3" w:rsidRDefault="002267E3" w:rsidP="00C76528">
      <w:pPr>
        <w:spacing w:after="0" w:line="240" w:lineRule="auto"/>
      </w:pPr>
      <w:r>
        <w:separator/>
      </w:r>
    </w:p>
  </w:endnote>
  <w:endnote w:type="continuationSeparator" w:id="0">
    <w:p w14:paraId="67F70D4D" w14:textId="77777777" w:rsidR="002267E3" w:rsidRDefault="002267E3" w:rsidP="00C7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825F1" w14:textId="77777777" w:rsidR="000A363C" w:rsidRDefault="000A3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C174" w14:textId="77777777" w:rsidR="005C57B9" w:rsidRDefault="005C57B9"/>
  <w:p w14:paraId="053D5C21" w14:textId="77777777" w:rsidR="005C57B9" w:rsidRDefault="005C57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A461D" w14:textId="77777777" w:rsidR="000A363C" w:rsidRDefault="000A36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5537" w14:textId="77777777" w:rsidR="005412C0" w:rsidRDefault="005412C0"/>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668"/>
    </w:tblGrid>
    <w:tr w:rsidR="005412C0" w14:paraId="1F5A7AB4" w14:textId="77777777" w:rsidTr="005C295D">
      <w:tc>
        <w:tcPr>
          <w:tcW w:w="8188" w:type="dxa"/>
        </w:tcPr>
        <w:p w14:paraId="6C320482" w14:textId="77777777" w:rsidR="005412C0" w:rsidRDefault="005412C0" w:rsidP="005C295D">
          <w:pPr>
            <w:pStyle w:val="Footer"/>
            <w:spacing w:before="120"/>
          </w:pPr>
          <w:r w:rsidRPr="008E2081">
            <w:rPr>
              <w:b/>
            </w:rPr>
            <w:t>Mutual Recognition Schemes |</w:t>
          </w:r>
          <w:r>
            <w:t xml:space="preserve"> AMCA submission to the Productivity Commission</w:t>
          </w:r>
        </w:p>
      </w:tc>
      <w:tc>
        <w:tcPr>
          <w:tcW w:w="668" w:type="dxa"/>
        </w:tcPr>
        <w:p w14:paraId="55E3CDC9" w14:textId="77777777" w:rsidR="005412C0" w:rsidRDefault="005412C0" w:rsidP="005C295D">
          <w:pPr>
            <w:pStyle w:val="Footer"/>
            <w:spacing w:before="120"/>
            <w:jc w:val="right"/>
          </w:pPr>
          <w:r>
            <w:fldChar w:fldCharType="begin"/>
          </w:r>
          <w:r>
            <w:instrText xml:space="preserve"> PAGE   \* MERGEFORMAT </w:instrText>
          </w:r>
          <w:r>
            <w:fldChar w:fldCharType="separate"/>
          </w:r>
          <w:r w:rsidR="00315ECD">
            <w:rPr>
              <w:noProof/>
            </w:rPr>
            <w:t>4</w:t>
          </w:r>
          <w:r>
            <w:rPr>
              <w:noProof/>
            </w:rPr>
            <w:fldChar w:fldCharType="end"/>
          </w:r>
        </w:p>
      </w:tc>
    </w:tr>
  </w:tbl>
  <w:p w14:paraId="6D220755" w14:textId="77777777" w:rsidR="005412C0" w:rsidRDefault="00541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402BB" w14:textId="77777777" w:rsidR="002267E3" w:rsidRDefault="002267E3" w:rsidP="00C76528">
      <w:pPr>
        <w:spacing w:after="0" w:line="240" w:lineRule="auto"/>
      </w:pPr>
      <w:r>
        <w:separator/>
      </w:r>
    </w:p>
  </w:footnote>
  <w:footnote w:type="continuationSeparator" w:id="0">
    <w:p w14:paraId="189CA0A1" w14:textId="77777777" w:rsidR="002267E3" w:rsidRDefault="002267E3" w:rsidP="00C7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C8F5" w14:textId="77777777" w:rsidR="00D31330" w:rsidRDefault="00315ECD">
    <w:pPr>
      <w:pStyle w:val="Header"/>
    </w:pPr>
    <w:r>
      <w:rPr>
        <w:noProof/>
      </w:rPr>
      <w:pict w14:anchorId="6E53C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21" o:spid="_x0000_s2068" type="#_x0000_t136" style="position:absolute;margin-left:0;margin-top:0;width:435.05pt;height:174pt;rotation:315;z-index:-251655168;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0070" w14:textId="77777777" w:rsidR="00D31330" w:rsidRDefault="005412C0">
    <w:pPr>
      <w:pStyle w:val="Header"/>
    </w:pPr>
    <w:r>
      <w:rPr>
        <w:noProof/>
        <w:lang w:val="en-AU" w:eastAsia="en-AU"/>
      </w:rPr>
      <w:drawing>
        <wp:anchor distT="0" distB="0" distL="114300" distR="114300" simplePos="0" relativeHeight="251671552" behindDoc="1" locked="0" layoutInCell="1" allowOverlap="1" wp14:anchorId="1F5BD49F" wp14:editId="20F898BA">
          <wp:simplePos x="0" y="0"/>
          <wp:positionH relativeFrom="column">
            <wp:posOffset>-1152053</wp:posOffset>
          </wp:positionH>
          <wp:positionV relativeFrom="paragraph">
            <wp:posOffset>-475307</wp:posOffset>
          </wp:positionV>
          <wp:extent cx="7785980" cy="1038432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C3834_Letterhead_AUS.jpg"/>
                  <pic:cNvPicPr/>
                </pic:nvPicPr>
                <pic:blipFill>
                  <a:blip r:embed="rId1">
                    <a:extLst>
                      <a:ext uri="{28A0092B-C50C-407E-A947-70E740481C1C}">
                        <a14:useLocalDpi xmlns:a14="http://schemas.microsoft.com/office/drawing/2010/main" val="0"/>
                      </a:ext>
                    </a:extLst>
                  </a:blip>
                  <a:stretch>
                    <a:fillRect/>
                  </a:stretch>
                </pic:blipFill>
                <pic:spPr>
                  <a:xfrm>
                    <a:off x="0" y="0"/>
                    <a:ext cx="7785980" cy="10384325"/>
                  </a:xfrm>
                  <a:prstGeom prst="rect">
                    <a:avLst/>
                  </a:prstGeom>
                </pic:spPr>
              </pic:pic>
            </a:graphicData>
          </a:graphic>
          <wp14:sizeRelH relativeFrom="page">
            <wp14:pctWidth>0</wp14:pctWidth>
          </wp14:sizeRelH>
          <wp14:sizeRelV relativeFrom="page">
            <wp14:pctHeight>0</wp14:pctHeight>
          </wp14:sizeRelV>
        </wp:anchor>
      </w:drawing>
    </w:r>
    <w:r w:rsidR="00315ECD">
      <w:rPr>
        <w:noProof/>
      </w:rPr>
      <w:pict w14:anchorId="7C07D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22" o:spid="_x0000_s2069" type="#_x0000_t136" style="position:absolute;margin-left:0;margin-top:0;width:435.05pt;height:174pt;rotation:315;z-index:-25165312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185C" w14:textId="77777777" w:rsidR="00D31330" w:rsidRDefault="00315ECD">
    <w:pPr>
      <w:pStyle w:val="Header"/>
    </w:pPr>
    <w:r>
      <w:rPr>
        <w:noProof/>
      </w:rPr>
      <w:pict w14:anchorId="54CB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20" o:spid="_x0000_s2067" type="#_x0000_t136" style="position:absolute;margin-left:0;margin-top:0;width:435.05pt;height:174pt;rotation:315;z-index:-25165721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463F" w14:textId="77777777" w:rsidR="007F5680" w:rsidRDefault="00315ECD">
    <w:pPr>
      <w:pStyle w:val="Header"/>
    </w:pPr>
    <w:r>
      <w:rPr>
        <w:noProof/>
      </w:rPr>
      <w:pict w14:anchorId="18BF0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24" o:spid="_x0000_s2071" type="#_x0000_t136" style="position:absolute;margin-left:0;margin-top:0;width:435.05pt;height:174pt;rotation:315;z-index:-251649024;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5324D" w14:textId="77777777" w:rsidR="00EF5826" w:rsidRDefault="00EF58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64CE6" w14:textId="77777777" w:rsidR="007F5680" w:rsidRDefault="00315ECD">
    <w:pPr>
      <w:pStyle w:val="Header"/>
    </w:pPr>
    <w:r>
      <w:rPr>
        <w:noProof/>
      </w:rPr>
      <w:pict w14:anchorId="727DD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223" o:spid="_x0000_s2070" type="#_x0000_t136" style="position:absolute;margin-left:0;margin-top:0;width:435.05pt;height:174pt;rotation:315;z-index:-251651072;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AF7"/>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EE2E2D"/>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6D18BD"/>
    <w:multiLevelType w:val="hybridMultilevel"/>
    <w:tmpl w:val="B7326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A851EDC"/>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D8E06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6C376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975D9B"/>
    <w:multiLevelType w:val="hybridMultilevel"/>
    <w:tmpl w:val="9026AF0E"/>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7">
    <w:nsid w:val="310A011F"/>
    <w:multiLevelType w:val="hybridMultilevel"/>
    <w:tmpl w:val="8706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415B4"/>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225804"/>
    <w:multiLevelType w:val="hybridMultilevel"/>
    <w:tmpl w:val="C78612E0"/>
    <w:lvl w:ilvl="0" w:tplc="E4E48580">
      <w:start w:val="1"/>
      <w:numFmt w:val="decimal"/>
      <w:lvlText w:val="%1."/>
      <w:lvlJc w:val="left"/>
      <w:pPr>
        <w:ind w:left="720" w:hanging="360"/>
      </w:pPr>
      <w:rPr>
        <w:rFonts w:hint="default"/>
        <w:b w:val="0"/>
        <w:i w:val="0"/>
        <w:spacing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42E0372"/>
    <w:multiLevelType w:val="hybridMultilevel"/>
    <w:tmpl w:val="A746A898"/>
    <w:lvl w:ilvl="0" w:tplc="0C09001B">
      <w:start w:val="1"/>
      <w:numFmt w:val="lowerRoman"/>
      <w:lvlText w:val="%1."/>
      <w:lvlJc w:val="right"/>
      <w:pPr>
        <w:tabs>
          <w:tab w:val="num" w:pos="1080"/>
        </w:tabs>
        <w:ind w:left="1080" w:hanging="360"/>
      </w:pPr>
      <w:rPr>
        <w:rFont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1">
    <w:nsid w:val="39B63CEF"/>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C3B60C7"/>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EF205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3233CC"/>
    <w:multiLevelType w:val="hybridMultilevel"/>
    <w:tmpl w:val="9D1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083A70"/>
    <w:multiLevelType w:val="hybridMultilevel"/>
    <w:tmpl w:val="E9CCDC1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75C57CE"/>
    <w:multiLevelType w:val="hybridMultilevel"/>
    <w:tmpl w:val="80E40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804032D"/>
    <w:multiLevelType w:val="hybridMultilevel"/>
    <w:tmpl w:val="E5EEA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8B86BEC"/>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55375E"/>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5E7CEB"/>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D422B1"/>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502E2863"/>
    <w:multiLevelType w:val="hybridMultilevel"/>
    <w:tmpl w:val="E9CCDC16"/>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51E20E42"/>
    <w:multiLevelType w:val="multilevel"/>
    <w:tmpl w:val="6DD2A0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2D625BF"/>
    <w:multiLevelType w:val="hybridMultilevel"/>
    <w:tmpl w:val="A962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D5900"/>
    <w:multiLevelType w:val="multilevel"/>
    <w:tmpl w:val="9670C8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487"/>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067780"/>
    <w:multiLevelType w:val="hybridMultilevel"/>
    <w:tmpl w:val="6548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28">
    <w:nsid w:val="60351AE7"/>
    <w:multiLevelType w:val="hybridMultilevel"/>
    <w:tmpl w:val="90020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5A4B1C"/>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644573CC"/>
    <w:multiLevelType w:val="hybridMultilevel"/>
    <w:tmpl w:val="E9CCDC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6A04569D"/>
    <w:multiLevelType w:val="hybridMultilevel"/>
    <w:tmpl w:val="311AF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83F5802"/>
    <w:multiLevelType w:val="hybridMultilevel"/>
    <w:tmpl w:val="1488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70004"/>
    <w:multiLevelType w:val="multilevel"/>
    <w:tmpl w:val="EE66866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lowerLetter"/>
      <w:lvlText w:val="%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E294B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7"/>
  </w:num>
  <w:num w:numId="3">
    <w:abstractNumId w:val="25"/>
  </w:num>
  <w:num w:numId="4">
    <w:abstractNumId w:val="4"/>
  </w:num>
  <w:num w:numId="5">
    <w:abstractNumId w:val="34"/>
  </w:num>
  <w:num w:numId="6">
    <w:abstractNumId w:val="12"/>
  </w:num>
  <w:num w:numId="7">
    <w:abstractNumId w:val="30"/>
  </w:num>
  <w:num w:numId="8">
    <w:abstractNumId w:val="22"/>
  </w:num>
  <w:num w:numId="9">
    <w:abstractNumId w:val="13"/>
  </w:num>
  <w:num w:numId="10">
    <w:abstractNumId w:val="26"/>
  </w:num>
  <w:num w:numId="11">
    <w:abstractNumId w:val="29"/>
  </w:num>
  <w:num w:numId="12">
    <w:abstractNumId w:val="11"/>
  </w:num>
  <w:num w:numId="13">
    <w:abstractNumId w:val="23"/>
  </w:num>
  <w:num w:numId="14">
    <w:abstractNumId w:val="3"/>
  </w:num>
  <w:num w:numId="15">
    <w:abstractNumId w:val="24"/>
  </w:num>
  <w:num w:numId="16">
    <w:abstractNumId w:val="7"/>
  </w:num>
  <w:num w:numId="17">
    <w:abstractNumId w:val="19"/>
  </w:num>
  <w:num w:numId="18">
    <w:abstractNumId w:val="8"/>
  </w:num>
  <w:num w:numId="19">
    <w:abstractNumId w:val="33"/>
  </w:num>
  <w:num w:numId="20">
    <w:abstractNumId w:val="2"/>
  </w:num>
  <w:num w:numId="21">
    <w:abstractNumId w:val="14"/>
  </w:num>
  <w:num w:numId="22">
    <w:abstractNumId w:val="16"/>
  </w:num>
  <w:num w:numId="23">
    <w:abstractNumId w:val="21"/>
  </w:num>
  <w:num w:numId="24">
    <w:abstractNumId w:val="17"/>
  </w:num>
  <w:num w:numId="25">
    <w:abstractNumId w:val="9"/>
  </w:num>
  <w:num w:numId="26">
    <w:abstractNumId w:val="15"/>
  </w:num>
  <w:num w:numId="27">
    <w:abstractNumId w:val="31"/>
  </w:num>
  <w:num w:numId="28">
    <w:abstractNumId w:val="6"/>
  </w:num>
  <w:num w:numId="29">
    <w:abstractNumId w:val="10"/>
  </w:num>
  <w:num w:numId="30">
    <w:abstractNumId w:val="28"/>
  </w:num>
  <w:num w:numId="31">
    <w:abstractNumId w:val="1"/>
  </w:num>
  <w:num w:numId="32">
    <w:abstractNumId w:val="18"/>
  </w:num>
  <w:num w:numId="33">
    <w:abstractNumId w:val="0"/>
  </w:num>
  <w:num w:numId="34">
    <w:abstractNumId w:val="2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2267E3"/>
    <w:rsid w:val="00016994"/>
    <w:rsid w:val="00026F24"/>
    <w:rsid w:val="0003042B"/>
    <w:rsid w:val="00030D9A"/>
    <w:rsid w:val="0004163F"/>
    <w:rsid w:val="00044827"/>
    <w:rsid w:val="00046D78"/>
    <w:rsid w:val="000731F8"/>
    <w:rsid w:val="000813E4"/>
    <w:rsid w:val="00082426"/>
    <w:rsid w:val="000900A2"/>
    <w:rsid w:val="000A13D9"/>
    <w:rsid w:val="000A23B5"/>
    <w:rsid w:val="000A363C"/>
    <w:rsid w:val="000A618A"/>
    <w:rsid w:val="000B12C3"/>
    <w:rsid w:val="000C6B67"/>
    <w:rsid w:val="000D16B3"/>
    <w:rsid w:val="000D1C74"/>
    <w:rsid w:val="000D78BC"/>
    <w:rsid w:val="000E1B79"/>
    <w:rsid w:val="000E20AD"/>
    <w:rsid w:val="000E2C7B"/>
    <w:rsid w:val="000E2EA1"/>
    <w:rsid w:val="000F111C"/>
    <w:rsid w:val="000F298C"/>
    <w:rsid w:val="00110AA4"/>
    <w:rsid w:val="0013359D"/>
    <w:rsid w:val="00143AFA"/>
    <w:rsid w:val="00147BF7"/>
    <w:rsid w:val="00150286"/>
    <w:rsid w:val="0017152A"/>
    <w:rsid w:val="00173E72"/>
    <w:rsid w:val="00176417"/>
    <w:rsid w:val="0017798A"/>
    <w:rsid w:val="00183DAD"/>
    <w:rsid w:val="00194DB8"/>
    <w:rsid w:val="00196A2E"/>
    <w:rsid w:val="001A5420"/>
    <w:rsid w:val="001A5EEC"/>
    <w:rsid w:val="001C0DA6"/>
    <w:rsid w:val="001C40C3"/>
    <w:rsid w:val="001D6E67"/>
    <w:rsid w:val="001E1EE9"/>
    <w:rsid w:val="001E2966"/>
    <w:rsid w:val="001F5BEA"/>
    <w:rsid w:val="001F7FE2"/>
    <w:rsid w:val="00200095"/>
    <w:rsid w:val="002004C1"/>
    <w:rsid w:val="00206854"/>
    <w:rsid w:val="00217308"/>
    <w:rsid w:val="00217C04"/>
    <w:rsid w:val="0022200D"/>
    <w:rsid w:val="00223419"/>
    <w:rsid w:val="002267E3"/>
    <w:rsid w:val="00232B81"/>
    <w:rsid w:val="00232D88"/>
    <w:rsid w:val="00233311"/>
    <w:rsid w:val="002401FA"/>
    <w:rsid w:val="00245381"/>
    <w:rsid w:val="002527B9"/>
    <w:rsid w:val="00253DFA"/>
    <w:rsid w:val="00260790"/>
    <w:rsid w:val="002648EE"/>
    <w:rsid w:val="00266699"/>
    <w:rsid w:val="00270E1C"/>
    <w:rsid w:val="00273399"/>
    <w:rsid w:val="002803A8"/>
    <w:rsid w:val="00281918"/>
    <w:rsid w:val="00282A81"/>
    <w:rsid w:val="00282D6C"/>
    <w:rsid w:val="00283458"/>
    <w:rsid w:val="00284C0D"/>
    <w:rsid w:val="00285B3C"/>
    <w:rsid w:val="002A3CAE"/>
    <w:rsid w:val="002A5CA5"/>
    <w:rsid w:val="002B7EFD"/>
    <w:rsid w:val="002C7855"/>
    <w:rsid w:val="00301F15"/>
    <w:rsid w:val="00312849"/>
    <w:rsid w:val="003134DB"/>
    <w:rsid w:val="00315ECD"/>
    <w:rsid w:val="00317C8A"/>
    <w:rsid w:val="00322545"/>
    <w:rsid w:val="003236AF"/>
    <w:rsid w:val="00325D37"/>
    <w:rsid w:val="003526D3"/>
    <w:rsid w:val="0035284B"/>
    <w:rsid w:val="00371944"/>
    <w:rsid w:val="003727DD"/>
    <w:rsid w:val="003728DF"/>
    <w:rsid w:val="00377F2C"/>
    <w:rsid w:val="00390CFE"/>
    <w:rsid w:val="00394996"/>
    <w:rsid w:val="003B29B2"/>
    <w:rsid w:val="003B5803"/>
    <w:rsid w:val="003B67FF"/>
    <w:rsid w:val="003C0087"/>
    <w:rsid w:val="003C1ADE"/>
    <w:rsid w:val="003C4946"/>
    <w:rsid w:val="003C4A2E"/>
    <w:rsid w:val="003D1BC2"/>
    <w:rsid w:val="003D586D"/>
    <w:rsid w:val="003D5AD4"/>
    <w:rsid w:val="003E2A34"/>
    <w:rsid w:val="003E61CC"/>
    <w:rsid w:val="003F3102"/>
    <w:rsid w:val="003F67B1"/>
    <w:rsid w:val="003F76F1"/>
    <w:rsid w:val="003F7A34"/>
    <w:rsid w:val="0040640C"/>
    <w:rsid w:val="00421811"/>
    <w:rsid w:val="004239B0"/>
    <w:rsid w:val="00425CF9"/>
    <w:rsid w:val="00427419"/>
    <w:rsid w:val="004309C1"/>
    <w:rsid w:val="0044093A"/>
    <w:rsid w:val="0045190E"/>
    <w:rsid w:val="00453D17"/>
    <w:rsid w:val="004614AA"/>
    <w:rsid w:val="00462303"/>
    <w:rsid w:val="004743D2"/>
    <w:rsid w:val="00480607"/>
    <w:rsid w:val="0048594D"/>
    <w:rsid w:val="00485E50"/>
    <w:rsid w:val="0048610F"/>
    <w:rsid w:val="00490265"/>
    <w:rsid w:val="00494D6D"/>
    <w:rsid w:val="004A26C5"/>
    <w:rsid w:val="004B2350"/>
    <w:rsid w:val="004B33D0"/>
    <w:rsid w:val="004B4CC4"/>
    <w:rsid w:val="004C1BCA"/>
    <w:rsid w:val="004C1CEC"/>
    <w:rsid w:val="004C1F2A"/>
    <w:rsid w:val="004D2B96"/>
    <w:rsid w:val="004D3260"/>
    <w:rsid w:val="004D54B0"/>
    <w:rsid w:val="004D587F"/>
    <w:rsid w:val="004E3890"/>
    <w:rsid w:val="004F2A94"/>
    <w:rsid w:val="0050018C"/>
    <w:rsid w:val="0050427D"/>
    <w:rsid w:val="0050777D"/>
    <w:rsid w:val="00511019"/>
    <w:rsid w:val="005129B9"/>
    <w:rsid w:val="00514045"/>
    <w:rsid w:val="00514323"/>
    <w:rsid w:val="005412C0"/>
    <w:rsid w:val="00542EFF"/>
    <w:rsid w:val="00550313"/>
    <w:rsid w:val="0055068C"/>
    <w:rsid w:val="005512F9"/>
    <w:rsid w:val="00552BD3"/>
    <w:rsid w:val="005533D7"/>
    <w:rsid w:val="005555F7"/>
    <w:rsid w:val="005627CA"/>
    <w:rsid w:val="005663D2"/>
    <w:rsid w:val="00566F68"/>
    <w:rsid w:val="00570DE0"/>
    <w:rsid w:val="0057397D"/>
    <w:rsid w:val="00577009"/>
    <w:rsid w:val="005778BF"/>
    <w:rsid w:val="00582C8A"/>
    <w:rsid w:val="005851F0"/>
    <w:rsid w:val="005A0A81"/>
    <w:rsid w:val="005A7DFD"/>
    <w:rsid w:val="005B749C"/>
    <w:rsid w:val="005C019D"/>
    <w:rsid w:val="005C57B9"/>
    <w:rsid w:val="005D1573"/>
    <w:rsid w:val="005D2B37"/>
    <w:rsid w:val="005D4084"/>
    <w:rsid w:val="005E2363"/>
    <w:rsid w:val="005E4C02"/>
    <w:rsid w:val="005E5E4D"/>
    <w:rsid w:val="005F01A0"/>
    <w:rsid w:val="005F0218"/>
    <w:rsid w:val="005F323D"/>
    <w:rsid w:val="00616D61"/>
    <w:rsid w:val="006247EC"/>
    <w:rsid w:val="00627F01"/>
    <w:rsid w:val="00631119"/>
    <w:rsid w:val="00634EA9"/>
    <w:rsid w:val="006367D5"/>
    <w:rsid w:val="006379AE"/>
    <w:rsid w:val="00661069"/>
    <w:rsid w:val="0068344E"/>
    <w:rsid w:val="00687ADE"/>
    <w:rsid w:val="0069376A"/>
    <w:rsid w:val="006A499F"/>
    <w:rsid w:val="006B5024"/>
    <w:rsid w:val="006C2659"/>
    <w:rsid w:val="006C371E"/>
    <w:rsid w:val="006C53CA"/>
    <w:rsid w:val="006D70B9"/>
    <w:rsid w:val="006E111C"/>
    <w:rsid w:val="006E1C1B"/>
    <w:rsid w:val="006E2F3E"/>
    <w:rsid w:val="006F52DB"/>
    <w:rsid w:val="00725D3F"/>
    <w:rsid w:val="00732E01"/>
    <w:rsid w:val="007340DB"/>
    <w:rsid w:val="0073453F"/>
    <w:rsid w:val="00743289"/>
    <w:rsid w:val="0076303B"/>
    <w:rsid w:val="0077344D"/>
    <w:rsid w:val="00782370"/>
    <w:rsid w:val="007823AB"/>
    <w:rsid w:val="00783FA3"/>
    <w:rsid w:val="0078531A"/>
    <w:rsid w:val="007A0849"/>
    <w:rsid w:val="007A6033"/>
    <w:rsid w:val="007B0709"/>
    <w:rsid w:val="007B430B"/>
    <w:rsid w:val="007C730B"/>
    <w:rsid w:val="007D0C01"/>
    <w:rsid w:val="007D7728"/>
    <w:rsid w:val="007E464C"/>
    <w:rsid w:val="007E6C49"/>
    <w:rsid w:val="007F0442"/>
    <w:rsid w:val="007F5680"/>
    <w:rsid w:val="007F5B30"/>
    <w:rsid w:val="008057EA"/>
    <w:rsid w:val="00806EAD"/>
    <w:rsid w:val="008071D3"/>
    <w:rsid w:val="00810402"/>
    <w:rsid w:val="00812EAF"/>
    <w:rsid w:val="00814622"/>
    <w:rsid w:val="00816C03"/>
    <w:rsid w:val="00820252"/>
    <w:rsid w:val="00830B4F"/>
    <w:rsid w:val="00837203"/>
    <w:rsid w:val="00841222"/>
    <w:rsid w:val="00841AA5"/>
    <w:rsid w:val="00851223"/>
    <w:rsid w:val="00851803"/>
    <w:rsid w:val="0085239C"/>
    <w:rsid w:val="0085756D"/>
    <w:rsid w:val="00870C4E"/>
    <w:rsid w:val="00871E93"/>
    <w:rsid w:val="008733A1"/>
    <w:rsid w:val="0087477A"/>
    <w:rsid w:val="00876351"/>
    <w:rsid w:val="0088179C"/>
    <w:rsid w:val="0088351E"/>
    <w:rsid w:val="00895522"/>
    <w:rsid w:val="008972AE"/>
    <w:rsid w:val="008B21E2"/>
    <w:rsid w:val="008B285E"/>
    <w:rsid w:val="008B60A9"/>
    <w:rsid w:val="008B6915"/>
    <w:rsid w:val="008B6E55"/>
    <w:rsid w:val="008C576E"/>
    <w:rsid w:val="008D0FBC"/>
    <w:rsid w:val="008E2081"/>
    <w:rsid w:val="008E2E93"/>
    <w:rsid w:val="008E4E6C"/>
    <w:rsid w:val="008E5B35"/>
    <w:rsid w:val="008F6587"/>
    <w:rsid w:val="00904CE8"/>
    <w:rsid w:val="00907134"/>
    <w:rsid w:val="00916934"/>
    <w:rsid w:val="00921D93"/>
    <w:rsid w:val="00945BD1"/>
    <w:rsid w:val="00967856"/>
    <w:rsid w:val="00983B03"/>
    <w:rsid w:val="009872A2"/>
    <w:rsid w:val="00992C47"/>
    <w:rsid w:val="009936B8"/>
    <w:rsid w:val="009A0E1F"/>
    <w:rsid w:val="009C0616"/>
    <w:rsid w:val="009C171F"/>
    <w:rsid w:val="009C34D7"/>
    <w:rsid w:val="009D1B02"/>
    <w:rsid w:val="009E44C1"/>
    <w:rsid w:val="009F19E1"/>
    <w:rsid w:val="00A117F6"/>
    <w:rsid w:val="00A15133"/>
    <w:rsid w:val="00A25E52"/>
    <w:rsid w:val="00A27DBC"/>
    <w:rsid w:val="00A33E87"/>
    <w:rsid w:val="00A45024"/>
    <w:rsid w:val="00A5585D"/>
    <w:rsid w:val="00A81D63"/>
    <w:rsid w:val="00A828F0"/>
    <w:rsid w:val="00A8440B"/>
    <w:rsid w:val="00A93B0A"/>
    <w:rsid w:val="00A93BEA"/>
    <w:rsid w:val="00A95091"/>
    <w:rsid w:val="00A96776"/>
    <w:rsid w:val="00AA19B8"/>
    <w:rsid w:val="00AA3311"/>
    <w:rsid w:val="00AA37D3"/>
    <w:rsid w:val="00AA5D3A"/>
    <w:rsid w:val="00AB2708"/>
    <w:rsid w:val="00AC7404"/>
    <w:rsid w:val="00AD1D37"/>
    <w:rsid w:val="00AE0565"/>
    <w:rsid w:val="00AE1086"/>
    <w:rsid w:val="00AE1ED4"/>
    <w:rsid w:val="00AE4D4A"/>
    <w:rsid w:val="00AF30E1"/>
    <w:rsid w:val="00AF4814"/>
    <w:rsid w:val="00AF5565"/>
    <w:rsid w:val="00B03925"/>
    <w:rsid w:val="00B0739C"/>
    <w:rsid w:val="00B27004"/>
    <w:rsid w:val="00B273EE"/>
    <w:rsid w:val="00B44B3C"/>
    <w:rsid w:val="00B46C2C"/>
    <w:rsid w:val="00B543C5"/>
    <w:rsid w:val="00B5676B"/>
    <w:rsid w:val="00B618FE"/>
    <w:rsid w:val="00B65FAC"/>
    <w:rsid w:val="00B816D0"/>
    <w:rsid w:val="00B816E4"/>
    <w:rsid w:val="00B838F6"/>
    <w:rsid w:val="00B932B5"/>
    <w:rsid w:val="00B972FE"/>
    <w:rsid w:val="00B97736"/>
    <w:rsid w:val="00BA18FF"/>
    <w:rsid w:val="00BB2614"/>
    <w:rsid w:val="00BC2354"/>
    <w:rsid w:val="00BC7057"/>
    <w:rsid w:val="00BC7BF8"/>
    <w:rsid w:val="00BE66F6"/>
    <w:rsid w:val="00BF06C8"/>
    <w:rsid w:val="00BF5665"/>
    <w:rsid w:val="00C07C16"/>
    <w:rsid w:val="00C17654"/>
    <w:rsid w:val="00C2120F"/>
    <w:rsid w:val="00C23EA0"/>
    <w:rsid w:val="00C464CA"/>
    <w:rsid w:val="00C52E94"/>
    <w:rsid w:val="00C5428B"/>
    <w:rsid w:val="00C54C03"/>
    <w:rsid w:val="00C631A3"/>
    <w:rsid w:val="00C746A4"/>
    <w:rsid w:val="00C74DAA"/>
    <w:rsid w:val="00C76528"/>
    <w:rsid w:val="00C84091"/>
    <w:rsid w:val="00C84ABF"/>
    <w:rsid w:val="00C860DC"/>
    <w:rsid w:val="00C908C5"/>
    <w:rsid w:val="00C93C9C"/>
    <w:rsid w:val="00C94A6B"/>
    <w:rsid w:val="00C94C2E"/>
    <w:rsid w:val="00CA2FD4"/>
    <w:rsid w:val="00CA36E5"/>
    <w:rsid w:val="00CA3711"/>
    <w:rsid w:val="00CA3818"/>
    <w:rsid w:val="00CB0F54"/>
    <w:rsid w:val="00CB490C"/>
    <w:rsid w:val="00CC0546"/>
    <w:rsid w:val="00CD219E"/>
    <w:rsid w:val="00CD3D1D"/>
    <w:rsid w:val="00CD72E1"/>
    <w:rsid w:val="00CE2769"/>
    <w:rsid w:val="00CE3187"/>
    <w:rsid w:val="00CF4B26"/>
    <w:rsid w:val="00D178A2"/>
    <w:rsid w:val="00D17B0C"/>
    <w:rsid w:val="00D24FB1"/>
    <w:rsid w:val="00D26445"/>
    <w:rsid w:val="00D31330"/>
    <w:rsid w:val="00D436F7"/>
    <w:rsid w:val="00D43D0F"/>
    <w:rsid w:val="00D50322"/>
    <w:rsid w:val="00D531E8"/>
    <w:rsid w:val="00D54BD3"/>
    <w:rsid w:val="00D61E7F"/>
    <w:rsid w:val="00D6433E"/>
    <w:rsid w:val="00D76949"/>
    <w:rsid w:val="00D800D9"/>
    <w:rsid w:val="00D83588"/>
    <w:rsid w:val="00D8434C"/>
    <w:rsid w:val="00D94EF4"/>
    <w:rsid w:val="00D95EBD"/>
    <w:rsid w:val="00DB40BC"/>
    <w:rsid w:val="00DC2F5A"/>
    <w:rsid w:val="00DC6C43"/>
    <w:rsid w:val="00DC7E21"/>
    <w:rsid w:val="00DD1264"/>
    <w:rsid w:val="00DD18C0"/>
    <w:rsid w:val="00DD3DFC"/>
    <w:rsid w:val="00DD7FE9"/>
    <w:rsid w:val="00DE39E2"/>
    <w:rsid w:val="00DE6AA8"/>
    <w:rsid w:val="00E10CCD"/>
    <w:rsid w:val="00E20B56"/>
    <w:rsid w:val="00E26CD5"/>
    <w:rsid w:val="00E51269"/>
    <w:rsid w:val="00E53709"/>
    <w:rsid w:val="00E6359F"/>
    <w:rsid w:val="00E63B25"/>
    <w:rsid w:val="00E9035D"/>
    <w:rsid w:val="00E94FED"/>
    <w:rsid w:val="00ED51A5"/>
    <w:rsid w:val="00ED5A74"/>
    <w:rsid w:val="00ED668D"/>
    <w:rsid w:val="00ED705F"/>
    <w:rsid w:val="00EE1A1D"/>
    <w:rsid w:val="00EE6E34"/>
    <w:rsid w:val="00EE794F"/>
    <w:rsid w:val="00EF31A8"/>
    <w:rsid w:val="00EF5826"/>
    <w:rsid w:val="00F11320"/>
    <w:rsid w:val="00F138F0"/>
    <w:rsid w:val="00F14A00"/>
    <w:rsid w:val="00F16FA5"/>
    <w:rsid w:val="00F17FAB"/>
    <w:rsid w:val="00F21E09"/>
    <w:rsid w:val="00F22896"/>
    <w:rsid w:val="00F22B81"/>
    <w:rsid w:val="00F2510D"/>
    <w:rsid w:val="00F32B58"/>
    <w:rsid w:val="00F5481F"/>
    <w:rsid w:val="00F56D65"/>
    <w:rsid w:val="00F62993"/>
    <w:rsid w:val="00F6413B"/>
    <w:rsid w:val="00F71D08"/>
    <w:rsid w:val="00F87392"/>
    <w:rsid w:val="00F932B7"/>
    <w:rsid w:val="00FB1D3B"/>
    <w:rsid w:val="00FB47EC"/>
    <w:rsid w:val="00FC1CE6"/>
    <w:rsid w:val="00FC266A"/>
    <w:rsid w:val="00FD21E3"/>
    <w:rsid w:val="00FD5706"/>
    <w:rsid w:val="00FE0CED"/>
    <w:rsid w:val="00FE5417"/>
    <w:rsid w:val="00FF4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2"/>
    <o:shapelayout v:ext="edit">
      <o:idmap v:ext="edit" data="1"/>
    </o:shapelayout>
  </w:shapeDefaults>
  <w:decimalSymbol w:val="."/>
  <w:listSeparator w:val=","/>
  <w14:docId w14:val="55CE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1C"/>
    <w:rPr>
      <w:sz w:val="20"/>
    </w:rPr>
  </w:style>
  <w:style w:type="paragraph" w:styleId="Heading1">
    <w:name w:val="heading 1"/>
    <w:basedOn w:val="Normal"/>
    <w:next w:val="Normal"/>
    <w:link w:val="Heading1Char"/>
    <w:uiPriority w:val="9"/>
    <w:qFormat/>
    <w:rsid w:val="00C76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6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65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65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Block Label"/>
    <w:basedOn w:val="Normal"/>
    <w:next w:val="Normal"/>
    <w:link w:val="Heading5Char"/>
    <w:uiPriority w:val="9"/>
    <w:unhideWhenUsed/>
    <w:qFormat/>
    <w:rsid w:val="00C765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5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65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6528"/>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C7652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28"/>
    <w:pPr>
      <w:ind w:left="720"/>
      <w:contextualSpacing/>
    </w:pPr>
  </w:style>
  <w:style w:type="character" w:customStyle="1" w:styleId="Heading5Char">
    <w:name w:val="Heading 5 Char"/>
    <w:aliases w:val="Block Label Char"/>
    <w:basedOn w:val="DefaultParagraphFont"/>
    <w:link w:val="Heading5"/>
    <w:uiPriority w:val="9"/>
    <w:rsid w:val="00C76528"/>
    <w:rPr>
      <w:rFonts w:asciiTheme="majorHAnsi" w:eastAsiaTheme="majorEastAsia" w:hAnsiTheme="majorHAnsi" w:cstheme="majorBidi"/>
      <w:color w:val="243F60" w:themeColor="accent1" w:themeShade="7F"/>
    </w:rPr>
  </w:style>
  <w:style w:type="paragraph" w:styleId="BlockText">
    <w:name w:val="Block Text"/>
    <w:basedOn w:val="Normal"/>
    <w:rsid w:val="00820252"/>
    <w:rPr>
      <w:rFonts w:ascii="Tahoma" w:eastAsia="Times New Roman" w:hAnsi="Tahoma" w:cs="Times New Roman"/>
      <w:szCs w:val="20"/>
      <w:lang w:val="en-NZ"/>
    </w:rPr>
  </w:style>
  <w:style w:type="paragraph" w:customStyle="1" w:styleId="BulletPoints">
    <w:name w:val="Bullet Points"/>
    <w:basedOn w:val="Normal"/>
    <w:rsid w:val="00820252"/>
    <w:pPr>
      <w:numPr>
        <w:numId w:val="2"/>
      </w:numPr>
      <w:overflowPunct w:val="0"/>
      <w:autoSpaceDE w:val="0"/>
      <w:autoSpaceDN w:val="0"/>
      <w:adjustRightInd w:val="0"/>
      <w:spacing w:after="240"/>
      <w:jc w:val="both"/>
      <w:textAlignment w:val="baseline"/>
    </w:pPr>
    <w:rPr>
      <w:rFonts w:ascii="Arial" w:eastAsia="Times New Roman" w:hAnsi="Arial" w:cs="Times New Roman"/>
      <w:szCs w:val="20"/>
      <w:lang w:val="en-NZ" w:bidi="ar-DZ"/>
    </w:rPr>
  </w:style>
  <w:style w:type="character" w:styleId="Hyperlink">
    <w:name w:val="Hyperlink"/>
    <w:basedOn w:val="DefaultParagraphFont"/>
    <w:uiPriority w:val="99"/>
    <w:unhideWhenUsed/>
    <w:rsid w:val="00C76528"/>
    <w:rPr>
      <w:color w:val="0000FF" w:themeColor="hyperlink"/>
      <w:u w:val="single"/>
    </w:rPr>
  </w:style>
  <w:style w:type="paragraph" w:styleId="Header">
    <w:name w:val="header"/>
    <w:basedOn w:val="Normal"/>
    <w:link w:val="HeaderChar"/>
    <w:uiPriority w:val="99"/>
    <w:unhideWhenUsed/>
    <w:rsid w:val="00C76528"/>
    <w:pPr>
      <w:tabs>
        <w:tab w:val="center" w:pos="4513"/>
        <w:tab w:val="right" w:pos="9026"/>
      </w:tabs>
    </w:pPr>
  </w:style>
  <w:style w:type="character" w:customStyle="1" w:styleId="HeaderChar">
    <w:name w:val="Header Char"/>
    <w:basedOn w:val="DefaultParagraphFont"/>
    <w:link w:val="Header"/>
    <w:uiPriority w:val="99"/>
    <w:rsid w:val="00C76528"/>
  </w:style>
  <w:style w:type="paragraph" w:styleId="Footer">
    <w:name w:val="footer"/>
    <w:basedOn w:val="Normal"/>
    <w:link w:val="FooterChar"/>
    <w:uiPriority w:val="99"/>
    <w:unhideWhenUsed/>
    <w:rsid w:val="00C76528"/>
    <w:pPr>
      <w:tabs>
        <w:tab w:val="center" w:pos="4513"/>
        <w:tab w:val="right" w:pos="9026"/>
      </w:tabs>
    </w:pPr>
  </w:style>
  <w:style w:type="character" w:customStyle="1" w:styleId="FooterChar">
    <w:name w:val="Footer Char"/>
    <w:basedOn w:val="DefaultParagraphFont"/>
    <w:link w:val="Footer"/>
    <w:uiPriority w:val="99"/>
    <w:rsid w:val="00C76528"/>
  </w:style>
  <w:style w:type="character" w:customStyle="1" w:styleId="Heading1Char">
    <w:name w:val="Heading 1 Char"/>
    <w:basedOn w:val="DefaultParagraphFont"/>
    <w:link w:val="Heading1"/>
    <w:uiPriority w:val="9"/>
    <w:rsid w:val="00C765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65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65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76528"/>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765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65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652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7652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76528"/>
    <w:pPr>
      <w:spacing w:line="240" w:lineRule="auto"/>
    </w:pPr>
    <w:rPr>
      <w:b/>
      <w:bCs/>
      <w:color w:val="4F81BD" w:themeColor="accent1"/>
      <w:sz w:val="18"/>
      <w:szCs w:val="18"/>
    </w:rPr>
  </w:style>
  <w:style w:type="paragraph" w:styleId="Title">
    <w:name w:val="Title"/>
    <w:basedOn w:val="Normal"/>
    <w:next w:val="Normal"/>
    <w:link w:val="TitleChar"/>
    <w:uiPriority w:val="10"/>
    <w:qFormat/>
    <w:rsid w:val="00C765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5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65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652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76528"/>
    <w:rPr>
      <w:b/>
      <w:bCs/>
    </w:rPr>
  </w:style>
  <w:style w:type="character" w:styleId="Emphasis">
    <w:name w:val="Emphasis"/>
    <w:basedOn w:val="DefaultParagraphFont"/>
    <w:uiPriority w:val="20"/>
    <w:qFormat/>
    <w:rsid w:val="00C76528"/>
    <w:rPr>
      <w:i/>
      <w:iCs/>
    </w:rPr>
  </w:style>
  <w:style w:type="paragraph" w:styleId="NoSpacing">
    <w:name w:val="No Spacing"/>
    <w:uiPriority w:val="1"/>
    <w:qFormat/>
    <w:rsid w:val="00C76528"/>
    <w:pPr>
      <w:spacing w:after="0" w:line="240" w:lineRule="auto"/>
    </w:pPr>
  </w:style>
  <w:style w:type="paragraph" w:styleId="Quote">
    <w:name w:val="Quote"/>
    <w:basedOn w:val="Normal"/>
    <w:next w:val="Normal"/>
    <w:link w:val="QuoteChar"/>
    <w:uiPriority w:val="29"/>
    <w:qFormat/>
    <w:rsid w:val="00C76528"/>
    <w:rPr>
      <w:i/>
      <w:iCs/>
      <w:color w:val="000000" w:themeColor="text1"/>
    </w:rPr>
  </w:style>
  <w:style w:type="character" w:customStyle="1" w:styleId="QuoteChar">
    <w:name w:val="Quote Char"/>
    <w:basedOn w:val="DefaultParagraphFont"/>
    <w:link w:val="Quote"/>
    <w:uiPriority w:val="29"/>
    <w:rsid w:val="00C76528"/>
    <w:rPr>
      <w:i/>
      <w:iCs/>
      <w:color w:val="000000" w:themeColor="text1"/>
    </w:rPr>
  </w:style>
  <w:style w:type="paragraph" w:styleId="IntenseQuote">
    <w:name w:val="Intense Quote"/>
    <w:basedOn w:val="Normal"/>
    <w:next w:val="Normal"/>
    <w:link w:val="IntenseQuoteChar"/>
    <w:uiPriority w:val="30"/>
    <w:qFormat/>
    <w:rsid w:val="00C765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6528"/>
    <w:rPr>
      <w:b/>
      <w:bCs/>
      <w:i/>
      <w:iCs/>
      <w:color w:val="4F81BD" w:themeColor="accent1"/>
    </w:rPr>
  </w:style>
  <w:style w:type="character" w:styleId="SubtleEmphasis">
    <w:name w:val="Subtle Emphasis"/>
    <w:basedOn w:val="DefaultParagraphFont"/>
    <w:uiPriority w:val="19"/>
    <w:qFormat/>
    <w:rsid w:val="00C76528"/>
    <w:rPr>
      <w:i/>
      <w:iCs/>
      <w:color w:val="808080" w:themeColor="text1" w:themeTint="7F"/>
    </w:rPr>
  </w:style>
  <w:style w:type="character" w:styleId="IntenseEmphasis">
    <w:name w:val="Intense Emphasis"/>
    <w:basedOn w:val="DefaultParagraphFont"/>
    <w:uiPriority w:val="21"/>
    <w:qFormat/>
    <w:rsid w:val="00C76528"/>
    <w:rPr>
      <w:b/>
      <w:bCs/>
      <w:i/>
      <w:iCs/>
      <w:color w:val="4F81BD" w:themeColor="accent1"/>
    </w:rPr>
  </w:style>
  <w:style w:type="character" w:styleId="SubtleReference">
    <w:name w:val="Subtle Reference"/>
    <w:basedOn w:val="DefaultParagraphFont"/>
    <w:uiPriority w:val="31"/>
    <w:qFormat/>
    <w:rsid w:val="00C76528"/>
    <w:rPr>
      <w:smallCaps/>
      <w:color w:val="C0504D" w:themeColor="accent2"/>
      <w:u w:val="single"/>
    </w:rPr>
  </w:style>
  <w:style w:type="character" w:styleId="IntenseReference">
    <w:name w:val="Intense Reference"/>
    <w:basedOn w:val="DefaultParagraphFont"/>
    <w:uiPriority w:val="32"/>
    <w:qFormat/>
    <w:rsid w:val="00C76528"/>
    <w:rPr>
      <w:b/>
      <w:bCs/>
      <w:smallCaps/>
      <w:color w:val="C0504D" w:themeColor="accent2"/>
      <w:spacing w:val="5"/>
      <w:u w:val="single"/>
    </w:rPr>
  </w:style>
  <w:style w:type="character" w:styleId="BookTitle">
    <w:name w:val="Book Title"/>
    <w:basedOn w:val="DefaultParagraphFont"/>
    <w:uiPriority w:val="33"/>
    <w:qFormat/>
    <w:rsid w:val="00C76528"/>
    <w:rPr>
      <w:b/>
      <w:bCs/>
      <w:smallCaps/>
      <w:spacing w:val="5"/>
    </w:rPr>
  </w:style>
  <w:style w:type="paragraph" w:styleId="TOCHeading">
    <w:name w:val="TOC Heading"/>
    <w:basedOn w:val="Heading1"/>
    <w:next w:val="Normal"/>
    <w:uiPriority w:val="39"/>
    <w:semiHidden/>
    <w:unhideWhenUsed/>
    <w:qFormat/>
    <w:rsid w:val="00C76528"/>
    <w:pPr>
      <w:outlineLvl w:val="9"/>
    </w:pPr>
  </w:style>
  <w:style w:type="table" w:styleId="TableGrid">
    <w:name w:val="Table Grid"/>
    <w:basedOn w:val="TableNormal"/>
    <w:uiPriority w:val="59"/>
    <w:rsid w:val="00D53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C1"/>
    <w:rPr>
      <w:rFonts w:ascii="Tahoma" w:hAnsi="Tahoma" w:cs="Tahoma"/>
      <w:sz w:val="16"/>
      <w:szCs w:val="16"/>
    </w:rPr>
  </w:style>
  <w:style w:type="character" w:styleId="CommentReference">
    <w:name w:val="annotation reference"/>
    <w:basedOn w:val="DefaultParagraphFont"/>
    <w:uiPriority w:val="99"/>
    <w:semiHidden/>
    <w:unhideWhenUsed/>
    <w:rsid w:val="0050018C"/>
    <w:rPr>
      <w:sz w:val="16"/>
      <w:szCs w:val="16"/>
    </w:rPr>
  </w:style>
  <w:style w:type="paragraph" w:styleId="CommentText">
    <w:name w:val="annotation text"/>
    <w:basedOn w:val="Normal"/>
    <w:link w:val="CommentTextChar"/>
    <w:uiPriority w:val="99"/>
    <w:semiHidden/>
    <w:unhideWhenUsed/>
    <w:rsid w:val="0050018C"/>
    <w:pPr>
      <w:spacing w:line="240" w:lineRule="auto"/>
    </w:pPr>
    <w:rPr>
      <w:szCs w:val="20"/>
    </w:rPr>
  </w:style>
  <w:style w:type="character" w:customStyle="1" w:styleId="CommentTextChar">
    <w:name w:val="Comment Text Char"/>
    <w:basedOn w:val="DefaultParagraphFont"/>
    <w:link w:val="CommentText"/>
    <w:uiPriority w:val="99"/>
    <w:semiHidden/>
    <w:rsid w:val="0050018C"/>
    <w:rPr>
      <w:sz w:val="20"/>
      <w:szCs w:val="20"/>
    </w:rPr>
  </w:style>
  <w:style w:type="paragraph" w:styleId="CommentSubject">
    <w:name w:val="annotation subject"/>
    <w:basedOn w:val="CommentText"/>
    <w:next w:val="CommentText"/>
    <w:link w:val="CommentSubjectChar"/>
    <w:uiPriority w:val="99"/>
    <w:semiHidden/>
    <w:unhideWhenUsed/>
    <w:rsid w:val="0050018C"/>
    <w:rPr>
      <w:b/>
      <w:bCs/>
    </w:rPr>
  </w:style>
  <w:style w:type="character" w:customStyle="1" w:styleId="CommentSubjectChar">
    <w:name w:val="Comment Subject Char"/>
    <w:basedOn w:val="CommentTextChar"/>
    <w:link w:val="CommentSubject"/>
    <w:uiPriority w:val="99"/>
    <w:semiHidden/>
    <w:rsid w:val="0050018C"/>
    <w:rPr>
      <w:b/>
      <w:bCs/>
      <w:sz w:val="20"/>
      <w:szCs w:val="20"/>
    </w:rPr>
  </w:style>
  <w:style w:type="paragraph" w:styleId="PlainText">
    <w:name w:val="Plain Text"/>
    <w:basedOn w:val="Normal"/>
    <w:link w:val="PlainTextChar"/>
    <w:uiPriority w:val="99"/>
    <w:rsid w:val="000D1C74"/>
    <w:pPr>
      <w:spacing w:after="0" w:line="240" w:lineRule="auto"/>
    </w:pPr>
    <w:rPr>
      <w:rFonts w:ascii="Courier New" w:eastAsia="Times New Roman" w:hAnsi="Courier New" w:cs="Courier New"/>
      <w:szCs w:val="20"/>
      <w:lang w:val="en-AU"/>
    </w:rPr>
  </w:style>
  <w:style w:type="character" w:customStyle="1" w:styleId="PlainTextChar">
    <w:name w:val="Plain Text Char"/>
    <w:basedOn w:val="DefaultParagraphFont"/>
    <w:link w:val="PlainText"/>
    <w:uiPriority w:val="99"/>
    <w:rsid w:val="000D1C74"/>
    <w:rPr>
      <w:rFonts w:ascii="Courier New" w:eastAsia="Times New Roman" w:hAnsi="Courier New" w:cs="Courier New"/>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E1C"/>
    <w:rPr>
      <w:sz w:val="20"/>
    </w:rPr>
  </w:style>
  <w:style w:type="paragraph" w:styleId="Heading1">
    <w:name w:val="heading 1"/>
    <w:basedOn w:val="Normal"/>
    <w:next w:val="Normal"/>
    <w:link w:val="Heading1Char"/>
    <w:uiPriority w:val="9"/>
    <w:qFormat/>
    <w:rsid w:val="00C765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65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65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65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Block Label"/>
    <w:basedOn w:val="Normal"/>
    <w:next w:val="Normal"/>
    <w:link w:val="Heading5Char"/>
    <w:uiPriority w:val="9"/>
    <w:unhideWhenUsed/>
    <w:qFormat/>
    <w:rsid w:val="00C765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65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65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6528"/>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C7652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528"/>
    <w:pPr>
      <w:ind w:left="720"/>
      <w:contextualSpacing/>
    </w:pPr>
  </w:style>
  <w:style w:type="character" w:customStyle="1" w:styleId="Heading5Char">
    <w:name w:val="Heading 5 Char"/>
    <w:aliases w:val="Block Label Char"/>
    <w:basedOn w:val="DefaultParagraphFont"/>
    <w:link w:val="Heading5"/>
    <w:uiPriority w:val="9"/>
    <w:rsid w:val="00C76528"/>
    <w:rPr>
      <w:rFonts w:asciiTheme="majorHAnsi" w:eastAsiaTheme="majorEastAsia" w:hAnsiTheme="majorHAnsi" w:cstheme="majorBidi"/>
      <w:color w:val="243F60" w:themeColor="accent1" w:themeShade="7F"/>
    </w:rPr>
  </w:style>
  <w:style w:type="paragraph" w:styleId="BlockText">
    <w:name w:val="Block Text"/>
    <w:basedOn w:val="Normal"/>
    <w:rsid w:val="00820252"/>
    <w:rPr>
      <w:rFonts w:ascii="Tahoma" w:eastAsia="Times New Roman" w:hAnsi="Tahoma" w:cs="Times New Roman"/>
      <w:szCs w:val="20"/>
      <w:lang w:val="en-NZ"/>
    </w:rPr>
  </w:style>
  <w:style w:type="paragraph" w:customStyle="1" w:styleId="BulletPoints">
    <w:name w:val="Bullet Points"/>
    <w:basedOn w:val="Normal"/>
    <w:rsid w:val="00820252"/>
    <w:pPr>
      <w:numPr>
        <w:numId w:val="2"/>
      </w:numPr>
      <w:overflowPunct w:val="0"/>
      <w:autoSpaceDE w:val="0"/>
      <w:autoSpaceDN w:val="0"/>
      <w:adjustRightInd w:val="0"/>
      <w:spacing w:after="240"/>
      <w:jc w:val="both"/>
      <w:textAlignment w:val="baseline"/>
    </w:pPr>
    <w:rPr>
      <w:rFonts w:ascii="Arial" w:eastAsia="Times New Roman" w:hAnsi="Arial" w:cs="Times New Roman"/>
      <w:szCs w:val="20"/>
      <w:lang w:val="en-NZ" w:bidi="ar-DZ"/>
    </w:rPr>
  </w:style>
  <w:style w:type="character" w:styleId="Hyperlink">
    <w:name w:val="Hyperlink"/>
    <w:basedOn w:val="DefaultParagraphFont"/>
    <w:uiPriority w:val="99"/>
    <w:unhideWhenUsed/>
    <w:rsid w:val="00C76528"/>
    <w:rPr>
      <w:color w:val="0000FF" w:themeColor="hyperlink"/>
      <w:u w:val="single"/>
    </w:rPr>
  </w:style>
  <w:style w:type="paragraph" w:styleId="Header">
    <w:name w:val="header"/>
    <w:basedOn w:val="Normal"/>
    <w:link w:val="HeaderChar"/>
    <w:uiPriority w:val="99"/>
    <w:unhideWhenUsed/>
    <w:rsid w:val="00C76528"/>
    <w:pPr>
      <w:tabs>
        <w:tab w:val="center" w:pos="4513"/>
        <w:tab w:val="right" w:pos="9026"/>
      </w:tabs>
    </w:pPr>
  </w:style>
  <w:style w:type="character" w:customStyle="1" w:styleId="HeaderChar">
    <w:name w:val="Header Char"/>
    <w:basedOn w:val="DefaultParagraphFont"/>
    <w:link w:val="Header"/>
    <w:uiPriority w:val="99"/>
    <w:rsid w:val="00C76528"/>
  </w:style>
  <w:style w:type="paragraph" w:styleId="Footer">
    <w:name w:val="footer"/>
    <w:basedOn w:val="Normal"/>
    <w:link w:val="FooterChar"/>
    <w:uiPriority w:val="99"/>
    <w:unhideWhenUsed/>
    <w:rsid w:val="00C76528"/>
    <w:pPr>
      <w:tabs>
        <w:tab w:val="center" w:pos="4513"/>
        <w:tab w:val="right" w:pos="9026"/>
      </w:tabs>
    </w:pPr>
  </w:style>
  <w:style w:type="character" w:customStyle="1" w:styleId="FooterChar">
    <w:name w:val="Footer Char"/>
    <w:basedOn w:val="DefaultParagraphFont"/>
    <w:link w:val="Footer"/>
    <w:uiPriority w:val="99"/>
    <w:rsid w:val="00C76528"/>
  </w:style>
  <w:style w:type="character" w:customStyle="1" w:styleId="Heading1Char">
    <w:name w:val="Heading 1 Char"/>
    <w:basedOn w:val="DefaultParagraphFont"/>
    <w:link w:val="Heading1"/>
    <w:uiPriority w:val="9"/>
    <w:rsid w:val="00C765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65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65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76528"/>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765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65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652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7652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76528"/>
    <w:pPr>
      <w:spacing w:line="240" w:lineRule="auto"/>
    </w:pPr>
    <w:rPr>
      <w:b/>
      <w:bCs/>
      <w:color w:val="4F81BD" w:themeColor="accent1"/>
      <w:sz w:val="18"/>
      <w:szCs w:val="18"/>
    </w:rPr>
  </w:style>
  <w:style w:type="paragraph" w:styleId="Title">
    <w:name w:val="Title"/>
    <w:basedOn w:val="Normal"/>
    <w:next w:val="Normal"/>
    <w:link w:val="TitleChar"/>
    <w:uiPriority w:val="10"/>
    <w:qFormat/>
    <w:rsid w:val="00C765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52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65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652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76528"/>
    <w:rPr>
      <w:b/>
      <w:bCs/>
    </w:rPr>
  </w:style>
  <w:style w:type="character" w:styleId="Emphasis">
    <w:name w:val="Emphasis"/>
    <w:basedOn w:val="DefaultParagraphFont"/>
    <w:uiPriority w:val="20"/>
    <w:qFormat/>
    <w:rsid w:val="00C76528"/>
    <w:rPr>
      <w:i/>
      <w:iCs/>
    </w:rPr>
  </w:style>
  <w:style w:type="paragraph" w:styleId="NoSpacing">
    <w:name w:val="No Spacing"/>
    <w:uiPriority w:val="1"/>
    <w:qFormat/>
    <w:rsid w:val="00C76528"/>
    <w:pPr>
      <w:spacing w:after="0" w:line="240" w:lineRule="auto"/>
    </w:pPr>
  </w:style>
  <w:style w:type="paragraph" w:styleId="Quote">
    <w:name w:val="Quote"/>
    <w:basedOn w:val="Normal"/>
    <w:next w:val="Normal"/>
    <w:link w:val="QuoteChar"/>
    <w:uiPriority w:val="29"/>
    <w:qFormat/>
    <w:rsid w:val="00C76528"/>
    <w:rPr>
      <w:i/>
      <w:iCs/>
      <w:color w:val="000000" w:themeColor="text1"/>
    </w:rPr>
  </w:style>
  <w:style w:type="character" w:customStyle="1" w:styleId="QuoteChar">
    <w:name w:val="Quote Char"/>
    <w:basedOn w:val="DefaultParagraphFont"/>
    <w:link w:val="Quote"/>
    <w:uiPriority w:val="29"/>
    <w:rsid w:val="00C76528"/>
    <w:rPr>
      <w:i/>
      <w:iCs/>
      <w:color w:val="000000" w:themeColor="text1"/>
    </w:rPr>
  </w:style>
  <w:style w:type="paragraph" w:styleId="IntenseQuote">
    <w:name w:val="Intense Quote"/>
    <w:basedOn w:val="Normal"/>
    <w:next w:val="Normal"/>
    <w:link w:val="IntenseQuoteChar"/>
    <w:uiPriority w:val="30"/>
    <w:qFormat/>
    <w:rsid w:val="00C765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6528"/>
    <w:rPr>
      <w:b/>
      <w:bCs/>
      <w:i/>
      <w:iCs/>
      <w:color w:val="4F81BD" w:themeColor="accent1"/>
    </w:rPr>
  </w:style>
  <w:style w:type="character" w:styleId="SubtleEmphasis">
    <w:name w:val="Subtle Emphasis"/>
    <w:basedOn w:val="DefaultParagraphFont"/>
    <w:uiPriority w:val="19"/>
    <w:qFormat/>
    <w:rsid w:val="00C76528"/>
    <w:rPr>
      <w:i/>
      <w:iCs/>
      <w:color w:val="808080" w:themeColor="text1" w:themeTint="7F"/>
    </w:rPr>
  </w:style>
  <w:style w:type="character" w:styleId="IntenseEmphasis">
    <w:name w:val="Intense Emphasis"/>
    <w:basedOn w:val="DefaultParagraphFont"/>
    <w:uiPriority w:val="21"/>
    <w:qFormat/>
    <w:rsid w:val="00C76528"/>
    <w:rPr>
      <w:b/>
      <w:bCs/>
      <w:i/>
      <w:iCs/>
      <w:color w:val="4F81BD" w:themeColor="accent1"/>
    </w:rPr>
  </w:style>
  <w:style w:type="character" w:styleId="SubtleReference">
    <w:name w:val="Subtle Reference"/>
    <w:basedOn w:val="DefaultParagraphFont"/>
    <w:uiPriority w:val="31"/>
    <w:qFormat/>
    <w:rsid w:val="00C76528"/>
    <w:rPr>
      <w:smallCaps/>
      <w:color w:val="C0504D" w:themeColor="accent2"/>
      <w:u w:val="single"/>
    </w:rPr>
  </w:style>
  <w:style w:type="character" w:styleId="IntenseReference">
    <w:name w:val="Intense Reference"/>
    <w:basedOn w:val="DefaultParagraphFont"/>
    <w:uiPriority w:val="32"/>
    <w:qFormat/>
    <w:rsid w:val="00C76528"/>
    <w:rPr>
      <w:b/>
      <w:bCs/>
      <w:smallCaps/>
      <w:color w:val="C0504D" w:themeColor="accent2"/>
      <w:spacing w:val="5"/>
      <w:u w:val="single"/>
    </w:rPr>
  </w:style>
  <w:style w:type="character" w:styleId="BookTitle">
    <w:name w:val="Book Title"/>
    <w:basedOn w:val="DefaultParagraphFont"/>
    <w:uiPriority w:val="33"/>
    <w:qFormat/>
    <w:rsid w:val="00C76528"/>
    <w:rPr>
      <w:b/>
      <w:bCs/>
      <w:smallCaps/>
      <w:spacing w:val="5"/>
    </w:rPr>
  </w:style>
  <w:style w:type="paragraph" w:styleId="TOCHeading">
    <w:name w:val="TOC Heading"/>
    <w:basedOn w:val="Heading1"/>
    <w:next w:val="Normal"/>
    <w:uiPriority w:val="39"/>
    <w:semiHidden/>
    <w:unhideWhenUsed/>
    <w:qFormat/>
    <w:rsid w:val="00C76528"/>
    <w:pPr>
      <w:outlineLvl w:val="9"/>
    </w:pPr>
  </w:style>
  <w:style w:type="table" w:styleId="TableGrid">
    <w:name w:val="Table Grid"/>
    <w:basedOn w:val="TableNormal"/>
    <w:uiPriority w:val="59"/>
    <w:rsid w:val="00D531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4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C1"/>
    <w:rPr>
      <w:rFonts w:ascii="Tahoma" w:hAnsi="Tahoma" w:cs="Tahoma"/>
      <w:sz w:val="16"/>
      <w:szCs w:val="16"/>
    </w:rPr>
  </w:style>
  <w:style w:type="character" w:styleId="CommentReference">
    <w:name w:val="annotation reference"/>
    <w:basedOn w:val="DefaultParagraphFont"/>
    <w:uiPriority w:val="99"/>
    <w:semiHidden/>
    <w:unhideWhenUsed/>
    <w:rsid w:val="0050018C"/>
    <w:rPr>
      <w:sz w:val="16"/>
      <w:szCs w:val="16"/>
    </w:rPr>
  </w:style>
  <w:style w:type="paragraph" w:styleId="CommentText">
    <w:name w:val="annotation text"/>
    <w:basedOn w:val="Normal"/>
    <w:link w:val="CommentTextChar"/>
    <w:uiPriority w:val="99"/>
    <w:semiHidden/>
    <w:unhideWhenUsed/>
    <w:rsid w:val="0050018C"/>
    <w:pPr>
      <w:spacing w:line="240" w:lineRule="auto"/>
    </w:pPr>
    <w:rPr>
      <w:szCs w:val="20"/>
    </w:rPr>
  </w:style>
  <w:style w:type="character" w:customStyle="1" w:styleId="CommentTextChar">
    <w:name w:val="Comment Text Char"/>
    <w:basedOn w:val="DefaultParagraphFont"/>
    <w:link w:val="CommentText"/>
    <w:uiPriority w:val="99"/>
    <w:semiHidden/>
    <w:rsid w:val="0050018C"/>
    <w:rPr>
      <w:sz w:val="20"/>
      <w:szCs w:val="20"/>
    </w:rPr>
  </w:style>
  <w:style w:type="paragraph" w:styleId="CommentSubject">
    <w:name w:val="annotation subject"/>
    <w:basedOn w:val="CommentText"/>
    <w:next w:val="CommentText"/>
    <w:link w:val="CommentSubjectChar"/>
    <w:uiPriority w:val="99"/>
    <w:semiHidden/>
    <w:unhideWhenUsed/>
    <w:rsid w:val="0050018C"/>
    <w:rPr>
      <w:b/>
      <w:bCs/>
    </w:rPr>
  </w:style>
  <w:style w:type="character" w:customStyle="1" w:styleId="CommentSubjectChar">
    <w:name w:val="Comment Subject Char"/>
    <w:basedOn w:val="CommentTextChar"/>
    <w:link w:val="CommentSubject"/>
    <w:uiPriority w:val="99"/>
    <w:semiHidden/>
    <w:rsid w:val="0050018C"/>
    <w:rPr>
      <w:b/>
      <w:bCs/>
      <w:sz w:val="20"/>
      <w:szCs w:val="20"/>
    </w:rPr>
  </w:style>
  <w:style w:type="paragraph" w:styleId="PlainText">
    <w:name w:val="Plain Text"/>
    <w:basedOn w:val="Normal"/>
    <w:link w:val="PlainTextChar"/>
    <w:uiPriority w:val="99"/>
    <w:rsid w:val="000D1C74"/>
    <w:pPr>
      <w:spacing w:after="0" w:line="240" w:lineRule="auto"/>
    </w:pPr>
    <w:rPr>
      <w:rFonts w:ascii="Courier New" w:eastAsia="Times New Roman" w:hAnsi="Courier New" w:cs="Courier New"/>
      <w:szCs w:val="20"/>
      <w:lang w:val="en-AU"/>
    </w:rPr>
  </w:style>
  <w:style w:type="character" w:customStyle="1" w:styleId="PlainTextChar">
    <w:name w:val="Plain Text Char"/>
    <w:basedOn w:val="DefaultParagraphFont"/>
    <w:link w:val="PlainText"/>
    <w:uiPriority w:val="99"/>
    <w:rsid w:val="000D1C74"/>
    <w:rPr>
      <w:rFonts w:ascii="Courier New" w:eastAsia="Times New Roman" w:hAnsi="Courier New" w:cs="Courier New"/>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MCA\Dropbox\AMCA\Document%20Templates\Consultation%20Submission%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A833FE7E7401EC44AD764D8B2ED4316D" ma:contentTypeVersion="0" ma:contentTypeDescription="" ma:contentTypeScope="" ma:versionID="917f01163539354d6ed4e86ba3bb1580">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985ED-F5F9-43A9-A194-3DB96475C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CCD6E0-354C-4391-ACCB-3BCBF14C7955}">
  <ds:schemaRefs>
    <ds:schemaRef ds:uri="http://schemas.microsoft.com/sharepoint/events"/>
  </ds:schemaRefs>
</ds:datastoreItem>
</file>

<file path=customXml/itemProps3.xml><?xml version="1.0" encoding="utf-8"?>
<ds:datastoreItem xmlns:ds="http://schemas.openxmlformats.org/officeDocument/2006/customXml" ds:itemID="{D9945560-A93A-42A6-8D79-99665C26CAB2}">
  <ds:schemaRefs>
    <ds:schemaRef ds:uri="http://schemas.microsoft.com/office/2006/metadata/customXsn"/>
  </ds:schemaRefs>
</ds:datastoreItem>
</file>

<file path=customXml/itemProps4.xml><?xml version="1.0" encoding="utf-8"?>
<ds:datastoreItem xmlns:ds="http://schemas.openxmlformats.org/officeDocument/2006/customXml" ds:itemID="{4A137081-C2C6-4B4A-A585-89820E3D6051}">
  <ds:schemaRefs>
    <ds:schemaRef ds:uri="http://schemas.microsoft.com/sharepoint/v3/contenttype/forms"/>
  </ds:schemaRefs>
</ds:datastoreItem>
</file>

<file path=customXml/itemProps5.xml><?xml version="1.0" encoding="utf-8"?>
<ds:datastoreItem xmlns:ds="http://schemas.openxmlformats.org/officeDocument/2006/customXml" ds:itemID="{0F567DCD-8B43-42DF-8403-988012CB6937}">
  <ds:schemaRef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s>
</ds:datastoreItem>
</file>

<file path=customXml/itemProps6.xml><?xml version="1.0" encoding="utf-8"?>
<ds:datastoreItem xmlns:ds="http://schemas.openxmlformats.org/officeDocument/2006/customXml" ds:itemID="{029EDAD1-583F-41A3-99D6-8ABC7FAB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Submission v1.dotx</Template>
  <TotalTime>6</TotalTime>
  <Pages>4</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Submission 15 - Air Conditioning and Mechanical Contractors' Association (AMCA) - Mutual Recognition Schemes - Commissioned study</vt:lpstr>
    </vt:vector>
  </TitlesOfParts>
  <Company>Air Conditioning and Mechanical Contractors' Association (AMCA)</Company>
  <LinksUpToDate>false</LinksUpToDate>
  <CharactersWithSpaces>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Air Conditioning and Mechanical Contractors' Association (AMCA) - Mutual Recognition Schemes - Commissioned study</dc:title>
  <dc:creator>Air Conditioning and Mechanical Contractors' Association (AMCA)</dc:creator>
  <cp:lastModifiedBy>Productivity Commission</cp:lastModifiedBy>
  <cp:revision>5</cp:revision>
  <cp:lastPrinted>2014-05-30T06:29:00Z</cp:lastPrinted>
  <dcterms:created xsi:type="dcterms:W3CDTF">2015-02-27T04:04:00Z</dcterms:created>
  <dcterms:modified xsi:type="dcterms:W3CDTF">2015-03-10T04:02:00Z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0x01010066EDC8E18BFE9C418F00295EA55D44EA0015EE9FD84A134F42A8E78176E2093D4400A833FE7E7401EC44AD764D8B2ED4316D</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