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6FB" w:rsidRDefault="006F06FB" w:rsidP="00C12AEE">
      <w:pPr>
        <w:jc w:val="both"/>
      </w:pPr>
    </w:p>
    <w:p w:rsidR="006F06FB" w:rsidRDefault="006F06FB" w:rsidP="00C12AEE">
      <w:pPr>
        <w:jc w:val="both"/>
      </w:pPr>
    </w:p>
    <w:p w:rsidR="008C438F" w:rsidRDefault="008C438F" w:rsidP="00C12AEE">
      <w:pPr>
        <w:jc w:val="both"/>
      </w:pPr>
    </w:p>
    <w:p w:rsidR="008C438F" w:rsidRDefault="008C438F" w:rsidP="00C12AEE">
      <w:pPr>
        <w:jc w:val="both"/>
      </w:pPr>
    </w:p>
    <w:p w:rsidR="008C438F" w:rsidRDefault="008C438F" w:rsidP="00C12AEE">
      <w:pPr>
        <w:jc w:val="both"/>
      </w:pPr>
    </w:p>
    <w:p w:rsidR="00C12AEE" w:rsidRDefault="00C12AEE" w:rsidP="00C12AEE">
      <w:pPr>
        <w:jc w:val="both"/>
        <w:rPr>
          <w:b/>
          <w:sz w:val="28"/>
          <w:szCs w:val="28"/>
        </w:rPr>
      </w:pPr>
      <w:r>
        <w:rPr>
          <w:b/>
          <w:sz w:val="28"/>
          <w:szCs w:val="28"/>
        </w:rPr>
        <w:t xml:space="preserve">                                 </w:t>
      </w:r>
    </w:p>
    <w:p w:rsidR="00C12AEE" w:rsidRDefault="00C12AEE" w:rsidP="00C12AEE">
      <w:pPr>
        <w:jc w:val="center"/>
        <w:rPr>
          <w:b/>
          <w:sz w:val="28"/>
          <w:szCs w:val="28"/>
        </w:rPr>
      </w:pPr>
    </w:p>
    <w:p w:rsidR="00C12AEE" w:rsidRDefault="00C12AEE" w:rsidP="00C12AEE">
      <w:pPr>
        <w:jc w:val="center"/>
        <w:rPr>
          <w:b/>
          <w:sz w:val="28"/>
          <w:szCs w:val="28"/>
        </w:rPr>
      </w:pPr>
    </w:p>
    <w:p w:rsidR="00C12AEE" w:rsidRDefault="00C12AEE" w:rsidP="00C12AEE">
      <w:pPr>
        <w:jc w:val="center"/>
        <w:rPr>
          <w:b/>
          <w:sz w:val="28"/>
          <w:szCs w:val="28"/>
        </w:rPr>
      </w:pPr>
    </w:p>
    <w:p w:rsidR="00C12AEE" w:rsidRDefault="00C12AEE" w:rsidP="00C12AEE">
      <w:pPr>
        <w:jc w:val="center"/>
        <w:rPr>
          <w:b/>
          <w:sz w:val="28"/>
          <w:szCs w:val="28"/>
        </w:rPr>
      </w:pPr>
    </w:p>
    <w:p w:rsidR="00E74993" w:rsidRDefault="00E74993" w:rsidP="00C12AEE">
      <w:pPr>
        <w:jc w:val="center"/>
        <w:rPr>
          <w:b/>
          <w:sz w:val="28"/>
          <w:szCs w:val="28"/>
        </w:rPr>
      </w:pPr>
    </w:p>
    <w:p w:rsidR="00E74993" w:rsidRDefault="00E74993" w:rsidP="00C12AEE">
      <w:pPr>
        <w:jc w:val="center"/>
        <w:rPr>
          <w:b/>
          <w:sz w:val="28"/>
          <w:szCs w:val="28"/>
        </w:rPr>
      </w:pPr>
    </w:p>
    <w:p w:rsidR="00E74993" w:rsidRDefault="00E74993" w:rsidP="00C12AEE">
      <w:pPr>
        <w:jc w:val="center"/>
        <w:rPr>
          <w:b/>
          <w:sz w:val="28"/>
          <w:szCs w:val="28"/>
        </w:rPr>
      </w:pPr>
    </w:p>
    <w:p w:rsidR="00E74993" w:rsidRDefault="00E74993" w:rsidP="00C12AEE">
      <w:pPr>
        <w:jc w:val="center"/>
        <w:rPr>
          <w:b/>
          <w:sz w:val="28"/>
          <w:szCs w:val="28"/>
        </w:rPr>
      </w:pPr>
    </w:p>
    <w:p w:rsidR="00E74993" w:rsidRDefault="00E74993" w:rsidP="00C12AEE">
      <w:pPr>
        <w:jc w:val="center"/>
        <w:rPr>
          <w:b/>
          <w:sz w:val="28"/>
          <w:szCs w:val="28"/>
        </w:rPr>
      </w:pPr>
    </w:p>
    <w:p w:rsidR="00E74993" w:rsidRDefault="00E74993" w:rsidP="00C12AEE">
      <w:pPr>
        <w:jc w:val="center"/>
        <w:rPr>
          <w:b/>
          <w:sz w:val="28"/>
          <w:szCs w:val="28"/>
        </w:rPr>
      </w:pPr>
    </w:p>
    <w:p w:rsidR="00E74993" w:rsidRDefault="00E74993" w:rsidP="00C12AEE">
      <w:pPr>
        <w:jc w:val="center"/>
        <w:rPr>
          <w:b/>
          <w:sz w:val="28"/>
          <w:szCs w:val="28"/>
        </w:rPr>
      </w:pPr>
    </w:p>
    <w:p w:rsidR="00E74993" w:rsidRDefault="00E74993" w:rsidP="00C12AEE">
      <w:pPr>
        <w:jc w:val="center"/>
        <w:rPr>
          <w:b/>
          <w:sz w:val="28"/>
          <w:szCs w:val="28"/>
        </w:rPr>
      </w:pPr>
    </w:p>
    <w:p w:rsidR="00E74993" w:rsidRDefault="00E74993" w:rsidP="00C12AEE">
      <w:pPr>
        <w:jc w:val="center"/>
        <w:rPr>
          <w:b/>
          <w:sz w:val="28"/>
          <w:szCs w:val="28"/>
        </w:rPr>
      </w:pPr>
      <w:r>
        <w:rPr>
          <w:b/>
          <w:noProof/>
          <w:color w:val="FFFFFF" w:themeColor="background1"/>
          <w:sz w:val="44"/>
          <w:szCs w:val="44"/>
          <w:lang w:eastAsia="en-AU"/>
        </w:rPr>
        <mc:AlternateContent>
          <mc:Choice Requires="wps">
            <w:drawing>
              <wp:anchor distT="0" distB="0" distL="114300" distR="114300" simplePos="0" relativeHeight="251659264" behindDoc="0" locked="0" layoutInCell="1" allowOverlap="1" wp14:anchorId="58B9B72F" wp14:editId="67B5642F">
                <wp:simplePos x="0" y="0"/>
                <wp:positionH relativeFrom="margin">
                  <wp:posOffset>0</wp:posOffset>
                </wp:positionH>
                <wp:positionV relativeFrom="margin">
                  <wp:posOffset>3751580</wp:posOffset>
                </wp:positionV>
                <wp:extent cx="5749747" cy="1484986"/>
                <wp:effectExtent l="0" t="0" r="22860" b="20320"/>
                <wp:wrapNone/>
                <wp:docPr id="1" name="Rounded Rectangle 1"/>
                <wp:cNvGraphicFramePr/>
                <a:graphic xmlns:a="http://schemas.openxmlformats.org/drawingml/2006/main">
                  <a:graphicData uri="http://schemas.microsoft.com/office/word/2010/wordprocessingShape">
                    <wps:wsp>
                      <wps:cNvSpPr/>
                      <wps:spPr>
                        <a:xfrm>
                          <a:off x="0" y="0"/>
                          <a:ext cx="5749747" cy="1484986"/>
                        </a:xfrm>
                        <a:prstGeom prst="roundRect">
                          <a:avLst/>
                        </a:prstGeom>
                        <a:solidFill>
                          <a:srgbClr val="008000"/>
                        </a:solidFill>
                      </wps:spPr>
                      <wps:style>
                        <a:lnRef idx="2">
                          <a:schemeClr val="accent3">
                            <a:shade val="50000"/>
                          </a:schemeClr>
                        </a:lnRef>
                        <a:fillRef idx="1">
                          <a:schemeClr val="accent3"/>
                        </a:fillRef>
                        <a:effectRef idx="0">
                          <a:schemeClr val="accent3"/>
                        </a:effectRef>
                        <a:fontRef idx="minor">
                          <a:schemeClr val="lt1"/>
                        </a:fontRef>
                      </wps:style>
                      <wps:txbx>
                        <w:txbxContent>
                          <w:p w:rsidR="00E74993" w:rsidRPr="00E74993" w:rsidRDefault="00E74993" w:rsidP="00E74993">
                            <w:pPr>
                              <w:jc w:val="center"/>
                              <w:rPr>
                                <w:sz w:val="52"/>
                                <w:szCs w:val="52"/>
                              </w:rPr>
                            </w:pPr>
                            <w:r w:rsidRPr="00E74993">
                              <w:rPr>
                                <w:sz w:val="52"/>
                                <w:szCs w:val="52"/>
                              </w:rPr>
                              <w:t>National Education Evidence Base</w:t>
                            </w:r>
                          </w:p>
                          <w:p w:rsidR="00E74993" w:rsidRPr="00E74993" w:rsidRDefault="00E74993" w:rsidP="00E74993">
                            <w:pPr>
                              <w:jc w:val="center"/>
                              <w:rPr>
                                <w:sz w:val="36"/>
                                <w:szCs w:val="36"/>
                              </w:rPr>
                            </w:pPr>
                            <w:r w:rsidRPr="00E74993">
                              <w:rPr>
                                <w:sz w:val="36"/>
                                <w:szCs w:val="36"/>
                              </w:rPr>
                              <w:t>Response to draft report (September 2016)</w:t>
                            </w:r>
                          </w:p>
                          <w:p w:rsidR="00E74993" w:rsidRPr="00E74993" w:rsidRDefault="00526D16" w:rsidP="00E74993">
                            <w:pPr>
                              <w:jc w:val="center"/>
                              <w:rPr>
                                <w:sz w:val="32"/>
                                <w:szCs w:val="32"/>
                              </w:rPr>
                            </w:pPr>
                            <w:r>
                              <w:rPr>
                                <w:sz w:val="32"/>
                                <w:szCs w:val="32"/>
                              </w:rPr>
                              <w:t>10</w:t>
                            </w:r>
                            <w:r w:rsidR="00E74993" w:rsidRPr="00E74993">
                              <w:rPr>
                                <w:sz w:val="32"/>
                                <w:szCs w:val="32"/>
                              </w:rPr>
                              <w:t xml:space="preserve"> October 2016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58B9B72F" id="Rounded Rectangle 1" o:spid="_x0000_s1026" style="position:absolute;left:0;text-align:left;margin-left:0;margin-top:295.4pt;width:452.75pt;height:116.95pt;z-index:251659264;visibility:visible;mso-wrap-style:square;mso-wrap-distance-left:9pt;mso-wrap-distance-top:0;mso-wrap-distance-right:9pt;mso-wrap-distance-bottom:0;mso-position-horizontal:absolute;mso-position-horizontal-relative:margin;mso-position-vertical:absolute;mso-position-vertic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" fillcolor="green" strokecolor="#4e6128 [1606]" strokeweight="2pt">
                <v:textbox>
                  <w:txbxContent>
                    <w:p w:rsidR="00E74993" w:rsidRPr="00E74993" w:rsidRDefault="00E74993" w:rsidP="00E74993">
                      <w:pPr>
                        <w:jc w:val="center"/>
                        <w:rPr>
                          <w:sz w:val="52"/>
                          <w:szCs w:val="52"/>
                        </w:rPr>
                      </w:pPr>
                      <w:r w:rsidRPr="00E74993">
                        <w:rPr>
                          <w:sz w:val="52"/>
                          <w:szCs w:val="52"/>
                        </w:rPr>
                        <w:t>National Education Evidence Base</w:t>
                      </w:r>
                    </w:p>
                    <w:p w:rsidR="00E74993" w:rsidRPr="00E74993" w:rsidRDefault="00E74993" w:rsidP="00E74993">
                      <w:pPr>
                        <w:jc w:val="center"/>
                        <w:rPr>
                          <w:sz w:val="36"/>
                          <w:szCs w:val="36"/>
                        </w:rPr>
                      </w:pPr>
                      <w:r w:rsidRPr="00E74993">
                        <w:rPr>
                          <w:sz w:val="36"/>
                          <w:szCs w:val="36"/>
                        </w:rPr>
                        <w:t>Response to draft report (September 2016)</w:t>
                      </w:r>
                    </w:p>
                    <w:p w:rsidR="00E74993" w:rsidRPr="00E74993" w:rsidRDefault="00526D16" w:rsidP="00E74993">
                      <w:pPr>
                        <w:jc w:val="center"/>
                        <w:rPr>
                          <w:sz w:val="32"/>
                          <w:szCs w:val="32"/>
                        </w:rPr>
                      </w:pPr>
                      <w:r>
                        <w:rPr>
                          <w:sz w:val="32"/>
                          <w:szCs w:val="32"/>
                        </w:rPr>
                        <w:t>10</w:t>
                      </w:r>
                      <w:bookmarkStart w:id="1" w:name="_GoBack"/>
                      <w:bookmarkEnd w:id="1"/>
                      <w:r w:rsidR="00E74993" w:rsidRPr="00E74993">
                        <w:rPr>
                          <w:sz w:val="32"/>
                          <w:szCs w:val="32"/>
                        </w:rPr>
                        <w:t xml:space="preserve"> October 2016</w:t>
                      </w:r>
                    </w:p>
                  </w:txbxContent>
                </v:textbox>
                <w10:wrap anchorx="margin" anchory="margin"/>
              </v:roundrect>
            </w:pict>
          </mc:Fallback>
        </mc:AlternateContent>
      </w:r>
    </w:p>
    <w:p w:rsidR="00E74993" w:rsidRDefault="00E74993" w:rsidP="00C12AEE">
      <w:pPr>
        <w:jc w:val="center"/>
        <w:rPr>
          <w:b/>
          <w:sz w:val="28"/>
          <w:szCs w:val="28"/>
        </w:rPr>
      </w:pPr>
    </w:p>
    <w:p w:rsidR="00E74993" w:rsidRDefault="00E74993" w:rsidP="00C12AEE">
      <w:pPr>
        <w:jc w:val="center"/>
        <w:rPr>
          <w:b/>
          <w:sz w:val="28"/>
          <w:szCs w:val="28"/>
        </w:rPr>
      </w:pPr>
    </w:p>
    <w:p w:rsidR="00E74993" w:rsidRDefault="00E74993" w:rsidP="00C12AEE">
      <w:pPr>
        <w:jc w:val="center"/>
        <w:rPr>
          <w:b/>
          <w:sz w:val="28"/>
          <w:szCs w:val="28"/>
        </w:rPr>
      </w:pPr>
    </w:p>
    <w:p w:rsidR="00E74993" w:rsidRDefault="00E74993" w:rsidP="00C12AEE">
      <w:pPr>
        <w:jc w:val="center"/>
        <w:rPr>
          <w:b/>
          <w:sz w:val="28"/>
          <w:szCs w:val="28"/>
        </w:rPr>
      </w:pPr>
    </w:p>
    <w:p w:rsidR="00E74993" w:rsidRDefault="00E74993" w:rsidP="00C12AEE">
      <w:pPr>
        <w:jc w:val="center"/>
        <w:rPr>
          <w:b/>
          <w:sz w:val="28"/>
          <w:szCs w:val="28"/>
        </w:rPr>
      </w:pPr>
    </w:p>
    <w:p w:rsidR="00E74993" w:rsidRDefault="00E74993" w:rsidP="00C12AEE">
      <w:pPr>
        <w:jc w:val="center"/>
        <w:rPr>
          <w:b/>
          <w:sz w:val="28"/>
          <w:szCs w:val="28"/>
        </w:rPr>
      </w:pPr>
    </w:p>
    <w:p w:rsidR="00E74993" w:rsidRDefault="00E74993" w:rsidP="00C12AEE">
      <w:pPr>
        <w:jc w:val="center"/>
        <w:rPr>
          <w:b/>
          <w:sz w:val="28"/>
          <w:szCs w:val="28"/>
        </w:rPr>
      </w:pPr>
    </w:p>
    <w:p w:rsidR="00E74993" w:rsidRDefault="00E74993" w:rsidP="00C12AEE">
      <w:pPr>
        <w:jc w:val="center"/>
        <w:rPr>
          <w:b/>
          <w:sz w:val="28"/>
          <w:szCs w:val="28"/>
        </w:rPr>
      </w:pPr>
    </w:p>
    <w:p w:rsidR="00E74993" w:rsidRDefault="00E74993" w:rsidP="00C12AEE">
      <w:pPr>
        <w:jc w:val="center"/>
        <w:rPr>
          <w:b/>
          <w:sz w:val="28"/>
          <w:szCs w:val="28"/>
        </w:rPr>
      </w:pPr>
    </w:p>
    <w:p w:rsidR="00E74993" w:rsidRDefault="00E74993" w:rsidP="00C12AEE">
      <w:pPr>
        <w:jc w:val="center"/>
        <w:rPr>
          <w:b/>
          <w:sz w:val="28"/>
          <w:szCs w:val="28"/>
        </w:rPr>
      </w:pPr>
    </w:p>
    <w:p w:rsidR="00572C73" w:rsidRDefault="00572C73" w:rsidP="00C12AEE">
      <w:pPr>
        <w:jc w:val="center"/>
        <w:rPr>
          <w:b/>
          <w:sz w:val="28"/>
          <w:szCs w:val="28"/>
        </w:rPr>
      </w:pPr>
    </w:p>
    <w:p w:rsidR="00572C73" w:rsidRDefault="00572C73" w:rsidP="00C12AEE">
      <w:pPr>
        <w:jc w:val="center"/>
        <w:rPr>
          <w:b/>
          <w:sz w:val="28"/>
          <w:szCs w:val="28"/>
        </w:rPr>
      </w:pPr>
    </w:p>
    <w:p w:rsidR="00572C73" w:rsidRDefault="00572C73" w:rsidP="00890883">
      <w:pPr>
        <w:rPr>
          <w:b/>
          <w:sz w:val="28"/>
          <w:szCs w:val="28"/>
        </w:rPr>
      </w:pPr>
    </w:p>
    <w:p w:rsidR="00572C73" w:rsidRDefault="00572C73" w:rsidP="00C12AEE">
      <w:pPr>
        <w:jc w:val="center"/>
        <w:rPr>
          <w:b/>
          <w:sz w:val="28"/>
          <w:szCs w:val="28"/>
        </w:rPr>
      </w:pPr>
    </w:p>
    <w:p w:rsidR="00572C73" w:rsidRPr="00890883" w:rsidRDefault="00890883" w:rsidP="00890883">
      <w:pPr>
        <w:jc w:val="center"/>
        <w:rPr>
          <w:b/>
          <w:sz w:val="36"/>
          <w:szCs w:val="28"/>
          <w:u w:val="thick" w:color="008000"/>
        </w:rPr>
      </w:pPr>
      <w:r w:rsidRPr="00890883">
        <w:rPr>
          <w:b/>
          <w:sz w:val="36"/>
          <w:szCs w:val="28"/>
          <w:u w:val="thick" w:color="008000"/>
        </w:rPr>
        <w:tab/>
      </w:r>
      <w:r w:rsidRPr="00890883">
        <w:rPr>
          <w:b/>
          <w:sz w:val="36"/>
          <w:szCs w:val="28"/>
          <w:u w:val="thick" w:color="008000"/>
        </w:rPr>
        <w:tab/>
      </w:r>
      <w:r w:rsidRPr="00890883">
        <w:rPr>
          <w:b/>
          <w:sz w:val="36"/>
          <w:szCs w:val="28"/>
          <w:u w:val="thick" w:color="008000"/>
        </w:rPr>
        <w:tab/>
      </w:r>
      <w:r w:rsidRPr="00890883">
        <w:rPr>
          <w:b/>
          <w:sz w:val="36"/>
          <w:szCs w:val="28"/>
          <w:u w:val="thick" w:color="008000"/>
        </w:rPr>
        <w:tab/>
      </w:r>
      <w:r w:rsidRPr="00890883">
        <w:rPr>
          <w:b/>
          <w:sz w:val="36"/>
          <w:szCs w:val="28"/>
          <w:u w:val="thick" w:color="008000"/>
        </w:rPr>
        <w:tab/>
      </w:r>
      <w:r w:rsidRPr="00890883">
        <w:rPr>
          <w:b/>
          <w:sz w:val="36"/>
          <w:szCs w:val="28"/>
          <w:u w:val="thick" w:color="008000"/>
        </w:rPr>
        <w:tab/>
      </w:r>
      <w:r w:rsidRPr="00890883">
        <w:rPr>
          <w:b/>
          <w:sz w:val="36"/>
          <w:szCs w:val="28"/>
          <w:u w:val="thick" w:color="008000"/>
        </w:rPr>
        <w:tab/>
      </w:r>
      <w:r w:rsidRPr="00890883">
        <w:rPr>
          <w:b/>
          <w:sz w:val="36"/>
          <w:szCs w:val="28"/>
          <w:u w:val="thick" w:color="008000"/>
        </w:rPr>
        <w:tab/>
      </w:r>
      <w:r w:rsidRPr="00890883">
        <w:rPr>
          <w:b/>
          <w:sz w:val="36"/>
          <w:szCs w:val="28"/>
          <w:u w:val="thick" w:color="008000"/>
        </w:rPr>
        <w:tab/>
      </w:r>
      <w:r w:rsidRPr="00890883">
        <w:rPr>
          <w:b/>
          <w:sz w:val="36"/>
          <w:szCs w:val="28"/>
          <w:u w:val="thick" w:color="008000"/>
        </w:rPr>
        <w:tab/>
      </w:r>
      <w:r w:rsidRPr="00890883">
        <w:rPr>
          <w:b/>
          <w:sz w:val="36"/>
          <w:szCs w:val="28"/>
          <w:u w:val="thick" w:color="008000"/>
        </w:rPr>
        <w:tab/>
      </w:r>
      <w:r w:rsidRPr="00890883">
        <w:rPr>
          <w:b/>
          <w:sz w:val="36"/>
          <w:szCs w:val="28"/>
          <w:u w:val="thick" w:color="008000"/>
        </w:rPr>
        <w:tab/>
      </w:r>
    </w:p>
    <w:p w:rsidR="00572C73" w:rsidRDefault="00572C73" w:rsidP="00C12AEE">
      <w:pPr>
        <w:jc w:val="center"/>
        <w:rPr>
          <w:b/>
          <w:sz w:val="28"/>
          <w:szCs w:val="28"/>
        </w:rPr>
      </w:pPr>
    </w:p>
    <w:p w:rsidR="00E74993" w:rsidRPr="00572C73" w:rsidRDefault="00E74993" w:rsidP="00E74993">
      <w:pPr>
        <w:rPr>
          <w:b/>
          <w:sz w:val="20"/>
          <w:szCs w:val="20"/>
          <w:u w:val="single"/>
        </w:rPr>
      </w:pPr>
      <w:r w:rsidRPr="00572C73">
        <w:rPr>
          <w:b/>
          <w:sz w:val="20"/>
          <w:szCs w:val="20"/>
          <w:u w:val="single"/>
        </w:rPr>
        <w:t>About Catholic School Parents Australia</w:t>
      </w:r>
    </w:p>
    <w:p w:rsidR="00572C73" w:rsidRDefault="00572C73" w:rsidP="00E74993">
      <w:pPr>
        <w:jc w:val="both"/>
        <w:rPr>
          <w:sz w:val="20"/>
          <w:szCs w:val="20"/>
        </w:rPr>
      </w:pPr>
    </w:p>
    <w:p w:rsidR="00E74993" w:rsidRPr="00572C73" w:rsidRDefault="00E74993" w:rsidP="00572C73">
      <w:pPr>
        <w:jc w:val="both"/>
        <w:rPr>
          <w:sz w:val="20"/>
          <w:szCs w:val="20"/>
        </w:rPr>
      </w:pPr>
      <w:r w:rsidRPr="00572C73">
        <w:rPr>
          <w:sz w:val="20"/>
          <w:szCs w:val="20"/>
        </w:rPr>
        <w:t xml:space="preserve">Catholic School Parents Australia </w:t>
      </w:r>
      <w:r w:rsidR="00572C73" w:rsidRPr="00572C73">
        <w:rPr>
          <w:sz w:val="20"/>
          <w:szCs w:val="20"/>
        </w:rPr>
        <w:t>is recognised by the Australian Catholic Bishops Conference through the Bishops Commission for Catholic Education as the national body representing and advocating</w:t>
      </w:r>
      <w:r w:rsidRPr="00572C73">
        <w:rPr>
          <w:sz w:val="20"/>
          <w:szCs w:val="20"/>
        </w:rPr>
        <w:t xml:space="preserve"> for the parents and guardians of over 760,000 children and y</w:t>
      </w:r>
      <w:r w:rsidR="00572C73" w:rsidRPr="00572C73">
        <w:rPr>
          <w:sz w:val="20"/>
          <w:szCs w:val="20"/>
        </w:rPr>
        <w:t>oung people who attend the 1731</w:t>
      </w:r>
      <w:r w:rsidRPr="00572C73">
        <w:rPr>
          <w:sz w:val="20"/>
          <w:szCs w:val="20"/>
        </w:rPr>
        <w:t xml:space="preserve"> Cat</w:t>
      </w:r>
      <w:r w:rsidR="00572C73" w:rsidRPr="00572C73">
        <w:rPr>
          <w:sz w:val="20"/>
          <w:szCs w:val="20"/>
        </w:rPr>
        <w:t xml:space="preserve">holic schools across Australia.  </w:t>
      </w:r>
      <w:proofErr w:type="spellStart"/>
      <w:r w:rsidR="00572C73" w:rsidRPr="00572C73">
        <w:rPr>
          <w:sz w:val="20"/>
          <w:szCs w:val="20"/>
        </w:rPr>
        <w:t>CSPA</w:t>
      </w:r>
      <w:proofErr w:type="spellEnd"/>
      <w:r w:rsidR="00572C73" w:rsidRPr="00572C73">
        <w:rPr>
          <w:sz w:val="20"/>
          <w:szCs w:val="20"/>
        </w:rPr>
        <w:t xml:space="preserve"> works in collaboration and consultation with the National Catholic Education Commission.</w:t>
      </w:r>
    </w:p>
    <w:p w:rsidR="00E74993" w:rsidRDefault="00E74993" w:rsidP="00C12AEE">
      <w:pPr>
        <w:jc w:val="center"/>
        <w:rPr>
          <w:b/>
          <w:sz w:val="28"/>
          <w:szCs w:val="28"/>
        </w:rPr>
      </w:pPr>
    </w:p>
    <w:p w:rsidR="00C12AEE" w:rsidRDefault="00C12AEE" w:rsidP="00C12AEE">
      <w:pPr>
        <w:jc w:val="both"/>
        <w:rPr>
          <w:b/>
          <w:sz w:val="28"/>
          <w:szCs w:val="28"/>
        </w:rPr>
        <w:sectPr w:rsidR="00C12AEE" w:rsidSect="00890883">
          <w:headerReference w:type="default" r:id="rId14"/>
          <w:pgSz w:w="11906" w:h="16838"/>
          <w:pgMar w:top="1440" w:right="1558" w:bottom="1440" w:left="1440" w:header="709" w:footer="567" w:gutter="0"/>
          <w:cols w:space="708"/>
          <w:docGrid w:linePitch="360"/>
        </w:sectPr>
      </w:pPr>
    </w:p>
    <w:p w:rsidR="00F91C61" w:rsidRDefault="00F91C61" w:rsidP="0018628A">
      <w:pPr>
        <w:pStyle w:val="Heading1"/>
        <w:spacing w:line="276" w:lineRule="auto"/>
      </w:pPr>
      <w:r>
        <w:lastRenderedPageBreak/>
        <w:t>Catholic School Parents Australia</w:t>
      </w:r>
      <w:bookmarkStart w:id="0" w:name="_GoBack"/>
      <w:bookmarkEnd w:id="0"/>
    </w:p>
    <w:p w:rsidR="00B0398B" w:rsidRDefault="00B0398B" w:rsidP="00F91C61">
      <w:pPr>
        <w:spacing w:line="276" w:lineRule="auto"/>
        <w:jc w:val="both"/>
      </w:pPr>
    </w:p>
    <w:p w:rsidR="00F91C61" w:rsidRDefault="00F91C61" w:rsidP="003D5642">
      <w:pPr>
        <w:spacing w:line="276" w:lineRule="auto"/>
        <w:jc w:val="both"/>
      </w:pPr>
      <w:r w:rsidRPr="00FE475B">
        <w:t>Catholic School Parents Australia (</w:t>
      </w:r>
      <w:proofErr w:type="spellStart"/>
      <w:r w:rsidRPr="00FE475B">
        <w:t>CSPA</w:t>
      </w:r>
      <w:proofErr w:type="spellEnd"/>
      <w:r w:rsidRPr="00FE475B">
        <w:t xml:space="preserve">) is the peak national body representing the parents </w:t>
      </w:r>
      <w:r>
        <w:t xml:space="preserve">and carers </w:t>
      </w:r>
      <w:r w:rsidRPr="00FE475B">
        <w:t xml:space="preserve">of over 765,000 children in </w:t>
      </w:r>
      <w:r>
        <w:t xml:space="preserve">1731 </w:t>
      </w:r>
      <w:r w:rsidRPr="00FE475B">
        <w:t xml:space="preserve">Australian Catholic schools. </w:t>
      </w:r>
      <w:r>
        <w:t xml:space="preserve"> This represents over 20% of all Australian students.</w:t>
      </w:r>
    </w:p>
    <w:p w:rsidR="00F91C61" w:rsidRDefault="00F91C61" w:rsidP="003D5642">
      <w:pPr>
        <w:spacing w:line="276" w:lineRule="auto"/>
        <w:jc w:val="both"/>
      </w:pPr>
    </w:p>
    <w:p w:rsidR="00F91C61" w:rsidRDefault="00F91C61" w:rsidP="003D5642">
      <w:pPr>
        <w:spacing w:line="276" w:lineRule="auto"/>
        <w:jc w:val="both"/>
      </w:pPr>
      <w:proofErr w:type="spellStart"/>
      <w:r>
        <w:t>CSPA’s</w:t>
      </w:r>
      <w:proofErr w:type="spellEnd"/>
      <w:r w:rsidRPr="00FE475B">
        <w:t xml:space="preserve"> membership is made up of the Catholic school parent associations of Queensland, New South Wales, Victoria, South Australia, Western Australia, Tasmania and the ACT.</w:t>
      </w:r>
      <w:r>
        <w:t xml:space="preserve">  In turn, each member parent body plays an advocacy role for all parents and carers through their Parents &amp; Friends associations at the local school level.  </w:t>
      </w:r>
      <w:proofErr w:type="spellStart"/>
      <w:r>
        <w:t>CSPA</w:t>
      </w:r>
      <w:proofErr w:type="spellEnd"/>
      <w:r>
        <w:t xml:space="preserve"> Member State and ACT authorities also work in close liaison with their Catholic education authorities at diocesan level and with their State Catholic education commissions.</w:t>
      </w:r>
    </w:p>
    <w:p w:rsidR="00F91C61" w:rsidRPr="00F91C61" w:rsidRDefault="00F91C61" w:rsidP="003D5642">
      <w:pPr>
        <w:spacing w:line="276" w:lineRule="auto"/>
      </w:pPr>
    </w:p>
    <w:p w:rsidR="00C12AEE" w:rsidRDefault="00890883" w:rsidP="003D5642">
      <w:pPr>
        <w:pStyle w:val="Heading1"/>
        <w:spacing w:line="276" w:lineRule="auto"/>
      </w:pPr>
      <w:r>
        <w:t>Endorsement of the National Catholic Education Commission’s submission of 7 October 2016</w:t>
      </w:r>
    </w:p>
    <w:p w:rsidR="00A40AA7" w:rsidRPr="00A40AA7" w:rsidRDefault="00A40AA7" w:rsidP="003D5642">
      <w:pPr>
        <w:spacing w:line="276" w:lineRule="auto"/>
      </w:pPr>
    </w:p>
    <w:p w:rsidR="00890883" w:rsidRDefault="00890883" w:rsidP="003D5642">
      <w:pPr>
        <w:spacing w:line="276" w:lineRule="auto"/>
        <w:jc w:val="both"/>
      </w:pPr>
      <w:r>
        <w:t>Catholic School Parents Australia (</w:t>
      </w:r>
      <w:proofErr w:type="spellStart"/>
      <w:r>
        <w:t>CSPA</w:t>
      </w:r>
      <w:proofErr w:type="spellEnd"/>
      <w:r>
        <w:t xml:space="preserve">) endorses the </w:t>
      </w:r>
      <w:r w:rsidRPr="00FE475B">
        <w:rPr>
          <w:i/>
        </w:rPr>
        <w:t>National Education Evidence Base</w:t>
      </w:r>
      <w:r>
        <w:t xml:space="preserve"> submission made by the National Catholic Education Commission on 7 October 2016.</w:t>
      </w:r>
    </w:p>
    <w:p w:rsidR="00815116" w:rsidRDefault="00815116" w:rsidP="003D5642">
      <w:pPr>
        <w:spacing w:line="276" w:lineRule="auto"/>
        <w:jc w:val="both"/>
      </w:pPr>
    </w:p>
    <w:p w:rsidR="00B0398B" w:rsidRDefault="000F2740" w:rsidP="003D5642">
      <w:pPr>
        <w:spacing w:line="276" w:lineRule="auto"/>
        <w:rPr>
          <w:rFonts w:eastAsia="Times New Roman"/>
        </w:rPr>
      </w:pPr>
      <w:r>
        <w:t>Further to</w:t>
      </w:r>
      <w:r w:rsidR="00815116">
        <w:t xml:space="preserve"> endorsing the </w:t>
      </w:r>
      <w:proofErr w:type="spellStart"/>
      <w:r w:rsidR="00815116">
        <w:t>NCEC</w:t>
      </w:r>
      <w:proofErr w:type="spellEnd"/>
      <w:r w:rsidR="00815116">
        <w:t xml:space="preserve"> submission, </w:t>
      </w:r>
      <w:r>
        <w:t xml:space="preserve">Catholic School Parents Australia </w:t>
      </w:r>
      <w:r>
        <w:rPr>
          <w:rFonts w:eastAsia="Times New Roman"/>
        </w:rPr>
        <w:t xml:space="preserve">would like to add emphasis around parent engagement </w:t>
      </w:r>
      <w:r w:rsidR="00A40AA7">
        <w:rPr>
          <w:rFonts w:eastAsia="Times New Roman"/>
        </w:rPr>
        <w:t>within a national education evidence base towards</w:t>
      </w:r>
      <w:r>
        <w:rPr>
          <w:rFonts w:eastAsia="Times New Roman"/>
        </w:rPr>
        <w:t xml:space="preserve"> infl</w:t>
      </w:r>
      <w:r w:rsidR="00B0398B">
        <w:rPr>
          <w:rFonts w:eastAsia="Times New Roman"/>
        </w:rPr>
        <w:t>uencing student learning.</w:t>
      </w:r>
    </w:p>
    <w:p w:rsidR="00B0398B" w:rsidRDefault="00B0398B" w:rsidP="003D5642">
      <w:pPr>
        <w:spacing w:line="276" w:lineRule="auto"/>
        <w:rPr>
          <w:rFonts w:eastAsia="Times New Roman"/>
        </w:rPr>
      </w:pPr>
    </w:p>
    <w:p w:rsidR="00B0398B" w:rsidRDefault="00B0398B" w:rsidP="003D5642">
      <w:pPr>
        <w:pStyle w:val="Heading1"/>
        <w:spacing w:line="276" w:lineRule="auto"/>
      </w:pPr>
      <w:r>
        <w:t>Parent Engagement</w:t>
      </w:r>
    </w:p>
    <w:p w:rsidR="008C34B1" w:rsidRDefault="008C34B1" w:rsidP="003D5642">
      <w:pPr>
        <w:spacing w:line="276" w:lineRule="auto"/>
        <w:rPr>
          <w:rFonts w:eastAsia="Times New Roman"/>
        </w:rPr>
      </w:pPr>
    </w:p>
    <w:p w:rsidR="008C34B1" w:rsidRDefault="008C34B1" w:rsidP="003D5642">
      <w:pPr>
        <w:spacing w:line="276" w:lineRule="auto"/>
        <w:rPr>
          <w:rFonts w:eastAsia="Times New Roman"/>
        </w:rPr>
      </w:pPr>
      <w:r>
        <w:rPr>
          <w:rFonts w:eastAsia="Times New Roman"/>
        </w:rPr>
        <w:t xml:space="preserve">Parent engagement has been named by successive governments as a core element of the national reform agenda, yet it has been the least defined and least resourced area. The current federal government’s </w:t>
      </w:r>
      <w:r w:rsidRPr="00B40624">
        <w:rPr>
          <w:rFonts w:eastAsia="Times New Roman"/>
          <w:i/>
        </w:rPr>
        <w:t>Students First</w:t>
      </w:r>
      <w:r>
        <w:rPr>
          <w:rFonts w:eastAsia="Times New Roman"/>
        </w:rPr>
        <w:t xml:space="preserve"> agenda also names parent engagement as a core reform area. Yet, even with this important focus, parent engagement remains poorly defined and there is little guidance for schools in terms of </w:t>
      </w:r>
      <w:r w:rsidRPr="00B40624">
        <w:rPr>
          <w:rFonts w:eastAsia="Times New Roman"/>
          <w:i/>
        </w:rPr>
        <w:t>why</w:t>
      </w:r>
      <w:r>
        <w:rPr>
          <w:rFonts w:eastAsia="Times New Roman"/>
        </w:rPr>
        <w:t xml:space="preserve"> it is important and </w:t>
      </w:r>
      <w:r w:rsidRPr="00B40624">
        <w:rPr>
          <w:rFonts w:eastAsia="Times New Roman"/>
          <w:i/>
        </w:rPr>
        <w:t>how</w:t>
      </w:r>
      <w:r>
        <w:rPr>
          <w:rFonts w:eastAsia="Times New Roman"/>
        </w:rPr>
        <w:t xml:space="preserve"> to work with families effectively to support students’ learning and development.</w:t>
      </w:r>
    </w:p>
    <w:p w:rsidR="008C34B1" w:rsidRDefault="008C34B1" w:rsidP="003D5642">
      <w:pPr>
        <w:spacing w:line="276" w:lineRule="auto"/>
        <w:rPr>
          <w:rFonts w:eastAsia="Times New Roman"/>
        </w:rPr>
      </w:pPr>
    </w:p>
    <w:p w:rsidR="008C34B1" w:rsidRDefault="008C34B1" w:rsidP="003D5642">
      <w:pPr>
        <w:spacing w:line="276" w:lineRule="auto"/>
        <w:rPr>
          <w:rFonts w:eastAsia="Times New Roman"/>
        </w:rPr>
      </w:pPr>
      <w:proofErr w:type="spellStart"/>
      <w:r>
        <w:rPr>
          <w:rFonts w:eastAsia="Times New Roman"/>
        </w:rPr>
        <w:t>CSPA</w:t>
      </w:r>
      <w:proofErr w:type="spellEnd"/>
      <w:r>
        <w:rPr>
          <w:rFonts w:eastAsia="Times New Roman"/>
        </w:rPr>
        <w:t xml:space="preserve"> is of the firm belief that the development of a robust Australian evidence base to support effective practice in schools in the area of parent engagement is needed. Research and data, both quantitative and qualitative, will be an essential element of this.  Furthermore, </w:t>
      </w:r>
      <w:proofErr w:type="spellStart"/>
      <w:r>
        <w:rPr>
          <w:rFonts w:eastAsia="Times New Roman"/>
        </w:rPr>
        <w:t>CSPA</w:t>
      </w:r>
      <w:proofErr w:type="spellEnd"/>
      <w:r>
        <w:rPr>
          <w:rFonts w:eastAsia="Times New Roman"/>
        </w:rPr>
        <w:t xml:space="preserve"> suggests that further research into effective parent engagement practices in the Australian school context should be prioritised as part of any future national research agenda and/or framework.</w:t>
      </w:r>
    </w:p>
    <w:p w:rsidR="00890883" w:rsidRDefault="00890883" w:rsidP="003D5642">
      <w:pPr>
        <w:spacing w:line="276" w:lineRule="auto"/>
        <w:jc w:val="both"/>
      </w:pPr>
    </w:p>
    <w:p w:rsidR="00890883" w:rsidRDefault="00A40AA7" w:rsidP="003D5642">
      <w:pPr>
        <w:spacing w:line="276" w:lineRule="auto"/>
        <w:jc w:val="both"/>
      </w:pPr>
      <w:r>
        <w:t xml:space="preserve">Catholic School Parents Australia </w:t>
      </w:r>
      <w:r w:rsidR="00D10F9F">
        <w:t xml:space="preserve">would like to emphasise a key focus from the </w:t>
      </w:r>
      <w:r w:rsidR="00E91403">
        <w:t xml:space="preserve">Productivity Commission’s </w:t>
      </w:r>
      <w:r w:rsidR="00D10F9F">
        <w:t xml:space="preserve">draft report where </w:t>
      </w:r>
      <w:r w:rsidR="00B848F8">
        <w:t xml:space="preserve">parent engagement for student learning is referenced.  </w:t>
      </w:r>
      <w:r w:rsidR="0018628A">
        <w:t>The following extracts are noted and then discussed.</w:t>
      </w:r>
    </w:p>
    <w:p w:rsidR="00B848F8" w:rsidRDefault="00B848F8" w:rsidP="00B848F8">
      <w:pPr>
        <w:jc w:val="both"/>
      </w:pPr>
    </w:p>
    <w:p w:rsidR="00B848F8" w:rsidRPr="005801EC" w:rsidRDefault="00B848F8" w:rsidP="0018628A">
      <w:pPr>
        <w:pStyle w:val="BodyText"/>
        <w:spacing w:before="0" w:line="240" w:lineRule="auto"/>
        <w:ind w:left="1276"/>
        <w:rPr>
          <w:sz w:val="22"/>
          <w:szCs w:val="22"/>
        </w:rPr>
      </w:pPr>
      <w:r w:rsidRPr="005801EC">
        <w:rPr>
          <w:i/>
          <w:sz w:val="22"/>
          <w:szCs w:val="22"/>
        </w:rPr>
        <w:t>Participants have indicated that data on other external influences that could be important to education outcomes are not collected to a sufficient degree in any national datasets. For example, the Telethon Kids Institute (sub. 15, p. 3) noted that ‘[t]he quality of the home environment is the most important factor in a child’s social and intellectual development … Australia has no measure on the quality of parenting or family cohesion’. The Queensland University of Technology Faculty of Education (sub. 19, p. 11) indicated that further data are required on ‘the degree of parental engagement with their child throughout their school years; parents’ perceptions of the value of education and where they think academic excellence comes from … ’.</w:t>
      </w:r>
      <w:r w:rsidR="00562C31" w:rsidRPr="005801EC">
        <w:rPr>
          <w:sz w:val="22"/>
          <w:szCs w:val="22"/>
        </w:rPr>
        <w:t xml:space="preserve"> (</w:t>
      </w:r>
      <w:r w:rsidRPr="005801EC">
        <w:rPr>
          <w:sz w:val="22"/>
          <w:szCs w:val="22"/>
        </w:rPr>
        <w:t>p.</w:t>
      </w:r>
      <w:r w:rsidR="00562C31" w:rsidRPr="005801EC">
        <w:rPr>
          <w:sz w:val="22"/>
          <w:szCs w:val="22"/>
        </w:rPr>
        <w:t xml:space="preserve"> </w:t>
      </w:r>
      <w:r w:rsidRPr="005801EC">
        <w:rPr>
          <w:sz w:val="22"/>
          <w:szCs w:val="22"/>
        </w:rPr>
        <w:t>92</w:t>
      </w:r>
      <w:r w:rsidR="00562C31" w:rsidRPr="005801EC">
        <w:rPr>
          <w:sz w:val="22"/>
          <w:szCs w:val="22"/>
        </w:rPr>
        <w:t>).</w:t>
      </w:r>
    </w:p>
    <w:p w:rsidR="00B848F8" w:rsidRPr="005801EC" w:rsidRDefault="00B848F8" w:rsidP="0018628A">
      <w:pPr>
        <w:pStyle w:val="BodyText"/>
        <w:spacing w:line="240" w:lineRule="auto"/>
        <w:ind w:left="1276"/>
        <w:rPr>
          <w:i/>
          <w:sz w:val="22"/>
          <w:szCs w:val="22"/>
        </w:rPr>
      </w:pPr>
      <w:r w:rsidRPr="005801EC">
        <w:rPr>
          <w:i/>
          <w:sz w:val="22"/>
          <w:szCs w:val="22"/>
        </w:rPr>
        <w:t xml:space="preserve">Research evidence shows that the engagement of a parent in their child’s education, and the home environment the child is exposed to, have an effect on the education outcomes of the child. For example, studies using international data have found that parental engagement in the early years of children’s development through parent–child reading activities had positive effects on children’s cognitive skills such as reading, language and comprehension (Gest et al. 2004; </w:t>
      </w:r>
      <w:proofErr w:type="spellStart"/>
      <w:r w:rsidRPr="005801EC">
        <w:rPr>
          <w:i/>
          <w:sz w:val="22"/>
          <w:szCs w:val="22"/>
        </w:rPr>
        <w:t>Westerlund</w:t>
      </w:r>
      <w:proofErr w:type="spellEnd"/>
      <w:r w:rsidRPr="005801EC">
        <w:rPr>
          <w:i/>
          <w:sz w:val="22"/>
          <w:szCs w:val="22"/>
        </w:rPr>
        <w:t xml:space="preserve"> and </w:t>
      </w:r>
      <w:proofErr w:type="spellStart"/>
      <w:r w:rsidRPr="005801EC">
        <w:rPr>
          <w:i/>
          <w:sz w:val="22"/>
          <w:szCs w:val="22"/>
        </w:rPr>
        <w:t>Lagerberg</w:t>
      </w:r>
      <w:proofErr w:type="spellEnd"/>
      <w:r w:rsidRPr="005801EC">
        <w:rPr>
          <w:i/>
          <w:sz w:val="22"/>
          <w:szCs w:val="22"/>
        </w:rPr>
        <w:t xml:space="preserve"> 2008). </w:t>
      </w:r>
      <w:r w:rsidR="00562C31" w:rsidRPr="005801EC">
        <w:rPr>
          <w:sz w:val="22"/>
          <w:szCs w:val="22"/>
        </w:rPr>
        <w:t>(p. 92).</w:t>
      </w:r>
    </w:p>
    <w:p w:rsidR="00B848F8" w:rsidRPr="005801EC" w:rsidRDefault="00B848F8" w:rsidP="0018628A">
      <w:pPr>
        <w:pStyle w:val="BodyText"/>
        <w:spacing w:line="240" w:lineRule="auto"/>
        <w:ind w:left="1276"/>
        <w:rPr>
          <w:i/>
          <w:sz w:val="22"/>
          <w:szCs w:val="22"/>
        </w:rPr>
      </w:pPr>
      <w:r w:rsidRPr="005801EC">
        <w:rPr>
          <w:i/>
          <w:sz w:val="22"/>
          <w:szCs w:val="22"/>
        </w:rPr>
        <w:t xml:space="preserve">There is merit in collecting data to produce research into the interactions between external influences and education outcomes, or to control for external influences in evaluative research. However, these data do not have to be collected on all Australian students in order to produce valid results. </w:t>
      </w:r>
      <w:r w:rsidR="00562C31" w:rsidRPr="005801EC">
        <w:rPr>
          <w:sz w:val="22"/>
          <w:szCs w:val="22"/>
        </w:rPr>
        <w:t>(p</w:t>
      </w:r>
      <w:r w:rsidRPr="005801EC">
        <w:rPr>
          <w:sz w:val="22"/>
          <w:szCs w:val="22"/>
        </w:rPr>
        <w:t>. 92</w:t>
      </w:r>
      <w:r w:rsidR="00562C31" w:rsidRPr="005801EC">
        <w:rPr>
          <w:sz w:val="22"/>
          <w:szCs w:val="22"/>
        </w:rPr>
        <w:t>).</w:t>
      </w:r>
    </w:p>
    <w:p w:rsidR="00B848F8" w:rsidRPr="00B848F8" w:rsidRDefault="00B848F8" w:rsidP="00B848F8">
      <w:pPr>
        <w:pStyle w:val="BodyText"/>
        <w:rPr>
          <w:color w:val="008000"/>
        </w:rPr>
      </w:pPr>
    </w:p>
    <w:p w:rsidR="008C34B1" w:rsidRDefault="008C34B1" w:rsidP="003D5642">
      <w:pPr>
        <w:spacing w:line="276" w:lineRule="auto"/>
        <w:rPr>
          <w:rFonts w:eastAsia="Times New Roman"/>
        </w:rPr>
      </w:pPr>
      <w:r>
        <w:rPr>
          <w:rFonts w:eastAsia="Times New Roman"/>
        </w:rPr>
        <w:t xml:space="preserve">In Catholic education parents are considered an essential part of the educating community of a Catholic school as the first and continuing educator of their child. </w:t>
      </w:r>
      <w:proofErr w:type="spellStart"/>
      <w:r>
        <w:rPr>
          <w:rFonts w:eastAsia="Times New Roman"/>
        </w:rPr>
        <w:t>CSPA</w:t>
      </w:r>
      <w:proofErr w:type="spellEnd"/>
      <w:r>
        <w:rPr>
          <w:rFonts w:eastAsia="Times New Roman"/>
        </w:rPr>
        <w:t xml:space="preserve"> and its members also differentiate between opportunities for parents to be involved in the life of the school through volunteering and participation in governance and advisory bodies and opportunities for parents to be authentically engaged in the learning, </w:t>
      </w:r>
      <w:proofErr w:type="spellStart"/>
      <w:r>
        <w:rPr>
          <w:rFonts w:eastAsia="Times New Roman"/>
        </w:rPr>
        <w:t>well-being</w:t>
      </w:r>
      <w:proofErr w:type="spellEnd"/>
      <w:r>
        <w:rPr>
          <w:rFonts w:eastAsia="Times New Roman"/>
        </w:rPr>
        <w:t xml:space="preserve"> and development of their children. It is in the latter context that the greatest impact i</w:t>
      </w:r>
      <w:r w:rsidR="00B0398B">
        <w:rPr>
          <w:rFonts w:eastAsia="Times New Roman"/>
        </w:rPr>
        <w:t>s evident on student outcomes.</w:t>
      </w:r>
    </w:p>
    <w:p w:rsidR="008C34B1" w:rsidRDefault="008C34B1" w:rsidP="003D5642">
      <w:pPr>
        <w:spacing w:line="276" w:lineRule="auto"/>
        <w:jc w:val="both"/>
      </w:pPr>
    </w:p>
    <w:p w:rsidR="00B848F8" w:rsidRDefault="0018628A" w:rsidP="003D5642">
      <w:pPr>
        <w:spacing w:line="276" w:lineRule="auto"/>
        <w:jc w:val="both"/>
      </w:pPr>
      <w:r>
        <w:t>Catholic School Parents Australia suggests that given the research available around parent engagement as an</w:t>
      </w:r>
      <w:r w:rsidR="00E91403">
        <w:t xml:space="preserve"> influence on student learning, including</w:t>
      </w:r>
      <w:r w:rsidR="00562C31">
        <w:t xml:space="preserve"> </w:t>
      </w:r>
      <w:r w:rsidR="00423405">
        <w:t xml:space="preserve">Barr &amp; Saltmarsh (2014); </w:t>
      </w:r>
      <w:r w:rsidR="00D31FDE">
        <w:t xml:space="preserve">Emerson </w:t>
      </w:r>
      <w:proofErr w:type="spellStart"/>
      <w:r w:rsidR="00D31FDE">
        <w:t>et.al</w:t>
      </w:r>
      <w:proofErr w:type="spellEnd"/>
      <w:r w:rsidR="00D31FDE">
        <w:t xml:space="preserve"> (2012); </w:t>
      </w:r>
      <w:proofErr w:type="spellStart"/>
      <w:r w:rsidR="00D31FDE">
        <w:t>Goodhall</w:t>
      </w:r>
      <w:proofErr w:type="spellEnd"/>
      <w:r w:rsidR="00D31FDE">
        <w:t xml:space="preserve"> </w:t>
      </w:r>
      <w:proofErr w:type="spellStart"/>
      <w:r w:rsidR="00D31FDE">
        <w:t>et.al</w:t>
      </w:r>
      <w:proofErr w:type="spellEnd"/>
      <w:r w:rsidR="00D31FDE">
        <w:t xml:space="preserve">. (2011); </w:t>
      </w:r>
      <w:r w:rsidR="00423405">
        <w:t xml:space="preserve">Weiss </w:t>
      </w:r>
      <w:proofErr w:type="spellStart"/>
      <w:r w:rsidR="00423405">
        <w:t>et.al</w:t>
      </w:r>
      <w:proofErr w:type="spellEnd"/>
      <w:r w:rsidR="00423405">
        <w:t xml:space="preserve"> (2010); </w:t>
      </w:r>
      <w:r w:rsidR="00D31FDE">
        <w:t>Harr</w:t>
      </w:r>
      <w:r w:rsidR="00423405">
        <w:t xml:space="preserve">is </w:t>
      </w:r>
      <w:proofErr w:type="spellStart"/>
      <w:r w:rsidR="00423405">
        <w:t>et.al</w:t>
      </w:r>
      <w:proofErr w:type="spellEnd"/>
      <w:r w:rsidR="00423405">
        <w:t xml:space="preserve">. (2009); </w:t>
      </w:r>
      <w:proofErr w:type="spellStart"/>
      <w:r w:rsidR="00423405">
        <w:t>Pushor</w:t>
      </w:r>
      <w:proofErr w:type="spellEnd"/>
      <w:r w:rsidR="00423405">
        <w:t xml:space="preserve"> (2007) and Redding </w:t>
      </w:r>
      <w:proofErr w:type="spellStart"/>
      <w:r w:rsidR="00423405">
        <w:t>et.al</w:t>
      </w:r>
      <w:proofErr w:type="spellEnd"/>
      <w:r w:rsidR="00423405">
        <w:t>. (2004)</w:t>
      </w:r>
      <w:r w:rsidR="00322C9D">
        <w:t xml:space="preserve"> as examples</w:t>
      </w:r>
      <w:r w:rsidR="00E91403">
        <w:t>,</w:t>
      </w:r>
      <w:r w:rsidR="00D31FDE">
        <w:t xml:space="preserve"> that parent engagement not be viewed as an </w:t>
      </w:r>
      <w:r w:rsidR="00D31FDE" w:rsidRPr="00562C31">
        <w:rPr>
          <w:i/>
        </w:rPr>
        <w:t>external factor</w:t>
      </w:r>
      <w:r w:rsidR="00D31FDE">
        <w:t xml:space="preserve"> </w:t>
      </w:r>
      <w:r w:rsidR="00E849A2">
        <w:t>affecting</w:t>
      </w:r>
      <w:r w:rsidR="00D31FDE">
        <w:t xml:space="preserve"> student learning outcomes, but a </w:t>
      </w:r>
      <w:r w:rsidR="00D31FDE" w:rsidRPr="00187079">
        <w:rPr>
          <w:i/>
        </w:rPr>
        <w:t>partnership factor</w:t>
      </w:r>
      <w:r w:rsidR="00E849A2">
        <w:t xml:space="preserve"> towards givin</w:t>
      </w:r>
      <w:r w:rsidR="006455D1">
        <w:t>g parent engagement more prominence</w:t>
      </w:r>
      <w:r w:rsidR="00E849A2">
        <w:t>.</w:t>
      </w:r>
      <w:r w:rsidR="00187079">
        <w:t xml:space="preserve">  </w:t>
      </w:r>
      <w:r w:rsidR="00B0398B">
        <w:t>Further</w:t>
      </w:r>
      <w:r w:rsidR="00423405">
        <w:t xml:space="preserve">, there </w:t>
      </w:r>
      <w:r w:rsidR="005F0F34">
        <w:t>seems to be</w:t>
      </w:r>
      <w:r w:rsidR="00423405">
        <w:t xml:space="preserve"> increasing evidence of the positive impact of parent engagement on student learning </w:t>
      </w:r>
      <w:r w:rsidR="005F0F34">
        <w:t>within</w:t>
      </w:r>
      <w:r w:rsidR="00423405">
        <w:t xml:space="preserve"> lower socioeconomic </w:t>
      </w:r>
      <w:r w:rsidR="005F0F34">
        <w:t xml:space="preserve">contexts, and this would provide a welcome variance to </w:t>
      </w:r>
      <w:r w:rsidR="00972266">
        <w:t>the usual trend</w:t>
      </w:r>
      <w:r w:rsidR="005F0F34">
        <w:t xml:space="preserve"> of lower SES </w:t>
      </w:r>
      <w:r w:rsidR="00B0398B">
        <w:t>correlation</w:t>
      </w:r>
      <w:r w:rsidR="00972266">
        <w:t xml:space="preserve"> with</w:t>
      </w:r>
      <w:r w:rsidR="005F0F34">
        <w:t xml:space="preserve"> low</w:t>
      </w:r>
      <w:r w:rsidR="00972266">
        <w:t>er</w:t>
      </w:r>
      <w:r w:rsidR="005F0F34">
        <w:t xml:space="preserve"> student </w:t>
      </w:r>
      <w:r w:rsidR="002D4C59">
        <w:t>learning outcomes</w:t>
      </w:r>
      <w:r w:rsidR="00423405">
        <w:t xml:space="preserve">.  </w:t>
      </w:r>
      <w:r w:rsidR="00187079">
        <w:t xml:space="preserve">As already noted by the Education Minister, parent engagement could be a very cost-effective means of improving student </w:t>
      </w:r>
      <w:r w:rsidR="00187079">
        <w:lastRenderedPageBreak/>
        <w:t>outcomes – another</w:t>
      </w:r>
      <w:r w:rsidR="00B0398B">
        <w:t xml:space="preserve"> suggested</w:t>
      </w:r>
      <w:r w:rsidR="00187079">
        <w:t xml:space="preserve"> reason for greater prominence </w:t>
      </w:r>
      <w:r w:rsidR="001D29A3">
        <w:t>on parent e</w:t>
      </w:r>
      <w:r w:rsidR="006455D1">
        <w:t xml:space="preserve">ngagement </w:t>
      </w:r>
      <w:r w:rsidR="00187079">
        <w:t>in the final report.</w:t>
      </w:r>
    </w:p>
    <w:p w:rsidR="00E849A2" w:rsidRDefault="00E849A2" w:rsidP="003D5642">
      <w:pPr>
        <w:spacing w:line="276" w:lineRule="auto"/>
        <w:jc w:val="both"/>
      </w:pPr>
      <w:r>
        <w:t>A research project</w:t>
      </w:r>
      <w:r w:rsidR="009C5A21">
        <w:t>*</w:t>
      </w:r>
      <w:r>
        <w:t xml:space="preserve"> </w:t>
      </w:r>
      <w:r w:rsidR="009C5A21">
        <w:t>underway</w:t>
      </w:r>
      <w:r>
        <w:t xml:space="preserve"> by Catholic School Parents Australia is investigating </w:t>
      </w:r>
      <w:r w:rsidR="00187079" w:rsidRPr="00187079">
        <w:t xml:space="preserve">current enrolment and transition practices in Australian primary </w:t>
      </w:r>
      <w:r w:rsidR="00187079">
        <w:t xml:space="preserve">and secondary </w:t>
      </w:r>
      <w:r w:rsidR="00187079" w:rsidRPr="00187079">
        <w:t>schools that assist in articulating the culture of partnership and Parent Engagement to enhance student learning</w:t>
      </w:r>
      <w:r w:rsidR="00187079">
        <w:t xml:space="preserve">.  As such data become known, it is proposed that this evidence could benefit all Australian students from best practice examples in some </w:t>
      </w:r>
      <w:r w:rsidR="00972266">
        <w:t xml:space="preserve">school </w:t>
      </w:r>
      <w:r w:rsidR="00187079">
        <w:t>contexts to what could be done to get started in others.</w:t>
      </w:r>
      <w:r w:rsidR="0069142A">
        <w:t xml:space="preserve">  Other aspects of the research include investigating the </w:t>
      </w:r>
      <w:r w:rsidR="0069142A" w:rsidRPr="00E91403">
        <w:rPr>
          <w:i/>
        </w:rPr>
        <w:t>blockers</w:t>
      </w:r>
      <w:r w:rsidR="0069142A">
        <w:t xml:space="preserve"> and </w:t>
      </w:r>
      <w:r w:rsidR="0069142A" w:rsidRPr="00E91403">
        <w:rPr>
          <w:i/>
        </w:rPr>
        <w:t>enablers</w:t>
      </w:r>
      <w:r w:rsidR="0069142A">
        <w:t xml:space="preserve"> of parent engagement as </w:t>
      </w:r>
      <w:r w:rsidR="00E91403">
        <w:t>they influence</w:t>
      </w:r>
      <w:r w:rsidR="0069142A">
        <w:t xml:space="preserve"> student learning outcomes – further rich evidence to inform the education agenda.</w:t>
      </w:r>
    </w:p>
    <w:p w:rsidR="00972266" w:rsidRDefault="00972266" w:rsidP="003D5642">
      <w:pPr>
        <w:spacing w:line="276" w:lineRule="auto"/>
        <w:jc w:val="both"/>
      </w:pPr>
    </w:p>
    <w:p w:rsidR="00972266" w:rsidRDefault="00972266" w:rsidP="003D5642">
      <w:pPr>
        <w:spacing w:line="276" w:lineRule="auto"/>
        <w:jc w:val="both"/>
      </w:pPr>
      <w:r>
        <w:t xml:space="preserve">Catholic School Parents Australia is keen through their advocacy and reach to provide partnership and support </w:t>
      </w:r>
      <w:r w:rsidR="006455D1">
        <w:t xml:space="preserve">around worthwhile initiatives </w:t>
      </w:r>
      <w:r>
        <w:t>to progress the evidence based decision making agenda within school education.</w:t>
      </w:r>
    </w:p>
    <w:p w:rsidR="000B030E" w:rsidRPr="000B030E" w:rsidRDefault="000B030E" w:rsidP="000B030E"/>
    <w:p w:rsidR="005801EC" w:rsidRDefault="005801EC" w:rsidP="000B030E">
      <w:pPr>
        <w:rPr>
          <w:sz w:val="20"/>
          <w:szCs w:val="20"/>
        </w:rPr>
      </w:pPr>
    </w:p>
    <w:p w:rsidR="000B030E" w:rsidRPr="009C5A21" w:rsidRDefault="009C5A21" w:rsidP="000B030E">
      <w:pPr>
        <w:rPr>
          <w:sz w:val="20"/>
          <w:szCs w:val="20"/>
        </w:rPr>
      </w:pPr>
      <w:r w:rsidRPr="009C5A21">
        <w:rPr>
          <w:sz w:val="20"/>
          <w:szCs w:val="20"/>
        </w:rPr>
        <w:t xml:space="preserve">*This project is funded by the Australian Government Department of Education and Training through the Grants and Awards </w:t>
      </w:r>
      <w:proofErr w:type="spellStart"/>
      <w:r w:rsidRPr="009C5A21">
        <w:rPr>
          <w:sz w:val="20"/>
          <w:szCs w:val="20"/>
        </w:rPr>
        <w:t>Programme</w:t>
      </w:r>
      <w:proofErr w:type="spellEnd"/>
      <w:r w:rsidRPr="009C5A21">
        <w:rPr>
          <w:sz w:val="20"/>
          <w:szCs w:val="20"/>
        </w:rPr>
        <w:t xml:space="preserve"> 2015-16 to 2018-19.</w:t>
      </w:r>
    </w:p>
    <w:p w:rsidR="005801EC" w:rsidRDefault="005801EC" w:rsidP="000B030E"/>
    <w:p w:rsidR="000F7611" w:rsidRPr="000B030E" w:rsidRDefault="000F7611" w:rsidP="000B030E"/>
    <w:p w:rsidR="000B030E" w:rsidRPr="0069142A" w:rsidRDefault="0069142A" w:rsidP="000B030E">
      <w:pPr>
        <w:rPr>
          <w:u w:val="single"/>
        </w:rPr>
      </w:pPr>
      <w:r w:rsidRPr="0069142A">
        <w:rPr>
          <w:u w:val="single"/>
        </w:rPr>
        <w:t>References</w:t>
      </w:r>
    </w:p>
    <w:p w:rsidR="0069142A" w:rsidRPr="0069142A" w:rsidRDefault="0069142A" w:rsidP="000B030E"/>
    <w:p w:rsidR="0069142A" w:rsidRPr="0069142A" w:rsidRDefault="0069142A" w:rsidP="0069142A">
      <w:pPr>
        <w:pStyle w:val="Default"/>
        <w:rPr>
          <w:rFonts w:asciiTheme="minorHAnsi" w:hAnsiTheme="minorHAnsi" w:cstheme="minorHAnsi"/>
          <w:color w:val="auto"/>
          <w:sz w:val="22"/>
          <w:szCs w:val="22"/>
        </w:rPr>
      </w:pPr>
      <w:r w:rsidRPr="0069142A">
        <w:rPr>
          <w:rFonts w:asciiTheme="minorHAnsi" w:hAnsiTheme="minorHAnsi" w:cstheme="minorHAnsi"/>
          <w:color w:val="auto"/>
          <w:sz w:val="22"/>
          <w:szCs w:val="22"/>
        </w:rPr>
        <w:t xml:space="preserve">Barr, J. and Saltmarsh, S. (April, 2014). It all comes down to the leadership': The role of the school principal in fostering parent-school engagement.  </w:t>
      </w:r>
      <w:r w:rsidRPr="0069142A">
        <w:rPr>
          <w:rFonts w:asciiTheme="minorHAnsi" w:hAnsiTheme="minorHAnsi" w:cstheme="minorHAnsi"/>
          <w:i/>
          <w:color w:val="auto"/>
          <w:sz w:val="22"/>
          <w:szCs w:val="22"/>
        </w:rPr>
        <w:t>Educational Management Administration &amp; Leadership</w:t>
      </w:r>
      <w:r w:rsidR="003D5642">
        <w:rPr>
          <w:rFonts w:asciiTheme="minorHAnsi" w:hAnsiTheme="minorHAnsi" w:cstheme="minorHAnsi"/>
          <w:i/>
          <w:color w:val="auto"/>
          <w:sz w:val="22"/>
          <w:szCs w:val="22"/>
        </w:rPr>
        <w:t>.</w:t>
      </w:r>
      <w:r w:rsidRPr="0069142A">
        <w:rPr>
          <w:rFonts w:asciiTheme="minorHAnsi" w:hAnsiTheme="minorHAnsi" w:cstheme="minorHAnsi"/>
          <w:i/>
          <w:color w:val="auto"/>
          <w:sz w:val="22"/>
          <w:szCs w:val="22"/>
        </w:rPr>
        <w:t xml:space="preserve"> </w:t>
      </w:r>
      <w:r w:rsidR="00F91C61">
        <w:rPr>
          <w:rFonts w:asciiTheme="minorHAnsi" w:hAnsiTheme="minorHAnsi" w:cstheme="minorHAnsi"/>
          <w:color w:val="auto"/>
          <w:sz w:val="22"/>
          <w:szCs w:val="22"/>
        </w:rPr>
        <w:t xml:space="preserve"> </w:t>
      </w:r>
      <w:proofErr w:type="spellStart"/>
      <w:r w:rsidRPr="0069142A">
        <w:rPr>
          <w:rFonts w:asciiTheme="minorHAnsi" w:hAnsiTheme="minorHAnsi" w:cstheme="minorHAnsi"/>
          <w:color w:val="auto"/>
          <w:sz w:val="22"/>
          <w:szCs w:val="22"/>
        </w:rPr>
        <w:t>V42</w:t>
      </w:r>
      <w:proofErr w:type="spellEnd"/>
      <w:r w:rsidRPr="0069142A">
        <w:rPr>
          <w:rFonts w:asciiTheme="minorHAnsi" w:hAnsiTheme="minorHAnsi" w:cstheme="minorHAnsi"/>
          <w:color w:val="auto"/>
          <w:sz w:val="22"/>
          <w:szCs w:val="22"/>
        </w:rPr>
        <w:t>: 491.</w:t>
      </w:r>
    </w:p>
    <w:p w:rsidR="0069142A" w:rsidRPr="0069142A" w:rsidRDefault="0069142A" w:rsidP="0069142A">
      <w:pPr>
        <w:pStyle w:val="Default"/>
        <w:rPr>
          <w:rFonts w:asciiTheme="minorHAnsi" w:hAnsiTheme="minorHAnsi" w:cstheme="minorHAnsi"/>
          <w:color w:val="auto"/>
          <w:sz w:val="22"/>
          <w:szCs w:val="22"/>
        </w:rPr>
      </w:pPr>
    </w:p>
    <w:p w:rsidR="0069142A" w:rsidRPr="0069142A" w:rsidRDefault="0069142A" w:rsidP="0069142A">
      <w:pPr>
        <w:pStyle w:val="Default"/>
        <w:rPr>
          <w:rFonts w:asciiTheme="minorHAnsi" w:hAnsiTheme="minorHAnsi" w:cstheme="minorHAnsi"/>
          <w:color w:val="auto"/>
          <w:sz w:val="22"/>
          <w:szCs w:val="22"/>
        </w:rPr>
      </w:pPr>
      <w:r w:rsidRPr="0069142A">
        <w:rPr>
          <w:rFonts w:asciiTheme="minorHAnsi" w:hAnsiTheme="minorHAnsi" w:cstheme="minorHAnsi"/>
          <w:color w:val="auto"/>
          <w:sz w:val="22"/>
          <w:szCs w:val="22"/>
        </w:rPr>
        <w:t xml:space="preserve">Emerson, L., Fear. J., Fox, S., and Sanders, E. (2012). </w:t>
      </w:r>
      <w:r w:rsidRPr="0069142A">
        <w:rPr>
          <w:rFonts w:asciiTheme="minorHAnsi" w:hAnsiTheme="minorHAnsi" w:cstheme="minorHAnsi"/>
          <w:i/>
          <w:color w:val="auto"/>
          <w:sz w:val="22"/>
          <w:szCs w:val="22"/>
        </w:rPr>
        <w:t>Parental engagement in learning and schooling: Lessons from research</w:t>
      </w:r>
      <w:r w:rsidRPr="0069142A">
        <w:rPr>
          <w:rFonts w:asciiTheme="minorHAnsi" w:hAnsiTheme="minorHAnsi" w:cstheme="minorHAnsi"/>
          <w:color w:val="auto"/>
          <w:sz w:val="22"/>
          <w:szCs w:val="22"/>
        </w:rPr>
        <w:t>. A report by the Australian Research Alliance for Children and Youth (</w:t>
      </w:r>
      <w:proofErr w:type="spellStart"/>
      <w:r w:rsidRPr="0069142A">
        <w:rPr>
          <w:rFonts w:asciiTheme="minorHAnsi" w:hAnsiTheme="minorHAnsi" w:cstheme="minorHAnsi"/>
          <w:color w:val="auto"/>
          <w:sz w:val="22"/>
          <w:szCs w:val="22"/>
        </w:rPr>
        <w:t>ARACY</w:t>
      </w:r>
      <w:proofErr w:type="spellEnd"/>
      <w:r w:rsidRPr="0069142A">
        <w:rPr>
          <w:rFonts w:asciiTheme="minorHAnsi" w:hAnsiTheme="minorHAnsi" w:cstheme="minorHAnsi"/>
          <w:color w:val="auto"/>
          <w:sz w:val="22"/>
          <w:szCs w:val="22"/>
        </w:rPr>
        <w:t>) for the Family-School and Community Partnerships Bureau: Canberra.</w:t>
      </w:r>
    </w:p>
    <w:p w:rsidR="0069142A" w:rsidRPr="0069142A" w:rsidRDefault="0069142A" w:rsidP="000B030E">
      <w:pPr>
        <w:rPr>
          <w:sz w:val="22"/>
          <w:szCs w:val="22"/>
        </w:rPr>
      </w:pPr>
    </w:p>
    <w:p w:rsidR="0069142A" w:rsidRPr="0069142A" w:rsidRDefault="0069142A" w:rsidP="0069142A">
      <w:pPr>
        <w:rPr>
          <w:rFonts w:cstheme="minorHAnsi"/>
          <w:bCs/>
          <w:sz w:val="22"/>
          <w:szCs w:val="22"/>
        </w:rPr>
      </w:pPr>
      <w:r w:rsidRPr="0069142A">
        <w:rPr>
          <w:rFonts w:cstheme="minorHAnsi"/>
          <w:bCs/>
          <w:sz w:val="22"/>
          <w:szCs w:val="22"/>
        </w:rPr>
        <w:t xml:space="preserve">Goodall, J., </w:t>
      </w:r>
      <w:proofErr w:type="spellStart"/>
      <w:r w:rsidRPr="0069142A">
        <w:rPr>
          <w:rFonts w:cstheme="minorHAnsi"/>
          <w:bCs/>
          <w:sz w:val="22"/>
          <w:szCs w:val="22"/>
        </w:rPr>
        <w:t>Vorhaus</w:t>
      </w:r>
      <w:proofErr w:type="spellEnd"/>
      <w:r w:rsidRPr="0069142A">
        <w:rPr>
          <w:rFonts w:cstheme="minorHAnsi"/>
          <w:bCs/>
          <w:sz w:val="22"/>
          <w:szCs w:val="22"/>
        </w:rPr>
        <w:t xml:space="preserve">, J., </w:t>
      </w:r>
      <w:proofErr w:type="spellStart"/>
      <w:r w:rsidRPr="0069142A">
        <w:rPr>
          <w:rFonts w:cstheme="minorHAnsi"/>
          <w:bCs/>
          <w:sz w:val="22"/>
          <w:szCs w:val="22"/>
        </w:rPr>
        <w:t>Carpentieri</w:t>
      </w:r>
      <w:proofErr w:type="spellEnd"/>
      <w:r w:rsidRPr="0069142A">
        <w:rPr>
          <w:rFonts w:cstheme="minorHAnsi"/>
          <w:bCs/>
          <w:sz w:val="22"/>
          <w:szCs w:val="22"/>
        </w:rPr>
        <w:t xml:space="preserve">, JD., Brooks, G. </w:t>
      </w:r>
      <w:proofErr w:type="spellStart"/>
      <w:r w:rsidRPr="0069142A">
        <w:rPr>
          <w:rFonts w:cstheme="minorHAnsi"/>
          <w:bCs/>
          <w:sz w:val="22"/>
          <w:szCs w:val="22"/>
        </w:rPr>
        <w:t>Akerman</w:t>
      </w:r>
      <w:proofErr w:type="spellEnd"/>
      <w:r w:rsidRPr="0069142A">
        <w:rPr>
          <w:rFonts w:cstheme="minorHAnsi"/>
          <w:bCs/>
          <w:sz w:val="22"/>
          <w:szCs w:val="22"/>
        </w:rPr>
        <w:t xml:space="preserve">, R. and Harris, A. (2011). </w:t>
      </w:r>
      <w:r w:rsidRPr="0069142A">
        <w:rPr>
          <w:rFonts w:cstheme="minorHAnsi"/>
          <w:bCs/>
          <w:i/>
          <w:sz w:val="22"/>
          <w:szCs w:val="22"/>
        </w:rPr>
        <w:t xml:space="preserve">Review of best practice in parental engagement.  </w:t>
      </w:r>
      <w:r w:rsidR="006455D1" w:rsidRPr="0069142A">
        <w:rPr>
          <w:rFonts w:cstheme="minorHAnsi"/>
          <w:bCs/>
          <w:sz w:val="22"/>
          <w:szCs w:val="22"/>
        </w:rPr>
        <w:t>Research</w:t>
      </w:r>
      <w:r w:rsidRPr="0069142A">
        <w:rPr>
          <w:rFonts w:cstheme="minorHAnsi"/>
          <w:bCs/>
          <w:sz w:val="22"/>
          <w:szCs w:val="22"/>
        </w:rPr>
        <w:t xml:space="preserve"> Report </w:t>
      </w:r>
      <w:proofErr w:type="spellStart"/>
      <w:r w:rsidRPr="0069142A">
        <w:rPr>
          <w:rFonts w:cstheme="minorHAnsi"/>
          <w:bCs/>
          <w:sz w:val="22"/>
          <w:szCs w:val="22"/>
        </w:rPr>
        <w:t>DFE-RR156</w:t>
      </w:r>
      <w:proofErr w:type="spellEnd"/>
      <w:r w:rsidRPr="0069142A">
        <w:rPr>
          <w:rFonts w:cstheme="minorHAnsi"/>
          <w:bCs/>
          <w:sz w:val="22"/>
          <w:szCs w:val="22"/>
        </w:rPr>
        <w:t xml:space="preserve"> for the UK Government.</w:t>
      </w:r>
    </w:p>
    <w:p w:rsidR="000B030E" w:rsidRPr="0069142A" w:rsidRDefault="000B030E" w:rsidP="000B030E">
      <w:pPr>
        <w:rPr>
          <w:sz w:val="22"/>
          <w:szCs w:val="22"/>
        </w:rPr>
      </w:pPr>
    </w:p>
    <w:p w:rsidR="000B030E" w:rsidRPr="0069142A" w:rsidRDefault="0069142A" w:rsidP="000B030E">
      <w:pPr>
        <w:rPr>
          <w:sz w:val="22"/>
          <w:szCs w:val="22"/>
        </w:rPr>
      </w:pPr>
      <w:r w:rsidRPr="0069142A">
        <w:rPr>
          <w:rFonts w:cstheme="minorHAnsi"/>
          <w:sz w:val="22"/>
          <w:szCs w:val="22"/>
        </w:rPr>
        <w:t xml:space="preserve">Harris, A., Andrew-Power, K. and Goodall, J. (2009). </w:t>
      </w:r>
      <w:r w:rsidRPr="0069142A">
        <w:rPr>
          <w:rFonts w:cstheme="minorHAnsi"/>
          <w:i/>
          <w:sz w:val="22"/>
          <w:szCs w:val="22"/>
        </w:rPr>
        <w:t>Do Parents Know They Matter? Raising Achievement through Parental Engagement</w:t>
      </w:r>
      <w:r w:rsidRPr="0069142A">
        <w:rPr>
          <w:rFonts w:cstheme="minorHAnsi"/>
          <w:sz w:val="22"/>
          <w:szCs w:val="22"/>
        </w:rPr>
        <w:t>. London, Continuum International Publishing Group</w:t>
      </w:r>
    </w:p>
    <w:p w:rsidR="000B030E" w:rsidRPr="0069142A" w:rsidRDefault="000B030E" w:rsidP="000B030E">
      <w:pPr>
        <w:rPr>
          <w:sz w:val="22"/>
          <w:szCs w:val="22"/>
        </w:rPr>
      </w:pPr>
    </w:p>
    <w:p w:rsidR="0069142A" w:rsidRPr="0069142A" w:rsidRDefault="0069142A" w:rsidP="0069142A">
      <w:pPr>
        <w:rPr>
          <w:rFonts w:cstheme="minorHAnsi"/>
          <w:bCs/>
          <w:sz w:val="22"/>
          <w:szCs w:val="22"/>
        </w:rPr>
      </w:pPr>
      <w:proofErr w:type="spellStart"/>
      <w:r w:rsidRPr="0069142A">
        <w:rPr>
          <w:rFonts w:cstheme="minorHAnsi"/>
          <w:bCs/>
          <w:sz w:val="22"/>
          <w:szCs w:val="22"/>
        </w:rPr>
        <w:t>Pushor</w:t>
      </w:r>
      <w:proofErr w:type="spellEnd"/>
      <w:r w:rsidRPr="0069142A">
        <w:rPr>
          <w:rFonts w:cstheme="minorHAnsi"/>
          <w:bCs/>
          <w:sz w:val="22"/>
          <w:szCs w:val="22"/>
        </w:rPr>
        <w:t xml:space="preserve">, D. (2007).  </w:t>
      </w:r>
      <w:r w:rsidRPr="0069142A">
        <w:rPr>
          <w:rFonts w:cstheme="minorHAnsi"/>
          <w:bCs/>
          <w:i/>
          <w:sz w:val="22"/>
          <w:szCs w:val="22"/>
        </w:rPr>
        <w:t>Parent engagement: Creating a shared world</w:t>
      </w:r>
      <w:r w:rsidRPr="0069142A">
        <w:rPr>
          <w:rFonts w:cstheme="minorHAnsi"/>
          <w:bCs/>
          <w:sz w:val="22"/>
          <w:szCs w:val="22"/>
        </w:rPr>
        <w:t xml:space="preserve">.  Paper prepared for the Ontario Education Research Symposium, Toronto, Canada.  Available: </w:t>
      </w:r>
      <w:hyperlink r:id="rId15" w:history="1">
        <w:r w:rsidRPr="0069142A">
          <w:rPr>
            <w:rStyle w:val="Hyperlink"/>
            <w:rFonts w:cstheme="minorHAnsi"/>
            <w:bCs/>
            <w:color w:val="auto"/>
            <w:sz w:val="22"/>
            <w:szCs w:val="22"/>
          </w:rPr>
          <w:t>http://</w:t>
        </w:r>
        <w:proofErr w:type="spellStart"/>
        <w:r w:rsidRPr="0069142A">
          <w:rPr>
            <w:rStyle w:val="Hyperlink"/>
            <w:rFonts w:cstheme="minorHAnsi"/>
            <w:bCs/>
            <w:color w:val="auto"/>
            <w:sz w:val="22"/>
            <w:szCs w:val="22"/>
          </w:rPr>
          <w:t>www.edu.gov.on.ca</w:t>
        </w:r>
        <w:proofErr w:type="spellEnd"/>
        <w:r w:rsidRPr="0069142A">
          <w:rPr>
            <w:rStyle w:val="Hyperlink"/>
            <w:rFonts w:cstheme="minorHAnsi"/>
            <w:bCs/>
            <w:color w:val="auto"/>
            <w:sz w:val="22"/>
            <w:szCs w:val="22"/>
          </w:rPr>
          <w:t>/</w:t>
        </w:r>
        <w:proofErr w:type="spellStart"/>
        <w:r w:rsidRPr="0069142A">
          <w:rPr>
            <w:rStyle w:val="Hyperlink"/>
            <w:rFonts w:cstheme="minorHAnsi"/>
            <w:bCs/>
            <w:color w:val="auto"/>
            <w:sz w:val="22"/>
            <w:szCs w:val="22"/>
          </w:rPr>
          <w:t>eng</w:t>
        </w:r>
        <w:proofErr w:type="spellEnd"/>
        <w:r w:rsidRPr="0069142A">
          <w:rPr>
            <w:rStyle w:val="Hyperlink"/>
            <w:rFonts w:cstheme="minorHAnsi"/>
            <w:bCs/>
            <w:color w:val="auto"/>
            <w:sz w:val="22"/>
            <w:szCs w:val="22"/>
          </w:rPr>
          <w:t>/research/</w:t>
        </w:r>
        <w:proofErr w:type="spellStart"/>
        <w:r w:rsidRPr="0069142A">
          <w:rPr>
            <w:rStyle w:val="Hyperlink"/>
            <w:rFonts w:cstheme="minorHAnsi"/>
            <w:bCs/>
            <w:color w:val="auto"/>
            <w:sz w:val="22"/>
            <w:szCs w:val="22"/>
          </w:rPr>
          <w:t>pushor.pdf</w:t>
        </w:r>
        <w:proofErr w:type="spellEnd"/>
      </w:hyperlink>
      <w:r w:rsidRPr="0069142A">
        <w:rPr>
          <w:rFonts w:cstheme="minorHAnsi"/>
          <w:bCs/>
          <w:sz w:val="22"/>
          <w:szCs w:val="22"/>
        </w:rPr>
        <w:t xml:space="preserve"> </w:t>
      </w:r>
    </w:p>
    <w:p w:rsidR="000B030E" w:rsidRPr="0069142A" w:rsidRDefault="000B030E" w:rsidP="000B030E">
      <w:pPr>
        <w:rPr>
          <w:sz w:val="22"/>
          <w:szCs w:val="22"/>
        </w:rPr>
      </w:pPr>
    </w:p>
    <w:p w:rsidR="0069142A" w:rsidRPr="0069142A" w:rsidRDefault="0069142A" w:rsidP="0069142A">
      <w:pPr>
        <w:rPr>
          <w:rFonts w:cstheme="minorHAnsi"/>
          <w:bCs/>
          <w:sz w:val="22"/>
          <w:szCs w:val="22"/>
        </w:rPr>
      </w:pPr>
      <w:r w:rsidRPr="0069142A">
        <w:rPr>
          <w:rFonts w:cstheme="minorHAnsi"/>
          <w:bCs/>
          <w:sz w:val="22"/>
          <w:szCs w:val="22"/>
        </w:rPr>
        <w:t xml:space="preserve">Redding, S., Langdon, J., Meyer, J. and </w:t>
      </w:r>
      <w:proofErr w:type="spellStart"/>
      <w:r w:rsidRPr="0069142A">
        <w:rPr>
          <w:rFonts w:cstheme="minorHAnsi"/>
          <w:bCs/>
          <w:sz w:val="22"/>
          <w:szCs w:val="22"/>
        </w:rPr>
        <w:t>Sheley</w:t>
      </w:r>
      <w:proofErr w:type="spellEnd"/>
      <w:r w:rsidRPr="0069142A">
        <w:rPr>
          <w:rFonts w:cstheme="minorHAnsi"/>
          <w:bCs/>
          <w:sz w:val="22"/>
          <w:szCs w:val="22"/>
        </w:rPr>
        <w:t xml:space="preserve">, P. (November, 2004). </w:t>
      </w:r>
      <w:r w:rsidRPr="0069142A">
        <w:rPr>
          <w:rFonts w:cstheme="minorHAnsi"/>
          <w:bCs/>
          <w:i/>
          <w:sz w:val="22"/>
          <w:szCs w:val="22"/>
        </w:rPr>
        <w:t>The effects of comprehensive parent engagement on student learning outcomes</w:t>
      </w:r>
      <w:r w:rsidRPr="0069142A">
        <w:rPr>
          <w:rFonts w:cstheme="minorHAnsi"/>
          <w:bCs/>
          <w:sz w:val="22"/>
          <w:szCs w:val="22"/>
        </w:rPr>
        <w:t>. Harvard Family Research Project, Cambridge, MA.</w:t>
      </w:r>
    </w:p>
    <w:p w:rsidR="000B030E" w:rsidRPr="0069142A" w:rsidRDefault="000B030E" w:rsidP="000B030E">
      <w:pPr>
        <w:rPr>
          <w:sz w:val="22"/>
          <w:szCs w:val="22"/>
        </w:rPr>
      </w:pPr>
    </w:p>
    <w:p w:rsidR="00C12AEE" w:rsidRPr="0069142A" w:rsidRDefault="0069142A" w:rsidP="0069142A">
      <w:pPr>
        <w:rPr>
          <w:sz w:val="22"/>
          <w:szCs w:val="22"/>
        </w:rPr>
      </w:pPr>
      <w:r w:rsidRPr="0069142A">
        <w:rPr>
          <w:sz w:val="22"/>
          <w:szCs w:val="22"/>
        </w:rPr>
        <w:t>Weiss, H. B., Lopez, M.E., and</w:t>
      </w:r>
      <w:r w:rsidR="00F91C61">
        <w:rPr>
          <w:sz w:val="22"/>
          <w:szCs w:val="22"/>
        </w:rPr>
        <w:t xml:space="preserve"> Rosenberg, H. (December 2010) </w:t>
      </w:r>
      <w:r w:rsidRPr="0069142A">
        <w:rPr>
          <w:sz w:val="22"/>
          <w:szCs w:val="22"/>
        </w:rPr>
        <w:t>Beyond Random Acts Family, School, and Community Eng</w:t>
      </w:r>
      <w:r w:rsidR="00F91C61">
        <w:rPr>
          <w:sz w:val="22"/>
          <w:szCs w:val="22"/>
        </w:rPr>
        <w:t>agement. National Policy Forum f</w:t>
      </w:r>
      <w:r w:rsidRPr="0069142A">
        <w:rPr>
          <w:sz w:val="22"/>
          <w:szCs w:val="22"/>
        </w:rPr>
        <w:t xml:space="preserve">or Family, School, &amp; Community Engagement as an Integral Part of Education Reform. </w:t>
      </w:r>
      <w:proofErr w:type="spellStart"/>
      <w:r w:rsidRPr="0069142A">
        <w:rPr>
          <w:sz w:val="22"/>
          <w:szCs w:val="22"/>
        </w:rPr>
        <w:t>SEDL</w:t>
      </w:r>
      <w:proofErr w:type="spellEnd"/>
      <w:r w:rsidRPr="0069142A">
        <w:rPr>
          <w:sz w:val="22"/>
          <w:szCs w:val="22"/>
        </w:rPr>
        <w:t xml:space="preserve"> in collaboration with the Harvard Family Research </w:t>
      </w:r>
      <w:r w:rsidRPr="0069142A">
        <w:rPr>
          <w:sz w:val="22"/>
          <w:szCs w:val="22"/>
        </w:rPr>
        <w:lastRenderedPageBreak/>
        <w:t xml:space="preserve">Project and the </w:t>
      </w:r>
      <w:proofErr w:type="spellStart"/>
      <w:r w:rsidRPr="0069142A">
        <w:rPr>
          <w:sz w:val="22"/>
          <w:szCs w:val="22"/>
        </w:rPr>
        <w:t>Miko</w:t>
      </w:r>
      <w:proofErr w:type="spellEnd"/>
      <w:r w:rsidRPr="0069142A">
        <w:rPr>
          <w:sz w:val="22"/>
          <w:szCs w:val="22"/>
        </w:rPr>
        <w:t xml:space="preserve"> Group.  U.S. Department of Education under contract number ED-04-CO-0039/0001.</w:t>
      </w:r>
    </w:p>
    <w:sectPr w:rsidR="00C12AEE" w:rsidRPr="0069142A" w:rsidSect="0019011A">
      <w:headerReference w:type="default" r:id="rId16"/>
      <w:footerReference w:type="default" r:id="rId17"/>
      <w:pgSz w:w="11906" w:h="16838"/>
      <w:pgMar w:top="1440" w:right="1440" w:bottom="1440" w:left="1440" w:header="709" w:footer="3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A65" w:rsidRDefault="00F65A65" w:rsidP="00693EEF">
      <w:r>
        <w:separator/>
      </w:r>
    </w:p>
  </w:endnote>
  <w:endnote w:type="continuationSeparator" w:id="0">
    <w:p w:rsidR="00F65A65" w:rsidRDefault="00F65A65" w:rsidP="0069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659279"/>
      <w:docPartObj>
        <w:docPartGallery w:val="Page Numbers (Bottom of Page)"/>
        <w:docPartUnique/>
      </w:docPartObj>
    </w:sdtPr>
    <w:sdtEndPr>
      <w:rPr>
        <w:color w:val="808080" w:themeColor="background1" w:themeShade="80"/>
        <w:spacing w:val="60"/>
        <w:sz w:val="18"/>
        <w:szCs w:val="18"/>
      </w:rPr>
    </w:sdtEndPr>
    <w:sdtContent>
      <w:p w:rsidR="0019011A" w:rsidRPr="00607E1D" w:rsidRDefault="0019011A" w:rsidP="0019011A">
        <w:pPr>
          <w:pStyle w:val="Footer"/>
        </w:pPr>
      </w:p>
      <w:p w:rsidR="0019011A" w:rsidRDefault="000B030E" w:rsidP="000B030E">
        <w:pPr>
          <w:pStyle w:val="Footer"/>
          <w:pBdr>
            <w:top w:val="single" w:sz="4" w:space="1" w:color="D9D9D9" w:themeColor="background1" w:themeShade="D9"/>
          </w:pBdr>
        </w:pPr>
        <w:r w:rsidRPr="00CC3E1E">
          <w:rPr>
            <w:noProof/>
            <w:lang w:eastAsia="en-AU"/>
          </w:rPr>
          <w:drawing>
            <wp:anchor distT="0" distB="0" distL="114300" distR="114300" simplePos="0" relativeHeight="251661312" behindDoc="0" locked="0" layoutInCell="1" allowOverlap="1" wp14:anchorId="54E3C8FA" wp14:editId="41A1F4C3">
              <wp:simplePos x="0" y="0"/>
              <wp:positionH relativeFrom="margin">
                <wp:align>right</wp:align>
              </wp:positionH>
              <wp:positionV relativeFrom="margin">
                <wp:posOffset>9077528</wp:posOffset>
              </wp:positionV>
              <wp:extent cx="913130" cy="592455"/>
              <wp:effectExtent l="0" t="0" r="127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592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3E1E">
          <w:t xml:space="preserve">Page </w:t>
        </w:r>
        <w:r w:rsidR="0019011A" w:rsidRPr="00CC3E1E">
          <w:fldChar w:fldCharType="begin"/>
        </w:r>
        <w:r w:rsidR="0019011A" w:rsidRPr="00CC3E1E">
          <w:instrText xml:space="preserve"> PAGE   \* MERGEFORMAT </w:instrText>
        </w:r>
        <w:r w:rsidR="0019011A" w:rsidRPr="00CC3E1E">
          <w:fldChar w:fldCharType="separate"/>
        </w:r>
        <w:r w:rsidR="00882AEC">
          <w:rPr>
            <w:noProof/>
          </w:rPr>
          <w:t>1</w:t>
        </w:r>
        <w:r w:rsidR="0019011A" w:rsidRPr="00CC3E1E">
          <w:rPr>
            <w:noProof/>
          </w:rPr>
          <w:fldChar w:fldCharType="end"/>
        </w:r>
        <w:r w:rsidR="00E91403" w:rsidRPr="00CC3E1E">
          <w:t xml:space="preserve"> </w:t>
        </w:r>
      </w:p>
    </w:sdtContent>
  </w:sdt>
  <w:p w:rsidR="0019011A" w:rsidRPr="00607E1D" w:rsidRDefault="0019011A" w:rsidP="0019011A">
    <w:pPr>
      <w:pStyle w:val="Footer"/>
    </w:pPr>
  </w:p>
  <w:p w:rsidR="00C12AEE" w:rsidRPr="00B85B9D" w:rsidRDefault="00C12AEE" w:rsidP="00B85B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A65" w:rsidRDefault="00F65A65" w:rsidP="00693EEF">
      <w:r>
        <w:separator/>
      </w:r>
    </w:p>
  </w:footnote>
  <w:footnote w:type="continuationSeparator" w:id="0">
    <w:p w:rsidR="00F65A65" w:rsidRDefault="00F65A65" w:rsidP="00693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8F" w:rsidRDefault="008C438F">
    <w:pPr>
      <w:pStyle w:val="Header"/>
    </w:pPr>
    <w:r>
      <w:rPr>
        <w:noProof/>
        <w:lang w:eastAsia="en-AU"/>
      </w:rPr>
      <w:drawing>
        <wp:anchor distT="0" distB="0" distL="114300" distR="114300" simplePos="0" relativeHeight="251659264" behindDoc="0" locked="0" layoutInCell="1" allowOverlap="1" wp14:anchorId="1FDE9BD3" wp14:editId="3A0CA360">
          <wp:simplePos x="0" y="0"/>
          <wp:positionH relativeFrom="margin">
            <wp:align>center</wp:align>
          </wp:positionH>
          <wp:positionV relativeFrom="margin">
            <wp:align>top</wp:align>
          </wp:positionV>
          <wp:extent cx="2936240" cy="19050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6240"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AEE" w:rsidRDefault="00C12A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11810"/>
    <w:multiLevelType w:val="hybridMultilevel"/>
    <w:tmpl w:val="C570F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2312344"/>
    <w:multiLevelType w:val="hybridMultilevel"/>
    <w:tmpl w:val="6868CF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8BD32C0"/>
    <w:multiLevelType w:val="hybridMultilevel"/>
    <w:tmpl w:val="5718B3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7201CE6"/>
    <w:multiLevelType w:val="hybridMultilevel"/>
    <w:tmpl w:val="BB22A796"/>
    <w:lvl w:ilvl="0" w:tplc="94169838">
      <w:start w:val="1"/>
      <w:numFmt w:val="bullet"/>
      <w:lvlText w:val="•"/>
      <w:lvlJc w:val="left"/>
      <w:pPr>
        <w:tabs>
          <w:tab w:val="num" w:pos="1353"/>
        </w:tabs>
        <w:ind w:left="1353" w:hanging="360"/>
      </w:pPr>
      <w:rPr>
        <w:rFonts w:ascii="Arial" w:hAnsi="Arial" w:hint="default"/>
      </w:rPr>
    </w:lvl>
    <w:lvl w:ilvl="1" w:tplc="4CACB18E" w:tentative="1">
      <w:start w:val="1"/>
      <w:numFmt w:val="bullet"/>
      <w:lvlText w:val="•"/>
      <w:lvlJc w:val="left"/>
      <w:pPr>
        <w:tabs>
          <w:tab w:val="num" w:pos="1440"/>
        </w:tabs>
        <w:ind w:left="1440" w:hanging="360"/>
      </w:pPr>
      <w:rPr>
        <w:rFonts w:ascii="Arial" w:hAnsi="Arial" w:hint="default"/>
      </w:rPr>
    </w:lvl>
    <w:lvl w:ilvl="2" w:tplc="1F6A72B0" w:tentative="1">
      <w:start w:val="1"/>
      <w:numFmt w:val="bullet"/>
      <w:lvlText w:val="•"/>
      <w:lvlJc w:val="left"/>
      <w:pPr>
        <w:tabs>
          <w:tab w:val="num" w:pos="2160"/>
        </w:tabs>
        <w:ind w:left="2160" w:hanging="360"/>
      </w:pPr>
      <w:rPr>
        <w:rFonts w:ascii="Arial" w:hAnsi="Arial" w:hint="default"/>
      </w:rPr>
    </w:lvl>
    <w:lvl w:ilvl="3" w:tplc="33C8DADC" w:tentative="1">
      <w:start w:val="1"/>
      <w:numFmt w:val="bullet"/>
      <w:lvlText w:val="•"/>
      <w:lvlJc w:val="left"/>
      <w:pPr>
        <w:tabs>
          <w:tab w:val="num" w:pos="2880"/>
        </w:tabs>
        <w:ind w:left="2880" w:hanging="360"/>
      </w:pPr>
      <w:rPr>
        <w:rFonts w:ascii="Arial" w:hAnsi="Arial" w:hint="default"/>
      </w:rPr>
    </w:lvl>
    <w:lvl w:ilvl="4" w:tplc="C0C6F350" w:tentative="1">
      <w:start w:val="1"/>
      <w:numFmt w:val="bullet"/>
      <w:lvlText w:val="•"/>
      <w:lvlJc w:val="left"/>
      <w:pPr>
        <w:tabs>
          <w:tab w:val="num" w:pos="3600"/>
        </w:tabs>
        <w:ind w:left="3600" w:hanging="360"/>
      </w:pPr>
      <w:rPr>
        <w:rFonts w:ascii="Arial" w:hAnsi="Arial" w:hint="default"/>
      </w:rPr>
    </w:lvl>
    <w:lvl w:ilvl="5" w:tplc="F1BA22A0" w:tentative="1">
      <w:start w:val="1"/>
      <w:numFmt w:val="bullet"/>
      <w:lvlText w:val="•"/>
      <w:lvlJc w:val="left"/>
      <w:pPr>
        <w:tabs>
          <w:tab w:val="num" w:pos="4320"/>
        </w:tabs>
        <w:ind w:left="4320" w:hanging="360"/>
      </w:pPr>
      <w:rPr>
        <w:rFonts w:ascii="Arial" w:hAnsi="Arial" w:hint="default"/>
      </w:rPr>
    </w:lvl>
    <w:lvl w:ilvl="6" w:tplc="C20CEFFE" w:tentative="1">
      <w:start w:val="1"/>
      <w:numFmt w:val="bullet"/>
      <w:lvlText w:val="•"/>
      <w:lvlJc w:val="left"/>
      <w:pPr>
        <w:tabs>
          <w:tab w:val="num" w:pos="5040"/>
        </w:tabs>
        <w:ind w:left="5040" w:hanging="360"/>
      </w:pPr>
      <w:rPr>
        <w:rFonts w:ascii="Arial" w:hAnsi="Arial" w:hint="default"/>
      </w:rPr>
    </w:lvl>
    <w:lvl w:ilvl="7" w:tplc="A1B89E50" w:tentative="1">
      <w:start w:val="1"/>
      <w:numFmt w:val="bullet"/>
      <w:lvlText w:val="•"/>
      <w:lvlJc w:val="left"/>
      <w:pPr>
        <w:tabs>
          <w:tab w:val="num" w:pos="5760"/>
        </w:tabs>
        <w:ind w:left="5760" w:hanging="360"/>
      </w:pPr>
      <w:rPr>
        <w:rFonts w:ascii="Arial" w:hAnsi="Arial" w:hint="default"/>
      </w:rPr>
    </w:lvl>
    <w:lvl w:ilvl="8" w:tplc="FD44DFD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4A"/>
    <w:rsid w:val="000B030E"/>
    <w:rsid w:val="000F2740"/>
    <w:rsid w:val="000F7611"/>
    <w:rsid w:val="001358AA"/>
    <w:rsid w:val="00163A43"/>
    <w:rsid w:val="0018628A"/>
    <w:rsid w:val="00187079"/>
    <w:rsid w:val="0019011A"/>
    <w:rsid w:val="001D29A3"/>
    <w:rsid w:val="002D4C59"/>
    <w:rsid w:val="00322C9D"/>
    <w:rsid w:val="003D5642"/>
    <w:rsid w:val="00423405"/>
    <w:rsid w:val="00430F4A"/>
    <w:rsid w:val="004F5028"/>
    <w:rsid w:val="00515292"/>
    <w:rsid w:val="00526D16"/>
    <w:rsid w:val="00562C31"/>
    <w:rsid w:val="00572C73"/>
    <w:rsid w:val="005801EC"/>
    <w:rsid w:val="005C7EA1"/>
    <w:rsid w:val="005F0F34"/>
    <w:rsid w:val="006455D1"/>
    <w:rsid w:val="0069142A"/>
    <w:rsid w:val="00693EEF"/>
    <w:rsid w:val="006F06FB"/>
    <w:rsid w:val="00780CAE"/>
    <w:rsid w:val="007C165F"/>
    <w:rsid w:val="00815116"/>
    <w:rsid w:val="00834D64"/>
    <w:rsid w:val="00852DAA"/>
    <w:rsid w:val="00882AEC"/>
    <w:rsid w:val="00890883"/>
    <w:rsid w:val="008C34B1"/>
    <w:rsid w:val="008C438F"/>
    <w:rsid w:val="00972266"/>
    <w:rsid w:val="009C5A21"/>
    <w:rsid w:val="00A40AA7"/>
    <w:rsid w:val="00B0398B"/>
    <w:rsid w:val="00B44F96"/>
    <w:rsid w:val="00B848F8"/>
    <w:rsid w:val="00B85B9D"/>
    <w:rsid w:val="00C12AEE"/>
    <w:rsid w:val="00C3629F"/>
    <w:rsid w:val="00C9306B"/>
    <w:rsid w:val="00CC3E1E"/>
    <w:rsid w:val="00D10F9F"/>
    <w:rsid w:val="00D31FDE"/>
    <w:rsid w:val="00D8370C"/>
    <w:rsid w:val="00E058BC"/>
    <w:rsid w:val="00E74993"/>
    <w:rsid w:val="00E849A2"/>
    <w:rsid w:val="00E91403"/>
    <w:rsid w:val="00F65A65"/>
    <w:rsid w:val="00F91C61"/>
    <w:rsid w:val="00FE47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29F"/>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A40AA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40AA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06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9306B"/>
    <w:rPr>
      <w:rFonts w:ascii="Tahoma" w:hAnsi="Tahoma" w:cs="Tahoma"/>
      <w:sz w:val="16"/>
      <w:szCs w:val="16"/>
    </w:rPr>
  </w:style>
  <w:style w:type="paragraph" w:styleId="Header">
    <w:name w:val="header"/>
    <w:basedOn w:val="Normal"/>
    <w:link w:val="HeaderChar"/>
    <w:uiPriority w:val="99"/>
    <w:unhideWhenUsed/>
    <w:rsid w:val="00693EEF"/>
    <w:pPr>
      <w:tabs>
        <w:tab w:val="center" w:pos="4513"/>
        <w:tab w:val="right" w:pos="9026"/>
      </w:tabs>
    </w:pPr>
    <w:rPr>
      <w:rFonts w:eastAsiaTheme="minorHAnsi"/>
      <w:sz w:val="22"/>
      <w:szCs w:val="22"/>
    </w:rPr>
  </w:style>
  <w:style w:type="character" w:customStyle="1" w:styleId="HeaderChar">
    <w:name w:val="Header Char"/>
    <w:basedOn w:val="DefaultParagraphFont"/>
    <w:link w:val="Header"/>
    <w:uiPriority w:val="99"/>
    <w:rsid w:val="00693EEF"/>
  </w:style>
  <w:style w:type="paragraph" w:styleId="Footer">
    <w:name w:val="footer"/>
    <w:basedOn w:val="Normal"/>
    <w:link w:val="FooterChar"/>
    <w:uiPriority w:val="99"/>
    <w:unhideWhenUsed/>
    <w:rsid w:val="00693EEF"/>
    <w:pPr>
      <w:tabs>
        <w:tab w:val="center" w:pos="4513"/>
        <w:tab w:val="right" w:pos="9026"/>
      </w:tabs>
    </w:pPr>
    <w:rPr>
      <w:rFonts w:eastAsiaTheme="minorHAnsi"/>
      <w:sz w:val="22"/>
      <w:szCs w:val="22"/>
    </w:rPr>
  </w:style>
  <w:style w:type="character" w:customStyle="1" w:styleId="FooterChar">
    <w:name w:val="Footer Char"/>
    <w:basedOn w:val="DefaultParagraphFont"/>
    <w:link w:val="Footer"/>
    <w:uiPriority w:val="99"/>
    <w:rsid w:val="00693EEF"/>
  </w:style>
  <w:style w:type="character" w:styleId="Hyperlink">
    <w:name w:val="Hyperlink"/>
    <w:basedOn w:val="DefaultParagraphFont"/>
    <w:uiPriority w:val="99"/>
    <w:semiHidden/>
    <w:unhideWhenUsed/>
    <w:rsid w:val="008C438F"/>
    <w:rPr>
      <w:color w:val="0000FF" w:themeColor="hyperlink"/>
      <w:u w:val="single"/>
    </w:rPr>
  </w:style>
  <w:style w:type="paragraph" w:styleId="ListParagraph">
    <w:name w:val="List Paragraph"/>
    <w:basedOn w:val="Normal"/>
    <w:uiPriority w:val="34"/>
    <w:qFormat/>
    <w:rsid w:val="00C12AEE"/>
    <w:pPr>
      <w:spacing w:after="200" w:line="276"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A40AA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40AA7"/>
    <w:rPr>
      <w:rFonts w:asciiTheme="majorHAnsi" w:eastAsiaTheme="majorEastAsia" w:hAnsiTheme="majorHAnsi" w:cstheme="majorBidi"/>
      <w:color w:val="365F91" w:themeColor="accent1" w:themeShade="BF"/>
      <w:sz w:val="26"/>
      <w:szCs w:val="26"/>
    </w:rPr>
  </w:style>
  <w:style w:type="paragraph" w:styleId="BodyText">
    <w:name w:val="Body Text"/>
    <w:link w:val="BodyTextChar"/>
    <w:qFormat/>
    <w:rsid w:val="00B848F8"/>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B848F8"/>
    <w:rPr>
      <w:rFonts w:ascii="Times New Roman" w:eastAsia="Times New Roman" w:hAnsi="Times New Roman" w:cs="Times New Roman"/>
      <w:sz w:val="24"/>
      <w:szCs w:val="20"/>
      <w:lang w:eastAsia="en-AU"/>
    </w:rPr>
  </w:style>
  <w:style w:type="paragraph" w:customStyle="1" w:styleId="Default">
    <w:name w:val="Default"/>
    <w:rsid w:val="0069142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29F"/>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A40AA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40AA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06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9306B"/>
    <w:rPr>
      <w:rFonts w:ascii="Tahoma" w:hAnsi="Tahoma" w:cs="Tahoma"/>
      <w:sz w:val="16"/>
      <w:szCs w:val="16"/>
    </w:rPr>
  </w:style>
  <w:style w:type="paragraph" w:styleId="Header">
    <w:name w:val="header"/>
    <w:basedOn w:val="Normal"/>
    <w:link w:val="HeaderChar"/>
    <w:uiPriority w:val="99"/>
    <w:unhideWhenUsed/>
    <w:rsid w:val="00693EEF"/>
    <w:pPr>
      <w:tabs>
        <w:tab w:val="center" w:pos="4513"/>
        <w:tab w:val="right" w:pos="9026"/>
      </w:tabs>
    </w:pPr>
    <w:rPr>
      <w:rFonts w:eastAsiaTheme="minorHAnsi"/>
      <w:sz w:val="22"/>
      <w:szCs w:val="22"/>
    </w:rPr>
  </w:style>
  <w:style w:type="character" w:customStyle="1" w:styleId="HeaderChar">
    <w:name w:val="Header Char"/>
    <w:basedOn w:val="DefaultParagraphFont"/>
    <w:link w:val="Header"/>
    <w:uiPriority w:val="99"/>
    <w:rsid w:val="00693EEF"/>
  </w:style>
  <w:style w:type="paragraph" w:styleId="Footer">
    <w:name w:val="footer"/>
    <w:basedOn w:val="Normal"/>
    <w:link w:val="FooterChar"/>
    <w:uiPriority w:val="99"/>
    <w:unhideWhenUsed/>
    <w:rsid w:val="00693EEF"/>
    <w:pPr>
      <w:tabs>
        <w:tab w:val="center" w:pos="4513"/>
        <w:tab w:val="right" w:pos="9026"/>
      </w:tabs>
    </w:pPr>
    <w:rPr>
      <w:rFonts w:eastAsiaTheme="minorHAnsi"/>
      <w:sz w:val="22"/>
      <w:szCs w:val="22"/>
    </w:rPr>
  </w:style>
  <w:style w:type="character" w:customStyle="1" w:styleId="FooterChar">
    <w:name w:val="Footer Char"/>
    <w:basedOn w:val="DefaultParagraphFont"/>
    <w:link w:val="Footer"/>
    <w:uiPriority w:val="99"/>
    <w:rsid w:val="00693EEF"/>
  </w:style>
  <w:style w:type="character" w:styleId="Hyperlink">
    <w:name w:val="Hyperlink"/>
    <w:basedOn w:val="DefaultParagraphFont"/>
    <w:uiPriority w:val="99"/>
    <w:semiHidden/>
    <w:unhideWhenUsed/>
    <w:rsid w:val="008C438F"/>
    <w:rPr>
      <w:color w:val="0000FF" w:themeColor="hyperlink"/>
      <w:u w:val="single"/>
    </w:rPr>
  </w:style>
  <w:style w:type="paragraph" w:styleId="ListParagraph">
    <w:name w:val="List Paragraph"/>
    <w:basedOn w:val="Normal"/>
    <w:uiPriority w:val="34"/>
    <w:qFormat/>
    <w:rsid w:val="00C12AEE"/>
    <w:pPr>
      <w:spacing w:after="200" w:line="276"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A40AA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40AA7"/>
    <w:rPr>
      <w:rFonts w:asciiTheme="majorHAnsi" w:eastAsiaTheme="majorEastAsia" w:hAnsiTheme="majorHAnsi" w:cstheme="majorBidi"/>
      <w:color w:val="365F91" w:themeColor="accent1" w:themeShade="BF"/>
      <w:sz w:val="26"/>
      <w:szCs w:val="26"/>
    </w:rPr>
  </w:style>
  <w:style w:type="paragraph" w:styleId="BodyText">
    <w:name w:val="Body Text"/>
    <w:link w:val="BodyTextChar"/>
    <w:qFormat/>
    <w:rsid w:val="00B848F8"/>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B848F8"/>
    <w:rPr>
      <w:rFonts w:ascii="Times New Roman" w:eastAsia="Times New Roman" w:hAnsi="Times New Roman" w:cs="Times New Roman"/>
      <w:sz w:val="24"/>
      <w:szCs w:val="20"/>
      <w:lang w:eastAsia="en-AU"/>
    </w:rPr>
  </w:style>
  <w:style w:type="paragraph" w:customStyle="1" w:styleId="Default">
    <w:name w:val="Default"/>
    <w:rsid w:val="0069142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6712">
      <w:bodyDiv w:val="1"/>
      <w:marLeft w:val="0"/>
      <w:marRight w:val="0"/>
      <w:marTop w:val="0"/>
      <w:marBottom w:val="0"/>
      <w:divBdr>
        <w:top w:val="none" w:sz="0" w:space="0" w:color="auto"/>
        <w:left w:val="none" w:sz="0" w:space="0" w:color="auto"/>
        <w:bottom w:val="none" w:sz="0" w:space="0" w:color="auto"/>
        <w:right w:val="none" w:sz="0" w:space="0" w:color="auto"/>
      </w:divBdr>
      <w:divsChild>
        <w:div w:id="841823321">
          <w:marLeft w:val="0"/>
          <w:marRight w:val="0"/>
          <w:marTop w:val="0"/>
          <w:marBottom w:val="0"/>
          <w:divBdr>
            <w:top w:val="none" w:sz="0" w:space="0" w:color="auto"/>
            <w:left w:val="none" w:sz="0" w:space="0" w:color="auto"/>
            <w:bottom w:val="none" w:sz="0" w:space="0" w:color="auto"/>
            <w:right w:val="none" w:sz="0" w:space="0" w:color="auto"/>
          </w:divBdr>
        </w:div>
        <w:div w:id="1082723622">
          <w:marLeft w:val="0"/>
          <w:marRight w:val="0"/>
          <w:marTop w:val="0"/>
          <w:marBottom w:val="0"/>
          <w:divBdr>
            <w:top w:val="none" w:sz="0" w:space="0" w:color="auto"/>
            <w:left w:val="none" w:sz="0" w:space="0" w:color="auto"/>
            <w:bottom w:val="none" w:sz="0" w:space="0" w:color="auto"/>
            <w:right w:val="none" w:sz="0" w:space="0" w:color="auto"/>
          </w:divBdr>
        </w:div>
      </w:divsChild>
    </w:div>
    <w:div w:id="689647073">
      <w:bodyDiv w:val="1"/>
      <w:marLeft w:val="0"/>
      <w:marRight w:val="0"/>
      <w:marTop w:val="0"/>
      <w:marBottom w:val="0"/>
      <w:divBdr>
        <w:top w:val="none" w:sz="0" w:space="0" w:color="auto"/>
        <w:left w:val="none" w:sz="0" w:space="0" w:color="auto"/>
        <w:bottom w:val="none" w:sz="0" w:space="0" w:color="auto"/>
        <w:right w:val="none" w:sz="0" w:space="0" w:color="auto"/>
      </w:divBdr>
    </w:div>
    <w:div w:id="169044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edu.gov.on.ca/eng/research/pushor.pdf"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296D397D-1ACC-4743-B15F-0B6E09559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2A8EF7-59F5-4FD5-A9C6-8FF129ABDFDE}">
  <ds:schemaRefs>
    <ds:schemaRef ds:uri="http://purl.org/dc/elements/1.1/"/>
    <ds:schemaRef ds:uri="http://schemas.microsoft.com/office/2006/metadata/properties"/>
    <ds:schemaRef ds:uri="8044c801-d84b-4ee1-a77e-678f8dcdee17"/>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3f4bcce7-ac1a-4c9d-aa3e-7e77695652db"/>
  </ds:schemaRefs>
</ds:datastoreItem>
</file>

<file path=customXml/itemProps3.xml><?xml version="1.0" encoding="utf-8"?>
<ds:datastoreItem xmlns:ds="http://schemas.openxmlformats.org/officeDocument/2006/customXml" ds:itemID="{1E19A2EE-3603-4A8F-A7C5-463F517C326E}">
  <ds:schemaRefs>
    <ds:schemaRef ds:uri="http://schemas.microsoft.com/sharepoint/v3/contenttype/forms"/>
  </ds:schemaRefs>
</ds:datastoreItem>
</file>

<file path=customXml/itemProps4.xml><?xml version="1.0" encoding="utf-8"?>
<ds:datastoreItem xmlns:ds="http://schemas.openxmlformats.org/officeDocument/2006/customXml" ds:itemID="{82F9D374-623E-4701-9CEE-4DB70F7BE0CB}">
  <ds:schemaRefs>
    <ds:schemaRef ds:uri="http://schemas.microsoft.com/sharepoint/events"/>
  </ds:schemaRefs>
</ds:datastoreItem>
</file>

<file path=customXml/itemProps5.xml><?xml version="1.0" encoding="utf-8"?>
<ds:datastoreItem xmlns:ds="http://schemas.openxmlformats.org/officeDocument/2006/customXml" ds:itemID="{57817400-3067-4FC8-8D5A-6F9C816B3629}">
  <ds:schemaRefs>
    <ds:schemaRef ds:uri="http://schemas.microsoft.com/office/2006/metadata/customXsn"/>
  </ds:schemaRefs>
</ds:datastoreItem>
</file>

<file path=customXml/itemProps6.xml><?xml version="1.0" encoding="utf-8"?>
<ds:datastoreItem xmlns:ds="http://schemas.openxmlformats.org/officeDocument/2006/customXml" ds:itemID="{C61D98BB-4C1B-4487-8AE5-E3492757AF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Submission DR130 - Catholic School Parents Australia (CSPA) - Education Evidence Base - Public inquiry</vt:lpstr>
    </vt:vector>
  </TitlesOfParts>
  <Company>Catholic School Parents Australia (CSPA)</Company>
  <LinksUpToDate>false</LinksUpToDate>
  <CharactersWithSpaces>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DR130 - Catholic School Parents Australia (CSPA) - Education Evidence Base - Public inquiry</dc:title>
  <dc:creator>Catholic School Parents Australia (CSPA)</dc:creator>
  <cp:keywords/>
  <cp:lastModifiedBy>Productivity Commission</cp:lastModifiedBy>
  <cp:revision>7</cp:revision>
  <cp:lastPrinted>2016-10-10T06:28:00Z</cp:lastPrinted>
  <dcterms:created xsi:type="dcterms:W3CDTF">2016-10-10T23:18:00Z</dcterms:created>
  <dcterms:modified xsi:type="dcterms:W3CDTF">2016-10-11T04:45:00Z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Record Tag">
    <vt:lpwstr>139;#Submissions|c6e0dbf8-5444-433c-844d-d567dd519a05</vt:lpwstr>
  </property>
  <property fmtid="{D5CDD505-2E9C-101B-9397-08002B2CF9AE}" pid="4" name="TaxKeyword">
    <vt:lpwstr/>
  </property>
</Properties>
</file>