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3D" w:rsidRPr="00F14430" w:rsidRDefault="006E763D" w:rsidP="006E763D">
      <w:pPr>
        <w:autoSpaceDE w:val="0"/>
        <w:autoSpaceDN w:val="0"/>
        <w:adjustRightInd w:val="0"/>
        <w:spacing w:before="120"/>
        <w:ind w:left="4961"/>
        <w:jc w:val="right"/>
        <w:rPr>
          <w:rFonts w:eastAsiaTheme="minorHAnsi" w:cs="Arial"/>
          <w:color w:val="000000"/>
          <w:szCs w:val="24"/>
        </w:rPr>
      </w:pPr>
      <w:r w:rsidRPr="00F14430">
        <w:rPr>
          <w:rFonts w:asciiTheme="minorHAnsi" w:eastAsiaTheme="minorHAnsi" w:hAnsiTheme="minorHAnsi" w:cstheme="minorBidi"/>
          <w:noProof/>
          <w:sz w:val="22"/>
          <w:szCs w:val="22"/>
          <w:lang w:eastAsia="en-AU"/>
        </w:rPr>
        <w:drawing>
          <wp:inline distT="0" distB="0" distL="0" distR="0" wp14:anchorId="73680F4D" wp14:editId="7A200291">
            <wp:extent cx="1466850" cy="476250"/>
            <wp:effectExtent l="0" t="0" r="0" b="0"/>
            <wp:docPr id="1" name="Picture 1" descr="C:\Users\ABF\AppData\Local\Microsoft\Windows\Temporary Internet Files\Content.Outlook\T3ZKFKJP\AB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F\AppData\Local\Microsoft\Windows\Temporary Internet Files\Content.Outlook\T3ZKFKJP\ABFLog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3D" w:rsidRPr="00F14430" w:rsidRDefault="006E763D" w:rsidP="00012070">
      <w:pPr>
        <w:autoSpaceDE w:val="0"/>
        <w:autoSpaceDN w:val="0"/>
        <w:adjustRightInd w:val="0"/>
        <w:spacing w:before="60"/>
        <w:ind w:left="4968"/>
        <w:jc w:val="right"/>
        <w:rPr>
          <w:rFonts w:eastAsiaTheme="minorHAnsi" w:cs="Arial"/>
          <w:color w:val="000000"/>
          <w:szCs w:val="24"/>
        </w:rPr>
      </w:pPr>
      <w:r w:rsidRPr="00F14430">
        <w:rPr>
          <w:rFonts w:eastAsiaTheme="minorHAnsi" w:cs="Arial"/>
          <w:color w:val="000000"/>
          <w:szCs w:val="24"/>
        </w:rPr>
        <w:t>Australian Blindness Forum</w:t>
      </w:r>
    </w:p>
    <w:p w:rsidR="006E763D" w:rsidRPr="00F14430" w:rsidRDefault="006E763D" w:rsidP="006E763D">
      <w:pPr>
        <w:autoSpaceDE w:val="0"/>
        <w:autoSpaceDN w:val="0"/>
        <w:adjustRightInd w:val="0"/>
        <w:spacing w:before="0"/>
        <w:ind w:left="4962"/>
        <w:jc w:val="right"/>
        <w:rPr>
          <w:rFonts w:eastAsiaTheme="minorHAnsi" w:cs="Arial"/>
          <w:color w:val="000000"/>
          <w:szCs w:val="24"/>
        </w:rPr>
      </w:pPr>
      <w:r w:rsidRPr="00F14430">
        <w:rPr>
          <w:rFonts w:eastAsiaTheme="minorHAnsi" w:cs="Arial"/>
          <w:color w:val="000000"/>
          <w:szCs w:val="24"/>
        </w:rPr>
        <w:t>PO BOX 1188</w:t>
      </w:r>
    </w:p>
    <w:p w:rsidR="006E763D" w:rsidRPr="00F14430" w:rsidRDefault="006E763D" w:rsidP="006E763D">
      <w:pPr>
        <w:autoSpaceDE w:val="0"/>
        <w:autoSpaceDN w:val="0"/>
        <w:adjustRightInd w:val="0"/>
        <w:spacing w:before="0"/>
        <w:ind w:left="4962"/>
        <w:jc w:val="right"/>
        <w:rPr>
          <w:rFonts w:eastAsiaTheme="minorHAnsi" w:cs="Arial"/>
          <w:color w:val="000000"/>
          <w:szCs w:val="24"/>
        </w:rPr>
      </w:pPr>
      <w:r w:rsidRPr="00F14430">
        <w:rPr>
          <w:rFonts w:eastAsiaTheme="minorHAnsi" w:cs="Arial"/>
          <w:color w:val="000000"/>
          <w:szCs w:val="24"/>
        </w:rPr>
        <w:t>CANBERRA ACT 2601</w:t>
      </w:r>
    </w:p>
    <w:p w:rsidR="006E763D" w:rsidRPr="00F14430" w:rsidRDefault="00755B9A" w:rsidP="006E763D">
      <w:pPr>
        <w:autoSpaceDE w:val="0"/>
        <w:autoSpaceDN w:val="0"/>
        <w:adjustRightInd w:val="0"/>
        <w:spacing w:before="0"/>
        <w:ind w:left="4962"/>
        <w:jc w:val="right"/>
        <w:rPr>
          <w:rFonts w:eastAsiaTheme="minorHAnsi" w:cs="Arial"/>
          <w:color w:val="0000FF"/>
          <w:szCs w:val="24"/>
        </w:rPr>
      </w:pPr>
      <w:hyperlink r:id="rId16" w:history="1">
        <w:r w:rsidR="006E763D" w:rsidRPr="00F14430">
          <w:rPr>
            <w:rFonts w:eastAsiaTheme="minorHAnsi" w:cs="Arial"/>
            <w:color w:val="0000FF"/>
            <w:szCs w:val="24"/>
            <w:u w:val="single"/>
          </w:rPr>
          <w:t>www.australianblindnessforum.org.au</w:t>
        </w:r>
      </w:hyperlink>
    </w:p>
    <w:p w:rsidR="006E763D" w:rsidRDefault="00CA34D7" w:rsidP="00D5574C">
      <w:pPr>
        <w:autoSpaceDE w:val="0"/>
        <w:autoSpaceDN w:val="0"/>
        <w:adjustRightInd w:val="0"/>
        <w:spacing w:after="240"/>
        <w:rPr>
          <w:rFonts w:eastAsiaTheme="minorHAnsi" w:cs="Arial"/>
          <w:color w:val="000000"/>
          <w:szCs w:val="24"/>
        </w:rPr>
      </w:pPr>
      <w:r>
        <w:rPr>
          <w:rFonts w:eastAsiaTheme="minorHAnsi" w:cs="Arial"/>
          <w:color w:val="000000"/>
          <w:szCs w:val="24"/>
        </w:rPr>
        <w:t>27</w:t>
      </w:r>
      <w:r w:rsidR="003960F4">
        <w:rPr>
          <w:rFonts w:eastAsiaTheme="minorHAnsi" w:cs="Arial"/>
          <w:color w:val="000000"/>
          <w:szCs w:val="24"/>
        </w:rPr>
        <w:t xml:space="preserve"> </w:t>
      </w:r>
      <w:r w:rsidR="00D139F6">
        <w:rPr>
          <w:rFonts w:eastAsiaTheme="minorHAnsi" w:cs="Arial"/>
          <w:color w:val="000000"/>
          <w:szCs w:val="24"/>
        </w:rPr>
        <w:t>Octobe</w:t>
      </w:r>
      <w:r w:rsidR="00D16AF8">
        <w:rPr>
          <w:rFonts w:eastAsiaTheme="minorHAnsi" w:cs="Arial"/>
          <w:color w:val="000000"/>
          <w:szCs w:val="24"/>
        </w:rPr>
        <w:t>r</w:t>
      </w:r>
      <w:r w:rsidR="006E763D">
        <w:rPr>
          <w:rFonts w:eastAsiaTheme="minorHAnsi" w:cs="Arial"/>
          <w:color w:val="000000"/>
          <w:szCs w:val="24"/>
        </w:rPr>
        <w:t xml:space="preserve"> 2016</w:t>
      </w:r>
    </w:p>
    <w:p w:rsidR="00A67ED6" w:rsidRPr="00A67ED6" w:rsidRDefault="00A67ED6" w:rsidP="00A67ED6">
      <w:pPr>
        <w:spacing w:before="0"/>
        <w:rPr>
          <w:rFonts w:eastAsia="MS Mincho" w:cs="Arial"/>
          <w:szCs w:val="24"/>
        </w:rPr>
      </w:pPr>
      <w:r w:rsidRPr="00A67ED6">
        <w:rPr>
          <w:rFonts w:eastAsia="MS Mincho" w:cs="Arial"/>
          <w:szCs w:val="24"/>
        </w:rPr>
        <w:t>Human Services inquiry</w:t>
      </w:r>
    </w:p>
    <w:p w:rsidR="00A67ED6" w:rsidRPr="00A67ED6" w:rsidRDefault="00A67ED6" w:rsidP="00A67ED6">
      <w:pPr>
        <w:spacing w:before="0"/>
        <w:rPr>
          <w:rFonts w:eastAsia="MS Mincho" w:cs="Arial"/>
          <w:szCs w:val="24"/>
        </w:rPr>
      </w:pPr>
      <w:r w:rsidRPr="00A67ED6">
        <w:rPr>
          <w:rFonts w:eastAsia="MS Mincho" w:cs="Arial"/>
          <w:szCs w:val="24"/>
        </w:rPr>
        <w:t>Productivity Commission</w:t>
      </w:r>
    </w:p>
    <w:p w:rsidR="00A67ED6" w:rsidRPr="00A67ED6" w:rsidRDefault="00A67ED6" w:rsidP="00A67ED6">
      <w:pPr>
        <w:spacing w:before="0"/>
        <w:rPr>
          <w:rFonts w:eastAsia="MS Mincho" w:cs="Arial"/>
          <w:szCs w:val="24"/>
        </w:rPr>
      </w:pPr>
      <w:r w:rsidRPr="00A67ED6">
        <w:rPr>
          <w:rFonts w:eastAsia="MS Mincho" w:cs="Arial"/>
          <w:szCs w:val="24"/>
        </w:rPr>
        <w:t>Locked Bag 2, Collins Street East</w:t>
      </w:r>
    </w:p>
    <w:p w:rsidR="00132C7C" w:rsidRDefault="00D81DA1" w:rsidP="0023227F">
      <w:pPr>
        <w:spacing w:before="0" w:after="240"/>
        <w:rPr>
          <w:rFonts w:eastAsia="MS Mincho" w:cs="Arial"/>
          <w:szCs w:val="24"/>
        </w:rPr>
      </w:pPr>
      <w:r>
        <w:rPr>
          <w:rFonts w:eastAsia="MS Mincho" w:cs="Arial"/>
          <w:szCs w:val="24"/>
        </w:rPr>
        <w:t xml:space="preserve">Melbourne  VIC </w:t>
      </w:r>
      <w:r w:rsidR="00A67ED6" w:rsidRPr="00A67ED6">
        <w:rPr>
          <w:rFonts w:eastAsia="MS Mincho" w:cs="Arial"/>
          <w:szCs w:val="24"/>
        </w:rPr>
        <w:t xml:space="preserve"> 8003</w:t>
      </w:r>
    </w:p>
    <w:p w:rsidR="006E763D" w:rsidRPr="008072DB" w:rsidRDefault="008072DB" w:rsidP="006E763D">
      <w:pPr>
        <w:spacing w:after="120"/>
        <w:rPr>
          <w:rFonts w:eastAsiaTheme="minorHAnsi" w:cs="Arial"/>
          <w:b/>
          <w:bCs/>
          <w:color w:val="000000"/>
          <w:szCs w:val="24"/>
        </w:rPr>
      </w:pPr>
      <w:r w:rsidRPr="008072DB">
        <w:rPr>
          <w:rFonts w:eastAsiaTheme="minorHAnsi" w:cs="Arial"/>
          <w:b/>
          <w:bCs/>
          <w:color w:val="000000"/>
          <w:szCs w:val="24"/>
        </w:rPr>
        <w:t xml:space="preserve">ABF submission to </w:t>
      </w:r>
      <w:r w:rsidR="00FF151B" w:rsidRPr="00FF151B">
        <w:rPr>
          <w:rFonts w:eastAsiaTheme="minorHAnsi" w:cs="Arial"/>
          <w:b/>
          <w:bCs/>
          <w:color w:val="000000"/>
          <w:szCs w:val="24"/>
        </w:rPr>
        <w:t>Introducing Competition and Informed User Choice into Human Services: Identifying Sectors for Reform – Productivity Commission Preliminary Findings Report</w:t>
      </w:r>
    </w:p>
    <w:p w:rsidR="006E763D" w:rsidRPr="00F14430" w:rsidRDefault="006E763D" w:rsidP="006E763D">
      <w:pPr>
        <w:autoSpaceDE w:val="0"/>
        <w:autoSpaceDN w:val="0"/>
        <w:adjustRightInd w:val="0"/>
        <w:spacing w:before="120" w:after="120"/>
        <w:rPr>
          <w:rFonts w:eastAsiaTheme="minorHAnsi" w:cs="Arial"/>
          <w:color w:val="000000"/>
          <w:szCs w:val="24"/>
        </w:rPr>
      </w:pPr>
      <w:r w:rsidRPr="00F14430">
        <w:rPr>
          <w:rFonts w:eastAsiaTheme="minorHAnsi" w:cs="Arial"/>
          <w:color w:val="000000"/>
          <w:szCs w:val="24"/>
        </w:rPr>
        <w:t xml:space="preserve">Thank you for the opportunity to </w:t>
      </w:r>
      <w:r w:rsidR="00812472">
        <w:rPr>
          <w:rFonts w:eastAsiaTheme="minorHAnsi" w:cs="Arial"/>
          <w:color w:val="000000"/>
          <w:szCs w:val="24"/>
        </w:rPr>
        <w:t xml:space="preserve">respond to the </w:t>
      </w:r>
      <w:r w:rsidR="00D71F11">
        <w:rPr>
          <w:rFonts w:eastAsiaTheme="minorHAnsi" w:cs="Arial"/>
          <w:color w:val="000000"/>
          <w:szCs w:val="24"/>
        </w:rPr>
        <w:t>Preliminary Findings</w:t>
      </w:r>
      <w:r w:rsidR="000C58D4">
        <w:rPr>
          <w:rFonts w:eastAsiaTheme="minorHAnsi" w:cs="Arial"/>
          <w:color w:val="000000"/>
          <w:szCs w:val="24"/>
        </w:rPr>
        <w:t xml:space="preserve"> </w:t>
      </w:r>
      <w:r w:rsidR="003960F4">
        <w:rPr>
          <w:rFonts w:eastAsiaTheme="minorHAnsi" w:cs="Arial"/>
          <w:color w:val="000000"/>
          <w:szCs w:val="24"/>
        </w:rPr>
        <w:t>Report</w:t>
      </w:r>
      <w:r w:rsidRPr="00F14430">
        <w:rPr>
          <w:rFonts w:eastAsiaTheme="minorHAnsi" w:cs="Arial"/>
          <w:color w:val="000000"/>
          <w:szCs w:val="24"/>
        </w:rPr>
        <w:t xml:space="preserve">. ABF is the peak body representing the blindness and vision impairment sector. As a member-based organisation, we have drawn on input from our membership to formulate a response to the </w:t>
      </w:r>
      <w:r w:rsidR="0033442B">
        <w:rPr>
          <w:rFonts w:eastAsiaTheme="minorHAnsi" w:cs="Arial"/>
          <w:color w:val="000000"/>
          <w:szCs w:val="24"/>
        </w:rPr>
        <w:t>Preliminary Findings Report</w:t>
      </w:r>
      <w:r w:rsidRPr="00F14430">
        <w:rPr>
          <w:rFonts w:eastAsiaTheme="minorHAnsi" w:cs="Arial"/>
          <w:color w:val="000000"/>
          <w:szCs w:val="24"/>
        </w:rPr>
        <w:t xml:space="preserve">, with particular emphasis on the implications for Australians who are blind or vision impaired. </w:t>
      </w:r>
    </w:p>
    <w:p w:rsidR="00AE4E45" w:rsidRPr="00AE4E45" w:rsidRDefault="003960F4" w:rsidP="00AE4E45">
      <w:pPr>
        <w:spacing w:before="120" w:after="120"/>
      </w:pPr>
      <w:r>
        <w:t xml:space="preserve">As previously stated, </w:t>
      </w:r>
      <w:r w:rsidR="00AE4E45" w:rsidRPr="00AE4E45">
        <w:t xml:space="preserve">ABF supports </w:t>
      </w:r>
      <w:r w:rsidR="00AE4E45">
        <w:t xml:space="preserve">the general intention underpinning the </w:t>
      </w:r>
      <w:r>
        <w:t xml:space="preserve">PC’s </w:t>
      </w:r>
      <w:r w:rsidR="00AE4E45">
        <w:t xml:space="preserve">Inquiry </w:t>
      </w:r>
      <w:r>
        <w:t xml:space="preserve">into Human Services </w:t>
      </w:r>
      <w:r w:rsidR="00AE4E45">
        <w:t xml:space="preserve">to </w:t>
      </w:r>
      <w:r w:rsidR="00AE4E45" w:rsidRPr="00AE4E45">
        <w:t xml:space="preserve">put user choice </w:t>
      </w:r>
      <w:r w:rsidR="00AE4E45">
        <w:t xml:space="preserve">first in relation to the delivery of human services. However, ABF </w:t>
      </w:r>
      <w:r w:rsidR="002137E5">
        <w:t xml:space="preserve">reiterates its statement from </w:t>
      </w:r>
      <w:r>
        <w:t xml:space="preserve">its first </w:t>
      </w:r>
      <w:r w:rsidR="0033442B">
        <w:t>submission to this I</w:t>
      </w:r>
      <w:r w:rsidR="002137E5">
        <w:t>nquiry</w:t>
      </w:r>
      <w:r>
        <w:t>,</w:t>
      </w:r>
      <w:r w:rsidR="00AE4E45" w:rsidRPr="00AE4E45">
        <w:t xml:space="preserve"> that it is imperative that in order for users or consumers to be able to make a</w:t>
      </w:r>
      <w:r w:rsidR="002137E5">
        <w:t>n informed</w:t>
      </w:r>
      <w:r w:rsidR="00AE4E45" w:rsidRPr="00AE4E45">
        <w:t xml:space="preserve"> choice about the human services they require, they </w:t>
      </w:r>
      <w:r w:rsidR="00AE4E45">
        <w:t xml:space="preserve">must </w:t>
      </w:r>
      <w:r w:rsidR="00AE4E45" w:rsidRPr="00AE4E45">
        <w:t>be able to access all relevant information in the format of their choice.</w:t>
      </w:r>
    </w:p>
    <w:p w:rsidR="00943F37" w:rsidRDefault="00E333B7" w:rsidP="00E333B7">
      <w:pPr>
        <w:spacing w:before="120" w:after="120"/>
      </w:pPr>
      <w:r w:rsidRPr="00E333B7">
        <w:rPr>
          <w:lang w:val="en-US"/>
        </w:rPr>
        <w:t>People who are blind or vision impaired face many barriers in independently acces</w:t>
      </w:r>
      <w:r>
        <w:rPr>
          <w:lang w:val="en-US"/>
        </w:rPr>
        <w:t xml:space="preserve">sing information and materials. Therefore, </w:t>
      </w:r>
      <w:r>
        <w:t xml:space="preserve">ABF submits that </w:t>
      </w:r>
      <w:r w:rsidR="002137E5">
        <w:t>for the</w:t>
      </w:r>
      <w:r>
        <w:t xml:space="preserve"> </w:t>
      </w:r>
      <w:r w:rsidR="003960F4">
        <w:t xml:space="preserve">6 </w:t>
      </w:r>
      <w:r>
        <w:t xml:space="preserve">human services </w:t>
      </w:r>
      <w:r w:rsidR="002137E5">
        <w:t xml:space="preserve">identified as best suited to competition, </w:t>
      </w:r>
      <w:r w:rsidR="00176753">
        <w:t xml:space="preserve">contestability and user choice, </w:t>
      </w:r>
      <w:r w:rsidR="002137E5">
        <w:t xml:space="preserve">it is vital that </w:t>
      </w:r>
      <w:r w:rsidR="003960F4">
        <w:t>the reforms include</w:t>
      </w:r>
      <w:r w:rsidR="002137E5">
        <w:t xml:space="preserve"> improving</w:t>
      </w:r>
      <w:r>
        <w:t xml:space="preserve"> access to information for people with disability, such as people who are blind or vision impaired, </w:t>
      </w:r>
      <w:r w:rsidR="002137E5">
        <w:t>to ensure there is true</w:t>
      </w:r>
      <w:r>
        <w:t xml:space="preserve"> informed user choice.</w:t>
      </w:r>
    </w:p>
    <w:p w:rsidR="003960F4" w:rsidRDefault="009F2BA3" w:rsidP="00E333B7">
      <w:pPr>
        <w:spacing w:before="120" w:after="120"/>
      </w:pPr>
      <w:r>
        <w:t>ABF notes t</w:t>
      </w:r>
      <w:r w:rsidR="00B85474">
        <w:t>wo of the preliminary findings</w:t>
      </w:r>
      <w:r w:rsidR="003960F4">
        <w:t xml:space="preserve"> in the Preliminary Findings Report refer directly to user choice and access to information:</w:t>
      </w:r>
    </w:p>
    <w:p w:rsidR="00F5151E" w:rsidRPr="00776D24" w:rsidRDefault="003960F4" w:rsidP="003960F4">
      <w:pPr>
        <w:pStyle w:val="Default"/>
        <w:numPr>
          <w:ilvl w:val="0"/>
          <w:numId w:val="1"/>
        </w:numPr>
        <w:rPr>
          <w:b/>
          <w:color w:val="auto"/>
        </w:rPr>
      </w:pPr>
      <w:r w:rsidRPr="00776D24">
        <w:rPr>
          <w:b/>
          <w:color w:val="auto"/>
        </w:rPr>
        <w:t>Preliminary finding 4.1</w:t>
      </w:r>
    </w:p>
    <w:p w:rsidR="00F5151E" w:rsidRPr="003960F4" w:rsidRDefault="00F5151E" w:rsidP="003960F4">
      <w:pPr>
        <w:pStyle w:val="Default"/>
        <w:spacing w:before="120"/>
        <w:ind w:left="720"/>
      </w:pPr>
      <w:r w:rsidRPr="00776D24">
        <w:rPr>
          <w:i/>
        </w:rPr>
        <w:t xml:space="preserve">Other countries have shown that user choice can benefit patients when they have access to useful consumer-oriented information on services and referring practitioners support </w:t>
      </w:r>
      <w:r w:rsidR="003960F4" w:rsidRPr="00776D24">
        <w:rPr>
          <w:i/>
        </w:rPr>
        <w:t>them in making decisions</w:t>
      </w:r>
      <w:r w:rsidR="003960F4">
        <w:rPr>
          <w:rStyle w:val="FootnoteReference"/>
        </w:rPr>
        <w:footnoteReference w:id="1"/>
      </w:r>
    </w:p>
    <w:p w:rsidR="00F5151E" w:rsidRPr="00D71F11" w:rsidRDefault="00776D24" w:rsidP="00776D24">
      <w:pPr>
        <w:pStyle w:val="Default"/>
        <w:numPr>
          <w:ilvl w:val="0"/>
          <w:numId w:val="1"/>
        </w:numPr>
        <w:spacing w:before="120" w:after="120"/>
        <w:rPr>
          <w:b/>
        </w:rPr>
      </w:pPr>
      <w:r w:rsidRPr="00D71F11">
        <w:rPr>
          <w:b/>
        </w:rPr>
        <w:t>Preliminary finding 5.1</w:t>
      </w:r>
    </w:p>
    <w:p w:rsidR="00F5151E" w:rsidRPr="00D71F11" w:rsidRDefault="00F5151E" w:rsidP="00776D24">
      <w:pPr>
        <w:pStyle w:val="Default"/>
        <w:ind w:left="720"/>
        <w:rPr>
          <w:i/>
        </w:rPr>
      </w:pPr>
      <w:r w:rsidRPr="00D71F11">
        <w:rPr>
          <w:i/>
        </w:rPr>
        <w:t xml:space="preserve">Information asymmetry between palliative care users and providers could be lessened through the provision of high-quality, consumer-oriented information about </w:t>
      </w:r>
      <w:r w:rsidRPr="00D71F11">
        <w:rPr>
          <w:i/>
        </w:rPr>
        <w:lastRenderedPageBreak/>
        <w:t xml:space="preserve">the availability and quality of services. While some information on patient outcomes is currently available, it is not provider-specific and is not designed </w:t>
      </w:r>
      <w:r w:rsidR="00776D24" w:rsidRPr="00D71F11">
        <w:rPr>
          <w:i/>
        </w:rPr>
        <w:t>to be consumer-oriented</w:t>
      </w:r>
      <w:r w:rsidR="00776D24" w:rsidRPr="00D71F11">
        <w:rPr>
          <w:rStyle w:val="FootnoteReference"/>
          <w:i/>
        </w:rPr>
        <w:footnoteReference w:id="2"/>
      </w:r>
    </w:p>
    <w:p w:rsidR="00F5151E" w:rsidRDefault="009F2BA3" w:rsidP="00E333B7">
      <w:pPr>
        <w:spacing w:before="120" w:after="120"/>
      </w:pPr>
      <w:r>
        <w:t>ABF fully supports the</w:t>
      </w:r>
      <w:r w:rsidR="00B85474">
        <w:t>se</w:t>
      </w:r>
      <w:r>
        <w:t xml:space="preserve"> findings relating to consumers accessing high quality, consumer-oriented information in order to address any information asymmetries and promote informed consumer choice. However, for people who are blind or vision impaired, it is </w:t>
      </w:r>
      <w:r w:rsidR="00B85474">
        <w:t xml:space="preserve">essential that these human services provide this information to consumers in a format of their choice that they can read. This includes formats such as </w:t>
      </w:r>
      <w:r w:rsidR="00B85474" w:rsidRPr="00C0439D">
        <w:t>audio, large print, Braille and electronic media</w:t>
      </w:r>
      <w:r w:rsidR="00B85474">
        <w:rPr>
          <w:color w:val="000000"/>
        </w:rPr>
        <w:t>.</w:t>
      </w:r>
    </w:p>
    <w:p w:rsidR="00A34A3B" w:rsidRDefault="00A34A3B" w:rsidP="00A34A3B">
      <w:pPr>
        <w:spacing w:before="120" w:after="120"/>
        <w:rPr>
          <w:b/>
        </w:rPr>
      </w:pPr>
      <w:r>
        <w:rPr>
          <w:b/>
        </w:rPr>
        <w:t>Accessibility</w:t>
      </w:r>
    </w:p>
    <w:p w:rsidR="00A34A3B" w:rsidRPr="00A34A3B" w:rsidRDefault="00A34A3B" w:rsidP="00A34A3B">
      <w:pPr>
        <w:spacing w:before="120" w:after="120"/>
      </w:pPr>
      <w:r>
        <w:t xml:space="preserve">ABF notes accessibility is an aspirational goal of </w:t>
      </w:r>
      <w:r w:rsidR="0083347E">
        <w:t xml:space="preserve">the </w:t>
      </w:r>
      <w:r>
        <w:t>Federal Government. The Department of Finance recently announced that</w:t>
      </w:r>
      <w:r w:rsidRPr="000A0D09">
        <w:rPr>
          <w:rFonts w:cs="Arial"/>
          <w:szCs w:val="24"/>
        </w:rPr>
        <w:t xml:space="preserve"> </w:t>
      </w:r>
      <w:r w:rsidRPr="00175BE4">
        <w:rPr>
          <w:rFonts w:cs="Arial"/>
          <w:lang w:val="en"/>
        </w:rPr>
        <w:t xml:space="preserve">Standards Australia </w:t>
      </w:r>
      <w:r>
        <w:rPr>
          <w:rFonts w:cs="Arial"/>
          <w:lang w:val="en"/>
        </w:rPr>
        <w:t>has</w:t>
      </w:r>
      <w:r w:rsidRPr="00175BE4">
        <w:rPr>
          <w:rFonts w:cs="Arial"/>
          <w:lang w:val="en"/>
        </w:rPr>
        <w:t xml:space="preserve"> agreed to create an Australian Standard on ICT accessibility through the direct text adoption of the European Standard (EN 301 549). </w:t>
      </w:r>
    </w:p>
    <w:p w:rsidR="00462ACB" w:rsidRDefault="00A34A3B" w:rsidP="00A34A3B">
      <w:pPr>
        <w:spacing w:before="120" w:after="120"/>
        <w:rPr>
          <w:rFonts w:cs="Arial"/>
          <w:szCs w:val="24"/>
        </w:rPr>
      </w:pPr>
      <w:r>
        <w:rPr>
          <w:rFonts w:cs="Arial"/>
          <w:lang w:val="en"/>
        </w:rPr>
        <w:t>The Department of Finance said that the</w:t>
      </w:r>
      <w:r w:rsidRPr="00175BE4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“</w:t>
      </w:r>
      <w:r w:rsidRPr="00175BE4">
        <w:rPr>
          <w:rFonts w:cs="Arial"/>
          <w:lang w:val="en"/>
        </w:rPr>
        <w:t>standard will support access to ICT for people with disabilities and provide domestic ICT procurers with accessi</w:t>
      </w:r>
      <w:r>
        <w:rPr>
          <w:rFonts w:cs="Arial"/>
          <w:lang w:val="en"/>
        </w:rPr>
        <w:t>bility guidelines and certainty</w:t>
      </w:r>
      <w:r>
        <w:rPr>
          <w:rFonts w:cs="Arial"/>
          <w:szCs w:val="24"/>
          <w:lang w:val="en"/>
        </w:rPr>
        <w:t>…</w:t>
      </w:r>
      <w:r w:rsidRPr="00175BE4">
        <w:rPr>
          <w:rFonts w:cs="Arial"/>
          <w:szCs w:val="24"/>
          <w:lang w:val="en"/>
        </w:rPr>
        <w:t>Once adopted, the Australian standard can be used when determining technical specifications for the procurement of accessible ICT products and services. This includes generic requirements, ICT with video, ICT with 2-way voice, hardware, web content, software and documentation and support services.</w:t>
      </w:r>
      <w:r>
        <w:rPr>
          <w:rFonts w:cs="Arial"/>
          <w:szCs w:val="24"/>
          <w:lang w:val="en"/>
        </w:rPr>
        <w:t>”</w:t>
      </w:r>
      <w:r>
        <w:rPr>
          <w:rStyle w:val="FootnoteReference"/>
          <w:rFonts w:cs="Arial"/>
          <w:szCs w:val="24"/>
          <w:lang w:val="en"/>
        </w:rPr>
        <w:footnoteReference w:id="3"/>
      </w:r>
      <w:r w:rsidR="00FA45C4" w:rsidRPr="00FA45C4">
        <w:rPr>
          <w:rFonts w:cs="Arial"/>
          <w:szCs w:val="24"/>
        </w:rPr>
        <w:t xml:space="preserve"> </w:t>
      </w:r>
    </w:p>
    <w:p w:rsidR="0083347E" w:rsidRPr="00B95CAF" w:rsidRDefault="0083347E" w:rsidP="0083347E">
      <w:pPr>
        <w:spacing w:before="120" w:after="120"/>
        <w:rPr>
          <w:rFonts w:cs="Arial"/>
          <w:lang w:val="en"/>
        </w:rPr>
      </w:pPr>
      <w:r>
        <w:rPr>
          <w:rFonts w:cs="Arial"/>
          <w:szCs w:val="24"/>
          <w:lang w:val="en"/>
        </w:rPr>
        <w:t xml:space="preserve">ABF urges the Productivity Commission to include this new Australian Standard on ICT accessibility into any reforms of human services. </w:t>
      </w:r>
    </w:p>
    <w:p w:rsidR="00A34A3B" w:rsidRPr="0033442B" w:rsidRDefault="00462ACB" w:rsidP="00A34A3B">
      <w:pPr>
        <w:spacing w:before="120" w:after="120"/>
        <w:rPr>
          <w:rFonts w:cs="Arial"/>
          <w:lang w:val="en"/>
        </w:rPr>
      </w:pPr>
      <w:r>
        <w:rPr>
          <w:rFonts w:cs="Arial"/>
          <w:szCs w:val="24"/>
        </w:rPr>
        <w:t>Further, a</w:t>
      </w:r>
      <w:r w:rsidR="00FA45C4" w:rsidRPr="00A843D5">
        <w:rPr>
          <w:rFonts w:cs="Arial"/>
          <w:szCs w:val="24"/>
        </w:rPr>
        <w:t xml:space="preserve">ny </w:t>
      </w:r>
      <w:r>
        <w:rPr>
          <w:rFonts w:cs="Arial"/>
          <w:szCs w:val="24"/>
        </w:rPr>
        <w:t xml:space="preserve">procurement </w:t>
      </w:r>
      <w:r w:rsidR="00FA45C4" w:rsidRPr="00A843D5">
        <w:rPr>
          <w:rFonts w:cs="Arial"/>
          <w:szCs w:val="24"/>
        </w:rPr>
        <w:t>contrac</w:t>
      </w:r>
      <w:r w:rsidR="00FA45C4">
        <w:rPr>
          <w:rFonts w:cs="Arial"/>
          <w:szCs w:val="24"/>
        </w:rPr>
        <w:t xml:space="preserve">ts </w:t>
      </w:r>
      <w:r>
        <w:rPr>
          <w:rFonts w:cs="Arial"/>
          <w:szCs w:val="24"/>
        </w:rPr>
        <w:t xml:space="preserve">must </w:t>
      </w:r>
      <w:r w:rsidR="00FA45C4">
        <w:rPr>
          <w:rFonts w:cs="Arial"/>
          <w:szCs w:val="24"/>
        </w:rPr>
        <w:t>include accessibility not</w:t>
      </w:r>
      <w:r w:rsidR="00FA45C4" w:rsidRPr="00A843D5">
        <w:rPr>
          <w:rFonts w:cs="Arial"/>
          <w:szCs w:val="24"/>
        </w:rPr>
        <w:t xml:space="preserve"> only of information but software and any future physic</w:t>
      </w:r>
      <w:r w:rsidR="00FA45C4">
        <w:rPr>
          <w:rFonts w:cs="Arial"/>
          <w:szCs w:val="24"/>
        </w:rPr>
        <w:t>al or hardware systems such as M</w:t>
      </w:r>
      <w:r w:rsidR="00FA45C4" w:rsidRPr="00A843D5">
        <w:rPr>
          <w:rFonts w:cs="Arial"/>
          <w:szCs w:val="24"/>
        </w:rPr>
        <w:t>edicare cards, e</w:t>
      </w:r>
      <w:r w:rsidR="00FA45C4">
        <w:rPr>
          <w:rFonts w:cs="Arial"/>
          <w:szCs w:val="24"/>
        </w:rPr>
        <w:t>-</w:t>
      </w:r>
      <w:r w:rsidR="00FA45C4" w:rsidRPr="00A843D5">
        <w:rPr>
          <w:rFonts w:cs="Arial"/>
          <w:szCs w:val="24"/>
        </w:rPr>
        <w:t xml:space="preserve">tags </w:t>
      </w:r>
      <w:r w:rsidR="00FA45C4">
        <w:rPr>
          <w:rFonts w:cs="Arial"/>
          <w:szCs w:val="24"/>
        </w:rPr>
        <w:t>etc.</w:t>
      </w:r>
      <w:r w:rsidR="00171C84">
        <w:rPr>
          <w:rFonts w:cs="Arial"/>
          <w:szCs w:val="24"/>
        </w:rPr>
        <w:t xml:space="preserve"> I</w:t>
      </w:r>
      <w:r w:rsidR="00171C84" w:rsidRPr="00171C84">
        <w:rPr>
          <w:rFonts w:cs="Arial"/>
          <w:szCs w:val="24"/>
        </w:rPr>
        <w:t>t is imperative that Government adopt a procurement policy that any equipment, software systems or facilities purchased, rented or leased for human services are accessible to people who are blind or vision impaired.</w:t>
      </w:r>
    </w:p>
    <w:p w:rsidR="00D16AF8" w:rsidRPr="009F2BA3" w:rsidRDefault="00CF184E" w:rsidP="00E333B7">
      <w:pPr>
        <w:spacing w:before="120" w:after="120"/>
        <w:rPr>
          <w:b/>
        </w:rPr>
      </w:pPr>
      <w:r w:rsidRPr="009F2BA3">
        <w:rPr>
          <w:b/>
        </w:rPr>
        <w:t>Disability awareness training</w:t>
      </w:r>
    </w:p>
    <w:p w:rsidR="00B85474" w:rsidRDefault="00B85474" w:rsidP="00E333B7">
      <w:pPr>
        <w:spacing w:before="120" w:after="120"/>
      </w:pPr>
      <w:r>
        <w:t>For all of the</w:t>
      </w:r>
      <w:r w:rsidR="009F2BA3">
        <w:t xml:space="preserve"> six human services identified in the Preliminary Findings report as suitable for reform, </w:t>
      </w:r>
      <w:r w:rsidR="0083347E">
        <w:t>the</w:t>
      </w:r>
      <w:r>
        <w:t xml:space="preserve"> final report by the Productivity Commission needs to recognise the needs of people with disability using these services and the need for all </w:t>
      </w:r>
      <w:r w:rsidR="00CA34D7">
        <w:t xml:space="preserve">human services </w:t>
      </w:r>
      <w:r>
        <w:t xml:space="preserve">staff to understand disability. </w:t>
      </w:r>
    </w:p>
    <w:p w:rsidR="00D16AF8" w:rsidRDefault="009F2BA3" w:rsidP="00E333B7">
      <w:pPr>
        <w:spacing w:before="120" w:after="120"/>
      </w:pPr>
      <w:r w:rsidRPr="009F2BA3">
        <w:t xml:space="preserve">It is vital for </w:t>
      </w:r>
      <w:r w:rsidR="00B85474">
        <w:t>all staff working in these</w:t>
      </w:r>
      <w:r w:rsidRPr="009F2BA3">
        <w:t xml:space="preserve"> service</w:t>
      </w:r>
      <w:r w:rsidR="00B85474">
        <w:t>s</w:t>
      </w:r>
      <w:r w:rsidRPr="009F2BA3">
        <w:t xml:space="preserve"> to have </w:t>
      </w:r>
      <w:r w:rsidR="00B85474">
        <w:t xml:space="preserve">disability awareness training, particularly </w:t>
      </w:r>
      <w:r w:rsidR="00495B8D">
        <w:t>in relation to</w:t>
      </w:r>
      <w:r w:rsidRPr="009F2BA3">
        <w:t xml:space="preserve"> people </w:t>
      </w:r>
      <w:r w:rsidR="00B85474">
        <w:t>who are blind or vision impaired</w:t>
      </w:r>
      <w:r w:rsidR="00495B8D">
        <w:t>,</w:t>
      </w:r>
      <w:r w:rsidR="00B85474">
        <w:t xml:space="preserve"> so that they u</w:t>
      </w:r>
      <w:r w:rsidR="00D16AF8">
        <w:t>nders</w:t>
      </w:r>
      <w:r w:rsidR="00B85474">
        <w:t>tand the impact of vision loss and communicate with the consumer appropriately.</w:t>
      </w:r>
    </w:p>
    <w:p w:rsidR="00CF184E" w:rsidRPr="00B85474" w:rsidRDefault="00CF184E" w:rsidP="00E333B7">
      <w:pPr>
        <w:spacing w:before="120" w:after="120"/>
        <w:rPr>
          <w:b/>
        </w:rPr>
      </w:pPr>
      <w:r w:rsidRPr="00B85474">
        <w:rPr>
          <w:b/>
        </w:rPr>
        <w:t>Wayfinding systems</w:t>
      </w:r>
    </w:p>
    <w:p w:rsidR="00175BE4" w:rsidRPr="00175BE4" w:rsidRDefault="00D16AF8" w:rsidP="00175BE4">
      <w:pPr>
        <w:spacing w:before="120" w:after="120"/>
        <w:rPr>
          <w:b/>
          <w:u w:val="single"/>
          <w:lang w:val="en-US"/>
        </w:rPr>
      </w:pPr>
      <w:r>
        <w:t xml:space="preserve">If private facilities are being used </w:t>
      </w:r>
      <w:r w:rsidR="00495B8D">
        <w:t xml:space="preserve">by the human services being considered for reform, ABF recommends all services utilise </w:t>
      </w:r>
      <w:r>
        <w:t xml:space="preserve">wayfinding systems </w:t>
      </w:r>
      <w:r w:rsidR="00495B8D">
        <w:t xml:space="preserve">within buildings or offices </w:t>
      </w:r>
      <w:r>
        <w:t xml:space="preserve">for </w:t>
      </w:r>
      <w:r w:rsidR="00495B8D">
        <w:t xml:space="preserve">people who are blind or vision impaired. </w:t>
      </w:r>
      <w:r w:rsidR="00175BE4">
        <w:rPr>
          <w:lang w:val="en-US"/>
        </w:rPr>
        <w:t xml:space="preserve">Wayfinding principles </w:t>
      </w:r>
      <w:r w:rsidR="00175BE4" w:rsidRPr="00175BE4">
        <w:rPr>
          <w:lang w:val="en-US"/>
        </w:rPr>
        <w:t>ensure that people who are blind or vision impaired are able to independently and with dignity, safely orientate and navigate through built environments.</w:t>
      </w:r>
    </w:p>
    <w:p w:rsidR="0033442B" w:rsidRPr="00EE6925" w:rsidRDefault="00495B8D" w:rsidP="006C4E2F">
      <w:pPr>
        <w:spacing w:before="120" w:after="120"/>
      </w:pPr>
      <w:r>
        <w:lastRenderedPageBreak/>
        <w:t xml:space="preserve">This includes </w:t>
      </w:r>
      <w:r w:rsidR="00175BE4">
        <w:t>lighting, signage, luminance contrast signage and</w:t>
      </w:r>
      <w:r w:rsidR="00D16AF8">
        <w:t xml:space="preserve"> </w:t>
      </w:r>
      <w:r w:rsidR="00175BE4">
        <w:t>tactile ground surface indicators</w:t>
      </w:r>
      <w:r w:rsidR="00D16AF8">
        <w:t xml:space="preserve"> </w:t>
      </w:r>
      <w:r w:rsidR="00175BE4">
        <w:t xml:space="preserve">that allow for </w:t>
      </w:r>
      <w:r w:rsidR="0033442B">
        <w:t xml:space="preserve">a </w:t>
      </w:r>
      <w:r w:rsidR="00175BE4">
        <w:t>continuous, accessible, detectible and l</w:t>
      </w:r>
      <w:r w:rsidR="00D16AF8">
        <w:t>ogical path of travel</w:t>
      </w:r>
      <w:r w:rsidR="00175BE4">
        <w:t xml:space="preserve"> in and through a building.</w:t>
      </w:r>
    </w:p>
    <w:p w:rsidR="006E763D" w:rsidRPr="00F14430" w:rsidRDefault="0033442B" w:rsidP="006C4E2F">
      <w:pPr>
        <w:spacing w:before="120" w:after="12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Thank you for the opportunity to respond to the Preliminary Findings Report. </w:t>
      </w:r>
      <w:r w:rsidR="006E763D" w:rsidRPr="00F14430">
        <w:rPr>
          <w:rFonts w:eastAsiaTheme="minorHAnsi" w:cs="Arial"/>
          <w:szCs w:val="24"/>
        </w:rPr>
        <w:t>Please call Ms Jennifer Grimwade should you require any further information.</w:t>
      </w:r>
    </w:p>
    <w:p w:rsidR="000A0D09" w:rsidRDefault="006E763D" w:rsidP="0033442B">
      <w:pPr>
        <w:autoSpaceDE w:val="0"/>
        <w:autoSpaceDN w:val="0"/>
        <w:adjustRightInd w:val="0"/>
        <w:spacing w:after="240"/>
        <w:rPr>
          <w:rFonts w:eastAsiaTheme="minorHAnsi" w:cs="Arial"/>
          <w:szCs w:val="24"/>
        </w:rPr>
      </w:pPr>
      <w:r w:rsidRPr="00F14430">
        <w:rPr>
          <w:rFonts w:eastAsiaTheme="minorHAnsi" w:cs="Arial"/>
          <w:szCs w:val="24"/>
        </w:rPr>
        <w:t>Yours sincerely</w:t>
      </w:r>
      <w:bookmarkStart w:id="0" w:name="_GoBack"/>
      <w:bookmarkEnd w:id="0"/>
    </w:p>
    <w:p w:rsidR="00EE6925" w:rsidRDefault="00EE6925" w:rsidP="0033442B">
      <w:pPr>
        <w:autoSpaceDE w:val="0"/>
        <w:autoSpaceDN w:val="0"/>
        <w:adjustRightInd w:val="0"/>
        <w:spacing w:after="240"/>
        <w:rPr>
          <w:noProof/>
          <w:lang w:eastAsia="en-AU"/>
        </w:rPr>
      </w:pPr>
    </w:p>
    <w:p w:rsidR="0097481C" w:rsidRDefault="0097481C" w:rsidP="0033442B">
      <w:pPr>
        <w:autoSpaceDE w:val="0"/>
        <w:autoSpaceDN w:val="0"/>
        <w:adjustRightInd w:val="0"/>
        <w:spacing w:after="240"/>
        <w:rPr>
          <w:rFonts w:eastAsiaTheme="minorHAnsi" w:cs="Arial"/>
          <w:szCs w:val="24"/>
        </w:rPr>
      </w:pPr>
    </w:p>
    <w:p w:rsidR="0033442B" w:rsidRPr="00CA34D7" w:rsidRDefault="00CA34D7" w:rsidP="00CA34D7">
      <w:pPr>
        <w:autoSpaceDE w:val="0"/>
        <w:autoSpaceDN w:val="0"/>
        <w:adjustRightInd w:val="0"/>
        <w:spacing w:before="0"/>
        <w:rPr>
          <w:rFonts w:eastAsiaTheme="minorHAnsi" w:cs="Arial"/>
          <w:b/>
          <w:szCs w:val="24"/>
        </w:rPr>
      </w:pPr>
      <w:r w:rsidRPr="00CA34D7">
        <w:rPr>
          <w:rFonts w:eastAsiaTheme="minorHAnsi" w:cs="Arial"/>
          <w:b/>
          <w:szCs w:val="24"/>
        </w:rPr>
        <w:t>Tony Starkey</w:t>
      </w:r>
    </w:p>
    <w:p w:rsidR="0033442B" w:rsidRPr="00CA34D7" w:rsidRDefault="00CA34D7" w:rsidP="00CA34D7">
      <w:pPr>
        <w:autoSpaceDE w:val="0"/>
        <w:autoSpaceDN w:val="0"/>
        <w:adjustRightInd w:val="0"/>
        <w:spacing w:before="0"/>
        <w:rPr>
          <w:rFonts w:eastAsiaTheme="minorHAnsi" w:cs="Arial"/>
          <w:b/>
          <w:szCs w:val="24"/>
        </w:rPr>
      </w:pPr>
      <w:r w:rsidRPr="00CA34D7">
        <w:rPr>
          <w:rFonts w:eastAsiaTheme="minorHAnsi" w:cs="Arial"/>
          <w:b/>
          <w:szCs w:val="24"/>
        </w:rPr>
        <w:t>Director</w:t>
      </w:r>
    </w:p>
    <w:p w:rsidR="006E763D" w:rsidRPr="00323176" w:rsidRDefault="006E763D" w:rsidP="00CA34D7">
      <w:pPr>
        <w:spacing w:before="0"/>
        <w:rPr>
          <w:rFonts w:eastAsiaTheme="minorHAnsi" w:cs="Arial"/>
          <w:b/>
          <w:szCs w:val="24"/>
        </w:rPr>
      </w:pPr>
      <w:r>
        <w:rPr>
          <w:rFonts w:eastAsiaTheme="minorHAnsi" w:cs="Arial"/>
          <w:b/>
          <w:szCs w:val="24"/>
        </w:rPr>
        <w:t>Australian Blindness Forum</w:t>
      </w:r>
    </w:p>
    <w:sectPr w:rsidR="006E763D" w:rsidRPr="00323176" w:rsidSect="00825AAD"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57" w:rsidRDefault="00877057" w:rsidP="00AE4E45">
      <w:pPr>
        <w:spacing w:before="0"/>
      </w:pPr>
      <w:r>
        <w:separator/>
      </w:r>
    </w:p>
  </w:endnote>
  <w:endnote w:type="continuationSeparator" w:id="0">
    <w:p w:rsidR="00877057" w:rsidRDefault="00877057" w:rsidP="00AE4E4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186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F8E" w:rsidRDefault="00194F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8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4F8E" w:rsidRDefault="00194F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57" w:rsidRDefault="00877057" w:rsidP="00AE4E45">
      <w:pPr>
        <w:spacing w:before="0"/>
      </w:pPr>
      <w:r>
        <w:separator/>
      </w:r>
    </w:p>
  </w:footnote>
  <w:footnote w:type="continuationSeparator" w:id="0">
    <w:p w:rsidR="00877057" w:rsidRDefault="00877057" w:rsidP="00AE4E45">
      <w:pPr>
        <w:spacing w:before="0"/>
      </w:pPr>
      <w:r>
        <w:continuationSeparator/>
      </w:r>
    </w:p>
  </w:footnote>
  <w:footnote w:id="1">
    <w:p w:rsidR="003960F4" w:rsidRPr="003960F4" w:rsidRDefault="003960F4" w:rsidP="003960F4">
      <w:pPr>
        <w:spacing w:before="0"/>
        <w:rPr>
          <w:rFonts w:eastAsiaTheme="minorHAnsi" w:cs="Arial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3960F4">
        <w:rPr>
          <w:rFonts w:eastAsiaTheme="minorHAnsi" w:cs="Arial"/>
          <w:sz w:val="20"/>
        </w:rPr>
        <w:t>Introducing Competition and Informed User Choice into Human Services: Identifying Sectors for Reform – Productivity Commission Preliminary Findings Report (Overview) September 2016, p.19</w:t>
      </w:r>
    </w:p>
    <w:p w:rsidR="003960F4" w:rsidRDefault="003960F4">
      <w:pPr>
        <w:pStyle w:val="FootnoteText"/>
      </w:pPr>
    </w:p>
  </w:footnote>
  <w:footnote w:id="2">
    <w:p w:rsidR="00776D24" w:rsidRDefault="00776D24">
      <w:pPr>
        <w:pStyle w:val="FootnoteText"/>
      </w:pPr>
      <w:r>
        <w:rPr>
          <w:rStyle w:val="FootnoteReference"/>
        </w:rPr>
        <w:footnoteRef/>
      </w:r>
      <w:r>
        <w:t xml:space="preserve"> Ibid, p.21</w:t>
      </w:r>
    </w:p>
  </w:footnote>
  <w:footnote w:id="3">
    <w:p w:rsidR="00A34A3B" w:rsidRDefault="00A34A3B" w:rsidP="00A34A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670BB">
          <w:rPr>
            <w:rStyle w:val="Hyperlink"/>
          </w:rPr>
          <w:t>https://www.finance.gov.au/blog/2016/09/09/Accessibility-ICT-Procurement-Standard/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456A"/>
    <w:multiLevelType w:val="hybridMultilevel"/>
    <w:tmpl w:val="8FBA5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3D"/>
    <w:rsid w:val="00003C60"/>
    <w:rsid w:val="00004A33"/>
    <w:rsid w:val="00012070"/>
    <w:rsid w:val="000152E3"/>
    <w:rsid w:val="000250DA"/>
    <w:rsid w:val="000342A6"/>
    <w:rsid w:val="000413F0"/>
    <w:rsid w:val="00051BB9"/>
    <w:rsid w:val="00056005"/>
    <w:rsid w:val="000628BF"/>
    <w:rsid w:val="0008221C"/>
    <w:rsid w:val="000A0D09"/>
    <w:rsid w:val="000B4338"/>
    <w:rsid w:val="000C58D4"/>
    <w:rsid w:val="000C61A6"/>
    <w:rsid w:val="000C6FEF"/>
    <w:rsid w:val="000E79F3"/>
    <w:rsid w:val="000F0F6A"/>
    <w:rsid w:val="00100C47"/>
    <w:rsid w:val="00106AC3"/>
    <w:rsid w:val="00112BF1"/>
    <w:rsid w:val="001210E9"/>
    <w:rsid w:val="00121264"/>
    <w:rsid w:val="00123F35"/>
    <w:rsid w:val="00126606"/>
    <w:rsid w:val="00132C7C"/>
    <w:rsid w:val="0014252E"/>
    <w:rsid w:val="00147AE8"/>
    <w:rsid w:val="001513E6"/>
    <w:rsid w:val="001619DC"/>
    <w:rsid w:val="0016694A"/>
    <w:rsid w:val="00171C84"/>
    <w:rsid w:val="00175BE4"/>
    <w:rsid w:val="00176753"/>
    <w:rsid w:val="0018212A"/>
    <w:rsid w:val="001923C9"/>
    <w:rsid w:val="00194F8E"/>
    <w:rsid w:val="00197EBD"/>
    <w:rsid w:val="001A2BC5"/>
    <w:rsid w:val="001C679E"/>
    <w:rsid w:val="00201D91"/>
    <w:rsid w:val="00213329"/>
    <w:rsid w:val="002137E5"/>
    <w:rsid w:val="00220459"/>
    <w:rsid w:val="00220F82"/>
    <w:rsid w:val="002315E4"/>
    <w:rsid w:val="0023227F"/>
    <w:rsid w:val="00234BE8"/>
    <w:rsid w:val="00237C56"/>
    <w:rsid w:val="002440F2"/>
    <w:rsid w:val="00251DF3"/>
    <w:rsid w:val="00253EA8"/>
    <w:rsid w:val="00257015"/>
    <w:rsid w:val="00257854"/>
    <w:rsid w:val="00260DDE"/>
    <w:rsid w:val="00263DF9"/>
    <w:rsid w:val="00273FC4"/>
    <w:rsid w:val="00284C5F"/>
    <w:rsid w:val="00292114"/>
    <w:rsid w:val="00294D97"/>
    <w:rsid w:val="002954DC"/>
    <w:rsid w:val="002A4881"/>
    <w:rsid w:val="002C5B3F"/>
    <w:rsid w:val="002E0161"/>
    <w:rsid w:val="002E5716"/>
    <w:rsid w:val="002F53D5"/>
    <w:rsid w:val="00301372"/>
    <w:rsid w:val="0030178E"/>
    <w:rsid w:val="003041F0"/>
    <w:rsid w:val="00310371"/>
    <w:rsid w:val="00323176"/>
    <w:rsid w:val="0033442B"/>
    <w:rsid w:val="00346375"/>
    <w:rsid w:val="003508EF"/>
    <w:rsid w:val="00361E39"/>
    <w:rsid w:val="003669DF"/>
    <w:rsid w:val="003700C3"/>
    <w:rsid w:val="003704EE"/>
    <w:rsid w:val="0037486A"/>
    <w:rsid w:val="00375F64"/>
    <w:rsid w:val="00386948"/>
    <w:rsid w:val="00395190"/>
    <w:rsid w:val="003960F4"/>
    <w:rsid w:val="003A4854"/>
    <w:rsid w:val="003F0E8E"/>
    <w:rsid w:val="003F3B22"/>
    <w:rsid w:val="00401981"/>
    <w:rsid w:val="00401DD7"/>
    <w:rsid w:val="004066DB"/>
    <w:rsid w:val="00421904"/>
    <w:rsid w:val="00421DF9"/>
    <w:rsid w:val="00422FEC"/>
    <w:rsid w:val="00425775"/>
    <w:rsid w:val="004320AD"/>
    <w:rsid w:val="00437199"/>
    <w:rsid w:val="00457DF0"/>
    <w:rsid w:val="00462ACB"/>
    <w:rsid w:val="004646F4"/>
    <w:rsid w:val="00471C0E"/>
    <w:rsid w:val="00475A74"/>
    <w:rsid w:val="00495B8D"/>
    <w:rsid w:val="004966E4"/>
    <w:rsid w:val="004A0C40"/>
    <w:rsid w:val="004A2E13"/>
    <w:rsid w:val="004B4256"/>
    <w:rsid w:val="004B478D"/>
    <w:rsid w:val="004D0C57"/>
    <w:rsid w:val="004D4291"/>
    <w:rsid w:val="004D572D"/>
    <w:rsid w:val="004E24A9"/>
    <w:rsid w:val="004F585E"/>
    <w:rsid w:val="005007D0"/>
    <w:rsid w:val="00514104"/>
    <w:rsid w:val="00514B06"/>
    <w:rsid w:val="005466F3"/>
    <w:rsid w:val="00550940"/>
    <w:rsid w:val="00552E7F"/>
    <w:rsid w:val="005607A8"/>
    <w:rsid w:val="005714BE"/>
    <w:rsid w:val="005777D5"/>
    <w:rsid w:val="00580A96"/>
    <w:rsid w:val="005866DF"/>
    <w:rsid w:val="00593637"/>
    <w:rsid w:val="005A59FF"/>
    <w:rsid w:val="005A6287"/>
    <w:rsid w:val="005B023D"/>
    <w:rsid w:val="005B1F53"/>
    <w:rsid w:val="005C0579"/>
    <w:rsid w:val="005D29C7"/>
    <w:rsid w:val="005E6F21"/>
    <w:rsid w:val="005E7420"/>
    <w:rsid w:val="005F2057"/>
    <w:rsid w:val="005F25AA"/>
    <w:rsid w:val="00600D2C"/>
    <w:rsid w:val="006073F8"/>
    <w:rsid w:val="006152C1"/>
    <w:rsid w:val="00620B66"/>
    <w:rsid w:val="00623DF9"/>
    <w:rsid w:val="0062773D"/>
    <w:rsid w:val="00627FD0"/>
    <w:rsid w:val="00633A22"/>
    <w:rsid w:val="00635236"/>
    <w:rsid w:val="00650337"/>
    <w:rsid w:val="0067444D"/>
    <w:rsid w:val="00677FF0"/>
    <w:rsid w:val="006A0998"/>
    <w:rsid w:val="006A1F40"/>
    <w:rsid w:val="006C1675"/>
    <w:rsid w:val="006C4E2F"/>
    <w:rsid w:val="006D5459"/>
    <w:rsid w:val="006E763D"/>
    <w:rsid w:val="006F3153"/>
    <w:rsid w:val="00700D7D"/>
    <w:rsid w:val="00704065"/>
    <w:rsid w:val="007050AD"/>
    <w:rsid w:val="007136F6"/>
    <w:rsid w:val="007257C4"/>
    <w:rsid w:val="00742B3F"/>
    <w:rsid w:val="00743269"/>
    <w:rsid w:val="0074539A"/>
    <w:rsid w:val="00776D24"/>
    <w:rsid w:val="00780BE5"/>
    <w:rsid w:val="0078454B"/>
    <w:rsid w:val="007A7F04"/>
    <w:rsid w:val="007C1056"/>
    <w:rsid w:val="007D2205"/>
    <w:rsid w:val="007F2530"/>
    <w:rsid w:val="007F49D3"/>
    <w:rsid w:val="008072DB"/>
    <w:rsid w:val="00812472"/>
    <w:rsid w:val="00815DDF"/>
    <w:rsid w:val="0081738C"/>
    <w:rsid w:val="00820D95"/>
    <w:rsid w:val="008259E7"/>
    <w:rsid w:val="00825AAD"/>
    <w:rsid w:val="00825BD5"/>
    <w:rsid w:val="0083347E"/>
    <w:rsid w:val="00834EB3"/>
    <w:rsid w:val="00835BF5"/>
    <w:rsid w:val="00836AED"/>
    <w:rsid w:val="00861B90"/>
    <w:rsid w:val="00872A31"/>
    <w:rsid w:val="00877057"/>
    <w:rsid w:val="00881500"/>
    <w:rsid w:val="00886BC4"/>
    <w:rsid w:val="008941C0"/>
    <w:rsid w:val="008943CF"/>
    <w:rsid w:val="008A1F55"/>
    <w:rsid w:val="008B3D75"/>
    <w:rsid w:val="008C7666"/>
    <w:rsid w:val="008E69B4"/>
    <w:rsid w:val="008F3556"/>
    <w:rsid w:val="008F4931"/>
    <w:rsid w:val="00907BED"/>
    <w:rsid w:val="00912C84"/>
    <w:rsid w:val="00914475"/>
    <w:rsid w:val="00915ADE"/>
    <w:rsid w:val="00916953"/>
    <w:rsid w:val="00917D1D"/>
    <w:rsid w:val="00925186"/>
    <w:rsid w:val="0092614D"/>
    <w:rsid w:val="00926BFA"/>
    <w:rsid w:val="00934AB0"/>
    <w:rsid w:val="00935F76"/>
    <w:rsid w:val="00936C33"/>
    <w:rsid w:val="009374F8"/>
    <w:rsid w:val="00943F37"/>
    <w:rsid w:val="00946365"/>
    <w:rsid w:val="00946DEE"/>
    <w:rsid w:val="009639C8"/>
    <w:rsid w:val="0097481C"/>
    <w:rsid w:val="00986B44"/>
    <w:rsid w:val="00986C64"/>
    <w:rsid w:val="00996894"/>
    <w:rsid w:val="009D2778"/>
    <w:rsid w:val="009D2E86"/>
    <w:rsid w:val="009D6D3A"/>
    <w:rsid w:val="009D744E"/>
    <w:rsid w:val="009E08C4"/>
    <w:rsid w:val="009E300B"/>
    <w:rsid w:val="009E37A1"/>
    <w:rsid w:val="009F2BA3"/>
    <w:rsid w:val="009F4B8F"/>
    <w:rsid w:val="00A017B9"/>
    <w:rsid w:val="00A06FAC"/>
    <w:rsid w:val="00A24296"/>
    <w:rsid w:val="00A34A3B"/>
    <w:rsid w:val="00A37501"/>
    <w:rsid w:val="00A4004F"/>
    <w:rsid w:val="00A44A1B"/>
    <w:rsid w:val="00A47718"/>
    <w:rsid w:val="00A5249B"/>
    <w:rsid w:val="00A5360F"/>
    <w:rsid w:val="00A53D58"/>
    <w:rsid w:val="00A67ED6"/>
    <w:rsid w:val="00A72F59"/>
    <w:rsid w:val="00A745B9"/>
    <w:rsid w:val="00A80DD2"/>
    <w:rsid w:val="00A843D5"/>
    <w:rsid w:val="00A86F27"/>
    <w:rsid w:val="00AA0904"/>
    <w:rsid w:val="00AA68D6"/>
    <w:rsid w:val="00AB64B1"/>
    <w:rsid w:val="00AD6D49"/>
    <w:rsid w:val="00AE4E45"/>
    <w:rsid w:val="00AE68E7"/>
    <w:rsid w:val="00B14865"/>
    <w:rsid w:val="00B173AD"/>
    <w:rsid w:val="00B23DF6"/>
    <w:rsid w:val="00B24A46"/>
    <w:rsid w:val="00B25924"/>
    <w:rsid w:val="00B27CD8"/>
    <w:rsid w:val="00B51434"/>
    <w:rsid w:val="00B64E42"/>
    <w:rsid w:val="00B67412"/>
    <w:rsid w:val="00B70C1C"/>
    <w:rsid w:val="00B82091"/>
    <w:rsid w:val="00B8307F"/>
    <w:rsid w:val="00B83882"/>
    <w:rsid w:val="00B83DF5"/>
    <w:rsid w:val="00B85474"/>
    <w:rsid w:val="00B86183"/>
    <w:rsid w:val="00B87FBF"/>
    <w:rsid w:val="00B9254E"/>
    <w:rsid w:val="00B93395"/>
    <w:rsid w:val="00B95CAF"/>
    <w:rsid w:val="00B96BD3"/>
    <w:rsid w:val="00BA0C89"/>
    <w:rsid w:val="00BA10D2"/>
    <w:rsid w:val="00BA6F5F"/>
    <w:rsid w:val="00BB1D83"/>
    <w:rsid w:val="00BB58FB"/>
    <w:rsid w:val="00BD3336"/>
    <w:rsid w:val="00BD6BC2"/>
    <w:rsid w:val="00BE09BD"/>
    <w:rsid w:val="00BF04F7"/>
    <w:rsid w:val="00C1095A"/>
    <w:rsid w:val="00C1455E"/>
    <w:rsid w:val="00C14CE3"/>
    <w:rsid w:val="00C15396"/>
    <w:rsid w:val="00C24819"/>
    <w:rsid w:val="00C34D6A"/>
    <w:rsid w:val="00C4677E"/>
    <w:rsid w:val="00C624A3"/>
    <w:rsid w:val="00C7305F"/>
    <w:rsid w:val="00C7507F"/>
    <w:rsid w:val="00C77D82"/>
    <w:rsid w:val="00C80808"/>
    <w:rsid w:val="00C8289E"/>
    <w:rsid w:val="00CA24D6"/>
    <w:rsid w:val="00CA34D7"/>
    <w:rsid w:val="00CA3620"/>
    <w:rsid w:val="00CB115D"/>
    <w:rsid w:val="00CC1497"/>
    <w:rsid w:val="00CC560A"/>
    <w:rsid w:val="00CD655D"/>
    <w:rsid w:val="00CE3A4A"/>
    <w:rsid w:val="00CF184E"/>
    <w:rsid w:val="00CF24AC"/>
    <w:rsid w:val="00D01318"/>
    <w:rsid w:val="00D017B0"/>
    <w:rsid w:val="00D03EAF"/>
    <w:rsid w:val="00D139F6"/>
    <w:rsid w:val="00D13A31"/>
    <w:rsid w:val="00D13F28"/>
    <w:rsid w:val="00D16AF8"/>
    <w:rsid w:val="00D22391"/>
    <w:rsid w:val="00D23503"/>
    <w:rsid w:val="00D26064"/>
    <w:rsid w:val="00D33E6D"/>
    <w:rsid w:val="00D350E6"/>
    <w:rsid w:val="00D442A6"/>
    <w:rsid w:val="00D5574C"/>
    <w:rsid w:val="00D6174A"/>
    <w:rsid w:val="00D678E1"/>
    <w:rsid w:val="00D71F11"/>
    <w:rsid w:val="00D80126"/>
    <w:rsid w:val="00D80807"/>
    <w:rsid w:val="00D81DA1"/>
    <w:rsid w:val="00D91FC7"/>
    <w:rsid w:val="00D93F23"/>
    <w:rsid w:val="00DB48E0"/>
    <w:rsid w:val="00DB7968"/>
    <w:rsid w:val="00DC047E"/>
    <w:rsid w:val="00DC20CB"/>
    <w:rsid w:val="00DC3F05"/>
    <w:rsid w:val="00DC471A"/>
    <w:rsid w:val="00DD40F5"/>
    <w:rsid w:val="00E02273"/>
    <w:rsid w:val="00E12C7E"/>
    <w:rsid w:val="00E16225"/>
    <w:rsid w:val="00E22C45"/>
    <w:rsid w:val="00E333B7"/>
    <w:rsid w:val="00E51311"/>
    <w:rsid w:val="00E631B7"/>
    <w:rsid w:val="00E66F6C"/>
    <w:rsid w:val="00E7262D"/>
    <w:rsid w:val="00E953F5"/>
    <w:rsid w:val="00E97400"/>
    <w:rsid w:val="00EB1796"/>
    <w:rsid w:val="00EB2187"/>
    <w:rsid w:val="00EB5384"/>
    <w:rsid w:val="00EB5587"/>
    <w:rsid w:val="00ED165D"/>
    <w:rsid w:val="00ED5FAD"/>
    <w:rsid w:val="00EE1F8A"/>
    <w:rsid w:val="00EE1FB1"/>
    <w:rsid w:val="00EE6925"/>
    <w:rsid w:val="00EF0B63"/>
    <w:rsid w:val="00EF31BE"/>
    <w:rsid w:val="00EF5E85"/>
    <w:rsid w:val="00F11CD8"/>
    <w:rsid w:val="00F13980"/>
    <w:rsid w:val="00F148A7"/>
    <w:rsid w:val="00F14B03"/>
    <w:rsid w:val="00F22CEC"/>
    <w:rsid w:val="00F43354"/>
    <w:rsid w:val="00F458A5"/>
    <w:rsid w:val="00F462E2"/>
    <w:rsid w:val="00F50153"/>
    <w:rsid w:val="00F504CD"/>
    <w:rsid w:val="00F5151E"/>
    <w:rsid w:val="00F61A89"/>
    <w:rsid w:val="00F737DE"/>
    <w:rsid w:val="00F761FF"/>
    <w:rsid w:val="00F7708E"/>
    <w:rsid w:val="00F864B7"/>
    <w:rsid w:val="00F97968"/>
    <w:rsid w:val="00FA45C4"/>
    <w:rsid w:val="00FA5F3E"/>
    <w:rsid w:val="00FA6ED7"/>
    <w:rsid w:val="00FC1FFC"/>
    <w:rsid w:val="00FD5001"/>
    <w:rsid w:val="00FE52AA"/>
    <w:rsid w:val="00FE6A90"/>
    <w:rsid w:val="00FF0828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3D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6E763D"/>
  </w:style>
  <w:style w:type="character" w:customStyle="1" w:styleId="NoSpacingChar">
    <w:name w:val="No Spacing Char"/>
    <w:basedOn w:val="DefaultParagraphFont"/>
    <w:link w:val="NoSpacing"/>
    <w:uiPriority w:val="1"/>
    <w:rsid w:val="006E763D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E76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3F37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4E45"/>
    <w:pPr>
      <w:spacing w:before="0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E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4E45"/>
    <w:rPr>
      <w:vertAlign w:val="superscript"/>
    </w:rPr>
  </w:style>
  <w:style w:type="paragraph" w:customStyle="1" w:styleId="Default">
    <w:name w:val="Default"/>
    <w:rsid w:val="00F515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5BE4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94F8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94F8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94F8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94F8E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8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3D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6E763D"/>
  </w:style>
  <w:style w:type="character" w:customStyle="1" w:styleId="NoSpacingChar">
    <w:name w:val="No Spacing Char"/>
    <w:basedOn w:val="DefaultParagraphFont"/>
    <w:link w:val="NoSpacing"/>
    <w:uiPriority w:val="1"/>
    <w:rsid w:val="006E763D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E76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3F37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4E45"/>
    <w:pPr>
      <w:spacing w:before="0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E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4E45"/>
    <w:rPr>
      <w:vertAlign w:val="superscript"/>
    </w:rPr>
  </w:style>
  <w:style w:type="paragraph" w:customStyle="1" w:styleId="Default">
    <w:name w:val="Default"/>
    <w:rsid w:val="00F515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5BE4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94F8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94F8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94F8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94F8E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8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3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2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3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3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73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ustralianblindnessforum.org.a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e.gov.au/blog/2016/09/09/Accessibility-ICT-Procurement-Stand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85c498d88901ec64627ff9e7e93131b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abbefac06b4241f8d8c2044c94b692d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73EF-93DE-47B5-A8EA-3CCCFC953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51476-5922-4F39-ADCD-7E83259255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9355CD-3B8A-44E2-972A-CF19AE9FCED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B3A8D32-C657-4966-B142-FA3DE665029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694D17D-7247-4BDD-9097-B0ECC1F7A8B2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8044c801-d84b-4ee1-a77e-678f8dcdee17"/>
    <ds:schemaRef ds:uri="3f4bcce7-ac1a-4c9d-aa3e-7e77695652db"/>
  </ds:schemaRefs>
</ds:datastoreItem>
</file>

<file path=customXml/itemProps6.xml><?xml version="1.0" encoding="utf-8"?>
<ds:datastoreItem xmlns:ds="http://schemas.openxmlformats.org/officeDocument/2006/customXml" ds:itemID="{E70D100C-0AF0-48BF-BA94-B2E388DDE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8E15DCA-E180-4836-B97B-EEB4ADFA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PFR331 - Australian Blindness Forum (ABF) - Identifying Sectors for Reform - 1st Stage of the Human Services public inquiry</vt:lpstr>
    </vt:vector>
  </TitlesOfParts>
  <Company>Australian Blindness Forum (ABF)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PFR331 - Australian Blindness Forum (ABF) - Identifying Sectors for Reform - 1st Stage of the Human Services public inquiry</dc:title>
  <dc:subject/>
  <dc:creator>Australian Blindness Forum (ABF)</dc:creator>
  <cp:keywords/>
  <dc:description/>
  <cp:lastModifiedBy>Productivity Commission</cp:lastModifiedBy>
  <cp:revision>36</cp:revision>
  <dcterms:created xsi:type="dcterms:W3CDTF">2016-10-19T22:11:00Z</dcterms:created>
  <dcterms:modified xsi:type="dcterms:W3CDTF">2016-10-27T23:49:00Z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