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50264" w14:textId="77777777" w:rsidR="002525BA" w:rsidRDefault="002525BA" w:rsidP="002525BA">
      <w:pPr>
        <w:pStyle w:val="Heading1"/>
      </w:pPr>
      <w:bookmarkStart w:id="0" w:name="_GoBack"/>
      <w:bookmarkEnd w:id="0"/>
      <w:r>
        <w:t>SUBMISSION to the PRODUCTIVITY COMMISSION INQUIRY INTO REFORMS TO HUMAN SERVICES</w:t>
      </w:r>
    </w:p>
    <w:p w14:paraId="28097C9D" w14:textId="77777777" w:rsidR="009A77B4" w:rsidRDefault="0095667E" w:rsidP="00A14AD6">
      <w:pPr>
        <w:pStyle w:val="CommentText"/>
        <w:spacing w:after="240"/>
      </w:pPr>
      <w:r>
        <w:t xml:space="preserve">The Fred Hollows Foundation (The Foundation) welcomes the opportunity to make a </w:t>
      </w:r>
      <w:r w:rsidR="009A77B4">
        <w:t>s</w:t>
      </w:r>
      <w:r>
        <w:t>ubmission to the Productivity Commission inquiry into Reforms to Human Services.</w:t>
      </w:r>
      <w:r w:rsidRPr="00564B43">
        <w:t xml:space="preserve"> </w:t>
      </w:r>
      <w:r w:rsidR="0060536E" w:rsidRPr="003D1CD6">
        <w:t>The Foundation</w:t>
      </w:r>
      <w:r w:rsidR="003F17CD">
        <w:t xml:space="preserve"> works</w:t>
      </w:r>
      <w:r w:rsidR="0060536E" w:rsidRPr="003D1CD6">
        <w:t xml:space="preserve"> in Australia </w:t>
      </w:r>
      <w:r w:rsidR="003F17CD">
        <w:t xml:space="preserve">to </w:t>
      </w:r>
      <w:r w:rsidR="0060536E" w:rsidRPr="003D1CD6">
        <w:t>strengthen</w:t>
      </w:r>
      <w:r w:rsidR="0060536E">
        <w:t xml:space="preserve"> the</w:t>
      </w:r>
      <w:r w:rsidR="0060536E" w:rsidRPr="003D1CD6">
        <w:t xml:space="preserve"> current eye health system </w:t>
      </w:r>
      <w:r w:rsidR="0060536E">
        <w:t xml:space="preserve">so that it </w:t>
      </w:r>
      <w:r w:rsidR="003F17CD">
        <w:t>can function</w:t>
      </w:r>
      <w:r w:rsidR="00BE4EFB">
        <w:t xml:space="preserve"> in a more</w:t>
      </w:r>
      <w:r w:rsidR="00166D7C">
        <w:t xml:space="preserve"> effective and culturally appropriate way </w:t>
      </w:r>
      <w:r w:rsidR="0060536E">
        <w:t>for</w:t>
      </w:r>
      <w:r w:rsidR="0060536E" w:rsidRPr="003D1CD6">
        <w:t xml:space="preserve"> </w:t>
      </w:r>
      <w:r w:rsidR="0060536E">
        <w:t xml:space="preserve">Aboriginal and Torres Strait Islander </w:t>
      </w:r>
      <w:r w:rsidR="0060536E" w:rsidRPr="003D1CD6">
        <w:t>people living in remote and underserviced communities.</w:t>
      </w:r>
      <w:r w:rsidR="0060536E">
        <w:t xml:space="preserve"> </w:t>
      </w:r>
      <w:r w:rsidR="003F17CD">
        <w:t>This involves working in</w:t>
      </w:r>
      <w:r w:rsidR="003F17CD" w:rsidRPr="003D1CD6">
        <w:t xml:space="preserve"> </w:t>
      </w:r>
      <w:r w:rsidR="003F17CD">
        <w:t xml:space="preserve">direct </w:t>
      </w:r>
      <w:r w:rsidR="003F17CD" w:rsidRPr="003D1CD6">
        <w:t>partnershi</w:t>
      </w:r>
      <w:r w:rsidR="003F17CD">
        <w:t xml:space="preserve">ps with local service providers in these communities and other eye health </w:t>
      </w:r>
      <w:r w:rsidR="003F17CD" w:rsidRPr="00EB4FA9">
        <w:rPr>
          <w:noProof/>
        </w:rPr>
        <w:t>organisations</w:t>
      </w:r>
      <w:r w:rsidR="009A77B4">
        <w:t>.</w:t>
      </w:r>
    </w:p>
    <w:p w14:paraId="4E11882C" w14:textId="5509445E" w:rsidR="0060536E" w:rsidRDefault="003F17CD" w:rsidP="009A77B4">
      <w:pPr>
        <w:pStyle w:val="CommentText"/>
      </w:pPr>
      <w:r>
        <w:t xml:space="preserve">The Foundation makes </w:t>
      </w:r>
      <w:r w:rsidR="00424F2F">
        <w:t xml:space="preserve">four </w:t>
      </w:r>
      <w:r>
        <w:t xml:space="preserve">main points to this submission based on experience and </w:t>
      </w:r>
      <w:r w:rsidRPr="00EB4FA9">
        <w:rPr>
          <w:noProof/>
        </w:rPr>
        <w:t>work</w:t>
      </w:r>
      <w:r>
        <w:t xml:space="preserve"> with Aboriginal and Torres Strait Islander communities</w:t>
      </w:r>
      <w:r w:rsidR="0060536E">
        <w:t>:</w:t>
      </w:r>
    </w:p>
    <w:p w14:paraId="11A1DF85" w14:textId="77777777" w:rsidR="001D1813" w:rsidRPr="00047366" w:rsidRDefault="001D1813" w:rsidP="00D4436D">
      <w:pPr>
        <w:pStyle w:val="ListParagraph"/>
        <w:numPr>
          <w:ilvl w:val="0"/>
          <w:numId w:val="41"/>
        </w:numPr>
        <w:spacing w:before="240"/>
        <w:rPr>
          <w:lang w:val="en-AU"/>
        </w:rPr>
      </w:pPr>
      <w:r>
        <w:t xml:space="preserve">The reform of service provision within Aboriginal and Torres Strait Islander communities must be co-designed with affected communities, and set within a framework of self-determination and based on the communities’ own ambitions and priorities;  </w:t>
      </w:r>
    </w:p>
    <w:p w14:paraId="0A08BB80" w14:textId="77777777" w:rsidR="0060536E" w:rsidRDefault="00AF025D" w:rsidP="0060536E">
      <w:pPr>
        <w:pStyle w:val="ListParagraph"/>
        <w:numPr>
          <w:ilvl w:val="0"/>
          <w:numId w:val="41"/>
        </w:numPr>
      </w:pPr>
      <w:r>
        <w:t>T</w:t>
      </w:r>
      <w:r w:rsidR="0060536E">
        <w:t>he current model of service provision in remote Aboriginal and Torres Strait Islander communities is inadequate</w:t>
      </w:r>
      <w:r w:rsidR="009A77B4">
        <w:t xml:space="preserve">, </w:t>
      </w:r>
      <w:r w:rsidR="009968A7">
        <w:t>therefore</w:t>
      </w:r>
      <w:r w:rsidR="009A77B4">
        <w:t xml:space="preserve"> </w:t>
      </w:r>
      <w:r>
        <w:t xml:space="preserve">any </w:t>
      </w:r>
      <w:r w:rsidR="0060536E">
        <w:t>improvements from greater competition, contestability and user choice will be limited</w:t>
      </w:r>
      <w:r w:rsidR="009968A7">
        <w:t xml:space="preserve"> if this is not addressed;</w:t>
      </w:r>
    </w:p>
    <w:p w14:paraId="0C0DCA3C" w14:textId="5362B932" w:rsidR="0060536E" w:rsidRDefault="0060536E" w:rsidP="001D1813">
      <w:pPr>
        <w:pStyle w:val="ListParagraph"/>
        <w:numPr>
          <w:ilvl w:val="0"/>
          <w:numId w:val="41"/>
        </w:numPr>
      </w:pPr>
      <w:r>
        <w:t xml:space="preserve">There are other ways to improve the efficiency and effectiveness of services in remote communities such as </w:t>
      </w:r>
      <w:r w:rsidR="009A77B4">
        <w:t>greater investment in</w:t>
      </w:r>
      <w:r w:rsidR="0020008C">
        <w:t xml:space="preserve"> service</w:t>
      </w:r>
      <w:r w:rsidR="009A77B4">
        <w:t xml:space="preserve"> co</w:t>
      </w:r>
      <w:r w:rsidR="0020008C">
        <w:t>ordination</w:t>
      </w:r>
      <w:r w:rsidR="009A77B4">
        <w:t xml:space="preserve"> </w:t>
      </w:r>
      <w:r w:rsidR="0020008C">
        <w:t>and</w:t>
      </w:r>
      <w:r w:rsidR="001D1813">
        <w:t xml:space="preserve"> </w:t>
      </w:r>
      <w:r>
        <w:t xml:space="preserve">Aboriginal Community Controlled Health </w:t>
      </w:r>
      <w:proofErr w:type="spellStart"/>
      <w:r>
        <w:t>Organisation</w:t>
      </w:r>
      <w:r w:rsidR="00D049D6">
        <w:t>s</w:t>
      </w:r>
      <w:proofErr w:type="spellEnd"/>
      <w:r w:rsidR="00D049D6">
        <w:t xml:space="preserve"> (ACCHOs); and</w:t>
      </w:r>
    </w:p>
    <w:p w14:paraId="08142423" w14:textId="3F3626A1" w:rsidR="0060536E" w:rsidRDefault="00E5302E" w:rsidP="00E5302E">
      <w:pPr>
        <w:pStyle w:val="ListParagraph"/>
        <w:numPr>
          <w:ilvl w:val="0"/>
          <w:numId w:val="41"/>
        </w:numPr>
      </w:pPr>
      <w:r>
        <w:t xml:space="preserve">Mechanisms to introduce greater competition and contestability in the commissioning of services must be developed in partnership with local Aboriginal and Torres Strait Islanders ensuring that the important role of Aboriginal and Torres Strait Islander </w:t>
      </w:r>
      <w:proofErr w:type="spellStart"/>
      <w:r>
        <w:t>organisations</w:t>
      </w:r>
      <w:proofErr w:type="spellEnd"/>
      <w:r>
        <w:t xml:space="preserve"> is not overlooked and that these </w:t>
      </w:r>
      <w:proofErr w:type="spellStart"/>
      <w:r>
        <w:t>organisations</w:t>
      </w:r>
      <w:proofErr w:type="spellEnd"/>
      <w:r>
        <w:t xml:space="preserve"> are not disadvantaged, but rather supported to enhance their capacity to achieve positive and holistic outcomes. </w:t>
      </w:r>
    </w:p>
    <w:p w14:paraId="309F1AC0" w14:textId="1488F62F" w:rsidR="00C74678" w:rsidRDefault="0020008C" w:rsidP="00593B27">
      <w:pPr>
        <w:pStyle w:val="CommentText"/>
        <w:spacing w:before="240"/>
      </w:pPr>
      <w:r>
        <w:t xml:space="preserve">The Foundation is also a member of Vision 2020 Australia, the </w:t>
      </w:r>
      <w:r w:rsidR="00221777">
        <w:t xml:space="preserve">national </w:t>
      </w:r>
      <w:r>
        <w:t xml:space="preserve">peak body for </w:t>
      </w:r>
      <w:r w:rsidR="002A59B6">
        <w:t>the eye health and vision care secto</w:t>
      </w:r>
      <w:r w:rsidR="00221777">
        <w:t>r</w:t>
      </w:r>
      <w:r>
        <w:t xml:space="preserve">, and </w:t>
      </w:r>
      <w:r w:rsidR="00A73167">
        <w:t>supports</w:t>
      </w:r>
      <w:r>
        <w:t xml:space="preserve"> Vision 2020 Australia’s submission to this inquiry.</w:t>
      </w:r>
    </w:p>
    <w:p w14:paraId="3E64C997" w14:textId="77777777" w:rsidR="00424F2F" w:rsidRDefault="00424F2F" w:rsidP="002A59B6">
      <w:pPr>
        <w:pStyle w:val="Heading3"/>
      </w:pPr>
      <w:r>
        <w:t xml:space="preserve">Self-determination, </w:t>
      </w:r>
      <w:r w:rsidRPr="00EB4FA9">
        <w:rPr>
          <w:noProof/>
        </w:rPr>
        <w:t>empowerment</w:t>
      </w:r>
      <w:r>
        <w:t xml:space="preserve"> and participation of Aboriginal and Torres Strait Islander communities are critical to improving health and social outcomes</w:t>
      </w:r>
    </w:p>
    <w:p w14:paraId="178E02C3" w14:textId="3A52AC3E" w:rsidR="00B74021" w:rsidRDefault="00B74021" w:rsidP="00C74678">
      <w:pPr>
        <w:spacing w:before="240"/>
      </w:pPr>
      <w:r>
        <w:t>The Foundation</w:t>
      </w:r>
      <w:r w:rsidR="00977963">
        <w:t xml:space="preserve"> adopts a </w:t>
      </w:r>
      <w:r>
        <w:t xml:space="preserve">human </w:t>
      </w:r>
      <w:r w:rsidRPr="00A12DBC">
        <w:rPr>
          <w:noProof/>
        </w:rPr>
        <w:t>right</w:t>
      </w:r>
      <w:r w:rsidR="00E5302E" w:rsidRPr="00A12DBC">
        <w:rPr>
          <w:noProof/>
        </w:rPr>
        <w:t>s</w:t>
      </w:r>
      <w:r w:rsidR="00A12DBC">
        <w:rPr>
          <w:noProof/>
        </w:rPr>
        <w:t>-</w:t>
      </w:r>
      <w:r w:rsidR="00E5302E" w:rsidRPr="00A12DBC">
        <w:rPr>
          <w:noProof/>
        </w:rPr>
        <w:t>based</w:t>
      </w:r>
      <w:r>
        <w:t xml:space="preserve"> approach to improving Aboriginal and Torres Strait Islander health through an eye health lens.  Thi</w:t>
      </w:r>
      <w:r w:rsidR="00BE3027">
        <w:t xml:space="preserve">s invariably means </w:t>
      </w:r>
      <w:r w:rsidR="0020008C">
        <w:t>using</w:t>
      </w:r>
      <w:r w:rsidR="00BE3027">
        <w:t xml:space="preserve"> a framework of </w:t>
      </w:r>
      <w:proofErr w:type="gramStart"/>
      <w:r w:rsidR="00BE3027">
        <w:t>self-determination</w:t>
      </w:r>
      <w:proofErr w:type="gramEnd"/>
      <w:r w:rsidR="00BE3027">
        <w:t xml:space="preserve"> as outlined in the </w:t>
      </w:r>
      <w:r w:rsidR="00977963">
        <w:t>United</w:t>
      </w:r>
      <w:r w:rsidR="00BE3027">
        <w:t xml:space="preserve"> </w:t>
      </w:r>
      <w:r w:rsidR="00977963">
        <w:t>Nations</w:t>
      </w:r>
      <w:r w:rsidR="00BE3027">
        <w:t xml:space="preserve"> Declaration on the Rights of Indigenous Peoples (UNDRIP) when working with Aboriginal and Torres Strait </w:t>
      </w:r>
      <w:r w:rsidR="00977963">
        <w:t>I</w:t>
      </w:r>
      <w:r w:rsidR="00BE3027">
        <w:t>slander communities.</w:t>
      </w:r>
    </w:p>
    <w:p w14:paraId="109D91DE" w14:textId="5E31FA0E" w:rsidR="002A59B6" w:rsidRDefault="002A59B6" w:rsidP="002A59B6">
      <w:pPr>
        <w:spacing w:before="240"/>
      </w:pPr>
      <w:r>
        <w:t>The UNDRIP provides a framework for</w:t>
      </w:r>
      <w:r w:rsidRPr="00945700">
        <w:t xml:space="preserve"> working collaboratively with Indigenous </w:t>
      </w:r>
      <w:r w:rsidR="00E5302E">
        <w:t>peoples</w:t>
      </w:r>
      <w:r w:rsidRPr="00945700">
        <w:t xml:space="preserve">, through participation and empowerment, to improve outcomes on a local and national scale. </w:t>
      </w:r>
      <w:r>
        <w:t xml:space="preserve">The links between Indigenous self-determination, </w:t>
      </w:r>
      <w:r w:rsidRPr="00EB4FA9">
        <w:rPr>
          <w:noProof/>
        </w:rPr>
        <w:t>empowerment</w:t>
      </w:r>
      <w:r>
        <w:t xml:space="preserve"> and participation are </w:t>
      </w:r>
      <w:r>
        <w:lastRenderedPageBreak/>
        <w:t>highlighted and strengthened through the UNDRIP</w:t>
      </w:r>
      <w:r>
        <w:rPr>
          <w:rStyle w:val="FootnoteReference"/>
        </w:rPr>
        <w:footnoteReference w:id="1"/>
      </w:r>
      <w:r>
        <w:t xml:space="preserve"> and evidence from Australia and internationally consistently shows that community empowerment, involvement and participation are the precursors to long-term development</w:t>
      </w:r>
      <w:r w:rsidR="00F86CAF">
        <w:t>.</w:t>
      </w:r>
      <w:r>
        <w:rPr>
          <w:rStyle w:val="FootnoteReference"/>
        </w:rPr>
        <w:footnoteReference w:id="2"/>
      </w:r>
      <w:r>
        <w:t xml:space="preserve"> The Overcoming Indigenous Disadvantage Report (2011) supports this and states that “when [indigenous people] make their own decisions about what approaches to take and what resources to develop, they consistently out-perform [non-indigenous] decision-makers”</w:t>
      </w:r>
      <w:r w:rsidR="00F86CAF">
        <w:t>.</w:t>
      </w:r>
      <w:r w:rsidR="00F86CAF">
        <w:rPr>
          <w:rStyle w:val="FootnoteReference"/>
        </w:rPr>
        <w:footnoteReference w:id="3"/>
      </w:r>
    </w:p>
    <w:p w14:paraId="498DDE35" w14:textId="09060203" w:rsidR="00593B27" w:rsidRDefault="002A59B6" w:rsidP="00593B27">
      <w:pPr>
        <w:pStyle w:val="CommentText"/>
        <w:spacing w:before="240"/>
      </w:pPr>
      <w:proofErr w:type="spellStart"/>
      <w:r>
        <w:t>R</w:t>
      </w:r>
      <w:r w:rsidR="004A7DD8">
        <w:t>ecognis</w:t>
      </w:r>
      <w:r>
        <w:t>ing</w:t>
      </w:r>
      <w:proofErr w:type="spellEnd"/>
      <w:r w:rsidR="004A7DD8">
        <w:t xml:space="preserve"> the value of Aboriginal and Torres Strait Islander </w:t>
      </w:r>
      <w:proofErr w:type="spellStart"/>
      <w:r w:rsidR="004A7DD8">
        <w:t>organisations</w:t>
      </w:r>
      <w:proofErr w:type="spellEnd"/>
      <w:r w:rsidR="004A7DD8">
        <w:t xml:space="preserve"> and the need to undertake a </w:t>
      </w:r>
      <w:r w:rsidR="004A7DD8" w:rsidRPr="00EB4FA9">
        <w:rPr>
          <w:noProof/>
        </w:rPr>
        <w:t>partnership-centred</w:t>
      </w:r>
      <w:r w:rsidR="004A7DD8">
        <w:t xml:space="preserve"> approach in the delivery of services or development initiatives in Aboriginal </w:t>
      </w:r>
      <w:r w:rsidR="00E5302E">
        <w:t xml:space="preserve">and Torres Strait Islander </w:t>
      </w:r>
      <w:r w:rsidR="004A7DD8">
        <w:t>communities</w:t>
      </w:r>
      <w:r>
        <w:t>, The Foundation is a</w:t>
      </w:r>
      <w:r w:rsidR="001C3410">
        <w:t xml:space="preserve">lso </w:t>
      </w:r>
      <w:r w:rsidR="004A7DD8">
        <w:t xml:space="preserve">a signatory of the </w:t>
      </w:r>
      <w:r w:rsidR="004A7DD8" w:rsidRPr="00E5302E">
        <w:rPr>
          <w:i/>
        </w:rPr>
        <w:t xml:space="preserve">Partnership Principles for NGOs working with Aboriginal </w:t>
      </w:r>
      <w:proofErr w:type="spellStart"/>
      <w:r w:rsidR="004A7DD8" w:rsidRPr="00E5302E">
        <w:rPr>
          <w:i/>
        </w:rPr>
        <w:t>organisations</w:t>
      </w:r>
      <w:proofErr w:type="spellEnd"/>
      <w:r w:rsidR="004A7DD8" w:rsidRPr="00E5302E">
        <w:rPr>
          <w:i/>
        </w:rPr>
        <w:t xml:space="preserve"> and communities in the Northern Territory</w:t>
      </w:r>
      <w:r w:rsidR="004A7DD8">
        <w:t xml:space="preserve"> from the Aboriginal Peak </w:t>
      </w:r>
      <w:proofErr w:type="spellStart"/>
      <w:r w:rsidR="004A7DD8">
        <w:t>Organisations</w:t>
      </w:r>
      <w:proofErr w:type="spellEnd"/>
      <w:r w:rsidR="004A7DD8">
        <w:t xml:space="preserve"> of the Northern Territory</w:t>
      </w:r>
      <w:r w:rsidR="00F86CAF">
        <w:t>.</w:t>
      </w:r>
      <w:r w:rsidR="004A7DD8">
        <w:rPr>
          <w:rStyle w:val="FootnoteReference"/>
        </w:rPr>
        <w:footnoteReference w:id="4"/>
      </w:r>
      <w:r>
        <w:t xml:space="preserve"> The Foundation </w:t>
      </w:r>
      <w:r w:rsidR="004A7DD8">
        <w:t xml:space="preserve">also contributed to the Australian Council for International Development’s </w:t>
      </w:r>
      <w:r w:rsidR="004A7DD8" w:rsidRPr="00E5302E">
        <w:rPr>
          <w:i/>
        </w:rPr>
        <w:t>Effective Development Practice with Aboriginal and Torres Strait Islander Communities Practice Note</w:t>
      </w:r>
      <w:r w:rsidR="0092019E">
        <w:t>,</w:t>
      </w:r>
      <w:r w:rsidR="004A7DD8">
        <w:t xml:space="preserve"> which reinforces the importance of working in partnership with Aboriginal and Torres Strait Islander communities and </w:t>
      </w:r>
      <w:r w:rsidR="004A7DD8" w:rsidRPr="00EB4FA9">
        <w:rPr>
          <w:noProof/>
        </w:rPr>
        <w:t>organisations</w:t>
      </w:r>
      <w:r w:rsidR="004A7DD8">
        <w:t xml:space="preserve"> for productive relationships.</w:t>
      </w:r>
      <w:r w:rsidR="0092019E">
        <w:rPr>
          <w:rStyle w:val="FootnoteReference"/>
        </w:rPr>
        <w:footnoteReference w:id="5"/>
      </w:r>
      <w:r w:rsidR="004A7DD8">
        <w:t xml:space="preserve"> </w:t>
      </w:r>
    </w:p>
    <w:p w14:paraId="0FA76E30" w14:textId="77777777" w:rsidR="0060536E" w:rsidRDefault="0060536E" w:rsidP="0060536E">
      <w:pPr>
        <w:pStyle w:val="Heading3"/>
      </w:pPr>
      <w:r>
        <w:t>The inadequate level of service provision needs to be addressed</w:t>
      </w:r>
      <w:r w:rsidR="00D34427">
        <w:t xml:space="preserve"> </w:t>
      </w:r>
      <w:r w:rsidR="009968A7">
        <w:t>first</w:t>
      </w:r>
    </w:p>
    <w:p w14:paraId="253ACE54" w14:textId="64DBF522" w:rsidR="0089685E" w:rsidRDefault="0060536E" w:rsidP="004A7DD8">
      <w:pPr>
        <w:spacing w:before="240"/>
      </w:pPr>
      <w:r>
        <w:t>T</w:t>
      </w:r>
      <w:r w:rsidR="0095667E" w:rsidRPr="00664E5B">
        <w:t xml:space="preserve">he Foundation notes that the inquiry focusses on how the current model of service provision in remote </w:t>
      </w:r>
      <w:r w:rsidR="0095667E">
        <w:t>Aboriginal and Torres Strait Islander</w:t>
      </w:r>
      <w:r w:rsidR="0095667E" w:rsidRPr="00664E5B">
        <w:t xml:space="preserve"> communities </w:t>
      </w:r>
      <w:r w:rsidR="0095667E" w:rsidRPr="002525BA">
        <w:t xml:space="preserve">can be improved through competition, contestability and informed user choice. </w:t>
      </w:r>
      <w:r w:rsidR="0064500F">
        <w:t xml:space="preserve">However, The Foundation </w:t>
      </w:r>
      <w:r w:rsidR="0089685E">
        <w:t xml:space="preserve">contends that improvements to service delivery from greater competition, contestability and user choice will </w:t>
      </w:r>
      <w:r w:rsidR="00F72C6E">
        <w:t xml:space="preserve">not be fully </w:t>
      </w:r>
      <w:r w:rsidR="00F72C6E" w:rsidRPr="00EB4FA9">
        <w:rPr>
          <w:noProof/>
        </w:rPr>
        <w:t>realised</w:t>
      </w:r>
      <w:r w:rsidR="00F72C6E">
        <w:t xml:space="preserve"> if</w:t>
      </w:r>
      <w:r w:rsidR="0089685E">
        <w:t xml:space="preserve"> the funding for basic service provision is insufficient. Increased funding and funding certainty is required for truly transformative improvements to services in remote Aboriginal and Torres Strait Islander communities.</w:t>
      </w:r>
    </w:p>
    <w:p w14:paraId="4AF9E991" w14:textId="23445CA6" w:rsidR="004A7DD8" w:rsidRDefault="0089685E" w:rsidP="00593B27">
      <w:pPr>
        <w:pStyle w:val="CommentText"/>
        <w:spacing w:before="240"/>
      </w:pPr>
      <w:r>
        <w:t>I</w:t>
      </w:r>
      <w:r w:rsidR="0095667E">
        <w:t xml:space="preserve">n the eye health context, </w:t>
      </w:r>
      <w:r w:rsidR="0074459F">
        <w:t xml:space="preserve">the </w:t>
      </w:r>
      <w:r w:rsidR="0074459F" w:rsidRPr="00EC0464">
        <w:rPr>
          <w:i/>
        </w:rPr>
        <w:t>Roadmap to Close the Gap for Vision</w:t>
      </w:r>
      <w:r w:rsidR="0074459F">
        <w:t xml:space="preserve"> highlights that total expenditure on</w:t>
      </w:r>
      <w:r>
        <w:t xml:space="preserve"> Aboriginal and Torres Strait Islander</w:t>
      </w:r>
      <w:r w:rsidR="0074459F">
        <w:t xml:space="preserve"> eye health is not adequate</w:t>
      </w:r>
      <w:r w:rsidR="00DA0827">
        <w:t xml:space="preserve"> and well below demand</w:t>
      </w:r>
      <w:r>
        <w:t xml:space="preserve"> and </w:t>
      </w:r>
      <w:r w:rsidRPr="00A12DBC">
        <w:rPr>
          <w:noProof/>
        </w:rPr>
        <w:t>population</w:t>
      </w:r>
      <w:r w:rsidR="00A12DBC">
        <w:rPr>
          <w:noProof/>
        </w:rPr>
        <w:t>-</w:t>
      </w:r>
      <w:r w:rsidRPr="00A12DBC">
        <w:rPr>
          <w:noProof/>
        </w:rPr>
        <w:t>based</w:t>
      </w:r>
      <w:r>
        <w:t xml:space="preserve"> needs</w:t>
      </w:r>
      <w:r w:rsidR="0074459F">
        <w:t>.</w:t>
      </w:r>
      <w:r w:rsidR="0074459F" w:rsidRPr="00FF388C">
        <w:rPr>
          <w:vertAlign w:val="superscript"/>
        </w:rPr>
        <w:footnoteReference w:id="6"/>
      </w:r>
      <w:r w:rsidR="0074459F">
        <w:t xml:space="preserve">  This has resulted in inequitable eye health outcomes, where Aboriginal and Torres Strait Islander people are three times more likely to go blind</w:t>
      </w:r>
      <w:r w:rsidR="00A376B4">
        <w:t xml:space="preserve"> and three times more likely to suffer from vision </w:t>
      </w:r>
      <w:r w:rsidR="00FB779D">
        <w:t>impairment</w:t>
      </w:r>
      <w:r w:rsidR="0074459F">
        <w:t xml:space="preserve"> compared to the </w:t>
      </w:r>
      <w:r w:rsidR="00DA0827">
        <w:t>non-Aboriginal and Torres Strait Islander</w:t>
      </w:r>
      <w:r w:rsidR="0074459F">
        <w:t xml:space="preserve"> population.</w:t>
      </w:r>
      <w:r w:rsidR="0074459F" w:rsidRPr="00593B27">
        <w:rPr>
          <w:vertAlign w:val="superscript"/>
        </w:rPr>
        <w:footnoteReference w:id="7"/>
      </w:r>
    </w:p>
    <w:p w14:paraId="1436B916" w14:textId="77777777" w:rsidR="004A7DD8" w:rsidRDefault="00C1305C" w:rsidP="004A7DD8">
      <w:pPr>
        <w:pStyle w:val="Heading3"/>
      </w:pPr>
      <w:r>
        <w:lastRenderedPageBreak/>
        <w:t>Strong c</w:t>
      </w:r>
      <w:r w:rsidR="0060536E">
        <w:t xml:space="preserve">oordination </w:t>
      </w:r>
      <w:r>
        <w:t xml:space="preserve">of services </w:t>
      </w:r>
      <w:r w:rsidR="0060536E">
        <w:t xml:space="preserve">and support for Aboriginal Community Controlled Health </w:t>
      </w:r>
      <w:proofErr w:type="spellStart"/>
      <w:r w:rsidR="0060536E">
        <w:t>Organisations</w:t>
      </w:r>
      <w:proofErr w:type="spellEnd"/>
      <w:r w:rsidR="0060536E">
        <w:t xml:space="preserve"> make a difference </w:t>
      </w:r>
    </w:p>
    <w:p w14:paraId="3E08DD85" w14:textId="30B35BD5" w:rsidR="00D47D57" w:rsidRDefault="00D47D57" w:rsidP="00A14AD6">
      <w:pPr>
        <w:spacing w:before="240"/>
      </w:pPr>
      <w:r w:rsidRPr="00A14AD6">
        <w:t>International and Australian research suggests that coordinating health services can reduce complexity and improve the overall effectiveness and efficiency of service delivery.</w:t>
      </w:r>
      <w:r w:rsidRPr="00F86CAF">
        <w:rPr>
          <w:vertAlign w:val="superscript"/>
        </w:rPr>
        <w:footnoteReference w:id="8"/>
      </w:r>
      <w:r w:rsidRPr="00A14AD6">
        <w:t xml:space="preserve"> This is especially important in the eye health context, where the patient pathway for eye health care often requires multiple visits </w:t>
      </w:r>
      <w:r w:rsidR="00A12DBC">
        <w:rPr>
          <w:noProof/>
        </w:rPr>
        <w:t>to</w:t>
      </w:r>
      <w:r w:rsidRPr="00A14AD6">
        <w:t xml:space="preserve"> different service providers and locations across the primary, secondary and tertiary levels of health care.</w:t>
      </w:r>
    </w:p>
    <w:p w14:paraId="7527138D" w14:textId="77777777" w:rsidR="00D47D57" w:rsidRDefault="00D47D57" w:rsidP="00D47D57">
      <w:pPr>
        <w:spacing w:before="240"/>
      </w:pPr>
      <w:r>
        <w:t>Coordination within the eye health care system improves service delivery in remote communities and can include:</w:t>
      </w:r>
    </w:p>
    <w:p w14:paraId="7725F910" w14:textId="77777777" w:rsidR="00D47D57" w:rsidRDefault="00D47D57" w:rsidP="00D47D57">
      <w:pPr>
        <w:pStyle w:val="ListParagraph"/>
        <w:numPr>
          <w:ilvl w:val="0"/>
          <w:numId w:val="42"/>
        </w:numPr>
      </w:pPr>
      <w:r>
        <w:t>Better coordination and links between eye health outreach optometry and ophthalmology services;</w:t>
      </w:r>
    </w:p>
    <w:p w14:paraId="06D0C9EF" w14:textId="77777777" w:rsidR="00D47D57" w:rsidRDefault="00D47D57" w:rsidP="00D47D57">
      <w:pPr>
        <w:pStyle w:val="ListParagraph"/>
        <w:numPr>
          <w:ilvl w:val="0"/>
          <w:numId w:val="42"/>
        </w:numPr>
      </w:pPr>
      <w:r>
        <w:t>The integration of patient electronic record systems;</w:t>
      </w:r>
    </w:p>
    <w:p w14:paraId="12DF97B0" w14:textId="77777777" w:rsidR="00D47D57" w:rsidRDefault="00D47D57" w:rsidP="00D47D57">
      <w:pPr>
        <w:pStyle w:val="ListParagraph"/>
        <w:numPr>
          <w:ilvl w:val="0"/>
          <w:numId w:val="42"/>
        </w:numPr>
      </w:pPr>
      <w:r>
        <w:t xml:space="preserve">Accessible transport for patients and their families and </w:t>
      </w:r>
      <w:proofErr w:type="spellStart"/>
      <w:r>
        <w:t>carers</w:t>
      </w:r>
      <w:proofErr w:type="spellEnd"/>
      <w:r>
        <w:t>; and</w:t>
      </w:r>
    </w:p>
    <w:p w14:paraId="26CB07D1" w14:textId="77777777" w:rsidR="00D47D57" w:rsidRDefault="00D47D57" w:rsidP="00D47D57">
      <w:pPr>
        <w:pStyle w:val="ListParagraph"/>
        <w:numPr>
          <w:ilvl w:val="0"/>
          <w:numId w:val="42"/>
        </w:numPr>
      </w:pPr>
      <w:r>
        <w:t xml:space="preserve">Workforce to support coordination and liaison between primary health services, regional </w:t>
      </w:r>
      <w:r w:rsidRPr="00EB4FA9">
        <w:rPr>
          <w:noProof/>
        </w:rPr>
        <w:t>hospitals</w:t>
      </w:r>
      <w:r>
        <w:t xml:space="preserve"> and eye health services.</w:t>
      </w:r>
    </w:p>
    <w:p w14:paraId="55F79E56" w14:textId="77777777" w:rsidR="00D47D57" w:rsidRDefault="00D47D57" w:rsidP="00D47D57">
      <w:pPr>
        <w:spacing w:before="240"/>
      </w:pPr>
      <w:r>
        <w:t xml:space="preserve">The complex patient pathway can be difficult to navigate for Aboriginal and Torres Strait Islander people, their families and communities. Without good coordination, Aboriginal and Torres Strait Islander people can be discouraged from seeking </w:t>
      </w:r>
      <w:r w:rsidRPr="00EB4FA9">
        <w:rPr>
          <w:noProof/>
        </w:rPr>
        <w:t>services,</w:t>
      </w:r>
      <w:r>
        <w:t xml:space="preserve"> or can drop out of the system before receiving treatment.</w:t>
      </w:r>
      <w:r>
        <w:rPr>
          <w:rStyle w:val="FootnoteReference"/>
        </w:rPr>
        <w:footnoteReference w:id="9"/>
      </w:r>
      <w:r>
        <w:t xml:space="preserve"> </w:t>
      </w:r>
    </w:p>
    <w:p w14:paraId="1782390A" w14:textId="01F98E41" w:rsidR="00D47D57" w:rsidRDefault="00D47D57" w:rsidP="00D47D57">
      <w:pPr>
        <w:spacing w:before="240"/>
      </w:pPr>
      <w:r>
        <w:t xml:space="preserve">The Foundation has seen the benefits from strengthened coordination </w:t>
      </w:r>
      <w:r w:rsidR="00E5302E">
        <w:t>through the engagement</w:t>
      </w:r>
      <w:r>
        <w:t xml:space="preserve"> of Indigenous Liaison Officers. Indigenous Liaison Officers funded by The Foundation have increased access to and the uptake of eye health care services such as cataract surgery for Aboriginal and Torres Strait Islander people living in remote communities in the Northern Territory. </w:t>
      </w:r>
    </w:p>
    <w:p w14:paraId="79D2E868" w14:textId="4B60BAD6" w:rsidR="00D47D57" w:rsidRDefault="00D47D57" w:rsidP="00D47D57">
      <w:pPr>
        <w:pStyle w:val="NormalWeb"/>
        <w:shd w:val="clear" w:color="auto" w:fill="FFFFFF"/>
        <w:spacing w:before="240"/>
        <w:textAlignment w:val="baseline"/>
      </w:pPr>
      <w:r w:rsidRPr="00EB6DEE">
        <w:t xml:space="preserve">Greater support and investment in </w:t>
      </w:r>
      <w:r>
        <w:t xml:space="preserve">Aboriginal Community Controlled Health </w:t>
      </w:r>
      <w:proofErr w:type="spellStart"/>
      <w:r>
        <w:t>Organisations</w:t>
      </w:r>
      <w:proofErr w:type="spellEnd"/>
      <w:r>
        <w:t xml:space="preserve"> (ACCHOs)</w:t>
      </w:r>
      <w:r w:rsidRPr="00EB6DEE">
        <w:t xml:space="preserve"> </w:t>
      </w:r>
      <w:r>
        <w:t>is also necessary to improve the effectiveness and efficiency of</w:t>
      </w:r>
      <w:r w:rsidRPr="00EB6DEE">
        <w:t xml:space="preserve"> health </w:t>
      </w:r>
      <w:r>
        <w:t>care in remote communities.</w:t>
      </w:r>
      <w:r w:rsidRPr="00EB6DEE">
        <w:t xml:space="preserve"> </w:t>
      </w:r>
      <w:r>
        <w:t>ACCHOs</w:t>
      </w:r>
      <w:r w:rsidRPr="00454656">
        <w:t xml:space="preserve"> are primary health care services initiated and operated by the local Aboriginal and Torres Strait Islander community to deliver holistic, comprehensive, and culturally appropriate health care to the community</w:t>
      </w:r>
      <w:r>
        <w:t>.</w:t>
      </w:r>
      <w:r>
        <w:rPr>
          <w:rStyle w:val="FootnoteReference"/>
          <w:rFonts w:ascii="Calibri" w:hAnsi="Calibri"/>
          <w:sz w:val="22"/>
          <w:szCs w:val="22"/>
        </w:rPr>
        <w:footnoteReference w:id="10"/>
      </w:r>
      <w:r w:rsidRPr="00454656">
        <w:t xml:space="preserve"> </w:t>
      </w:r>
      <w:r>
        <w:t xml:space="preserve">They also play a pivotal role in working with </w:t>
      </w:r>
      <w:r w:rsidRPr="00EB4FA9">
        <w:rPr>
          <w:noProof/>
        </w:rPr>
        <w:t>specialist</w:t>
      </w:r>
      <w:r>
        <w:t xml:space="preserve"> and other health care providers such as outreach to provide local knowledge and coordination. For example, ACCHOs are needed to coordinate the visiting eye care services such as outreach optometry and ophthalmology services in their communities to ensure that patients can be seen and receive the right care</w:t>
      </w:r>
      <w:r w:rsidR="00E5302E">
        <w:t>,</w:t>
      </w:r>
      <w:r>
        <w:t xml:space="preserve"> at the right place</w:t>
      </w:r>
      <w:r w:rsidR="00E5302E">
        <w:t xml:space="preserve"> and at the right time</w:t>
      </w:r>
      <w:r>
        <w:t>.</w:t>
      </w:r>
    </w:p>
    <w:p w14:paraId="2B2ACB54" w14:textId="77777777" w:rsidR="00D47D57" w:rsidRDefault="00D47D57" w:rsidP="00593B27">
      <w:pPr>
        <w:pStyle w:val="CommentText"/>
        <w:spacing w:before="240"/>
      </w:pPr>
      <w:r>
        <w:t xml:space="preserve">In addition to delivering effective outcomes for Aboriginal and Torres Strait Islander people, ACCHOs have also been shown to be cost effective. A cost-benefit analysis by Deloitte Access Economics of the Danila </w:t>
      </w:r>
      <w:proofErr w:type="spellStart"/>
      <w:r>
        <w:t>Dilba</w:t>
      </w:r>
      <w:proofErr w:type="spellEnd"/>
      <w:r>
        <w:t xml:space="preserve"> Health Service, an ACCHO in the NT, found that each </w:t>
      </w:r>
      <w:r>
        <w:lastRenderedPageBreak/>
        <w:t xml:space="preserve">dollar invested in Danila </w:t>
      </w:r>
      <w:proofErr w:type="spellStart"/>
      <w:r>
        <w:t>Dilba</w:t>
      </w:r>
      <w:proofErr w:type="spellEnd"/>
      <w:r>
        <w:t xml:space="preserve"> returned $4.18 of benefits to society. Danila </w:t>
      </w:r>
      <w:proofErr w:type="spellStart"/>
      <w:r>
        <w:t>Dilba</w:t>
      </w:r>
      <w:proofErr w:type="spellEnd"/>
      <w:r>
        <w:t xml:space="preserve"> achieved this despite receiving less funding per staff member, less funding per episode of care and less funding per person in its target population, than comparator </w:t>
      </w:r>
      <w:r w:rsidRPr="00EB4FA9">
        <w:rPr>
          <w:noProof/>
        </w:rPr>
        <w:t>organisations</w:t>
      </w:r>
      <w:r>
        <w:t xml:space="preserve"> in the NT.</w:t>
      </w:r>
      <w:r w:rsidRPr="00593B27">
        <w:rPr>
          <w:vertAlign w:val="superscript"/>
        </w:rPr>
        <w:footnoteReference w:id="11"/>
      </w:r>
      <w:r w:rsidRPr="00593B27">
        <w:rPr>
          <w:vertAlign w:val="superscript"/>
        </w:rPr>
        <w:t xml:space="preserve"> </w:t>
      </w:r>
      <w:r>
        <w:t xml:space="preserve"> </w:t>
      </w:r>
    </w:p>
    <w:p w14:paraId="23C71E93" w14:textId="0A67A1E8" w:rsidR="0060536E" w:rsidRDefault="0060536E" w:rsidP="0060536E">
      <w:pPr>
        <w:pStyle w:val="Heading3"/>
      </w:pPr>
      <w:r>
        <w:t xml:space="preserve">Commissioning models that aim to increase competition and contestability must not disadvantage Aboriginal and Torres Strait Islander </w:t>
      </w:r>
      <w:r w:rsidRPr="00EB4FA9">
        <w:rPr>
          <w:noProof/>
        </w:rPr>
        <w:t>organisations</w:t>
      </w:r>
    </w:p>
    <w:p w14:paraId="197742D1" w14:textId="77777777" w:rsidR="00760FE5" w:rsidRDefault="009D1410" w:rsidP="00A14AD6">
      <w:pPr>
        <w:spacing w:before="240"/>
      </w:pPr>
      <w:r>
        <w:t xml:space="preserve">The Foundation generally accepts the </w:t>
      </w:r>
      <w:r w:rsidR="000A6B88">
        <w:t xml:space="preserve">Commission’s view </w:t>
      </w:r>
      <w:r>
        <w:t xml:space="preserve">that greater competition, contestability and informed user choice </w:t>
      </w:r>
      <w:r w:rsidR="00DA57F2">
        <w:t>can</w:t>
      </w:r>
      <w:r>
        <w:t xml:space="preserve"> improve outcomes in human services. However, </w:t>
      </w:r>
      <w:r w:rsidR="00B45B06">
        <w:t xml:space="preserve">service provision </w:t>
      </w:r>
      <w:r w:rsidR="00760FE5">
        <w:t>and commissioning models that aim</w:t>
      </w:r>
      <w:r>
        <w:t xml:space="preserve"> to increase competition and contestability need to be carefully </w:t>
      </w:r>
      <w:r w:rsidR="00760FE5">
        <w:t>considered.</w:t>
      </w:r>
    </w:p>
    <w:p w14:paraId="4E232256" w14:textId="6033F350" w:rsidR="00190F3A" w:rsidRDefault="00190F3A" w:rsidP="00A14AD6">
      <w:pPr>
        <w:tabs>
          <w:tab w:val="left" w:pos="3816"/>
        </w:tabs>
        <w:spacing w:before="240"/>
      </w:pPr>
      <w:r>
        <w:t>C</w:t>
      </w:r>
      <w:r w:rsidR="00BE4EFB">
        <w:t>ommissioning using c</w:t>
      </w:r>
      <w:r>
        <w:t xml:space="preserve">ompetitive tender processes have previously not </w:t>
      </w:r>
      <w:r w:rsidRPr="00EB4FA9">
        <w:rPr>
          <w:noProof/>
        </w:rPr>
        <w:t>recognised</w:t>
      </w:r>
      <w:r>
        <w:t xml:space="preserve"> </w:t>
      </w:r>
      <w:r w:rsidR="0081749A">
        <w:t>the significant</w:t>
      </w:r>
      <w:r>
        <w:t xml:space="preserve"> expertise and ability of Aboriginal and Torres Strait Islander communities to provide services to </w:t>
      </w:r>
      <w:r w:rsidR="003473D8">
        <w:t>remote communities</w:t>
      </w:r>
      <w:r>
        <w:t xml:space="preserve">. For example, </w:t>
      </w:r>
      <w:r w:rsidRPr="00D41197">
        <w:rPr>
          <w:i/>
        </w:rPr>
        <w:t>The Senate Finance and Public Administration References Committee inquiry into the Commonwealth Indigenous Advancement Strategy tendering process</w:t>
      </w:r>
      <w:r>
        <w:t xml:space="preserve"> found that the competitive tender model disadvantaged </w:t>
      </w:r>
      <w:r w:rsidR="00F86CAF">
        <w:t>Aboriginal and Torres Strait Islander</w:t>
      </w:r>
      <w:r>
        <w:t xml:space="preserve"> </w:t>
      </w:r>
      <w:proofErr w:type="spellStart"/>
      <w:r w:rsidR="00F86CAF">
        <w:t>organisations</w:t>
      </w:r>
      <w:proofErr w:type="spellEnd"/>
      <w:r>
        <w:t xml:space="preserve"> and did not </w:t>
      </w:r>
      <w:r w:rsidRPr="00EB4FA9">
        <w:rPr>
          <w:noProof/>
        </w:rPr>
        <w:t>recognise</w:t>
      </w:r>
      <w:r>
        <w:t xml:space="preserve"> the enhanced outcomes of service delivery by </w:t>
      </w:r>
      <w:r w:rsidR="00F86CAF">
        <w:t>Aboriginal and Torres Strait Islander</w:t>
      </w:r>
      <w:r>
        <w:t xml:space="preserve"> </w:t>
      </w:r>
      <w:proofErr w:type="spellStart"/>
      <w:r w:rsidR="00F86CAF">
        <w:t>organisations</w:t>
      </w:r>
      <w:proofErr w:type="spellEnd"/>
      <w:r>
        <w:t>.</w:t>
      </w:r>
      <w:r>
        <w:rPr>
          <w:rStyle w:val="FootnoteReference"/>
          <w:color w:val="222222"/>
          <w:sz w:val="23"/>
          <w:szCs w:val="23"/>
          <w:lang w:val="en-AU" w:eastAsia="en-AU"/>
        </w:rPr>
        <w:footnoteReference w:id="12"/>
      </w:r>
      <w:r>
        <w:t xml:space="preserve"> As a result</w:t>
      </w:r>
      <w:r w:rsidR="00C818EF">
        <w:t>, the inquiry recommended that “f</w:t>
      </w:r>
      <w:r>
        <w:t xml:space="preserve">uture selection criteria and guidelines should give appropriate weighting to the contribution and effectiveness of Aboriginal and Torres Strait Islander </w:t>
      </w:r>
      <w:r w:rsidRPr="00EB4FA9">
        <w:rPr>
          <w:noProof/>
        </w:rPr>
        <w:t>organisations</w:t>
      </w:r>
      <w:r>
        <w:t>”.</w:t>
      </w:r>
      <w:r w:rsidR="007E3119">
        <w:t xml:space="preserve"> This recommendation should be considered in the commissioning of all services, not just as part of reforms to the Indigenous Advancement Strategy.</w:t>
      </w:r>
    </w:p>
    <w:p w14:paraId="34E91536" w14:textId="1684D099" w:rsidR="00190F3A" w:rsidRDefault="00DA0827" w:rsidP="00593B27">
      <w:pPr>
        <w:pStyle w:val="CommentText"/>
        <w:spacing w:before="240"/>
      </w:pPr>
      <w:r>
        <w:t xml:space="preserve">In relation to contestability, quality reporting on outcomes and the ability to monitor and evaluation services is </w:t>
      </w:r>
      <w:proofErr w:type="gramStart"/>
      <w:r>
        <w:t>essential,</w:t>
      </w:r>
      <w:proofErr w:type="gramEnd"/>
      <w:r>
        <w:t xml:space="preserve"> however Aboriginal and Torres Strait Islander </w:t>
      </w:r>
      <w:r w:rsidRPr="00EB4FA9">
        <w:rPr>
          <w:noProof/>
        </w:rPr>
        <w:t>organisations</w:t>
      </w:r>
      <w:r>
        <w:t xml:space="preserve"> may need support to be able to undertake these activities. </w:t>
      </w:r>
      <w:r w:rsidR="004A7DD8">
        <w:t>The Foundation believes that the</w:t>
      </w:r>
      <w:r w:rsidR="002A59B6">
        <w:t>r</w:t>
      </w:r>
      <w:r w:rsidR="004A7DD8">
        <w:t>e is</w:t>
      </w:r>
      <w:r>
        <w:t xml:space="preserve"> also a case for development and support of Aboriginal and Torres Strait Islander </w:t>
      </w:r>
      <w:r w:rsidRPr="00EB4FA9">
        <w:rPr>
          <w:noProof/>
        </w:rPr>
        <w:t>organisations</w:t>
      </w:r>
      <w:r>
        <w:t xml:space="preserve"> more generally to enhance their ability to not just deliver services, but also to </w:t>
      </w:r>
      <w:r w:rsidR="00E5302E">
        <w:t xml:space="preserve">build better capacity to </w:t>
      </w:r>
      <w:r>
        <w:t xml:space="preserve">manage finances, </w:t>
      </w:r>
      <w:r w:rsidR="004A7DD8">
        <w:t xml:space="preserve">complete </w:t>
      </w:r>
      <w:r>
        <w:t>reporting, submit funding proposals</w:t>
      </w:r>
      <w:r w:rsidR="004A7DD8">
        <w:t xml:space="preserve"> and measure outcomes.</w:t>
      </w:r>
      <w:r w:rsidR="002A59B6">
        <w:t xml:space="preserve"> </w:t>
      </w:r>
    </w:p>
    <w:p w14:paraId="53ACD618" w14:textId="77777777" w:rsidR="00270DC4" w:rsidRPr="00593B27" w:rsidRDefault="00270DC4" w:rsidP="00593B27">
      <w:pPr>
        <w:pStyle w:val="Heading3"/>
      </w:pPr>
      <w:r w:rsidRPr="00593B27">
        <w:t>Conclusion</w:t>
      </w:r>
    </w:p>
    <w:p w14:paraId="464BF694" w14:textId="092AB41C" w:rsidR="002A59B6" w:rsidRDefault="00D47D57" w:rsidP="00A14AD6">
      <w:pPr>
        <w:spacing w:before="240"/>
      </w:pPr>
      <w:r>
        <w:t xml:space="preserve">The Foundation </w:t>
      </w:r>
      <w:r w:rsidR="00FC5BC5">
        <w:t>is keen to participate in this inquiry and welcomes the</w:t>
      </w:r>
      <w:r>
        <w:t xml:space="preserve"> opportunity to provide more information based on this submission. Should you have </w:t>
      </w:r>
      <w:r w:rsidR="00FC5BC5">
        <w:t>any questions or require further information,</w:t>
      </w:r>
      <w:r>
        <w:t xml:space="preserve"> please contac</w:t>
      </w:r>
      <w:r w:rsidR="002A59B6">
        <w:t>t:</w:t>
      </w:r>
    </w:p>
    <w:p w14:paraId="62D9BB45" w14:textId="77777777" w:rsidR="00B97A4B" w:rsidRDefault="00B97A4B" w:rsidP="00B97A4B">
      <w:pPr>
        <w:shd w:val="clear" w:color="auto" w:fill="FFFFFF"/>
      </w:pPr>
    </w:p>
    <w:p w14:paraId="18DF8200" w14:textId="1AD05AAB" w:rsidR="002A59B6" w:rsidRPr="002A59B6" w:rsidRDefault="002A59B6" w:rsidP="00B97A4B">
      <w:pPr>
        <w:shd w:val="clear" w:color="auto" w:fill="FFFFFF"/>
      </w:pPr>
      <w:r w:rsidRPr="002A59B6">
        <w:t>Jaki Adams-Barton</w:t>
      </w:r>
    </w:p>
    <w:p w14:paraId="644579F6" w14:textId="77777777" w:rsidR="002A59B6" w:rsidRDefault="002A59B6" w:rsidP="00B97A4B">
      <w:pPr>
        <w:shd w:val="clear" w:color="auto" w:fill="FFFFFF"/>
      </w:pPr>
      <w:r w:rsidRPr="002A59B6">
        <w:t>Manage</w:t>
      </w:r>
      <w:r>
        <w:t>r, Indigenous Australia Program</w:t>
      </w:r>
    </w:p>
    <w:p w14:paraId="518B000F" w14:textId="5864D08C" w:rsidR="002A59B6" w:rsidRDefault="002A59B6" w:rsidP="00B97A4B">
      <w:pPr>
        <w:shd w:val="clear" w:color="auto" w:fill="FFFFFF"/>
      </w:pPr>
      <w:r w:rsidRPr="002A59B6">
        <w:t>The Fred Hollows Foundation</w:t>
      </w:r>
    </w:p>
    <w:p w14:paraId="42A249C1" w14:textId="3F923006" w:rsidR="00D47D57" w:rsidRPr="00B97A4B" w:rsidRDefault="005F6B56" w:rsidP="00B97A4B">
      <w:pPr>
        <w:rPr>
          <w:rFonts w:ascii="Verdana" w:hAnsi="Verdana"/>
          <w:color w:val="515151"/>
          <w:sz w:val="18"/>
          <w:szCs w:val="18"/>
          <w:lang w:eastAsia="en-AU"/>
        </w:rPr>
      </w:pPr>
      <w:r w:rsidRPr="005F6B56">
        <w:t>NT 0811</w:t>
      </w:r>
    </w:p>
    <w:p w14:paraId="66F438AB" w14:textId="20F62B12" w:rsidR="0095667E" w:rsidRPr="00664E5B" w:rsidRDefault="00B97A4B" w:rsidP="00B97A4B">
      <w:pPr>
        <w:pStyle w:val="Heading3"/>
      </w:pPr>
      <w:r>
        <w:br w:type="page"/>
      </w:r>
      <w:r w:rsidR="0095667E" w:rsidRPr="00664E5B">
        <w:lastRenderedPageBreak/>
        <w:t>About the Fred Hollows Foundation</w:t>
      </w:r>
    </w:p>
    <w:p w14:paraId="1BE89D22" w14:textId="02D355F9" w:rsidR="00D47D57" w:rsidRDefault="00D47D57" w:rsidP="006C211D">
      <w:pPr>
        <w:pStyle w:val="CommentText"/>
        <w:spacing w:before="240"/>
        <w:rPr>
          <w:szCs w:val="24"/>
        </w:rPr>
      </w:pPr>
      <w:r w:rsidRPr="003D1CD6">
        <w:t>The Fred Hollows Foundation continues the work of leading Ophthalmologist and Human Rights Campaigner, Professor Fred Hollows. The Foundation works in more than 25 countries around the world, to end avoidable blindness and improve the health of Aboriginal and Torres Strait Islander people in Australia.</w:t>
      </w:r>
      <w:r w:rsidR="006C211D">
        <w:rPr>
          <w:szCs w:val="24"/>
        </w:rPr>
        <w:t xml:space="preserve"> </w:t>
      </w:r>
    </w:p>
    <w:p w14:paraId="45E0E0E4" w14:textId="00434273" w:rsidR="00D47D57" w:rsidRPr="0039505C" w:rsidRDefault="00D47D57" w:rsidP="006C211D">
      <w:pPr>
        <w:pStyle w:val="CommentText"/>
        <w:spacing w:before="240"/>
      </w:pPr>
      <w:r>
        <w:t>Through an eye health lens, The Foundation aims</w:t>
      </w:r>
      <w:r w:rsidRPr="002B0949">
        <w:t xml:space="preserve"> to strengthen Australia’s health system and improve the overall patient pathway for Aboriginal an</w:t>
      </w:r>
      <w:r>
        <w:t>d Torres Strait Islander people to ensure they can</w:t>
      </w:r>
      <w:r w:rsidRPr="003D1CD6">
        <w:t xml:space="preserve"> access </w:t>
      </w:r>
      <w:r w:rsidRPr="00EB4FA9">
        <w:rPr>
          <w:noProof/>
        </w:rPr>
        <w:t>high quality</w:t>
      </w:r>
      <w:r w:rsidRPr="003D1CD6">
        <w:t xml:space="preserve">, affordable </w:t>
      </w:r>
      <w:r w:rsidR="00E5302E">
        <w:t xml:space="preserve">and culturally appropriate </w:t>
      </w:r>
      <w:r w:rsidRPr="003D1CD6">
        <w:t>eye health care.</w:t>
      </w:r>
    </w:p>
    <w:p w14:paraId="78F0C3B8" w14:textId="7E419394" w:rsidR="00D47D57" w:rsidRDefault="00D47D57" w:rsidP="006C211D">
      <w:pPr>
        <w:spacing w:before="240"/>
      </w:pPr>
      <w:r w:rsidRPr="0039505C">
        <w:t>The Foundation’s work in</w:t>
      </w:r>
      <w:r w:rsidR="00E5302E">
        <w:t xml:space="preserve"> Australia, through</w:t>
      </w:r>
      <w:r w:rsidRPr="0039505C">
        <w:t xml:space="preserve"> its Indigenous Australia Program</w:t>
      </w:r>
      <w:r w:rsidR="00E5302E">
        <w:t>,</w:t>
      </w:r>
      <w:r w:rsidRPr="0039505C">
        <w:t xml:space="preserve"> is guided by the following principles:</w:t>
      </w:r>
    </w:p>
    <w:p w14:paraId="322ACE43" w14:textId="77777777" w:rsidR="00D47D57" w:rsidRPr="0098292E" w:rsidRDefault="00D47D57" w:rsidP="006C211D">
      <w:pPr>
        <w:pStyle w:val="ListParagraph"/>
        <w:numPr>
          <w:ilvl w:val="0"/>
          <w:numId w:val="33"/>
        </w:numPr>
        <w:spacing w:before="240" w:after="160" w:line="259" w:lineRule="auto"/>
        <w:rPr>
          <w:b/>
          <w:bCs/>
          <w:i/>
          <w:szCs w:val="20"/>
        </w:rPr>
      </w:pPr>
      <w:r w:rsidRPr="0098292E">
        <w:rPr>
          <w:b/>
          <w:bCs/>
          <w:i/>
          <w:szCs w:val="20"/>
        </w:rPr>
        <w:t>We work only where we are invited</w:t>
      </w:r>
    </w:p>
    <w:p w14:paraId="2F37A114" w14:textId="77777777" w:rsidR="00D47D57" w:rsidRPr="0098292E" w:rsidRDefault="00D47D57" w:rsidP="00D47D57">
      <w:pPr>
        <w:pStyle w:val="ListParagraph"/>
        <w:numPr>
          <w:ilvl w:val="0"/>
          <w:numId w:val="35"/>
        </w:numPr>
        <w:spacing w:after="160" w:line="259" w:lineRule="auto"/>
        <w:rPr>
          <w:sz w:val="32"/>
        </w:rPr>
      </w:pPr>
      <w:r w:rsidRPr="0098292E">
        <w:rPr>
          <w:szCs w:val="20"/>
        </w:rPr>
        <w:t>Establishing a relationship and adhering to the appropriate protocols are vital components underpinning our partnerships</w:t>
      </w:r>
    </w:p>
    <w:p w14:paraId="042B53B6" w14:textId="77777777" w:rsidR="00D47D57" w:rsidRPr="0098292E" w:rsidRDefault="00D47D57" w:rsidP="00D47D57">
      <w:pPr>
        <w:pStyle w:val="ListParagraph"/>
        <w:numPr>
          <w:ilvl w:val="0"/>
          <w:numId w:val="35"/>
        </w:numPr>
        <w:spacing w:after="160" w:line="259" w:lineRule="auto"/>
        <w:rPr>
          <w:sz w:val="32"/>
        </w:rPr>
      </w:pPr>
      <w:r w:rsidRPr="0098292E">
        <w:rPr>
          <w:szCs w:val="20"/>
        </w:rPr>
        <w:t>We work with stakeholders and communities to identify their aspirations for eye care in their region and work collaboratively to achieve this goal</w:t>
      </w:r>
    </w:p>
    <w:p w14:paraId="0D371F9F" w14:textId="77777777" w:rsidR="00D47D57" w:rsidRPr="0098292E" w:rsidRDefault="00D47D57" w:rsidP="00D47D57">
      <w:pPr>
        <w:pStyle w:val="ListParagraph"/>
        <w:numPr>
          <w:ilvl w:val="0"/>
          <w:numId w:val="33"/>
        </w:numPr>
        <w:spacing w:after="100" w:afterAutospacing="1" w:line="259" w:lineRule="auto"/>
        <w:rPr>
          <w:i/>
          <w:szCs w:val="20"/>
        </w:rPr>
      </w:pPr>
      <w:r w:rsidRPr="0098292E">
        <w:rPr>
          <w:b/>
          <w:bCs/>
          <w:i/>
          <w:szCs w:val="20"/>
        </w:rPr>
        <w:t xml:space="preserve">We work in partnership with Aboriginal Community Controlled Health </w:t>
      </w:r>
      <w:proofErr w:type="spellStart"/>
      <w:r w:rsidRPr="0098292E">
        <w:rPr>
          <w:b/>
          <w:bCs/>
          <w:i/>
          <w:szCs w:val="20"/>
        </w:rPr>
        <w:t>Organisations</w:t>
      </w:r>
      <w:proofErr w:type="spellEnd"/>
    </w:p>
    <w:p w14:paraId="16C4DA93" w14:textId="77777777" w:rsidR="00D47D57" w:rsidRPr="0098292E" w:rsidRDefault="00D47D57" w:rsidP="00D47D57">
      <w:pPr>
        <w:pStyle w:val="ListParagraph"/>
        <w:numPr>
          <w:ilvl w:val="0"/>
          <w:numId w:val="34"/>
        </w:numPr>
        <w:spacing w:after="100" w:afterAutospacing="1" w:line="259" w:lineRule="auto"/>
        <w:rPr>
          <w:szCs w:val="20"/>
        </w:rPr>
      </w:pPr>
      <w:r w:rsidRPr="0098292E">
        <w:rPr>
          <w:szCs w:val="20"/>
        </w:rPr>
        <w:t>We aim to partner with the community controlled sector in the first instance to develop and implement programs, given we are not a service provider</w:t>
      </w:r>
    </w:p>
    <w:p w14:paraId="1901FBA4" w14:textId="77777777" w:rsidR="00D47D57" w:rsidRPr="0098292E" w:rsidRDefault="00D47D57" w:rsidP="00D47D57">
      <w:pPr>
        <w:pStyle w:val="ListParagraph"/>
        <w:numPr>
          <w:ilvl w:val="0"/>
          <w:numId w:val="33"/>
        </w:numPr>
        <w:spacing w:after="160" w:line="259" w:lineRule="auto"/>
        <w:rPr>
          <w:szCs w:val="20"/>
        </w:rPr>
      </w:pPr>
      <w:r w:rsidRPr="0098292E">
        <w:rPr>
          <w:b/>
          <w:bCs/>
          <w:i/>
          <w:szCs w:val="20"/>
        </w:rPr>
        <w:t xml:space="preserve">We do not compete with Aboriginal and Torres Strait Islander </w:t>
      </w:r>
      <w:proofErr w:type="spellStart"/>
      <w:r w:rsidRPr="0098292E">
        <w:rPr>
          <w:b/>
          <w:bCs/>
          <w:i/>
          <w:szCs w:val="20"/>
        </w:rPr>
        <w:t>Organisations</w:t>
      </w:r>
      <w:proofErr w:type="spellEnd"/>
      <w:r w:rsidRPr="0098292E">
        <w:rPr>
          <w:b/>
          <w:bCs/>
          <w:i/>
          <w:szCs w:val="20"/>
        </w:rPr>
        <w:t xml:space="preserve"> for funding</w:t>
      </w:r>
    </w:p>
    <w:p w14:paraId="7C1F8BEE" w14:textId="77777777" w:rsidR="00D47D57" w:rsidRPr="0098292E" w:rsidRDefault="00D47D57" w:rsidP="00D47D57">
      <w:pPr>
        <w:pStyle w:val="ListParagraph"/>
        <w:numPr>
          <w:ilvl w:val="0"/>
          <w:numId w:val="34"/>
        </w:numPr>
        <w:spacing w:after="160" w:line="259" w:lineRule="auto"/>
        <w:rPr>
          <w:szCs w:val="20"/>
        </w:rPr>
      </w:pPr>
      <w:r w:rsidRPr="0098292E">
        <w:rPr>
          <w:szCs w:val="20"/>
        </w:rPr>
        <w:t>Where appropriate, we choose to partner with and support their applications for funding</w:t>
      </w:r>
    </w:p>
    <w:p w14:paraId="614822FE" w14:textId="77777777" w:rsidR="00D47D57" w:rsidRPr="0098292E" w:rsidRDefault="00D47D57" w:rsidP="00D47D57">
      <w:pPr>
        <w:pStyle w:val="ListParagraph"/>
        <w:numPr>
          <w:ilvl w:val="0"/>
          <w:numId w:val="33"/>
        </w:numPr>
        <w:spacing w:after="160" w:line="259" w:lineRule="auto"/>
        <w:rPr>
          <w:szCs w:val="20"/>
        </w:rPr>
      </w:pPr>
      <w:r w:rsidRPr="0098292E">
        <w:rPr>
          <w:b/>
          <w:bCs/>
          <w:i/>
          <w:szCs w:val="20"/>
        </w:rPr>
        <w:t>Our programming must be evidence-based</w:t>
      </w:r>
    </w:p>
    <w:p w14:paraId="27735C17" w14:textId="77777777" w:rsidR="00D47D57" w:rsidRPr="0098292E" w:rsidRDefault="00D47D57" w:rsidP="00D47D57">
      <w:pPr>
        <w:pStyle w:val="ListParagraph"/>
        <w:numPr>
          <w:ilvl w:val="0"/>
          <w:numId w:val="34"/>
        </w:numPr>
        <w:spacing w:after="160" w:line="259" w:lineRule="auto"/>
        <w:rPr>
          <w:szCs w:val="20"/>
        </w:rPr>
      </w:pPr>
      <w:r w:rsidRPr="0098292E">
        <w:rPr>
          <w:szCs w:val="20"/>
        </w:rPr>
        <w:t>With a demonstrated need, we use a proactive approach and continuous efforts to build on key learnings</w:t>
      </w:r>
    </w:p>
    <w:p w14:paraId="0FA0B4D3" w14:textId="77777777" w:rsidR="00D47D57" w:rsidRPr="0098292E" w:rsidRDefault="00D47D57" w:rsidP="00D47D57">
      <w:pPr>
        <w:pStyle w:val="ListParagraph"/>
        <w:numPr>
          <w:ilvl w:val="0"/>
          <w:numId w:val="33"/>
        </w:numPr>
        <w:spacing w:after="160" w:line="259" w:lineRule="auto"/>
        <w:rPr>
          <w:szCs w:val="20"/>
        </w:rPr>
      </w:pPr>
      <w:r w:rsidRPr="0098292E">
        <w:rPr>
          <w:b/>
          <w:bCs/>
          <w:i/>
          <w:szCs w:val="20"/>
        </w:rPr>
        <w:t>Our programs have clear transition plans</w:t>
      </w:r>
    </w:p>
    <w:p w14:paraId="2345CDA8" w14:textId="77777777" w:rsidR="00D47D57" w:rsidRPr="0098292E" w:rsidRDefault="00D47D57" w:rsidP="00D47D57">
      <w:pPr>
        <w:pStyle w:val="ListParagraph"/>
        <w:numPr>
          <w:ilvl w:val="0"/>
          <w:numId w:val="34"/>
        </w:numPr>
        <w:spacing w:after="160" w:line="259" w:lineRule="auto"/>
        <w:rPr>
          <w:szCs w:val="20"/>
        </w:rPr>
      </w:pPr>
      <w:r w:rsidRPr="0098292E">
        <w:rPr>
          <w:szCs w:val="20"/>
        </w:rPr>
        <w:t>We aim to ensure that there is a clear transition plan in place for The Foundation and that programs are sustainable beyond our support</w:t>
      </w:r>
    </w:p>
    <w:p w14:paraId="20F903B3" w14:textId="20ADB38B" w:rsidR="0095667E" w:rsidRPr="0095667E" w:rsidRDefault="00D47D57" w:rsidP="006C211D">
      <w:pPr>
        <w:pStyle w:val="ListParagraph"/>
        <w:numPr>
          <w:ilvl w:val="0"/>
          <w:numId w:val="34"/>
        </w:numPr>
        <w:spacing w:after="160" w:line="259" w:lineRule="auto"/>
      </w:pPr>
      <w:r w:rsidRPr="0098292E">
        <w:rPr>
          <w:szCs w:val="20"/>
        </w:rPr>
        <w:t>Our approach is to model best practice whilst building capacity within our partners</w:t>
      </w:r>
    </w:p>
    <w:sectPr w:rsidR="0095667E" w:rsidRPr="0095667E" w:rsidSect="003C3C0A">
      <w:headerReference w:type="even" r:id="rId15"/>
      <w:headerReference w:type="default" r:id="rId16"/>
      <w:footerReference w:type="even" r:id="rId17"/>
      <w:footerReference w:type="default" r:id="rId18"/>
      <w:footerReference w:type="first" r:id="rId19"/>
      <w:pgSz w:w="11906" w:h="16838" w:code="9"/>
      <w:pgMar w:top="1440" w:right="1440" w:bottom="1440" w:left="1440" w:header="170" w:footer="3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F3789" w14:textId="77777777" w:rsidR="00F81132" w:rsidRDefault="00F81132">
      <w:r>
        <w:separator/>
      </w:r>
    </w:p>
  </w:endnote>
  <w:endnote w:type="continuationSeparator" w:id="0">
    <w:p w14:paraId="6672D135" w14:textId="77777777" w:rsidR="00F81132" w:rsidRDefault="00F81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EC5403B-6D46-42EC-8515-8502E3E62D13}"/>
  </w:font>
  <w:font w:name="MS Mincho">
    <w:altName w:val="MS Gothic"/>
    <w:panose1 w:val="02020609040205080304"/>
    <w:charset w:val="80"/>
    <w:family w:val="roman"/>
    <w:notTrueType/>
    <w:pitch w:val="fixed"/>
    <w:sig w:usb0="00000000"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00002FF" w:usb1="0000FCFF" w:usb2="00000001" w:usb3="00000000" w:csb0="0000019F" w:csb1="00000000"/>
    <w:embedRegular r:id="rId2" w:fontKey="{62A23A4F-070A-4168-96A9-ADB8A4ADAA6C}"/>
  </w:font>
  <w:font w:name="MyriadPro-Regula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3" w:fontKey="{82C81155-93CB-4E98-BF98-CFA16440E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114FCC" w14:paraId="799C30A0" w14:textId="77777777" w:rsidTr="00FB32F9">
      <w:trPr>
        <w:trHeight w:hRule="exact" w:val="284"/>
      </w:trPr>
      <w:tc>
        <w:tcPr>
          <w:tcW w:w="5103" w:type="dxa"/>
        </w:tcPr>
        <w:p w14:paraId="416C5911" w14:textId="77777777" w:rsidR="00114FCC" w:rsidRPr="007F5B28" w:rsidRDefault="00114FCC"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14:paraId="74A1ADF9" w14:textId="77777777" w:rsidR="00114FCC" w:rsidRDefault="00114FCC" w:rsidP="00FB32F9">
          <w:pPr>
            <w:pStyle w:val="Footer"/>
            <w:jc w:val="right"/>
          </w:pPr>
        </w:p>
      </w:tc>
    </w:tr>
  </w:tbl>
  <w:p w14:paraId="78025E09" w14:textId="77777777" w:rsidR="00114FCC" w:rsidRDefault="00114F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54" w:type="dxa"/>
      <w:tblInd w:w="-567" w:type="dxa"/>
      <w:tblBorders>
        <w:insideH w:val="single" w:sz="4" w:space="0" w:color="FFFFFF" w:themeColor="background1"/>
        <w:insideV w:val="single" w:sz="4" w:space="0" w:color="FFFFFF" w:themeColor="background1"/>
      </w:tblBorders>
      <w:tblLayout w:type="fixed"/>
      <w:tblCellMar>
        <w:top w:w="57" w:type="dxa"/>
        <w:left w:w="0" w:type="dxa"/>
        <w:right w:w="0" w:type="dxa"/>
      </w:tblCellMar>
      <w:tblLook w:val="01E0" w:firstRow="1" w:lastRow="1" w:firstColumn="1" w:lastColumn="1" w:noHBand="0" w:noVBand="0"/>
    </w:tblPr>
    <w:tblGrid>
      <w:gridCol w:w="9904"/>
      <w:gridCol w:w="350"/>
    </w:tblGrid>
    <w:tr w:rsidR="00114FCC" w:rsidRPr="00970914" w14:paraId="1A1DAADB" w14:textId="77777777" w:rsidTr="00A06E3F">
      <w:trPr>
        <w:trHeight w:val="187"/>
      </w:trPr>
      <w:tc>
        <w:tcPr>
          <w:tcW w:w="9904" w:type="dxa"/>
          <w:vAlign w:val="center"/>
        </w:tcPr>
        <w:p w14:paraId="2BCD16B5" w14:textId="77777777" w:rsidR="00114FCC" w:rsidRPr="00DA0827" w:rsidRDefault="00114FCC" w:rsidP="00970914">
          <w:pPr>
            <w:pStyle w:val="Footer"/>
          </w:pPr>
          <w:r w:rsidRPr="00DA0827">
            <w:rPr>
              <w:noProof/>
              <w:color w:val="000000" w:themeColor="text1"/>
              <w:lang w:val="en-AU" w:eastAsia="en-AU"/>
            </w:rPr>
            <w:drawing>
              <wp:anchor distT="0" distB="0" distL="114300" distR="114300" simplePos="0" relativeHeight="251678208" behindDoc="1" locked="1" layoutInCell="0" allowOverlap="1" wp14:anchorId="7707660F" wp14:editId="71E34841">
                <wp:simplePos x="0" y="0"/>
                <wp:positionH relativeFrom="page">
                  <wp:posOffset>-443865</wp:posOffset>
                </wp:positionH>
                <wp:positionV relativeFrom="page">
                  <wp:posOffset>-187325</wp:posOffset>
                </wp:positionV>
                <wp:extent cx="7555865" cy="6908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1">
                          <a:extLst>
                            <a:ext uri="{28A0092B-C50C-407E-A947-70E740481C1C}">
                              <a14:useLocalDpi xmlns:a14="http://schemas.microsoft.com/office/drawing/2010/main" val="0"/>
                            </a:ext>
                          </a:extLst>
                        </a:blip>
                        <a:srcRect r="-808"/>
                        <a:stretch/>
                      </pic:blipFill>
                      <pic:spPr bwMode="auto">
                        <a:xfrm>
                          <a:off x="0" y="0"/>
                          <a:ext cx="7555865" cy="69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0827">
            <w:rPr>
              <w:noProof/>
              <w:color w:val="000000" w:themeColor="text1"/>
              <w:lang w:eastAsia="en-AU"/>
            </w:rPr>
            <w:t>THE FRED HOLLOWS FOUNDATION</w:t>
          </w:r>
        </w:p>
      </w:tc>
      <w:tc>
        <w:tcPr>
          <w:tcW w:w="350" w:type="dxa"/>
          <w:vAlign w:val="center"/>
        </w:tcPr>
        <w:p w14:paraId="75ECD7BF" w14:textId="77777777" w:rsidR="00114FCC" w:rsidRPr="00970914" w:rsidRDefault="00114FCC" w:rsidP="00BB5CEA">
          <w:pPr>
            <w:pStyle w:val="Footer"/>
            <w:jc w:val="right"/>
            <w:rPr>
              <w:b/>
              <w:i/>
            </w:rPr>
          </w:pPr>
          <w:r w:rsidRPr="00970914">
            <w:rPr>
              <w:rStyle w:val="PageNumber"/>
              <w:b/>
              <w:i/>
              <w:color w:val="FFFFFF" w:themeColor="background1"/>
              <w:sz w:val="18"/>
            </w:rPr>
            <w:fldChar w:fldCharType="begin"/>
          </w:r>
          <w:r w:rsidRPr="00970914">
            <w:rPr>
              <w:rStyle w:val="PageNumber"/>
              <w:b/>
              <w:i/>
              <w:color w:val="FFFFFF" w:themeColor="background1"/>
              <w:sz w:val="18"/>
            </w:rPr>
            <w:instrText xml:space="preserve"> PAGE </w:instrText>
          </w:r>
          <w:r w:rsidRPr="00970914">
            <w:rPr>
              <w:rStyle w:val="PageNumber"/>
              <w:b/>
              <w:i/>
              <w:color w:val="FFFFFF" w:themeColor="background1"/>
              <w:sz w:val="18"/>
            </w:rPr>
            <w:fldChar w:fldCharType="separate"/>
          </w:r>
          <w:r w:rsidR="00D865DC">
            <w:rPr>
              <w:rStyle w:val="PageNumber"/>
              <w:b/>
              <w:i/>
              <w:noProof/>
              <w:color w:val="FFFFFF" w:themeColor="background1"/>
              <w:sz w:val="18"/>
            </w:rPr>
            <w:t>1</w:t>
          </w:r>
          <w:r w:rsidRPr="00970914">
            <w:rPr>
              <w:rStyle w:val="PageNumber"/>
              <w:b/>
              <w:i/>
              <w:color w:val="FFFFFF" w:themeColor="background1"/>
              <w:sz w:val="18"/>
            </w:rPr>
            <w:fldChar w:fldCharType="end"/>
          </w:r>
        </w:p>
      </w:tc>
    </w:tr>
  </w:tbl>
  <w:p w14:paraId="7F305FC2" w14:textId="77777777" w:rsidR="00114FCC" w:rsidRDefault="00114FCC" w:rsidP="0095667E">
    <w:pPr>
      <w:pStyle w:val="Footer"/>
      <w:tabs>
        <w:tab w:val="clear" w:pos="4153"/>
        <w:tab w:val="clear" w:pos="8306"/>
        <w:tab w:val="left" w:pos="1464"/>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13" w:type="dxa"/>
      <w:tblInd w:w="-574" w:type="dxa"/>
      <w:tblLayout w:type="fixed"/>
      <w:tblCellMar>
        <w:left w:w="0" w:type="dxa"/>
        <w:right w:w="0" w:type="dxa"/>
      </w:tblCellMar>
      <w:tblLook w:val="01E0" w:firstRow="1" w:lastRow="1" w:firstColumn="1" w:lastColumn="1" w:noHBand="0" w:noVBand="0"/>
    </w:tblPr>
    <w:tblGrid>
      <w:gridCol w:w="5961"/>
      <w:gridCol w:w="4552"/>
    </w:tblGrid>
    <w:tr w:rsidR="00114FCC" w14:paraId="646EFD5A" w14:textId="77777777" w:rsidTr="00013B98">
      <w:trPr>
        <w:trHeight w:val="1175"/>
      </w:trPr>
      <w:tc>
        <w:tcPr>
          <w:tcW w:w="5961" w:type="dxa"/>
          <w:tcMar>
            <w:bottom w:w="0" w:type="dxa"/>
          </w:tcMar>
          <w:vAlign w:val="bottom"/>
        </w:tcPr>
        <w:p w14:paraId="2AA977DC" w14:textId="77777777" w:rsidR="00114FCC" w:rsidRDefault="00114FCC" w:rsidP="00E45B50">
          <w:pPr>
            <w:pStyle w:val="CoverDetails"/>
          </w:pPr>
          <w:r>
            <w:t xml:space="preserve">17 June 2016  </w:t>
          </w:r>
        </w:p>
        <w:p w14:paraId="426809C4" w14:textId="77777777" w:rsidR="00114FCC" w:rsidRPr="00E45B50" w:rsidRDefault="00114FCC" w:rsidP="00E45B50">
          <w:pPr>
            <w:pStyle w:val="CoverDetails"/>
          </w:pPr>
          <w:r w:rsidRPr="00E45B50">
            <w:t xml:space="preserve">Proposed by </w:t>
          </w:r>
          <w:bookmarkStart w:id="1" w:name="ProposedBy"/>
          <w:bookmarkEnd w:id="1"/>
        </w:p>
      </w:tc>
      <w:tc>
        <w:tcPr>
          <w:tcW w:w="4552" w:type="dxa"/>
          <w:tcMar>
            <w:bottom w:w="0" w:type="dxa"/>
          </w:tcMar>
          <w:vAlign w:val="bottom"/>
        </w:tcPr>
        <w:p w14:paraId="2C4B6BB0" w14:textId="77777777" w:rsidR="00114FCC" w:rsidRDefault="00114FCC" w:rsidP="00013B98">
          <w:pPr>
            <w:pStyle w:val="Footer"/>
          </w:pPr>
          <w:r>
            <w:rPr>
              <w:noProof/>
              <w:lang w:val="en-AU" w:eastAsia="en-AU"/>
            </w:rPr>
            <w:drawing>
              <wp:inline distT="0" distB="0" distL="0" distR="0" wp14:anchorId="3757DABA" wp14:editId="406EE7D0">
                <wp:extent cx="2700000" cy="44640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png"/>
                        <pic:cNvPicPr/>
                      </pic:nvPicPr>
                      <pic:blipFill>
                        <a:blip r:embed="rId1">
                          <a:extLst>
                            <a:ext uri="{28A0092B-C50C-407E-A947-70E740481C1C}">
                              <a14:useLocalDpi xmlns:a14="http://schemas.microsoft.com/office/drawing/2010/main" val="0"/>
                            </a:ext>
                          </a:extLst>
                        </a:blip>
                        <a:stretch>
                          <a:fillRect/>
                        </a:stretch>
                      </pic:blipFill>
                      <pic:spPr>
                        <a:xfrm>
                          <a:off x="0" y="0"/>
                          <a:ext cx="2700000" cy="446400"/>
                        </a:xfrm>
                        <a:prstGeom prst="rect">
                          <a:avLst/>
                        </a:prstGeom>
                      </pic:spPr>
                    </pic:pic>
                  </a:graphicData>
                </a:graphic>
              </wp:inline>
            </w:drawing>
          </w:r>
        </w:p>
      </w:tc>
    </w:tr>
    <w:tr w:rsidR="00114FCC" w14:paraId="209E8547" w14:textId="77777777" w:rsidTr="00013B98">
      <w:trPr>
        <w:trHeight w:hRule="exact" w:val="227"/>
      </w:trPr>
      <w:tc>
        <w:tcPr>
          <w:tcW w:w="5961" w:type="dxa"/>
          <w:tcMar>
            <w:bottom w:w="0" w:type="dxa"/>
          </w:tcMar>
          <w:vAlign w:val="bottom"/>
        </w:tcPr>
        <w:p w14:paraId="10FA4B4D" w14:textId="77777777" w:rsidR="00114FCC" w:rsidRDefault="00114FCC" w:rsidP="00F17EFC">
          <w:pPr>
            <w:pStyle w:val="Footer"/>
          </w:pPr>
        </w:p>
      </w:tc>
      <w:tc>
        <w:tcPr>
          <w:tcW w:w="4552" w:type="dxa"/>
          <w:tcMar>
            <w:bottom w:w="0" w:type="dxa"/>
          </w:tcMar>
          <w:vAlign w:val="bottom"/>
        </w:tcPr>
        <w:p w14:paraId="6D278823" w14:textId="77777777" w:rsidR="00114FCC" w:rsidRDefault="00114FCC" w:rsidP="00013B98">
          <w:pPr>
            <w:pStyle w:val="Footer"/>
          </w:pPr>
        </w:p>
      </w:tc>
    </w:tr>
  </w:tbl>
  <w:p w14:paraId="7C6BB142" w14:textId="77777777" w:rsidR="00114FCC" w:rsidRDefault="00114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2BCA3" w14:textId="77777777" w:rsidR="00F81132" w:rsidRDefault="00F81132">
      <w:r>
        <w:separator/>
      </w:r>
    </w:p>
  </w:footnote>
  <w:footnote w:type="continuationSeparator" w:id="0">
    <w:p w14:paraId="1986F6A9" w14:textId="77777777" w:rsidR="00F81132" w:rsidRDefault="00F81132">
      <w:r>
        <w:continuationSeparator/>
      </w:r>
    </w:p>
  </w:footnote>
  <w:footnote w:id="1">
    <w:p w14:paraId="07F1A461" w14:textId="77777777" w:rsidR="002A59B6" w:rsidRPr="00114FCC" w:rsidRDefault="002A59B6" w:rsidP="00A54314">
      <w:pPr>
        <w:pStyle w:val="FootnoteText"/>
        <w:tabs>
          <w:tab w:val="clear" w:pos="320"/>
        </w:tabs>
        <w:spacing w:before="0"/>
        <w:ind w:left="0" w:firstLine="0"/>
      </w:pPr>
      <w:r>
        <w:rPr>
          <w:rStyle w:val="FootnoteReference"/>
        </w:rPr>
        <w:footnoteRef/>
      </w:r>
      <w:r>
        <w:t xml:space="preserve"> </w:t>
      </w:r>
      <w:r w:rsidRPr="00114FCC">
        <w:t xml:space="preserve">Cowan, A. (2013). </w:t>
      </w:r>
      <w:r>
        <w:t>UNDRIP</w:t>
      </w:r>
      <w:r w:rsidRPr="00114FCC">
        <w:t xml:space="preserve"> and the intervention: indigenous self-determination, participation, and racial discrimination in the Northern Territory of Australia. Pacific Rim Law &amp;</w:t>
      </w:r>
      <w:r>
        <w:t xml:space="preserve"> Policy Journal, 22(2), 247-310</w:t>
      </w:r>
    </w:p>
  </w:footnote>
  <w:footnote w:id="2">
    <w:p w14:paraId="5C3BCF97" w14:textId="77777777" w:rsidR="002A59B6" w:rsidRPr="00D523DE" w:rsidRDefault="002A59B6" w:rsidP="00A54314">
      <w:pPr>
        <w:pStyle w:val="FootnoteText"/>
        <w:tabs>
          <w:tab w:val="clear" w:pos="320"/>
        </w:tabs>
        <w:ind w:left="0" w:firstLine="0"/>
        <w:rPr>
          <w:lang w:val="en-AU"/>
        </w:rPr>
      </w:pPr>
      <w:r>
        <w:rPr>
          <w:rStyle w:val="FootnoteReference"/>
        </w:rPr>
        <w:footnoteRef/>
      </w:r>
      <w:r>
        <w:t xml:space="preserve"> </w:t>
      </w:r>
      <w:proofErr w:type="spellStart"/>
      <w:r w:rsidRPr="00114FCC">
        <w:t>Malezer</w:t>
      </w:r>
      <w:proofErr w:type="spellEnd"/>
      <w:r w:rsidRPr="00114FCC">
        <w:t xml:space="preserve">, L. (2013). </w:t>
      </w:r>
      <w:proofErr w:type="gramStart"/>
      <w:r w:rsidRPr="00114FCC">
        <w:t>Challenges in Evaluating Indigenous Policy.</w:t>
      </w:r>
      <w:proofErr w:type="gramEnd"/>
      <w:r w:rsidRPr="00114FCC">
        <w:t xml:space="preserve"> Better Indigenous Policies: The Role of Evaluation Roundtable Proceedings. Canberra: Productivity Commission.</w:t>
      </w:r>
    </w:p>
  </w:footnote>
  <w:footnote w:id="3">
    <w:p w14:paraId="06878579" w14:textId="77777777" w:rsidR="00F86CAF" w:rsidRPr="00D523DE" w:rsidRDefault="00F86CAF" w:rsidP="00F86CAF">
      <w:pPr>
        <w:pStyle w:val="FootnoteText"/>
        <w:spacing w:before="0"/>
        <w:ind w:left="0" w:firstLine="0"/>
        <w:rPr>
          <w:lang w:val="en-AU"/>
        </w:rPr>
      </w:pPr>
      <w:r>
        <w:rPr>
          <w:rStyle w:val="FootnoteReference"/>
        </w:rPr>
        <w:footnoteRef/>
      </w:r>
      <w:r>
        <w:t xml:space="preserve"> </w:t>
      </w:r>
      <w:proofErr w:type="gramStart"/>
      <w:r>
        <w:t>Productivity Commission (2011).</w:t>
      </w:r>
      <w:proofErr w:type="gramEnd"/>
      <w:r>
        <w:t xml:space="preserve"> </w:t>
      </w:r>
      <w:proofErr w:type="gramStart"/>
      <w:r>
        <w:t>Overcoming Indigenous Disadvantage Report 2011.</w:t>
      </w:r>
      <w:proofErr w:type="gramEnd"/>
      <w:r>
        <w:t xml:space="preserve">  Canberra.  </w:t>
      </w:r>
    </w:p>
  </w:footnote>
  <w:footnote w:id="4">
    <w:p w14:paraId="37AA3A24" w14:textId="3F4299BD" w:rsidR="004A7DD8" w:rsidRPr="004203E6" w:rsidRDefault="004A7DD8" w:rsidP="00A54314">
      <w:pPr>
        <w:pStyle w:val="FootnoteText"/>
        <w:tabs>
          <w:tab w:val="clear" w:pos="320"/>
        </w:tabs>
        <w:spacing w:before="0"/>
        <w:ind w:left="0" w:firstLine="0"/>
        <w:rPr>
          <w:lang w:val="en-AU"/>
        </w:rPr>
      </w:pPr>
      <w:r>
        <w:rPr>
          <w:rStyle w:val="FootnoteReference"/>
        </w:rPr>
        <w:footnoteRef/>
      </w:r>
      <w:r>
        <w:t xml:space="preserve"> </w:t>
      </w:r>
      <w:proofErr w:type="gramStart"/>
      <w:r w:rsidR="0092019E">
        <w:t xml:space="preserve">Aboriginal Peak </w:t>
      </w:r>
      <w:proofErr w:type="spellStart"/>
      <w:r w:rsidR="0092019E">
        <w:t>Organisations</w:t>
      </w:r>
      <w:proofErr w:type="spellEnd"/>
      <w:r w:rsidR="0092019E">
        <w:t xml:space="preserve"> Northern Territory, 2014.</w:t>
      </w:r>
      <w:proofErr w:type="gramEnd"/>
      <w:r w:rsidR="0092019E">
        <w:t xml:space="preserve"> Partnership Principles for NGOs working with Aboriginal </w:t>
      </w:r>
      <w:proofErr w:type="spellStart"/>
      <w:r w:rsidR="0092019E">
        <w:t>organisations</w:t>
      </w:r>
      <w:proofErr w:type="spellEnd"/>
      <w:r w:rsidR="0092019E">
        <w:t xml:space="preserve"> and communities in the NT </w:t>
      </w:r>
      <w:r w:rsidR="0092019E" w:rsidRPr="004203E6">
        <w:t>http://www.amsant.org.au/apont/our-work/non-government-organisations/apo-nt-ngo-principles/</w:t>
      </w:r>
    </w:p>
  </w:footnote>
  <w:footnote w:id="5">
    <w:p w14:paraId="58B0E397" w14:textId="77777777" w:rsidR="0092019E" w:rsidRPr="004203E6" w:rsidRDefault="0092019E" w:rsidP="0092019E">
      <w:pPr>
        <w:pStyle w:val="FootnoteText"/>
        <w:tabs>
          <w:tab w:val="clear" w:pos="320"/>
        </w:tabs>
        <w:ind w:left="0" w:firstLine="0"/>
        <w:rPr>
          <w:lang w:val="en-AU"/>
        </w:rPr>
      </w:pPr>
      <w:r>
        <w:rPr>
          <w:rStyle w:val="FootnoteReference"/>
        </w:rPr>
        <w:footnoteRef/>
      </w:r>
      <w:r>
        <w:t xml:space="preserve"> </w:t>
      </w:r>
      <w:proofErr w:type="gramStart"/>
      <w:r>
        <w:t>Australian Council for International Development, 2014.</w:t>
      </w:r>
      <w:proofErr w:type="gramEnd"/>
      <w:r>
        <w:t xml:space="preserve"> Effective Development Practice with Aboriginal and Torres Strait Islander Communities Practice Note </w:t>
      </w:r>
      <w:r w:rsidRPr="004203E6">
        <w:t>https://acfid.asn.au/sites/site.acfid/files/resource_document/Effective-Development-Practice-with-Aboriginal-and-Torres-Strait-Islander-Communities.pdf</w:t>
      </w:r>
    </w:p>
  </w:footnote>
  <w:footnote w:id="6">
    <w:p w14:paraId="5411E62F" w14:textId="77777777" w:rsidR="0092019E" w:rsidRDefault="00114FCC" w:rsidP="00A54314">
      <w:pPr>
        <w:pStyle w:val="FootnoteText"/>
        <w:spacing w:before="0" w:after="0" w:line="240" w:lineRule="auto"/>
      </w:pPr>
      <w:r>
        <w:rPr>
          <w:rStyle w:val="FootnoteReference"/>
        </w:rPr>
        <w:footnoteRef/>
      </w:r>
      <w:r>
        <w:t xml:space="preserve"> </w:t>
      </w:r>
      <w:proofErr w:type="gramStart"/>
      <w:r w:rsidR="0092019E" w:rsidRPr="00880A5E">
        <w:t xml:space="preserve">Taylor, HR, Anjou, MD, </w:t>
      </w:r>
      <w:proofErr w:type="spellStart"/>
      <w:r w:rsidR="0092019E" w:rsidRPr="00880A5E">
        <w:t>Boudville</w:t>
      </w:r>
      <w:proofErr w:type="spellEnd"/>
      <w:r w:rsidR="0092019E" w:rsidRPr="00880A5E">
        <w:t>, AI, McNeil RJ.</w:t>
      </w:r>
      <w:proofErr w:type="gramEnd"/>
      <w:r w:rsidR="0092019E" w:rsidRPr="00880A5E">
        <w:t xml:space="preserve"> </w:t>
      </w:r>
      <w:r w:rsidR="0092019E" w:rsidRPr="00880A5E">
        <w:rPr>
          <w:i/>
        </w:rPr>
        <w:t>The Roadmap to Close the Gap for Vision: Full Report.</w:t>
      </w:r>
      <w:r w:rsidR="0092019E" w:rsidRPr="00880A5E">
        <w:t xml:space="preserve"> Melbourne: Indigenous Eye Health </w:t>
      </w:r>
    </w:p>
    <w:p w14:paraId="4DB87563" w14:textId="77777777" w:rsidR="00114FCC" w:rsidRPr="0074459F" w:rsidRDefault="0092019E" w:rsidP="00A54314">
      <w:pPr>
        <w:pStyle w:val="FootnoteText"/>
        <w:spacing w:before="0" w:after="0"/>
        <w:rPr>
          <w:lang w:val="en-AU"/>
        </w:rPr>
      </w:pPr>
      <w:r w:rsidRPr="00880A5E">
        <w:t>Unit, Melbourne School of Population and Health, The University of Melbourne, ISBN 978073404756 4: 2012.</w:t>
      </w:r>
    </w:p>
  </w:footnote>
  <w:footnote w:id="7">
    <w:p w14:paraId="387C286A" w14:textId="77777777" w:rsidR="00114FCC" w:rsidRPr="0074459F" w:rsidRDefault="00114FCC" w:rsidP="001D1E5C">
      <w:pPr>
        <w:pStyle w:val="FootnoteText"/>
        <w:tabs>
          <w:tab w:val="clear" w:pos="320"/>
        </w:tabs>
        <w:ind w:left="0" w:firstLine="0"/>
        <w:rPr>
          <w:lang w:val="en-AU"/>
        </w:rPr>
      </w:pPr>
      <w:r>
        <w:rPr>
          <w:rStyle w:val="FootnoteReference"/>
        </w:rPr>
        <w:footnoteRef/>
      </w:r>
      <w:r>
        <w:t xml:space="preserve"> </w:t>
      </w:r>
      <w:r w:rsidR="001D1E5C">
        <w:t xml:space="preserve">The Centre for Eye Research Australia and Vision 2020 Australia, 2016, The National Eye Health Survey Report </w:t>
      </w:r>
      <w:r w:rsidR="001D1E5C" w:rsidRPr="00570F11">
        <w:rPr>
          <w:lang w:val="en-AU"/>
        </w:rPr>
        <w:t>http://www.vision2020australia.org.au/uploads/resource/250/National-Eye-Health-Survey_Full-Report_FINAL.pdf</w:t>
      </w:r>
    </w:p>
  </w:footnote>
  <w:footnote w:id="8">
    <w:p w14:paraId="56DF4F3A" w14:textId="77777777" w:rsidR="00D47D57" w:rsidRDefault="00D47D57" w:rsidP="00D47D57">
      <w:pPr>
        <w:pStyle w:val="FootnoteText"/>
        <w:tabs>
          <w:tab w:val="clear" w:pos="320"/>
        </w:tabs>
        <w:spacing w:line="240" w:lineRule="auto"/>
        <w:ind w:left="0" w:firstLine="0"/>
      </w:pPr>
      <w:r>
        <w:rPr>
          <w:rStyle w:val="FootnoteReference"/>
        </w:rPr>
        <w:footnoteRef/>
      </w:r>
      <w:r>
        <w:t xml:space="preserve"> </w:t>
      </w:r>
      <w:r w:rsidRPr="001E2729">
        <w:rPr>
          <w:rFonts w:cs="MyriadPro-Regular"/>
          <w:color w:val="000000"/>
        </w:rPr>
        <w:t>Flaxman et al. 2009; New Zealand Ministry of Social Development 2003; Office of Evaluation and Audit 2009 in</w:t>
      </w:r>
      <w:r>
        <w:rPr>
          <w:rFonts w:cs="MyriadPro-Regular"/>
          <w:color w:val="000000"/>
        </w:rPr>
        <w:t xml:space="preserve"> </w:t>
      </w:r>
      <w:r>
        <w:t xml:space="preserve">Stewart, J, </w:t>
      </w:r>
      <w:proofErr w:type="spellStart"/>
      <w:r>
        <w:t>Lohoar</w:t>
      </w:r>
      <w:proofErr w:type="spellEnd"/>
      <w:r>
        <w:t>, S &amp; H</w:t>
      </w:r>
      <w:r w:rsidRPr="00CA63A2">
        <w:t xml:space="preserve">iggins, D, 2011. </w:t>
      </w:r>
      <w:proofErr w:type="gramStart"/>
      <w:r w:rsidRPr="00CA63A2">
        <w:t>Effective practices for service delivery coordination in Indigenous communities.</w:t>
      </w:r>
      <w:proofErr w:type="gramEnd"/>
      <w:r w:rsidRPr="00CA63A2">
        <w:t xml:space="preserve"> Resource sheet 8. Produced by the Closing the Gap Clearinghouse. Canberra: Australian Institute of Health and Welfare and Melbourne: Australian Institute of Family Studies.</w:t>
      </w:r>
    </w:p>
  </w:footnote>
  <w:footnote w:id="9">
    <w:p w14:paraId="4FEF55E3" w14:textId="77777777" w:rsidR="00D47D57" w:rsidRDefault="00D47D57" w:rsidP="00D47D57">
      <w:pPr>
        <w:pStyle w:val="FootnoteText"/>
        <w:spacing w:line="240" w:lineRule="auto"/>
      </w:pPr>
      <w:r>
        <w:rPr>
          <w:rStyle w:val="FootnoteReference"/>
        </w:rPr>
        <w:footnoteRef/>
      </w:r>
      <w:r>
        <w:t xml:space="preserve"> </w:t>
      </w:r>
      <w:proofErr w:type="gramStart"/>
      <w:r w:rsidRPr="00880A5E">
        <w:t xml:space="preserve">Taylor, HR, Anjou, MD, </w:t>
      </w:r>
      <w:proofErr w:type="spellStart"/>
      <w:r w:rsidRPr="00880A5E">
        <w:t>Boudville</w:t>
      </w:r>
      <w:proofErr w:type="spellEnd"/>
      <w:r w:rsidRPr="00880A5E">
        <w:t>, AI, McNeil RJ.</w:t>
      </w:r>
      <w:proofErr w:type="gramEnd"/>
      <w:r w:rsidRPr="00880A5E">
        <w:t xml:space="preserve"> </w:t>
      </w:r>
      <w:r w:rsidRPr="00880A5E">
        <w:rPr>
          <w:i/>
        </w:rPr>
        <w:t>The Roadmap to Close the Gap for Vision: Full Report.</w:t>
      </w:r>
      <w:r w:rsidRPr="00880A5E">
        <w:t xml:space="preserve"> Melbourne: Indigenous Eye Health </w:t>
      </w:r>
    </w:p>
    <w:p w14:paraId="2BBEBBEF" w14:textId="77777777" w:rsidR="00D47D57" w:rsidRPr="00B97297" w:rsidRDefault="00D47D57" w:rsidP="00D47D57">
      <w:pPr>
        <w:pStyle w:val="FootnoteText"/>
        <w:spacing w:line="240" w:lineRule="auto"/>
        <w:rPr>
          <w:lang w:val="en-AU"/>
        </w:rPr>
      </w:pPr>
      <w:r w:rsidRPr="00880A5E">
        <w:t>Unit, Melbourne School of Population and Health, The University of Melbourne, ISBN 978073404756 4: 2012.</w:t>
      </w:r>
    </w:p>
  </w:footnote>
  <w:footnote w:id="10">
    <w:p w14:paraId="4F3C8AD4" w14:textId="77777777" w:rsidR="00D47D57" w:rsidRDefault="00D47D57" w:rsidP="00D47D57">
      <w:pPr>
        <w:pStyle w:val="FootnoteText"/>
        <w:tabs>
          <w:tab w:val="clear" w:pos="320"/>
        </w:tabs>
        <w:spacing w:line="240" w:lineRule="auto"/>
        <w:ind w:left="0" w:firstLine="0"/>
      </w:pPr>
      <w:r>
        <w:rPr>
          <w:rStyle w:val="FootnoteReference"/>
        </w:rPr>
        <w:footnoteRef/>
      </w:r>
      <w:r>
        <w:t xml:space="preserve"> </w:t>
      </w:r>
      <w:r w:rsidRPr="00570F11">
        <w:t xml:space="preserve">NACCHO, 2014, Investing in Aboriginal Community Controlled Health Makes Economic Sense. </w:t>
      </w:r>
      <w:hyperlink r:id="rId1" w:history="1">
        <w:r w:rsidRPr="00570F11">
          <w:t>http://www.naccho.org.au/download/naccho_health_futures/NACCHO_14_Econimic%20Value%20Exec%20Summary_020414.pdf</w:t>
        </w:r>
      </w:hyperlink>
      <w:r>
        <w:rPr>
          <w:rFonts w:asciiTheme="minorHAnsi" w:hAnsiTheme="minorHAnsi"/>
          <w:sz w:val="18"/>
          <w:szCs w:val="18"/>
        </w:rPr>
        <w:t xml:space="preserve">  </w:t>
      </w:r>
    </w:p>
  </w:footnote>
  <w:footnote w:id="11">
    <w:p w14:paraId="60A6BA09" w14:textId="77777777" w:rsidR="00D47D57" w:rsidRPr="00EB6DEE" w:rsidRDefault="00D47D57" w:rsidP="00A54314">
      <w:pPr>
        <w:pStyle w:val="FootnoteText"/>
        <w:tabs>
          <w:tab w:val="clear" w:pos="320"/>
        </w:tabs>
        <w:spacing w:before="0" w:after="0"/>
        <w:ind w:left="0" w:firstLine="0"/>
        <w:rPr>
          <w:lang w:val="en-AU"/>
        </w:rPr>
      </w:pPr>
      <w:r>
        <w:rPr>
          <w:rStyle w:val="FootnoteReference"/>
        </w:rPr>
        <w:footnoteRef/>
      </w:r>
      <w:r>
        <w:t xml:space="preserve"> </w:t>
      </w:r>
      <w:proofErr w:type="gramStart"/>
      <w:r>
        <w:t>Deloitte Access Economics, 2016.</w:t>
      </w:r>
      <w:proofErr w:type="gramEnd"/>
      <w:r>
        <w:t xml:space="preserve"> Review of Danila </w:t>
      </w:r>
      <w:proofErr w:type="spellStart"/>
      <w:r>
        <w:t>Dilba</w:t>
      </w:r>
      <w:proofErr w:type="spellEnd"/>
      <w:r>
        <w:t xml:space="preserve"> Health Service Cost benefit and funding analysis </w:t>
      </w:r>
      <w:r w:rsidRPr="00EB6DEE">
        <w:t>https://www2.deloitte.com/content/dam/Deloitte/au/Documents/Economics/deloitte-au-economics-danila-dilba-health-service-cost-benefit-funding-analysis-111116.pdf</w:t>
      </w:r>
    </w:p>
  </w:footnote>
  <w:footnote w:id="12">
    <w:p w14:paraId="773BCEFF" w14:textId="296DBE0F" w:rsidR="00114FCC" w:rsidRPr="00CA6713" w:rsidRDefault="00114FCC" w:rsidP="007705D8">
      <w:pPr>
        <w:pStyle w:val="FootnoteText"/>
        <w:tabs>
          <w:tab w:val="clear" w:pos="320"/>
        </w:tabs>
        <w:spacing w:after="0"/>
        <w:ind w:left="0" w:firstLine="0"/>
        <w:rPr>
          <w:lang w:val="en-AU"/>
        </w:rPr>
      </w:pPr>
      <w:r>
        <w:rPr>
          <w:rStyle w:val="FootnoteReference"/>
        </w:rPr>
        <w:footnoteRef/>
      </w:r>
      <w:r w:rsidR="0092019E">
        <w:t xml:space="preserve"> </w:t>
      </w:r>
      <w:proofErr w:type="gramStart"/>
      <w:r w:rsidR="0092019E">
        <w:t>Parliament of Australia, 2015.</w:t>
      </w:r>
      <w:proofErr w:type="gramEnd"/>
      <w:r w:rsidR="0092019E">
        <w:t xml:space="preserve"> Commonwealth Indigenous Advancement Strategy tendering processes h</w:t>
      </w:r>
      <w:r w:rsidR="0092019E" w:rsidRPr="00CA6713">
        <w:t>ttp://www.aph.gov.au/Parliamentary_Business/Committees/Senate/Finance_and_Public_Administration/Commonwealth_Indigenous/Report/c02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114FCC" w14:paraId="0D2317B7" w14:textId="77777777" w:rsidTr="00FB32F9">
      <w:trPr>
        <w:trHeight w:hRule="exact" w:val="454"/>
      </w:trPr>
      <w:tc>
        <w:tcPr>
          <w:tcW w:w="2340" w:type="dxa"/>
          <w:vMerge w:val="restart"/>
        </w:tcPr>
        <w:p w14:paraId="000381DA" w14:textId="77777777" w:rsidR="00114FCC" w:rsidRDefault="00114FCC" w:rsidP="006545F3">
          <w:pPr>
            <w:pStyle w:val="Header"/>
          </w:pPr>
          <w:r>
            <w:t>Company Logo Here</w:t>
          </w:r>
        </w:p>
      </w:tc>
      <w:tc>
        <w:tcPr>
          <w:tcW w:w="7724" w:type="dxa"/>
        </w:tcPr>
        <w:p w14:paraId="21993215" w14:textId="77777777" w:rsidR="00114FCC" w:rsidRDefault="00114FCC" w:rsidP="00FB32F9">
          <w:pPr>
            <w:pStyle w:val="Header"/>
            <w:jc w:val="right"/>
          </w:pPr>
        </w:p>
      </w:tc>
    </w:tr>
    <w:tr w:rsidR="00114FCC" w14:paraId="4A43DBB7" w14:textId="77777777" w:rsidTr="00FB32F9">
      <w:trPr>
        <w:trHeight w:hRule="exact" w:val="427"/>
      </w:trPr>
      <w:tc>
        <w:tcPr>
          <w:tcW w:w="2340" w:type="dxa"/>
          <w:vMerge/>
        </w:tcPr>
        <w:p w14:paraId="16517EBE" w14:textId="77777777" w:rsidR="00114FCC" w:rsidRDefault="00114FCC" w:rsidP="006545F3">
          <w:pPr>
            <w:pStyle w:val="Header"/>
          </w:pPr>
        </w:p>
      </w:tc>
      <w:tc>
        <w:tcPr>
          <w:tcW w:w="7724" w:type="dxa"/>
          <w:tcMar>
            <w:top w:w="136" w:type="dxa"/>
          </w:tcMar>
        </w:tcPr>
        <w:p w14:paraId="4F780425" w14:textId="77777777" w:rsidR="00114FCC" w:rsidRDefault="00114FCC" w:rsidP="00FB32F9">
          <w:pPr>
            <w:pStyle w:val="Header"/>
            <w:jc w:val="right"/>
          </w:pPr>
        </w:p>
      </w:tc>
    </w:tr>
  </w:tbl>
  <w:p w14:paraId="2850DC97" w14:textId="77777777" w:rsidR="00114FCC" w:rsidRDefault="00114F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1E0" w:firstRow="1" w:lastRow="1" w:firstColumn="1" w:lastColumn="1" w:noHBand="0" w:noVBand="0"/>
    </w:tblPr>
    <w:tblGrid>
      <w:gridCol w:w="7088"/>
      <w:gridCol w:w="2551"/>
    </w:tblGrid>
    <w:tr w:rsidR="00114FCC" w:rsidRPr="00444BF8" w14:paraId="16580F70" w14:textId="77777777" w:rsidTr="004572D3">
      <w:trPr>
        <w:trHeight w:val="946"/>
      </w:trPr>
      <w:tc>
        <w:tcPr>
          <w:tcW w:w="7088" w:type="dxa"/>
        </w:tcPr>
        <w:p w14:paraId="35A5B3A7" w14:textId="77777777" w:rsidR="00114FCC" w:rsidRPr="00444BF8" w:rsidRDefault="00114FCC" w:rsidP="00444BF8">
          <w:pPr>
            <w:pStyle w:val="Header"/>
          </w:pPr>
        </w:p>
      </w:tc>
      <w:tc>
        <w:tcPr>
          <w:tcW w:w="2551" w:type="dxa"/>
          <w:vAlign w:val="bottom"/>
        </w:tcPr>
        <w:p w14:paraId="30E9D9DF" w14:textId="77777777" w:rsidR="00114FCC" w:rsidRPr="00444BF8" w:rsidRDefault="00114FCC" w:rsidP="004572D3">
          <w:pPr>
            <w:pStyle w:val="Header"/>
            <w:jc w:val="right"/>
          </w:pPr>
          <w:r>
            <w:rPr>
              <w:noProof/>
              <w:lang w:val="en-AU" w:eastAsia="en-AU"/>
            </w:rPr>
            <w:drawing>
              <wp:inline distT="0" distB="0" distL="0" distR="0" wp14:anchorId="5867C505" wp14:editId="1FFE3A18">
                <wp:extent cx="1620015" cy="268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png"/>
                        <pic:cNvPicPr/>
                      </pic:nvPicPr>
                      <pic:blipFill>
                        <a:blip r:embed="rId1">
                          <a:extLst>
                            <a:ext uri="{28A0092B-C50C-407E-A947-70E740481C1C}">
                              <a14:useLocalDpi xmlns:a14="http://schemas.microsoft.com/office/drawing/2010/main" val="0"/>
                            </a:ext>
                          </a:extLst>
                        </a:blip>
                        <a:stretch>
                          <a:fillRect/>
                        </a:stretch>
                      </pic:blipFill>
                      <pic:spPr>
                        <a:xfrm>
                          <a:off x="0" y="0"/>
                          <a:ext cx="1620015" cy="268225"/>
                        </a:xfrm>
                        <a:prstGeom prst="rect">
                          <a:avLst/>
                        </a:prstGeom>
                      </pic:spPr>
                    </pic:pic>
                  </a:graphicData>
                </a:graphic>
              </wp:inline>
            </w:drawing>
          </w:r>
        </w:p>
      </w:tc>
    </w:tr>
    <w:tr w:rsidR="00114FCC" w:rsidRPr="00444BF8" w14:paraId="565680AC" w14:textId="77777777" w:rsidTr="00705322">
      <w:trPr>
        <w:trHeight w:val="362"/>
      </w:trPr>
      <w:tc>
        <w:tcPr>
          <w:tcW w:w="7088" w:type="dxa"/>
        </w:tcPr>
        <w:p w14:paraId="4B5503D8" w14:textId="77777777" w:rsidR="00114FCC" w:rsidRPr="00444BF8" w:rsidRDefault="00114FCC" w:rsidP="00444BF8">
          <w:pPr>
            <w:pStyle w:val="Header"/>
          </w:pPr>
        </w:p>
      </w:tc>
      <w:tc>
        <w:tcPr>
          <w:tcW w:w="2551" w:type="dxa"/>
        </w:tcPr>
        <w:p w14:paraId="17814C3D" w14:textId="77777777" w:rsidR="00114FCC" w:rsidRPr="00444BF8" w:rsidRDefault="00114FCC" w:rsidP="00FB32F9">
          <w:pPr>
            <w:pStyle w:val="Header"/>
            <w:jc w:val="right"/>
          </w:pPr>
        </w:p>
      </w:tc>
    </w:tr>
  </w:tbl>
  <w:p w14:paraId="4F932F62" w14:textId="77777777" w:rsidR="00114FCC" w:rsidRDefault="00114F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5D2BDD4"/>
    <w:lvl w:ilvl="0">
      <w:start w:val="1"/>
      <w:numFmt w:val="decimal"/>
      <w:lvlText w:val="%1."/>
      <w:lvlJc w:val="left"/>
      <w:pPr>
        <w:tabs>
          <w:tab w:val="num" w:pos="926"/>
        </w:tabs>
        <w:ind w:left="926" w:hanging="360"/>
      </w:pPr>
    </w:lvl>
  </w:abstractNum>
  <w:abstractNum w:abstractNumId="3">
    <w:nsid w:val="FFFFFF7F"/>
    <w:multiLevelType w:val="singleLevel"/>
    <w:tmpl w:val="631CC036"/>
    <w:lvl w:ilvl="0">
      <w:start w:val="1"/>
      <w:numFmt w:val="decimal"/>
      <w:lvlText w:val="%1."/>
      <w:lvlJc w:val="left"/>
      <w:pPr>
        <w:tabs>
          <w:tab w:val="num" w:pos="643"/>
        </w:tabs>
        <w:ind w:left="643" w:hanging="360"/>
      </w:pPr>
    </w:lvl>
  </w:abstractNum>
  <w:abstractNum w:abstractNumId="4">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3B2A4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F82D482"/>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8">
    <w:nsid w:val="FFFFFF88"/>
    <w:multiLevelType w:val="singleLevel"/>
    <w:tmpl w:val="19785F88"/>
    <w:lvl w:ilvl="0">
      <w:start w:val="1"/>
      <w:numFmt w:val="decimal"/>
      <w:lvlText w:val="%1."/>
      <w:lvlJc w:val="left"/>
      <w:pPr>
        <w:tabs>
          <w:tab w:val="num" w:pos="360"/>
        </w:tabs>
        <w:ind w:left="360" w:hanging="360"/>
      </w:pPr>
    </w:lvl>
  </w:abstractNum>
  <w:abstractNum w:abstractNumId="9">
    <w:nsid w:val="FFFFFF89"/>
    <w:multiLevelType w:val="singleLevel"/>
    <w:tmpl w:val="3CF8513E"/>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10">
    <w:nsid w:val="017210EE"/>
    <w:multiLevelType w:val="hybridMultilevel"/>
    <w:tmpl w:val="60448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91F163D"/>
    <w:multiLevelType w:val="hybridMultilevel"/>
    <w:tmpl w:val="A45E5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5662557"/>
    <w:multiLevelType w:val="hybridMultilevel"/>
    <w:tmpl w:val="89BA2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4F0C9D"/>
    <w:multiLevelType w:val="hybridMultilevel"/>
    <w:tmpl w:val="32D2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70553D4"/>
    <w:multiLevelType w:val="hybridMultilevel"/>
    <w:tmpl w:val="AB58F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D30027"/>
    <w:multiLevelType w:val="multilevel"/>
    <w:tmpl w:val="333A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410078"/>
    <w:multiLevelType w:val="hybridMultilevel"/>
    <w:tmpl w:val="707A9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E5F47AD"/>
    <w:multiLevelType w:val="multilevel"/>
    <w:tmpl w:val="5F8A8C9A"/>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tabs>
          <w:tab w:val="num" w:pos="1380"/>
        </w:tabs>
        <w:ind w:left="1360" w:hanging="340"/>
      </w:pPr>
      <w:rPr>
        <w:rFonts w:hint="default"/>
      </w:rPr>
    </w:lvl>
    <w:lvl w:ilvl="4">
      <w:start w:val="1"/>
      <w:numFmt w:val="none"/>
      <w:lvlText w:val=""/>
      <w:lvlJc w:val="left"/>
      <w:pPr>
        <w:tabs>
          <w:tab w:val="num" w:pos="1720"/>
        </w:tabs>
        <w:ind w:left="1700" w:hanging="340"/>
      </w:pPr>
      <w:rPr>
        <w:rFonts w:hint="default"/>
      </w:rPr>
    </w:lvl>
    <w:lvl w:ilvl="5">
      <w:start w:val="1"/>
      <w:numFmt w:val="none"/>
      <w:lvlText w:val=""/>
      <w:lvlJc w:val="right"/>
      <w:pPr>
        <w:tabs>
          <w:tab w:val="num" w:pos="2060"/>
        </w:tabs>
        <w:ind w:left="2040" w:hanging="340"/>
      </w:pPr>
      <w:rPr>
        <w:rFonts w:hint="default"/>
      </w:rPr>
    </w:lvl>
    <w:lvl w:ilvl="6">
      <w:start w:val="1"/>
      <w:numFmt w:val="none"/>
      <w:lvlText w:val=""/>
      <w:lvlJc w:val="left"/>
      <w:pPr>
        <w:tabs>
          <w:tab w:val="num" w:pos="2400"/>
        </w:tabs>
        <w:ind w:left="2380" w:hanging="340"/>
      </w:pPr>
      <w:rPr>
        <w:rFonts w:hint="default"/>
      </w:rPr>
    </w:lvl>
    <w:lvl w:ilvl="7">
      <w:start w:val="1"/>
      <w:numFmt w:val="none"/>
      <w:lvlText w:val=""/>
      <w:lvlJc w:val="left"/>
      <w:pPr>
        <w:tabs>
          <w:tab w:val="num" w:pos="2740"/>
        </w:tabs>
        <w:ind w:left="2720" w:hanging="340"/>
      </w:pPr>
      <w:rPr>
        <w:rFonts w:hint="default"/>
      </w:rPr>
    </w:lvl>
    <w:lvl w:ilvl="8">
      <w:start w:val="1"/>
      <w:numFmt w:val="none"/>
      <w:lvlText w:val=""/>
      <w:lvlJc w:val="right"/>
      <w:pPr>
        <w:tabs>
          <w:tab w:val="num" w:pos="3080"/>
        </w:tabs>
        <w:ind w:left="3060" w:hanging="340"/>
      </w:pPr>
      <w:rPr>
        <w:rFonts w:hint="default"/>
      </w:rPr>
    </w:lvl>
  </w:abstractNum>
  <w:abstractNum w:abstractNumId="2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263B6017"/>
    <w:multiLevelType w:val="hybridMultilevel"/>
    <w:tmpl w:val="49C438D8"/>
    <w:lvl w:ilvl="0" w:tplc="36884C66">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A45445B"/>
    <w:multiLevelType w:val="hybridMultilevel"/>
    <w:tmpl w:val="24428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33E9371B"/>
    <w:multiLevelType w:val="multilevel"/>
    <w:tmpl w:val="5F8A8C9A"/>
    <w:numStyleLink w:val="ListNumbers"/>
  </w:abstractNum>
  <w:abstractNum w:abstractNumId="24">
    <w:nsid w:val="35E95E00"/>
    <w:multiLevelType w:val="multilevel"/>
    <w:tmpl w:val="5F8A8C9A"/>
    <w:numStyleLink w:val="ListNumbers"/>
  </w:abstractNum>
  <w:abstractNum w:abstractNumId="25">
    <w:nsid w:val="36370A53"/>
    <w:multiLevelType w:val="hybridMultilevel"/>
    <w:tmpl w:val="6B9CC8A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6">
    <w:nsid w:val="3C653682"/>
    <w:multiLevelType w:val="hybridMultilevel"/>
    <w:tmpl w:val="F124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D17666F"/>
    <w:multiLevelType w:val="hybridMultilevel"/>
    <w:tmpl w:val="09CE6662"/>
    <w:lvl w:ilvl="0" w:tplc="4B1603AC">
      <w:numFmt w:val="bullet"/>
      <w:lvlText w:val="-"/>
      <w:lvlJc w:val="left"/>
      <w:pPr>
        <w:ind w:left="1080" w:hanging="360"/>
      </w:pPr>
      <w:rPr>
        <w:rFonts w:ascii="Arial" w:eastAsia="Times New Roman" w:hAnsi="Arial" w:cs="Arial" w:hint="default"/>
      </w:rPr>
    </w:lvl>
    <w:lvl w:ilvl="1" w:tplc="4B1603AC">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43711A70"/>
    <w:multiLevelType w:val="multilevel"/>
    <w:tmpl w:val="DCB6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3C5A72"/>
    <w:multiLevelType w:val="hybridMultilevel"/>
    <w:tmpl w:val="51881F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nsid w:val="49255800"/>
    <w:multiLevelType w:val="hybridMultilevel"/>
    <w:tmpl w:val="9A007F8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55C830BB"/>
    <w:multiLevelType w:val="hybridMultilevel"/>
    <w:tmpl w:val="43B60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DB209C"/>
    <w:multiLevelType w:val="multilevel"/>
    <w:tmpl w:val="5F8A8C9A"/>
    <w:numStyleLink w:val="ListNumbers"/>
  </w:abstractNum>
  <w:abstractNum w:abstractNumId="33">
    <w:nsid w:val="61C34491"/>
    <w:multiLevelType w:val="hybridMultilevel"/>
    <w:tmpl w:val="329E43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C2D4088"/>
    <w:multiLevelType w:val="hybridMultilevel"/>
    <w:tmpl w:val="B1604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092D5B"/>
    <w:multiLevelType w:val="hybridMultilevel"/>
    <w:tmpl w:val="4C48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00710B"/>
    <w:multiLevelType w:val="hybridMultilevel"/>
    <w:tmpl w:val="53788142"/>
    <w:lvl w:ilvl="0" w:tplc="C37AB702">
      <w:start w:val="1"/>
      <w:numFmt w:val="bullet"/>
      <w:pStyle w:val="TableBullet"/>
      <w:lvlText w:val=""/>
      <w:lvlJc w:val="left"/>
      <w:pPr>
        <w:tabs>
          <w:tab w:val="num" w:pos="204"/>
        </w:tabs>
        <w:ind w:left="204" w:hanging="204"/>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4FD5758"/>
    <w:multiLevelType w:val="hybridMultilevel"/>
    <w:tmpl w:val="04628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9354BC9"/>
    <w:multiLevelType w:val="hybridMultilevel"/>
    <w:tmpl w:val="99BE7B2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954354"/>
    <w:multiLevelType w:val="hybridMultilevel"/>
    <w:tmpl w:val="44A87354"/>
    <w:lvl w:ilvl="0" w:tplc="4B1603AC">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37"/>
  </w:num>
  <w:num w:numId="5">
    <w:abstractNumId w:val="12"/>
  </w:num>
  <w:num w:numId="6">
    <w:abstractNumId w:val="8"/>
  </w:num>
  <w:num w:numId="7">
    <w:abstractNumId w:val="13"/>
  </w:num>
  <w:num w:numId="8">
    <w:abstractNumId w:val="34"/>
  </w:num>
  <w:num w:numId="9">
    <w:abstractNumId w:val="20"/>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2"/>
  </w:num>
  <w:num w:numId="20">
    <w:abstractNumId w:val="24"/>
  </w:num>
  <w:num w:numId="21">
    <w:abstractNumId w:val="33"/>
  </w:num>
  <w:num w:numId="22">
    <w:abstractNumId w:val="25"/>
  </w:num>
  <w:num w:numId="23">
    <w:abstractNumId w:val="36"/>
  </w:num>
  <w:num w:numId="24">
    <w:abstractNumId w:val="26"/>
  </w:num>
  <w:num w:numId="25">
    <w:abstractNumId w:val="30"/>
  </w:num>
  <w:num w:numId="26">
    <w:abstractNumId w:val="31"/>
  </w:num>
  <w:num w:numId="27">
    <w:abstractNumId w:val="17"/>
  </w:num>
  <w:num w:numId="28">
    <w:abstractNumId w:val="15"/>
  </w:num>
  <w:num w:numId="29">
    <w:abstractNumId w:val="28"/>
  </w:num>
  <w:num w:numId="30">
    <w:abstractNumId w:val="22"/>
  </w:num>
  <w:num w:numId="31">
    <w:abstractNumId w:val="10"/>
  </w:num>
  <w:num w:numId="32">
    <w:abstractNumId w:val="11"/>
  </w:num>
  <w:num w:numId="33">
    <w:abstractNumId w:val="14"/>
  </w:num>
  <w:num w:numId="34">
    <w:abstractNumId w:val="40"/>
  </w:num>
  <w:num w:numId="35">
    <w:abstractNumId w:val="27"/>
  </w:num>
  <w:num w:numId="36">
    <w:abstractNumId w:val="22"/>
  </w:num>
  <w:num w:numId="37">
    <w:abstractNumId w:val="16"/>
  </w:num>
  <w:num w:numId="38">
    <w:abstractNumId w:val="21"/>
  </w:num>
  <w:num w:numId="39">
    <w:abstractNumId w:val="22"/>
  </w:num>
  <w:num w:numId="40">
    <w:abstractNumId w:val="18"/>
  </w:num>
  <w:num w:numId="41">
    <w:abstractNumId w:val="29"/>
  </w:num>
  <w:num w:numId="42">
    <w:abstractNumId w:val="38"/>
  </w:num>
  <w:num w:numId="43">
    <w:abstractNumId w:val="39"/>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QxMjI2MTIzNrMwNjBU0lEKTi0uzszPAymwqAUAkRsHGywAAAA="/>
  </w:docVars>
  <w:rsids>
    <w:rsidRoot w:val="00375E17"/>
    <w:rsid w:val="00000CC6"/>
    <w:rsid w:val="000102BD"/>
    <w:rsid w:val="000132ED"/>
    <w:rsid w:val="00013B98"/>
    <w:rsid w:val="00013ECA"/>
    <w:rsid w:val="00021204"/>
    <w:rsid w:val="00041523"/>
    <w:rsid w:val="00070043"/>
    <w:rsid w:val="00085F3F"/>
    <w:rsid w:val="00090312"/>
    <w:rsid w:val="0009180D"/>
    <w:rsid w:val="00091FFC"/>
    <w:rsid w:val="00094E90"/>
    <w:rsid w:val="000964C1"/>
    <w:rsid w:val="000A6B88"/>
    <w:rsid w:val="000B1E6E"/>
    <w:rsid w:val="000B4D10"/>
    <w:rsid w:val="000B7310"/>
    <w:rsid w:val="000B7A16"/>
    <w:rsid w:val="000E76EA"/>
    <w:rsid w:val="000F13ED"/>
    <w:rsid w:val="000F2815"/>
    <w:rsid w:val="000F7AAD"/>
    <w:rsid w:val="00114FCC"/>
    <w:rsid w:val="001343B3"/>
    <w:rsid w:val="00134717"/>
    <w:rsid w:val="00136C3E"/>
    <w:rsid w:val="00151B74"/>
    <w:rsid w:val="001522BC"/>
    <w:rsid w:val="00153193"/>
    <w:rsid w:val="00154E1C"/>
    <w:rsid w:val="001556D5"/>
    <w:rsid w:val="00156630"/>
    <w:rsid w:val="00156BDC"/>
    <w:rsid w:val="00162DEC"/>
    <w:rsid w:val="001644EB"/>
    <w:rsid w:val="00166D7C"/>
    <w:rsid w:val="001737E6"/>
    <w:rsid w:val="00177D0E"/>
    <w:rsid w:val="00190F3A"/>
    <w:rsid w:val="00197769"/>
    <w:rsid w:val="001A331F"/>
    <w:rsid w:val="001A39B0"/>
    <w:rsid w:val="001A7A3C"/>
    <w:rsid w:val="001B27D4"/>
    <w:rsid w:val="001B4797"/>
    <w:rsid w:val="001C279D"/>
    <w:rsid w:val="001C3410"/>
    <w:rsid w:val="001C4465"/>
    <w:rsid w:val="001C553E"/>
    <w:rsid w:val="001C7416"/>
    <w:rsid w:val="001D1813"/>
    <w:rsid w:val="001D1E1B"/>
    <w:rsid w:val="001D1E5C"/>
    <w:rsid w:val="001D6809"/>
    <w:rsid w:val="001E18C3"/>
    <w:rsid w:val="001F257F"/>
    <w:rsid w:val="001F42A9"/>
    <w:rsid w:val="001F4DAB"/>
    <w:rsid w:val="0020008C"/>
    <w:rsid w:val="00220A81"/>
    <w:rsid w:val="00221777"/>
    <w:rsid w:val="002339A8"/>
    <w:rsid w:val="00236B4E"/>
    <w:rsid w:val="00237743"/>
    <w:rsid w:val="00237819"/>
    <w:rsid w:val="00240EEC"/>
    <w:rsid w:val="002503D8"/>
    <w:rsid w:val="002525BA"/>
    <w:rsid w:val="00256E91"/>
    <w:rsid w:val="00260C97"/>
    <w:rsid w:val="00264C69"/>
    <w:rsid w:val="00265759"/>
    <w:rsid w:val="00265B5B"/>
    <w:rsid w:val="00270DC4"/>
    <w:rsid w:val="0027504B"/>
    <w:rsid w:val="0027731A"/>
    <w:rsid w:val="00280013"/>
    <w:rsid w:val="00283C8D"/>
    <w:rsid w:val="002970CE"/>
    <w:rsid w:val="002974F7"/>
    <w:rsid w:val="002A2A3A"/>
    <w:rsid w:val="002A4F52"/>
    <w:rsid w:val="002A59B6"/>
    <w:rsid w:val="002A690B"/>
    <w:rsid w:val="002B02AB"/>
    <w:rsid w:val="002B4C3C"/>
    <w:rsid w:val="002B72C0"/>
    <w:rsid w:val="002B7FF9"/>
    <w:rsid w:val="002C0FAD"/>
    <w:rsid w:val="002C44F0"/>
    <w:rsid w:val="002C6F01"/>
    <w:rsid w:val="002D2072"/>
    <w:rsid w:val="002D6A7E"/>
    <w:rsid w:val="002D6F0B"/>
    <w:rsid w:val="002E17D7"/>
    <w:rsid w:val="002E7C8C"/>
    <w:rsid w:val="002F6F57"/>
    <w:rsid w:val="0030001C"/>
    <w:rsid w:val="00301E50"/>
    <w:rsid w:val="003164B2"/>
    <w:rsid w:val="00317618"/>
    <w:rsid w:val="003205D7"/>
    <w:rsid w:val="00322E41"/>
    <w:rsid w:val="00324517"/>
    <w:rsid w:val="003252D5"/>
    <w:rsid w:val="00327360"/>
    <w:rsid w:val="003352E4"/>
    <w:rsid w:val="00336254"/>
    <w:rsid w:val="003370BE"/>
    <w:rsid w:val="00337A5A"/>
    <w:rsid w:val="003414A6"/>
    <w:rsid w:val="00341B5E"/>
    <w:rsid w:val="00341BBC"/>
    <w:rsid w:val="003473D8"/>
    <w:rsid w:val="003512D1"/>
    <w:rsid w:val="00353D61"/>
    <w:rsid w:val="00360587"/>
    <w:rsid w:val="003677D7"/>
    <w:rsid w:val="00375E17"/>
    <w:rsid w:val="00381535"/>
    <w:rsid w:val="0039505C"/>
    <w:rsid w:val="003A13C3"/>
    <w:rsid w:val="003A371D"/>
    <w:rsid w:val="003B7234"/>
    <w:rsid w:val="003C2F31"/>
    <w:rsid w:val="003C3C0A"/>
    <w:rsid w:val="003D1CD6"/>
    <w:rsid w:val="003D37C4"/>
    <w:rsid w:val="003D38B3"/>
    <w:rsid w:val="003D44EA"/>
    <w:rsid w:val="003D5BB9"/>
    <w:rsid w:val="003D5F75"/>
    <w:rsid w:val="003D6D80"/>
    <w:rsid w:val="003D7A26"/>
    <w:rsid w:val="003E45ED"/>
    <w:rsid w:val="003F17CD"/>
    <w:rsid w:val="00401BB1"/>
    <w:rsid w:val="00412B07"/>
    <w:rsid w:val="0041399E"/>
    <w:rsid w:val="00417A99"/>
    <w:rsid w:val="004203E6"/>
    <w:rsid w:val="00424F2F"/>
    <w:rsid w:val="00431521"/>
    <w:rsid w:val="00444BF8"/>
    <w:rsid w:val="00453500"/>
    <w:rsid w:val="00454656"/>
    <w:rsid w:val="00456EA9"/>
    <w:rsid w:val="004572D3"/>
    <w:rsid w:val="004611EA"/>
    <w:rsid w:val="00471AFF"/>
    <w:rsid w:val="004809DC"/>
    <w:rsid w:val="00482ADD"/>
    <w:rsid w:val="00484E66"/>
    <w:rsid w:val="00487298"/>
    <w:rsid w:val="00492BF3"/>
    <w:rsid w:val="00496746"/>
    <w:rsid w:val="00496FA3"/>
    <w:rsid w:val="004A4A8F"/>
    <w:rsid w:val="004A7DD8"/>
    <w:rsid w:val="004B7868"/>
    <w:rsid w:val="004C273C"/>
    <w:rsid w:val="004C3398"/>
    <w:rsid w:val="004D28BB"/>
    <w:rsid w:val="004E2C99"/>
    <w:rsid w:val="004E43CA"/>
    <w:rsid w:val="004E7F17"/>
    <w:rsid w:val="004F03B5"/>
    <w:rsid w:val="004F0DA3"/>
    <w:rsid w:val="00500646"/>
    <w:rsid w:val="00501F0A"/>
    <w:rsid w:val="0050313C"/>
    <w:rsid w:val="00503B28"/>
    <w:rsid w:val="00510301"/>
    <w:rsid w:val="00510641"/>
    <w:rsid w:val="005130E3"/>
    <w:rsid w:val="005132B7"/>
    <w:rsid w:val="00514F75"/>
    <w:rsid w:val="00515B07"/>
    <w:rsid w:val="005179DA"/>
    <w:rsid w:val="00522FEA"/>
    <w:rsid w:val="005249FF"/>
    <w:rsid w:val="00532F70"/>
    <w:rsid w:val="00546D4E"/>
    <w:rsid w:val="00551884"/>
    <w:rsid w:val="005520B6"/>
    <w:rsid w:val="005537A1"/>
    <w:rsid w:val="00553F3B"/>
    <w:rsid w:val="00555A20"/>
    <w:rsid w:val="00560641"/>
    <w:rsid w:val="005742FA"/>
    <w:rsid w:val="00576FA6"/>
    <w:rsid w:val="0058137D"/>
    <w:rsid w:val="00593B27"/>
    <w:rsid w:val="005947C1"/>
    <w:rsid w:val="005958C4"/>
    <w:rsid w:val="005A55CD"/>
    <w:rsid w:val="005B1543"/>
    <w:rsid w:val="005C0EBF"/>
    <w:rsid w:val="005D21EC"/>
    <w:rsid w:val="005E23B8"/>
    <w:rsid w:val="005E3D81"/>
    <w:rsid w:val="005E4264"/>
    <w:rsid w:val="005F0140"/>
    <w:rsid w:val="005F3793"/>
    <w:rsid w:val="005F6B56"/>
    <w:rsid w:val="006018A9"/>
    <w:rsid w:val="0060536E"/>
    <w:rsid w:val="00605CC1"/>
    <w:rsid w:val="00606C98"/>
    <w:rsid w:val="00626071"/>
    <w:rsid w:val="0062734B"/>
    <w:rsid w:val="0063412F"/>
    <w:rsid w:val="00636B3A"/>
    <w:rsid w:val="006429EB"/>
    <w:rsid w:val="0064500F"/>
    <w:rsid w:val="00647AF2"/>
    <w:rsid w:val="006545F3"/>
    <w:rsid w:val="00655EFE"/>
    <w:rsid w:val="00662891"/>
    <w:rsid w:val="006638E3"/>
    <w:rsid w:val="006710B5"/>
    <w:rsid w:val="006716BA"/>
    <w:rsid w:val="0067232B"/>
    <w:rsid w:val="006823C4"/>
    <w:rsid w:val="006A6A74"/>
    <w:rsid w:val="006A79C0"/>
    <w:rsid w:val="006B077A"/>
    <w:rsid w:val="006B2261"/>
    <w:rsid w:val="006B2BF7"/>
    <w:rsid w:val="006B524D"/>
    <w:rsid w:val="006B6835"/>
    <w:rsid w:val="006B6DB0"/>
    <w:rsid w:val="006C0137"/>
    <w:rsid w:val="006C091E"/>
    <w:rsid w:val="006C211D"/>
    <w:rsid w:val="006C727D"/>
    <w:rsid w:val="006C7FD3"/>
    <w:rsid w:val="006E4266"/>
    <w:rsid w:val="006F2CF8"/>
    <w:rsid w:val="006F35D3"/>
    <w:rsid w:val="00705322"/>
    <w:rsid w:val="00706B41"/>
    <w:rsid w:val="00710C9C"/>
    <w:rsid w:val="007232CF"/>
    <w:rsid w:val="00723729"/>
    <w:rsid w:val="00725020"/>
    <w:rsid w:val="00740C73"/>
    <w:rsid w:val="0074459F"/>
    <w:rsid w:val="00745775"/>
    <w:rsid w:val="00754758"/>
    <w:rsid w:val="007565FC"/>
    <w:rsid w:val="00760FE5"/>
    <w:rsid w:val="007705D8"/>
    <w:rsid w:val="00777845"/>
    <w:rsid w:val="00785D51"/>
    <w:rsid w:val="00786CCD"/>
    <w:rsid w:val="007A49DD"/>
    <w:rsid w:val="007A7FF6"/>
    <w:rsid w:val="007B1858"/>
    <w:rsid w:val="007B2530"/>
    <w:rsid w:val="007B43A1"/>
    <w:rsid w:val="007B60B6"/>
    <w:rsid w:val="007C0B52"/>
    <w:rsid w:val="007D52C0"/>
    <w:rsid w:val="007D53AA"/>
    <w:rsid w:val="007D6C85"/>
    <w:rsid w:val="007E1EB9"/>
    <w:rsid w:val="007E3119"/>
    <w:rsid w:val="007F5B28"/>
    <w:rsid w:val="00810A3A"/>
    <w:rsid w:val="00811E77"/>
    <w:rsid w:val="0081749A"/>
    <w:rsid w:val="0082328D"/>
    <w:rsid w:val="00824CB6"/>
    <w:rsid w:val="00834A11"/>
    <w:rsid w:val="00837980"/>
    <w:rsid w:val="008447D0"/>
    <w:rsid w:val="008465DE"/>
    <w:rsid w:val="00872693"/>
    <w:rsid w:val="00872E02"/>
    <w:rsid w:val="00874A64"/>
    <w:rsid w:val="00880F1C"/>
    <w:rsid w:val="00890E3C"/>
    <w:rsid w:val="00894F0E"/>
    <w:rsid w:val="0089685E"/>
    <w:rsid w:val="008B19B9"/>
    <w:rsid w:val="008B2AC6"/>
    <w:rsid w:val="008D055B"/>
    <w:rsid w:val="008D11B1"/>
    <w:rsid w:val="008D39B1"/>
    <w:rsid w:val="008D471E"/>
    <w:rsid w:val="008D6873"/>
    <w:rsid w:val="008F0305"/>
    <w:rsid w:val="008F1FAC"/>
    <w:rsid w:val="00902F3F"/>
    <w:rsid w:val="0090382B"/>
    <w:rsid w:val="0090500D"/>
    <w:rsid w:val="00907847"/>
    <w:rsid w:val="0091587F"/>
    <w:rsid w:val="0092019E"/>
    <w:rsid w:val="00922944"/>
    <w:rsid w:val="00924C58"/>
    <w:rsid w:val="009447AC"/>
    <w:rsid w:val="00955529"/>
    <w:rsid w:val="0095667E"/>
    <w:rsid w:val="0096685E"/>
    <w:rsid w:val="00970914"/>
    <w:rsid w:val="00972608"/>
    <w:rsid w:val="0097542D"/>
    <w:rsid w:val="00977963"/>
    <w:rsid w:val="0098292E"/>
    <w:rsid w:val="00992863"/>
    <w:rsid w:val="00994A9A"/>
    <w:rsid w:val="009958E4"/>
    <w:rsid w:val="009968A7"/>
    <w:rsid w:val="009A35F7"/>
    <w:rsid w:val="009A6333"/>
    <w:rsid w:val="009A77B4"/>
    <w:rsid w:val="009B325E"/>
    <w:rsid w:val="009B5D76"/>
    <w:rsid w:val="009B6327"/>
    <w:rsid w:val="009C0AF2"/>
    <w:rsid w:val="009C457B"/>
    <w:rsid w:val="009C758D"/>
    <w:rsid w:val="009D1410"/>
    <w:rsid w:val="009D5FDB"/>
    <w:rsid w:val="009E2502"/>
    <w:rsid w:val="009E40E2"/>
    <w:rsid w:val="009E76A1"/>
    <w:rsid w:val="009E7ADE"/>
    <w:rsid w:val="009F19CE"/>
    <w:rsid w:val="00A03B36"/>
    <w:rsid w:val="00A06E3F"/>
    <w:rsid w:val="00A12DBC"/>
    <w:rsid w:val="00A14AD6"/>
    <w:rsid w:val="00A3687C"/>
    <w:rsid w:val="00A376B4"/>
    <w:rsid w:val="00A403A6"/>
    <w:rsid w:val="00A463A9"/>
    <w:rsid w:val="00A535CE"/>
    <w:rsid w:val="00A542AD"/>
    <w:rsid w:val="00A54314"/>
    <w:rsid w:val="00A71F2B"/>
    <w:rsid w:val="00A73167"/>
    <w:rsid w:val="00A73DF1"/>
    <w:rsid w:val="00A85342"/>
    <w:rsid w:val="00A91B19"/>
    <w:rsid w:val="00A93F68"/>
    <w:rsid w:val="00A955A5"/>
    <w:rsid w:val="00AA1987"/>
    <w:rsid w:val="00AA336D"/>
    <w:rsid w:val="00AA4BBD"/>
    <w:rsid w:val="00AB24A0"/>
    <w:rsid w:val="00AD6279"/>
    <w:rsid w:val="00AD7DC2"/>
    <w:rsid w:val="00AE16EC"/>
    <w:rsid w:val="00AF025D"/>
    <w:rsid w:val="00AF0CAD"/>
    <w:rsid w:val="00B02041"/>
    <w:rsid w:val="00B110C8"/>
    <w:rsid w:val="00B1679B"/>
    <w:rsid w:val="00B2246E"/>
    <w:rsid w:val="00B335FC"/>
    <w:rsid w:val="00B337E7"/>
    <w:rsid w:val="00B45B06"/>
    <w:rsid w:val="00B476BB"/>
    <w:rsid w:val="00B47966"/>
    <w:rsid w:val="00B506DF"/>
    <w:rsid w:val="00B56228"/>
    <w:rsid w:val="00B6041E"/>
    <w:rsid w:val="00B60EDA"/>
    <w:rsid w:val="00B668B1"/>
    <w:rsid w:val="00B74021"/>
    <w:rsid w:val="00B772AD"/>
    <w:rsid w:val="00B80D12"/>
    <w:rsid w:val="00B83AAD"/>
    <w:rsid w:val="00B95DE4"/>
    <w:rsid w:val="00B97297"/>
    <w:rsid w:val="00B9788F"/>
    <w:rsid w:val="00B97A4B"/>
    <w:rsid w:val="00BA1009"/>
    <w:rsid w:val="00BA749A"/>
    <w:rsid w:val="00BB5C03"/>
    <w:rsid w:val="00BB5CEA"/>
    <w:rsid w:val="00BC0562"/>
    <w:rsid w:val="00BD0490"/>
    <w:rsid w:val="00BD060F"/>
    <w:rsid w:val="00BD0C45"/>
    <w:rsid w:val="00BD18E5"/>
    <w:rsid w:val="00BD3DA6"/>
    <w:rsid w:val="00BD4D8E"/>
    <w:rsid w:val="00BD576E"/>
    <w:rsid w:val="00BE3027"/>
    <w:rsid w:val="00BE39DC"/>
    <w:rsid w:val="00BE4EFB"/>
    <w:rsid w:val="00BE6B4F"/>
    <w:rsid w:val="00C01A05"/>
    <w:rsid w:val="00C01A7D"/>
    <w:rsid w:val="00C1305C"/>
    <w:rsid w:val="00C2526B"/>
    <w:rsid w:val="00C35FDA"/>
    <w:rsid w:val="00C3646F"/>
    <w:rsid w:val="00C44D7A"/>
    <w:rsid w:val="00C461AC"/>
    <w:rsid w:val="00C6456D"/>
    <w:rsid w:val="00C66856"/>
    <w:rsid w:val="00C66F4C"/>
    <w:rsid w:val="00C71A16"/>
    <w:rsid w:val="00C74678"/>
    <w:rsid w:val="00C774C1"/>
    <w:rsid w:val="00C80876"/>
    <w:rsid w:val="00C818EF"/>
    <w:rsid w:val="00C9515B"/>
    <w:rsid w:val="00CA5AF4"/>
    <w:rsid w:val="00CA6713"/>
    <w:rsid w:val="00CA6EB2"/>
    <w:rsid w:val="00CB13EB"/>
    <w:rsid w:val="00CB1571"/>
    <w:rsid w:val="00CB66EE"/>
    <w:rsid w:val="00CC1ACB"/>
    <w:rsid w:val="00CC51A4"/>
    <w:rsid w:val="00CC5322"/>
    <w:rsid w:val="00CD23AC"/>
    <w:rsid w:val="00CE2C00"/>
    <w:rsid w:val="00CF0FAA"/>
    <w:rsid w:val="00CF6970"/>
    <w:rsid w:val="00D049D6"/>
    <w:rsid w:val="00D06B89"/>
    <w:rsid w:val="00D105DE"/>
    <w:rsid w:val="00D176B0"/>
    <w:rsid w:val="00D214F6"/>
    <w:rsid w:val="00D22CE6"/>
    <w:rsid w:val="00D25A4D"/>
    <w:rsid w:val="00D26212"/>
    <w:rsid w:val="00D33297"/>
    <w:rsid w:val="00D34427"/>
    <w:rsid w:val="00D35029"/>
    <w:rsid w:val="00D40C7B"/>
    <w:rsid w:val="00D41197"/>
    <w:rsid w:val="00D42526"/>
    <w:rsid w:val="00D4436D"/>
    <w:rsid w:val="00D44600"/>
    <w:rsid w:val="00D47D57"/>
    <w:rsid w:val="00D5117A"/>
    <w:rsid w:val="00D609CC"/>
    <w:rsid w:val="00D60B15"/>
    <w:rsid w:val="00D62070"/>
    <w:rsid w:val="00D6292B"/>
    <w:rsid w:val="00D66802"/>
    <w:rsid w:val="00D754BE"/>
    <w:rsid w:val="00D77C98"/>
    <w:rsid w:val="00D82117"/>
    <w:rsid w:val="00D8432A"/>
    <w:rsid w:val="00D865DC"/>
    <w:rsid w:val="00D96E94"/>
    <w:rsid w:val="00DA0827"/>
    <w:rsid w:val="00DA57F2"/>
    <w:rsid w:val="00DB705D"/>
    <w:rsid w:val="00DB790E"/>
    <w:rsid w:val="00DB7D8E"/>
    <w:rsid w:val="00DC2892"/>
    <w:rsid w:val="00DC6E8F"/>
    <w:rsid w:val="00DD1881"/>
    <w:rsid w:val="00DD3238"/>
    <w:rsid w:val="00DF143F"/>
    <w:rsid w:val="00DF531F"/>
    <w:rsid w:val="00DF570E"/>
    <w:rsid w:val="00E10A48"/>
    <w:rsid w:val="00E16D9C"/>
    <w:rsid w:val="00E17B15"/>
    <w:rsid w:val="00E33E8B"/>
    <w:rsid w:val="00E40DD1"/>
    <w:rsid w:val="00E43BBA"/>
    <w:rsid w:val="00E45B50"/>
    <w:rsid w:val="00E46214"/>
    <w:rsid w:val="00E51EE5"/>
    <w:rsid w:val="00E52FBC"/>
    <w:rsid w:val="00E5302E"/>
    <w:rsid w:val="00E60C29"/>
    <w:rsid w:val="00E62830"/>
    <w:rsid w:val="00E66F2E"/>
    <w:rsid w:val="00E82AE0"/>
    <w:rsid w:val="00E83611"/>
    <w:rsid w:val="00E857C1"/>
    <w:rsid w:val="00E91D90"/>
    <w:rsid w:val="00E92565"/>
    <w:rsid w:val="00E943B8"/>
    <w:rsid w:val="00E956EC"/>
    <w:rsid w:val="00EB19C7"/>
    <w:rsid w:val="00EB4FA9"/>
    <w:rsid w:val="00EB6DEE"/>
    <w:rsid w:val="00EC0464"/>
    <w:rsid w:val="00EC175A"/>
    <w:rsid w:val="00EC2F6F"/>
    <w:rsid w:val="00EC5FD7"/>
    <w:rsid w:val="00EC7AB2"/>
    <w:rsid w:val="00ED3A16"/>
    <w:rsid w:val="00EE1BB4"/>
    <w:rsid w:val="00EE1DA8"/>
    <w:rsid w:val="00EF4F5D"/>
    <w:rsid w:val="00EF548E"/>
    <w:rsid w:val="00EF5F6B"/>
    <w:rsid w:val="00F04078"/>
    <w:rsid w:val="00F11539"/>
    <w:rsid w:val="00F17EFC"/>
    <w:rsid w:val="00F22F70"/>
    <w:rsid w:val="00F24904"/>
    <w:rsid w:val="00F2515A"/>
    <w:rsid w:val="00F306AB"/>
    <w:rsid w:val="00F35B9F"/>
    <w:rsid w:val="00F37858"/>
    <w:rsid w:val="00F411F6"/>
    <w:rsid w:val="00F46504"/>
    <w:rsid w:val="00F5242F"/>
    <w:rsid w:val="00F65756"/>
    <w:rsid w:val="00F72C6E"/>
    <w:rsid w:val="00F74492"/>
    <w:rsid w:val="00F81132"/>
    <w:rsid w:val="00F81C17"/>
    <w:rsid w:val="00F86CAF"/>
    <w:rsid w:val="00F90D40"/>
    <w:rsid w:val="00F95961"/>
    <w:rsid w:val="00F97150"/>
    <w:rsid w:val="00F97A0F"/>
    <w:rsid w:val="00F97BBF"/>
    <w:rsid w:val="00F97E6C"/>
    <w:rsid w:val="00FA27C0"/>
    <w:rsid w:val="00FA5210"/>
    <w:rsid w:val="00FA5D20"/>
    <w:rsid w:val="00FB2A67"/>
    <w:rsid w:val="00FB32F9"/>
    <w:rsid w:val="00FB779D"/>
    <w:rsid w:val="00FC3490"/>
    <w:rsid w:val="00FC5BC5"/>
    <w:rsid w:val="00FC64D5"/>
    <w:rsid w:val="00FD75AE"/>
    <w:rsid w:val="00FE233D"/>
    <w:rsid w:val="00FF388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218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97"/>
    <w:lsdException w:name="toc 2" w:uiPriority="97"/>
    <w:lsdException w:name="toc 3" w:uiPriority="97"/>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9"/>
    <w:lsdException w:name="annotation text" w:uiPriority="99"/>
    <w:lsdException w:name="header" w:uiPriority="9"/>
    <w:lsdException w:name="footer" w:uiPriority="9"/>
    <w:lsdException w:name="index heading" w:uiPriority="97"/>
    <w:lsdException w:name="caption" w:uiPriority="10" w:qFormat="1"/>
    <w:lsdException w:name="table of figures" w:uiPriority="97"/>
    <w:lsdException w:name="envelope address" w:uiPriority="97"/>
    <w:lsdException w:name="envelope return" w:uiPriority="97"/>
    <w:lsdException w:name="footnote reference" w:uiPriority="99"/>
    <w:lsdException w:name="annotation reference" w:uiPriority="99"/>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qFormat="1"/>
    <w:lsdException w:name="List Number" w:semiHidden="0" w:uiPriority="3" w:unhideWhenUsed="0" w:qFormat="1"/>
    <w:lsdException w:name="List 2" w:uiPriority="4"/>
    <w:lsdException w:name="List 3" w:uiPriority="4"/>
    <w:lsdException w:name="List 4" w:semiHidden="0" w:uiPriority="4" w:unhideWhenUsed="0"/>
    <w:lsdException w:name="List 5" w:semiHidden="0" w:uiPriority="4" w:unhideWhenUsed="0"/>
    <w:lsdException w:name="List Bullet 2" w:uiPriority="2" w:qFormat="1"/>
    <w:lsdException w:name="List Bullet 3" w:uiPriority="2" w:qFormat="1"/>
    <w:lsdException w:name="List Bullet 4" w:uiPriority="2"/>
    <w:lsdException w:name="List Bullet 5" w:uiPriority="2"/>
    <w:lsdException w:name="List Number 2" w:uiPriority="3" w:qFormat="1"/>
    <w:lsdException w:name="List Number 3" w:uiPriority="3" w:qFormat="1"/>
    <w:lsdException w:name="List Number 4" w:uiPriority="3"/>
    <w:lsdException w:name="List Number 5" w:uiPriority="3"/>
    <w:lsdException w:name="Title" w:semiHidden="0" w:uiPriority="97" w:unhideWhenUsed="0"/>
    <w:lsdException w:name="Closing" w:uiPriority="97"/>
    <w:lsdException w:name="Signature" w:uiPriority="97"/>
    <w:lsdException w:name="Default Paragraph Font" w:uiPriority="97"/>
    <w:lsdException w:name="Body Text" w:uiPriority="97"/>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semiHidden="0" w:uiPriority="97" w:unhideWhenUsed="0"/>
    <w:lsdException w:name="Date" w:semiHidden="0" w:uiPriority="97" w:unhideWhenUsed="0"/>
    <w:lsdException w:name="Body Text First Indent" w:semiHidden="0" w:uiPriority="97" w:unhideWhenUsed="0"/>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uiPriority="97"/>
    <w:lsdException w:name="Block Text" w:uiPriority="97"/>
    <w:lsdException w:name="Hyperlink" w:uiPriority="99"/>
    <w:lsdException w:name="FollowedHyperlink" w:uiPriority="97"/>
    <w:lsdException w:name="Strong" w:semiHidden="0" w:uiPriority="97" w:unhideWhenUsed="0"/>
    <w:lsdException w:name="Emphasis" w:semiHidden="0" w:uiPriority="20" w:unhideWhenUsed="0" w:qFormat="1"/>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99"/>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97" w:unhideWhenUsed="0"/>
    <w:lsdException w:name="No Spacing" w:semiHidden="0" w:uiPriority="97"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97" w:qFormat="1"/>
  </w:latentStyles>
  <w:style w:type="paragraph" w:default="1" w:styleId="Normal">
    <w:name w:val="Normal"/>
    <w:qFormat/>
    <w:rsid w:val="0095667E"/>
    <w:rPr>
      <w:rFonts w:eastAsia="Times New Roman"/>
      <w:sz w:val="24"/>
      <w:szCs w:val="24"/>
      <w:lang w:val="en-US" w:eastAsia="en-US"/>
    </w:rPr>
  </w:style>
  <w:style w:type="paragraph" w:styleId="Heading1">
    <w:name w:val="heading 1"/>
    <w:basedOn w:val="Normal"/>
    <w:next w:val="Normal"/>
    <w:link w:val="Heading1Char"/>
    <w:uiPriority w:val="1"/>
    <w:qFormat/>
    <w:rsid w:val="00F37858"/>
    <w:pPr>
      <w:keepNext/>
      <w:spacing w:after="270" w:line="440" w:lineRule="atLeast"/>
      <w:contextualSpacing/>
      <w:outlineLvl w:val="0"/>
    </w:pPr>
    <w:rPr>
      <w:rFonts w:asciiTheme="majorHAnsi" w:hAnsiTheme="majorHAnsi" w:cstheme="majorHAnsi"/>
      <w:b/>
      <w:bCs/>
      <w:caps/>
      <w:color w:val="A1C4BC" w:themeColor="accent4"/>
      <w:sz w:val="40"/>
      <w:szCs w:val="32"/>
    </w:rPr>
  </w:style>
  <w:style w:type="paragraph" w:styleId="Heading2">
    <w:name w:val="heading 2"/>
    <w:basedOn w:val="Normal"/>
    <w:next w:val="Normal"/>
    <w:link w:val="Heading2Char"/>
    <w:uiPriority w:val="1"/>
    <w:qFormat/>
    <w:rsid w:val="00F37858"/>
    <w:pPr>
      <w:keepNext/>
      <w:spacing w:before="113" w:line="360" w:lineRule="atLeast"/>
      <w:contextualSpacing/>
      <w:outlineLvl w:val="1"/>
    </w:pPr>
    <w:rPr>
      <w:rFonts w:asciiTheme="majorHAnsi" w:hAnsiTheme="majorHAnsi" w:cstheme="majorHAnsi"/>
      <w:b/>
      <w:bCs/>
      <w:iCs/>
      <w:color w:val="F47920" w:themeColor="accent1"/>
      <w:sz w:val="32"/>
      <w:szCs w:val="28"/>
    </w:rPr>
  </w:style>
  <w:style w:type="paragraph" w:styleId="Heading3">
    <w:name w:val="heading 3"/>
    <w:basedOn w:val="Normal"/>
    <w:next w:val="Normal"/>
    <w:link w:val="Heading3Char"/>
    <w:uiPriority w:val="1"/>
    <w:qFormat/>
    <w:rsid w:val="00F37858"/>
    <w:pPr>
      <w:keepNext/>
      <w:spacing w:before="250"/>
      <w:contextualSpacing/>
      <w:outlineLvl w:val="2"/>
    </w:pPr>
    <w:rPr>
      <w:rFonts w:asciiTheme="majorHAnsi" w:hAnsiTheme="majorHAnsi" w:cstheme="majorHAnsi"/>
      <w:b/>
      <w:bCs/>
      <w:color w:val="F47920" w:themeColor="background2"/>
      <w:szCs w:val="26"/>
    </w:rPr>
  </w:style>
  <w:style w:type="paragraph" w:styleId="Heading4">
    <w:name w:val="heading 4"/>
    <w:basedOn w:val="Normal"/>
    <w:next w:val="Normal"/>
    <w:link w:val="Heading4Char"/>
    <w:uiPriority w:val="1"/>
    <w:qFormat/>
    <w:rsid w:val="00F37858"/>
    <w:pPr>
      <w:keepNext/>
      <w:contextualSpacing/>
      <w:outlineLvl w:val="3"/>
    </w:pPr>
    <w:rPr>
      <w:rFonts w:asciiTheme="majorHAnsi" w:hAnsiTheme="majorHAnsi" w:cstheme="majorHAnsi"/>
      <w:b/>
      <w:bCs/>
      <w:szCs w:val="28"/>
    </w:rPr>
  </w:style>
  <w:style w:type="paragraph" w:styleId="Heading5">
    <w:name w:val="heading 5"/>
    <w:basedOn w:val="Normal"/>
    <w:next w:val="Normal"/>
    <w:link w:val="Heading5Char"/>
    <w:uiPriority w:val="1"/>
    <w:semiHidden/>
    <w:qFormat/>
    <w:rsid w:val="00706B41"/>
    <w:pPr>
      <w:keepNext/>
      <w:keepLines/>
      <w:spacing w:before="20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line="220" w:lineRule="atLeast"/>
    </w:pPr>
    <w:rPr>
      <w:spacing w:val="-3"/>
      <w:sz w:val="22"/>
      <w:szCs w:val="19"/>
      <w:lang w:eastAsia="en-AU"/>
    </w:rPr>
  </w:style>
  <w:style w:type="paragraph" w:customStyle="1" w:styleId="TableBullet">
    <w:name w:val="Table Bullet"/>
    <w:basedOn w:val="Normal"/>
    <w:uiPriority w:val="9"/>
    <w:rsid w:val="005249FF"/>
    <w:pPr>
      <w:numPr>
        <w:numId w:val="4"/>
      </w:numPr>
      <w:ind w:left="227" w:hanging="227"/>
    </w:pPr>
    <w:rPr>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uiPriority w:val="9"/>
    <w:semiHidden/>
    <w:rsid w:val="00745775"/>
    <w:pPr>
      <w:tabs>
        <w:tab w:val="center" w:pos="4153"/>
        <w:tab w:val="right" w:pos="8306"/>
      </w:tabs>
      <w:spacing w:line="216" w:lineRule="atLeast"/>
    </w:pPr>
    <w:rPr>
      <w:caps/>
      <w:color w:val="FFFFFF"/>
      <w:sz w:val="18"/>
    </w:rPr>
  </w:style>
  <w:style w:type="paragraph" w:styleId="Header">
    <w:name w:val="header"/>
    <w:basedOn w:val="Normal"/>
    <w:uiPriority w:val="9"/>
    <w:semiHidden/>
    <w:rsid w:val="00706B41"/>
    <w:pPr>
      <w:tabs>
        <w:tab w:val="center" w:pos="4153"/>
        <w:tab w:val="right" w:pos="8306"/>
      </w:tabs>
    </w:pPr>
    <w:rPr>
      <w:sz w:val="14"/>
    </w:rPr>
  </w:style>
  <w:style w:type="table" w:styleId="TableGrid">
    <w:name w:val="Table Grid"/>
    <w:aliases w:val="Layout Grid"/>
    <w:basedOn w:val="TableNormal"/>
    <w:uiPriority w:val="98"/>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11"/>
    <w:semiHidden/>
    <w:rsid w:val="00706B41"/>
    <w:pPr>
      <w:tabs>
        <w:tab w:val="right" w:pos="9979"/>
      </w:tabs>
      <w:spacing w:before="140" w:after="60"/>
    </w:pPr>
    <w:rPr>
      <w:b/>
      <w:color w:val="808080"/>
      <w:sz w:val="22"/>
    </w:rPr>
  </w:style>
  <w:style w:type="paragraph" w:styleId="TOC2">
    <w:name w:val="toc 2"/>
    <w:basedOn w:val="Normal"/>
    <w:next w:val="Normal"/>
    <w:uiPriority w:val="11"/>
    <w:semiHidden/>
    <w:rsid w:val="00706B41"/>
    <w:pPr>
      <w:tabs>
        <w:tab w:val="right" w:pos="9979"/>
      </w:tabs>
      <w:spacing w:before="140" w:after="60"/>
      <w:ind w:left="454"/>
    </w:pPr>
    <w:rPr>
      <w:color w:val="808080"/>
      <w:sz w:val="22"/>
      <w:szCs w:val="22"/>
    </w:rPr>
  </w:style>
  <w:style w:type="paragraph" w:customStyle="1" w:styleId="CoverDate">
    <w:name w:val="Cover Date"/>
    <w:basedOn w:val="Normal"/>
    <w:uiPriority w:val="10"/>
    <w:rsid w:val="00DF570E"/>
    <w:rPr>
      <w:color w:val="1B3281" w:themeColor="accent3"/>
      <w:spacing w:val="-3"/>
      <w:lang w:eastAsia="en-AU"/>
    </w:rPr>
  </w:style>
  <w:style w:type="paragraph" w:customStyle="1" w:styleId="CoverDetails">
    <w:name w:val="Cover Details"/>
    <w:basedOn w:val="Normal"/>
    <w:uiPriority w:val="10"/>
    <w:rsid w:val="00E45B50"/>
    <w:pPr>
      <w:spacing w:before="120"/>
    </w:pPr>
    <w:rPr>
      <w:color w:val="1B3281" w:themeColor="accent3"/>
      <w:spacing w:val="-3"/>
      <w:szCs w:val="28"/>
      <w:lang w:eastAsia="en-AU"/>
    </w:rPr>
  </w:style>
  <w:style w:type="paragraph" w:customStyle="1" w:styleId="CoverHeading">
    <w:name w:val="Cover Heading"/>
    <w:basedOn w:val="Normal"/>
    <w:next w:val="Normal"/>
    <w:uiPriority w:val="10"/>
    <w:rsid w:val="00DC2892"/>
    <w:pPr>
      <w:spacing w:line="228" w:lineRule="auto"/>
    </w:pPr>
    <w:rPr>
      <w:rFonts w:asciiTheme="majorHAnsi" w:hAnsiTheme="majorHAnsi" w:cstheme="majorHAnsi"/>
      <w:b/>
      <w:bCs/>
      <w:caps/>
      <w:color w:val="FFFFFF"/>
      <w:spacing w:val="-3"/>
      <w:sz w:val="76"/>
      <w:szCs w:val="38"/>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spacing w:val="-3"/>
      <w:sz w:val="18"/>
      <w:szCs w:val="19"/>
      <w:lang w:eastAsia="en-AU"/>
    </w:rPr>
  </w:style>
  <w:style w:type="paragraph" w:styleId="FootnoteText">
    <w:name w:val="footnote text"/>
    <w:basedOn w:val="Normal"/>
    <w:link w:val="FootnoteTextChar"/>
    <w:uiPriority w:val="99"/>
    <w:rsid w:val="00706B41"/>
    <w:pPr>
      <w:tabs>
        <w:tab w:val="left" w:pos="320"/>
      </w:tabs>
      <w:spacing w:before="85" w:after="6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99"/>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numPr>
        <w:numId w:val="20"/>
      </w:numPr>
    </w:pPr>
  </w:style>
  <w:style w:type="numbering" w:styleId="111111">
    <w:name w:val="Outline List 2"/>
    <w:basedOn w:val="NoList"/>
    <w:uiPriority w:val="97"/>
    <w:semiHidden/>
    <w:rsid w:val="00706B41"/>
    <w:pPr>
      <w:numPr>
        <w:numId w:val="7"/>
      </w:numPr>
    </w:pPr>
  </w:style>
  <w:style w:type="numbering" w:styleId="1ai">
    <w:name w:val="Outline List 1"/>
    <w:basedOn w:val="NoList"/>
    <w:uiPriority w:val="97"/>
    <w:semiHidden/>
    <w:rsid w:val="00706B41"/>
    <w:pPr>
      <w:numPr>
        <w:numId w:val="8"/>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9"/>
      </w:numPr>
    </w:pPr>
  </w:style>
  <w:style w:type="paragraph" w:styleId="BalloonText">
    <w:name w:val="Balloon Text"/>
    <w:basedOn w:val="Normal"/>
    <w:link w:val="BalloonTextChar"/>
    <w:uiPriority w:val="97"/>
    <w:semiHidden/>
    <w:rsid w:val="00706B41"/>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706B41"/>
    <w:rPr>
      <w:rFonts w:asciiTheme="minorHAnsi" w:hAnsiTheme="minorHAnsi" w:cstheme="minorHAnsi"/>
      <w:sz w:val="16"/>
      <w:szCs w:val="16"/>
    </w:rPr>
  </w:style>
  <w:style w:type="paragraph" w:styleId="CommentText">
    <w:name w:val="annotation text"/>
    <w:basedOn w:val="Normal"/>
    <w:link w:val="CommentTextChar"/>
    <w:uiPriority w:val="99"/>
    <w:semiHidden/>
    <w:rsid w:val="00706B41"/>
    <w:rPr>
      <w:szCs w:val="20"/>
    </w:rPr>
  </w:style>
  <w:style w:type="character" w:customStyle="1" w:styleId="CommentTextChar">
    <w:name w:val="Comment Text Char"/>
    <w:basedOn w:val="DefaultParagraphFont"/>
    <w:link w:val="CommentText"/>
    <w:uiPriority w:val="99"/>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20"/>
    <w:qFormat/>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ind w:left="2880"/>
    </w:pPr>
    <w:rPr>
      <w:rFonts w:eastAsiaTheme="majorEastAsia"/>
    </w:rPr>
  </w:style>
  <w:style w:type="paragraph" w:styleId="EnvelopeReturn">
    <w:name w:val="envelope return"/>
    <w:basedOn w:val="Normal"/>
    <w:uiPriority w:val="97"/>
    <w:semiHidden/>
    <w:rsid w:val="00706B41"/>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9"/>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semiHidden/>
    <w:rsid w:val="00706B41"/>
    <w:rPr>
      <w:rFonts w:asciiTheme="minorHAnsi" w:hAnsiTheme="minorHAnsi" w:cstheme="minorHAnsi"/>
      <w:color w:val="F47920" w:themeColor="hyperlink"/>
      <w:u w:val="single"/>
    </w:rPr>
  </w:style>
  <w:style w:type="paragraph" w:styleId="Index1">
    <w:name w:val="index 1"/>
    <w:basedOn w:val="Normal"/>
    <w:next w:val="Normal"/>
    <w:autoRedefine/>
    <w:uiPriority w:val="97"/>
    <w:semiHidden/>
    <w:rsid w:val="00706B41"/>
    <w:pPr>
      <w:ind w:left="200" w:hanging="200"/>
    </w:pPr>
  </w:style>
  <w:style w:type="paragraph" w:styleId="Index2">
    <w:name w:val="index 2"/>
    <w:basedOn w:val="Normal"/>
    <w:next w:val="Normal"/>
    <w:autoRedefine/>
    <w:uiPriority w:val="97"/>
    <w:semiHidden/>
    <w:rsid w:val="00706B41"/>
    <w:pPr>
      <w:ind w:left="400" w:hanging="200"/>
    </w:pPr>
  </w:style>
  <w:style w:type="paragraph" w:styleId="Index3">
    <w:name w:val="index 3"/>
    <w:basedOn w:val="Normal"/>
    <w:next w:val="Normal"/>
    <w:autoRedefine/>
    <w:uiPriority w:val="97"/>
    <w:semiHidden/>
    <w:rsid w:val="00706B41"/>
    <w:pPr>
      <w:ind w:left="600" w:hanging="200"/>
    </w:pPr>
  </w:style>
  <w:style w:type="paragraph" w:styleId="Index4">
    <w:name w:val="index 4"/>
    <w:basedOn w:val="Normal"/>
    <w:next w:val="Normal"/>
    <w:autoRedefine/>
    <w:uiPriority w:val="97"/>
    <w:semiHidden/>
    <w:rsid w:val="00706B41"/>
    <w:pPr>
      <w:ind w:left="800" w:hanging="200"/>
    </w:pPr>
  </w:style>
  <w:style w:type="paragraph" w:styleId="Index5">
    <w:name w:val="index 5"/>
    <w:basedOn w:val="Normal"/>
    <w:next w:val="Normal"/>
    <w:autoRedefine/>
    <w:uiPriority w:val="97"/>
    <w:semiHidden/>
    <w:rsid w:val="00706B41"/>
    <w:pPr>
      <w:ind w:left="1000" w:hanging="200"/>
    </w:pPr>
  </w:style>
  <w:style w:type="paragraph" w:styleId="Index6">
    <w:name w:val="index 6"/>
    <w:basedOn w:val="Normal"/>
    <w:next w:val="Normal"/>
    <w:autoRedefine/>
    <w:uiPriority w:val="97"/>
    <w:semiHidden/>
    <w:rsid w:val="00706B41"/>
    <w:pPr>
      <w:ind w:left="1200" w:hanging="200"/>
    </w:pPr>
  </w:style>
  <w:style w:type="paragraph" w:styleId="Index7">
    <w:name w:val="index 7"/>
    <w:basedOn w:val="Normal"/>
    <w:next w:val="Normal"/>
    <w:autoRedefine/>
    <w:uiPriority w:val="97"/>
    <w:semiHidden/>
    <w:rsid w:val="00706B41"/>
    <w:pPr>
      <w:ind w:left="1400" w:hanging="200"/>
    </w:pPr>
  </w:style>
  <w:style w:type="paragraph" w:styleId="Index8">
    <w:name w:val="index 8"/>
    <w:basedOn w:val="Normal"/>
    <w:next w:val="Normal"/>
    <w:autoRedefine/>
    <w:uiPriority w:val="97"/>
    <w:semiHidden/>
    <w:rsid w:val="00706B41"/>
    <w:pPr>
      <w:ind w:left="1600" w:hanging="200"/>
    </w:pPr>
  </w:style>
  <w:style w:type="paragraph" w:styleId="Index9">
    <w:name w:val="index 9"/>
    <w:basedOn w:val="Normal"/>
    <w:next w:val="Normal"/>
    <w:autoRedefine/>
    <w:uiPriority w:val="97"/>
    <w:semiHidden/>
    <w:rsid w:val="00706B41"/>
    <w:pPr>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10"/>
      </w:numPr>
      <w:contextualSpacing/>
    </w:pPr>
  </w:style>
  <w:style w:type="paragraph" w:styleId="ListBullet5">
    <w:name w:val="List Bullet 5"/>
    <w:basedOn w:val="Normal"/>
    <w:uiPriority w:val="2"/>
    <w:semiHidden/>
    <w:rsid w:val="00706B41"/>
    <w:pPr>
      <w:numPr>
        <w:numId w:val="11"/>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numPr>
        <w:ilvl w:val="1"/>
        <w:numId w:val="20"/>
      </w:numPr>
    </w:pPr>
  </w:style>
  <w:style w:type="paragraph" w:styleId="ListNumber3">
    <w:name w:val="List Number 3"/>
    <w:basedOn w:val="Normal"/>
    <w:uiPriority w:val="3"/>
    <w:qFormat/>
    <w:rsid w:val="00336254"/>
    <w:pPr>
      <w:numPr>
        <w:ilvl w:val="2"/>
        <w:numId w:val="20"/>
      </w:numPr>
    </w:pPr>
  </w:style>
  <w:style w:type="paragraph" w:styleId="ListNumber4">
    <w:name w:val="List Number 4"/>
    <w:basedOn w:val="Normal"/>
    <w:uiPriority w:val="3"/>
    <w:semiHidden/>
    <w:rsid w:val="00706B41"/>
    <w:pPr>
      <w:numPr>
        <w:numId w:val="14"/>
      </w:numPr>
      <w:contextualSpacing/>
    </w:pPr>
  </w:style>
  <w:style w:type="paragraph" w:styleId="ListNumber5">
    <w:name w:val="List Number 5"/>
    <w:basedOn w:val="Normal"/>
    <w:uiPriority w:val="3"/>
    <w:semiHidden/>
    <w:rsid w:val="00706B41"/>
    <w:pPr>
      <w:numPr>
        <w:numId w:val="15"/>
      </w:numPr>
      <w:contextualSpacing/>
    </w:p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9"/>
    <w:rsid w:val="00706B41"/>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ind w:left="200" w:hanging="200"/>
    </w:pPr>
  </w:style>
  <w:style w:type="paragraph" w:styleId="TableofFigures">
    <w:name w:val="table of figures"/>
    <w:basedOn w:val="Normal"/>
    <w:next w:val="Normal"/>
    <w:uiPriority w:val="97"/>
    <w:semiHidden/>
    <w:rsid w:val="00706B41"/>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6"/>
      </w:numPr>
    </w:pPr>
  </w:style>
  <w:style w:type="character" w:customStyle="1" w:styleId="Heading1Char">
    <w:name w:val="Heading 1 Char"/>
    <w:basedOn w:val="DefaultParagraphFont"/>
    <w:link w:val="Heading1"/>
    <w:uiPriority w:val="1"/>
    <w:rsid w:val="003C3C0A"/>
    <w:rPr>
      <w:rFonts w:asciiTheme="majorHAnsi" w:hAnsiTheme="majorHAnsi" w:cstheme="majorHAnsi"/>
      <w:b/>
      <w:bCs/>
      <w:caps/>
      <w:color w:val="A1C4BC" w:themeColor="accent4"/>
      <w:sz w:val="40"/>
      <w:szCs w:val="32"/>
      <w:lang w:val="en-AU" w:eastAsia="ja-JP"/>
    </w:rPr>
  </w:style>
  <w:style w:type="character" w:customStyle="1" w:styleId="Heading2Char">
    <w:name w:val="Heading 2 Char"/>
    <w:basedOn w:val="DefaultParagraphFont"/>
    <w:link w:val="Heading2"/>
    <w:uiPriority w:val="1"/>
    <w:rsid w:val="003C3C0A"/>
    <w:rPr>
      <w:rFonts w:asciiTheme="majorHAnsi" w:hAnsiTheme="majorHAnsi" w:cstheme="majorHAnsi"/>
      <w:b/>
      <w:bCs/>
      <w:iCs/>
      <w:color w:val="F47920" w:themeColor="accent1"/>
      <w:sz w:val="32"/>
      <w:szCs w:val="28"/>
      <w:lang w:val="en-AU" w:eastAsia="ja-JP"/>
    </w:rPr>
  </w:style>
  <w:style w:type="character" w:customStyle="1" w:styleId="Heading3Char">
    <w:name w:val="Heading 3 Char"/>
    <w:basedOn w:val="DefaultParagraphFont"/>
    <w:link w:val="Heading3"/>
    <w:uiPriority w:val="1"/>
    <w:rsid w:val="003C3C0A"/>
    <w:rPr>
      <w:rFonts w:asciiTheme="majorHAnsi" w:hAnsiTheme="majorHAnsi" w:cstheme="majorHAnsi"/>
      <w:b/>
      <w:bCs/>
      <w:color w:val="F47920" w:themeColor="background2"/>
      <w:sz w:val="24"/>
      <w:szCs w:val="26"/>
      <w:lang w:val="en-AU" w:eastAsia="ja-JP"/>
    </w:rPr>
  </w:style>
  <w:style w:type="character" w:customStyle="1" w:styleId="Heading4Char">
    <w:name w:val="Heading 4 Char"/>
    <w:basedOn w:val="DefaultParagraphFont"/>
    <w:link w:val="Heading4"/>
    <w:uiPriority w:val="1"/>
    <w:rsid w:val="003C3C0A"/>
    <w:rPr>
      <w:rFonts w:asciiTheme="majorHAnsi" w:hAnsiTheme="majorHAnsi" w:cstheme="majorHAnsi"/>
      <w:b/>
      <w:bCs/>
      <w:color w:val="231F20" w:themeColor="text2"/>
      <w:szCs w:val="28"/>
      <w:lang w:val="en-AU" w:eastAsia="ja-JP"/>
    </w:rPr>
  </w:style>
  <w:style w:type="character" w:customStyle="1" w:styleId="apple-converted-space">
    <w:name w:val="apple-converted-space"/>
    <w:basedOn w:val="DefaultParagraphFont"/>
    <w:rsid w:val="003370BE"/>
  </w:style>
  <w:style w:type="table" w:customStyle="1" w:styleId="GridTable1LightAccent2">
    <w:name w:val="Grid Table 1 Light Accent 2"/>
    <w:basedOn w:val="TableNormal"/>
    <w:uiPriority w:val="46"/>
    <w:rsid w:val="003D37C4"/>
    <w:tblPr>
      <w:tblStyleRowBandSize w:val="1"/>
      <w:tblStyleColBandSize w:val="1"/>
      <w:tblBorders>
        <w:top w:val="single" w:sz="4" w:space="0" w:color="F9BDB0" w:themeColor="accent2" w:themeTint="66"/>
        <w:left w:val="single" w:sz="4" w:space="0" w:color="F9BDB0" w:themeColor="accent2" w:themeTint="66"/>
        <w:bottom w:val="single" w:sz="4" w:space="0" w:color="F9BDB0" w:themeColor="accent2" w:themeTint="66"/>
        <w:right w:val="single" w:sz="4" w:space="0" w:color="F9BDB0" w:themeColor="accent2" w:themeTint="66"/>
        <w:insideH w:val="single" w:sz="4" w:space="0" w:color="F9BDB0" w:themeColor="accent2" w:themeTint="66"/>
        <w:insideV w:val="single" w:sz="4" w:space="0" w:color="F9BDB0" w:themeColor="accent2" w:themeTint="66"/>
      </w:tblBorders>
    </w:tblPr>
    <w:tblStylePr w:type="firstRow">
      <w:rPr>
        <w:b/>
        <w:bCs/>
      </w:rPr>
      <w:tblPr/>
      <w:tcPr>
        <w:tcBorders>
          <w:bottom w:val="single" w:sz="12" w:space="0" w:color="F69C89" w:themeColor="accent2" w:themeTint="99"/>
        </w:tcBorders>
      </w:tcPr>
    </w:tblStylePr>
    <w:tblStylePr w:type="lastRow">
      <w:rPr>
        <w:b/>
        <w:bCs/>
      </w:rPr>
      <w:tblPr/>
      <w:tcPr>
        <w:tcBorders>
          <w:top w:val="double" w:sz="2" w:space="0" w:color="F69C89" w:themeColor="accent2"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locked/>
    <w:rsid w:val="0095667E"/>
    <w:rPr>
      <w:rFonts w:asciiTheme="minorHAnsi" w:hAnsiTheme="minorHAnsi" w:cstheme="minorHAnsi"/>
      <w:color w:val="231F20" w:themeColor="text2"/>
      <w:szCs w:val="24"/>
      <w:lang w:val="en-AU"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97"/>
    <w:lsdException w:name="toc 2" w:uiPriority="97"/>
    <w:lsdException w:name="toc 3" w:uiPriority="97"/>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9"/>
    <w:lsdException w:name="annotation text" w:uiPriority="99"/>
    <w:lsdException w:name="header" w:uiPriority="9"/>
    <w:lsdException w:name="footer" w:uiPriority="9"/>
    <w:lsdException w:name="index heading" w:uiPriority="97"/>
    <w:lsdException w:name="caption" w:uiPriority="10" w:qFormat="1"/>
    <w:lsdException w:name="table of figures" w:uiPriority="97"/>
    <w:lsdException w:name="envelope address" w:uiPriority="97"/>
    <w:lsdException w:name="envelope return" w:uiPriority="97"/>
    <w:lsdException w:name="footnote reference" w:uiPriority="99"/>
    <w:lsdException w:name="annotation reference" w:uiPriority="99"/>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qFormat="1"/>
    <w:lsdException w:name="List Number" w:semiHidden="0" w:uiPriority="3" w:unhideWhenUsed="0" w:qFormat="1"/>
    <w:lsdException w:name="List 2" w:uiPriority="4"/>
    <w:lsdException w:name="List 3" w:uiPriority="4"/>
    <w:lsdException w:name="List 4" w:semiHidden="0" w:uiPriority="4" w:unhideWhenUsed="0"/>
    <w:lsdException w:name="List 5" w:semiHidden="0" w:uiPriority="4" w:unhideWhenUsed="0"/>
    <w:lsdException w:name="List Bullet 2" w:uiPriority="2" w:qFormat="1"/>
    <w:lsdException w:name="List Bullet 3" w:uiPriority="2" w:qFormat="1"/>
    <w:lsdException w:name="List Bullet 4" w:uiPriority="2"/>
    <w:lsdException w:name="List Bullet 5" w:uiPriority="2"/>
    <w:lsdException w:name="List Number 2" w:uiPriority="3" w:qFormat="1"/>
    <w:lsdException w:name="List Number 3" w:uiPriority="3" w:qFormat="1"/>
    <w:lsdException w:name="List Number 4" w:uiPriority="3"/>
    <w:lsdException w:name="List Number 5" w:uiPriority="3"/>
    <w:lsdException w:name="Title" w:semiHidden="0" w:uiPriority="97" w:unhideWhenUsed="0"/>
    <w:lsdException w:name="Closing" w:uiPriority="97"/>
    <w:lsdException w:name="Signature" w:uiPriority="97"/>
    <w:lsdException w:name="Default Paragraph Font" w:uiPriority="97"/>
    <w:lsdException w:name="Body Text" w:uiPriority="97"/>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semiHidden="0" w:uiPriority="97" w:unhideWhenUsed="0"/>
    <w:lsdException w:name="Date" w:semiHidden="0" w:uiPriority="97" w:unhideWhenUsed="0"/>
    <w:lsdException w:name="Body Text First Indent" w:semiHidden="0" w:uiPriority="97" w:unhideWhenUsed="0"/>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uiPriority="97"/>
    <w:lsdException w:name="Block Text" w:uiPriority="97"/>
    <w:lsdException w:name="Hyperlink" w:uiPriority="99"/>
    <w:lsdException w:name="FollowedHyperlink" w:uiPriority="97"/>
    <w:lsdException w:name="Strong" w:semiHidden="0" w:uiPriority="97" w:unhideWhenUsed="0"/>
    <w:lsdException w:name="Emphasis" w:semiHidden="0" w:uiPriority="20" w:unhideWhenUsed="0" w:qFormat="1"/>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99"/>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97" w:unhideWhenUsed="0"/>
    <w:lsdException w:name="No Spacing" w:semiHidden="0" w:uiPriority="97"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97" w:qFormat="1"/>
  </w:latentStyles>
  <w:style w:type="paragraph" w:default="1" w:styleId="Normal">
    <w:name w:val="Normal"/>
    <w:qFormat/>
    <w:rsid w:val="0095667E"/>
    <w:rPr>
      <w:rFonts w:eastAsia="Times New Roman"/>
      <w:sz w:val="24"/>
      <w:szCs w:val="24"/>
      <w:lang w:val="en-US" w:eastAsia="en-US"/>
    </w:rPr>
  </w:style>
  <w:style w:type="paragraph" w:styleId="Heading1">
    <w:name w:val="heading 1"/>
    <w:basedOn w:val="Normal"/>
    <w:next w:val="Normal"/>
    <w:link w:val="Heading1Char"/>
    <w:uiPriority w:val="1"/>
    <w:qFormat/>
    <w:rsid w:val="00F37858"/>
    <w:pPr>
      <w:keepNext/>
      <w:spacing w:after="270" w:line="440" w:lineRule="atLeast"/>
      <w:contextualSpacing/>
      <w:outlineLvl w:val="0"/>
    </w:pPr>
    <w:rPr>
      <w:rFonts w:asciiTheme="majorHAnsi" w:hAnsiTheme="majorHAnsi" w:cstheme="majorHAnsi"/>
      <w:b/>
      <w:bCs/>
      <w:caps/>
      <w:color w:val="A1C4BC" w:themeColor="accent4"/>
      <w:sz w:val="40"/>
      <w:szCs w:val="32"/>
    </w:rPr>
  </w:style>
  <w:style w:type="paragraph" w:styleId="Heading2">
    <w:name w:val="heading 2"/>
    <w:basedOn w:val="Normal"/>
    <w:next w:val="Normal"/>
    <w:link w:val="Heading2Char"/>
    <w:uiPriority w:val="1"/>
    <w:qFormat/>
    <w:rsid w:val="00F37858"/>
    <w:pPr>
      <w:keepNext/>
      <w:spacing w:before="113" w:line="360" w:lineRule="atLeast"/>
      <w:contextualSpacing/>
      <w:outlineLvl w:val="1"/>
    </w:pPr>
    <w:rPr>
      <w:rFonts w:asciiTheme="majorHAnsi" w:hAnsiTheme="majorHAnsi" w:cstheme="majorHAnsi"/>
      <w:b/>
      <w:bCs/>
      <w:iCs/>
      <w:color w:val="F47920" w:themeColor="accent1"/>
      <w:sz w:val="32"/>
      <w:szCs w:val="28"/>
    </w:rPr>
  </w:style>
  <w:style w:type="paragraph" w:styleId="Heading3">
    <w:name w:val="heading 3"/>
    <w:basedOn w:val="Normal"/>
    <w:next w:val="Normal"/>
    <w:link w:val="Heading3Char"/>
    <w:uiPriority w:val="1"/>
    <w:qFormat/>
    <w:rsid w:val="00F37858"/>
    <w:pPr>
      <w:keepNext/>
      <w:spacing w:before="250"/>
      <w:contextualSpacing/>
      <w:outlineLvl w:val="2"/>
    </w:pPr>
    <w:rPr>
      <w:rFonts w:asciiTheme="majorHAnsi" w:hAnsiTheme="majorHAnsi" w:cstheme="majorHAnsi"/>
      <w:b/>
      <w:bCs/>
      <w:color w:val="F47920" w:themeColor="background2"/>
      <w:szCs w:val="26"/>
    </w:rPr>
  </w:style>
  <w:style w:type="paragraph" w:styleId="Heading4">
    <w:name w:val="heading 4"/>
    <w:basedOn w:val="Normal"/>
    <w:next w:val="Normal"/>
    <w:link w:val="Heading4Char"/>
    <w:uiPriority w:val="1"/>
    <w:qFormat/>
    <w:rsid w:val="00F37858"/>
    <w:pPr>
      <w:keepNext/>
      <w:contextualSpacing/>
      <w:outlineLvl w:val="3"/>
    </w:pPr>
    <w:rPr>
      <w:rFonts w:asciiTheme="majorHAnsi" w:hAnsiTheme="majorHAnsi" w:cstheme="majorHAnsi"/>
      <w:b/>
      <w:bCs/>
      <w:szCs w:val="28"/>
    </w:rPr>
  </w:style>
  <w:style w:type="paragraph" w:styleId="Heading5">
    <w:name w:val="heading 5"/>
    <w:basedOn w:val="Normal"/>
    <w:next w:val="Normal"/>
    <w:link w:val="Heading5Char"/>
    <w:uiPriority w:val="1"/>
    <w:semiHidden/>
    <w:qFormat/>
    <w:rsid w:val="00706B41"/>
    <w:pPr>
      <w:keepNext/>
      <w:keepLines/>
      <w:spacing w:before="20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line="220" w:lineRule="atLeast"/>
    </w:pPr>
    <w:rPr>
      <w:spacing w:val="-3"/>
      <w:sz w:val="22"/>
      <w:szCs w:val="19"/>
      <w:lang w:eastAsia="en-AU"/>
    </w:rPr>
  </w:style>
  <w:style w:type="paragraph" w:customStyle="1" w:styleId="TableBullet">
    <w:name w:val="Table Bullet"/>
    <w:basedOn w:val="Normal"/>
    <w:uiPriority w:val="9"/>
    <w:rsid w:val="005249FF"/>
    <w:pPr>
      <w:numPr>
        <w:numId w:val="4"/>
      </w:numPr>
      <w:ind w:left="227" w:hanging="227"/>
    </w:pPr>
    <w:rPr>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uiPriority w:val="9"/>
    <w:semiHidden/>
    <w:rsid w:val="00745775"/>
    <w:pPr>
      <w:tabs>
        <w:tab w:val="center" w:pos="4153"/>
        <w:tab w:val="right" w:pos="8306"/>
      </w:tabs>
      <w:spacing w:line="216" w:lineRule="atLeast"/>
    </w:pPr>
    <w:rPr>
      <w:caps/>
      <w:color w:val="FFFFFF"/>
      <w:sz w:val="18"/>
    </w:rPr>
  </w:style>
  <w:style w:type="paragraph" w:styleId="Header">
    <w:name w:val="header"/>
    <w:basedOn w:val="Normal"/>
    <w:uiPriority w:val="9"/>
    <w:semiHidden/>
    <w:rsid w:val="00706B41"/>
    <w:pPr>
      <w:tabs>
        <w:tab w:val="center" w:pos="4153"/>
        <w:tab w:val="right" w:pos="8306"/>
      </w:tabs>
    </w:pPr>
    <w:rPr>
      <w:sz w:val="14"/>
    </w:rPr>
  </w:style>
  <w:style w:type="table" w:styleId="TableGrid">
    <w:name w:val="Table Grid"/>
    <w:aliases w:val="Layout Grid"/>
    <w:basedOn w:val="TableNormal"/>
    <w:uiPriority w:val="98"/>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11"/>
    <w:semiHidden/>
    <w:rsid w:val="00706B41"/>
    <w:pPr>
      <w:tabs>
        <w:tab w:val="right" w:pos="9979"/>
      </w:tabs>
      <w:spacing w:before="140" w:after="60"/>
    </w:pPr>
    <w:rPr>
      <w:b/>
      <w:color w:val="808080"/>
      <w:sz w:val="22"/>
    </w:rPr>
  </w:style>
  <w:style w:type="paragraph" w:styleId="TOC2">
    <w:name w:val="toc 2"/>
    <w:basedOn w:val="Normal"/>
    <w:next w:val="Normal"/>
    <w:uiPriority w:val="11"/>
    <w:semiHidden/>
    <w:rsid w:val="00706B41"/>
    <w:pPr>
      <w:tabs>
        <w:tab w:val="right" w:pos="9979"/>
      </w:tabs>
      <w:spacing w:before="140" w:after="60"/>
      <w:ind w:left="454"/>
    </w:pPr>
    <w:rPr>
      <w:color w:val="808080"/>
      <w:sz w:val="22"/>
      <w:szCs w:val="22"/>
    </w:rPr>
  </w:style>
  <w:style w:type="paragraph" w:customStyle="1" w:styleId="CoverDate">
    <w:name w:val="Cover Date"/>
    <w:basedOn w:val="Normal"/>
    <w:uiPriority w:val="10"/>
    <w:rsid w:val="00DF570E"/>
    <w:rPr>
      <w:color w:val="1B3281" w:themeColor="accent3"/>
      <w:spacing w:val="-3"/>
      <w:lang w:eastAsia="en-AU"/>
    </w:rPr>
  </w:style>
  <w:style w:type="paragraph" w:customStyle="1" w:styleId="CoverDetails">
    <w:name w:val="Cover Details"/>
    <w:basedOn w:val="Normal"/>
    <w:uiPriority w:val="10"/>
    <w:rsid w:val="00E45B50"/>
    <w:pPr>
      <w:spacing w:before="120"/>
    </w:pPr>
    <w:rPr>
      <w:color w:val="1B3281" w:themeColor="accent3"/>
      <w:spacing w:val="-3"/>
      <w:szCs w:val="28"/>
      <w:lang w:eastAsia="en-AU"/>
    </w:rPr>
  </w:style>
  <w:style w:type="paragraph" w:customStyle="1" w:styleId="CoverHeading">
    <w:name w:val="Cover Heading"/>
    <w:basedOn w:val="Normal"/>
    <w:next w:val="Normal"/>
    <w:uiPriority w:val="10"/>
    <w:rsid w:val="00DC2892"/>
    <w:pPr>
      <w:spacing w:line="228" w:lineRule="auto"/>
    </w:pPr>
    <w:rPr>
      <w:rFonts w:asciiTheme="majorHAnsi" w:hAnsiTheme="majorHAnsi" w:cstheme="majorHAnsi"/>
      <w:b/>
      <w:bCs/>
      <w:caps/>
      <w:color w:val="FFFFFF"/>
      <w:spacing w:val="-3"/>
      <w:sz w:val="76"/>
      <w:szCs w:val="38"/>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spacing w:val="-3"/>
      <w:sz w:val="18"/>
      <w:szCs w:val="19"/>
      <w:lang w:eastAsia="en-AU"/>
    </w:rPr>
  </w:style>
  <w:style w:type="paragraph" w:styleId="FootnoteText">
    <w:name w:val="footnote text"/>
    <w:basedOn w:val="Normal"/>
    <w:link w:val="FootnoteTextChar"/>
    <w:uiPriority w:val="99"/>
    <w:rsid w:val="00706B41"/>
    <w:pPr>
      <w:tabs>
        <w:tab w:val="left" w:pos="320"/>
      </w:tabs>
      <w:spacing w:before="85" w:after="6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99"/>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numPr>
        <w:numId w:val="20"/>
      </w:numPr>
    </w:pPr>
  </w:style>
  <w:style w:type="numbering" w:styleId="111111">
    <w:name w:val="Outline List 2"/>
    <w:basedOn w:val="NoList"/>
    <w:uiPriority w:val="97"/>
    <w:semiHidden/>
    <w:rsid w:val="00706B41"/>
    <w:pPr>
      <w:numPr>
        <w:numId w:val="7"/>
      </w:numPr>
    </w:pPr>
  </w:style>
  <w:style w:type="numbering" w:styleId="1ai">
    <w:name w:val="Outline List 1"/>
    <w:basedOn w:val="NoList"/>
    <w:uiPriority w:val="97"/>
    <w:semiHidden/>
    <w:rsid w:val="00706B41"/>
    <w:pPr>
      <w:numPr>
        <w:numId w:val="8"/>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9"/>
      </w:numPr>
    </w:pPr>
  </w:style>
  <w:style w:type="paragraph" w:styleId="BalloonText">
    <w:name w:val="Balloon Text"/>
    <w:basedOn w:val="Normal"/>
    <w:link w:val="BalloonTextChar"/>
    <w:uiPriority w:val="97"/>
    <w:semiHidden/>
    <w:rsid w:val="00706B41"/>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706B41"/>
    <w:rPr>
      <w:rFonts w:asciiTheme="minorHAnsi" w:hAnsiTheme="minorHAnsi" w:cstheme="minorHAnsi"/>
      <w:sz w:val="16"/>
      <w:szCs w:val="16"/>
    </w:rPr>
  </w:style>
  <w:style w:type="paragraph" w:styleId="CommentText">
    <w:name w:val="annotation text"/>
    <w:basedOn w:val="Normal"/>
    <w:link w:val="CommentTextChar"/>
    <w:uiPriority w:val="99"/>
    <w:semiHidden/>
    <w:rsid w:val="00706B41"/>
    <w:rPr>
      <w:szCs w:val="20"/>
    </w:rPr>
  </w:style>
  <w:style w:type="character" w:customStyle="1" w:styleId="CommentTextChar">
    <w:name w:val="Comment Text Char"/>
    <w:basedOn w:val="DefaultParagraphFont"/>
    <w:link w:val="CommentText"/>
    <w:uiPriority w:val="99"/>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20"/>
    <w:qFormat/>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ind w:left="2880"/>
    </w:pPr>
    <w:rPr>
      <w:rFonts w:eastAsiaTheme="majorEastAsia"/>
    </w:rPr>
  </w:style>
  <w:style w:type="paragraph" w:styleId="EnvelopeReturn">
    <w:name w:val="envelope return"/>
    <w:basedOn w:val="Normal"/>
    <w:uiPriority w:val="97"/>
    <w:semiHidden/>
    <w:rsid w:val="00706B41"/>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9"/>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semiHidden/>
    <w:rsid w:val="00706B41"/>
    <w:rPr>
      <w:rFonts w:asciiTheme="minorHAnsi" w:hAnsiTheme="minorHAnsi" w:cstheme="minorHAnsi"/>
      <w:color w:val="F47920" w:themeColor="hyperlink"/>
      <w:u w:val="single"/>
    </w:rPr>
  </w:style>
  <w:style w:type="paragraph" w:styleId="Index1">
    <w:name w:val="index 1"/>
    <w:basedOn w:val="Normal"/>
    <w:next w:val="Normal"/>
    <w:autoRedefine/>
    <w:uiPriority w:val="97"/>
    <w:semiHidden/>
    <w:rsid w:val="00706B41"/>
    <w:pPr>
      <w:ind w:left="200" w:hanging="200"/>
    </w:pPr>
  </w:style>
  <w:style w:type="paragraph" w:styleId="Index2">
    <w:name w:val="index 2"/>
    <w:basedOn w:val="Normal"/>
    <w:next w:val="Normal"/>
    <w:autoRedefine/>
    <w:uiPriority w:val="97"/>
    <w:semiHidden/>
    <w:rsid w:val="00706B41"/>
    <w:pPr>
      <w:ind w:left="400" w:hanging="200"/>
    </w:pPr>
  </w:style>
  <w:style w:type="paragraph" w:styleId="Index3">
    <w:name w:val="index 3"/>
    <w:basedOn w:val="Normal"/>
    <w:next w:val="Normal"/>
    <w:autoRedefine/>
    <w:uiPriority w:val="97"/>
    <w:semiHidden/>
    <w:rsid w:val="00706B41"/>
    <w:pPr>
      <w:ind w:left="600" w:hanging="200"/>
    </w:pPr>
  </w:style>
  <w:style w:type="paragraph" w:styleId="Index4">
    <w:name w:val="index 4"/>
    <w:basedOn w:val="Normal"/>
    <w:next w:val="Normal"/>
    <w:autoRedefine/>
    <w:uiPriority w:val="97"/>
    <w:semiHidden/>
    <w:rsid w:val="00706B41"/>
    <w:pPr>
      <w:ind w:left="800" w:hanging="200"/>
    </w:pPr>
  </w:style>
  <w:style w:type="paragraph" w:styleId="Index5">
    <w:name w:val="index 5"/>
    <w:basedOn w:val="Normal"/>
    <w:next w:val="Normal"/>
    <w:autoRedefine/>
    <w:uiPriority w:val="97"/>
    <w:semiHidden/>
    <w:rsid w:val="00706B41"/>
    <w:pPr>
      <w:ind w:left="1000" w:hanging="200"/>
    </w:pPr>
  </w:style>
  <w:style w:type="paragraph" w:styleId="Index6">
    <w:name w:val="index 6"/>
    <w:basedOn w:val="Normal"/>
    <w:next w:val="Normal"/>
    <w:autoRedefine/>
    <w:uiPriority w:val="97"/>
    <w:semiHidden/>
    <w:rsid w:val="00706B41"/>
    <w:pPr>
      <w:ind w:left="1200" w:hanging="200"/>
    </w:pPr>
  </w:style>
  <w:style w:type="paragraph" w:styleId="Index7">
    <w:name w:val="index 7"/>
    <w:basedOn w:val="Normal"/>
    <w:next w:val="Normal"/>
    <w:autoRedefine/>
    <w:uiPriority w:val="97"/>
    <w:semiHidden/>
    <w:rsid w:val="00706B41"/>
    <w:pPr>
      <w:ind w:left="1400" w:hanging="200"/>
    </w:pPr>
  </w:style>
  <w:style w:type="paragraph" w:styleId="Index8">
    <w:name w:val="index 8"/>
    <w:basedOn w:val="Normal"/>
    <w:next w:val="Normal"/>
    <w:autoRedefine/>
    <w:uiPriority w:val="97"/>
    <w:semiHidden/>
    <w:rsid w:val="00706B41"/>
    <w:pPr>
      <w:ind w:left="1600" w:hanging="200"/>
    </w:pPr>
  </w:style>
  <w:style w:type="paragraph" w:styleId="Index9">
    <w:name w:val="index 9"/>
    <w:basedOn w:val="Normal"/>
    <w:next w:val="Normal"/>
    <w:autoRedefine/>
    <w:uiPriority w:val="97"/>
    <w:semiHidden/>
    <w:rsid w:val="00706B41"/>
    <w:pPr>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10"/>
      </w:numPr>
      <w:contextualSpacing/>
    </w:pPr>
  </w:style>
  <w:style w:type="paragraph" w:styleId="ListBullet5">
    <w:name w:val="List Bullet 5"/>
    <w:basedOn w:val="Normal"/>
    <w:uiPriority w:val="2"/>
    <w:semiHidden/>
    <w:rsid w:val="00706B41"/>
    <w:pPr>
      <w:numPr>
        <w:numId w:val="11"/>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numPr>
        <w:ilvl w:val="1"/>
        <w:numId w:val="20"/>
      </w:numPr>
    </w:pPr>
  </w:style>
  <w:style w:type="paragraph" w:styleId="ListNumber3">
    <w:name w:val="List Number 3"/>
    <w:basedOn w:val="Normal"/>
    <w:uiPriority w:val="3"/>
    <w:qFormat/>
    <w:rsid w:val="00336254"/>
    <w:pPr>
      <w:numPr>
        <w:ilvl w:val="2"/>
        <w:numId w:val="20"/>
      </w:numPr>
    </w:pPr>
  </w:style>
  <w:style w:type="paragraph" w:styleId="ListNumber4">
    <w:name w:val="List Number 4"/>
    <w:basedOn w:val="Normal"/>
    <w:uiPriority w:val="3"/>
    <w:semiHidden/>
    <w:rsid w:val="00706B41"/>
    <w:pPr>
      <w:numPr>
        <w:numId w:val="14"/>
      </w:numPr>
      <w:contextualSpacing/>
    </w:pPr>
  </w:style>
  <w:style w:type="paragraph" w:styleId="ListNumber5">
    <w:name w:val="List Number 5"/>
    <w:basedOn w:val="Normal"/>
    <w:uiPriority w:val="3"/>
    <w:semiHidden/>
    <w:rsid w:val="00706B41"/>
    <w:pPr>
      <w:numPr>
        <w:numId w:val="15"/>
      </w:numPr>
      <w:contextualSpacing/>
    </w:p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9"/>
    <w:rsid w:val="00706B41"/>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ind w:left="200" w:hanging="200"/>
    </w:pPr>
  </w:style>
  <w:style w:type="paragraph" w:styleId="TableofFigures">
    <w:name w:val="table of figures"/>
    <w:basedOn w:val="Normal"/>
    <w:next w:val="Normal"/>
    <w:uiPriority w:val="97"/>
    <w:semiHidden/>
    <w:rsid w:val="00706B41"/>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6"/>
      </w:numPr>
    </w:pPr>
  </w:style>
  <w:style w:type="character" w:customStyle="1" w:styleId="Heading1Char">
    <w:name w:val="Heading 1 Char"/>
    <w:basedOn w:val="DefaultParagraphFont"/>
    <w:link w:val="Heading1"/>
    <w:uiPriority w:val="1"/>
    <w:rsid w:val="003C3C0A"/>
    <w:rPr>
      <w:rFonts w:asciiTheme="majorHAnsi" w:hAnsiTheme="majorHAnsi" w:cstheme="majorHAnsi"/>
      <w:b/>
      <w:bCs/>
      <w:caps/>
      <w:color w:val="A1C4BC" w:themeColor="accent4"/>
      <w:sz w:val="40"/>
      <w:szCs w:val="32"/>
      <w:lang w:val="en-AU" w:eastAsia="ja-JP"/>
    </w:rPr>
  </w:style>
  <w:style w:type="character" w:customStyle="1" w:styleId="Heading2Char">
    <w:name w:val="Heading 2 Char"/>
    <w:basedOn w:val="DefaultParagraphFont"/>
    <w:link w:val="Heading2"/>
    <w:uiPriority w:val="1"/>
    <w:rsid w:val="003C3C0A"/>
    <w:rPr>
      <w:rFonts w:asciiTheme="majorHAnsi" w:hAnsiTheme="majorHAnsi" w:cstheme="majorHAnsi"/>
      <w:b/>
      <w:bCs/>
      <w:iCs/>
      <w:color w:val="F47920" w:themeColor="accent1"/>
      <w:sz w:val="32"/>
      <w:szCs w:val="28"/>
      <w:lang w:val="en-AU" w:eastAsia="ja-JP"/>
    </w:rPr>
  </w:style>
  <w:style w:type="character" w:customStyle="1" w:styleId="Heading3Char">
    <w:name w:val="Heading 3 Char"/>
    <w:basedOn w:val="DefaultParagraphFont"/>
    <w:link w:val="Heading3"/>
    <w:uiPriority w:val="1"/>
    <w:rsid w:val="003C3C0A"/>
    <w:rPr>
      <w:rFonts w:asciiTheme="majorHAnsi" w:hAnsiTheme="majorHAnsi" w:cstheme="majorHAnsi"/>
      <w:b/>
      <w:bCs/>
      <w:color w:val="F47920" w:themeColor="background2"/>
      <w:sz w:val="24"/>
      <w:szCs w:val="26"/>
      <w:lang w:val="en-AU" w:eastAsia="ja-JP"/>
    </w:rPr>
  </w:style>
  <w:style w:type="character" w:customStyle="1" w:styleId="Heading4Char">
    <w:name w:val="Heading 4 Char"/>
    <w:basedOn w:val="DefaultParagraphFont"/>
    <w:link w:val="Heading4"/>
    <w:uiPriority w:val="1"/>
    <w:rsid w:val="003C3C0A"/>
    <w:rPr>
      <w:rFonts w:asciiTheme="majorHAnsi" w:hAnsiTheme="majorHAnsi" w:cstheme="majorHAnsi"/>
      <w:b/>
      <w:bCs/>
      <w:color w:val="231F20" w:themeColor="text2"/>
      <w:szCs w:val="28"/>
      <w:lang w:val="en-AU" w:eastAsia="ja-JP"/>
    </w:rPr>
  </w:style>
  <w:style w:type="character" w:customStyle="1" w:styleId="apple-converted-space">
    <w:name w:val="apple-converted-space"/>
    <w:basedOn w:val="DefaultParagraphFont"/>
    <w:rsid w:val="003370BE"/>
  </w:style>
  <w:style w:type="table" w:customStyle="1" w:styleId="GridTable1LightAccent2">
    <w:name w:val="Grid Table 1 Light Accent 2"/>
    <w:basedOn w:val="TableNormal"/>
    <w:uiPriority w:val="46"/>
    <w:rsid w:val="003D37C4"/>
    <w:tblPr>
      <w:tblStyleRowBandSize w:val="1"/>
      <w:tblStyleColBandSize w:val="1"/>
      <w:tblBorders>
        <w:top w:val="single" w:sz="4" w:space="0" w:color="F9BDB0" w:themeColor="accent2" w:themeTint="66"/>
        <w:left w:val="single" w:sz="4" w:space="0" w:color="F9BDB0" w:themeColor="accent2" w:themeTint="66"/>
        <w:bottom w:val="single" w:sz="4" w:space="0" w:color="F9BDB0" w:themeColor="accent2" w:themeTint="66"/>
        <w:right w:val="single" w:sz="4" w:space="0" w:color="F9BDB0" w:themeColor="accent2" w:themeTint="66"/>
        <w:insideH w:val="single" w:sz="4" w:space="0" w:color="F9BDB0" w:themeColor="accent2" w:themeTint="66"/>
        <w:insideV w:val="single" w:sz="4" w:space="0" w:color="F9BDB0" w:themeColor="accent2" w:themeTint="66"/>
      </w:tblBorders>
    </w:tblPr>
    <w:tblStylePr w:type="firstRow">
      <w:rPr>
        <w:b/>
        <w:bCs/>
      </w:rPr>
      <w:tblPr/>
      <w:tcPr>
        <w:tcBorders>
          <w:bottom w:val="single" w:sz="12" w:space="0" w:color="F69C89" w:themeColor="accent2" w:themeTint="99"/>
        </w:tcBorders>
      </w:tcPr>
    </w:tblStylePr>
    <w:tblStylePr w:type="lastRow">
      <w:rPr>
        <w:b/>
        <w:bCs/>
      </w:rPr>
      <w:tblPr/>
      <w:tcPr>
        <w:tcBorders>
          <w:top w:val="double" w:sz="2" w:space="0" w:color="F69C89" w:themeColor="accent2"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locked/>
    <w:rsid w:val="0095667E"/>
    <w:rPr>
      <w:rFonts w:asciiTheme="minorHAnsi" w:hAnsiTheme="minorHAnsi" w:cstheme="minorHAnsi"/>
      <w:color w:val="231F20" w:themeColor="text2"/>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46105">
      <w:bodyDiv w:val="1"/>
      <w:marLeft w:val="0"/>
      <w:marRight w:val="0"/>
      <w:marTop w:val="0"/>
      <w:marBottom w:val="0"/>
      <w:divBdr>
        <w:top w:val="none" w:sz="0" w:space="0" w:color="auto"/>
        <w:left w:val="none" w:sz="0" w:space="0" w:color="auto"/>
        <w:bottom w:val="none" w:sz="0" w:space="0" w:color="auto"/>
        <w:right w:val="none" w:sz="0" w:space="0" w:color="auto"/>
      </w:divBdr>
    </w:div>
    <w:div w:id="332345721">
      <w:bodyDiv w:val="1"/>
      <w:marLeft w:val="0"/>
      <w:marRight w:val="0"/>
      <w:marTop w:val="0"/>
      <w:marBottom w:val="0"/>
      <w:divBdr>
        <w:top w:val="none" w:sz="0" w:space="0" w:color="auto"/>
        <w:left w:val="none" w:sz="0" w:space="0" w:color="auto"/>
        <w:bottom w:val="none" w:sz="0" w:space="0" w:color="auto"/>
        <w:right w:val="none" w:sz="0" w:space="0" w:color="auto"/>
      </w:divBdr>
    </w:div>
    <w:div w:id="341932363">
      <w:bodyDiv w:val="1"/>
      <w:marLeft w:val="0"/>
      <w:marRight w:val="0"/>
      <w:marTop w:val="0"/>
      <w:marBottom w:val="0"/>
      <w:divBdr>
        <w:top w:val="none" w:sz="0" w:space="0" w:color="auto"/>
        <w:left w:val="none" w:sz="0" w:space="0" w:color="auto"/>
        <w:bottom w:val="none" w:sz="0" w:space="0" w:color="auto"/>
        <w:right w:val="none" w:sz="0" w:space="0" w:color="auto"/>
      </w:divBdr>
    </w:div>
    <w:div w:id="498081318">
      <w:bodyDiv w:val="1"/>
      <w:marLeft w:val="0"/>
      <w:marRight w:val="0"/>
      <w:marTop w:val="0"/>
      <w:marBottom w:val="0"/>
      <w:divBdr>
        <w:top w:val="none" w:sz="0" w:space="0" w:color="auto"/>
        <w:left w:val="none" w:sz="0" w:space="0" w:color="auto"/>
        <w:bottom w:val="none" w:sz="0" w:space="0" w:color="auto"/>
        <w:right w:val="none" w:sz="0" w:space="0" w:color="auto"/>
      </w:divBdr>
    </w:div>
    <w:div w:id="878277451">
      <w:bodyDiv w:val="1"/>
      <w:marLeft w:val="0"/>
      <w:marRight w:val="0"/>
      <w:marTop w:val="0"/>
      <w:marBottom w:val="0"/>
      <w:divBdr>
        <w:top w:val="none" w:sz="0" w:space="0" w:color="auto"/>
        <w:left w:val="none" w:sz="0" w:space="0" w:color="auto"/>
        <w:bottom w:val="none" w:sz="0" w:space="0" w:color="auto"/>
        <w:right w:val="none" w:sz="0" w:space="0" w:color="auto"/>
      </w:divBdr>
    </w:div>
    <w:div w:id="955258660">
      <w:bodyDiv w:val="1"/>
      <w:marLeft w:val="0"/>
      <w:marRight w:val="0"/>
      <w:marTop w:val="0"/>
      <w:marBottom w:val="0"/>
      <w:divBdr>
        <w:top w:val="none" w:sz="0" w:space="0" w:color="auto"/>
        <w:left w:val="none" w:sz="0" w:space="0" w:color="auto"/>
        <w:bottom w:val="none" w:sz="0" w:space="0" w:color="auto"/>
        <w:right w:val="none" w:sz="0" w:space="0" w:color="auto"/>
      </w:divBdr>
    </w:div>
    <w:div w:id="1209075285">
      <w:bodyDiv w:val="1"/>
      <w:marLeft w:val="0"/>
      <w:marRight w:val="0"/>
      <w:marTop w:val="0"/>
      <w:marBottom w:val="0"/>
      <w:divBdr>
        <w:top w:val="none" w:sz="0" w:space="0" w:color="auto"/>
        <w:left w:val="none" w:sz="0" w:space="0" w:color="auto"/>
        <w:bottom w:val="none" w:sz="0" w:space="0" w:color="auto"/>
        <w:right w:val="none" w:sz="0" w:space="0" w:color="auto"/>
      </w:divBdr>
    </w:div>
    <w:div w:id="1277253041">
      <w:bodyDiv w:val="1"/>
      <w:marLeft w:val="0"/>
      <w:marRight w:val="0"/>
      <w:marTop w:val="0"/>
      <w:marBottom w:val="0"/>
      <w:divBdr>
        <w:top w:val="none" w:sz="0" w:space="0" w:color="auto"/>
        <w:left w:val="none" w:sz="0" w:space="0" w:color="auto"/>
        <w:bottom w:val="none" w:sz="0" w:space="0" w:color="auto"/>
        <w:right w:val="none" w:sz="0" w:space="0" w:color="auto"/>
      </w:divBdr>
    </w:div>
    <w:div w:id="1541742480">
      <w:bodyDiv w:val="1"/>
      <w:marLeft w:val="0"/>
      <w:marRight w:val="0"/>
      <w:marTop w:val="0"/>
      <w:marBottom w:val="0"/>
      <w:divBdr>
        <w:top w:val="none" w:sz="0" w:space="0" w:color="auto"/>
        <w:left w:val="none" w:sz="0" w:space="0" w:color="auto"/>
        <w:bottom w:val="none" w:sz="0" w:space="0" w:color="auto"/>
        <w:right w:val="none" w:sz="0" w:space="0" w:color="auto"/>
      </w:divBdr>
    </w:div>
    <w:div w:id="1617712479">
      <w:bodyDiv w:val="1"/>
      <w:marLeft w:val="0"/>
      <w:marRight w:val="0"/>
      <w:marTop w:val="0"/>
      <w:marBottom w:val="0"/>
      <w:divBdr>
        <w:top w:val="none" w:sz="0" w:space="0" w:color="auto"/>
        <w:left w:val="none" w:sz="0" w:space="0" w:color="auto"/>
        <w:bottom w:val="none" w:sz="0" w:space="0" w:color="auto"/>
        <w:right w:val="none" w:sz="0" w:space="0" w:color="auto"/>
      </w:divBdr>
    </w:div>
    <w:div w:id="1730106120">
      <w:bodyDiv w:val="1"/>
      <w:marLeft w:val="0"/>
      <w:marRight w:val="0"/>
      <w:marTop w:val="0"/>
      <w:marBottom w:val="0"/>
      <w:divBdr>
        <w:top w:val="none" w:sz="0" w:space="0" w:color="auto"/>
        <w:left w:val="none" w:sz="0" w:space="0" w:color="auto"/>
        <w:bottom w:val="none" w:sz="0" w:space="0" w:color="auto"/>
        <w:right w:val="none" w:sz="0" w:space="0" w:color="auto"/>
      </w:divBdr>
    </w:div>
    <w:div w:id="1846750624">
      <w:bodyDiv w:val="1"/>
      <w:marLeft w:val="0"/>
      <w:marRight w:val="0"/>
      <w:marTop w:val="0"/>
      <w:marBottom w:val="0"/>
      <w:divBdr>
        <w:top w:val="none" w:sz="0" w:space="0" w:color="auto"/>
        <w:left w:val="none" w:sz="0" w:space="0" w:color="auto"/>
        <w:bottom w:val="none" w:sz="0" w:space="0" w:color="auto"/>
        <w:right w:val="none" w:sz="0" w:space="0" w:color="auto"/>
      </w:divBdr>
      <w:divsChild>
        <w:div w:id="511532379">
          <w:marLeft w:val="0"/>
          <w:marRight w:val="0"/>
          <w:marTop w:val="0"/>
          <w:marBottom w:val="0"/>
          <w:divBdr>
            <w:top w:val="none" w:sz="0" w:space="0" w:color="auto"/>
            <w:left w:val="none" w:sz="0" w:space="0" w:color="auto"/>
            <w:bottom w:val="none" w:sz="0" w:space="0" w:color="auto"/>
            <w:right w:val="none" w:sz="0" w:space="0" w:color="auto"/>
          </w:divBdr>
          <w:divsChild>
            <w:div w:id="1440100623">
              <w:marLeft w:val="0"/>
              <w:marRight w:val="0"/>
              <w:marTop w:val="0"/>
              <w:marBottom w:val="0"/>
              <w:divBdr>
                <w:top w:val="none" w:sz="0" w:space="0" w:color="auto"/>
                <w:left w:val="none" w:sz="0" w:space="0" w:color="auto"/>
                <w:bottom w:val="none" w:sz="0" w:space="0" w:color="auto"/>
                <w:right w:val="none" w:sz="0" w:space="0" w:color="auto"/>
              </w:divBdr>
              <w:divsChild>
                <w:div w:id="616566564">
                  <w:marLeft w:val="0"/>
                  <w:marRight w:val="0"/>
                  <w:marTop w:val="0"/>
                  <w:marBottom w:val="0"/>
                  <w:divBdr>
                    <w:top w:val="none" w:sz="0" w:space="0" w:color="auto"/>
                    <w:left w:val="none" w:sz="0" w:space="0" w:color="auto"/>
                    <w:bottom w:val="none" w:sz="0" w:space="0" w:color="auto"/>
                    <w:right w:val="none" w:sz="0" w:space="0" w:color="auto"/>
                  </w:divBdr>
                  <w:divsChild>
                    <w:div w:id="1968657204">
                      <w:marLeft w:val="0"/>
                      <w:marRight w:val="0"/>
                      <w:marTop w:val="0"/>
                      <w:marBottom w:val="0"/>
                      <w:divBdr>
                        <w:top w:val="none" w:sz="0" w:space="0" w:color="auto"/>
                        <w:left w:val="none" w:sz="0" w:space="0" w:color="auto"/>
                        <w:bottom w:val="none" w:sz="0" w:space="0" w:color="auto"/>
                        <w:right w:val="none" w:sz="0" w:space="0" w:color="auto"/>
                      </w:divBdr>
                      <w:divsChild>
                        <w:div w:id="491603419">
                          <w:marLeft w:val="0"/>
                          <w:marRight w:val="0"/>
                          <w:marTop w:val="0"/>
                          <w:marBottom w:val="0"/>
                          <w:divBdr>
                            <w:top w:val="none" w:sz="0" w:space="0" w:color="auto"/>
                            <w:left w:val="none" w:sz="0" w:space="0" w:color="auto"/>
                            <w:bottom w:val="none" w:sz="0" w:space="0" w:color="auto"/>
                            <w:right w:val="none" w:sz="0" w:space="0" w:color="auto"/>
                          </w:divBdr>
                          <w:divsChild>
                            <w:div w:id="1025669096">
                              <w:marLeft w:val="0"/>
                              <w:marRight w:val="0"/>
                              <w:marTop w:val="0"/>
                              <w:marBottom w:val="0"/>
                              <w:divBdr>
                                <w:top w:val="none" w:sz="0" w:space="0" w:color="auto"/>
                                <w:left w:val="none" w:sz="0" w:space="0" w:color="auto"/>
                                <w:bottom w:val="none" w:sz="0" w:space="0" w:color="auto"/>
                                <w:right w:val="none" w:sz="0" w:space="0" w:color="auto"/>
                              </w:divBdr>
                              <w:divsChild>
                                <w:div w:id="307250012">
                                  <w:marLeft w:val="0"/>
                                  <w:marRight w:val="0"/>
                                  <w:marTop w:val="0"/>
                                  <w:marBottom w:val="0"/>
                                  <w:divBdr>
                                    <w:top w:val="none" w:sz="0" w:space="0" w:color="auto"/>
                                    <w:left w:val="none" w:sz="0" w:space="0" w:color="auto"/>
                                    <w:bottom w:val="none" w:sz="0" w:space="0" w:color="auto"/>
                                    <w:right w:val="none" w:sz="0" w:space="0" w:color="auto"/>
                                  </w:divBdr>
                                  <w:divsChild>
                                    <w:div w:id="7047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47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microsoft.com/office/2007/relationships/stylesWithEffects" Target="stylesWithEffect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naccho.org.au/download/naccho_health_futures/NACCHO_14_Econimic%20Value%20Exec%20Summary_0204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red Hollows Colours">
      <a:dk1>
        <a:sysClr val="windowText" lastClr="000000"/>
      </a:dk1>
      <a:lt1>
        <a:sysClr val="window" lastClr="FFFFFF"/>
      </a:lt1>
      <a:dk2>
        <a:srgbClr val="231F20"/>
      </a:dk2>
      <a:lt2>
        <a:srgbClr val="F47920"/>
      </a:lt2>
      <a:accent1>
        <a:srgbClr val="F47920"/>
      </a:accent1>
      <a:accent2>
        <a:srgbClr val="F15B3B"/>
      </a:accent2>
      <a:accent3>
        <a:srgbClr val="1B3281"/>
      </a:accent3>
      <a:accent4>
        <a:srgbClr val="A1C4BC"/>
      </a:accent4>
      <a:accent5>
        <a:srgbClr val="B1D355"/>
      </a:accent5>
      <a:accent6>
        <a:srgbClr val="6762A6"/>
      </a:accent6>
      <a:hlink>
        <a:srgbClr val="F47920"/>
      </a:hlink>
      <a:folHlink>
        <a:srgbClr val="1B3281"/>
      </a:folHlink>
    </a:clrScheme>
    <a:fontScheme name="Fred Hollow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 - Stage 2</TermName>
          <TermId xmlns="http://schemas.microsoft.com/office/infopath/2007/PartnerControls">df6c8b62-a0f6-48ca-9bad-05bd9d9348d3</TermId>
        </TermInfo>
      </Terms>
    </p7a0baa8c88445a78b6f55906390ba17>
    <TaxCatchAll xmlns="3f4bcce7-ac1a-4c9d-aa3e-7e77695652db">
      <Value>4487</Value>
      <Value>138</Value>
    </TaxCatchAll>
    <_dlc_DocId xmlns="3f4bcce7-ac1a-4c9d-aa3e-7e77695652db">PCDOC-380165220-789</_dlc_DocId>
    <_dlc_DocIdUrl xmlns="3f4bcce7-ac1a-4c9d-aa3e-7e77695652db">
      <Url>https://inet.pc.gov.au/pmo/inq/hs/_layouts/15/DocIdRedir.aspx?ID=PCDOC-380165220-789</Url>
      <Description>PCDOC-380165220-789</Description>
    </_dlc_DocIdUrl>
  </documentManagement>
</p:properti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B1E468077DCDFB42AAD275D654163A8A" ma:contentTypeVersion="25" ma:contentTypeDescription="" ma:contentTypeScope="" ma:versionID="db972dc134da6a6dcc5f4e0f310a800a">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e07002ebc710c92a66221a6b1d11bd8b"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indexed="true"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7.xml><?xml version="1.0" encoding="utf-8"?>
<b:Sources xmlns:b="http://schemas.openxmlformats.org/officeDocument/2006/bibliography" xmlns="http://schemas.openxmlformats.org/officeDocument/2006/bibliography" SelectedStyle="\APA.XSL" StyleName="APA">
  <b:Source>
    <b:Tag>Mal13</b:Tag>
    <b:SourceType>ConferenceProceedings</b:SourceType>
    <b:Guid>{8E4C4D86-D565-4268-AEFE-81C9405AC804}</b:Guid>
    <b:Author>
      <b:Author>
        <b:NameList>
          <b:Person>
            <b:Last>Malezer</b:Last>
            <b:First>L</b:First>
          </b:Person>
        </b:NameList>
      </b:Author>
    </b:Author>
    <b:Title>Challenges in Evaluating Indigenous Policy</b:Title>
    <b:Year>2013</b:Year>
    <b:City>Canberra</b:City>
    <b:Publisher>Productivity Commission</b:Publisher>
    <b:BookTitle>Better Indigenous Policies: The Role of Evaluation</b:BookTitle>
    <b:ConferenceName>Better Indigenous Policies: The Role of Evaluation Roundtable Proceedinngs</b:ConferenceName>
    <b:RefOrder>3</b:RefOrder>
  </b:Source>
  <b:Source>
    <b:Tag>Tik01</b:Tag>
    <b:SourceType>Report</b:SourceType>
    <b:Guid>{8BB1F9F2-330A-43FF-8312-39A6B2031F33}</b:Guid>
    <b:Title>Organizing Participatory Processes in the Poverty Reduction Strategy Papers</b:Title>
    <b:Year>2001</b:Year>
    <b:Publisher>World Bank</b:Publisher>
    <b:Author>
      <b:Author>
        <b:NameList>
          <b:Person>
            <b:Last>Tikare</b:Last>
            <b:First>S.,</b:First>
            <b:Middle>Youssef, D., Donnelly-Roark, P, and Shah, P.</b:Middle>
          </b:Person>
        </b:NameList>
      </b:Author>
    </b:Author>
    <b:RefOrder>4</b:RefOrder>
  </b:Source>
</b:Sources>
</file>

<file path=customXml/itemProps1.xml><?xml version="1.0" encoding="utf-8"?>
<ds:datastoreItem xmlns:ds="http://schemas.openxmlformats.org/officeDocument/2006/customXml" ds:itemID="{3A48E145-A019-46B3-8F56-1183E9C32CB0}">
  <ds:schemaRefs>
    <ds:schemaRef ds:uri="http://purl.org/dc/terms/"/>
    <ds:schemaRef ds:uri="http://schemas.microsoft.com/office/2006/documentManagement/types"/>
    <ds:schemaRef ds:uri="http://schemas.microsoft.com/office/infopath/2007/PartnerControls"/>
    <ds:schemaRef ds:uri="http://schemas.microsoft.com/sharepoint/v3"/>
    <ds:schemaRef ds:uri="http://purl.org/dc/elements/1.1/"/>
    <ds:schemaRef ds:uri="http://schemas.microsoft.com/office/2006/metadata/properties"/>
    <ds:schemaRef ds:uri="3f4bcce7-ac1a-4c9d-aa3e-7e77695652db"/>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CC7740D-A39C-4617-8ABF-62C3683B0BC2}">
  <ds:schemaRefs>
    <ds:schemaRef ds:uri="http://schemas.microsoft.com/office/2006/metadata/customXsn"/>
  </ds:schemaRefs>
</ds:datastoreItem>
</file>

<file path=customXml/itemProps3.xml><?xml version="1.0" encoding="utf-8"?>
<ds:datastoreItem xmlns:ds="http://schemas.openxmlformats.org/officeDocument/2006/customXml" ds:itemID="{073EC0F4-AFD2-436A-B9E4-B3A36E25CA57}">
  <ds:schemaRefs>
    <ds:schemaRef ds:uri="http://schemas.microsoft.com/sharepoint/events"/>
  </ds:schemaRefs>
</ds:datastoreItem>
</file>

<file path=customXml/itemProps4.xml><?xml version="1.0" encoding="utf-8"?>
<ds:datastoreItem xmlns:ds="http://schemas.openxmlformats.org/officeDocument/2006/customXml" ds:itemID="{E6B6EF53-327C-4073-A6F5-9CD7E5E83E58}">
  <ds:schemaRefs>
    <ds:schemaRef ds:uri="http://schemas.microsoft.com/sharepoint/v3/contenttype/forms"/>
  </ds:schemaRefs>
</ds:datastoreItem>
</file>

<file path=customXml/itemProps5.xml><?xml version="1.0" encoding="utf-8"?>
<ds:datastoreItem xmlns:ds="http://schemas.openxmlformats.org/officeDocument/2006/customXml" ds:itemID="{8E350D4D-B350-4BF6-8571-4932CBFDF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BB410F-78C8-4F0D-829D-B5A5413E9012}">
  <ds:schemaRefs>
    <ds:schemaRef ds:uri="Microsoft.SharePoint.Taxonomy.ContentTypeSync"/>
  </ds:schemaRefs>
</ds:datastoreItem>
</file>

<file path=customXml/itemProps7.xml><?xml version="1.0" encoding="utf-8"?>
<ds:datastoreItem xmlns:ds="http://schemas.openxmlformats.org/officeDocument/2006/customXml" ds:itemID="{0C29AA40-5706-4084-8414-5ADC7EF6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1778</Words>
  <Characters>10750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Submission 467 - The Fred Hollows Foundation - Reforms to Human Services - Stage 2 of Human Services public inquiry</vt:lpstr>
    </vt:vector>
  </TitlesOfParts>
  <Company>The Fred Hollows Foundation</Company>
  <LinksUpToDate>false</LinksUpToDate>
  <CharactersWithSpaces>12503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467 - The Fred Hollows Foundation - Reforms to Human Services - Stage 2 of Human Services public inquiry</dc:title>
  <dc:creator>The Fred Hollows Foundation</dc:creator>
  <cp:keywords/>
  <cp:lastModifiedBy>Pimperl, Mark</cp:lastModifiedBy>
  <cp:revision>10</cp:revision>
  <cp:lastPrinted>2017-02-17T07:02:00Z</cp:lastPrinted>
  <dcterms:created xsi:type="dcterms:W3CDTF">2017-02-17T07:09:00Z</dcterms:created>
  <dcterms:modified xsi:type="dcterms:W3CDTF">2017-02-20T21:14:00Z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Report based on version v2.0.1a from FHF Word Template.dotm using: 15.0 MS2013</vt:lpwstr>
  </property>
  <property fmtid="{D5CDD505-2E9C-101B-9397-08002B2CF9AE}" pid="3" name="ReportTitle">
    <vt:lpwstr>.</vt:lpwstr>
  </property>
  <property fmtid="{D5CDD505-2E9C-101B-9397-08002B2CF9AE}" pid="4" name="ReportSubtitle">
    <vt:lpwstr>Report Subtitle</vt:lpwstr>
  </property>
  <property fmtid="{D5CDD505-2E9C-101B-9397-08002B2CF9AE}" pid="5" name="ContentTypeId">
    <vt:lpwstr>0x0101007916246811615643A710C6FEAFF56A87110500B1E468077DCDFB42AAD275D654163A8A</vt:lpwstr>
  </property>
  <property fmtid="{D5CDD505-2E9C-101B-9397-08002B2CF9AE}" pid="6" name="c401844703f64372bb0e85d87d761fe6">
    <vt:lpwstr>Reference Only|923c7a19-3b10-4b1a-aa53-490b73d512fc</vt:lpwstr>
  </property>
  <property fmtid="{D5CDD505-2E9C-101B-9397-08002B2CF9AE}" pid="7" name="_dlc_DocIdItemGuid">
    <vt:lpwstr>a64d1e07-21b4-46c4-9389-957fdfac77bb</vt:lpwstr>
  </property>
  <property fmtid="{D5CDD505-2E9C-101B-9397-08002B2CF9AE}" pid="8" name="Record Tag">
    <vt:lpwstr>4487;#Submissions - Stage 2|df6c8b62-a0f6-48ca-9bad-05bd9d9348d3</vt:lpwstr>
  </property>
  <property fmtid="{D5CDD505-2E9C-101B-9397-08002B2CF9AE}" pid="9" name="TaxKeyword">
    <vt:lpwstr/>
  </property>
  <property fmtid="{D5CDD505-2E9C-101B-9397-08002B2CF9AE}" pid="10" name="Retain">
    <vt:lpwstr>138;#Reference Only|923c7a19-3b10-4b1a-aa53-490b73d512fc</vt:lpwstr>
  </property>
</Properties>
</file>