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17C" w:rsidRPr="00DB41AA" w:rsidRDefault="0006717C" w:rsidP="00DB41AA">
      <w:pPr>
        <w:jc w:val="center"/>
        <w:rPr>
          <w:b/>
          <w:sz w:val="28"/>
          <w:szCs w:val="28"/>
        </w:rPr>
      </w:pPr>
      <w:r w:rsidRPr="00DB41AA">
        <w:rPr>
          <w:b/>
          <w:sz w:val="28"/>
          <w:szCs w:val="28"/>
        </w:rPr>
        <w:t>Submission</w:t>
      </w:r>
      <w:r w:rsidR="00DB41AA">
        <w:rPr>
          <w:b/>
          <w:sz w:val="28"/>
          <w:szCs w:val="28"/>
        </w:rPr>
        <w:t xml:space="preserve"> to the National Water Reform </w:t>
      </w:r>
      <w:r w:rsidRPr="00DB41AA">
        <w:rPr>
          <w:b/>
          <w:sz w:val="28"/>
          <w:szCs w:val="28"/>
        </w:rPr>
        <w:t>Productivity Commission Issues Paper</w:t>
      </w:r>
    </w:p>
    <w:p w:rsidR="001D479B" w:rsidRDefault="0006717C" w:rsidP="00DB41AA">
      <w:pPr>
        <w:jc w:val="center"/>
      </w:pPr>
      <w:r>
        <w:t>Dr Katie O’Bryan</w:t>
      </w:r>
      <w:r>
        <w:rPr>
          <w:rStyle w:val="FootnoteReference"/>
        </w:rPr>
        <w:footnoteReference w:id="1"/>
      </w:r>
    </w:p>
    <w:p w:rsidR="00DB41AA" w:rsidRDefault="00DB41AA" w:rsidP="00DB41AA">
      <w:pPr>
        <w:jc w:val="center"/>
      </w:pPr>
      <w:r>
        <w:t>18 April 2017</w:t>
      </w:r>
    </w:p>
    <w:p w:rsidR="0006717C" w:rsidRDefault="0006717C"/>
    <w:p w:rsidR="0006717C" w:rsidRDefault="0006717C" w:rsidP="00AC01F0">
      <w:pPr>
        <w:jc w:val="both"/>
      </w:pPr>
      <w:r>
        <w:t xml:space="preserve">Thank you for the opportunity to make a submission to the National Water Reform Issues Paper. </w:t>
      </w:r>
      <w:r w:rsidR="000A0DB7">
        <w:t xml:space="preserve"> </w:t>
      </w:r>
      <w:r w:rsidR="00B4344E">
        <w:t>T</w:t>
      </w:r>
      <w:r w:rsidR="00652F97">
        <w:t>he focus of this</w:t>
      </w:r>
      <w:r>
        <w:t xml:space="preserve"> submission is </w:t>
      </w:r>
      <w:r w:rsidR="00AC01F0">
        <w:t>on Chapter 5 of the Issues Paper - Water Resource Management</w:t>
      </w:r>
      <w:r w:rsidR="003904EF">
        <w:t>. I</w:t>
      </w:r>
      <w:r w:rsidR="00AC01F0">
        <w:t>n par</w:t>
      </w:r>
      <w:bookmarkStart w:id="0" w:name="_GoBack"/>
      <w:bookmarkEnd w:id="0"/>
      <w:r w:rsidR="00AC01F0">
        <w:t>ticular</w:t>
      </w:r>
      <w:r w:rsidR="00541AC2">
        <w:t>, it</w:t>
      </w:r>
      <w:r w:rsidR="003904EF">
        <w:t xml:space="preserve"> focus</w:t>
      </w:r>
      <w:r w:rsidR="00541AC2">
        <w:t>es</w:t>
      </w:r>
      <w:r w:rsidR="00AC01F0">
        <w:t xml:space="preserve"> </w:t>
      </w:r>
      <w:r>
        <w:t xml:space="preserve">on </w:t>
      </w:r>
      <w:r w:rsidR="000A0DB7">
        <w:t xml:space="preserve">one of the </w:t>
      </w:r>
      <w:r>
        <w:t>future reform priorities identified by the Nation</w:t>
      </w:r>
      <w:r w:rsidR="0007650E">
        <w:t xml:space="preserve">al Water Commission in 2014 as </w:t>
      </w:r>
      <w:r>
        <w:t>unfinished busines</w:t>
      </w:r>
      <w:r w:rsidR="00AC01F0">
        <w:t>s, namely</w:t>
      </w:r>
      <w:r>
        <w:t xml:space="preserve"> ‘specific pathways to achieve Indigenous ob</w:t>
      </w:r>
      <w:r w:rsidR="00541AC2">
        <w:t>jectives through water planning</w:t>
      </w:r>
      <w:r>
        <w:t>’</w:t>
      </w:r>
      <w:r w:rsidR="0007650E">
        <w:rPr>
          <w:rStyle w:val="FootnoteReference"/>
        </w:rPr>
        <w:footnoteReference w:id="2"/>
      </w:r>
      <w:r w:rsidR="00F54B07">
        <w:t xml:space="preserve"> and </w:t>
      </w:r>
      <w:r w:rsidR="001E1B8F">
        <w:t xml:space="preserve">associated questions </w:t>
      </w:r>
      <w:r w:rsidR="00541AC2">
        <w:t>in the Productivity Commission’s Issues Paper.</w:t>
      </w:r>
      <w:r w:rsidR="00215883">
        <w:t xml:space="preserve"> My responses to</w:t>
      </w:r>
      <w:r w:rsidR="00074B84">
        <w:t xml:space="preserve"> </w:t>
      </w:r>
      <w:r w:rsidR="00B4344E">
        <w:t>the questions are set out below.</w:t>
      </w:r>
    </w:p>
    <w:p w:rsidR="00AC01F0" w:rsidRPr="000A0DB7" w:rsidRDefault="00AC01F0" w:rsidP="002A6BD3">
      <w:pPr>
        <w:pStyle w:val="ListParagraph"/>
        <w:numPr>
          <w:ilvl w:val="0"/>
          <w:numId w:val="2"/>
        </w:numPr>
        <w:ind w:left="357" w:hanging="357"/>
        <w:contextualSpacing w:val="0"/>
        <w:jc w:val="both"/>
        <w:rPr>
          <w:b/>
        </w:rPr>
      </w:pPr>
      <w:r w:rsidRPr="000A0DB7">
        <w:rPr>
          <w:b/>
        </w:rPr>
        <w:t>How can the interests and needs of Indigenous people be better accommodated and represented in water planning processes?</w:t>
      </w:r>
    </w:p>
    <w:p w:rsidR="000A0DB7" w:rsidRPr="000A0DB7" w:rsidRDefault="000A0DB7" w:rsidP="008C4AE7">
      <w:pPr>
        <w:pStyle w:val="ListParagraph"/>
        <w:numPr>
          <w:ilvl w:val="1"/>
          <w:numId w:val="2"/>
        </w:numPr>
        <w:ind w:left="993" w:hanging="654"/>
        <w:jc w:val="both"/>
        <w:rPr>
          <w:u w:val="single"/>
        </w:rPr>
      </w:pPr>
      <w:r w:rsidRPr="000A0DB7">
        <w:rPr>
          <w:u w:val="single"/>
        </w:rPr>
        <w:t>Legislative Amendments:</w:t>
      </w:r>
    </w:p>
    <w:p w:rsidR="00541AC2" w:rsidRDefault="000A0DB7" w:rsidP="00AC01F0">
      <w:pPr>
        <w:jc w:val="both"/>
      </w:pPr>
      <w:r>
        <w:t xml:space="preserve">Water </w:t>
      </w:r>
      <w:r w:rsidR="00BC44E6">
        <w:t>planning processes are generally</w:t>
      </w:r>
      <w:r>
        <w:t xml:space="preserve"> undertak</w:t>
      </w:r>
      <w:r w:rsidR="0007650E">
        <w:t>en by the states. Accordingly, better accommodation and representation of Indigenous interests and needs</w:t>
      </w:r>
      <w:r w:rsidR="00074B84">
        <w:t xml:space="preserve"> </w:t>
      </w:r>
      <w:r w:rsidR="00953EB6">
        <w:t xml:space="preserve">in water planning processes </w:t>
      </w:r>
      <w:r w:rsidR="00074B84">
        <w:t xml:space="preserve">can be achieved by </w:t>
      </w:r>
      <w:r>
        <w:t xml:space="preserve">states </w:t>
      </w:r>
      <w:r w:rsidR="00215883">
        <w:t>a</w:t>
      </w:r>
      <w:r w:rsidR="00AC01F0">
        <w:t>mendi</w:t>
      </w:r>
      <w:r w:rsidR="003904EF">
        <w:t xml:space="preserve">ng </w:t>
      </w:r>
      <w:r>
        <w:t xml:space="preserve">their </w:t>
      </w:r>
      <w:r w:rsidR="00541AC2">
        <w:t>relevant wa</w:t>
      </w:r>
      <w:r w:rsidR="006C42DD">
        <w:t xml:space="preserve">ter </w:t>
      </w:r>
      <w:r>
        <w:t>laws</w:t>
      </w:r>
      <w:r w:rsidR="003904EF">
        <w:t xml:space="preserve"> to</w:t>
      </w:r>
      <w:r w:rsidR="00541AC2">
        <w:t>:</w:t>
      </w:r>
    </w:p>
    <w:p w:rsidR="00541AC2" w:rsidRDefault="00541AC2" w:rsidP="00541AC2">
      <w:pPr>
        <w:pStyle w:val="ListParagraph"/>
        <w:numPr>
          <w:ilvl w:val="0"/>
          <w:numId w:val="1"/>
        </w:numPr>
        <w:jc w:val="both"/>
      </w:pPr>
      <w:r>
        <w:t xml:space="preserve">specifically refer to Indigenous interests, needs, values and uses; and </w:t>
      </w:r>
    </w:p>
    <w:p w:rsidR="00AC01F0" w:rsidRDefault="003904EF" w:rsidP="00541AC2">
      <w:pPr>
        <w:pStyle w:val="ListParagraph"/>
        <w:numPr>
          <w:ilvl w:val="0"/>
          <w:numId w:val="1"/>
        </w:numPr>
        <w:jc w:val="both"/>
      </w:pPr>
      <w:r>
        <w:t xml:space="preserve">mandate </w:t>
      </w:r>
      <w:r w:rsidR="00AC01F0">
        <w:t xml:space="preserve">representation on </w:t>
      </w:r>
      <w:r w:rsidR="00541AC2">
        <w:t xml:space="preserve">advisory and </w:t>
      </w:r>
      <w:r w:rsidR="00AC01F0">
        <w:t>decision-making bodies.</w:t>
      </w:r>
    </w:p>
    <w:p w:rsidR="00BC44E6" w:rsidRDefault="00215883" w:rsidP="00AC01F0">
      <w:pPr>
        <w:jc w:val="both"/>
      </w:pPr>
      <w:r>
        <w:t xml:space="preserve">Some states, such as NSW and Queensland, </w:t>
      </w:r>
      <w:r w:rsidR="0007650E">
        <w:t xml:space="preserve">already </w:t>
      </w:r>
      <w:r>
        <w:t>include references</w:t>
      </w:r>
      <w:r w:rsidR="0010294F">
        <w:t xml:space="preserve"> to Aboriginal and Torres Strait Islander interests</w:t>
      </w:r>
      <w:r>
        <w:t xml:space="preserve"> and uses in the objects</w:t>
      </w:r>
      <w:r w:rsidR="0010294F">
        <w:t xml:space="preserve"> or purposes</w:t>
      </w:r>
      <w:r>
        <w:t xml:space="preserve"> of their water management legislation</w:t>
      </w:r>
      <w:r w:rsidR="00074B84">
        <w:t>.</w:t>
      </w:r>
      <w:r w:rsidR="00074B84">
        <w:rPr>
          <w:rStyle w:val="FootnoteReference"/>
        </w:rPr>
        <w:footnoteReference w:id="3"/>
      </w:r>
      <w:r w:rsidR="00074B84">
        <w:t xml:space="preserve"> </w:t>
      </w:r>
      <w:r>
        <w:t xml:space="preserve">NSW </w:t>
      </w:r>
      <w:r w:rsidR="00074B84">
        <w:t>also mandates</w:t>
      </w:r>
      <w:r>
        <w:t xml:space="preserve"> Indigenous representation on </w:t>
      </w:r>
      <w:r w:rsidR="00BF3615">
        <w:t>water management committees</w:t>
      </w:r>
      <w:r w:rsidR="00074B84">
        <w:t>.</w:t>
      </w:r>
      <w:r w:rsidR="00074B84">
        <w:rPr>
          <w:rStyle w:val="FootnoteReference"/>
        </w:rPr>
        <w:footnoteReference w:id="4"/>
      </w:r>
      <w:r w:rsidR="00BF3615">
        <w:t xml:space="preserve"> </w:t>
      </w:r>
      <w:r w:rsidR="00074B84">
        <w:t>B</w:t>
      </w:r>
      <w:r>
        <w:t>ut water legislation in other states, such as Victoria, is</w:t>
      </w:r>
      <w:r w:rsidR="0007650E">
        <w:t xml:space="preserve"> silent on these</w:t>
      </w:r>
      <w:r>
        <w:t xml:space="preserve"> </w:t>
      </w:r>
      <w:r w:rsidR="0007650E">
        <w:t>matters</w:t>
      </w:r>
      <w:r>
        <w:t xml:space="preserve">. </w:t>
      </w:r>
      <w:r w:rsidR="008C74E7">
        <w:t>This is likely to</w:t>
      </w:r>
      <w:r w:rsidR="00BC44E6">
        <w:t xml:space="preserve"> have influenced the </w:t>
      </w:r>
      <w:proofErr w:type="spellStart"/>
      <w:r w:rsidR="00BC44E6">
        <w:t>NWC’s</w:t>
      </w:r>
      <w:proofErr w:type="spellEnd"/>
      <w:r w:rsidR="00BC44E6">
        <w:t xml:space="preserve"> finding in 2014 that Indigenous participation in water management decisions continues to be patchy.</w:t>
      </w:r>
      <w:r w:rsidR="00BC44E6">
        <w:rPr>
          <w:rStyle w:val="FootnoteReference"/>
        </w:rPr>
        <w:footnoteReference w:id="5"/>
      </w:r>
      <w:r w:rsidR="00BC44E6">
        <w:t xml:space="preserve"> </w:t>
      </w:r>
    </w:p>
    <w:p w:rsidR="00215883" w:rsidRDefault="002A6BD3" w:rsidP="00AC01F0">
      <w:pPr>
        <w:jc w:val="both"/>
      </w:pPr>
      <w:r>
        <w:t>At the Commonwealth level, t</w:t>
      </w:r>
      <w:r w:rsidR="006C42DD">
        <w:t xml:space="preserve">he </w:t>
      </w:r>
      <w:r w:rsidR="006865A6" w:rsidRPr="00074B84">
        <w:rPr>
          <w:i/>
        </w:rPr>
        <w:t>Water Act 2007</w:t>
      </w:r>
      <w:r w:rsidR="006865A6">
        <w:t xml:space="preserve"> (</w:t>
      </w:r>
      <w:proofErr w:type="spellStart"/>
      <w:r w:rsidR="006865A6">
        <w:t>Cth</w:t>
      </w:r>
      <w:proofErr w:type="spellEnd"/>
      <w:r w:rsidR="006865A6">
        <w:t xml:space="preserve">) also refers to Indigenous </w:t>
      </w:r>
      <w:r>
        <w:t xml:space="preserve">issues, </w:t>
      </w:r>
      <w:r w:rsidR="006865A6">
        <w:t>values and uses in various provisions</w:t>
      </w:r>
      <w:r>
        <w:t>,</w:t>
      </w:r>
      <w:r>
        <w:rPr>
          <w:rStyle w:val="FootnoteReference"/>
        </w:rPr>
        <w:footnoteReference w:id="6"/>
      </w:r>
      <w:r w:rsidR="006865A6">
        <w:t xml:space="preserve"> </w:t>
      </w:r>
      <w:r w:rsidR="008C74E7">
        <w:t>which has subsequently been</w:t>
      </w:r>
      <w:r>
        <w:t xml:space="preserve"> reflected in the 2012 Basin Plan.</w:t>
      </w:r>
      <w:r w:rsidR="00BC44E6">
        <w:rPr>
          <w:rStyle w:val="FootnoteReference"/>
        </w:rPr>
        <w:footnoteReference w:id="7"/>
      </w:r>
      <w:r>
        <w:t xml:space="preserve"> </w:t>
      </w:r>
      <w:r w:rsidR="006865A6">
        <w:t xml:space="preserve">The </w:t>
      </w:r>
      <w:r w:rsidR="006C42DD">
        <w:t xml:space="preserve">Commonwealth has </w:t>
      </w:r>
      <w:r w:rsidR="006865A6">
        <w:t xml:space="preserve">further </w:t>
      </w:r>
      <w:r w:rsidR="006C42DD">
        <w:t>recognised the value of Indigenous knowledge and the importan</w:t>
      </w:r>
      <w:r w:rsidR="006865A6">
        <w:t>ce of Indigenous perspectives in</w:t>
      </w:r>
      <w:r w:rsidR="006C42DD">
        <w:t xml:space="preserve"> recent amendments to the </w:t>
      </w:r>
      <w:r w:rsidR="006C42DD" w:rsidRPr="006865A6">
        <w:rPr>
          <w:i/>
        </w:rPr>
        <w:t>Water Act 2007</w:t>
      </w:r>
      <w:r w:rsidR="006C42DD">
        <w:t xml:space="preserve"> </w:t>
      </w:r>
      <w:r w:rsidR="006865A6">
        <w:t>(</w:t>
      </w:r>
      <w:proofErr w:type="spellStart"/>
      <w:r w:rsidR="006865A6">
        <w:t>Cth</w:t>
      </w:r>
      <w:proofErr w:type="spellEnd"/>
      <w:r w:rsidR="006865A6">
        <w:t xml:space="preserve">) </w:t>
      </w:r>
      <w:r w:rsidR="006C42DD">
        <w:t xml:space="preserve">which have introduced Indigenous matters </w:t>
      </w:r>
      <w:r w:rsidR="006865A6">
        <w:t xml:space="preserve">relevant to Basin water resources </w:t>
      </w:r>
      <w:r w:rsidR="006C42DD">
        <w:t>as a field relevant to</w:t>
      </w:r>
      <w:r w:rsidR="006865A6">
        <w:t xml:space="preserve"> the Murray Darling Basin Authority’s functions.</w:t>
      </w:r>
      <w:r w:rsidR="0007650E">
        <w:rPr>
          <w:rStyle w:val="FootnoteReference"/>
        </w:rPr>
        <w:footnoteReference w:id="8"/>
      </w:r>
      <w:r w:rsidR="006865A6">
        <w:t xml:space="preserve"> </w:t>
      </w:r>
      <w:r w:rsidR="00953EB6">
        <w:t>High level e</w:t>
      </w:r>
      <w:r w:rsidR="006865A6">
        <w:t xml:space="preserve">xpertise in this field makes one eligible for appointment to the </w:t>
      </w:r>
      <w:proofErr w:type="spellStart"/>
      <w:r w:rsidR="006865A6">
        <w:t>MDBA</w:t>
      </w:r>
      <w:proofErr w:type="spellEnd"/>
      <w:r w:rsidR="006865A6">
        <w:t>.</w:t>
      </w:r>
      <w:r w:rsidR="0007650E">
        <w:rPr>
          <w:rStyle w:val="FootnoteReference"/>
        </w:rPr>
        <w:footnoteReference w:id="9"/>
      </w:r>
      <w:r w:rsidR="006865A6">
        <w:t xml:space="preserve"> The Basin Community Committee also provides for Indigenous representation, recently increased from one to </w:t>
      </w:r>
      <w:r w:rsidR="003C2D32">
        <w:t xml:space="preserve">at least </w:t>
      </w:r>
      <w:r w:rsidR="006865A6">
        <w:t xml:space="preserve">two following </w:t>
      </w:r>
      <w:r w:rsidR="006865A6">
        <w:lastRenderedPageBreak/>
        <w:t>the recent amendments</w:t>
      </w:r>
      <w:r w:rsidR="00074B84">
        <w:t>.</w:t>
      </w:r>
      <w:r w:rsidR="00953EB6">
        <w:rPr>
          <w:rStyle w:val="FootnoteReference"/>
        </w:rPr>
        <w:footnoteReference w:id="10"/>
      </w:r>
      <w:r w:rsidR="00074B84">
        <w:t xml:space="preserve"> So it is</w:t>
      </w:r>
      <w:r w:rsidR="006865A6">
        <w:t xml:space="preserve"> clearly </w:t>
      </w:r>
      <w:r w:rsidR="00074B84">
        <w:t xml:space="preserve">not without </w:t>
      </w:r>
      <w:r w:rsidR="00953EB6">
        <w:t>precedent for all of the states and t</w:t>
      </w:r>
      <w:r w:rsidR="006865A6">
        <w:t>erritories to better accommodate Indigenous interests and needs</w:t>
      </w:r>
      <w:r w:rsidR="000B21FC">
        <w:t xml:space="preserve"> by amending</w:t>
      </w:r>
      <w:r w:rsidR="00074B84">
        <w:t xml:space="preserve"> their water laws</w:t>
      </w:r>
      <w:r w:rsidR="006865A6">
        <w:t>.</w:t>
      </w:r>
      <w:r w:rsidR="00074B84">
        <w:t xml:space="preserve"> </w:t>
      </w:r>
    </w:p>
    <w:p w:rsidR="000A0DB7" w:rsidRPr="008C4AE7" w:rsidRDefault="000A0DB7" w:rsidP="008C4AE7">
      <w:pPr>
        <w:pStyle w:val="ListParagraph"/>
        <w:numPr>
          <w:ilvl w:val="1"/>
          <w:numId w:val="2"/>
        </w:numPr>
        <w:ind w:left="993" w:hanging="567"/>
        <w:jc w:val="both"/>
        <w:rPr>
          <w:u w:val="single"/>
        </w:rPr>
      </w:pPr>
      <w:r w:rsidRPr="008C4AE7">
        <w:rPr>
          <w:u w:val="single"/>
        </w:rPr>
        <w:t>Timing of participation:</w:t>
      </w:r>
    </w:p>
    <w:p w:rsidR="003904EF" w:rsidRDefault="003904EF" w:rsidP="00AC01F0">
      <w:pPr>
        <w:jc w:val="both"/>
      </w:pPr>
      <w:r>
        <w:t xml:space="preserve">Indigenous people </w:t>
      </w:r>
      <w:r w:rsidR="00953EB6">
        <w:t xml:space="preserve">should </w:t>
      </w:r>
      <w:r w:rsidR="00074B84">
        <w:t xml:space="preserve">be involved </w:t>
      </w:r>
      <w:r w:rsidR="00541AC2">
        <w:t>at the beginning of water planning proc</w:t>
      </w:r>
      <w:r w:rsidR="00074B84">
        <w:t>esses</w:t>
      </w:r>
      <w:r w:rsidR="00953EB6">
        <w:t xml:space="preserve"> and</w:t>
      </w:r>
      <w:r w:rsidR="00541AC2">
        <w:t xml:space="preserve"> when developing </w:t>
      </w:r>
      <w:r w:rsidR="003C2D32">
        <w:t xml:space="preserve">water related </w:t>
      </w:r>
      <w:r w:rsidR="00541AC2">
        <w:t>legislation (or amendments to)</w:t>
      </w:r>
      <w:r w:rsidR="00074B84">
        <w:t>,</w:t>
      </w:r>
      <w:r w:rsidR="00541AC2">
        <w:t xml:space="preserve"> rather than part way through or at the end.</w:t>
      </w:r>
    </w:p>
    <w:p w:rsidR="00541AC2" w:rsidRDefault="00541AC2" w:rsidP="00AC01F0">
      <w:pPr>
        <w:jc w:val="both"/>
      </w:pPr>
      <w:r>
        <w:t xml:space="preserve">By way of example, Victoria has recently </w:t>
      </w:r>
      <w:r w:rsidR="00004C36">
        <w:t>released the Yarra River Action Plan to protect the</w:t>
      </w:r>
      <w:r>
        <w:t xml:space="preserve"> iconic Yarra River</w:t>
      </w:r>
      <w:r w:rsidR="00004C36">
        <w:t>, including measures for legislative protection</w:t>
      </w:r>
      <w:r w:rsidR="003C2D32">
        <w:t xml:space="preserve"> of the R</w:t>
      </w:r>
      <w:r w:rsidR="00074B84">
        <w:t>iver</w:t>
      </w:r>
      <w:r>
        <w:t>.</w:t>
      </w:r>
      <w:r w:rsidR="000B21FC">
        <w:rPr>
          <w:rStyle w:val="FootnoteReference"/>
        </w:rPr>
        <w:footnoteReference w:id="11"/>
      </w:r>
      <w:r>
        <w:t xml:space="preserve"> </w:t>
      </w:r>
      <w:r w:rsidR="00004C36">
        <w:t xml:space="preserve">What is significant about this Action Plan and </w:t>
      </w:r>
      <w:r w:rsidR="003C2D32">
        <w:t xml:space="preserve">the </w:t>
      </w:r>
      <w:r w:rsidR="00004C36">
        <w:t xml:space="preserve">proposed legislation </w:t>
      </w:r>
      <w:r w:rsidR="00074B84">
        <w:t xml:space="preserve">in the Plan </w:t>
      </w:r>
      <w:r w:rsidR="00CC3C06">
        <w:t>(which still under</w:t>
      </w:r>
      <w:r w:rsidR="00953EB6">
        <w:t xml:space="preserve"> development) wa</w:t>
      </w:r>
      <w:r w:rsidR="00004C36">
        <w:t>s the participation of Traditional Owners from the outset</w:t>
      </w:r>
      <w:r w:rsidR="00B4344E">
        <w:t xml:space="preserve"> in the development of the </w:t>
      </w:r>
      <w:r w:rsidR="006865A6">
        <w:t xml:space="preserve">Action </w:t>
      </w:r>
      <w:r w:rsidR="00B4344E">
        <w:t>Plan by the</w:t>
      </w:r>
      <w:r w:rsidR="00074B84">
        <w:t xml:space="preserve"> </w:t>
      </w:r>
      <w:r w:rsidR="00B4344E">
        <w:t>Ministerial Advisory Committee</w:t>
      </w:r>
      <w:r w:rsidR="00004C36">
        <w:t>. As the for</w:t>
      </w:r>
      <w:r w:rsidR="003C2D32">
        <w:t>ewo</w:t>
      </w:r>
      <w:r w:rsidR="00004C36">
        <w:t xml:space="preserve">rd to the Action Plan </w:t>
      </w:r>
      <w:r w:rsidR="006865A6">
        <w:t xml:space="preserve">by </w:t>
      </w:r>
      <w:proofErr w:type="spellStart"/>
      <w:r w:rsidR="006865A6">
        <w:t>Wurundjeri</w:t>
      </w:r>
      <w:proofErr w:type="spellEnd"/>
      <w:r w:rsidR="006865A6">
        <w:t xml:space="preserve"> </w:t>
      </w:r>
      <w:r w:rsidR="003C2D32">
        <w:t xml:space="preserve">Council </w:t>
      </w:r>
      <w:r w:rsidR="006865A6">
        <w:t xml:space="preserve">Elders </w:t>
      </w:r>
      <w:r w:rsidR="00004C36">
        <w:t>notes:</w:t>
      </w:r>
    </w:p>
    <w:p w:rsidR="00004C36" w:rsidRDefault="00004C36" w:rsidP="00004C36">
      <w:pPr>
        <w:ind w:left="720"/>
        <w:jc w:val="both"/>
      </w:pPr>
      <w:r w:rsidRPr="00004C36">
        <w:t>Unusually, we were sitting upstream, at</w:t>
      </w:r>
      <w:r>
        <w:t xml:space="preserve"> </w:t>
      </w:r>
      <w:r w:rsidRPr="00004C36">
        <w:t>the table where decisions are made, not</w:t>
      </w:r>
      <w:r>
        <w:t xml:space="preserve"> </w:t>
      </w:r>
      <w:r w:rsidRPr="00004C36">
        <w:t>learning about processes that had occurred,</w:t>
      </w:r>
      <w:r>
        <w:t xml:space="preserve"> </w:t>
      </w:r>
      <w:r w:rsidRPr="00004C36">
        <w:t>and decisions made, 12 months or more</w:t>
      </w:r>
      <w:r>
        <w:t xml:space="preserve"> </w:t>
      </w:r>
      <w:r w:rsidRPr="00004C36">
        <w:t>previously. We hope that this Ministerial</w:t>
      </w:r>
      <w:r>
        <w:t xml:space="preserve"> </w:t>
      </w:r>
      <w:r w:rsidRPr="00004C36">
        <w:t>Advisory Committee marks the beginning</w:t>
      </w:r>
      <w:r>
        <w:t xml:space="preserve"> </w:t>
      </w:r>
      <w:r w:rsidRPr="00004C36">
        <w:t>of something quite different to decision</w:t>
      </w:r>
      <w:r>
        <w:t xml:space="preserve"> </w:t>
      </w:r>
      <w:r w:rsidRPr="00004C36">
        <w:t>making on Country; co-designing decisions,</w:t>
      </w:r>
      <w:r>
        <w:t xml:space="preserve"> </w:t>
      </w:r>
      <w:r w:rsidRPr="00004C36">
        <w:t>policies, and managing our sovereign assets</w:t>
      </w:r>
      <w:r>
        <w:t xml:space="preserve"> </w:t>
      </w:r>
      <w:r w:rsidRPr="00004C36">
        <w:t>(land, water and sky) as Traditional Owners</w:t>
      </w:r>
      <w:r>
        <w:t xml:space="preserve"> </w:t>
      </w:r>
      <w:r w:rsidRPr="00004C36">
        <w:t xml:space="preserve">in </w:t>
      </w:r>
      <w:r>
        <w:t>partnership with the state.</w:t>
      </w:r>
    </w:p>
    <w:p w:rsidR="008C4AE7" w:rsidRDefault="008C4AE7" w:rsidP="008C4AE7">
      <w:pPr>
        <w:jc w:val="both"/>
      </w:pPr>
      <w:r>
        <w:t>Involving Indigenous p</w:t>
      </w:r>
      <w:r w:rsidR="008E1017">
        <w:t>eople ea</w:t>
      </w:r>
      <w:r w:rsidR="00953EB6">
        <w:t xml:space="preserve">rly in the process recognises the value </w:t>
      </w:r>
      <w:r w:rsidR="008E1017">
        <w:t xml:space="preserve">of Indigenous </w:t>
      </w:r>
      <w:r w:rsidR="00953EB6">
        <w:t xml:space="preserve">knowledge and </w:t>
      </w:r>
      <w:r w:rsidR="00CC3C06">
        <w:t>views</w:t>
      </w:r>
      <w:r w:rsidR="008E1017">
        <w:t xml:space="preserve"> </w:t>
      </w:r>
      <w:r w:rsidR="00953EB6">
        <w:t xml:space="preserve">and their </w:t>
      </w:r>
      <w:r w:rsidR="004B158D">
        <w:t xml:space="preserve">unique </w:t>
      </w:r>
      <w:r w:rsidR="00953EB6">
        <w:t>status as Australia’s First Peoples</w:t>
      </w:r>
      <w:r w:rsidR="00CC3C06">
        <w:t>, not as merely another stakeholder group</w:t>
      </w:r>
      <w:r w:rsidR="00953EB6">
        <w:t>.</w:t>
      </w:r>
      <w:r w:rsidR="00662FB4">
        <w:t xml:space="preserve"> It is also consistent with the UN Declaration on the Rights of Indigenous Peoples, and in particular articles 18, 19, 25, 26 and 32. </w:t>
      </w:r>
    </w:p>
    <w:p w:rsidR="008C4AE7" w:rsidRPr="008C4AE7" w:rsidRDefault="008C4AE7" w:rsidP="008C4AE7">
      <w:pPr>
        <w:pStyle w:val="ListParagraph"/>
        <w:numPr>
          <w:ilvl w:val="1"/>
          <w:numId w:val="2"/>
        </w:numPr>
        <w:ind w:left="993" w:hanging="567"/>
        <w:jc w:val="both"/>
        <w:rPr>
          <w:u w:val="single"/>
        </w:rPr>
      </w:pPr>
      <w:r w:rsidRPr="008C4AE7">
        <w:rPr>
          <w:u w:val="single"/>
        </w:rPr>
        <w:t>Victorian developments</w:t>
      </w:r>
    </w:p>
    <w:p w:rsidR="00B4344E" w:rsidRDefault="00004C36" w:rsidP="008C4AE7">
      <w:pPr>
        <w:jc w:val="both"/>
      </w:pPr>
      <w:r>
        <w:t>Victoria has made some important strides forward in terms of r</w:t>
      </w:r>
      <w:r w:rsidR="00662FB4">
        <w:t>ecognising Indigenous interests</w:t>
      </w:r>
      <w:r>
        <w:t xml:space="preserve"> and the value of Indigenous knowledge in water management</w:t>
      </w:r>
      <w:r w:rsidR="00B4344E">
        <w:t>. This is evident from the Yarra River Action Plan</w:t>
      </w:r>
      <w:r w:rsidR="003C2D32">
        <w:t xml:space="preserve"> noted above</w:t>
      </w:r>
      <w:r>
        <w:t xml:space="preserve">, </w:t>
      </w:r>
      <w:r w:rsidR="00B4344E">
        <w:t xml:space="preserve">which contains a proposal for legislation which will </w:t>
      </w:r>
      <w:r w:rsidR="003C2D32">
        <w:t xml:space="preserve">require Indigenous inclusion in planning processes, and will establish </w:t>
      </w:r>
      <w:r w:rsidR="00B4344E">
        <w:t>an</w:t>
      </w:r>
      <w:r w:rsidR="008E1017">
        <w:t xml:space="preserve"> independent</w:t>
      </w:r>
      <w:r w:rsidR="00B4344E">
        <w:t xml:space="preserve"> advisory body, the </w:t>
      </w:r>
      <w:proofErr w:type="spellStart"/>
      <w:r w:rsidR="00B4344E">
        <w:t>Birrarung</w:t>
      </w:r>
      <w:proofErr w:type="spellEnd"/>
      <w:r w:rsidR="00B4344E">
        <w:t xml:space="preserve"> Council. The legislation will specifically provide for the Council to have</w:t>
      </w:r>
      <w:r w:rsidR="003C2D32">
        <w:t xml:space="preserve"> at least</w:t>
      </w:r>
      <w:r w:rsidR="00074B84">
        <w:t xml:space="preserve"> </w:t>
      </w:r>
      <w:r w:rsidR="003C2D32">
        <w:t xml:space="preserve">two </w:t>
      </w:r>
      <w:r w:rsidR="00B4344E">
        <w:t>Traditional Owner representatives on it.</w:t>
      </w:r>
      <w:r w:rsidR="004B158D">
        <w:rPr>
          <w:rStyle w:val="FootnoteReference"/>
        </w:rPr>
        <w:footnoteReference w:id="12"/>
      </w:r>
      <w:r w:rsidR="00B4344E">
        <w:t xml:space="preserve">  </w:t>
      </w:r>
    </w:p>
    <w:p w:rsidR="00C84B83" w:rsidRDefault="00B4344E" w:rsidP="00004C36">
      <w:pPr>
        <w:jc w:val="both"/>
        <w:rPr>
          <w:rFonts w:cs="VIC"/>
          <w:color w:val="000000"/>
          <w:szCs w:val="24"/>
        </w:rPr>
      </w:pPr>
      <w:r>
        <w:t xml:space="preserve">It is also evident </w:t>
      </w:r>
      <w:r w:rsidR="008E1017">
        <w:t>in the</w:t>
      </w:r>
      <w:r w:rsidR="00004C36">
        <w:t xml:space="preserve"> </w:t>
      </w:r>
      <w:r w:rsidR="00004C36" w:rsidRPr="004E0B08">
        <w:t>2016</w:t>
      </w:r>
      <w:r w:rsidR="00004C36">
        <w:t xml:space="preserve"> Water Plan</w:t>
      </w:r>
      <w:r w:rsidR="008E1017">
        <w:t>,</w:t>
      </w:r>
      <w:r w:rsidR="004E0B08">
        <w:t xml:space="preserve"> ‘Water for Victoria’</w:t>
      </w:r>
      <w:r>
        <w:t xml:space="preserve"> under which the Victorian government has </w:t>
      </w:r>
      <w:r w:rsidR="00C84B83">
        <w:t>committed to invest in an Aboriginal Water Program</w:t>
      </w:r>
      <w:r w:rsidR="00074B84">
        <w:t>, being</w:t>
      </w:r>
      <w:r w:rsidR="00C84B83">
        <w:t xml:space="preserve"> </w:t>
      </w:r>
      <w:r w:rsidR="00C84B83" w:rsidRPr="00C84B83">
        <w:rPr>
          <w:szCs w:val="24"/>
        </w:rPr>
        <w:t>‘</w:t>
      </w:r>
      <w:r w:rsidR="00C84B83" w:rsidRPr="00C84B83">
        <w:rPr>
          <w:rFonts w:cs="VIC"/>
          <w:color w:val="000000"/>
          <w:szCs w:val="24"/>
        </w:rPr>
        <w:t xml:space="preserve">a </w:t>
      </w:r>
      <w:proofErr w:type="spellStart"/>
      <w:r w:rsidR="00C84B83" w:rsidRPr="00C84B83">
        <w:rPr>
          <w:rFonts w:cs="VIC"/>
          <w:color w:val="000000"/>
          <w:szCs w:val="24"/>
        </w:rPr>
        <w:t>state-wide</w:t>
      </w:r>
      <w:proofErr w:type="spellEnd"/>
      <w:r w:rsidR="00C84B83" w:rsidRPr="00C84B83">
        <w:rPr>
          <w:rFonts w:cs="VIC"/>
          <w:color w:val="000000"/>
          <w:szCs w:val="24"/>
        </w:rPr>
        <w:t xml:space="preserve"> approach to incorporate Aboriginal values and expertise into water management.</w:t>
      </w:r>
      <w:r w:rsidR="00C84B83">
        <w:rPr>
          <w:rFonts w:cs="VIC"/>
          <w:color w:val="000000"/>
          <w:szCs w:val="24"/>
        </w:rPr>
        <w:t>’</w:t>
      </w:r>
      <w:r w:rsidR="007D5603">
        <w:rPr>
          <w:rStyle w:val="FootnoteReference"/>
          <w:rFonts w:cs="VIC"/>
          <w:color w:val="000000"/>
          <w:szCs w:val="24"/>
        </w:rPr>
        <w:footnoteReference w:id="13"/>
      </w:r>
      <w:r w:rsidR="00C84B83">
        <w:rPr>
          <w:rFonts w:cs="VIC"/>
          <w:color w:val="000000"/>
          <w:szCs w:val="24"/>
        </w:rPr>
        <w:t xml:space="preserve"> The program involves the establishment of an Aboriginal Reference Group to co-design the Program with the Department of Environment, Land, Water and Planning.</w:t>
      </w:r>
    </w:p>
    <w:p w:rsidR="00004C36" w:rsidRDefault="008E1017" w:rsidP="00004C36">
      <w:pPr>
        <w:jc w:val="both"/>
      </w:pPr>
      <w:r>
        <w:rPr>
          <w:rFonts w:cs="VIC"/>
          <w:color w:val="000000"/>
          <w:szCs w:val="24"/>
        </w:rPr>
        <w:t>The Victorian Government</w:t>
      </w:r>
      <w:r w:rsidR="00C84B83">
        <w:rPr>
          <w:rFonts w:cs="VIC"/>
          <w:color w:val="000000"/>
          <w:szCs w:val="24"/>
        </w:rPr>
        <w:t xml:space="preserve"> has also</w:t>
      </w:r>
      <w:r w:rsidR="00C84B83">
        <w:rPr>
          <w:rFonts w:cs="VIC"/>
          <w:color w:val="000000"/>
          <w:sz w:val="17"/>
          <w:szCs w:val="17"/>
        </w:rPr>
        <w:t xml:space="preserve"> </w:t>
      </w:r>
      <w:r w:rsidR="00B4344E">
        <w:t xml:space="preserve">committed to appoint an Indigenous person to be a Commissioner on the </w:t>
      </w:r>
      <w:r w:rsidR="00EE3E5A">
        <w:t>Victorian Environmental Water Holder</w:t>
      </w:r>
      <w:r w:rsidR="00B4344E">
        <w:t>.</w:t>
      </w:r>
      <w:r>
        <w:rPr>
          <w:rStyle w:val="FootnoteReference"/>
        </w:rPr>
        <w:footnoteReference w:id="14"/>
      </w:r>
      <w:r w:rsidR="00B4344E">
        <w:t xml:space="preserve"> This</w:t>
      </w:r>
      <w:r w:rsidR="00EE3E5A">
        <w:t xml:space="preserve"> will make significant </w:t>
      </w:r>
      <w:r w:rsidR="00EE3E5A">
        <w:lastRenderedPageBreak/>
        <w:t xml:space="preserve">inroads into ensuring Indigenous perspectives are part of the environmental watering </w:t>
      </w:r>
      <w:r w:rsidR="00074B84">
        <w:t xml:space="preserve">decision-making </w:t>
      </w:r>
      <w:r w:rsidR="00EE3E5A">
        <w:t>process</w:t>
      </w:r>
      <w:r w:rsidR="001E1B8F">
        <w:t xml:space="preserve">, and will assist in maximising social and cultural benefits </w:t>
      </w:r>
      <w:r w:rsidR="002974FA">
        <w:t>of environmental watering</w:t>
      </w:r>
      <w:r w:rsidR="001E1B8F">
        <w:t xml:space="preserve"> wherever possible</w:t>
      </w:r>
      <w:r w:rsidR="00EE3E5A">
        <w:t xml:space="preserve">. </w:t>
      </w:r>
      <w:r w:rsidR="008C74E7" w:rsidRPr="008C74E7">
        <w:t>Indigenous participation</w:t>
      </w:r>
      <w:r w:rsidR="001E1B8F" w:rsidRPr="008C74E7">
        <w:t xml:space="preserve"> </w:t>
      </w:r>
      <w:r w:rsidR="002974FA" w:rsidRPr="008C74E7">
        <w:t>should therefore be one of the guiding principles for ‘best practice’ management of environmental water</w:t>
      </w:r>
      <w:r w:rsidR="002974FA">
        <w:t>.</w:t>
      </w:r>
      <w:r w:rsidR="002974FA">
        <w:rPr>
          <w:rStyle w:val="FootnoteReference"/>
        </w:rPr>
        <w:footnoteReference w:id="15"/>
      </w:r>
      <w:r w:rsidR="002974FA">
        <w:t xml:space="preserve"> </w:t>
      </w:r>
      <w:r w:rsidR="00EE3E5A">
        <w:t>There has also been an improvement in the representation of Traditional Owners on various Catchment Management Authorities.</w:t>
      </w:r>
      <w:r w:rsidR="004B158D">
        <w:rPr>
          <w:rStyle w:val="FootnoteReference"/>
        </w:rPr>
        <w:footnoteReference w:id="16"/>
      </w:r>
      <w:r w:rsidR="00EE3E5A">
        <w:t xml:space="preserve"> </w:t>
      </w:r>
    </w:p>
    <w:p w:rsidR="000A0DB7" w:rsidRDefault="00AB4E16" w:rsidP="00AC01F0">
      <w:pPr>
        <w:jc w:val="both"/>
      </w:pPr>
      <w:r>
        <w:t xml:space="preserve">However, </w:t>
      </w:r>
      <w:r w:rsidR="00C84B83">
        <w:t xml:space="preserve">with the exception of the proposed Yarra River protection legislation, what is notably lacking </w:t>
      </w:r>
      <w:r w:rsidR="00F13C3D">
        <w:t xml:space="preserve">in Victoria </w:t>
      </w:r>
      <w:r w:rsidR="00C84B83">
        <w:t xml:space="preserve">is a </w:t>
      </w:r>
      <w:r w:rsidR="008C74E7">
        <w:t xml:space="preserve">willingness to amend </w:t>
      </w:r>
      <w:r>
        <w:t>relevant legislation to</w:t>
      </w:r>
      <w:r w:rsidR="00074B84">
        <w:t xml:space="preserve"> statutorily</w:t>
      </w:r>
      <w:r>
        <w:t xml:space="preserve"> </w:t>
      </w:r>
      <w:r w:rsidR="00F13C3D">
        <w:t>enshrine Indigenous values and uses</w:t>
      </w:r>
      <w:r w:rsidR="000A0DB7">
        <w:t xml:space="preserve"> in relation to water</w:t>
      </w:r>
      <w:r w:rsidR="00662FB4">
        <w:t xml:space="preserve"> and </w:t>
      </w:r>
      <w:r w:rsidR="00F13C3D">
        <w:t>ensure the continuing representation of Indigenous</w:t>
      </w:r>
      <w:r w:rsidR="008C74E7">
        <w:t xml:space="preserve"> people</w:t>
      </w:r>
      <w:r>
        <w:t xml:space="preserve"> </w:t>
      </w:r>
      <w:r w:rsidR="00F13C3D">
        <w:t>on manag</w:t>
      </w:r>
      <w:r w:rsidR="00CC3C06">
        <w:t>ement and advisory bodies established</w:t>
      </w:r>
      <w:r w:rsidR="00F13C3D">
        <w:t xml:space="preserve"> under that legislation.</w:t>
      </w:r>
      <w:r w:rsidR="000A0DB7">
        <w:rPr>
          <w:rStyle w:val="FootnoteReference"/>
        </w:rPr>
        <w:footnoteReference w:id="17"/>
      </w:r>
      <w:r w:rsidR="00F13C3D">
        <w:t xml:space="preserve"> </w:t>
      </w:r>
      <w:r>
        <w:t>Unlike the p</w:t>
      </w:r>
      <w:r w:rsidR="00C84B83">
        <w:t>roposed Yarra River protection l</w:t>
      </w:r>
      <w:r>
        <w:t>egislation, this leaves</w:t>
      </w:r>
      <w:r w:rsidR="00F13C3D">
        <w:t xml:space="preserve"> Indigenous values and uses, as well as representation,</w:t>
      </w:r>
      <w:r>
        <w:t xml:space="preserve"> vulnerable to the whims of the government of the day.</w:t>
      </w:r>
      <w:r w:rsidR="00492D04">
        <w:t xml:space="preserve"> </w:t>
      </w:r>
      <w:r w:rsidR="00F54B07">
        <w:t>This de</w:t>
      </w:r>
      <w:r w:rsidR="00AF2FFA">
        <w:t xml:space="preserve">ficiency can </w:t>
      </w:r>
      <w:r w:rsidR="00CC3C06">
        <w:t xml:space="preserve">no doubt </w:t>
      </w:r>
      <w:r w:rsidR="00AF2FFA">
        <w:t xml:space="preserve">be extrapolated </w:t>
      </w:r>
      <w:r w:rsidR="00662FB4">
        <w:t xml:space="preserve">to </w:t>
      </w:r>
      <w:r w:rsidR="00F54B07">
        <w:t>water le</w:t>
      </w:r>
      <w:r w:rsidR="00CC3C06">
        <w:t xml:space="preserve">gislation in </w:t>
      </w:r>
      <w:r w:rsidR="00586A4B">
        <w:t>other s</w:t>
      </w:r>
      <w:r w:rsidR="00F54B07">
        <w:t>tates.</w:t>
      </w:r>
      <w:r w:rsidR="004C6780">
        <w:t xml:space="preserve"> </w:t>
      </w:r>
    </w:p>
    <w:p w:rsidR="00F54B07" w:rsidRDefault="000A0DB7" w:rsidP="00AC01F0">
      <w:pPr>
        <w:jc w:val="both"/>
        <w:rPr>
          <w:b/>
        </w:rPr>
      </w:pPr>
      <w:r>
        <w:t>Statutory recognition of Indigenous values, uses and representation</w:t>
      </w:r>
      <w:r w:rsidR="004C6780">
        <w:t xml:space="preserve"> </w:t>
      </w:r>
      <w:r w:rsidR="008C4AE7">
        <w:t>is important because it</w:t>
      </w:r>
      <w:r w:rsidR="004C6780">
        <w:t xml:space="preserve"> complement</w:t>
      </w:r>
      <w:r w:rsidR="008C4AE7">
        <w:t>s</w:t>
      </w:r>
      <w:r w:rsidR="004C6780">
        <w:t xml:space="preserve"> and strengthen</w:t>
      </w:r>
      <w:r w:rsidR="008C4AE7">
        <w:t>s</w:t>
      </w:r>
      <w:r w:rsidR="004C6780">
        <w:t xml:space="preserve"> existing non-legislative arrangements</w:t>
      </w:r>
      <w:r w:rsidR="00492D04">
        <w:t>. A</w:t>
      </w:r>
      <w:r>
        <w:t xml:space="preserve">lternatively, </w:t>
      </w:r>
      <w:r w:rsidR="00492D04">
        <w:t xml:space="preserve">it </w:t>
      </w:r>
      <w:r w:rsidR="00662FB4">
        <w:t>may</w:t>
      </w:r>
      <w:r w:rsidR="008C4AE7">
        <w:t xml:space="preserve"> </w:t>
      </w:r>
      <w:r w:rsidR="004C6780">
        <w:t xml:space="preserve">provide the impetus for such arrangements to </w:t>
      </w:r>
      <w:r w:rsidR="00662FB4">
        <w:t xml:space="preserve">be </w:t>
      </w:r>
      <w:r>
        <w:t>developed</w:t>
      </w:r>
      <w:r w:rsidR="004C6780">
        <w:t>.</w:t>
      </w:r>
      <w:r w:rsidR="00662FB4">
        <w:t xml:space="preserve"> States and territories should </w:t>
      </w:r>
      <w:r w:rsidR="00586A4B">
        <w:t xml:space="preserve">therefore </w:t>
      </w:r>
      <w:r w:rsidR="00662FB4">
        <w:t>be encouraged to amend their water laws to specifically recognise Indigenous interests, uses and values, and to provide for Indigenous representation on advisory and decision-making bodies.</w:t>
      </w:r>
    </w:p>
    <w:p w:rsidR="00AC01F0" w:rsidRPr="008C4AE7" w:rsidRDefault="00AC01F0" w:rsidP="008C4AE7">
      <w:pPr>
        <w:pStyle w:val="ListParagraph"/>
        <w:numPr>
          <w:ilvl w:val="0"/>
          <w:numId w:val="2"/>
        </w:numPr>
        <w:jc w:val="both"/>
        <w:rPr>
          <w:b/>
        </w:rPr>
      </w:pPr>
      <w:r w:rsidRPr="008C4AE7">
        <w:rPr>
          <w:b/>
        </w:rPr>
        <w:t xml:space="preserve">Should further water reform be pursued through an improved </w:t>
      </w:r>
      <w:proofErr w:type="spellStart"/>
      <w:r w:rsidRPr="008C4AE7">
        <w:rPr>
          <w:b/>
        </w:rPr>
        <w:t>NWI</w:t>
      </w:r>
      <w:proofErr w:type="spellEnd"/>
      <w:r w:rsidRPr="008C4AE7">
        <w:rPr>
          <w:b/>
        </w:rPr>
        <w:t>?</w:t>
      </w:r>
    </w:p>
    <w:p w:rsidR="00AC01F0" w:rsidRDefault="00144066" w:rsidP="00AC01F0">
      <w:pPr>
        <w:jc w:val="both"/>
      </w:pPr>
      <w:r>
        <w:t xml:space="preserve">In short, yes. </w:t>
      </w:r>
      <w:r w:rsidR="00AC01F0">
        <w:t xml:space="preserve">The </w:t>
      </w:r>
      <w:proofErr w:type="spellStart"/>
      <w:r w:rsidR="00AC01F0">
        <w:t>NWI</w:t>
      </w:r>
      <w:proofErr w:type="spellEnd"/>
      <w:r w:rsidR="00AC01F0">
        <w:t xml:space="preserve"> is now nearly 13 years old. Insofar as it provides for the recognition of Indigenous needs in relation </w:t>
      </w:r>
      <w:r w:rsidR="00CD00A3">
        <w:t>to water access and management,</w:t>
      </w:r>
      <w:r w:rsidR="00CD00A3">
        <w:rPr>
          <w:rStyle w:val="FootnoteReference"/>
        </w:rPr>
        <w:footnoteReference w:id="18"/>
      </w:r>
      <w:r w:rsidR="00CD00A3">
        <w:t xml:space="preserve"> it is deficient in a </w:t>
      </w:r>
      <w:r w:rsidR="00AC01F0">
        <w:t xml:space="preserve">number of respects. </w:t>
      </w:r>
    </w:p>
    <w:p w:rsidR="003529F7" w:rsidRDefault="00CD00A3" w:rsidP="00AC01F0">
      <w:pPr>
        <w:jc w:val="both"/>
      </w:pPr>
      <w:r>
        <w:t>The main paragraphs</w:t>
      </w:r>
      <w:r w:rsidR="00AC01F0" w:rsidRPr="00AC01F0">
        <w:t xml:space="preserve"> in the </w:t>
      </w:r>
      <w:proofErr w:type="spellStart"/>
      <w:r w:rsidR="00AC01F0" w:rsidRPr="006C42DD">
        <w:rPr>
          <w:iCs/>
        </w:rPr>
        <w:t>NWI</w:t>
      </w:r>
      <w:proofErr w:type="spellEnd"/>
      <w:r w:rsidR="00AC01F0" w:rsidRPr="00AC01F0">
        <w:rPr>
          <w:i/>
          <w:iCs/>
        </w:rPr>
        <w:t xml:space="preserve"> </w:t>
      </w:r>
      <w:r w:rsidR="00AC01F0" w:rsidRPr="00AC01F0">
        <w:t>relating to Indigenou</w:t>
      </w:r>
      <w:r w:rsidR="005967BA">
        <w:t>s interests in water are paras</w:t>
      </w:r>
      <w:r w:rsidR="00AC01F0" w:rsidRPr="00AC01F0">
        <w:t xml:space="preserve"> 52‒54. </w:t>
      </w:r>
    </w:p>
    <w:p w:rsidR="003529F7" w:rsidRDefault="005967BA" w:rsidP="00AC01F0">
      <w:pPr>
        <w:jc w:val="both"/>
      </w:pPr>
      <w:r>
        <w:t>Paragraph</w:t>
      </w:r>
      <w:r w:rsidR="00AC01F0" w:rsidRPr="00AC01F0">
        <w:t xml:space="preserve"> 52 </w:t>
      </w:r>
      <w:r w:rsidR="00CD00A3">
        <w:t>calls for Indigenous representation</w:t>
      </w:r>
      <w:r w:rsidR="00AC01F0" w:rsidRPr="00AC01F0">
        <w:t xml:space="preserve"> in water planning, which is qualified by the phrase ‘wherever possible’, so it is only aspirational in its terms. </w:t>
      </w:r>
    </w:p>
    <w:p w:rsidR="00C35888" w:rsidRDefault="005967BA" w:rsidP="00AC01F0">
      <w:pPr>
        <w:jc w:val="both"/>
      </w:pPr>
      <w:r>
        <w:t>Paragraphs</w:t>
      </w:r>
      <w:r w:rsidR="00AC01F0" w:rsidRPr="00AC01F0">
        <w:t xml:space="preserve"> 53 and 54 both refer to native title</w:t>
      </w:r>
      <w:r w:rsidR="003529F7">
        <w:t>, h</w:t>
      </w:r>
      <w:r w:rsidR="00C35888">
        <w:t xml:space="preserve">owever </w:t>
      </w:r>
      <w:r w:rsidR="00C35888" w:rsidRPr="00C35888">
        <w:t>native title is an inadequate mechanism t</w:t>
      </w:r>
      <w:r w:rsidR="003529F7">
        <w:t>o achieve Indigenous objectives</w:t>
      </w:r>
      <w:r w:rsidR="00C35888">
        <w:t xml:space="preserve">. It is limited to </w:t>
      </w:r>
      <w:r w:rsidR="00C35888" w:rsidRPr="00C35888">
        <w:t>only those rights capable of being recognised by the common law, which is reflected in the limited scope of water rights recognised in determinations to date</w:t>
      </w:r>
      <w:r w:rsidR="003529F7">
        <w:t xml:space="preserve"> (</w:t>
      </w:r>
      <w:proofErr w:type="spellStart"/>
      <w:r w:rsidR="003529F7">
        <w:t>eg</w:t>
      </w:r>
      <w:proofErr w:type="spellEnd"/>
      <w:r w:rsidR="003529F7">
        <w:t xml:space="preserve"> spiritual, cultural and non-commercial communal needs, with no participatory </w:t>
      </w:r>
      <w:r>
        <w:t xml:space="preserve">management </w:t>
      </w:r>
      <w:r w:rsidR="003529F7">
        <w:t>rights)</w:t>
      </w:r>
      <w:r w:rsidR="00C35888" w:rsidRPr="00C35888">
        <w:t xml:space="preserve">. The </w:t>
      </w:r>
      <w:proofErr w:type="spellStart"/>
      <w:r w:rsidR="00C35888" w:rsidRPr="00C35888">
        <w:rPr>
          <w:i/>
          <w:iCs/>
        </w:rPr>
        <w:t>NTA</w:t>
      </w:r>
      <w:proofErr w:type="spellEnd"/>
      <w:r w:rsidR="00C35888" w:rsidRPr="00C35888">
        <w:rPr>
          <w:i/>
          <w:iCs/>
        </w:rPr>
        <w:t xml:space="preserve"> </w:t>
      </w:r>
      <w:r w:rsidR="00C35888" w:rsidRPr="00C35888">
        <w:t>provisions relating to procedural rights</w:t>
      </w:r>
      <w:r w:rsidR="00C35888">
        <w:t>,</w:t>
      </w:r>
      <w:r w:rsidR="003529F7">
        <w:t xml:space="preserve"> as interpreted by the courts</w:t>
      </w:r>
      <w:r w:rsidR="00C35888" w:rsidRPr="00C35888">
        <w:t xml:space="preserve"> </w:t>
      </w:r>
      <w:r w:rsidR="003529F7">
        <w:t>(</w:t>
      </w:r>
      <w:proofErr w:type="spellStart"/>
      <w:r w:rsidR="003529F7">
        <w:t>eg</w:t>
      </w:r>
      <w:proofErr w:type="spellEnd"/>
      <w:r w:rsidR="003529F7">
        <w:t xml:space="preserve"> </w:t>
      </w:r>
      <w:r w:rsidR="006C42DD">
        <w:t xml:space="preserve">the opportunity to comment in </w:t>
      </w:r>
      <w:r w:rsidR="00C35888">
        <w:t xml:space="preserve">s </w:t>
      </w:r>
      <w:proofErr w:type="spellStart"/>
      <w:r w:rsidR="00C35888">
        <w:t>24H</w:t>
      </w:r>
      <w:r w:rsidR="006C42DD">
        <w:t>A</w:t>
      </w:r>
      <w:proofErr w:type="spellEnd"/>
      <w:r w:rsidR="003529F7">
        <w:t>)</w:t>
      </w:r>
      <w:r>
        <w:rPr>
          <w:rStyle w:val="FootnoteReference"/>
        </w:rPr>
        <w:footnoteReference w:id="19"/>
      </w:r>
      <w:r w:rsidR="00C35888">
        <w:t xml:space="preserve"> </w:t>
      </w:r>
      <w:r w:rsidR="00C35888" w:rsidRPr="00C35888">
        <w:t>further reduce the capacity of native title holders to participate in decisions regarding the management of water resources</w:t>
      </w:r>
      <w:r w:rsidR="00C35888">
        <w:t xml:space="preserve">. </w:t>
      </w:r>
      <w:r w:rsidR="002A6BD3">
        <w:t>In addition</w:t>
      </w:r>
      <w:r w:rsidR="003529F7">
        <w:t>, there exist s</w:t>
      </w:r>
      <w:r w:rsidR="00C35888" w:rsidRPr="00C35888">
        <w:t xml:space="preserve">ignificant barriers for Indigenous </w:t>
      </w:r>
      <w:r w:rsidR="00C35888" w:rsidRPr="00C35888">
        <w:lastRenderedPageBreak/>
        <w:t>groups, particularly in the more settled parts of Australia, to obtain recognition of any</w:t>
      </w:r>
      <w:r w:rsidR="003529F7">
        <w:t xml:space="preserve"> native title rights</w:t>
      </w:r>
      <w:r w:rsidR="00C35888" w:rsidRPr="00C35888">
        <w:t>.</w:t>
      </w:r>
    </w:p>
    <w:p w:rsidR="007A0FF3" w:rsidRDefault="003529F7" w:rsidP="00AC01F0">
      <w:pPr>
        <w:jc w:val="both"/>
      </w:pPr>
      <w:r>
        <w:t>As a result of these barriers,</w:t>
      </w:r>
      <w:r w:rsidR="000B21FC">
        <w:t xml:space="preserve"> Victoria </w:t>
      </w:r>
      <w:r w:rsidR="00C35888">
        <w:t xml:space="preserve">introduced an alternative process </w:t>
      </w:r>
      <w:r w:rsidR="007A0FF3">
        <w:t xml:space="preserve">to native title recognition under the </w:t>
      </w:r>
      <w:r w:rsidR="007A0FF3" w:rsidRPr="007A0FF3">
        <w:rPr>
          <w:i/>
        </w:rPr>
        <w:t>Native Title Act 1993</w:t>
      </w:r>
      <w:r w:rsidR="007A0FF3">
        <w:t xml:space="preserve"> (</w:t>
      </w:r>
      <w:proofErr w:type="spellStart"/>
      <w:r w:rsidR="007A0FF3">
        <w:t>Cth</w:t>
      </w:r>
      <w:proofErr w:type="spellEnd"/>
      <w:r w:rsidR="007A0FF3">
        <w:t>)</w:t>
      </w:r>
      <w:r w:rsidR="00C35888">
        <w:t xml:space="preserve">, namely the </w:t>
      </w:r>
      <w:r w:rsidR="00C35888" w:rsidRPr="007A0FF3">
        <w:rPr>
          <w:i/>
        </w:rPr>
        <w:t>Traditional Owner Settlement Act 2010</w:t>
      </w:r>
      <w:r w:rsidR="00C35888">
        <w:t xml:space="preserve"> (Vic)</w:t>
      </w:r>
      <w:r w:rsidR="000B21FC">
        <w:t xml:space="preserve"> (</w:t>
      </w:r>
      <w:proofErr w:type="spellStart"/>
      <w:r w:rsidR="000B21FC" w:rsidRPr="000B21FC">
        <w:rPr>
          <w:i/>
        </w:rPr>
        <w:t>TOS</w:t>
      </w:r>
      <w:proofErr w:type="spellEnd"/>
      <w:r w:rsidR="000B21FC" w:rsidRPr="000B21FC">
        <w:rPr>
          <w:i/>
        </w:rPr>
        <w:t xml:space="preserve"> Act</w:t>
      </w:r>
      <w:r w:rsidR="000B21FC">
        <w:t>)</w:t>
      </w:r>
      <w:r w:rsidR="007A0FF3">
        <w:t xml:space="preserve">. </w:t>
      </w:r>
      <w:r w:rsidR="00F13C3D">
        <w:t xml:space="preserve">A settlement under the </w:t>
      </w:r>
      <w:proofErr w:type="spellStart"/>
      <w:r w:rsidR="00F13C3D" w:rsidRPr="006C42DD">
        <w:rPr>
          <w:i/>
        </w:rPr>
        <w:t>TOS</w:t>
      </w:r>
      <w:proofErr w:type="spellEnd"/>
      <w:r w:rsidR="00F13C3D" w:rsidRPr="006C42DD">
        <w:rPr>
          <w:i/>
        </w:rPr>
        <w:t xml:space="preserve"> Act</w:t>
      </w:r>
      <w:r w:rsidR="00F13C3D">
        <w:t xml:space="preserve"> will result in the recognition of </w:t>
      </w:r>
      <w:r w:rsidR="006C42DD">
        <w:t xml:space="preserve">Traditional Owner </w:t>
      </w:r>
      <w:r w:rsidR="00F13C3D">
        <w:t xml:space="preserve">rights akin to native title rights under the </w:t>
      </w:r>
      <w:proofErr w:type="spellStart"/>
      <w:r w:rsidR="00F13C3D" w:rsidRPr="006C42DD">
        <w:rPr>
          <w:i/>
        </w:rPr>
        <w:t>NTA</w:t>
      </w:r>
      <w:proofErr w:type="spellEnd"/>
      <w:r w:rsidR="002A6BD3">
        <w:rPr>
          <w:i/>
        </w:rPr>
        <w:t xml:space="preserve"> </w:t>
      </w:r>
      <w:r w:rsidR="002A6BD3">
        <w:t>and with similar inadequacies</w:t>
      </w:r>
      <w:r w:rsidR="00F13C3D">
        <w:t>.</w:t>
      </w:r>
      <w:r w:rsidR="002A6BD3">
        <w:rPr>
          <w:rStyle w:val="FootnoteReference"/>
        </w:rPr>
        <w:footnoteReference w:id="20"/>
      </w:r>
      <w:r w:rsidR="00F13C3D">
        <w:t xml:space="preserve"> </w:t>
      </w:r>
      <w:r>
        <w:t xml:space="preserve">However </w:t>
      </w:r>
      <w:r w:rsidR="00CD00A3">
        <w:t xml:space="preserve">even so, </w:t>
      </w:r>
      <w:r w:rsidR="00F13C3D">
        <w:t>they are not n</w:t>
      </w:r>
      <w:r w:rsidR="007A0FF3">
        <w:t xml:space="preserve">ative title </w:t>
      </w:r>
      <w:r w:rsidR="00F13C3D">
        <w:t xml:space="preserve">rights, and therefore do not fall within the scope of the </w:t>
      </w:r>
      <w:proofErr w:type="spellStart"/>
      <w:r w:rsidR="00F13C3D" w:rsidRPr="006C42DD">
        <w:t>NWI</w:t>
      </w:r>
      <w:proofErr w:type="spellEnd"/>
      <w:r w:rsidR="00F13C3D">
        <w:t xml:space="preserve">. </w:t>
      </w:r>
      <w:r w:rsidR="007A0FF3">
        <w:t xml:space="preserve">  </w:t>
      </w:r>
    </w:p>
    <w:p w:rsidR="0006717C" w:rsidRDefault="007A0FF3" w:rsidP="00AC01F0">
      <w:pPr>
        <w:jc w:val="both"/>
      </w:pPr>
      <w:r>
        <w:t xml:space="preserve">Given the above, </w:t>
      </w:r>
      <w:r w:rsidR="00C35888" w:rsidRPr="00C35888">
        <w:t xml:space="preserve">the focus on native title in the </w:t>
      </w:r>
      <w:proofErr w:type="spellStart"/>
      <w:r w:rsidR="00C35888" w:rsidRPr="006C42DD">
        <w:rPr>
          <w:iCs/>
        </w:rPr>
        <w:t>NWI</w:t>
      </w:r>
      <w:proofErr w:type="spellEnd"/>
      <w:r w:rsidR="00C35888" w:rsidRPr="00C35888">
        <w:rPr>
          <w:i/>
          <w:iCs/>
        </w:rPr>
        <w:t xml:space="preserve"> </w:t>
      </w:r>
      <w:r w:rsidR="00C35888" w:rsidRPr="00C35888">
        <w:t>can be seen as a major weakness.</w:t>
      </w:r>
      <w:r w:rsidR="00CC3C06">
        <w:t xml:space="preserve"> The </w:t>
      </w:r>
      <w:proofErr w:type="spellStart"/>
      <w:r w:rsidR="00CC3C06">
        <w:t>NWI</w:t>
      </w:r>
      <w:proofErr w:type="spellEnd"/>
      <w:r w:rsidR="00CC3C06">
        <w:t xml:space="preserve"> c</w:t>
      </w:r>
      <w:r>
        <w:t xml:space="preserve">ould be improved by acknowledging that there are other ways in which Indigenous Australians have </w:t>
      </w:r>
      <w:r w:rsidR="003529F7">
        <w:t xml:space="preserve">had their rights as </w:t>
      </w:r>
      <w:r>
        <w:t>Traditional Own</w:t>
      </w:r>
      <w:r w:rsidR="003529F7">
        <w:t>ers recognised</w:t>
      </w:r>
      <w:r>
        <w:t>.</w:t>
      </w:r>
      <w:r w:rsidR="003529F7">
        <w:t xml:space="preserve"> </w:t>
      </w:r>
      <w:r w:rsidR="00CC3C06">
        <w:t xml:space="preserve">The </w:t>
      </w:r>
      <w:proofErr w:type="spellStart"/>
      <w:r w:rsidR="00CC3C06">
        <w:t>NWI</w:t>
      </w:r>
      <w:proofErr w:type="spellEnd"/>
      <w:r w:rsidR="00CC3C06">
        <w:t xml:space="preserve"> c</w:t>
      </w:r>
      <w:r w:rsidR="005967BA">
        <w:t>ould also be improved by recognising that Indigenous interests in water ex</w:t>
      </w:r>
      <w:r w:rsidR="000B21FC">
        <w:t xml:space="preserve">tend beyond native title and </w:t>
      </w:r>
      <w:proofErr w:type="spellStart"/>
      <w:r w:rsidR="000B21FC" w:rsidRPr="000B21FC">
        <w:rPr>
          <w:i/>
        </w:rPr>
        <w:t>TOS</w:t>
      </w:r>
      <w:proofErr w:type="spellEnd"/>
      <w:r w:rsidR="000B21FC" w:rsidRPr="000B21FC">
        <w:rPr>
          <w:i/>
        </w:rPr>
        <w:t xml:space="preserve"> Act</w:t>
      </w:r>
      <w:r w:rsidR="000B21FC">
        <w:t xml:space="preserve"> rights to take and use water for cultural, spiritual and non-commercial communal needs</w:t>
      </w:r>
      <w:r w:rsidR="005967BA">
        <w:t>, but also include economic and commercial interests</w:t>
      </w:r>
      <w:r w:rsidR="000B21FC">
        <w:t xml:space="preserve"> in water</w:t>
      </w:r>
      <w:r w:rsidR="005967BA">
        <w:t>.</w:t>
      </w:r>
    </w:p>
    <w:sectPr w:rsidR="0006717C">
      <w:foot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66FD" w:rsidRDefault="008566FD" w:rsidP="0006717C">
      <w:pPr>
        <w:spacing w:after="0" w:line="240" w:lineRule="auto"/>
      </w:pPr>
      <w:r>
        <w:separator/>
      </w:r>
    </w:p>
  </w:endnote>
  <w:endnote w:type="continuationSeparator" w:id="0">
    <w:p w:rsidR="008566FD" w:rsidRDefault="008566FD" w:rsidP="00067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C">
    <w:altName w:val="V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5496666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5268A" w:rsidRDefault="0095268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F114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5268A" w:rsidRDefault="0095268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66FD" w:rsidRDefault="008566FD" w:rsidP="0006717C">
      <w:pPr>
        <w:spacing w:after="0" w:line="240" w:lineRule="auto"/>
      </w:pPr>
      <w:r>
        <w:separator/>
      </w:r>
    </w:p>
  </w:footnote>
  <w:footnote w:type="continuationSeparator" w:id="0">
    <w:p w:rsidR="008566FD" w:rsidRDefault="008566FD" w:rsidP="0006717C">
      <w:pPr>
        <w:spacing w:after="0" w:line="240" w:lineRule="auto"/>
      </w:pPr>
      <w:r>
        <w:continuationSeparator/>
      </w:r>
    </w:p>
  </w:footnote>
  <w:footnote w:id="1">
    <w:p w:rsidR="0006717C" w:rsidRDefault="0006717C">
      <w:pPr>
        <w:pStyle w:val="FootnoteText"/>
      </w:pPr>
      <w:r>
        <w:rPr>
          <w:rStyle w:val="FootnoteReference"/>
        </w:rPr>
        <w:footnoteRef/>
      </w:r>
      <w:r>
        <w:t xml:space="preserve"> Lecturer, </w:t>
      </w:r>
      <w:r w:rsidR="00586A4B">
        <w:t>Faculty</w:t>
      </w:r>
      <w:r w:rsidR="00F56FA0">
        <w:t xml:space="preserve"> of Law,</w:t>
      </w:r>
      <w:r w:rsidR="00F56FA0" w:rsidRPr="00F56FA0">
        <w:t xml:space="preserve"> </w:t>
      </w:r>
      <w:r w:rsidR="00F56FA0">
        <w:t>Monash University</w:t>
      </w:r>
      <w:r w:rsidR="00586A4B">
        <w:t>;</w:t>
      </w:r>
      <w:r>
        <w:t xml:space="preserve"> Associate, </w:t>
      </w:r>
      <w:proofErr w:type="spellStart"/>
      <w:r>
        <w:t>Castan</w:t>
      </w:r>
      <w:proofErr w:type="spellEnd"/>
      <w:r>
        <w:t xml:space="preserve"> Centre for Human Rights Law</w:t>
      </w:r>
      <w:r w:rsidR="00B4344E">
        <w:t xml:space="preserve">. </w:t>
      </w:r>
    </w:p>
  </w:footnote>
  <w:footnote w:id="2">
    <w:p w:rsidR="0007650E" w:rsidRPr="0007650E" w:rsidRDefault="0007650E">
      <w:pPr>
        <w:pStyle w:val="FootnoteText"/>
      </w:pPr>
      <w:r>
        <w:rPr>
          <w:rStyle w:val="FootnoteReference"/>
        </w:rPr>
        <w:footnoteRef/>
      </w:r>
      <w:r>
        <w:t xml:space="preserve"> National Water Commission, </w:t>
      </w:r>
      <w:r w:rsidRPr="0007650E">
        <w:rPr>
          <w:i/>
        </w:rPr>
        <w:t>Australia’s Water Blueprint: National Reform Assessment 2014</w:t>
      </w:r>
      <w:r>
        <w:t>, 4.</w:t>
      </w:r>
    </w:p>
  </w:footnote>
  <w:footnote w:id="3">
    <w:p w:rsidR="00074B84" w:rsidRDefault="00074B8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074B84">
        <w:rPr>
          <w:i/>
        </w:rPr>
        <w:t>Water Management Act 2000</w:t>
      </w:r>
      <w:r>
        <w:t xml:space="preserve"> (NSW) s 3(c)(iv), s 5(2)(e); </w:t>
      </w:r>
      <w:r w:rsidRPr="00074B84">
        <w:rPr>
          <w:i/>
        </w:rPr>
        <w:t>Water Act 2000</w:t>
      </w:r>
      <w:r>
        <w:t xml:space="preserve"> (Qld) s 10(2)(v).</w:t>
      </w:r>
    </w:p>
  </w:footnote>
  <w:footnote w:id="4">
    <w:p w:rsidR="00074B84" w:rsidRDefault="00074B8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074B84">
        <w:rPr>
          <w:i/>
        </w:rPr>
        <w:t>Water Management Act 2000</w:t>
      </w:r>
      <w:r w:rsidRPr="00074B84">
        <w:t xml:space="preserve"> (NSW)</w:t>
      </w:r>
      <w:r>
        <w:t xml:space="preserve"> </w:t>
      </w:r>
      <w:proofErr w:type="spellStart"/>
      <w:r>
        <w:t>ss</w:t>
      </w:r>
      <w:proofErr w:type="spellEnd"/>
      <w:r>
        <w:t xml:space="preserve"> 12, 13.</w:t>
      </w:r>
    </w:p>
  </w:footnote>
  <w:footnote w:id="5">
    <w:p w:rsidR="00BC44E6" w:rsidRDefault="00BC44E6">
      <w:pPr>
        <w:pStyle w:val="FootnoteText"/>
      </w:pPr>
      <w:r>
        <w:rPr>
          <w:rStyle w:val="FootnoteReference"/>
        </w:rPr>
        <w:footnoteRef/>
      </w:r>
      <w:r>
        <w:t xml:space="preserve"> National Water Commission, </w:t>
      </w:r>
      <w:r w:rsidRPr="00BC44E6">
        <w:rPr>
          <w:i/>
        </w:rPr>
        <w:t>Australia’s Water Blueprint: National Reform Assessment 2014</w:t>
      </w:r>
      <w:r>
        <w:t>, 114.</w:t>
      </w:r>
    </w:p>
  </w:footnote>
  <w:footnote w:id="6">
    <w:p w:rsidR="002A6BD3" w:rsidRDefault="002A6BD3">
      <w:pPr>
        <w:pStyle w:val="FootnoteText"/>
      </w:pPr>
      <w:r>
        <w:rPr>
          <w:rStyle w:val="FootnoteReference"/>
        </w:rPr>
        <w:footnoteRef/>
      </w:r>
      <w:r>
        <w:t xml:space="preserve"> Section 21(4)(c)(v), s 22</w:t>
      </w:r>
      <w:r w:rsidR="003C2D32">
        <w:t>,</w:t>
      </w:r>
    </w:p>
  </w:footnote>
  <w:footnote w:id="7">
    <w:p w:rsidR="00BC44E6" w:rsidRDefault="00BC44E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07650E">
        <w:t xml:space="preserve">Basin Plan 2012, </w:t>
      </w:r>
      <w:proofErr w:type="spellStart"/>
      <w:r w:rsidR="0007650E">
        <w:t>cls</w:t>
      </w:r>
      <w:proofErr w:type="spellEnd"/>
      <w:r w:rsidR="0007650E">
        <w:t xml:space="preserve"> 10.52 – 10.55.</w:t>
      </w:r>
    </w:p>
  </w:footnote>
  <w:footnote w:id="8">
    <w:p w:rsidR="0007650E" w:rsidRDefault="0007650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07650E">
        <w:rPr>
          <w:i/>
        </w:rPr>
        <w:t>Water Act 2007</w:t>
      </w:r>
      <w:r>
        <w:t xml:space="preserve"> (</w:t>
      </w:r>
      <w:proofErr w:type="spellStart"/>
      <w:r>
        <w:t>Cth</w:t>
      </w:r>
      <w:proofErr w:type="spellEnd"/>
      <w:r>
        <w:t>) s 178(3)(h).</w:t>
      </w:r>
    </w:p>
  </w:footnote>
  <w:footnote w:id="9">
    <w:p w:rsidR="0007650E" w:rsidRDefault="0007650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07650E">
        <w:rPr>
          <w:i/>
        </w:rPr>
        <w:t>Water Act 2007</w:t>
      </w:r>
      <w:r>
        <w:t xml:space="preserve"> (</w:t>
      </w:r>
      <w:proofErr w:type="spellStart"/>
      <w:r>
        <w:t>Cth</w:t>
      </w:r>
      <w:proofErr w:type="spellEnd"/>
      <w:r>
        <w:t>) s 178(2)(a).</w:t>
      </w:r>
    </w:p>
  </w:footnote>
  <w:footnote w:id="10">
    <w:p w:rsidR="00953EB6" w:rsidRDefault="00953EB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953EB6">
        <w:rPr>
          <w:i/>
        </w:rPr>
        <w:t>Water Act 2007</w:t>
      </w:r>
      <w:r w:rsidRPr="00953EB6">
        <w:t xml:space="preserve"> (</w:t>
      </w:r>
      <w:proofErr w:type="spellStart"/>
      <w:r w:rsidRPr="00953EB6">
        <w:t>Cth</w:t>
      </w:r>
      <w:proofErr w:type="spellEnd"/>
      <w:r w:rsidRPr="00953EB6">
        <w:t>) s</w:t>
      </w:r>
      <w:r>
        <w:t xml:space="preserve"> 202(5)(c).</w:t>
      </w:r>
    </w:p>
  </w:footnote>
  <w:footnote w:id="11">
    <w:p w:rsidR="000B21FC" w:rsidRDefault="000B21FC" w:rsidP="004B158D">
      <w:pPr>
        <w:pStyle w:val="FootnoteText"/>
      </w:pPr>
      <w:r>
        <w:rPr>
          <w:rStyle w:val="FootnoteReference"/>
        </w:rPr>
        <w:footnoteRef/>
      </w:r>
      <w:r>
        <w:t xml:space="preserve"> Victorian Government, </w:t>
      </w:r>
      <w:r w:rsidRPr="000B21FC">
        <w:rPr>
          <w:i/>
        </w:rPr>
        <w:t>Yarra River Action Plan</w:t>
      </w:r>
      <w:r w:rsidR="004B158D">
        <w:t xml:space="preserve"> - </w:t>
      </w:r>
      <w:proofErr w:type="spellStart"/>
      <w:r w:rsidR="004B158D" w:rsidRPr="004B158D">
        <w:rPr>
          <w:i/>
          <w:iCs/>
        </w:rPr>
        <w:t>Wilip</w:t>
      </w:r>
      <w:proofErr w:type="spellEnd"/>
      <w:r w:rsidR="004B158D" w:rsidRPr="004B158D">
        <w:rPr>
          <w:i/>
          <w:iCs/>
        </w:rPr>
        <w:t xml:space="preserve">-gin </w:t>
      </w:r>
      <w:proofErr w:type="spellStart"/>
      <w:r w:rsidR="004B158D" w:rsidRPr="004B158D">
        <w:rPr>
          <w:i/>
          <w:iCs/>
        </w:rPr>
        <w:t>Birrarung</w:t>
      </w:r>
      <w:proofErr w:type="spellEnd"/>
      <w:r w:rsidR="004B158D" w:rsidRPr="004B158D">
        <w:rPr>
          <w:i/>
          <w:iCs/>
        </w:rPr>
        <w:t xml:space="preserve"> </w:t>
      </w:r>
      <w:proofErr w:type="spellStart"/>
      <w:r w:rsidR="004B158D" w:rsidRPr="004B158D">
        <w:rPr>
          <w:i/>
          <w:iCs/>
        </w:rPr>
        <w:t>murron</w:t>
      </w:r>
      <w:proofErr w:type="spellEnd"/>
      <w:r>
        <w:t xml:space="preserve"> (2017)</w:t>
      </w:r>
    </w:p>
  </w:footnote>
  <w:footnote w:id="12">
    <w:p w:rsidR="004B158D" w:rsidRDefault="004B158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4B158D">
        <w:t xml:space="preserve">Victorian Government, </w:t>
      </w:r>
      <w:r w:rsidRPr="004B158D">
        <w:rPr>
          <w:i/>
        </w:rPr>
        <w:t>Yarra River Action Plan</w:t>
      </w:r>
      <w:r w:rsidRPr="004B158D">
        <w:t xml:space="preserve"> - </w:t>
      </w:r>
      <w:proofErr w:type="spellStart"/>
      <w:r w:rsidRPr="004B158D">
        <w:rPr>
          <w:i/>
          <w:iCs/>
        </w:rPr>
        <w:t>Wilip</w:t>
      </w:r>
      <w:proofErr w:type="spellEnd"/>
      <w:r w:rsidRPr="004B158D">
        <w:rPr>
          <w:i/>
          <w:iCs/>
        </w:rPr>
        <w:t xml:space="preserve">-gin </w:t>
      </w:r>
      <w:proofErr w:type="spellStart"/>
      <w:r w:rsidRPr="004B158D">
        <w:rPr>
          <w:i/>
          <w:iCs/>
        </w:rPr>
        <w:t>Birrarung</w:t>
      </w:r>
      <w:proofErr w:type="spellEnd"/>
      <w:r w:rsidRPr="004B158D">
        <w:rPr>
          <w:i/>
          <w:iCs/>
        </w:rPr>
        <w:t xml:space="preserve"> </w:t>
      </w:r>
      <w:proofErr w:type="spellStart"/>
      <w:r w:rsidRPr="004B158D">
        <w:rPr>
          <w:i/>
          <w:iCs/>
        </w:rPr>
        <w:t>murron</w:t>
      </w:r>
      <w:proofErr w:type="spellEnd"/>
      <w:r w:rsidRPr="004B158D">
        <w:t xml:space="preserve"> (2017)</w:t>
      </w:r>
      <w:r>
        <w:t xml:space="preserve"> 13 (Actions 2, 5)</w:t>
      </w:r>
    </w:p>
  </w:footnote>
  <w:footnote w:id="13">
    <w:p w:rsidR="007D5603" w:rsidRDefault="007D560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7D5603">
        <w:rPr>
          <w:i/>
        </w:rPr>
        <w:t>Water for Victoria</w:t>
      </w:r>
      <w:r w:rsidRPr="007D5603">
        <w:t xml:space="preserve"> (2016) </w:t>
      </w:r>
      <w:r>
        <w:t>102.</w:t>
      </w:r>
    </w:p>
  </w:footnote>
  <w:footnote w:id="14">
    <w:p w:rsidR="008E1017" w:rsidRDefault="008E101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8E1017">
        <w:rPr>
          <w:i/>
        </w:rPr>
        <w:t>Water for Victoria</w:t>
      </w:r>
      <w:r>
        <w:t xml:space="preserve"> (2016) 172 (Action 10.8).</w:t>
      </w:r>
    </w:p>
  </w:footnote>
  <w:footnote w:id="15">
    <w:p w:rsidR="002974FA" w:rsidRDefault="002974FA">
      <w:pPr>
        <w:pStyle w:val="FootnoteText"/>
      </w:pPr>
      <w:r>
        <w:rPr>
          <w:rStyle w:val="FootnoteReference"/>
        </w:rPr>
        <w:footnoteRef/>
      </w:r>
      <w:r>
        <w:t xml:space="preserve"> This addresses the first question on </w:t>
      </w:r>
      <w:r w:rsidR="007D7599">
        <w:t>p</w:t>
      </w:r>
      <w:r>
        <w:t xml:space="preserve"> 19 of the Issues Paper.</w:t>
      </w:r>
    </w:p>
  </w:footnote>
  <w:footnote w:id="16">
    <w:p w:rsidR="004B158D" w:rsidRDefault="004B158D">
      <w:pPr>
        <w:pStyle w:val="FootnoteText"/>
      </w:pPr>
      <w:r>
        <w:rPr>
          <w:rStyle w:val="FootnoteReference"/>
        </w:rPr>
        <w:footnoteRef/>
      </w:r>
      <w:r>
        <w:t xml:space="preserve"> Lisa Neville, ‘New Faces for Catchment Management in Victoria’</w:t>
      </w:r>
      <w:r w:rsidR="00CD00A3">
        <w:t xml:space="preserve"> (Media R</w:t>
      </w:r>
      <w:r>
        <w:t>elease, 11 November 2015).</w:t>
      </w:r>
    </w:p>
  </w:footnote>
  <w:footnote w:id="17">
    <w:p w:rsidR="000A0DB7" w:rsidRDefault="000A0DB7">
      <w:pPr>
        <w:pStyle w:val="FootnoteText"/>
      </w:pPr>
      <w:r>
        <w:rPr>
          <w:rStyle w:val="FootnoteReference"/>
        </w:rPr>
        <w:footnoteRef/>
      </w:r>
      <w:r>
        <w:t xml:space="preserve"> The only reference to Indigenous rights</w:t>
      </w:r>
      <w:r w:rsidR="008C4AE7">
        <w:t xml:space="preserve">, interests or values </w:t>
      </w:r>
      <w:r>
        <w:t xml:space="preserve">in the </w:t>
      </w:r>
      <w:r w:rsidRPr="000A0DB7">
        <w:rPr>
          <w:i/>
        </w:rPr>
        <w:t>Water Act 1989</w:t>
      </w:r>
      <w:r>
        <w:t xml:space="preserve"> (Vic) is in s </w:t>
      </w:r>
      <w:proofErr w:type="spellStart"/>
      <w:r>
        <w:t>8A</w:t>
      </w:r>
      <w:proofErr w:type="spellEnd"/>
      <w:r>
        <w:t xml:space="preserve">, which recognises traditional owner rights to take and use water pursuant to a </w:t>
      </w:r>
      <w:proofErr w:type="spellStart"/>
      <w:r w:rsidRPr="000A0DB7">
        <w:rPr>
          <w:i/>
        </w:rPr>
        <w:t>TOS</w:t>
      </w:r>
      <w:proofErr w:type="spellEnd"/>
      <w:r w:rsidRPr="000A0DB7">
        <w:rPr>
          <w:i/>
        </w:rPr>
        <w:t xml:space="preserve"> Act</w:t>
      </w:r>
      <w:r>
        <w:t xml:space="preserve"> agreement.</w:t>
      </w:r>
      <w:r w:rsidR="008C4AE7">
        <w:t xml:space="preserve"> There are no references in the </w:t>
      </w:r>
      <w:r w:rsidR="008C4AE7" w:rsidRPr="008C4AE7">
        <w:rPr>
          <w:i/>
        </w:rPr>
        <w:t>Catchment and Land Protection Act 1994</w:t>
      </w:r>
      <w:r w:rsidR="00FF61BF">
        <w:t xml:space="preserve"> (Vic) to</w:t>
      </w:r>
      <w:r w:rsidR="008C4AE7">
        <w:t xml:space="preserve"> Indigenous values or interests.</w:t>
      </w:r>
    </w:p>
  </w:footnote>
  <w:footnote w:id="18">
    <w:p w:rsidR="00CD00A3" w:rsidRDefault="00CD00A3">
      <w:pPr>
        <w:pStyle w:val="FootnoteText"/>
      </w:pPr>
      <w:r>
        <w:rPr>
          <w:rStyle w:val="FootnoteReference"/>
        </w:rPr>
        <w:footnoteRef/>
      </w:r>
      <w:r>
        <w:t xml:space="preserve"> Paragraph 25(ix).</w:t>
      </w:r>
    </w:p>
  </w:footnote>
  <w:footnote w:id="19">
    <w:p w:rsidR="005967BA" w:rsidRPr="005967BA" w:rsidRDefault="005967B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967BA">
        <w:rPr>
          <w:i/>
          <w:iCs/>
        </w:rPr>
        <w:t>Harris v Great Barrier Reef Marine Park Authority</w:t>
      </w:r>
      <w:r>
        <w:rPr>
          <w:i/>
          <w:iCs/>
        </w:rPr>
        <w:t xml:space="preserve"> </w:t>
      </w:r>
      <w:r>
        <w:rPr>
          <w:iCs/>
        </w:rPr>
        <w:t xml:space="preserve">(2000) 98 </w:t>
      </w:r>
      <w:proofErr w:type="spellStart"/>
      <w:r>
        <w:rPr>
          <w:iCs/>
        </w:rPr>
        <w:t>FCR</w:t>
      </w:r>
      <w:proofErr w:type="spellEnd"/>
      <w:r>
        <w:rPr>
          <w:iCs/>
        </w:rPr>
        <w:t xml:space="preserve"> 60; </w:t>
      </w:r>
      <w:r w:rsidR="000B21FC" w:rsidRPr="000B21FC">
        <w:rPr>
          <w:i/>
          <w:iCs/>
        </w:rPr>
        <w:t>Lardil Peoples v Queensland</w:t>
      </w:r>
      <w:r w:rsidR="000B21FC">
        <w:rPr>
          <w:iCs/>
        </w:rPr>
        <w:t xml:space="preserve"> </w:t>
      </w:r>
      <w:r w:rsidR="000B21FC" w:rsidRPr="000B21FC">
        <w:rPr>
          <w:iCs/>
        </w:rPr>
        <w:t xml:space="preserve">(2001) 108 </w:t>
      </w:r>
      <w:proofErr w:type="spellStart"/>
      <w:r w:rsidR="000B21FC" w:rsidRPr="000B21FC">
        <w:rPr>
          <w:iCs/>
        </w:rPr>
        <w:t>FCR</w:t>
      </w:r>
      <w:proofErr w:type="spellEnd"/>
      <w:r w:rsidR="000B21FC" w:rsidRPr="000B21FC">
        <w:rPr>
          <w:iCs/>
        </w:rPr>
        <w:t xml:space="preserve"> 453.  </w:t>
      </w:r>
    </w:p>
  </w:footnote>
  <w:footnote w:id="20">
    <w:p w:rsidR="002A6BD3" w:rsidRDefault="002A6BD3">
      <w:pPr>
        <w:pStyle w:val="FootnoteText"/>
      </w:pPr>
      <w:r>
        <w:rPr>
          <w:rStyle w:val="FootnoteReference"/>
        </w:rPr>
        <w:footnoteRef/>
      </w:r>
      <w:r>
        <w:t xml:space="preserve"> Katie O’Bryan, ‘More Aqua Nullius? The </w:t>
      </w:r>
      <w:r w:rsidRPr="00FF61BF">
        <w:rPr>
          <w:i/>
        </w:rPr>
        <w:t>Traditional Owner Settlement Act 2010</w:t>
      </w:r>
      <w:r>
        <w:t xml:space="preserve"> (Vic) and the Neglect of Indigenous Rights to Manage Inland Water Resources’ (2016) 42(2) </w:t>
      </w:r>
      <w:r w:rsidRPr="002A6BD3">
        <w:rPr>
          <w:i/>
        </w:rPr>
        <w:t>Melbourne University Law Review</w:t>
      </w:r>
      <w:r>
        <w:t xml:space="preserve"> (advance).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AB0D38"/>
    <w:multiLevelType w:val="hybridMultilevel"/>
    <w:tmpl w:val="B5FE57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3871DE"/>
    <w:multiLevelType w:val="hybridMultilevel"/>
    <w:tmpl w:val="2C7AD396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17C"/>
    <w:rsid w:val="00004C36"/>
    <w:rsid w:val="0006717C"/>
    <w:rsid w:val="00074B84"/>
    <w:rsid w:val="0007650E"/>
    <w:rsid w:val="000A0DB7"/>
    <w:rsid w:val="000B21FC"/>
    <w:rsid w:val="0010294F"/>
    <w:rsid w:val="00144066"/>
    <w:rsid w:val="001D479B"/>
    <w:rsid w:val="001E1B8F"/>
    <w:rsid w:val="00215883"/>
    <w:rsid w:val="002974FA"/>
    <w:rsid w:val="002A6BD3"/>
    <w:rsid w:val="003529F7"/>
    <w:rsid w:val="003904EF"/>
    <w:rsid w:val="003C2D32"/>
    <w:rsid w:val="00492D04"/>
    <w:rsid w:val="004B158D"/>
    <w:rsid w:val="004B21E7"/>
    <w:rsid w:val="004C6780"/>
    <w:rsid w:val="004E0B08"/>
    <w:rsid w:val="00541AC2"/>
    <w:rsid w:val="00564A20"/>
    <w:rsid w:val="00586A4B"/>
    <w:rsid w:val="005967BA"/>
    <w:rsid w:val="00642BF1"/>
    <w:rsid w:val="00652F97"/>
    <w:rsid w:val="00662FB4"/>
    <w:rsid w:val="006865A6"/>
    <w:rsid w:val="006C42DD"/>
    <w:rsid w:val="007A0FF3"/>
    <w:rsid w:val="007D5603"/>
    <w:rsid w:val="007D7599"/>
    <w:rsid w:val="008566FD"/>
    <w:rsid w:val="008C4AE7"/>
    <w:rsid w:val="008C74E7"/>
    <w:rsid w:val="008E1017"/>
    <w:rsid w:val="008E3AF9"/>
    <w:rsid w:val="0092799D"/>
    <w:rsid w:val="0095268A"/>
    <w:rsid w:val="00953EB6"/>
    <w:rsid w:val="0098699D"/>
    <w:rsid w:val="009F114C"/>
    <w:rsid w:val="00AB4E16"/>
    <w:rsid w:val="00AC01F0"/>
    <w:rsid w:val="00AF2FFA"/>
    <w:rsid w:val="00B4344E"/>
    <w:rsid w:val="00BA4915"/>
    <w:rsid w:val="00BC44E6"/>
    <w:rsid w:val="00BF3615"/>
    <w:rsid w:val="00C35888"/>
    <w:rsid w:val="00C84B83"/>
    <w:rsid w:val="00CC3C06"/>
    <w:rsid w:val="00CD00A3"/>
    <w:rsid w:val="00DB41AA"/>
    <w:rsid w:val="00EE3E5A"/>
    <w:rsid w:val="00EF55BB"/>
    <w:rsid w:val="00F13C3D"/>
    <w:rsid w:val="00F54B07"/>
    <w:rsid w:val="00F56FA0"/>
    <w:rsid w:val="00FE4E8F"/>
    <w:rsid w:val="00FF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3AF9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3AF9"/>
    <w:pPr>
      <w:keepNext/>
      <w:keepLines/>
      <w:spacing w:before="240" w:after="0"/>
      <w:outlineLvl w:val="0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E3AF9"/>
    <w:pPr>
      <w:keepNext/>
      <w:keepLines/>
      <w:spacing w:before="40" w:after="0"/>
      <w:outlineLvl w:val="1"/>
    </w:pPr>
    <w:rPr>
      <w:rFonts w:eastAsiaTheme="majorEastAsia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3AF9"/>
    <w:rPr>
      <w:rFonts w:ascii="Times New Roman" w:eastAsiaTheme="majorEastAsia" w:hAnsi="Times New Roman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E3AF9"/>
    <w:rPr>
      <w:rFonts w:ascii="Times New Roman" w:eastAsiaTheme="majorEastAsia" w:hAnsi="Times New Roman" w:cstheme="majorBidi"/>
      <w:color w:val="2E74B5" w:themeColor="accent1" w:themeShade="BF"/>
      <w:sz w:val="26"/>
      <w:szCs w:val="26"/>
    </w:rPr>
  </w:style>
  <w:style w:type="paragraph" w:styleId="FootnoteText">
    <w:name w:val="footnote text"/>
    <w:basedOn w:val="Normal"/>
    <w:link w:val="FootnoteTextChar"/>
    <w:uiPriority w:val="99"/>
    <w:unhideWhenUsed/>
    <w:rsid w:val="008E3AF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E3AF9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E3AF9"/>
    <w:rPr>
      <w:vertAlign w:val="superscript"/>
    </w:rPr>
  </w:style>
  <w:style w:type="paragraph" w:styleId="ListParagraph">
    <w:name w:val="List Paragraph"/>
    <w:basedOn w:val="Normal"/>
    <w:uiPriority w:val="34"/>
    <w:qFormat/>
    <w:rsid w:val="00541AC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526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268A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9526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268A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3AF9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3AF9"/>
    <w:pPr>
      <w:keepNext/>
      <w:keepLines/>
      <w:spacing w:before="240" w:after="0"/>
      <w:outlineLvl w:val="0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E3AF9"/>
    <w:pPr>
      <w:keepNext/>
      <w:keepLines/>
      <w:spacing w:before="40" w:after="0"/>
      <w:outlineLvl w:val="1"/>
    </w:pPr>
    <w:rPr>
      <w:rFonts w:eastAsiaTheme="majorEastAsia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3AF9"/>
    <w:rPr>
      <w:rFonts w:ascii="Times New Roman" w:eastAsiaTheme="majorEastAsia" w:hAnsi="Times New Roman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E3AF9"/>
    <w:rPr>
      <w:rFonts w:ascii="Times New Roman" w:eastAsiaTheme="majorEastAsia" w:hAnsi="Times New Roman" w:cstheme="majorBidi"/>
      <w:color w:val="2E74B5" w:themeColor="accent1" w:themeShade="BF"/>
      <w:sz w:val="26"/>
      <w:szCs w:val="26"/>
    </w:rPr>
  </w:style>
  <w:style w:type="paragraph" w:styleId="FootnoteText">
    <w:name w:val="footnote text"/>
    <w:basedOn w:val="Normal"/>
    <w:link w:val="FootnoteTextChar"/>
    <w:uiPriority w:val="99"/>
    <w:unhideWhenUsed/>
    <w:rsid w:val="008E3AF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E3AF9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E3AF9"/>
    <w:rPr>
      <w:vertAlign w:val="superscript"/>
    </w:rPr>
  </w:style>
  <w:style w:type="paragraph" w:styleId="ListParagraph">
    <w:name w:val="List Paragraph"/>
    <w:basedOn w:val="Normal"/>
    <w:uiPriority w:val="34"/>
    <w:qFormat/>
    <w:rsid w:val="00541AC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526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268A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9526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268A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microsoft.com/office/2007/relationships/stylesWithEffects" Target="stylesWithEffect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haredContentType xmlns="Microsoft.SharePoint.Taxonomy.ContentTypeSync" SourceId="70da5c63-8548-4ac8-9616-83b0f373280e" ContentTypeId="0x0101007916246811615643A710C6FEAFF56A871105" PreviousValue="false"/>
</file>

<file path=customXml/item2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3f4bcce7-ac1a-4c9d-aa3e-7e77695652db">
      <Terms xmlns="http://schemas.microsoft.com/office/infopath/2007/PartnerControls"/>
    </TaxKeywordTaxHTField>
    <V3Comments xmlns="http://schemas.microsoft.com/sharepoint/v3" xsi:nil="true"/>
    <p7a0baa8c88445a78b6f55906390ba17 xmlns="3f4bcce7-ac1a-4c9d-aa3e-7e77695652db">
      <Terms xmlns="http://schemas.microsoft.com/office/infopath/2007/PartnerControls">
        <TermInfo xmlns="http://schemas.microsoft.com/office/infopath/2007/PartnerControls">
          <TermName xmlns="http://schemas.microsoft.com/office/infopath/2007/PartnerControls">Submissions</TermName>
          <TermId xmlns="http://schemas.microsoft.com/office/infopath/2007/PartnerControls">c6e0dbf8-5444-433c-844d-d567dd519a05</TermId>
        </TermInfo>
      </Terms>
    </p7a0baa8c88445a78b6f55906390ba17>
    <TaxCatchAll xmlns="3f4bcce7-ac1a-4c9d-aa3e-7e77695652db">
      <Value>139</Value>
    </TaxCatchAll>
    <_dlc_DocId xmlns="3f4bcce7-ac1a-4c9d-aa3e-7e77695652db">PCDOC-1656434903-38</_dlc_DocId>
    <_dlc_DocIdUrl xmlns="3f4bcce7-ac1a-4c9d-aa3e-7e77695652db">
      <Url>https://inet.pc.gov.au/pmo/inq/nwi/_layouts/15/DocIdRedir.aspx?ID=PCDOC-1656434903-38</Url>
      <Description>PCDOC-1656434903-38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ubs" ma:contentTypeID="0x0101007916246811615643A710C6FEAFF56A8711050060845A84EE8A744584B14B5F01BAF914" ma:contentTypeVersion="25" ma:contentTypeDescription="" ma:contentTypeScope="" ma:versionID="45a8c9e0548edf3d1323b5038900ef57">
  <xsd:schema xmlns:xsd="http://www.w3.org/2001/XMLSchema" xmlns:xs="http://www.w3.org/2001/XMLSchema" xmlns:p="http://schemas.microsoft.com/office/2006/metadata/properties" xmlns:ns1="http://schemas.microsoft.com/sharepoint/v3" xmlns:ns2="3f4bcce7-ac1a-4c9d-aa3e-7e77695652db" targetNamespace="http://schemas.microsoft.com/office/2006/metadata/properties" ma:root="true" ma:fieldsID="2333854f91455317a4cb3e76f4e5bc54" ns1:_="" ns2:_="">
    <xsd:import namespace="http://schemas.microsoft.com/sharepoint/v3"/>
    <xsd:import namespace="3f4bcce7-ac1a-4c9d-aa3e-7e77695652db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p7a0baa8c88445a78b6f55906390ba17" minOccurs="0"/>
                <xsd:element ref="ns2:TaxKeywordTaxHTField" minOccurs="0"/>
                <xsd:element ref="ns2:_dlc_DocId" minOccurs="0"/>
                <xsd:element ref="ns2:_dlc_DocIdUrl" minOccurs="0"/>
                <xsd:element ref="ns2:_dlc_DocIdPersistId" minOccurs="0"/>
                <xsd:element ref="ns1:V3Comme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V3Comments" ma:index="17" nillable="true" ma:displayName="Append-Only Comments" ma:internalName="V3Comment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4bcce7-ac1a-4c9d-aa3e-7e77695652db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cc469927-f3de-4bce-906c-cafcd61f2a2b}" ma:internalName="TaxCatchAll" ma:showField="CatchAllData" ma:web="8044c801-d84b-4ee1-a77e-678f8dcdee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cc469927-f3de-4bce-906c-cafcd61f2a2b}" ma:internalName="TaxCatchAllLabel" ma:readOnly="true" ma:showField="CatchAllDataLabel" ma:web="8044c801-d84b-4ee1-a77e-678f8dcdee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7a0baa8c88445a78b6f55906390ba17" ma:index="10" ma:taxonomy="true" ma:internalName="p7a0baa8c88445a78b6f55906390ba17" ma:taxonomyFieldName="Record_x0020_Tag" ma:displayName="Record" ma:default="" ma:fieldId="{97a0baa8-c884-45a7-8b6f-55906390ba17}" ma:sspId="70da5c63-8548-4ac8-9616-83b0f373280e" ma:termSetId="e99b77ca-c000-4e3f-a77f-a64077d5e2f2" ma:anchorId="4e6d87af-2d6b-4cf1-a010-4111d6830e3c" ma:open="false" ma:isKeyword="false">
      <xsd:complexType>
        <xsd:sequence>
          <xsd:element ref="pc:Terms" minOccurs="0" maxOccurs="1"/>
        </xsd:sequence>
      </xsd:complexType>
    </xsd:element>
    <xsd:element name="TaxKeywordTaxHTField" ma:index="12" nillable="true" ma:taxonomy="true" ma:internalName="TaxKeywordTaxHTField" ma:taxonomyFieldName="TaxKeyword" ma:displayName="Enterprise Keywords" ma:fieldId="{23f27201-bee3-471e-b2e7-b64fd8b7ca38}" ma:taxonomyMulti="true" ma:sspId="70da5c63-8548-4ac8-9616-83b0f373280e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91972E-7924-4A2F-8995-3D65F9869737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6F0976D9-5741-4BEF-82E7-E21AF761E66D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A543D148-EEB4-4802-90A5-E28871593DAF}">
  <ds:schemaRefs>
    <ds:schemaRef ds:uri="http://purl.org/dc/terms/"/>
    <ds:schemaRef ds:uri="http://schemas.microsoft.com/office/2006/metadata/properties"/>
    <ds:schemaRef ds:uri="http://purl.org/dc/dcmitype/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3f4bcce7-ac1a-4c9d-aa3e-7e77695652db"/>
    <ds:schemaRef ds:uri="http://schemas.microsoft.com/sharepoint/v3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F4EFD4AD-C0EB-4E64-994E-88DFA7582A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f4bcce7-ac1a-4c9d-aa3e-7e77695652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7A73693-03C1-41BB-9B2F-30752B8FC7C7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1C131446-EDDF-463B-B1D0-CCC3D9EB0BE6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12F23C36-4AF7-4FBF-A227-0496E9059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1358</Words>
  <Characters>7747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26 - Dr Katie O'Bryan - National Water Reform - Public inquiry</vt:lpstr>
    </vt:vector>
  </TitlesOfParts>
  <Company>Dr Katie O'Bryan</Company>
  <LinksUpToDate>false</LinksUpToDate>
  <CharactersWithSpaces>9087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26 - Dr Katie O'Bryan - National Water Reform - Public inquiry</dc:title>
  <dc:subject/>
  <dc:creator>Dr Katie O'Bryan</dc:creator>
  <cp:keywords/>
  <dc:description/>
  <cp:lastModifiedBy>Productivity Commission</cp:lastModifiedBy>
  <cp:revision>3</cp:revision>
  <dcterms:created xsi:type="dcterms:W3CDTF">2017-04-18T07:26:00Z</dcterms:created>
  <dcterms:modified xsi:type="dcterms:W3CDTF">2017-04-20T03:31:00Z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0x0101007916246811615643A710C6FEAFF56A8711050060845A84EE8A744584B14B5F01BAF914</vt:lpwstr>
  </property>
  <property fmtid="{D5CDD505-2E9C-101B-9397-08002B2CF9AE}" pid="3" name="_dlc_DocIdItemGuid">
    <vt:lpwstr>4b30ee9d-610f-4352-92cf-a44f897d4660</vt:lpwstr>
  </property>
  <property fmtid="{D5CDD505-2E9C-101B-9397-08002B2CF9AE}" pid="4" name="Record Tag">
    <vt:lpwstr>139;#Submissions|c6e0dbf8-5444-433c-844d-d567dd519a05</vt:lpwstr>
  </property>
  <property fmtid="{D5CDD505-2E9C-101B-9397-08002B2CF9AE}" pid="5" name="TaxKeyword">
    <vt:lpwstr/>
  </property>
</Properties>
</file>