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F10" w:rsidRPr="00870C63" w:rsidRDefault="000F6BA6" w:rsidP="00870C63">
      <w:pPr>
        <w:pStyle w:val="Noparagraphstyle"/>
        <w:spacing w:line="240" w:lineRule="auto"/>
        <w:jc w:val="right"/>
        <w:rPr>
          <w:rFonts w:asciiTheme="majorHAnsi" w:hAnsiTheme="majorHAnsi" w:cstheme="majorHAnsi"/>
        </w:rPr>
      </w:pPr>
      <w:r w:rsidRPr="00870C6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2DFECC69" wp14:editId="22F4ABEB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276350" cy="1488440"/>
            <wp:effectExtent l="0" t="0" r="0" b="0"/>
            <wp:wrapSquare wrapText="bothSides"/>
            <wp:docPr id="1" name="Picture 1" descr="../../../../Branding%20-%20Australias%20Global%20University/Logo%202016/Corporate%20Logo/PNG_Web/01_Sydney%20Portra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Branding%20-%20Australias%20Global%20University/Logo%202016/Corporate%20Logo/PNG_Web/01_Sydney%20Portrai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6F10" w:rsidRPr="00870C63">
        <w:rPr>
          <w:rFonts w:asciiTheme="majorHAnsi" w:hAnsiTheme="majorHAnsi" w:cstheme="majorHAnsi"/>
        </w:rPr>
        <w:br w:type="textWrapping" w:clear="all"/>
        <w:t xml:space="preserve">Dr Neil Warren </w:t>
      </w:r>
    </w:p>
    <w:p w:rsidR="00CC6F10" w:rsidRPr="00870C63" w:rsidRDefault="00CC6F10" w:rsidP="00870C63">
      <w:pPr>
        <w:pStyle w:val="Noparagraphstyle"/>
        <w:spacing w:line="240" w:lineRule="auto"/>
        <w:jc w:val="right"/>
        <w:rPr>
          <w:rFonts w:asciiTheme="majorHAnsi" w:hAnsiTheme="majorHAnsi" w:cstheme="majorHAnsi"/>
        </w:rPr>
      </w:pPr>
      <w:r w:rsidRPr="00870C63">
        <w:rPr>
          <w:rFonts w:asciiTheme="majorHAnsi" w:hAnsiTheme="majorHAnsi" w:cstheme="majorHAnsi"/>
        </w:rPr>
        <w:t xml:space="preserve">Professor of Taxation </w:t>
      </w:r>
    </w:p>
    <w:p w:rsidR="00CC6F10" w:rsidRPr="00870C63" w:rsidRDefault="00CC6F10" w:rsidP="00870C63">
      <w:pPr>
        <w:pStyle w:val="Noparagraphstyle"/>
        <w:spacing w:line="240" w:lineRule="auto"/>
        <w:jc w:val="right"/>
        <w:rPr>
          <w:rFonts w:asciiTheme="majorHAnsi" w:hAnsiTheme="majorHAnsi" w:cstheme="majorHAnsi"/>
          <w:sz w:val="22"/>
          <w:szCs w:val="20"/>
        </w:rPr>
      </w:pPr>
      <w:r w:rsidRPr="00870C63">
        <w:rPr>
          <w:rFonts w:asciiTheme="majorHAnsi" w:hAnsiTheme="majorHAnsi" w:cstheme="majorHAnsi"/>
          <w:sz w:val="22"/>
          <w:szCs w:val="20"/>
        </w:rPr>
        <w:t xml:space="preserve">UNSW Business School </w:t>
      </w:r>
    </w:p>
    <w:p w:rsidR="00CC6F10" w:rsidRPr="00FF4F18" w:rsidRDefault="00CC6F10" w:rsidP="00870C63">
      <w:pPr>
        <w:pStyle w:val="Noparagraphstyle"/>
        <w:spacing w:line="240" w:lineRule="auto"/>
        <w:jc w:val="right"/>
        <w:rPr>
          <w:rFonts w:asciiTheme="minorHAnsi" w:hAnsiTheme="minorHAnsi" w:cstheme="majorHAnsi"/>
          <w:sz w:val="22"/>
          <w:szCs w:val="22"/>
        </w:rPr>
      </w:pPr>
      <w:r w:rsidRPr="00870C63">
        <w:rPr>
          <w:rFonts w:asciiTheme="majorHAnsi" w:hAnsiTheme="majorHAnsi" w:cstheme="majorHAnsi"/>
          <w:sz w:val="22"/>
          <w:szCs w:val="20"/>
        </w:rPr>
        <w:t xml:space="preserve">UNSW </w:t>
      </w:r>
      <w:r w:rsidR="00B84526">
        <w:rPr>
          <w:rFonts w:asciiTheme="majorHAnsi" w:hAnsiTheme="majorHAnsi" w:cstheme="majorHAnsi"/>
          <w:sz w:val="22"/>
          <w:szCs w:val="20"/>
        </w:rPr>
        <w:t>Sydney</w:t>
      </w:r>
      <w:r w:rsidRPr="00870C63">
        <w:rPr>
          <w:rFonts w:asciiTheme="majorHAnsi" w:hAnsiTheme="majorHAnsi" w:cstheme="majorHAnsi"/>
          <w:sz w:val="22"/>
          <w:szCs w:val="20"/>
        </w:rPr>
        <w:t>, Sydney 2052</w:t>
      </w:r>
      <w:r w:rsidRPr="00870C63">
        <w:rPr>
          <w:rFonts w:asciiTheme="majorHAnsi" w:hAnsiTheme="majorHAnsi" w:cstheme="majorHAnsi"/>
          <w:sz w:val="22"/>
          <w:szCs w:val="20"/>
        </w:rPr>
        <w:br/>
      </w:r>
      <w:r w:rsidR="002F5883">
        <w:rPr>
          <w:rFonts w:asciiTheme="minorHAnsi" w:hAnsiTheme="minorHAnsi" w:cstheme="majorHAnsi"/>
          <w:sz w:val="22"/>
          <w:szCs w:val="22"/>
        </w:rPr>
        <w:t xml:space="preserve"> </w:t>
      </w:r>
      <w:bookmarkStart w:id="0" w:name="_GoBack"/>
      <w:bookmarkEnd w:id="0"/>
      <w:r w:rsidRPr="00FF4F18">
        <w:rPr>
          <w:rFonts w:asciiTheme="minorHAnsi" w:hAnsiTheme="minorHAnsi" w:cstheme="majorHAnsi"/>
          <w:sz w:val="22"/>
          <w:szCs w:val="22"/>
        </w:rPr>
        <w:t xml:space="preserve">    </w:t>
      </w:r>
    </w:p>
    <w:p w:rsidR="00CC6F10" w:rsidRPr="00FF4F18" w:rsidRDefault="001B3363" w:rsidP="00CC6F10">
      <w:pPr>
        <w:pStyle w:val="Noparagraphstyle"/>
        <w:spacing w:line="240" w:lineRule="auto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</w:rPr>
        <w:t>30</w:t>
      </w:r>
      <w:r w:rsidR="00CC6F10" w:rsidRPr="00FF4F18">
        <w:rPr>
          <w:rFonts w:asciiTheme="minorHAnsi" w:hAnsiTheme="minorHAnsi" w:cstheme="majorHAnsi"/>
          <w:sz w:val="22"/>
          <w:szCs w:val="22"/>
        </w:rPr>
        <w:t xml:space="preserve"> June 2017</w:t>
      </w:r>
    </w:p>
    <w:p w:rsidR="00F630FC" w:rsidRPr="00FF4F18" w:rsidRDefault="00F630FC">
      <w:pPr>
        <w:pStyle w:val="Noparagraphstyle"/>
        <w:spacing w:line="240" w:lineRule="auto"/>
        <w:rPr>
          <w:rFonts w:asciiTheme="minorHAnsi" w:hAnsiTheme="minorHAnsi" w:cstheme="majorHAnsi"/>
          <w:sz w:val="22"/>
          <w:szCs w:val="22"/>
        </w:rPr>
      </w:pPr>
    </w:p>
    <w:p w:rsidR="00BB68E3" w:rsidRPr="00FF4F18" w:rsidRDefault="00CC6F10" w:rsidP="00014AC3">
      <w:pPr>
        <w:rPr>
          <w:rFonts w:asciiTheme="minorHAnsi" w:hAnsiTheme="minorHAnsi" w:cstheme="majorHAnsi"/>
          <w:b/>
          <w:szCs w:val="22"/>
        </w:rPr>
      </w:pPr>
      <w:r w:rsidRPr="00FF4F18">
        <w:rPr>
          <w:rFonts w:asciiTheme="minorHAnsi" w:hAnsiTheme="minorHAnsi" w:cstheme="majorHAnsi"/>
          <w:b/>
          <w:szCs w:val="22"/>
        </w:rPr>
        <w:t xml:space="preserve">Productivity Commission </w:t>
      </w:r>
      <w:r w:rsidRPr="00FF4F18">
        <w:rPr>
          <w:rFonts w:asciiTheme="minorHAnsi" w:hAnsiTheme="minorHAnsi" w:cstheme="majorHAnsi"/>
          <w:b/>
          <w:szCs w:val="22"/>
        </w:rPr>
        <w:br/>
      </w:r>
      <w:r w:rsidR="00014AC3" w:rsidRPr="00FF4F18">
        <w:rPr>
          <w:rFonts w:asciiTheme="minorHAnsi" w:hAnsiTheme="minorHAnsi" w:cstheme="majorHAnsi"/>
          <w:b/>
          <w:szCs w:val="22"/>
        </w:rPr>
        <w:t xml:space="preserve">Public </w:t>
      </w:r>
      <w:r w:rsidRPr="00FF4F18">
        <w:rPr>
          <w:rFonts w:asciiTheme="minorHAnsi" w:hAnsiTheme="minorHAnsi" w:cstheme="majorHAnsi"/>
          <w:b/>
          <w:szCs w:val="22"/>
        </w:rPr>
        <w:t>Inquiry into Horizontal Fiscal Equalisation</w:t>
      </w:r>
    </w:p>
    <w:p w:rsidR="00F630FC" w:rsidRPr="00FF4F18" w:rsidRDefault="00F630FC">
      <w:pPr>
        <w:pStyle w:val="Noparagraphstyle"/>
        <w:spacing w:line="240" w:lineRule="auto"/>
        <w:rPr>
          <w:rFonts w:asciiTheme="minorHAnsi" w:hAnsiTheme="minorHAnsi" w:cstheme="majorHAnsi"/>
          <w:szCs w:val="22"/>
        </w:rPr>
      </w:pPr>
    </w:p>
    <w:p w:rsidR="00CC6F10" w:rsidRPr="00FF4F18" w:rsidRDefault="00CC6F10" w:rsidP="00870C63">
      <w:pPr>
        <w:pStyle w:val="Noparagraphstyle"/>
        <w:spacing w:after="120" w:line="240" w:lineRule="auto"/>
        <w:rPr>
          <w:rFonts w:asciiTheme="minorHAnsi" w:hAnsiTheme="minorHAnsi" w:cstheme="majorHAnsi"/>
          <w:sz w:val="22"/>
          <w:szCs w:val="22"/>
        </w:rPr>
      </w:pPr>
      <w:r w:rsidRPr="00FF4F18">
        <w:rPr>
          <w:rFonts w:asciiTheme="minorHAnsi" w:hAnsiTheme="minorHAnsi" w:cstheme="majorHAnsi"/>
          <w:sz w:val="22"/>
          <w:szCs w:val="22"/>
        </w:rPr>
        <w:t>I have researched, written and advised on fiscal federalism issues for many years and I would like to thank the Productivity Commission for the opportunity to make a submission which I do in a personal capacity.</w:t>
      </w:r>
    </w:p>
    <w:p w:rsidR="00CC6F10" w:rsidRPr="00FF4F18" w:rsidRDefault="00CC6F10" w:rsidP="00870C63">
      <w:pPr>
        <w:pStyle w:val="Noparagraphstyle"/>
        <w:spacing w:after="120" w:line="240" w:lineRule="auto"/>
        <w:rPr>
          <w:rFonts w:asciiTheme="minorHAnsi" w:hAnsiTheme="minorHAnsi" w:cstheme="majorHAnsi"/>
          <w:sz w:val="22"/>
          <w:szCs w:val="22"/>
        </w:rPr>
      </w:pPr>
      <w:r w:rsidRPr="00FF4F18">
        <w:rPr>
          <w:rFonts w:asciiTheme="minorHAnsi" w:hAnsiTheme="minorHAnsi" w:cstheme="majorHAnsi"/>
          <w:sz w:val="22"/>
          <w:szCs w:val="22"/>
        </w:rPr>
        <w:t xml:space="preserve">In </w:t>
      </w:r>
      <w:r w:rsidR="00CF3692" w:rsidRPr="00FF4F18">
        <w:rPr>
          <w:rFonts w:asciiTheme="minorHAnsi" w:hAnsiTheme="minorHAnsi" w:cstheme="majorHAnsi"/>
          <w:sz w:val="22"/>
          <w:szCs w:val="22"/>
        </w:rPr>
        <w:t>making the</w:t>
      </w:r>
      <w:r w:rsidRPr="00FF4F18">
        <w:rPr>
          <w:rFonts w:asciiTheme="minorHAnsi" w:hAnsiTheme="minorHAnsi" w:cstheme="majorHAnsi"/>
          <w:sz w:val="22"/>
          <w:szCs w:val="22"/>
        </w:rPr>
        <w:t xml:space="preserve"> following points, I can make </w:t>
      </w:r>
      <w:r w:rsidR="00CF3692" w:rsidRPr="00FF4F18">
        <w:rPr>
          <w:rFonts w:asciiTheme="minorHAnsi" w:hAnsiTheme="minorHAnsi" w:cstheme="majorHAnsi"/>
          <w:sz w:val="22"/>
          <w:szCs w:val="22"/>
        </w:rPr>
        <w:t xml:space="preserve">available on demand </w:t>
      </w:r>
      <w:r w:rsidRPr="00FF4F18">
        <w:rPr>
          <w:rFonts w:asciiTheme="minorHAnsi" w:hAnsiTheme="minorHAnsi" w:cstheme="majorHAnsi"/>
          <w:sz w:val="22"/>
          <w:szCs w:val="22"/>
        </w:rPr>
        <w:t xml:space="preserve">to the Commission related supporting publications as well as a </w:t>
      </w:r>
      <w:r w:rsidR="00CF3692" w:rsidRPr="00FF4F18">
        <w:rPr>
          <w:rFonts w:asciiTheme="minorHAnsi" w:hAnsiTheme="minorHAnsi" w:cstheme="majorHAnsi"/>
          <w:sz w:val="22"/>
          <w:szCs w:val="22"/>
        </w:rPr>
        <w:t xml:space="preserve">conference </w:t>
      </w:r>
      <w:r w:rsidRPr="00FF4F18">
        <w:rPr>
          <w:rFonts w:asciiTheme="minorHAnsi" w:hAnsiTheme="minorHAnsi" w:cstheme="majorHAnsi"/>
          <w:sz w:val="22"/>
          <w:szCs w:val="22"/>
        </w:rPr>
        <w:t xml:space="preserve">paper currently in preparation on </w:t>
      </w:r>
      <w:r w:rsidR="00C3233E">
        <w:rPr>
          <w:rFonts w:asciiTheme="minorHAnsi" w:hAnsiTheme="minorHAnsi" w:cstheme="majorHAnsi"/>
          <w:sz w:val="22"/>
          <w:szCs w:val="22"/>
        </w:rPr>
        <w:t>‘</w:t>
      </w:r>
      <w:r w:rsidRPr="00FF4F18">
        <w:rPr>
          <w:rFonts w:asciiTheme="minorHAnsi" w:hAnsiTheme="minorHAnsi" w:cstheme="majorHAnsi"/>
          <w:sz w:val="22"/>
          <w:szCs w:val="22"/>
        </w:rPr>
        <w:t>Dialling incentives into HFE to facilitate reform (and political risk) in a federation</w:t>
      </w:r>
      <w:r w:rsidR="00C3233E">
        <w:rPr>
          <w:rFonts w:asciiTheme="minorHAnsi" w:hAnsiTheme="minorHAnsi" w:cstheme="majorHAnsi"/>
          <w:sz w:val="22"/>
          <w:szCs w:val="22"/>
        </w:rPr>
        <w:t>’</w:t>
      </w:r>
      <w:r w:rsidRPr="00FF4F18">
        <w:rPr>
          <w:rFonts w:asciiTheme="minorHAnsi" w:hAnsiTheme="minorHAnsi" w:cstheme="majorHAnsi"/>
          <w:sz w:val="22"/>
          <w:szCs w:val="22"/>
        </w:rPr>
        <w:t>.</w:t>
      </w:r>
    </w:p>
    <w:p w:rsidR="00BB68E3" w:rsidRPr="00FF4F18" w:rsidRDefault="00CC6F10" w:rsidP="00014AC3">
      <w:pPr>
        <w:rPr>
          <w:rFonts w:asciiTheme="minorHAnsi" w:hAnsiTheme="minorHAnsi" w:cstheme="majorHAnsi"/>
          <w:b/>
          <w:sz w:val="22"/>
          <w:szCs w:val="22"/>
        </w:rPr>
      </w:pPr>
      <w:r w:rsidRPr="00FF4F18">
        <w:rPr>
          <w:rFonts w:asciiTheme="minorHAnsi" w:hAnsiTheme="minorHAnsi" w:cstheme="majorHAnsi"/>
          <w:b/>
          <w:sz w:val="22"/>
          <w:szCs w:val="22"/>
        </w:rPr>
        <w:t>Points</w:t>
      </w:r>
    </w:p>
    <w:p w:rsidR="00870C63" w:rsidRPr="00FF4F18" w:rsidRDefault="00870C63" w:rsidP="00CC6F10">
      <w:pPr>
        <w:pStyle w:val="ListParagraph"/>
        <w:numPr>
          <w:ilvl w:val="0"/>
          <w:numId w:val="3"/>
        </w:numPr>
        <w:spacing w:after="12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</w:rPr>
        <w:t>In all federation</w:t>
      </w:r>
      <w:r w:rsidR="00CF3692" w:rsidRPr="00FF4F18">
        <w:rPr>
          <w:rFonts w:cstheme="majorHAnsi"/>
        </w:rPr>
        <w:t>s</w:t>
      </w:r>
      <w:r w:rsidRPr="00FF4F18">
        <w:rPr>
          <w:rFonts w:cstheme="majorHAnsi"/>
        </w:rPr>
        <w:t>, vertical fiscal gap (</w:t>
      </w:r>
      <w:proofErr w:type="spellStart"/>
      <w:r w:rsidRPr="00FF4F18">
        <w:rPr>
          <w:rFonts w:cstheme="majorHAnsi"/>
        </w:rPr>
        <w:t>VFG</w:t>
      </w:r>
      <w:proofErr w:type="spellEnd"/>
      <w:r w:rsidRPr="00FF4F18">
        <w:rPr>
          <w:rFonts w:cstheme="majorHAnsi"/>
        </w:rPr>
        <w:t xml:space="preserve">) </w:t>
      </w:r>
      <w:r w:rsidR="00CF3692" w:rsidRPr="00FF4F18">
        <w:rPr>
          <w:rFonts w:cstheme="majorHAnsi"/>
        </w:rPr>
        <w:t>and horizontal fiscal gap (</w:t>
      </w:r>
      <w:proofErr w:type="spellStart"/>
      <w:r w:rsidR="00CF3692" w:rsidRPr="00FF4F18">
        <w:rPr>
          <w:rFonts w:cstheme="majorHAnsi"/>
        </w:rPr>
        <w:t>HFG</w:t>
      </w:r>
      <w:proofErr w:type="spellEnd"/>
      <w:r w:rsidR="00CF3692" w:rsidRPr="00FF4F18">
        <w:rPr>
          <w:rFonts w:cstheme="majorHAnsi"/>
        </w:rPr>
        <w:t xml:space="preserve">) are </w:t>
      </w:r>
      <w:r w:rsidR="00A45F60" w:rsidRPr="00FF4F18">
        <w:rPr>
          <w:rFonts w:cstheme="majorHAnsi"/>
        </w:rPr>
        <w:t xml:space="preserve">inevitable and </w:t>
      </w:r>
      <w:r w:rsidR="00CF3692" w:rsidRPr="00FF4F18">
        <w:rPr>
          <w:rFonts w:cstheme="majorHAnsi"/>
        </w:rPr>
        <w:t xml:space="preserve">it is </w:t>
      </w:r>
      <w:r w:rsidRPr="00FF4F18">
        <w:rPr>
          <w:rFonts w:cstheme="majorHAnsi"/>
        </w:rPr>
        <w:t>essential for a</w:t>
      </w:r>
      <w:r w:rsidR="00A45F60" w:rsidRPr="00FF4F18">
        <w:rPr>
          <w:rFonts w:cstheme="majorHAnsi"/>
        </w:rPr>
        <w:t xml:space="preserve"> </w:t>
      </w:r>
      <w:r w:rsidRPr="00FF4F18">
        <w:rPr>
          <w:rFonts w:cstheme="majorHAnsi"/>
        </w:rPr>
        <w:t>well-functioning</w:t>
      </w:r>
      <w:r w:rsidR="00A45F60" w:rsidRPr="00FF4F18">
        <w:rPr>
          <w:rFonts w:cstheme="majorHAnsi"/>
        </w:rPr>
        <w:t xml:space="preserve"> politically stable harmonious f</w:t>
      </w:r>
      <w:r w:rsidRPr="00FF4F18">
        <w:rPr>
          <w:rFonts w:cstheme="majorHAnsi"/>
        </w:rPr>
        <w:t>ederation</w:t>
      </w:r>
      <w:r w:rsidR="00CF3692" w:rsidRPr="00FF4F18">
        <w:rPr>
          <w:rFonts w:cstheme="majorHAnsi"/>
        </w:rPr>
        <w:t xml:space="preserve"> that there </w:t>
      </w:r>
      <w:r w:rsidR="00FF4F18">
        <w:rPr>
          <w:rFonts w:cstheme="majorHAnsi"/>
        </w:rPr>
        <w:t>are</w:t>
      </w:r>
      <w:r w:rsidR="00CF3692" w:rsidRPr="00FF4F18">
        <w:rPr>
          <w:rFonts w:cstheme="majorHAnsi"/>
        </w:rPr>
        <w:t xml:space="preserve"> accompanying vertical fiscal equalisation (</w:t>
      </w:r>
      <w:proofErr w:type="spellStart"/>
      <w:r w:rsidR="00CF3692" w:rsidRPr="00FF4F18">
        <w:rPr>
          <w:rFonts w:cstheme="majorHAnsi"/>
        </w:rPr>
        <w:t>VF</w:t>
      </w:r>
      <w:r w:rsidR="004036F0">
        <w:rPr>
          <w:rFonts w:cstheme="majorHAnsi"/>
        </w:rPr>
        <w:t>E</w:t>
      </w:r>
      <w:proofErr w:type="spellEnd"/>
      <w:r w:rsidR="00CF3692" w:rsidRPr="00FF4F18">
        <w:rPr>
          <w:rFonts w:cstheme="majorHAnsi"/>
        </w:rPr>
        <w:t>) and horizontal fiscal equalisation (HFE)</w:t>
      </w:r>
      <w:r w:rsidR="00CF3692" w:rsidRPr="00FF4F18">
        <w:rPr>
          <w:rStyle w:val="FootnoteReference"/>
          <w:rFonts w:cstheme="majorHAnsi"/>
        </w:rPr>
        <w:footnoteReference w:id="1"/>
      </w:r>
      <w:r w:rsidR="00CF3692" w:rsidRPr="00FF4F18">
        <w:rPr>
          <w:rFonts w:cstheme="majorHAnsi"/>
        </w:rPr>
        <w:t xml:space="preserve"> arrangements.</w:t>
      </w:r>
    </w:p>
    <w:p w:rsidR="00CC6F10" w:rsidRPr="00FF4F18" w:rsidRDefault="00C63CA8" w:rsidP="00CC6F10">
      <w:pPr>
        <w:pStyle w:val="ListParagraph"/>
        <w:numPr>
          <w:ilvl w:val="0"/>
          <w:numId w:val="3"/>
        </w:numPr>
        <w:spacing w:after="12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</w:rPr>
        <w:t xml:space="preserve">Fiscal </w:t>
      </w:r>
      <w:r w:rsidR="00CC6F10" w:rsidRPr="00FF4F18">
        <w:rPr>
          <w:rFonts w:cstheme="majorHAnsi"/>
        </w:rPr>
        <w:t xml:space="preserve">equalisation is a process </w:t>
      </w:r>
      <w:r w:rsidR="00A45F60" w:rsidRPr="00FF4F18">
        <w:rPr>
          <w:rFonts w:cstheme="majorHAnsi"/>
        </w:rPr>
        <w:t xml:space="preserve">which should be </w:t>
      </w:r>
      <w:r w:rsidR="00014AC3" w:rsidRPr="00FF4F18">
        <w:rPr>
          <w:rFonts w:cstheme="majorHAnsi"/>
        </w:rPr>
        <w:t xml:space="preserve">undertaken by the </w:t>
      </w:r>
      <w:r w:rsidR="00CC6F10" w:rsidRPr="00FF4F18">
        <w:rPr>
          <w:rFonts w:cstheme="majorHAnsi"/>
        </w:rPr>
        <w:t xml:space="preserve">Federation, not dominated by a single </w:t>
      </w:r>
      <w:r w:rsidR="00014AC3" w:rsidRPr="00FF4F18">
        <w:rPr>
          <w:rFonts w:cstheme="majorHAnsi"/>
        </w:rPr>
        <w:t xml:space="preserve">level of </w:t>
      </w:r>
      <w:r w:rsidR="00CC6F10" w:rsidRPr="00FF4F18">
        <w:rPr>
          <w:rFonts w:cstheme="majorHAnsi"/>
        </w:rPr>
        <w:t>government</w:t>
      </w:r>
      <w:r w:rsidR="00014AC3" w:rsidRPr="00FF4F18">
        <w:rPr>
          <w:rFonts w:cstheme="majorHAnsi"/>
        </w:rPr>
        <w:t xml:space="preserve"> in the Federation</w:t>
      </w:r>
      <w:r w:rsidR="00CF3692" w:rsidRPr="00FF4F18">
        <w:rPr>
          <w:rFonts w:cstheme="majorHAnsi"/>
        </w:rPr>
        <w:t xml:space="preserve"> and needs to accord with and respect political and institutional arrangement</w:t>
      </w:r>
      <w:r w:rsidR="00B91704" w:rsidRPr="00FF4F18">
        <w:rPr>
          <w:rFonts w:cstheme="majorHAnsi"/>
        </w:rPr>
        <w:t>s</w:t>
      </w:r>
      <w:r w:rsidRPr="00FF4F18">
        <w:rPr>
          <w:rFonts w:cstheme="majorHAnsi"/>
        </w:rPr>
        <w:t>.</w:t>
      </w:r>
    </w:p>
    <w:p w:rsidR="00CC6F10" w:rsidRPr="00FF4F18" w:rsidRDefault="00B91704" w:rsidP="00CC6F10">
      <w:pPr>
        <w:pStyle w:val="ListParagraph"/>
        <w:numPr>
          <w:ilvl w:val="0"/>
          <w:numId w:val="3"/>
        </w:numPr>
        <w:spacing w:after="12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</w:rPr>
        <w:t xml:space="preserve">Transparency of process, open-data access and transparent equalisation mechanisms are </w:t>
      </w:r>
      <w:r w:rsidR="00CC6F10" w:rsidRPr="00FF4F18">
        <w:rPr>
          <w:rFonts w:cstheme="majorHAnsi"/>
        </w:rPr>
        <w:t>essential</w:t>
      </w:r>
      <w:r w:rsidR="00CF3692" w:rsidRPr="00FF4F18">
        <w:rPr>
          <w:rFonts w:cstheme="majorHAnsi"/>
        </w:rPr>
        <w:t xml:space="preserve"> if there is to be a</w:t>
      </w:r>
      <w:r w:rsidR="00CC6F10" w:rsidRPr="00FF4F18">
        <w:rPr>
          <w:rFonts w:cstheme="majorHAnsi"/>
        </w:rPr>
        <w:t xml:space="preserve"> transparent and accountable equalisation </w:t>
      </w:r>
      <w:r w:rsidR="00C63CA8" w:rsidRPr="00FF4F18">
        <w:rPr>
          <w:rFonts w:cstheme="majorHAnsi"/>
        </w:rPr>
        <w:t>process.</w:t>
      </w:r>
    </w:p>
    <w:p w:rsidR="00CC6F10" w:rsidRPr="00FF4F18" w:rsidRDefault="00C63CA8" w:rsidP="00CC6F10">
      <w:pPr>
        <w:pStyle w:val="ListParagraph"/>
        <w:numPr>
          <w:ilvl w:val="0"/>
          <w:numId w:val="3"/>
        </w:numPr>
        <w:spacing w:after="12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</w:rPr>
        <w:t xml:space="preserve">Effective </w:t>
      </w:r>
      <w:r w:rsidR="00CC6F10" w:rsidRPr="00FF4F18">
        <w:rPr>
          <w:rFonts w:cstheme="majorHAnsi"/>
        </w:rPr>
        <w:t xml:space="preserve">equalisation cannot take place without transparent measures of effectiveness and performance such as insights </w:t>
      </w:r>
      <w:r w:rsidRPr="00FF4F18">
        <w:rPr>
          <w:rFonts w:cstheme="majorHAnsi"/>
        </w:rPr>
        <w:t>provided by measures of</w:t>
      </w:r>
      <w:r w:rsidR="00CC6F10" w:rsidRPr="00FF4F18">
        <w:rPr>
          <w:rFonts w:cstheme="majorHAnsi"/>
        </w:rPr>
        <w:t xml:space="preserve"> tax capacity, expenditure </w:t>
      </w:r>
      <w:r w:rsidR="00A45F60" w:rsidRPr="00FF4F18">
        <w:rPr>
          <w:rFonts w:cstheme="majorHAnsi"/>
        </w:rPr>
        <w:t xml:space="preserve">disability, </w:t>
      </w:r>
      <w:r w:rsidRPr="00FF4F18">
        <w:rPr>
          <w:rFonts w:cstheme="majorHAnsi"/>
        </w:rPr>
        <w:t xml:space="preserve">tax </w:t>
      </w:r>
      <w:r w:rsidR="00A45F60" w:rsidRPr="00FF4F18">
        <w:rPr>
          <w:rFonts w:cstheme="majorHAnsi"/>
        </w:rPr>
        <w:t xml:space="preserve">effort </w:t>
      </w:r>
      <w:r w:rsidRPr="00FF4F18">
        <w:rPr>
          <w:rFonts w:cstheme="majorHAnsi"/>
        </w:rPr>
        <w:t xml:space="preserve">and expenditure </w:t>
      </w:r>
      <w:r w:rsidR="00CC6F10" w:rsidRPr="00FF4F18">
        <w:rPr>
          <w:rFonts w:cstheme="majorHAnsi"/>
        </w:rPr>
        <w:t>effort.</w:t>
      </w:r>
    </w:p>
    <w:p w:rsidR="00CC6F10" w:rsidRPr="00FF4F18" w:rsidRDefault="00CC6F10" w:rsidP="00CC6F10">
      <w:pPr>
        <w:pStyle w:val="ListParagraph"/>
        <w:numPr>
          <w:ilvl w:val="0"/>
          <w:numId w:val="3"/>
        </w:numPr>
        <w:spacing w:after="12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</w:rPr>
        <w:t xml:space="preserve">Fiscal equalisation arrangements are </w:t>
      </w:r>
      <w:r w:rsidR="00B91704" w:rsidRPr="00FF4F18">
        <w:rPr>
          <w:rFonts w:cstheme="majorHAnsi"/>
        </w:rPr>
        <w:t xml:space="preserve">inevitably </w:t>
      </w:r>
      <w:r w:rsidRPr="00FF4F18">
        <w:rPr>
          <w:rFonts w:cstheme="majorHAnsi"/>
        </w:rPr>
        <w:t xml:space="preserve">country </w:t>
      </w:r>
      <w:r w:rsidR="00B91704" w:rsidRPr="00FF4F18">
        <w:rPr>
          <w:rFonts w:cstheme="majorHAnsi"/>
        </w:rPr>
        <w:t>specific</w:t>
      </w:r>
      <w:r w:rsidRPr="00FF4F18">
        <w:rPr>
          <w:rFonts w:cstheme="majorHAnsi"/>
        </w:rPr>
        <w:t xml:space="preserve"> as </w:t>
      </w:r>
      <w:r w:rsidR="00B91704" w:rsidRPr="00FF4F18">
        <w:rPr>
          <w:rFonts w:cstheme="majorHAnsi"/>
        </w:rPr>
        <w:t xml:space="preserve">they </w:t>
      </w:r>
      <w:r w:rsidRPr="00FF4F18">
        <w:rPr>
          <w:rFonts w:cstheme="majorHAnsi"/>
        </w:rPr>
        <w:t xml:space="preserve">relate to institutional factors (e.g. Constitution) and political processes, however there are common lessons </w:t>
      </w:r>
      <w:r w:rsidR="00A45F60" w:rsidRPr="00FF4F18">
        <w:rPr>
          <w:rFonts w:cstheme="majorHAnsi"/>
        </w:rPr>
        <w:t xml:space="preserve">to be learnt </w:t>
      </w:r>
      <w:r w:rsidR="00C63CA8" w:rsidRPr="00FF4F18">
        <w:rPr>
          <w:rFonts w:cstheme="majorHAnsi"/>
        </w:rPr>
        <w:t xml:space="preserve">about </w:t>
      </w:r>
      <w:r w:rsidR="00A45F60" w:rsidRPr="00FF4F18">
        <w:rPr>
          <w:rFonts w:cstheme="majorHAnsi"/>
        </w:rPr>
        <w:t xml:space="preserve">good </w:t>
      </w:r>
      <w:r w:rsidRPr="00FF4F18">
        <w:rPr>
          <w:rFonts w:cstheme="majorHAnsi"/>
        </w:rPr>
        <w:t xml:space="preserve">design </w:t>
      </w:r>
      <w:r w:rsidR="00C63CA8" w:rsidRPr="00FF4F18">
        <w:rPr>
          <w:rFonts w:cstheme="majorHAnsi"/>
        </w:rPr>
        <w:t xml:space="preserve">from quite different </w:t>
      </w:r>
      <w:r w:rsidR="00A45F60" w:rsidRPr="00FF4F18">
        <w:rPr>
          <w:rFonts w:cstheme="majorHAnsi"/>
        </w:rPr>
        <w:t>federation funding arrangements.</w:t>
      </w:r>
    </w:p>
    <w:p w:rsidR="00CC6F10" w:rsidRPr="00FF4F18" w:rsidRDefault="00A45F60" w:rsidP="00CC6F10">
      <w:pPr>
        <w:pStyle w:val="ListParagraph"/>
        <w:numPr>
          <w:ilvl w:val="0"/>
          <w:numId w:val="3"/>
        </w:numPr>
        <w:spacing w:after="12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</w:rPr>
        <w:t>F</w:t>
      </w:r>
      <w:r w:rsidR="00CC6F10" w:rsidRPr="00FF4F18">
        <w:rPr>
          <w:rFonts w:cstheme="majorHAnsi"/>
        </w:rPr>
        <w:t xml:space="preserve">ull equalisation as applied in Australia is unique amongst federations </w:t>
      </w:r>
      <w:r w:rsidR="00C63CA8" w:rsidRPr="00FF4F18">
        <w:rPr>
          <w:rFonts w:cstheme="majorHAnsi"/>
        </w:rPr>
        <w:t>and is</w:t>
      </w:r>
      <w:r w:rsidR="00CC6F10" w:rsidRPr="00FF4F18">
        <w:rPr>
          <w:rFonts w:cstheme="majorHAnsi"/>
        </w:rPr>
        <w:t xml:space="preserve"> not </w:t>
      </w:r>
      <w:r w:rsidRPr="00FF4F18">
        <w:rPr>
          <w:rFonts w:cstheme="majorHAnsi"/>
        </w:rPr>
        <w:t xml:space="preserve">widely </w:t>
      </w:r>
      <w:r w:rsidR="00CC6F10" w:rsidRPr="00FF4F18">
        <w:rPr>
          <w:rFonts w:cstheme="majorHAnsi"/>
        </w:rPr>
        <w:t xml:space="preserve">adopted because of concerns about </w:t>
      </w:r>
      <w:r w:rsidR="00C63CA8" w:rsidRPr="00FF4F18">
        <w:rPr>
          <w:rFonts w:cstheme="majorHAnsi"/>
        </w:rPr>
        <w:t xml:space="preserve">the adverse </w:t>
      </w:r>
      <w:r w:rsidR="00B91704" w:rsidRPr="00FF4F18">
        <w:rPr>
          <w:rFonts w:cstheme="majorHAnsi"/>
        </w:rPr>
        <w:t>impact it</w:t>
      </w:r>
      <w:r w:rsidRPr="00FF4F18">
        <w:rPr>
          <w:rFonts w:cstheme="majorHAnsi"/>
        </w:rPr>
        <w:t xml:space="preserve"> </w:t>
      </w:r>
      <w:r w:rsidR="00870C63" w:rsidRPr="00FF4F18">
        <w:rPr>
          <w:rFonts w:cstheme="majorHAnsi"/>
        </w:rPr>
        <w:t xml:space="preserve">can have </w:t>
      </w:r>
      <w:r w:rsidR="00947A08" w:rsidRPr="00FF4F18">
        <w:rPr>
          <w:rFonts w:cstheme="majorHAnsi"/>
        </w:rPr>
        <w:t xml:space="preserve">for </w:t>
      </w:r>
      <w:r w:rsidR="00CC6F10" w:rsidRPr="00FF4F18">
        <w:rPr>
          <w:rFonts w:cstheme="majorHAnsi"/>
        </w:rPr>
        <w:t>incentives for subn</w:t>
      </w:r>
      <w:r w:rsidRPr="00FF4F18">
        <w:rPr>
          <w:rFonts w:cstheme="majorHAnsi"/>
        </w:rPr>
        <w:t xml:space="preserve">ational recipient </w:t>
      </w:r>
      <w:r w:rsidR="006C3603" w:rsidRPr="00FF4F18">
        <w:rPr>
          <w:rFonts w:cstheme="majorHAnsi"/>
        </w:rPr>
        <w:lastRenderedPageBreak/>
        <w:t xml:space="preserve">governments arising </w:t>
      </w:r>
      <w:r w:rsidRPr="00FF4F18">
        <w:rPr>
          <w:rFonts w:cstheme="majorHAnsi"/>
        </w:rPr>
        <w:t>from</w:t>
      </w:r>
      <w:r w:rsidR="00CC6F10" w:rsidRPr="00FF4F18">
        <w:rPr>
          <w:rFonts w:cstheme="majorHAnsi"/>
        </w:rPr>
        <w:t xml:space="preserve"> vertical and horizontal redistributions </w:t>
      </w:r>
      <w:r w:rsidRPr="00FF4F18">
        <w:rPr>
          <w:rFonts w:cstheme="majorHAnsi"/>
        </w:rPr>
        <w:t>which full</w:t>
      </w:r>
      <w:r w:rsidR="004036F0">
        <w:rPr>
          <w:rFonts w:cstheme="majorHAnsi"/>
        </w:rPr>
        <w:t>y</w:t>
      </w:r>
      <w:r w:rsidRPr="00FF4F18">
        <w:rPr>
          <w:rFonts w:cstheme="majorHAnsi"/>
        </w:rPr>
        <w:t xml:space="preserve"> equalise</w:t>
      </w:r>
      <w:r w:rsidR="00CC6F10" w:rsidRPr="00FF4F18">
        <w:rPr>
          <w:rFonts w:cstheme="majorHAnsi"/>
        </w:rPr>
        <w:t xml:space="preserve"> (e.g. Germany</w:t>
      </w:r>
      <w:r w:rsidR="00C63CA8" w:rsidRPr="00FF4F18">
        <w:rPr>
          <w:rStyle w:val="FootnoteReference"/>
          <w:rFonts w:cstheme="majorHAnsi"/>
        </w:rPr>
        <w:footnoteReference w:id="2"/>
      </w:r>
      <w:r w:rsidR="00CC6F10" w:rsidRPr="00FF4F18">
        <w:rPr>
          <w:rFonts w:cstheme="majorHAnsi"/>
        </w:rPr>
        <w:t>, Canada)</w:t>
      </w:r>
    </w:p>
    <w:p w:rsidR="00285349" w:rsidRPr="00FF4F18" w:rsidRDefault="0015688A" w:rsidP="00285349">
      <w:pPr>
        <w:pStyle w:val="ListParagraph"/>
        <w:numPr>
          <w:ilvl w:val="0"/>
          <w:numId w:val="3"/>
        </w:numPr>
        <w:spacing w:after="120" w:line="264" w:lineRule="auto"/>
        <w:contextualSpacing w:val="0"/>
        <w:rPr>
          <w:rFonts w:cstheme="majorHAnsi"/>
        </w:rPr>
      </w:pPr>
      <w:r w:rsidRPr="00FF4F18">
        <w:rPr>
          <w:rStyle w:val="BodyTextChar"/>
        </w:rPr>
        <w:t>In the past</w:t>
      </w:r>
      <w:r w:rsidRPr="00FF4F18">
        <w:rPr>
          <w:rStyle w:val="FootnoteReference"/>
          <w:rFonts w:cs="Times New Roman"/>
          <w:lang w:eastAsia="en-AU"/>
        </w:rPr>
        <w:footnoteReference w:id="3"/>
      </w:r>
      <w:r w:rsidRPr="00FF4F18">
        <w:rPr>
          <w:rStyle w:val="BodyTextChar"/>
        </w:rPr>
        <w:t xml:space="preserve">, the </w:t>
      </w:r>
      <w:r w:rsidR="006D53DD" w:rsidRPr="00FF4F18">
        <w:rPr>
          <w:rFonts w:cstheme="majorHAnsi"/>
        </w:rPr>
        <w:t>Commonwealth Grants Commission (</w:t>
      </w:r>
      <w:proofErr w:type="spellStart"/>
      <w:r w:rsidR="006D53DD" w:rsidRPr="00FF4F18">
        <w:rPr>
          <w:rFonts w:cstheme="majorHAnsi"/>
        </w:rPr>
        <w:t>CGC</w:t>
      </w:r>
      <w:proofErr w:type="spellEnd"/>
      <w:r w:rsidR="006D53DD" w:rsidRPr="00FF4F18">
        <w:rPr>
          <w:rFonts w:cstheme="majorHAnsi"/>
        </w:rPr>
        <w:t xml:space="preserve">) </w:t>
      </w:r>
      <w:r w:rsidRPr="00FF4F18">
        <w:rPr>
          <w:rStyle w:val="BodyTextChar"/>
        </w:rPr>
        <w:t xml:space="preserve">has not always applied such a rigorous application of HFE principles, the current </w:t>
      </w:r>
      <w:r w:rsidR="00CC6F10" w:rsidRPr="00FF4F18">
        <w:rPr>
          <w:rFonts w:cstheme="majorHAnsi"/>
        </w:rPr>
        <w:t xml:space="preserve">arrangement </w:t>
      </w:r>
      <w:r w:rsidRPr="00FF4F18">
        <w:rPr>
          <w:rFonts w:cstheme="majorHAnsi"/>
        </w:rPr>
        <w:t>b</w:t>
      </w:r>
      <w:r w:rsidR="00A45F60" w:rsidRPr="00FF4F18">
        <w:rPr>
          <w:rFonts w:cstheme="majorHAnsi"/>
        </w:rPr>
        <w:t xml:space="preserve">eing in place only since </w:t>
      </w:r>
      <w:r w:rsidR="00CC6F10" w:rsidRPr="00FF4F18">
        <w:rPr>
          <w:rFonts w:cstheme="majorHAnsi"/>
        </w:rPr>
        <w:t>1981</w:t>
      </w:r>
      <w:r w:rsidR="00A45F60" w:rsidRPr="00FF4F18">
        <w:rPr>
          <w:rFonts w:cstheme="majorHAnsi"/>
        </w:rPr>
        <w:t xml:space="preserve">.  This </w:t>
      </w:r>
      <w:r w:rsidR="00C3233E">
        <w:rPr>
          <w:rFonts w:cstheme="majorHAnsi"/>
        </w:rPr>
        <w:t>‘</w:t>
      </w:r>
      <w:r w:rsidR="00CC6F10" w:rsidRPr="00FF4F18">
        <w:rPr>
          <w:rFonts w:cstheme="majorHAnsi"/>
        </w:rPr>
        <w:t>relative</w:t>
      </w:r>
      <w:r w:rsidR="00C3233E">
        <w:rPr>
          <w:rFonts w:cstheme="majorHAnsi"/>
        </w:rPr>
        <w:t>’</w:t>
      </w:r>
      <w:r w:rsidR="00CC6F10" w:rsidRPr="00FF4F18">
        <w:rPr>
          <w:rFonts w:cstheme="majorHAnsi"/>
        </w:rPr>
        <w:t xml:space="preserve"> approach</w:t>
      </w:r>
      <w:r w:rsidR="00A45F60" w:rsidRPr="00FF4F18">
        <w:rPr>
          <w:rFonts w:cstheme="majorHAnsi"/>
        </w:rPr>
        <w:t xml:space="preserve"> </w:t>
      </w:r>
      <w:r w:rsidR="00285349" w:rsidRPr="00FF4F18">
        <w:rPr>
          <w:rFonts w:cstheme="majorHAnsi"/>
        </w:rPr>
        <w:t xml:space="preserve">is framed around the requirement that for States </w:t>
      </w:r>
      <w:r w:rsidR="00D866C2">
        <w:rPr>
          <w:rFonts w:cstheme="majorHAnsi"/>
        </w:rPr>
        <w:t>(hereafter referred to as States)</w:t>
      </w:r>
      <w:r w:rsidR="00285349" w:rsidRPr="00FF4F18">
        <w:rPr>
          <w:rFonts w:cstheme="majorHAnsi"/>
        </w:rPr>
        <w:t xml:space="preserve"> </w:t>
      </w:r>
      <w:r w:rsidR="00C3233E">
        <w:rPr>
          <w:rFonts w:cstheme="majorHAnsi"/>
        </w:rPr>
        <w:t>‘</w:t>
      </w:r>
      <w:r w:rsidR="00285349" w:rsidRPr="00FF4F18">
        <w:rPr>
          <w:rFonts w:cstheme="majorHAnsi"/>
        </w:rPr>
        <w:t>each would have the fiscal capacity to provide services and the associated infrastructure at the same standard</w:t>
      </w:r>
      <w:r w:rsidR="00C3233E">
        <w:rPr>
          <w:rFonts w:cstheme="majorHAnsi"/>
        </w:rPr>
        <w:t>’</w:t>
      </w:r>
      <w:r w:rsidR="00285349" w:rsidRPr="00FF4F18">
        <w:rPr>
          <w:rStyle w:val="FootnoteReference"/>
          <w:rFonts w:cstheme="majorHAnsi"/>
        </w:rPr>
        <w:footnoteReference w:id="4"/>
      </w:r>
      <w:r w:rsidR="00285349" w:rsidRPr="00FF4F18">
        <w:rPr>
          <w:rFonts w:cstheme="majorHAnsi"/>
        </w:rPr>
        <w:t xml:space="preserve">.  </w:t>
      </w:r>
      <w:r w:rsidR="006C3603" w:rsidRPr="00FF4F18">
        <w:rPr>
          <w:rFonts w:cstheme="majorHAnsi"/>
        </w:rPr>
        <w:t>Since Federation in 19</w:t>
      </w:r>
      <w:r w:rsidRPr="00FF4F18">
        <w:rPr>
          <w:rFonts w:cstheme="majorHAnsi"/>
        </w:rPr>
        <w:t xml:space="preserve">01, an </w:t>
      </w:r>
      <w:r w:rsidR="00C3233E">
        <w:rPr>
          <w:rFonts w:cstheme="majorHAnsi"/>
        </w:rPr>
        <w:t>‘</w:t>
      </w:r>
      <w:r w:rsidRPr="00FF4F18">
        <w:rPr>
          <w:rFonts w:cstheme="majorHAnsi"/>
        </w:rPr>
        <w:t>absolute</w:t>
      </w:r>
      <w:r w:rsidR="00C3233E">
        <w:rPr>
          <w:rFonts w:cstheme="majorHAnsi"/>
        </w:rPr>
        <w:t>’</w:t>
      </w:r>
      <w:r w:rsidRPr="00FF4F18">
        <w:rPr>
          <w:rFonts w:cstheme="majorHAnsi"/>
        </w:rPr>
        <w:t xml:space="preserve"> measure has been applied </w:t>
      </w:r>
      <w:r w:rsidR="00D866C2">
        <w:rPr>
          <w:rFonts w:cstheme="majorHAnsi"/>
        </w:rPr>
        <w:t>most often</w:t>
      </w:r>
      <w:r w:rsidRPr="00FF4F18">
        <w:rPr>
          <w:rFonts w:cstheme="majorHAnsi"/>
        </w:rPr>
        <w:t xml:space="preserve"> based around some </w:t>
      </w:r>
      <w:r w:rsidR="00C3233E">
        <w:rPr>
          <w:rFonts w:cstheme="majorHAnsi"/>
        </w:rPr>
        <w:t>‘</w:t>
      </w:r>
      <w:r w:rsidRPr="00FF4F18">
        <w:rPr>
          <w:rFonts w:cstheme="majorHAnsi"/>
        </w:rPr>
        <w:t>minimum</w:t>
      </w:r>
      <w:r w:rsidR="00C3233E">
        <w:rPr>
          <w:rFonts w:cstheme="majorHAnsi"/>
        </w:rPr>
        <w:t>’</w:t>
      </w:r>
      <w:r w:rsidRPr="00FF4F18">
        <w:rPr>
          <w:rFonts w:cstheme="majorHAnsi"/>
        </w:rPr>
        <w:t xml:space="preserve"> need.</w:t>
      </w:r>
    </w:p>
    <w:p w:rsidR="00CC6F10" w:rsidRPr="00FF4F18" w:rsidRDefault="0015688A" w:rsidP="00CC6F10">
      <w:pPr>
        <w:pStyle w:val="ListParagraph"/>
        <w:numPr>
          <w:ilvl w:val="0"/>
          <w:numId w:val="3"/>
        </w:numPr>
        <w:spacing w:after="12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</w:rPr>
        <w:t xml:space="preserve">The problem with a </w:t>
      </w:r>
      <w:r w:rsidR="00C3233E">
        <w:rPr>
          <w:rFonts w:cstheme="majorHAnsi"/>
        </w:rPr>
        <w:t>‘</w:t>
      </w:r>
      <w:r w:rsidRPr="00FF4F18">
        <w:rPr>
          <w:rFonts w:cstheme="majorHAnsi"/>
        </w:rPr>
        <w:t>relative</w:t>
      </w:r>
      <w:r w:rsidR="00C3233E">
        <w:rPr>
          <w:rFonts w:cstheme="majorHAnsi"/>
        </w:rPr>
        <w:t>’</w:t>
      </w:r>
      <w:r w:rsidRPr="00FF4F18">
        <w:rPr>
          <w:rFonts w:cstheme="majorHAnsi"/>
        </w:rPr>
        <w:t xml:space="preserve"> measure is </w:t>
      </w:r>
      <w:r w:rsidR="00A45F60" w:rsidRPr="00FF4F18">
        <w:rPr>
          <w:rFonts w:cstheme="majorHAnsi"/>
        </w:rPr>
        <w:t xml:space="preserve">that </w:t>
      </w:r>
      <w:r w:rsidR="00285349" w:rsidRPr="00FF4F18">
        <w:rPr>
          <w:rFonts w:cstheme="majorHAnsi"/>
        </w:rPr>
        <w:t>any differences are compounded by the level of overall grant</w:t>
      </w:r>
      <w:r w:rsidR="00CC6F10" w:rsidRPr="00FF4F18">
        <w:rPr>
          <w:rFonts w:cstheme="majorHAnsi"/>
        </w:rPr>
        <w:t xml:space="preserve"> </w:t>
      </w:r>
      <w:r w:rsidR="006C3603" w:rsidRPr="00FF4F18">
        <w:rPr>
          <w:rFonts w:cstheme="majorHAnsi"/>
        </w:rPr>
        <w:t xml:space="preserve">and </w:t>
      </w:r>
      <w:r w:rsidR="00CC6F10" w:rsidRPr="00FF4F18">
        <w:rPr>
          <w:rFonts w:cstheme="majorHAnsi"/>
        </w:rPr>
        <w:t>not independent of the size of the need</w:t>
      </w:r>
      <w:r w:rsidR="00B91704" w:rsidRPr="00FF4F18">
        <w:rPr>
          <w:rFonts w:cstheme="majorHAnsi"/>
        </w:rPr>
        <w:t xml:space="preserve"> which leads</w:t>
      </w:r>
      <w:r w:rsidR="00CC6F10" w:rsidRPr="00FF4F18">
        <w:rPr>
          <w:rFonts w:cstheme="majorHAnsi"/>
        </w:rPr>
        <w:t xml:space="preserve"> to distribution</w:t>
      </w:r>
      <w:r w:rsidR="00A45F60" w:rsidRPr="00FF4F18">
        <w:rPr>
          <w:rFonts w:cstheme="majorHAnsi"/>
        </w:rPr>
        <w:t xml:space="preserve">s which are distorted around </w:t>
      </w:r>
      <w:r w:rsidR="00CC6F10" w:rsidRPr="00FF4F18">
        <w:rPr>
          <w:rFonts w:cstheme="majorHAnsi"/>
        </w:rPr>
        <w:t>relative needs</w:t>
      </w:r>
      <w:r w:rsidR="006C3603" w:rsidRPr="00FF4F18">
        <w:rPr>
          <w:rStyle w:val="FootnoteReference"/>
          <w:rFonts w:cstheme="majorHAnsi"/>
        </w:rPr>
        <w:footnoteReference w:id="5"/>
      </w:r>
      <w:r w:rsidR="00CC6F10" w:rsidRPr="00FF4F18">
        <w:rPr>
          <w:rFonts w:cstheme="majorHAnsi"/>
        </w:rPr>
        <w:t xml:space="preserve">. Prior to </w:t>
      </w:r>
      <w:r w:rsidR="00A45F60" w:rsidRPr="00FF4F18">
        <w:rPr>
          <w:rFonts w:cstheme="majorHAnsi"/>
        </w:rPr>
        <w:t xml:space="preserve">1981, Australia adopted </w:t>
      </w:r>
      <w:r w:rsidR="00C3233E">
        <w:rPr>
          <w:rFonts w:cstheme="majorHAnsi"/>
        </w:rPr>
        <w:t>‘</w:t>
      </w:r>
      <w:r w:rsidR="00CC6F10" w:rsidRPr="00FF4F18">
        <w:rPr>
          <w:rFonts w:cstheme="majorHAnsi"/>
        </w:rPr>
        <w:t>absolute</w:t>
      </w:r>
      <w:r w:rsidR="00C3233E">
        <w:rPr>
          <w:rFonts w:cstheme="majorHAnsi"/>
        </w:rPr>
        <w:t>’</w:t>
      </w:r>
      <w:r w:rsidR="00A45F60" w:rsidRPr="00FF4F18">
        <w:rPr>
          <w:rFonts w:cstheme="majorHAnsi"/>
        </w:rPr>
        <w:t xml:space="preserve"> measures where</w:t>
      </w:r>
      <w:r w:rsidR="00CC6F10" w:rsidRPr="00FF4F18">
        <w:rPr>
          <w:rFonts w:cstheme="majorHAnsi"/>
        </w:rPr>
        <w:t xml:space="preserve"> grants were designed to more directly address need</w:t>
      </w:r>
      <w:r w:rsidR="00A45F60" w:rsidRPr="00FF4F18">
        <w:rPr>
          <w:rFonts w:cstheme="majorHAnsi"/>
        </w:rPr>
        <w:t xml:space="preserve"> </w:t>
      </w:r>
      <w:r w:rsidR="006C3603" w:rsidRPr="00FF4F18">
        <w:rPr>
          <w:rFonts w:cstheme="majorHAnsi"/>
        </w:rPr>
        <w:t>through</w:t>
      </w:r>
      <w:r w:rsidR="00A45F60" w:rsidRPr="00FF4F18">
        <w:rPr>
          <w:rFonts w:cstheme="majorHAnsi"/>
        </w:rPr>
        <w:t xml:space="preserve"> a formula based </w:t>
      </w:r>
      <w:r w:rsidR="006C3603" w:rsidRPr="00FF4F18">
        <w:rPr>
          <w:rFonts w:cstheme="majorHAnsi"/>
        </w:rPr>
        <w:t xml:space="preserve">type of </w:t>
      </w:r>
      <w:r w:rsidR="00A45F60" w:rsidRPr="00FF4F18">
        <w:rPr>
          <w:rFonts w:cstheme="majorHAnsi"/>
        </w:rPr>
        <w:t>approach</w:t>
      </w:r>
      <w:r w:rsidR="006C3603" w:rsidRPr="00FF4F18">
        <w:rPr>
          <w:rFonts w:cstheme="majorHAnsi"/>
        </w:rPr>
        <w:t xml:space="preserve">, ensuring some </w:t>
      </w:r>
      <w:r w:rsidR="00C3233E">
        <w:rPr>
          <w:rFonts w:cstheme="majorHAnsi"/>
        </w:rPr>
        <w:t>‘</w:t>
      </w:r>
      <w:r w:rsidR="006C3603" w:rsidRPr="00FF4F18">
        <w:rPr>
          <w:rFonts w:cstheme="majorHAnsi"/>
        </w:rPr>
        <w:t>minimum</w:t>
      </w:r>
      <w:r w:rsidR="00C3233E">
        <w:rPr>
          <w:rFonts w:cstheme="majorHAnsi"/>
        </w:rPr>
        <w:t>’</w:t>
      </w:r>
      <w:r w:rsidR="006C3603" w:rsidRPr="00FF4F18">
        <w:rPr>
          <w:rFonts w:cstheme="majorHAnsi"/>
        </w:rPr>
        <w:t xml:space="preserve"> financial needs are met, sometimes</w:t>
      </w:r>
      <w:r w:rsidR="00A45F60" w:rsidRPr="00FF4F18">
        <w:rPr>
          <w:rFonts w:cstheme="majorHAnsi"/>
        </w:rPr>
        <w:t xml:space="preserve"> </w:t>
      </w:r>
      <w:r w:rsidR="006C3603" w:rsidRPr="00FF4F18">
        <w:rPr>
          <w:rFonts w:cstheme="majorHAnsi"/>
        </w:rPr>
        <w:t xml:space="preserve">accompanied </w:t>
      </w:r>
      <w:r w:rsidR="00A45F60" w:rsidRPr="00FF4F18">
        <w:rPr>
          <w:rFonts w:cstheme="majorHAnsi"/>
        </w:rPr>
        <w:t>with penalties and rewards.</w:t>
      </w:r>
    </w:p>
    <w:p w:rsidR="006C3603" w:rsidRPr="00FF4F18" w:rsidRDefault="00B95811" w:rsidP="000F0BFD">
      <w:pPr>
        <w:pStyle w:val="ListParagraph"/>
        <w:numPr>
          <w:ilvl w:val="0"/>
          <w:numId w:val="3"/>
        </w:numPr>
        <w:spacing w:after="12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</w:rPr>
        <w:t xml:space="preserve">The </w:t>
      </w:r>
      <w:r w:rsidR="00C3233E">
        <w:rPr>
          <w:rFonts w:cstheme="majorHAnsi"/>
        </w:rPr>
        <w:t>‘</w:t>
      </w:r>
      <w:r w:rsidR="006D53DD" w:rsidRPr="00FF4F18">
        <w:rPr>
          <w:rFonts w:cstheme="majorHAnsi"/>
        </w:rPr>
        <w:t>relative</w:t>
      </w:r>
      <w:r w:rsidR="00C3233E">
        <w:rPr>
          <w:rFonts w:cstheme="majorHAnsi"/>
        </w:rPr>
        <w:t>’</w:t>
      </w:r>
      <w:r w:rsidR="006D53DD" w:rsidRPr="00FF4F18">
        <w:rPr>
          <w:rFonts w:cstheme="majorHAnsi"/>
        </w:rPr>
        <w:t xml:space="preserve"> </w:t>
      </w:r>
      <w:r w:rsidR="00CC6F10" w:rsidRPr="00FF4F18">
        <w:rPr>
          <w:rFonts w:cstheme="majorHAnsi"/>
        </w:rPr>
        <w:t xml:space="preserve">approach </w:t>
      </w:r>
      <w:r w:rsidRPr="00FF4F18">
        <w:rPr>
          <w:rFonts w:cstheme="majorHAnsi"/>
        </w:rPr>
        <w:t xml:space="preserve">to fiscal equalisation in Australia also has the downside that a </w:t>
      </w:r>
      <w:r w:rsidR="00CC6F10" w:rsidRPr="00FF4F18">
        <w:rPr>
          <w:rFonts w:cstheme="majorHAnsi"/>
        </w:rPr>
        <w:t xml:space="preserve">central </w:t>
      </w:r>
      <w:r w:rsidR="006C3603" w:rsidRPr="00FF4F18">
        <w:rPr>
          <w:rFonts w:cstheme="majorHAnsi"/>
        </w:rPr>
        <w:t xml:space="preserve">and pivotal </w:t>
      </w:r>
      <w:r w:rsidR="00CC6F10" w:rsidRPr="00FF4F18">
        <w:rPr>
          <w:rFonts w:cstheme="majorHAnsi"/>
        </w:rPr>
        <w:t xml:space="preserve">role </w:t>
      </w:r>
      <w:r w:rsidRPr="00FF4F18">
        <w:rPr>
          <w:rFonts w:cstheme="majorHAnsi"/>
        </w:rPr>
        <w:t xml:space="preserve">has been given to the </w:t>
      </w:r>
      <w:proofErr w:type="spellStart"/>
      <w:r w:rsidR="006D53DD" w:rsidRPr="00FF4F18">
        <w:rPr>
          <w:rFonts w:cstheme="majorHAnsi"/>
        </w:rPr>
        <w:t>CGC</w:t>
      </w:r>
      <w:proofErr w:type="spellEnd"/>
      <w:r w:rsidR="008C6C0F" w:rsidRPr="00FF4F18">
        <w:rPr>
          <w:rFonts w:cstheme="majorHAnsi"/>
        </w:rPr>
        <w:t xml:space="preserve"> </w:t>
      </w:r>
      <w:r w:rsidRPr="00FF4F18">
        <w:rPr>
          <w:rFonts w:cstheme="majorHAnsi"/>
        </w:rPr>
        <w:t xml:space="preserve">in the process, </w:t>
      </w:r>
      <w:r w:rsidR="006D53DD" w:rsidRPr="00FF4F18">
        <w:rPr>
          <w:rFonts w:cstheme="majorHAnsi"/>
        </w:rPr>
        <w:t xml:space="preserve">an agency without a direct and immediate </w:t>
      </w:r>
      <w:r w:rsidRPr="00FF4F18">
        <w:rPr>
          <w:rFonts w:cstheme="majorHAnsi"/>
        </w:rPr>
        <w:t xml:space="preserve">financial </w:t>
      </w:r>
      <w:r w:rsidR="006D53DD" w:rsidRPr="00FF4F18">
        <w:rPr>
          <w:rFonts w:cstheme="majorHAnsi"/>
        </w:rPr>
        <w:t>interest</w:t>
      </w:r>
      <w:r w:rsidRPr="00FF4F18">
        <w:rPr>
          <w:rFonts w:cstheme="majorHAnsi"/>
        </w:rPr>
        <w:t xml:space="preserve"> in the outcome, only an interest in the principle applied</w:t>
      </w:r>
      <w:r w:rsidR="008C6C0F" w:rsidRPr="00FF4F18">
        <w:rPr>
          <w:rFonts w:cstheme="majorHAnsi"/>
        </w:rPr>
        <w:t>.  For States</w:t>
      </w:r>
      <w:r w:rsidR="00CC6F10" w:rsidRPr="00FF4F18">
        <w:rPr>
          <w:rFonts w:cstheme="majorHAnsi"/>
        </w:rPr>
        <w:t xml:space="preserve"> </w:t>
      </w:r>
      <w:r w:rsidR="008C6C0F" w:rsidRPr="00FF4F18">
        <w:rPr>
          <w:rFonts w:cstheme="majorHAnsi"/>
        </w:rPr>
        <w:t xml:space="preserve">this removes their direct involvement in the process of deliberations with the Commonwealth, introducing a third party, the </w:t>
      </w:r>
      <w:proofErr w:type="spellStart"/>
      <w:r w:rsidR="008C6C0F" w:rsidRPr="00FF4F18">
        <w:rPr>
          <w:rFonts w:cstheme="majorHAnsi"/>
        </w:rPr>
        <w:t>CGC</w:t>
      </w:r>
      <w:proofErr w:type="spellEnd"/>
      <w:r w:rsidRPr="00FF4F18">
        <w:rPr>
          <w:rFonts w:cstheme="majorHAnsi"/>
        </w:rPr>
        <w:t>,</w:t>
      </w:r>
      <w:r w:rsidR="008C6C0F" w:rsidRPr="00FF4F18">
        <w:rPr>
          <w:rFonts w:cstheme="majorHAnsi"/>
        </w:rPr>
        <w:t xml:space="preserve"> which can act to remove </w:t>
      </w:r>
      <w:r w:rsidRPr="00FF4F18">
        <w:rPr>
          <w:rFonts w:cstheme="majorHAnsi"/>
        </w:rPr>
        <w:t xml:space="preserve">State and Commonwealth </w:t>
      </w:r>
      <w:r w:rsidR="008C6C0F" w:rsidRPr="00FF4F18">
        <w:rPr>
          <w:rFonts w:cstheme="majorHAnsi"/>
        </w:rPr>
        <w:t xml:space="preserve">accountability from the grant allocation process.  </w:t>
      </w:r>
      <w:r w:rsidR="006D53DD" w:rsidRPr="00FF4F18">
        <w:rPr>
          <w:rFonts w:cstheme="majorHAnsi"/>
        </w:rPr>
        <w:t xml:space="preserve">For the Commonwealth, the Treasury </w:t>
      </w:r>
      <w:r w:rsidRPr="00FF4F18">
        <w:rPr>
          <w:rFonts w:cstheme="majorHAnsi"/>
        </w:rPr>
        <w:t xml:space="preserve">also </w:t>
      </w:r>
      <w:r w:rsidR="006D53DD" w:rsidRPr="00FF4F18">
        <w:rPr>
          <w:rFonts w:cstheme="majorHAnsi"/>
        </w:rPr>
        <w:t>has no direct role (</w:t>
      </w:r>
      <w:r w:rsidR="00FF4F18">
        <w:rPr>
          <w:rFonts w:cstheme="majorHAnsi"/>
        </w:rPr>
        <w:t xml:space="preserve">in contrast to </w:t>
      </w:r>
      <w:r w:rsidR="006D53DD" w:rsidRPr="00FF4F18">
        <w:rPr>
          <w:rFonts w:cstheme="majorHAnsi"/>
        </w:rPr>
        <w:t xml:space="preserve"> </w:t>
      </w:r>
      <w:r w:rsidR="00FF4F18">
        <w:rPr>
          <w:rFonts w:cstheme="majorHAnsi"/>
        </w:rPr>
        <w:t>pre</w:t>
      </w:r>
      <w:r w:rsidR="006D53DD" w:rsidRPr="00FF4F18">
        <w:rPr>
          <w:rFonts w:cstheme="majorHAnsi"/>
        </w:rPr>
        <w:t xml:space="preserve"> 1981) </w:t>
      </w:r>
      <w:r w:rsidRPr="00FF4F18">
        <w:rPr>
          <w:rFonts w:cstheme="majorHAnsi"/>
        </w:rPr>
        <w:t xml:space="preserve">and the Commonwealth Treasurer’s role is limited to writing a </w:t>
      </w:r>
      <w:r w:rsidR="006D53DD" w:rsidRPr="00FF4F18">
        <w:rPr>
          <w:rFonts w:cstheme="majorHAnsi"/>
        </w:rPr>
        <w:t xml:space="preserve">letter </w:t>
      </w:r>
      <w:r w:rsidRPr="00FF4F18">
        <w:rPr>
          <w:rFonts w:cstheme="majorHAnsi"/>
        </w:rPr>
        <w:t xml:space="preserve">to the </w:t>
      </w:r>
      <w:proofErr w:type="spellStart"/>
      <w:r w:rsidRPr="00FF4F18">
        <w:rPr>
          <w:rFonts w:cstheme="majorHAnsi"/>
        </w:rPr>
        <w:t>CGC</w:t>
      </w:r>
      <w:proofErr w:type="spellEnd"/>
      <w:r w:rsidRPr="00FF4F18">
        <w:rPr>
          <w:rFonts w:cstheme="majorHAnsi"/>
        </w:rPr>
        <w:t xml:space="preserve"> </w:t>
      </w:r>
      <w:r w:rsidR="006D53DD" w:rsidRPr="00FF4F18">
        <w:rPr>
          <w:rFonts w:cstheme="majorHAnsi"/>
        </w:rPr>
        <w:t xml:space="preserve">requesting </w:t>
      </w:r>
      <w:r w:rsidRPr="00FF4F18">
        <w:rPr>
          <w:rFonts w:cstheme="majorHAnsi"/>
        </w:rPr>
        <w:t xml:space="preserve">its </w:t>
      </w:r>
      <w:r w:rsidR="006D53DD" w:rsidRPr="00FF4F18">
        <w:rPr>
          <w:rFonts w:cstheme="majorHAnsi"/>
        </w:rPr>
        <w:t xml:space="preserve">advice on </w:t>
      </w:r>
      <w:r w:rsidRPr="00FF4F18">
        <w:rPr>
          <w:rFonts w:cstheme="majorHAnsi"/>
        </w:rPr>
        <w:t xml:space="preserve">the per capita </w:t>
      </w:r>
      <w:r w:rsidR="00C3233E">
        <w:rPr>
          <w:rFonts w:cstheme="majorHAnsi"/>
        </w:rPr>
        <w:t>‘</w:t>
      </w:r>
      <w:r w:rsidR="006D53DD" w:rsidRPr="00FF4F18">
        <w:rPr>
          <w:rFonts w:cstheme="majorHAnsi"/>
        </w:rPr>
        <w:t>relativities</w:t>
      </w:r>
      <w:r w:rsidR="00C3233E">
        <w:rPr>
          <w:rFonts w:cstheme="majorHAnsi"/>
        </w:rPr>
        <w:t>’</w:t>
      </w:r>
      <w:r w:rsidR="006D53DD" w:rsidRPr="00FF4F18">
        <w:rPr>
          <w:rFonts w:cstheme="majorHAnsi"/>
        </w:rPr>
        <w:t xml:space="preserve"> </w:t>
      </w:r>
      <w:r w:rsidRPr="00FF4F18">
        <w:rPr>
          <w:rFonts w:cstheme="majorHAnsi"/>
        </w:rPr>
        <w:t xml:space="preserve">to apply when </w:t>
      </w:r>
      <w:r w:rsidR="006D53DD" w:rsidRPr="00FF4F18">
        <w:rPr>
          <w:rFonts w:cstheme="majorHAnsi"/>
        </w:rPr>
        <w:t>distribut</w:t>
      </w:r>
      <w:r w:rsidRPr="00FF4F18">
        <w:rPr>
          <w:rFonts w:cstheme="majorHAnsi"/>
        </w:rPr>
        <w:t>ing</w:t>
      </w:r>
      <w:r w:rsidR="00D866C2">
        <w:rPr>
          <w:rFonts w:cstheme="majorHAnsi"/>
        </w:rPr>
        <w:t xml:space="preserve"> the GST amongst States</w:t>
      </w:r>
      <w:r w:rsidRPr="00FF4F18">
        <w:rPr>
          <w:rStyle w:val="FootnoteReference"/>
          <w:rFonts w:cstheme="majorHAnsi"/>
        </w:rPr>
        <w:footnoteReference w:id="6"/>
      </w:r>
      <w:r w:rsidRPr="00FF4F18">
        <w:rPr>
          <w:rFonts w:cstheme="majorHAnsi"/>
        </w:rPr>
        <w:t>.</w:t>
      </w:r>
    </w:p>
    <w:p w:rsidR="00CC6F10" w:rsidRPr="00FF4F18" w:rsidRDefault="008C6C0F" w:rsidP="00CC6F10">
      <w:pPr>
        <w:pStyle w:val="ListParagraph"/>
        <w:numPr>
          <w:ilvl w:val="0"/>
          <w:numId w:val="3"/>
        </w:numPr>
        <w:spacing w:after="12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</w:rPr>
        <w:t xml:space="preserve">What </w:t>
      </w:r>
      <w:r w:rsidR="006763A5" w:rsidRPr="00FF4F18">
        <w:rPr>
          <w:rFonts w:cstheme="majorHAnsi"/>
        </w:rPr>
        <w:t>would be</w:t>
      </w:r>
      <w:r w:rsidRPr="00FF4F18">
        <w:rPr>
          <w:rFonts w:cstheme="majorHAnsi"/>
        </w:rPr>
        <w:t xml:space="preserve"> preferable is an arrangement </w:t>
      </w:r>
      <w:r w:rsidR="00CC6F10" w:rsidRPr="00FF4F18">
        <w:rPr>
          <w:rFonts w:cstheme="majorHAnsi"/>
        </w:rPr>
        <w:t>which require</w:t>
      </w:r>
      <w:r w:rsidR="000A1128">
        <w:rPr>
          <w:rFonts w:cstheme="majorHAnsi"/>
        </w:rPr>
        <w:t>s</w:t>
      </w:r>
      <w:r w:rsidR="00CC6F10" w:rsidRPr="00FF4F18">
        <w:rPr>
          <w:rFonts w:cstheme="majorHAnsi"/>
        </w:rPr>
        <w:t xml:space="preserve"> greater direct involvement by all governments. </w:t>
      </w:r>
      <w:r w:rsidRPr="00FF4F18">
        <w:rPr>
          <w:rFonts w:cstheme="majorHAnsi"/>
        </w:rPr>
        <w:t>The</w:t>
      </w:r>
      <w:r w:rsidR="00CC6F10" w:rsidRPr="00FF4F18">
        <w:rPr>
          <w:rFonts w:cstheme="majorHAnsi"/>
        </w:rPr>
        <w:t xml:space="preserve"> mov</w:t>
      </w:r>
      <w:r w:rsidR="00FC702F" w:rsidRPr="00FF4F18">
        <w:rPr>
          <w:rFonts w:cstheme="majorHAnsi"/>
        </w:rPr>
        <w:t>e</w:t>
      </w:r>
      <w:r w:rsidR="00CC6F10" w:rsidRPr="00FF4F18">
        <w:rPr>
          <w:rFonts w:cstheme="majorHAnsi"/>
        </w:rPr>
        <w:t xml:space="preserve"> from an absolute or relative measure of needs </w:t>
      </w:r>
      <w:r w:rsidRPr="00FF4F18">
        <w:rPr>
          <w:rFonts w:cstheme="majorHAnsi"/>
        </w:rPr>
        <w:t xml:space="preserve">has therefore </w:t>
      </w:r>
      <w:r w:rsidR="00CC6F10" w:rsidRPr="00FF4F18">
        <w:rPr>
          <w:rFonts w:cstheme="majorHAnsi"/>
        </w:rPr>
        <w:t>acted to remove symmetry of responsibility that should necessarily go with good federation design</w:t>
      </w:r>
      <w:r w:rsidRPr="00FF4F18">
        <w:rPr>
          <w:rFonts w:cstheme="majorHAnsi"/>
        </w:rPr>
        <w:t xml:space="preserve">, instead </w:t>
      </w:r>
      <w:r w:rsidR="00CC6F10" w:rsidRPr="00FF4F18">
        <w:rPr>
          <w:rFonts w:cstheme="majorHAnsi"/>
        </w:rPr>
        <w:t>leav</w:t>
      </w:r>
      <w:r w:rsidRPr="00FF4F18">
        <w:rPr>
          <w:rFonts w:cstheme="majorHAnsi"/>
        </w:rPr>
        <w:t>ing</w:t>
      </w:r>
      <w:r w:rsidR="00CC6F10" w:rsidRPr="00FF4F18">
        <w:rPr>
          <w:rFonts w:cstheme="majorHAnsi"/>
        </w:rPr>
        <w:t xml:space="preserve"> subnational governments to negotiate with an independent agency which </w:t>
      </w:r>
      <w:r w:rsidRPr="00FF4F18">
        <w:rPr>
          <w:rFonts w:cstheme="majorHAnsi"/>
        </w:rPr>
        <w:t>has</w:t>
      </w:r>
      <w:r w:rsidR="00CC6F10" w:rsidRPr="00FF4F18">
        <w:rPr>
          <w:rFonts w:cstheme="majorHAnsi"/>
        </w:rPr>
        <w:t xml:space="preserve"> neither responsibility for the quantum of grants nor normative judgements about what ought to be in relation to those grants.</w:t>
      </w:r>
    </w:p>
    <w:p w:rsidR="00B91704" w:rsidRPr="00FF4F18" w:rsidRDefault="00B91704" w:rsidP="00B91704">
      <w:pPr>
        <w:pStyle w:val="ListParagraph"/>
        <w:numPr>
          <w:ilvl w:val="0"/>
          <w:numId w:val="3"/>
        </w:numPr>
        <w:spacing w:after="12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</w:rPr>
        <w:t>Fiscal equalisation is not a single process but a multi-stage process</w:t>
      </w:r>
      <w:r w:rsidR="00FC702F" w:rsidRPr="00FF4F18">
        <w:rPr>
          <w:rFonts w:cstheme="majorHAnsi"/>
        </w:rPr>
        <w:t xml:space="preserve"> and needs to be equally </w:t>
      </w:r>
      <w:r w:rsidR="00C3233E">
        <w:rPr>
          <w:rFonts w:cstheme="majorHAnsi"/>
        </w:rPr>
        <w:t>‘</w:t>
      </w:r>
      <w:r w:rsidR="00FC702F" w:rsidRPr="00FF4F18">
        <w:rPr>
          <w:rFonts w:cstheme="majorHAnsi"/>
        </w:rPr>
        <w:t>owned</w:t>
      </w:r>
      <w:r w:rsidR="00C3233E">
        <w:rPr>
          <w:rFonts w:cstheme="majorHAnsi"/>
        </w:rPr>
        <w:t>’</w:t>
      </w:r>
      <w:r w:rsidR="00FC702F" w:rsidRPr="00FF4F18">
        <w:rPr>
          <w:rFonts w:cstheme="majorHAnsi"/>
        </w:rPr>
        <w:t xml:space="preserve"> and engaged with by all levels of government in the federation</w:t>
      </w:r>
      <w:r w:rsidRPr="00FF4F18">
        <w:rPr>
          <w:rFonts w:cstheme="majorHAnsi"/>
        </w:rPr>
        <w:t>.</w:t>
      </w:r>
    </w:p>
    <w:p w:rsidR="00B84526" w:rsidRDefault="00B84526">
      <w:pPr>
        <w:rPr>
          <w:rFonts w:asciiTheme="minorHAnsi" w:eastAsiaTheme="minorHAnsi" w:hAnsiTheme="minorHAnsi" w:cstheme="majorHAnsi"/>
          <w:sz w:val="22"/>
          <w:szCs w:val="22"/>
          <w:lang w:eastAsia="en-US"/>
        </w:rPr>
      </w:pPr>
      <w:r>
        <w:rPr>
          <w:rFonts w:cstheme="majorHAnsi"/>
        </w:rPr>
        <w:br w:type="page"/>
      </w:r>
    </w:p>
    <w:p w:rsidR="00FC702F" w:rsidRPr="00FF4F18" w:rsidRDefault="00CC6F10" w:rsidP="00FC702F">
      <w:pPr>
        <w:pStyle w:val="ListParagraph"/>
        <w:numPr>
          <w:ilvl w:val="0"/>
          <w:numId w:val="3"/>
        </w:numPr>
        <w:spacing w:after="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</w:rPr>
        <w:lastRenderedPageBreak/>
        <w:t xml:space="preserve">The </w:t>
      </w:r>
      <w:r w:rsidR="008C6C0F" w:rsidRPr="00FF4F18">
        <w:rPr>
          <w:rFonts w:cstheme="majorHAnsi"/>
        </w:rPr>
        <w:t xml:space="preserve">Productivity Commission </w:t>
      </w:r>
      <w:r w:rsidRPr="00FF4F18">
        <w:rPr>
          <w:rFonts w:cstheme="majorHAnsi"/>
        </w:rPr>
        <w:t xml:space="preserve">in its deliberations on HFE should </w:t>
      </w:r>
      <w:r w:rsidR="00D866C2">
        <w:rPr>
          <w:rFonts w:cstheme="majorHAnsi"/>
        </w:rPr>
        <w:t>support</w:t>
      </w:r>
      <w:r w:rsidRPr="00FF4F18">
        <w:rPr>
          <w:rFonts w:cstheme="majorHAnsi"/>
        </w:rPr>
        <w:t xml:space="preserve"> a </w:t>
      </w:r>
      <w:r w:rsidR="00D866C2">
        <w:rPr>
          <w:rFonts w:cstheme="majorHAnsi"/>
        </w:rPr>
        <w:t xml:space="preserve">basic </w:t>
      </w:r>
      <w:r w:rsidR="00F05ACD">
        <w:rPr>
          <w:rFonts w:cstheme="majorHAnsi"/>
        </w:rPr>
        <w:t>3</w:t>
      </w:r>
      <w:r w:rsidR="00B91704" w:rsidRPr="00FF4F18">
        <w:rPr>
          <w:rFonts w:cstheme="majorHAnsi"/>
        </w:rPr>
        <w:t>-</w:t>
      </w:r>
      <w:r w:rsidRPr="00FF4F18">
        <w:rPr>
          <w:rFonts w:cstheme="majorHAnsi"/>
        </w:rPr>
        <w:t xml:space="preserve">stage process for grant allocation with the Commonwealth </w:t>
      </w:r>
      <w:r w:rsidR="008C6C0F" w:rsidRPr="00FF4F18">
        <w:rPr>
          <w:rFonts w:cstheme="majorHAnsi"/>
        </w:rPr>
        <w:t xml:space="preserve">having </w:t>
      </w:r>
      <w:r w:rsidRPr="00FF4F18">
        <w:rPr>
          <w:rFonts w:cstheme="majorHAnsi"/>
        </w:rPr>
        <w:t>a central role</w:t>
      </w:r>
      <w:r w:rsidR="00FC702F" w:rsidRPr="00FF4F18">
        <w:rPr>
          <w:rFonts w:cstheme="majorHAnsi"/>
        </w:rPr>
        <w:t xml:space="preserve"> as the principle agency funding </w:t>
      </w:r>
      <w:proofErr w:type="spellStart"/>
      <w:r w:rsidR="00FC702F" w:rsidRPr="00FF4F18">
        <w:rPr>
          <w:rFonts w:cstheme="majorHAnsi"/>
        </w:rPr>
        <w:t>VFG</w:t>
      </w:r>
      <w:proofErr w:type="spellEnd"/>
      <w:r w:rsidR="00D866C2">
        <w:rPr>
          <w:rFonts w:cstheme="majorHAnsi"/>
        </w:rPr>
        <w:t xml:space="preserve"> where</w:t>
      </w:r>
      <w:r w:rsidRPr="00FF4F18">
        <w:rPr>
          <w:rFonts w:cstheme="majorHAnsi"/>
        </w:rPr>
        <w:t xml:space="preserve">: </w:t>
      </w:r>
    </w:p>
    <w:p w:rsidR="00FC702F" w:rsidRPr="00FF4F18" w:rsidRDefault="00FC702F" w:rsidP="00FC702F">
      <w:pPr>
        <w:pStyle w:val="ListParagraph"/>
        <w:numPr>
          <w:ilvl w:val="1"/>
          <w:numId w:val="3"/>
        </w:numPr>
        <w:spacing w:after="120" w:line="264" w:lineRule="auto"/>
        <w:ind w:left="709" w:hanging="283"/>
        <w:rPr>
          <w:rFonts w:cstheme="majorHAnsi"/>
        </w:rPr>
      </w:pPr>
      <w:r w:rsidRPr="00FF4F18">
        <w:rPr>
          <w:rFonts w:cstheme="majorHAnsi"/>
          <w:i/>
        </w:rPr>
        <w:t xml:space="preserve">Stage </w:t>
      </w:r>
      <w:r w:rsidR="00CC6F10" w:rsidRPr="00FF4F18">
        <w:rPr>
          <w:rFonts w:cstheme="majorHAnsi"/>
          <w:i/>
        </w:rPr>
        <w:t>1</w:t>
      </w:r>
      <w:r w:rsidR="00CC6F10" w:rsidRPr="00FF4F18">
        <w:rPr>
          <w:rFonts w:cstheme="majorHAnsi"/>
        </w:rPr>
        <w:t xml:space="preserve"> </w:t>
      </w:r>
      <w:r w:rsidR="008C6C0F" w:rsidRPr="00FF4F18">
        <w:rPr>
          <w:rFonts w:cstheme="majorHAnsi"/>
        </w:rPr>
        <w:t>would</w:t>
      </w:r>
      <w:r w:rsidR="00CC6F10" w:rsidRPr="00FF4F18">
        <w:rPr>
          <w:rFonts w:cstheme="majorHAnsi"/>
        </w:rPr>
        <w:t xml:space="preserve"> address vertical fiscal gap; </w:t>
      </w:r>
    </w:p>
    <w:p w:rsidR="00FC702F" w:rsidRPr="00FF4F18" w:rsidRDefault="00FC702F" w:rsidP="00FC702F">
      <w:pPr>
        <w:pStyle w:val="ListParagraph"/>
        <w:numPr>
          <w:ilvl w:val="1"/>
          <w:numId w:val="3"/>
        </w:numPr>
        <w:spacing w:after="120" w:line="264" w:lineRule="auto"/>
        <w:ind w:left="709" w:hanging="283"/>
        <w:rPr>
          <w:rFonts w:cstheme="majorHAnsi"/>
        </w:rPr>
      </w:pPr>
      <w:r w:rsidRPr="00FF4F18">
        <w:rPr>
          <w:rFonts w:cstheme="majorHAnsi"/>
          <w:i/>
        </w:rPr>
        <w:t xml:space="preserve">Stage </w:t>
      </w:r>
      <w:r w:rsidR="00CC6F10" w:rsidRPr="00FF4F18">
        <w:rPr>
          <w:rFonts w:cstheme="majorHAnsi"/>
          <w:i/>
        </w:rPr>
        <w:t>2</w:t>
      </w:r>
      <w:r w:rsidR="00CC6F10" w:rsidRPr="00FF4F18">
        <w:rPr>
          <w:rFonts w:cstheme="majorHAnsi"/>
        </w:rPr>
        <w:t xml:space="preserve"> horizontal fiscal gap through partial horizontal fiscal equalisation (not full horizontal fiscal equalisation)</w:t>
      </w:r>
      <w:r w:rsidR="00D866C2">
        <w:rPr>
          <w:rFonts w:cstheme="majorHAnsi"/>
        </w:rPr>
        <w:t>;</w:t>
      </w:r>
      <w:r w:rsidR="00CC6F10" w:rsidRPr="00FF4F18">
        <w:rPr>
          <w:rFonts w:cstheme="majorHAnsi"/>
        </w:rPr>
        <w:t xml:space="preserve"> and </w:t>
      </w:r>
    </w:p>
    <w:p w:rsidR="00CC6F10" w:rsidRDefault="00FC702F" w:rsidP="00FF4F18">
      <w:pPr>
        <w:pStyle w:val="ListParagraph"/>
        <w:numPr>
          <w:ilvl w:val="1"/>
          <w:numId w:val="3"/>
        </w:numPr>
        <w:spacing w:after="120" w:line="264" w:lineRule="auto"/>
        <w:ind w:left="709" w:hanging="284"/>
        <w:contextualSpacing w:val="0"/>
        <w:rPr>
          <w:rFonts w:cstheme="majorHAnsi"/>
        </w:rPr>
      </w:pPr>
      <w:r w:rsidRPr="00FF4F18">
        <w:rPr>
          <w:rFonts w:cstheme="majorHAnsi"/>
          <w:i/>
        </w:rPr>
        <w:t xml:space="preserve">Stage </w:t>
      </w:r>
      <w:r w:rsidR="00CC6F10" w:rsidRPr="00FF4F18">
        <w:rPr>
          <w:rFonts w:cstheme="majorHAnsi"/>
          <w:i/>
        </w:rPr>
        <w:t>3</w:t>
      </w:r>
      <w:r w:rsidR="008C6C0F" w:rsidRPr="00FF4F18">
        <w:rPr>
          <w:rFonts w:cstheme="majorHAnsi"/>
        </w:rPr>
        <w:t xml:space="preserve"> w</w:t>
      </w:r>
      <w:r w:rsidR="00CC6F10" w:rsidRPr="00FF4F18">
        <w:rPr>
          <w:rFonts w:cstheme="majorHAnsi"/>
        </w:rPr>
        <w:t xml:space="preserve">ould involve the allocation of special needs grants which are quarantined from </w:t>
      </w:r>
      <w:r w:rsidRPr="00FF4F18">
        <w:rPr>
          <w:rFonts w:cstheme="majorHAnsi"/>
          <w:i/>
        </w:rPr>
        <w:t xml:space="preserve">Stage </w:t>
      </w:r>
      <w:r w:rsidR="00CC6F10" w:rsidRPr="00FF4F18">
        <w:rPr>
          <w:rFonts w:cstheme="majorHAnsi"/>
          <w:i/>
        </w:rPr>
        <w:t>1</w:t>
      </w:r>
      <w:r w:rsidRPr="00FF4F18">
        <w:rPr>
          <w:rFonts w:cstheme="majorHAnsi"/>
        </w:rPr>
        <w:t xml:space="preserve"> </w:t>
      </w:r>
      <w:r w:rsidR="00CC6F10" w:rsidRPr="00FF4F18">
        <w:rPr>
          <w:rFonts w:cstheme="majorHAnsi"/>
        </w:rPr>
        <w:t xml:space="preserve">and </w:t>
      </w:r>
      <w:r w:rsidR="000C7C7E" w:rsidRPr="00FF4F18">
        <w:rPr>
          <w:rFonts w:cstheme="majorHAnsi"/>
          <w:i/>
        </w:rPr>
        <w:t xml:space="preserve">Stage </w:t>
      </w:r>
      <w:r w:rsidR="00CC6F10" w:rsidRPr="00FF4F18">
        <w:rPr>
          <w:rFonts w:cstheme="majorHAnsi"/>
          <w:i/>
        </w:rPr>
        <w:t>2</w:t>
      </w:r>
      <w:r w:rsidR="008C6C0F" w:rsidRPr="00FF4F18">
        <w:rPr>
          <w:rFonts w:cstheme="majorHAnsi"/>
        </w:rPr>
        <w:t xml:space="preserve"> deliberations</w:t>
      </w:r>
      <w:r w:rsidR="00CC6F10" w:rsidRPr="00FF4F18">
        <w:rPr>
          <w:rFonts w:cstheme="majorHAnsi"/>
        </w:rPr>
        <w:t>.</w:t>
      </w:r>
    </w:p>
    <w:p w:rsidR="000A1128" w:rsidRPr="000A1128" w:rsidRDefault="000A1128" w:rsidP="000A1128">
      <w:pPr>
        <w:pStyle w:val="ListParagraph"/>
        <w:spacing w:after="0" w:line="264" w:lineRule="auto"/>
        <w:ind w:left="357"/>
        <w:contextualSpacing w:val="0"/>
        <w:rPr>
          <w:rFonts w:cstheme="majorHAnsi"/>
        </w:rPr>
      </w:pPr>
      <w:r>
        <w:rPr>
          <w:rFonts w:cstheme="majorHAnsi"/>
        </w:rPr>
        <w:t xml:space="preserve">This 3-stage process has the benefit of segmenting financial support for individual states into its basic constituent parts: the first ensuring all states have the revenue they need to meet expenditure needs; the second </w:t>
      </w:r>
      <w:r w:rsidR="00D866C2">
        <w:rPr>
          <w:rFonts w:cstheme="majorHAnsi"/>
        </w:rPr>
        <w:t xml:space="preserve">a </w:t>
      </w:r>
      <w:r>
        <w:rPr>
          <w:rFonts w:cstheme="majorHAnsi"/>
        </w:rPr>
        <w:t>necessary horizontal redistribution based around capacity and disability; and the third taking into consideration special needs and national priorities.</w:t>
      </w:r>
    </w:p>
    <w:p w:rsidR="00FF4F18" w:rsidRPr="00FF4F18" w:rsidRDefault="00FF4F18" w:rsidP="00FC702F">
      <w:pPr>
        <w:pStyle w:val="ListParagraph"/>
        <w:numPr>
          <w:ilvl w:val="0"/>
          <w:numId w:val="3"/>
        </w:numPr>
        <w:spacing w:before="120" w:after="12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  <w:i/>
        </w:rPr>
        <w:t>Stage 1</w:t>
      </w:r>
      <w:r w:rsidRPr="00FF4F18">
        <w:rPr>
          <w:rFonts w:cstheme="majorHAnsi"/>
        </w:rPr>
        <w:t xml:space="preserve"> should </w:t>
      </w:r>
      <w:r w:rsidR="00F05ACD">
        <w:rPr>
          <w:rFonts w:cstheme="majorHAnsi"/>
        </w:rPr>
        <w:t xml:space="preserve">therefore </w:t>
      </w:r>
      <w:r w:rsidRPr="00FF4F18">
        <w:rPr>
          <w:rFonts w:cstheme="majorHAnsi"/>
        </w:rPr>
        <w:t xml:space="preserve">be designed to ensure that </w:t>
      </w:r>
      <w:proofErr w:type="spellStart"/>
      <w:r w:rsidRPr="00FF4F18">
        <w:rPr>
          <w:rFonts w:cstheme="majorHAnsi"/>
        </w:rPr>
        <w:t>VFG</w:t>
      </w:r>
      <w:proofErr w:type="spellEnd"/>
      <w:r w:rsidRPr="00FF4F18">
        <w:rPr>
          <w:rFonts w:cstheme="majorHAnsi"/>
        </w:rPr>
        <w:t xml:space="preserve">=0 in aggregate through </w:t>
      </w:r>
      <w:r w:rsidR="002761E4">
        <w:rPr>
          <w:rFonts w:cstheme="majorHAnsi"/>
        </w:rPr>
        <w:t>some mix of unconditional</w:t>
      </w:r>
      <w:r w:rsidRPr="00FF4F18">
        <w:rPr>
          <w:rFonts w:cstheme="majorHAnsi"/>
        </w:rPr>
        <w:t xml:space="preserve"> grants </w:t>
      </w:r>
      <w:r>
        <w:rPr>
          <w:rFonts w:cstheme="majorHAnsi"/>
        </w:rPr>
        <w:t>and revenue sharing.</w:t>
      </w:r>
      <w:r w:rsidR="000A1128">
        <w:rPr>
          <w:rFonts w:cstheme="majorHAnsi"/>
        </w:rPr>
        <w:t xml:space="preserve">  States in aggregate (but not individually) </w:t>
      </w:r>
      <w:r w:rsidR="00F05ACD">
        <w:rPr>
          <w:rFonts w:cstheme="majorHAnsi"/>
        </w:rPr>
        <w:t xml:space="preserve">will therefore </w:t>
      </w:r>
      <w:r w:rsidR="000A1128">
        <w:rPr>
          <w:rFonts w:cstheme="majorHAnsi"/>
        </w:rPr>
        <w:t>have funds to match expenditure needs.</w:t>
      </w:r>
    </w:p>
    <w:p w:rsidR="00CC6F10" w:rsidRPr="00FF4F18" w:rsidRDefault="00CC6F10" w:rsidP="00FC702F">
      <w:pPr>
        <w:pStyle w:val="ListParagraph"/>
        <w:numPr>
          <w:ilvl w:val="0"/>
          <w:numId w:val="3"/>
        </w:numPr>
        <w:spacing w:before="120" w:after="12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  <w:i/>
        </w:rPr>
        <w:t>Stage 2</w:t>
      </w:r>
      <w:r w:rsidRPr="00FF4F18">
        <w:rPr>
          <w:rFonts w:cstheme="majorHAnsi"/>
        </w:rPr>
        <w:t xml:space="preserve"> fiscal equalisation grants should be made following direct consultation between the Commonwealth and the </w:t>
      </w:r>
      <w:r w:rsidR="000C7C7E" w:rsidRPr="00FF4F18">
        <w:rPr>
          <w:rFonts w:cstheme="majorHAnsi"/>
        </w:rPr>
        <w:t>State</w:t>
      </w:r>
      <w:r w:rsidR="00D866C2">
        <w:rPr>
          <w:rFonts w:cstheme="majorHAnsi"/>
        </w:rPr>
        <w:t xml:space="preserve">s </w:t>
      </w:r>
      <w:r w:rsidRPr="00FF4F18">
        <w:rPr>
          <w:rFonts w:cstheme="majorHAnsi"/>
        </w:rPr>
        <w:t xml:space="preserve">using assessed revenue and assessed expenditure data prepared by the </w:t>
      </w:r>
      <w:proofErr w:type="spellStart"/>
      <w:r w:rsidR="006D53DD" w:rsidRPr="00FF4F18">
        <w:rPr>
          <w:rFonts w:cstheme="majorHAnsi"/>
        </w:rPr>
        <w:t>CGC</w:t>
      </w:r>
      <w:proofErr w:type="spellEnd"/>
      <w:r w:rsidR="008C6C0F" w:rsidRPr="00FF4F18">
        <w:rPr>
          <w:rFonts w:cstheme="majorHAnsi"/>
        </w:rPr>
        <w:t xml:space="preserve"> </w:t>
      </w:r>
      <w:r w:rsidRPr="00FF4F18">
        <w:rPr>
          <w:rFonts w:cstheme="majorHAnsi"/>
        </w:rPr>
        <w:t xml:space="preserve">working with the </w:t>
      </w:r>
      <w:r w:rsidR="000C7C7E" w:rsidRPr="00FF4F18">
        <w:rPr>
          <w:rFonts w:cstheme="majorHAnsi"/>
        </w:rPr>
        <w:t>State</w:t>
      </w:r>
      <w:r w:rsidRPr="00FF4F18">
        <w:rPr>
          <w:rFonts w:cstheme="majorHAnsi"/>
        </w:rPr>
        <w:t>s which</w:t>
      </w:r>
      <w:r w:rsidR="004036F0">
        <w:rPr>
          <w:rFonts w:cstheme="majorHAnsi"/>
        </w:rPr>
        <w:t>,</w:t>
      </w:r>
      <w:r w:rsidRPr="00FF4F18">
        <w:rPr>
          <w:rFonts w:cstheme="majorHAnsi"/>
        </w:rPr>
        <w:t xml:space="preserve"> </w:t>
      </w:r>
      <w:r w:rsidR="004036F0">
        <w:rPr>
          <w:rFonts w:cstheme="majorHAnsi"/>
        </w:rPr>
        <w:t xml:space="preserve">in order </w:t>
      </w:r>
      <w:r w:rsidR="008C6C0F" w:rsidRPr="00FF4F18">
        <w:rPr>
          <w:rFonts w:cstheme="majorHAnsi"/>
        </w:rPr>
        <w:t xml:space="preserve">to ensure </w:t>
      </w:r>
      <w:r w:rsidRPr="00FF4F18">
        <w:rPr>
          <w:rFonts w:cstheme="majorHAnsi"/>
        </w:rPr>
        <w:t>transparency, shou</w:t>
      </w:r>
      <w:r w:rsidR="008C6C0F" w:rsidRPr="00FF4F18">
        <w:rPr>
          <w:rFonts w:cstheme="majorHAnsi"/>
        </w:rPr>
        <w:t xml:space="preserve">ld </w:t>
      </w:r>
      <w:r w:rsidR="00F05ACD">
        <w:rPr>
          <w:rFonts w:cstheme="majorHAnsi"/>
        </w:rPr>
        <w:t>see all data and methodology made</w:t>
      </w:r>
      <w:r w:rsidR="008C6C0F" w:rsidRPr="00FF4F18">
        <w:rPr>
          <w:rFonts w:cstheme="majorHAnsi"/>
        </w:rPr>
        <w:t xml:space="preserve"> publicly available. Such data</w:t>
      </w:r>
      <w:r w:rsidRPr="00FF4F18">
        <w:rPr>
          <w:rFonts w:cstheme="majorHAnsi"/>
        </w:rPr>
        <w:t xml:space="preserve"> should also include a more transparent reporting of </w:t>
      </w:r>
      <w:r w:rsidR="000C7C7E" w:rsidRPr="00FF4F18">
        <w:rPr>
          <w:rFonts w:cstheme="majorHAnsi"/>
        </w:rPr>
        <w:t>State</w:t>
      </w:r>
      <w:r w:rsidRPr="00FF4F18">
        <w:rPr>
          <w:rFonts w:cstheme="majorHAnsi"/>
        </w:rPr>
        <w:t xml:space="preserve"> performance through the production of relative tax capacity, expenditure disability, tax effort and disability effort </w:t>
      </w:r>
      <w:r w:rsidR="008C6C0F" w:rsidRPr="00FF4F18">
        <w:rPr>
          <w:rFonts w:cstheme="majorHAnsi"/>
        </w:rPr>
        <w:t>measures</w:t>
      </w:r>
      <w:r w:rsidR="00F05ACD">
        <w:rPr>
          <w:rFonts w:cstheme="majorHAnsi"/>
        </w:rPr>
        <w:t>,</w:t>
      </w:r>
      <w:r w:rsidR="008C6C0F" w:rsidRPr="00FF4F18">
        <w:rPr>
          <w:rFonts w:cstheme="majorHAnsi"/>
        </w:rPr>
        <w:t xml:space="preserve"> </w:t>
      </w:r>
      <w:r w:rsidRPr="00FF4F18">
        <w:rPr>
          <w:rFonts w:cstheme="majorHAnsi"/>
        </w:rPr>
        <w:t xml:space="preserve">by </w:t>
      </w:r>
      <w:r w:rsidR="008C6C0F" w:rsidRPr="00FF4F18">
        <w:rPr>
          <w:rFonts w:cstheme="majorHAnsi"/>
        </w:rPr>
        <w:t xml:space="preserve">the </w:t>
      </w:r>
      <w:proofErr w:type="spellStart"/>
      <w:r w:rsidR="008C6C0F" w:rsidRPr="00FF4F18">
        <w:rPr>
          <w:rFonts w:cstheme="majorHAnsi"/>
        </w:rPr>
        <w:t>CGC</w:t>
      </w:r>
      <w:proofErr w:type="spellEnd"/>
      <w:r w:rsidR="008C6C0F" w:rsidRPr="00FF4F18">
        <w:rPr>
          <w:rStyle w:val="FootnoteReference"/>
          <w:rFonts w:cstheme="majorHAnsi"/>
        </w:rPr>
        <w:footnoteReference w:id="7"/>
      </w:r>
      <w:r w:rsidRPr="00FF4F18">
        <w:rPr>
          <w:rFonts w:cstheme="majorHAnsi"/>
        </w:rPr>
        <w:t xml:space="preserve">. This will bring transparency to </w:t>
      </w:r>
      <w:r w:rsidR="000C7C7E" w:rsidRPr="00FF4F18">
        <w:rPr>
          <w:rFonts w:cstheme="majorHAnsi"/>
        </w:rPr>
        <w:t>State</w:t>
      </w:r>
      <w:r w:rsidRPr="00FF4F18">
        <w:rPr>
          <w:rFonts w:cstheme="majorHAnsi"/>
        </w:rPr>
        <w:t xml:space="preserve"> relative performance and accountability </w:t>
      </w:r>
      <w:r w:rsidR="008C6C0F" w:rsidRPr="00FF4F18">
        <w:rPr>
          <w:rFonts w:cstheme="majorHAnsi"/>
        </w:rPr>
        <w:t xml:space="preserve">through </w:t>
      </w:r>
      <w:r w:rsidR="00AA384A" w:rsidRPr="00FF4F18">
        <w:rPr>
          <w:rFonts w:cstheme="majorHAnsi"/>
        </w:rPr>
        <w:t xml:space="preserve">the </w:t>
      </w:r>
      <w:r w:rsidRPr="00FF4F18">
        <w:rPr>
          <w:rFonts w:cstheme="majorHAnsi"/>
        </w:rPr>
        <w:t xml:space="preserve">public </w:t>
      </w:r>
      <w:r w:rsidR="008C6C0F" w:rsidRPr="00FF4F18">
        <w:rPr>
          <w:rFonts w:cstheme="majorHAnsi"/>
        </w:rPr>
        <w:t xml:space="preserve">being able to </w:t>
      </w:r>
      <w:r w:rsidRPr="00FF4F18">
        <w:rPr>
          <w:rFonts w:cstheme="majorHAnsi"/>
        </w:rPr>
        <w:t xml:space="preserve">see how </w:t>
      </w:r>
      <w:r w:rsidR="000C7C7E" w:rsidRPr="00FF4F18">
        <w:rPr>
          <w:rFonts w:cstheme="majorHAnsi"/>
        </w:rPr>
        <w:t>State</w:t>
      </w:r>
      <w:r w:rsidRPr="00FF4F18">
        <w:rPr>
          <w:rFonts w:cstheme="majorHAnsi"/>
        </w:rPr>
        <w:t xml:space="preserve">s are funded and how the funding was </w:t>
      </w:r>
      <w:r w:rsidR="008C6C0F" w:rsidRPr="00FF4F18">
        <w:rPr>
          <w:rFonts w:cstheme="majorHAnsi"/>
        </w:rPr>
        <w:t xml:space="preserve">expended by different </w:t>
      </w:r>
      <w:r w:rsidR="000C7C7E" w:rsidRPr="00FF4F18">
        <w:rPr>
          <w:rFonts w:cstheme="majorHAnsi"/>
        </w:rPr>
        <w:t>State</w:t>
      </w:r>
      <w:r w:rsidR="008C6C0F" w:rsidRPr="00FF4F18">
        <w:rPr>
          <w:rFonts w:cstheme="majorHAnsi"/>
        </w:rPr>
        <w:t>s</w:t>
      </w:r>
      <w:r w:rsidRPr="00FF4F18">
        <w:rPr>
          <w:rFonts w:cstheme="majorHAnsi"/>
        </w:rPr>
        <w:t>.</w:t>
      </w:r>
    </w:p>
    <w:p w:rsidR="00CC6F10" w:rsidRPr="00FF4F18" w:rsidRDefault="00CC6F10" w:rsidP="00CC6F10">
      <w:pPr>
        <w:pStyle w:val="ListParagraph"/>
        <w:numPr>
          <w:ilvl w:val="0"/>
          <w:numId w:val="3"/>
        </w:numPr>
        <w:spacing w:after="12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</w:rPr>
        <w:t xml:space="preserve">Australia should move away </w:t>
      </w:r>
      <w:r w:rsidR="00FC702F" w:rsidRPr="00FF4F18">
        <w:rPr>
          <w:rFonts w:cstheme="majorHAnsi"/>
        </w:rPr>
        <w:t xml:space="preserve">from </w:t>
      </w:r>
      <w:r w:rsidR="00AA384A" w:rsidRPr="00FF4F18">
        <w:rPr>
          <w:rFonts w:cstheme="majorHAnsi"/>
        </w:rPr>
        <w:t xml:space="preserve">a </w:t>
      </w:r>
      <w:r w:rsidRPr="00FF4F18">
        <w:rPr>
          <w:rFonts w:cstheme="majorHAnsi"/>
        </w:rPr>
        <w:t xml:space="preserve">full HFE relative needs-based model </w:t>
      </w:r>
      <w:r w:rsidR="006B1385" w:rsidRPr="00FF4F18">
        <w:rPr>
          <w:rFonts w:cstheme="majorHAnsi"/>
        </w:rPr>
        <w:t xml:space="preserve">in </w:t>
      </w:r>
      <w:r w:rsidR="006B1385" w:rsidRPr="00FF4F18">
        <w:rPr>
          <w:rFonts w:cstheme="majorHAnsi"/>
          <w:i/>
        </w:rPr>
        <w:t>Stage 2</w:t>
      </w:r>
      <w:r w:rsidR="006B1385" w:rsidRPr="00FF4F18">
        <w:rPr>
          <w:rFonts w:cstheme="majorHAnsi"/>
        </w:rPr>
        <w:t xml:space="preserve"> </w:t>
      </w:r>
      <w:r w:rsidRPr="00FF4F18">
        <w:rPr>
          <w:rFonts w:cstheme="majorHAnsi"/>
        </w:rPr>
        <w:t xml:space="preserve">to a partial equalisation model which directly factors in incentives using either </w:t>
      </w:r>
      <w:r w:rsidR="006B1385" w:rsidRPr="00FF4F18">
        <w:rPr>
          <w:rFonts w:cstheme="majorHAnsi"/>
        </w:rPr>
        <w:t xml:space="preserve">an </w:t>
      </w:r>
      <w:r w:rsidRPr="00FF4F18">
        <w:rPr>
          <w:rFonts w:cstheme="majorHAnsi"/>
        </w:rPr>
        <w:t>absolute formula-bas</w:t>
      </w:r>
      <w:r w:rsidR="00AA384A" w:rsidRPr="00FF4F18">
        <w:rPr>
          <w:rFonts w:cstheme="majorHAnsi"/>
        </w:rPr>
        <w:t xml:space="preserve">ed approach (as in Germany) or </w:t>
      </w:r>
      <w:r w:rsidR="00FF4F18" w:rsidRPr="00FF4F18">
        <w:rPr>
          <w:rFonts w:cstheme="majorHAnsi"/>
        </w:rPr>
        <w:t>e</w:t>
      </w:r>
      <w:r w:rsidRPr="00FF4F18">
        <w:rPr>
          <w:rFonts w:cstheme="majorHAnsi"/>
        </w:rPr>
        <w:t xml:space="preserve">ffect </w:t>
      </w:r>
      <w:r w:rsidR="006B1385" w:rsidRPr="00FF4F18">
        <w:rPr>
          <w:rFonts w:cstheme="majorHAnsi"/>
        </w:rPr>
        <w:t xml:space="preserve">a similar </w:t>
      </w:r>
      <w:r w:rsidR="00FF4F18">
        <w:rPr>
          <w:rFonts w:cstheme="majorHAnsi"/>
        </w:rPr>
        <w:t>outcome</w:t>
      </w:r>
      <w:r w:rsidR="006B1385" w:rsidRPr="00FF4F18">
        <w:rPr>
          <w:rFonts w:cstheme="majorHAnsi"/>
        </w:rPr>
        <w:t xml:space="preserve"> </w:t>
      </w:r>
      <w:r w:rsidRPr="00FF4F18">
        <w:rPr>
          <w:rFonts w:cstheme="majorHAnsi"/>
        </w:rPr>
        <w:t>through a partial inclusion of select</w:t>
      </w:r>
      <w:r w:rsidR="00F05ACD">
        <w:rPr>
          <w:rFonts w:cstheme="majorHAnsi"/>
        </w:rPr>
        <w:t>ed</w:t>
      </w:r>
      <w:r w:rsidRPr="00FF4F18">
        <w:rPr>
          <w:rFonts w:cstheme="majorHAnsi"/>
        </w:rPr>
        <w:t xml:space="preserve"> taxes (as in both Canada and Germany) along with some </w:t>
      </w:r>
      <w:proofErr w:type="spellStart"/>
      <w:r w:rsidRPr="00FF4F18">
        <w:rPr>
          <w:rFonts w:cstheme="majorHAnsi"/>
        </w:rPr>
        <w:t>acknowledgement</w:t>
      </w:r>
      <w:proofErr w:type="spellEnd"/>
      <w:r w:rsidRPr="00FF4F18">
        <w:rPr>
          <w:rFonts w:cstheme="majorHAnsi"/>
        </w:rPr>
        <w:t xml:space="preserve"> of the relative contribution to </w:t>
      </w:r>
      <w:r w:rsidR="000C7C7E" w:rsidRPr="00FF4F18">
        <w:rPr>
          <w:rFonts w:cstheme="majorHAnsi"/>
        </w:rPr>
        <w:t>State</w:t>
      </w:r>
      <w:r w:rsidRPr="00FF4F18">
        <w:rPr>
          <w:rFonts w:cstheme="majorHAnsi"/>
        </w:rPr>
        <w:t xml:space="preserve"> </w:t>
      </w:r>
      <w:r w:rsidR="006B1385" w:rsidRPr="00FF4F18">
        <w:rPr>
          <w:rFonts w:cstheme="majorHAnsi"/>
        </w:rPr>
        <w:t>funding</w:t>
      </w:r>
      <w:r w:rsidRPr="00FF4F18">
        <w:rPr>
          <w:rFonts w:cstheme="majorHAnsi"/>
        </w:rPr>
        <w:t xml:space="preserve"> of local governments (as in Germany).</w:t>
      </w:r>
      <w:r w:rsidR="006B1385" w:rsidRPr="00FF4F18">
        <w:rPr>
          <w:rFonts w:cstheme="majorHAnsi"/>
        </w:rPr>
        <w:t xml:space="preserve">  Australia should also quarantine its </w:t>
      </w:r>
      <w:r w:rsidR="006B1385" w:rsidRPr="00FF4F18">
        <w:rPr>
          <w:rFonts w:cstheme="majorHAnsi"/>
          <w:i/>
        </w:rPr>
        <w:t>Stage 3</w:t>
      </w:r>
      <w:r w:rsidR="006B1385" w:rsidRPr="00FF4F18">
        <w:rPr>
          <w:rFonts w:cstheme="majorHAnsi"/>
        </w:rPr>
        <w:t xml:space="preserve"> (specific purpose payments) from </w:t>
      </w:r>
      <w:r w:rsidR="006B1385" w:rsidRPr="00FF4F18">
        <w:rPr>
          <w:rFonts w:cstheme="majorHAnsi"/>
          <w:i/>
        </w:rPr>
        <w:t>Stage 2</w:t>
      </w:r>
      <w:r w:rsidR="006B1385" w:rsidRPr="00FF4F18">
        <w:rPr>
          <w:rFonts w:cstheme="majorHAnsi"/>
        </w:rPr>
        <w:t xml:space="preserve"> grants.</w:t>
      </w:r>
    </w:p>
    <w:p w:rsidR="003E6624" w:rsidRPr="00FF4F18" w:rsidRDefault="00CC6F10" w:rsidP="00CC6F10">
      <w:pPr>
        <w:pStyle w:val="ListParagraph"/>
        <w:numPr>
          <w:ilvl w:val="0"/>
          <w:numId w:val="3"/>
        </w:numPr>
        <w:spacing w:after="12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</w:rPr>
        <w:t xml:space="preserve">Some </w:t>
      </w:r>
      <w:r w:rsidR="00F05ACD">
        <w:rPr>
          <w:rFonts w:cstheme="majorHAnsi"/>
        </w:rPr>
        <w:t xml:space="preserve">direct </w:t>
      </w:r>
      <w:r w:rsidRPr="00FF4F18">
        <w:rPr>
          <w:rFonts w:cstheme="majorHAnsi"/>
        </w:rPr>
        <w:t xml:space="preserve">consideration </w:t>
      </w:r>
      <w:r w:rsidR="006B1385" w:rsidRPr="00FF4F18">
        <w:rPr>
          <w:rFonts w:cstheme="majorHAnsi"/>
        </w:rPr>
        <w:t xml:space="preserve">should </w:t>
      </w:r>
      <w:r w:rsidR="00FC702F" w:rsidRPr="00FF4F18">
        <w:rPr>
          <w:rFonts w:cstheme="majorHAnsi"/>
        </w:rPr>
        <w:t xml:space="preserve">also </w:t>
      </w:r>
      <w:r w:rsidR="006B1385" w:rsidRPr="00FF4F18">
        <w:rPr>
          <w:rFonts w:cstheme="majorHAnsi"/>
        </w:rPr>
        <w:t>be given to</w:t>
      </w:r>
      <w:r w:rsidRPr="00FF4F18">
        <w:rPr>
          <w:rFonts w:cstheme="majorHAnsi"/>
        </w:rPr>
        <w:t xml:space="preserve"> </w:t>
      </w:r>
      <w:r w:rsidR="00AA384A" w:rsidRPr="00FF4F18">
        <w:rPr>
          <w:rFonts w:cstheme="majorHAnsi"/>
        </w:rPr>
        <w:t>ensuring any inconsistencies</w:t>
      </w:r>
      <w:r w:rsidRPr="00FF4F18">
        <w:rPr>
          <w:rFonts w:cstheme="majorHAnsi"/>
        </w:rPr>
        <w:t xml:space="preserve"> </w:t>
      </w:r>
      <w:r w:rsidR="00AA384A" w:rsidRPr="00FF4F18">
        <w:rPr>
          <w:rFonts w:cstheme="majorHAnsi"/>
        </w:rPr>
        <w:t xml:space="preserve">between the approaches adopted when allocating Commonwealth grants to </w:t>
      </w:r>
      <w:r w:rsidR="000C7C7E" w:rsidRPr="00FF4F18">
        <w:rPr>
          <w:rFonts w:cstheme="majorHAnsi"/>
        </w:rPr>
        <w:t>State</w:t>
      </w:r>
      <w:r w:rsidR="00AA384A" w:rsidRPr="00FF4F18">
        <w:rPr>
          <w:rFonts w:cstheme="majorHAnsi"/>
        </w:rPr>
        <w:t xml:space="preserve"> governments </w:t>
      </w:r>
      <w:r w:rsidR="00D866C2">
        <w:rPr>
          <w:rFonts w:cstheme="majorHAnsi"/>
        </w:rPr>
        <w:t xml:space="preserve">as against to </w:t>
      </w:r>
      <w:r w:rsidR="00F05ACD">
        <w:rPr>
          <w:rFonts w:cstheme="majorHAnsi"/>
        </w:rPr>
        <w:t xml:space="preserve"> </w:t>
      </w:r>
      <w:r w:rsidR="00AA384A" w:rsidRPr="00FF4F18">
        <w:rPr>
          <w:rFonts w:cstheme="majorHAnsi"/>
        </w:rPr>
        <w:t>local governments</w:t>
      </w:r>
      <w:r w:rsidR="00B36A46" w:rsidRPr="00FF4F18">
        <w:rPr>
          <w:rFonts w:cstheme="majorHAnsi"/>
        </w:rPr>
        <w:t>,</w:t>
      </w:r>
      <w:r w:rsidR="00AA384A" w:rsidRPr="00FF4F18">
        <w:rPr>
          <w:rFonts w:cstheme="majorHAnsi"/>
        </w:rPr>
        <w:t xml:space="preserve"> </w:t>
      </w:r>
      <w:r w:rsidR="00D866C2">
        <w:rPr>
          <w:rFonts w:cstheme="majorHAnsi"/>
        </w:rPr>
        <w:t xml:space="preserve">so as </w:t>
      </w:r>
      <w:r w:rsidR="00AA384A" w:rsidRPr="00FF4F18">
        <w:rPr>
          <w:rFonts w:cstheme="majorHAnsi"/>
        </w:rPr>
        <w:t>not</w:t>
      </w:r>
      <w:r w:rsidR="00D866C2">
        <w:rPr>
          <w:rFonts w:cstheme="majorHAnsi"/>
        </w:rPr>
        <w:t xml:space="preserve"> to</w:t>
      </w:r>
      <w:r w:rsidR="00AA384A" w:rsidRPr="00FF4F18">
        <w:rPr>
          <w:rFonts w:cstheme="majorHAnsi"/>
        </w:rPr>
        <w:t xml:space="preserve"> lead to </w:t>
      </w:r>
      <w:r w:rsidR="00D866C2">
        <w:rPr>
          <w:rFonts w:cstheme="majorHAnsi"/>
        </w:rPr>
        <w:t xml:space="preserve">economic </w:t>
      </w:r>
      <w:r w:rsidR="00AA384A" w:rsidRPr="00FF4F18">
        <w:rPr>
          <w:rFonts w:cstheme="majorHAnsi"/>
        </w:rPr>
        <w:t xml:space="preserve">inefficiencies or gaming opportunities </w:t>
      </w:r>
      <w:r w:rsidR="00B36A46" w:rsidRPr="00FF4F18">
        <w:rPr>
          <w:rFonts w:cstheme="majorHAnsi"/>
        </w:rPr>
        <w:t>by</w:t>
      </w:r>
      <w:r w:rsidR="00AA384A" w:rsidRPr="00FF4F18">
        <w:rPr>
          <w:rFonts w:cstheme="majorHAnsi"/>
        </w:rPr>
        <w:t xml:space="preserve"> States.  </w:t>
      </w:r>
      <w:r w:rsidR="00B36A46" w:rsidRPr="00FF4F18">
        <w:rPr>
          <w:rFonts w:cstheme="majorHAnsi"/>
        </w:rPr>
        <w:t xml:space="preserve"> </w:t>
      </w:r>
      <w:r w:rsidR="00F05ACD">
        <w:rPr>
          <w:rFonts w:cstheme="majorHAnsi"/>
        </w:rPr>
        <w:t>This could</w:t>
      </w:r>
      <w:r w:rsidR="004036F0">
        <w:rPr>
          <w:rFonts w:cstheme="majorHAnsi"/>
        </w:rPr>
        <w:t>,</w:t>
      </w:r>
      <w:r w:rsidR="00F05ACD">
        <w:rPr>
          <w:rFonts w:cstheme="majorHAnsi"/>
        </w:rPr>
        <w:t xml:space="preserve"> for example</w:t>
      </w:r>
      <w:r w:rsidR="004036F0">
        <w:rPr>
          <w:rFonts w:cstheme="majorHAnsi"/>
        </w:rPr>
        <w:t>, involve</w:t>
      </w:r>
      <w:r w:rsidR="00F05ACD">
        <w:rPr>
          <w:rFonts w:cstheme="majorHAnsi"/>
        </w:rPr>
        <w:t xml:space="preserve"> adopting similar methodologies or combining (in part or full) local governments into State government grant allocation from the Commonwealth (as </w:t>
      </w:r>
      <w:r w:rsidR="00F05ACD" w:rsidRPr="00FF4F18">
        <w:rPr>
          <w:rFonts w:cstheme="majorHAnsi"/>
        </w:rPr>
        <w:t>in Germany</w:t>
      </w:r>
      <w:r w:rsidR="00F05ACD">
        <w:rPr>
          <w:rFonts w:cstheme="majorHAnsi"/>
        </w:rPr>
        <w:t>)</w:t>
      </w:r>
      <w:r w:rsidR="00F05ACD" w:rsidRPr="00FF4F18">
        <w:rPr>
          <w:rFonts w:cstheme="majorHAnsi"/>
        </w:rPr>
        <w:t>.</w:t>
      </w:r>
    </w:p>
    <w:p w:rsidR="00B36A46" w:rsidRPr="00FF4F18" w:rsidRDefault="006B1385" w:rsidP="003F3031">
      <w:pPr>
        <w:pStyle w:val="ListParagraph"/>
        <w:numPr>
          <w:ilvl w:val="0"/>
          <w:numId w:val="3"/>
        </w:numPr>
        <w:spacing w:after="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</w:rPr>
        <w:t>In terms</w:t>
      </w:r>
      <w:r w:rsidR="00B36A46" w:rsidRPr="00FF4F18">
        <w:rPr>
          <w:rFonts w:cstheme="majorHAnsi"/>
        </w:rPr>
        <w:t xml:space="preserve"> of institutional arrangements:</w:t>
      </w:r>
    </w:p>
    <w:p w:rsidR="006B1385" w:rsidRPr="00FF4F18" w:rsidRDefault="006B1385" w:rsidP="00B36A46">
      <w:pPr>
        <w:pStyle w:val="ListParagraph"/>
        <w:numPr>
          <w:ilvl w:val="1"/>
          <w:numId w:val="3"/>
        </w:numPr>
        <w:spacing w:after="120" w:line="264" w:lineRule="auto"/>
        <w:ind w:left="709" w:hanging="283"/>
        <w:rPr>
          <w:rFonts w:cstheme="majorHAnsi"/>
        </w:rPr>
      </w:pPr>
      <w:r w:rsidRPr="00FF4F18">
        <w:rPr>
          <w:rFonts w:cstheme="majorHAnsi"/>
        </w:rPr>
        <w:t xml:space="preserve">the </w:t>
      </w:r>
      <w:proofErr w:type="spellStart"/>
      <w:r w:rsidRPr="00FF4F18">
        <w:rPr>
          <w:rFonts w:cstheme="majorHAnsi"/>
        </w:rPr>
        <w:t>CGC</w:t>
      </w:r>
      <w:proofErr w:type="spellEnd"/>
      <w:r w:rsidRPr="00FF4F18">
        <w:rPr>
          <w:rFonts w:cstheme="majorHAnsi"/>
        </w:rPr>
        <w:t xml:space="preserve"> should no longer be central to fiscal equalisation in Australia but should oversee collation and preparation of data for input into direct intergovernmental consultation</w:t>
      </w:r>
      <w:r w:rsidR="00F05ACD">
        <w:rPr>
          <w:rFonts w:cstheme="majorHAnsi"/>
        </w:rPr>
        <w:t>s</w:t>
      </w:r>
      <w:r w:rsidRPr="00FF4F18">
        <w:rPr>
          <w:rFonts w:cstheme="majorHAnsi"/>
        </w:rPr>
        <w:t xml:space="preserve"> </w:t>
      </w:r>
      <w:r w:rsidR="003F3031">
        <w:rPr>
          <w:rFonts w:cstheme="majorHAnsi"/>
        </w:rPr>
        <w:t>and</w:t>
      </w:r>
      <w:r w:rsidRPr="00FF4F18">
        <w:rPr>
          <w:rFonts w:cstheme="majorHAnsi"/>
        </w:rPr>
        <w:t xml:space="preserve"> negotiations on equalisation </w:t>
      </w:r>
      <w:r w:rsidR="00B36A46" w:rsidRPr="00FF4F18">
        <w:rPr>
          <w:rFonts w:cstheme="majorHAnsi"/>
        </w:rPr>
        <w:t xml:space="preserve">framed around an absolute approach </w:t>
      </w:r>
      <w:r w:rsidRPr="00FF4F18">
        <w:rPr>
          <w:rFonts w:cstheme="majorHAnsi"/>
        </w:rPr>
        <w:t>(</w:t>
      </w:r>
      <w:proofErr w:type="spellStart"/>
      <w:r w:rsidRPr="00FF4F18">
        <w:rPr>
          <w:rFonts w:cstheme="majorHAnsi"/>
        </w:rPr>
        <w:t>ie</w:t>
      </w:r>
      <w:proofErr w:type="spellEnd"/>
      <w:r w:rsidRPr="00FF4F18">
        <w:rPr>
          <w:rFonts w:cstheme="majorHAnsi"/>
        </w:rPr>
        <w:t xml:space="preserve"> </w:t>
      </w:r>
      <w:r w:rsidR="00D866C2">
        <w:rPr>
          <w:rFonts w:cstheme="majorHAnsi"/>
        </w:rPr>
        <w:t xml:space="preserve">with </w:t>
      </w:r>
      <w:r w:rsidRPr="00FF4F18">
        <w:rPr>
          <w:rFonts w:cstheme="majorHAnsi"/>
        </w:rPr>
        <w:t xml:space="preserve">all Commonwealth </w:t>
      </w:r>
      <w:r w:rsidR="000C7C7E" w:rsidRPr="00FF4F18">
        <w:rPr>
          <w:rFonts w:cstheme="majorHAnsi"/>
        </w:rPr>
        <w:t>State</w:t>
      </w:r>
      <w:r w:rsidRPr="00FF4F18">
        <w:rPr>
          <w:rFonts w:cstheme="majorHAnsi"/>
        </w:rPr>
        <w:t xml:space="preserve"> and local</w:t>
      </w:r>
      <w:r w:rsidR="00B36A46" w:rsidRPr="00FF4F18">
        <w:rPr>
          <w:rFonts w:cstheme="majorHAnsi"/>
        </w:rPr>
        <w:t xml:space="preserve"> governments involved);</w:t>
      </w:r>
    </w:p>
    <w:p w:rsidR="00B36A46" w:rsidRPr="00FF4F18" w:rsidRDefault="00B36A46" w:rsidP="00B36A46">
      <w:pPr>
        <w:pStyle w:val="ListParagraph"/>
        <w:numPr>
          <w:ilvl w:val="1"/>
          <w:numId w:val="3"/>
        </w:numPr>
        <w:spacing w:after="120" w:line="264" w:lineRule="auto"/>
        <w:ind w:left="709" w:hanging="283"/>
        <w:rPr>
          <w:rFonts w:cstheme="majorHAnsi"/>
        </w:rPr>
      </w:pPr>
      <w:proofErr w:type="spellStart"/>
      <w:r w:rsidRPr="00FF4F18">
        <w:rPr>
          <w:rFonts w:cstheme="majorHAnsi"/>
        </w:rPr>
        <w:t>COAG</w:t>
      </w:r>
      <w:proofErr w:type="spellEnd"/>
      <w:r w:rsidRPr="00FF4F18">
        <w:rPr>
          <w:rFonts w:cstheme="majorHAnsi"/>
        </w:rPr>
        <w:t xml:space="preserve"> would assume a more central role in the allocation of Commonwealth grants to State and Local governments;</w:t>
      </w:r>
    </w:p>
    <w:p w:rsidR="00B36A46" w:rsidRPr="00FF4F18" w:rsidRDefault="00633998" w:rsidP="00B36A46">
      <w:pPr>
        <w:pStyle w:val="ListParagraph"/>
        <w:numPr>
          <w:ilvl w:val="1"/>
          <w:numId w:val="3"/>
        </w:numPr>
        <w:spacing w:after="120" w:line="264" w:lineRule="auto"/>
        <w:ind w:left="709" w:hanging="283"/>
        <w:rPr>
          <w:rFonts w:cstheme="majorHAnsi"/>
        </w:rPr>
      </w:pPr>
      <w:r w:rsidRPr="00FF4F18">
        <w:rPr>
          <w:rFonts w:cstheme="majorHAnsi"/>
        </w:rPr>
        <w:lastRenderedPageBreak/>
        <w:t>A</w:t>
      </w:r>
      <w:r w:rsidR="00B36A46" w:rsidRPr="00FF4F18">
        <w:rPr>
          <w:rFonts w:cstheme="majorHAnsi"/>
        </w:rPr>
        <w:t xml:space="preserve"> new independent </w:t>
      </w:r>
      <w:r w:rsidRPr="00FF4F18">
        <w:rPr>
          <w:rFonts w:cstheme="majorHAnsi"/>
        </w:rPr>
        <w:t xml:space="preserve">agency would be formed </w:t>
      </w:r>
      <w:r w:rsidR="00B36A46" w:rsidRPr="00FF4F18">
        <w:rPr>
          <w:rFonts w:cstheme="majorHAnsi"/>
        </w:rPr>
        <w:t>to:</w:t>
      </w:r>
    </w:p>
    <w:p w:rsidR="00B36A46" w:rsidRPr="00FF4F18" w:rsidRDefault="00B36A46" w:rsidP="00B36A46">
      <w:pPr>
        <w:pStyle w:val="ListParagraph"/>
        <w:numPr>
          <w:ilvl w:val="1"/>
          <w:numId w:val="5"/>
        </w:numPr>
        <w:spacing w:after="120" w:line="264" w:lineRule="auto"/>
        <w:rPr>
          <w:rFonts w:cstheme="majorHAnsi"/>
        </w:rPr>
      </w:pPr>
      <w:r w:rsidRPr="00FF4F18">
        <w:rPr>
          <w:rFonts w:cstheme="majorHAnsi"/>
        </w:rPr>
        <w:t xml:space="preserve">communicate and monitor </w:t>
      </w:r>
      <w:r w:rsidR="00633998" w:rsidRPr="00FF4F18">
        <w:rPr>
          <w:rFonts w:cstheme="majorHAnsi"/>
        </w:rPr>
        <w:t xml:space="preserve">not only </w:t>
      </w:r>
      <w:r w:rsidRPr="00FF4F18">
        <w:rPr>
          <w:rFonts w:cstheme="majorHAnsi"/>
        </w:rPr>
        <w:t>grant performance against expectation (</w:t>
      </w:r>
      <w:r w:rsidR="0095458E" w:rsidRPr="00FF4F18">
        <w:rPr>
          <w:rFonts w:cstheme="majorHAnsi"/>
        </w:rPr>
        <w:t>like</w:t>
      </w:r>
      <w:r w:rsidRPr="00FF4F18">
        <w:rPr>
          <w:rFonts w:cstheme="majorHAnsi"/>
        </w:rPr>
        <w:t xml:space="preserve"> the role of the </w:t>
      </w:r>
      <w:r w:rsidR="00D866C2">
        <w:rPr>
          <w:rFonts w:cstheme="majorHAnsi"/>
        </w:rPr>
        <w:t>recently abolished</w:t>
      </w:r>
      <w:r w:rsidRPr="00FF4F18">
        <w:rPr>
          <w:rFonts w:cstheme="majorHAnsi"/>
        </w:rPr>
        <w:t xml:space="preserve"> </w:t>
      </w:r>
      <w:proofErr w:type="spellStart"/>
      <w:r w:rsidRPr="00FF4F18">
        <w:rPr>
          <w:rFonts w:cstheme="majorHAnsi"/>
        </w:rPr>
        <w:t>COAG</w:t>
      </w:r>
      <w:proofErr w:type="spellEnd"/>
      <w:r w:rsidRPr="00FF4F18">
        <w:rPr>
          <w:rFonts w:cstheme="majorHAnsi"/>
        </w:rPr>
        <w:t xml:space="preserve"> Reform Council)</w:t>
      </w:r>
      <w:r w:rsidR="00633998" w:rsidRPr="00FF4F18">
        <w:rPr>
          <w:rFonts w:cstheme="majorHAnsi"/>
        </w:rPr>
        <w:t>, but also enunciating economic and social outcomes against objectives;</w:t>
      </w:r>
    </w:p>
    <w:p w:rsidR="00CC6F10" w:rsidRPr="00FF4F18" w:rsidRDefault="00B36A46" w:rsidP="00AB656C">
      <w:pPr>
        <w:pStyle w:val="ListParagraph"/>
        <w:numPr>
          <w:ilvl w:val="1"/>
          <w:numId w:val="5"/>
        </w:numPr>
        <w:spacing w:after="120" w:line="264" w:lineRule="auto"/>
        <w:rPr>
          <w:rFonts w:cstheme="majorHAnsi"/>
        </w:rPr>
      </w:pPr>
      <w:r w:rsidRPr="00FF4F18">
        <w:rPr>
          <w:rFonts w:cstheme="majorHAnsi"/>
        </w:rPr>
        <w:t xml:space="preserve">oversee advice on the allocation of a reward-related grant pool tied to performance against expectation, with the focus on reward and not penalties in that performance to expectation (based on </w:t>
      </w:r>
      <w:r w:rsidR="003F3031">
        <w:rPr>
          <w:rFonts w:cstheme="majorHAnsi"/>
        </w:rPr>
        <w:t xml:space="preserve">intergovernmental </w:t>
      </w:r>
      <w:r w:rsidRPr="00FF4F18">
        <w:rPr>
          <w:rFonts w:cstheme="majorHAnsi"/>
        </w:rPr>
        <w:t>agreements) would be rewarded</w:t>
      </w:r>
      <w:r w:rsidR="00633998" w:rsidRPr="00FF4F18">
        <w:rPr>
          <w:rFonts w:cstheme="majorHAnsi"/>
          <w:vertAlign w:val="superscript"/>
        </w:rPr>
        <w:footnoteReference w:id="8"/>
      </w:r>
      <w:r w:rsidR="00633998" w:rsidRPr="00FF4F18">
        <w:rPr>
          <w:rFonts w:cstheme="majorHAnsi"/>
        </w:rPr>
        <w:t xml:space="preserve"> and non-performance left to the political process which would be made effective </w:t>
      </w:r>
      <w:r w:rsidR="00BE3D6F" w:rsidRPr="00FF4F18">
        <w:rPr>
          <w:rFonts w:cstheme="majorHAnsi"/>
        </w:rPr>
        <w:t>because of</w:t>
      </w:r>
      <w:r w:rsidR="00633998" w:rsidRPr="00FF4F18">
        <w:rPr>
          <w:rFonts w:cstheme="majorHAnsi"/>
        </w:rPr>
        <w:t xml:space="preserve"> the greater transparency arising from the communication and education of performance by </w:t>
      </w:r>
      <w:r w:rsidR="00BE3D6F">
        <w:rPr>
          <w:rFonts w:cstheme="majorHAnsi"/>
        </w:rPr>
        <w:t xml:space="preserve">the </w:t>
      </w:r>
      <w:r w:rsidR="003F3031" w:rsidRPr="00FF4F18">
        <w:rPr>
          <w:rFonts w:cstheme="majorHAnsi"/>
        </w:rPr>
        <w:t>independent agency</w:t>
      </w:r>
      <w:r w:rsidR="00633998" w:rsidRPr="00FF4F18">
        <w:rPr>
          <w:rFonts w:cstheme="majorHAnsi"/>
        </w:rPr>
        <w:t>.</w:t>
      </w:r>
    </w:p>
    <w:p w:rsidR="00CC6F10" w:rsidRPr="00FF4F18" w:rsidRDefault="00CC6F10" w:rsidP="00CC6F10">
      <w:pPr>
        <w:pStyle w:val="ListParagraph"/>
        <w:numPr>
          <w:ilvl w:val="0"/>
          <w:numId w:val="3"/>
        </w:numPr>
        <w:spacing w:after="12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</w:rPr>
        <w:t xml:space="preserve">In terms of the design of a formula-based </w:t>
      </w:r>
      <w:r w:rsidR="000C7C7E" w:rsidRPr="00FF4F18">
        <w:rPr>
          <w:rFonts w:cstheme="majorHAnsi"/>
          <w:i/>
        </w:rPr>
        <w:t xml:space="preserve">Stage </w:t>
      </w:r>
      <w:r w:rsidR="006430DF" w:rsidRPr="00FF4F18">
        <w:rPr>
          <w:rFonts w:cstheme="majorHAnsi"/>
          <w:i/>
        </w:rPr>
        <w:t>2</w:t>
      </w:r>
      <w:r w:rsidR="006430DF" w:rsidRPr="00FF4F18">
        <w:rPr>
          <w:rFonts w:cstheme="majorHAnsi"/>
        </w:rPr>
        <w:t xml:space="preserve"> fiscal equalisation </w:t>
      </w:r>
      <w:r w:rsidRPr="00FF4F18">
        <w:rPr>
          <w:rFonts w:cstheme="majorHAnsi"/>
        </w:rPr>
        <w:t xml:space="preserve">approach, this must be determined by negotiation across all governments to engender greater </w:t>
      </w:r>
      <w:r w:rsidR="000C7C7E" w:rsidRPr="00FF4F18">
        <w:rPr>
          <w:rFonts w:cstheme="majorHAnsi"/>
        </w:rPr>
        <w:t xml:space="preserve">ownership, </w:t>
      </w:r>
      <w:r w:rsidRPr="00FF4F18">
        <w:rPr>
          <w:rFonts w:cstheme="majorHAnsi"/>
        </w:rPr>
        <w:t xml:space="preserve">accountability and transparency. Much can be learnt from the German multi-stage process of </w:t>
      </w:r>
      <w:r w:rsidR="000C7C7E" w:rsidRPr="00FF4F18">
        <w:rPr>
          <w:rFonts w:cstheme="majorHAnsi"/>
        </w:rPr>
        <w:t>using revenue sharing and grants to address</w:t>
      </w:r>
      <w:r w:rsidRPr="00FF4F18">
        <w:rPr>
          <w:rFonts w:cstheme="majorHAnsi"/>
        </w:rPr>
        <w:t xml:space="preserve"> </w:t>
      </w:r>
      <w:proofErr w:type="spellStart"/>
      <w:r w:rsidRPr="00FF4F18">
        <w:rPr>
          <w:rFonts w:cstheme="majorHAnsi"/>
        </w:rPr>
        <w:t>VFG</w:t>
      </w:r>
      <w:proofErr w:type="spellEnd"/>
      <w:r w:rsidRPr="00FF4F18">
        <w:rPr>
          <w:rFonts w:cstheme="majorHAnsi"/>
        </w:rPr>
        <w:t xml:space="preserve"> and </w:t>
      </w:r>
      <w:proofErr w:type="spellStart"/>
      <w:r w:rsidRPr="00FF4F18">
        <w:rPr>
          <w:rFonts w:cstheme="majorHAnsi"/>
        </w:rPr>
        <w:t>HFG</w:t>
      </w:r>
      <w:proofErr w:type="spellEnd"/>
      <w:r w:rsidR="006430DF" w:rsidRPr="00FF4F18">
        <w:rPr>
          <w:rStyle w:val="FootnoteReference"/>
          <w:rFonts w:cstheme="majorHAnsi"/>
        </w:rPr>
        <w:footnoteReference w:id="9"/>
      </w:r>
      <w:r w:rsidRPr="00FF4F18">
        <w:rPr>
          <w:rFonts w:cstheme="majorHAnsi"/>
        </w:rPr>
        <w:t xml:space="preserve">. </w:t>
      </w:r>
      <w:r w:rsidR="000C7C7E" w:rsidRPr="00FF4F18">
        <w:rPr>
          <w:rFonts w:cstheme="majorHAnsi"/>
        </w:rPr>
        <w:t xml:space="preserve"> In</w:t>
      </w:r>
      <w:r w:rsidR="00BE3D6F">
        <w:rPr>
          <w:rFonts w:cstheme="majorHAnsi"/>
        </w:rPr>
        <w:t xml:space="preserve"> a</w:t>
      </w:r>
      <w:r w:rsidR="000C7C7E" w:rsidRPr="00FF4F18">
        <w:rPr>
          <w:rFonts w:cstheme="majorHAnsi"/>
        </w:rPr>
        <w:t xml:space="preserve"> 3-stage process for Australia, </w:t>
      </w:r>
      <w:r w:rsidRPr="00FF4F18">
        <w:rPr>
          <w:rFonts w:cstheme="majorHAnsi"/>
          <w:i/>
        </w:rPr>
        <w:t>Stage 1</w:t>
      </w:r>
      <w:r w:rsidRPr="00FF4F18">
        <w:rPr>
          <w:rFonts w:cstheme="majorHAnsi"/>
        </w:rPr>
        <w:t xml:space="preserve"> should be </w:t>
      </w:r>
      <w:r w:rsidR="006430DF" w:rsidRPr="00FF4F18">
        <w:rPr>
          <w:rFonts w:cstheme="majorHAnsi"/>
        </w:rPr>
        <w:t xml:space="preserve">designed </w:t>
      </w:r>
      <w:r w:rsidRPr="00FF4F18">
        <w:rPr>
          <w:rFonts w:cstheme="majorHAnsi"/>
        </w:rPr>
        <w:t xml:space="preserve">to ensure that </w:t>
      </w:r>
      <w:proofErr w:type="spellStart"/>
      <w:r w:rsidRPr="00FF4F18">
        <w:rPr>
          <w:rFonts w:cstheme="majorHAnsi"/>
        </w:rPr>
        <w:t>VFG</w:t>
      </w:r>
      <w:proofErr w:type="spellEnd"/>
      <w:r w:rsidRPr="00FF4F18">
        <w:rPr>
          <w:rFonts w:cstheme="majorHAnsi"/>
        </w:rPr>
        <w:t xml:space="preserve">=0 in aggregate through </w:t>
      </w:r>
      <w:r w:rsidR="00C3233E">
        <w:rPr>
          <w:rFonts w:cstheme="majorHAnsi"/>
        </w:rPr>
        <w:t>‘</w:t>
      </w:r>
      <w:r w:rsidRPr="00FF4F18">
        <w:rPr>
          <w:rFonts w:cstheme="majorHAnsi"/>
        </w:rPr>
        <w:t>topping up</w:t>
      </w:r>
      <w:r w:rsidR="00C3233E">
        <w:rPr>
          <w:rFonts w:cstheme="majorHAnsi"/>
        </w:rPr>
        <w:t>’</w:t>
      </w:r>
      <w:r w:rsidRPr="00FF4F18">
        <w:rPr>
          <w:rFonts w:cstheme="majorHAnsi"/>
        </w:rPr>
        <w:t xml:space="preserve"> </w:t>
      </w:r>
      <w:r w:rsidR="000C7C7E" w:rsidRPr="00FF4F18">
        <w:rPr>
          <w:rFonts w:cstheme="majorHAnsi"/>
        </w:rPr>
        <w:t>State</w:t>
      </w:r>
      <w:r w:rsidRPr="00FF4F18">
        <w:rPr>
          <w:rFonts w:cstheme="majorHAnsi"/>
        </w:rPr>
        <w:t xml:space="preserve">s in aggregate through equal per capita (EPC) grants </w:t>
      </w:r>
      <w:r w:rsidR="000C7C7E" w:rsidRPr="00FF4F18">
        <w:rPr>
          <w:rFonts w:cstheme="majorHAnsi"/>
        </w:rPr>
        <w:t>or revenue sharing</w:t>
      </w:r>
      <w:r w:rsidR="003F3031">
        <w:rPr>
          <w:rFonts w:cstheme="majorHAnsi"/>
        </w:rPr>
        <w:t xml:space="preserve">, </w:t>
      </w:r>
      <w:r w:rsidR="006430DF" w:rsidRPr="00FF4F18">
        <w:rPr>
          <w:rFonts w:cstheme="majorHAnsi"/>
        </w:rPr>
        <w:t>with</w:t>
      </w:r>
      <w:r w:rsidRPr="00FF4F18">
        <w:rPr>
          <w:rFonts w:cstheme="majorHAnsi"/>
        </w:rPr>
        <w:t xml:space="preserve"> </w:t>
      </w:r>
      <w:r w:rsidR="000C7C7E" w:rsidRPr="00FF4F18">
        <w:rPr>
          <w:rFonts w:cstheme="majorHAnsi"/>
          <w:i/>
        </w:rPr>
        <w:t xml:space="preserve">Stage </w:t>
      </w:r>
      <w:r w:rsidRPr="00FF4F18">
        <w:rPr>
          <w:rFonts w:cstheme="majorHAnsi"/>
          <w:i/>
        </w:rPr>
        <w:t>2</w:t>
      </w:r>
      <w:r w:rsidRPr="00FF4F18">
        <w:rPr>
          <w:rFonts w:cstheme="majorHAnsi"/>
        </w:rPr>
        <w:t xml:space="preserve"> applying </w:t>
      </w:r>
      <w:r w:rsidR="006430DF" w:rsidRPr="00FF4F18">
        <w:rPr>
          <w:rFonts w:cstheme="majorHAnsi"/>
        </w:rPr>
        <w:t xml:space="preserve">a </w:t>
      </w:r>
      <w:r w:rsidRPr="00FF4F18">
        <w:rPr>
          <w:rFonts w:cstheme="majorHAnsi"/>
        </w:rPr>
        <w:t xml:space="preserve">fiscal equalisation formula </w:t>
      </w:r>
      <w:r w:rsidR="000C7C7E" w:rsidRPr="00FF4F18">
        <w:rPr>
          <w:rFonts w:cstheme="majorHAnsi"/>
        </w:rPr>
        <w:t>with</w:t>
      </w:r>
      <w:r w:rsidR="006430DF" w:rsidRPr="00FF4F18">
        <w:rPr>
          <w:rFonts w:cstheme="majorHAnsi"/>
        </w:rPr>
        <w:t xml:space="preserve"> </w:t>
      </w:r>
      <w:r w:rsidRPr="00FF4F18">
        <w:rPr>
          <w:rFonts w:cstheme="majorHAnsi"/>
        </w:rPr>
        <w:t xml:space="preserve">redistribution rates which do not fully </w:t>
      </w:r>
      <w:r w:rsidR="00C3233E">
        <w:rPr>
          <w:rFonts w:cstheme="majorHAnsi"/>
        </w:rPr>
        <w:t>‘</w:t>
      </w:r>
      <w:r w:rsidRPr="00FF4F18">
        <w:rPr>
          <w:rFonts w:cstheme="majorHAnsi"/>
        </w:rPr>
        <w:t>top up</w:t>
      </w:r>
      <w:r w:rsidR="00C3233E">
        <w:rPr>
          <w:rFonts w:cstheme="majorHAnsi"/>
        </w:rPr>
        <w:t>’</w:t>
      </w:r>
      <w:r w:rsidRPr="00FF4F18">
        <w:rPr>
          <w:rFonts w:cstheme="majorHAnsi"/>
        </w:rPr>
        <w:t xml:space="preserve"> those </w:t>
      </w:r>
      <w:r w:rsidR="000C7C7E" w:rsidRPr="00FF4F18">
        <w:rPr>
          <w:rFonts w:cstheme="majorHAnsi"/>
        </w:rPr>
        <w:t xml:space="preserve">States </w:t>
      </w:r>
      <w:r w:rsidRPr="00FF4F18">
        <w:rPr>
          <w:rFonts w:cstheme="majorHAnsi"/>
        </w:rPr>
        <w:t xml:space="preserve">with relative disabilities or </w:t>
      </w:r>
      <w:r w:rsidR="00C3233E">
        <w:rPr>
          <w:rFonts w:cstheme="majorHAnsi"/>
        </w:rPr>
        <w:t>‘</w:t>
      </w:r>
      <w:r w:rsidR="006430DF" w:rsidRPr="00FF4F18">
        <w:rPr>
          <w:rFonts w:cstheme="majorHAnsi"/>
        </w:rPr>
        <w:t xml:space="preserve">pull </w:t>
      </w:r>
      <w:r w:rsidR="004036F0">
        <w:rPr>
          <w:rFonts w:cstheme="majorHAnsi"/>
        </w:rPr>
        <w:t>down</w:t>
      </w:r>
      <w:r w:rsidR="00C3233E">
        <w:rPr>
          <w:rFonts w:cstheme="majorHAnsi"/>
        </w:rPr>
        <w:t>’</w:t>
      </w:r>
      <w:r w:rsidR="004036F0">
        <w:rPr>
          <w:rFonts w:cstheme="majorHAnsi"/>
        </w:rPr>
        <w:t xml:space="preserve"> to the average</w:t>
      </w:r>
      <w:r w:rsidRPr="00FF4F18">
        <w:rPr>
          <w:rFonts w:cstheme="majorHAnsi"/>
        </w:rPr>
        <w:t xml:space="preserve"> those </w:t>
      </w:r>
      <w:r w:rsidR="000C7C7E" w:rsidRPr="00FF4F18">
        <w:rPr>
          <w:rFonts w:cstheme="majorHAnsi"/>
        </w:rPr>
        <w:t xml:space="preserve">States </w:t>
      </w:r>
      <w:r w:rsidRPr="00FF4F18">
        <w:rPr>
          <w:rFonts w:cstheme="majorHAnsi"/>
        </w:rPr>
        <w:t xml:space="preserve">with </w:t>
      </w:r>
      <w:r w:rsidR="00BE3D6F">
        <w:rPr>
          <w:rFonts w:cstheme="majorHAnsi"/>
        </w:rPr>
        <w:t xml:space="preserve">a </w:t>
      </w:r>
      <w:r w:rsidRPr="00FF4F18">
        <w:rPr>
          <w:rFonts w:cstheme="majorHAnsi"/>
        </w:rPr>
        <w:t xml:space="preserve">relative advantage.  </w:t>
      </w:r>
    </w:p>
    <w:p w:rsidR="00CC6F10" w:rsidRPr="00FF4F18" w:rsidRDefault="00CC6F10" w:rsidP="00CC6F10">
      <w:pPr>
        <w:pStyle w:val="ListParagraph"/>
        <w:numPr>
          <w:ilvl w:val="0"/>
          <w:numId w:val="3"/>
        </w:numPr>
        <w:spacing w:after="12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</w:rPr>
        <w:t xml:space="preserve">The formula agreed and adopted should be in place for a set </w:t>
      </w:r>
      <w:r w:rsidR="000C7C7E" w:rsidRPr="00FF4F18">
        <w:rPr>
          <w:rFonts w:cstheme="majorHAnsi"/>
        </w:rPr>
        <w:t>period</w:t>
      </w:r>
      <w:r w:rsidRPr="00FF4F18">
        <w:rPr>
          <w:rFonts w:cstheme="majorHAnsi"/>
        </w:rPr>
        <w:t xml:space="preserve"> (e.g. five or seven years) and that formula should be applied to contemporary data, not the current Australian approach of </w:t>
      </w:r>
      <w:r w:rsidR="006430DF" w:rsidRPr="00FF4F18">
        <w:rPr>
          <w:rFonts w:cstheme="majorHAnsi"/>
        </w:rPr>
        <w:t xml:space="preserve">relativities applied </w:t>
      </w:r>
      <w:r w:rsidR="000C7C7E" w:rsidRPr="00FF4F18">
        <w:rPr>
          <w:rFonts w:cstheme="majorHAnsi"/>
        </w:rPr>
        <w:t xml:space="preserve">in </w:t>
      </w:r>
      <w:r w:rsidR="006331E6" w:rsidRPr="00FF4F18">
        <w:rPr>
          <w:rFonts w:cstheme="majorHAnsi"/>
        </w:rPr>
        <w:t>one</w:t>
      </w:r>
      <w:r w:rsidR="000C7C7E" w:rsidRPr="00FF4F18">
        <w:rPr>
          <w:rFonts w:cstheme="majorHAnsi"/>
        </w:rPr>
        <w:t xml:space="preserve"> </w:t>
      </w:r>
      <w:r w:rsidR="006430DF" w:rsidRPr="00FF4F18">
        <w:rPr>
          <w:rFonts w:cstheme="majorHAnsi"/>
        </w:rPr>
        <w:t xml:space="preserve">year being based on </w:t>
      </w:r>
      <w:r w:rsidRPr="00FF4F18">
        <w:rPr>
          <w:rFonts w:cstheme="majorHAnsi"/>
        </w:rPr>
        <w:t xml:space="preserve">data which is </w:t>
      </w:r>
      <w:r w:rsidR="006430DF" w:rsidRPr="00FF4F18">
        <w:rPr>
          <w:rFonts w:cstheme="majorHAnsi"/>
        </w:rPr>
        <w:t xml:space="preserve">lagged </w:t>
      </w:r>
      <w:r w:rsidRPr="00FF4F18">
        <w:rPr>
          <w:rFonts w:cstheme="majorHAnsi"/>
        </w:rPr>
        <w:t xml:space="preserve">two years and then </w:t>
      </w:r>
      <w:r w:rsidR="006430DF" w:rsidRPr="00FF4F18">
        <w:rPr>
          <w:rFonts w:cstheme="majorHAnsi"/>
        </w:rPr>
        <w:t xml:space="preserve">based on </w:t>
      </w:r>
      <w:r w:rsidRPr="00FF4F18">
        <w:rPr>
          <w:rFonts w:cstheme="majorHAnsi"/>
        </w:rPr>
        <w:t>a three-year moving average</w:t>
      </w:r>
      <w:r w:rsidR="000C7C7E" w:rsidRPr="00FF4F18">
        <w:rPr>
          <w:rFonts w:cstheme="majorHAnsi"/>
        </w:rPr>
        <w:t xml:space="preserve">. This would help to make grants contemporaneous </w:t>
      </w:r>
      <w:r w:rsidR="006331E6" w:rsidRPr="00FF4F18">
        <w:rPr>
          <w:rFonts w:cstheme="majorHAnsi"/>
        </w:rPr>
        <w:t xml:space="preserve">and </w:t>
      </w:r>
      <w:r w:rsidR="000C7C7E" w:rsidRPr="00FF4F18">
        <w:rPr>
          <w:rFonts w:cstheme="majorHAnsi"/>
        </w:rPr>
        <w:t xml:space="preserve">address how currently, </w:t>
      </w:r>
      <w:r w:rsidRPr="00FF4F18">
        <w:rPr>
          <w:rFonts w:cstheme="majorHAnsi"/>
        </w:rPr>
        <w:t xml:space="preserve">a </w:t>
      </w:r>
      <w:r w:rsidR="000C7C7E" w:rsidRPr="00FF4F18">
        <w:rPr>
          <w:rFonts w:cstheme="majorHAnsi"/>
        </w:rPr>
        <w:t>State</w:t>
      </w:r>
      <w:r w:rsidRPr="00FF4F18">
        <w:rPr>
          <w:rFonts w:cstheme="majorHAnsi"/>
        </w:rPr>
        <w:t xml:space="preserve">’s grant entitlement </w:t>
      </w:r>
      <w:r w:rsidR="000C7C7E" w:rsidRPr="00FF4F18">
        <w:rPr>
          <w:rFonts w:cstheme="majorHAnsi"/>
        </w:rPr>
        <w:t xml:space="preserve">can </w:t>
      </w:r>
      <w:r w:rsidR="006331E6" w:rsidRPr="00FF4F18">
        <w:rPr>
          <w:rFonts w:cstheme="majorHAnsi"/>
        </w:rPr>
        <w:t>be potentially</w:t>
      </w:r>
      <w:r w:rsidRPr="00FF4F18">
        <w:rPr>
          <w:rFonts w:cstheme="majorHAnsi"/>
        </w:rPr>
        <w:t xml:space="preserve"> </w:t>
      </w:r>
      <w:r w:rsidR="000C7C7E" w:rsidRPr="00FF4F18">
        <w:rPr>
          <w:rFonts w:cstheme="majorHAnsi"/>
        </w:rPr>
        <w:t xml:space="preserve">fiscally </w:t>
      </w:r>
      <w:r w:rsidRPr="00FF4F18">
        <w:rPr>
          <w:rFonts w:cstheme="majorHAnsi"/>
        </w:rPr>
        <w:t xml:space="preserve">destabilising </w:t>
      </w:r>
      <w:r w:rsidR="006430DF" w:rsidRPr="00FF4F18">
        <w:rPr>
          <w:rFonts w:cstheme="majorHAnsi"/>
        </w:rPr>
        <w:t>when there are highly cyclical taxes such as p</w:t>
      </w:r>
      <w:r w:rsidRPr="00FF4F18">
        <w:rPr>
          <w:rFonts w:cstheme="majorHAnsi"/>
        </w:rPr>
        <w:t>roperty conveyancing duties and mining taxes.</w:t>
      </w:r>
    </w:p>
    <w:p w:rsidR="00CC6F10" w:rsidRPr="00FF4F18" w:rsidRDefault="00CC6F10" w:rsidP="00CC6F10">
      <w:pPr>
        <w:pStyle w:val="ListParagraph"/>
        <w:numPr>
          <w:ilvl w:val="0"/>
          <w:numId w:val="3"/>
        </w:numPr>
        <w:spacing w:after="120" w:line="264" w:lineRule="auto"/>
        <w:ind w:left="357" w:hanging="357"/>
        <w:contextualSpacing w:val="0"/>
        <w:rPr>
          <w:rFonts w:cstheme="majorHAnsi"/>
        </w:rPr>
      </w:pPr>
      <w:r w:rsidRPr="00FF4F18">
        <w:rPr>
          <w:rFonts w:cstheme="majorHAnsi"/>
        </w:rPr>
        <w:t xml:space="preserve">Where </w:t>
      </w:r>
      <w:r w:rsidR="000C7C7E" w:rsidRPr="00FF4F18">
        <w:rPr>
          <w:rFonts w:cstheme="majorHAnsi"/>
        </w:rPr>
        <w:t>State</w:t>
      </w:r>
      <w:r w:rsidRPr="00FF4F18">
        <w:rPr>
          <w:rFonts w:cstheme="majorHAnsi"/>
        </w:rPr>
        <w:t xml:space="preserve"> disadvantage is persistent and extreme</w:t>
      </w:r>
      <w:r w:rsidR="003F3031">
        <w:rPr>
          <w:rFonts w:cstheme="majorHAnsi"/>
        </w:rPr>
        <w:t xml:space="preserve"> or where there are national priorities, direct action is warranted </w:t>
      </w:r>
      <w:r w:rsidRPr="00FF4F18">
        <w:rPr>
          <w:rFonts w:cstheme="majorHAnsi"/>
        </w:rPr>
        <w:t xml:space="preserve">through </w:t>
      </w:r>
      <w:r w:rsidR="000C7C7E" w:rsidRPr="00FF4F18">
        <w:rPr>
          <w:rFonts w:cstheme="majorHAnsi"/>
          <w:i/>
        </w:rPr>
        <w:t xml:space="preserve">Stage </w:t>
      </w:r>
      <w:r w:rsidRPr="00FF4F18">
        <w:rPr>
          <w:rFonts w:cstheme="majorHAnsi"/>
          <w:i/>
        </w:rPr>
        <w:t>3</w:t>
      </w:r>
      <w:r w:rsidRPr="00FF4F18">
        <w:rPr>
          <w:rFonts w:cstheme="majorHAnsi"/>
        </w:rPr>
        <w:t xml:space="preserve"> </w:t>
      </w:r>
      <w:r w:rsidR="003F3031" w:rsidRPr="00FF4F18">
        <w:rPr>
          <w:rFonts w:cstheme="majorHAnsi"/>
        </w:rPr>
        <w:t>specific</w:t>
      </w:r>
      <w:r w:rsidR="003F3031">
        <w:rPr>
          <w:rFonts w:cstheme="majorHAnsi"/>
        </w:rPr>
        <w:t xml:space="preserve"> </w:t>
      </w:r>
      <w:r w:rsidR="003F3031" w:rsidRPr="00FF4F18">
        <w:rPr>
          <w:rFonts w:cstheme="majorHAnsi"/>
        </w:rPr>
        <w:t xml:space="preserve">purpose </w:t>
      </w:r>
      <w:r w:rsidR="002761E4">
        <w:rPr>
          <w:rFonts w:cstheme="majorHAnsi"/>
        </w:rPr>
        <w:t xml:space="preserve">conditional </w:t>
      </w:r>
      <w:r w:rsidR="003F3031" w:rsidRPr="00FF4F18">
        <w:rPr>
          <w:rFonts w:cstheme="majorHAnsi"/>
        </w:rPr>
        <w:t xml:space="preserve">grants </w:t>
      </w:r>
      <w:r w:rsidRPr="00FF4F18">
        <w:rPr>
          <w:rFonts w:cstheme="majorHAnsi"/>
        </w:rPr>
        <w:t xml:space="preserve">(e.g. </w:t>
      </w:r>
      <w:r w:rsidR="003F3031">
        <w:rPr>
          <w:rFonts w:cstheme="majorHAnsi"/>
        </w:rPr>
        <w:t xml:space="preserve">to address </w:t>
      </w:r>
      <w:r w:rsidRPr="00FF4F18">
        <w:rPr>
          <w:rFonts w:cstheme="majorHAnsi"/>
        </w:rPr>
        <w:t>health</w:t>
      </w:r>
      <w:r w:rsidR="003F3031">
        <w:rPr>
          <w:rFonts w:cstheme="majorHAnsi"/>
        </w:rPr>
        <w:t>,</w:t>
      </w:r>
      <w:r w:rsidRPr="00FF4F18">
        <w:rPr>
          <w:rFonts w:cstheme="majorHAnsi"/>
        </w:rPr>
        <w:t xml:space="preserve"> education and indigeneity</w:t>
      </w:r>
      <w:r w:rsidR="006331E6" w:rsidRPr="00FF4F18">
        <w:rPr>
          <w:rFonts w:cstheme="majorHAnsi"/>
        </w:rPr>
        <w:t xml:space="preserve"> disabilities</w:t>
      </w:r>
      <w:r w:rsidRPr="00FF4F18">
        <w:rPr>
          <w:rFonts w:cstheme="majorHAnsi"/>
        </w:rPr>
        <w:t>)</w:t>
      </w:r>
      <w:r w:rsidR="003F3031">
        <w:rPr>
          <w:rFonts w:cstheme="majorHAnsi"/>
        </w:rPr>
        <w:t xml:space="preserve">.  These grants would </w:t>
      </w:r>
      <w:r w:rsidR="002761E4">
        <w:rPr>
          <w:rFonts w:cstheme="majorHAnsi"/>
        </w:rPr>
        <w:t xml:space="preserve">typically involve outcome-based contracts and therefore have </w:t>
      </w:r>
      <w:r w:rsidRPr="00FF4F18">
        <w:rPr>
          <w:rFonts w:cstheme="majorHAnsi"/>
        </w:rPr>
        <w:t>relate</w:t>
      </w:r>
      <w:r w:rsidR="002761E4">
        <w:rPr>
          <w:rFonts w:cstheme="majorHAnsi"/>
        </w:rPr>
        <w:t xml:space="preserve">d performance agreements </w:t>
      </w:r>
      <w:r w:rsidRPr="00FF4F18">
        <w:rPr>
          <w:rFonts w:cstheme="majorHAnsi"/>
        </w:rPr>
        <w:t xml:space="preserve">with </w:t>
      </w:r>
      <w:r w:rsidR="002761E4">
        <w:rPr>
          <w:rFonts w:cstheme="majorHAnsi"/>
        </w:rPr>
        <w:t xml:space="preserve">potential </w:t>
      </w:r>
      <w:r w:rsidRPr="00FF4F18">
        <w:rPr>
          <w:rFonts w:cstheme="majorHAnsi"/>
        </w:rPr>
        <w:t xml:space="preserve">rewards </w:t>
      </w:r>
      <w:r w:rsidR="002761E4">
        <w:rPr>
          <w:rFonts w:cstheme="majorHAnsi"/>
        </w:rPr>
        <w:t>and</w:t>
      </w:r>
      <w:r w:rsidRPr="00FF4F18">
        <w:rPr>
          <w:rFonts w:cstheme="majorHAnsi"/>
        </w:rPr>
        <w:t xml:space="preserve"> penalties</w:t>
      </w:r>
      <w:r w:rsidR="002761E4">
        <w:rPr>
          <w:rFonts w:cstheme="majorHAnsi"/>
        </w:rPr>
        <w:t>.  Because of those agreements, s</w:t>
      </w:r>
      <w:r w:rsidR="003F3031">
        <w:rPr>
          <w:rFonts w:cstheme="majorHAnsi"/>
        </w:rPr>
        <w:t xml:space="preserve">uch grants </w:t>
      </w:r>
      <w:r w:rsidRPr="00FF4F18">
        <w:rPr>
          <w:rFonts w:cstheme="majorHAnsi"/>
        </w:rPr>
        <w:t xml:space="preserve">should be independent of </w:t>
      </w:r>
      <w:r w:rsidR="000C7C7E" w:rsidRPr="00FF4F18">
        <w:rPr>
          <w:rFonts w:cstheme="majorHAnsi"/>
          <w:i/>
        </w:rPr>
        <w:t xml:space="preserve">Stage </w:t>
      </w:r>
      <w:r w:rsidRPr="00FF4F18">
        <w:rPr>
          <w:rFonts w:cstheme="majorHAnsi"/>
          <w:i/>
        </w:rPr>
        <w:t>1</w:t>
      </w:r>
      <w:r w:rsidRPr="00FF4F18">
        <w:rPr>
          <w:rFonts w:cstheme="majorHAnsi"/>
        </w:rPr>
        <w:t xml:space="preserve"> and </w:t>
      </w:r>
      <w:r w:rsidR="000C7C7E" w:rsidRPr="00FF4F18">
        <w:rPr>
          <w:rFonts w:cstheme="majorHAnsi"/>
          <w:i/>
        </w:rPr>
        <w:t>Stage 2</w:t>
      </w:r>
      <w:r w:rsidRPr="00FF4F18">
        <w:rPr>
          <w:rFonts w:cstheme="majorHAnsi"/>
          <w:i/>
        </w:rPr>
        <w:t xml:space="preserve"> </w:t>
      </w:r>
      <w:r w:rsidR="006331E6" w:rsidRPr="00FF4F18">
        <w:rPr>
          <w:rFonts w:cstheme="majorHAnsi"/>
        </w:rPr>
        <w:t>deliberations</w:t>
      </w:r>
      <w:r w:rsidR="006430DF" w:rsidRPr="00FF4F18">
        <w:rPr>
          <w:rFonts w:cstheme="majorHAnsi"/>
        </w:rPr>
        <w:t xml:space="preserve">.  This is </w:t>
      </w:r>
      <w:r w:rsidRPr="00FF4F18">
        <w:rPr>
          <w:rFonts w:cstheme="majorHAnsi"/>
        </w:rPr>
        <w:t>unlike the case in Australia w</w:t>
      </w:r>
      <w:r w:rsidR="004036F0">
        <w:rPr>
          <w:rFonts w:cstheme="majorHAnsi"/>
        </w:rPr>
        <w:t>h</w:t>
      </w:r>
      <w:r w:rsidRPr="00FF4F18">
        <w:rPr>
          <w:rFonts w:cstheme="majorHAnsi"/>
        </w:rPr>
        <w:t xml:space="preserve">ere specific purpose payments </w:t>
      </w:r>
      <w:r w:rsidR="002761E4" w:rsidRPr="00FF4F18">
        <w:rPr>
          <w:rFonts w:cstheme="majorHAnsi"/>
        </w:rPr>
        <w:t xml:space="preserve">to States </w:t>
      </w:r>
      <w:r w:rsidRPr="00FF4F18">
        <w:rPr>
          <w:rFonts w:cstheme="majorHAnsi"/>
        </w:rPr>
        <w:t>by the Commonwealth are in effect p</w:t>
      </w:r>
      <w:r w:rsidR="006430DF" w:rsidRPr="00FF4F18">
        <w:rPr>
          <w:rFonts w:cstheme="majorHAnsi"/>
        </w:rPr>
        <w:t>ooled</w:t>
      </w:r>
      <w:r w:rsidRPr="00FF4F18">
        <w:rPr>
          <w:rFonts w:cstheme="majorHAnsi"/>
        </w:rPr>
        <w:t xml:space="preserve"> with the GST related grant </w:t>
      </w:r>
      <w:r w:rsidR="006430DF" w:rsidRPr="00FF4F18">
        <w:rPr>
          <w:rFonts w:cstheme="majorHAnsi"/>
        </w:rPr>
        <w:t xml:space="preserve">by the </w:t>
      </w:r>
      <w:proofErr w:type="spellStart"/>
      <w:r w:rsidRPr="00FF4F18">
        <w:rPr>
          <w:rFonts w:cstheme="majorHAnsi"/>
        </w:rPr>
        <w:t>CGC</w:t>
      </w:r>
      <w:proofErr w:type="spellEnd"/>
      <w:r w:rsidRPr="00FF4F18">
        <w:rPr>
          <w:rFonts w:cstheme="majorHAnsi"/>
        </w:rPr>
        <w:t xml:space="preserve"> approach </w:t>
      </w:r>
      <w:r w:rsidR="006331E6" w:rsidRPr="00FF4F18">
        <w:rPr>
          <w:rFonts w:cstheme="majorHAnsi"/>
        </w:rPr>
        <w:t>when</w:t>
      </w:r>
      <w:r w:rsidRPr="00FF4F18">
        <w:rPr>
          <w:rFonts w:cstheme="majorHAnsi"/>
        </w:rPr>
        <w:t xml:space="preserve"> measuring </w:t>
      </w:r>
      <w:r w:rsidR="000C7C7E" w:rsidRPr="00FF4F18">
        <w:rPr>
          <w:rFonts w:cstheme="majorHAnsi"/>
        </w:rPr>
        <w:t>State</w:t>
      </w:r>
      <w:r w:rsidRPr="00FF4F18">
        <w:rPr>
          <w:rFonts w:cstheme="majorHAnsi"/>
        </w:rPr>
        <w:t xml:space="preserve"> relativities</w:t>
      </w:r>
      <w:r w:rsidR="006430DF" w:rsidRPr="00FF4F18">
        <w:rPr>
          <w:rFonts w:cstheme="majorHAnsi"/>
        </w:rPr>
        <w:t xml:space="preserve">, which </w:t>
      </w:r>
      <w:r w:rsidRPr="00FF4F18">
        <w:rPr>
          <w:rFonts w:cstheme="majorHAnsi"/>
        </w:rPr>
        <w:t>completely undermin</w:t>
      </w:r>
      <w:r w:rsidR="006430DF" w:rsidRPr="00FF4F18">
        <w:rPr>
          <w:rFonts w:cstheme="majorHAnsi"/>
        </w:rPr>
        <w:t>e</w:t>
      </w:r>
      <w:r w:rsidR="004036F0">
        <w:rPr>
          <w:rFonts w:cstheme="majorHAnsi"/>
        </w:rPr>
        <w:t>s</w:t>
      </w:r>
      <w:r w:rsidRPr="00FF4F18">
        <w:rPr>
          <w:rFonts w:cstheme="majorHAnsi"/>
        </w:rPr>
        <w:t xml:space="preserve"> </w:t>
      </w:r>
      <w:r w:rsidR="004036F0">
        <w:rPr>
          <w:rFonts w:cstheme="majorHAnsi"/>
        </w:rPr>
        <w:t>any</w:t>
      </w:r>
      <w:r w:rsidRPr="00FF4F18">
        <w:rPr>
          <w:rFonts w:cstheme="majorHAnsi"/>
        </w:rPr>
        <w:t xml:space="preserve"> agreed independent objectives </w:t>
      </w:r>
      <w:r w:rsidR="006430DF" w:rsidRPr="00FF4F18">
        <w:rPr>
          <w:rFonts w:cstheme="majorHAnsi"/>
        </w:rPr>
        <w:t xml:space="preserve">for </w:t>
      </w:r>
      <w:r w:rsidRPr="00FF4F18">
        <w:rPr>
          <w:rFonts w:cstheme="majorHAnsi"/>
        </w:rPr>
        <w:t xml:space="preserve">these </w:t>
      </w:r>
      <w:r w:rsidR="002761E4">
        <w:rPr>
          <w:rFonts w:cstheme="majorHAnsi"/>
        </w:rPr>
        <w:t xml:space="preserve">conditional </w:t>
      </w:r>
      <w:r w:rsidRPr="00FF4F18">
        <w:rPr>
          <w:rFonts w:cstheme="majorHAnsi"/>
        </w:rPr>
        <w:t xml:space="preserve">grants </w:t>
      </w:r>
      <w:r w:rsidR="006430DF" w:rsidRPr="00FF4F18">
        <w:rPr>
          <w:rFonts w:cstheme="majorHAnsi"/>
        </w:rPr>
        <w:t>between the Commonwealth and the States</w:t>
      </w:r>
      <w:r w:rsidR="006331E6" w:rsidRPr="00FF4F18">
        <w:rPr>
          <w:rFonts w:cstheme="majorHAnsi"/>
        </w:rPr>
        <w:t xml:space="preserve">.  Quarantining </w:t>
      </w:r>
      <w:r w:rsidR="006331E6" w:rsidRPr="00FF4F18">
        <w:rPr>
          <w:rFonts w:cstheme="majorHAnsi"/>
          <w:i/>
        </w:rPr>
        <w:t>Stage 3</w:t>
      </w:r>
      <w:r w:rsidR="006331E6" w:rsidRPr="00FF4F18">
        <w:rPr>
          <w:rFonts w:cstheme="majorHAnsi"/>
        </w:rPr>
        <w:t xml:space="preserve"> grants would also prevent the current outcome with specific purpose payments where </w:t>
      </w:r>
      <w:r w:rsidR="000C7C7E" w:rsidRPr="00FF4F18">
        <w:rPr>
          <w:rFonts w:cstheme="majorHAnsi"/>
        </w:rPr>
        <w:t>State</w:t>
      </w:r>
      <w:r w:rsidRPr="00FF4F18">
        <w:rPr>
          <w:rFonts w:cstheme="majorHAnsi"/>
        </w:rPr>
        <w:t xml:space="preserve">s </w:t>
      </w:r>
      <w:r w:rsidR="006331E6" w:rsidRPr="00FF4F18">
        <w:rPr>
          <w:rFonts w:cstheme="majorHAnsi"/>
        </w:rPr>
        <w:t>can</w:t>
      </w:r>
      <w:r w:rsidRPr="00FF4F18">
        <w:rPr>
          <w:rFonts w:cstheme="majorHAnsi"/>
        </w:rPr>
        <w:t xml:space="preserve"> not only ga</w:t>
      </w:r>
      <w:r w:rsidR="006430DF" w:rsidRPr="00FF4F18">
        <w:rPr>
          <w:rFonts w:cstheme="majorHAnsi"/>
        </w:rPr>
        <w:t xml:space="preserve">me such grants </w:t>
      </w:r>
      <w:r w:rsidR="006331E6" w:rsidRPr="00FF4F18">
        <w:rPr>
          <w:rFonts w:cstheme="majorHAnsi"/>
        </w:rPr>
        <w:t>(</w:t>
      </w:r>
      <w:proofErr w:type="spellStart"/>
      <w:r w:rsidR="006331E6" w:rsidRPr="00FF4F18">
        <w:rPr>
          <w:rFonts w:cstheme="majorHAnsi"/>
        </w:rPr>
        <w:t>eg</w:t>
      </w:r>
      <w:proofErr w:type="spellEnd"/>
      <w:r w:rsidR="006331E6" w:rsidRPr="00FF4F18">
        <w:rPr>
          <w:rFonts w:cstheme="majorHAnsi"/>
        </w:rPr>
        <w:t xml:space="preserve"> by trying to maximize the pool) </w:t>
      </w:r>
      <w:r w:rsidRPr="00FF4F18">
        <w:rPr>
          <w:rFonts w:cstheme="majorHAnsi"/>
        </w:rPr>
        <w:t xml:space="preserve">but also reallocate these </w:t>
      </w:r>
      <w:r w:rsidR="002761E4">
        <w:rPr>
          <w:rFonts w:cstheme="majorHAnsi"/>
        </w:rPr>
        <w:t xml:space="preserve">conditional </w:t>
      </w:r>
      <w:r w:rsidRPr="00FF4F18">
        <w:rPr>
          <w:rFonts w:cstheme="majorHAnsi"/>
        </w:rPr>
        <w:t>grants to other pu</w:t>
      </w:r>
      <w:r w:rsidR="006331E6" w:rsidRPr="00FF4F18">
        <w:rPr>
          <w:rFonts w:cstheme="majorHAnsi"/>
        </w:rPr>
        <w:t>rposes without fear of financial sanction</w:t>
      </w:r>
      <w:r w:rsidR="006430DF" w:rsidRPr="00FF4F18">
        <w:rPr>
          <w:rFonts w:cstheme="majorHAnsi"/>
        </w:rPr>
        <w:t xml:space="preserve"> because the </w:t>
      </w:r>
      <w:proofErr w:type="spellStart"/>
      <w:r w:rsidR="006430DF" w:rsidRPr="00FF4F18">
        <w:rPr>
          <w:rFonts w:cstheme="majorHAnsi"/>
        </w:rPr>
        <w:t>CGC</w:t>
      </w:r>
      <w:proofErr w:type="spellEnd"/>
      <w:r w:rsidR="006430DF" w:rsidRPr="00FF4F18">
        <w:rPr>
          <w:rFonts w:cstheme="majorHAnsi"/>
        </w:rPr>
        <w:t xml:space="preserve"> methodology measures </w:t>
      </w:r>
      <w:r w:rsidR="00C3233E">
        <w:rPr>
          <w:rFonts w:cstheme="majorHAnsi"/>
        </w:rPr>
        <w:t>‘</w:t>
      </w:r>
      <w:r w:rsidR="006430DF" w:rsidRPr="00FF4F18">
        <w:rPr>
          <w:rFonts w:cstheme="majorHAnsi"/>
        </w:rPr>
        <w:t>what is</w:t>
      </w:r>
      <w:r w:rsidR="00C3233E">
        <w:rPr>
          <w:rFonts w:cstheme="majorHAnsi"/>
        </w:rPr>
        <w:t>’</w:t>
      </w:r>
      <w:r w:rsidR="006430DF" w:rsidRPr="00FF4F18">
        <w:rPr>
          <w:rFonts w:cstheme="majorHAnsi"/>
        </w:rPr>
        <w:t xml:space="preserve"> and not </w:t>
      </w:r>
      <w:r w:rsidR="00C3233E">
        <w:rPr>
          <w:rFonts w:cstheme="majorHAnsi"/>
        </w:rPr>
        <w:t>‘</w:t>
      </w:r>
      <w:r w:rsidR="006430DF" w:rsidRPr="00FF4F18">
        <w:rPr>
          <w:rFonts w:cstheme="majorHAnsi"/>
        </w:rPr>
        <w:t>what ought to be</w:t>
      </w:r>
      <w:r w:rsidR="00C3233E">
        <w:rPr>
          <w:rFonts w:cstheme="majorHAnsi"/>
        </w:rPr>
        <w:t>’</w:t>
      </w:r>
      <w:r w:rsidR="006331E6" w:rsidRPr="00FF4F18">
        <w:rPr>
          <w:rFonts w:cstheme="majorHAnsi"/>
        </w:rPr>
        <w:t xml:space="preserve"> where the latter underlies most specific purpose payments.</w:t>
      </w:r>
    </w:p>
    <w:p w:rsidR="00B84526" w:rsidRDefault="00B84526">
      <w:pPr>
        <w:rPr>
          <w:rFonts w:asciiTheme="minorHAnsi" w:hAnsiTheme="minorHAnsi" w:cstheme="majorHAnsi"/>
          <w:b/>
          <w:sz w:val="22"/>
          <w:szCs w:val="22"/>
        </w:rPr>
      </w:pPr>
      <w:r>
        <w:rPr>
          <w:rFonts w:asciiTheme="minorHAnsi" w:hAnsiTheme="minorHAnsi" w:cstheme="majorHAnsi"/>
          <w:b/>
          <w:sz w:val="22"/>
          <w:szCs w:val="22"/>
        </w:rPr>
        <w:br w:type="page"/>
      </w:r>
    </w:p>
    <w:p w:rsidR="00014AC3" w:rsidRPr="00FF4F18" w:rsidRDefault="00014AC3" w:rsidP="00014AC3">
      <w:pPr>
        <w:rPr>
          <w:rFonts w:asciiTheme="minorHAnsi" w:hAnsiTheme="minorHAnsi" w:cstheme="majorHAnsi"/>
          <w:b/>
          <w:sz w:val="22"/>
          <w:szCs w:val="22"/>
        </w:rPr>
      </w:pPr>
      <w:r w:rsidRPr="00FF4F18">
        <w:rPr>
          <w:rFonts w:asciiTheme="minorHAnsi" w:hAnsiTheme="minorHAnsi" w:cstheme="majorHAnsi"/>
          <w:b/>
          <w:sz w:val="22"/>
          <w:szCs w:val="22"/>
        </w:rPr>
        <w:lastRenderedPageBreak/>
        <w:t>S</w:t>
      </w:r>
      <w:r w:rsidR="00CC6F10" w:rsidRPr="00FF4F18">
        <w:rPr>
          <w:rFonts w:asciiTheme="minorHAnsi" w:hAnsiTheme="minorHAnsi" w:cstheme="majorHAnsi"/>
          <w:b/>
          <w:sz w:val="22"/>
          <w:szCs w:val="22"/>
        </w:rPr>
        <w:t>ummary</w:t>
      </w:r>
    </w:p>
    <w:p w:rsidR="00D36132" w:rsidRDefault="00CC6F10" w:rsidP="00D36132">
      <w:pPr>
        <w:spacing w:line="264" w:lineRule="auto"/>
        <w:rPr>
          <w:rFonts w:asciiTheme="minorHAnsi" w:hAnsiTheme="minorHAnsi" w:cstheme="majorHAnsi"/>
          <w:sz w:val="22"/>
          <w:szCs w:val="22"/>
        </w:rPr>
      </w:pPr>
      <w:r w:rsidRPr="00FF4F18">
        <w:rPr>
          <w:rFonts w:asciiTheme="minorHAnsi" w:hAnsiTheme="minorHAnsi" w:cstheme="majorHAnsi"/>
          <w:sz w:val="22"/>
          <w:szCs w:val="22"/>
        </w:rPr>
        <w:t>Australia must have a system of fiscal equalisation which</w:t>
      </w:r>
      <w:r w:rsidR="00D36132">
        <w:rPr>
          <w:rFonts w:asciiTheme="minorHAnsi" w:hAnsiTheme="minorHAnsi" w:cstheme="majorHAnsi"/>
          <w:sz w:val="22"/>
          <w:szCs w:val="22"/>
        </w:rPr>
        <w:t>:</w:t>
      </w:r>
    </w:p>
    <w:p w:rsidR="00D36132" w:rsidRDefault="00CC6F10" w:rsidP="00D36132">
      <w:pPr>
        <w:pStyle w:val="ListParagraph"/>
        <w:numPr>
          <w:ilvl w:val="0"/>
          <w:numId w:val="6"/>
        </w:numPr>
        <w:spacing w:after="120" w:line="264" w:lineRule="auto"/>
        <w:rPr>
          <w:rFonts w:cstheme="majorHAnsi"/>
        </w:rPr>
      </w:pPr>
      <w:r w:rsidRPr="00D36132">
        <w:rPr>
          <w:rFonts w:cstheme="majorHAnsi"/>
        </w:rPr>
        <w:t xml:space="preserve">is </w:t>
      </w:r>
      <w:r w:rsidR="00C3233E" w:rsidRPr="00D36132">
        <w:rPr>
          <w:rFonts w:cstheme="majorHAnsi"/>
        </w:rPr>
        <w:t>‘</w:t>
      </w:r>
      <w:r w:rsidRPr="00D36132">
        <w:rPr>
          <w:rFonts w:cstheme="majorHAnsi"/>
        </w:rPr>
        <w:t>owned</w:t>
      </w:r>
      <w:r w:rsidR="00C3233E" w:rsidRPr="00D36132">
        <w:rPr>
          <w:rFonts w:cstheme="majorHAnsi"/>
        </w:rPr>
        <w:t>’</w:t>
      </w:r>
      <w:r w:rsidRPr="00D36132">
        <w:rPr>
          <w:rFonts w:cstheme="majorHAnsi"/>
        </w:rPr>
        <w:t xml:space="preserve"> by all levels of government; </w:t>
      </w:r>
    </w:p>
    <w:p w:rsidR="00D36132" w:rsidRDefault="00CC6F10" w:rsidP="00D36132">
      <w:pPr>
        <w:pStyle w:val="ListParagraph"/>
        <w:numPr>
          <w:ilvl w:val="0"/>
          <w:numId w:val="6"/>
        </w:numPr>
        <w:spacing w:after="120" w:line="264" w:lineRule="auto"/>
        <w:rPr>
          <w:rFonts w:cstheme="majorHAnsi"/>
        </w:rPr>
      </w:pPr>
      <w:r w:rsidRPr="00D36132">
        <w:rPr>
          <w:rFonts w:cstheme="majorHAnsi"/>
        </w:rPr>
        <w:t xml:space="preserve">has data </w:t>
      </w:r>
      <w:r w:rsidR="006331E6" w:rsidRPr="00D36132">
        <w:rPr>
          <w:rFonts w:cstheme="majorHAnsi"/>
        </w:rPr>
        <w:t>transparency</w:t>
      </w:r>
      <w:r w:rsidRPr="00D36132">
        <w:rPr>
          <w:rFonts w:cstheme="majorHAnsi"/>
        </w:rPr>
        <w:t xml:space="preserve"> in that all </w:t>
      </w:r>
      <w:r w:rsidR="000C7C7E" w:rsidRPr="00D36132">
        <w:rPr>
          <w:rFonts w:cstheme="majorHAnsi"/>
        </w:rPr>
        <w:t>State</w:t>
      </w:r>
      <w:r w:rsidRPr="00D36132">
        <w:rPr>
          <w:rFonts w:cstheme="majorHAnsi"/>
        </w:rPr>
        <w:t xml:space="preserve">s </w:t>
      </w:r>
      <w:r w:rsidR="00BE3D6F" w:rsidRPr="00D36132">
        <w:rPr>
          <w:rFonts w:cstheme="majorHAnsi"/>
        </w:rPr>
        <w:t>make or have available data of</w:t>
      </w:r>
      <w:r w:rsidRPr="00D36132">
        <w:rPr>
          <w:rFonts w:cstheme="majorHAnsi"/>
        </w:rPr>
        <w:t xml:space="preserve"> </w:t>
      </w:r>
      <w:r w:rsidR="00D36132">
        <w:rPr>
          <w:rFonts w:cstheme="majorHAnsi"/>
        </w:rPr>
        <w:t xml:space="preserve">a </w:t>
      </w:r>
      <w:r w:rsidRPr="00D36132">
        <w:rPr>
          <w:rFonts w:cstheme="majorHAnsi"/>
        </w:rPr>
        <w:t xml:space="preserve">similar standard; </w:t>
      </w:r>
    </w:p>
    <w:p w:rsidR="00D36132" w:rsidRDefault="00D36132" w:rsidP="00D36132">
      <w:pPr>
        <w:pStyle w:val="ListParagraph"/>
        <w:numPr>
          <w:ilvl w:val="0"/>
          <w:numId w:val="6"/>
        </w:numPr>
        <w:spacing w:after="120" w:line="264" w:lineRule="auto"/>
        <w:rPr>
          <w:rFonts w:cstheme="majorHAnsi"/>
        </w:rPr>
      </w:pPr>
      <w:r w:rsidRPr="00D36132">
        <w:rPr>
          <w:rFonts w:cstheme="majorHAnsi"/>
        </w:rPr>
        <w:t xml:space="preserve">has a 3-stage process which is </w:t>
      </w:r>
      <w:r w:rsidR="00CC6F10" w:rsidRPr="00D36132">
        <w:rPr>
          <w:rFonts w:cstheme="majorHAnsi"/>
        </w:rPr>
        <w:t xml:space="preserve">transparent to the community and </w:t>
      </w:r>
      <w:r w:rsidRPr="00D36132">
        <w:rPr>
          <w:rFonts w:cstheme="majorHAnsi"/>
        </w:rPr>
        <w:t xml:space="preserve">to </w:t>
      </w:r>
      <w:r w:rsidR="00CC6F10" w:rsidRPr="00D36132">
        <w:rPr>
          <w:rFonts w:cstheme="majorHAnsi"/>
        </w:rPr>
        <w:t xml:space="preserve">the participants </w:t>
      </w:r>
      <w:r w:rsidRPr="00D36132">
        <w:rPr>
          <w:rFonts w:cstheme="majorHAnsi"/>
        </w:rPr>
        <w:t>with</w:t>
      </w:r>
      <w:r w:rsidR="00364145">
        <w:rPr>
          <w:rFonts w:cstheme="majorHAnsi"/>
        </w:rPr>
        <w:t xml:space="preserve"> a</w:t>
      </w:r>
      <w:r w:rsidRPr="00D36132">
        <w:rPr>
          <w:rFonts w:cstheme="majorHAnsi"/>
        </w:rPr>
        <w:t xml:space="preserve"> </w:t>
      </w:r>
      <w:r w:rsidR="00CC6F10" w:rsidRPr="00D36132">
        <w:rPr>
          <w:rFonts w:cstheme="majorHAnsi"/>
        </w:rPr>
        <w:t xml:space="preserve">formula </w:t>
      </w:r>
      <w:r w:rsidRPr="00D36132">
        <w:rPr>
          <w:rFonts w:cstheme="majorHAnsi"/>
        </w:rPr>
        <w:t xml:space="preserve">based (‘absolute’) rather than </w:t>
      </w:r>
      <w:r w:rsidR="00CC6F10" w:rsidRPr="00D36132">
        <w:rPr>
          <w:rFonts w:cstheme="majorHAnsi"/>
        </w:rPr>
        <w:t xml:space="preserve">needs-based </w:t>
      </w:r>
      <w:r w:rsidR="00870C63" w:rsidRPr="00D36132">
        <w:rPr>
          <w:rFonts w:cstheme="majorHAnsi"/>
        </w:rPr>
        <w:t>(</w:t>
      </w:r>
      <w:r w:rsidRPr="00D36132">
        <w:rPr>
          <w:rFonts w:cstheme="majorHAnsi"/>
        </w:rPr>
        <w:t>‘</w:t>
      </w:r>
      <w:r w:rsidR="00870C63" w:rsidRPr="00D36132">
        <w:rPr>
          <w:rFonts w:cstheme="majorHAnsi"/>
        </w:rPr>
        <w:t>relative</w:t>
      </w:r>
      <w:r w:rsidRPr="00D36132">
        <w:rPr>
          <w:rFonts w:cstheme="majorHAnsi"/>
        </w:rPr>
        <w:t>’</w:t>
      </w:r>
      <w:r w:rsidR="00870C63" w:rsidRPr="00D36132">
        <w:rPr>
          <w:rFonts w:cstheme="majorHAnsi"/>
        </w:rPr>
        <w:t xml:space="preserve">) </w:t>
      </w:r>
      <w:r w:rsidRPr="00D36132">
        <w:rPr>
          <w:rFonts w:cstheme="majorHAnsi"/>
        </w:rPr>
        <w:t>fiscal equalisation</w:t>
      </w:r>
      <w:r w:rsidR="00364145">
        <w:rPr>
          <w:rFonts w:cstheme="majorHAnsi"/>
        </w:rPr>
        <w:t xml:space="preserve"> approach</w:t>
      </w:r>
      <w:r w:rsidR="00BE3D6F" w:rsidRPr="00D36132">
        <w:rPr>
          <w:rFonts w:cstheme="majorHAnsi"/>
        </w:rPr>
        <w:t xml:space="preserve">; </w:t>
      </w:r>
    </w:p>
    <w:p w:rsidR="00D36132" w:rsidRDefault="00D36132" w:rsidP="00D36132">
      <w:pPr>
        <w:pStyle w:val="ListParagraph"/>
        <w:numPr>
          <w:ilvl w:val="0"/>
          <w:numId w:val="6"/>
        </w:numPr>
        <w:spacing w:after="120" w:line="264" w:lineRule="auto"/>
        <w:rPr>
          <w:rFonts w:cstheme="majorHAnsi"/>
        </w:rPr>
      </w:pPr>
      <w:r w:rsidRPr="00D36132">
        <w:rPr>
          <w:rFonts w:cstheme="majorHAnsi"/>
        </w:rPr>
        <w:t xml:space="preserve">removes conditional specific purpose grants from the fiscal equalisation process, and; </w:t>
      </w:r>
    </w:p>
    <w:p w:rsidR="00CC6F10" w:rsidRPr="00D36132" w:rsidRDefault="00BE3D6F" w:rsidP="00D36132">
      <w:pPr>
        <w:pStyle w:val="ListParagraph"/>
        <w:numPr>
          <w:ilvl w:val="0"/>
          <w:numId w:val="6"/>
        </w:numPr>
        <w:spacing w:after="120" w:line="264" w:lineRule="auto"/>
        <w:rPr>
          <w:rFonts w:cstheme="majorHAnsi"/>
        </w:rPr>
      </w:pPr>
      <w:r w:rsidRPr="00D36132">
        <w:rPr>
          <w:rFonts w:cstheme="majorHAnsi"/>
        </w:rPr>
        <w:t>encourages</w:t>
      </w:r>
      <w:r w:rsidR="00CC6F10" w:rsidRPr="00D36132">
        <w:rPr>
          <w:rFonts w:cstheme="majorHAnsi"/>
        </w:rPr>
        <w:t xml:space="preserve"> accountability through </w:t>
      </w:r>
      <w:r w:rsidR="002761E4" w:rsidRPr="00D36132">
        <w:rPr>
          <w:rFonts w:cstheme="majorHAnsi"/>
        </w:rPr>
        <w:t xml:space="preserve">an independent agency </w:t>
      </w:r>
      <w:r w:rsidR="00CC6F10" w:rsidRPr="00D36132">
        <w:rPr>
          <w:rFonts w:cstheme="majorHAnsi"/>
        </w:rPr>
        <w:t>publi</w:t>
      </w:r>
      <w:r w:rsidR="002761E4" w:rsidRPr="00D36132">
        <w:rPr>
          <w:rFonts w:cstheme="majorHAnsi"/>
        </w:rPr>
        <w:t xml:space="preserve">shing and communicating </w:t>
      </w:r>
      <w:r w:rsidR="00CC6F10" w:rsidRPr="00D36132">
        <w:rPr>
          <w:rFonts w:cstheme="majorHAnsi"/>
        </w:rPr>
        <w:t xml:space="preserve">performance measures and </w:t>
      </w:r>
      <w:r w:rsidR="002761E4" w:rsidRPr="00D36132">
        <w:rPr>
          <w:rFonts w:cstheme="majorHAnsi"/>
        </w:rPr>
        <w:t xml:space="preserve">evaluating </w:t>
      </w:r>
      <w:r w:rsidR="00CC6F10" w:rsidRPr="00D36132">
        <w:rPr>
          <w:rFonts w:cstheme="majorHAnsi"/>
        </w:rPr>
        <w:t>rewards</w:t>
      </w:r>
      <w:r w:rsidR="002761E4" w:rsidRPr="00D36132">
        <w:rPr>
          <w:rFonts w:cstheme="majorHAnsi"/>
        </w:rPr>
        <w:t xml:space="preserve"> and penalties arising from performance against agreement on conditional grants</w:t>
      </w:r>
      <w:r w:rsidR="00CC6F10" w:rsidRPr="00D36132">
        <w:rPr>
          <w:rFonts w:cstheme="majorHAnsi"/>
        </w:rPr>
        <w:t>.</w:t>
      </w:r>
    </w:p>
    <w:p w:rsidR="00CC6F10" w:rsidRPr="00FF4F18" w:rsidRDefault="00CC6F10" w:rsidP="00CC6F10">
      <w:pPr>
        <w:rPr>
          <w:rFonts w:asciiTheme="minorHAnsi" w:hAnsiTheme="minorHAnsi" w:cstheme="majorHAnsi"/>
          <w:sz w:val="22"/>
          <w:szCs w:val="22"/>
        </w:rPr>
      </w:pPr>
    </w:p>
    <w:p w:rsidR="00014AC3" w:rsidRPr="00FF4F18" w:rsidRDefault="00014AC3" w:rsidP="00014AC3">
      <w:pPr>
        <w:rPr>
          <w:rFonts w:asciiTheme="minorHAnsi" w:hAnsiTheme="minorHAnsi" w:cstheme="majorHAnsi"/>
          <w:b/>
          <w:sz w:val="22"/>
          <w:szCs w:val="22"/>
        </w:rPr>
      </w:pPr>
      <w:bookmarkStart w:id="1" w:name="_Toc486351022"/>
      <w:bookmarkStart w:id="2" w:name="_Toc137290762"/>
      <w:bookmarkStart w:id="3" w:name="_Toc279223562"/>
      <w:bookmarkStart w:id="4" w:name="_Toc473374044"/>
      <w:r w:rsidRPr="00FF4F18">
        <w:rPr>
          <w:rFonts w:asciiTheme="minorHAnsi" w:hAnsiTheme="minorHAnsi" w:cstheme="majorHAnsi"/>
          <w:b/>
          <w:sz w:val="22"/>
          <w:szCs w:val="22"/>
        </w:rPr>
        <w:t>Selected Publications</w:t>
      </w:r>
      <w:bookmarkEnd w:id="1"/>
    </w:p>
    <w:bookmarkEnd w:id="2"/>
    <w:bookmarkEnd w:id="3"/>
    <w:bookmarkEnd w:id="4"/>
    <w:p w:rsidR="00014AC3" w:rsidRPr="00FF4F18" w:rsidRDefault="00014AC3" w:rsidP="00014AC3">
      <w:pPr>
        <w:spacing w:before="120"/>
        <w:ind w:left="567" w:hanging="567"/>
        <w:rPr>
          <w:rFonts w:asciiTheme="minorHAnsi" w:hAnsiTheme="minorHAnsi" w:cstheme="majorHAnsi"/>
          <w:sz w:val="22"/>
          <w:szCs w:val="22"/>
        </w:rPr>
      </w:pPr>
      <w:r w:rsidRPr="00FF4F18">
        <w:rPr>
          <w:rFonts w:asciiTheme="minorHAnsi" w:hAnsiTheme="minorHAnsi" w:cstheme="majorHAnsi"/>
          <w:sz w:val="22"/>
          <w:szCs w:val="22"/>
        </w:rPr>
        <w:t xml:space="preserve">2017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Eccleston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 R. and  Warren N., </w:t>
      </w:r>
      <w:r w:rsidR="00C3233E">
        <w:rPr>
          <w:rFonts w:asciiTheme="minorHAnsi" w:hAnsiTheme="minorHAnsi" w:cstheme="majorHAnsi"/>
          <w:sz w:val="22"/>
          <w:szCs w:val="22"/>
        </w:rPr>
        <w:t>‘</w:t>
      </w:r>
      <w:r w:rsidRPr="00FF4F18">
        <w:rPr>
          <w:rFonts w:asciiTheme="minorHAnsi" w:hAnsiTheme="minorHAnsi" w:cstheme="majorHAnsi"/>
          <w:sz w:val="22"/>
          <w:szCs w:val="22"/>
        </w:rPr>
        <w:t xml:space="preserve">The failure of the federalism reform process and its financial implications for the Australian </w:t>
      </w:r>
      <w:r w:rsidR="000C7C7E" w:rsidRPr="00FF4F18">
        <w:rPr>
          <w:rFonts w:asciiTheme="minorHAnsi" w:hAnsiTheme="minorHAnsi" w:cstheme="majorHAnsi"/>
          <w:sz w:val="22"/>
          <w:szCs w:val="22"/>
        </w:rPr>
        <w:t>State</w:t>
      </w:r>
      <w:r w:rsidRPr="00FF4F18">
        <w:rPr>
          <w:rFonts w:asciiTheme="minorHAnsi" w:hAnsiTheme="minorHAnsi" w:cstheme="majorHAnsi"/>
          <w:sz w:val="22"/>
          <w:szCs w:val="22"/>
        </w:rPr>
        <w:t>s</w:t>
      </w:r>
      <w:r w:rsidR="00C3233E">
        <w:rPr>
          <w:rFonts w:asciiTheme="minorHAnsi" w:hAnsiTheme="minorHAnsi" w:cstheme="majorHAnsi"/>
          <w:sz w:val="22"/>
          <w:szCs w:val="22"/>
        </w:rPr>
        <w:t>’</w:t>
      </w:r>
      <w:r w:rsidRPr="00FF4F18">
        <w:rPr>
          <w:rFonts w:asciiTheme="minorHAnsi" w:hAnsiTheme="minorHAnsi" w:cstheme="majorHAnsi"/>
          <w:sz w:val="22"/>
          <w:szCs w:val="22"/>
        </w:rPr>
        <w:t xml:space="preserve">, in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Bruerton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, M, Hollander R. and Levy R. </w:t>
      </w:r>
      <w:r w:rsidRPr="00FF4F18">
        <w:rPr>
          <w:rFonts w:asciiTheme="minorHAnsi" w:hAnsiTheme="minorHAnsi" w:cstheme="majorHAnsi"/>
          <w:i/>
          <w:sz w:val="22"/>
          <w:szCs w:val="22"/>
        </w:rPr>
        <w:t>A People's Federation</w:t>
      </w:r>
      <w:r w:rsidRPr="00FF4F18">
        <w:rPr>
          <w:rFonts w:asciiTheme="minorHAnsi" w:hAnsiTheme="minorHAnsi" w:cstheme="majorHAnsi"/>
          <w:sz w:val="22"/>
          <w:szCs w:val="22"/>
        </w:rPr>
        <w:t>, Federation Press (</w:t>
      </w:r>
      <w:r w:rsidRPr="00FF4F18">
        <w:rPr>
          <w:rFonts w:asciiTheme="minorHAnsi" w:hAnsiTheme="minorHAnsi" w:cstheme="majorHAnsi"/>
          <w:i/>
          <w:sz w:val="22"/>
          <w:szCs w:val="22"/>
        </w:rPr>
        <w:t>forthcoming</w:t>
      </w:r>
      <w:r w:rsidRPr="00FF4F18">
        <w:rPr>
          <w:rFonts w:asciiTheme="minorHAnsi" w:hAnsiTheme="minorHAnsi" w:cstheme="majorHAnsi"/>
          <w:sz w:val="22"/>
          <w:szCs w:val="22"/>
        </w:rPr>
        <w:t>)</w:t>
      </w:r>
    </w:p>
    <w:p w:rsidR="00014AC3" w:rsidRPr="00FF4F18" w:rsidRDefault="00014AC3" w:rsidP="00014AC3">
      <w:pPr>
        <w:kinsoku w:val="0"/>
        <w:overflowPunct w:val="0"/>
        <w:spacing w:before="120"/>
        <w:ind w:left="567" w:hanging="567"/>
        <w:textAlignment w:val="baseline"/>
        <w:rPr>
          <w:rFonts w:asciiTheme="minorHAnsi" w:hAnsiTheme="minorHAnsi" w:cstheme="majorHAnsi"/>
          <w:sz w:val="22"/>
          <w:szCs w:val="22"/>
        </w:rPr>
      </w:pPr>
      <w:r w:rsidRPr="00FF4F18">
        <w:rPr>
          <w:rFonts w:asciiTheme="minorHAnsi" w:hAnsiTheme="minorHAnsi" w:cstheme="majorHAnsi"/>
          <w:sz w:val="22"/>
          <w:szCs w:val="22"/>
        </w:rPr>
        <w:t xml:space="preserve">2015 Warren,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N.A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., and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Eccleston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 R., </w:t>
      </w:r>
      <w:r w:rsidR="00C3233E">
        <w:rPr>
          <w:rFonts w:asciiTheme="minorHAnsi" w:hAnsiTheme="minorHAnsi" w:cstheme="majorHAnsi"/>
          <w:sz w:val="22"/>
          <w:szCs w:val="22"/>
        </w:rPr>
        <w:t>‘</w:t>
      </w:r>
      <w:r w:rsidRPr="00FF4F18">
        <w:rPr>
          <w:rFonts w:asciiTheme="minorHAnsi" w:hAnsiTheme="minorHAnsi" w:cstheme="majorHAnsi"/>
          <w:sz w:val="22"/>
          <w:szCs w:val="22"/>
        </w:rPr>
        <w:t>The devil is in the detail: The distributional consequences of income tax sharing in the Australian federation</w:t>
      </w:r>
      <w:r w:rsidR="00C3233E">
        <w:rPr>
          <w:rFonts w:asciiTheme="minorHAnsi" w:hAnsiTheme="minorHAnsi" w:cstheme="majorHAnsi"/>
          <w:sz w:val="22"/>
          <w:szCs w:val="22"/>
        </w:rPr>
        <w:t>’</w:t>
      </w:r>
      <w:r w:rsidRPr="00FF4F18">
        <w:rPr>
          <w:rFonts w:asciiTheme="minorHAnsi" w:hAnsiTheme="minorHAnsi" w:cstheme="majorHAnsi"/>
          <w:sz w:val="22"/>
          <w:szCs w:val="22"/>
        </w:rPr>
        <w:t xml:space="preserve">, </w:t>
      </w:r>
      <w:r w:rsidRPr="00FF4F18">
        <w:rPr>
          <w:rFonts w:asciiTheme="minorHAnsi" w:hAnsiTheme="minorHAnsi" w:cstheme="majorHAnsi"/>
          <w:i/>
          <w:sz w:val="22"/>
          <w:szCs w:val="22"/>
        </w:rPr>
        <w:t xml:space="preserve">Australian Tax Forum </w:t>
      </w:r>
      <w:r w:rsidRPr="00FF4F18">
        <w:rPr>
          <w:rFonts w:asciiTheme="minorHAnsi" w:hAnsiTheme="minorHAnsi" w:cstheme="majorHAnsi"/>
          <w:sz w:val="22"/>
          <w:szCs w:val="22"/>
        </w:rPr>
        <w:t>30(4):713-33</w:t>
      </w:r>
    </w:p>
    <w:p w:rsidR="00014AC3" w:rsidRPr="00FF4F18" w:rsidRDefault="00014AC3" w:rsidP="00014AC3">
      <w:pPr>
        <w:kinsoku w:val="0"/>
        <w:overflowPunct w:val="0"/>
        <w:spacing w:before="120"/>
        <w:ind w:left="567" w:hanging="567"/>
        <w:textAlignment w:val="baseline"/>
        <w:rPr>
          <w:rFonts w:asciiTheme="minorHAnsi" w:hAnsiTheme="minorHAnsi" w:cstheme="majorHAnsi"/>
          <w:sz w:val="22"/>
          <w:szCs w:val="22"/>
        </w:rPr>
      </w:pPr>
      <w:r w:rsidRPr="00FF4F18">
        <w:rPr>
          <w:rFonts w:asciiTheme="minorHAnsi" w:hAnsiTheme="minorHAnsi" w:cstheme="majorHAnsi"/>
          <w:sz w:val="22"/>
          <w:szCs w:val="22"/>
        </w:rPr>
        <w:t xml:space="preserve">2013 Warren,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N.A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., ‘National fiscal consolidation and the challenge to Australian Federalism’, </w:t>
      </w:r>
      <w:r w:rsidRPr="00FF4F18">
        <w:rPr>
          <w:rFonts w:asciiTheme="minorHAnsi" w:hAnsiTheme="minorHAnsi" w:cstheme="majorHAnsi"/>
          <w:i/>
          <w:sz w:val="22"/>
          <w:szCs w:val="22"/>
        </w:rPr>
        <w:t xml:space="preserve">Economic and Labour Relation Review, </w:t>
      </w:r>
      <w:r w:rsidRPr="00FF4F18">
        <w:rPr>
          <w:rFonts w:asciiTheme="minorHAnsi" w:hAnsiTheme="minorHAnsi" w:cstheme="majorHAnsi"/>
          <w:sz w:val="22"/>
          <w:szCs w:val="22"/>
        </w:rPr>
        <w:t>24(2):161-180 (June)</w:t>
      </w:r>
    </w:p>
    <w:p w:rsidR="00014AC3" w:rsidRPr="00FF4F18" w:rsidRDefault="00014AC3" w:rsidP="00014AC3">
      <w:pPr>
        <w:kinsoku w:val="0"/>
        <w:overflowPunct w:val="0"/>
        <w:spacing w:before="120"/>
        <w:ind w:left="567" w:hanging="567"/>
        <w:textAlignment w:val="baseline"/>
        <w:rPr>
          <w:rFonts w:asciiTheme="minorHAnsi" w:hAnsiTheme="minorHAnsi" w:cstheme="majorHAnsi"/>
          <w:sz w:val="22"/>
          <w:szCs w:val="22"/>
        </w:rPr>
      </w:pPr>
      <w:r w:rsidRPr="00FF4F18">
        <w:rPr>
          <w:rFonts w:asciiTheme="minorHAnsi" w:hAnsiTheme="minorHAnsi" w:cstheme="majorHAnsi"/>
          <w:sz w:val="22"/>
          <w:szCs w:val="22"/>
        </w:rPr>
        <w:t xml:space="preserve">2013 Warren,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N.A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.,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Eccleston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 R., and Woolley T., ‘Beyond the Blame Game: Political Strategies for State Funding Reform’, </w:t>
      </w:r>
      <w:r w:rsidRPr="00FF4F18">
        <w:rPr>
          <w:rFonts w:asciiTheme="minorHAnsi" w:hAnsiTheme="minorHAnsi" w:cstheme="majorHAnsi"/>
          <w:i/>
          <w:sz w:val="22"/>
          <w:szCs w:val="22"/>
        </w:rPr>
        <w:t>Australian Journal of Public Administration</w:t>
      </w:r>
      <w:r w:rsidRPr="00FF4F18">
        <w:rPr>
          <w:rFonts w:asciiTheme="minorHAnsi" w:hAnsiTheme="minorHAnsi" w:cstheme="majorHAnsi"/>
          <w:sz w:val="22"/>
          <w:szCs w:val="22"/>
        </w:rPr>
        <w:t>, 72(1):14–30</w:t>
      </w:r>
    </w:p>
    <w:p w:rsidR="00014AC3" w:rsidRPr="00FF4F18" w:rsidRDefault="00014AC3" w:rsidP="00014AC3">
      <w:pPr>
        <w:kinsoku w:val="0"/>
        <w:overflowPunct w:val="0"/>
        <w:spacing w:before="120"/>
        <w:ind w:left="567" w:hanging="567"/>
        <w:textAlignment w:val="baseline"/>
        <w:rPr>
          <w:rFonts w:asciiTheme="minorHAnsi" w:hAnsiTheme="minorHAnsi" w:cstheme="majorHAnsi"/>
          <w:sz w:val="22"/>
          <w:szCs w:val="22"/>
          <w:lang w:val="en-GB"/>
        </w:rPr>
      </w:pPr>
      <w:r w:rsidRPr="00FF4F18">
        <w:rPr>
          <w:rFonts w:asciiTheme="minorHAnsi" w:hAnsiTheme="minorHAnsi" w:cstheme="majorHAnsi"/>
          <w:sz w:val="22"/>
          <w:szCs w:val="22"/>
        </w:rPr>
        <w:t xml:space="preserve">2012 Warren,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N.A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., 2012, ‘Fiscal Federalism under Review (at </w:t>
      </w:r>
      <w:r w:rsidRPr="00FF4F18">
        <w:rPr>
          <w:rFonts w:asciiTheme="minorHAnsi" w:hAnsiTheme="minorHAnsi" w:cstheme="majorHAnsi"/>
          <w:i/>
          <w:sz w:val="22"/>
          <w:szCs w:val="22"/>
        </w:rPr>
        <w:t>Speed</w:t>
      </w:r>
      <w:r w:rsidRPr="00FF4F18">
        <w:rPr>
          <w:rFonts w:asciiTheme="minorHAnsi" w:hAnsiTheme="minorHAnsi" w:cstheme="majorHAnsi"/>
          <w:sz w:val="22"/>
          <w:szCs w:val="22"/>
        </w:rPr>
        <w:t xml:space="preserve">)’, </w:t>
      </w:r>
      <w:proofErr w:type="spellStart"/>
      <w:r w:rsidRPr="00FF4F18">
        <w:rPr>
          <w:rFonts w:asciiTheme="minorHAnsi" w:hAnsiTheme="minorHAnsi" w:cstheme="majorHAnsi"/>
          <w:bCs/>
          <w:i/>
          <w:sz w:val="22"/>
          <w:szCs w:val="22"/>
        </w:rPr>
        <w:t>eJournal</w:t>
      </w:r>
      <w:proofErr w:type="spellEnd"/>
      <w:r w:rsidRPr="00FF4F18">
        <w:rPr>
          <w:rFonts w:asciiTheme="minorHAnsi" w:hAnsiTheme="minorHAnsi" w:cstheme="majorHAnsi"/>
          <w:bCs/>
          <w:i/>
          <w:sz w:val="22"/>
          <w:szCs w:val="22"/>
        </w:rPr>
        <w:t xml:space="preserve"> of Tax Research</w:t>
      </w:r>
      <w:r w:rsidRPr="00FF4F18">
        <w:rPr>
          <w:rFonts w:asciiTheme="minorHAnsi" w:hAnsiTheme="minorHAnsi" w:cstheme="majorHAnsi"/>
          <w:bCs/>
          <w:sz w:val="22"/>
          <w:szCs w:val="22"/>
        </w:rPr>
        <w:t>, 10(1):5-11</w:t>
      </w:r>
      <w:r w:rsidRPr="00FF4F18">
        <w:rPr>
          <w:rFonts w:asciiTheme="minorHAnsi" w:hAnsiTheme="minorHAnsi" w:cstheme="majorHAnsi"/>
          <w:sz w:val="22"/>
          <w:szCs w:val="22"/>
          <w:lang w:val="en-GB"/>
        </w:rPr>
        <w:t>.</w:t>
      </w:r>
      <w:r w:rsidRPr="00FF4F18">
        <w:rPr>
          <w:rFonts w:asciiTheme="minorHAnsi" w:hAnsiTheme="minorHAnsi" w:cstheme="majorHAnsi"/>
          <w:sz w:val="22"/>
          <w:szCs w:val="22"/>
        </w:rPr>
        <w:t xml:space="preserve"> </w:t>
      </w:r>
    </w:p>
    <w:p w:rsidR="00014AC3" w:rsidRPr="00FF4F18" w:rsidRDefault="00014AC3" w:rsidP="00014AC3">
      <w:pPr>
        <w:kinsoku w:val="0"/>
        <w:overflowPunct w:val="0"/>
        <w:spacing w:before="120"/>
        <w:ind w:left="567" w:hanging="567"/>
        <w:textAlignment w:val="baseline"/>
        <w:rPr>
          <w:rFonts w:asciiTheme="minorHAnsi" w:hAnsiTheme="minorHAnsi" w:cstheme="majorHAnsi"/>
          <w:sz w:val="22"/>
          <w:szCs w:val="22"/>
          <w:lang w:val="en-GB"/>
        </w:rPr>
      </w:pPr>
      <w:r w:rsidRPr="00FF4F18">
        <w:rPr>
          <w:rFonts w:asciiTheme="minorHAnsi" w:hAnsiTheme="minorHAnsi" w:cstheme="majorHAnsi"/>
          <w:sz w:val="22"/>
          <w:szCs w:val="22"/>
        </w:rPr>
        <w:t xml:space="preserve">2012 Warren,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N.A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., ‘States ponder own-tax reform options post Forum’, </w:t>
      </w:r>
      <w:r w:rsidRPr="00FF4F18">
        <w:rPr>
          <w:rFonts w:asciiTheme="minorHAnsi" w:hAnsiTheme="minorHAnsi" w:cstheme="majorHAnsi"/>
          <w:bCs/>
          <w:i/>
          <w:sz w:val="22"/>
          <w:szCs w:val="22"/>
        </w:rPr>
        <w:t>Economic Papers</w:t>
      </w:r>
      <w:r w:rsidRPr="00FF4F18">
        <w:rPr>
          <w:rFonts w:asciiTheme="minorHAnsi" w:hAnsiTheme="minorHAnsi" w:cstheme="majorHAnsi"/>
          <w:bCs/>
          <w:sz w:val="22"/>
          <w:szCs w:val="22"/>
        </w:rPr>
        <w:t>, 31(1):8-12 (March).</w:t>
      </w:r>
    </w:p>
    <w:p w:rsidR="00014AC3" w:rsidRPr="00FF4F18" w:rsidRDefault="00014AC3" w:rsidP="00014AC3">
      <w:pPr>
        <w:kinsoku w:val="0"/>
        <w:overflowPunct w:val="0"/>
        <w:spacing w:before="120"/>
        <w:ind w:left="567" w:hanging="567"/>
        <w:textAlignment w:val="baseline"/>
        <w:rPr>
          <w:rFonts w:asciiTheme="minorHAnsi" w:hAnsiTheme="minorHAnsi" w:cstheme="majorHAnsi"/>
          <w:sz w:val="22"/>
          <w:szCs w:val="22"/>
          <w:lang w:val="en-GB"/>
        </w:rPr>
      </w:pPr>
      <w:r w:rsidRPr="00FF4F18">
        <w:rPr>
          <w:rFonts w:asciiTheme="minorHAnsi" w:hAnsiTheme="minorHAnsi" w:cstheme="majorHAnsi"/>
          <w:sz w:val="22"/>
          <w:szCs w:val="22"/>
        </w:rPr>
        <w:t xml:space="preserve">2012 Warren,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N.A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., ‘State Taxes: From a problem acknowledged to a problem addressed?’, </w:t>
      </w:r>
      <w:r w:rsidRPr="00FF4F18">
        <w:rPr>
          <w:rFonts w:asciiTheme="minorHAnsi" w:hAnsiTheme="minorHAnsi" w:cstheme="majorHAnsi"/>
          <w:bCs/>
          <w:i/>
          <w:sz w:val="22"/>
          <w:szCs w:val="22"/>
        </w:rPr>
        <w:t>Australian Tax Forum</w:t>
      </w:r>
      <w:r w:rsidRPr="00FF4F18">
        <w:rPr>
          <w:rFonts w:asciiTheme="minorHAnsi" w:hAnsiTheme="minorHAnsi" w:cstheme="majorHAnsi"/>
          <w:bCs/>
          <w:sz w:val="22"/>
          <w:szCs w:val="22"/>
        </w:rPr>
        <w:t>, 27(2):235-256.</w:t>
      </w:r>
    </w:p>
    <w:p w:rsidR="00014AC3" w:rsidRPr="00FF4F18" w:rsidRDefault="00014AC3" w:rsidP="00014AC3">
      <w:pPr>
        <w:kinsoku w:val="0"/>
        <w:overflowPunct w:val="0"/>
        <w:spacing w:before="120"/>
        <w:ind w:left="567" w:hanging="567"/>
        <w:textAlignment w:val="baseline"/>
        <w:rPr>
          <w:rFonts w:asciiTheme="minorHAnsi" w:hAnsiTheme="minorHAnsi" w:cstheme="majorHAnsi"/>
          <w:sz w:val="22"/>
          <w:szCs w:val="22"/>
          <w:lang w:val="en-GB"/>
        </w:rPr>
      </w:pPr>
      <w:r w:rsidRPr="00FF4F18">
        <w:rPr>
          <w:rFonts w:asciiTheme="minorHAnsi" w:hAnsiTheme="minorHAnsi" w:cstheme="majorHAnsi"/>
          <w:sz w:val="22"/>
          <w:szCs w:val="22"/>
        </w:rPr>
        <w:t xml:space="preserve">2012 Warren,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N.A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., ‘Fiscal equalisation and State incentive for policy reform’, </w:t>
      </w:r>
      <w:proofErr w:type="spellStart"/>
      <w:r w:rsidRPr="00FF4F18">
        <w:rPr>
          <w:rFonts w:asciiTheme="minorHAnsi" w:hAnsiTheme="minorHAnsi" w:cstheme="majorHAnsi"/>
          <w:bCs/>
          <w:i/>
          <w:sz w:val="22"/>
          <w:szCs w:val="22"/>
        </w:rPr>
        <w:t>eJournal</w:t>
      </w:r>
      <w:proofErr w:type="spellEnd"/>
      <w:r w:rsidRPr="00FF4F18">
        <w:rPr>
          <w:rFonts w:asciiTheme="minorHAnsi" w:hAnsiTheme="minorHAnsi" w:cstheme="majorHAnsi"/>
          <w:bCs/>
          <w:i/>
          <w:sz w:val="22"/>
          <w:szCs w:val="22"/>
        </w:rPr>
        <w:t xml:space="preserve"> of Tax Research</w:t>
      </w:r>
      <w:r w:rsidRPr="00FF4F18">
        <w:rPr>
          <w:rFonts w:asciiTheme="minorHAnsi" w:hAnsiTheme="minorHAnsi" w:cstheme="majorHAnsi"/>
          <w:bCs/>
          <w:sz w:val="22"/>
          <w:szCs w:val="22"/>
        </w:rPr>
        <w:t>, 10(1):165-81.</w:t>
      </w:r>
      <w:r w:rsidRPr="00FF4F18">
        <w:rPr>
          <w:rFonts w:asciiTheme="minorHAnsi" w:hAnsiTheme="minorHAnsi" w:cstheme="majorHAnsi"/>
          <w:sz w:val="22"/>
          <w:szCs w:val="22"/>
        </w:rPr>
        <w:t xml:space="preserve"> </w:t>
      </w:r>
    </w:p>
    <w:p w:rsidR="00014AC3" w:rsidRPr="00FF4F18" w:rsidRDefault="00014AC3" w:rsidP="00014AC3">
      <w:pPr>
        <w:kinsoku w:val="0"/>
        <w:overflowPunct w:val="0"/>
        <w:spacing w:before="120"/>
        <w:ind w:left="567" w:hanging="567"/>
        <w:textAlignment w:val="baseline"/>
        <w:rPr>
          <w:rFonts w:asciiTheme="minorHAnsi" w:hAnsiTheme="minorHAnsi" w:cstheme="majorHAnsi"/>
          <w:sz w:val="22"/>
          <w:szCs w:val="22"/>
        </w:rPr>
      </w:pPr>
      <w:r w:rsidRPr="00FF4F18">
        <w:rPr>
          <w:rFonts w:asciiTheme="minorHAnsi" w:hAnsiTheme="minorHAnsi" w:cstheme="majorHAnsi"/>
          <w:sz w:val="22"/>
          <w:szCs w:val="22"/>
        </w:rPr>
        <w:t xml:space="preserve">2012 Warren,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N.A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., ‘Designing Intergovernmental Grants to Facilitate Policy Reform’ in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Kildea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 P., Lynch A. and Williams G. (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eds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) </w:t>
      </w:r>
      <w:r w:rsidRPr="00FF4F18">
        <w:rPr>
          <w:rFonts w:asciiTheme="minorHAnsi" w:hAnsiTheme="minorHAnsi" w:cstheme="majorHAnsi"/>
          <w:i/>
          <w:sz w:val="22"/>
          <w:szCs w:val="22"/>
        </w:rPr>
        <w:t>Tomorrow's Federation: Reforming Australian Government</w:t>
      </w:r>
      <w:r w:rsidRPr="00FF4F18">
        <w:rPr>
          <w:rFonts w:asciiTheme="minorHAnsi" w:hAnsiTheme="minorHAnsi" w:cstheme="majorHAnsi"/>
          <w:sz w:val="22"/>
          <w:szCs w:val="22"/>
        </w:rPr>
        <w:t xml:space="preserve">,  Federation Press: Sydney, pp 131-51  (and also published as </w:t>
      </w:r>
      <w:r w:rsidRPr="00FF4F18">
        <w:rPr>
          <w:rFonts w:asciiTheme="minorHAnsi" w:hAnsiTheme="minorHAnsi" w:cstheme="majorHAnsi"/>
          <w:i/>
          <w:sz w:val="22"/>
          <w:szCs w:val="22"/>
        </w:rPr>
        <w:t>UNSW Law Research Series No. 2011-22</w:t>
      </w:r>
      <w:r w:rsidRPr="00FF4F18">
        <w:rPr>
          <w:rFonts w:asciiTheme="minorHAnsi" w:hAnsiTheme="minorHAnsi" w:cstheme="majorHAnsi"/>
          <w:sz w:val="22"/>
          <w:szCs w:val="22"/>
        </w:rPr>
        <w:t xml:space="preserve"> </w:t>
      </w:r>
    </w:p>
    <w:p w:rsidR="00014AC3" w:rsidRPr="00FF4F18" w:rsidRDefault="00014AC3" w:rsidP="00014AC3">
      <w:pPr>
        <w:kinsoku w:val="0"/>
        <w:overflowPunct w:val="0"/>
        <w:spacing w:before="67"/>
        <w:ind w:left="567" w:hanging="567"/>
        <w:textAlignment w:val="baseline"/>
        <w:rPr>
          <w:rFonts w:asciiTheme="minorHAnsi" w:hAnsiTheme="minorHAnsi" w:cstheme="majorHAnsi"/>
          <w:bCs/>
          <w:sz w:val="22"/>
          <w:szCs w:val="22"/>
        </w:rPr>
      </w:pPr>
      <w:r w:rsidRPr="00FF4F18">
        <w:rPr>
          <w:rFonts w:asciiTheme="minorHAnsi" w:hAnsiTheme="minorHAnsi" w:cstheme="majorHAnsi"/>
          <w:sz w:val="22"/>
          <w:szCs w:val="22"/>
        </w:rPr>
        <w:t xml:space="preserve">2010 Warren,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N.A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>., ‘</w:t>
      </w:r>
      <w:r w:rsidRPr="00FF4F18">
        <w:rPr>
          <w:rFonts w:asciiTheme="minorHAnsi" w:hAnsiTheme="minorHAnsi" w:cstheme="majorHAnsi"/>
          <w:bCs/>
          <w:sz w:val="22"/>
          <w:szCs w:val="22"/>
        </w:rPr>
        <w:t xml:space="preserve">Tax devolution and intergovernmental transfer policy options in a budgetary crisis: UK lessons from Australia’, </w:t>
      </w:r>
      <w:proofErr w:type="spellStart"/>
      <w:r w:rsidRPr="00FF4F18">
        <w:rPr>
          <w:rFonts w:asciiTheme="minorHAnsi" w:hAnsiTheme="minorHAnsi" w:cstheme="majorHAnsi"/>
          <w:bCs/>
          <w:i/>
          <w:sz w:val="22"/>
          <w:szCs w:val="22"/>
        </w:rPr>
        <w:t>eJournal</w:t>
      </w:r>
      <w:proofErr w:type="spellEnd"/>
      <w:r w:rsidRPr="00FF4F18">
        <w:rPr>
          <w:rFonts w:asciiTheme="minorHAnsi" w:hAnsiTheme="minorHAnsi" w:cstheme="majorHAnsi"/>
          <w:bCs/>
          <w:i/>
          <w:sz w:val="22"/>
          <w:szCs w:val="22"/>
        </w:rPr>
        <w:t xml:space="preserve"> of Tax Research</w:t>
      </w:r>
      <w:r w:rsidRPr="00FF4F18">
        <w:rPr>
          <w:rFonts w:asciiTheme="minorHAnsi" w:hAnsiTheme="minorHAnsi" w:cstheme="majorHAnsi"/>
          <w:bCs/>
          <w:sz w:val="22"/>
          <w:szCs w:val="22"/>
        </w:rPr>
        <w:t xml:space="preserve">, 8(2):215 – 255 </w:t>
      </w:r>
    </w:p>
    <w:p w:rsidR="00A45F60" w:rsidRPr="00FF4F18" w:rsidRDefault="00014AC3" w:rsidP="00014AC3">
      <w:pPr>
        <w:kinsoku w:val="0"/>
        <w:overflowPunct w:val="0"/>
        <w:spacing w:before="67"/>
        <w:ind w:left="567" w:hanging="567"/>
        <w:textAlignment w:val="baseline"/>
        <w:rPr>
          <w:rFonts w:asciiTheme="minorHAnsi" w:hAnsiTheme="minorHAnsi" w:cstheme="majorHAnsi"/>
          <w:sz w:val="22"/>
          <w:szCs w:val="22"/>
        </w:rPr>
      </w:pPr>
      <w:r w:rsidRPr="00FF4F18">
        <w:rPr>
          <w:rFonts w:asciiTheme="minorHAnsi" w:hAnsiTheme="minorHAnsi" w:cstheme="majorHAnsi"/>
          <w:sz w:val="22"/>
          <w:szCs w:val="22"/>
        </w:rPr>
        <w:t xml:space="preserve">2010 Warren,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N.A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., ‘Henry Review, State Taxation and the Federation’, </w:t>
      </w:r>
      <w:r w:rsidRPr="00FF4F18">
        <w:rPr>
          <w:rFonts w:asciiTheme="minorHAnsi" w:hAnsiTheme="minorHAnsi" w:cstheme="majorHAnsi"/>
          <w:i/>
          <w:sz w:val="22"/>
          <w:szCs w:val="22"/>
        </w:rPr>
        <w:t>Australian Economic Review</w:t>
      </w:r>
      <w:r w:rsidRPr="00FF4F18">
        <w:rPr>
          <w:rFonts w:asciiTheme="minorHAnsi" w:hAnsiTheme="minorHAnsi" w:cstheme="majorHAnsi"/>
          <w:sz w:val="22"/>
          <w:szCs w:val="22"/>
        </w:rPr>
        <w:t>, 43(4):409–</w:t>
      </w:r>
      <w:r w:rsidR="00A45F60" w:rsidRPr="00FF4F18">
        <w:rPr>
          <w:rFonts w:asciiTheme="minorHAnsi" w:hAnsiTheme="minorHAnsi" w:cstheme="majorHAnsi"/>
          <w:sz w:val="22"/>
          <w:szCs w:val="22"/>
        </w:rPr>
        <w:t>21</w:t>
      </w:r>
    </w:p>
    <w:p w:rsidR="00014AC3" w:rsidRPr="00FF4F18" w:rsidRDefault="00014AC3" w:rsidP="00014AC3">
      <w:pPr>
        <w:kinsoku w:val="0"/>
        <w:overflowPunct w:val="0"/>
        <w:spacing w:before="67"/>
        <w:ind w:left="567" w:hanging="567"/>
        <w:textAlignment w:val="baseline"/>
        <w:rPr>
          <w:rFonts w:asciiTheme="minorHAnsi" w:hAnsiTheme="minorHAnsi" w:cstheme="majorHAnsi"/>
          <w:bCs/>
          <w:sz w:val="22"/>
          <w:szCs w:val="22"/>
          <w:lang w:val="en-US"/>
        </w:rPr>
      </w:pPr>
      <w:r w:rsidRPr="00FF4F18">
        <w:rPr>
          <w:rFonts w:asciiTheme="minorHAnsi" w:hAnsiTheme="minorHAnsi" w:cstheme="majorHAnsi"/>
          <w:sz w:val="22"/>
          <w:szCs w:val="22"/>
        </w:rPr>
        <w:t xml:space="preserve">2010 Warren,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N.A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., ‘The challenge of </w:t>
      </w:r>
      <w:r w:rsidRPr="00FF4F18">
        <w:rPr>
          <w:rFonts w:asciiTheme="minorHAnsi" w:hAnsiTheme="minorHAnsi" w:cstheme="majorHAnsi"/>
          <w:bCs/>
          <w:color w:val="000000"/>
          <w:sz w:val="22"/>
          <w:szCs w:val="22"/>
          <w:lang w:val="en-US"/>
        </w:rPr>
        <w:t>managing</w:t>
      </w:r>
      <w:r w:rsidRPr="00FF4F18">
        <w:rPr>
          <w:rFonts w:asciiTheme="minorHAnsi" w:hAnsiTheme="minorHAnsi" w:cstheme="majorHAnsi"/>
          <w:sz w:val="22"/>
          <w:szCs w:val="22"/>
        </w:rPr>
        <w:t xml:space="preserve"> the disproportionate regional impact of the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GFC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 on the Australian Federation’, Paper Presented at the </w:t>
      </w:r>
      <w:r w:rsidRPr="00FF4F18">
        <w:rPr>
          <w:rFonts w:asciiTheme="minorHAnsi" w:hAnsiTheme="minorHAnsi" w:cstheme="majorHAnsi"/>
          <w:i/>
          <w:sz w:val="22"/>
          <w:szCs w:val="22"/>
        </w:rPr>
        <w:t>Federalism and the Global Financial Crisis: Impacts and Responses</w:t>
      </w:r>
      <w:r w:rsidRPr="00FF4F18">
        <w:rPr>
          <w:rFonts w:asciiTheme="minorHAnsi" w:hAnsiTheme="minorHAnsi" w:cstheme="majorHAnsi"/>
          <w:sz w:val="22"/>
          <w:szCs w:val="22"/>
        </w:rPr>
        <w:t xml:space="preserve"> at the 2010 Concurrent Meeting of the International Association of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Centers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 for Federal Studies and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IPSA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 Research Committee on Comparative Federalism and Federations, Philadelphia, Pennsylvania, United States of America, 16-18 September 2010.</w:t>
      </w:r>
    </w:p>
    <w:p w:rsidR="00014AC3" w:rsidRPr="00FF4F18" w:rsidRDefault="00014AC3" w:rsidP="00014AC3">
      <w:pPr>
        <w:spacing w:before="80"/>
        <w:ind w:left="567" w:hanging="567"/>
        <w:rPr>
          <w:rFonts w:asciiTheme="minorHAnsi" w:hAnsiTheme="minorHAnsi" w:cstheme="majorHAnsi"/>
          <w:sz w:val="22"/>
          <w:szCs w:val="22"/>
        </w:rPr>
      </w:pPr>
      <w:r w:rsidRPr="00FF4F18">
        <w:rPr>
          <w:rFonts w:asciiTheme="minorHAnsi" w:hAnsiTheme="minorHAnsi" w:cstheme="majorHAnsi"/>
          <w:sz w:val="22"/>
          <w:szCs w:val="22"/>
        </w:rPr>
        <w:t xml:space="preserve">2010 Warren,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N.A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>., ‘</w:t>
      </w:r>
      <w:r w:rsidRPr="00FF4F18">
        <w:rPr>
          <w:rFonts w:asciiTheme="minorHAnsi" w:hAnsiTheme="minorHAnsi" w:cstheme="majorHAnsi"/>
          <w:bCs/>
          <w:color w:val="000000"/>
          <w:sz w:val="22"/>
          <w:szCs w:val="22"/>
          <w:lang w:val="en-US"/>
        </w:rPr>
        <w:t>Intergovernmental</w:t>
      </w:r>
      <w:r w:rsidRPr="00FF4F18">
        <w:rPr>
          <w:rFonts w:asciiTheme="minorHAnsi" w:hAnsiTheme="minorHAnsi" w:cstheme="majorHAnsi"/>
          <w:sz w:val="22"/>
          <w:szCs w:val="22"/>
        </w:rPr>
        <w:t xml:space="preserve"> fiscal arrangements as a constraint on State tax reform under Henry’ in Evans,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C.E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.,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Krever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>, R. and Mellor P.,</w:t>
      </w:r>
      <w:r w:rsidRPr="00FF4F18">
        <w:rPr>
          <w:rFonts w:asciiTheme="minorHAnsi" w:hAnsiTheme="minorHAnsi" w:cstheme="majorHAnsi"/>
          <w:bCs/>
          <w:sz w:val="22"/>
          <w:szCs w:val="22"/>
        </w:rPr>
        <w:t xml:space="preserve"> </w:t>
      </w:r>
      <w:r w:rsidRPr="00FF4F18">
        <w:rPr>
          <w:rFonts w:asciiTheme="minorHAnsi" w:hAnsiTheme="minorHAnsi" w:cstheme="majorHAnsi"/>
          <w:bCs/>
          <w:i/>
          <w:sz w:val="22"/>
          <w:szCs w:val="22"/>
        </w:rPr>
        <w:t>Australia’s Future Tax System: A Post-Henry Review</w:t>
      </w:r>
      <w:r w:rsidRPr="00FF4F18">
        <w:rPr>
          <w:rFonts w:asciiTheme="minorHAnsi" w:hAnsiTheme="minorHAnsi" w:cstheme="majorHAnsi"/>
          <w:bCs/>
          <w:sz w:val="22"/>
          <w:szCs w:val="22"/>
        </w:rPr>
        <w:t xml:space="preserve">, Chapter 14, </w:t>
      </w:r>
      <w:proofErr w:type="spellStart"/>
      <w:r w:rsidRPr="00FF4F18">
        <w:rPr>
          <w:rFonts w:asciiTheme="minorHAnsi" w:hAnsiTheme="minorHAnsi" w:cstheme="majorHAnsi"/>
          <w:bCs/>
          <w:sz w:val="22"/>
          <w:szCs w:val="22"/>
        </w:rPr>
        <w:t>pp305</w:t>
      </w:r>
      <w:proofErr w:type="spellEnd"/>
      <w:r w:rsidRPr="00FF4F18">
        <w:rPr>
          <w:rFonts w:asciiTheme="minorHAnsi" w:hAnsiTheme="minorHAnsi" w:cstheme="majorHAnsi"/>
          <w:bCs/>
          <w:sz w:val="22"/>
          <w:szCs w:val="22"/>
        </w:rPr>
        <w:t xml:space="preserve">-363, </w:t>
      </w:r>
      <w:proofErr w:type="spellStart"/>
      <w:r w:rsidRPr="00FF4F18">
        <w:rPr>
          <w:rFonts w:asciiTheme="minorHAnsi" w:hAnsiTheme="minorHAnsi" w:cstheme="majorHAnsi"/>
          <w:bCs/>
          <w:sz w:val="22"/>
          <w:szCs w:val="22"/>
        </w:rPr>
        <w:t>Thomson-Reuters:Sydney</w:t>
      </w:r>
      <w:proofErr w:type="spellEnd"/>
      <w:r w:rsidRPr="00FF4F18">
        <w:rPr>
          <w:rFonts w:asciiTheme="minorHAnsi" w:hAnsiTheme="minorHAnsi" w:cstheme="majorHAnsi"/>
          <w:bCs/>
          <w:sz w:val="22"/>
          <w:szCs w:val="22"/>
        </w:rPr>
        <w:t>.</w:t>
      </w:r>
    </w:p>
    <w:p w:rsidR="00014AC3" w:rsidRPr="00FF4F18" w:rsidRDefault="00014AC3" w:rsidP="00014AC3">
      <w:pPr>
        <w:spacing w:before="80"/>
        <w:ind w:left="567" w:hanging="567"/>
        <w:rPr>
          <w:rFonts w:asciiTheme="minorHAnsi" w:hAnsiTheme="minorHAnsi" w:cstheme="majorHAnsi"/>
          <w:sz w:val="22"/>
          <w:szCs w:val="22"/>
        </w:rPr>
      </w:pPr>
      <w:r w:rsidRPr="00FF4F18">
        <w:rPr>
          <w:rFonts w:asciiTheme="minorHAnsi" w:hAnsiTheme="minorHAnsi" w:cstheme="majorHAnsi"/>
          <w:sz w:val="22"/>
          <w:szCs w:val="22"/>
        </w:rPr>
        <w:lastRenderedPageBreak/>
        <w:t xml:space="preserve">2010 Warren,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N.A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., ‘Fiscal Federalism Transparency and State Leadership on Reform’, Paper presented at the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ANZSOG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 4th Annual Public Leadership Workshop, 25-26 November 2010, Parliament House, Hobart, Tasmania</w:t>
      </w:r>
    </w:p>
    <w:p w:rsidR="00014AC3" w:rsidRPr="00FF4F18" w:rsidRDefault="00014AC3" w:rsidP="00014AC3">
      <w:pPr>
        <w:spacing w:before="60"/>
        <w:ind w:left="567" w:hanging="567"/>
        <w:rPr>
          <w:rFonts w:asciiTheme="minorHAnsi" w:hAnsiTheme="minorHAnsi" w:cstheme="majorHAnsi"/>
          <w:sz w:val="22"/>
          <w:szCs w:val="22"/>
        </w:rPr>
      </w:pPr>
      <w:r w:rsidRPr="00FF4F18">
        <w:rPr>
          <w:rFonts w:asciiTheme="minorHAnsi" w:hAnsiTheme="minorHAnsi" w:cstheme="majorHAnsi"/>
          <w:bCs/>
          <w:color w:val="000000"/>
          <w:sz w:val="22"/>
          <w:szCs w:val="22"/>
          <w:lang w:val="en-US"/>
        </w:rPr>
        <w:t xml:space="preserve">2008 Warren, </w:t>
      </w:r>
      <w:proofErr w:type="spellStart"/>
      <w:r w:rsidRPr="00FF4F18">
        <w:rPr>
          <w:rFonts w:asciiTheme="minorHAnsi" w:hAnsiTheme="minorHAnsi" w:cstheme="majorHAnsi"/>
          <w:bCs/>
          <w:color w:val="000000"/>
          <w:sz w:val="22"/>
          <w:szCs w:val="22"/>
          <w:lang w:val="en-US"/>
        </w:rPr>
        <w:t>N.A</w:t>
      </w:r>
      <w:proofErr w:type="spellEnd"/>
      <w:r w:rsidRPr="00FF4F18">
        <w:rPr>
          <w:rFonts w:asciiTheme="minorHAnsi" w:hAnsiTheme="minorHAnsi" w:cstheme="majorHAnsi"/>
          <w:bCs/>
          <w:color w:val="000000"/>
          <w:sz w:val="22"/>
          <w:szCs w:val="22"/>
          <w:lang w:val="en-US"/>
        </w:rPr>
        <w:t xml:space="preserve">., 2008, ‘Reform of the Commonwealth Grants Commission: It’s all in the Detail’, </w:t>
      </w:r>
      <w:r w:rsidRPr="00FF4F18">
        <w:rPr>
          <w:rFonts w:asciiTheme="minorHAnsi" w:hAnsiTheme="minorHAnsi" w:cstheme="majorHAnsi"/>
          <w:bCs/>
          <w:i/>
          <w:color w:val="000000"/>
          <w:sz w:val="22"/>
          <w:szCs w:val="22"/>
          <w:lang w:val="en-US"/>
        </w:rPr>
        <w:t>UNSW Law Journal</w:t>
      </w:r>
      <w:r w:rsidRPr="00FF4F18">
        <w:rPr>
          <w:rFonts w:asciiTheme="minorHAnsi" w:hAnsiTheme="minorHAnsi" w:cstheme="majorHAnsi"/>
          <w:bCs/>
          <w:color w:val="000000"/>
          <w:sz w:val="22"/>
          <w:szCs w:val="22"/>
          <w:lang w:val="en-US"/>
        </w:rPr>
        <w:t xml:space="preserve">, 31(2):530-552  </w:t>
      </w:r>
    </w:p>
    <w:p w:rsidR="00014AC3" w:rsidRPr="00FF4F18" w:rsidRDefault="00014AC3" w:rsidP="00014AC3">
      <w:pPr>
        <w:spacing w:before="60"/>
        <w:ind w:left="567" w:hanging="567"/>
        <w:rPr>
          <w:rFonts w:asciiTheme="minorHAnsi" w:hAnsiTheme="minorHAnsi" w:cstheme="majorHAnsi"/>
          <w:bCs/>
          <w:color w:val="000000"/>
          <w:sz w:val="22"/>
          <w:szCs w:val="22"/>
          <w:lang w:val="en-US"/>
        </w:rPr>
      </w:pPr>
      <w:r w:rsidRPr="00FF4F18">
        <w:rPr>
          <w:rFonts w:asciiTheme="minorHAnsi" w:hAnsiTheme="minorHAnsi" w:cstheme="majorHAnsi"/>
          <w:bCs/>
          <w:color w:val="000000"/>
          <w:sz w:val="22"/>
          <w:szCs w:val="22"/>
          <w:lang w:val="en-US"/>
        </w:rPr>
        <w:t xml:space="preserve">2008 Warren, </w:t>
      </w:r>
      <w:proofErr w:type="spellStart"/>
      <w:r w:rsidRPr="00FF4F18">
        <w:rPr>
          <w:rFonts w:asciiTheme="minorHAnsi" w:hAnsiTheme="minorHAnsi" w:cstheme="majorHAnsi"/>
          <w:bCs/>
          <w:color w:val="000000"/>
          <w:sz w:val="22"/>
          <w:szCs w:val="22"/>
          <w:lang w:val="en-US"/>
        </w:rPr>
        <w:t>N.A</w:t>
      </w:r>
      <w:proofErr w:type="spellEnd"/>
      <w:r w:rsidRPr="00FF4F18">
        <w:rPr>
          <w:rFonts w:asciiTheme="minorHAnsi" w:hAnsiTheme="minorHAnsi" w:cstheme="majorHAnsi"/>
          <w:bCs/>
          <w:color w:val="000000"/>
          <w:sz w:val="22"/>
          <w:szCs w:val="22"/>
          <w:lang w:val="en-US"/>
        </w:rPr>
        <w:t xml:space="preserve">., ‘Fiscal equalization in Australia: High level </w:t>
      </w:r>
      <w:proofErr w:type="spellStart"/>
      <w:r w:rsidRPr="00FF4F18">
        <w:rPr>
          <w:rFonts w:asciiTheme="minorHAnsi" w:hAnsiTheme="minorHAnsi" w:cstheme="majorHAnsi"/>
          <w:bCs/>
          <w:color w:val="000000"/>
          <w:sz w:val="22"/>
          <w:szCs w:val="22"/>
          <w:lang w:val="en-US"/>
        </w:rPr>
        <w:t>VFI</w:t>
      </w:r>
      <w:proofErr w:type="spellEnd"/>
      <w:r w:rsidRPr="00FF4F18">
        <w:rPr>
          <w:rFonts w:asciiTheme="minorHAnsi" w:hAnsiTheme="minorHAnsi" w:cstheme="majorHAnsi"/>
          <w:bCs/>
          <w:color w:val="000000"/>
          <w:sz w:val="22"/>
          <w:szCs w:val="22"/>
          <w:lang w:val="en-US"/>
        </w:rPr>
        <w:t xml:space="preserve"> and equity focused HFE’, </w:t>
      </w:r>
      <w:proofErr w:type="spellStart"/>
      <w:r w:rsidRPr="00FF4F18">
        <w:rPr>
          <w:rFonts w:asciiTheme="minorHAnsi" w:hAnsiTheme="minorHAnsi" w:cstheme="majorHAnsi"/>
          <w:bCs/>
          <w:i/>
          <w:color w:val="000000"/>
          <w:sz w:val="22"/>
          <w:szCs w:val="22"/>
          <w:lang w:val="en-US"/>
        </w:rPr>
        <w:t>CESifo</w:t>
      </w:r>
      <w:proofErr w:type="spellEnd"/>
      <w:r w:rsidRPr="00FF4F18">
        <w:rPr>
          <w:rFonts w:asciiTheme="minorHAnsi" w:hAnsiTheme="minorHAnsi" w:cstheme="majorHAnsi"/>
          <w:bCs/>
          <w:i/>
          <w:color w:val="000000"/>
          <w:sz w:val="22"/>
          <w:szCs w:val="22"/>
          <w:lang w:val="en-US"/>
        </w:rPr>
        <w:t xml:space="preserve"> DICE Report 2008/1</w:t>
      </w:r>
      <w:r w:rsidRPr="00FF4F18">
        <w:rPr>
          <w:rFonts w:asciiTheme="minorHAnsi" w:hAnsiTheme="minorHAnsi" w:cstheme="majorHAnsi"/>
          <w:bCs/>
          <w:color w:val="000000"/>
          <w:sz w:val="22"/>
          <w:szCs w:val="22"/>
          <w:lang w:val="en-US"/>
        </w:rPr>
        <w:t xml:space="preserve">, </w:t>
      </w:r>
      <w:proofErr w:type="spellStart"/>
      <w:r w:rsidRPr="00FF4F18">
        <w:rPr>
          <w:rFonts w:asciiTheme="minorHAnsi" w:hAnsiTheme="minorHAnsi" w:cstheme="majorHAnsi"/>
          <w:bCs/>
          <w:color w:val="000000"/>
          <w:sz w:val="22"/>
          <w:szCs w:val="22"/>
          <w:lang w:val="en-US"/>
        </w:rPr>
        <w:t>pp10</w:t>
      </w:r>
      <w:proofErr w:type="spellEnd"/>
      <w:r w:rsidRPr="00FF4F18">
        <w:rPr>
          <w:rFonts w:asciiTheme="minorHAnsi" w:hAnsiTheme="minorHAnsi" w:cstheme="majorHAnsi"/>
          <w:bCs/>
          <w:color w:val="000000"/>
          <w:sz w:val="22"/>
          <w:szCs w:val="22"/>
          <w:lang w:val="en-US"/>
        </w:rPr>
        <w:t xml:space="preserve">-15  </w:t>
      </w:r>
    </w:p>
    <w:p w:rsidR="00014AC3" w:rsidRPr="00FF4F18" w:rsidRDefault="00014AC3" w:rsidP="00014AC3">
      <w:pPr>
        <w:ind w:left="567" w:hanging="567"/>
        <w:rPr>
          <w:rFonts w:asciiTheme="minorHAnsi" w:hAnsiTheme="minorHAnsi" w:cstheme="majorHAnsi"/>
          <w:bCs/>
          <w:sz w:val="22"/>
          <w:szCs w:val="22"/>
        </w:rPr>
      </w:pPr>
      <w:r w:rsidRPr="00FF4F18">
        <w:rPr>
          <w:rFonts w:asciiTheme="minorHAnsi" w:hAnsiTheme="minorHAnsi" w:cstheme="majorHAnsi"/>
          <w:bCs/>
          <w:sz w:val="22"/>
          <w:szCs w:val="22"/>
        </w:rPr>
        <w:t xml:space="preserve">2007 Collins, </w:t>
      </w:r>
      <w:proofErr w:type="spellStart"/>
      <w:r w:rsidRPr="00FF4F18">
        <w:rPr>
          <w:rFonts w:asciiTheme="minorHAnsi" w:hAnsiTheme="minorHAnsi" w:cstheme="majorHAnsi"/>
          <w:bCs/>
          <w:sz w:val="22"/>
          <w:szCs w:val="22"/>
        </w:rPr>
        <w:t>D.J</w:t>
      </w:r>
      <w:proofErr w:type="spellEnd"/>
      <w:r w:rsidRPr="00FF4F18">
        <w:rPr>
          <w:rFonts w:asciiTheme="minorHAnsi" w:hAnsiTheme="minorHAnsi" w:cstheme="majorHAnsi"/>
          <w:bCs/>
          <w:sz w:val="22"/>
          <w:szCs w:val="22"/>
        </w:rPr>
        <w:t xml:space="preserve">. and Warren, </w:t>
      </w:r>
      <w:proofErr w:type="spellStart"/>
      <w:r w:rsidRPr="00FF4F18">
        <w:rPr>
          <w:rFonts w:asciiTheme="minorHAnsi" w:hAnsiTheme="minorHAnsi" w:cstheme="majorHAnsi"/>
          <w:bCs/>
          <w:sz w:val="22"/>
          <w:szCs w:val="22"/>
        </w:rPr>
        <w:t>N.A</w:t>
      </w:r>
      <w:proofErr w:type="spellEnd"/>
      <w:r w:rsidRPr="00FF4F18">
        <w:rPr>
          <w:rFonts w:asciiTheme="minorHAnsi" w:hAnsiTheme="minorHAnsi" w:cstheme="majorHAnsi"/>
          <w:bCs/>
          <w:sz w:val="22"/>
          <w:szCs w:val="22"/>
        </w:rPr>
        <w:t>., ‘</w:t>
      </w:r>
      <w:r w:rsidRPr="00FF4F18">
        <w:rPr>
          <w:rFonts w:asciiTheme="minorHAnsi" w:hAnsiTheme="minorHAnsi" w:cstheme="majorHAnsi"/>
          <w:sz w:val="22"/>
          <w:szCs w:val="22"/>
        </w:rPr>
        <w:t xml:space="preserve">The States and the GST: Demystifying Australian Federal/State financial arrangements’, </w:t>
      </w:r>
      <w:r w:rsidRPr="00FF4F18">
        <w:rPr>
          <w:rFonts w:asciiTheme="minorHAnsi" w:hAnsiTheme="minorHAnsi" w:cstheme="majorHAnsi"/>
          <w:i/>
          <w:sz w:val="22"/>
          <w:szCs w:val="22"/>
        </w:rPr>
        <w:t>Information Paper No 4</w:t>
      </w:r>
      <w:r w:rsidRPr="00FF4F18">
        <w:rPr>
          <w:rFonts w:asciiTheme="minorHAnsi" w:hAnsiTheme="minorHAnsi" w:cstheme="majorHAnsi"/>
          <w:sz w:val="22"/>
          <w:szCs w:val="22"/>
        </w:rPr>
        <w:t>, Australian Tax Research Foundation, (ISBN 978-0-9752067-8-2 ISSN 0 817 4679)</w:t>
      </w:r>
    </w:p>
    <w:p w:rsidR="00014AC3" w:rsidRPr="00FF4F18" w:rsidRDefault="00014AC3" w:rsidP="00014AC3">
      <w:pPr>
        <w:spacing w:before="120"/>
        <w:ind w:left="567" w:hanging="567"/>
        <w:rPr>
          <w:rFonts w:asciiTheme="minorHAnsi" w:hAnsiTheme="minorHAnsi" w:cstheme="majorHAnsi"/>
          <w:sz w:val="22"/>
          <w:szCs w:val="22"/>
        </w:rPr>
      </w:pPr>
      <w:r w:rsidRPr="00FF4F18">
        <w:rPr>
          <w:rFonts w:asciiTheme="minorHAnsi" w:hAnsiTheme="minorHAnsi" w:cstheme="majorHAnsi"/>
          <w:sz w:val="22"/>
          <w:szCs w:val="22"/>
        </w:rPr>
        <w:t xml:space="preserve">2006 Warren, N., </w:t>
      </w:r>
      <w:r w:rsidRPr="00FF4F18">
        <w:rPr>
          <w:rFonts w:asciiTheme="minorHAnsi" w:hAnsiTheme="minorHAnsi" w:cstheme="majorHAnsi"/>
          <w:i/>
          <w:sz w:val="22"/>
          <w:szCs w:val="22"/>
        </w:rPr>
        <w:t>Benchmarking Australia’s Intergovernmental Fiscal Arrangements: Final Report, Report Commissioned by the NSW Government</w:t>
      </w:r>
      <w:r w:rsidRPr="00FF4F18">
        <w:rPr>
          <w:rFonts w:asciiTheme="minorHAnsi" w:hAnsiTheme="minorHAnsi" w:cstheme="majorHAnsi"/>
          <w:sz w:val="22"/>
          <w:szCs w:val="22"/>
        </w:rPr>
        <w:t xml:space="preserve">, 29 May 2006, </w:t>
      </w:r>
      <w:proofErr w:type="spellStart"/>
      <w:r w:rsidRPr="00FF4F18">
        <w:rPr>
          <w:rFonts w:asciiTheme="minorHAnsi" w:hAnsiTheme="minorHAnsi" w:cstheme="majorHAnsi"/>
          <w:sz w:val="22"/>
          <w:szCs w:val="22"/>
        </w:rPr>
        <w:t>pp225</w:t>
      </w:r>
      <w:proofErr w:type="spellEnd"/>
      <w:r w:rsidRPr="00FF4F18">
        <w:rPr>
          <w:rFonts w:asciiTheme="minorHAnsi" w:hAnsiTheme="minorHAnsi" w:cstheme="majorHAnsi"/>
          <w:sz w:val="22"/>
          <w:szCs w:val="22"/>
        </w:rPr>
        <w:t xml:space="preserve">, ISBN 0 7313 32563  </w:t>
      </w:r>
    </w:p>
    <w:p w:rsidR="00014AC3" w:rsidRPr="00FF4F18" w:rsidRDefault="00014AC3" w:rsidP="00014AC3">
      <w:pPr>
        <w:pStyle w:val="normal1"/>
        <w:ind w:left="567" w:hanging="567"/>
        <w:rPr>
          <w:rFonts w:asciiTheme="minorHAnsi" w:hAnsiTheme="minorHAnsi" w:cstheme="majorHAnsi"/>
          <w:szCs w:val="22"/>
        </w:rPr>
      </w:pPr>
      <w:r w:rsidRPr="00FF4F18">
        <w:rPr>
          <w:rFonts w:asciiTheme="minorHAnsi" w:hAnsiTheme="minorHAnsi" w:cstheme="majorHAnsi"/>
          <w:szCs w:val="22"/>
        </w:rPr>
        <w:t xml:space="preserve">2004 Warren, </w:t>
      </w:r>
      <w:proofErr w:type="spellStart"/>
      <w:r w:rsidRPr="00FF4F18">
        <w:rPr>
          <w:rFonts w:asciiTheme="minorHAnsi" w:hAnsiTheme="minorHAnsi" w:cstheme="majorHAnsi"/>
          <w:szCs w:val="22"/>
        </w:rPr>
        <w:t>N.A</w:t>
      </w:r>
      <w:proofErr w:type="spellEnd"/>
      <w:r w:rsidRPr="00FF4F18">
        <w:rPr>
          <w:rFonts w:asciiTheme="minorHAnsi" w:hAnsiTheme="minorHAnsi" w:cstheme="majorHAnsi"/>
          <w:szCs w:val="22"/>
        </w:rPr>
        <w:t xml:space="preserve">., </w:t>
      </w:r>
      <w:r w:rsidRPr="00FF4F18">
        <w:rPr>
          <w:rFonts w:asciiTheme="minorHAnsi" w:hAnsiTheme="minorHAnsi" w:cstheme="majorHAnsi"/>
          <w:i/>
          <w:szCs w:val="22"/>
        </w:rPr>
        <w:t>Tax: Facts Fiction and Reform</w:t>
      </w:r>
      <w:r w:rsidRPr="00FF4F18">
        <w:rPr>
          <w:rFonts w:asciiTheme="minorHAnsi" w:hAnsiTheme="minorHAnsi" w:cstheme="majorHAnsi"/>
          <w:szCs w:val="22"/>
        </w:rPr>
        <w:t xml:space="preserve">, Australian Tax Research Foundation: Sydney, Research Study Series 23, </w:t>
      </w:r>
      <w:proofErr w:type="spellStart"/>
      <w:r w:rsidRPr="00FF4F18">
        <w:rPr>
          <w:rFonts w:asciiTheme="minorHAnsi" w:hAnsiTheme="minorHAnsi" w:cstheme="majorHAnsi"/>
          <w:szCs w:val="22"/>
        </w:rPr>
        <w:t>pp289</w:t>
      </w:r>
      <w:proofErr w:type="spellEnd"/>
      <w:r w:rsidRPr="00FF4F18">
        <w:rPr>
          <w:rFonts w:asciiTheme="minorHAnsi" w:hAnsiTheme="minorHAnsi" w:cstheme="majorHAnsi"/>
          <w:szCs w:val="22"/>
        </w:rPr>
        <w:t xml:space="preserve"> </w:t>
      </w:r>
    </w:p>
    <w:p w:rsidR="00014AC3" w:rsidRPr="00FF4F18" w:rsidRDefault="00014AC3" w:rsidP="00014AC3">
      <w:pPr>
        <w:pStyle w:val="normal1"/>
        <w:ind w:left="567" w:hanging="567"/>
        <w:rPr>
          <w:rFonts w:asciiTheme="minorHAnsi" w:hAnsiTheme="minorHAnsi" w:cstheme="majorHAnsi"/>
          <w:szCs w:val="22"/>
        </w:rPr>
      </w:pPr>
      <w:r w:rsidRPr="00FF4F18">
        <w:rPr>
          <w:rFonts w:asciiTheme="minorHAnsi" w:hAnsiTheme="minorHAnsi" w:cstheme="majorHAnsi"/>
          <w:szCs w:val="22"/>
        </w:rPr>
        <w:t xml:space="preserve">2003 </w:t>
      </w:r>
      <w:proofErr w:type="spellStart"/>
      <w:r w:rsidRPr="00FF4F18">
        <w:rPr>
          <w:rFonts w:asciiTheme="minorHAnsi" w:hAnsiTheme="minorHAnsi" w:cstheme="majorHAnsi"/>
          <w:szCs w:val="22"/>
        </w:rPr>
        <w:t>Dahlby</w:t>
      </w:r>
      <w:proofErr w:type="spellEnd"/>
      <w:r w:rsidRPr="00FF4F18">
        <w:rPr>
          <w:rFonts w:asciiTheme="minorHAnsi" w:hAnsiTheme="minorHAnsi" w:cstheme="majorHAnsi"/>
          <w:szCs w:val="22"/>
        </w:rPr>
        <w:t xml:space="preserve">, B., and Warren, </w:t>
      </w:r>
      <w:proofErr w:type="spellStart"/>
      <w:r w:rsidRPr="00FF4F18">
        <w:rPr>
          <w:rFonts w:asciiTheme="minorHAnsi" w:hAnsiTheme="minorHAnsi" w:cstheme="majorHAnsi"/>
          <w:szCs w:val="22"/>
        </w:rPr>
        <w:t>N.A</w:t>
      </w:r>
      <w:proofErr w:type="spellEnd"/>
      <w:r w:rsidRPr="00FF4F18">
        <w:rPr>
          <w:rFonts w:asciiTheme="minorHAnsi" w:hAnsiTheme="minorHAnsi" w:cstheme="majorHAnsi"/>
          <w:szCs w:val="22"/>
        </w:rPr>
        <w:t xml:space="preserve">., ‘The Fiscal Incentive Effects of the Australian Equalisation System ‘, </w:t>
      </w:r>
      <w:r w:rsidRPr="00FF4F18">
        <w:rPr>
          <w:rFonts w:asciiTheme="minorHAnsi" w:hAnsiTheme="minorHAnsi" w:cstheme="majorHAnsi"/>
          <w:i/>
          <w:szCs w:val="22"/>
        </w:rPr>
        <w:t>Economic Record, 79(247):434-445</w:t>
      </w:r>
      <w:r w:rsidRPr="00FF4F18">
        <w:rPr>
          <w:rFonts w:asciiTheme="minorHAnsi" w:hAnsiTheme="minorHAnsi" w:cstheme="majorHAnsi"/>
          <w:szCs w:val="22"/>
        </w:rPr>
        <w:t xml:space="preserve">. </w:t>
      </w:r>
    </w:p>
    <w:p w:rsidR="00014AC3" w:rsidRPr="00FF4F18" w:rsidRDefault="00014AC3" w:rsidP="00014AC3">
      <w:pPr>
        <w:pStyle w:val="normal1"/>
        <w:ind w:left="567" w:hanging="567"/>
        <w:rPr>
          <w:rFonts w:asciiTheme="minorHAnsi" w:hAnsiTheme="minorHAnsi" w:cstheme="majorHAnsi"/>
          <w:szCs w:val="22"/>
        </w:rPr>
      </w:pPr>
      <w:r w:rsidRPr="00FF4F18">
        <w:rPr>
          <w:rFonts w:asciiTheme="minorHAnsi" w:hAnsiTheme="minorHAnsi" w:cstheme="majorHAnsi"/>
          <w:szCs w:val="22"/>
        </w:rPr>
        <w:t>1999 Warren, N., (</w:t>
      </w:r>
      <w:proofErr w:type="spellStart"/>
      <w:r w:rsidRPr="00FF4F18">
        <w:rPr>
          <w:rFonts w:asciiTheme="minorHAnsi" w:hAnsiTheme="minorHAnsi" w:cstheme="majorHAnsi"/>
          <w:szCs w:val="22"/>
        </w:rPr>
        <w:t>ed</w:t>
      </w:r>
      <w:proofErr w:type="spellEnd"/>
      <w:r w:rsidRPr="00FF4F18">
        <w:rPr>
          <w:rFonts w:asciiTheme="minorHAnsi" w:hAnsiTheme="minorHAnsi" w:cstheme="majorHAnsi"/>
          <w:szCs w:val="22"/>
        </w:rPr>
        <w:t xml:space="preserve">), </w:t>
      </w:r>
      <w:r w:rsidRPr="00FF4F18">
        <w:rPr>
          <w:rFonts w:asciiTheme="minorHAnsi" w:hAnsiTheme="minorHAnsi" w:cstheme="majorHAnsi"/>
          <w:i/>
          <w:szCs w:val="22"/>
        </w:rPr>
        <w:t>State Taxation: Repeal, Reform or Resignations</w:t>
      </w:r>
      <w:r w:rsidRPr="00FF4F18">
        <w:rPr>
          <w:rFonts w:asciiTheme="minorHAnsi" w:hAnsiTheme="minorHAnsi" w:cstheme="majorHAnsi"/>
          <w:szCs w:val="22"/>
        </w:rPr>
        <w:t xml:space="preserve">, </w:t>
      </w:r>
      <w:proofErr w:type="spellStart"/>
      <w:r w:rsidRPr="00FF4F18">
        <w:rPr>
          <w:rFonts w:asciiTheme="minorHAnsi" w:hAnsiTheme="minorHAnsi" w:cstheme="majorHAnsi"/>
          <w:szCs w:val="22"/>
        </w:rPr>
        <w:t>ATRF</w:t>
      </w:r>
      <w:proofErr w:type="spellEnd"/>
      <w:r w:rsidRPr="00FF4F18">
        <w:rPr>
          <w:rFonts w:asciiTheme="minorHAnsi" w:hAnsiTheme="minorHAnsi" w:cstheme="majorHAnsi"/>
          <w:szCs w:val="22"/>
        </w:rPr>
        <w:t xml:space="preserve"> Conference Series No 21, Australian Tax Research </w:t>
      </w:r>
      <w:proofErr w:type="spellStart"/>
      <w:r w:rsidRPr="00FF4F18">
        <w:rPr>
          <w:rFonts w:asciiTheme="minorHAnsi" w:hAnsiTheme="minorHAnsi" w:cstheme="majorHAnsi"/>
          <w:szCs w:val="22"/>
        </w:rPr>
        <w:t>Foundation:Sydney</w:t>
      </w:r>
      <w:proofErr w:type="spellEnd"/>
      <w:r w:rsidRPr="00FF4F18">
        <w:rPr>
          <w:rFonts w:asciiTheme="minorHAnsi" w:hAnsiTheme="minorHAnsi" w:cstheme="majorHAnsi"/>
          <w:szCs w:val="22"/>
        </w:rPr>
        <w:t xml:space="preserve">, </w:t>
      </w:r>
      <w:proofErr w:type="spellStart"/>
      <w:r w:rsidRPr="00FF4F18">
        <w:rPr>
          <w:rFonts w:asciiTheme="minorHAnsi" w:hAnsiTheme="minorHAnsi" w:cstheme="majorHAnsi"/>
          <w:szCs w:val="22"/>
        </w:rPr>
        <w:t>pp254</w:t>
      </w:r>
      <w:proofErr w:type="spellEnd"/>
      <w:r w:rsidRPr="00FF4F18">
        <w:rPr>
          <w:rFonts w:asciiTheme="minorHAnsi" w:hAnsiTheme="minorHAnsi" w:cstheme="majorHAnsi"/>
          <w:szCs w:val="22"/>
        </w:rPr>
        <w:t>.</w:t>
      </w:r>
    </w:p>
    <w:p w:rsidR="00014AC3" w:rsidRPr="00FF4F18" w:rsidRDefault="00014AC3" w:rsidP="00014AC3">
      <w:pPr>
        <w:pStyle w:val="normal1"/>
        <w:ind w:left="567" w:hanging="567"/>
        <w:rPr>
          <w:rFonts w:asciiTheme="minorHAnsi" w:hAnsiTheme="minorHAnsi" w:cstheme="majorHAnsi"/>
          <w:szCs w:val="22"/>
        </w:rPr>
      </w:pPr>
      <w:r w:rsidRPr="00FF4F18">
        <w:rPr>
          <w:rFonts w:asciiTheme="minorHAnsi" w:hAnsiTheme="minorHAnsi" w:cstheme="majorHAnsi"/>
          <w:szCs w:val="22"/>
        </w:rPr>
        <w:t xml:space="preserve">1997 </w:t>
      </w:r>
      <w:r w:rsidRPr="00FF4F18">
        <w:rPr>
          <w:rFonts w:asciiTheme="minorHAnsi" w:hAnsiTheme="minorHAnsi" w:cstheme="majorHAnsi"/>
          <w:szCs w:val="22"/>
          <w:lang w:val="en-US"/>
        </w:rPr>
        <w:t xml:space="preserve">Warren, N., </w:t>
      </w:r>
      <w:r w:rsidRPr="00FF4F18">
        <w:rPr>
          <w:rFonts w:asciiTheme="minorHAnsi" w:hAnsiTheme="minorHAnsi" w:cstheme="majorHAnsi"/>
          <w:szCs w:val="22"/>
        </w:rPr>
        <w:t xml:space="preserve">(editor), </w:t>
      </w:r>
      <w:r w:rsidRPr="00FF4F18">
        <w:rPr>
          <w:rFonts w:asciiTheme="minorHAnsi" w:hAnsiTheme="minorHAnsi" w:cstheme="majorHAnsi"/>
          <w:i/>
          <w:szCs w:val="22"/>
        </w:rPr>
        <w:t>Reshaping Fiscal Federalism in Australia</w:t>
      </w:r>
      <w:r w:rsidRPr="00FF4F18">
        <w:rPr>
          <w:rFonts w:asciiTheme="minorHAnsi" w:hAnsiTheme="minorHAnsi" w:cstheme="majorHAnsi"/>
          <w:szCs w:val="22"/>
        </w:rPr>
        <w:t xml:space="preserve">, </w:t>
      </w:r>
      <w:proofErr w:type="spellStart"/>
      <w:r w:rsidRPr="00FF4F18">
        <w:rPr>
          <w:rFonts w:asciiTheme="minorHAnsi" w:hAnsiTheme="minorHAnsi" w:cstheme="majorHAnsi"/>
          <w:szCs w:val="22"/>
        </w:rPr>
        <w:t>ATRF</w:t>
      </w:r>
      <w:proofErr w:type="spellEnd"/>
      <w:r w:rsidRPr="00FF4F18">
        <w:rPr>
          <w:rFonts w:asciiTheme="minorHAnsi" w:hAnsiTheme="minorHAnsi" w:cstheme="majorHAnsi"/>
          <w:szCs w:val="22"/>
        </w:rPr>
        <w:t xml:space="preserve"> Conference Series, Australian Tax Research </w:t>
      </w:r>
      <w:proofErr w:type="spellStart"/>
      <w:r w:rsidRPr="00FF4F18">
        <w:rPr>
          <w:rFonts w:asciiTheme="minorHAnsi" w:hAnsiTheme="minorHAnsi" w:cstheme="majorHAnsi"/>
          <w:szCs w:val="22"/>
        </w:rPr>
        <w:t>Foundation:Sydney</w:t>
      </w:r>
      <w:proofErr w:type="spellEnd"/>
      <w:r w:rsidRPr="00FF4F18">
        <w:rPr>
          <w:rFonts w:asciiTheme="minorHAnsi" w:hAnsiTheme="minorHAnsi" w:cstheme="majorHAnsi"/>
          <w:szCs w:val="22"/>
        </w:rPr>
        <w:t xml:space="preserve">, </w:t>
      </w:r>
      <w:proofErr w:type="spellStart"/>
      <w:r w:rsidRPr="00FF4F18">
        <w:rPr>
          <w:rFonts w:asciiTheme="minorHAnsi" w:hAnsiTheme="minorHAnsi" w:cstheme="majorHAnsi"/>
          <w:szCs w:val="22"/>
        </w:rPr>
        <w:t>pp168</w:t>
      </w:r>
      <w:proofErr w:type="spellEnd"/>
      <w:r w:rsidRPr="00FF4F18">
        <w:rPr>
          <w:rFonts w:asciiTheme="minorHAnsi" w:hAnsiTheme="minorHAnsi" w:cstheme="majorHAnsi"/>
          <w:szCs w:val="22"/>
        </w:rPr>
        <w:t>.</w:t>
      </w:r>
    </w:p>
    <w:sectPr w:rsidR="00014AC3" w:rsidRPr="00FF4F18" w:rsidSect="00B845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851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137" w:rsidRDefault="00A26137">
      <w:r>
        <w:separator/>
      </w:r>
    </w:p>
  </w:endnote>
  <w:endnote w:type="continuationSeparator" w:id="0">
    <w:p w:rsidR="00A26137" w:rsidRDefault="00A2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 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145" w:rsidRDefault="003641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14357092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</w:rPr>
    </w:sdtEndPr>
    <w:sdtContent>
      <w:p w:rsidR="00B84526" w:rsidRDefault="00B8452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8"/>
          </w:rPr>
        </w:pPr>
      </w:p>
      <w:p w:rsidR="00B84526" w:rsidRPr="00364145" w:rsidRDefault="00B8452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</w:rPr>
        </w:pPr>
        <w:r w:rsidRPr="00364145">
          <w:rPr>
            <w:sz w:val="16"/>
          </w:rPr>
          <w:fldChar w:fldCharType="begin"/>
        </w:r>
        <w:r w:rsidRPr="00364145">
          <w:rPr>
            <w:sz w:val="16"/>
          </w:rPr>
          <w:instrText xml:space="preserve"> PAGE   \* MERGEFORMAT </w:instrText>
        </w:r>
        <w:r w:rsidRPr="00364145">
          <w:rPr>
            <w:sz w:val="16"/>
          </w:rPr>
          <w:fldChar w:fldCharType="separate"/>
        </w:r>
        <w:r w:rsidR="002F5883">
          <w:rPr>
            <w:noProof/>
            <w:sz w:val="16"/>
          </w:rPr>
          <w:t>6</w:t>
        </w:r>
        <w:r w:rsidRPr="00364145">
          <w:rPr>
            <w:noProof/>
            <w:sz w:val="16"/>
          </w:rPr>
          <w:fldChar w:fldCharType="end"/>
        </w:r>
        <w:r w:rsidRPr="00364145">
          <w:rPr>
            <w:sz w:val="16"/>
          </w:rPr>
          <w:t xml:space="preserve"> | </w:t>
        </w:r>
        <w:r w:rsidRPr="00364145">
          <w:rPr>
            <w:color w:val="7F7F7F" w:themeColor="background1" w:themeShade="7F"/>
            <w:spacing w:val="60"/>
            <w:sz w:val="16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145" w:rsidRDefault="003641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137" w:rsidRDefault="00A26137">
      <w:r>
        <w:separator/>
      </w:r>
    </w:p>
  </w:footnote>
  <w:footnote w:type="continuationSeparator" w:id="0">
    <w:p w:rsidR="00A26137" w:rsidRDefault="00A26137">
      <w:r>
        <w:continuationSeparator/>
      </w:r>
    </w:p>
  </w:footnote>
  <w:footnote w:id="1">
    <w:p w:rsidR="00CF3692" w:rsidRPr="0095458E" w:rsidRDefault="00CF3692" w:rsidP="00CF3692">
      <w:pPr>
        <w:pStyle w:val="FootnoteText"/>
        <w:rPr>
          <w:rFonts w:asciiTheme="minorHAnsi" w:hAnsiTheme="minorHAnsi"/>
          <w:sz w:val="18"/>
          <w:szCs w:val="16"/>
        </w:rPr>
      </w:pPr>
      <w:r w:rsidRPr="0095458E">
        <w:rPr>
          <w:rStyle w:val="FootnoteReference"/>
          <w:rFonts w:asciiTheme="minorHAnsi" w:hAnsiTheme="minorHAnsi"/>
          <w:sz w:val="18"/>
          <w:szCs w:val="16"/>
        </w:rPr>
        <w:footnoteRef/>
      </w:r>
      <w:r w:rsidRPr="0095458E">
        <w:rPr>
          <w:rFonts w:asciiTheme="minorHAnsi" w:hAnsiTheme="minorHAnsi"/>
          <w:sz w:val="18"/>
          <w:szCs w:val="16"/>
        </w:rPr>
        <w:t xml:space="preserve"> </w:t>
      </w:r>
      <w:r w:rsidRPr="0095458E">
        <w:rPr>
          <w:rFonts w:asciiTheme="minorHAnsi" w:hAnsiTheme="minorHAnsi"/>
          <w:sz w:val="18"/>
          <w:szCs w:val="16"/>
          <w:lang w:val="en-US"/>
        </w:rPr>
        <w:t>Vertical Fiscal Gap (</w:t>
      </w:r>
      <w:proofErr w:type="spellStart"/>
      <w:r w:rsidRPr="0095458E">
        <w:rPr>
          <w:rFonts w:asciiTheme="minorHAnsi" w:hAnsiTheme="minorHAnsi"/>
          <w:sz w:val="18"/>
          <w:szCs w:val="16"/>
          <w:lang w:val="en-US"/>
        </w:rPr>
        <w:t>VFG</w:t>
      </w:r>
      <w:proofErr w:type="spellEnd"/>
      <w:r w:rsidRPr="0095458E">
        <w:rPr>
          <w:rFonts w:asciiTheme="minorHAnsi" w:hAnsiTheme="minorHAnsi"/>
          <w:sz w:val="18"/>
          <w:szCs w:val="16"/>
          <w:lang w:val="en-US"/>
        </w:rPr>
        <w:t>) is the difference between revenue raising capacity (or assessed revenue) and expenditure needs (assessed expenditure) of different levels of government (</w:t>
      </w:r>
      <w:proofErr w:type="spellStart"/>
      <w:r w:rsidRPr="0095458E">
        <w:rPr>
          <w:rFonts w:asciiTheme="minorHAnsi" w:hAnsiTheme="minorHAnsi"/>
          <w:sz w:val="18"/>
          <w:szCs w:val="16"/>
          <w:lang w:val="en-US"/>
        </w:rPr>
        <w:t>eg</w:t>
      </w:r>
      <w:proofErr w:type="spellEnd"/>
      <w:r w:rsidRPr="0095458E">
        <w:rPr>
          <w:rFonts w:asciiTheme="minorHAnsi" w:hAnsiTheme="minorHAnsi"/>
          <w:sz w:val="18"/>
          <w:szCs w:val="16"/>
          <w:lang w:val="en-US"/>
        </w:rPr>
        <w:t xml:space="preserve"> Commonwealth and State).  Horizontal fiscal gap (</w:t>
      </w:r>
      <w:proofErr w:type="spellStart"/>
      <w:r w:rsidRPr="0095458E">
        <w:rPr>
          <w:rFonts w:asciiTheme="minorHAnsi" w:hAnsiTheme="minorHAnsi"/>
          <w:sz w:val="18"/>
          <w:szCs w:val="16"/>
          <w:lang w:val="en-US"/>
        </w:rPr>
        <w:t>HFG</w:t>
      </w:r>
      <w:proofErr w:type="spellEnd"/>
      <w:r w:rsidRPr="0095458E">
        <w:rPr>
          <w:rFonts w:asciiTheme="minorHAnsi" w:hAnsiTheme="minorHAnsi"/>
          <w:sz w:val="18"/>
          <w:szCs w:val="16"/>
          <w:lang w:val="en-US"/>
        </w:rPr>
        <w:t>) relates to such differences where they occur across the same level of government (</w:t>
      </w:r>
      <w:proofErr w:type="spellStart"/>
      <w:r w:rsidRPr="0095458E">
        <w:rPr>
          <w:rFonts w:asciiTheme="minorHAnsi" w:hAnsiTheme="minorHAnsi"/>
          <w:sz w:val="18"/>
          <w:szCs w:val="16"/>
          <w:lang w:val="en-US"/>
        </w:rPr>
        <w:t>eg</w:t>
      </w:r>
      <w:proofErr w:type="spellEnd"/>
      <w:r w:rsidRPr="0095458E">
        <w:rPr>
          <w:rFonts w:asciiTheme="minorHAnsi" w:hAnsiTheme="minorHAnsi"/>
          <w:sz w:val="18"/>
          <w:szCs w:val="16"/>
          <w:lang w:val="en-US"/>
        </w:rPr>
        <w:t xml:space="preserve"> States). Horizontal fiscal </w:t>
      </w:r>
      <w:proofErr w:type="spellStart"/>
      <w:r w:rsidRPr="0095458E">
        <w:rPr>
          <w:rFonts w:asciiTheme="minorHAnsi" w:hAnsiTheme="minorHAnsi"/>
          <w:sz w:val="18"/>
          <w:szCs w:val="16"/>
          <w:lang w:val="en-US"/>
        </w:rPr>
        <w:t>equalisation</w:t>
      </w:r>
      <w:proofErr w:type="spellEnd"/>
      <w:r w:rsidRPr="0095458E">
        <w:rPr>
          <w:rFonts w:asciiTheme="minorHAnsi" w:hAnsiTheme="minorHAnsi"/>
          <w:sz w:val="18"/>
          <w:szCs w:val="16"/>
          <w:lang w:val="en-US"/>
        </w:rPr>
        <w:t xml:space="preserve"> (HFE) is the transfer of fiscal resources between units at the same level of government. Vertical fiscal </w:t>
      </w:r>
      <w:proofErr w:type="spellStart"/>
      <w:r w:rsidRPr="0095458E">
        <w:rPr>
          <w:rFonts w:asciiTheme="minorHAnsi" w:hAnsiTheme="minorHAnsi"/>
          <w:sz w:val="18"/>
          <w:szCs w:val="16"/>
          <w:lang w:val="en-US"/>
        </w:rPr>
        <w:t>equalisation</w:t>
      </w:r>
      <w:proofErr w:type="spellEnd"/>
      <w:r w:rsidRPr="0095458E">
        <w:rPr>
          <w:rFonts w:asciiTheme="minorHAnsi" w:hAnsiTheme="minorHAnsi"/>
          <w:sz w:val="18"/>
          <w:szCs w:val="16"/>
          <w:lang w:val="en-US"/>
        </w:rPr>
        <w:t xml:space="preserve"> (</w:t>
      </w:r>
      <w:proofErr w:type="spellStart"/>
      <w:r w:rsidRPr="0095458E">
        <w:rPr>
          <w:rFonts w:asciiTheme="minorHAnsi" w:hAnsiTheme="minorHAnsi"/>
          <w:sz w:val="18"/>
          <w:szCs w:val="16"/>
          <w:lang w:val="en-US"/>
        </w:rPr>
        <w:t>VFE</w:t>
      </w:r>
      <w:proofErr w:type="spellEnd"/>
      <w:r w:rsidRPr="0095458E">
        <w:rPr>
          <w:rFonts w:asciiTheme="minorHAnsi" w:hAnsiTheme="minorHAnsi"/>
          <w:sz w:val="18"/>
          <w:szCs w:val="16"/>
          <w:lang w:val="en-US"/>
        </w:rPr>
        <w:t>) is the transfer of fiscal resources from the national to the subnational government.</w:t>
      </w:r>
    </w:p>
  </w:footnote>
  <w:footnote w:id="2">
    <w:p w:rsidR="00C63CA8" w:rsidRPr="0095458E" w:rsidRDefault="00C63CA8">
      <w:pPr>
        <w:pStyle w:val="FootnoteText"/>
        <w:rPr>
          <w:rFonts w:asciiTheme="minorHAnsi" w:hAnsiTheme="minorHAnsi"/>
          <w:sz w:val="18"/>
          <w:szCs w:val="16"/>
        </w:rPr>
      </w:pPr>
      <w:r w:rsidRPr="0095458E">
        <w:rPr>
          <w:rStyle w:val="FootnoteReference"/>
          <w:rFonts w:asciiTheme="minorHAnsi" w:hAnsiTheme="minorHAnsi"/>
          <w:sz w:val="18"/>
          <w:szCs w:val="16"/>
        </w:rPr>
        <w:footnoteRef/>
      </w:r>
      <w:hyperlink r:id="rId1" w:history="1">
        <w:r w:rsidRPr="0095458E">
          <w:rPr>
            <w:rStyle w:val="Hyperlink"/>
            <w:rFonts w:asciiTheme="minorHAnsi" w:hAnsiTheme="minorHAnsi" w:cs="Arial"/>
            <w:sz w:val="18"/>
            <w:szCs w:val="16"/>
          </w:rPr>
          <w:t>https://www.bundesfinanzministerium.de/Content/DE/Standardartikel/Themen/Oeffentliche_Finanzen/Foederale_Finanzbeziehungen/Laenderfinanzausgleich/Eng-Der-Bundesstaatliche-FAG.pdf?__blob=publicationFile&amp;v=1</w:t>
        </w:r>
      </w:hyperlink>
    </w:p>
  </w:footnote>
  <w:footnote w:id="3">
    <w:p w:rsidR="0015688A" w:rsidRPr="0095458E" w:rsidRDefault="0015688A" w:rsidP="0015688A">
      <w:pPr>
        <w:pStyle w:val="FootnoteText"/>
        <w:rPr>
          <w:rFonts w:asciiTheme="minorHAnsi" w:hAnsiTheme="minorHAnsi"/>
          <w:sz w:val="18"/>
          <w:szCs w:val="16"/>
        </w:rPr>
      </w:pPr>
      <w:r w:rsidRPr="0095458E">
        <w:rPr>
          <w:rStyle w:val="FootnoteReference"/>
          <w:rFonts w:asciiTheme="minorHAnsi" w:hAnsiTheme="minorHAnsi"/>
          <w:sz w:val="18"/>
          <w:szCs w:val="16"/>
        </w:rPr>
        <w:footnoteRef/>
      </w:r>
      <w:r w:rsidRPr="0095458E">
        <w:rPr>
          <w:rFonts w:asciiTheme="minorHAnsi" w:hAnsiTheme="minorHAnsi"/>
          <w:sz w:val="18"/>
          <w:szCs w:val="16"/>
        </w:rPr>
        <w:t xml:space="preserve"> Williams, R. 2005, </w:t>
      </w:r>
      <w:r w:rsidR="004036F0">
        <w:rPr>
          <w:rFonts w:asciiTheme="minorHAnsi" w:hAnsiTheme="minorHAnsi"/>
          <w:sz w:val="18"/>
          <w:szCs w:val="16"/>
        </w:rPr>
        <w:t>‘</w:t>
      </w:r>
      <w:r w:rsidRPr="0095458E">
        <w:rPr>
          <w:rFonts w:asciiTheme="minorHAnsi" w:hAnsiTheme="minorHAnsi"/>
          <w:sz w:val="18"/>
          <w:szCs w:val="16"/>
        </w:rPr>
        <w:t>Fiscal Federalism: Aims, Instruments and Outcomes</w:t>
      </w:r>
      <w:r w:rsidR="004036F0">
        <w:rPr>
          <w:rFonts w:asciiTheme="minorHAnsi" w:hAnsiTheme="minorHAnsi"/>
          <w:sz w:val="18"/>
          <w:szCs w:val="16"/>
        </w:rPr>
        <w:t>’</w:t>
      </w:r>
      <w:r w:rsidRPr="0095458E">
        <w:rPr>
          <w:rFonts w:asciiTheme="minorHAnsi" w:hAnsiTheme="minorHAnsi"/>
          <w:sz w:val="18"/>
          <w:szCs w:val="16"/>
        </w:rPr>
        <w:t xml:space="preserve"> The Australian Economic Review, vol. 38, no. 4, pp. 351–69; and Williams, R. 2012, </w:t>
      </w:r>
      <w:r w:rsidR="004036F0">
        <w:rPr>
          <w:rFonts w:asciiTheme="minorHAnsi" w:hAnsiTheme="minorHAnsi"/>
          <w:sz w:val="18"/>
          <w:szCs w:val="16"/>
        </w:rPr>
        <w:t>‘</w:t>
      </w:r>
      <w:r w:rsidRPr="0095458E">
        <w:rPr>
          <w:rFonts w:asciiTheme="minorHAnsi" w:hAnsiTheme="minorHAnsi"/>
          <w:sz w:val="18"/>
          <w:szCs w:val="16"/>
        </w:rPr>
        <w:t>History of Federal–State Fiscal Relations in Australia: A Review of the Methodologies Used</w:t>
      </w:r>
      <w:r w:rsidR="004036F0">
        <w:rPr>
          <w:rFonts w:asciiTheme="minorHAnsi" w:hAnsiTheme="minorHAnsi"/>
          <w:sz w:val="18"/>
          <w:szCs w:val="16"/>
        </w:rPr>
        <w:t>’</w:t>
      </w:r>
      <w:r w:rsidRPr="0095458E">
        <w:rPr>
          <w:rFonts w:asciiTheme="minorHAnsi" w:hAnsiTheme="minorHAnsi"/>
          <w:sz w:val="18"/>
          <w:szCs w:val="16"/>
        </w:rPr>
        <w:t>, The Australian Economic Review, vol. 45, no. 2, pp. 145–57</w:t>
      </w:r>
    </w:p>
  </w:footnote>
  <w:footnote w:id="4">
    <w:p w:rsidR="00285349" w:rsidRPr="0095458E" w:rsidRDefault="00285349">
      <w:pPr>
        <w:pStyle w:val="FootnoteText"/>
        <w:rPr>
          <w:rFonts w:asciiTheme="minorHAnsi" w:hAnsiTheme="minorHAnsi"/>
          <w:sz w:val="18"/>
          <w:szCs w:val="16"/>
        </w:rPr>
      </w:pPr>
      <w:r w:rsidRPr="0095458E">
        <w:rPr>
          <w:rStyle w:val="FootnoteReference"/>
          <w:rFonts w:asciiTheme="minorHAnsi" w:hAnsiTheme="minorHAnsi"/>
          <w:sz w:val="18"/>
          <w:szCs w:val="16"/>
        </w:rPr>
        <w:footnoteRef/>
      </w:r>
      <w:r w:rsidRPr="0095458E">
        <w:rPr>
          <w:rFonts w:asciiTheme="minorHAnsi" w:hAnsiTheme="minorHAnsi"/>
          <w:sz w:val="18"/>
          <w:szCs w:val="16"/>
        </w:rPr>
        <w:t xml:space="preserve"> </w:t>
      </w:r>
      <w:hyperlink r:id="rId2" w:history="1">
        <w:r w:rsidRPr="0095458E">
          <w:rPr>
            <w:rStyle w:val="Hyperlink"/>
            <w:rFonts w:asciiTheme="minorHAnsi" w:hAnsiTheme="minorHAnsi"/>
            <w:sz w:val="18"/>
            <w:szCs w:val="16"/>
          </w:rPr>
          <w:t>https://www.cgc.gov.au/index.php?option=com_content&amp;view=article&amp;id=258&amp;Itemid=536</w:t>
        </w:r>
      </w:hyperlink>
      <w:r w:rsidRPr="0095458E">
        <w:rPr>
          <w:rFonts w:asciiTheme="minorHAnsi" w:hAnsiTheme="minorHAnsi"/>
          <w:sz w:val="18"/>
          <w:szCs w:val="16"/>
        </w:rPr>
        <w:t xml:space="preserve"> </w:t>
      </w:r>
    </w:p>
  </w:footnote>
  <w:footnote w:id="5">
    <w:p w:rsidR="006C3603" w:rsidRPr="0095458E" w:rsidRDefault="006C3603">
      <w:pPr>
        <w:pStyle w:val="FootnoteText"/>
        <w:rPr>
          <w:rFonts w:asciiTheme="minorHAnsi" w:hAnsiTheme="minorHAnsi"/>
          <w:sz w:val="18"/>
          <w:szCs w:val="16"/>
        </w:rPr>
      </w:pPr>
      <w:r w:rsidRPr="0095458E">
        <w:rPr>
          <w:rStyle w:val="FootnoteReference"/>
          <w:rFonts w:asciiTheme="minorHAnsi" w:hAnsiTheme="minorHAnsi"/>
          <w:sz w:val="18"/>
          <w:szCs w:val="16"/>
        </w:rPr>
        <w:footnoteRef/>
      </w:r>
      <w:r w:rsidRPr="0095458E">
        <w:rPr>
          <w:rFonts w:asciiTheme="minorHAnsi" w:hAnsiTheme="minorHAnsi"/>
          <w:sz w:val="18"/>
          <w:szCs w:val="16"/>
        </w:rPr>
        <w:t xml:space="preserve"> Williams, R. 2012, </w:t>
      </w:r>
      <w:r w:rsidR="004036F0">
        <w:rPr>
          <w:rFonts w:asciiTheme="minorHAnsi" w:hAnsiTheme="minorHAnsi"/>
          <w:sz w:val="18"/>
          <w:szCs w:val="16"/>
        </w:rPr>
        <w:t>‘</w:t>
      </w:r>
      <w:r w:rsidRPr="0095458E">
        <w:rPr>
          <w:rFonts w:asciiTheme="minorHAnsi" w:hAnsiTheme="minorHAnsi"/>
          <w:sz w:val="18"/>
          <w:szCs w:val="16"/>
        </w:rPr>
        <w:t>History of Federal–State Fiscal Relations in Australia: A Review of the Methodologies Used</w:t>
      </w:r>
      <w:r w:rsidR="004036F0">
        <w:rPr>
          <w:rFonts w:asciiTheme="minorHAnsi" w:hAnsiTheme="minorHAnsi"/>
          <w:sz w:val="18"/>
          <w:szCs w:val="16"/>
        </w:rPr>
        <w:t>’</w:t>
      </w:r>
      <w:r w:rsidRPr="0095458E">
        <w:rPr>
          <w:rFonts w:asciiTheme="minorHAnsi" w:hAnsiTheme="minorHAnsi"/>
          <w:sz w:val="18"/>
          <w:szCs w:val="16"/>
        </w:rPr>
        <w:t xml:space="preserve">, The Australian Economic Review, vol. 45, no. 2, Section 3.4, </w:t>
      </w:r>
      <w:proofErr w:type="spellStart"/>
      <w:r w:rsidRPr="0095458E">
        <w:rPr>
          <w:rFonts w:asciiTheme="minorHAnsi" w:hAnsiTheme="minorHAnsi"/>
          <w:sz w:val="18"/>
          <w:szCs w:val="16"/>
        </w:rPr>
        <w:t>pp150</w:t>
      </w:r>
      <w:proofErr w:type="spellEnd"/>
      <w:r w:rsidRPr="0095458E">
        <w:rPr>
          <w:rFonts w:asciiTheme="minorHAnsi" w:hAnsiTheme="minorHAnsi"/>
          <w:sz w:val="18"/>
          <w:szCs w:val="16"/>
        </w:rPr>
        <w:t>-151</w:t>
      </w:r>
    </w:p>
  </w:footnote>
  <w:footnote w:id="6">
    <w:p w:rsidR="00B95811" w:rsidRPr="0095458E" w:rsidRDefault="00B95811" w:rsidP="00B95811">
      <w:pPr>
        <w:pStyle w:val="FootnoteText"/>
        <w:rPr>
          <w:rFonts w:asciiTheme="minorHAnsi" w:hAnsiTheme="minorHAnsi"/>
          <w:sz w:val="18"/>
          <w:szCs w:val="16"/>
        </w:rPr>
      </w:pPr>
      <w:r w:rsidRPr="0095458E">
        <w:rPr>
          <w:rStyle w:val="FootnoteReference"/>
          <w:rFonts w:asciiTheme="minorHAnsi" w:hAnsiTheme="minorHAnsi"/>
          <w:sz w:val="18"/>
          <w:szCs w:val="16"/>
        </w:rPr>
        <w:footnoteRef/>
      </w:r>
      <w:r w:rsidRPr="0095458E">
        <w:rPr>
          <w:rFonts w:asciiTheme="minorHAnsi" w:hAnsiTheme="minorHAnsi"/>
          <w:sz w:val="18"/>
          <w:szCs w:val="16"/>
        </w:rPr>
        <w:t xml:space="preserve"> The Treasurer in </w:t>
      </w:r>
      <w:r w:rsidR="0095458E" w:rsidRPr="0095458E">
        <w:rPr>
          <w:rFonts w:asciiTheme="minorHAnsi" w:hAnsiTheme="minorHAnsi"/>
          <w:sz w:val="18"/>
          <w:szCs w:val="16"/>
        </w:rPr>
        <w:t>the</w:t>
      </w:r>
      <w:r w:rsidRPr="0095458E">
        <w:rPr>
          <w:rFonts w:asciiTheme="minorHAnsi" w:hAnsiTheme="minorHAnsi"/>
          <w:sz w:val="18"/>
          <w:szCs w:val="16"/>
        </w:rPr>
        <w:t xml:space="preserve"> letter can be quite prescriptive in the advice </w:t>
      </w:r>
      <w:r w:rsidR="0095458E" w:rsidRPr="0095458E">
        <w:rPr>
          <w:rFonts w:asciiTheme="minorHAnsi" w:hAnsiTheme="minorHAnsi"/>
          <w:sz w:val="18"/>
          <w:szCs w:val="16"/>
        </w:rPr>
        <w:t xml:space="preserve">provided </w:t>
      </w:r>
      <w:r w:rsidRPr="0095458E">
        <w:rPr>
          <w:rFonts w:asciiTheme="minorHAnsi" w:hAnsiTheme="minorHAnsi"/>
          <w:sz w:val="18"/>
          <w:szCs w:val="16"/>
        </w:rPr>
        <w:t xml:space="preserve">but typically is not, leaving most decisions on actual methodology to the </w:t>
      </w:r>
      <w:proofErr w:type="spellStart"/>
      <w:r w:rsidRPr="0095458E">
        <w:rPr>
          <w:rFonts w:asciiTheme="minorHAnsi" w:hAnsiTheme="minorHAnsi"/>
          <w:sz w:val="18"/>
          <w:szCs w:val="16"/>
        </w:rPr>
        <w:t>CGC</w:t>
      </w:r>
      <w:proofErr w:type="spellEnd"/>
      <w:r w:rsidRPr="0095458E">
        <w:rPr>
          <w:rFonts w:asciiTheme="minorHAnsi" w:hAnsiTheme="minorHAnsi"/>
          <w:sz w:val="18"/>
          <w:szCs w:val="16"/>
        </w:rPr>
        <w:t>.</w:t>
      </w:r>
    </w:p>
  </w:footnote>
  <w:footnote w:id="7">
    <w:p w:rsidR="008C6C0F" w:rsidRPr="0095458E" w:rsidRDefault="008C6C0F">
      <w:pPr>
        <w:pStyle w:val="FootnoteText"/>
        <w:rPr>
          <w:rFonts w:asciiTheme="minorHAnsi" w:hAnsiTheme="minorHAnsi"/>
          <w:sz w:val="18"/>
          <w:szCs w:val="16"/>
        </w:rPr>
      </w:pPr>
      <w:r w:rsidRPr="0095458E">
        <w:rPr>
          <w:rStyle w:val="FootnoteReference"/>
          <w:rFonts w:asciiTheme="minorHAnsi" w:hAnsiTheme="minorHAnsi"/>
          <w:sz w:val="18"/>
          <w:szCs w:val="16"/>
        </w:rPr>
        <w:footnoteRef/>
      </w:r>
      <w:r w:rsidRPr="0095458E">
        <w:rPr>
          <w:rFonts w:asciiTheme="minorHAnsi" w:hAnsiTheme="minorHAnsi"/>
          <w:sz w:val="18"/>
          <w:szCs w:val="16"/>
        </w:rPr>
        <w:t xml:space="preserve"> Such measures </w:t>
      </w:r>
      <w:r w:rsidR="0095458E" w:rsidRPr="0095458E">
        <w:rPr>
          <w:rFonts w:asciiTheme="minorHAnsi" w:hAnsiTheme="minorHAnsi"/>
          <w:sz w:val="18"/>
          <w:szCs w:val="16"/>
        </w:rPr>
        <w:t>can</w:t>
      </w:r>
      <w:r w:rsidRPr="0095458E">
        <w:rPr>
          <w:rFonts w:asciiTheme="minorHAnsi" w:hAnsiTheme="minorHAnsi"/>
          <w:sz w:val="18"/>
          <w:szCs w:val="16"/>
        </w:rPr>
        <w:t xml:space="preserve"> </w:t>
      </w:r>
      <w:r w:rsidR="0095458E" w:rsidRPr="0095458E">
        <w:rPr>
          <w:rFonts w:asciiTheme="minorHAnsi" w:hAnsiTheme="minorHAnsi"/>
          <w:sz w:val="18"/>
          <w:szCs w:val="16"/>
        </w:rPr>
        <w:t xml:space="preserve">already be </w:t>
      </w:r>
      <w:r w:rsidRPr="0095458E">
        <w:rPr>
          <w:rFonts w:asciiTheme="minorHAnsi" w:hAnsiTheme="minorHAnsi"/>
          <w:sz w:val="18"/>
          <w:szCs w:val="16"/>
        </w:rPr>
        <w:t>calculated</w:t>
      </w:r>
      <w:r w:rsidR="0095458E" w:rsidRPr="0095458E">
        <w:rPr>
          <w:rFonts w:asciiTheme="minorHAnsi" w:hAnsiTheme="minorHAnsi"/>
          <w:sz w:val="18"/>
          <w:szCs w:val="16"/>
        </w:rPr>
        <w:t xml:space="preserve"> for 2013-14, 2014-15 and 2015-16 f</w:t>
      </w:r>
      <w:r w:rsidRPr="0095458E">
        <w:rPr>
          <w:rFonts w:asciiTheme="minorHAnsi" w:hAnsiTheme="minorHAnsi"/>
          <w:sz w:val="18"/>
          <w:szCs w:val="16"/>
        </w:rPr>
        <w:t xml:space="preserve">rom the data published by the </w:t>
      </w:r>
      <w:proofErr w:type="spellStart"/>
      <w:r w:rsidRPr="0095458E">
        <w:rPr>
          <w:rFonts w:asciiTheme="minorHAnsi" w:hAnsiTheme="minorHAnsi"/>
          <w:sz w:val="18"/>
          <w:szCs w:val="16"/>
        </w:rPr>
        <w:t>CGC</w:t>
      </w:r>
      <w:proofErr w:type="spellEnd"/>
      <w:r w:rsidR="0095458E" w:rsidRPr="0095458E">
        <w:rPr>
          <w:rFonts w:asciiTheme="minorHAnsi" w:hAnsiTheme="minorHAnsi"/>
          <w:sz w:val="18"/>
          <w:szCs w:val="16"/>
        </w:rPr>
        <w:t xml:space="preserve"> in </w:t>
      </w:r>
      <w:proofErr w:type="spellStart"/>
      <w:r w:rsidR="0095458E" w:rsidRPr="0095458E">
        <w:rPr>
          <w:rFonts w:asciiTheme="minorHAnsi" w:hAnsiTheme="minorHAnsi"/>
          <w:i/>
          <w:sz w:val="18"/>
          <w:szCs w:val="16"/>
        </w:rPr>
        <w:t>U2017</w:t>
      </w:r>
      <w:proofErr w:type="spellEnd"/>
      <w:r w:rsidR="0095458E" w:rsidRPr="0095458E">
        <w:rPr>
          <w:rFonts w:asciiTheme="minorHAnsi" w:hAnsiTheme="minorHAnsi"/>
          <w:i/>
          <w:sz w:val="18"/>
          <w:szCs w:val="16"/>
        </w:rPr>
        <w:t>-The Assessed Budget - Category tables</w:t>
      </w:r>
      <w:r w:rsidR="004036F0">
        <w:rPr>
          <w:rFonts w:asciiTheme="minorHAnsi" w:hAnsiTheme="minorHAnsi"/>
          <w:i/>
          <w:sz w:val="18"/>
          <w:szCs w:val="16"/>
        </w:rPr>
        <w:t xml:space="preserve"> </w:t>
      </w:r>
      <w:proofErr w:type="spellStart"/>
      <w:r w:rsidR="004036F0">
        <w:rPr>
          <w:rFonts w:asciiTheme="minorHAnsi" w:hAnsiTheme="minorHAnsi"/>
          <w:i/>
          <w:sz w:val="18"/>
          <w:szCs w:val="16"/>
        </w:rPr>
        <w:t>XLSX</w:t>
      </w:r>
      <w:proofErr w:type="spellEnd"/>
      <w:r w:rsidR="004036F0">
        <w:rPr>
          <w:rFonts w:asciiTheme="minorHAnsi" w:hAnsiTheme="minorHAnsi"/>
          <w:i/>
          <w:sz w:val="18"/>
          <w:szCs w:val="16"/>
        </w:rPr>
        <w:t xml:space="preserve"> </w:t>
      </w:r>
      <w:r w:rsidR="004036F0" w:rsidRPr="004036F0">
        <w:rPr>
          <w:rFonts w:asciiTheme="minorHAnsi" w:hAnsiTheme="minorHAnsi"/>
          <w:sz w:val="18"/>
          <w:szCs w:val="16"/>
        </w:rPr>
        <w:t>spreadsheet</w:t>
      </w:r>
      <w:r w:rsidR="0095458E" w:rsidRPr="0095458E">
        <w:rPr>
          <w:rFonts w:asciiTheme="minorHAnsi" w:hAnsiTheme="minorHAnsi"/>
          <w:sz w:val="18"/>
          <w:szCs w:val="16"/>
        </w:rPr>
        <w:t xml:space="preserve"> available at: </w:t>
      </w:r>
      <w:r w:rsidR="004036F0">
        <w:rPr>
          <w:rFonts w:asciiTheme="minorHAnsi" w:hAnsiTheme="minorHAnsi"/>
          <w:sz w:val="18"/>
          <w:szCs w:val="16"/>
        </w:rPr>
        <w:t xml:space="preserve"> </w:t>
      </w:r>
      <w:hyperlink r:id="rId3" w:history="1">
        <w:r w:rsidR="004036F0" w:rsidRPr="00982FB2">
          <w:rPr>
            <w:rStyle w:val="Hyperlink"/>
            <w:rFonts w:asciiTheme="minorHAnsi" w:hAnsiTheme="minorHAnsi"/>
            <w:sz w:val="18"/>
            <w:szCs w:val="16"/>
          </w:rPr>
          <w:t>https://cgc.gov.au/index.php?option=com_content&amp;view=article&amp;id=263&amp;Itemid=542</w:t>
        </w:r>
      </w:hyperlink>
      <w:r w:rsidR="004036F0">
        <w:rPr>
          <w:rFonts w:asciiTheme="minorHAnsi" w:hAnsiTheme="minorHAnsi"/>
          <w:sz w:val="18"/>
          <w:szCs w:val="16"/>
        </w:rPr>
        <w:t xml:space="preserve"> </w:t>
      </w:r>
    </w:p>
  </w:footnote>
  <w:footnote w:id="8">
    <w:p w:rsidR="00633998" w:rsidRPr="0095458E" w:rsidRDefault="00633998" w:rsidP="00633998">
      <w:pPr>
        <w:pStyle w:val="FootnoteText"/>
        <w:rPr>
          <w:rFonts w:asciiTheme="minorHAnsi" w:hAnsiTheme="minorHAnsi"/>
          <w:sz w:val="18"/>
          <w:szCs w:val="16"/>
        </w:rPr>
      </w:pPr>
      <w:r w:rsidRPr="0095458E">
        <w:rPr>
          <w:rStyle w:val="FootnoteReference"/>
          <w:rFonts w:asciiTheme="minorHAnsi" w:hAnsiTheme="minorHAnsi"/>
          <w:sz w:val="18"/>
          <w:szCs w:val="16"/>
        </w:rPr>
        <w:footnoteRef/>
      </w:r>
      <w:r w:rsidRPr="0095458E">
        <w:rPr>
          <w:rFonts w:asciiTheme="minorHAnsi" w:hAnsiTheme="minorHAnsi"/>
          <w:sz w:val="18"/>
          <w:szCs w:val="16"/>
        </w:rPr>
        <w:t xml:space="preserve"> </w:t>
      </w:r>
      <w:r w:rsidRPr="0095458E">
        <w:rPr>
          <w:rFonts w:asciiTheme="minorHAnsi" w:hAnsiTheme="minorHAnsi" w:cstheme="majorHAnsi"/>
          <w:sz w:val="18"/>
          <w:szCs w:val="16"/>
        </w:rPr>
        <w:t xml:space="preserve">Much as the National Competition Council did with the </w:t>
      </w:r>
      <w:proofErr w:type="spellStart"/>
      <w:r w:rsidRPr="0095458E">
        <w:rPr>
          <w:rFonts w:asciiTheme="minorHAnsi" w:hAnsiTheme="minorHAnsi" w:cstheme="majorHAnsi"/>
          <w:sz w:val="18"/>
          <w:szCs w:val="16"/>
        </w:rPr>
        <w:t>Hilmer</w:t>
      </w:r>
      <w:proofErr w:type="spellEnd"/>
      <w:r w:rsidRPr="0095458E">
        <w:rPr>
          <w:rFonts w:asciiTheme="minorHAnsi" w:hAnsiTheme="minorHAnsi" w:cstheme="majorHAnsi"/>
          <w:sz w:val="18"/>
          <w:szCs w:val="16"/>
        </w:rPr>
        <w:t xml:space="preserve"> competition reforms in the </w:t>
      </w:r>
      <w:proofErr w:type="spellStart"/>
      <w:r w:rsidRPr="0095458E">
        <w:rPr>
          <w:rFonts w:asciiTheme="minorHAnsi" w:hAnsiTheme="minorHAnsi" w:cstheme="majorHAnsi"/>
          <w:sz w:val="18"/>
          <w:szCs w:val="16"/>
        </w:rPr>
        <w:t>1990s</w:t>
      </w:r>
      <w:proofErr w:type="spellEnd"/>
      <w:r w:rsidRPr="0095458E">
        <w:rPr>
          <w:rFonts w:asciiTheme="minorHAnsi" w:hAnsiTheme="minorHAnsi"/>
          <w:sz w:val="18"/>
          <w:szCs w:val="16"/>
        </w:rPr>
        <w:t xml:space="preserve">  </w:t>
      </w:r>
      <w:hyperlink r:id="rId4" w:history="1">
        <w:r w:rsidRPr="0095458E">
          <w:rPr>
            <w:rStyle w:val="Hyperlink"/>
            <w:rFonts w:asciiTheme="minorHAnsi" w:hAnsiTheme="minorHAnsi"/>
            <w:sz w:val="18"/>
            <w:szCs w:val="16"/>
          </w:rPr>
          <w:t>http://</w:t>
        </w:r>
        <w:proofErr w:type="spellStart"/>
        <w:r w:rsidRPr="0095458E">
          <w:rPr>
            <w:rStyle w:val="Hyperlink"/>
            <w:rFonts w:asciiTheme="minorHAnsi" w:hAnsiTheme="minorHAnsi"/>
            <w:sz w:val="18"/>
            <w:szCs w:val="16"/>
          </w:rPr>
          <w:t>ncp.ncc.gov.au</w:t>
        </w:r>
        <w:proofErr w:type="spellEnd"/>
        <w:r w:rsidRPr="0095458E">
          <w:rPr>
            <w:rStyle w:val="Hyperlink"/>
            <w:rFonts w:asciiTheme="minorHAnsi" w:hAnsiTheme="minorHAnsi"/>
            <w:sz w:val="18"/>
            <w:szCs w:val="16"/>
          </w:rPr>
          <w:t>/pages/home</w:t>
        </w:r>
      </w:hyperlink>
      <w:r w:rsidRPr="0095458E">
        <w:rPr>
          <w:rFonts w:asciiTheme="minorHAnsi" w:hAnsiTheme="minorHAnsi"/>
          <w:sz w:val="18"/>
          <w:szCs w:val="16"/>
        </w:rPr>
        <w:t xml:space="preserve"> </w:t>
      </w:r>
    </w:p>
  </w:footnote>
  <w:footnote w:id="9">
    <w:p w:rsidR="003F3031" w:rsidRPr="0095458E" w:rsidRDefault="006430DF" w:rsidP="003F3031">
      <w:pPr>
        <w:pStyle w:val="FootnoteText"/>
        <w:rPr>
          <w:rFonts w:asciiTheme="minorHAnsi" w:hAnsiTheme="minorHAnsi"/>
          <w:sz w:val="18"/>
          <w:szCs w:val="16"/>
        </w:rPr>
      </w:pPr>
      <w:r w:rsidRPr="0095458E">
        <w:rPr>
          <w:rStyle w:val="FootnoteReference"/>
          <w:rFonts w:asciiTheme="minorHAnsi" w:hAnsiTheme="minorHAnsi"/>
          <w:sz w:val="18"/>
          <w:szCs w:val="16"/>
        </w:rPr>
        <w:footnoteRef/>
      </w:r>
      <w:hyperlink r:id="rId5" w:history="1">
        <w:r w:rsidR="003F3031" w:rsidRPr="0095458E">
          <w:rPr>
            <w:rStyle w:val="Hyperlink"/>
            <w:rFonts w:asciiTheme="minorHAnsi" w:hAnsiTheme="minorHAnsi" w:cs="Arial"/>
            <w:sz w:val="18"/>
            <w:szCs w:val="16"/>
          </w:rPr>
          <w:t>https://www.bundesfinanzministerium.de/Content/DE/Standardartikel/Themen/Oeffentliche_Finanzen/Foederale_Finanzbeziehungen/Laenderfinanzausgleich/Eng-Der-Bundesstaatliche-FAG.pdf?__blob=publicationFile&amp;v=1</w:t>
        </w:r>
      </w:hyperlink>
    </w:p>
    <w:p w:rsidR="006430DF" w:rsidRPr="0095458E" w:rsidRDefault="006430DF">
      <w:pPr>
        <w:pStyle w:val="FootnoteText"/>
        <w:rPr>
          <w:rFonts w:asciiTheme="minorHAnsi" w:hAnsiTheme="minorHAnsi"/>
          <w:sz w:val="18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145" w:rsidRDefault="003641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FC" w:rsidRDefault="00F630FC">
    <w:pPr>
      <w:pStyle w:val="Header"/>
      <w:rPr>
        <w:lang w:val="en-US"/>
      </w:rPr>
    </w:pPr>
  </w:p>
  <w:p w:rsidR="00B84526" w:rsidRPr="00364145" w:rsidRDefault="00B84526" w:rsidP="00B84526">
    <w:pPr>
      <w:pStyle w:val="Header"/>
      <w:pBdr>
        <w:bottom w:val="single" w:sz="4" w:space="1" w:color="auto"/>
      </w:pBdr>
      <w:tabs>
        <w:tab w:val="clear" w:pos="8306"/>
        <w:tab w:val="right" w:pos="9070"/>
      </w:tabs>
      <w:rPr>
        <w:sz w:val="16"/>
        <w:lang w:val="en-US"/>
      </w:rPr>
    </w:pPr>
    <w:r w:rsidRPr="00364145">
      <w:rPr>
        <w:rFonts w:asciiTheme="minorHAnsi" w:hAnsiTheme="minorHAnsi" w:cstheme="majorHAnsi"/>
        <w:sz w:val="16"/>
        <w:szCs w:val="22"/>
      </w:rPr>
      <w:t>Submission to Inquiry into Horizontal Fiscal Equalisation</w:t>
    </w:r>
    <w:r w:rsidRPr="00364145">
      <w:rPr>
        <w:rFonts w:asciiTheme="minorHAnsi" w:hAnsiTheme="minorHAnsi" w:cstheme="majorHAnsi"/>
        <w:sz w:val="16"/>
        <w:szCs w:val="22"/>
      </w:rPr>
      <w:tab/>
    </w:r>
    <w:r w:rsidRPr="00364145">
      <w:rPr>
        <w:rFonts w:asciiTheme="minorHAnsi" w:hAnsiTheme="minorHAnsi" w:cstheme="majorHAnsi"/>
        <w:sz w:val="16"/>
        <w:szCs w:val="22"/>
      </w:rPr>
      <w:tab/>
      <w:t>Neil Warren</w:t>
    </w:r>
  </w:p>
  <w:p w:rsidR="00B84526" w:rsidRDefault="00B84526" w:rsidP="00B845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145" w:rsidRDefault="003641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5E28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E03D4"/>
    <w:multiLevelType w:val="hybridMultilevel"/>
    <w:tmpl w:val="385A3F7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911B19"/>
    <w:multiLevelType w:val="hybridMultilevel"/>
    <w:tmpl w:val="915634B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F56016"/>
    <w:multiLevelType w:val="hybridMultilevel"/>
    <w:tmpl w:val="FBE41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90E2A"/>
    <w:multiLevelType w:val="multilevel"/>
    <w:tmpl w:val="8990C7E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B832D54"/>
    <w:multiLevelType w:val="hybridMultilevel"/>
    <w:tmpl w:val="6B46F38A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A9174B3-69E5-4817-A4BB-F92241C8EAB7}"/>
    <w:docVar w:name="dgnword-eventsink" w:val="92308368"/>
  </w:docVars>
  <w:rsids>
    <w:rsidRoot w:val="00747854"/>
    <w:rsid w:val="00014AC3"/>
    <w:rsid w:val="00057BF0"/>
    <w:rsid w:val="00073CB5"/>
    <w:rsid w:val="000A1128"/>
    <w:rsid w:val="000A1379"/>
    <w:rsid w:val="000C7C7E"/>
    <w:rsid w:val="000F6BA6"/>
    <w:rsid w:val="00124909"/>
    <w:rsid w:val="00133BED"/>
    <w:rsid w:val="00135A34"/>
    <w:rsid w:val="0015688A"/>
    <w:rsid w:val="001B3363"/>
    <w:rsid w:val="002465CB"/>
    <w:rsid w:val="002761E4"/>
    <w:rsid w:val="00285349"/>
    <w:rsid w:val="002F5883"/>
    <w:rsid w:val="00364145"/>
    <w:rsid w:val="003A7953"/>
    <w:rsid w:val="003E6624"/>
    <w:rsid w:val="003F3031"/>
    <w:rsid w:val="004036F0"/>
    <w:rsid w:val="0041592D"/>
    <w:rsid w:val="00416484"/>
    <w:rsid w:val="00435A79"/>
    <w:rsid w:val="004D1DDF"/>
    <w:rsid w:val="00517C07"/>
    <w:rsid w:val="00624345"/>
    <w:rsid w:val="006331E6"/>
    <w:rsid w:val="00633998"/>
    <w:rsid w:val="006430DF"/>
    <w:rsid w:val="006763A5"/>
    <w:rsid w:val="006B1385"/>
    <w:rsid w:val="006C3603"/>
    <w:rsid w:val="006D53DD"/>
    <w:rsid w:val="006D76BA"/>
    <w:rsid w:val="006E300A"/>
    <w:rsid w:val="006F768F"/>
    <w:rsid w:val="00733A92"/>
    <w:rsid w:val="00747854"/>
    <w:rsid w:val="00791C71"/>
    <w:rsid w:val="00793F7F"/>
    <w:rsid w:val="00836AEA"/>
    <w:rsid w:val="00841419"/>
    <w:rsid w:val="00870C63"/>
    <w:rsid w:val="008A7934"/>
    <w:rsid w:val="008C6C0F"/>
    <w:rsid w:val="00947A08"/>
    <w:rsid w:val="0095458E"/>
    <w:rsid w:val="009B2BB2"/>
    <w:rsid w:val="009C114A"/>
    <w:rsid w:val="00A26137"/>
    <w:rsid w:val="00A45F60"/>
    <w:rsid w:val="00A62FCB"/>
    <w:rsid w:val="00A76CE9"/>
    <w:rsid w:val="00A8608C"/>
    <w:rsid w:val="00A936EA"/>
    <w:rsid w:val="00AA384A"/>
    <w:rsid w:val="00AF56DF"/>
    <w:rsid w:val="00B36A46"/>
    <w:rsid w:val="00B622A4"/>
    <w:rsid w:val="00B64736"/>
    <w:rsid w:val="00B84526"/>
    <w:rsid w:val="00B85C91"/>
    <w:rsid w:val="00B91704"/>
    <w:rsid w:val="00B95811"/>
    <w:rsid w:val="00BB68E3"/>
    <w:rsid w:val="00BE3D6F"/>
    <w:rsid w:val="00BF1862"/>
    <w:rsid w:val="00BF27CA"/>
    <w:rsid w:val="00C3233E"/>
    <w:rsid w:val="00C63CA8"/>
    <w:rsid w:val="00CC1DFE"/>
    <w:rsid w:val="00CC6F10"/>
    <w:rsid w:val="00CC77D4"/>
    <w:rsid w:val="00CF3692"/>
    <w:rsid w:val="00CF3AF5"/>
    <w:rsid w:val="00D36132"/>
    <w:rsid w:val="00D41A41"/>
    <w:rsid w:val="00D71884"/>
    <w:rsid w:val="00D76BC2"/>
    <w:rsid w:val="00D866C2"/>
    <w:rsid w:val="00D87D52"/>
    <w:rsid w:val="00E3020B"/>
    <w:rsid w:val="00E673C1"/>
    <w:rsid w:val="00EC5368"/>
    <w:rsid w:val="00F023AA"/>
    <w:rsid w:val="00F05ACD"/>
    <w:rsid w:val="00F205B0"/>
    <w:rsid w:val="00F438E4"/>
    <w:rsid w:val="00F630FC"/>
    <w:rsid w:val="00FC702F"/>
    <w:rsid w:val="00FF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46A8DDD5-372C-48B4-80BF-D00DFE06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AC3"/>
    <w:pPr>
      <w:keepNext/>
      <w:numPr>
        <w:numId w:val="4"/>
      </w:numPr>
      <w:spacing w:before="120" w:after="120" w:line="276" w:lineRule="auto"/>
      <w:outlineLvl w:val="0"/>
    </w:pPr>
    <w:rPr>
      <w:rFonts w:ascii="Arial" w:eastAsiaTheme="minorEastAsia" w:hAnsi="Arial" w:cstheme="minorBidi"/>
      <w:b/>
      <w:caps/>
      <w:snapToGrid w:val="0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014AC3"/>
    <w:pPr>
      <w:keepNext/>
      <w:numPr>
        <w:ilvl w:val="1"/>
        <w:numId w:val="4"/>
      </w:numPr>
      <w:autoSpaceDE w:val="0"/>
      <w:autoSpaceDN w:val="0"/>
      <w:spacing w:before="240" w:after="120" w:line="276" w:lineRule="auto"/>
      <w:ind w:left="578" w:hanging="578"/>
      <w:outlineLvl w:val="1"/>
    </w:pPr>
    <w:rPr>
      <w:rFonts w:ascii="Arial" w:hAnsi="Arial" w:cs="Arial"/>
      <w:b/>
      <w:bCs/>
      <w:snapToGrid w:val="0"/>
      <w:color w:val="000000"/>
      <w:sz w:val="20"/>
      <w:szCs w:val="28"/>
      <w:lang w:val="en-US" w:eastAsia="en-US"/>
    </w:rPr>
  </w:style>
  <w:style w:type="paragraph" w:styleId="Heading3">
    <w:name w:val="heading 3"/>
    <w:aliases w:val="Part Heading,Chap No,chapter number,(Chap No),(Chap No)1,(Chap No)2,(Chap No)3,(Chap No)4,(Chap No)5,(Chap No)6,(Chap No)7,(Chap No)8,(Chap No)9,(Chap No)10,(Chap No)11,(Chap No)12,(Chap No)13,(Chap No)14,(Chap No)15,(Chap No)16"/>
    <w:basedOn w:val="Normal"/>
    <w:next w:val="Normal"/>
    <w:link w:val="Heading3Char"/>
    <w:uiPriority w:val="9"/>
    <w:qFormat/>
    <w:rsid w:val="00014AC3"/>
    <w:pPr>
      <w:keepNext/>
      <w:numPr>
        <w:ilvl w:val="2"/>
        <w:numId w:val="4"/>
      </w:numPr>
      <w:spacing w:after="120" w:line="276" w:lineRule="auto"/>
      <w:outlineLvl w:val="2"/>
    </w:pPr>
    <w:rPr>
      <w:rFonts w:ascii="Arial" w:hAnsi="Arial" w:cs="Arial"/>
      <w:bCs/>
      <w:snapToGrid w:val="0"/>
      <w:sz w:val="20"/>
      <w:szCs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014AC3"/>
    <w:pPr>
      <w:numPr>
        <w:ilvl w:val="4"/>
        <w:numId w:val="4"/>
      </w:numPr>
      <w:spacing w:after="120" w:line="276" w:lineRule="auto"/>
      <w:outlineLvl w:val="4"/>
    </w:pPr>
    <w:rPr>
      <w:rFonts w:ascii="Arial" w:hAnsi="Arial" w:cstheme="minorBidi"/>
      <w:b/>
      <w:bCs/>
      <w:iCs/>
      <w:snapToGrid w:val="0"/>
      <w:sz w:val="18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014AC3"/>
    <w:pPr>
      <w:numPr>
        <w:ilvl w:val="5"/>
        <w:numId w:val="4"/>
      </w:numPr>
      <w:spacing w:before="240" w:after="60" w:line="276" w:lineRule="auto"/>
      <w:outlineLvl w:val="5"/>
    </w:pPr>
    <w:rPr>
      <w:rFonts w:cstheme="minorBidi"/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014AC3"/>
    <w:pPr>
      <w:numPr>
        <w:ilvl w:val="6"/>
        <w:numId w:val="4"/>
      </w:numPr>
      <w:spacing w:before="240" w:after="60" w:line="276" w:lineRule="auto"/>
      <w:outlineLvl w:val="6"/>
    </w:pPr>
    <w:rPr>
      <w:rFonts w:cstheme="minorBidi"/>
      <w:snapToGrid w:val="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014AC3"/>
    <w:pPr>
      <w:numPr>
        <w:ilvl w:val="7"/>
        <w:numId w:val="4"/>
      </w:numPr>
      <w:spacing w:before="240" w:after="60" w:line="276" w:lineRule="auto"/>
      <w:outlineLvl w:val="7"/>
    </w:pPr>
    <w:rPr>
      <w:rFonts w:cstheme="minorBidi"/>
      <w:i/>
      <w:iCs/>
      <w:snapToGrid w:val="0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014AC3"/>
    <w:pPr>
      <w:numPr>
        <w:ilvl w:val="8"/>
        <w:numId w:val="4"/>
      </w:numPr>
      <w:spacing w:before="240" w:after="60" w:line="276" w:lineRule="auto"/>
      <w:outlineLvl w:val="8"/>
    </w:pPr>
    <w:rPr>
      <w:rFonts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eastAsia="en-AU"/>
    </w:rPr>
  </w:style>
  <w:style w:type="paragraph" w:customStyle="1" w:styleId="a4UNSW">
    <w:name w:val="a4UNSW"/>
    <w:basedOn w:val="Noparagraphstyle"/>
    <w:pPr>
      <w:spacing w:after="57" w:line="180" w:lineRule="atLeast"/>
      <w:jc w:val="distribute"/>
    </w:pPr>
    <w:rPr>
      <w:rFonts w:ascii="Optima LT Std" w:hAnsi="Optima LT Std" w:cs="Optima LT Std"/>
      <w:sz w:val="14"/>
      <w:szCs w:val="14"/>
    </w:rPr>
  </w:style>
  <w:style w:type="paragraph" w:customStyle="1" w:styleId="A4AddressPhone">
    <w:name w:val="A4 Address/Phone"/>
    <w:basedOn w:val="Noparagraphstyle"/>
    <w:pPr>
      <w:spacing w:line="180" w:lineRule="atLeast"/>
      <w:jc w:val="distribute"/>
    </w:pPr>
    <w:rPr>
      <w:rFonts w:ascii="Optima LT Std" w:hAnsi="Optima LT Std" w:cs="Optima LT Std"/>
      <w:sz w:val="14"/>
      <w:szCs w:val="14"/>
    </w:rPr>
  </w:style>
  <w:style w:type="paragraph" w:styleId="BalloonText">
    <w:name w:val="Balloon Text"/>
    <w:basedOn w:val="Normal"/>
    <w:semiHidden/>
    <w:rsid w:val="00BC4CB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paragraphstyle"/>
    <w:uiPriority w:val="99"/>
    <w:rsid w:val="00977986"/>
    <w:pPr>
      <w:widowControl w:val="0"/>
    </w:pPr>
    <w:rPr>
      <w:rFonts w:ascii="MinionPro-Regular" w:hAnsi="MinionPro-Regular" w:cs="MinionPro-Regular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CC6F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6F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14AC3"/>
    <w:rPr>
      <w:rFonts w:ascii="Arial" w:eastAsiaTheme="minorEastAsia" w:hAnsi="Arial" w:cstheme="minorBidi"/>
      <w:b/>
      <w:caps/>
      <w:snapToGrid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14AC3"/>
    <w:rPr>
      <w:rFonts w:ascii="Arial" w:hAnsi="Arial" w:cs="Arial"/>
      <w:b/>
      <w:bCs/>
      <w:snapToGrid w:val="0"/>
      <w:color w:val="000000"/>
      <w:szCs w:val="28"/>
      <w:lang w:val="en-US"/>
    </w:rPr>
  </w:style>
  <w:style w:type="character" w:customStyle="1" w:styleId="Heading3Char">
    <w:name w:val="Heading 3 Char"/>
    <w:aliases w:val="Part Heading Char,Chap No Char,chapter number Char,(Chap No) Char,(Chap No)1 Char,(Chap No)2 Char,(Chap No)3 Char,(Chap No)4 Char,(Chap No)5 Char,(Chap No)6 Char,(Chap No)7 Char,(Chap No)8 Char,(Chap No)9 Char,(Chap No)10 Char"/>
    <w:basedOn w:val="DefaultParagraphFont"/>
    <w:link w:val="Heading3"/>
    <w:uiPriority w:val="9"/>
    <w:rsid w:val="00014AC3"/>
    <w:rPr>
      <w:rFonts w:ascii="Arial" w:hAnsi="Arial" w:cs="Arial"/>
      <w:bCs/>
      <w:snapToGrid w:val="0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14AC3"/>
    <w:rPr>
      <w:rFonts w:ascii="Arial" w:hAnsi="Arial" w:cstheme="minorBidi"/>
      <w:b/>
      <w:bCs/>
      <w:iCs/>
      <w:snapToGrid w:val="0"/>
      <w:sz w:val="18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14AC3"/>
    <w:rPr>
      <w:rFonts w:cstheme="minorBidi"/>
      <w:b/>
      <w:bCs/>
      <w:snapToGrid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14AC3"/>
    <w:rPr>
      <w:rFonts w:cstheme="minorBidi"/>
      <w:snapToGrid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14AC3"/>
    <w:rPr>
      <w:rFonts w:cstheme="minorBidi"/>
      <w:i/>
      <w:iCs/>
      <w:snapToGrid w:val="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014AC3"/>
    <w:rPr>
      <w:rFonts w:cs="Arial"/>
      <w:snapToGrid w:val="0"/>
      <w:sz w:val="22"/>
      <w:szCs w:val="22"/>
    </w:rPr>
  </w:style>
  <w:style w:type="paragraph" w:customStyle="1" w:styleId="normal1">
    <w:name w:val="normal1"/>
    <w:basedOn w:val="Normal"/>
    <w:rsid w:val="00014AC3"/>
    <w:pPr>
      <w:spacing w:before="120"/>
    </w:pPr>
    <w:rPr>
      <w:sz w:val="22"/>
      <w:szCs w:val="20"/>
      <w:lang w:eastAsia="en-US"/>
    </w:rPr>
  </w:style>
  <w:style w:type="paragraph" w:styleId="FootnoteText">
    <w:name w:val="footnote text"/>
    <w:basedOn w:val="Normal"/>
    <w:link w:val="FootnoteTextChar"/>
    <w:unhideWhenUsed/>
    <w:rsid w:val="00C63C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63CA8"/>
    <w:rPr>
      <w:lang w:eastAsia="en-AU"/>
    </w:rPr>
  </w:style>
  <w:style w:type="character" w:styleId="FootnoteReference">
    <w:name w:val="footnote reference"/>
    <w:basedOn w:val="DefaultParagraphFont"/>
    <w:unhideWhenUsed/>
    <w:rsid w:val="00C63CA8"/>
    <w:rPr>
      <w:vertAlign w:val="superscript"/>
    </w:rPr>
  </w:style>
  <w:style w:type="character" w:customStyle="1" w:styleId="Mention">
    <w:name w:val="Mention"/>
    <w:basedOn w:val="DefaultParagraphFont"/>
    <w:uiPriority w:val="99"/>
    <w:semiHidden/>
    <w:unhideWhenUsed/>
    <w:rsid w:val="00285349"/>
    <w:rPr>
      <w:color w:val="2B579A"/>
      <w:shd w:val="clear" w:color="auto" w:fill="E6E6E6"/>
    </w:rPr>
  </w:style>
  <w:style w:type="paragraph" w:styleId="BodyText">
    <w:name w:val="Body Text"/>
    <w:link w:val="BodyTextChar"/>
    <w:qFormat/>
    <w:rsid w:val="0015688A"/>
    <w:pPr>
      <w:spacing w:before="240" w:line="300" w:lineRule="atLeast"/>
      <w:jc w:val="both"/>
    </w:pPr>
    <w:rPr>
      <w:sz w:val="22"/>
      <w:lang w:eastAsia="en-AU"/>
    </w:rPr>
  </w:style>
  <w:style w:type="character" w:customStyle="1" w:styleId="BodyTextChar">
    <w:name w:val="Body Text Char"/>
    <w:basedOn w:val="DefaultParagraphFont"/>
    <w:link w:val="BodyText"/>
    <w:rsid w:val="0015688A"/>
    <w:rPr>
      <w:sz w:val="22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B84526"/>
    <w:rPr>
      <w:sz w:val="24"/>
      <w:szCs w:val="24"/>
      <w:lang w:eastAsia="en-AU"/>
    </w:rPr>
  </w:style>
  <w:style w:type="character" w:styleId="FollowedHyperlink">
    <w:name w:val="FollowedHyperlink"/>
    <w:basedOn w:val="DefaultParagraphFont"/>
    <w:semiHidden/>
    <w:unhideWhenUsed/>
    <w:rsid w:val="004036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gc.gov.au/index.php?option=com_content&amp;view=article&amp;id=263&amp;Itemid=542" TargetMode="External"/><Relationship Id="rId2" Type="http://schemas.openxmlformats.org/officeDocument/2006/relationships/hyperlink" Target="https://www.cgc.gov.au/index.php?option=com_content&amp;view=article&amp;id=258&amp;Itemid=536" TargetMode="External"/><Relationship Id="rId1" Type="http://schemas.openxmlformats.org/officeDocument/2006/relationships/hyperlink" Target="https://www.bundesfinanzministerium.de/Content/DE/Standardartikel/Themen/Oeffentliche_Finanzen/Foederale_Finanzbeziehungen/Laenderfinanzausgleich/Eng-Der-Bundesstaatliche-FAG.pdf?__blob=publicationFile&amp;v=1" TargetMode="External"/><Relationship Id="rId5" Type="http://schemas.openxmlformats.org/officeDocument/2006/relationships/hyperlink" Target="https://www.bundesfinanzministerium.de/Content/DE/Standardartikel/Themen/Oeffentliche_Finanzen/Foederale_Finanzbeziehungen/Laenderfinanzausgleich/Eng-Der-Bundesstaatliche-FAG.pdf?__blob=publicationFile&amp;v=1" TargetMode="External"/><Relationship Id="rId4" Type="http://schemas.openxmlformats.org/officeDocument/2006/relationships/hyperlink" Target="http://ncp.ncc.gov.au/pages/home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FE551-8EA7-4777-A611-71D99A61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38 - Neil Warren - Horizontal Fiscal Equalisation - Public inquiry</vt:lpstr>
    </vt:vector>
  </TitlesOfParts>
  <Company/>
  <LinksUpToDate>false</LinksUpToDate>
  <CharactersWithSpaces>15677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38 - Neil Warren - Horizontal Fiscal Equalisation - Public inquiry</dc:title>
  <dc:creator>Neil Warren</dc:creator>
  <cp:lastModifiedBy>Pimperl, Mark</cp:lastModifiedBy>
  <cp:revision>4</cp:revision>
  <cp:lastPrinted>2017-06-30T04:33:00Z</cp:lastPrinted>
  <dcterms:created xsi:type="dcterms:W3CDTF">2017-06-30T08:11:00Z</dcterms:created>
  <dcterms:modified xsi:type="dcterms:W3CDTF">2017-07-03T06:27:00Z</dcterms:modified>
</cp:coreProperties>
</file>